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theme/themeOverride1.xml" ContentType="application/vnd.openxmlformats-officedocument.themeOverride+xml"/>
  <Override PartName="/word/charts/chart18.xml" ContentType="application/vnd.openxmlformats-officedocument.drawingml.chart+xml"/>
  <Override PartName="/word/theme/themeOverride2.xml" ContentType="application/vnd.openxmlformats-officedocument.themeOverride+xml"/>
  <Override PartName="/word/charts/chart19.xml" ContentType="application/vnd.openxmlformats-officedocument.drawingml.chart+xml"/>
  <Override PartName="/word/theme/themeOverride3.xml" ContentType="application/vnd.openxmlformats-officedocument.themeOverride+xml"/>
  <Override PartName="/word/charts/chart20.xml" ContentType="application/vnd.openxmlformats-officedocument.drawingml.chart+xml"/>
  <Override PartName="/word/theme/themeOverride4.xml" ContentType="application/vnd.openxmlformats-officedocument.themeOverride+xml"/>
  <Override PartName="/word/charts/chart21.xml" ContentType="application/vnd.openxmlformats-officedocument.drawingml.chart+xml"/>
  <Override PartName="/word/theme/themeOverride5.xml" ContentType="application/vnd.openxmlformats-officedocument.themeOverride+xml"/>
  <Override PartName="/word/charts/chart22.xml" ContentType="application/vnd.openxmlformats-officedocument.drawingml.chart+xml"/>
  <Override PartName="/word/theme/themeOverride6.xml" ContentType="application/vnd.openxmlformats-officedocument.themeOverride+xml"/>
  <Override PartName="/word/charts/chart23.xml" ContentType="application/vnd.openxmlformats-officedocument.drawingml.chart+xml"/>
  <Override PartName="/word/theme/themeOverride7.xml" ContentType="application/vnd.openxmlformats-officedocument.themeOverride+xml"/>
  <Override PartName="/word/charts/chart24.xml" ContentType="application/vnd.openxmlformats-officedocument.drawingml.chart+xml"/>
  <Override PartName="/word/theme/themeOverride8.xml" ContentType="application/vnd.openxmlformats-officedocument.themeOverride+xml"/>
  <Override PartName="/word/charts/chart25.xml" ContentType="application/vnd.openxmlformats-officedocument.drawingml.chart+xml"/>
  <Override PartName="/word/theme/themeOverride9.xml" ContentType="application/vnd.openxmlformats-officedocument.themeOverride+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0.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47.xml" ContentType="application/vnd.openxmlformats-officedocument.drawingml.chart+xml"/>
  <Override PartName="/word/theme/themeOverride10.xml" ContentType="application/vnd.openxmlformats-officedocument.themeOverride+xml"/>
  <Override PartName="/word/charts/chart48.xml" ContentType="application/vnd.openxmlformats-officedocument.drawingml.chart+xml"/>
  <Override PartName="/word/theme/themeOverride11.xml" ContentType="application/vnd.openxmlformats-officedocument.themeOverride+xml"/>
  <Override PartName="/word/charts/chart49.xml" ContentType="application/vnd.openxmlformats-officedocument.drawingml.chart+xml"/>
  <Override PartName="/word/theme/themeOverride12.xml" ContentType="application/vnd.openxmlformats-officedocument.themeOverride+xml"/>
  <Override PartName="/word/charts/chart50.xml" ContentType="application/vnd.openxmlformats-officedocument.drawingml.chart+xml"/>
  <Override PartName="/word/theme/themeOverride13.xml" ContentType="application/vnd.openxmlformats-officedocument.themeOverride+xml"/>
  <Override PartName="/word/charts/chart51.xml" ContentType="application/vnd.openxmlformats-officedocument.drawingml.chart+xml"/>
  <Override PartName="/word/theme/themeOverride14.xml" ContentType="application/vnd.openxmlformats-officedocument.themeOverride+xml"/>
  <Override PartName="/word/charts/chart52.xml" ContentType="application/vnd.openxmlformats-officedocument.drawingml.chart+xml"/>
  <Override PartName="/word/charts/chart53.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56.xml" ContentType="application/vnd.openxmlformats-officedocument.drawingml.chart+xml"/>
  <Override PartName="/word/charts/chart57.xml" ContentType="application/vnd.openxmlformats-officedocument.drawingml.chart+xml"/>
  <Override PartName="/word/charts/chart58.xml" ContentType="application/vnd.openxmlformats-officedocument.drawingml.chart+xml"/>
  <Override PartName="/word/charts/chart59.xml" ContentType="application/vnd.openxmlformats-officedocument.drawingml.chart+xml"/>
  <Override PartName="/word/charts/chart60.xml" ContentType="application/vnd.openxmlformats-officedocument.drawingml.chart+xml"/>
  <Override PartName="/word/charts/chart61.xml" ContentType="application/vnd.openxmlformats-officedocument.drawingml.chart+xml"/>
  <Override PartName="/word/charts/chart62.xml" ContentType="application/vnd.openxmlformats-officedocument.drawingml.chart+xml"/>
  <Override PartName="/word/charts/chart63.xml" ContentType="application/vnd.openxmlformats-officedocument.drawingml.chart+xml"/>
  <Override PartName="/word/charts/chart64.xml" ContentType="application/vnd.openxmlformats-officedocument.drawingml.chart+xml"/>
  <Override PartName="/word/charts/chart65.xml" ContentType="application/vnd.openxmlformats-officedocument.drawingml.chart+xml"/>
  <Override PartName="/word/charts/chart66.xml" ContentType="application/vnd.openxmlformats-officedocument.drawingml.chart+xml"/>
  <Override PartName="/word/charts/chart67.xml" ContentType="application/vnd.openxmlformats-officedocument.drawingml.chart+xml"/>
  <Override PartName="/word/charts/chart68.xml" ContentType="application/vnd.openxmlformats-officedocument.drawingml.chart+xml"/>
  <Override PartName="/word/charts/chart69.xml" ContentType="application/vnd.openxmlformats-officedocument.drawingml.chart+xml"/>
  <Override PartName="/word/charts/chart70.xml" ContentType="application/vnd.openxmlformats-officedocument.drawingml.chart+xml"/>
  <Override PartName="/word/charts/chart71.xml" ContentType="application/vnd.openxmlformats-officedocument.drawingml.chart+xml"/>
  <Override PartName="/word/charts/chart72.xml" ContentType="application/vnd.openxmlformats-officedocument.drawingml.chart+xml"/>
  <Override PartName="/word/charts/chart73.xml" ContentType="application/vnd.openxmlformats-officedocument.drawingml.chart+xml"/>
  <Override PartName="/word/charts/chart74.xml" ContentType="application/vnd.openxmlformats-officedocument.drawingml.chart+xml"/>
  <Override PartName="/word/charts/chart75.xml" ContentType="application/vnd.openxmlformats-officedocument.drawingml.chart+xml"/>
  <Override PartName="/word/charts/chart76.xml" ContentType="application/vnd.openxmlformats-officedocument.drawingml.chart+xml"/>
  <Override PartName="/word/charts/chart77.xml" ContentType="application/vnd.openxmlformats-officedocument.drawingml.chart+xml"/>
  <Override PartName="/word/charts/chart78.xml" ContentType="application/vnd.openxmlformats-officedocument.drawingml.chart+xml"/>
  <Override PartName="/word/charts/chart79.xml" ContentType="application/vnd.openxmlformats-officedocument.drawingml.chart+xml"/>
  <Override PartName="/word/charts/chart80.xml" ContentType="application/vnd.openxmlformats-officedocument.drawingml.chart+xml"/>
  <Override PartName="/word/charts/chart81.xml" ContentType="application/vnd.openxmlformats-officedocument.drawingml.chart+xml"/>
  <Override PartName="/word/theme/themeOverride15.xml" ContentType="application/vnd.openxmlformats-officedocument.themeOverride+xml"/>
  <Override PartName="/word/charts/chart82.xml" ContentType="application/vnd.openxmlformats-officedocument.drawingml.chart+xml"/>
  <Override PartName="/word/theme/themeOverride16.xml" ContentType="application/vnd.openxmlformats-officedocument.themeOverride+xml"/>
  <Override PartName="/word/charts/chart83.xml" ContentType="application/vnd.openxmlformats-officedocument.drawingml.chart+xml"/>
  <Override PartName="/word/theme/themeOverride17.xml" ContentType="application/vnd.openxmlformats-officedocument.themeOverride+xml"/>
  <Override PartName="/word/charts/chart84.xml" ContentType="application/vnd.openxmlformats-officedocument.drawingml.chart+xml"/>
  <Override PartName="/word/theme/themeOverride18.xml" ContentType="application/vnd.openxmlformats-officedocument.themeOverride+xml"/>
  <Override PartName="/word/charts/chart85.xml" ContentType="application/vnd.openxmlformats-officedocument.drawingml.chart+xml"/>
  <Override PartName="/word/theme/themeOverride19.xml" ContentType="application/vnd.openxmlformats-officedocument.themeOverride+xml"/>
  <Override PartName="/word/charts/chart86.xml" ContentType="application/vnd.openxmlformats-officedocument.drawingml.chart+xml"/>
  <Override PartName="/word/theme/themeOverride20.xml" ContentType="application/vnd.openxmlformats-officedocument.themeOverride+xml"/>
  <Override PartName="/word/charts/chart87.xml" ContentType="application/vnd.openxmlformats-officedocument.drawingml.chart+xml"/>
  <Override PartName="/word/theme/themeOverride21.xml" ContentType="application/vnd.openxmlformats-officedocument.themeOverride+xml"/>
  <Override PartName="/word/charts/chart88.xml" ContentType="application/vnd.openxmlformats-officedocument.drawingml.chart+xml"/>
  <Override PartName="/word/theme/themeOverride22.xml" ContentType="application/vnd.openxmlformats-officedocument.themeOverride+xml"/>
  <Override PartName="/word/charts/chart89.xml" ContentType="application/vnd.openxmlformats-officedocument.drawingml.chart+xml"/>
  <Override PartName="/word/theme/themeOverride23.xml" ContentType="application/vnd.openxmlformats-officedocument.themeOverride+xml"/>
  <Override PartName="/word/charts/chart90.xml" ContentType="application/vnd.openxmlformats-officedocument.drawingml.chart+xml"/>
  <Override PartName="/word/theme/themeOverride24.xml" ContentType="application/vnd.openxmlformats-officedocument.themeOverride+xml"/>
  <Override PartName="/word/charts/chart91.xml" ContentType="application/vnd.openxmlformats-officedocument.drawingml.chart+xml"/>
  <Override PartName="/word/theme/themeOverride25.xml" ContentType="application/vnd.openxmlformats-officedocument.themeOverride+xml"/>
  <Override PartName="/word/charts/chart92.xml" ContentType="application/vnd.openxmlformats-officedocument.drawingml.chart+xml"/>
  <Override PartName="/word/theme/themeOverride26.xml" ContentType="application/vnd.openxmlformats-officedocument.themeOverride+xml"/>
  <Override PartName="/word/charts/chart93.xml" ContentType="application/vnd.openxmlformats-officedocument.drawingml.chart+xml"/>
  <Override PartName="/word/charts/chart94.xml" ContentType="application/vnd.openxmlformats-officedocument.drawingml.chart+xml"/>
  <Override PartName="/word/charts/chart95.xml" ContentType="application/vnd.openxmlformats-officedocument.drawingml.chart+xml"/>
  <Override PartName="/word/charts/chart96.xml" ContentType="application/vnd.openxmlformats-officedocument.drawingml.chart+xml"/>
  <Override PartName="/word/charts/chart97.xml" ContentType="application/vnd.openxmlformats-officedocument.drawingml.chart+xml"/>
  <Override PartName="/word/charts/chart98.xml" ContentType="application/vnd.openxmlformats-officedocument.drawingml.chart+xml"/>
  <Override PartName="/word/charts/chart99.xml" ContentType="application/vnd.openxmlformats-officedocument.drawingml.chart+xml"/>
  <Override PartName="/word/charts/chart100.xml" ContentType="application/vnd.openxmlformats-officedocument.drawingml.chart+xml"/>
  <Override PartName="/word/charts/chart101.xml" ContentType="application/vnd.openxmlformats-officedocument.drawingml.chart+xml"/>
  <Override PartName="/word/charts/chart102.xml" ContentType="application/vnd.openxmlformats-officedocument.drawingml.chart+xml"/>
  <Override PartName="/word/charts/chart103.xml" ContentType="application/vnd.openxmlformats-officedocument.drawingml.chart+xml"/>
  <Override PartName="/word/charts/chart104.xml" ContentType="application/vnd.openxmlformats-officedocument.drawingml.chart+xml"/>
  <Override PartName="/word/charts/chart105.xml" ContentType="application/vnd.openxmlformats-officedocument.drawingml.chart+xml"/>
  <Override PartName="/word/charts/chart106.xml" ContentType="application/vnd.openxmlformats-officedocument.drawingml.chart+xml"/>
  <Override PartName="/word/charts/chart107.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08.xml" ContentType="application/vnd.openxmlformats-officedocument.drawingml.chart+xml"/>
  <Override PartName="/word/drawings/drawing1.xml" ContentType="application/vnd.openxmlformats-officedocument.drawingml.chartshapes+xml"/>
  <Override PartName="/word/charts/chart109.xml" ContentType="application/vnd.openxmlformats-officedocument.drawingml.chart+xml"/>
  <Override PartName="/word/charts/chart110.xml" ContentType="application/vnd.openxmlformats-officedocument.drawingml.chart+xml"/>
  <Override PartName="/word/charts/chart111.xml" ContentType="application/vnd.openxmlformats-officedocument.drawingml.chart+xml"/>
  <Override PartName="/word/drawings/drawing2.xml" ContentType="application/vnd.openxmlformats-officedocument.drawingml.chartshapes+xml"/>
  <Override PartName="/word/charts/chart112.xml" ContentType="application/vnd.openxmlformats-officedocument.drawingml.chart+xml"/>
  <Override PartName="/word/theme/themeOverride27.xml" ContentType="application/vnd.openxmlformats-officedocument.themeOverride+xml"/>
  <Override PartName="/word/charts/chart113.xml" ContentType="application/vnd.openxmlformats-officedocument.drawingml.chart+xml"/>
  <Override PartName="/word/theme/themeOverride28.xml" ContentType="application/vnd.openxmlformats-officedocument.themeOverride+xml"/>
  <Override PartName="/word/charts/chart114.xml" ContentType="application/vnd.openxmlformats-officedocument.drawingml.chart+xml"/>
  <Override PartName="/word/drawings/drawing3.xml" ContentType="application/vnd.openxmlformats-officedocument.drawingml.chartshapes+xml"/>
  <Override PartName="/word/charts/chart115.xml" ContentType="application/vnd.openxmlformats-officedocument.drawingml.chart+xml"/>
  <Override PartName="/word/drawings/drawing4.xml" ContentType="application/vnd.openxmlformats-officedocument.drawingml.chartshapes+xml"/>
  <Override PartName="/word/charts/chart116.xml" ContentType="application/vnd.openxmlformats-officedocument.drawingml.chart+xml"/>
  <Override PartName="/word/drawings/drawing5.xml" ContentType="application/vnd.openxmlformats-officedocument.drawingml.chartshapes+xml"/>
  <Override PartName="/word/charts/chart117.xml" ContentType="application/vnd.openxmlformats-officedocument.drawingml.chart+xml"/>
  <Override PartName="/word/drawings/drawing6.xml" ContentType="application/vnd.openxmlformats-officedocument.drawingml.chartshapes+xml"/>
  <Override PartName="/word/charts/chart118.xml" ContentType="application/vnd.openxmlformats-officedocument.drawingml.chart+xml"/>
  <Override PartName="/word/drawings/drawing7.xml" ContentType="application/vnd.openxmlformats-officedocument.drawingml.chartshapes+xml"/>
  <Override PartName="/word/charts/chart119.xml" ContentType="application/vnd.openxmlformats-officedocument.drawingml.chart+xml"/>
  <Override PartName="/word/drawings/drawing8.xml" ContentType="application/vnd.openxmlformats-officedocument.drawingml.chartshapes+xml"/>
  <Override PartName="/word/charts/chart120.xml" ContentType="application/vnd.openxmlformats-officedocument.drawingml.chart+xml"/>
  <Override PartName="/word/drawings/drawing9.xml" ContentType="application/vnd.openxmlformats-officedocument.drawingml.chartshapes+xml"/>
  <Override PartName="/word/charts/chart121.xml" ContentType="application/vnd.openxmlformats-officedocument.drawingml.chart+xml"/>
  <Override PartName="/word/drawings/drawing10.xml" ContentType="application/vnd.openxmlformats-officedocument.drawingml.chartshapes+xml"/>
  <Override PartName="/word/charts/chart122.xml" ContentType="application/vnd.openxmlformats-officedocument.drawingml.chart+xml"/>
  <Override PartName="/word/drawings/drawing11.xml" ContentType="application/vnd.openxmlformats-officedocument.drawingml.chartshapes+xml"/>
  <Override PartName="/word/charts/chart123.xml" ContentType="application/vnd.openxmlformats-officedocument.drawingml.chart+xml"/>
  <Override PartName="/word/drawings/drawing12.xml" ContentType="application/vnd.openxmlformats-officedocument.drawingml.chartshapes+xml"/>
  <Override PartName="/word/charts/chart124.xml" ContentType="application/vnd.openxmlformats-officedocument.drawingml.chart+xml"/>
  <Override PartName="/word/drawings/drawing13.xml" ContentType="application/vnd.openxmlformats-officedocument.drawingml.chartshapes+xml"/>
  <Override PartName="/word/charts/chart125.xml" ContentType="application/vnd.openxmlformats-officedocument.drawingml.chart+xml"/>
  <Override PartName="/word/charts/chart126.xml" ContentType="application/vnd.openxmlformats-officedocument.drawingml.chart+xml"/>
  <Override PartName="/word/drawings/drawing14.xml" ContentType="application/vnd.openxmlformats-officedocument.drawingml.chartshapes+xml"/>
  <Override PartName="/word/charts/chart127.xml" ContentType="application/vnd.openxmlformats-officedocument.drawingml.chart+xml"/>
  <Override PartName="/word/drawings/drawing15.xml" ContentType="application/vnd.openxmlformats-officedocument.drawingml.chartshapes+xml"/>
  <Override PartName="/word/charts/chart128.xml" ContentType="application/vnd.openxmlformats-officedocument.drawingml.chart+xml"/>
  <Override PartName="/word/drawings/drawing16.xml" ContentType="application/vnd.openxmlformats-officedocument.drawingml.chartshapes+xml"/>
  <Override PartName="/word/charts/chart129.xml" ContentType="application/vnd.openxmlformats-officedocument.drawingml.chart+xml"/>
  <Override PartName="/word/drawings/drawing17.xml" ContentType="application/vnd.openxmlformats-officedocument.drawingml.chartshapes+xml"/>
  <Override PartName="/word/charts/chart130.xml" ContentType="application/vnd.openxmlformats-officedocument.drawingml.chart+xml"/>
  <Override PartName="/word/drawings/drawing18.xml" ContentType="application/vnd.openxmlformats-officedocument.drawingml.chartshapes+xml"/>
  <Override PartName="/word/charts/chart131.xml" ContentType="application/vnd.openxmlformats-officedocument.drawingml.chart+xml"/>
  <Override PartName="/word/drawings/drawing19.xml" ContentType="application/vnd.openxmlformats-officedocument.drawingml.chartshapes+xml"/>
  <Override PartName="/word/charts/chart132.xml" ContentType="application/vnd.openxmlformats-officedocument.drawingml.chart+xml"/>
  <Override PartName="/word/charts/chart133.xml" ContentType="application/vnd.openxmlformats-officedocument.drawingml.chart+xml"/>
  <Override PartName="/word/charts/chart134.xml" ContentType="application/vnd.openxmlformats-officedocument.drawingml.chart+xml"/>
  <Override PartName="/word/drawings/drawing20.xml" ContentType="application/vnd.openxmlformats-officedocument.drawingml.chartshapes+xml"/>
  <Override PartName="/word/charts/chart135.xml" ContentType="application/vnd.openxmlformats-officedocument.drawingml.chart+xml"/>
  <Override PartName="/word/drawings/drawing21.xml" ContentType="application/vnd.openxmlformats-officedocument.drawingml.chartshapes+xml"/>
  <Override PartName="/word/charts/chart136.xml" ContentType="application/vnd.openxmlformats-officedocument.drawingml.chart+xml"/>
  <Override PartName="/word/charts/chart137.xml" ContentType="application/vnd.openxmlformats-officedocument.drawingml.chart+xml"/>
  <Override PartName="/word/charts/chart138.xml" ContentType="application/vnd.openxmlformats-officedocument.drawingml.chart+xml"/>
  <Override PartName="/word/drawings/drawing22.xml" ContentType="application/vnd.openxmlformats-officedocument.drawingml.chartshapes+xml"/>
  <Override PartName="/word/charts/chart139.xml" ContentType="application/vnd.openxmlformats-officedocument.drawingml.chart+xml"/>
  <Override PartName="/word/drawings/drawing23.xml" ContentType="application/vnd.openxmlformats-officedocument.drawingml.chartshapes+xml"/>
  <Override PartName="/word/charts/chart140.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lang w:val="sr-Latn-CS"/>
        </w:rPr>
        <w:id w:val="14425865"/>
        <w:docPartObj>
          <w:docPartGallery w:val="Cover Pages"/>
          <w:docPartUnique/>
        </w:docPartObj>
      </w:sdtPr>
      <w:sdtEndPr>
        <w:rPr>
          <w:noProof/>
        </w:rPr>
      </w:sdtEndPr>
      <w:sdtContent>
        <w:p w:rsidR="009E4056" w:rsidRPr="007F4CD4" w:rsidRDefault="009F3E70">
          <w:pPr>
            <w:rPr>
              <w:lang w:val="sr-Latn-CS"/>
            </w:rPr>
          </w:pPr>
          <w:r>
            <w:rPr>
              <w:noProof/>
            </w:rPr>
            <mc:AlternateContent>
              <mc:Choice Requires="wps">
                <w:drawing>
                  <wp:anchor distT="0" distB="0" distL="114300" distR="114300" simplePos="0" relativeHeight="251686910" behindDoc="0" locked="0" layoutInCell="1" allowOverlap="1">
                    <wp:simplePos x="0" y="0"/>
                    <wp:positionH relativeFrom="column">
                      <wp:posOffset>3643630</wp:posOffset>
                    </wp:positionH>
                    <wp:positionV relativeFrom="page">
                      <wp:posOffset>-40640</wp:posOffset>
                    </wp:positionV>
                    <wp:extent cx="125730" cy="10730230"/>
                    <wp:effectExtent l="14605" t="6985" r="12065" b="6985"/>
                    <wp:wrapNone/>
                    <wp:docPr id="213" name="Rectangle 15" descr="Description: Light vertic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 cy="10730230"/>
                            </a:xfrm>
                            <a:prstGeom prst="rect">
                              <a:avLst/>
                            </a:prstGeom>
                            <a:pattFill prst="ltVert">
                              <a:fgClr>
                                <a:schemeClr val="accent5">
                                  <a:lumMod val="100000"/>
                                  <a:lumOff val="0"/>
                                  <a:alpha val="79999"/>
                                </a:schemeClr>
                              </a:fgClr>
                              <a:bgClr>
                                <a:srgbClr val="FFFFFF">
                                  <a:alpha val="79999"/>
                                </a:srgbClr>
                              </a:bgClr>
                            </a:pattFill>
                            <a:ln w="12700">
                              <a:solidFill>
                                <a:schemeClr val="accent5">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ect id="Rectangle 15" o:spid="_x0000_s1026" alt="Description: Light vertical" style="position:absolute;margin-left:286.9pt;margin-top:-3.2pt;width:9.9pt;height:844.9pt;z-index:25168691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" fillcolor="#9bd45f [3208]" strokecolor="#9bd45f [3208]" strokeweight="1pt">
                    <v:fill r:id="rId10" o:title="" opacity="52428f" o:opacity2="52428f" type="pattern"/>
                    <v:shadow color="#d8d8d8 [2732]" offset="3pt,3pt"/>
                    <w10:wrap anchory="page"/>
                  </v:rect>
                </w:pict>
              </mc:Fallback>
            </mc:AlternateContent>
          </w:r>
          <w:r>
            <w:rPr>
              <w:noProof/>
            </w:rPr>
            <mc:AlternateContent>
              <mc:Choice Requires="wps">
                <w:drawing>
                  <wp:anchor distT="0" distB="0" distL="114300" distR="114300" simplePos="0" relativeHeight="251687935" behindDoc="0" locked="0" layoutInCell="1" allowOverlap="1">
                    <wp:simplePos x="0" y="0"/>
                    <wp:positionH relativeFrom="column">
                      <wp:posOffset>3762375</wp:posOffset>
                    </wp:positionH>
                    <wp:positionV relativeFrom="page">
                      <wp:align>top</wp:align>
                    </wp:positionV>
                    <wp:extent cx="2899410" cy="10689590"/>
                    <wp:effectExtent l="0" t="0" r="0" b="0"/>
                    <wp:wrapNone/>
                    <wp:docPr id="21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9410" cy="10689590"/>
                            </a:xfrm>
                            <a:prstGeom prst="rect">
                              <a:avLst/>
                            </a:prstGeom>
                            <a:solidFill>
                              <a:schemeClr val="accent5">
                                <a:lumMod val="100000"/>
                                <a:lumOff val="0"/>
                              </a:schemeClr>
                            </a:solidFill>
                            <a:ln>
                              <a:noFill/>
                            </a:ln>
                            <a:extLst>
                              <a:ext uri="{91240B29-F687-4F45-9708-019B960494DF}">
                                <a14:hiddenLine xmlns:a14="http://schemas.microsoft.com/office/drawing/2010/main" w="9525">
                                  <a:solidFill>
                                    <a:schemeClr val="bg1">
                                      <a:lumMod val="85000"/>
                                      <a:lumOff val="0"/>
                                    </a:schemeClr>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100000</wp14:pctHeight>
                    </wp14:sizeRelV>
                  </wp:anchor>
                </w:drawing>
              </mc:Choice>
              <mc:Fallback>
                <w:pict>
                  <v:rect id="Rectangle 14" o:spid="_x0000_s1026" style="position:absolute;margin-left:296.25pt;margin-top:0;width:228.3pt;height:841.7pt;z-index:251687935;visibility:visible;mso-wrap-style:square;mso-width-percent:0;mso-height-percent:1000;mso-wrap-distance-left:9pt;mso-wrap-distance-top:0;mso-wrap-distance-right:9pt;mso-wrap-distance-bottom:0;mso-position-horizontal:absolute;mso-position-horizontal-relative:text;mso-position-vertical:top;mso-position-vertical-relative:page;mso-width-percent:0;mso-height-percent:10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" fillcolor="#9bd45f [3208]" stroked="f" strokecolor="#d8d8d8 [2732]">
                    <w10:wrap anchory="page"/>
                  </v:rect>
                </w:pict>
              </mc:Fallback>
            </mc:AlternateContent>
          </w:r>
          <w:r>
            <w:rPr>
              <w:noProof/>
            </w:rPr>
            <mc:AlternateContent>
              <mc:Choice Requires="wps">
                <w:drawing>
                  <wp:anchor distT="0" distB="0" distL="114300" distR="114300" simplePos="0" relativeHeight="251688960" behindDoc="0" locked="0" layoutInCell="0" allowOverlap="1">
                    <wp:simplePos x="0" y="0"/>
                    <wp:positionH relativeFrom="page">
                      <wp:posOffset>4669790</wp:posOffset>
                    </wp:positionH>
                    <wp:positionV relativeFrom="page">
                      <wp:posOffset>0</wp:posOffset>
                    </wp:positionV>
                    <wp:extent cx="3022600" cy="2672715"/>
                    <wp:effectExtent l="0" t="0" r="0" b="0"/>
                    <wp:wrapNone/>
                    <wp:docPr id="211"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2600" cy="2672715"/>
                            </a:xfrm>
                            <a:prstGeom prst="rect">
                              <a:avLst/>
                            </a:prstGeom>
                            <a:noFill/>
                            <a:ln>
                              <a:noFill/>
                            </a:ln>
                            <a:effectLst/>
                            <a:extLst>
                              <a:ext uri="{909E8E84-426E-40DD-AFC4-6F175D3DCCD1}">
                                <a14:hiddenFill xmlns:a14="http://schemas.microsoft.com/office/drawing/2010/main">
                                  <a:solidFill>
                                    <a:schemeClr val="bg1">
                                      <a:lumMod val="100000"/>
                                      <a:lumOff val="0"/>
                                      <a:alpha val="80000"/>
                                    </a:schemeClr>
                                  </a:solidFill>
                                </a14:hiddenFill>
                              </a:ext>
                              <a:ext uri="{91240B29-F687-4F45-9708-019B960494DF}">
                                <a14:hiddenLine xmlns:a14="http://schemas.microsoft.com/office/drawing/2010/main" w="12700">
                                  <a:solidFill>
                                    <a:schemeClr val="bg1">
                                      <a:lumMod val="10000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762EAE" w:rsidRPr="008B2A0F" w:rsidRDefault="00762EAE">
                                <w:pPr>
                                  <w:pStyle w:val="NoSpacing"/>
                                  <w:rPr>
                                    <w:rFonts w:ascii="Myriad Pro" w:eastAsiaTheme="majorEastAsia" w:hAnsi="Myriad Pro" w:cstheme="majorBidi"/>
                                    <w:b/>
                                    <w:bCs/>
                                    <w:color w:val="FFFFFF" w:themeColor="background1"/>
                                    <w:sz w:val="96"/>
                                    <w:szCs w:val="96"/>
                                    <w:lang w:val="sr-Latn-CS"/>
                                  </w:rPr>
                                </w:pPr>
                                <w:r>
                                  <w:rPr>
                                    <w:rFonts w:ascii="Myriad Pro" w:eastAsiaTheme="majorEastAsia" w:hAnsi="Myriad Pro" w:cstheme="majorBidi"/>
                                    <w:b/>
                                    <w:bCs/>
                                    <w:color w:val="FFFFFF" w:themeColor="background1"/>
                                    <w:sz w:val="96"/>
                                    <w:szCs w:val="96"/>
                                    <w:lang w:val="sr-Latn-CS"/>
                                  </w:rPr>
                                  <w:t>2013</w:t>
                                </w:r>
                              </w:p>
                            </w:txbxContent>
                          </wps:txbx>
                          <wps:bodyPr rot="0" vert="horz" wrap="square" lIns="365760" tIns="182880" rIns="182880" bIns="182880" anchor="b" anchorCtr="0" upright="1">
                            <a:noAutofit/>
                          </wps:bodyPr>
                        </wps:wsp>
                      </a:graphicData>
                    </a:graphic>
                    <wp14:sizeRelH relativeFrom="page">
                      <wp14:pctWidth>40000</wp14:pctWidth>
                    </wp14:sizeRelH>
                    <wp14:sizeRelV relativeFrom="page">
                      <wp14:pctHeight>25000</wp14:pctHeight>
                    </wp14:sizeRelV>
                  </wp:anchor>
                </w:drawing>
              </mc:Choice>
              <mc:Fallback>
                <w:pict>
                  <v:rect id="Rectangle 16" o:spid="_x0000_s1026" style="position:absolute;left:0;text-align:left;margin-left:367.7pt;margin-top:0;width:238pt;height:210.45pt;z-index:251688960;visibility:visible;mso-wrap-style:square;mso-width-percent:400;mso-height-percent:250;mso-wrap-distance-left:9pt;mso-wrap-distance-top:0;mso-wrap-distance-right:9pt;mso-wrap-distance-bottom:0;mso-position-horizontal:absolute;mso-position-horizontal-relative:page;mso-position-vertical:absolute;mso-position-vertical-relative:page;mso-width-percent:400;mso-height-percent:25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" o:allowincell="f" filled="f" fillcolor="white [3212]" stroked="f" strokecolor="white [3212]" strokeweight="1pt">
                    <v:fill opacity="52428f"/>
                    <v:textbox inset="28.8pt,14.4pt,14.4pt,14.4pt">
                      <w:txbxContent>
                        <w:p w:rsidR="00762EAE" w:rsidRPr="008B2A0F" w:rsidRDefault="00762EAE">
                          <w:pPr>
                            <w:pStyle w:val="NoSpacing"/>
                            <w:rPr>
                              <w:rFonts w:ascii="Myriad Pro" w:eastAsiaTheme="majorEastAsia" w:hAnsi="Myriad Pro" w:cstheme="majorBidi"/>
                              <w:b/>
                              <w:bCs/>
                              <w:color w:val="FFFFFF" w:themeColor="background1"/>
                              <w:sz w:val="96"/>
                              <w:szCs w:val="96"/>
                              <w:lang w:val="sr-Latn-CS"/>
                            </w:rPr>
                          </w:pPr>
                          <w:r>
                            <w:rPr>
                              <w:rFonts w:ascii="Myriad Pro" w:eastAsiaTheme="majorEastAsia" w:hAnsi="Myriad Pro" w:cstheme="majorBidi"/>
                              <w:b/>
                              <w:bCs/>
                              <w:color w:val="FFFFFF" w:themeColor="background1"/>
                              <w:sz w:val="96"/>
                              <w:szCs w:val="96"/>
                              <w:lang w:val="sr-Latn-CS"/>
                            </w:rPr>
                            <w:t>2013</w:t>
                          </w:r>
                        </w:p>
                      </w:txbxContent>
                    </v:textbox>
                    <w10:wrap anchorx="page" anchory="page"/>
                  </v:rect>
                </w:pict>
              </mc:Fallback>
            </mc:AlternateContent>
          </w:r>
          <w:r>
            <w:rPr>
              <w:noProof/>
            </w:rPr>
            <mc:AlternateContent>
              <mc:Choice Requires="wps">
                <w:drawing>
                  <wp:anchor distT="0" distB="0" distL="114300" distR="114300" simplePos="0" relativeHeight="251693056" behindDoc="0" locked="0" layoutInCell="0" allowOverlap="1">
                    <wp:simplePos x="0" y="0"/>
                    <wp:positionH relativeFrom="page">
                      <wp:align>left</wp:align>
                    </wp:positionH>
                    <mc:AlternateContent>
                      <mc:Choice Requires="wp14">
                        <wp:positionV relativeFrom="page">
                          <wp14:pctPosVOffset>25000</wp14:pctPosVOffset>
                        </wp:positionV>
                      </mc:Choice>
                      <mc:Fallback>
                        <wp:positionV relativeFrom="page">
                          <wp:posOffset>2672080</wp:posOffset>
                        </wp:positionV>
                      </mc:Fallback>
                    </mc:AlternateContent>
                    <wp:extent cx="6782435" cy="1155700"/>
                    <wp:effectExtent l="0" t="0" r="13970" b="25400"/>
                    <wp:wrapNone/>
                    <wp:docPr id="210"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82435" cy="1155700"/>
                            </a:xfrm>
                            <a:prstGeom prst="rect">
                              <a:avLst/>
                            </a:prstGeom>
                            <a:solidFill>
                              <a:schemeClr val="accent2">
                                <a:lumMod val="100000"/>
                                <a:lumOff val="0"/>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txbx>
                            <w:txbxContent>
                              <w:sdt>
                                <w:sdtPr>
                                  <w:rPr>
                                    <w:rFonts w:ascii="Myriad Pro" w:eastAsiaTheme="majorEastAsia" w:hAnsi="Myriad Pro" w:cstheme="majorBidi"/>
                                    <w:color w:val="FFFFFF" w:themeColor="background1"/>
                                    <w:sz w:val="72"/>
                                    <w:szCs w:val="72"/>
                                    <w:lang w:val="sr-Latn-CS"/>
                                  </w:rPr>
                                  <w:alias w:val="Title"/>
                                  <w:id w:val="14425977"/>
                                  <w:dataBinding w:prefixMappings="xmlns:ns0='http://schemas.openxmlformats.org/package/2006/metadata/core-properties' xmlns:ns1='http://purl.org/dc/elements/1.1/'" w:xpath="/ns0:coreProperties[1]/ns1:title[1]" w:storeItemID="{6C3C8BC8-F283-45AE-878A-BAB7291924A1}"/>
                                  <w:text/>
                                </w:sdtPr>
                                <w:sdtContent>
                                  <w:p w:rsidR="00762EAE" w:rsidRPr="009E5FFD" w:rsidRDefault="00762EAE" w:rsidP="003210B8">
                                    <w:pPr>
                                      <w:pStyle w:val="NoSpacing"/>
                                      <w:jc w:val="center"/>
                                      <w:rPr>
                                        <w:rFonts w:asciiTheme="majorHAnsi" w:eastAsiaTheme="majorEastAsia" w:hAnsiTheme="majorHAnsi" w:cstheme="majorBidi"/>
                                        <w:color w:val="FFFFFF" w:themeColor="background1"/>
                                        <w:sz w:val="72"/>
                                        <w:szCs w:val="72"/>
                                        <w:lang w:val="sr-Latn-CS"/>
                                      </w:rPr>
                                    </w:pPr>
                                    <w:r>
                                      <w:rPr>
                                        <w:rFonts w:ascii="Myriad Pro" w:eastAsiaTheme="majorEastAsia" w:hAnsi="Myriad Pro" w:cstheme="majorBidi"/>
                                        <w:color w:val="FFFFFF" w:themeColor="background1"/>
                                        <w:sz w:val="72"/>
                                        <w:szCs w:val="72"/>
                                        <w:lang w:val="sr-Latn-CS"/>
                                      </w:rPr>
                                      <w:t>Informacija</w:t>
                                    </w:r>
                                    <w:r w:rsidRPr="008B2A0F">
                                      <w:rPr>
                                        <w:rFonts w:ascii="Myriad Pro" w:eastAsiaTheme="majorEastAsia" w:hAnsi="Myriad Pro" w:cstheme="majorBidi"/>
                                        <w:color w:val="FFFFFF" w:themeColor="background1"/>
                                        <w:sz w:val="72"/>
                                        <w:szCs w:val="72"/>
                                        <w:lang w:val="sr-Latn-CS"/>
                                      </w:rPr>
                                      <w:t xml:space="preserve"> o stanju životne sredine</w:t>
                                    </w:r>
                                    <w:r>
                                      <w:rPr>
                                        <w:rFonts w:ascii="Myriad Pro" w:eastAsiaTheme="majorEastAsia" w:hAnsi="Myriad Pro" w:cstheme="majorBidi"/>
                                        <w:color w:val="FFFFFF" w:themeColor="background1"/>
                                        <w:sz w:val="72"/>
                                        <w:szCs w:val="72"/>
                                        <w:lang w:val="sr-Latn-CS"/>
                                      </w:rPr>
                                      <w:t xml:space="preserve"> u Crnoj Gori za 2013.godinu                    </w:t>
                                    </w:r>
                                  </w:p>
                                </w:sdtContent>
                              </w:sdt>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id="Rectangle 18" o:spid="_x0000_s1027" style="position:absolute;left:0;text-align:left;margin-left:0;margin-top:0;width:534.05pt;height:91pt;z-index:251693056;visibility:visible;mso-wrap-style:square;mso-width-percent:900;mso-height-percent:73;mso-top-percent:250;mso-wrap-distance-left:9pt;mso-wrap-distance-top:0;mso-wrap-distance-right:9pt;mso-wrap-distance-bottom:0;mso-position-horizontal:left;mso-position-horizontal-relative:page;mso-position-vertical-relative:page;mso-width-percent:900;mso-height-percent:73;mso-top-percent:2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" o:allowincell="f" fillcolor="#bf83d7 [3205]" strokecolor="white [3212]" strokeweight="1pt">
                    <v:shadow color="#d8d8d8 [2732]" offset="3pt,3pt"/>
                    <v:textbox style="mso-fit-shape-to-text:t" inset="14.4pt,,14.4pt">
                      <w:txbxContent>
                        <w:sdt>
                          <w:sdtPr>
                            <w:rPr>
                              <w:rFonts w:ascii="Myriad Pro" w:eastAsiaTheme="majorEastAsia" w:hAnsi="Myriad Pro" w:cstheme="majorBidi"/>
                              <w:color w:val="FFFFFF" w:themeColor="background1"/>
                              <w:sz w:val="72"/>
                              <w:szCs w:val="72"/>
                              <w:lang w:val="sr-Latn-CS"/>
                            </w:rPr>
                            <w:alias w:val="Title"/>
                            <w:id w:val="14425977"/>
                            <w:dataBinding w:prefixMappings="xmlns:ns0='http://schemas.openxmlformats.org/package/2006/metadata/core-properties' xmlns:ns1='http://purl.org/dc/elements/1.1/'" w:xpath="/ns0:coreProperties[1]/ns1:title[1]" w:storeItemID="{6C3C8BC8-F283-45AE-878A-BAB7291924A1}"/>
                            <w:text/>
                          </w:sdtPr>
                          <w:sdtContent>
                            <w:p w:rsidR="00762EAE" w:rsidRPr="009E5FFD" w:rsidRDefault="00762EAE" w:rsidP="003210B8">
                              <w:pPr>
                                <w:pStyle w:val="NoSpacing"/>
                                <w:jc w:val="center"/>
                                <w:rPr>
                                  <w:rFonts w:asciiTheme="majorHAnsi" w:eastAsiaTheme="majorEastAsia" w:hAnsiTheme="majorHAnsi" w:cstheme="majorBidi"/>
                                  <w:color w:val="FFFFFF" w:themeColor="background1"/>
                                  <w:sz w:val="72"/>
                                  <w:szCs w:val="72"/>
                                  <w:lang w:val="sr-Latn-CS"/>
                                </w:rPr>
                              </w:pPr>
                              <w:r>
                                <w:rPr>
                                  <w:rFonts w:ascii="Myriad Pro" w:eastAsiaTheme="majorEastAsia" w:hAnsi="Myriad Pro" w:cstheme="majorBidi"/>
                                  <w:color w:val="FFFFFF" w:themeColor="background1"/>
                                  <w:sz w:val="72"/>
                                  <w:szCs w:val="72"/>
                                  <w:lang w:val="sr-Latn-CS"/>
                                </w:rPr>
                                <w:t>Informacija</w:t>
                              </w:r>
                              <w:r w:rsidRPr="008B2A0F">
                                <w:rPr>
                                  <w:rFonts w:ascii="Myriad Pro" w:eastAsiaTheme="majorEastAsia" w:hAnsi="Myriad Pro" w:cstheme="majorBidi"/>
                                  <w:color w:val="FFFFFF" w:themeColor="background1"/>
                                  <w:sz w:val="72"/>
                                  <w:szCs w:val="72"/>
                                  <w:lang w:val="sr-Latn-CS"/>
                                </w:rPr>
                                <w:t xml:space="preserve"> o stanju životne sredine</w:t>
                              </w:r>
                              <w:r>
                                <w:rPr>
                                  <w:rFonts w:ascii="Myriad Pro" w:eastAsiaTheme="majorEastAsia" w:hAnsi="Myriad Pro" w:cstheme="majorBidi"/>
                                  <w:color w:val="FFFFFF" w:themeColor="background1"/>
                                  <w:sz w:val="72"/>
                                  <w:szCs w:val="72"/>
                                  <w:lang w:val="sr-Latn-CS"/>
                                </w:rPr>
                                <w:t xml:space="preserve"> u Crnoj Gori za 2013.godinu                    </w:t>
                              </w:r>
                            </w:p>
                          </w:sdtContent>
                        </w:sdt>
                      </w:txbxContent>
                    </v:textbox>
                    <w10:wrap anchorx="page" anchory="page"/>
                  </v:rect>
                </w:pict>
              </mc:Fallback>
            </mc:AlternateContent>
          </w:r>
        </w:p>
        <w:p w:rsidR="009E4056" w:rsidRPr="007F4CD4" w:rsidRDefault="00A3583C" w:rsidP="007F4CD4">
          <w:pPr>
            <w:spacing w:after="0"/>
            <w:jc w:val="left"/>
            <w:rPr>
              <w:noProof/>
              <w:lang w:val="sr-Latn-CS"/>
            </w:rPr>
          </w:pPr>
          <w:r>
            <w:rPr>
              <w:noProof/>
            </w:rPr>
            <w:drawing>
              <wp:anchor distT="0" distB="0" distL="114300" distR="114300" simplePos="0" relativeHeight="251692032" behindDoc="0" locked="0" layoutInCell="0" allowOverlap="1">
                <wp:simplePos x="0" y="0"/>
                <wp:positionH relativeFrom="page">
                  <wp:align>right</wp:align>
                </wp:positionH>
                <wp:positionV relativeFrom="page">
                  <wp:posOffset>3200400</wp:posOffset>
                </wp:positionV>
                <wp:extent cx="5740628" cy="5414839"/>
                <wp:effectExtent l="19050" t="19050" r="12700" b="14605"/>
                <wp:wrapNone/>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ion.jpg"/>
                        <pic:cNvPicPr/>
                      </pic:nvPicPr>
                      <pic:blipFill>
                        <a:blip r:embed="rId11">
                          <a:extLst>
                            <a:ext uri="{28A0092B-C50C-407E-A947-70E740481C1C}">
                              <a14:useLocalDpi xmlns:a14="http://schemas.microsoft.com/office/drawing/2010/main" val="0"/>
                            </a:ext>
                          </a:extLst>
                        </a:blip>
                        <a:stretch>
                          <a:fillRect/>
                        </a:stretch>
                      </pic:blipFill>
                      <pic:spPr>
                        <a:xfrm>
                          <a:off x="0" y="0"/>
                          <a:ext cx="5726866" cy="5401858"/>
                        </a:xfrm>
                        <a:prstGeom prst="rect">
                          <a:avLst/>
                        </a:prstGeom>
                        <a:ln w="12700">
                          <a:solidFill>
                            <a:schemeClr val="bg1"/>
                          </a:solidFill>
                        </a:ln>
                      </pic:spPr>
                    </pic:pic>
                  </a:graphicData>
                </a:graphic>
              </wp:anchor>
            </w:drawing>
          </w:r>
          <w:r w:rsidR="009F3E70">
            <w:rPr>
              <w:noProof/>
            </w:rPr>
            <mc:AlternateContent>
              <mc:Choice Requires="wps">
                <w:drawing>
                  <wp:anchor distT="0" distB="0" distL="114300" distR="114300" simplePos="0" relativeHeight="251689984" behindDoc="0" locked="0" layoutInCell="0" allowOverlap="1">
                    <wp:simplePos x="0" y="0"/>
                    <wp:positionH relativeFrom="page">
                      <wp:posOffset>4537075</wp:posOffset>
                    </wp:positionH>
                    <wp:positionV relativeFrom="margin">
                      <wp:posOffset>6292215</wp:posOffset>
                    </wp:positionV>
                    <wp:extent cx="3018155" cy="3011170"/>
                    <wp:effectExtent l="0" t="0" r="0" b="0"/>
                    <wp:wrapNone/>
                    <wp:docPr id="209"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8155" cy="3011170"/>
                            </a:xfrm>
                            <a:prstGeom prst="rect">
                              <a:avLst/>
                            </a:prstGeom>
                            <a:noFill/>
                            <a:ln>
                              <a:noFill/>
                            </a:ln>
                            <a:effectLst/>
                            <a:extLst>
                              <a:ext uri="{909E8E84-426E-40DD-AFC4-6F175D3DCCD1}">
                                <a14:hiddenFill xmlns:a14="http://schemas.microsoft.com/office/drawing/2010/main">
                                  <a:solidFill>
                                    <a:schemeClr val="bg1">
                                      <a:lumMod val="100000"/>
                                      <a:lumOff val="0"/>
                                      <a:alpha val="80000"/>
                                    </a:schemeClr>
                                  </a:solidFill>
                                </a14:hiddenFill>
                              </a:ext>
                              <a:ext uri="{91240B29-F687-4F45-9708-019B960494DF}">
                                <a14:hiddenLine xmlns:a14="http://schemas.microsoft.com/office/drawing/2010/main" w="12700">
                                  <a:solidFill>
                                    <a:schemeClr val="bg1">
                                      <a:lumMod val="100000"/>
                                      <a:lumOff val="0"/>
                                    </a:schemeClr>
                                  </a:solidFill>
                                  <a:miter lim="800000"/>
                                  <a:headEnd/>
                                  <a:tailEnd/>
                                </a14:hiddenLine>
                              </a:ext>
                              <a:ext uri="{AF507438-7753-43E0-B8FC-AC1667EBCBE1}">
                                <a14:hiddenEffects xmlns:a14="http://schemas.microsoft.com/office/drawing/2010/main">
                                  <a:effectLst/>
                                </a14:hiddenEffects>
                              </a:ext>
                            </a:extLst>
                          </wps:spPr>
                          <wps:txbx>
                            <w:txbxContent>
                              <w:sdt>
                                <w:sdtPr>
                                  <w:rPr>
                                    <w:rFonts w:ascii="Myriad Pro" w:hAnsi="Myriad Pro"/>
                                    <w:b/>
                                    <w:color w:val="FFFFFF" w:themeColor="background1"/>
                                    <w:lang w:val="sr-Latn-CS"/>
                                  </w:rPr>
                                  <w:alias w:val="Company"/>
                                  <w:id w:val="14425979"/>
                                  <w:dataBinding w:prefixMappings="xmlns:ns0='http://schemas.openxmlformats.org/officeDocument/2006/extended-properties'" w:xpath="/ns0:Properties[1]/ns0:Company[1]" w:storeItemID="{6668398D-A668-4E3E-A5EB-62B293D839F1}"/>
                                  <w:text/>
                                </w:sdtPr>
                                <w:sdtContent>
                                  <w:p w:rsidR="00762EAE" w:rsidRPr="00B64F56" w:rsidRDefault="00762EAE">
                                    <w:pPr>
                                      <w:pStyle w:val="NoSpacing"/>
                                      <w:spacing w:line="360" w:lineRule="auto"/>
                                      <w:rPr>
                                        <w:rFonts w:ascii="Myriad Pro" w:hAnsi="Myriad Pro"/>
                                        <w:b/>
                                        <w:color w:val="FFFFFF" w:themeColor="background1"/>
                                        <w:lang w:val="sr-Latn-CS"/>
                                      </w:rPr>
                                    </w:pPr>
                                    <w:r>
                                      <w:rPr>
                                        <w:rFonts w:ascii="Myriad Pro" w:hAnsi="Myriad Pro"/>
                                        <w:b/>
                                        <w:color w:val="FFFFFF" w:themeColor="background1"/>
                                      </w:rPr>
                                      <w:t>Agencija za zaštitu životne sredine</w:t>
                                    </w:r>
                                  </w:p>
                                </w:sdtContent>
                              </w:sdt>
                              <w:sdt>
                                <w:sdtPr>
                                  <w:rPr>
                                    <w:rFonts w:ascii="Myriad Pro" w:hAnsi="Myriad Pro"/>
                                    <w:b/>
                                    <w:color w:val="FFFFFF" w:themeColor="background1"/>
                                    <w:lang w:val="sr-Latn-CS"/>
                                  </w:rPr>
                                  <w:alias w:val="Date"/>
                                  <w:id w:val="14425980"/>
                                  <w:dataBinding w:prefixMappings="xmlns:ns0='http://schemas.microsoft.com/office/2006/coverPageProps'" w:xpath="/ns0:CoverPageProperties[1]/ns0:PublishDate[1]" w:storeItemID="{55AF091B-3C7A-41E3-B477-F2FDAA23CFDA}"/>
                                  <w:date w:fullDate="2014-06-01T00:00:00Z">
                                    <w:dateFormat w:val="M/d/yyyy"/>
                                    <w:lid w:val="en-US"/>
                                    <w:storeMappedDataAs w:val="dateTime"/>
                                    <w:calendar w:val="gregorian"/>
                                  </w:date>
                                </w:sdtPr>
                                <w:sdtContent>
                                  <w:p w:rsidR="00762EAE" w:rsidRPr="00C3118E" w:rsidRDefault="00762EAE">
                                    <w:pPr>
                                      <w:pStyle w:val="NoSpacing"/>
                                      <w:spacing w:line="360" w:lineRule="auto"/>
                                      <w:rPr>
                                        <w:color w:val="FFFFFF" w:themeColor="background1"/>
                                        <w:lang w:val="sr-Latn-CS"/>
                                      </w:rPr>
                                    </w:pPr>
                                    <w:r>
                                      <w:rPr>
                                        <w:rFonts w:ascii="Myriad Pro" w:hAnsi="Myriad Pro"/>
                                        <w:b/>
                                        <w:color w:val="FFFFFF" w:themeColor="background1"/>
                                      </w:rPr>
                                      <w:t>6/1/2014</w:t>
                                    </w:r>
                                  </w:p>
                                </w:sdtContent>
                              </w:sdt>
                            </w:txbxContent>
                          </wps:txbx>
                          <wps:bodyPr rot="0" vert="horz" wrap="square" lIns="365760" tIns="182880" rIns="182880" bIns="182880" anchor="b" anchorCtr="0" upright="1">
                            <a:noAutofit/>
                          </wps:bodyPr>
                        </wps:wsp>
                      </a:graphicData>
                    </a:graphic>
                    <wp14:sizeRelH relativeFrom="page">
                      <wp14:pctWidth>40000</wp14:pctWidth>
                    </wp14:sizeRelH>
                    <wp14:sizeRelV relativeFrom="page">
                      <wp14:pctHeight>0</wp14:pctHeight>
                    </wp14:sizeRelV>
                  </wp:anchor>
                </w:drawing>
              </mc:Choice>
              <mc:Fallback>
                <w:pict>
                  <v:rect id="Rectangle 17" o:spid="_x0000_s1028" style="position:absolute;margin-left:357.25pt;margin-top:495.45pt;width:237.65pt;height:237.1pt;z-index:251689984;visibility:visible;mso-wrap-style:square;mso-width-percent:400;mso-height-percent:0;mso-wrap-distance-left:9pt;mso-wrap-distance-top:0;mso-wrap-distance-right:9pt;mso-wrap-distance-bottom:0;mso-position-horizontal:absolute;mso-position-horizontal-relative:page;mso-position-vertical:absolute;mso-position-vertical-relative:margin;mso-width-percent:40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" o:allowincell="f" filled="f" fillcolor="white [3212]" stroked="f" strokecolor="white [3212]" strokeweight="1pt">
                    <v:fill opacity="52428f"/>
                    <v:textbox inset="28.8pt,14.4pt,14.4pt,14.4pt">
                      <w:txbxContent>
                        <w:sdt>
                          <w:sdtPr>
                            <w:rPr>
                              <w:rFonts w:ascii="Myriad Pro" w:hAnsi="Myriad Pro"/>
                              <w:b/>
                              <w:color w:val="FFFFFF" w:themeColor="background1"/>
                              <w:lang w:val="sr-Latn-CS"/>
                            </w:rPr>
                            <w:alias w:val="Company"/>
                            <w:id w:val="14425979"/>
                            <w:dataBinding w:prefixMappings="xmlns:ns0='http://schemas.openxmlformats.org/officeDocument/2006/extended-properties'" w:xpath="/ns0:Properties[1]/ns0:Company[1]" w:storeItemID="{6668398D-A668-4E3E-A5EB-62B293D839F1}"/>
                            <w:text/>
                          </w:sdtPr>
                          <w:sdtContent>
                            <w:p w:rsidR="00762EAE" w:rsidRPr="00B64F56" w:rsidRDefault="00762EAE">
                              <w:pPr>
                                <w:pStyle w:val="NoSpacing"/>
                                <w:spacing w:line="360" w:lineRule="auto"/>
                                <w:rPr>
                                  <w:rFonts w:ascii="Myriad Pro" w:hAnsi="Myriad Pro"/>
                                  <w:b/>
                                  <w:color w:val="FFFFFF" w:themeColor="background1"/>
                                  <w:lang w:val="sr-Latn-CS"/>
                                </w:rPr>
                              </w:pPr>
                              <w:r>
                                <w:rPr>
                                  <w:rFonts w:ascii="Myriad Pro" w:hAnsi="Myriad Pro"/>
                                  <w:b/>
                                  <w:color w:val="FFFFFF" w:themeColor="background1"/>
                                </w:rPr>
                                <w:t>Agencija za zaštitu životne sredine</w:t>
                              </w:r>
                            </w:p>
                          </w:sdtContent>
                        </w:sdt>
                        <w:sdt>
                          <w:sdtPr>
                            <w:rPr>
                              <w:rFonts w:ascii="Myriad Pro" w:hAnsi="Myriad Pro"/>
                              <w:b/>
                              <w:color w:val="FFFFFF" w:themeColor="background1"/>
                              <w:lang w:val="sr-Latn-CS"/>
                            </w:rPr>
                            <w:alias w:val="Date"/>
                            <w:id w:val="14425980"/>
                            <w:dataBinding w:prefixMappings="xmlns:ns0='http://schemas.microsoft.com/office/2006/coverPageProps'" w:xpath="/ns0:CoverPageProperties[1]/ns0:PublishDate[1]" w:storeItemID="{55AF091B-3C7A-41E3-B477-F2FDAA23CFDA}"/>
                            <w:date w:fullDate="2014-06-01T00:00:00Z">
                              <w:dateFormat w:val="M/d/yyyy"/>
                              <w:lid w:val="en-US"/>
                              <w:storeMappedDataAs w:val="dateTime"/>
                              <w:calendar w:val="gregorian"/>
                            </w:date>
                          </w:sdtPr>
                          <w:sdtContent>
                            <w:p w:rsidR="00762EAE" w:rsidRPr="00C3118E" w:rsidRDefault="00762EAE">
                              <w:pPr>
                                <w:pStyle w:val="NoSpacing"/>
                                <w:spacing w:line="360" w:lineRule="auto"/>
                                <w:rPr>
                                  <w:color w:val="FFFFFF" w:themeColor="background1"/>
                                  <w:lang w:val="sr-Latn-CS"/>
                                </w:rPr>
                              </w:pPr>
                              <w:r>
                                <w:rPr>
                                  <w:rFonts w:ascii="Myriad Pro" w:hAnsi="Myriad Pro"/>
                                  <w:b/>
                                  <w:color w:val="FFFFFF" w:themeColor="background1"/>
                                </w:rPr>
                                <w:t>6/1/2014</w:t>
                              </w:r>
                            </w:p>
                          </w:sdtContent>
                        </w:sdt>
                      </w:txbxContent>
                    </v:textbox>
                    <w10:wrap anchorx="page" anchory="margin"/>
                  </v:rect>
                </w:pict>
              </mc:Fallback>
            </mc:AlternateContent>
          </w:r>
          <w:r w:rsidR="009E4056" w:rsidRPr="007F4CD4">
            <w:rPr>
              <w:noProof/>
              <w:lang w:val="sr-Latn-CS"/>
            </w:rPr>
            <w:br w:type="page"/>
          </w:r>
        </w:p>
      </w:sdtContent>
    </w:sdt>
    <w:p w:rsidR="009E4056" w:rsidRPr="007F4CD4" w:rsidRDefault="009E4056">
      <w:pPr>
        <w:spacing w:after="0"/>
        <w:jc w:val="left"/>
        <w:rPr>
          <w:lang w:val="sr-Latn-CS"/>
        </w:rPr>
      </w:pPr>
    </w:p>
    <w:p w:rsidR="009E4056" w:rsidRPr="007F4CD4" w:rsidRDefault="009E4056" w:rsidP="00C027E4">
      <w:pPr>
        <w:rPr>
          <w:lang w:val="sr-Latn-CS"/>
        </w:rPr>
      </w:pPr>
    </w:p>
    <w:p w:rsidR="003E705B" w:rsidRPr="007F4CD4" w:rsidRDefault="003E705B" w:rsidP="00C027E4">
      <w:pPr>
        <w:jc w:val="center"/>
        <w:rPr>
          <w:lang w:val="sr-Latn-CS"/>
        </w:rPr>
      </w:pPr>
      <w:r w:rsidRPr="007F4CD4">
        <w:rPr>
          <w:noProof/>
        </w:rPr>
        <w:drawing>
          <wp:inline distT="0" distB="0" distL="0" distR="0">
            <wp:extent cx="782535" cy="892904"/>
            <wp:effectExtent l="19050" t="0" r="0" b="0"/>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784207" cy="894812"/>
                    </a:xfrm>
                    <a:prstGeom prst="rect">
                      <a:avLst/>
                    </a:prstGeom>
                    <a:noFill/>
                    <a:ln w="9525">
                      <a:noFill/>
                      <a:miter lim="800000"/>
                      <a:headEnd/>
                      <a:tailEnd/>
                    </a:ln>
                  </pic:spPr>
                </pic:pic>
              </a:graphicData>
            </a:graphic>
          </wp:inline>
        </w:drawing>
      </w:r>
    </w:p>
    <w:p w:rsidR="003E705B" w:rsidRPr="007F4CD4" w:rsidRDefault="003E705B" w:rsidP="003E705B">
      <w:pPr>
        <w:rPr>
          <w:lang w:val="sr-Latn-CS"/>
        </w:rPr>
      </w:pPr>
    </w:p>
    <w:p w:rsidR="003E705B" w:rsidRPr="007F4CD4" w:rsidRDefault="003E705B" w:rsidP="003E705B">
      <w:pPr>
        <w:jc w:val="center"/>
        <w:rPr>
          <w:b/>
          <w:sz w:val="32"/>
          <w:lang w:val="sr-Latn-CS"/>
        </w:rPr>
      </w:pPr>
      <w:r w:rsidRPr="007F4CD4">
        <w:rPr>
          <w:b/>
          <w:sz w:val="32"/>
          <w:lang w:val="sr-Latn-CS"/>
        </w:rPr>
        <w:t>Crna Gora</w:t>
      </w:r>
    </w:p>
    <w:p w:rsidR="003E705B" w:rsidRPr="007F4CD4" w:rsidRDefault="003E705B" w:rsidP="00C027E4">
      <w:pPr>
        <w:rPr>
          <w:lang w:val="sr-Latn-CS"/>
        </w:rPr>
      </w:pPr>
    </w:p>
    <w:p w:rsidR="003E705B" w:rsidRPr="00251C2E" w:rsidRDefault="003E705B" w:rsidP="00C027E4">
      <w:pPr>
        <w:jc w:val="center"/>
        <w:rPr>
          <w:lang w:val="sr-Latn-ME"/>
        </w:rPr>
      </w:pPr>
      <w:r w:rsidRPr="007F4CD4">
        <w:rPr>
          <w:lang w:val="sr-Latn-CS"/>
        </w:rPr>
        <w:t xml:space="preserve">Ministarstvo </w:t>
      </w:r>
      <w:r w:rsidR="00251C2E">
        <w:rPr>
          <w:lang w:val="sr-Latn-CS"/>
        </w:rPr>
        <w:t>odr</w:t>
      </w:r>
      <w:r w:rsidR="00251C2E">
        <w:rPr>
          <w:lang w:val="sr-Latn-ME"/>
        </w:rPr>
        <w:t>živog razvoja i turizma</w:t>
      </w:r>
    </w:p>
    <w:p w:rsidR="003E705B" w:rsidRPr="007F4CD4" w:rsidRDefault="003E705B" w:rsidP="003E705B">
      <w:pPr>
        <w:jc w:val="center"/>
        <w:rPr>
          <w:b/>
          <w:sz w:val="32"/>
          <w:lang w:val="sr-Latn-CS"/>
        </w:rPr>
      </w:pPr>
    </w:p>
    <w:p w:rsidR="003E705B" w:rsidRPr="007F4CD4" w:rsidRDefault="003E705B" w:rsidP="003E705B">
      <w:pPr>
        <w:jc w:val="center"/>
        <w:rPr>
          <w:b/>
          <w:sz w:val="32"/>
          <w:lang w:val="sr-Latn-CS"/>
        </w:rPr>
      </w:pPr>
      <w:r w:rsidRPr="007F4CD4">
        <w:rPr>
          <w:b/>
          <w:sz w:val="32"/>
          <w:lang w:val="sr-Latn-CS"/>
        </w:rPr>
        <w:t>Agencija za zaštitu životne sredine</w:t>
      </w:r>
    </w:p>
    <w:p w:rsidR="003E705B" w:rsidRPr="007F4CD4" w:rsidRDefault="003E705B" w:rsidP="00C027E4">
      <w:pPr>
        <w:rPr>
          <w:lang w:val="sr-Latn-CS"/>
        </w:rPr>
      </w:pPr>
    </w:p>
    <w:p w:rsidR="003E705B" w:rsidRPr="007F4CD4" w:rsidRDefault="003E705B" w:rsidP="00C027E4">
      <w:pPr>
        <w:rPr>
          <w:lang w:val="sr-Latn-CS"/>
        </w:rPr>
      </w:pPr>
    </w:p>
    <w:p w:rsidR="003E705B" w:rsidRPr="007F4CD4" w:rsidRDefault="003E705B" w:rsidP="00C027E4">
      <w:pPr>
        <w:rPr>
          <w:lang w:val="sr-Latn-CS"/>
        </w:rPr>
      </w:pPr>
    </w:p>
    <w:p w:rsidR="003E705B" w:rsidRPr="007F4CD4" w:rsidRDefault="003E705B" w:rsidP="00C027E4">
      <w:pPr>
        <w:rPr>
          <w:lang w:val="sr-Latn-CS"/>
        </w:rPr>
      </w:pPr>
    </w:p>
    <w:p w:rsidR="003E705B" w:rsidRPr="007F4CD4" w:rsidRDefault="003E705B" w:rsidP="00C027E4">
      <w:pPr>
        <w:rPr>
          <w:lang w:val="sr-Latn-CS"/>
        </w:rPr>
      </w:pPr>
    </w:p>
    <w:p w:rsidR="003E705B" w:rsidRPr="007F4CD4" w:rsidRDefault="003E705B" w:rsidP="00C027E4">
      <w:pPr>
        <w:rPr>
          <w:lang w:val="sr-Latn-CS"/>
        </w:rPr>
      </w:pPr>
    </w:p>
    <w:p w:rsidR="003E705B" w:rsidRDefault="00FB0840" w:rsidP="00C027E4">
      <w:pPr>
        <w:spacing w:line="360" w:lineRule="auto"/>
        <w:jc w:val="center"/>
        <w:rPr>
          <w:sz w:val="48"/>
          <w:lang w:val="sr-Latn-CS"/>
        </w:rPr>
      </w:pPr>
      <w:r>
        <w:rPr>
          <w:sz w:val="48"/>
          <w:lang w:val="sr-Latn-CS"/>
        </w:rPr>
        <w:t>Informacija</w:t>
      </w:r>
      <w:r w:rsidR="003E705B" w:rsidRPr="00C027E4">
        <w:rPr>
          <w:sz w:val="48"/>
          <w:lang w:val="sr-Latn-CS"/>
        </w:rPr>
        <w:t xml:space="preserve"> o stanju živo</w:t>
      </w:r>
      <w:r w:rsidR="001373F7">
        <w:rPr>
          <w:sz w:val="48"/>
          <w:lang w:val="sr-Latn-CS"/>
        </w:rPr>
        <w:t>tne sredine u Crnoj Gori za 2013</w:t>
      </w:r>
      <w:r w:rsidR="003E705B" w:rsidRPr="00C027E4">
        <w:rPr>
          <w:sz w:val="48"/>
          <w:lang w:val="sr-Latn-CS"/>
        </w:rPr>
        <w:t xml:space="preserve">. </w:t>
      </w:r>
      <w:r w:rsidR="00E057B4">
        <w:rPr>
          <w:sz w:val="48"/>
          <w:lang w:val="sr-Latn-CS"/>
        </w:rPr>
        <w:t>g</w:t>
      </w:r>
      <w:r w:rsidR="003E705B" w:rsidRPr="00C027E4">
        <w:rPr>
          <w:sz w:val="48"/>
          <w:lang w:val="sr-Latn-CS"/>
        </w:rPr>
        <w:t>odinu</w:t>
      </w:r>
    </w:p>
    <w:p w:rsidR="00E057B4" w:rsidRPr="00C027E4" w:rsidRDefault="00E057B4" w:rsidP="00C027E4">
      <w:pPr>
        <w:spacing w:line="360" w:lineRule="auto"/>
        <w:jc w:val="center"/>
        <w:rPr>
          <w:sz w:val="48"/>
          <w:lang w:val="sr-Latn-CS"/>
        </w:rPr>
      </w:pPr>
      <w:r>
        <w:rPr>
          <w:sz w:val="48"/>
          <w:lang w:val="sr-Latn-CS"/>
        </w:rPr>
        <w:t>(</w:t>
      </w:r>
      <w:r w:rsidRPr="00E057B4">
        <w:rPr>
          <w:sz w:val="32"/>
          <w:szCs w:val="32"/>
          <w:lang w:val="sr-Latn-CS"/>
        </w:rPr>
        <w:t>sa Prijedlogom mjera za unaprjeđenje stanja životne sredine i Akcionim planom</w:t>
      </w:r>
      <w:r>
        <w:rPr>
          <w:sz w:val="48"/>
          <w:lang w:val="sr-Latn-CS"/>
        </w:rPr>
        <w:t>)</w:t>
      </w:r>
    </w:p>
    <w:p w:rsidR="003E705B" w:rsidRPr="007F4CD4" w:rsidRDefault="003E705B" w:rsidP="00C027E4">
      <w:pPr>
        <w:rPr>
          <w:lang w:val="sr-Latn-CS"/>
        </w:rPr>
      </w:pPr>
    </w:p>
    <w:p w:rsidR="003E705B" w:rsidRPr="007F4CD4" w:rsidRDefault="003E705B" w:rsidP="00C027E4">
      <w:pPr>
        <w:rPr>
          <w:lang w:val="sr-Latn-CS"/>
        </w:rPr>
      </w:pPr>
    </w:p>
    <w:p w:rsidR="003E705B" w:rsidRPr="007F4CD4" w:rsidRDefault="003E705B" w:rsidP="00C027E4">
      <w:pPr>
        <w:rPr>
          <w:lang w:val="sr-Latn-CS"/>
        </w:rPr>
      </w:pPr>
    </w:p>
    <w:p w:rsidR="003E705B" w:rsidRPr="007F4CD4" w:rsidRDefault="003E705B" w:rsidP="00C027E4">
      <w:pPr>
        <w:rPr>
          <w:lang w:val="sr-Latn-CS"/>
        </w:rPr>
      </w:pPr>
    </w:p>
    <w:p w:rsidR="003E705B" w:rsidRPr="007F4CD4" w:rsidRDefault="003E705B" w:rsidP="00C027E4">
      <w:pPr>
        <w:rPr>
          <w:lang w:val="sr-Latn-CS"/>
        </w:rPr>
      </w:pPr>
    </w:p>
    <w:p w:rsidR="003E705B" w:rsidRPr="007F4CD4" w:rsidRDefault="003E705B" w:rsidP="00C027E4">
      <w:pPr>
        <w:rPr>
          <w:lang w:val="sr-Latn-CS"/>
        </w:rPr>
      </w:pPr>
    </w:p>
    <w:p w:rsidR="003E705B" w:rsidRPr="007F4CD4" w:rsidRDefault="003E705B" w:rsidP="00C027E4">
      <w:pPr>
        <w:rPr>
          <w:lang w:val="sr-Latn-CS"/>
        </w:rPr>
      </w:pPr>
    </w:p>
    <w:p w:rsidR="00C027E4" w:rsidRDefault="00C027E4" w:rsidP="00C027E4">
      <w:pPr>
        <w:rPr>
          <w:lang w:val="sr-Latn-CS"/>
        </w:rPr>
      </w:pPr>
    </w:p>
    <w:p w:rsidR="009E4056" w:rsidRDefault="001373F7" w:rsidP="00C027E4">
      <w:pPr>
        <w:jc w:val="center"/>
        <w:rPr>
          <w:lang w:val="sr-Latn-CS"/>
        </w:rPr>
      </w:pPr>
      <w:r>
        <w:rPr>
          <w:lang w:val="sr-Latn-CS"/>
        </w:rPr>
        <w:t xml:space="preserve">Podgorica, </w:t>
      </w:r>
      <w:r w:rsidR="00E057B4">
        <w:rPr>
          <w:lang w:val="sr-Latn-CS"/>
        </w:rPr>
        <w:t xml:space="preserve">jul </w:t>
      </w:r>
      <w:r>
        <w:rPr>
          <w:lang w:val="sr-Latn-CS"/>
        </w:rPr>
        <w:t>2014</w:t>
      </w:r>
      <w:r w:rsidR="003E705B" w:rsidRPr="007F4CD4">
        <w:rPr>
          <w:lang w:val="sr-Latn-CS"/>
        </w:rPr>
        <w:t xml:space="preserve">. </w:t>
      </w:r>
      <w:r w:rsidR="00D54F2C">
        <w:rPr>
          <w:lang w:val="sr-Latn-CS"/>
        </w:rPr>
        <w:t>g</w:t>
      </w:r>
      <w:r w:rsidR="003E705B" w:rsidRPr="007F4CD4">
        <w:rPr>
          <w:lang w:val="sr-Latn-CS"/>
        </w:rPr>
        <w:t>odine</w:t>
      </w:r>
    </w:p>
    <w:p w:rsidR="00BC4745" w:rsidRDefault="00BC4745" w:rsidP="00C027E4">
      <w:pPr>
        <w:jc w:val="center"/>
        <w:rPr>
          <w:lang w:val="sr-Latn-CS"/>
        </w:rPr>
      </w:pPr>
    </w:p>
    <w:p w:rsidR="00BC4745" w:rsidRDefault="00BC4745" w:rsidP="00C027E4">
      <w:pPr>
        <w:jc w:val="center"/>
        <w:rPr>
          <w:lang w:val="sr-Latn-CS"/>
        </w:rPr>
      </w:pPr>
    </w:p>
    <w:p w:rsidR="00BC4745" w:rsidRPr="004462E5" w:rsidRDefault="00BC4745" w:rsidP="00BC4745">
      <w:pPr>
        <w:rPr>
          <w:b/>
          <w:lang w:val="sr-Latn-CS"/>
        </w:rPr>
      </w:pPr>
      <w:r w:rsidRPr="004462E5">
        <w:rPr>
          <w:b/>
          <w:lang w:val="sr-Latn-CS"/>
        </w:rPr>
        <w:t>Izdavač:</w:t>
      </w:r>
    </w:p>
    <w:p w:rsidR="00BC4745" w:rsidRPr="005F349F" w:rsidRDefault="00BC4745" w:rsidP="00BC4745">
      <w:pPr>
        <w:rPr>
          <w:lang w:val="sr-Latn-CS"/>
        </w:rPr>
      </w:pPr>
      <w:r w:rsidRPr="005F349F">
        <w:rPr>
          <w:lang w:val="sr-Latn-CS"/>
        </w:rPr>
        <w:t xml:space="preserve">Agencija za zaštitu životne sredine Crne Gore </w:t>
      </w:r>
    </w:p>
    <w:p w:rsidR="00BC4745" w:rsidRPr="005F349F" w:rsidRDefault="00BC4745" w:rsidP="00BC4745">
      <w:pPr>
        <w:rPr>
          <w:lang w:val="sr-Latn-CS"/>
        </w:rPr>
      </w:pPr>
    </w:p>
    <w:p w:rsidR="00BC4745" w:rsidRDefault="00BC4745" w:rsidP="00BC4745">
      <w:pPr>
        <w:rPr>
          <w:b/>
          <w:lang w:val="sr-Latn-ME"/>
        </w:rPr>
      </w:pPr>
      <w:r w:rsidRPr="00982889">
        <w:rPr>
          <w:b/>
          <w:lang w:val="sr-Latn-CS"/>
        </w:rPr>
        <w:t xml:space="preserve">Odgovorno </w:t>
      </w:r>
      <w:r w:rsidR="00982889" w:rsidRPr="00982889">
        <w:rPr>
          <w:b/>
          <w:lang w:val="sr-Latn-CS"/>
        </w:rPr>
        <w:t>lice</w:t>
      </w:r>
      <w:r w:rsidR="00982889" w:rsidRPr="00982889">
        <w:rPr>
          <w:b/>
          <w:lang w:val="sr-Latn-ME"/>
        </w:rPr>
        <w:t>:</w:t>
      </w:r>
    </w:p>
    <w:p w:rsidR="00982889" w:rsidRPr="00982889" w:rsidRDefault="00982889" w:rsidP="00BC4745">
      <w:pPr>
        <w:rPr>
          <w:lang w:val="sr-Latn-ME"/>
        </w:rPr>
      </w:pPr>
      <w:r w:rsidRPr="00982889">
        <w:rPr>
          <w:lang w:val="sr-Latn-ME"/>
        </w:rPr>
        <w:t>Ervin Spahić, direktor</w:t>
      </w:r>
    </w:p>
    <w:p w:rsidR="00BC4745" w:rsidRPr="005F349F" w:rsidRDefault="00BC4745" w:rsidP="00BC4745">
      <w:pPr>
        <w:rPr>
          <w:lang w:val="sr-Latn-CS"/>
        </w:rPr>
      </w:pPr>
    </w:p>
    <w:p w:rsidR="00BC4745" w:rsidRPr="004462E5" w:rsidRDefault="00BC4745" w:rsidP="00BC4745">
      <w:pPr>
        <w:rPr>
          <w:b/>
          <w:lang w:val="sr-Latn-CS"/>
        </w:rPr>
      </w:pPr>
      <w:r w:rsidRPr="004462E5">
        <w:rPr>
          <w:b/>
          <w:lang w:val="sr-Latn-CS"/>
        </w:rPr>
        <w:t>Obrađivači:</w:t>
      </w:r>
    </w:p>
    <w:p w:rsidR="00BC4745" w:rsidRPr="005F349F" w:rsidRDefault="00BC4745" w:rsidP="00BC4745">
      <w:pPr>
        <w:rPr>
          <w:lang w:val="sr-Latn-CS"/>
        </w:rPr>
      </w:pPr>
    </w:p>
    <w:p w:rsidR="00BC4745" w:rsidRPr="005F349F" w:rsidRDefault="00BC4745" w:rsidP="00BC4745">
      <w:pPr>
        <w:rPr>
          <w:lang w:val="sr-Latn-CS"/>
        </w:rPr>
      </w:pPr>
      <w:r w:rsidRPr="005F349F">
        <w:rPr>
          <w:lang w:val="sr-Latn-CS"/>
        </w:rPr>
        <w:t>Lidija Šćepanović, dipl. ing. org. tehnologije</w:t>
      </w:r>
    </w:p>
    <w:p w:rsidR="00BC4745" w:rsidRPr="005F349F" w:rsidRDefault="00BC4745" w:rsidP="00BC4745">
      <w:pPr>
        <w:rPr>
          <w:lang w:val="sr-Latn-CS"/>
        </w:rPr>
      </w:pPr>
      <w:r w:rsidRPr="005F349F">
        <w:rPr>
          <w:lang w:val="sr-Latn-CS"/>
        </w:rPr>
        <w:t>Bosiljka Milošević dipl. ing. mašinstva</w:t>
      </w:r>
    </w:p>
    <w:p w:rsidR="00E25F6D" w:rsidRPr="00D54F2C" w:rsidRDefault="00E25F6D" w:rsidP="00BC4745">
      <w:pPr>
        <w:rPr>
          <w:lang w:val="sr-Latn-ME"/>
        </w:rPr>
      </w:pPr>
      <w:r>
        <w:rPr>
          <w:lang w:val="sr-Latn-CS"/>
        </w:rPr>
        <w:t>Sci Nataša Bjelica</w:t>
      </w:r>
      <w:r w:rsidR="00D54F2C">
        <w:rPr>
          <w:lang w:val="sr-Latn-CS"/>
        </w:rPr>
        <w:t>, dipl. fizičar</w:t>
      </w:r>
    </w:p>
    <w:p w:rsidR="00BC4745" w:rsidRPr="005F349F" w:rsidRDefault="00BC4745" w:rsidP="00BC4745">
      <w:pPr>
        <w:rPr>
          <w:lang w:val="sr-Latn-CS"/>
        </w:rPr>
      </w:pPr>
      <w:r w:rsidRPr="005F349F">
        <w:rPr>
          <w:lang w:val="sr-Latn-CS"/>
        </w:rPr>
        <w:t>Mr Gordana Đukanović, dipl. ing. neorg. tehnologije</w:t>
      </w:r>
    </w:p>
    <w:p w:rsidR="00BC4745" w:rsidRDefault="00F5771B" w:rsidP="00BC4745">
      <w:pPr>
        <w:rPr>
          <w:lang w:val="sr-Latn-CS"/>
        </w:rPr>
      </w:pPr>
      <w:r>
        <w:rPr>
          <w:lang w:val="sr-Latn-CS"/>
        </w:rPr>
        <w:t>Mr Milena Bataković, dipl. b</w:t>
      </w:r>
      <w:r w:rsidR="00BC4745" w:rsidRPr="005F349F">
        <w:rPr>
          <w:lang w:val="sr-Latn-CS"/>
        </w:rPr>
        <w:t>iolog</w:t>
      </w:r>
    </w:p>
    <w:p w:rsidR="00BC4745" w:rsidRPr="005F349F" w:rsidRDefault="00BC4745" w:rsidP="00BC4745">
      <w:pPr>
        <w:rPr>
          <w:lang w:val="sr-Latn-CS"/>
        </w:rPr>
      </w:pPr>
      <w:r w:rsidRPr="005F349F">
        <w:rPr>
          <w:lang w:val="sr-Latn-CS"/>
        </w:rPr>
        <w:t>Mr Aleksan</w:t>
      </w:r>
      <w:r>
        <w:rPr>
          <w:lang w:val="sr-Latn-CS"/>
        </w:rPr>
        <w:t>dar Božović dip. ing. pomorstva</w:t>
      </w:r>
    </w:p>
    <w:p w:rsidR="00BC4745" w:rsidRPr="005F349F" w:rsidRDefault="00BC4745" w:rsidP="00BC4745">
      <w:pPr>
        <w:rPr>
          <w:lang w:val="sr-Latn-CS"/>
        </w:rPr>
      </w:pPr>
      <w:r w:rsidRPr="005F349F">
        <w:rPr>
          <w:lang w:val="sr-Latn-CS"/>
        </w:rPr>
        <w:t>Vesna Novaković, dipl. biolog</w:t>
      </w:r>
    </w:p>
    <w:p w:rsidR="00BC4745" w:rsidRPr="005F349F" w:rsidRDefault="00BC4745" w:rsidP="00BC4745">
      <w:pPr>
        <w:rPr>
          <w:lang w:val="sr-Latn-CS"/>
        </w:rPr>
      </w:pPr>
      <w:r w:rsidRPr="005F349F">
        <w:rPr>
          <w:lang w:val="sr-Latn-CS"/>
        </w:rPr>
        <w:t>Ivana Bulatović, dipl. biolog</w:t>
      </w:r>
    </w:p>
    <w:p w:rsidR="00BC4745" w:rsidRPr="005F349F" w:rsidRDefault="00BC4745" w:rsidP="00BC4745">
      <w:pPr>
        <w:rPr>
          <w:lang w:val="sr-Latn-CS"/>
        </w:rPr>
      </w:pPr>
      <w:r w:rsidRPr="005F349F">
        <w:rPr>
          <w:lang w:val="sr-Latn-CS"/>
        </w:rPr>
        <w:t>Irena Tadić, dipl. ing. neorg. tehnologije</w:t>
      </w:r>
    </w:p>
    <w:p w:rsidR="00BC4745" w:rsidRPr="005F349F" w:rsidRDefault="00982889" w:rsidP="00BC4745">
      <w:pPr>
        <w:rPr>
          <w:lang w:val="sr-Latn-CS"/>
        </w:rPr>
      </w:pPr>
      <w:r w:rsidRPr="00982889">
        <w:rPr>
          <w:lang w:val="sr-Latn-CS"/>
        </w:rPr>
        <w:t>mr Sonja Kralj</w:t>
      </w:r>
      <w:r>
        <w:rPr>
          <w:lang w:val="sr-Latn-CS"/>
        </w:rPr>
        <w:t xml:space="preserve">, </w:t>
      </w:r>
      <w:r w:rsidRPr="005F349F">
        <w:rPr>
          <w:lang w:val="sr-Latn-CS"/>
        </w:rPr>
        <w:t>dipl. biolog</w:t>
      </w:r>
    </w:p>
    <w:p w:rsidR="00BC4745" w:rsidRPr="005F349F" w:rsidRDefault="00BC4745" w:rsidP="00BC4745">
      <w:pPr>
        <w:rPr>
          <w:lang w:val="sr-Latn-CS"/>
        </w:rPr>
      </w:pPr>
    </w:p>
    <w:p w:rsidR="00BC4745" w:rsidRPr="004462E5" w:rsidRDefault="00BC4745" w:rsidP="00BC4745">
      <w:pPr>
        <w:rPr>
          <w:b/>
          <w:lang w:val="sr-Latn-CS"/>
        </w:rPr>
      </w:pPr>
      <w:r w:rsidRPr="004462E5">
        <w:rPr>
          <w:b/>
          <w:lang w:val="sr-Latn-CS"/>
        </w:rPr>
        <w:t>Dizajn korica:</w:t>
      </w:r>
    </w:p>
    <w:p w:rsidR="00BC4745" w:rsidRPr="005F349F" w:rsidRDefault="00BC4745" w:rsidP="00BC4745">
      <w:pPr>
        <w:rPr>
          <w:lang w:val="sr-Latn-CS"/>
        </w:rPr>
      </w:pPr>
      <w:r w:rsidRPr="005F349F">
        <w:rPr>
          <w:lang w:val="sr-Latn-CS"/>
        </w:rPr>
        <w:t>Agencija za zaštitu životne sredine Crne Gore</w:t>
      </w:r>
    </w:p>
    <w:p w:rsidR="00BC4745" w:rsidRDefault="00BC4745" w:rsidP="00C027E4">
      <w:pPr>
        <w:jc w:val="center"/>
        <w:rPr>
          <w:lang w:val="sr-Latn-CS"/>
        </w:rPr>
      </w:pPr>
    </w:p>
    <w:p w:rsidR="00BC4745" w:rsidRDefault="00BC4745" w:rsidP="00C027E4">
      <w:pPr>
        <w:jc w:val="center"/>
        <w:rPr>
          <w:lang w:val="sr-Latn-CS"/>
        </w:rPr>
      </w:pPr>
    </w:p>
    <w:p w:rsidR="00BC4745" w:rsidRDefault="00BC4745" w:rsidP="00C027E4">
      <w:pPr>
        <w:jc w:val="center"/>
        <w:rPr>
          <w:lang w:val="sr-Latn-CS"/>
        </w:rPr>
      </w:pPr>
    </w:p>
    <w:p w:rsidR="00BC4745" w:rsidRDefault="00BC4745" w:rsidP="00C027E4">
      <w:pPr>
        <w:jc w:val="center"/>
        <w:rPr>
          <w:lang w:val="sr-Latn-CS"/>
        </w:rPr>
      </w:pPr>
    </w:p>
    <w:p w:rsidR="00BC4745" w:rsidRDefault="00BC4745" w:rsidP="00C027E4">
      <w:pPr>
        <w:jc w:val="center"/>
        <w:rPr>
          <w:lang w:val="sr-Latn-CS"/>
        </w:rPr>
      </w:pPr>
    </w:p>
    <w:p w:rsidR="00BC4745" w:rsidRDefault="00BC4745" w:rsidP="00C027E4">
      <w:pPr>
        <w:jc w:val="center"/>
        <w:rPr>
          <w:lang w:val="sr-Latn-CS"/>
        </w:rPr>
      </w:pPr>
    </w:p>
    <w:p w:rsidR="00BC4745" w:rsidRDefault="00BC4745" w:rsidP="00C027E4">
      <w:pPr>
        <w:jc w:val="center"/>
        <w:rPr>
          <w:lang w:val="sr-Latn-CS"/>
        </w:rPr>
      </w:pPr>
    </w:p>
    <w:p w:rsidR="00BC4745" w:rsidRDefault="00BC4745" w:rsidP="00C027E4">
      <w:pPr>
        <w:jc w:val="center"/>
        <w:rPr>
          <w:lang w:val="sr-Latn-CS"/>
        </w:rPr>
      </w:pPr>
    </w:p>
    <w:p w:rsidR="00BC4745" w:rsidRDefault="00BC4745" w:rsidP="00C027E4">
      <w:pPr>
        <w:jc w:val="center"/>
        <w:rPr>
          <w:lang w:val="sr-Latn-CS"/>
        </w:rPr>
      </w:pPr>
    </w:p>
    <w:p w:rsidR="00BC4745" w:rsidRDefault="00BC4745" w:rsidP="00C027E4">
      <w:pPr>
        <w:jc w:val="center"/>
        <w:rPr>
          <w:lang w:val="sr-Latn-CS"/>
        </w:rPr>
      </w:pPr>
    </w:p>
    <w:p w:rsidR="00BC4745" w:rsidRDefault="00BC4745" w:rsidP="00C027E4">
      <w:pPr>
        <w:jc w:val="center"/>
        <w:rPr>
          <w:lang w:val="sr-Latn-CS"/>
        </w:rPr>
      </w:pPr>
    </w:p>
    <w:p w:rsidR="00BC4745" w:rsidRDefault="00BC4745" w:rsidP="00C027E4">
      <w:pPr>
        <w:jc w:val="center"/>
        <w:rPr>
          <w:lang w:val="sr-Latn-CS"/>
        </w:rPr>
      </w:pPr>
    </w:p>
    <w:p w:rsidR="007F4CD4" w:rsidRDefault="007F4CD4" w:rsidP="00C027E4">
      <w:pPr>
        <w:rPr>
          <w:lang w:val="sr-Latn-CS"/>
        </w:rPr>
      </w:pPr>
    </w:p>
    <w:p w:rsidR="006F13AB" w:rsidRDefault="006F13AB" w:rsidP="00C027E4">
      <w:pPr>
        <w:rPr>
          <w:lang w:val="sr-Latn-CS"/>
        </w:rPr>
      </w:pPr>
    </w:p>
    <w:p w:rsidR="00C027E4" w:rsidRDefault="00C027E4" w:rsidP="00C027E4">
      <w:pPr>
        <w:rPr>
          <w:lang w:val="sr-Latn-CS"/>
        </w:rPr>
      </w:pPr>
    </w:p>
    <w:p w:rsidR="00D918EC" w:rsidRPr="007F4CD4" w:rsidRDefault="009E4056" w:rsidP="00DB5567">
      <w:pPr>
        <w:shd w:val="clear" w:color="auto" w:fill="C2E59E" w:themeFill="accent5" w:themeFillTint="99"/>
        <w:spacing w:after="0"/>
        <w:jc w:val="left"/>
        <w:rPr>
          <w:b/>
          <w:sz w:val="40"/>
          <w:szCs w:val="40"/>
          <w:lang w:val="sr-Latn-CS"/>
        </w:rPr>
      </w:pPr>
      <w:r w:rsidRPr="007F4CD4">
        <w:rPr>
          <w:b/>
          <w:sz w:val="40"/>
          <w:szCs w:val="40"/>
          <w:lang w:val="sr-Latn-CS"/>
        </w:rPr>
        <w:t>Sa</w:t>
      </w:r>
      <w:r w:rsidR="008D5A4B">
        <w:rPr>
          <w:b/>
          <w:sz w:val="40"/>
          <w:szCs w:val="40"/>
          <w:lang w:val="sr-Latn-CS"/>
        </w:rPr>
        <w:t>d</w:t>
      </w:r>
      <w:r w:rsidRPr="007F4CD4">
        <w:rPr>
          <w:b/>
          <w:sz w:val="40"/>
          <w:szCs w:val="40"/>
          <w:lang w:val="sr-Latn-CS"/>
        </w:rPr>
        <w:t>ržaj</w:t>
      </w:r>
    </w:p>
    <w:p w:rsidR="007F4CD4" w:rsidRPr="007F4CD4" w:rsidRDefault="007F4CD4" w:rsidP="007F4CD4">
      <w:pPr>
        <w:rPr>
          <w:lang w:val="sr-Latn-CS"/>
        </w:rPr>
      </w:pPr>
    </w:p>
    <w:p w:rsidR="00762EAE" w:rsidRDefault="00BC5B01">
      <w:pPr>
        <w:pStyle w:val="TOC1"/>
        <w:rPr>
          <w:rFonts w:eastAsiaTheme="minorEastAsia" w:cstheme="minorBidi"/>
          <w:b w:val="0"/>
          <w:bCs w:val="0"/>
          <w:noProof/>
          <w:sz w:val="22"/>
          <w:szCs w:val="22"/>
        </w:rPr>
      </w:pPr>
      <w:r w:rsidRPr="007F4CD4">
        <w:rPr>
          <w:lang w:val="sr-Latn-CS"/>
        </w:rPr>
        <w:fldChar w:fldCharType="begin"/>
      </w:r>
      <w:r w:rsidR="007F4CD4" w:rsidRPr="007F4CD4">
        <w:rPr>
          <w:lang w:val="sr-Latn-CS"/>
        </w:rPr>
        <w:instrText xml:space="preserve"> TOC \o "2-3" \h \z \t "Heading 1,1" </w:instrText>
      </w:r>
      <w:r w:rsidRPr="007F4CD4">
        <w:rPr>
          <w:lang w:val="sr-Latn-CS"/>
        </w:rPr>
        <w:fldChar w:fldCharType="separate"/>
      </w:r>
      <w:hyperlink w:anchor="_Toc393897850" w:history="1">
        <w:r w:rsidR="00762EAE" w:rsidRPr="009E2E6E">
          <w:rPr>
            <w:rStyle w:val="Hyperlink"/>
            <w:noProof/>
          </w:rPr>
          <w:t>UVOD</w:t>
        </w:r>
        <w:r w:rsidR="00762EAE">
          <w:rPr>
            <w:noProof/>
            <w:webHidden/>
          </w:rPr>
          <w:tab/>
        </w:r>
        <w:r w:rsidR="00762EAE">
          <w:rPr>
            <w:noProof/>
            <w:webHidden/>
          </w:rPr>
          <w:fldChar w:fldCharType="begin"/>
        </w:r>
        <w:r w:rsidR="00762EAE">
          <w:rPr>
            <w:noProof/>
            <w:webHidden/>
          </w:rPr>
          <w:instrText xml:space="preserve"> PAGEREF _Toc393897850 \h </w:instrText>
        </w:r>
        <w:r w:rsidR="00762EAE">
          <w:rPr>
            <w:noProof/>
            <w:webHidden/>
          </w:rPr>
        </w:r>
        <w:r w:rsidR="00762EAE">
          <w:rPr>
            <w:noProof/>
            <w:webHidden/>
          </w:rPr>
          <w:fldChar w:fldCharType="separate"/>
        </w:r>
        <w:r w:rsidR="00762EAE">
          <w:rPr>
            <w:noProof/>
            <w:webHidden/>
          </w:rPr>
          <w:t>7</w:t>
        </w:r>
        <w:r w:rsidR="00762EAE">
          <w:rPr>
            <w:noProof/>
            <w:webHidden/>
          </w:rPr>
          <w:fldChar w:fldCharType="end"/>
        </w:r>
      </w:hyperlink>
    </w:p>
    <w:p w:rsidR="00762EAE" w:rsidRDefault="00762EAE">
      <w:pPr>
        <w:pStyle w:val="TOC1"/>
        <w:rPr>
          <w:rFonts w:eastAsiaTheme="minorEastAsia" w:cstheme="minorBidi"/>
          <w:b w:val="0"/>
          <w:bCs w:val="0"/>
          <w:noProof/>
          <w:sz w:val="22"/>
          <w:szCs w:val="22"/>
        </w:rPr>
      </w:pPr>
      <w:hyperlink w:anchor="_Toc393897851" w:history="1">
        <w:r w:rsidRPr="009E2E6E">
          <w:rPr>
            <w:rStyle w:val="Hyperlink"/>
            <w:noProof/>
          </w:rPr>
          <w:t>1</w:t>
        </w:r>
        <w:r>
          <w:rPr>
            <w:rFonts w:eastAsiaTheme="minorEastAsia" w:cstheme="minorBidi"/>
            <w:b w:val="0"/>
            <w:bCs w:val="0"/>
            <w:noProof/>
            <w:sz w:val="22"/>
            <w:szCs w:val="22"/>
          </w:rPr>
          <w:tab/>
        </w:r>
        <w:r w:rsidRPr="009E2E6E">
          <w:rPr>
            <w:rStyle w:val="Hyperlink"/>
            <w:noProof/>
          </w:rPr>
          <w:t>VAZDUH</w:t>
        </w:r>
        <w:r>
          <w:rPr>
            <w:noProof/>
            <w:webHidden/>
          </w:rPr>
          <w:tab/>
        </w:r>
        <w:r>
          <w:rPr>
            <w:noProof/>
            <w:webHidden/>
          </w:rPr>
          <w:fldChar w:fldCharType="begin"/>
        </w:r>
        <w:r>
          <w:rPr>
            <w:noProof/>
            <w:webHidden/>
          </w:rPr>
          <w:instrText xml:space="preserve"> PAGEREF _Toc393897851 \h </w:instrText>
        </w:r>
        <w:r>
          <w:rPr>
            <w:noProof/>
            <w:webHidden/>
          </w:rPr>
        </w:r>
        <w:r>
          <w:rPr>
            <w:noProof/>
            <w:webHidden/>
          </w:rPr>
          <w:fldChar w:fldCharType="separate"/>
        </w:r>
        <w:r>
          <w:rPr>
            <w:noProof/>
            <w:webHidden/>
          </w:rPr>
          <w:t>9</w:t>
        </w:r>
        <w:r>
          <w:rPr>
            <w:noProof/>
            <w:webHidden/>
          </w:rPr>
          <w:fldChar w:fldCharType="end"/>
        </w:r>
      </w:hyperlink>
    </w:p>
    <w:p w:rsidR="00762EAE" w:rsidRDefault="00762EAE">
      <w:pPr>
        <w:pStyle w:val="TOC3"/>
        <w:tabs>
          <w:tab w:val="right" w:leader="dot" w:pos="9063"/>
        </w:tabs>
        <w:rPr>
          <w:rFonts w:eastAsiaTheme="minorEastAsia" w:cstheme="minorBidi"/>
          <w:noProof/>
          <w:sz w:val="22"/>
          <w:szCs w:val="22"/>
        </w:rPr>
      </w:pPr>
      <w:hyperlink w:anchor="_Toc393897852" w:history="1">
        <w:r w:rsidRPr="009E2E6E">
          <w:rPr>
            <w:rStyle w:val="Hyperlink"/>
            <w:noProof/>
          </w:rPr>
          <w:t>Uvod</w:t>
        </w:r>
        <w:r>
          <w:rPr>
            <w:noProof/>
            <w:webHidden/>
          </w:rPr>
          <w:tab/>
        </w:r>
        <w:r>
          <w:rPr>
            <w:noProof/>
            <w:webHidden/>
          </w:rPr>
          <w:fldChar w:fldCharType="begin"/>
        </w:r>
        <w:r>
          <w:rPr>
            <w:noProof/>
            <w:webHidden/>
          </w:rPr>
          <w:instrText xml:space="preserve"> PAGEREF _Toc393897852 \h </w:instrText>
        </w:r>
        <w:r>
          <w:rPr>
            <w:noProof/>
            <w:webHidden/>
          </w:rPr>
        </w:r>
        <w:r>
          <w:rPr>
            <w:noProof/>
            <w:webHidden/>
          </w:rPr>
          <w:fldChar w:fldCharType="separate"/>
        </w:r>
        <w:r>
          <w:rPr>
            <w:noProof/>
            <w:webHidden/>
          </w:rPr>
          <w:t>9</w:t>
        </w:r>
        <w:r>
          <w:rPr>
            <w:noProof/>
            <w:webHidden/>
          </w:rPr>
          <w:fldChar w:fldCharType="end"/>
        </w:r>
      </w:hyperlink>
    </w:p>
    <w:p w:rsidR="00762EAE" w:rsidRDefault="00762EAE">
      <w:pPr>
        <w:pStyle w:val="TOC2"/>
        <w:tabs>
          <w:tab w:val="left" w:pos="720"/>
          <w:tab w:val="right" w:leader="dot" w:pos="9063"/>
        </w:tabs>
        <w:rPr>
          <w:rFonts w:eastAsiaTheme="minorEastAsia" w:cstheme="minorBidi"/>
          <w:i w:val="0"/>
          <w:iCs w:val="0"/>
          <w:noProof/>
          <w:sz w:val="22"/>
          <w:szCs w:val="22"/>
        </w:rPr>
      </w:pPr>
      <w:hyperlink w:anchor="_Toc393897853" w:history="1">
        <w:r w:rsidRPr="009E2E6E">
          <w:rPr>
            <w:rStyle w:val="Hyperlink"/>
            <w:noProof/>
          </w:rPr>
          <w:t>1.1</w:t>
        </w:r>
        <w:r>
          <w:rPr>
            <w:rFonts w:eastAsiaTheme="minorEastAsia" w:cstheme="minorBidi"/>
            <w:i w:val="0"/>
            <w:iCs w:val="0"/>
            <w:noProof/>
            <w:sz w:val="22"/>
            <w:szCs w:val="22"/>
          </w:rPr>
          <w:tab/>
        </w:r>
        <w:r w:rsidRPr="009E2E6E">
          <w:rPr>
            <w:rStyle w:val="Hyperlink"/>
            <w:noProof/>
          </w:rPr>
          <w:t>Rezultati ispitivanja kvaliteta vazduha – Državna mreža</w:t>
        </w:r>
        <w:r>
          <w:rPr>
            <w:noProof/>
            <w:webHidden/>
          </w:rPr>
          <w:tab/>
        </w:r>
        <w:r>
          <w:rPr>
            <w:noProof/>
            <w:webHidden/>
          </w:rPr>
          <w:fldChar w:fldCharType="begin"/>
        </w:r>
        <w:r>
          <w:rPr>
            <w:noProof/>
            <w:webHidden/>
          </w:rPr>
          <w:instrText xml:space="preserve"> PAGEREF _Toc393897853 \h </w:instrText>
        </w:r>
        <w:r>
          <w:rPr>
            <w:noProof/>
            <w:webHidden/>
          </w:rPr>
        </w:r>
        <w:r>
          <w:rPr>
            <w:noProof/>
            <w:webHidden/>
          </w:rPr>
          <w:fldChar w:fldCharType="separate"/>
        </w:r>
        <w:r>
          <w:rPr>
            <w:noProof/>
            <w:webHidden/>
          </w:rPr>
          <w:t>11</w:t>
        </w:r>
        <w:r>
          <w:rPr>
            <w:noProof/>
            <w:webHidden/>
          </w:rPr>
          <w:fldChar w:fldCharType="end"/>
        </w:r>
      </w:hyperlink>
    </w:p>
    <w:p w:rsidR="00762EAE" w:rsidRDefault="00762EAE">
      <w:pPr>
        <w:pStyle w:val="TOC3"/>
        <w:tabs>
          <w:tab w:val="right" w:leader="dot" w:pos="9063"/>
        </w:tabs>
        <w:rPr>
          <w:rFonts w:eastAsiaTheme="minorEastAsia" w:cstheme="minorBidi"/>
          <w:noProof/>
          <w:sz w:val="22"/>
          <w:szCs w:val="22"/>
        </w:rPr>
      </w:pPr>
      <w:hyperlink w:anchor="_Toc393897854" w:history="1">
        <w:r w:rsidRPr="009E2E6E">
          <w:rPr>
            <w:rStyle w:val="Hyperlink"/>
            <w:noProof/>
          </w:rPr>
          <w:t>1.1.1   Podgorica</w:t>
        </w:r>
        <w:r>
          <w:rPr>
            <w:noProof/>
            <w:webHidden/>
          </w:rPr>
          <w:tab/>
        </w:r>
        <w:r>
          <w:rPr>
            <w:noProof/>
            <w:webHidden/>
          </w:rPr>
          <w:fldChar w:fldCharType="begin"/>
        </w:r>
        <w:r>
          <w:rPr>
            <w:noProof/>
            <w:webHidden/>
          </w:rPr>
          <w:instrText xml:space="preserve"> PAGEREF _Toc393897854 \h </w:instrText>
        </w:r>
        <w:r>
          <w:rPr>
            <w:noProof/>
            <w:webHidden/>
          </w:rPr>
        </w:r>
        <w:r>
          <w:rPr>
            <w:noProof/>
            <w:webHidden/>
          </w:rPr>
          <w:fldChar w:fldCharType="separate"/>
        </w:r>
        <w:r>
          <w:rPr>
            <w:noProof/>
            <w:webHidden/>
          </w:rPr>
          <w:t>11</w:t>
        </w:r>
        <w:r>
          <w:rPr>
            <w:noProof/>
            <w:webHidden/>
          </w:rPr>
          <w:fldChar w:fldCharType="end"/>
        </w:r>
      </w:hyperlink>
    </w:p>
    <w:p w:rsidR="00762EAE" w:rsidRDefault="00762EAE">
      <w:pPr>
        <w:pStyle w:val="TOC3"/>
        <w:tabs>
          <w:tab w:val="right" w:leader="dot" w:pos="9063"/>
        </w:tabs>
        <w:rPr>
          <w:rFonts w:eastAsiaTheme="minorEastAsia" w:cstheme="minorBidi"/>
          <w:noProof/>
          <w:sz w:val="22"/>
          <w:szCs w:val="22"/>
        </w:rPr>
      </w:pPr>
      <w:hyperlink w:anchor="_Toc393897855" w:history="1">
        <w:r w:rsidRPr="009E2E6E">
          <w:rPr>
            <w:rStyle w:val="Hyperlink"/>
            <w:noProof/>
          </w:rPr>
          <w:t>1.1.2  Bar</w:t>
        </w:r>
        <w:r>
          <w:rPr>
            <w:noProof/>
            <w:webHidden/>
          </w:rPr>
          <w:tab/>
        </w:r>
        <w:r>
          <w:rPr>
            <w:noProof/>
            <w:webHidden/>
          </w:rPr>
          <w:fldChar w:fldCharType="begin"/>
        </w:r>
        <w:r>
          <w:rPr>
            <w:noProof/>
            <w:webHidden/>
          </w:rPr>
          <w:instrText xml:space="preserve"> PAGEREF _Toc393897855 \h </w:instrText>
        </w:r>
        <w:r>
          <w:rPr>
            <w:noProof/>
            <w:webHidden/>
          </w:rPr>
        </w:r>
        <w:r>
          <w:rPr>
            <w:noProof/>
            <w:webHidden/>
          </w:rPr>
          <w:fldChar w:fldCharType="separate"/>
        </w:r>
        <w:r>
          <w:rPr>
            <w:noProof/>
            <w:webHidden/>
          </w:rPr>
          <w:t>13</w:t>
        </w:r>
        <w:r>
          <w:rPr>
            <w:noProof/>
            <w:webHidden/>
          </w:rPr>
          <w:fldChar w:fldCharType="end"/>
        </w:r>
      </w:hyperlink>
    </w:p>
    <w:p w:rsidR="00762EAE" w:rsidRDefault="00762EAE">
      <w:pPr>
        <w:pStyle w:val="TOC3"/>
        <w:tabs>
          <w:tab w:val="right" w:leader="dot" w:pos="9063"/>
        </w:tabs>
        <w:rPr>
          <w:rFonts w:eastAsiaTheme="minorEastAsia" w:cstheme="minorBidi"/>
          <w:noProof/>
          <w:sz w:val="22"/>
          <w:szCs w:val="22"/>
        </w:rPr>
      </w:pPr>
      <w:hyperlink w:anchor="_Toc393897856" w:history="1">
        <w:r w:rsidRPr="009E2E6E">
          <w:rPr>
            <w:rStyle w:val="Hyperlink"/>
            <w:noProof/>
          </w:rPr>
          <w:t>1.1.3  Nikšić</w:t>
        </w:r>
        <w:r>
          <w:rPr>
            <w:noProof/>
            <w:webHidden/>
          </w:rPr>
          <w:tab/>
        </w:r>
        <w:r>
          <w:rPr>
            <w:noProof/>
            <w:webHidden/>
          </w:rPr>
          <w:fldChar w:fldCharType="begin"/>
        </w:r>
        <w:r>
          <w:rPr>
            <w:noProof/>
            <w:webHidden/>
          </w:rPr>
          <w:instrText xml:space="preserve"> PAGEREF _Toc393897856 \h </w:instrText>
        </w:r>
        <w:r>
          <w:rPr>
            <w:noProof/>
            <w:webHidden/>
          </w:rPr>
        </w:r>
        <w:r>
          <w:rPr>
            <w:noProof/>
            <w:webHidden/>
          </w:rPr>
          <w:fldChar w:fldCharType="separate"/>
        </w:r>
        <w:r>
          <w:rPr>
            <w:noProof/>
            <w:webHidden/>
          </w:rPr>
          <w:t>16</w:t>
        </w:r>
        <w:r>
          <w:rPr>
            <w:noProof/>
            <w:webHidden/>
          </w:rPr>
          <w:fldChar w:fldCharType="end"/>
        </w:r>
      </w:hyperlink>
    </w:p>
    <w:p w:rsidR="00762EAE" w:rsidRDefault="00762EAE">
      <w:pPr>
        <w:pStyle w:val="TOC3"/>
        <w:tabs>
          <w:tab w:val="right" w:leader="dot" w:pos="9063"/>
        </w:tabs>
        <w:rPr>
          <w:rFonts w:eastAsiaTheme="minorEastAsia" w:cstheme="minorBidi"/>
          <w:noProof/>
          <w:sz w:val="22"/>
          <w:szCs w:val="22"/>
        </w:rPr>
      </w:pPr>
      <w:hyperlink w:anchor="_Toc393897857" w:history="1">
        <w:r w:rsidRPr="009E2E6E">
          <w:rPr>
            <w:rStyle w:val="Hyperlink"/>
            <w:noProof/>
          </w:rPr>
          <w:t>1.1.4  Pljevlja</w:t>
        </w:r>
        <w:r>
          <w:rPr>
            <w:noProof/>
            <w:webHidden/>
          </w:rPr>
          <w:tab/>
        </w:r>
        <w:r>
          <w:rPr>
            <w:noProof/>
            <w:webHidden/>
          </w:rPr>
          <w:fldChar w:fldCharType="begin"/>
        </w:r>
        <w:r>
          <w:rPr>
            <w:noProof/>
            <w:webHidden/>
          </w:rPr>
          <w:instrText xml:space="preserve"> PAGEREF _Toc393897857 \h </w:instrText>
        </w:r>
        <w:r>
          <w:rPr>
            <w:noProof/>
            <w:webHidden/>
          </w:rPr>
        </w:r>
        <w:r>
          <w:rPr>
            <w:noProof/>
            <w:webHidden/>
          </w:rPr>
          <w:fldChar w:fldCharType="separate"/>
        </w:r>
        <w:r>
          <w:rPr>
            <w:noProof/>
            <w:webHidden/>
          </w:rPr>
          <w:t>19</w:t>
        </w:r>
        <w:r>
          <w:rPr>
            <w:noProof/>
            <w:webHidden/>
          </w:rPr>
          <w:fldChar w:fldCharType="end"/>
        </w:r>
      </w:hyperlink>
    </w:p>
    <w:p w:rsidR="00762EAE" w:rsidRDefault="00762EAE">
      <w:pPr>
        <w:pStyle w:val="TOC3"/>
        <w:tabs>
          <w:tab w:val="right" w:leader="dot" w:pos="9063"/>
        </w:tabs>
        <w:rPr>
          <w:rFonts w:eastAsiaTheme="minorEastAsia" w:cstheme="minorBidi"/>
          <w:noProof/>
          <w:sz w:val="22"/>
          <w:szCs w:val="22"/>
        </w:rPr>
      </w:pPr>
      <w:hyperlink w:anchor="_Toc393897858" w:history="1">
        <w:r w:rsidRPr="009E2E6E">
          <w:rPr>
            <w:rStyle w:val="Hyperlink"/>
            <w:noProof/>
          </w:rPr>
          <w:t>1.1.5   Gradina (selo Kruševo)</w:t>
        </w:r>
        <w:r>
          <w:rPr>
            <w:noProof/>
            <w:webHidden/>
          </w:rPr>
          <w:tab/>
        </w:r>
        <w:r>
          <w:rPr>
            <w:noProof/>
            <w:webHidden/>
          </w:rPr>
          <w:fldChar w:fldCharType="begin"/>
        </w:r>
        <w:r>
          <w:rPr>
            <w:noProof/>
            <w:webHidden/>
          </w:rPr>
          <w:instrText xml:space="preserve"> PAGEREF _Toc393897858 \h </w:instrText>
        </w:r>
        <w:r>
          <w:rPr>
            <w:noProof/>
            <w:webHidden/>
          </w:rPr>
        </w:r>
        <w:r>
          <w:rPr>
            <w:noProof/>
            <w:webHidden/>
          </w:rPr>
          <w:fldChar w:fldCharType="separate"/>
        </w:r>
        <w:r>
          <w:rPr>
            <w:noProof/>
            <w:webHidden/>
          </w:rPr>
          <w:t>21</w:t>
        </w:r>
        <w:r>
          <w:rPr>
            <w:noProof/>
            <w:webHidden/>
          </w:rPr>
          <w:fldChar w:fldCharType="end"/>
        </w:r>
      </w:hyperlink>
    </w:p>
    <w:p w:rsidR="00762EAE" w:rsidRDefault="00762EAE">
      <w:pPr>
        <w:pStyle w:val="TOC3"/>
        <w:tabs>
          <w:tab w:val="right" w:leader="dot" w:pos="9063"/>
        </w:tabs>
        <w:rPr>
          <w:rFonts w:eastAsiaTheme="minorEastAsia" w:cstheme="minorBidi"/>
          <w:noProof/>
          <w:sz w:val="22"/>
          <w:szCs w:val="22"/>
        </w:rPr>
      </w:pPr>
      <w:hyperlink w:anchor="_Toc393897859" w:history="1">
        <w:r w:rsidRPr="009E2E6E">
          <w:rPr>
            <w:rStyle w:val="Hyperlink"/>
            <w:noProof/>
          </w:rPr>
          <w:t>1.1.6   Golubovci (Tomića Uba)</w:t>
        </w:r>
        <w:r>
          <w:rPr>
            <w:noProof/>
            <w:webHidden/>
          </w:rPr>
          <w:tab/>
        </w:r>
        <w:r>
          <w:rPr>
            <w:noProof/>
            <w:webHidden/>
          </w:rPr>
          <w:fldChar w:fldCharType="begin"/>
        </w:r>
        <w:r>
          <w:rPr>
            <w:noProof/>
            <w:webHidden/>
          </w:rPr>
          <w:instrText xml:space="preserve"> PAGEREF _Toc393897859 \h </w:instrText>
        </w:r>
        <w:r>
          <w:rPr>
            <w:noProof/>
            <w:webHidden/>
          </w:rPr>
        </w:r>
        <w:r>
          <w:rPr>
            <w:noProof/>
            <w:webHidden/>
          </w:rPr>
          <w:fldChar w:fldCharType="separate"/>
        </w:r>
        <w:r>
          <w:rPr>
            <w:noProof/>
            <w:webHidden/>
          </w:rPr>
          <w:t>23</w:t>
        </w:r>
        <w:r>
          <w:rPr>
            <w:noProof/>
            <w:webHidden/>
          </w:rPr>
          <w:fldChar w:fldCharType="end"/>
        </w:r>
      </w:hyperlink>
    </w:p>
    <w:p w:rsidR="00762EAE" w:rsidRDefault="00762EAE">
      <w:pPr>
        <w:pStyle w:val="TOC3"/>
        <w:tabs>
          <w:tab w:val="right" w:leader="dot" w:pos="9063"/>
        </w:tabs>
        <w:rPr>
          <w:rFonts w:eastAsiaTheme="minorEastAsia" w:cstheme="minorBidi"/>
          <w:noProof/>
          <w:sz w:val="22"/>
          <w:szCs w:val="22"/>
        </w:rPr>
      </w:pPr>
      <w:hyperlink w:anchor="_Toc393897860" w:history="1">
        <w:r w:rsidRPr="009E2E6E">
          <w:rPr>
            <w:rStyle w:val="Hyperlink"/>
            <w:noProof/>
          </w:rPr>
          <w:t>1.1.7   Tivat</w:t>
        </w:r>
        <w:r>
          <w:rPr>
            <w:noProof/>
            <w:webHidden/>
          </w:rPr>
          <w:tab/>
        </w:r>
        <w:r>
          <w:rPr>
            <w:noProof/>
            <w:webHidden/>
          </w:rPr>
          <w:fldChar w:fldCharType="begin"/>
        </w:r>
        <w:r>
          <w:rPr>
            <w:noProof/>
            <w:webHidden/>
          </w:rPr>
          <w:instrText xml:space="preserve"> PAGEREF _Toc393897860 \h </w:instrText>
        </w:r>
        <w:r>
          <w:rPr>
            <w:noProof/>
            <w:webHidden/>
          </w:rPr>
        </w:r>
        <w:r>
          <w:rPr>
            <w:noProof/>
            <w:webHidden/>
          </w:rPr>
          <w:fldChar w:fldCharType="separate"/>
        </w:r>
        <w:r>
          <w:rPr>
            <w:noProof/>
            <w:webHidden/>
          </w:rPr>
          <w:t>23</w:t>
        </w:r>
        <w:r>
          <w:rPr>
            <w:noProof/>
            <w:webHidden/>
          </w:rPr>
          <w:fldChar w:fldCharType="end"/>
        </w:r>
      </w:hyperlink>
    </w:p>
    <w:p w:rsidR="00762EAE" w:rsidRDefault="00762EAE">
      <w:pPr>
        <w:pStyle w:val="TOC2"/>
        <w:tabs>
          <w:tab w:val="left" w:pos="720"/>
          <w:tab w:val="right" w:leader="dot" w:pos="9063"/>
        </w:tabs>
        <w:rPr>
          <w:rFonts w:eastAsiaTheme="minorEastAsia" w:cstheme="minorBidi"/>
          <w:i w:val="0"/>
          <w:iCs w:val="0"/>
          <w:noProof/>
          <w:sz w:val="22"/>
          <w:szCs w:val="22"/>
        </w:rPr>
      </w:pPr>
      <w:hyperlink w:anchor="_Toc393897861" w:history="1">
        <w:r w:rsidRPr="009E2E6E">
          <w:rPr>
            <w:rStyle w:val="Hyperlink"/>
            <w:noProof/>
          </w:rPr>
          <w:t>1.2</w:t>
        </w:r>
        <w:r>
          <w:rPr>
            <w:rFonts w:eastAsiaTheme="minorEastAsia" w:cstheme="minorBidi"/>
            <w:i w:val="0"/>
            <w:iCs w:val="0"/>
            <w:noProof/>
            <w:sz w:val="22"/>
            <w:szCs w:val="22"/>
          </w:rPr>
          <w:tab/>
        </w:r>
        <w:r w:rsidRPr="009E2E6E">
          <w:rPr>
            <w:rStyle w:val="Hyperlink"/>
            <w:noProof/>
          </w:rPr>
          <w:t>Mreža mjernih stanica – Zavod za hidrometeorologiju i seizmologiju Crne Gore</w:t>
        </w:r>
        <w:r>
          <w:rPr>
            <w:noProof/>
            <w:webHidden/>
          </w:rPr>
          <w:tab/>
        </w:r>
        <w:r>
          <w:rPr>
            <w:noProof/>
            <w:webHidden/>
          </w:rPr>
          <w:fldChar w:fldCharType="begin"/>
        </w:r>
        <w:r>
          <w:rPr>
            <w:noProof/>
            <w:webHidden/>
          </w:rPr>
          <w:instrText xml:space="preserve"> PAGEREF _Toc393897861 \h </w:instrText>
        </w:r>
        <w:r>
          <w:rPr>
            <w:noProof/>
            <w:webHidden/>
          </w:rPr>
        </w:r>
        <w:r>
          <w:rPr>
            <w:noProof/>
            <w:webHidden/>
          </w:rPr>
          <w:fldChar w:fldCharType="separate"/>
        </w:r>
        <w:r>
          <w:rPr>
            <w:noProof/>
            <w:webHidden/>
          </w:rPr>
          <w:t>24</w:t>
        </w:r>
        <w:r>
          <w:rPr>
            <w:noProof/>
            <w:webHidden/>
          </w:rPr>
          <w:fldChar w:fldCharType="end"/>
        </w:r>
      </w:hyperlink>
    </w:p>
    <w:p w:rsidR="00762EAE" w:rsidRDefault="00762EAE">
      <w:pPr>
        <w:pStyle w:val="TOC3"/>
        <w:tabs>
          <w:tab w:val="right" w:leader="dot" w:pos="9063"/>
        </w:tabs>
        <w:rPr>
          <w:rFonts w:eastAsiaTheme="minorEastAsia" w:cstheme="minorBidi"/>
          <w:noProof/>
          <w:sz w:val="22"/>
          <w:szCs w:val="22"/>
        </w:rPr>
      </w:pPr>
      <w:hyperlink w:anchor="_Toc393897862" w:history="1">
        <w:r w:rsidRPr="009E2E6E">
          <w:rPr>
            <w:rStyle w:val="Hyperlink"/>
            <w:noProof/>
          </w:rPr>
          <w:t>1.2.1   Fizičko-hemijski parametri kvaliteta vazduha</w:t>
        </w:r>
        <w:r>
          <w:rPr>
            <w:noProof/>
            <w:webHidden/>
          </w:rPr>
          <w:tab/>
        </w:r>
        <w:r>
          <w:rPr>
            <w:noProof/>
            <w:webHidden/>
          </w:rPr>
          <w:fldChar w:fldCharType="begin"/>
        </w:r>
        <w:r>
          <w:rPr>
            <w:noProof/>
            <w:webHidden/>
          </w:rPr>
          <w:instrText xml:space="preserve"> PAGEREF _Toc393897862 \h </w:instrText>
        </w:r>
        <w:r>
          <w:rPr>
            <w:noProof/>
            <w:webHidden/>
          </w:rPr>
        </w:r>
        <w:r>
          <w:rPr>
            <w:noProof/>
            <w:webHidden/>
          </w:rPr>
          <w:fldChar w:fldCharType="separate"/>
        </w:r>
        <w:r>
          <w:rPr>
            <w:noProof/>
            <w:webHidden/>
          </w:rPr>
          <w:t>24</w:t>
        </w:r>
        <w:r>
          <w:rPr>
            <w:noProof/>
            <w:webHidden/>
          </w:rPr>
          <w:fldChar w:fldCharType="end"/>
        </w:r>
      </w:hyperlink>
    </w:p>
    <w:p w:rsidR="00762EAE" w:rsidRDefault="00762EAE">
      <w:pPr>
        <w:pStyle w:val="TOC3"/>
        <w:tabs>
          <w:tab w:val="right" w:leader="dot" w:pos="9063"/>
        </w:tabs>
        <w:rPr>
          <w:rFonts w:eastAsiaTheme="minorEastAsia" w:cstheme="minorBidi"/>
          <w:noProof/>
          <w:sz w:val="22"/>
          <w:szCs w:val="22"/>
        </w:rPr>
      </w:pPr>
      <w:hyperlink w:anchor="_Toc393897863" w:history="1">
        <w:r w:rsidRPr="009E2E6E">
          <w:rPr>
            <w:rStyle w:val="Hyperlink"/>
            <w:noProof/>
          </w:rPr>
          <w:t>1.2.2   Fizičko-hemijski parametri kvaliteta padavina</w:t>
        </w:r>
        <w:r>
          <w:rPr>
            <w:noProof/>
            <w:webHidden/>
          </w:rPr>
          <w:tab/>
        </w:r>
        <w:r>
          <w:rPr>
            <w:noProof/>
            <w:webHidden/>
          </w:rPr>
          <w:fldChar w:fldCharType="begin"/>
        </w:r>
        <w:r>
          <w:rPr>
            <w:noProof/>
            <w:webHidden/>
          </w:rPr>
          <w:instrText xml:space="preserve"> PAGEREF _Toc393897863 \h </w:instrText>
        </w:r>
        <w:r>
          <w:rPr>
            <w:noProof/>
            <w:webHidden/>
          </w:rPr>
        </w:r>
        <w:r>
          <w:rPr>
            <w:noProof/>
            <w:webHidden/>
          </w:rPr>
          <w:fldChar w:fldCharType="separate"/>
        </w:r>
        <w:r>
          <w:rPr>
            <w:noProof/>
            <w:webHidden/>
          </w:rPr>
          <w:t>25</w:t>
        </w:r>
        <w:r>
          <w:rPr>
            <w:noProof/>
            <w:webHidden/>
          </w:rPr>
          <w:fldChar w:fldCharType="end"/>
        </w:r>
      </w:hyperlink>
    </w:p>
    <w:p w:rsidR="00762EAE" w:rsidRDefault="00762EAE">
      <w:pPr>
        <w:pStyle w:val="TOC2"/>
        <w:tabs>
          <w:tab w:val="left" w:pos="720"/>
          <w:tab w:val="right" w:leader="dot" w:pos="9063"/>
        </w:tabs>
        <w:rPr>
          <w:rFonts w:eastAsiaTheme="minorEastAsia" w:cstheme="minorBidi"/>
          <w:i w:val="0"/>
          <w:iCs w:val="0"/>
          <w:noProof/>
          <w:sz w:val="22"/>
          <w:szCs w:val="22"/>
        </w:rPr>
      </w:pPr>
      <w:hyperlink w:anchor="_Toc393897864" w:history="1">
        <w:r w:rsidRPr="009E2E6E">
          <w:rPr>
            <w:rStyle w:val="Hyperlink"/>
            <w:noProof/>
            <w:lang w:val="sr-Latn-CS"/>
          </w:rPr>
          <w:t>1.3</w:t>
        </w:r>
        <w:r>
          <w:rPr>
            <w:rFonts w:eastAsiaTheme="minorEastAsia" w:cstheme="minorBidi"/>
            <w:i w:val="0"/>
            <w:iCs w:val="0"/>
            <w:noProof/>
            <w:sz w:val="22"/>
            <w:szCs w:val="22"/>
          </w:rPr>
          <w:tab/>
        </w:r>
        <w:r w:rsidRPr="009E2E6E">
          <w:rPr>
            <w:rStyle w:val="Hyperlink"/>
            <w:noProof/>
            <w:lang w:val="sr-Latn-CS"/>
          </w:rPr>
          <w:t xml:space="preserve">Ocjena </w:t>
        </w:r>
        <w:r w:rsidRPr="009E2E6E">
          <w:rPr>
            <w:rStyle w:val="Hyperlink"/>
            <w:noProof/>
          </w:rPr>
          <w:t>kvaliteta</w:t>
        </w:r>
        <w:r w:rsidRPr="009E2E6E">
          <w:rPr>
            <w:rStyle w:val="Hyperlink"/>
            <w:noProof/>
            <w:lang w:val="sr-Latn-CS"/>
          </w:rPr>
          <w:t xml:space="preserve"> vazduha u Crnoj Gori</w:t>
        </w:r>
        <w:r>
          <w:rPr>
            <w:noProof/>
            <w:webHidden/>
          </w:rPr>
          <w:tab/>
        </w:r>
        <w:r>
          <w:rPr>
            <w:noProof/>
            <w:webHidden/>
          </w:rPr>
          <w:fldChar w:fldCharType="begin"/>
        </w:r>
        <w:r>
          <w:rPr>
            <w:noProof/>
            <w:webHidden/>
          </w:rPr>
          <w:instrText xml:space="preserve"> PAGEREF _Toc393897864 \h </w:instrText>
        </w:r>
        <w:r>
          <w:rPr>
            <w:noProof/>
            <w:webHidden/>
          </w:rPr>
        </w:r>
        <w:r>
          <w:rPr>
            <w:noProof/>
            <w:webHidden/>
          </w:rPr>
          <w:fldChar w:fldCharType="separate"/>
        </w:r>
        <w:r>
          <w:rPr>
            <w:noProof/>
            <w:webHidden/>
          </w:rPr>
          <w:t>26</w:t>
        </w:r>
        <w:r>
          <w:rPr>
            <w:noProof/>
            <w:webHidden/>
          </w:rPr>
          <w:fldChar w:fldCharType="end"/>
        </w:r>
      </w:hyperlink>
    </w:p>
    <w:p w:rsidR="00762EAE" w:rsidRDefault="00762EAE">
      <w:pPr>
        <w:pStyle w:val="TOC2"/>
        <w:tabs>
          <w:tab w:val="left" w:pos="720"/>
          <w:tab w:val="right" w:leader="dot" w:pos="9063"/>
        </w:tabs>
        <w:rPr>
          <w:rFonts w:eastAsiaTheme="minorEastAsia" w:cstheme="minorBidi"/>
          <w:i w:val="0"/>
          <w:iCs w:val="0"/>
          <w:noProof/>
          <w:sz w:val="22"/>
          <w:szCs w:val="22"/>
        </w:rPr>
      </w:pPr>
      <w:hyperlink w:anchor="_Toc393897865" w:history="1">
        <w:r w:rsidRPr="009E2E6E">
          <w:rPr>
            <w:rStyle w:val="Hyperlink"/>
            <w:noProof/>
            <w:lang w:val="sr-Latn-CS"/>
          </w:rPr>
          <w:t>1.4</w:t>
        </w:r>
        <w:r>
          <w:rPr>
            <w:rFonts w:eastAsiaTheme="minorEastAsia" w:cstheme="minorBidi"/>
            <w:i w:val="0"/>
            <w:iCs w:val="0"/>
            <w:noProof/>
            <w:sz w:val="22"/>
            <w:szCs w:val="22"/>
          </w:rPr>
          <w:tab/>
        </w:r>
        <w:r w:rsidRPr="009E2E6E">
          <w:rPr>
            <w:rStyle w:val="Hyperlink"/>
            <w:noProof/>
          </w:rPr>
          <w:t>Zaključak</w:t>
        </w:r>
        <w:r>
          <w:rPr>
            <w:noProof/>
            <w:webHidden/>
          </w:rPr>
          <w:tab/>
        </w:r>
        <w:r>
          <w:rPr>
            <w:noProof/>
            <w:webHidden/>
          </w:rPr>
          <w:fldChar w:fldCharType="begin"/>
        </w:r>
        <w:r>
          <w:rPr>
            <w:noProof/>
            <w:webHidden/>
          </w:rPr>
          <w:instrText xml:space="preserve"> PAGEREF _Toc393897865 \h </w:instrText>
        </w:r>
        <w:r>
          <w:rPr>
            <w:noProof/>
            <w:webHidden/>
          </w:rPr>
        </w:r>
        <w:r>
          <w:rPr>
            <w:noProof/>
            <w:webHidden/>
          </w:rPr>
          <w:fldChar w:fldCharType="separate"/>
        </w:r>
        <w:r>
          <w:rPr>
            <w:noProof/>
            <w:webHidden/>
          </w:rPr>
          <w:t>27</w:t>
        </w:r>
        <w:r>
          <w:rPr>
            <w:noProof/>
            <w:webHidden/>
          </w:rPr>
          <w:fldChar w:fldCharType="end"/>
        </w:r>
      </w:hyperlink>
    </w:p>
    <w:p w:rsidR="00762EAE" w:rsidRDefault="00762EAE">
      <w:pPr>
        <w:pStyle w:val="TOC1"/>
        <w:rPr>
          <w:rFonts w:eastAsiaTheme="minorEastAsia" w:cstheme="minorBidi"/>
          <w:b w:val="0"/>
          <w:bCs w:val="0"/>
          <w:noProof/>
          <w:sz w:val="22"/>
          <w:szCs w:val="22"/>
        </w:rPr>
      </w:pPr>
      <w:hyperlink w:anchor="_Toc393897866" w:history="1">
        <w:r w:rsidRPr="009E2E6E">
          <w:rPr>
            <w:rStyle w:val="Hyperlink"/>
            <w:noProof/>
          </w:rPr>
          <w:t>2</w:t>
        </w:r>
        <w:r>
          <w:rPr>
            <w:rFonts w:eastAsiaTheme="minorEastAsia" w:cstheme="minorBidi"/>
            <w:b w:val="0"/>
            <w:bCs w:val="0"/>
            <w:noProof/>
            <w:sz w:val="22"/>
            <w:szCs w:val="22"/>
          </w:rPr>
          <w:tab/>
        </w:r>
        <w:r w:rsidRPr="009E2E6E">
          <w:rPr>
            <w:rStyle w:val="Hyperlink"/>
            <w:noProof/>
          </w:rPr>
          <w:t>KLIMATSKE PROMJENE</w:t>
        </w:r>
        <w:r>
          <w:rPr>
            <w:noProof/>
            <w:webHidden/>
          </w:rPr>
          <w:tab/>
        </w:r>
        <w:r>
          <w:rPr>
            <w:noProof/>
            <w:webHidden/>
          </w:rPr>
          <w:fldChar w:fldCharType="begin"/>
        </w:r>
        <w:r>
          <w:rPr>
            <w:noProof/>
            <w:webHidden/>
          </w:rPr>
          <w:instrText xml:space="preserve"> PAGEREF _Toc393897866 \h </w:instrText>
        </w:r>
        <w:r>
          <w:rPr>
            <w:noProof/>
            <w:webHidden/>
          </w:rPr>
        </w:r>
        <w:r>
          <w:rPr>
            <w:noProof/>
            <w:webHidden/>
          </w:rPr>
          <w:fldChar w:fldCharType="separate"/>
        </w:r>
        <w:r>
          <w:rPr>
            <w:noProof/>
            <w:webHidden/>
          </w:rPr>
          <w:t>28</w:t>
        </w:r>
        <w:r>
          <w:rPr>
            <w:noProof/>
            <w:webHidden/>
          </w:rPr>
          <w:fldChar w:fldCharType="end"/>
        </w:r>
      </w:hyperlink>
    </w:p>
    <w:p w:rsidR="00762EAE" w:rsidRDefault="00762EAE">
      <w:pPr>
        <w:pStyle w:val="TOC2"/>
        <w:tabs>
          <w:tab w:val="left" w:pos="720"/>
          <w:tab w:val="right" w:leader="dot" w:pos="9063"/>
        </w:tabs>
        <w:rPr>
          <w:rFonts w:eastAsiaTheme="minorEastAsia" w:cstheme="minorBidi"/>
          <w:i w:val="0"/>
          <w:iCs w:val="0"/>
          <w:noProof/>
          <w:sz w:val="22"/>
          <w:szCs w:val="22"/>
        </w:rPr>
      </w:pPr>
      <w:hyperlink w:anchor="_Toc393897867" w:history="1">
        <w:r w:rsidRPr="009E2E6E">
          <w:rPr>
            <w:rStyle w:val="Hyperlink"/>
            <w:noProof/>
          </w:rPr>
          <w:t>2.1</w:t>
        </w:r>
        <w:r>
          <w:rPr>
            <w:rFonts w:eastAsiaTheme="minorEastAsia" w:cstheme="minorBidi"/>
            <w:i w:val="0"/>
            <w:iCs w:val="0"/>
            <w:noProof/>
            <w:sz w:val="22"/>
            <w:szCs w:val="22"/>
          </w:rPr>
          <w:tab/>
        </w:r>
        <w:r w:rsidRPr="009E2E6E">
          <w:rPr>
            <w:rStyle w:val="Hyperlink"/>
            <w:noProof/>
          </w:rPr>
          <w:t>Nacionalni Inventar gasova staklene bašte za period 1990-2011</w:t>
        </w:r>
        <w:r>
          <w:rPr>
            <w:noProof/>
            <w:webHidden/>
          </w:rPr>
          <w:tab/>
        </w:r>
        <w:r>
          <w:rPr>
            <w:noProof/>
            <w:webHidden/>
          </w:rPr>
          <w:fldChar w:fldCharType="begin"/>
        </w:r>
        <w:r>
          <w:rPr>
            <w:noProof/>
            <w:webHidden/>
          </w:rPr>
          <w:instrText xml:space="preserve"> PAGEREF _Toc393897867 \h </w:instrText>
        </w:r>
        <w:r>
          <w:rPr>
            <w:noProof/>
            <w:webHidden/>
          </w:rPr>
        </w:r>
        <w:r>
          <w:rPr>
            <w:noProof/>
            <w:webHidden/>
          </w:rPr>
          <w:fldChar w:fldCharType="separate"/>
        </w:r>
        <w:r>
          <w:rPr>
            <w:noProof/>
            <w:webHidden/>
          </w:rPr>
          <w:t>28</w:t>
        </w:r>
        <w:r>
          <w:rPr>
            <w:noProof/>
            <w:webHidden/>
          </w:rPr>
          <w:fldChar w:fldCharType="end"/>
        </w:r>
      </w:hyperlink>
    </w:p>
    <w:p w:rsidR="00762EAE" w:rsidRDefault="00762EAE">
      <w:pPr>
        <w:pStyle w:val="TOC2"/>
        <w:tabs>
          <w:tab w:val="left" w:pos="720"/>
          <w:tab w:val="right" w:leader="dot" w:pos="9063"/>
        </w:tabs>
        <w:rPr>
          <w:rFonts w:eastAsiaTheme="minorEastAsia" w:cstheme="minorBidi"/>
          <w:i w:val="0"/>
          <w:iCs w:val="0"/>
          <w:noProof/>
          <w:sz w:val="22"/>
          <w:szCs w:val="22"/>
        </w:rPr>
      </w:pPr>
      <w:hyperlink w:anchor="_Toc393897868" w:history="1">
        <w:r w:rsidRPr="009E2E6E">
          <w:rPr>
            <w:rStyle w:val="Hyperlink"/>
            <w:noProof/>
          </w:rPr>
          <w:t>2.2</w:t>
        </w:r>
        <w:r>
          <w:rPr>
            <w:rFonts w:eastAsiaTheme="minorEastAsia" w:cstheme="minorBidi"/>
            <w:i w:val="0"/>
            <w:iCs w:val="0"/>
            <w:noProof/>
            <w:sz w:val="22"/>
            <w:szCs w:val="22"/>
          </w:rPr>
          <w:tab/>
        </w:r>
        <w:r w:rsidRPr="009E2E6E">
          <w:rPr>
            <w:rStyle w:val="Hyperlink"/>
            <w:noProof/>
          </w:rPr>
          <w:t>Supstance koje oštećuju ozonski omotač</w:t>
        </w:r>
        <w:r>
          <w:rPr>
            <w:noProof/>
            <w:webHidden/>
          </w:rPr>
          <w:tab/>
        </w:r>
        <w:r>
          <w:rPr>
            <w:noProof/>
            <w:webHidden/>
          </w:rPr>
          <w:fldChar w:fldCharType="begin"/>
        </w:r>
        <w:r>
          <w:rPr>
            <w:noProof/>
            <w:webHidden/>
          </w:rPr>
          <w:instrText xml:space="preserve"> PAGEREF _Toc393897868 \h </w:instrText>
        </w:r>
        <w:r>
          <w:rPr>
            <w:noProof/>
            <w:webHidden/>
          </w:rPr>
        </w:r>
        <w:r>
          <w:rPr>
            <w:noProof/>
            <w:webHidden/>
          </w:rPr>
          <w:fldChar w:fldCharType="separate"/>
        </w:r>
        <w:r>
          <w:rPr>
            <w:noProof/>
            <w:webHidden/>
          </w:rPr>
          <w:t>31</w:t>
        </w:r>
        <w:r>
          <w:rPr>
            <w:noProof/>
            <w:webHidden/>
          </w:rPr>
          <w:fldChar w:fldCharType="end"/>
        </w:r>
      </w:hyperlink>
    </w:p>
    <w:p w:rsidR="00762EAE" w:rsidRDefault="00762EAE">
      <w:pPr>
        <w:pStyle w:val="TOC2"/>
        <w:tabs>
          <w:tab w:val="left" w:pos="720"/>
          <w:tab w:val="right" w:leader="dot" w:pos="9063"/>
        </w:tabs>
        <w:rPr>
          <w:rFonts w:eastAsiaTheme="minorEastAsia" w:cstheme="minorBidi"/>
          <w:i w:val="0"/>
          <w:iCs w:val="0"/>
          <w:noProof/>
          <w:sz w:val="22"/>
          <w:szCs w:val="22"/>
        </w:rPr>
      </w:pPr>
      <w:hyperlink w:anchor="_Toc393897869" w:history="1">
        <w:r w:rsidRPr="009E2E6E">
          <w:rPr>
            <w:rStyle w:val="Hyperlink"/>
            <w:noProof/>
            <w:lang w:val="sr-Latn-CS"/>
          </w:rPr>
          <w:t>2.3</w:t>
        </w:r>
        <w:r>
          <w:rPr>
            <w:rFonts w:eastAsiaTheme="minorEastAsia" w:cstheme="minorBidi"/>
            <w:i w:val="0"/>
            <w:iCs w:val="0"/>
            <w:noProof/>
            <w:sz w:val="22"/>
            <w:szCs w:val="22"/>
          </w:rPr>
          <w:tab/>
        </w:r>
        <w:r w:rsidRPr="009E2E6E">
          <w:rPr>
            <w:rStyle w:val="Hyperlink"/>
            <w:noProof/>
            <w:lang w:val="sr-Latn-CS"/>
          </w:rPr>
          <w:t xml:space="preserve">Analiza </w:t>
        </w:r>
        <w:r w:rsidRPr="009E2E6E">
          <w:rPr>
            <w:rStyle w:val="Hyperlink"/>
            <w:noProof/>
          </w:rPr>
          <w:t>temperature</w:t>
        </w:r>
        <w:r w:rsidRPr="009E2E6E">
          <w:rPr>
            <w:rStyle w:val="Hyperlink"/>
            <w:noProof/>
            <w:lang w:val="sr-Latn-CS"/>
          </w:rPr>
          <w:t xml:space="preserve"> vazduha i količine padavina za 2013. godinu</w:t>
        </w:r>
        <w:r>
          <w:rPr>
            <w:noProof/>
            <w:webHidden/>
          </w:rPr>
          <w:tab/>
        </w:r>
        <w:r>
          <w:rPr>
            <w:noProof/>
            <w:webHidden/>
          </w:rPr>
          <w:fldChar w:fldCharType="begin"/>
        </w:r>
        <w:r>
          <w:rPr>
            <w:noProof/>
            <w:webHidden/>
          </w:rPr>
          <w:instrText xml:space="preserve"> PAGEREF _Toc393897869 \h </w:instrText>
        </w:r>
        <w:r>
          <w:rPr>
            <w:noProof/>
            <w:webHidden/>
          </w:rPr>
        </w:r>
        <w:r>
          <w:rPr>
            <w:noProof/>
            <w:webHidden/>
          </w:rPr>
          <w:fldChar w:fldCharType="separate"/>
        </w:r>
        <w:r>
          <w:rPr>
            <w:noProof/>
            <w:webHidden/>
          </w:rPr>
          <w:t>33</w:t>
        </w:r>
        <w:r>
          <w:rPr>
            <w:noProof/>
            <w:webHidden/>
          </w:rPr>
          <w:fldChar w:fldCharType="end"/>
        </w:r>
      </w:hyperlink>
    </w:p>
    <w:p w:rsidR="00762EAE" w:rsidRDefault="00762EAE">
      <w:pPr>
        <w:pStyle w:val="TOC2"/>
        <w:tabs>
          <w:tab w:val="left" w:pos="720"/>
          <w:tab w:val="right" w:leader="dot" w:pos="9063"/>
        </w:tabs>
        <w:rPr>
          <w:rFonts w:eastAsiaTheme="minorEastAsia" w:cstheme="minorBidi"/>
          <w:i w:val="0"/>
          <w:iCs w:val="0"/>
          <w:noProof/>
          <w:sz w:val="22"/>
          <w:szCs w:val="22"/>
        </w:rPr>
      </w:pPr>
      <w:hyperlink w:anchor="_Toc393897870" w:history="1">
        <w:r w:rsidRPr="009E2E6E">
          <w:rPr>
            <w:rStyle w:val="Hyperlink"/>
            <w:noProof/>
          </w:rPr>
          <w:t>2.4</w:t>
        </w:r>
        <w:r>
          <w:rPr>
            <w:rFonts w:eastAsiaTheme="minorEastAsia" w:cstheme="minorBidi"/>
            <w:i w:val="0"/>
            <w:iCs w:val="0"/>
            <w:noProof/>
            <w:sz w:val="22"/>
            <w:szCs w:val="22"/>
          </w:rPr>
          <w:tab/>
        </w:r>
        <w:r w:rsidRPr="009E2E6E">
          <w:rPr>
            <w:rStyle w:val="Hyperlink"/>
            <w:noProof/>
          </w:rPr>
          <w:t>COP19 Varšava, Poljska</w:t>
        </w:r>
        <w:r>
          <w:rPr>
            <w:noProof/>
            <w:webHidden/>
          </w:rPr>
          <w:tab/>
        </w:r>
        <w:r>
          <w:rPr>
            <w:noProof/>
            <w:webHidden/>
          </w:rPr>
          <w:fldChar w:fldCharType="begin"/>
        </w:r>
        <w:r>
          <w:rPr>
            <w:noProof/>
            <w:webHidden/>
          </w:rPr>
          <w:instrText xml:space="preserve"> PAGEREF _Toc393897870 \h </w:instrText>
        </w:r>
        <w:r>
          <w:rPr>
            <w:noProof/>
            <w:webHidden/>
          </w:rPr>
        </w:r>
        <w:r>
          <w:rPr>
            <w:noProof/>
            <w:webHidden/>
          </w:rPr>
          <w:fldChar w:fldCharType="separate"/>
        </w:r>
        <w:r>
          <w:rPr>
            <w:noProof/>
            <w:webHidden/>
          </w:rPr>
          <w:t>35</w:t>
        </w:r>
        <w:r>
          <w:rPr>
            <w:noProof/>
            <w:webHidden/>
          </w:rPr>
          <w:fldChar w:fldCharType="end"/>
        </w:r>
      </w:hyperlink>
    </w:p>
    <w:p w:rsidR="00762EAE" w:rsidRDefault="00762EAE">
      <w:pPr>
        <w:pStyle w:val="TOC3"/>
        <w:tabs>
          <w:tab w:val="right" w:leader="dot" w:pos="9063"/>
        </w:tabs>
        <w:rPr>
          <w:rFonts w:eastAsiaTheme="minorEastAsia" w:cstheme="minorBidi"/>
          <w:noProof/>
          <w:sz w:val="22"/>
          <w:szCs w:val="22"/>
        </w:rPr>
      </w:pPr>
      <w:hyperlink w:anchor="_Toc393897871" w:history="1">
        <w:r w:rsidRPr="009E2E6E">
          <w:rPr>
            <w:rStyle w:val="Hyperlink"/>
            <w:noProof/>
          </w:rPr>
          <w:t>2.4.1    Zaključci COP19</w:t>
        </w:r>
        <w:r>
          <w:rPr>
            <w:noProof/>
            <w:webHidden/>
          </w:rPr>
          <w:tab/>
        </w:r>
        <w:r>
          <w:rPr>
            <w:noProof/>
            <w:webHidden/>
          </w:rPr>
          <w:fldChar w:fldCharType="begin"/>
        </w:r>
        <w:r>
          <w:rPr>
            <w:noProof/>
            <w:webHidden/>
          </w:rPr>
          <w:instrText xml:space="preserve"> PAGEREF _Toc393897871 \h </w:instrText>
        </w:r>
        <w:r>
          <w:rPr>
            <w:noProof/>
            <w:webHidden/>
          </w:rPr>
        </w:r>
        <w:r>
          <w:rPr>
            <w:noProof/>
            <w:webHidden/>
          </w:rPr>
          <w:fldChar w:fldCharType="separate"/>
        </w:r>
        <w:r>
          <w:rPr>
            <w:noProof/>
            <w:webHidden/>
          </w:rPr>
          <w:t>35</w:t>
        </w:r>
        <w:r>
          <w:rPr>
            <w:noProof/>
            <w:webHidden/>
          </w:rPr>
          <w:fldChar w:fldCharType="end"/>
        </w:r>
      </w:hyperlink>
    </w:p>
    <w:p w:rsidR="00762EAE" w:rsidRDefault="00762EAE">
      <w:pPr>
        <w:pStyle w:val="TOC1"/>
        <w:rPr>
          <w:rFonts w:eastAsiaTheme="minorEastAsia" w:cstheme="minorBidi"/>
          <w:b w:val="0"/>
          <w:bCs w:val="0"/>
          <w:noProof/>
          <w:sz w:val="22"/>
          <w:szCs w:val="22"/>
        </w:rPr>
      </w:pPr>
      <w:hyperlink w:anchor="_Toc393897872" w:history="1">
        <w:r w:rsidRPr="009E2E6E">
          <w:rPr>
            <w:rStyle w:val="Hyperlink"/>
            <w:noProof/>
          </w:rPr>
          <w:t>3</w:t>
        </w:r>
        <w:r>
          <w:rPr>
            <w:rFonts w:eastAsiaTheme="minorEastAsia" w:cstheme="minorBidi"/>
            <w:b w:val="0"/>
            <w:bCs w:val="0"/>
            <w:noProof/>
            <w:sz w:val="22"/>
            <w:szCs w:val="22"/>
          </w:rPr>
          <w:tab/>
        </w:r>
        <w:r w:rsidRPr="009E2E6E">
          <w:rPr>
            <w:rStyle w:val="Hyperlink"/>
            <w:noProof/>
          </w:rPr>
          <w:t>VODE</w:t>
        </w:r>
        <w:r>
          <w:rPr>
            <w:noProof/>
            <w:webHidden/>
          </w:rPr>
          <w:tab/>
        </w:r>
        <w:r>
          <w:rPr>
            <w:noProof/>
            <w:webHidden/>
          </w:rPr>
          <w:fldChar w:fldCharType="begin"/>
        </w:r>
        <w:r>
          <w:rPr>
            <w:noProof/>
            <w:webHidden/>
          </w:rPr>
          <w:instrText xml:space="preserve"> PAGEREF _Toc393897872 \h </w:instrText>
        </w:r>
        <w:r>
          <w:rPr>
            <w:noProof/>
            <w:webHidden/>
          </w:rPr>
        </w:r>
        <w:r>
          <w:rPr>
            <w:noProof/>
            <w:webHidden/>
          </w:rPr>
          <w:fldChar w:fldCharType="separate"/>
        </w:r>
        <w:r>
          <w:rPr>
            <w:noProof/>
            <w:webHidden/>
          </w:rPr>
          <w:t>37</w:t>
        </w:r>
        <w:r>
          <w:rPr>
            <w:noProof/>
            <w:webHidden/>
          </w:rPr>
          <w:fldChar w:fldCharType="end"/>
        </w:r>
      </w:hyperlink>
    </w:p>
    <w:p w:rsidR="00762EAE" w:rsidRDefault="00762EAE">
      <w:pPr>
        <w:pStyle w:val="TOC3"/>
        <w:tabs>
          <w:tab w:val="right" w:leader="dot" w:pos="9063"/>
        </w:tabs>
        <w:rPr>
          <w:rFonts w:eastAsiaTheme="minorEastAsia" w:cstheme="minorBidi"/>
          <w:noProof/>
          <w:sz w:val="22"/>
          <w:szCs w:val="22"/>
        </w:rPr>
      </w:pPr>
      <w:hyperlink w:anchor="_Toc393897873" w:history="1">
        <w:r w:rsidRPr="009E2E6E">
          <w:rPr>
            <w:rStyle w:val="Hyperlink"/>
            <w:noProof/>
          </w:rPr>
          <w:t>Uvod</w:t>
        </w:r>
        <w:r>
          <w:rPr>
            <w:noProof/>
            <w:webHidden/>
          </w:rPr>
          <w:tab/>
        </w:r>
        <w:r>
          <w:rPr>
            <w:noProof/>
            <w:webHidden/>
          </w:rPr>
          <w:fldChar w:fldCharType="begin"/>
        </w:r>
        <w:r>
          <w:rPr>
            <w:noProof/>
            <w:webHidden/>
          </w:rPr>
          <w:instrText xml:space="preserve"> PAGEREF _Toc393897873 \h </w:instrText>
        </w:r>
        <w:r>
          <w:rPr>
            <w:noProof/>
            <w:webHidden/>
          </w:rPr>
        </w:r>
        <w:r>
          <w:rPr>
            <w:noProof/>
            <w:webHidden/>
          </w:rPr>
          <w:fldChar w:fldCharType="separate"/>
        </w:r>
        <w:r>
          <w:rPr>
            <w:noProof/>
            <w:webHidden/>
          </w:rPr>
          <w:t>37</w:t>
        </w:r>
        <w:r>
          <w:rPr>
            <w:noProof/>
            <w:webHidden/>
          </w:rPr>
          <w:fldChar w:fldCharType="end"/>
        </w:r>
      </w:hyperlink>
    </w:p>
    <w:p w:rsidR="00762EAE" w:rsidRDefault="00762EAE">
      <w:pPr>
        <w:pStyle w:val="TOC2"/>
        <w:tabs>
          <w:tab w:val="left" w:pos="720"/>
          <w:tab w:val="right" w:leader="dot" w:pos="9063"/>
        </w:tabs>
        <w:rPr>
          <w:rFonts w:eastAsiaTheme="minorEastAsia" w:cstheme="minorBidi"/>
          <w:i w:val="0"/>
          <w:iCs w:val="0"/>
          <w:noProof/>
          <w:sz w:val="22"/>
          <w:szCs w:val="22"/>
        </w:rPr>
      </w:pPr>
      <w:hyperlink w:anchor="_Toc393897874" w:history="1">
        <w:r w:rsidRPr="009E2E6E">
          <w:rPr>
            <w:rStyle w:val="Hyperlink"/>
            <w:noProof/>
            <w:lang w:val="pl-PL"/>
          </w:rPr>
          <w:t>3.1</w:t>
        </w:r>
        <w:r>
          <w:rPr>
            <w:rFonts w:eastAsiaTheme="minorEastAsia" w:cstheme="minorBidi"/>
            <w:i w:val="0"/>
            <w:iCs w:val="0"/>
            <w:noProof/>
            <w:sz w:val="22"/>
            <w:szCs w:val="22"/>
          </w:rPr>
          <w:tab/>
        </w:r>
        <w:r w:rsidRPr="009E2E6E">
          <w:rPr>
            <w:rStyle w:val="Hyperlink"/>
            <w:noProof/>
            <w:lang w:val="pl-PL"/>
          </w:rPr>
          <w:t>Ocjena stanja</w:t>
        </w:r>
        <w:r>
          <w:rPr>
            <w:noProof/>
            <w:webHidden/>
          </w:rPr>
          <w:tab/>
        </w:r>
        <w:r>
          <w:rPr>
            <w:noProof/>
            <w:webHidden/>
          </w:rPr>
          <w:fldChar w:fldCharType="begin"/>
        </w:r>
        <w:r>
          <w:rPr>
            <w:noProof/>
            <w:webHidden/>
          </w:rPr>
          <w:instrText xml:space="preserve"> PAGEREF _Toc393897874 \h </w:instrText>
        </w:r>
        <w:r>
          <w:rPr>
            <w:noProof/>
            <w:webHidden/>
          </w:rPr>
        </w:r>
        <w:r>
          <w:rPr>
            <w:noProof/>
            <w:webHidden/>
          </w:rPr>
          <w:fldChar w:fldCharType="separate"/>
        </w:r>
        <w:r>
          <w:rPr>
            <w:noProof/>
            <w:webHidden/>
          </w:rPr>
          <w:t>37</w:t>
        </w:r>
        <w:r>
          <w:rPr>
            <w:noProof/>
            <w:webHidden/>
          </w:rPr>
          <w:fldChar w:fldCharType="end"/>
        </w:r>
      </w:hyperlink>
    </w:p>
    <w:p w:rsidR="00762EAE" w:rsidRDefault="00762EAE">
      <w:pPr>
        <w:pStyle w:val="TOC3"/>
        <w:tabs>
          <w:tab w:val="right" w:leader="dot" w:pos="9063"/>
        </w:tabs>
        <w:rPr>
          <w:rFonts w:eastAsiaTheme="minorEastAsia" w:cstheme="minorBidi"/>
          <w:noProof/>
          <w:sz w:val="22"/>
          <w:szCs w:val="22"/>
        </w:rPr>
      </w:pPr>
      <w:hyperlink w:anchor="_Toc393897875" w:history="1">
        <w:r w:rsidRPr="009E2E6E">
          <w:rPr>
            <w:rStyle w:val="Hyperlink"/>
            <w:noProof/>
          </w:rPr>
          <w:t>3.1.1   Kvalitet voda</w:t>
        </w:r>
        <w:r>
          <w:rPr>
            <w:noProof/>
            <w:webHidden/>
          </w:rPr>
          <w:tab/>
        </w:r>
        <w:r>
          <w:rPr>
            <w:noProof/>
            <w:webHidden/>
          </w:rPr>
          <w:fldChar w:fldCharType="begin"/>
        </w:r>
        <w:r>
          <w:rPr>
            <w:noProof/>
            <w:webHidden/>
          </w:rPr>
          <w:instrText xml:space="preserve"> PAGEREF _Toc393897875 \h </w:instrText>
        </w:r>
        <w:r>
          <w:rPr>
            <w:noProof/>
            <w:webHidden/>
          </w:rPr>
        </w:r>
        <w:r>
          <w:rPr>
            <w:noProof/>
            <w:webHidden/>
          </w:rPr>
          <w:fldChar w:fldCharType="separate"/>
        </w:r>
        <w:r>
          <w:rPr>
            <w:noProof/>
            <w:webHidden/>
          </w:rPr>
          <w:t>38</w:t>
        </w:r>
        <w:r>
          <w:rPr>
            <w:noProof/>
            <w:webHidden/>
          </w:rPr>
          <w:fldChar w:fldCharType="end"/>
        </w:r>
      </w:hyperlink>
    </w:p>
    <w:p w:rsidR="00762EAE" w:rsidRDefault="00762EAE">
      <w:pPr>
        <w:pStyle w:val="TOC3"/>
        <w:tabs>
          <w:tab w:val="right" w:leader="dot" w:pos="9063"/>
        </w:tabs>
        <w:rPr>
          <w:rFonts w:eastAsiaTheme="minorEastAsia" w:cstheme="minorBidi"/>
          <w:noProof/>
          <w:sz w:val="22"/>
          <w:szCs w:val="22"/>
        </w:rPr>
      </w:pPr>
      <w:hyperlink w:anchor="_Toc393897876" w:history="1">
        <w:r w:rsidRPr="009E2E6E">
          <w:rPr>
            <w:rStyle w:val="Hyperlink"/>
            <w:noProof/>
          </w:rPr>
          <w:t>3.1.2  BPK</w:t>
        </w:r>
        <w:r w:rsidRPr="009E2E6E">
          <w:rPr>
            <w:rStyle w:val="Hyperlink"/>
            <w:noProof/>
            <w:vertAlign w:val="subscript"/>
          </w:rPr>
          <w:t xml:space="preserve">5 </w:t>
        </w:r>
        <w:r w:rsidRPr="009E2E6E">
          <w:rPr>
            <w:rStyle w:val="Hyperlink"/>
            <w:noProof/>
          </w:rPr>
          <w:t>– biološka potrošnja kiseonika</w:t>
        </w:r>
        <w:r>
          <w:rPr>
            <w:noProof/>
            <w:webHidden/>
          </w:rPr>
          <w:tab/>
        </w:r>
        <w:r>
          <w:rPr>
            <w:noProof/>
            <w:webHidden/>
          </w:rPr>
          <w:fldChar w:fldCharType="begin"/>
        </w:r>
        <w:r>
          <w:rPr>
            <w:noProof/>
            <w:webHidden/>
          </w:rPr>
          <w:instrText xml:space="preserve"> PAGEREF _Toc393897876 \h </w:instrText>
        </w:r>
        <w:r>
          <w:rPr>
            <w:noProof/>
            <w:webHidden/>
          </w:rPr>
        </w:r>
        <w:r>
          <w:rPr>
            <w:noProof/>
            <w:webHidden/>
          </w:rPr>
          <w:fldChar w:fldCharType="separate"/>
        </w:r>
        <w:r>
          <w:rPr>
            <w:noProof/>
            <w:webHidden/>
          </w:rPr>
          <w:t>38</w:t>
        </w:r>
        <w:r>
          <w:rPr>
            <w:noProof/>
            <w:webHidden/>
          </w:rPr>
          <w:fldChar w:fldCharType="end"/>
        </w:r>
      </w:hyperlink>
    </w:p>
    <w:p w:rsidR="00762EAE" w:rsidRDefault="00762EAE">
      <w:pPr>
        <w:pStyle w:val="TOC3"/>
        <w:tabs>
          <w:tab w:val="right" w:leader="dot" w:pos="9063"/>
        </w:tabs>
        <w:rPr>
          <w:rFonts w:eastAsiaTheme="minorEastAsia" w:cstheme="minorBidi"/>
          <w:noProof/>
          <w:sz w:val="22"/>
          <w:szCs w:val="22"/>
        </w:rPr>
      </w:pPr>
      <w:hyperlink w:anchor="_Toc393897877" w:history="1">
        <w:r w:rsidRPr="009E2E6E">
          <w:rPr>
            <w:rStyle w:val="Hyperlink"/>
            <w:noProof/>
          </w:rPr>
          <w:t>3.1.3  Sadržaj fosfata</w:t>
        </w:r>
        <w:r>
          <w:rPr>
            <w:noProof/>
            <w:webHidden/>
          </w:rPr>
          <w:tab/>
        </w:r>
        <w:r>
          <w:rPr>
            <w:noProof/>
            <w:webHidden/>
          </w:rPr>
          <w:fldChar w:fldCharType="begin"/>
        </w:r>
        <w:r>
          <w:rPr>
            <w:noProof/>
            <w:webHidden/>
          </w:rPr>
          <w:instrText xml:space="preserve"> PAGEREF _Toc393897877 \h </w:instrText>
        </w:r>
        <w:r>
          <w:rPr>
            <w:noProof/>
            <w:webHidden/>
          </w:rPr>
        </w:r>
        <w:r>
          <w:rPr>
            <w:noProof/>
            <w:webHidden/>
          </w:rPr>
          <w:fldChar w:fldCharType="separate"/>
        </w:r>
        <w:r>
          <w:rPr>
            <w:noProof/>
            <w:webHidden/>
          </w:rPr>
          <w:t>40</w:t>
        </w:r>
        <w:r>
          <w:rPr>
            <w:noProof/>
            <w:webHidden/>
          </w:rPr>
          <w:fldChar w:fldCharType="end"/>
        </w:r>
      </w:hyperlink>
    </w:p>
    <w:p w:rsidR="00762EAE" w:rsidRDefault="00762EAE">
      <w:pPr>
        <w:pStyle w:val="TOC3"/>
        <w:tabs>
          <w:tab w:val="right" w:leader="dot" w:pos="9063"/>
        </w:tabs>
        <w:rPr>
          <w:rFonts w:eastAsiaTheme="minorEastAsia" w:cstheme="minorBidi"/>
          <w:noProof/>
          <w:sz w:val="22"/>
          <w:szCs w:val="22"/>
        </w:rPr>
      </w:pPr>
      <w:hyperlink w:anchor="_Toc393897878" w:history="1">
        <w:r w:rsidRPr="009E2E6E">
          <w:rPr>
            <w:rStyle w:val="Hyperlink"/>
            <w:noProof/>
          </w:rPr>
          <w:t>3.1.4  Sadržaj nitr</w:t>
        </w:r>
        <w:r w:rsidRPr="009E2E6E">
          <w:rPr>
            <w:rStyle w:val="Hyperlink"/>
            <w:noProof/>
          </w:rPr>
          <w:t>a</w:t>
        </w:r>
        <w:r w:rsidRPr="009E2E6E">
          <w:rPr>
            <w:rStyle w:val="Hyperlink"/>
            <w:noProof/>
          </w:rPr>
          <w:t>ta</w:t>
        </w:r>
        <w:r>
          <w:rPr>
            <w:noProof/>
            <w:webHidden/>
          </w:rPr>
          <w:tab/>
        </w:r>
        <w:r>
          <w:rPr>
            <w:noProof/>
            <w:webHidden/>
          </w:rPr>
          <w:fldChar w:fldCharType="begin"/>
        </w:r>
        <w:r>
          <w:rPr>
            <w:noProof/>
            <w:webHidden/>
          </w:rPr>
          <w:instrText xml:space="preserve"> PAGEREF _Toc393897878 \h </w:instrText>
        </w:r>
        <w:r>
          <w:rPr>
            <w:noProof/>
            <w:webHidden/>
          </w:rPr>
        </w:r>
        <w:r>
          <w:rPr>
            <w:noProof/>
            <w:webHidden/>
          </w:rPr>
          <w:fldChar w:fldCharType="separate"/>
        </w:r>
        <w:r>
          <w:rPr>
            <w:noProof/>
            <w:webHidden/>
          </w:rPr>
          <w:t>42</w:t>
        </w:r>
        <w:r>
          <w:rPr>
            <w:noProof/>
            <w:webHidden/>
          </w:rPr>
          <w:fldChar w:fldCharType="end"/>
        </w:r>
      </w:hyperlink>
    </w:p>
    <w:p w:rsidR="00762EAE" w:rsidRDefault="00762EAE">
      <w:pPr>
        <w:pStyle w:val="TOC2"/>
        <w:tabs>
          <w:tab w:val="left" w:pos="720"/>
          <w:tab w:val="right" w:leader="dot" w:pos="9063"/>
        </w:tabs>
        <w:rPr>
          <w:rFonts w:eastAsiaTheme="minorEastAsia" w:cstheme="minorBidi"/>
          <w:i w:val="0"/>
          <w:iCs w:val="0"/>
          <w:noProof/>
          <w:sz w:val="22"/>
          <w:szCs w:val="22"/>
        </w:rPr>
      </w:pPr>
      <w:hyperlink w:anchor="_Toc393897879" w:history="1">
        <w:r w:rsidRPr="009E2E6E">
          <w:rPr>
            <w:rStyle w:val="Hyperlink"/>
            <w:noProof/>
          </w:rPr>
          <w:t>3.2</w:t>
        </w:r>
        <w:r>
          <w:rPr>
            <w:rFonts w:eastAsiaTheme="minorEastAsia" w:cstheme="minorBidi"/>
            <w:i w:val="0"/>
            <w:iCs w:val="0"/>
            <w:noProof/>
            <w:sz w:val="22"/>
            <w:szCs w:val="22"/>
          </w:rPr>
          <w:tab/>
        </w:r>
        <w:r w:rsidRPr="009E2E6E">
          <w:rPr>
            <w:rStyle w:val="Hyperlink"/>
            <w:noProof/>
          </w:rPr>
          <w:t>Ocjena stanja površinskih voda</w:t>
        </w:r>
        <w:r>
          <w:rPr>
            <w:noProof/>
            <w:webHidden/>
          </w:rPr>
          <w:tab/>
        </w:r>
        <w:r>
          <w:rPr>
            <w:noProof/>
            <w:webHidden/>
          </w:rPr>
          <w:fldChar w:fldCharType="begin"/>
        </w:r>
        <w:r>
          <w:rPr>
            <w:noProof/>
            <w:webHidden/>
          </w:rPr>
          <w:instrText xml:space="preserve"> PAGEREF _Toc393897879 \h </w:instrText>
        </w:r>
        <w:r>
          <w:rPr>
            <w:noProof/>
            <w:webHidden/>
          </w:rPr>
        </w:r>
        <w:r>
          <w:rPr>
            <w:noProof/>
            <w:webHidden/>
          </w:rPr>
          <w:fldChar w:fldCharType="separate"/>
        </w:r>
        <w:r>
          <w:rPr>
            <w:noProof/>
            <w:webHidden/>
          </w:rPr>
          <w:t>45</w:t>
        </w:r>
        <w:r>
          <w:rPr>
            <w:noProof/>
            <w:webHidden/>
          </w:rPr>
          <w:fldChar w:fldCharType="end"/>
        </w:r>
      </w:hyperlink>
    </w:p>
    <w:p w:rsidR="00762EAE" w:rsidRDefault="00762EAE">
      <w:pPr>
        <w:pStyle w:val="TOC2"/>
        <w:tabs>
          <w:tab w:val="left" w:pos="720"/>
          <w:tab w:val="right" w:leader="dot" w:pos="9063"/>
        </w:tabs>
        <w:rPr>
          <w:rFonts w:eastAsiaTheme="minorEastAsia" w:cstheme="minorBidi"/>
          <w:i w:val="0"/>
          <w:iCs w:val="0"/>
          <w:noProof/>
          <w:sz w:val="22"/>
          <w:szCs w:val="22"/>
        </w:rPr>
      </w:pPr>
      <w:hyperlink w:anchor="_Toc393897880" w:history="1">
        <w:r w:rsidRPr="009E2E6E">
          <w:rPr>
            <w:rStyle w:val="Hyperlink"/>
            <w:noProof/>
          </w:rPr>
          <w:t>3.3</w:t>
        </w:r>
        <w:r>
          <w:rPr>
            <w:rFonts w:eastAsiaTheme="minorEastAsia" w:cstheme="minorBidi"/>
            <w:i w:val="0"/>
            <w:iCs w:val="0"/>
            <w:noProof/>
            <w:sz w:val="22"/>
            <w:szCs w:val="22"/>
          </w:rPr>
          <w:tab/>
        </w:r>
        <w:r w:rsidRPr="009E2E6E">
          <w:rPr>
            <w:rStyle w:val="Hyperlink"/>
            <w:noProof/>
          </w:rPr>
          <w:t>Ocjena kvaliteta podzemnih voda</w:t>
        </w:r>
        <w:r>
          <w:rPr>
            <w:noProof/>
            <w:webHidden/>
          </w:rPr>
          <w:tab/>
        </w:r>
        <w:r>
          <w:rPr>
            <w:noProof/>
            <w:webHidden/>
          </w:rPr>
          <w:fldChar w:fldCharType="begin"/>
        </w:r>
        <w:r>
          <w:rPr>
            <w:noProof/>
            <w:webHidden/>
          </w:rPr>
          <w:instrText xml:space="preserve"> PAGEREF _Toc393897880 \h </w:instrText>
        </w:r>
        <w:r>
          <w:rPr>
            <w:noProof/>
            <w:webHidden/>
          </w:rPr>
        </w:r>
        <w:r>
          <w:rPr>
            <w:noProof/>
            <w:webHidden/>
          </w:rPr>
          <w:fldChar w:fldCharType="separate"/>
        </w:r>
        <w:r>
          <w:rPr>
            <w:noProof/>
            <w:webHidden/>
          </w:rPr>
          <w:t>48</w:t>
        </w:r>
        <w:r>
          <w:rPr>
            <w:noProof/>
            <w:webHidden/>
          </w:rPr>
          <w:fldChar w:fldCharType="end"/>
        </w:r>
      </w:hyperlink>
    </w:p>
    <w:p w:rsidR="00762EAE" w:rsidRDefault="00762EAE">
      <w:pPr>
        <w:pStyle w:val="TOC2"/>
        <w:tabs>
          <w:tab w:val="left" w:pos="720"/>
          <w:tab w:val="right" w:leader="dot" w:pos="9063"/>
        </w:tabs>
        <w:rPr>
          <w:rFonts w:eastAsiaTheme="minorEastAsia" w:cstheme="minorBidi"/>
          <w:i w:val="0"/>
          <w:iCs w:val="0"/>
          <w:noProof/>
          <w:sz w:val="22"/>
          <w:szCs w:val="22"/>
        </w:rPr>
      </w:pPr>
      <w:hyperlink w:anchor="_Toc393897881" w:history="1">
        <w:r w:rsidRPr="009E2E6E">
          <w:rPr>
            <w:rStyle w:val="Hyperlink"/>
            <w:noProof/>
          </w:rPr>
          <w:t>3.4</w:t>
        </w:r>
        <w:r>
          <w:rPr>
            <w:rFonts w:eastAsiaTheme="minorEastAsia" w:cstheme="minorBidi"/>
            <w:i w:val="0"/>
            <w:iCs w:val="0"/>
            <w:noProof/>
            <w:sz w:val="22"/>
            <w:szCs w:val="22"/>
          </w:rPr>
          <w:tab/>
        </w:r>
        <w:r w:rsidRPr="009E2E6E">
          <w:rPr>
            <w:rStyle w:val="Hyperlink"/>
            <w:noProof/>
          </w:rPr>
          <w:t>Indeks kvaliteta voda - Water Quality Index</w:t>
        </w:r>
        <w:r>
          <w:rPr>
            <w:noProof/>
            <w:webHidden/>
          </w:rPr>
          <w:tab/>
        </w:r>
        <w:r>
          <w:rPr>
            <w:noProof/>
            <w:webHidden/>
          </w:rPr>
          <w:fldChar w:fldCharType="begin"/>
        </w:r>
        <w:r>
          <w:rPr>
            <w:noProof/>
            <w:webHidden/>
          </w:rPr>
          <w:instrText xml:space="preserve"> PAGEREF _Toc393897881 \h </w:instrText>
        </w:r>
        <w:r>
          <w:rPr>
            <w:noProof/>
            <w:webHidden/>
          </w:rPr>
        </w:r>
        <w:r>
          <w:rPr>
            <w:noProof/>
            <w:webHidden/>
          </w:rPr>
          <w:fldChar w:fldCharType="separate"/>
        </w:r>
        <w:r>
          <w:rPr>
            <w:noProof/>
            <w:webHidden/>
          </w:rPr>
          <w:t>50</w:t>
        </w:r>
        <w:r>
          <w:rPr>
            <w:noProof/>
            <w:webHidden/>
          </w:rPr>
          <w:fldChar w:fldCharType="end"/>
        </w:r>
      </w:hyperlink>
    </w:p>
    <w:p w:rsidR="00762EAE" w:rsidRDefault="00762EAE">
      <w:pPr>
        <w:pStyle w:val="TOC2"/>
        <w:tabs>
          <w:tab w:val="left" w:pos="720"/>
          <w:tab w:val="right" w:leader="dot" w:pos="9063"/>
        </w:tabs>
        <w:rPr>
          <w:rFonts w:eastAsiaTheme="minorEastAsia" w:cstheme="minorBidi"/>
          <w:i w:val="0"/>
          <w:iCs w:val="0"/>
          <w:noProof/>
          <w:sz w:val="22"/>
          <w:szCs w:val="22"/>
        </w:rPr>
      </w:pPr>
      <w:hyperlink w:anchor="_Toc393897882" w:history="1">
        <w:r w:rsidRPr="009E2E6E">
          <w:rPr>
            <w:rStyle w:val="Hyperlink"/>
            <w:noProof/>
          </w:rPr>
          <w:t>3.5</w:t>
        </w:r>
        <w:r>
          <w:rPr>
            <w:rFonts w:eastAsiaTheme="minorEastAsia" w:cstheme="minorBidi"/>
            <w:i w:val="0"/>
            <w:iCs w:val="0"/>
            <w:noProof/>
            <w:sz w:val="22"/>
            <w:szCs w:val="22"/>
          </w:rPr>
          <w:tab/>
        </w:r>
        <w:r w:rsidRPr="009E2E6E">
          <w:rPr>
            <w:rStyle w:val="Hyperlink"/>
            <w:noProof/>
          </w:rPr>
          <w:t>Ocjena kvaliteta vode za piće</w:t>
        </w:r>
        <w:r>
          <w:rPr>
            <w:noProof/>
            <w:webHidden/>
          </w:rPr>
          <w:tab/>
        </w:r>
        <w:r>
          <w:rPr>
            <w:noProof/>
            <w:webHidden/>
          </w:rPr>
          <w:fldChar w:fldCharType="begin"/>
        </w:r>
        <w:r>
          <w:rPr>
            <w:noProof/>
            <w:webHidden/>
          </w:rPr>
          <w:instrText xml:space="preserve"> PAGEREF _Toc393897882 \h </w:instrText>
        </w:r>
        <w:r>
          <w:rPr>
            <w:noProof/>
            <w:webHidden/>
          </w:rPr>
        </w:r>
        <w:r>
          <w:rPr>
            <w:noProof/>
            <w:webHidden/>
          </w:rPr>
          <w:fldChar w:fldCharType="separate"/>
        </w:r>
        <w:r>
          <w:rPr>
            <w:noProof/>
            <w:webHidden/>
          </w:rPr>
          <w:t>51</w:t>
        </w:r>
        <w:r>
          <w:rPr>
            <w:noProof/>
            <w:webHidden/>
          </w:rPr>
          <w:fldChar w:fldCharType="end"/>
        </w:r>
      </w:hyperlink>
    </w:p>
    <w:p w:rsidR="00762EAE" w:rsidRDefault="00762EAE">
      <w:pPr>
        <w:pStyle w:val="TOC2"/>
        <w:tabs>
          <w:tab w:val="left" w:pos="720"/>
          <w:tab w:val="right" w:leader="dot" w:pos="9063"/>
        </w:tabs>
        <w:rPr>
          <w:rFonts w:eastAsiaTheme="minorEastAsia" w:cstheme="minorBidi"/>
          <w:i w:val="0"/>
          <w:iCs w:val="0"/>
          <w:noProof/>
          <w:sz w:val="22"/>
          <w:szCs w:val="22"/>
        </w:rPr>
      </w:pPr>
      <w:hyperlink w:anchor="_Toc393897883" w:history="1">
        <w:r w:rsidRPr="009E2E6E">
          <w:rPr>
            <w:rStyle w:val="Hyperlink"/>
            <w:noProof/>
          </w:rPr>
          <w:t>3.6</w:t>
        </w:r>
        <w:r>
          <w:rPr>
            <w:rFonts w:eastAsiaTheme="minorEastAsia" w:cstheme="minorBidi"/>
            <w:i w:val="0"/>
            <w:iCs w:val="0"/>
            <w:noProof/>
            <w:sz w:val="22"/>
            <w:szCs w:val="22"/>
          </w:rPr>
          <w:tab/>
        </w:r>
        <w:r w:rsidRPr="009E2E6E">
          <w:rPr>
            <w:rStyle w:val="Hyperlink"/>
            <w:noProof/>
          </w:rPr>
          <w:t>Kvalitet morske vode u sezoni 2013. godine</w:t>
        </w:r>
        <w:r>
          <w:rPr>
            <w:noProof/>
            <w:webHidden/>
          </w:rPr>
          <w:tab/>
        </w:r>
        <w:r>
          <w:rPr>
            <w:noProof/>
            <w:webHidden/>
          </w:rPr>
          <w:fldChar w:fldCharType="begin"/>
        </w:r>
        <w:r>
          <w:rPr>
            <w:noProof/>
            <w:webHidden/>
          </w:rPr>
          <w:instrText xml:space="preserve"> PAGEREF _Toc393897883 \h </w:instrText>
        </w:r>
        <w:r>
          <w:rPr>
            <w:noProof/>
            <w:webHidden/>
          </w:rPr>
        </w:r>
        <w:r>
          <w:rPr>
            <w:noProof/>
            <w:webHidden/>
          </w:rPr>
          <w:fldChar w:fldCharType="separate"/>
        </w:r>
        <w:r>
          <w:rPr>
            <w:noProof/>
            <w:webHidden/>
          </w:rPr>
          <w:t>54</w:t>
        </w:r>
        <w:r>
          <w:rPr>
            <w:noProof/>
            <w:webHidden/>
          </w:rPr>
          <w:fldChar w:fldCharType="end"/>
        </w:r>
      </w:hyperlink>
    </w:p>
    <w:p w:rsidR="00762EAE" w:rsidRDefault="00762EAE">
      <w:pPr>
        <w:pStyle w:val="TOC2"/>
        <w:tabs>
          <w:tab w:val="left" w:pos="720"/>
          <w:tab w:val="right" w:leader="dot" w:pos="9063"/>
        </w:tabs>
        <w:rPr>
          <w:rFonts w:eastAsiaTheme="minorEastAsia" w:cstheme="minorBidi"/>
          <w:i w:val="0"/>
          <w:iCs w:val="0"/>
          <w:noProof/>
          <w:sz w:val="22"/>
          <w:szCs w:val="22"/>
        </w:rPr>
      </w:pPr>
      <w:hyperlink w:anchor="_Toc393897884" w:history="1">
        <w:r w:rsidRPr="009E2E6E">
          <w:rPr>
            <w:rStyle w:val="Hyperlink"/>
            <w:noProof/>
          </w:rPr>
          <w:t>3.7</w:t>
        </w:r>
        <w:r>
          <w:rPr>
            <w:rFonts w:eastAsiaTheme="minorEastAsia" w:cstheme="minorBidi"/>
            <w:i w:val="0"/>
            <w:iCs w:val="0"/>
            <w:noProof/>
            <w:sz w:val="22"/>
            <w:szCs w:val="22"/>
          </w:rPr>
          <w:tab/>
        </w:r>
        <w:r w:rsidRPr="009E2E6E">
          <w:rPr>
            <w:rStyle w:val="Hyperlink"/>
            <w:noProof/>
          </w:rPr>
          <w:t>Zaključak</w:t>
        </w:r>
        <w:r>
          <w:rPr>
            <w:noProof/>
            <w:webHidden/>
          </w:rPr>
          <w:tab/>
        </w:r>
        <w:r>
          <w:rPr>
            <w:noProof/>
            <w:webHidden/>
          </w:rPr>
          <w:fldChar w:fldCharType="begin"/>
        </w:r>
        <w:r>
          <w:rPr>
            <w:noProof/>
            <w:webHidden/>
          </w:rPr>
          <w:instrText xml:space="preserve"> PAGEREF _Toc393897884 \h </w:instrText>
        </w:r>
        <w:r>
          <w:rPr>
            <w:noProof/>
            <w:webHidden/>
          </w:rPr>
        </w:r>
        <w:r>
          <w:rPr>
            <w:noProof/>
            <w:webHidden/>
          </w:rPr>
          <w:fldChar w:fldCharType="separate"/>
        </w:r>
        <w:r>
          <w:rPr>
            <w:noProof/>
            <w:webHidden/>
          </w:rPr>
          <w:t>55</w:t>
        </w:r>
        <w:r>
          <w:rPr>
            <w:noProof/>
            <w:webHidden/>
          </w:rPr>
          <w:fldChar w:fldCharType="end"/>
        </w:r>
      </w:hyperlink>
    </w:p>
    <w:p w:rsidR="00762EAE" w:rsidRDefault="00762EAE">
      <w:pPr>
        <w:pStyle w:val="TOC1"/>
        <w:rPr>
          <w:rFonts w:eastAsiaTheme="minorEastAsia" w:cstheme="minorBidi"/>
          <w:b w:val="0"/>
          <w:bCs w:val="0"/>
          <w:noProof/>
          <w:sz w:val="22"/>
          <w:szCs w:val="22"/>
        </w:rPr>
      </w:pPr>
      <w:hyperlink w:anchor="_Toc393897885" w:history="1">
        <w:r w:rsidRPr="009E2E6E">
          <w:rPr>
            <w:rStyle w:val="Hyperlink"/>
            <w:noProof/>
          </w:rPr>
          <w:t>4</w:t>
        </w:r>
        <w:r>
          <w:rPr>
            <w:rFonts w:eastAsiaTheme="minorEastAsia" w:cstheme="minorBidi"/>
            <w:b w:val="0"/>
            <w:bCs w:val="0"/>
            <w:noProof/>
            <w:sz w:val="22"/>
            <w:szCs w:val="22"/>
          </w:rPr>
          <w:tab/>
        </w:r>
        <w:r w:rsidRPr="009E2E6E">
          <w:rPr>
            <w:rStyle w:val="Hyperlink"/>
            <w:noProof/>
          </w:rPr>
          <w:t>ZEMLJIŠTE</w:t>
        </w:r>
        <w:r>
          <w:rPr>
            <w:noProof/>
            <w:webHidden/>
          </w:rPr>
          <w:tab/>
        </w:r>
        <w:r>
          <w:rPr>
            <w:noProof/>
            <w:webHidden/>
          </w:rPr>
          <w:fldChar w:fldCharType="begin"/>
        </w:r>
        <w:r>
          <w:rPr>
            <w:noProof/>
            <w:webHidden/>
          </w:rPr>
          <w:instrText xml:space="preserve"> PAGEREF _Toc393897885 \h </w:instrText>
        </w:r>
        <w:r>
          <w:rPr>
            <w:noProof/>
            <w:webHidden/>
          </w:rPr>
        </w:r>
        <w:r>
          <w:rPr>
            <w:noProof/>
            <w:webHidden/>
          </w:rPr>
          <w:fldChar w:fldCharType="separate"/>
        </w:r>
        <w:r>
          <w:rPr>
            <w:noProof/>
            <w:webHidden/>
          </w:rPr>
          <w:t>56</w:t>
        </w:r>
        <w:r>
          <w:rPr>
            <w:noProof/>
            <w:webHidden/>
          </w:rPr>
          <w:fldChar w:fldCharType="end"/>
        </w:r>
      </w:hyperlink>
    </w:p>
    <w:p w:rsidR="00762EAE" w:rsidRDefault="00762EAE">
      <w:pPr>
        <w:pStyle w:val="TOC3"/>
        <w:tabs>
          <w:tab w:val="right" w:leader="dot" w:pos="9063"/>
        </w:tabs>
        <w:rPr>
          <w:rFonts w:eastAsiaTheme="minorEastAsia" w:cstheme="minorBidi"/>
          <w:noProof/>
          <w:sz w:val="22"/>
          <w:szCs w:val="22"/>
        </w:rPr>
      </w:pPr>
      <w:hyperlink w:anchor="_Toc393897886" w:history="1">
        <w:r w:rsidRPr="009E2E6E">
          <w:rPr>
            <w:rStyle w:val="Hyperlink"/>
            <w:noProof/>
          </w:rPr>
          <w:t>Uvod</w:t>
        </w:r>
        <w:r>
          <w:rPr>
            <w:noProof/>
            <w:webHidden/>
          </w:rPr>
          <w:tab/>
        </w:r>
        <w:r>
          <w:rPr>
            <w:noProof/>
            <w:webHidden/>
          </w:rPr>
          <w:fldChar w:fldCharType="begin"/>
        </w:r>
        <w:r>
          <w:rPr>
            <w:noProof/>
            <w:webHidden/>
          </w:rPr>
          <w:instrText xml:space="preserve"> PAGEREF _Toc393897886 \h </w:instrText>
        </w:r>
        <w:r>
          <w:rPr>
            <w:noProof/>
            <w:webHidden/>
          </w:rPr>
        </w:r>
        <w:r>
          <w:rPr>
            <w:noProof/>
            <w:webHidden/>
          </w:rPr>
          <w:fldChar w:fldCharType="separate"/>
        </w:r>
        <w:r>
          <w:rPr>
            <w:noProof/>
            <w:webHidden/>
          </w:rPr>
          <w:t>56</w:t>
        </w:r>
        <w:r>
          <w:rPr>
            <w:noProof/>
            <w:webHidden/>
          </w:rPr>
          <w:fldChar w:fldCharType="end"/>
        </w:r>
      </w:hyperlink>
    </w:p>
    <w:p w:rsidR="00762EAE" w:rsidRDefault="00762EAE">
      <w:pPr>
        <w:pStyle w:val="TOC2"/>
        <w:tabs>
          <w:tab w:val="left" w:pos="720"/>
          <w:tab w:val="right" w:leader="dot" w:pos="9063"/>
        </w:tabs>
        <w:rPr>
          <w:rFonts w:eastAsiaTheme="minorEastAsia" w:cstheme="minorBidi"/>
          <w:i w:val="0"/>
          <w:iCs w:val="0"/>
          <w:noProof/>
          <w:sz w:val="22"/>
          <w:szCs w:val="22"/>
        </w:rPr>
      </w:pPr>
      <w:hyperlink w:anchor="_Toc393897887" w:history="1">
        <w:r w:rsidRPr="009E2E6E">
          <w:rPr>
            <w:rStyle w:val="Hyperlink"/>
            <w:noProof/>
            <w:lang w:val="sr-Latn-CS"/>
          </w:rPr>
          <w:t>4.1</w:t>
        </w:r>
        <w:r>
          <w:rPr>
            <w:rFonts w:eastAsiaTheme="minorEastAsia" w:cstheme="minorBidi"/>
            <w:i w:val="0"/>
            <w:iCs w:val="0"/>
            <w:noProof/>
            <w:sz w:val="22"/>
            <w:szCs w:val="22"/>
          </w:rPr>
          <w:tab/>
        </w:r>
        <w:r w:rsidRPr="009E2E6E">
          <w:rPr>
            <w:rStyle w:val="Hyperlink"/>
            <w:noProof/>
          </w:rPr>
          <w:t>Rezultati</w:t>
        </w:r>
        <w:r w:rsidRPr="009E2E6E">
          <w:rPr>
            <w:rStyle w:val="Hyperlink"/>
            <w:noProof/>
            <w:lang w:val="sr-Latn-CS"/>
          </w:rPr>
          <w:t xml:space="preserve"> ispitivanja opasnih i štetnih materija u zemljištu na području opštine Berane</w:t>
        </w:r>
        <w:r>
          <w:rPr>
            <w:noProof/>
            <w:webHidden/>
          </w:rPr>
          <w:tab/>
        </w:r>
        <w:r>
          <w:rPr>
            <w:noProof/>
            <w:webHidden/>
          </w:rPr>
          <w:fldChar w:fldCharType="begin"/>
        </w:r>
        <w:r>
          <w:rPr>
            <w:noProof/>
            <w:webHidden/>
          </w:rPr>
          <w:instrText xml:space="preserve"> PAGEREF _Toc393897887 \h </w:instrText>
        </w:r>
        <w:r>
          <w:rPr>
            <w:noProof/>
            <w:webHidden/>
          </w:rPr>
        </w:r>
        <w:r>
          <w:rPr>
            <w:noProof/>
            <w:webHidden/>
          </w:rPr>
          <w:fldChar w:fldCharType="separate"/>
        </w:r>
        <w:r>
          <w:rPr>
            <w:noProof/>
            <w:webHidden/>
          </w:rPr>
          <w:t>57</w:t>
        </w:r>
        <w:r>
          <w:rPr>
            <w:noProof/>
            <w:webHidden/>
          </w:rPr>
          <w:fldChar w:fldCharType="end"/>
        </w:r>
      </w:hyperlink>
    </w:p>
    <w:p w:rsidR="00762EAE" w:rsidRDefault="00762EAE">
      <w:pPr>
        <w:pStyle w:val="TOC2"/>
        <w:tabs>
          <w:tab w:val="left" w:pos="720"/>
          <w:tab w:val="right" w:leader="dot" w:pos="9063"/>
        </w:tabs>
        <w:rPr>
          <w:rFonts w:eastAsiaTheme="minorEastAsia" w:cstheme="minorBidi"/>
          <w:i w:val="0"/>
          <w:iCs w:val="0"/>
          <w:noProof/>
          <w:sz w:val="22"/>
          <w:szCs w:val="22"/>
        </w:rPr>
      </w:pPr>
      <w:hyperlink w:anchor="_Toc393897888" w:history="1">
        <w:r w:rsidRPr="009E2E6E">
          <w:rPr>
            <w:rStyle w:val="Hyperlink"/>
            <w:noProof/>
            <w:lang w:val="sr-Latn-CS"/>
          </w:rPr>
          <w:t>4.2</w:t>
        </w:r>
        <w:r>
          <w:rPr>
            <w:rFonts w:eastAsiaTheme="minorEastAsia" w:cstheme="minorBidi"/>
            <w:i w:val="0"/>
            <w:iCs w:val="0"/>
            <w:noProof/>
            <w:sz w:val="22"/>
            <w:szCs w:val="22"/>
          </w:rPr>
          <w:tab/>
        </w:r>
        <w:r w:rsidRPr="009E2E6E">
          <w:rPr>
            <w:rStyle w:val="Hyperlink"/>
            <w:noProof/>
            <w:lang w:val="sr-Latn-CS"/>
          </w:rPr>
          <w:t>Rezultati ispitivanja opasnih i štetnih materija u zemljištu na području opštine Bijelo Polje</w:t>
        </w:r>
        <w:r>
          <w:rPr>
            <w:noProof/>
            <w:webHidden/>
          </w:rPr>
          <w:tab/>
        </w:r>
        <w:r>
          <w:rPr>
            <w:noProof/>
            <w:webHidden/>
          </w:rPr>
          <w:fldChar w:fldCharType="begin"/>
        </w:r>
        <w:r>
          <w:rPr>
            <w:noProof/>
            <w:webHidden/>
          </w:rPr>
          <w:instrText xml:space="preserve"> PAGEREF _Toc393897888 \h </w:instrText>
        </w:r>
        <w:r>
          <w:rPr>
            <w:noProof/>
            <w:webHidden/>
          </w:rPr>
        </w:r>
        <w:r>
          <w:rPr>
            <w:noProof/>
            <w:webHidden/>
          </w:rPr>
          <w:fldChar w:fldCharType="separate"/>
        </w:r>
        <w:r>
          <w:rPr>
            <w:noProof/>
            <w:webHidden/>
          </w:rPr>
          <w:t>58</w:t>
        </w:r>
        <w:r>
          <w:rPr>
            <w:noProof/>
            <w:webHidden/>
          </w:rPr>
          <w:fldChar w:fldCharType="end"/>
        </w:r>
      </w:hyperlink>
    </w:p>
    <w:p w:rsidR="00762EAE" w:rsidRDefault="00762EAE">
      <w:pPr>
        <w:pStyle w:val="TOC2"/>
        <w:tabs>
          <w:tab w:val="left" w:pos="720"/>
          <w:tab w:val="right" w:leader="dot" w:pos="9063"/>
        </w:tabs>
        <w:rPr>
          <w:rFonts w:eastAsiaTheme="minorEastAsia" w:cstheme="minorBidi"/>
          <w:i w:val="0"/>
          <w:iCs w:val="0"/>
          <w:noProof/>
          <w:sz w:val="22"/>
          <w:szCs w:val="22"/>
        </w:rPr>
      </w:pPr>
      <w:hyperlink w:anchor="_Toc393897889" w:history="1">
        <w:r w:rsidRPr="009E2E6E">
          <w:rPr>
            <w:rStyle w:val="Hyperlink"/>
            <w:noProof/>
            <w:lang w:val="sr-Latn-CS"/>
          </w:rPr>
          <w:t>4.3</w:t>
        </w:r>
        <w:r>
          <w:rPr>
            <w:rFonts w:eastAsiaTheme="minorEastAsia" w:cstheme="minorBidi"/>
            <w:i w:val="0"/>
            <w:iCs w:val="0"/>
            <w:noProof/>
            <w:sz w:val="22"/>
            <w:szCs w:val="22"/>
          </w:rPr>
          <w:tab/>
        </w:r>
        <w:r w:rsidRPr="009E2E6E">
          <w:rPr>
            <w:rStyle w:val="Hyperlink"/>
            <w:noProof/>
            <w:lang w:val="sr-Latn-CS"/>
          </w:rPr>
          <w:t>Rezultati ispitivanja opasnih i štetnih materija u zemljištu na području opštine Žabljak</w:t>
        </w:r>
        <w:r>
          <w:rPr>
            <w:noProof/>
            <w:webHidden/>
          </w:rPr>
          <w:tab/>
        </w:r>
        <w:r>
          <w:rPr>
            <w:noProof/>
            <w:webHidden/>
          </w:rPr>
          <w:fldChar w:fldCharType="begin"/>
        </w:r>
        <w:r>
          <w:rPr>
            <w:noProof/>
            <w:webHidden/>
          </w:rPr>
          <w:instrText xml:space="preserve"> PAGEREF _Toc393897889 \h </w:instrText>
        </w:r>
        <w:r>
          <w:rPr>
            <w:noProof/>
            <w:webHidden/>
          </w:rPr>
        </w:r>
        <w:r>
          <w:rPr>
            <w:noProof/>
            <w:webHidden/>
          </w:rPr>
          <w:fldChar w:fldCharType="separate"/>
        </w:r>
        <w:r>
          <w:rPr>
            <w:noProof/>
            <w:webHidden/>
          </w:rPr>
          <w:t>59</w:t>
        </w:r>
        <w:r>
          <w:rPr>
            <w:noProof/>
            <w:webHidden/>
          </w:rPr>
          <w:fldChar w:fldCharType="end"/>
        </w:r>
      </w:hyperlink>
    </w:p>
    <w:p w:rsidR="00762EAE" w:rsidRDefault="00762EAE">
      <w:pPr>
        <w:pStyle w:val="TOC2"/>
        <w:tabs>
          <w:tab w:val="left" w:pos="720"/>
          <w:tab w:val="right" w:leader="dot" w:pos="9063"/>
        </w:tabs>
        <w:rPr>
          <w:rFonts w:eastAsiaTheme="minorEastAsia" w:cstheme="minorBidi"/>
          <w:i w:val="0"/>
          <w:iCs w:val="0"/>
          <w:noProof/>
          <w:sz w:val="22"/>
          <w:szCs w:val="22"/>
        </w:rPr>
      </w:pPr>
      <w:hyperlink w:anchor="_Toc393897890" w:history="1">
        <w:r w:rsidRPr="009E2E6E">
          <w:rPr>
            <w:rStyle w:val="Hyperlink"/>
            <w:noProof/>
            <w:lang w:val="sr-Latn-CS"/>
          </w:rPr>
          <w:t>4.4</w:t>
        </w:r>
        <w:r>
          <w:rPr>
            <w:rFonts w:eastAsiaTheme="minorEastAsia" w:cstheme="minorBidi"/>
            <w:i w:val="0"/>
            <w:iCs w:val="0"/>
            <w:noProof/>
            <w:sz w:val="22"/>
            <w:szCs w:val="22"/>
          </w:rPr>
          <w:tab/>
        </w:r>
        <w:r w:rsidRPr="009E2E6E">
          <w:rPr>
            <w:rStyle w:val="Hyperlink"/>
            <w:noProof/>
            <w:lang w:val="sr-Latn-CS"/>
          </w:rPr>
          <w:t xml:space="preserve">Rezultati </w:t>
        </w:r>
        <w:r w:rsidRPr="009E2E6E">
          <w:rPr>
            <w:rStyle w:val="Hyperlink"/>
            <w:noProof/>
          </w:rPr>
          <w:t>ispitivanja</w:t>
        </w:r>
        <w:r w:rsidRPr="009E2E6E">
          <w:rPr>
            <w:rStyle w:val="Hyperlink"/>
            <w:noProof/>
            <w:lang w:val="sr-Latn-CS"/>
          </w:rPr>
          <w:t xml:space="preserve"> opasnih i štetnih materija u zemljištu na području opštine Kolašin</w:t>
        </w:r>
        <w:r>
          <w:rPr>
            <w:noProof/>
            <w:webHidden/>
          </w:rPr>
          <w:tab/>
        </w:r>
        <w:r>
          <w:rPr>
            <w:noProof/>
            <w:webHidden/>
          </w:rPr>
          <w:fldChar w:fldCharType="begin"/>
        </w:r>
        <w:r>
          <w:rPr>
            <w:noProof/>
            <w:webHidden/>
          </w:rPr>
          <w:instrText xml:space="preserve"> PAGEREF _Toc393897890 \h </w:instrText>
        </w:r>
        <w:r>
          <w:rPr>
            <w:noProof/>
            <w:webHidden/>
          </w:rPr>
        </w:r>
        <w:r>
          <w:rPr>
            <w:noProof/>
            <w:webHidden/>
          </w:rPr>
          <w:fldChar w:fldCharType="separate"/>
        </w:r>
        <w:r>
          <w:rPr>
            <w:noProof/>
            <w:webHidden/>
          </w:rPr>
          <w:t>60</w:t>
        </w:r>
        <w:r>
          <w:rPr>
            <w:noProof/>
            <w:webHidden/>
          </w:rPr>
          <w:fldChar w:fldCharType="end"/>
        </w:r>
      </w:hyperlink>
    </w:p>
    <w:p w:rsidR="00762EAE" w:rsidRDefault="00762EAE">
      <w:pPr>
        <w:pStyle w:val="TOC2"/>
        <w:tabs>
          <w:tab w:val="left" w:pos="720"/>
          <w:tab w:val="right" w:leader="dot" w:pos="9063"/>
        </w:tabs>
        <w:rPr>
          <w:rFonts w:eastAsiaTheme="minorEastAsia" w:cstheme="minorBidi"/>
          <w:i w:val="0"/>
          <w:iCs w:val="0"/>
          <w:noProof/>
          <w:sz w:val="22"/>
          <w:szCs w:val="22"/>
        </w:rPr>
      </w:pPr>
      <w:hyperlink w:anchor="_Toc393897891" w:history="1">
        <w:r w:rsidRPr="009E2E6E">
          <w:rPr>
            <w:rStyle w:val="Hyperlink"/>
            <w:noProof/>
            <w:lang w:val="sr-Latn-CS"/>
          </w:rPr>
          <w:t>4.5</w:t>
        </w:r>
        <w:r>
          <w:rPr>
            <w:rFonts w:eastAsiaTheme="minorEastAsia" w:cstheme="minorBidi"/>
            <w:i w:val="0"/>
            <w:iCs w:val="0"/>
            <w:noProof/>
            <w:sz w:val="22"/>
            <w:szCs w:val="22"/>
          </w:rPr>
          <w:tab/>
        </w:r>
        <w:r w:rsidRPr="009E2E6E">
          <w:rPr>
            <w:rStyle w:val="Hyperlink"/>
            <w:noProof/>
            <w:lang w:val="sr-Latn-CS"/>
          </w:rPr>
          <w:t xml:space="preserve">Rezultati </w:t>
        </w:r>
        <w:r w:rsidRPr="009E2E6E">
          <w:rPr>
            <w:rStyle w:val="Hyperlink"/>
            <w:noProof/>
          </w:rPr>
          <w:t>ispitivanja</w:t>
        </w:r>
        <w:r w:rsidRPr="009E2E6E">
          <w:rPr>
            <w:rStyle w:val="Hyperlink"/>
            <w:noProof/>
            <w:lang w:val="sr-Latn-CS"/>
          </w:rPr>
          <w:t xml:space="preserve"> opasnih i štetnih materija u zemljištu na području opštine Nikšić</w:t>
        </w:r>
        <w:r>
          <w:rPr>
            <w:noProof/>
            <w:webHidden/>
          </w:rPr>
          <w:tab/>
        </w:r>
        <w:r>
          <w:rPr>
            <w:noProof/>
            <w:webHidden/>
          </w:rPr>
          <w:fldChar w:fldCharType="begin"/>
        </w:r>
        <w:r>
          <w:rPr>
            <w:noProof/>
            <w:webHidden/>
          </w:rPr>
          <w:instrText xml:space="preserve"> PAGEREF _Toc393897891 \h </w:instrText>
        </w:r>
        <w:r>
          <w:rPr>
            <w:noProof/>
            <w:webHidden/>
          </w:rPr>
        </w:r>
        <w:r>
          <w:rPr>
            <w:noProof/>
            <w:webHidden/>
          </w:rPr>
          <w:fldChar w:fldCharType="separate"/>
        </w:r>
        <w:r>
          <w:rPr>
            <w:noProof/>
            <w:webHidden/>
          </w:rPr>
          <w:t>61</w:t>
        </w:r>
        <w:r>
          <w:rPr>
            <w:noProof/>
            <w:webHidden/>
          </w:rPr>
          <w:fldChar w:fldCharType="end"/>
        </w:r>
      </w:hyperlink>
    </w:p>
    <w:p w:rsidR="00762EAE" w:rsidRDefault="00762EAE">
      <w:pPr>
        <w:pStyle w:val="TOC2"/>
        <w:tabs>
          <w:tab w:val="left" w:pos="720"/>
          <w:tab w:val="right" w:leader="dot" w:pos="9063"/>
        </w:tabs>
        <w:rPr>
          <w:rFonts w:eastAsiaTheme="minorEastAsia" w:cstheme="minorBidi"/>
          <w:i w:val="0"/>
          <w:iCs w:val="0"/>
          <w:noProof/>
          <w:sz w:val="22"/>
          <w:szCs w:val="22"/>
        </w:rPr>
      </w:pPr>
      <w:hyperlink w:anchor="_Toc393897892" w:history="1">
        <w:r w:rsidRPr="009E2E6E">
          <w:rPr>
            <w:rStyle w:val="Hyperlink"/>
            <w:noProof/>
            <w:lang w:val="sr-Latn-CS"/>
          </w:rPr>
          <w:t>4.6</w:t>
        </w:r>
        <w:r>
          <w:rPr>
            <w:rFonts w:eastAsiaTheme="minorEastAsia" w:cstheme="minorBidi"/>
            <w:i w:val="0"/>
            <w:iCs w:val="0"/>
            <w:noProof/>
            <w:sz w:val="22"/>
            <w:szCs w:val="22"/>
          </w:rPr>
          <w:tab/>
        </w:r>
        <w:r w:rsidRPr="009E2E6E">
          <w:rPr>
            <w:rStyle w:val="Hyperlink"/>
            <w:noProof/>
          </w:rPr>
          <w:t>Rezultati</w:t>
        </w:r>
        <w:r w:rsidRPr="009E2E6E">
          <w:rPr>
            <w:rStyle w:val="Hyperlink"/>
            <w:noProof/>
            <w:lang w:val="sr-Latn-CS"/>
          </w:rPr>
          <w:t xml:space="preserve"> ispitivanja opasnih i štetnih materija u zemljištu na području Glavnog grada Podgorica</w:t>
        </w:r>
        <w:r>
          <w:rPr>
            <w:noProof/>
            <w:webHidden/>
          </w:rPr>
          <w:tab/>
        </w:r>
        <w:r>
          <w:rPr>
            <w:noProof/>
            <w:webHidden/>
          </w:rPr>
          <w:fldChar w:fldCharType="begin"/>
        </w:r>
        <w:r>
          <w:rPr>
            <w:noProof/>
            <w:webHidden/>
          </w:rPr>
          <w:instrText xml:space="preserve"> PAGEREF _Toc393897892 \h </w:instrText>
        </w:r>
        <w:r>
          <w:rPr>
            <w:noProof/>
            <w:webHidden/>
          </w:rPr>
        </w:r>
        <w:r>
          <w:rPr>
            <w:noProof/>
            <w:webHidden/>
          </w:rPr>
          <w:fldChar w:fldCharType="separate"/>
        </w:r>
        <w:r>
          <w:rPr>
            <w:noProof/>
            <w:webHidden/>
          </w:rPr>
          <w:t>63</w:t>
        </w:r>
        <w:r>
          <w:rPr>
            <w:noProof/>
            <w:webHidden/>
          </w:rPr>
          <w:fldChar w:fldCharType="end"/>
        </w:r>
      </w:hyperlink>
    </w:p>
    <w:p w:rsidR="00762EAE" w:rsidRDefault="00762EAE">
      <w:pPr>
        <w:pStyle w:val="TOC2"/>
        <w:tabs>
          <w:tab w:val="left" w:pos="720"/>
          <w:tab w:val="right" w:leader="dot" w:pos="9063"/>
        </w:tabs>
        <w:rPr>
          <w:rFonts w:eastAsiaTheme="minorEastAsia" w:cstheme="minorBidi"/>
          <w:i w:val="0"/>
          <w:iCs w:val="0"/>
          <w:noProof/>
          <w:sz w:val="22"/>
          <w:szCs w:val="22"/>
        </w:rPr>
      </w:pPr>
      <w:hyperlink w:anchor="_Toc393897893" w:history="1">
        <w:r w:rsidRPr="009E2E6E">
          <w:rPr>
            <w:rStyle w:val="Hyperlink"/>
            <w:noProof/>
            <w:lang w:val="sr-Latn-CS"/>
          </w:rPr>
          <w:t>4.7</w:t>
        </w:r>
        <w:r>
          <w:rPr>
            <w:rFonts w:eastAsiaTheme="minorEastAsia" w:cstheme="minorBidi"/>
            <w:i w:val="0"/>
            <w:iCs w:val="0"/>
            <w:noProof/>
            <w:sz w:val="22"/>
            <w:szCs w:val="22"/>
          </w:rPr>
          <w:tab/>
        </w:r>
        <w:r w:rsidRPr="009E2E6E">
          <w:rPr>
            <w:rStyle w:val="Hyperlink"/>
            <w:noProof/>
            <w:lang w:val="sr-Latn-CS"/>
          </w:rPr>
          <w:t xml:space="preserve">Rezultati </w:t>
        </w:r>
        <w:r w:rsidRPr="009E2E6E">
          <w:rPr>
            <w:rStyle w:val="Hyperlink"/>
            <w:noProof/>
          </w:rPr>
          <w:t>ispitivanja</w:t>
        </w:r>
        <w:r w:rsidRPr="009E2E6E">
          <w:rPr>
            <w:rStyle w:val="Hyperlink"/>
            <w:noProof/>
            <w:lang w:val="sr-Latn-CS"/>
          </w:rPr>
          <w:t xml:space="preserve"> opasnih i štetnih materija u zemljištu na području opštine Pljevlja</w:t>
        </w:r>
        <w:r>
          <w:rPr>
            <w:noProof/>
            <w:webHidden/>
          </w:rPr>
          <w:tab/>
        </w:r>
        <w:r>
          <w:rPr>
            <w:noProof/>
            <w:webHidden/>
          </w:rPr>
          <w:fldChar w:fldCharType="begin"/>
        </w:r>
        <w:r>
          <w:rPr>
            <w:noProof/>
            <w:webHidden/>
          </w:rPr>
          <w:instrText xml:space="preserve"> PAGEREF _Toc393897893 \h </w:instrText>
        </w:r>
        <w:r>
          <w:rPr>
            <w:noProof/>
            <w:webHidden/>
          </w:rPr>
        </w:r>
        <w:r>
          <w:rPr>
            <w:noProof/>
            <w:webHidden/>
          </w:rPr>
          <w:fldChar w:fldCharType="separate"/>
        </w:r>
        <w:r>
          <w:rPr>
            <w:noProof/>
            <w:webHidden/>
          </w:rPr>
          <w:t>65</w:t>
        </w:r>
        <w:r>
          <w:rPr>
            <w:noProof/>
            <w:webHidden/>
          </w:rPr>
          <w:fldChar w:fldCharType="end"/>
        </w:r>
      </w:hyperlink>
    </w:p>
    <w:p w:rsidR="00762EAE" w:rsidRDefault="00762EAE">
      <w:pPr>
        <w:pStyle w:val="TOC2"/>
        <w:tabs>
          <w:tab w:val="left" w:pos="720"/>
          <w:tab w:val="right" w:leader="dot" w:pos="9063"/>
        </w:tabs>
        <w:rPr>
          <w:rFonts w:eastAsiaTheme="minorEastAsia" w:cstheme="minorBidi"/>
          <w:i w:val="0"/>
          <w:iCs w:val="0"/>
          <w:noProof/>
          <w:sz w:val="22"/>
          <w:szCs w:val="22"/>
        </w:rPr>
      </w:pPr>
      <w:hyperlink w:anchor="_Toc393897894" w:history="1">
        <w:r w:rsidRPr="009E2E6E">
          <w:rPr>
            <w:rStyle w:val="Hyperlink"/>
            <w:noProof/>
            <w:lang w:val="sr-Latn-CS"/>
          </w:rPr>
          <w:t>4.8</w:t>
        </w:r>
        <w:r>
          <w:rPr>
            <w:rFonts w:eastAsiaTheme="minorEastAsia" w:cstheme="minorBidi"/>
            <w:i w:val="0"/>
            <w:iCs w:val="0"/>
            <w:noProof/>
            <w:sz w:val="22"/>
            <w:szCs w:val="22"/>
          </w:rPr>
          <w:tab/>
        </w:r>
        <w:r w:rsidRPr="009E2E6E">
          <w:rPr>
            <w:rStyle w:val="Hyperlink"/>
            <w:noProof/>
            <w:lang w:val="sr-Latn-CS"/>
          </w:rPr>
          <w:t xml:space="preserve">Rezultati </w:t>
        </w:r>
        <w:r w:rsidRPr="009E2E6E">
          <w:rPr>
            <w:rStyle w:val="Hyperlink"/>
            <w:noProof/>
          </w:rPr>
          <w:t>ispitivanja</w:t>
        </w:r>
        <w:r w:rsidRPr="009E2E6E">
          <w:rPr>
            <w:rStyle w:val="Hyperlink"/>
            <w:noProof/>
            <w:lang w:val="sr-Latn-CS"/>
          </w:rPr>
          <w:t xml:space="preserve"> opasnih i štetnih materija u zemljištu na području opštine Tivat</w:t>
        </w:r>
        <w:r>
          <w:rPr>
            <w:noProof/>
            <w:webHidden/>
          </w:rPr>
          <w:tab/>
        </w:r>
        <w:r>
          <w:rPr>
            <w:noProof/>
            <w:webHidden/>
          </w:rPr>
          <w:fldChar w:fldCharType="begin"/>
        </w:r>
        <w:r>
          <w:rPr>
            <w:noProof/>
            <w:webHidden/>
          </w:rPr>
          <w:instrText xml:space="preserve"> PAGEREF _Toc393897894 \h </w:instrText>
        </w:r>
        <w:r>
          <w:rPr>
            <w:noProof/>
            <w:webHidden/>
          </w:rPr>
        </w:r>
        <w:r>
          <w:rPr>
            <w:noProof/>
            <w:webHidden/>
          </w:rPr>
          <w:fldChar w:fldCharType="separate"/>
        </w:r>
        <w:r>
          <w:rPr>
            <w:noProof/>
            <w:webHidden/>
          </w:rPr>
          <w:t>66</w:t>
        </w:r>
        <w:r>
          <w:rPr>
            <w:noProof/>
            <w:webHidden/>
          </w:rPr>
          <w:fldChar w:fldCharType="end"/>
        </w:r>
      </w:hyperlink>
    </w:p>
    <w:p w:rsidR="00762EAE" w:rsidRDefault="00762EAE">
      <w:pPr>
        <w:pStyle w:val="TOC2"/>
        <w:tabs>
          <w:tab w:val="left" w:pos="720"/>
          <w:tab w:val="right" w:leader="dot" w:pos="9063"/>
        </w:tabs>
        <w:rPr>
          <w:rFonts w:eastAsiaTheme="minorEastAsia" w:cstheme="minorBidi"/>
          <w:i w:val="0"/>
          <w:iCs w:val="0"/>
          <w:noProof/>
          <w:sz w:val="22"/>
          <w:szCs w:val="22"/>
        </w:rPr>
      </w:pPr>
      <w:hyperlink w:anchor="_Toc393897895" w:history="1">
        <w:r w:rsidRPr="009E2E6E">
          <w:rPr>
            <w:rStyle w:val="Hyperlink"/>
            <w:noProof/>
            <w:lang w:val="sr-Latn-CS"/>
          </w:rPr>
          <w:t>4.9</w:t>
        </w:r>
        <w:r>
          <w:rPr>
            <w:rFonts w:eastAsiaTheme="minorEastAsia" w:cstheme="minorBidi"/>
            <w:i w:val="0"/>
            <w:iCs w:val="0"/>
            <w:noProof/>
            <w:sz w:val="22"/>
            <w:szCs w:val="22"/>
          </w:rPr>
          <w:tab/>
        </w:r>
        <w:r w:rsidRPr="009E2E6E">
          <w:rPr>
            <w:rStyle w:val="Hyperlink"/>
            <w:noProof/>
            <w:lang w:val="sr-Latn-CS"/>
          </w:rPr>
          <w:t xml:space="preserve">Rezultati </w:t>
        </w:r>
        <w:r w:rsidRPr="009E2E6E">
          <w:rPr>
            <w:rStyle w:val="Hyperlink"/>
            <w:noProof/>
          </w:rPr>
          <w:t>ispitivanja</w:t>
        </w:r>
        <w:r w:rsidRPr="009E2E6E">
          <w:rPr>
            <w:rStyle w:val="Hyperlink"/>
            <w:noProof/>
            <w:lang w:val="sr-Latn-CS"/>
          </w:rPr>
          <w:t xml:space="preserve"> opasnih i štetnih materija u zemljištu na području opštine Ulcinj</w:t>
        </w:r>
        <w:r>
          <w:rPr>
            <w:noProof/>
            <w:webHidden/>
          </w:rPr>
          <w:tab/>
        </w:r>
        <w:r>
          <w:rPr>
            <w:noProof/>
            <w:webHidden/>
          </w:rPr>
          <w:fldChar w:fldCharType="begin"/>
        </w:r>
        <w:r>
          <w:rPr>
            <w:noProof/>
            <w:webHidden/>
          </w:rPr>
          <w:instrText xml:space="preserve"> PAGEREF _Toc393897895 \h </w:instrText>
        </w:r>
        <w:r>
          <w:rPr>
            <w:noProof/>
            <w:webHidden/>
          </w:rPr>
        </w:r>
        <w:r>
          <w:rPr>
            <w:noProof/>
            <w:webHidden/>
          </w:rPr>
          <w:fldChar w:fldCharType="separate"/>
        </w:r>
        <w:r>
          <w:rPr>
            <w:noProof/>
            <w:webHidden/>
          </w:rPr>
          <w:t>67</w:t>
        </w:r>
        <w:r>
          <w:rPr>
            <w:noProof/>
            <w:webHidden/>
          </w:rPr>
          <w:fldChar w:fldCharType="end"/>
        </w:r>
      </w:hyperlink>
    </w:p>
    <w:p w:rsidR="00762EAE" w:rsidRDefault="00762EAE">
      <w:pPr>
        <w:pStyle w:val="TOC2"/>
        <w:tabs>
          <w:tab w:val="left" w:pos="900"/>
          <w:tab w:val="right" w:leader="dot" w:pos="9063"/>
        </w:tabs>
        <w:rPr>
          <w:rFonts w:eastAsiaTheme="minorEastAsia" w:cstheme="minorBidi"/>
          <w:i w:val="0"/>
          <w:iCs w:val="0"/>
          <w:noProof/>
          <w:sz w:val="22"/>
          <w:szCs w:val="22"/>
        </w:rPr>
      </w:pPr>
      <w:hyperlink w:anchor="_Toc393897896" w:history="1">
        <w:r w:rsidRPr="009E2E6E">
          <w:rPr>
            <w:rStyle w:val="Hyperlink"/>
            <w:rFonts w:eastAsiaTheme="minorHAnsi"/>
            <w:noProof/>
          </w:rPr>
          <w:t>4.10</w:t>
        </w:r>
        <w:r>
          <w:rPr>
            <w:rFonts w:eastAsiaTheme="minorEastAsia" w:cstheme="minorBidi"/>
            <w:i w:val="0"/>
            <w:iCs w:val="0"/>
            <w:noProof/>
            <w:sz w:val="22"/>
            <w:szCs w:val="22"/>
          </w:rPr>
          <w:tab/>
        </w:r>
        <w:r w:rsidRPr="009E2E6E">
          <w:rPr>
            <w:rStyle w:val="Hyperlink"/>
            <w:rFonts w:eastAsiaTheme="minorHAnsi"/>
            <w:noProof/>
          </w:rPr>
          <w:t>Rezultati ispitivanja opasnih i štetnih materija u zemljištu na području opštine Mojkovac</w:t>
        </w:r>
        <w:r>
          <w:rPr>
            <w:noProof/>
            <w:webHidden/>
          </w:rPr>
          <w:tab/>
        </w:r>
        <w:r>
          <w:rPr>
            <w:noProof/>
            <w:webHidden/>
          </w:rPr>
          <w:fldChar w:fldCharType="begin"/>
        </w:r>
        <w:r>
          <w:rPr>
            <w:noProof/>
            <w:webHidden/>
          </w:rPr>
          <w:instrText xml:space="preserve"> PAGEREF _Toc393897896 \h </w:instrText>
        </w:r>
        <w:r>
          <w:rPr>
            <w:noProof/>
            <w:webHidden/>
          </w:rPr>
        </w:r>
        <w:r>
          <w:rPr>
            <w:noProof/>
            <w:webHidden/>
          </w:rPr>
          <w:fldChar w:fldCharType="separate"/>
        </w:r>
        <w:r>
          <w:rPr>
            <w:noProof/>
            <w:webHidden/>
          </w:rPr>
          <w:t>68</w:t>
        </w:r>
        <w:r>
          <w:rPr>
            <w:noProof/>
            <w:webHidden/>
          </w:rPr>
          <w:fldChar w:fldCharType="end"/>
        </w:r>
      </w:hyperlink>
    </w:p>
    <w:p w:rsidR="00762EAE" w:rsidRDefault="00762EAE">
      <w:pPr>
        <w:pStyle w:val="TOC2"/>
        <w:tabs>
          <w:tab w:val="left" w:pos="900"/>
          <w:tab w:val="right" w:leader="dot" w:pos="9063"/>
        </w:tabs>
        <w:rPr>
          <w:rFonts w:eastAsiaTheme="minorEastAsia" w:cstheme="minorBidi"/>
          <w:i w:val="0"/>
          <w:iCs w:val="0"/>
          <w:noProof/>
          <w:sz w:val="22"/>
          <w:szCs w:val="22"/>
        </w:rPr>
      </w:pPr>
      <w:hyperlink w:anchor="_Toc393897897" w:history="1">
        <w:r w:rsidRPr="009E2E6E">
          <w:rPr>
            <w:rStyle w:val="Hyperlink"/>
            <w:rFonts w:eastAsiaTheme="minorHAnsi"/>
            <w:noProof/>
          </w:rPr>
          <w:t>4.11</w:t>
        </w:r>
        <w:r>
          <w:rPr>
            <w:rFonts w:eastAsiaTheme="minorEastAsia" w:cstheme="minorBidi"/>
            <w:i w:val="0"/>
            <w:iCs w:val="0"/>
            <w:noProof/>
            <w:sz w:val="22"/>
            <w:szCs w:val="22"/>
          </w:rPr>
          <w:tab/>
        </w:r>
        <w:r w:rsidRPr="009E2E6E">
          <w:rPr>
            <w:rStyle w:val="Hyperlink"/>
            <w:rFonts w:eastAsiaTheme="minorHAnsi"/>
            <w:noProof/>
          </w:rPr>
          <w:t>Dječija igrališta</w:t>
        </w:r>
        <w:r>
          <w:rPr>
            <w:noProof/>
            <w:webHidden/>
          </w:rPr>
          <w:tab/>
        </w:r>
        <w:r>
          <w:rPr>
            <w:noProof/>
            <w:webHidden/>
          </w:rPr>
          <w:fldChar w:fldCharType="begin"/>
        </w:r>
        <w:r>
          <w:rPr>
            <w:noProof/>
            <w:webHidden/>
          </w:rPr>
          <w:instrText xml:space="preserve"> PAGEREF _Toc393897897 \h </w:instrText>
        </w:r>
        <w:r>
          <w:rPr>
            <w:noProof/>
            <w:webHidden/>
          </w:rPr>
        </w:r>
        <w:r>
          <w:rPr>
            <w:noProof/>
            <w:webHidden/>
          </w:rPr>
          <w:fldChar w:fldCharType="separate"/>
        </w:r>
        <w:r>
          <w:rPr>
            <w:noProof/>
            <w:webHidden/>
          </w:rPr>
          <w:t>68</w:t>
        </w:r>
        <w:r>
          <w:rPr>
            <w:noProof/>
            <w:webHidden/>
          </w:rPr>
          <w:fldChar w:fldCharType="end"/>
        </w:r>
      </w:hyperlink>
    </w:p>
    <w:p w:rsidR="00762EAE" w:rsidRDefault="00762EAE">
      <w:pPr>
        <w:pStyle w:val="TOC2"/>
        <w:tabs>
          <w:tab w:val="left" w:pos="900"/>
          <w:tab w:val="right" w:leader="dot" w:pos="9063"/>
        </w:tabs>
        <w:rPr>
          <w:rFonts w:eastAsiaTheme="minorEastAsia" w:cstheme="minorBidi"/>
          <w:i w:val="0"/>
          <w:iCs w:val="0"/>
          <w:noProof/>
          <w:sz w:val="22"/>
          <w:szCs w:val="22"/>
        </w:rPr>
      </w:pPr>
      <w:hyperlink w:anchor="_Toc393897898" w:history="1">
        <w:r w:rsidRPr="009E2E6E">
          <w:rPr>
            <w:rStyle w:val="Hyperlink"/>
            <w:noProof/>
            <w:lang w:val="sr-Latn-CS"/>
          </w:rPr>
          <w:t>4.12</w:t>
        </w:r>
        <w:r>
          <w:rPr>
            <w:rFonts w:eastAsiaTheme="minorEastAsia" w:cstheme="minorBidi"/>
            <w:i w:val="0"/>
            <w:iCs w:val="0"/>
            <w:noProof/>
            <w:sz w:val="22"/>
            <w:szCs w:val="22"/>
          </w:rPr>
          <w:tab/>
        </w:r>
        <w:r w:rsidRPr="009E2E6E">
          <w:rPr>
            <w:rStyle w:val="Hyperlink"/>
            <w:noProof/>
          </w:rPr>
          <w:t>Zaključak</w:t>
        </w:r>
        <w:r>
          <w:rPr>
            <w:noProof/>
            <w:webHidden/>
          </w:rPr>
          <w:tab/>
        </w:r>
        <w:r>
          <w:rPr>
            <w:noProof/>
            <w:webHidden/>
          </w:rPr>
          <w:fldChar w:fldCharType="begin"/>
        </w:r>
        <w:r>
          <w:rPr>
            <w:noProof/>
            <w:webHidden/>
          </w:rPr>
          <w:instrText xml:space="preserve"> PAGEREF _Toc393897898 \h </w:instrText>
        </w:r>
        <w:r>
          <w:rPr>
            <w:noProof/>
            <w:webHidden/>
          </w:rPr>
        </w:r>
        <w:r>
          <w:rPr>
            <w:noProof/>
            <w:webHidden/>
          </w:rPr>
          <w:fldChar w:fldCharType="separate"/>
        </w:r>
        <w:r>
          <w:rPr>
            <w:noProof/>
            <w:webHidden/>
          </w:rPr>
          <w:t>70</w:t>
        </w:r>
        <w:r>
          <w:rPr>
            <w:noProof/>
            <w:webHidden/>
          </w:rPr>
          <w:fldChar w:fldCharType="end"/>
        </w:r>
      </w:hyperlink>
    </w:p>
    <w:p w:rsidR="00762EAE" w:rsidRDefault="00762EAE">
      <w:pPr>
        <w:pStyle w:val="TOC1"/>
        <w:rPr>
          <w:rFonts w:eastAsiaTheme="minorEastAsia" w:cstheme="minorBidi"/>
          <w:b w:val="0"/>
          <w:bCs w:val="0"/>
          <w:noProof/>
          <w:sz w:val="22"/>
          <w:szCs w:val="22"/>
        </w:rPr>
      </w:pPr>
      <w:hyperlink w:anchor="_Toc393897899" w:history="1">
        <w:r w:rsidRPr="009E2E6E">
          <w:rPr>
            <w:rStyle w:val="Hyperlink"/>
            <w:noProof/>
          </w:rPr>
          <w:t>5</w:t>
        </w:r>
        <w:r>
          <w:rPr>
            <w:rFonts w:eastAsiaTheme="minorEastAsia" w:cstheme="minorBidi"/>
            <w:b w:val="0"/>
            <w:bCs w:val="0"/>
            <w:noProof/>
            <w:sz w:val="22"/>
            <w:szCs w:val="22"/>
          </w:rPr>
          <w:tab/>
        </w:r>
        <w:r w:rsidRPr="009E2E6E">
          <w:rPr>
            <w:rStyle w:val="Hyperlink"/>
            <w:noProof/>
          </w:rPr>
          <w:t>UPRAVLJANJE OTPADOM</w:t>
        </w:r>
        <w:r>
          <w:rPr>
            <w:noProof/>
            <w:webHidden/>
          </w:rPr>
          <w:tab/>
        </w:r>
        <w:r>
          <w:rPr>
            <w:noProof/>
            <w:webHidden/>
          </w:rPr>
          <w:fldChar w:fldCharType="begin"/>
        </w:r>
        <w:r>
          <w:rPr>
            <w:noProof/>
            <w:webHidden/>
          </w:rPr>
          <w:instrText xml:space="preserve"> PAGEREF _Toc393897899 \h </w:instrText>
        </w:r>
        <w:r>
          <w:rPr>
            <w:noProof/>
            <w:webHidden/>
          </w:rPr>
        </w:r>
        <w:r>
          <w:rPr>
            <w:noProof/>
            <w:webHidden/>
          </w:rPr>
          <w:fldChar w:fldCharType="separate"/>
        </w:r>
        <w:r>
          <w:rPr>
            <w:noProof/>
            <w:webHidden/>
          </w:rPr>
          <w:t>73</w:t>
        </w:r>
        <w:r>
          <w:rPr>
            <w:noProof/>
            <w:webHidden/>
          </w:rPr>
          <w:fldChar w:fldCharType="end"/>
        </w:r>
      </w:hyperlink>
    </w:p>
    <w:p w:rsidR="00762EAE" w:rsidRDefault="00762EAE">
      <w:pPr>
        <w:pStyle w:val="TOC3"/>
        <w:tabs>
          <w:tab w:val="right" w:leader="dot" w:pos="9063"/>
        </w:tabs>
        <w:rPr>
          <w:rFonts w:eastAsiaTheme="minorEastAsia" w:cstheme="minorBidi"/>
          <w:noProof/>
          <w:sz w:val="22"/>
          <w:szCs w:val="22"/>
        </w:rPr>
      </w:pPr>
      <w:hyperlink w:anchor="_Toc393897900" w:history="1">
        <w:r w:rsidRPr="009E2E6E">
          <w:rPr>
            <w:rStyle w:val="Hyperlink"/>
            <w:noProof/>
          </w:rPr>
          <w:t>Uvod</w:t>
        </w:r>
        <w:r>
          <w:rPr>
            <w:noProof/>
            <w:webHidden/>
          </w:rPr>
          <w:tab/>
        </w:r>
        <w:r>
          <w:rPr>
            <w:noProof/>
            <w:webHidden/>
          </w:rPr>
          <w:fldChar w:fldCharType="begin"/>
        </w:r>
        <w:r>
          <w:rPr>
            <w:noProof/>
            <w:webHidden/>
          </w:rPr>
          <w:instrText xml:space="preserve"> PAGEREF _Toc393897900 \h </w:instrText>
        </w:r>
        <w:r>
          <w:rPr>
            <w:noProof/>
            <w:webHidden/>
          </w:rPr>
        </w:r>
        <w:r>
          <w:rPr>
            <w:noProof/>
            <w:webHidden/>
          </w:rPr>
          <w:fldChar w:fldCharType="separate"/>
        </w:r>
        <w:r>
          <w:rPr>
            <w:noProof/>
            <w:webHidden/>
          </w:rPr>
          <w:t>73</w:t>
        </w:r>
        <w:r>
          <w:rPr>
            <w:noProof/>
            <w:webHidden/>
          </w:rPr>
          <w:fldChar w:fldCharType="end"/>
        </w:r>
      </w:hyperlink>
    </w:p>
    <w:p w:rsidR="00762EAE" w:rsidRDefault="00762EAE">
      <w:pPr>
        <w:pStyle w:val="TOC2"/>
        <w:tabs>
          <w:tab w:val="left" w:pos="720"/>
          <w:tab w:val="right" w:leader="dot" w:pos="9063"/>
        </w:tabs>
        <w:rPr>
          <w:rFonts w:eastAsiaTheme="minorEastAsia" w:cstheme="minorBidi"/>
          <w:i w:val="0"/>
          <w:iCs w:val="0"/>
          <w:noProof/>
          <w:sz w:val="22"/>
          <w:szCs w:val="22"/>
        </w:rPr>
      </w:pPr>
      <w:hyperlink w:anchor="_Toc393897901" w:history="1">
        <w:r w:rsidRPr="009E2E6E">
          <w:rPr>
            <w:rStyle w:val="Hyperlink"/>
            <w:noProof/>
          </w:rPr>
          <w:t>5.1</w:t>
        </w:r>
        <w:r>
          <w:rPr>
            <w:rFonts w:eastAsiaTheme="minorEastAsia" w:cstheme="minorBidi"/>
            <w:i w:val="0"/>
            <w:iCs w:val="0"/>
            <w:noProof/>
            <w:sz w:val="22"/>
            <w:szCs w:val="22"/>
          </w:rPr>
          <w:tab/>
        </w:r>
        <w:r w:rsidRPr="009E2E6E">
          <w:rPr>
            <w:rStyle w:val="Hyperlink"/>
            <w:noProof/>
          </w:rPr>
          <w:t>Podjela otpada</w:t>
        </w:r>
        <w:r>
          <w:rPr>
            <w:noProof/>
            <w:webHidden/>
          </w:rPr>
          <w:tab/>
        </w:r>
        <w:r>
          <w:rPr>
            <w:noProof/>
            <w:webHidden/>
          </w:rPr>
          <w:fldChar w:fldCharType="begin"/>
        </w:r>
        <w:r>
          <w:rPr>
            <w:noProof/>
            <w:webHidden/>
          </w:rPr>
          <w:instrText xml:space="preserve"> PAGEREF _Toc393897901 \h </w:instrText>
        </w:r>
        <w:r>
          <w:rPr>
            <w:noProof/>
            <w:webHidden/>
          </w:rPr>
        </w:r>
        <w:r>
          <w:rPr>
            <w:noProof/>
            <w:webHidden/>
          </w:rPr>
          <w:fldChar w:fldCharType="separate"/>
        </w:r>
        <w:r>
          <w:rPr>
            <w:noProof/>
            <w:webHidden/>
          </w:rPr>
          <w:t>73</w:t>
        </w:r>
        <w:r>
          <w:rPr>
            <w:noProof/>
            <w:webHidden/>
          </w:rPr>
          <w:fldChar w:fldCharType="end"/>
        </w:r>
      </w:hyperlink>
    </w:p>
    <w:p w:rsidR="00762EAE" w:rsidRDefault="00762EAE">
      <w:pPr>
        <w:pStyle w:val="TOC3"/>
        <w:tabs>
          <w:tab w:val="left" w:pos="1080"/>
          <w:tab w:val="right" w:leader="dot" w:pos="9063"/>
        </w:tabs>
        <w:rPr>
          <w:rFonts w:eastAsiaTheme="minorEastAsia" w:cstheme="minorBidi"/>
          <w:noProof/>
          <w:sz w:val="22"/>
          <w:szCs w:val="22"/>
        </w:rPr>
      </w:pPr>
      <w:hyperlink w:anchor="_Toc393897902" w:history="1">
        <w:r w:rsidRPr="009E2E6E">
          <w:rPr>
            <w:rStyle w:val="Hyperlink"/>
            <w:noProof/>
          </w:rPr>
          <w:t>5.1.1</w:t>
        </w:r>
        <w:r>
          <w:rPr>
            <w:rFonts w:eastAsiaTheme="minorEastAsia" w:cstheme="minorBidi"/>
            <w:noProof/>
            <w:sz w:val="22"/>
            <w:szCs w:val="22"/>
          </w:rPr>
          <w:tab/>
        </w:r>
        <w:r w:rsidRPr="009E2E6E">
          <w:rPr>
            <w:rStyle w:val="Hyperlink"/>
            <w:noProof/>
          </w:rPr>
          <w:t>Opasni otpad</w:t>
        </w:r>
        <w:r>
          <w:rPr>
            <w:noProof/>
            <w:webHidden/>
          </w:rPr>
          <w:tab/>
        </w:r>
        <w:r>
          <w:rPr>
            <w:noProof/>
            <w:webHidden/>
          </w:rPr>
          <w:fldChar w:fldCharType="begin"/>
        </w:r>
        <w:r>
          <w:rPr>
            <w:noProof/>
            <w:webHidden/>
          </w:rPr>
          <w:instrText xml:space="preserve"> PAGEREF _Toc393897902 \h </w:instrText>
        </w:r>
        <w:r>
          <w:rPr>
            <w:noProof/>
            <w:webHidden/>
          </w:rPr>
        </w:r>
        <w:r>
          <w:rPr>
            <w:noProof/>
            <w:webHidden/>
          </w:rPr>
          <w:fldChar w:fldCharType="separate"/>
        </w:r>
        <w:r>
          <w:rPr>
            <w:noProof/>
            <w:webHidden/>
          </w:rPr>
          <w:t>74</w:t>
        </w:r>
        <w:r>
          <w:rPr>
            <w:noProof/>
            <w:webHidden/>
          </w:rPr>
          <w:fldChar w:fldCharType="end"/>
        </w:r>
      </w:hyperlink>
    </w:p>
    <w:p w:rsidR="00762EAE" w:rsidRDefault="00762EAE">
      <w:pPr>
        <w:pStyle w:val="TOC3"/>
        <w:tabs>
          <w:tab w:val="left" w:pos="1080"/>
          <w:tab w:val="right" w:leader="dot" w:pos="9063"/>
        </w:tabs>
        <w:rPr>
          <w:rFonts w:eastAsiaTheme="minorEastAsia" w:cstheme="minorBidi"/>
          <w:noProof/>
          <w:sz w:val="22"/>
          <w:szCs w:val="22"/>
        </w:rPr>
      </w:pPr>
      <w:hyperlink w:anchor="_Toc393897903" w:history="1">
        <w:r w:rsidRPr="009E2E6E">
          <w:rPr>
            <w:rStyle w:val="Hyperlink"/>
            <w:noProof/>
          </w:rPr>
          <w:t>5.1.2</w:t>
        </w:r>
        <w:r>
          <w:rPr>
            <w:rFonts w:eastAsiaTheme="minorEastAsia" w:cstheme="minorBidi"/>
            <w:noProof/>
            <w:sz w:val="22"/>
            <w:szCs w:val="22"/>
          </w:rPr>
          <w:tab/>
        </w:r>
        <w:r w:rsidRPr="009E2E6E">
          <w:rPr>
            <w:rStyle w:val="Hyperlink"/>
            <w:noProof/>
          </w:rPr>
          <w:t>Neopasni otpad</w:t>
        </w:r>
        <w:r>
          <w:rPr>
            <w:noProof/>
            <w:webHidden/>
          </w:rPr>
          <w:tab/>
        </w:r>
        <w:r>
          <w:rPr>
            <w:noProof/>
            <w:webHidden/>
          </w:rPr>
          <w:fldChar w:fldCharType="begin"/>
        </w:r>
        <w:r>
          <w:rPr>
            <w:noProof/>
            <w:webHidden/>
          </w:rPr>
          <w:instrText xml:space="preserve"> PAGEREF _Toc393897903 \h </w:instrText>
        </w:r>
        <w:r>
          <w:rPr>
            <w:noProof/>
            <w:webHidden/>
          </w:rPr>
        </w:r>
        <w:r>
          <w:rPr>
            <w:noProof/>
            <w:webHidden/>
          </w:rPr>
          <w:fldChar w:fldCharType="separate"/>
        </w:r>
        <w:r>
          <w:rPr>
            <w:noProof/>
            <w:webHidden/>
          </w:rPr>
          <w:t>74</w:t>
        </w:r>
        <w:r>
          <w:rPr>
            <w:noProof/>
            <w:webHidden/>
          </w:rPr>
          <w:fldChar w:fldCharType="end"/>
        </w:r>
      </w:hyperlink>
    </w:p>
    <w:p w:rsidR="00762EAE" w:rsidRDefault="00762EAE">
      <w:pPr>
        <w:pStyle w:val="TOC3"/>
        <w:tabs>
          <w:tab w:val="left" w:pos="1080"/>
          <w:tab w:val="right" w:leader="dot" w:pos="9063"/>
        </w:tabs>
        <w:rPr>
          <w:rFonts w:eastAsiaTheme="minorEastAsia" w:cstheme="minorBidi"/>
          <w:noProof/>
          <w:sz w:val="22"/>
          <w:szCs w:val="22"/>
        </w:rPr>
      </w:pPr>
      <w:hyperlink w:anchor="_Toc393897904" w:history="1">
        <w:r w:rsidRPr="009E2E6E">
          <w:rPr>
            <w:rStyle w:val="Hyperlink"/>
            <w:noProof/>
          </w:rPr>
          <w:t>5.1.3</w:t>
        </w:r>
        <w:r>
          <w:rPr>
            <w:rFonts w:eastAsiaTheme="minorEastAsia" w:cstheme="minorBidi"/>
            <w:noProof/>
            <w:sz w:val="22"/>
            <w:szCs w:val="22"/>
          </w:rPr>
          <w:tab/>
        </w:r>
        <w:r w:rsidRPr="009E2E6E">
          <w:rPr>
            <w:rStyle w:val="Hyperlink"/>
            <w:noProof/>
          </w:rPr>
          <w:t>Inertni otpad</w:t>
        </w:r>
        <w:r>
          <w:rPr>
            <w:noProof/>
            <w:webHidden/>
          </w:rPr>
          <w:tab/>
        </w:r>
        <w:r>
          <w:rPr>
            <w:noProof/>
            <w:webHidden/>
          </w:rPr>
          <w:fldChar w:fldCharType="begin"/>
        </w:r>
        <w:r>
          <w:rPr>
            <w:noProof/>
            <w:webHidden/>
          </w:rPr>
          <w:instrText xml:space="preserve"> PAGEREF _Toc393897904 \h </w:instrText>
        </w:r>
        <w:r>
          <w:rPr>
            <w:noProof/>
            <w:webHidden/>
          </w:rPr>
        </w:r>
        <w:r>
          <w:rPr>
            <w:noProof/>
            <w:webHidden/>
          </w:rPr>
          <w:fldChar w:fldCharType="separate"/>
        </w:r>
        <w:r>
          <w:rPr>
            <w:noProof/>
            <w:webHidden/>
          </w:rPr>
          <w:t>74</w:t>
        </w:r>
        <w:r>
          <w:rPr>
            <w:noProof/>
            <w:webHidden/>
          </w:rPr>
          <w:fldChar w:fldCharType="end"/>
        </w:r>
      </w:hyperlink>
    </w:p>
    <w:p w:rsidR="00762EAE" w:rsidRDefault="00762EAE">
      <w:pPr>
        <w:pStyle w:val="TOC3"/>
        <w:tabs>
          <w:tab w:val="left" w:pos="1080"/>
          <w:tab w:val="right" w:leader="dot" w:pos="9063"/>
        </w:tabs>
        <w:rPr>
          <w:rFonts w:eastAsiaTheme="minorEastAsia" w:cstheme="minorBidi"/>
          <w:noProof/>
          <w:sz w:val="22"/>
          <w:szCs w:val="22"/>
        </w:rPr>
      </w:pPr>
      <w:hyperlink w:anchor="_Toc393897905" w:history="1">
        <w:r w:rsidRPr="009E2E6E">
          <w:rPr>
            <w:rStyle w:val="Hyperlink"/>
            <w:noProof/>
          </w:rPr>
          <w:t>5.1.4</w:t>
        </w:r>
        <w:r>
          <w:rPr>
            <w:rFonts w:eastAsiaTheme="minorEastAsia" w:cstheme="minorBidi"/>
            <w:noProof/>
            <w:sz w:val="22"/>
            <w:szCs w:val="22"/>
          </w:rPr>
          <w:tab/>
        </w:r>
        <w:r w:rsidRPr="009E2E6E">
          <w:rPr>
            <w:rStyle w:val="Hyperlink"/>
            <w:noProof/>
          </w:rPr>
          <w:t>Komunalni otpad</w:t>
        </w:r>
        <w:r>
          <w:rPr>
            <w:noProof/>
            <w:webHidden/>
          </w:rPr>
          <w:tab/>
        </w:r>
        <w:r>
          <w:rPr>
            <w:noProof/>
            <w:webHidden/>
          </w:rPr>
          <w:fldChar w:fldCharType="begin"/>
        </w:r>
        <w:r>
          <w:rPr>
            <w:noProof/>
            <w:webHidden/>
          </w:rPr>
          <w:instrText xml:space="preserve"> PAGEREF _Toc393897905 \h </w:instrText>
        </w:r>
        <w:r>
          <w:rPr>
            <w:noProof/>
            <w:webHidden/>
          </w:rPr>
        </w:r>
        <w:r>
          <w:rPr>
            <w:noProof/>
            <w:webHidden/>
          </w:rPr>
          <w:fldChar w:fldCharType="separate"/>
        </w:r>
        <w:r>
          <w:rPr>
            <w:noProof/>
            <w:webHidden/>
          </w:rPr>
          <w:t>74</w:t>
        </w:r>
        <w:r>
          <w:rPr>
            <w:noProof/>
            <w:webHidden/>
          </w:rPr>
          <w:fldChar w:fldCharType="end"/>
        </w:r>
      </w:hyperlink>
    </w:p>
    <w:p w:rsidR="00762EAE" w:rsidRDefault="00762EAE">
      <w:pPr>
        <w:pStyle w:val="TOC3"/>
        <w:tabs>
          <w:tab w:val="left" w:pos="1080"/>
          <w:tab w:val="right" w:leader="dot" w:pos="9063"/>
        </w:tabs>
        <w:rPr>
          <w:rFonts w:eastAsiaTheme="minorEastAsia" w:cstheme="minorBidi"/>
          <w:noProof/>
          <w:sz w:val="22"/>
          <w:szCs w:val="22"/>
        </w:rPr>
      </w:pPr>
      <w:hyperlink w:anchor="_Toc393897906" w:history="1">
        <w:r w:rsidRPr="009E2E6E">
          <w:rPr>
            <w:rStyle w:val="Hyperlink"/>
            <w:noProof/>
          </w:rPr>
          <w:t>5.1.5</w:t>
        </w:r>
        <w:r>
          <w:rPr>
            <w:rFonts w:eastAsiaTheme="minorEastAsia" w:cstheme="minorBidi"/>
            <w:noProof/>
            <w:sz w:val="22"/>
            <w:szCs w:val="22"/>
          </w:rPr>
          <w:tab/>
        </w:r>
        <w:r w:rsidRPr="009E2E6E">
          <w:rPr>
            <w:rStyle w:val="Hyperlink"/>
            <w:noProof/>
          </w:rPr>
          <w:t>Industrijski otpad</w:t>
        </w:r>
        <w:r>
          <w:rPr>
            <w:noProof/>
            <w:webHidden/>
          </w:rPr>
          <w:tab/>
        </w:r>
        <w:r>
          <w:rPr>
            <w:noProof/>
            <w:webHidden/>
          </w:rPr>
          <w:fldChar w:fldCharType="begin"/>
        </w:r>
        <w:r>
          <w:rPr>
            <w:noProof/>
            <w:webHidden/>
          </w:rPr>
          <w:instrText xml:space="preserve"> PAGEREF _Toc393897906 \h </w:instrText>
        </w:r>
        <w:r>
          <w:rPr>
            <w:noProof/>
            <w:webHidden/>
          </w:rPr>
        </w:r>
        <w:r>
          <w:rPr>
            <w:noProof/>
            <w:webHidden/>
          </w:rPr>
          <w:fldChar w:fldCharType="separate"/>
        </w:r>
        <w:r>
          <w:rPr>
            <w:noProof/>
            <w:webHidden/>
          </w:rPr>
          <w:t>74</w:t>
        </w:r>
        <w:r>
          <w:rPr>
            <w:noProof/>
            <w:webHidden/>
          </w:rPr>
          <w:fldChar w:fldCharType="end"/>
        </w:r>
      </w:hyperlink>
    </w:p>
    <w:p w:rsidR="00762EAE" w:rsidRDefault="00762EAE">
      <w:pPr>
        <w:pStyle w:val="TOC3"/>
        <w:tabs>
          <w:tab w:val="left" w:pos="1080"/>
          <w:tab w:val="right" w:leader="dot" w:pos="9063"/>
        </w:tabs>
        <w:rPr>
          <w:rFonts w:eastAsiaTheme="minorEastAsia" w:cstheme="minorBidi"/>
          <w:noProof/>
          <w:sz w:val="22"/>
          <w:szCs w:val="22"/>
        </w:rPr>
      </w:pPr>
      <w:hyperlink w:anchor="_Toc393897907" w:history="1">
        <w:r w:rsidRPr="009E2E6E">
          <w:rPr>
            <w:rStyle w:val="Hyperlink"/>
            <w:noProof/>
          </w:rPr>
          <w:t>5.1.6</w:t>
        </w:r>
        <w:r>
          <w:rPr>
            <w:rFonts w:eastAsiaTheme="minorEastAsia" w:cstheme="minorBidi"/>
            <w:noProof/>
            <w:sz w:val="22"/>
            <w:szCs w:val="22"/>
          </w:rPr>
          <w:tab/>
        </w:r>
        <w:r w:rsidRPr="009E2E6E">
          <w:rPr>
            <w:rStyle w:val="Hyperlink"/>
            <w:noProof/>
          </w:rPr>
          <w:t>Ambalažni otpad</w:t>
        </w:r>
        <w:r>
          <w:rPr>
            <w:noProof/>
            <w:webHidden/>
          </w:rPr>
          <w:tab/>
        </w:r>
        <w:r>
          <w:rPr>
            <w:noProof/>
            <w:webHidden/>
          </w:rPr>
          <w:fldChar w:fldCharType="begin"/>
        </w:r>
        <w:r>
          <w:rPr>
            <w:noProof/>
            <w:webHidden/>
          </w:rPr>
          <w:instrText xml:space="preserve"> PAGEREF _Toc393897907 \h </w:instrText>
        </w:r>
        <w:r>
          <w:rPr>
            <w:noProof/>
            <w:webHidden/>
          </w:rPr>
        </w:r>
        <w:r>
          <w:rPr>
            <w:noProof/>
            <w:webHidden/>
          </w:rPr>
          <w:fldChar w:fldCharType="separate"/>
        </w:r>
        <w:r>
          <w:rPr>
            <w:noProof/>
            <w:webHidden/>
          </w:rPr>
          <w:t>74</w:t>
        </w:r>
        <w:r>
          <w:rPr>
            <w:noProof/>
            <w:webHidden/>
          </w:rPr>
          <w:fldChar w:fldCharType="end"/>
        </w:r>
      </w:hyperlink>
    </w:p>
    <w:p w:rsidR="00762EAE" w:rsidRDefault="00762EAE">
      <w:pPr>
        <w:pStyle w:val="TOC3"/>
        <w:tabs>
          <w:tab w:val="left" w:pos="1080"/>
          <w:tab w:val="right" w:leader="dot" w:pos="9063"/>
        </w:tabs>
        <w:rPr>
          <w:rFonts w:eastAsiaTheme="minorEastAsia" w:cstheme="minorBidi"/>
          <w:noProof/>
          <w:sz w:val="22"/>
          <w:szCs w:val="22"/>
        </w:rPr>
      </w:pPr>
      <w:hyperlink w:anchor="_Toc393897908" w:history="1">
        <w:r w:rsidRPr="009E2E6E">
          <w:rPr>
            <w:rStyle w:val="Hyperlink"/>
            <w:noProof/>
          </w:rPr>
          <w:t>5.1.7</w:t>
        </w:r>
        <w:r>
          <w:rPr>
            <w:rFonts w:eastAsiaTheme="minorEastAsia" w:cstheme="minorBidi"/>
            <w:noProof/>
            <w:sz w:val="22"/>
            <w:szCs w:val="22"/>
          </w:rPr>
          <w:tab/>
        </w:r>
        <w:r w:rsidRPr="009E2E6E">
          <w:rPr>
            <w:rStyle w:val="Hyperlink"/>
            <w:noProof/>
          </w:rPr>
          <w:t>Građevinski otpad</w:t>
        </w:r>
        <w:r>
          <w:rPr>
            <w:noProof/>
            <w:webHidden/>
          </w:rPr>
          <w:tab/>
        </w:r>
        <w:r>
          <w:rPr>
            <w:noProof/>
            <w:webHidden/>
          </w:rPr>
          <w:fldChar w:fldCharType="begin"/>
        </w:r>
        <w:r>
          <w:rPr>
            <w:noProof/>
            <w:webHidden/>
          </w:rPr>
          <w:instrText xml:space="preserve"> PAGEREF _Toc393897908 \h </w:instrText>
        </w:r>
        <w:r>
          <w:rPr>
            <w:noProof/>
            <w:webHidden/>
          </w:rPr>
        </w:r>
        <w:r>
          <w:rPr>
            <w:noProof/>
            <w:webHidden/>
          </w:rPr>
          <w:fldChar w:fldCharType="separate"/>
        </w:r>
        <w:r>
          <w:rPr>
            <w:noProof/>
            <w:webHidden/>
          </w:rPr>
          <w:t>74</w:t>
        </w:r>
        <w:r>
          <w:rPr>
            <w:noProof/>
            <w:webHidden/>
          </w:rPr>
          <w:fldChar w:fldCharType="end"/>
        </w:r>
      </w:hyperlink>
    </w:p>
    <w:p w:rsidR="00762EAE" w:rsidRDefault="00762EAE">
      <w:pPr>
        <w:pStyle w:val="TOC2"/>
        <w:tabs>
          <w:tab w:val="left" w:pos="720"/>
          <w:tab w:val="right" w:leader="dot" w:pos="9063"/>
        </w:tabs>
        <w:rPr>
          <w:rFonts w:eastAsiaTheme="minorEastAsia" w:cstheme="minorBidi"/>
          <w:i w:val="0"/>
          <w:iCs w:val="0"/>
          <w:noProof/>
          <w:sz w:val="22"/>
          <w:szCs w:val="22"/>
        </w:rPr>
      </w:pPr>
      <w:hyperlink w:anchor="_Toc393897909" w:history="1">
        <w:r w:rsidRPr="009E2E6E">
          <w:rPr>
            <w:rStyle w:val="Hyperlink"/>
            <w:noProof/>
          </w:rPr>
          <w:t>5.2</w:t>
        </w:r>
        <w:r>
          <w:rPr>
            <w:rFonts w:eastAsiaTheme="minorEastAsia" w:cstheme="minorBidi"/>
            <w:i w:val="0"/>
            <w:iCs w:val="0"/>
            <w:noProof/>
            <w:sz w:val="22"/>
            <w:szCs w:val="22"/>
          </w:rPr>
          <w:tab/>
        </w:r>
        <w:r w:rsidRPr="009E2E6E">
          <w:rPr>
            <w:rStyle w:val="Hyperlink"/>
            <w:noProof/>
          </w:rPr>
          <w:t>Uticaj neadekvatnog odlaganja otpada na životnu sredinu</w:t>
        </w:r>
        <w:r>
          <w:rPr>
            <w:noProof/>
            <w:webHidden/>
          </w:rPr>
          <w:tab/>
        </w:r>
        <w:r>
          <w:rPr>
            <w:noProof/>
            <w:webHidden/>
          </w:rPr>
          <w:fldChar w:fldCharType="begin"/>
        </w:r>
        <w:r>
          <w:rPr>
            <w:noProof/>
            <w:webHidden/>
          </w:rPr>
          <w:instrText xml:space="preserve"> PAGEREF _Toc393897909 \h </w:instrText>
        </w:r>
        <w:r>
          <w:rPr>
            <w:noProof/>
            <w:webHidden/>
          </w:rPr>
        </w:r>
        <w:r>
          <w:rPr>
            <w:noProof/>
            <w:webHidden/>
          </w:rPr>
          <w:fldChar w:fldCharType="separate"/>
        </w:r>
        <w:r>
          <w:rPr>
            <w:noProof/>
            <w:webHidden/>
          </w:rPr>
          <w:t>74</w:t>
        </w:r>
        <w:r>
          <w:rPr>
            <w:noProof/>
            <w:webHidden/>
          </w:rPr>
          <w:fldChar w:fldCharType="end"/>
        </w:r>
      </w:hyperlink>
    </w:p>
    <w:p w:rsidR="00762EAE" w:rsidRDefault="00762EAE">
      <w:pPr>
        <w:pStyle w:val="TOC2"/>
        <w:tabs>
          <w:tab w:val="left" w:pos="720"/>
          <w:tab w:val="right" w:leader="dot" w:pos="9063"/>
        </w:tabs>
        <w:rPr>
          <w:rFonts w:eastAsiaTheme="minorEastAsia" w:cstheme="minorBidi"/>
          <w:i w:val="0"/>
          <w:iCs w:val="0"/>
          <w:noProof/>
          <w:sz w:val="22"/>
          <w:szCs w:val="22"/>
        </w:rPr>
      </w:pPr>
      <w:hyperlink w:anchor="_Toc393897910" w:history="1">
        <w:r w:rsidRPr="009E2E6E">
          <w:rPr>
            <w:rStyle w:val="Hyperlink"/>
            <w:noProof/>
          </w:rPr>
          <w:t>5.3</w:t>
        </w:r>
        <w:r>
          <w:rPr>
            <w:rFonts w:eastAsiaTheme="minorEastAsia" w:cstheme="minorBidi"/>
            <w:i w:val="0"/>
            <w:iCs w:val="0"/>
            <w:noProof/>
            <w:sz w:val="22"/>
            <w:szCs w:val="22"/>
          </w:rPr>
          <w:tab/>
        </w:r>
        <w:r w:rsidRPr="009E2E6E">
          <w:rPr>
            <w:rStyle w:val="Hyperlink"/>
            <w:noProof/>
          </w:rPr>
          <w:t>Uticaj neadekvatnog odlaganja otpada na zdravlje ljudi</w:t>
        </w:r>
        <w:r>
          <w:rPr>
            <w:noProof/>
            <w:webHidden/>
          </w:rPr>
          <w:tab/>
        </w:r>
        <w:r>
          <w:rPr>
            <w:noProof/>
            <w:webHidden/>
          </w:rPr>
          <w:fldChar w:fldCharType="begin"/>
        </w:r>
        <w:r>
          <w:rPr>
            <w:noProof/>
            <w:webHidden/>
          </w:rPr>
          <w:instrText xml:space="preserve"> PAGEREF _Toc393897910 \h </w:instrText>
        </w:r>
        <w:r>
          <w:rPr>
            <w:noProof/>
            <w:webHidden/>
          </w:rPr>
        </w:r>
        <w:r>
          <w:rPr>
            <w:noProof/>
            <w:webHidden/>
          </w:rPr>
          <w:fldChar w:fldCharType="separate"/>
        </w:r>
        <w:r>
          <w:rPr>
            <w:noProof/>
            <w:webHidden/>
          </w:rPr>
          <w:t>75</w:t>
        </w:r>
        <w:r>
          <w:rPr>
            <w:noProof/>
            <w:webHidden/>
          </w:rPr>
          <w:fldChar w:fldCharType="end"/>
        </w:r>
      </w:hyperlink>
    </w:p>
    <w:p w:rsidR="00762EAE" w:rsidRDefault="00762EAE">
      <w:pPr>
        <w:pStyle w:val="TOC2"/>
        <w:tabs>
          <w:tab w:val="left" w:pos="720"/>
          <w:tab w:val="right" w:leader="dot" w:pos="9063"/>
        </w:tabs>
        <w:rPr>
          <w:rFonts w:eastAsiaTheme="minorEastAsia" w:cstheme="minorBidi"/>
          <w:i w:val="0"/>
          <w:iCs w:val="0"/>
          <w:noProof/>
          <w:sz w:val="22"/>
          <w:szCs w:val="22"/>
        </w:rPr>
      </w:pPr>
      <w:hyperlink w:anchor="_Toc393897911" w:history="1">
        <w:r w:rsidRPr="009E2E6E">
          <w:rPr>
            <w:rStyle w:val="Hyperlink"/>
            <w:noProof/>
          </w:rPr>
          <w:t>5.4</w:t>
        </w:r>
        <w:r>
          <w:rPr>
            <w:rFonts w:eastAsiaTheme="minorEastAsia" w:cstheme="minorBidi"/>
            <w:i w:val="0"/>
            <w:iCs w:val="0"/>
            <w:noProof/>
            <w:sz w:val="22"/>
            <w:szCs w:val="22"/>
          </w:rPr>
          <w:tab/>
        </w:r>
        <w:r w:rsidRPr="009E2E6E">
          <w:rPr>
            <w:rStyle w:val="Hyperlink"/>
            <w:noProof/>
          </w:rPr>
          <w:t>Održivo upravljanje otpadom</w:t>
        </w:r>
        <w:r>
          <w:rPr>
            <w:noProof/>
            <w:webHidden/>
          </w:rPr>
          <w:tab/>
        </w:r>
        <w:r>
          <w:rPr>
            <w:noProof/>
            <w:webHidden/>
          </w:rPr>
          <w:fldChar w:fldCharType="begin"/>
        </w:r>
        <w:r>
          <w:rPr>
            <w:noProof/>
            <w:webHidden/>
          </w:rPr>
          <w:instrText xml:space="preserve"> PAGEREF _Toc393897911 \h </w:instrText>
        </w:r>
        <w:r>
          <w:rPr>
            <w:noProof/>
            <w:webHidden/>
          </w:rPr>
        </w:r>
        <w:r>
          <w:rPr>
            <w:noProof/>
            <w:webHidden/>
          </w:rPr>
          <w:fldChar w:fldCharType="separate"/>
        </w:r>
        <w:r>
          <w:rPr>
            <w:noProof/>
            <w:webHidden/>
          </w:rPr>
          <w:t>75</w:t>
        </w:r>
        <w:r>
          <w:rPr>
            <w:noProof/>
            <w:webHidden/>
          </w:rPr>
          <w:fldChar w:fldCharType="end"/>
        </w:r>
      </w:hyperlink>
    </w:p>
    <w:p w:rsidR="00762EAE" w:rsidRDefault="00762EAE">
      <w:pPr>
        <w:pStyle w:val="TOC2"/>
        <w:tabs>
          <w:tab w:val="left" w:pos="720"/>
          <w:tab w:val="right" w:leader="dot" w:pos="9063"/>
        </w:tabs>
        <w:rPr>
          <w:rFonts w:eastAsiaTheme="minorEastAsia" w:cstheme="minorBidi"/>
          <w:i w:val="0"/>
          <w:iCs w:val="0"/>
          <w:noProof/>
          <w:sz w:val="22"/>
          <w:szCs w:val="22"/>
        </w:rPr>
      </w:pPr>
      <w:hyperlink w:anchor="_Toc393897912" w:history="1">
        <w:r w:rsidRPr="009E2E6E">
          <w:rPr>
            <w:rStyle w:val="Hyperlink"/>
            <w:noProof/>
            <w:lang w:val="sr-Latn-CS"/>
          </w:rPr>
          <w:t>5.5</w:t>
        </w:r>
        <w:r>
          <w:rPr>
            <w:rFonts w:eastAsiaTheme="minorEastAsia" w:cstheme="minorBidi"/>
            <w:i w:val="0"/>
            <w:iCs w:val="0"/>
            <w:noProof/>
            <w:sz w:val="22"/>
            <w:szCs w:val="22"/>
          </w:rPr>
          <w:tab/>
        </w:r>
        <w:r w:rsidRPr="009E2E6E">
          <w:rPr>
            <w:rStyle w:val="Hyperlink"/>
            <w:noProof/>
            <w:lang w:val="sr-Latn-CS"/>
          </w:rPr>
          <w:t xml:space="preserve">Postojeće </w:t>
        </w:r>
        <w:r w:rsidRPr="009E2E6E">
          <w:rPr>
            <w:rStyle w:val="Hyperlink"/>
            <w:noProof/>
          </w:rPr>
          <w:t>stanje</w:t>
        </w:r>
        <w:r w:rsidRPr="009E2E6E">
          <w:rPr>
            <w:rStyle w:val="Hyperlink"/>
            <w:noProof/>
            <w:lang w:val="sr-Latn-CS"/>
          </w:rPr>
          <w:t xml:space="preserve"> u Crnoj Gori</w:t>
        </w:r>
        <w:r>
          <w:rPr>
            <w:noProof/>
            <w:webHidden/>
          </w:rPr>
          <w:tab/>
        </w:r>
        <w:r>
          <w:rPr>
            <w:noProof/>
            <w:webHidden/>
          </w:rPr>
          <w:fldChar w:fldCharType="begin"/>
        </w:r>
        <w:r>
          <w:rPr>
            <w:noProof/>
            <w:webHidden/>
          </w:rPr>
          <w:instrText xml:space="preserve"> PAGEREF _Toc393897912 \h </w:instrText>
        </w:r>
        <w:r>
          <w:rPr>
            <w:noProof/>
            <w:webHidden/>
          </w:rPr>
        </w:r>
        <w:r>
          <w:rPr>
            <w:noProof/>
            <w:webHidden/>
          </w:rPr>
          <w:fldChar w:fldCharType="separate"/>
        </w:r>
        <w:r>
          <w:rPr>
            <w:noProof/>
            <w:webHidden/>
          </w:rPr>
          <w:t>76</w:t>
        </w:r>
        <w:r>
          <w:rPr>
            <w:noProof/>
            <w:webHidden/>
          </w:rPr>
          <w:fldChar w:fldCharType="end"/>
        </w:r>
      </w:hyperlink>
    </w:p>
    <w:p w:rsidR="00762EAE" w:rsidRDefault="00762EAE">
      <w:pPr>
        <w:pStyle w:val="TOC3"/>
        <w:tabs>
          <w:tab w:val="left" w:pos="1080"/>
          <w:tab w:val="right" w:leader="dot" w:pos="9063"/>
        </w:tabs>
        <w:rPr>
          <w:rFonts w:eastAsiaTheme="minorEastAsia" w:cstheme="minorBidi"/>
          <w:noProof/>
          <w:sz w:val="22"/>
          <w:szCs w:val="22"/>
        </w:rPr>
      </w:pPr>
      <w:hyperlink w:anchor="_Toc393897913" w:history="1">
        <w:r w:rsidRPr="009E2E6E">
          <w:rPr>
            <w:rStyle w:val="Hyperlink"/>
            <w:noProof/>
          </w:rPr>
          <w:t>5.5.1</w:t>
        </w:r>
        <w:r>
          <w:rPr>
            <w:rFonts w:eastAsiaTheme="minorEastAsia" w:cstheme="minorBidi"/>
            <w:noProof/>
            <w:sz w:val="22"/>
            <w:szCs w:val="22"/>
          </w:rPr>
          <w:tab/>
        </w:r>
        <w:r w:rsidRPr="009E2E6E">
          <w:rPr>
            <w:rStyle w:val="Hyperlink"/>
            <w:noProof/>
          </w:rPr>
          <w:t>Komunalni otpad</w:t>
        </w:r>
        <w:r>
          <w:rPr>
            <w:noProof/>
            <w:webHidden/>
          </w:rPr>
          <w:tab/>
        </w:r>
        <w:r>
          <w:rPr>
            <w:noProof/>
            <w:webHidden/>
          </w:rPr>
          <w:fldChar w:fldCharType="begin"/>
        </w:r>
        <w:r>
          <w:rPr>
            <w:noProof/>
            <w:webHidden/>
          </w:rPr>
          <w:instrText xml:space="preserve"> PAGEREF _Toc393897913 \h </w:instrText>
        </w:r>
        <w:r>
          <w:rPr>
            <w:noProof/>
            <w:webHidden/>
          </w:rPr>
        </w:r>
        <w:r>
          <w:rPr>
            <w:noProof/>
            <w:webHidden/>
          </w:rPr>
          <w:fldChar w:fldCharType="separate"/>
        </w:r>
        <w:r>
          <w:rPr>
            <w:noProof/>
            <w:webHidden/>
          </w:rPr>
          <w:t>76</w:t>
        </w:r>
        <w:r>
          <w:rPr>
            <w:noProof/>
            <w:webHidden/>
          </w:rPr>
          <w:fldChar w:fldCharType="end"/>
        </w:r>
      </w:hyperlink>
    </w:p>
    <w:p w:rsidR="00762EAE" w:rsidRDefault="00762EAE">
      <w:pPr>
        <w:pStyle w:val="TOC3"/>
        <w:tabs>
          <w:tab w:val="left" w:pos="1080"/>
          <w:tab w:val="right" w:leader="dot" w:pos="9063"/>
        </w:tabs>
        <w:rPr>
          <w:rFonts w:eastAsiaTheme="minorEastAsia" w:cstheme="minorBidi"/>
          <w:noProof/>
          <w:sz w:val="22"/>
          <w:szCs w:val="22"/>
        </w:rPr>
      </w:pPr>
      <w:hyperlink w:anchor="_Toc393897914" w:history="1">
        <w:r w:rsidRPr="009E2E6E">
          <w:rPr>
            <w:rStyle w:val="Hyperlink"/>
            <w:noProof/>
          </w:rPr>
          <w:t>5.5.2</w:t>
        </w:r>
        <w:r>
          <w:rPr>
            <w:rFonts w:eastAsiaTheme="minorEastAsia" w:cstheme="minorBidi"/>
            <w:noProof/>
            <w:sz w:val="22"/>
            <w:szCs w:val="22"/>
          </w:rPr>
          <w:tab/>
        </w:r>
        <w:r w:rsidRPr="009E2E6E">
          <w:rPr>
            <w:rStyle w:val="Hyperlink"/>
            <w:noProof/>
          </w:rPr>
          <w:t>Industrijski otpad</w:t>
        </w:r>
        <w:r>
          <w:rPr>
            <w:noProof/>
            <w:webHidden/>
          </w:rPr>
          <w:tab/>
        </w:r>
        <w:r>
          <w:rPr>
            <w:noProof/>
            <w:webHidden/>
          </w:rPr>
          <w:fldChar w:fldCharType="begin"/>
        </w:r>
        <w:r>
          <w:rPr>
            <w:noProof/>
            <w:webHidden/>
          </w:rPr>
          <w:instrText xml:space="preserve"> PAGEREF _Toc393897914 \h </w:instrText>
        </w:r>
        <w:r>
          <w:rPr>
            <w:noProof/>
            <w:webHidden/>
          </w:rPr>
        </w:r>
        <w:r>
          <w:rPr>
            <w:noProof/>
            <w:webHidden/>
          </w:rPr>
          <w:fldChar w:fldCharType="separate"/>
        </w:r>
        <w:r>
          <w:rPr>
            <w:noProof/>
            <w:webHidden/>
          </w:rPr>
          <w:t>78</w:t>
        </w:r>
        <w:r>
          <w:rPr>
            <w:noProof/>
            <w:webHidden/>
          </w:rPr>
          <w:fldChar w:fldCharType="end"/>
        </w:r>
      </w:hyperlink>
    </w:p>
    <w:p w:rsidR="00762EAE" w:rsidRDefault="00762EAE">
      <w:pPr>
        <w:pStyle w:val="TOC2"/>
        <w:tabs>
          <w:tab w:val="left" w:pos="720"/>
          <w:tab w:val="right" w:leader="dot" w:pos="9063"/>
        </w:tabs>
        <w:rPr>
          <w:rFonts w:eastAsiaTheme="minorEastAsia" w:cstheme="minorBidi"/>
          <w:i w:val="0"/>
          <w:iCs w:val="0"/>
          <w:noProof/>
          <w:sz w:val="22"/>
          <w:szCs w:val="22"/>
        </w:rPr>
      </w:pPr>
      <w:hyperlink w:anchor="_Toc393897915" w:history="1">
        <w:r w:rsidRPr="009E2E6E">
          <w:rPr>
            <w:rStyle w:val="Hyperlink"/>
            <w:noProof/>
          </w:rPr>
          <w:t>5.6</w:t>
        </w:r>
        <w:r>
          <w:rPr>
            <w:rFonts w:eastAsiaTheme="minorEastAsia" w:cstheme="minorBidi"/>
            <w:i w:val="0"/>
            <w:iCs w:val="0"/>
            <w:noProof/>
            <w:sz w:val="22"/>
            <w:szCs w:val="22"/>
          </w:rPr>
          <w:tab/>
        </w:r>
        <w:r w:rsidRPr="009E2E6E">
          <w:rPr>
            <w:rStyle w:val="Hyperlink"/>
            <w:noProof/>
          </w:rPr>
          <w:t>Zaključak</w:t>
        </w:r>
        <w:r>
          <w:rPr>
            <w:noProof/>
            <w:webHidden/>
          </w:rPr>
          <w:tab/>
        </w:r>
        <w:r>
          <w:rPr>
            <w:noProof/>
            <w:webHidden/>
          </w:rPr>
          <w:fldChar w:fldCharType="begin"/>
        </w:r>
        <w:r>
          <w:rPr>
            <w:noProof/>
            <w:webHidden/>
          </w:rPr>
          <w:instrText xml:space="preserve"> PAGEREF _Toc393897915 \h </w:instrText>
        </w:r>
        <w:r>
          <w:rPr>
            <w:noProof/>
            <w:webHidden/>
          </w:rPr>
        </w:r>
        <w:r>
          <w:rPr>
            <w:noProof/>
            <w:webHidden/>
          </w:rPr>
          <w:fldChar w:fldCharType="separate"/>
        </w:r>
        <w:r>
          <w:rPr>
            <w:noProof/>
            <w:webHidden/>
          </w:rPr>
          <w:t>80</w:t>
        </w:r>
        <w:r>
          <w:rPr>
            <w:noProof/>
            <w:webHidden/>
          </w:rPr>
          <w:fldChar w:fldCharType="end"/>
        </w:r>
      </w:hyperlink>
    </w:p>
    <w:p w:rsidR="00762EAE" w:rsidRDefault="00762EAE">
      <w:pPr>
        <w:pStyle w:val="TOC1"/>
        <w:rPr>
          <w:rFonts w:eastAsiaTheme="minorEastAsia" w:cstheme="minorBidi"/>
          <w:b w:val="0"/>
          <w:bCs w:val="0"/>
          <w:noProof/>
          <w:sz w:val="22"/>
          <w:szCs w:val="22"/>
        </w:rPr>
      </w:pPr>
      <w:hyperlink w:anchor="_Toc393897916" w:history="1">
        <w:r w:rsidRPr="009E2E6E">
          <w:rPr>
            <w:rStyle w:val="Hyperlink"/>
            <w:noProof/>
          </w:rPr>
          <w:t>6</w:t>
        </w:r>
        <w:r>
          <w:rPr>
            <w:rFonts w:eastAsiaTheme="minorEastAsia" w:cstheme="minorBidi"/>
            <w:b w:val="0"/>
            <w:bCs w:val="0"/>
            <w:noProof/>
            <w:sz w:val="22"/>
            <w:szCs w:val="22"/>
          </w:rPr>
          <w:tab/>
        </w:r>
        <w:r w:rsidRPr="009E2E6E">
          <w:rPr>
            <w:rStyle w:val="Hyperlink"/>
            <w:noProof/>
          </w:rPr>
          <w:t>BIODIVERZITET</w:t>
        </w:r>
        <w:r>
          <w:rPr>
            <w:noProof/>
            <w:webHidden/>
          </w:rPr>
          <w:tab/>
        </w:r>
        <w:r>
          <w:rPr>
            <w:noProof/>
            <w:webHidden/>
          </w:rPr>
          <w:fldChar w:fldCharType="begin"/>
        </w:r>
        <w:r>
          <w:rPr>
            <w:noProof/>
            <w:webHidden/>
          </w:rPr>
          <w:instrText xml:space="preserve"> PAGEREF _Toc393897916 \h </w:instrText>
        </w:r>
        <w:r>
          <w:rPr>
            <w:noProof/>
            <w:webHidden/>
          </w:rPr>
        </w:r>
        <w:r>
          <w:rPr>
            <w:noProof/>
            <w:webHidden/>
          </w:rPr>
          <w:fldChar w:fldCharType="separate"/>
        </w:r>
        <w:r>
          <w:rPr>
            <w:noProof/>
            <w:webHidden/>
          </w:rPr>
          <w:t>82</w:t>
        </w:r>
        <w:r>
          <w:rPr>
            <w:noProof/>
            <w:webHidden/>
          </w:rPr>
          <w:fldChar w:fldCharType="end"/>
        </w:r>
      </w:hyperlink>
    </w:p>
    <w:p w:rsidR="00762EAE" w:rsidRDefault="00762EAE">
      <w:pPr>
        <w:pStyle w:val="TOC3"/>
        <w:tabs>
          <w:tab w:val="right" w:leader="dot" w:pos="9063"/>
        </w:tabs>
        <w:rPr>
          <w:rFonts w:eastAsiaTheme="minorEastAsia" w:cstheme="minorBidi"/>
          <w:noProof/>
          <w:sz w:val="22"/>
          <w:szCs w:val="22"/>
        </w:rPr>
      </w:pPr>
      <w:hyperlink w:anchor="_Toc393897917" w:history="1">
        <w:r w:rsidRPr="009E2E6E">
          <w:rPr>
            <w:rStyle w:val="Hyperlink"/>
            <w:noProof/>
          </w:rPr>
          <w:t>Uvod</w:t>
        </w:r>
        <w:r>
          <w:rPr>
            <w:noProof/>
            <w:webHidden/>
          </w:rPr>
          <w:tab/>
        </w:r>
        <w:r>
          <w:rPr>
            <w:noProof/>
            <w:webHidden/>
          </w:rPr>
          <w:fldChar w:fldCharType="begin"/>
        </w:r>
        <w:r>
          <w:rPr>
            <w:noProof/>
            <w:webHidden/>
          </w:rPr>
          <w:instrText xml:space="preserve"> PAGEREF _Toc393897917 \h </w:instrText>
        </w:r>
        <w:r>
          <w:rPr>
            <w:noProof/>
            <w:webHidden/>
          </w:rPr>
        </w:r>
        <w:r>
          <w:rPr>
            <w:noProof/>
            <w:webHidden/>
          </w:rPr>
          <w:fldChar w:fldCharType="separate"/>
        </w:r>
        <w:r>
          <w:rPr>
            <w:noProof/>
            <w:webHidden/>
          </w:rPr>
          <w:t>82</w:t>
        </w:r>
        <w:r>
          <w:rPr>
            <w:noProof/>
            <w:webHidden/>
          </w:rPr>
          <w:fldChar w:fldCharType="end"/>
        </w:r>
      </w:hyperlink>
    </w:p>
    <w:p w:rsidR="00762EAE" w:rsidRDefault="00762EAE">
      <w:pPr>
        <w:pStyle w:val="TOC2"/>
        <w:tabs>
          <w:tab w:val="left" w:pos="720"/>
          <w:tab w:val="right" w:leader="dot" w:pos="9063"/>
        </w:tabs>
        <w:rPr>
          <w:rFonts w:eastAsiaTheme="minorEastAsia" w:cstheme="minorBidi"/>
          <w:i w:val="0"/>
          <w:iCs w:val="0"/>
          <w:noProof/>
          <w:sz w:val="22"/>
          <w:szCs w:val="22"/>
        </w:rPr>
      </w:pPr>
      <w:hyperlink w:anchor="_Toc393897918" w:history="1">
        <w:r w:rsidRPr="009E2E6E">
          <w:rPr>
            <w:rStyle w:val="Hyperlink"/>
            <w:noProof/>
            <w:lang w:val="sr-Latn-CS"/>
          </w:rPr>
          <w:t>6.1</w:t>
        </w:r>
        <w:r>
          <w:rPr>
            <w:rFonts w:eastAsiaTheme="minorEastAsia" w:cstheme="minorBidi"/>
            <w:i w:val="0"/>
            <w:iCs w:val="0"/>
            <w:noProof/>
            <w:sz w:val="22"/>
            <w:szCs w:val="22"/>
          </w:rPr>
          <w:tab/>
        </w:r>
        <w:r w:rsidRPr="009E2E6E">
          <w:rPr>
            <w:rStyle w:val="Hyperlink"/>
            <w:noProof/>
          </w:rPr>
          <w:t>Nacionalno</w:t>
        </w:r>
        <w:r w:rsidRPr="009E2E6E">
          <w:rPr>
            <w:rStyle w:val="Hyperlink"/>
            <w:noProof/>
            <w:lang w:val="sr-Latn-CS"/>
          </w:rPr>
          <w:t xml:space="preserve"> zakonodavstvo</w:t>
        </w:r>
        <w:r>
          <w:rPr>
            <w:noProof/>
            <w:webHidden/>
          </w:rPr>
          <w:tab/>
        </w:r>
        <w:r>
          <w:rPr>
            <w:noProof/>
            <w:webHidden/>
          </w:rPr>
          <w:fldChar w:fldCharType="begin"/>
        </w:r>
        <w:r>
          <w:rPr>
            <w:noProof/>
            <w:webHidden/>
          </w:rPr>
          <w:instrText xml:space="preserve"> PAGEREF _Toc393897918 \h </w:instrText>
        </w:r>
        <w:r>
          <w:rPr>
            <w:noProof/>
            <w:webHidden/>
          </w:rPr>
        </w:r>
        <w:r>
          <w:rPr>
            <w:noProof/>
            <w:webHidden/>
          </w:rPr>
          <w:fldChar w:fldCharType="separate"/>
        </w:r>
        <w:r>
          <w:rPr>
            <w:noProof/>
            <w:webHidden/>
          </w:rPr>
          <w:t>83</w:t>
        </w:r>
        <w:r>
          <w:rPr>
            <w:noProof/>
            <w:webHidden/>
          </w:rPr>
          <w:fldChar w:fldCharType="end"/>
        </w:r>
      </w:hyperlink>
    </w:p>
    <w:p w:rsidR="00762EAE" w:rsidRDefault="00762EAE">
      <w:pPr>
        <w:pStyle w:val="TOC2"/>
        <w:tabs>
          <w:tab w:val="left" w:pos="720"/>
          <w:tab w:val="right" w:leader="dot" w:pos="9063"/>
        </w:tabs>
        <w:rPr>
          <w:rFonts w:eastAsiaTheme="minorEastAsia" w:cstheme="minorBidi"/>
          <w:i w:val="0"/>
          <w:iCs w:val="0"/>
          <w:noProof/>
          <w:sz w:val="22"/>
          <w:szCs w:val="22"/>
        </w:rPr>
      </w:pPr>
      <w:hyperlink w:anchor="_Toc393897919" w:history="1">
        <w:r w:rsidRPr="009E2E6E">
          <w:rPr>
            <w:rStyle w:val="Hyperlink"/>
            <w:noProof/>
            <w:lang w:val="sr-Latn-CS"/>
          </w:rPr>
          <w:t>6.2</w:t>
        </w:r>
        <w:r>
          <w:rPr>
            <w:rFonts w:eastAsiaTheme="minorEastAsia" w:cstheme="minorBidi"/>
            <w:i w:val="0"/>
            <w:iCs w:val="0"/>
            <w:noProof/>
            <w:sz w:val="22"/>
            <w:szCs w:val="22"/>
          </w:rPr>
          <w:tab/>
        </w:r>
        <w:r w:rsidRPr="009E2E6E">
          <w:rPr>
            <w:rStyle w:val="Hyperlink"/>
            <w:noProof/>
          </w:rPr>
          <w:t>Zaštićena</w:t>
        </w:r>
        <w:r w:rsidRPr="009E2E6E">
          <w:rPr>
            <w:rStyle w:val="Hyperlink"/>
            <w:noProof/>
            <w:lang w:val="sr-Latn-CS"/>
          </w:rPr>
          <w:t xml:space="preserve"> područja</w:t>
        </w:r>
        <w:r>
          <w:rPr>
            <w:noProof/>
            <w:webHidden/>
          </w:rPr>
          <w:tab/>
        </w:r>
        <w:r>
          <w:rPr>
            <w:noProof/>
            <w:webHidden/>
          </w:rPr>
          <w:fldChar w:fldCharType="begin"/>
        </w:r>
        <w:r>
          <w:rPr>
            <w:noProof/>
            <w:webHidden/>
          </w:rPr>
          <w:instrText xml:space="preserve"> PAGEREF _Toc393897919 \h </w:instrText>
        </w:r>
        <w:r>
          <w:rPr>
            <w:noProof/>
            <w:webHidden/>
          </w:rPr>
        </w:r>
        <w:r>
          <w:rPr>
            <w:noProof/>
            <w:webHidden/>
          </w:rPr>
          <w:fldChar w:fldCharType="separate"/>
        </w:r>
        <w:r>
          <w:rPr>
            <w:noProof/>
            <w:webHidden/>
          </w:rPr>
          <w:t>84</w:t>
        </w:r>
        <w:r>
          <w:rPr>
            <w:noProof/>
            <w:webHidden/>
          </w:rPr>
          <w:fldChar w:fldCharType="end"/>
        </w:r>
      </w:hyperlink>
    </w:p>
    <w:p w:rsidR="00762EAE" w:rsidRDefault="00762EAE">
      <w:pPr>
        <w:pStyle w:val="TOC3"/>
        <w:tabs>
          <w:tab w:val="right" w:leader="dot" w:pos="9063"/>
        </w:tabs>
        <w:rPr>
          <w:rFonts w:eastAsiaTheme="minorEastAsia" w:cstheme="minorBidi"/>
          <w:noProof/>
          <w:sz w:val="22"/>
          <w:szCs w:val="22"/>
        </w:rPr>
      </w:pPr>
      <w:hyperlink w:anchor="_Toc393897920" w:history="1">
        <w:r w:rsidRPr="009E2E6E">
          <w:rPr>
            <w:rStyle w:val="Hyperlink"/>
            <w:noProof/>
          </w:rPr>
          <w:t>Uvodne napomene</w:t>
        </w:r>
        <w:r>
          <w:rPr>
            <w:noProof/>
            <w:webHidden/>
          </w:rPr>
          <w:tab/>
        </w:r>
        <w:r>
          <w:rPr>
            <w:noProof/>
            <w:webHidden/>
          </w:rPr>
          <w:fldChar w:fldCharType="begin"/>
        </w:r>
        <w:r>
          <w:rPr>
            <w:noProof/>
            <w:webHidden/>
          </w:rPr>
          <w:instrText xml:space="preserve"> PAGEREF _Toc393897920 \h </w:instrText>
        </w:r>
        <w:r>
          <w:rPr>
            <w:noProof/>
            <w:webHidden/>
          </w:rPr>
        </w:r>
        <w:r>
          <w:rPr>
            <w:noProof/>
            <w:webHidden/>
          </w:rPr>
          <w:fldChar w:fldCharType="separate"/>
        </w:r>
        <w:r>
          <w:rPr>
            <w:noProof/>
            <w:webHidden/>
          </w:rPr>
          <w:t>84</w:t>
        </w:r>
        <w:r>
          <w:rPr>
            <w:noProof/>
            <w:webHidden/>
          </w:rPr>
          <w:fldChar w:fldCharType="end"/>
        </w:r>
      </w:hyperlink>
    </w:p>
    <w:p w:rsidR="00762EAE" w:rsidRDefault="00762EAE">
      <w:pPr>
        <w:pStyle w:val="TOC2"/>
        <w:tabs>
          <w:tab w:val="left" w:pos="720"/>
          <w:tab w:val="right" w:leader="dot" w:pos="9063"/>
        </w:tabs>
        <w:rPr>
          <w:rFonts w:eastAsiaTheme="minorEastAsia" w:cstheme="minorBidi"/>
          <w:i w:val="0"/>
          <w:iCs w:val="0"/>
          <w:noProof/>
          <w:sz w:val="22"/>
          <w:szCs w:val="22"/>
        </w:rPr>
      </w:pPr>
      <w:hyperlink w:anchor="_Toc393897921" w:history="1">
        <w:r w:rsidRPr="009E2E6E">
          <w:rPr>
            <w:rStyle w:val="Hyperlink"/>
            <w:noProof/>
          </w:rPr>
          <w:t>6.3</w:t>
        </w:r>
        <w:r>
          <w:rPr>
            <w:rFonts w:eastAsiaTheme="minorEastAsia" w:cstheme="minorBidi"/>
            <w:i w:val="0"/>
            <w:iCs w:val="0"/>
            <w:noProof/>
            <w:sz w:val="22"/>
            <w:szCs w:val="22"/>
          </w:rPr>
          <w:tab/>
        </w:r>
        <w:r w:rsidRPr="009E2E6E">
          <w:rPr>
            <w:rStyle w:val="Hyperlink"/>
            <w:noProof/>
          </w:rPr>
          <w:t>Rezultati Programa monitoringa biodiverziteta</w:t>
        </w:r>
        <w:r>
          <w:rPr>
            <w:noProof/>
            <w:webHidden/>
          </w:rPr>
          <w:tab/>
        </w:r>
        <w:r>
          <w:rPr>
            <w:noProof/>
            <w:webHidden/>
          </w:rPr>
          <w:fldChar w:fldCharType="begin"/>
        </w:r>
        <w:r>
          <w:rPr>
            <w:noProof/>
            <w:webHidden/>
          </w:rPr>
          <w:instrText xml:space="preserve"> PAGEREF _Toc393897921 \h </w:instrText>
        </w:r>
        <w:r>
          <w:rPr>
            <w:noProof/>
            <w:webHidden/>
          </w:rPr>
        </w:r>
        <w:r>
          <w:rPr>
            <w:noProof/>
            <w:webHidden/>
          </w:rPr>
          <w:fldChar w:fldCharType="separate"/>
        </w:r>
        <w:r>
          <w:rPr>
            <w:noProof/>
            <w:webHidden/>
          </w:rPr>
          <w:t>85</w:t>
        </w:r>
        <w:r>
          <w:rPr>
            <w:noProof/>
            <w:webHidden/>
          </w:rPr>
          <w:fldChar w:fldCharType="end"/>
        </w:r>
      </w:hyperlink>
    </w:p>
    <w:p w:rsidR="00762EAE" w:rsidRDefault="00762EAE">
      <w:pPr>
        <w:pStyle w:val="TOC3"/>
        <w:tabs>
          <w:tab w:val="right" w:leader="dot" w:pos="9063"/>
        </w:tabs>
        <w:rPr>
          <w:rFonts w:eastAsiaTheme="minorEastAsia" w:cstheme="minorBidi"/>
          <w:noProof/>
          <w:sz w:val="22"/>
          <w:szCs w:val="22"/>
        </w:rPr>
      </w:pPr>
      <w:hyperlink w:anchor="_Toc393897922" w:history="1">
        <w:r w:rsidRPr="009E2E6E">
          <w:rPr>
            <w:rStyle w:val="Hyperlink"/>
            <w:noProof/>
          </w:rPr>
          <w:t>6.3.1  Rijeka Morača (Zlatica, Raslovići, Milunovići, Andrijevo)</w:t>
        </w:r>
        <w:r>
          <w:rPr>
            <w:noProof/>
            <w:webHidden/>
          </w:rPr>
          <w:tab/>
        </w:r>
        <w:r>
          <w:rPr>
            <w:noProof/>
            <w:webHidden/>
          </w:rPr>
          <w:fldChar w:fldCharType="begin"/>
        </w:r>
        <w:r>
          <w:rPr>
            <w:noProof/>
            <w:webHidden/>
          </w:rPr>
          <w:instrText xml:space="preserve"> PAGEREF _Toc393897922 \h </w:instrText>
        </w:r>
        <w:r>
          <w:rPr>
            <w:noProof/>
            <w:webHidden/>
          </w:rPr>
        </w:r>
        <w:r>
          <w:rPr>
            <w:noProof/>
            <w:webHidden/>
          </w:rPr>
          <w:fldChar w:fldCharType="separate"/>
        </w:r>
        <w:r>
          <w:rPr>
            <w:noProof/>
            <w:webHidden/>
          </w:rPr>
          <w:t>85</w:t>
        </w:r>
        <w:r>
          <w:rPr>
            <w:noProof/>
            <w:webHidden/>
          </w:rPr>
          <w:fldChar w:fldCharType="end"/>
        </w:r>
      </w:hyperlink>
    </w:p>
    <w:p w:rsidR="00762EAE" w:rsidRDefault="00762EAE">
      <w:pPr>
        <w:pStyle w:val="TOC3"/>
        <w:tabs>
          <w:tab w:val="left" w:pos="1080"/>
          <w:tab w:val="right" w:leader="dot" w:pos="9063"/>
        </w:tabs>
        <w:rPr>
          <w:rFonts w:eastAsiaTheme="minorEastAsia" w:cstheme="minorBidi"/>
          <w:noProof/>
          <w:sz w:val="22"/>
          <w:szCs w:val="22"/>
        </w:rPr>
      </w:pPr>
      <w:hyperlink w:anchor="_Toc393897923" w:history="1">
        <w:r w:rsidRPr="009E2E6E">
          <w:rPr>
            <w:rStyle w:val="Hyperlink"/>
            <w:noProof/>
          </w:rPr>
          <w:t>6.3.2</w:t>
        </w:r>
        <w:r>
          <w:rPr>
            <w:rFonts w:eastAsiaTheme="minorEastAsia" w:cstheme="minorBidi"/>
            <w:noProof/>
            <w:sz w:val="22"/>
            <w:szCs w:val="22"/>
          </w:rPr>
          <w:tab/>
        </w:r>
        <w:r w:rsidRPr="009E2E6E">
          <w:rPr>
            <w:rStyle w:val="Hyperlink"/>
            <w:noProof/>
          </w:rPr>
          <w:t>Komarnica</w:t>
        </w:r>
        <w:r>
          <w:rPr>
            <w:noProof/>
            <w:webHidden/>
          </w:rPr>
          <w:tab/>
        </w:r>
        <w:r>
          <w:rPr>
            <w:noProof/>
            <w:webHidden/>
          </w:rPr>
          <w:fldChar w:fldCharType="begin"/>
        </w:r>
        <w:r>
          <w:rPr>
            <w:noProof/>
            <w:webHidden/>
          </w:rPr>
          <w:instrText xml:space="preserve"> PAGEREF _Toc393897923 \h </w:instrText>
        </w:r>
        <w:r>
          <w:rPr>
            <w:noProof/>
            <w:webHidden/>
          </w:rPr>
        </w:r>
        <w:r>
          <w:rPr>
            <w:noProof/>
            <w:webHidden/>
          </w:rPr>
          <w:fldChar w:fldCharType="separate"/>
        </w:r>
        <w:r>
          <w:rPr>
            <w:noProof/>
            <w:webHidden/>
          </w:rPr>
          <w:t>94</w:t>
        </w:r>
        <w:r>
          <w:rPr>
            <w:noProof/>
            <w:webHidden/>
          </w:rPr>
          <w:fldChar w:fldCharType="end"/>
        </w:r>
      </w:hyperlink>
    </w:p>
    <w:p w:rsidR="00762EAE" w:rsidRDefault="00762EAE">
      <w:pPr>
        <w:pStyle w:val="TOC3"/>
        <w:tabs>
          <w:tab w:val="left" w:pos="1080"/>
          <w:tab w:val="right" w:leader="dot" w:pos="9063"/>
        </w:tabs>
        <w:rPr>
          <w:rFonts w:eastAsiaTheme="minorEastAsia" w:cstheme="minorBidi"/>
          <w:noProof/>
          <w:sz w:val="22"/>
          <w:szCs w:val="22"/>
        </w:rPr>
      </w:pPr>
      <w:hyperlink w:anchor="_Toc393897924" w:history="1">
        <w:r w:rsidRPr="009E2E6E">
          <w:rPr>
            <w:rStyle w:val="Hyperlink"/>
            <w:noProof/>
          </w:rPr>
          <w:t>6.3.3</w:t>
        </w:r>
        <w:r>
          <w:rPr>
            <w:rFonts w:eastAsiaTheme="minorEastAsia" w:cstheme="minorBidi"/>
            <w:noProof/>
            <w:sz w:val="22"/>
            <w:szCs w:val="22"/>
          </w:rPr>
          <w:tab/>
        </w:r>
        <w:r w:rsidRPr="009E2E6E">
          <w:rPr>
            <w:rStyle w:val="Hyperlink"/>
            <w:noProof/>
          </w:rPr>
          <w:t>Kanjon rijeke Mrtvice</w:t>
        </w:r>
        <w:r>
          <w:rPr>
            <w:noProof/>
            <w:webHidden/>
          </w:rPr>
          <w:tab/>
        </w:r>
        <w:r>
          <w:rPr>
            <w:noProof/>
            <w:webHidden/>
          </w:rPr>
          <w:fldChar w:fldCharType="begin"/>
        </w:r>
        <w:r>
          <w:rPr>
            <w:noProof/>
            <w:webHidden/>
          </w:rPr>
          <w:instrText xml:space="preserve"> PAGEREF _Toc393897924 \h </w:instrText>
        </w:r>
        <w:r>
          <w:rPr>
            <w:noProof/>
            <w:webHidden/>
          </w:rPr>
        </w:r>
        <w:r>
          <w:rPr>
            <w:noProof/>
            <w:webHidden/>
          </w:rPr>
          <w:fldChar w:fldCharType="separate"/>
        </w:r>
        <w:r>
          <w:rPr>
            <w:noProof/>
            <w:webHidden/>
          </w:rPr>
          <w:t>100</w:t>
        </w:r>
        <w:r>
          <w:rPr>
            <w:noProof/>
            <w:webHidden/>
          </w:rPr>
          <w:fldChar w:fldCharType="end"/>
        </w:r>
      </w:hyperlink>
    </w:p>
    <w:p w:rsidR="00762EAE" w:rsidRDefault="00762EAE">
      <w:pPr>
        <w:pStyle w:val="TOC3"/>
        <w:tabs>
          <w:tab w:val="right" w:leader="dot" w:pos="9063"/>
        </w:tabs>
        <w:rPr>
          <w:rFonts w:eastAsiaTheme="minorEastAsia" w:cstheme="minorBidi"/>
          <w:noProof/>
          <w:sz w:val="22"/>
          <w:szCs w:val="22"/>
        </w:rPr>
      </w:pPr>
      <w:hyperlink w:anchor="_Toc393897925" w:history="1">
        <w:r w:rsidRPr="009E2E6E">
          <w:rPr>
            <w:rStyle w:val="Hyperlink"/>
            <w:noProof/>
          </w:rPr>
          <w:t>6.3.4    Rijeka Lim sa pritokama</w:t>
        </w:r>
        <w:r>
          <w:rPr>
            <w:noProof/>
            <w:webHidden/>
          </w:rPr>
          <w:tab/>
        </w:r>
        <w:r>
          <w:rPr>
            <w:noProof/>
            <w:webHidden/>
          </w:rPr>
          <w:fldChar w:fldCharType="begin"/>
        </w:r>
        <w:r>
          <w:rPr>
            <w:noProof/>
            <w:webHidden/>
          </w:rPr>
          <w:instrText xml:space="preserve"> PAGEREF _Toc393897925 \h </w:instrText>
        </w:r>
        <w:r>
          <w:rPr>
            <w:noProof/>
            <w:webHidden/>
          </w:rPr>
        </w:r>
        <w:r>
          <w:rPr>
            <w:noProof/>
            <w:webHidden/>
          </w:rPr>
          <w:fldChar w:fldCharType="separate"/>
        </w:r>
        <w:r>
          <w:rPr>
            <w:noProof/>
            <w:webHidden/>
          </w:rPr>
          <w:t>104</w:t>
        </w:r>
        <w:r>
          <w:rPr>
            <w:noProof/>
            <w:webHidden/>
          </w:rPr>
          <w:fldChar w:fldCharType="end"/>
        </w:r>
      </w:hyperlink>
    </w:p>
    <w:p w:rsidR="00762EAE" w:rsidRDefault="00762EAE">
      <w:pPr>
        <w:pStyle w:val="TOC3"/>
        <w:tabs>
          <w:tab w:val="right" w:leader="dot" w:pos="9063"/>
        </w:tabs>
        <w:rPr>
          <w:rFonts w:eastAsiaTheme="minorEastAsia" w:cstheme="minorBidi"/>
          <w:noProof/>
          <w:sz w:val="22"/>
          <w:szCs w:val="22"/>
        </w:rPr>
      </w:pPr>
      <w:hyperlink w:anchor="_Toc393897926" w:history="1">
        <w:r w:rsidRPr="009E2E6E">
          <w:rPr>
            <w:rStyle w:val="Hyperlink"/>
            <w:noProof/>
          </w:rPr>
          <w:t>6.3.5  Krnovo</w:t>
        </w:r>
        <w:r>
          <w:rPr>
            <w:noProof/>
            <w:webHidden/>
          </w:rPr>
          <w:tab/>
        </w:r>
        <w:r>
          <w:rPr>
            <w:noProof/>
            <w:webHidden/>
          </w:rPr>
          <w:fldChar w:fldCharType="begin"/>
        </w:r>
        <w:r>
          <w:rPr>
            <w:noProof/>
            <w:webHidden/>
          </w:rPr>
          <w:instrText xml:space="preserve"> PAGEREF _Toc393897926 \h </w:instrText>
        </w:r>
        <w:r>
          <w:rPr>
            <w:noProof/>
            <w:webHidden/>
          </w:rPr>
        </w:r>
        <w:r>
          <w:rPr>
            <w:noProof/>
            <w:webHidden/>
          </w:rPr>
          <w:fldChar w:fldCharType="separate"/>
        </w:r>
        <w:r>
          <w:rPr>
            <w:noProof/>
            <w:webHidden/>
          </w:rPr>
          <w:t>113</w:t>
        </w:r>
        <w:r>
          <w:rPr>
            <w:noProof/>
            <w:webHidden/>
          </w:rPr>
          <w:fldChar w:fldCharType="end"/>
        </w:r>
      </w:hyperlink>
    </w:p>
    <w:p w:rsidR="00762EAE" w:rsidRDefault="00762EAE">
      <w:pPr>
        <w:pStyle w:val="TOC3"/>
        <w:tabs>
          <w:tab w:val="right" w:leader="dot" w:pos="9063"/>
        </w:tabs>
        <w:rPr>
          <w:rFonts w:eastAsiaTheme="minorEastAsia" w:cstheme="minorBidi"/>
          <w:noProof/>
          <w:sz w:val="22"/>
          <w:szCs w:val="22"/>
        </w:rPr>
      </w:pPr>
      <w:hyperlink w:anchor="_Toc393897927" w:history="1">
        <w:r w:rsidRPr="009E2E6E">
          <w:rPr>
            <w:rStyle w:val="Hyperlink"/>
            <w:noProof/>
          </w:rPr>
          <w:t>6.3.6  Skadarsko jezero</w:t>
        </w:r>
        <w:r>
          <w:rPr>
            <w:noProof/>
            <w:webHidden/>
          </w:rPr>
          <w:tab/>
        </w:r>
        <w:r>
          <w:rPr>
            <w:noProof/>
            <w:webHidden/>
          </w:rPr>
          <w:fldChar w:fldCharType="begin"/>
        </w:r>
        <w:r>
          <w:rPr>
            <w:noProof/>
            <w:webHidden/>
          </w:rPr>
          <w:instrText xml:space="preserve"> PAGEREF _Toc393897927 \h </w:instrText>
        </w:r>
        <w:r>
          <w:rPr>
            <w:noProof/>
            <w:webHidden/>
          </w:rPr>
        </w:r>
        <w:r>
          <w:rPr>
            <w:noProof/>
            <w:webHidden/>
          </w:rPr>
          <w:fldChar w:fldCharType="separate"/>
        </w:r>
        <w:r>
          <w:rPr>
            <w:noProof/>
            <w:webHidden/>
          </w:rPr>
          <w:t>114</w:t>
        </w:r>
        <w:r>
          <w:rPr>
            <w:noProof/>
            <w:webHidden/>
          </w:rPr>
          <w:fldChar w:fldCharType="end"/>
        </w:r>
      </w:hyperlink>
    </w:p>
    <w:p w:rsidR="00762EAE" w:rsidRDefault="00762EAE">
      <w:pPr>
        <w:pStyle w:val="TOC2"/>
        <w:tabs>
          <w:tab w:val="left" w:pos="720"/>
          <w:tab w:val="right" w:leader="dot" w:pos="9063"/>
        </w:tabs>
        <w:rPr>
          <w:rFonts w:eastAsiaTheme="minorEastAsia" w:cstheme="minorBidi"/>
          <w:i w:val="0"/>
          <w:iCs w:val="0"/>
          <w:noProof/>
          <w:sz w:val="22"/>
          <w:szCs w:val="22"/>
        </w:rPr>
      </w:pPr>
      <w:hyperlink w:anchor="_Toc393897928" w:history="1">
        <w:r w:rsidRPr="009E2E6E">
          <w:rPr>
            <w:rStyle w:val="Hyperlink"/>
            <w:noProof/>
            <w:lang w:val="sr-Latn-CS"/>
          </w:rPr>
          <w:t>6.4</w:t>
        </w:r>
        <w:r>
          <w:rPr>
            <w:rFonts w:eastAsiaTheme="minorEastAsia" w:cstheme="minorBidi"/>
            <w:i w:val="0"/>
            <w:iCs w:val="0"/>
            <w:noProof/>
            <w:sz w:val="22"/>
            <w:szCs w:val="22"/>
          </w:rPr>
          <w:tab/>
        </w:r>
        <w:r w:rsidRPr="009E2E6E">
          <w:rPr>
            <w:rStyle w:val="Hyperlink"/>
            <w:noProof/>
            <w:lang w:val="sr-Latn-CS"/>
          </w:rPr>
          <w:t>Ocjena stanja i indentifikovani pritisci</w:t>
        </w:r>
        <w:r>
          <w:rPr>
            <w:noProof/>
            <w:webHidden/>
          </w:rPr>
          <w:tab/>
        </w:r>
        <w:r>
          <w:rPr>
            <w:noProof/>
            <w:webHidden/>
          </w:rPr>
          <w:fldChar w:fldCharType="begin"/>
        </w:r>
        <w:r>
          <w:rPr>
            <w:noProof/>
            <w:webHidden/>
          </w:rPr>
          <w:instrText xml:space="preserve"> PAGEREF _Toc393897928 \h </w:instrText>
        </w:r>
        <w:r>
          <w:rPr>
            <w:noProof/>
            <w:webHidden/>
          </w:rPr>
        </w:r>
        <w:r>
          <w:rPr>
            <w:noProof/>
            <w:webHidden/>
          </w:rPr>
          <w:fldChar w:fldCharType="separate"/>
        </w:r>
        <w:r>
          <w:rPr>
            <w:noProof/>
            <w:webHidden/>
          </w:rPr>
          <w:t>119</w:t>
        </w:r>
        <w:r>
          <w:rPr>
            <w:noProof/>
            <w:webHidden/>
          </w:rPr>
          <w:fldChar w:fldCharType="end"/>
        </w:r>
      </w:hyperlink>
    </w:p>
    <w:p w:rsidR="00762EAE" w:rsidRDefault="00762EAE">
      <w:pPr>
        <w:pStyle w:val="TOC3"/>
        <w:tabs>
          <w:tab w:val="right" w:leader="dot" w:pos="9063"/>
        </w:tabs>
        <w:rPr>
          <w:rFonts w:eastAsiaTheme="minorEastAsia" w:cstheme="minorBidi"/>
          <w:noProof/>
          <w:sz w:val="22"/>
          <w:szCs w:val="22"/>
        </w:rPr>
      </w:pPr>
      <w:hyperlink w:anchor="_Toc393897929" w:history="1">
        <w:r w:rsidRPr="009E2E6E">
          <w:rPr>
            <w:rStyle w:val="Hyperlink"/>
            <w:noProof/>
          </w:rPr>
          <w:t>6.4.1 Kanjon rijeke Morače (Zlatica, Raslovići, Milunovići, Andrijevo, Đurđevina)</w:t>
        </w:r>
        <w:r>
          <w:rPr>
            <w:noProof/>
            <w:webHidden/>
          </w:rPr>
          <w:tab/>
        </w:r>
        <w:r>
          <w:rPr>
            <w:noProof/>
            <w:webHidden/>
          </w:rPr>
          <w:fldChar w:fldCharType="begin"/>
        </w:r>
        <w:r>
          <w:rPr>
            <w:noProof/>
            <w:webHidden/>
          </w:rPr>
          <w:instrText xml:space="preserve"> PAGEREF _Toc393897929 \h </w:instrText>
        </w:r>
        <w:r>
          <w:rPr>
            <w:noProof/>
            <w:webHidden/>
          </w:rPr>
        </w:r>
        <w:r>
          <w:rPr>
            <w:noProof/>
            <w:webHidden/>
          </w:rPr>
          <w:fldChar w:fldCharType="separate"/>
        </w:r>
        <w:r>
          <w:rPr>
            <w:noProof/>
            <w:webHidden/>
          </w:rPr>
          <w:t>119</w:t>
        </w:r>
        <w:r>
          <w:rPr>
            <w:noProof/>
            <w:webHidden/>
          </w:rPr>
          <w:fldChar w:fldCharType="end"/>
        </w:r>
      </w:hyperlink>
    </w:p>
    <w:p w:rsidR="00762EAE" w:rsidRDefault="00762EAE">
      <w:pPr>
        <w:pStyle w:val="TOC3"/>
        <w:tabs>
          <w:tab w:val="right" w:leader="dot" w:pos="9063"/>
        </w:tabs>
        <w:rPr>
          <w:rFonts w:eastAsiaTheme="minorEastAsia" w:cstheme="minorBidi"/>
          <w:noProof/>
          <w:sz w:val="22"/>
          <w:szCs w:val="22"/>
        </w:rPr>
      </w:pPr>
      <w:hyperlink w:anchor="_Toc393897930" w:history="1">
        <w:r w:rsidRPr="009E2E6E">
          <w:rPr>
            <w:rStyle w:val="Hyperlink"/>
            <w:noProof/>
          </w:rPr>
          <w:t>6.4.2   Kanjon rijeke Komarnice</w:t>
        </w:r>
        <w:r>
          <w:rPr>
            <w:noProof/>
            <w:webHidden/>
          </w:rPr>
          <w:tab/>
        </w:r>
        <w:r>
          <w:rPr>
            <w:noProof/>
            <w:webHidden/>
          </w:rPr>
          <w:fldChar w:fldCharType="begin"/>
        </w:r>
        <w:r>
          <w:rPr>
            <w:noProof/>
            <w:webHidden/>
          </w:rPr>
          <w:instrText xml:space="preserve"> PAGEREF _Toc393897930 \h </w:instrText>
        </w:r>
        <w:r>
          <w:rPr>
            <w:noProof/>
            <w:webHidden/>
          </w:rPr>
        </w:r>
        <w:r>
          <w:rPr>
            <w:noProof/>
            <w:webHidden/>
          </w:rPr>
          <w:fldChar w:fldCharType="separate"/>
        </w:r>
        <w:r>
          <w:rPr>
            <w:noProof/>
            <w:webHidden/>
          </w:rPr>
          <w:t>120</w:t>
        </w:r>
        <w:r>
          <w:rPr>
            <w:noProof/>
            <w:webHidden/>
          </w:rPr>
          <w:fldChar w:fldCharType="end"/>
        </w:r>
      </w:hyperlink>
    </w:p>
    <w:p w:rsidR="00762EAE" w:rsidRDefault="00762EAE">
      <w:pPr>
        <w:pStyle w:val="TOC3"/>
        <w:tabs>
          <w:tab w:val="right" w:leader="dot" w:pos="9063"/>
        </w:tabs>
        <w:rPr>
          <w:rFonts w:eastAsiaTheme="minorEastAsia" w:cstheme="minorBidi"/>
          <w:noProof/>
          <w:sz w:val="22"/>
          <w:szCs w:val="22"/>
        </w:rPr>
      </w:pPr>
      <w:hyperlink w:anchor="_Toc393897931" w:history="1">
        <w:r w:rsidRPr="009E2E6E">
          <w:rPr>
            <w:rStyle w:val="Hyperlink"/>
            <w:noProof/>
          </w:rPr>
          <w:t>6.4.3   Kanjon rijeke Mrtvice</w:t>
        </w:r>
        <w:r>
          <w:rPr>
            <w:noProof/>
            <w:webHidden/>
          </w:rPr>
          <w:tab/>
        </w:r>
        <w:r>
          <w:rPr>
            <w:noProof/>
            <w:webHidden/>
          </w:rPr>
          <w:fldChar w:fldCharType="begin"/>
        </w:r>
        <w:r>
          <w:rPr>
            <w:noProof/>
            <w:webHidden/>
          </w:rPr>
          <w:instrText xml:space="preserve"> PAGEREF _Toc393897931 \h </w:instrText>
        </w:r>
        <w:r>
          <w:rPr>
            <w:noProof/>
            <w:webHidden/>
          </w:rPr>
        </w:r>
        <w:r>
          <w:rPr>
            <w:noProof/>
            <w:webHidden/>
          </w:rPr>
          <w:fldChar w:fldCharType="separate"/>
        </w:r>
        <w:r>
          <w:rPr>
            <w:noProof/>
            <w:webHidden/>
          </w:rPr>
          <w:t>120</w:t>
        </w:r>
        <w:r>
          <w:rPr>
            <w:noProof/>
            <w:webHidden/>
          </w:rPr>
          <w:fldChar w:fldCharType="end"/>
        </w:r>
      </w:hyperlink>
    </w:p>
    <w:p w:rsidR="00762EAE" w:rsidRDefault="00762EAE">
      <w:pPr>
        <w:pStyle w:val="TOC3"/>
        <w:tabs>
          <w:tab w:val="right" w:leader="dot" w:pos="9063"/>
        </w:tabs>
        <w:rPr>
          <w:rFonts w:eastAsiaTheme="minorEastAsia" w:cstheme="minorBidi"/>
          <w:noProof/>
          <w:sz w:val="22"/>
          <w:szCs w:val="22"/>
        </w:rPr>
      </w:pPr>
      <w:hyperlink w:anchor="_Toc393897932" w:history="1">
        <w:r w:rsidRPr="009E2E6E">
          <w:rPr>
            <w:rStyle w:val="Hyperlink"/>
            <w:noProof/>
          </w:rPr>
          <w:t>6.4.4   Pritoke rijeke Lim (Trepačka rijeka, Murinska rijeka, Komanača, Babinopoljska rijeka, Vrelo Bradavec)</w:t>
        </w:r>
        <w:r>
          <w:rPr>
            <w:noProof/>
            <w:webHidden/>
          </w:rPr>
          <w:tab/>
        </w:r>
        <w:r>
          <w:rPr>
            <w:noProof/>
            <w:webHidden/>
          </w:rPr>
          <w:fldChar w:fldCharType="begin"/>
        </w:r>
        <w:r>
          <w:rPr>
            <w:noProof/>
            <w:webHidden/>
          </w:rPr>
          <w:instrText xml:space="preserve"> PAGEREF _Toc393897932 \h </w:instrText>
        </w:r>
        <w:r>
          <w:rPr>
            <w:noProof/>
            <w:webHidden/>
          </w:rPr>
        </w:r>
        <w:r>
          <w:rPr>
            <w:noProof/>
            <w:webHidden/>
          </w:rPr>
          <w:fldChar w:fldCharType="separate"/>
        </w:r>
        <w:r>
          <w:rPr>
            <w:noProof/>
            <w:webHidden/>
          </w:rPr>
          <w:t>121</w:t>
        </w:r>
        <w:r>
          <w:rPr>
            <w:noProof/>
            <w:webHidden/>
          </w:rPr>
          <w:fldChar w:fldCharType="end"/>
        </w:r>
      </w:hyperlink>
    </w:p>
    <w:p w:rsidR="00762EAE" w:rsidRDefault="00762EAE">
      <w:pPr>
        <w:pStyle w:val="TOC3"/>
        <w:tabs>
          <w:tab w:val="right" w:leader="dot" w:pos="9063"/>
        </w:tabs>
        <w:rPr>
          <w:rFonts w:eastAsiaTheme="minorEastAsia" w:cstheme="minorBidi"/>
          <w:noProof/>
          <w:sz w:val="22"/>
          <w:szCs w:val="22"/>
        </w:rPr>
      </w:pPr>
      <w:hyperlink w:anchor="_Toc393897933" w:history="1">
        <w:r w:rsidRPr="009E2E6E">
          <w:rPr>
            <w:rStyle w:val="Hyperlink"/>
            <w:noProof/>
          </w:rPr>
          <w:t>6.4.5  Skadarsko jezero</w:t>
        </w:r>
        <w:r>
          <w:rPr>
            <w:noProof/>
            <w:webHidden/>
          </w:rPr>
          <w:tab/>
        </w:r>
        <w:r>
          <w:rPr>
            <w:noProof/>
            <w:webHidden/>
          </w:rPr>
          <w:fldChar w:fldCharType="begin"/>
        </w:r>
        <w:r>
          <w:rPr>
            <w:noProof/>
            <w:webHidden/>
          </w:rPr>
          <w:instrText xml:space="preserve"> PAGEREF _Toc393897933 \h </w:instrText>
        </w:r>
        <w:r>
          <w:rPr>
            <w:noProof/>
            <w:webHidden/>
          </w:rPr>
        </w:r>
        <w:r>
          <w:rPr>
            <w:noProof/>
            <w:webHidden/>
          </w:rPr>
          <w:fldChar w:fldCharType="separate"/>
        </w:r>
        <w:r>
          <w:rPr>
            <w:noProof/>
            <w:webHidden/>
          </w:rPr>
          <w:t>122</w:t>
        </w:r>
        <w:r>
          <w:rPr>
            <w:noProof/>
            <w:webHidden/>
          </w:rPr>
          <w:fldChar w:fldCharType="end"/>
        </w:r>
      </w:hyperlink>
    </w:p>
    <w:p w:rsidR="00762EAE" w:rsidRDefault="00762EAE">
      <w:pPr>
        <w:pStyle w:val="TOC1"/>
        <w:rPr>
          <w:rFonts w:eastAsiaTheme="minorEastAsia" w:cstheme="minorBidi"/>
          <w:b w:val="0"/>
          <w:bCs w:val="0"/>
          <w:noProof/>
          <w:sz w:val="22"/>
          <w:szCs w:val="22"/>
        </w:rPr>
      </w:pPr>
      <w:hyperlink w:anchor="_Toc393897934" w:history="1">
        <w:r w:rsidRPr="009E2E6E">
          <w:rPr>
            <w:rStyle w:val="Hyperlink"/>
            <w:noProof/>
            <w:lang w:val="sr-Latn-CS"/>
          </w:rPr>
          <w:t>7</w:t>
        </w:r>
        <w:r>
          <w:rPr>
            <w:rFonts w:eastAsiaTheme="minorEastAsia" w:cstheme="minorBidi"/>
            <w:b w:val="0"/>
            <w:bCs w:val="0"/>
            <w:noProof/>
            <w:sz w:val="22"/>
            <w:szCs w:val="22"/>
          </w:rPr>
          <w:tab/>
        </w:r>
        <w:r w:rsidRPr="009E2E6E">
          <w:rPr>
            <w:rStyle w:val="Hyperlink"/>
            <w:noProof/>
            <w:lang w:val="sr-Latn-CS"/>
          </w:rPr>
          <w:t>BUKA</w:t>
        </w:r>
        <w:r>
          <w:rPr>
            <w:noProof/>
            <w:webHidden/>
          </w:rPr>
          <w:tab/>
        </w:r>
        <w:r>
          <w:rPr>
            <w:noProof/>
            <w:webHidden/>
          </w:rPr>
          <w:fldChar w:fldCharType="begin"/>
        </w:r>
        <w:r>
          <w:rPr>
            <w:noProof/>
            <w:webHidden/>
          </w:rPr>
          <w:instrText xml:space="preserve"> PAGEREF _Toc393897934 \h </w:instrText>
        </w:r>
        <w:r>
          <w:rPr>
            <w:noProof/>
            <w:webHidden/>
          </w:rPr>
        </w:r>
        <w:r>
          <w:rPr>
            <w:noProof/>
            <w:webHidden/>
          </w:rPr>
          <w:fldChar w:fldCharType="separate"/>
        </w:r>
        <w:r>
          <w:rPr>
            <w:noProof/>
            <w:webHidden/>
          </w:rPr>
          <w:t>133</w:t>
        </w:r>
        <w:r>
          <w:rPr>
            <w:noProof/>
            <w:webHidden/>
          </w:rPr>
          <w:fldChar w:fldCharType="end"/>
        </w:r>
      </w:hyperlink>
    </w:p>
    <w:p w:rsidR="00762EAE" w:rsidRDefault="00762EAE">
      <w:pPr>
        <w:pStyle w:val="TOC3"/>
        <w:tabs>
          <w:tab w:val="right" w:leader="dot" w:pos="9063"/>
        </w:tabs>
        <w:rPr>
          <w:rFonts w:eastAsiaTheme="minorEastAsia" w:cstheme="minorBidi"/>
          <w:noProof/>
          <w:sz w:val="22"/>
          <w:szCs w:val="22"/>
        </w:rPr>
      </w:pPr>
      <w:hyperlink w:anchor="_Toc393897935" w:history="1">
        <w:r w:rsidRPr="009E2E6E">
          <w:rPr>
            <w:rStyle w:val="Hyperlink"/>
            <w:noProof/>
          </w:rPr>
          <w:t>Uvod</w:t>
        </w:r>
        <w:r>
          <w:rPr>
            <w:noProof/>
            <w:webHidden/>
          </w:rPr>
          <w:tab/>
        </w:r>
        <w:r>
          <w:rPr>
            <w:noProof/>
            <w:webHidden/>
          </w:rPr>
          <w:fldChar w:fldCharType="begin"/>
        </w:r>
        <w:r>
          <w:rPr>
            <w:noProof/>
            <w:webHidden/>
          </w:rPr>
          <w:instrText xml:space="preserve"> PAGEREF _Toc393897935 \h </w:instrText>
        </w:r>
        <w:r>
          <w:rPr>
            <w:noProof/>
            <w:webHidden/>
          </w:rPr>
        </w:r>
        <w:r>
          <w:rPr>
            <w:noProof/>
            <w:webHidden/>
          </w:rPr>
          <w:fldChar w:fldCharType="separate"/>
        </w:r>
        <w:r>
          <w:rPr>
            <w:noProof/>
            <w:webHidden/>
          </w:rPr>
          <w:t>133</w:t>
        </w:r>
        <w:r>
          <w:rPr>
            <w:noProof/>
            <w:webHidden/>
          </w:rPr>
          <w:fldChar w:fldCharType="end"/>
        </w:r>
      </w:hyperlink>
    </w:p>
    <w:p w:rsidR="00762EAE" w:rsidRDefault="00762EAE">
      <w:pPr>
        <w:pStyle w:val="TOC2"/>
        <w:tabs>
          <w:tab w:val="left" w:pos="720"/>
          <w:tab w:val="right" w:leader="dot" w:pos="9063"/>
        </w:tabs>
        <w:rPr>
          <w:rFonts w:eastAsiaTheme="minorEastAsia" w:cstheme="minorBidi"/>
          <w:i w:val="0"/>
          <w:iCs w:val="0"/>
          <w:noProof/>
          <w:sz w:val="22"/>
          <w:szCs w:val="22"/>
        </w:rPr>
      </w:pPr>
      <w:hyperlink w:anchor="_Toc393897936" w:history="1">
        <w:r w:rsidRPr="009E2E6E">
          <w:rPr>
            <w:rStyle w:val="Hyperlink"/>
            <w:noProof/>
          </w:rPr>
          <w:t>7.1</w:t>
        </w:r>
        <w:r>
          <w:rPr>
            <w:rFonts w:eastAsiaTheme="minorEastAsia" w:cstheme="minorBidi"/>
            <w:i w:val="0"/>
            <w:iCs w:val="0"/>
            <w:noProof/>
            <w:sz w:val="22"/>
            <w:szCs w:val="22"/>
          </w:rPr>
          <w:tab/>
        </w:r>
        <w:r w:rsidRPr="009E2E6E">
          <w:rPr>
            <w:rStyle w:val="Hyperlink"/>
            <w:noProof/>
          </w:rPr>
          <w:t>Monitoring buke u životnoj sredini</w:t>
        </w:r>
        <w:r>
          <w:rPr>
            <w:noProof/>
            <w:webHidden/>
          </w:rPr>
          <w:tab/>
        </w:r>
        <w:r>
          <w:rPr>
            <w:noProof/>
            <w:webHidden/>
          </w:rPr>
          <w:fldChar w:fldCharType="begin"/>
        </w:r>
        <w:r>
          <w:rPr>
            <w:noProof/>
            <w:webHidden/>
          </w:rPr>
          <w:instrText xml:space="preserve"> PAGEREF _Toc393897936 \h </w:instrText>
        </w:r>
        <w:r>
          <w:rPr>
            <w:noProof/>
            <w:webHidden/>
          </w:rPr>
        </w:r>
        <w:r>
          <w:rPr>
            <w:noProof/>
            <w:webHidden/>
          </w:rPr>
          <w:fldChar w:fldCharType="separate"/>
        </w:r>
        <w:r>
          <w:rPr>
            <w:noProof/>
            <w:webHidden/>
          </w:rPr>
          <w:t>134</w:t>
        </w:r>
        <w:r>
          <w:rPr>
            <w:noProof/>
            <w:webHidden/>
          </w:rPr>
          <w:fldChar w:fldCharType="end"/>
        </w:r>
      </w:hyperlink>
    </w:p>
    <w:p w:rsidR="00762EAE" w:rsidRDefault="00762EAE">
      <w:pPr>
        <w:pStyle w:val="TOC2"/>
        <w:tabs>
          <w:tab w:val="left" w:pos="720"/>
          <w:tab w:val="right" w:leader="dot" w:pos="9063"/>
        </w:tabs>
        <w:rPr>
          <w:rFonts w:eastAsiaTheme="minorEastAsia" w:cstheme="minorBidi"/>
          <w:i w:val="0"/>
          <w:iCs w:val="0"/>
          <w:noProof/>
          <w:sz w:val="22"/>
          <w:szCs w:val="22"/>
        </w:rPr>
      </w:pPr>
      <w:hyperlink w:anchor="_Toc393897937" w:history="1">
        <w:r w:rsidRPr="009E2E6E">
          <w:rPr>
            <w:rStyle w:val="Hyperlink"/>
            <w:noProof/>
            <w:lang w:val="sr-Latn-CS"/>
          </w:rPr>
          <w:t>7.2</w:t>
        </w:r>
        <w:r>
          <w:rPr>
            <w:rFonts w:eastAsiaTheme="minorEastAsia" w:cstheme="minorBidi"/>
            <w:i w:val="0"/>
            <w:iCs w:val="0"/>
            <w:noProof/>
            <w:sz w:val="22"/>
            <w:szCs w:val="22"/>
          </w:rPr>
          <w:tab/>
        </w:r>
        <w:r w:rsidRPr="009E2E6E">
          <w:rPr>
            <w:rStyle w:val="Hyperlink"/>
            <w:noProof/>
            <w:lang w:val="sr-Latn-CS"/>
          </w:rPr>
          <w:t>Podgorica</w:t>
        </w:r>
        <w:r>
          <w:rPr>
            <w:noProof/>
            <w:webHidden/>
          </w:rPr>
          <w:tab/>
        </w:r>
        <w:r>
          <w:rPr>
            <w:noProof/>
            <w:webHidden/>
          </w:rPr>
          <w:fldChar w:fldCharType="begin"/>
        </w:r>
        <w:r>
          <w:rPr>
            <w:noProof/>
            <w:webHidden/>
          </w:rPr>
          <w:instrText xml:space="preserve"> PAGEREF _Toc393897937 \h </w:instrText>
        </w:r>
        <w:r>
          <w:rPr>
            <w:noProof/>
            <w:webHidden/>
          </w:rPr>
        </w:r>
        <w:r>
          <w:rPr>
            <w:noProof/>
            <w:webHidden/>
          </w:rPr>
          <w:fldChar w:fldCharType="separate"/>
        </w:r>
        <w:r>
          <w:rPr>
            <w:noProof/>
            <w:webHidden/>
          </w:rPr>
          <w:t>135</w:t>
        </w:r>
        <w:r>
          <w:rPr>
            <w:noProof/>
            <w:webHidden/>
          </w:rPr>
          <w:fldChar w:fldCharType="end"/>
        </w:r>
      </w:hyperlink>
    </w:p>
    <w:p w:rsidR="00762EAE" w:rsidRDefault="00762EAE">
      <w:pPr>
        <w:pStyle w:val="TOC2"/>
        <w:tabs>
          <w:tab w:val="left" w:pos="720"/>
          <w:tab w:val="right" w:leader="dot" w:pos="9063"/>
        </w:tabs>
        <w:rPr>
          <w:rFonts w:eastAsiaTheme="minorEastAsia" w:cstheme="minorBidi"/>
          <w:i w:val="0"/>
          <w:iCs w:val="0"/>
          <w:noProof/>
          <w:sz w:val="22"/>
          <w:szCs w:val="22"/>
        </w:rPr>
      </w:pPr>
      <w:hyperlink w:anchor="_Toc393897938" w:history="1">
        <w:r w:rsidRPr="009E2E6E">
          <w:rPr>
            <w:rStyle w:val="Hyperlink"/>
            <w:noProof/>
          </w:rPr>
          <w:t>7.3</w:t>
        </w:r>
        <w:r>
          <w:rPr>
            <w:rFonts w:eastAsiaTheme="minorEastAsia" w:cstheme="minorBidi"/>
            <w:i w:val="0"/>
            <w:iCs w:val="0"/>
            <w:noProof/>
            <w:sz w:val="22"/>
            <w:szCs w:val="22"/>
          </w:rPr>
          <w:tab/>
        </w:r>
        <w:r w:rsidRPr="009E2E6E">
          <w:rPr>
            <w:rStyle w:val="Hyperlink"/>
            <w:noProof/>
          </w:rPr>
          <w:t>Nikšić</w:t>
        </w:r>
        <w:r>
          <w:rPr>
            <w:noProof/>
            <w:webHidden/>
          </w:rPr>
          <w:tab/>
        </w:r>
        <w:r>
          <w:rPr>
            <w:noProof/>
            <w:webHidden/>
          </w:rPr>
          <w:fldChar w:fldCharType="begin"/>
        </w:r>
        <w:r>
          <w:rPr>
            <w:noProof/>
            <w:webHidden/>
          </w:rPr>
          <w:instrText xml:space="preserve"> PAGEREF _Toc393897938 \h </w:instrText>
        </w:r>
        <w:r>
          <w:rPr>
            <w:noProof/>
            <w:webHidden/>
          </w:rPr>
        </w:r>
        <w:r>
          <w:rPr>
            <w:noProof/>
            <w:webHidden/>
          </w:rPr>
          <w:fldChar w:fldCharType="separate"/>
        </w:r>
        <w:r>
          <w:rPr>
            <w:noProof/>
            <w:webHidden/>
          </w:rPr>
          <w:t>137</w:t>
        </w:r>
        <w:r>
          <w:rPr>
            <w:noProof/>
            <w:webHidden/>
          </w:rPr>
          <w:fldChar w:fldCharType="end"/>
        </w:r>
      </w:hyperlink>
    </w:p>
    <w:p w:rsidR="00762EAE" w:rsidRDefault="00762EAE">
      <w:pPr>
        <w:pStyle w:val="TOC2"/>
        <w:tabs>
          <w:tab w:val="left" w:pos="720"/>
          <w:tab w:val="right" w:leader="dot" w:pos="9063"/>
        </w:tabs>
        <w:rPr>
          <w:rFonts w:eastAsiaTheme="minorEastAsia" w:cstheme="minorBidi"/>
          <w:i w:val="0"/>
          <w:iCs w:val="0"/>
          <w:noProof/>
          <w:sz w:val="22"/>
          <w:szCs w:val="22"/>
        </w:rPr>
      </w:pPr>
      <w:hyperlink w:anchor="_Toc393897939" w:history="1">
        <w:r w:rsidRPr="009E2E6E">
          <w:rPr>
            <w:rStyle w:val="Hyperlink"/>
            <w:noProof/>
          </w:rPr>
          <w:t>7.4</w:t>
        </w:r>
        <w:r>
          <w:rPr>
            <w:rFonts w:eastAsiaTheme="minorEastAsia" w:cstheme="minorBidi"/>
            <w:i w:val="0"/>
            <w:iCs w:val="0"/>
            <w:noProof/>
            <w:sz w:val="22"/>
            <w:szCs w:val="22"/>
          </w:rPr>
          <w:tab/>
        </w:r>
        <w:r w:rsidRPr="009E2E6E">
          <w:rPr>
            <w:rStyle w:val="Hyperlink"/>
            <w:noProof/>
          </w:rPr>
          <w:t>Ža</w:t>
        </w:r>
        <w:r w:rsidRPr="009E2E6E">
          <w:rPr>
            <w:rStyle w:val="Hyperlink"/>
            <w:noProof/>
          </w:rPr>
          <w:t>b</w:t>
        </w:r>
        <w:r w:rsidRPr="009E2E6E">
          <w:rPr>
            <w:rStyle w:val="Hyperlink"/>
            <w:noProof/>
          </w:rPr>
          <w:t>ljak</w:t>
        </w:r>
        <w:r>
          <w:rPr>
            <w:noProof/>
            <w:webHidden/>
          </w:rPr>
          <w:tab/>
        </w:r>
        <w:r>
          <w:rPr>
            <w:noProof/>
            <w:webHidden/>
          </w:rPr>
          <w:fldChar w:fldCharType="begin"/>
        </w:r>
        <w:r>
          <w:rPr>
            <w:noProof/>
            <w:webHidden/>
          </w:rPr>
          <w:instrText xml:space="preserve"> PAGEREF _Toc393897939 \h </w:instrText>
        </w:r>
        <w:r>
          <w:rPr>
            <w:noProof/>
            <w:webHidden/>
          </w:rPr>
        </w:r>
        <w:r>
          <w:rPr>
            <w:noProof/>
            <w:webHidden/>
          </w:rPr>
          <w:fldChar w:fldCharType="separate"/>
        </w:r>
        <w:r>
          <w:rPr>
            <w:noProof/>
            <w:webHidden/>
          </w:rPr>
          <w:t>138</w:t>
        </w:r>
        <w:r>
          <w:rPr>
            <w:noProof/>
            <w:webHidden/>
          </w:rPr>
          <w:fldChar w:fldCharType="end"/>
        </w:r>
      </w:hyperlink>
    </w:p>
    <w:p w:rsidR="00762EAE" w:rsidRDefault="00762EAE">
      <w:pPr>
        <w:pStyle w:val="TOC2"/>
        <w:tabs>
          <w:tab w:val="left" w:pos="720"/>
          <w:tab w:val="right" w:leader="dot" w:pos="9063"/>
        </w:tabs>
        <w:rPr>
          <w:rFonts w:eastAsiaTheme="minorEastAsia" w:cstheme="minorBidi"/>
          <w:i w:val="0"/>
          <w:iCs w:val="0"/>
          <w:noProof/>
          <w:sz w:val="22"/>
          <w:szCs w:val="22"/>
        </w:rPr>
      </w:pPr>
      <w:hyperlink w:anchor="_Toc393897940" w:history="1">
        <w:r w:rsidRPr="009E2E6E">
          <w:rPr>
            <w:rStyle w:val="Hyperlink"/>
            <w:noProof/>
          </w:rPr>
          <w:t>7.5</w:t>
        </w:r>
        <w:r>
          <w:rPr>
            <w:rFonts w:eastAsiaTheme="minorEastAsia" w:cstheme="minorBidi"/>
            <w:i w:val="0"/>
            <w:iCs w:val="0"/>
            <w:noProof/>
            <w:sz w:val="22"/>
            <w:szCs w:val="22"/>
          </w:rPr>
          <w:tab/>
        </w:r>
        <w:r w:rsidRPr="009E2E6E">
          <w:rPr>
            <w:rStyle w:val="Hyperlink"/>
            <w:noProof/>
          </w:rPr>
          <w:t>Petrovac</w:t>
        </w:r>
        <w:r>
          <w:rPr>
            <w:noProof/>
            <w:webHidden/>
          </w:rPr>
          <w:tab/>
        </w:r>
        <w:r>
          <w:rPr>
            <w:noProof/>
            <w:webHidden/>
          </w:rPr>
          <w:fldChar w:fldCharType="begin"/>
        </w:r>
        <w:r>
          <w:rPr>
            <w:noProof/>
            <w:webHidden/>
          </w:rPr>
          <w:instrText xml:space="preserve"> PAGEREF _Toc393897940 \h </w:instrText>
        </w:r>
        <w:r>
          <w:rPr>
            <w:noProof/>
            <w:webHidden/>
          </w:rPr>
        </w:r>
        <w:r>
          <w:rPr>
            <w:noProof/>
            <w:webHidden/>
          </w:rPr>
          <w:fldChar w:fldCharType="separate"/>
        </w:r>
        <w:r>
          <w:rPr>
            <w:noProof/>
            <w:webHidden/>
          </w:rPr>
          <w:t>139</w:t>
        </w:r>
        <w:r>
          <w:rPr>
            <w:noProof/>
            <w:webHidden/>
          </w:rPr>
          <w:fldChar w:fldCharType="end"/>
        </w:r>
      </w:hyperlink>
    </w:p>
    <w:p w:rsidR="00762EAE" w:rsidRDefault="00762EAE">
      <w:pPr>
        <w:pStyle w:val="TOC2"/>
        <w:tabs>
          <w:tab w:val="left" w:pos="720"/>
          <w:tab w:val="right" w:leader="dot" w:pos="9063"/>
        </w:tabs>
        <w:rPr>
          <w:rFonts w:eastAsiaTheme="minorEastAsia" w:cstheme="minorBidi"/>
          <w:i w:val="0"/>
          <w:iCs w:val="0"/>
          <w:noProof/>
          <w:sz w:val="22"/>
          <w:szCs w:val="22"/>
        </w:rPr>
      </w:pPr>
      <w:hyperlink w:anchor="_Toc393897941" w:history="1">
        <w:r w:rsidRPr="009E2E6E">
          <w:rPr>
            <w:rStyle w:val="Hyperlink"/>
            <w:noProof/>
          </w:rPr>
          <w:t>7.6</w:t>
        </w:r>
        <w:r>
          <w:rPr>
            <w:rFonts w:eastAsiaTheme="minorEastAsia" w:cstheme="minorBidi"/>
            <w:i w:val="0"/>
            <w:iCs w:val="0"/>
            <w:noProof/>
            <w:sz w:val="22"/>
            <w:szCs w:val="22"/>
          </w:rPr>
          <w:tab/>
        </w:r>
        <w:r w:rsidRPr="009E2E6E">
          <w:rPr>
            <w:rStyle w:val="Hyperlink"/>
            <w:noProof/>
          </w:rPr>
          <w:t>Budva</w:t>
        </w:r>
        <w:r>
          <w:rPr>
            <w:noProof/>
            <w:webHidden/>
          </w:rPr>
          <w:tab/>
        </w:r>
        <w:r>
          <w:rPr>
            <w:noProof/>
            <w:webHidden/>
          </w:rPr>
          <w:fldChar w:fldCharType="begin"/>
        </w:r>
        <w:r>
          <w:rPr>
            <w:noProof/>
            <w:webHidden/>
          </w:rPr>
          <w:instrText xml:space="preserve"> PAGEREF _Toc393897941 \h </w:instrText>
        </w:r>
        <w:r>
          <w:rPr>
            <w:noProof/>
            <w:webHidden/>
          </w:rPr>
        </w:r>
        <w:r>
          <w:rPr>
            <w:noProof/>
            <w:webHidden/>
          </w:rPr>
          <w:fldChar w:fldCharType="separate"/>
        </w:r>
        <w:r>
          <w:rPr>
            <w:noProof/>
            <w:webHidden/>
          </w:rPr>
          <w:t>141</w:t>
        </w:r>
        <w:r>
          <w:rPr>
            <w:noProof/>
            <w:webHidden/>
          </w:rPr>
          <w:fldChar w:fldCharType="end"/>
        </w:r>
      </w:hyperlink>
    </w:p>
    <w:p w:rsidR="00762EAE" w:rsidRDefault="00762EAE">
      <w:pPr>
        <w:pStyle w:val="TOC2"/>
        <w:tabs>
          <w:tab w:val="left" w:pos="720"/>
          <w:tab w:val="right" w:leader="dot" w:pos="9063"/>
        </w:tabs>
        <w:rPr>
          <w:rFonts w:eastAsiaTheme="minorEastAsia" w:cstheme="minorBidi"/>
          <w:i w:val="0"/>
          <w:iCs w:val="0"/>
          <w:noProof/>
          <w:sz w:val="22"/>
          <w:szCs w:val="22"/>
        </w:rPr>
      </w:pPr>
      <w:hyperlink w:anchor="_Toc393897942" w:history="1">
        <w:r w:rsidRPr="009E2E6E">
          <w:rPr>
            <w:rStyle w:val="Hyperlink"/>
            <w:noProof/>
          </w:rPr>
          <w:t>7.7</w:t>
        </w:r>
        <w:r>
          <w:rPr>
            <w:rFonts w:eastAsiaTheme="minorEastAsia" w:cstheme="minorBidi"/>
            <w:i w:val="0"/>
            <w:iCs w:val="0"/>
            <w:noProof/>
            <w:sz w:val="22"/>
            <w:szCs w:val="22"/>
          </w:rPr>
          <w:tab/>
        </w:r>
        <w:r w:rsidRPr="009E2E6E">
          <w:rPr>
            <w:rStyle w:val="Hyperlink"/>
            <w:noProof/>
          </w:rPr>
          <w:t>Kotor</w:t>
        </w:r>
        <w:r>
          <w:rPr>
            <w:noProof/>
            <w:webHidden/>
          </w:rPr>
          <w:tab/>
        </w:r>
        <w:r>
          <w:rPr>
            <w:noProof/>
            <w:webHidden/>
          </w:rPr>
          <w:fldChar w:fldCharType="begin"/>
        </w:r>
        <w:r>
          <w:rPr>
            <w:noProof/>
            <w:webHidden/>
          </w:rPr>
          <w:instrText xml:space="preserve"> PAGEREF _Toc393897942 \h </w:instrText>
        </w:r>
        <w:r>
          <w:rPr>
            <w:noProof/>
            <w:webHidden/>
          </w:rPr>
        </w:r>
        <w:r>
          <w:rPr>
            <w:noProof/>
            <w:webHidden/>
          </w:rPr>
          <w:fldChar w:fldCharType="separate"/>
        </w:r>
        <w:r>
          <w:rPr>
            <w:noProof/>
            <w:webHidden/>
          </w:rPr>
          <w:t>142</w:t>
        </w:r>
        <w:r>
          <w:rPr>
            <w:noProof/>
            <w:webHidden/>
          </w:rPr>
          <w:fldChar w:fldCharType="end"/>
        </w:r>
      </w:hyperlink>
    </w:p>
    <w:p w:rsidR="00762EAE" w:rsidRDefault="00762EAE">
      <w:pPr>
        <w:pStyle w:val="TOC2"/>
        <w:tabs>
          <w:tab w:val="left" w:pos="720"/>
          <w:tab w:val="right" w:leader="dot" w:pos="9063"/>
        </w:tabs>
        <w:rPr>
          <w:rFonts w:eastAsiaTheme="minorEastAsia" w:cstheme="minorBidi"/>
          <w:i w:val="0"/>
          <w:iCs w:val="0"/>
          <w:noProof/>
          <w:sz w:val="22"/>
          <w:szCs w:val="22"/>
        </w:rPr>
      </w:pPr>
      <w:hyperlink w:anchor="_Toc393897943" w:history="1">
        <w:r w:rsidRPr="009E2E6E">
          <w:rPr>
            <w:rStyle w:val="Hyperlink"/>
            <w:noProof/>
          </w:rPr>
          <w:t>7.8</w:t>
        </w:r>
        <w:r>
          <w:rPr>
            <w:rFonts w:eastAsiaTheme="minorEastAsia" w:cstheme="minorBidi"/>
            <w:i w:val="0"/>
            <w:iCs w:val="0"/>
            <w:noProof/>
            <w:sz w:val="22"/>
            <w:szCs w:val="22"/>
          </w:rPr>
          <w:tab/>
        </w:r>
        <w:r w:rsidRPr="009E2E6E">
          <w:rPr>
            <w:rStyle w:val="Hyperlink"/>
            <w:noProof/>
          </w:rPr>
          <w:t>Ulcinj</w:t>
        </w:r>
        <w:r>
          <w:rPr>
            <w:noProof/>
            <w:webHidden/>
          </w:rPr>
          <w:tab/>
        </w:r>
        <w:r>
          <w:rPr>
            <w:noProof/>
            <w:webHidden/>
          </w:rPr>
          <w:fldChar w:fldCharType="begin"/>
        </w:r>
        <w:r>
          <w:rPr>
            <w:noProof/>
            <w:webHidden/>
          </w:rPr>
          <w:instrText xml:space="preserve"> PAGEREF _Toc393897943 \h </w:instrText>
        </w:r>
        <w:r>
          <w:rPr>
            <w:noProof/>
            <w:webHidden/>
          </w:rPr>
        </w:r>
        <w:r>
          <w:rPr>
            <w:noProof/>
            <w:webHidden/>
          </w:rPr>
          <w:fldChar w:fldCharType="separate"/>
        </w:r>
        <w:r>
          <w:rPr>
            <w:noProof/>
            <w:webHidden/>
          </w:rPr>
          <w:t>143</w:t>
        </w:r>
        <w:r>
          <w:rPr>
            <w:noProof/>
            <w:webHidden/>
          </w:rPr>
          <w:fldChar w:fldCharType="end"/>
        </w:r>
      </w:hyperlink>
    </w:p>
    <w:p w:rsidR="00762EAE" w:rsidRDefault="00762EAE">
      <w:pPr>
        <w:pStyle w:val="TOC2"/>
        <w:tabs>
          <w:tab w:val="left" w:pos="720"/>
          <w:tab w:val="right" w:leader="dot" w:pos="9063"/>
        </w:tabs>
        <w:rPr>
          <w:rFonts w:eastAsiaTheme="minorEastAsia" w:cstheme="minorBidi"/>
          <w:i w:val="0"/>
          <w:iCs w:val="0"/>
          <w:noProof/>
          <w:sz w:val="22"/>
          <w:szCs w:val="22"/>
        </w:rPr>
      </w:pPr>
      <w:hyperlink w:anchor="_Toc393897944" w:history="1">
        <w:r w:rsidRPr="009E2E6E">
          <w:rPr>
            <w:rStyle w:val="Hyperlink"/>
            <w:noProof/>
          </w:rPr>
          <w:t>7.9</w:t>
        </w:r>
        <w:r>
          <w:rPr>
            <w:rFonts w:eastAsiaTheme="minorEastAsia" w:cstheme="minorBidi"/>
            <w:i w:val="0"/>
            <w:iCs w:val="0"/>
            <w:noProof/>
            <w:sz w:val="22"/>
            <w:szCs w:val="22"/>
          </w:rPr>
          <w:tab/>
        </w:r>
        <w:r w:rsidRPr="009E2E6E">
          <w:rPr>
            <w:rStyle w:val="Hyperlink"/>
            <w:noProof/>
          </w:rPr>
          <w:t>Kolašin</w:t>
        </w:r>
        <w:r>
          <w:rPr>
            <w:noProof/>
            <w:webHidden/>
          </w:rPr>
          <w:tab/>
        </w:r>
        <w:r>
          <w:rPr>
            <w:noProof/>
            <w:webHidden/>
          </w:rPr>
          <w:fldChar w:fldCharType="begin"/>
        </w:r>
        <w:r>
          <w:rPr>
            <w:noProof/>
            <w:webHidden/>
          </w:rPr>
          <w:instrText xml:space="preserve"> PAGEREF _Toc393897944 \h </w:instrText>
        </w:r>
        <w:r>
          <w:rPr>
            <w:noProof/>
            <w:webHidden/>
          </w:rPr>
        </w:r>
        <w:r>
          <w:rPr>
            <w:noProof/>
            <w:webHidden/>
          </w:rPr>
          <w:fldChar w:fldCharType="separate"/>
        </w:r>
        <w:r>
          <w:rPr>
            <w:noProof/>
            <w:webHidden/>
          </w:rPr>
          <w:t>145</w:t>
        </w:r>
        <w:r>
          <w:rPr>
            <w:noProof/>
            <w:webHidden/>
          </w:rPr>
          <w:fldChar w:fldCharType="end"/>
        </w:r>
      </w:hyperlink>
    </w:p>
    <w:p w:rsidR="00762EAE" w:rsidRDefault="00762EAE">
      <w:pPr>
        <w:pStyle w:val="TOC2"/>
        <w:tabs>
          <w:tab w:val="left" w:pos="900"/>
          <w:tab w:val="right" w:leader="dot" w:pos="9063"/>
        </w:tabs>
        <w:rPr>
          <w:rFonts w:eastAsiaTheme="minorEastAsia" w:cstheme="minorBidi"/>
          <w:i w:val="0"/>
          <w:iCs w:val="0"/>
          <w:noProof/>
          <w:sz w:val="22"/>
          <w:szCs w:val="22"/>
        </w:rPr>
      </w:pPr>
      <w:hyperlink w:anchor="_Toc393897945" w:history="1">
        <w:r w:rsidRPr="009E2E6E">
          <w:rPr>
            <w:rStyle w:val="Hyperlink"/>
            <w:noProof/>
          </w:rPr>
          <w:t>7.10</w:t>
        </w:r>
        <w:r>
          <w:rPr>
            <w:rFonts w:eastAsiaTheme="minorEastAsia" w:cstheme="minorBidi"/>
            <w:i w:val="0"/>
            <w:iCs w:val="0"/>
            <w:noProof/>
            <w:sz w:val="22"/>
            <w:szCs w:val="22"/>
          </w:rPr>
          <w:tab/>
        </w:r>
        <w:r w:rsidRPr="009E2E6E">
          <w:rPr>
            <w:rStyle w:val="Hyperlink"/>
            <w:noProof/>
          </w:rPr>
          <w:t>Mojkovac</w:t>
        </w:r>
        <w:r>
          <w:rPr>
            <w:noProof/>
            <w:webHidden/>
          </w:rPr>
          <w:tab/>
        </w:r>
        <w:r>
          <w:rPr>
            <w:noProof/>
            <w:webHidden/>
          </w:rPr>
          <w:fldChar w:fldCharType="begin"/>
        </w:r>
        <w:r>
          <w:rPr>
            <w:noProof/>
            <w:webHidden/>
          </w:rPr>
          <w:instrText xml:space="preserve"> PAGEREF _Toc393897945 \h </w:instrText>
        </w:r>
        <w:r>
          <w:rPr>
            <w:noProof/>
            <w:webHidden/>
          </w:rPr>
        </w:r>
        <w:r>
          <w:rPr>
            <w:noProof/>
            <w:webHidden/>
          </w:rPr>
          <w:fldChar w:fldCharType="separate"/>
        </w:r>
        <w:r>
          <w:rPr>
            <w:noProof/>
            <w:webHidden/>
          </w:rPr>
          <w:t>146</w:t>
        </w:r>
        <w:r>
          <w:rPr>
            <w:noProof/>
            <w:webHidden/>
          </w:rPr>
          <w:fldChar w:fldCharType="end"/>
        </w:r>
      </w:hyperlink>
    </w:p>
    <w:p w:rsidR="00762EAE" w:rsidRDefault="00762EAE">
      <w:pPr>
        <w:pStyle w:val="TOC2"/>
        <w:tabs>
          <w:tab w:val="left" w:pos="900"/>
          <w:tab w:val="right" w:leader="dot" w:pos="9063"/>
        </w:tabs>
        <w:rPr>
          <w:rFonts w:eastAsiaTheme="minorEastAsia" w:cstheme="minorBidi"/>
          <w:i w:val="0"/>
          <w:iCs w:val="0"/>
          <w:noProof/>
          <w:sz w:val="22"/>
          <w:szCs w:val="22"/>
        </w:rPr>
      </w:pPr>
      <w:hyperlink w:anchor="_Toc393897946" w:history="1">
        <w:r w:rsidRPr="009E2E6E">
          <w:rPr>
            <w:rStyle w:val="Hyperlink"/>
            <w:noProof/>
          </w:rPr>
          <w:t>7.11</w:t>
        </w:r>
        <w:r>
          <w:rPr>
            <w:rFonts w:eastAsiaTheme="minorEastAsia" w:cstheme="minorBidi"/>
            <w:i w:val="0"/>
            <w:iCs w:val="0"/>
            <w:noProof/>
            <w:sz w:val="22"/>
            <w:szCs w:val="22"/>
          </w:rPr>
          <w:tab/>
        </w:r>
        <w:r w:rsidRPr="009E2E6E">
          <w:rPr>
            <w:rStyle w:val="Hyperlink"/>
            <w:noProof/>
          </w:rPr>
          <w:t>Bijelo Polje</w:t>
        </w:r>
        <w:r>
          <w:rPr>
            <w:noProof/>
            <w:webHidden/>
          </w:rPr>
          <w:tab/>
        </w:r>
        <w:r>
          <w:rPr>
            <w:noProof/>
            <w:webHidden/>
          </w:rPr>
          <w:fldChar w:fldCharType="begin"/>
        </w:r>
        <w:r>
          <w:rPr>
            <w:noProof/>
            <w:webHidden/>
          </w:rPr>
          <w:instrText xml:space="preserve"> PAGEREF _Toc393897946 \h </w:instrText>
        </w:r>
        <w:r>
          <w:rPr>
            <w:noProof/>
            <w:webHidden/>
          </w:rPr>
        </w:r>
        <w:r>
          <w:rPr>
            <w:noProof/>
            <w:webHidden/>
          </w:rPr>
          <w:fldChar w:fldCharType="separate"/>
        </w:r>
        <w:r>
          <w:rPr>
            <w:noProof/>
            <w:webHidden/>
          </w:rPr>
          <w:t>147</w:t>
        </w:r>
        <w:r>
          <w:rPr>
            <w:noProof/>
            <w:webHidden/>
          </w:rPr>
          <w:fldChar w:fldCharType="end"/>
        </w:r>
      </w:hyperlink>
    </w:p>
    <w:p w:rsidR="00762EAE" w:rsidRDefault="00762EAE">
      <w:pPr>
        <w:pStyle w:val="TOC2"/>
        <w:tabs>
          <w:tab w:val="left" w:pos="900"/>
          <w:tab w:val="right" w:leader="dot" w:pos="9063"/>
        </w:tabs>
        <w:rPr>
          <w:rFonts w:eastAsiaTheme="minorEastAsia" w:cstheme="minorBidi"/>
          <w:i w:val="0"/>
          <w:iCs w:val="0"/>
          <w:noProof/>
          <w:sz w:val="22"/>
          <w:szCs w:val="22"/>
        </w:rPr>
      </w:pPr>
      <w:hyperlink w:anchor="_Toc393897947" w:history="1">
        <w:r w:rsidRPr="009E2E6E">
          <w:rPr>
            <w:rStyle w:val="Hyperlink"/>
            <w:noProof/>
          </w:rPr>
          <w:t>7.12</w:t>
        </w:r>
        <w:r>
          <w:rPr>
            <w:rFonts w:eastAsiaTheme="minorEastAsia" w:cstheme="minorBidi"/>
            <w:i w:val="0"/>
            <w:iCs w:val="0"/>
            <w:noProof/>
            <w:sz w:val="22"/>
            <w:szCs w:val="22"/>
          </w:rPr>
          <w:tab/>
        </w:r>
        <w:r w:rsidRPr="009E2E6E">
          <w:rPr>
            <w:rStyle w:val="Hyperlink"/>
            <w:noProof/>
          </w:rPr>
          <w:t>Berane</w:t>
        </w:r>
        <w:r>
          <w:rPr>
            <w:noProof/>
            <w:webHidden/>
          </w:rPr>
          <w:tab/>
        </w:r>
        <w:r>
          <w:rPr>
            <w:noProof/>
            <w:webHidden/>
          </w:rPr>
          <w:fldChar w:fldCharType="begin"/>
        </w:r>
        <w:r>
          <w:rPr>
            <w:noProof/>
            <w:webHidden/>
          </w:rPr>
          <w:instrText xml:space="preserve"> PAGEREF _Toc393897947 \h </w:instrText>
        </w:r>
        <w:r>
          <w:rPr>
            <w:noProof/>
            <w:webHidden/>
          </w:rPr>
        </w:r>
        <w:r>
          <w:rPr>
            <w:noProof/>
            <w:webHidden/>
          </w:rPr>
          <w:fldChar w:fldCharType="separate"/>
        </w:r>
        <w:r>
          <w:rPr>
            <w:noProof/>
            <w:webHidden/>
          </w:rPr>
          <w:t>149</w:t>
        </w:r>
        <w:r>
          <w:rPr>
            <w:noProof/>
            <w:webHidden/>
          </w:rPr>
          <w:fldChar w:fldCharType="end"/>
        </w:r>
      </w:hyperlink>
    </w:p>
    <w:p w:rsidR="00762EAE" w:rsidRDefault="00762EAE">
      <w:pPr>
        <w:pStyle w:val="TOC2"/>
        <w:tabs>
          <w:tab w:val="left" w:pos="900"/>
          <w:tab w:val="right" w:leader="dot" w:pos="9063"/>
        </w:tabs>
        <w:rPr>
          <w:rFonts w:eastAsiaTheme="minorEastAsia" w:cstheme="minorBidi"/>
          <w:i w:val="0"/>
          <w:iCs w:val="0"/>
          <w:noProof/>
          <w:sz w:val="22"/>
          <w:szCs w:val="22"/>
        </w:rPr>
      </w:pPr>
      <w:hyperlink w:anchor="_Toc393897948" w:history="1">
        <w:r w:rsidRPr="009E2E6E">
          <w:rPr>
            <w:rStyle w:val="Hyperlink"/>
            <w:noProof/>
          </w:rPr>
          <w:t>7.13</w:t>
        </w:r>
        <w:r>
          <w:rPr>
            <w:rFonts w:eastAsiaTheme="minorEastAsia" w:cstheme="minorBidi"/>
            <w:i w:val="0"/>
            <w:iCs w:val="0"/>
            <w:noProof/>
            <w:sz w:val="22"/>
            <w:szCs w:val="22"/>
          </w:rPr>
          <w:tab/>
        </w:r>
        <w:r w:rsidRPr="009E2E6E">
          <w:rPr>
            <w:rStyle w:val="Hyperlink"/>
            <w:noProof/>
          </w:rPr>
          <w:t>Zaključak</w:t>
        </w:r>
        <w:r>
          <w:rPr>
            <w:noProof/>
            <w:webHidden/>
          </w:rPr>
          <w:tab/>
        </w:r>
        <w:r>
          <w:rPr>
            <w:noProof/>
            <w:webHidden/>
          </w:rPr>
          <w:fldChar w:fldCharType="begin"/>
        </w:r>
        <w:r>
          <w:rPr>
            <w:noProof/>
            <w:webHidden/>
          </w:rPr>
          <w:instrText xml:space="preserve"> PAGEREF _Toc393897948 \h </w:instrText>
        </w:r>
        <w:r>
          <w:rPr>
            <w:noProof/>
            <w:webHidden/>
          </w:rPr>
        </w:r>
        <w:r>
          <w:rPr>
            <w:noProof/>
            <w:webHidden/>
          </w:rPr>
          <w:fldChar w:fldCharType="separate"/>
        </w:r>
        <w:r>
          <w:rPr>
            <w:noProof/>
            <w:webHidden/>
          </w:rPr>
          <w:t>150</w:t>
        </w:r>
        <w:r>
          <w:rPr>
            <w:noProof/>
            <w:webHidden/>
          </w:rPr>
          <w:fldChar w:fldCharType="end"/>
        </w:r>
      </w:hyperlink>
    </w:p>
    <w:p w:rsidR="00762EAE" w:rsidRDefault="00762EAE">
      <w:pPr>
        <w:pStyle w:val="TOC1"/>
        <w:rPr>
          <w:rFonts w:eastAsiaTheme="minorEastAsia" w:cstheme="minorBidi"/>
          <w:b w:val="0"/>
          <w:bCs w:val="0"/>
          <w:noProof/>
          <w:sz w:val="22"/>
          <w:szCs w:val="22"/>
        </w:rPr>
      </w:pPr>
      <w:hyperlink w:anchor="_Toc393897949" w:history="1">
        <w:r w:rsidRPr="009E2E6E">
          <w:rPr>
            <w:rStyle w:val="Hyperlink"/>
            <w:noProof/>
          </w:rPr>
          <w:t>8</w:t>
        </w:r>
        <w:r>
          <w:rPr>
            <w:rFonts w:eastAsiaTheme="minorEastAsia" w:cstheme="minorBidi"/>
            <w:b w:val="0"/>
            <w:bCs w:val="0"/>
            <w:noProof/>
            <w:sz w:val="22"/>
            <w:szCs w:val="22"/>
          </w:rPr>
          <w:tab/>
        </w:r>
        <w:r w:rsidRPr="009E2E6E">
          <w:rPr>
            <w:rStyle w:val="Hyperlink"/>
            <w:noProof/>
          </w:rPr>
          <w:t>MONITORING RADIOAKTIVNOSTI U ŽIVOTNOJ SREDINI</w:t>
        </w:r>
        <w:r>
          <w:rPr>
            <w:noProof/>
            <w:webHidden/>
          </w:rPr>
          <w:tab/>
        </w:r>
        <w:r>
          <w:rPr>
            <w:noProof/>
            <w:webHidden/>
          </w:rPr>
          <w:fldChar w:fldCharType="begin"/>
        </w:r>
        <w:r>
          <w:rPr>
            <w:noProof/>
            <w:webHidden/>
          </w:rPr>
          <w:instrText xml:space="preserve"> PAGEREF _Toc393897949 \h </w:instrText>
        </w:r>
        <w:r>
          <w:rPr>
            <w:noProof/>
            <w:webHidden/>
          </w:rPr>
        </w:r>
        <w:r>
          <w:rPr>
            <w:noProof/>
            <w:webHidden/>
          </w:rPr>
          <w:fldChar w:fldCharType="separate"/>
        </w:r>
        <w:r>
          <w:rPr>
            <w:noProof/>
            <w:webHidden/>
          </w:rPr>
          <w:t>152</w:t>
        </w:r>
        <w:r>
          <w:rPr>
            <w:noProof/>
            <w:webHidden/>
          </w:rPr>
          <w:fldChar w:fldCharType="end"/>
        </w:r>
      </w:hyperlink>
    </w:p>
    <w:p w:rsidR="00762EAE" w:rsidRDefault="00762EAE">
      <w:pPr>
        <w:pStyle w:val="TOC2"/>
        <w:tabs>
          <w:tab w:val="left" w:pos="720"/>
          <w:tab w:val="right" w:leader="dot" w:pos="9063"/>
        </w:tabs>
        <w:rPr>
          <w:rFonts w:eastAsiaTheme="minorEastAsia" w:cstheme="minorBidi"/>
          <w:i w:val="0"/>
          <w:iCs w:val="0"/>
          <w:noProof/>
          <w:sz w:val="22"/>
          <w:szCs w:val="22"/>
        </w:rPr>
      </w:pPr>
      <w:hyperlink w:anchor="_Toc393897950" w:history="1">
        <w:r w:rsidRPr="009E2E6E">
          <w:rPr>
            <w:rStyle w:val="Hyperlink"/>
            <w:noProof/>
          </w:rPr>
          <w:t>8.1</w:t>
        </w:r>
        <w:r>
          <w:rPr>
            <w:rFonts w:eastAsiaTheme="minorEastAsia" w:cstheme="minorBidi"/>
            <w:i w:val="0"/>
            <w:iCs w:val="0"/>
            <w:noProof/>
            <w:sz w:val="22"/>
            <w:szCs w:val="22"/>
          </w:rPr>
          <w:tab/>
        </w:r>
        <w:r w:rsidRPr="009E2E6E">
          <w:rPr>
            <w:rStyle w:val="Hyperlink"/>
            <w:noProof/>
          </w:rPr>
          <w:t>Uvod</w:t>
        </w:r>
        <w:r>
          <w:rPr>
            <w:noProof/>
            <w:webHidden/>
          </w:rPr>
          <w:tab/>
        </w:r>
        <w:r>
          <w:rPr>
            <w:noProof/>
            <w:webHidden/>
          </w:rPr>
          <w:fldChar w:fldCharType="begin"/>
        </w:r>
        <w:r>
          <w:rPr>
            <w:noProof/>
            <w:webHidden/>
          </w:rPr>
          <w:instrText xml:space="preserve"> PAGEREF _Toc393897950 \h </w:instrText>
        </w:r>
        <w:r>
          <w:rPr>
            <w:noProof/>
            <w:webHidden/>
          </w:rPr>
        </w:r>
        <w:r>
          <w:rPr>
            <w:noProof/>
            <w:webHidden/>
          </w:rPr>
          <w:fldChar w:fldCharType="separate"/>
        </w:r>
        <w:r>
          <w:rPr>
            <w:noProof/>
            <w:webHidden/>
          </w:rPr>
          <w:t>152</w:t>
        </w:r>
        <w:r>
          <w:rPr>
            <w:noProof/>
            <w:webHidden/>
          </w:rPr>
          <w:fldChar w:fldCharType="end"/>
        </w:r>
      </w:hyperlink>
    </w:p>
    <w:p w:rsidR="00762EAE" w:rsidRDefault="00762EAE">
      <w:pPr>
        <w:pStyle w:val="TOC2"/>
        <w:tabs>
          <w:tab w:val="left" w:pos="720"/>
          <w:tab w:val="right" w:leader="dot" w:pos="9063"/>
        </w:tabs>
        <w:rPr>
          <w:rFonts w:eastAsiaTheme="minorEastAsia" w:cstheme="minorBidi"/>
          <w:i w:val="0"/>
          <w:iCs w:val="0"/>
          <w:noProof/>
          <w:sz w:val="22"/>
          <w:szCs w:val="22"/>
        </w:rPr>
      </w:pPr>
      <w:hyperlink w:anchor="_Toc393897951" w:history="1">
        <w:r w:rsidRPr="009E2E6E">
          <w:rPr>
            <w:rStyle w:val="Hyperlink"/>
            <w:noProof/>
          </w:rPr>
          <w:t>8.2</w:t>
        </w:r>
        <w:r>
          <w:rPr>
            <w:rFonts w:eastAsiaTheme="minorEastAsia" w:cstheme="minorBidi"/>
            <w:i w:val="0"/>
            <w:iCs w:val="0"/>
            <w:noProof/>
            <w:sz w:val="22"/>
            <w:szCs w:val="22"/>
          </w:rPr>
          <w:tab/>
        </w:r>
        <w:r w:rsidRPr="009E2E6E">
          <w:rPr>
            <w:rStyle w:val="Hyperlink"/>
            <w:noProof/>
          </w:rPr>
          <w:t>Ispitivanje jačine apsorbovane doze γ zračenja u vazduhu</w:t>
        </w:r>
        <w:r>
          <w:rPr>
            <w:noProof/>
            <w:webHidden/>
          </w:rPr>
          <w:tab/>
        </w:r>
        <w:r>
          <w:rPr>
            <w:noProof/>
            <w:webHidden/>
          </w:rPr>
          <w:fldChar w:fldCharType="begin"/>
        </w:r>
        <w:r>
          <w:rPr>
            <w:noProof/>
            <w:webHidden/>
          </w:rPr>
          <w:instrText xml:space="preserve"> PAGEREF _Toc393897951 \h </w:instrText>
        </w:r>
        <w:r>
          <w:rPr>
            <w:noProof/>
            <w:webHidden/>
          </w:rPr>
        </w:r>
        <w:r>
          <w:rPr>
            <w:noProof/>
            <w:webHidden/>
          </w:rPr>
          <w:fldChar w:fldCharType="separate"/>
        </w:r>
        <w:r>
          <w:rPr>
            <w:noProof/>
            <w:webHidden/>
          </w:rPr>
          <w:t>153</w:t>
        </w:r>
        <w:r>
          <w:rPr>
            <w:noProof/>
            <w:webHidden/>
          </w:rPr>
          <w:fldChar w:fldCharType="end"/>
        </w:r>
      </w:hyperlink>
    </w:p>
    <w:p w:rsidR="00762EAE" w:rsidRDefault="00762EAE">
      <w:pPr>
        <w:pStyle w:val="TOC2"/>
        <w:tabs>
          <w:tab w:val="left" w:pos="720"/>
          <w:tab w:val="right" w:leader="dot" w:pos="9063"/>
        </w:tabs>
        <w:rPr>
          <w:rFonts w:eastAsiaTheme="minorEastAsia" w:cstheme="minorBidi"/>
          <w:i w:val="0"/>
          <w:iCs w:val="0"/>
          <w:noProof/>
          <w:sz w:val="22"/>
          <w:szCs w:val="22"/>
        </w:rPr>
      </w:pPr>
      <w:hyperlink w:anchor="_Toc393897952" w:history="1">
        <w:r w:rsidRPr="009E2E6E">
          <w:rPr>
            <w:rStyle w:val="Hyperlink"/>
            <w:noProof/>
          </w:rPr>
          <w:t>8.3</w:t>
        </w:r>
        <w:r>
          <w:rPr>
            <w:rFonts w:eastAsiaTheme="minorEastAsia" w:cstheme="minorBidi"/>
            <w:i w:val="0"/>
            <w:iCs w:val="0"/>
            <w:noProof/>
            <w:sz w:val="22"/>
            <w:szCs w:val="22"/>
          </w:rPr>
          <w:tab/>
        </w:r>
        <w:r w:rsidRPr="009E2E6E">
          <w:rPr>
            <w:rStyle w:val="Hyperlink"/>
            <w:noProof/>
          </w:rPr>
          <w:t>Ispitivanje sadržaja radionuklida u vazduhu</w:t>
        </w:r>
        <w:r>
          <w:rPr>
            <w:noProof/>
            <w:webHidden/>
          </w:rPr>
          <w:tab/>
        </w:r>
        <w:r>
          <w:rPr>
            <w:noProof/>
            <w:webHidden/>
          </w:rPr>
          <w:fldChar w:fldCharType="begin"/>
        </w:r>
        <w:r>
          <w:rPr>
            <w:noProof/>
            <w:webHidden/>
          </w:rPr>
          <w:instrText xml:space="preserve"> PAGEREF _Toc393897952 \h </w:instrText>
        </w:r>
        <w:r>
          <w:rPr>
            <w:noProof/>
            <w:webHidden/>
          </w:rPr>
        </w:r>
        <w:r>
          <w:rPr>
            <w:noProof/>
            <w:webHidden/>
          </w:rPr>
          <w:fldChar w:fldCharType="separate"/>
        </w:r>
        <w:r>
          <w:rPr>
            <w:noProof/>
            <w:webHidden/>
          </w:rPr>
          <w:t>155</w:t>
        </w:r>
        <w:r>
          <w:rPr>
            <w:noProof/>
            <w:webHidden/>
          </w:rPr>
          <w:fldChar w:fldCharType="end"/>
        </w:r>
      </w:hyperlink>
    </w:p>
    <w:p w:rsidR="00762EAE" w:rsidRDefault="00762EAE">
      <w:pPr>
        <w:pStyle w:val="TOC2"/>
        <w:tabs>
          <w:tab w:val="left" w:pos="720"/>
          <w:tab w:val="right" w:leader="dot" w:pos="9063"/>
        </w:tabs>
        <w:rPr>
          <w:rFonts w:eastAsiaTheme="minorEastAsia" w:cstheme="minorBidi"/>
          <w:i w:val="0"/>
          <w:iCs w:val="0"/>
          <w:noProof/>
          <w:sz w:val="22"/>
          <w:szCs w:val="22"/>
        </w:rPr>
      </w:pPr>
      <w:hyperlink w:anchor="_Toc393897953" w:history="1">
        <w:r w:rsidRPr="009E2E6E">
          <w:rPr>
            <w:rStyle w:val="Hyperlink"/>
            <w:noProof/>
          </w:rPr>
          <w:t>8.4</w:t>
        </w:r>
        <w:r>
          <w:rPr>
            <w:rFonts w:eastAsiaTheme="minorEastAsia" w:cstheme="minorBidi"/>
            <w:i w:val="0"/>
            <w:iCs w:val="0"/>
            <w:noProof/>
            <w:sz w:val="22"/>
            <w:szCs w:val="22"/>
          </w:rPr>
          <w:tab/>
        </w:r>
        <w:r w:rsidRPr="009E2E6E">
          <w:rPr>
            <w:rStyle w:val="Hyperlink"/>
            <w:noProof/>
          </w:rPr>
          <w:t>Ispitivanje sadržaja radionuklida u padavinama</w:t>
        </w:r>
        <w:r>
          <w:rPr>
            <w:noProof/>
            <w:webHidden/>
          </w:rPr>
          <w:tab/>
        </w:r>
        <w:r>
          <w:rPr>
            <w:noProof/>
            <w:webHidden/>
          </w:rPr>
          <w:fldChar w:fldCharType="begin"/>
        </w:r>
        <w:r>
          <w:rPr>
            <w:noProof/>
            <w:webHidden/>
          </w:rPr>
          <w:instrText xml:space="preserve"> PAGEREF _Toc393897953 \h </w:instrText>
        </w:r>
        <w:r>
          <w:rPr>
            <w:noProof/>
            <w:webHidden/>
          </w:rPr>
        </w:r>
        <w:r>
          <w:rPr>
            <w:noProof/>
            <w:webHidden/>
          </w:rPr>
          <w:fldChar w:fldCharType="separate"/>
        </w:r>
        <w:r>
          <w:rPr>
            <w:noProof/>
            <w:webHidden/>
          </w:rPr>
          <w:t>156</w:t>
        </w:r>
        <w:r>
          <w:rPr>
            <w:noProof/>
            <w:webHidden/>
          </w:rPr>
          <w:fldChar w:fldCharType="end"/>
        </w:r>
      </w:hyperlink>
    </w:p>
    <w:p w:rsidR="00762EAE" w:rsidRDefault="00762EAE">
      <w:pPr>
        <w:pStyle w:val="TOC2"/>
        <w:tabs>
          <w:tab w:val="left" w:pos="720"/>
          <w:tab w:val="right" w:leader="dot" w:pos="9063"/>
        </w:tabs>
        <w:rPr>
          <w:rFonts w:eastAsiaTheme="minorEastAsia" w:cstheme="minorBidi"/>
          <w:i w:val="0"/>
          <w:iCs w:val="0"/>
          <w:noProof/>
          <w:sz w:val="22"/>
          <w:szCs w:val="22"/>
        </w:rPr>
      </w:pPr>
      <w:hyperlink w:anchor="_Toc393897954" w:history="1">
        <w:r w:rsidRPr="009E2E6E">
          <w:rPr>
            <w:rStyle w:val="Hyperlink"/>
            <w:noProof/>
          </w:rPr>
          <w:t>8.5</w:t>
        </w:r>
        <w:r>
          <w:rPr>
            <w:rFonts w:eastAsiaTheme="minorEastAsia" w:cstheme="minorBidi"/>
            <w:i w:val="0"/>
            <w:iCs w:val="0"/>
            <w:noProof/>
            <w:sz w:val="22"/>
            <w:szCs w:val="22"/>
          </w:rPr>
          <w:tab/>
        </w:r>
        <w:r w:rsidRPr="009E2E6E">
          <w:rPr>
            <w:rStyle w:val="Hyperlink"/>
            <w:noProof/>
          </w:rPr>
          <w:t>Ispitivanje sadržaja radionuklida u vodi  Skadarskog jezera</w:t>
        </w:r>
        <w:r>
          <w:rPr>
            <w:noProof/>
            <w:webHidden/>
          </w:rPr>
          <w:tab/>
        </w:r>
        <w:r>
          <w:rPr>
            <w:noProof/>
            <w:webHidden/>
          </w:rPr>
          <w:fldChar w:fldCharType="begin"/>
        </w:r>
        <w:r>
          <w:rPr>
            <w:noProof/>
            <w:webHidden/>
          </w:rPr>
          <w:instrText xml:space="preserve"> PAGEREF _Toc393897954 \h </w:instrText>
        </w:r>
        <w:r>
          <w:rPr>
            <w:noProof/>
            <w:webHidden/>
          </w:rPr>
        </w:r>
        <w:r>
          <w:rPr>
            <w:noProof/>
            <w:webHidden/>
          </w:rPr>
          <w:fldChar w:fldCharType="separate"/>
        </w:r>
        <w:r>
          <w:rPr>
            <w:noProof/>
            <w:webHidden/>
          </w:rPr>
          <w:t>156</w:t>
        </w:r>
        <w:r>
          <w:rPr>
            <w:noProof/>
            <w:webHidden/>
          </w:rPr>
          <w:fldChar w:fldCharType="end"/>
        </w:r>
      </w:hyperlink>
    </w:p>
    <w:p w:rsidR="00762EAE" w:rsidRDefault="00762EAE">
      <w:pPr>
        <w:pStyle w:val="TOC2"/>
        <w:tabs>
          <w:tab w:val="left" w:pos="720"/>
          <w:tab w:val="right" w:leader="dot" w:pos="9063"/>
        </w:tabs>
        <w:rPr>
          <w:rFonts w:eastAsiaTheme="minorEastAsia" w:cstheme="minorBidi"/>
          <w:i w:val="0"/>
          <w:iCs w:val="0"/>
          <w:noProof/>
          <w:sz w:val="22"/>
          <w:szCs w:val="22"/>
        </w:rPr>
      </w:pPr>
      <w:hyperlink w:anchor="_Toc393897955" w:history="1">
        <w:r w:rsidRPr="009E2E6E">
          <w:rPr>
            <w:rStyle w:val="Hyperlink"/>
            <w:noProof/>
          </w:rPr>
          <w:t>8.6</w:t>
        </w:r>
        <w:r>
          <w:rPr>
            <w:rFonts w:eastAsiaTheme="minorEastAsia" w:cstheme="minorBidi"/>
            <w:i w:val="0"/>
            <w:iCs w:val="0"/>
            <w:noProof/>
            <w:sz w:val="22"/>
            <w:szCs w:val="22"/>
          </w:rPr>
          <w:tab/>
        </w:r>
        <w:r w:rsidRPr="009E2E6E">
          <w:rPr>
            <w:rStyle w:val="Hyperlink"/>
            <w:noProof/>
          </w:rPr>
          <w:t>Ispitivanje sadržaja radionuklida u morskoj vodi</w:t>
        </w:r>
        <w:r>
          <w:rPr>
            <w:noProof/>
            <w:webHidden/>
          </w:rPr>
          <w:tab/>
        </w:r>
        <w:r>
          <w:rPr>
            <w:noProof/>
            <w:webHidden/>
          </w:rPr>
          <w:fldChar w:fldCharType="begin"/>
        </w:r>
        <w:r>
          <w:rPr>
            <w:noProof/>
            <w:webHidden/>
          </w:rPr>
          <w:instrText xml:space="preserve"> PAGEREF _Toc393897955 \h </w:instrText>
        </w:r>
        <w:r>
          <w:rPr>
            <w:noProof/>
            <w:webHidden/>
          </w:rPr>
        </w:r>
        <w:r>
          <w:rPr>
            <w:noProof/>
            <w:webHidden/>
          </w:rPr>
          <w:fldChar w:fldCharType="separate"/>
        </w:r>
        <w:r>
          <w:rPr>
            <w:noProof/>
            <w:webHidden/>
          </w:rPr>
          <w:t>157</w:t>
        </w:r>
        <w:r>
          <w:rPr>
            <w:noProof/>
            <w:webHidden/>
          </w:rPr>
          <w:fldChar w:fldCharType="end"/>
        </w:r>
      </w:hyperlink>
    </w:p>
    <w:p w:rsidR="00762EAE" w:rsidRDefault="00762EAE">
      <w:pPr>
        <w:pStyle w:val="TOC2"/>
        <w:tabs>
          <w:tab w:val="left" w:pos="720"/>
          <w:tab w:val="right" w:leader="dot" w:pos="9063"/>
        </w:tabs>
        <w:rPr>
          <w:rFonts w:eastAsiaTheme="minorEastAsia" w:cstheme="minorBidi"/>
          <w:i w:val="0"/>
          <w:iCs w:val="0"/>
          <w:noProof/>
          <w:sz w:val="22"/>
          <w:szCs w:val="22"/>
        </w:rPr>
      </w:pPr>
      <w:hyperlink w:anchor="_Toc393897956" w:history="1">
        <w:r w:rsidRPr="009E2E6E">
          <w:rPr>
            <w:rStyle w:val="Hyperlink"/>
            <w:noProof/>
          </w:rPr>
          <w:t>8.7</w:t>
        </w:r>
        <w:r>
          <w:rPr>
            <w:rFonts w:eastAsiaTheme="minorEastAsia" w:cstheme="minorBidi"/>
            <w:i w:val="0"/>
            <w:iCs w:val="0"/>
            <w:noProof/>
            <w:sz w:val="22"/>
            <w:szCs w:val="22"/>
          </w:rPr>
          <w:tab/>
        </w:r>
        <w:r w:rsidRPr="009E2E6E">
          <w:rPr>
            <w:rStyle w:val="Hyperlink"/>
            <w:noProof/>
          </w:rPr>
          <w:t>Ispitivanje sadržaja radionuklida u vodama rijeka</w:t>
        </w:r>
        <w:r>
          <w:rPr>
            <w:noProof/>
            <w:webHidden/>
          </w:rPr>
          <w:tab/>
        </w:r>
        <w:r>
          <w:rPr>
            <w:noProof/>
            <w:webHidden/>
          </w:rPr>
          <w:fldChar w:fldCharType="begin"/>
        </w:r>
        <w:r>
          <w:rPr>
            <w:noProof/>
            <w:webHidden/>
          </w:rPr>
          <w:instrText xml:space="preserve"> PAGEREF _Toc393897956 \h </w:instrText>
        </w:r>
        <w:r>
          <w:rPr>
            <w:noProof/>
            <w:webHidden/>
          </w:rPr>
        </w:r>
        <w:r>
          <w:rPr>
            <w:noProof/>
            <w:webHidden/>
          </w:rPr>
          <w:fldChar w:fldCharType="separate"/>
        </w:r>
        <w:r>
          <w:rPr>
            <w:noProof/>
            <w:webHidden/>
          </w:rPr>
          <w:t>158</w:t>
        </w:r>
        <w:r>
          <w:rPr>
            <w:noProof/>
            <w:webHidden/>
          </w:rPr>
          <w:fldChar w:fldCharType="end"/>
        </w:r>
      </w:hyperlink>
    </w:p>
    <w:p w:rsidR="00762EAE" w:rsidRDefault="00762EAE">
      <w:pPr>
        <w:pStyle w:val="TOC2"/>
        <w:tabs>
          <w:tab w:val="left" w:pos="720"/>
          <w:tab w:val="right" w:leader="dot" w:pos="9063"/>
        </w:tabs>
        <w:rPr>
          <w:rFonts w:eastAsiaTheme="minorEastAsia" w:cstheme="minorBidi"/>
          <w:i w:val="0"/>
          <w:iCs w:val="0"/>
          <w:noProof/>
          <w:sz w:val="22"/>
          <w:szCs w:val="22"/>
        </w:rPr>
      </w:pPr>
      <w:hyperlink w:anchor="_Toc393897957" w:history="1">
        <w:r w:rsidRPr="009E2E6E">
          <w:rPr>
            <w:rStyle w:val="Hyperlink"/>
            <w:noProof/>
          </w:rPr>
          <w:t>8.8</w:t>
        </w:r>
        <w:r>
          <w:rPr>
            <w:rFonts w:eastAsiaTheme="minorEastAsia" w:cstheme="minorBidi"/>
            <w:i w:val="0"/>
            <w:iCs w:val="0"/>
            <w:noProof/>
            <w:sz w:val="22"/>
            <w:szCs w:val="22"/>
          </w:rPr>
          <w:tab/>
        </w:r>
        <w:r w:rsidRPr="009E2E6E">
          <w:rPr>
            <w:rStyle w:val="Hyperlink"/>
            <w:noProof/>
          </w:rPr>
          <w:t>Ispitivanje sadržaja radionuklida u zemljištu</w:t>
        </w:r>
        <w:r>
          <w:rPr>
            <w:noProof/>
            <w:webHidden/>
          </w:rPr>
          <w:tab/>
        </w:r>
        <w:r>
          <w:rPr>
            <w:noProof/>
            <w:webHidden/>
          </w:rPr>
          <w:fldChar w:fldCharType="begin"/>
        </w:r>
        <w:r>
          <w:rPr>
            <w:noProof/>
            <w:webHidden/>
          </w:rPr>
          <w:instrText xml:space="preserve"> PAGEREF _Toc393897957 \h </w:instrText>
        </w:r>
        <w:r>
          <w:rPr>
            <w:noProof/>
            <w:webHidden/>
          </w:rPr>
        </w:r>
        <w:r>
          <w:rPr>
            <w:noProof/>
            <w:webHidden/>
          </w:rPr>
          <w:fldChar w:fldCharType="separate"/>
        </w:r>
        <w:r>
          <w:rPr>
            <w:noProof/>
            <w:webHidden/>
          </w:rPr>
          <w:t>158</w:t>
        </w:r>
        <w:r>
          <w:rPr>
            <w:noProof/>
            <w:webHidden/>
          </w:rPr>
          <w:fldChar w:fldCharType="end"/>
        </w:r>
      </w:hyperlink>
    </w:p>
    <w:p w:rsidR="00762EAE" w:rsidRDefault="00762EAE">
      <w:pPr>
        <w:pStyle w:val="TOC2"/>
        <w:tabs>
          <w:tab w:val="left" w:pos="720"/>
          <w:tab w:val="right" w:leader="dot" w:pos="9063"/>
        </w:tabs>
        <w:rPr>
          <w:rFonts w:eastAsiaTheme="minorEastAsia" w:cstheme="minorBidi"/>
          <w:i w:val="0"/>
          <w:iCs w:val="0"/>
          <w:noProof/>
          <w:sz w:val="22"/>
          <w:szCs w:val="22"/>
        </w:rPr>
      </w:pPr>
      <w:hyperlink w:anchor="_Toc393897958" w:history="1">
        <w:r w:rsidRPr="009E2E6E">
          <w:rPr>
            <w:rStyle w:val="Hyperlink"/>
            <w:noProof/>
            <w:lang w:val="sr-Latn-CS"/>
          </w:rPr>
          <w:t>8.9.</w:t>
        </w:r>
        <w:r>
          <w:rPr>
            <w:rFonts w:eastAsiaTheme="minorEastAsia" w:cstheme="minorBidi"/>
            <w:i w:val="0"/>
            <w:iCs w:val="0"/>
            <w:noProof/>
            <w:sz w:val="22"/>
            <w:szCs w:val="22"/>
          </w:rPr>
          <w:tab/>
        </w:r>
        <w:r w:rsidRPr="009E2E6E">
          <w:rPr>
            <w:rStyle w:val="Hyperlink"/>
            <w:noProof/>
          </w:rPr>
          <w:t>Ispitivanje radioaktivnosti u boravišnim i radnim prostorijama</w:t>
        </w:r>
        <w:r>
          <w:rPr>
            <w:noProof/>
            <w:webHidden/>
          </w:rPr>
          <w:tab/>
        </w:r>
        <w:r>
          <w:rPr>
            <w:noProof/>
            <w:webHidden/>
          </w:rPr>
          <w:fldChar w:fldCharType="begin"/>
        </w:r>
        <w:r>
          <w:rPr>
            <w:noProof/>
            <w:webHidden/>
          </w:rPr>
          <w:instrText xml:space="preserve"> PAGEREF _Toc393897958 \h </w:instrText>
        </w:r>
        <w:r>
          <w:rPr>
            <w:noProof/>
            <w:webHidden/>
          </w:rPr>
        </w:r>
        <w:r>
          <w:rPr>
            <w:noProof/>
            <w:webHidden/>
          </w:rPr>
          <w:fldChar w:fldCharType="separate"/>
        </w:r>
        <w:r>
          <w:rPr>
            <w:noProof/>
            <w:webHidden/>
          </w:rPr>
          <w:t>161</w:t>
        </w:r>
        <w:r>
          <w:rPr>
            <w:noProof/>
            <w:webHidden/>
          </w:rPr>
          <w:fldChar w:fldCharType="end"/>
        </w:r>
      </w:hyperlink>
    </w:p>
    <w:p w:rsidR="00762EAE" w:rsidRDefault="00762EAE">
      <w:pPr>
        <w:pStyle w:val="TOC3"/>
        <w:tabs>
          <w:tab w:val="right" w:leader="dot" w:pos="9063"/>
        </w:tabs>
        <w:rPr>
          <w:rFonts w:eastAsiaTheme="minorEastAsia" w:cstheme="minorBidi"/>
          <w:noProof/>
          <w:sz w:val="22"/>
          <w:szCs w:val="22"/>
        </w:rPr>
      </w:pPr>
      <w:hyperlink w:anchor="_Toc393897959" w:history="1">
        <w:r w:rsidRPr="009E2E6E">
          <w:rPr>
            <w:rStyle w:val="Hyperlink"/>
            <w:noProof/>
          </w:rPr>
          <w:t>Procjena godišnje efektivne doze zračenja - mjere radiološke opterećenosti stanovništva   kao posledica izlaganja radonu u zatvorenim prostorijama</w:t>
        </w:r>
        <w:r>
          <w:rPr>
            <w:noProof/>
            <w:webHidden/>
          </w:rPr>
          <w:tab/>
        </w:r>
        <w:r>
          <w:rPr>
            <w:noProof/>
            <w:webHidden/>
          </w:rPr>
          <w:fldChar w:fldCharType="begin"/>
        </w:r>
        <w:r>
          <w:rPr>
            <w:noProof/>
            <w:webHidden/>
          </w:rPr>
          <w:instrText xml:space="preserve"> PAGEREF _Toc393897959 \h </w:instrText>
        </w:r>
        <w:r>
          <w:rPr>
            <w:noProof/>
            <w:webHidden/>
          </w:rPr>
        </w:r>
        <w:r>
          <w:rPr>
            <w:noProof/>
            <w:webHidden/>
          </w:rPr>
          <w:fldChar w:fldCharType="separate"/>
        </w:r>
        <w:r>
          <w:rPr>
            <w:noProof/>
            <w:webHidden/>
          </w:rPr>
          <w:t>164</w:t>
        </w:r>
        <w:r>
          <w:rPr>
            <w:noProof/>
            <w:webHidden/>
          </w:rPr>
          <w:fldChar w:fldCharType="end"/>
        </w:r>
      </w:hyperlink>
    </w:p>
    <w:p w:rsidR="00762EAE" w:rsidRDefault="00762EAE">
      <w:pPr>
        <w:pStyle w:val="TOC2"/>
        <w:tabs>
          <w:tab w:val="left" w:pos="900"/>
          <w:tab w:val="right" w:leader="dot" w:pos="9063"/>
        </w:tabs>
        <w:rPr>
          <w:rFonts w:eastAsiaTheme="minorEastAsia" w:cstheme="minorBidi"/>
          <w:i w:val="0"/>
          <w:iCs w:val="0"/>
          <w:noProof/>
          <w:sz w:val="22"/>
          <w:szCs w:val="22"/>
        </w:rPr>
      </w:pPr>
      <w:hyperlink w:anchor="_Toc393897960" w:history="1">
        <w:r w:rsidRPr="009E2E6E">
          <w:rPr>
            <w:rStyle w:val="Hyperlink"/>
            <w:noProof/>
          </w:rPr>
          <w:t>8.10.</w:t>
        </w:r>
        <w:r>
          <w:rPr>
            <w:rFonts w:eastAsiaTheme="minorEastAsia" w:cstheme="minorBidi"/>
            <w:i w:val="0"/>
            <w:iCs w:val="0"/>
            <w:noProof/>
            <w:sz w:val="22"/>
            <w:szCs w:val="22"/>
          </w:rPr>
          <w:tab/>
        </w:r>
        <w:r w:rsidRPr="009E2E6E">
          <w:rPr>
            <w:rStyle w:val="Hyperlink"/>
            <w:noProof/>
          </w:rPr>
          <w:t>Ispiti</w:t>
        </w:r>
        <w:r w:rsidRPr="009E2E6E">
          <w:rPr>
            <w:rStyle w:val="Hyperlink"/>
            <w:noProof/>
          </w:rPr>
          <w:t>v</w:t>
        </w:r>
        <w:r w:rsidRPr="009E2E6E">
          <w:rPr>
            <w:rStyle w:val="Hyperlink"/>
            <w:noProof/>
          </w:rPr>
          <w:t>anje sadržaja radionuklida u građevinskom materijalu</w:t>
        </w:r>
        <w:r>
          <w:rPr>
            <w:noProof/>
            <w:webHidden/>
          </w:rPr>
          <w:tab/>
        </w:r>
        <w:r>
          <w:rPr>
            <w:noProof/>
            <w:webHidden/>
          </w:rPr>
          <w:fldChar w:fldCharType="begin"/>
        </w:r>
        <w:r>
          <w:rPr>
            <w:noProof/>
            <w:webHidden/>
          </w:rPr>
          <w:instrText xml:space="preserve"> PAGEREF _Toc393897960 \h </w:instrText>
        </w:r>
        <w:r>
          <w:rPr>
            <w:noProof/>
            <w:webHidden/>
          </w:rPr>
        </w:r>
        <w:r>
          <w:rPr>
            <w:noProof/>
            <w:webHidden/>
          </w:rPr>
          <w:fldChar w:fldCharType="separate"/>
        </w:r>
        <w:r>
          <w:rPr>
            <w:noProof/>
            <w:webHidden/>
          </w:rPr>
          <w:t>166</w:t>
        </w:r>
        <w:r>
          <w:rPr>
            <w:noProof/>
            <w:webHidden/>
          </w:rPr>
          <w:fldChar w:fldCharType="end"/>
        </w:r>
      </w:hyperlink>
    </w:p>
    <w:p w:rsidR="00762EAE" w:rsidRDefault="00762EAE">
      <w:pPr>
        <w:pStyle w:val="TOC2"/>
        <w:tabs>
          <w:tab w:val="left" w:pos="900"/>
          <w:tab w:val="right" w:leader="dot" w:pos="9063"/>
        </w:tabs>
        <w:rPr>
          <w:rFonts w:eastAsiaTheme="minorEastAsia" w:cstheme="minorBidi"/>
          <w:i w:val="0"/>
          <w:iCs w:val="0"/>
          <w:noProof/>
          <w:sz w:val="22"/>
          <w:szCs w:val="22"/>
        </w:rPr>
      </w:pPr>
      <w:hyperlink w:anchor="_Toc393897961" w:history="1">
        <w:r w:rsidRPr="009E2E6E">
          <w:rPr>
            <w:rStyle w:val="Hyperlink"/>
            <w:noProof/>
          </w:rPr>
          <w:t>8.11.</w:t>
        </w:r>
        <w:r>
          <w:rPr>
            <w:rFonts w:eastAsiaTheme="minorEastAsia" w:cstheme="minorBidi"/>
            <w:i w:val="0"/>
            <w:iCs w:val="0"/>
            <w:noProof/>
            <w:sz w:val="22"/>
            <w:szCs w:val="22"/>
          </w:rPr>
          <w:tab/>
        </w:r>
        <w:r w:rsidRPr="009E2E6E">
          <w:rPr>
            <w:rStyle w:val="Hyperlink"/>
            <w:noProof/>
          </w:rPr>
          <w:t>Ispitivanje sadržaja radionuklida u vodi za piće</w:t>
        </w:r>
        <w:r>
          <w:rPr>
            <w:noProof/>
            <w:webHidden/>
          </w:rPr>
          <w:tab/>
        </w:r>
        <w:r>
          <w:rPr>
            <w:noProof/>
            <w:webHidden/>
          </w:rPr>
          <w:fldChar w:fldCharType="begin"/>
        </w:r>
        <w:r>
          <w:rPr>
            <w:noProof/>
            <w:webHidden/>
          </w:rPr>
          <w:instrText xml:space="preserve"> PAGEREF _Toc393897961 \h </w:instrText>
        </w:r>
        <w:r>
          <w:rPr>
            <w:noProof/>
            <w:webHidden/>
          </w:rPr>
        </w:r>
        <w:r>
          <w:rPr>
            <w:noProof/>
            <w:webHidden/>
          </w:rPr>
          <w:fldChar w:fldCharType="separate"/>
        </w:r>
        <w:r>
          <w:rPr>
            <w:noProof/>
            <w:webHidden/>
          </w:rPr>
          <w:t>168</w:t>
        </w:r>
        <w:r>
          <w:rPr>
            <w:noProof/>
            <w:webHidden/>
          </w:rPr>
          <w:fldChar w:fldCharType="end"/>
        </w:r>
      </w:hyperlink>
    </w:p>
    <w:p w:rsidR="00762EAE" w:rsidRDefault="00762EAE">
      <w:pPr>
        <w:pStyle w:val="TOC2"/>
        <w:tabs>
          <w:tab w:val="left" w:pos="900"/>
          <w:tab w:val="right" w:leader="dot" w:pos="9063"/>
        </w:tabs>
        <w:rPr>
          <w:rFonts w:eastAsiaTheme="minorEastAsia" w:cstheme="minorBidi"/>
          <w:i w:val="0"/>
          <w:iCs w:val="0"/>
          <w:noProof/>
          <w:sz w:val="22"/>
          <w:szCs w:val="22"/>
        </w:rPr>
      </w:pPr>
      <w:hyperlink w:anchor="_Toc393897962" w:history="1">
        <w:r w:rsidRPr="009E2E6E">
          <w:rPr>
            <w:rStyle w:val="Hyperlink"/>
            <w:noProof/>
          </w:rPr>
          <w:t>8.12.</w:t>
        </w:r>
        <w:r>
          <w:rPr>
            <w:rFonts w:eastAsiaTheme="minorEastAsia" w:cstheme="minorBidi"/>
            <w:i w:val="0"/>
            <w:iCs w:val="0"/>
            <w:noProof/>
            <w:sz w:val="22"/>
            <w:szCs w:val="22"/>
          </w:rPr>
          <w:tab/>
        </w:r>
        <w:r w:rsidRPr="009E2E6E">
          <w:rPr>
            <w:rStyle w:val="Hyperlink"/>
            <w:noProof/>
          </w:rPr>
          <w:t>Ispitivanje sadržaja radionuklida u ljudskoj hrani</w:t>
        </w:r>
        <w:r>
          <w:rPr>
            <w:noProof/>
            <w:webHidden/>
          </w:rPr>
          <w:tab/>
        </w:r>
        <w:r>
          <w:rPr>
            <w:noProof/>
            <w:webHidden/>
          </w:rPr>
          <w:fldChar w:fldCharType="begin"/>
        </w:r>
        <w:r>
          <w:rPr>
            <w:noProof/>
            <w:webHidden/>
          </w:rPr>
          <w:instrText xml:space="preserve"> PAGEREF _Toc393897962 \h </w:instrText>
        </w:r>
        <w:r>
          <w:rPr>
            <w:noProof/>
            <w:webHidden/>
          </w:rPr>
        </w:r>
        <w:r>
          <w:rPr>
            <w:noProof/>
            <w:webHidden/>
          </w:rPr>
          <w:fldChar w:fldCharType="separate"/>
        </w:r>
        <w:r>
          <w:rPr>
            <w:noProof/>
            <w:webHidden/>
          </w:rPr>
          <w:t>169</w:t>
        </w:r>
        <w:r>
          <w:rPr>
            <w:noProof/>
            <w:webHidden/>
          </w:rPr>
          <w:fldChar w:fldCharType="end"/>
        </w:r>
      </w:hyperlink>
    </w:p>
    <w:p w:rsidR="00762EAE" w:rsidRDefault="00762EAE">
      <w:pPr>
        <w:pStyle w:val="TOC2"/>
        <w:tabs>
          <w:tab w:val="left" w:pos="900"/>
          <w:tab w:val="right" w:leader="dot" w:pos="9063"/>
        </w:tabs>
        <w:rPr>
          <w:rFonts w:eastAsiaTheme="minorEastAsia" w:cstheme="minorBidi"/>
          <w:i w:val="0"/>
          <w:iCs w:val="0"/>
          <w:noProof/>
          <w:sz w:val="22"/>
          <w:szCs w:val="22"/>
        </w:rPr>
      </w:pPr>
      <w:hyperlink w:anchor="_Toc393897963" w:history="1">
        <w:r w:rsidRPr="009E2E6E">
          <w:rPr>
            <w:rStyle w:val="Hyperlink"/>
            <w:noProof/>
          </w:rPr>
          <w:t>8.13.</w:t>
        </w:r>
        <w:r>
          <w:rPr>
            <w:rFonts w:eastAsiaTheme="minorEastAsia" w:cstheme="minorBidi"/>
            <w:i w:val="0"/>
            <w:iCs w:val="0"/>
            <w:noProof/>
            <w:sz w:val="22"/>
            <w:szCs w:val="22"/>
          </w:rPr>
          <w:tab/>
        </w:r>
        <w:r w:rsidRPr="009E2E6E">
          <w:rPr>
            <w:rStyle w:val="Hyperlink"/>
            <w:noProof/>
          </w:rPr>
          <w:t>Ispitivanje sadržaja radionuklida u stočnoj hrani</w:t>
        </w:r>
        <w:r>
          <w:rPr>
            <w:noProof/>
            <w:webHidden/>
          </w:rPr>
          <w:tab/>
        </w:r>
        <w:r>
          <w:rPr>
            <w:noProof/>
            <w:webHidden/>
          </w:rPr>
          <w:fldChar w:fldCharType="begin"/>
        </w:r>
        <w:r>
          <w:rPr>
            <w:noProof/>
            <w:webHidden/>
          </w:rPr>
          <w:instrText xml:space="preserve"> PAGEREF _Toc393897963 \h </w:instrText>
        </w:r>
        <w:r>
          <w:rPr>
            <w:noProof/>
            <w:webHidden/>
          </w:rPr>
        </w:r>
        <w:r>
          <w:rPr>
            <w:noProof/>
            <w:webHidden/>
          </w:rPr>
          <w:fldChar w:fldCharType="separate"/>
        </w:r>
        <w:r>
          <w:rPr>
            <w:noProof/>
            <w:webHidden/>
          </w:rPr>
          <w:t>171</w:t>
        </w:r>
        <w:r>
          <w:rPr>
            <w:noProof/>
            <w:webHidden/>
          </w:rPr>
          <w:fldChar w:fldCharType="end"/>
        </w:r>
      </w:hyperlink>
    </w:p>
    <w:p w:rsidR="00762EAE" w:rsidRDefault="00762EAE">
      <w:pPr>
        <w:pStyle w:val="TOC2"/>
        <w:tabs>
          <w:tab w:val="left" w:pos="900"/>
          <w:tab w:val="right" w:leader="dot" w:pos="9063"/>
        </w:tabs>
        <w:rPr>
          <w:rFonts w:eastAsiaTheme="minorEastAsia" w:cstheme="minorBidi"/>
          <w:i w:val="0"/>
          <w:iCs w:val="0"/>
          <w:noProof/>
          <w:sz w:val="22"/>
          <w:szCs w:val="22"/>
        </w:rPr>
      </w:pPr>
      <w:hyperlink w:anchor="_Toc393897964" w:history="1">
        <w:r w:rsidRPr="009E2E6E">
          <w:rPr>
            <w:rStyle w:val="Hyperlink"/>
            <w:noProof/>
          </w:rPr>
          <w:t>8.14.</w:t>
        </w:r>
        <w:r>
          <w:rPr>
            <w:rFonts w:eastAsiaTheme="minorEastAsia" w:cstheme="minorBidi"/>
            <w:i w:val="0"/>
            <w:iCs w:val="0"/>
            <w:noProof/>
            <w:sz w:val="22"/>
            <w:szCs w:val="22"/>
          </w:rPr>
          <w:tab/>
        </w:r>
        <w:r w:rsidRPr="009E2E6E">
          <w:rPr>
            <w:rStyle w:val="Hyperlink"/>
            <w:noProof/>
          </w:rPr>
          <w:t>ZAKLJUČCI</w:t>
        </w:r>
        <w:r>
          <w:rPr>
            <w:noProof/>
            <w:webHidden/>
          </w:rPr>
          <w:tab/>
        </w:r>
        <w:r>
          <w:rPr>
            <w:noProof/>
            <w:webHidden/>
          </w:rPr>
          <w:fldChar w:fldCharType="begin"/>
        </w:r>
        <w:r>
          <w:rPr>
            <w:noProof/>
            <w:webHidden/>
          </w:rPr>
          <w:instrText xml:space="preserve"> PAGEREF _Toc393897964 \h </w:instrText>
        </w:r>
        <w:r>
          <w:rPr>
            <w:noProof/>
            <w:webHidden/>
          </w:rPr>
        </w:r>
        <w:r>
          <w:rPr>
            <w:noProof/>
            <w:webHidden/>
          </w:rPr>
          <w:fldChar w:fldCharType="separate"/>
        </w:r>
        <w:r>
          <w:rPr>
            <w:noProof/>
            <w:webHidden/>
          </w:rPr>
          <w:t>173</w:t>
        </w:r>
        <w:r>
          <w:rPr>
            <w:noProof/>
            <w:webHidden/>
          </w:rPr>
          <w:fldChar w:fldCharType="end"/>
        </w:r>
      </w:hyperlink>
    </w:p>
    <w:p w:rsidR="00762EAE" w:rsidRDefault="00762EAE">
      <w:pPr>
        <w:pStyle w:val="TOC1"/>
        <w:rPr>
          <w:rFonts w:eastAsiaTheme="minorEastAsia" w:cstheme="minorBidi"/>
          <w:b w:val="0"/>
          <w:bCs w:val="0"/>
          <w:noProof/>
          <w:sz w:val="22"/>
          <w:szCs w:val="22"/>
        </w:rPr>
      </w:pPr>
      <w:hyperlink w:anchor="_Toc393897965" w:history="1">
        <w:r w:rsidRPr="009E2E6E">
          <w:rPr>
            <w:rStyle w:val="Hyperlink"/>
            <w:noProof/>
          </w:rPr>
          <w:t>9.</w:t>
        </w:r>
        <w:r>
          <w:rPr>
            <w:rFonts w:eastAsiaTheme="minorEastAsia" w:cstheme="minorBidi"/>
            <w:b w:val="0"/>
            <w:bCs w:val="0"/>
            <w:noProof/>
            <w:sz w:val="22"/>
            <w:szCs w:val="22"/>
          </w:rPr>
          <w:tab/>
        </w:r>
        <w:r w:rsidRPr="009E2E6E">
          <w:rPr>
            <w:rStyle w:val="Hyperlink"/>
            <w:noProof/>
          </w:rPr>
          <w:t>Sektorski pritisci na životnu sredinu</w:t>
        </w:r>
        <w:r>
          <w:rPr>
            <w:noProof/>
            <w:webHidden/>
          </w:rPr>
          <w:tab/>
        </w:r>
        <w:r>
          <w:rPr>
            <w:noProof/>
            <w:webHidden/>
          </w:rPr>
          <w:fldChar w:fldCharType="begin"/>
        </w:r>
        <w:r>
          <w:rPr>
            <w:noProof/>
            <w:webHidden/>
          </w:rPr>
          <w:instrText xml:space="preserve"> PAGEREF _Toc393897965 \h </w:instrText>
        </w:r>
        <w:r>
          <w:rPr>
            <w:noProof/>
            <w:webHidden/>
          </w:rPr>
        </w:r>
        <w:r>
          <w:rPr>
            <w:noProof/>
            <w:webHidden/>
          </w:rPr>
          <w:fldChar w:fldCharType="separate"/>
        </w:r>
        <w:r>
          <w:rPr>
            <w:noProof/>
            <w:webHidden/>
          </w:rPr>
          <w:t>175</w:t>
        </w:r>
        <w:r>
          <w:rPr>
            <w:noProof/>
            <w:webHidden/>
          </w:rPr>
          <w:fldChar w:fldCharType="end"/>
        </w:r>
      </w:hyperlink>
    </w:p>
    <w:p w:rsidR="00762EAE" w:rsidRDefault="00762EAE">
      <w:pPr>
        <w:pStyle w:val="TOC2"/>
        <w:tabs>
          <w:tab w:val="left" w:pos="720"/>
          <w:tab w:val="right" w:leader="dot" w:pos="9063"/>
        </w:tabs>
        <w:rPr>
          <w:rFonts w:eastAsiaTheme="minorEastAsia" w:cstheme="minorBidi"/>
          <w:i w:val="0"/>
          <w:iCs w:val="0"/>
          <w:noProof/>
          <w:sz w:val="22"/>
          <w:szCs w:val="22"/>
        </w:rPr>
      </w:pPr>
      <w:hyperlink w:anchor="_Toc393897966" w:history="1">
        <w:r w:rsidRPr="009E2E6E">
          <w:rPr>
            <w:rStyle w:val="Hyperlink"/>
            <w:noProof/>
          </w:rPr>
          <w:t>9.9.</w:t>
        </w:r>
        <w:r>
          <w:rPr>
            <w:rFonts w:eastAsiaTheme="minorEastAsia" w:cstheme="minorBidi"/>
            <w:i w:val="0"/>
            <w:iCs w:val="0"/>
            <w:noProof/>
            <w:sz w:val="22"/>
            <w:szCs w:val="22"/>
          </w:rPr>
          <w:tab/>
        </w:r>
        <w:r w:rsidRPr="009E2E6E">
          <w:rPr>
            <w:rStyle w:val="Hyperlink"/>
            <w:noProof/>
          </w:rPr>
          <w:t>Sektors</w:t>
        </w:r>
        <w:r w:rsidRPr="009E2E6E">
          <w:rPr>
            <w:rStyle w:val="Hyperlink"/>
            <w:noProof/>
          </w:rPr>
          <w:t>k</w:t>
        </w:r>
        <w:r w:rsidRPr="009E2E6E">
          <w:rPr>
            <w:rStyle w:val="Hyperlink"/>
            <w:noProof/>
          </w:rPr>
          <w:t>i pritisci</w:t>
        </w:r>
        <w:r>
          <w:rPr>
            <w:noProof/>
            <w:webHidden/>
          </w:rPr>
          <w:tab/>
        </w:r>
        <w:r>
          <w:rPr>
            <w:noProof/>
            <w:webHidden/>
          </w:rPr>
          <w:fldChar w:fldCharType="begin"/>
        </w:r>
        <w:r>
          <w:rPr>
            <w:noProof/>
            <w:webHidden/>
          </w:rPr>
          <w:instrText xml:space="preserve"> PAGEREF _Toc393897966 \h </w:instrText>
        </w:r>
        <w:r>
          <w:rPr>
            <w:noProof/>
            <w:webHidden/>
          </w:rPr>
        </w:r>
        <w:r>
          <w:rPr>
            <w:noProof/>
            <w:webHidden/>
          </w:rPr>
          <w:fldChar w:fldCharType="separate"/>
        </w:r>
        <w:r>
          <w:rPr>
            <w:noProof/>
            <w:webHidden/>
          </w:rPr>
          <w:t>175</w:t>
        </w:r>
        <w:r>
          <w:rPr>
            <w:noProof/>
            <w:webHidden/>
          </w:rPr>
          <w:fldChar w:fldCharType="end"/>
        </w:r>
      </w:hyperlink>
    </w:p>
    <w:p w:rsidR="00762EAE" w:rsidRDefault="00762EAE">
      <w:pPr>
        <w:pStyle w:val="TOC2"/>
        <w:tabs>
          <w:tab w:val="left" w:pos="900"/>
          <w:tab w:val="right" w:leader="dot" w:pos="9063"/>
        </w:tabs>
        <w:rPr>
          <w:rFonts w:eastAsiaTheme="minorEastAsia" w:cstheme="minorBidi"/>
          <w:i w:val="0"/>
          <w:iCs w:val="0"/>
          <w:noProof/>
          <w:sz w:val="22"/>
          <w:szCs w:val="22"/>
        </w:rPr>
      </w:pPr>
      <w:hyperlink w:anchor="_Toc393897967" w:history="1">
        <w:r w:rsidRPr="009E2E6E">
          <w:rPr>
            <w:rStyle w:val="Hyperlink"/>
            <w:noProof/>
          </w:rPr>
          <w:t>9.10.</w:t>
        </w:r>
        <w:r>
          <w:rPr>
            <w:rFonts w:eastAsiaTheme="minorEastAsia" w:cstheme="minorBidi"/>
            <w:i w:val="0"/>
            <w:iCs w:val="0"/>
            <w:noProof/>
            <w:sz w:val="22"/>
            <w:szCs w:val="22"/>
          </w:rPr>
          <w:tab/>
        </w:r>
        <w:r w:rsidRPr="009E2E6E">
          <w:rPr>
            <w:rStyle w:val="Hyperlink"/>
            <w:noProof/>
          </w:rPr>
          <w:t>Indikatorski prikaz</w:t>
        </w:r>
        <w:r>
          <w:rPr>
            <w:noProof/>
            <w:webHidden/>
          </w:rPr>
          <w:tab/>
        </w:r>
        <w:r>
          <w:rPr>
            <w:noProof/>
            <w:webHidden/>
          </w:rPr>
          <w:fldChar w:fldCharType="begin"/>
        </w:r>
        <w:r>
          <w:rPr>
            <w:noProof/>
            <w:webHidden/>
          </w:rPr>
          <w:instrText xml:space="preserve"> PAGEREF _Toc393897967 \h </w:instrText>
        </w:r>
        <w:r>
          <w:rPr>
            <w:noProof/>
            <w:webHidden/>
          </w:rPr>
        </w:r>
        <w:r>
          <w:rPr>
            <w:noProof/>
            <w:webHidden/>
          </w:rPr>
          <w:fldChar w:fldCharType="separate"/>
        </w:r>
        <w:r>
          <w:rPr>
            <w:noProof/>
            <w:webHidden/>
          </w:rPr>
          <w:t>175</w:t>
        </w:r>
        <w:r>
          <w:rPr>
            <w:noProof/>
            <w:webHidden/>
          </w:rPr>
          <w:fldChar w:fldCharType="end"/>
        </w:r>
      </w:hyperlink>
    </w:p>
    <w:p w:rsidR="00762EAE" w:rsidRDefault="00762EAE">
      <w:pPr>
        <w:pStyle w:val="TOC2"/>
        <w:tabs>
          <w:tab w:val="left" w:pos="900"/>
          <w:tab w:val="right" w:leader="dot" w:pos="9063"/>
        </w:tabs>
        <w:rPr>
          <w:rFonts w:eastAsiaTheme="minorEastAsia" w:cstheme="minorBidi"/>
          <w:i w:val="0"/>
          <w:iCs w:val="0"/>
          <w:noProof/>
          <w:sz w:val="22"/>
          <w:szCs w:val="22"/>
        </w:rPr>
      </w:pPr>
      <w:hyperlink w:anchor="_Toc393897968" w:history="1">
        <w:r w:rsidRPr="009E2E6E">
          <w:rPr>
            <w:rStyle w:val="Hyperlink"/>
            <w:noProof/>
          </w:rPr>
          <w:t>9.11.</w:t>
        </w:r>
        <w:r>
          <w:rPr>
            <w:rFonts w:eastAsiaTheme="minorEastAsia" w:cstheme="minorBidi"/>
            <w:i w:val="0"/>
            <w:iCs w:val="0"/>
            <w:noProof/>
            <w:sz w:val="22"/>
            <w:szCs w:val="22"/>
          </w:rPr>
          <w:tab/>
        </w:r>
        <w:r w:rsidRPr="009E2E6E">
          <w:rPr>
            <w:rStyle w:val="Hyperlink"/>
            <w:noProof/>
          </w:rPr>
          <w:t>Energetika</w:t>
        </w:r>
        <w:r>
          <w:rPr>
            <w:noProof/>
            <w:webHidden/>
          </w:rPr>
          <w:tab/>
        </w:r>
        <w:r>
          <w:rPr>
            <w:noProof/>
            <w:webHidden/>
          </w:rPr>
          <w:fldChar w:fldCharType="begin"/>
        </w:r>
        <w:r>
          <w:rPr>
            <w:noProof/>
            <w:webHidden/>
          </w:rPr>
          <w:instrText xml:space="preserve"> PAGEREF _Toc393897968 \h </w:instrText>
        </w:r>
        <w:r>
          <w:rPr>
            <w:noProof/>
            <w:webHidden/>
          </w:rPr>
        </w:r>
        <w:r>
          <w:rPr>
            <w:noProof/>
            <w:webHidden/>
          </w:rPr>
          <w:fldChar w:fldCharType="separate"/>
        </w:r>
        <w:r>
          <w:rPr>
            <w:noProof/>
            <w:webHidden/>
          </w:rPr>
          <w:t>177</w:t>
        </w:r>
        <w:r>
          <w:rPr>
            <w:noProof/>
            <w:webHidden/>
          </w:rPr>
          <w:fldChar w:fldCharType="end"/>
        </w:r>
      </w:hyperlink>
    </w:p>
    <w:p w:rsidR="00762EAE" w:rsidRDefault="00762EAE">
      <w:pPr>
        <w:pStyle w:val="TOC3"/>
        <w:tabs>
          <w:tab w:val="right" w:leader="dot" w:pos="9063"/>
        </w:tabs>
        <w:rPr>
          <w:rFonts w:eastAsiaTheme="minorEastAsia" w:cstheme="minorBidi"/>
          <w:noProof/>
          <w:sz w:val="22"/>
          <w:szCs w:val="22"/>
        </w:rPr>
      </w:pPr>
      <w:hyperlink w:anchor="_Toc393897969" w:history="1">
        <w:r w:rsidRPr="009E2E6E">
          <w:rPr>
            <w:rStyle w:val="Hyperlink"/>
            <w:noProof/>
          </w:rPr>
          <w:t>10.3.1  Potrošnja primarne energije po energentima</w:t>
        </w:r>
        <w:r>
          <w:rPr>
            <w:noProof/>
            <w:webHidden/>
          </w:rPr>
          <w:tab/>
        </w:r>
        <w:r>
          <w:rPr>
            <w:noProof/>
            <w:webHidden/>
          </w:rPr>
          <w:fldChar w:fldCharType="begin"/>
        </w:r>
        <w:r>
          <w:rPr>
            <w:noProof/>
            <w:webHidden/>
          </w:rPr>
          <w:instrText xml:space="preserve"> PAGEREF _Toc393897969 \h </w:instrText>
        </w:r>
        <w:r>
          <w:rPr>
            <w:noProof/>
            <w:webHidden/>
          </w:rPr>
        </w:r>
        <w:r>
          <w:rPr>
            <w:noProof/>
            <w:webHidden/>
          </w:rPr>
          <w:fldChar w:fldCharType="separate"/>
        </w:r>
        <w:r>
          <w:rPr>
            <w:noProof/>
            <w:webHidden/>
          </w:rPr>
          <w:t>178</w:t>
        </w:r>
        <w:r>
          <w:rPr>
            <w:noProof/>
            <w:webHidden/>
          </w:rPr>
          <w:fldChar w:fldCharType="end"/>
        </w:r>
      </w:hyperlink>
    </w:p>
    <w:p w:rsidR="00762EAE" w:rsidRDefault="00762EAE">
      <w:pPr>
        <w:pStyle w:val="TOC3"/>
        <w:tabs>
          <w:tab w:val="right" w:leader="dot" w:pos="9063"/>
        </w:tabs>
        <w:rPr>
          <w:rFonts w:eastAsiaTheme="minorEastAsia" w:cstheme="minorBidi"/>
          <w:noProof/>
          <w:sz w:val="22"/>
          <w:szCs w:val="22"/>
        </w:rPr>
      </w:pPr>
      <w:hyperlink w:anchor="_Toc393897970" w:history="1">
        <w:r w:rsidRPr="009E2E6E">
          <w:rPr>
            <w:rStyle w:val="Hyperlink"/>
            <w:noProof/>
          </w:rPr>
          <w:t>10.3.2  Potrošnja finalne energije</w:t>
        </w:r>
        <w:r>
          <w:rPr>
            <w:noProof/>
            <w:webHidden/>
          </w:rPr>
          <w:tab/>
        </w:r>
        <w:r>
          <w:rPr>
            <w:noProof/>
            <w:webHidden/>
          </w:rPr>
          <w:fldChar w:fldCharType="begin"/>
        </w:r>
        <w:r>
          <w:rPr>
            <w:noProof/>
            <w:webHidden/>
          </w:rPr>
          <w:instrText xml:space="preserve"> PAGEREF _Toc393897970 \h </w:instrText>
        </w:r>
        <w:r>
          <w:rPr>
            <w:noProof/>
            <w:webHidden/>
          </w:rPr>
        </w:r>
        <w:r>
          <w:rPr>
            <w:noProof/>
            <w:webHidden/>
          </w:rPr>
          <w:fldChar w:fldCharType="separate"/>
        </w:r>
        <w:r>
          <w:rPr>
            <w:noProof/>
            <w:webHidden/>
          </w:rPr>
          <w:t>180</w:t>
        </w:r>
        <w:r>
          <w:rPr>
            <w:noProof/>
            <w:webHidden/>
          </w:rPr>
          <w:fldChar w:fldCharType="end"/>
        </w:r>
      </w:hyperlink>
    </w:p>
    <w:p w:rsidR="00762EAE" w:rsidRDefault="00762EAE">
      <w:pPr>
        <w:pStyle w:val="TOC3"/>
        <w:tabs>
          <w:tab w:val="right" w:leader="dot" w:pos="9063"/>
        </w:tabs>
        <w:rPr>
          <w:rFonts w:eastAsiaTheme="minorEastAsia" w:cstheme="minorBidi"/>
          <w:noProof/>
          <w:sz w:val="22"/>
          <w:szCs w:val="22"/>
        </w:rPr>
      </w:pPr>
      <w:hyperlink w:anchor="_Toc393897971" w:history="1">
        <w:r w:rsidRPr="009E2E6E">
          <w:rPr>
            <w:rStyle w:val="Hyperlink"/>
            <w:noProof/>
          </w:rPr>
          <w:t>10.3.3  Energetski intenzitet</w:t>
        </w:r>
        <w:r>
          <w:rPr>
            <w:noProof/>
            <w:webHidden/>
          </w:rPr>
          <w:tab/>
        </w:r>
        <w:r>
          <w:rPr>
            <w:noProof/>
            <w:webHidden/>
          </w:rPr>
          <w:fldChar w:fldCharType="begin"/>
        </w:r>
        <w:r>
          <w:rPr>
            <w:noProof/>
            <w:webHidden/>
          </w:rPr>
          <w:instrText xml:space="preserve"> PAGEREF _Toc393897971 \h </w:instrText>
        </w:r>
        <w:r>
          <w:rPr>
            <w:noProof/>
            <w:webHidden/>
          </w:rPr>
        </w:r>
        <w:r>
          <w:rPr>
            <w:noProof/>
            <w:webHidden/>
          </w:rPr>
          <w:fldChar w:fldCharType="separate"/>
        </w:r>
        <w:r>
          <w:rPr>
            <w:noProof/>
            <w:webHidden/>
          </w:rPr>
          <w:t>182</w:t>
        </w:r>
        <w:r>
          <w:rPr>
            <w:noProof/>
            <w:webHidden/>
          </w:rPr>
          <w:fldChar w:fldCharType="end"/>
        </w:r>
      </w:hyperlink>
    </w:p>
    <w:p w:rsidR="00762EAE" w:rsidRDefault="00762EAE">
      <w:pPr>
        <w:pStyle w:val="TOC2"/>
        <w:tabs>
          <w:tab w:val="left" w:pos="900"/>
          <w:tab w:val="right" w:leader="dot" w:pos="9063"/>
        </w:tabs>
        <w:rPr>
          <w:rFonts w:eastAsiaTheme="minorEastAsia" w:cstheme="minorBidi"/>
          <w:i w:val="0"/>
          <w:iCs w:val="0"/>
          <w:noProof/>
          <w:sz w:val="22"/>
          <w:szCs w:val="22"/>
        </w:rPr>
      </w:pPr>
      <w:hyperlink w:anchor="_Toc393897972" w:history="1">
        <w:r w:rsidRPr="009E2E6E">
          <w:rPr>
            <w:rStyle w:val="Hyperlink"/>
            <w:noProof/>
          </w:rPr>
          <w:t>9.12.</w:t>
        </w:r>
        <w:r>
          <w:rPr>
            <w:rFonts w:eastAsiaTheme="minorEastAsia" w:cstheme="minorBidi"/>
            <w:i w:val="0"/>
            <w:iCs w:val="0"/>
            <w:noProof/>
            <w:sz w:val="22"/>
            <w:szCs w:val="22"/>
          </w:rPr>
          <w:tab/>
        </w:r>
        <w:r w:rsidRPr="009E2E6E">
          <w:rPr>
            <w:rStyle w:val="Hyperlink"/>
            <w:noProof/>
          </w:rPr>
          <w:t>Saobraćaj</w:t>
        </w:r>
        <w:r>
          <w:rPr>
            <w:noProof/>
            <w:webHidden/>
          </w:rPr>
          <w:tab/>
        </w:r>
        <w:r>
          <w:rPr>
            <w:noProof/>
            <w:webHidden/>
          </w:rPr>
          <w:fldChar w:fldCharType="begin"/>
        </w:r>
        <w:r>
          <w:rPr>
            <w:noProof/>
            <w:webHidden/>
          </w:rPr>
          <w:instrText xml:space="preserve"> PAGEREF _Toc393897972 \h </w:instrText>
        </w:r>
        <w:r>
          <w:rPr>
            <w:noProof/>
            <w:webHidden/>
          </w:rPr>
        </w:r>
        <w:r>
          <w:rPr>
            <w:noProof/>
            <w:webHidden/>
          </w:rPr>
          <w:fldChar w:fldCharType="separate"/>
        </w:r>
        <w:r>
          <w:rPr>
            <w:noProof/>
            <w:webHidden/>
          </w:rPr>
          <w:t>183</w:t>
        </w:r>
        <w:r>
          <w:rPr>
            <w:noProof/>
            <w:webHidden/>
          </w:rPr>
          <w:fldChar w:fldCharType="end"/>
        </w:r>
      </w:hyperlink>
    </w:p>
    <w:p w:rsidR="00762EAE" w:rsidRDefault="00762EAE">
      <w:pPr>
        <w:pStyle w:val="TOC3"/>
        <w:tabs>
          <w:tab w:val="right" w:leader="dot" w:pos="9063"/>
        </w:tabs>
        <w:rPr>
          <w:rFonts w:eastAsiaTheme="minorEastAsia" w:cstheme="minorBidi"/>
          <w:noProof/>
          <w:sz w:val="22"/>
          <w:szCs w:val="22"/>
        </w:rPr>
      </w:pPr>
      <w:hyperlink w:anchor="_Toc393897973" w:history="1">
        <w:r w:rsidRPr="009E2E6E">
          <w:rPr>
            <w:rStyle w:val="Hyperlink"/>
            <w:noProof/>
          </w:rPr>
          <w:t>10.4.1  Putnički saobraćaj</w:t>
        </w:r>
        <w:r>
          <w:rPr>
            <w:noProof/>
            <w:webHidden/>
          </w:rPr>
          <w:tab/>
        </w:r>
        <w:r>
          <w:rPr>
            <w:noProof/>
            <w:webHidden/>
          </w:rPr>
          <w:fldChar w:fldCharType="begin"/>
        </w:r>
        <w:r>
          <w:rPr>
            <w:noProof/>
            <w:webHidden/>
          </w:rPr>
          <w:instrText xml:space="preserve"> PAGEREF _Toc393897973 \h </w:instrText>
        </w:r>
        <w:r>
          <w:rPr>
            <w:noProof/>
            <w:webHidden/>
          </w:rPr>
        </w:r>
        <w:r>
          <w:rPr>
            <w:noProof/>
            <w:webHidden/>
          </w:rPr>
          <w:fldChar w:fldCharType="separate"/>
        </w:r>
        <w:r>
          <w:rPr>
            <w:noProof/>
            <w:webHidden/>
          </w:rPr>
          <w:t>184</w:t>
        </w:r>
        <w:r>
          <w:rPr>
            <w:noProof/>
            <w:webHidden/>
          </w:rPr>
          <w:fldChar w:fldCharType="end"/>
        </w:r>
      </w:hyperlink>
    </w:p>
    <w:p w:rsidR="00762EAE" w:rsidRDefault="00762EAE">
      <w:pPr>
        <w:pStyle w:val="TOC3"/>
        <w:tabs>
          <w:tab w:val="right" w:leader="dot" w:pos="9063"/>
        </w:tabs>
        <w:rPr>
          <w:rFonts w:eastAsiaTheme="minorEastAsia" w:cstheme="minorBidi"/>
          <w:noProof/>
          <w:sz w:val="22"/>
          <w:szCs w:val="22"/>
        </w:rPr>
      </w:pPr>
      <w:hyperlink w:anchor="_Toc393897974" w:history="1">
        <w:r w:rsidRPr="009E2E6E">
          <w:rPr>
            <w:rStyle w:val="Hyperlink"/>
            <w:noProof/>
            <w:shd w:val="clear" w:color="auto" w:fill="FFFFFF" w:themeFill="background1"/>
          </w:rPr>
          <w:t>10.4.2  Teretni saobraćaj</w:t>
        </w:r>
        <w:r>
          <w:rPr>
            <w:noProof/>
            <w:webHidden/>
          </w:rPr>
          <w:tab/>
        </w:r>
        <w:r>
          <w:rPr>
            <w:noProof/>
            <w:webHidden/>
          </w:rPr>
          <w:fldChar w:fldCharType="begin"/>
        </w:r>
        <w:r>
          <w:rPr>
            <w:noProof/>
            <w:webHidden/>
          </w:rPr>
          <w:instrText xml:space="preserve"> PAGEREF _Toc393897974 \h </w:instrText>
        </w:r>
        <w:r>
          <w:rPr>
            <w:noProof/>
            <w:webHidden/>
          </w:rPr>
        </w:r>
        <w:r>
          <w:rPr>
            <w:noProof/>
            <w:webHidden/>
          </w:rPr>
          <w:fldChar w:fldCharType="separate"/>
        </w:r>
        <w:r>
          <w:rPr>
            <w:noProof/>
            <w:webHidden/>
          </w:rPr>
          <w:t>186</w:t>
        </w:r>
        <w:r>
          <w:rPr>
            <w:noProof/>
            <w:webHidden/>
          </w:rPr>
          <w:fldChar w:fldCharType="end"/>
        </w:r>
      </w:hyperlink>
    </w:p>
    <w:p w:rsidR="00762EAE" w:rsidRDefault="00762EAE">
      <w:pPr>
        <w:pStyle w:val="TOC3"/>
        <w:tabs>
          <w:tab w:val="right" w:leader="dot" w:pos="9063"/>
        </w:tabs>
        <w:rPr>
          <w:rFonts w:eastAsiaTheme="minorEastAsia" w:cstheme="minorBidi"/>
          <w:noProof/>
          <w:sz w:val="22"/>
          <w:szCs w:val="22"/>
        </w:rPr>
      </w:pPr>
      <w:hyperlink w:anchor="_Toc393897975" w:history="1">
        <w:r w:rsidRPr="009E2E6E">
          <w:rPr>
            <w:rStyle w:val="Hyperlink"/>
            <w:noProof/>
          </w:rPr>
          <w:t>10.4.3  Broj motornih vozila prema vrstama vozila</w:t>
        </w:r>
        <w:r>
          <w:rPr>
            <w:noProof/>
            <w:webHidden/>
          </w:rPr>
          <w:tab/>
        </w:r>
        <w:r>
          <w:rPr>
            <w:noProof/>
            <w:webHidden/>
          </w:rPr>
          <w:fldChar w:fldCharType="begin"/>
        </w:r>
        <w:r>
          <w:rPr>
            <w:noProof/>
            <w:webHidden/>
          </w:rPr>
          <w:instrText xml:space="preserve"> PAGEREF _Toc393897975 \h </w:instrText>
        </w:r>
        <w:r>
          <w:rPr>
            <w:noProof/>
            <w:webHidden/>
          </w:rPr>
        </w:r>
        <w:r>
          <w:rPr>
            <w:noProof/>
            <w:webHidden/>
          </w:rPr>
          <w:fldChar w:fldCharType="separate"/>
        </w:r>
        <w:r>
          <w:rPr>
            <w:noProof/>
            <w:webHidden/>
          </w:rPr>
          <w:t>189</w:t>
        </w:r>
        <w:r>
          <w:rPr>
            <w:noProof/>
            <w:webHidden/>
          </w:rPr>
          <w:fldChar w:fldCharType="end"/>
        </w:r>
      </w:hyperlink>
    </w:p>
    <w:p w:rsidR="00762EAE" w:rsidRDefault="00762EAE">
      <w:pPr>
        <w:pStyle w:val="TOC3"/>
        <w:tabs>
          <w:tab w:val="right" w:leader="dot" w:pos="9063"/>
        </w:tabs>
        <w:rPr>
          <w:rFonts w:eastAsiaTheme="minorEastAsia" w:cstheme="minorBidi"/>
          <w:noProof/>
          <w:sz w:val="22"/>
          <w:szCs w:val="22"/>
        </w:rPr>
      </w:pPr>
      <w:hyperlink w:anchor="_Toc393897976" w:history="1">
        <w:r w:rsidRPr="009E2E6E">
          <w:rPr>
            <w:rStyle w:val="Hyperlink"/>
            <w:noProof/>
          </w:rPr>
          <w:t>10.4.4  Prosječna starost voznog parka</w:t>
        </w:r>
        <w:r>
          <w:rPr>
            <w:noProof/>
            <w:webHidden/>
          </w:rPr>
          <w:tab/>
        </w:r>
        <w:r>
          <w:rPr>
            <w:noProof/>
            <w:webHidden/>
          </w:rPr>
          <w:fldChar w:fldCharType="begin"/>
        </w:r>
        <w:r>
          <w:rPr>
            <w:noProof/>
            <w:webHidden/>
          </w:rPr>
          <w:instrText xml:space="preserve"> PAGEREF _Toc393897976 \h </w:instrText>
        </w:r>
        <w:r>
          <w:rPr>
            <w:noProof/>
            <w:webHidden/>
          </w:rPr>
        </w:r>
        <w:r>
          <w:rPr>
            <w:noProof/>
            <w:webHidden/>
          </w:rPr>
          <w:fldChar w:fldCharType="separate"/>
        </w:r>
        <w:r>
          <w:rPr>
            <w:noProof/>
            <w:webHidden/>
          </w:rPr>
          <w:t>192</w:t>
        </w:r>
        <w:r>
          <w:rPr>
            <w:noProof/>
            <w:webHidden/>
          </w:rPr>
          <w:fldChar w:fldCharType="end"/>
        </w:r>
      </w:hyperlink>
    </w:p>
    <w:p w:rsidR="00762EAE" w:rsidRDefault="00762EAE">
      <w:pPr>
        <w:pStyle w:val="TOC2"/>
        <w:tabs>
          <w:tab w:val="left" w:pos="900"/>
          <w:tab w:val="right" w:leader="dot" w:pos="9063"/>
        </w:tabs>
        <w:rPr>
          <w:rFonts w:eastAsiaTheme="minorEastAsia" w:cstheme="minorBidi"/>
          <w:i w:val="0"/>
          <w:iCs w:val="0"/>
          <w:noProof/>
          <w:sz w:val="22"/>
          <w:szCs w:val="22"/>
        </w:rPr>
      </w:pPr>
      <w:hyperlink w:anchor="_Toc393897977" w:history="1">
        <w:r w:rsidRPr="009E2E6E">
          <w:rPr>
            <w:rStyle w:val="Hyperlink"/>
            <w:noProof/>
          </w:rPr>
          <w:t>9.13.</w:t>
        </w:r>
        <w:r>
          <w:rPr>
            <w:rFonts w:eastAsiaTheme="minorEastAsia" w:cstheme="minorBidi"/>
            <w:i w:val="0"/>
            <w:iCs w:val="0"/>
            <w:noProof/>
            <w:sz w:val="22"/>
            <w:szCs w:val="22"/>
          </w:rPr>
          <w:tab/>
        </w:r>
        <w:r w:rsidRPr="009E2E6E">
          <w:rPr>
            <w:rStyle w:val="Hyperlink"/>
            <w:noProof/>
          </w:rPr>
          <w:t>Turizam</w:t>
        </w:r>
        <w:r>
          <w:rPr>
            <w:noProof/>
            <w:webHidden/>
          </w:rPr>
          <w:tab/>
        </w:r>
        <w:r>
          <w:rPr>
            <w:noProof/>
            <w:webHidden/>
          </w:rPr>
          <w:fldChar w:fldCharType="begin"/>
        </w:r>
        <w:r>
          <w:rPr>
            <w:noProof/>
            <w:webHidden/>
          </w:rPr>
          <w:instrText xml:space="preserve"> PAGEREF _Toc393897977 \h </w:instrText>
        </w:r>
        <w:r>
          <w:rPr>
            <w:noProof/>
            <w:webHidden/>
          </w:rPr>
        </w:r>
        <w:r>
          <w:rPr>
            <w:noProof/>
            <w:webHidden/>
          </w:rPr>
          <w:fldChar w:fldCharType="separate"/>
        </w:r>
        <w:r>
          <w:rPr>
            <w:noProof/>
            <w:webHidden/>
          </w:rPr>
          <w:t>193</w:t>
        </w:r>
        <w:r>
          <w:rPr>
            <w:noProof/>
            <w:webHidden/>
          </w:rPr>
          <w:fldChar w:fldCharType="end"/>
        </w:r>
      </w:hyperlink>
    </w:p>
    <w:p w:rsidR="00762EAE" w:rsidRDefault="00762EAE">
      <w:pPr>
        <w:pStyle w:val="TOC3"/>
        <w:tabs>
          <w:tab w:val="right" w:leader="dot" w:pos="9063"/>
        </w:tabs>
        <w:rPr>
          <w:rFonts w:eastAsiaTheme="minorEastAsia" w:cstheme="minorBidi"/>
          <w:noProof/>
          <w:sz w:val="22"/>
          <w:szCs w:val="22"/>
        </w:rPr>
      </w:pPr>
      <w:hyperlink w:anchor="_Toc393897978" w:history="1">
        <w:r w:rsidRPr="009E2E6E">
          <w:rPr>
            <w:rStyle w:val="Hyperlink"/>
            <w:noProof/>
          </w:rPr>
          <w:t>10.5.1  Dolasci turista</w:t>
        </w:r>
        <w:r>
          <w:rPr>
            <w:noProof/>
            <w:webHidden/>
          </w:rPr>
          <w:tab/>
        </w:r>
        <w:r>
          <w:rPr>
            <w:noProof/>
            <w:webHidden/>
          </w:rPr>
          <w:fldChar w:fldCharType="begin"/>
        </w:r>
        <w:r>
          <w:rPr>
            <w:noProof/>
            <w:webHidden/>
          </w:rPr>
          <w:instrText xml:space="preserve"> PAGEREF _Toc393897978 \h </w:instrText>
        </w:r>
        <w:r>
          <w:rPr>
            <w:noProof/>
            <w:webHidden/>
          </w:rPr>
        </w:r>
        <w:r>
          <w:rPr>
            <w:noProof/>
            <w:webHidden/>
          </w:rPr>
          <w:fldChar w:fldCharType="separate"/>
        </w:r>
        <w:r>
          <w:rPr>
            <w:noProof/>
            <w:webHidden/>
          </w:rPr>
          <w:t>194</w:t>
        </w:r>
        <w:r>
          <w:rPr>
            <w:noProof/>
            <w:webHidden/>
          </w:rPr>
          <w:fldChar w:fldCharType="end"/>
        </w:r>
      </w:hyperlink>
    </w:p>
    <w:p w:rsidR="00762EAE" w:rsidRDefault="00762EAE">
      <w:pPr>
        <w:pStyle w:val="TOC3"/>
        <w:tabs>
          <w:tab w:val="right" w:leader="dot" w:pos="9063"/>
        </w:tabs>
        <w:rPr>
          <w:rFonts w:eastAsiaTheme="minorEastAsia" w:cstheme="minorBidi"/>
          <w:noProof/>
          <w:sz w:val="22"/>
          <w:szCs w:val="22"/>
        </w:rPr>
      </w:pPr>
      <w:hyperlink w:anchor="_Toc393897979" w:history="1">
        <w:r w:rsidRPr="009E2E6E">
          <w:rPr>
            <w:rStyle w:val="Hyperlink"/>
            <w:noProof/>
          </w:rPr>
          <w:t>10.5.2  Noćenja turista</w:t>
        </w:r>
        <w:r>
          <w:rPr>
            <w:noProof/>
            <w:webHidden/>
          </w:rPr>
          <w:tab/>
        </w:r>
        <w:r>
          <w:rPr>
            <w:noProof/>
            <w:webHidden/>
          </w:rPr>
          <w:fldChar w:fldCharType="begin"/>
        </w:r>
        <w:r>
          <w:rPr>
            <w:noProof/>
            <w:webHidden/>
          </w:rPr>
          <w:instrText xml:space="preserve"> PAGEREF _Toc393897979 \h </w:instrText>
        </w:r>
        <w:r>
          <w:rPr>
            <w:noProof/>
            <w:webHidden/>
          </w:rPr>
        </w:r>
        <w:r>
          <w:rPr>
            <w:noProof/>
            <w:webHidden/>
          </w:rPr>
          <w:fldChar w:fldCharType="separate"/>
        </w:r>
        <w:r>
          <w:rPr>
            <w:noProof/>
            <w:webHidden/>
          </w:rPr>
          <w:t>196</w:t>
        </w:r>
        <w:r>
          <w:rPr>
            <w:noProof/>
            <w:webHidden/>
          </w:rPr>
          <w:fldChar w:fldCharType="end"/>
        </w:r>
      </w:hyperlink>
    </w:p>
    <w:p w:rsidR="00762EAE" w:rsidRDefault="00762EAE">
      <w:pPr>
        <w:pStyle w:val="TOC3"/>
        <w:tabs>
          <w:tab w:val="right" w:leader="dot" w:pos="9063"/>
        </w:tabs>
        <w:rPr>
          <w:rFonts w:eastAsiaTheme="minorEastAsia" w:cstheme="minorBidi"/>
          <w:noProof/>
          <w:sz w:val="22"/>
          <w:szCs w:val="22"/>
        </w:rPr>
      </w:pPr>
      <w:hyperlink w:anchor="_Toc393897980" w:history="1">
        <w:r w:rsidRPr="009E2E6E">
          <w:rPr>
            <w:rStyle w:val="Hyperlink"/>
            <w:noProof/>
          </w:rPr>
          <w:t>10.5.3  Broj turista na kružnim putovanjima</w:t>
        </w:r>
        <w:r>
          <w:rPr>
            <w:noProof/>
            <w:webHidden/>
          </w:rPr>
          <w:tab/>
        </w:r>
        <w:r>
          <w:rPr>
            <w:noProof/>
            <w:webHidden/>
          </w:rPr>
          <w:fldChar w:fldCharType="begin"/>
        </w:r>
        <w:r>
          <w:rPr>
            <w:noProof/>
            <w:webHidden/>
          </w:rPr>
          <w:instrText xml:space="preserve"> PAGEREF _Toc393897980 \h </w:instrText>
        </w:r>
        <w:r>
          <w:rPr>
            <w:noProof/>
            <w:webHidden/>
          </w:rPr>
        </w:r>
        <w:r>
          <w:rPr>
            <w:noProof/>
            <w:webHidden/>
          </w:rPr>
          <w:fldChar w:fldCharType="separate"/>
        </w:r>
        <w:r>
          <w:rPr>
            <w:noProof/>
            <w:webHidden/>
          </w:rPr>
          <w:t>199</w:t>
        </w:r>
        <w:r>
          <w:rPr>
            <w:noProof/>
            <w:webHidden/>
          </w:rPr>
          <w:fldChar w:fldCharType="end"/>
        </w:r>
      </w:hyperlink>
    </w:p>
    <w:p w:rsidR="00762EAE" w:rsidRDefault="00762EAE">
      <w:pPr>
        <w:pStyle w:val="TOC1"/>
        <w:rPr>
          <w:rFonts w:eastAsiaTheme="minorEastAsia" w:cstheme="minorBidi"/>
          <w:b w:val="0"/>
          <w:bCs w:val="0"/>
          <w:noProof/>
          <w:sz w:val="22"/>
          <w:szCs w:val="22"/>
        </w:rPr>
      </w:pPr>
      <w:hyperlink w:anchor="_Toc393897981" w:history="1">
        <w:r w:rsidRPr="009E2E6E">
          <w:rPr>
            <w:rStyle w:val="Hyperlink"/>
            <w:noProof/>
          </w:rPr>
          <w:t>Pojmovnik</w:t>
        </w:r>
        <w:r>
          <w:rPr>
            <w:noProof/>
            <w:webHidden/>
          </w:rPr>
          <w:tab/>
        </w:r>
        <w:r>
          <w:rPr>
            <w:noProof/>
            <w:webHidden/>
          </w:rPr>
          <w:fldChar w:fldCharType="begin"/>
        </w:r>
        <w:r>
          <w:rPr>
            <w:noProof/>
            <w:webHidden/>
          </w:rPr>
          <w:instrText xml:space="preserve"> PAGEREF _Toc393897981 \h </w:instrText>
        </w:r>
        <w:r>
          <w:rPr>
            <w:noProof/>
            <w:webHidden/>
          </w:rPr>
        </w:r>
        <w:r>
          <w:rPr>
            <w:noProof/>
            <w:webHidden/>
          </w:rPr>
          <w:fldChar w:fldCharType="separate"/>
        </w:r>
        <w:r>
          <w:rPr>
            <w:noProof/>
            <w:webHidden/>
          </w:rPr>
          <w:t>201</w:t>
        </w:r>
        <w:r>
          <w:rPr>
            <w:noProof/>
            <w:webHidden/>
          </w:rPr>
          <w:fldChar w:fldCharType="end"/>
        </w:r>
      </w:hyperlink>
    </w:p>
    <w:p w:rsidR="009E4056" w:rsidRPr="007F4CD4" w:rsidRDefault="00BC5B01" w:rsidP="0099688A">
      <w:pPr>
        <w:spacing w:after="40"/>
        <w:jc w:val="center"/>
        <w:rPr>
          <w:lang w:val="sr-Latn-CS"/>
        </w:rPr>
      </w:pPr>
      <w:r w:rsidRPr="007F4CD4">
        <w:rPr>
          <w:lang w:val="sr-Latn-CS"/>
        </w:rPr>
        <w:fldChar w:fldCharType="end"/>
      </w:r>
    </w:p>
    <w:p w:rsidR="00EA21B3" w:rsidRPr="005E4028" w:rsidRDefault="00EA21B3" w:rsidP="00D72EC1">
      <w:pPr>
        <w:pStyle w:val="Heading1"/>
        <w:numPr>
          <w:ilvl w:val="0"/>
          <w:numId w:val="0"/>
        </w:numPr>
        <w:spacing w:before="0"/>
      </w:pPr>
      <w:bookmarkStart w:id="0" w:name="_Toc321485052"/>
      <w:bookmarkStart w:id="1" w:name="_Toc362938268"/>
      <w:bookmarkStart w:id="2" w:name="_Toc393897850"/>
      <w:r w:rsidRPr="00897A69">
        <w:lastRenderedPageBreak/>
        <w:t>U</w:t>
      </w:r>
      <w:bookmarkEnd w:id="0"/>
      <w:r w:rsidRPr="00897A69">
        <w:t>VOD</w:t>
      </w:r>
      <w:bookmarkEnd w:id="1"/>
      <w:bookmarkEnd w:id="2"/>
    </w:p>
    <w:p w:rsidR="00EA21B3" w:rsidRDefault="00EA21B3" w:rsidP="00980C28">
      <w:pPr>
        <w:rPr>
          <w:rFonts w:ascii="Constantia" w:hAnsi="Constantia"/>
          <w:lang w:val="sr-Latn-CS"/>
        </w:rPr>
      </w:pPr>
      <w:r w:rsidRPr="00897A69">
        <w:rPr>
          <w:rFonts w:ascii="Constantia" w:hAnsi="Constantia"/>
          <w:lang w:val="sr-Latn-CS"/>
        </w:rPr>
        <w:t xml:space="preserve">Informacija o stanju životne sredine </w:t>
      </w:r>
      <w:r w:rsidRPr="001D4EFB">
        <w:rPr>
          <w:rFonts w:ascii="Constantia" w:hAnsi="Constantia"/>
          <w:lang w:val="sr-Latn-CS"/>
        </w:rPr>
        <w:t>Crn</w:t>
      </w:r>
      <w:r>
        <w:rPr>
          <w:rFonts w:ascii="Constantia" w:hAnsi="Constantia"/>
          <w:lang w:val="sr-Latn-CS"/>
        </w:rPr>
        <w:t>e</w:t>
      </w:r>
      <w:r w:rsidRPr="001D4EFB">
        <w:rPr>
          <w:rFonts w:ascii="Constantia" w:hAnsi="Constantia"/>
          <w:lang w:val="sr-Latn-CS"/>
        </w:rPr>
        <w:t xml:space="preserve"> Gor</w:t>
      </w:r>
      <w:r>
        <w:rPr>
          <w:rFonts w:ascii="Constantia" w:hAnsi="Constantia"/>
          <w:lang w:val="sr-Latn-CS"/>
        </w:rPr>
        <w:t xml:space="preserve">e sa Prijedlogom mjera </w:t>
      </w:r>
      <w:r w:rsidRPr="00936678">
        <w:rPr>
          <w:rFonts w:ascii="Constantia" w:hAnsi="Constantia"/>
          <w:lang w:val="sr-Latn-CS"/>
        </w:rPr>
        <w:t>predstavlja jedan od osnovnih dokume</w:t>
      </w:r>
      <w:r>
        <w:rPr>
          <w:rFonts w:ascii="Constantia" w:hAnsi="Constantia"/>
          <w:lang w:val="sr-Latn-CS"/>
        </w:rPr>
        <w:t>nata iz oblasti životne sredine</w:t>
      </w:r>
      <w:r w:rsidRPr="00936678">
        <w:rPr>
          <w:rFonts w:ascii="Constantia" w:hAnsi="Constantia"/>
          <w:lang w:val="sr-Latn-CS"/>
        </w:rPr>
        <w:t xml:space="preserve"> i donosi se na godišnjem nivou. Informacija je izrađena na osnovu rezultata mjerenja i prikupljenih podataka proisteklih realizacijom Programa monitoringa životne sredine </w:t>
      </w:r>
      <w:r>
        <w:rPr>
          <w:rFonts w:ascii="Constantia" w:hAnsi="Constantia"/>
          <w:lang w:val="sr-Latn-CS"/>
        </w:rPr>
        <w:t>za 2013</w:t>
      </w:r>
      <w:r w:rsidRPr="001D4EFB">
        <w:rPr>
          <w:rFonts w:ascii="Constantia" w:hAnsi="Constantia"/>
          <w:lang w:val="sr-Latn-CS"/>
        </w:rPr>
        <w:t>.</w:t>
      </w:r>
      <w:r>
        <w:rPr>
          <w:rFonts w:ascii="Constantia" w:hAnsi="Constantia"/>
          <w:lang w:val="sr-Latn-CS"/>
        </w:rPr>
        <w:t xml:space="preserve"> godinu</w:t>
      </w:r>
      <w:r w:rsidRPr="00936678">
        <w:rPr>
          <w:rFonts w:ascii="Constantia" w:hAnsi="Constantia"/>
          <w:lang w:val="sr-Latn-CS"/>
        </w:rPr>
        <w:t>i kroz direktnu saradnju sa institucijama nadležnim za pojedine tematske oblasti. Program monitoringa</w:t>
      </w:r>
      <w:r w:rsidRPr="001D4EFB">
        <w:rPr>
          <w:rStyle w:val="FootnoteReference"/>
          <w:rFonts w:ascii="Constantia" w:hAnsi="Constantia"/>
          <w:lang w:val="sr-Latn-CS"/>
        </w:rPr>
        <w:footnoteReference w:id="1"/>
      </w:r>
      <w:r w:rsidRPr="00936678">
        <w:rPr>
          <w:rFonts w:ascii="Constantia" w:hAnsi="Constantia"/>
          <w:lang w:val="sr-Latn-CS"/>
        </w:rPr>
        <w:t xml:space="preserve"> realizuju institucije </w:t>
      </w:r>
      <w:r w:rsidRPr="001D4EFB">
        <w:rPr>
          <w:rFonts w:ascii="Constantia" w:hAnsi="Constantia"/>
          <w:lang w:val="sr-Latn-CS"/>
        </w:rPr>
        <w:t xml:space="preserve">izabrane </w:t>
      </w:r>
      <w:r w:rsidRPr="00936678">
        <w:rPr>
          <w:rFonts w:ascii="Constantia" w:hAnsi="Constantia"/>
          <w:lang w:val="sr-Latn-CS"/>
        </w:rPr>
        <w:t xml:space="preserve">u tenderskoj proceduri, osim monitoringa kvaliteta vazduha koji realizuje </w:t>
      </w:r>
      <w:r w:rsidRPr="001D4EFB">
        <w:rPr>
          <w:rFonts w:ascii="Constantia" w:hAnsi="Constantia"/>
          <w:lang w:val="sr-Latn-CS"/>
        </w:rPr>
        <w:t>D.O.O</w:t>
      </w:r>
      <w:r w:rsidR="00592016">
        <w:rPr>
          <w:rFonts w:ascii="Constantia" w:hAnsi="Constantia"/>
          <w:lang w:val="sr-Latn-CS"/>
        </w:rPr>
        <w:t>.</w:t>
      </w:r>
      <w:r w:rsidRPr="001D4EFB">
        <w:rPr>
          <w:rFonts w:ascii="Constantia" w:hAnsi="Constantia"/>
          <w:lang w:val="sr-Latn-CS"/>
        </w:rPr>
        <w:t xml:space="preserve"> „</w:t>
      </w:r>
      <w:r w:rsidRPr="00936678">
        <w:rPr>
          <w:rFonts w:ascii="Constantia" w:hAnsi="Constantia"/>
          <w:lang w:val="sr-Latn-CS"/>
        </w:rPr>
        <w:t>Centar za ekotoksikološka ispitivanja Crne Gore</w:t>
      </w:r>
      <w:r w:rsidRPr="001D4EFB">
        <w:rPr>
          <w:rFonts w:ascii="Constantia" w:hAnsi="Constantia"/>
          <w:lang w:val="sr-Latn-CS"/>
        </w:rPr>
        <w:t>“</w:t>
      </w:r>
      <w:r w:rsidR="00F1487F">
        <w:rPr>
          <w:rFonts w:ascii="Constantia" w:hAnsi="Constantia"/>
          <w:lang w:val="sr-Latn-CS"/>
        </w:rPr>
        <w:t>,</w:t>
      </w:r>
      <w:r w:rsidRPr="00936678">
        <w:rPr>
          <w:rFonts w:ascii="Constantia" w:hAnsi="Constantia"/>
          <w:lang w:val="sr-Latn-CS"/>
        </w:rPr>
        <w:t xml:space="preserve"> na osnovu Uredbe o povjeravanju dijela poslova iz nadležnosti Agencije za zaštitu životne sredine ("Sl</w:t>
      </w:r>
      <w:r w:rsidR="0061279D">
        <w:rPr>
          <w:rFonts w:ascii="Constantia" w:hAnsi="Constantia"/>
          <w:lang w:val="sr-Latn-CS"/>
        </w:rPr>
        <w:t>.</w:t>
      </w:r>
      <w:r w:rsidRPr="00936678">
        <w:rPr>
          <w:rFonts w:ascii="Constantia" w:hAnsi="Constantia"/>
          <w:lang w:val="sr-Latn-CS"/>
        </w:rPr>
        <w:t xml:space="preserve"> list CG", br. 62/11). Za realizaciju Programa monitoringa sredstava se obezbjeđuju iz </w:t>
      </w:r>
      <w:r w:rsidRPr="00936678">
        <w:rPr>
          <w:rFonts w:ascii="Constantia" w:hAnsi="Constantia"/>
        </w:rPr>
        <w:t>budžeta.</w:t>
      </w:r>
    </w:p>
    <w:p w:rsidR="00EA21B3" w:rsidRDefault="00EA21B3" w:rsidP="00980C28">
      <w:pPr>
        <w:rPr>
          <w:rFonts w:ascii="Constantia" w:hAnsi="Constantia"/>
          <w:lang w:val="sr-Latn-CS"/>
        </w:rPr>
      </w:pPr>
      <w:r w:rsidRPr="00936678">
        <w:rPr>
          <w:rFonts w:ascii="Constantia" w:hAnsi="Constantia"/>
          <w:lang w:val="sr-Latn-CS"/>
        </w:rPr>
        <w:t xml:space="preserve">Program monitoringa kvaliteta voda </w:t>
      </w:r>
      <w:r w:rsidRPr="001D4EFB">
        <w:rPr>
          <w:rFonts w:ascii="Constantia" w:hAnsi="Constantia"/>
          <w:lang w:val="sr-Latn-CS"/>
        </w:rPr>
        <w:t xml:space="preserve">predlaže </w:t>
      </w:r>
      <w:r w:rsidRPr="00936678">
        <w:rPr>
          <w:rFonts w:ascii="Constantia" w:hAnsi="Constantia"/>
          <w:lang w:val="sr-Latn-CS"/>
        </w:rPr>
        <w:t xml:space="preserve">Ministarstvo </w:t>
      </w:r>
      <w:r w:rsidRPr="00897A69">
        <w:rPr>
          <w:rFonts w:ascii="Constantia" w:hAnsi="Constantia"/>
          <w:lang w:val="sr-Latn-CS"/>
        </w:rPr>
        <w:t>poljoprivrede i ruralnog razvoja, koji u skladu sa Zakonom o vodama ("Sl</w:t>
      </w:r>
      <w:r w:rsidR="0061279D">
        <w:rPr>
          <w:rFonts w:ascii="Constantia" w:hAnsi="Constantia"/>
          <w:lang w:val="sr-Latn-CS"/>
        </w:rPr>
        <w:t>.</w:t>
      </w:r>
      <w:r w:rsidRPr="00897A69">
        <w:rPr>
          <w:rFonts w:ascii="Constantia" w:hAnsi="Constantia"/>
          <w:lang w:val="sr-Latn-CS"/>
        </w:rPr>
        <w:t xml:space="preserve"> list CG", br. 27/07) realizuje Zavod za hidrometeorologiju i seizmologiju Crne Gore. </w:t>
      </w:r>
      <w:r w:rsidRPr="00936678">
        <w:rPr>
          <w:rFonts w:ascii="Constantia" w:hAnsi="Constantia"/>
          <w:lang w:val="sr-Latn-CS"/>
        </w:rPr>
        <w:t xml:space="preserve">Godišnji izvještaj o kvalitetu voda Zavod </w:t>
      </w:r>
      <w:r>
        <w:rPr>
          <w:rFonts w:ascii="Constantia" w:hAnsi="Constantia"/>
          <w:lang w:val="sr-Latn-CS"/>
        </w:rPr>
        <w:t>za hidrometeorologiju i seizmolo</w:t>
      </w:r>
      <w:r w:rsidRPr="00936678">
        <w:rPr>
          <w:rFonts w:ascii="Constantia" w:hAnsi="Constantia"/>
          <w:lang w:val="sr-Latn-CS"/>
        </w:rPr>
        <w:t>giju Crn</w:t>
      </w:r>
      <w:r w:rsidR="0061279D">
        <w:rPr>
          <w:rFonts w:ascii="Constantia" w:hAnsi="Constantia"/>
          <w:lang w:val="sr-Latn-CS"/>
        </w:rPr>
        <w:t>e Gore dostavlja Agenciji</w:t>
      </w:r>
      <w:r w:rsidR="00B57472">
        <w:rPr>
          <w:rFonts w:ascii="Constantia" w:hAnsi="Constantia"/>
          <w:lang w:val="sr-Latn-CS"/>
        </w:rPr>
        <w:t xml:space="preserve"> </w:t>
      </w:r>
      <w:r w:rsidR="0061279D" w:rsidRPr="00936678">
        <w:rPr>
          <w:rFonts w:ascii="Constantia" w:hAnsi="Constantia"/>
          <w:lang w:val="sr-Latn-CS"/>
        </w:rPr>
        <w:t xml:space="preserve">za zaštitu životne sredine </w:t>
      </w:r>
      <w:r w:rsidR="0061279D">
        <w:rPr>
          <w:rFonts w:ascii="Constantia" w:hAnsi="Constantia"/>
          <w:lang w:val="sr-Latn-CS"/>
        </w:rPr>
        <w:t>i predstavlja</w:t>
      </w:r>
      <w:r w:rsidRPr="00936678">
        <w:rPr>
          <w:rFonts w:ascii="Constantia" w:hAnsi="Constantia"/>
          <w:lang w:val="sr-Latn-CS"/>
        </w:rPr>
        <w:t xml:space="preserve"> sastavni dio Informacije o stanju životne sredine.</w:t>
      </w:r>
    </w:p>
    <w:p w:rsidR="00EA21B3" w:rsidRDefault="00EA21B3" w:rsidP="00980C28">
      <w:pPr>
        <w:rPr>
          <w:rFonts w:ascii="Constantia" w:hAnsi="Constantia"/>
          <w:lang w:val="sr-Latn-CS"/>
        </w:rPr>
      </w:pPr>
      <w:r w:rsidRPr="00936678">
        <w:rPr>
          <w:rFonts w:ascii="Constantia" w:hAnsi="Constantia"/>
          <w:lang w:val="sr-Latn-CS"/>
        </w:rPr>
        <w:t xml:space="preserve">U Informaciji o stanju životne sredine </w:t>
      </w:r>
      <w:r w:rsidRPr="001D4EFB">
        <w:rPr>
          <w:rFonts w:ascii="Constantia" w:hAnsi="Constantia"/>
          <w:lang w:val="sr-Latn-CS"/>
        </w:rPr>
        <w:t>Crn</w:t>
      </w:r>
      <w:r>
        <w:rPr>
          <w:rFonts w:ascii="Constantia" w:hAnsi="Constantia"/>
          <w:lang w:val="sr-Latn-CS"/>
        </w:rPr>
        <w:t>e</w:t>
      </w:r>
      <w:r w:rsidRPr="001D4EFB">
        <w:rPr>
          <w:rFonts w:ascii="Constantia" w:hAnsi="Constantia"/>
          <w:lang w:val="sr-Latn-CS"/>
        </w:rPr>
        <w:t xml:space="preserve"> Gor</w:t>
      </w:r>
      <w:r>
        <w:rPr>
          <w:rFonts w:ascii="Constantia" w:hAnsi="Constantia"/>
          <w:lang w:val="sr-Latn-CS"/>
        </w:rPr>
        <w:t xml:space="preserve">e sa Prijedlogom mjera </w:t>
      </w:r>
      <w:r w:rsidRPr="00936678">
        <w:rPr>
          <w:rFonts w:ascii="Constantia" w:hAnsi="Constantia"/>
          <w:lang w:val="sr-Latn-CS"/>
        </w:rPr>
        <w:t>daje se ocjena ukupnog stanja životne sredine u Crnoj Gori</w:t>
      </w:r>
      <w:r w:rsidRPr="001D4EFB">
        <w:rPr>
          <w:rFonts w:ascii="Constantia" w:hAnsi="Constantia"/>
          <w:lang w:val="sr-Latn-CS"/>
        </w:rPr>
        <w:t>,</w:t>
      </w:r>
      <w:r w:rsidRPr="00936678">
        <w:rPr>
          <w:rFonts w:ascii="Constantia" w:hAnsi="Constantia"/>
          <w:lang w:val="sr-Latn-CS"/>
        </w:rPr>
        <w:t xml:space="preserve"> kao i preporuke u planiranju politike životne sredine na godišnjem nivou.</w:t>
      </w:r>
      <w:r w:rsidRPr="001D4EFB">
        <w:rPr>
          <w:rFonts w:ascii="Constantia" w:hAnsi="Constantia"/>
          <w:lang w:val="sr-Latn-CS"/>
        </w:rPr>
        <w:t xml:space="preserve"> Ovaj dokument </w:t>
      </w:r>
      <w:r w:rsidRPr="00936678">
        <w:rPr>
          <w:rFonts w:ascii="Constantia" w:hAnsi="Constantia"/>
          <w:lang w:val="sr-Latn-CS"/>
        </w:rPr>
        <w:t>omogućava zainteresovanoj javnosti Crne Gore jasan i razumljiv uvid u stanje i promjene u kvalitetu pojedinih segmenata životne sredine.</w:t>
      </w:r>
      <w:r w:rsidR="004B7D9A">
        <w:rPr>
          <w:rFonts w:ascii="Constantia" w:hAnsi="Constantia"/>
          <w:lang w:val="sr-Latn-CS"/>
        </w:rPr>
        <w:t xml:space="preserve"> </w:t>
      </w:r>
      <w:r w:rsidRPr="00936678">
        <w:rPr>
          <w:rFonts w:ascii="Constantia" w:hAnsi="Constantia"/>
          <w:lang w:val="sr-Latn-CS"/>
        </w:rPr>
        <w:t xml:space="preserve">Ovogodišnju Informaciju o stanju životne sredine čine </w:t>
      </w:r>
      <w:r w:rsidR="00A06B41">
        <w:rPr>
          <w:rFonts w:ascii="Constantia" w:hAnsi="Constantia"/>
          <w:lang w:val="sr-Latn-CS"/>
        </w:rPr>
        <w:t xml:space="preserve">sledeće </w:t>
      </w:r>
      <w:r w:rsidRPr="00936678">
        <w:rPr>
          <w:rFonts w:ascii="Constantia" w:hAnsi="Constantia"/>
          <w:lang w:val="sr-Latn-CS"/>
        </w:rPr>
        <w:t>3 cjeline:</w:t>
      </w:r>
    </w:p>
    <w:p w:rsidR="00EA21B3" w:rsidRDefault="00EA21B3" w:rsidP="00276AFC">
      <w:pPr>
        <w:ind w:firstLine="720"/>
        <w:rPr>
          <w:rFonts w:ascii="Constantia" w:hAnsi="Constantia"/>
          <w:lang w:val="sr-Latn-CS"/>
        </w:rPr>
      </w:pPr>
      <w:r w:rsidRPr="00936678">
        <w:rPr>
          <w:rFonts w:ascii="Constantia" w:hAnsi="Constantia"/>
          <w:lang w:val="sr-Latn-CS"/>
        </w:rPr>
        <w:t>I</w:t>
      </w:r>
      <w:r w:rsidRPr="001D4EFB">
        <w:rPr>
          <w:rFonts w:ascii="Constantia" w:hAnsi="Constantia"/>
          <w:lang w:val="sr-Latn-CS"/>
        </w:rPr>
        <w:t>)</w:t>
      </w:r>
      <w:r w:rsidRPr="00936678">
        <w:rPr>
          <w:rFonts w:ascii="Constantia" w:hAnsi="Constantia"/>
          <w:lang w:val="sr-Latn-CS"/>
        </w:rPr>
        <w:t xml:space="preserve"> Prikaz stanja životne sredine po segmentima: </w:t>
      </w:r>
    </w:p>
    <w:p w:rsidR="00EA21B3" w:rsidRDefault="00EA21B3" w:rsidP="00276AFC">
      <w:pPr>
        <w:ind w:firstLine="720"/>
        <w:rPr>
          <w:rFonts w:ascii="Constantia" w:hAnsi="Constantia"/>
          <w:lang w:val="sr-Latn-CS"/>
        </w:rPr>
      </w:pPr>
      <w:r w:rsidRPr="00936678">
        <w:rPr>
          <w:rFonts w:ascii="Constantia" w:hAnsi="Constantia"/>
          <w:lang w:val="sr-Latn-CS"/>
        </w:rPr>
        <w:t>Vazduh</w:t>
      </w:r>
    </w:p>
    <w:p w:rsidR="00EA21B3" w:rsidRDefault="00EA21B3" w:rsidP="00276AFC">
      <w:pPr>
        <w:ind w:firstLine="720"/>
        <w:rPr>
          <w:rFonts w:ascii="Constantia" w:hAnsi="Constantia"/>
          <w:lang w:val="sr-Latn-CS"/>
        </w:rPr>
      </w:pPr>
      <w:r w:rsidRPr="00936678">
        <w:rPr>
          <w:rFonts w:ascii="Constantia" w:hAnsi="Constantia"/>
          <w:lang w:val="sr-Latn-CS"/>
        </w:rPr>
        <w:t>Klimatske promjene</w:t>
      </w:r>
    </w:p>
    <w:p w:rsidR="00EA21B3" w:rsidRDefault="00EA21B3" w:rsidP="00276AFC">
      <w:pPr>
        <w:ind w:firstLine="720"/>
        <w:rPr>
          <w:rFonts w:ascii="Constantia" w:hAnsi="Constantia"/>
          <w:lang w:val="sr-Latn-CS"/>
        </w:rPr>
      </w:pPr>
      <w:r w:rsidRPr="00936678">
        <w:rPr>
          <w:rFonts w:ascii="Constantia" w:hAnsi="Constantia"/>
          <w:lang w:val="sr-Latn-CS"/>
        </w:rPr>
        <w:t>Vode</w:t>
      </w:r>
    </w:p>
    <w:p w:rsidR="00EA21B3" w:rsidRDefault="00EA21B3" w:rsidP="00276AFC">
      <w:pPr>
        <w:ind w:firstLine="720"/>
        <w:rPr>
          <w:rFonts w:ascii="Constantia" w:hAnsi="Constantia"/>
          <w:lang w:val="sr-Latn-CS"/>
        </w:rPr>
      </w:pPr>
      <w:r w:rsidRPr="00897A69">
        <w:rPr>
          <w:rFonts w:ascii="Constantia" w:hAnsi="Constantia"/>
          <w:lang w:val="sr-Latn-CS"/>
        </w:rPr>
        <w:t>Zemljište</w:t>
      </w:r>
    </w:p>
    <w:p w:rsidR="00EA21B3" w:rsidRDefault="00EA21B3" w:rsidP="00276AFC">
      <w:pPr>
        <w:ind w:firstLine="720"/>
        <w:rPr>
          <w:rFonts w:ascii="Constantia" w:hAnsi="Constantia"/>
          <w:lang w:val="sr-Latn-CS"/>
        </w:rPr>
      </w:pPr>
      <w:r w:rsidRPr="00897A69">
        <w:rPr>
          <w:rFonts w:ascii="Constantia" w:hAnsi="Constantia"/>
          <w:lang w:val="sr-Latn-CS"/>
        </w:rPr>
        <w:t>Otpad</w:t>
      </w:r>
    </w:p>
    <w:p w:rsidR="00EA21B3" w:rsidRDefault="00EA21B3" w:rsidP="00276AFC">
      <w:pPr>
        <w:ind w:firstLine="720"/>
        <w:rPr>
          <w:rFonts w:ascii="Constantia" w:hAnsi="Constantia"/>
          <w:lang w:val="sr-Latn-CS"/>
        </w:rPr>
      </w:pPr>
      <w:r w:rsidRPr="00897A69">
        <w:rPr>
          <w:rFonts w:ascii="Constantia" w:hAnsi="Constantia"/>
          <w:lang w:val="sr-Latn-CS"/>
        </w:rPr>
        <w:t>Biodiverzitet</w:t>
      </w:r>
    </w:p>
    <w:p w:rsidR="00E25F6D" w:rsidRDefault="00E25F6D" w:rsidP="00276AFC">
      <w:pPr>
        <w:ind w:firstLine="720"/>
        <w:rPr>
          <w:rFonts w:ascii="Constantia" w:hAnsi="Constantia"/>
          <w:lang w:val="sr-Latn-CS"/>
        </w:rPr>
      </w:pPr>
      <w:r>
        <w:rPr>
          <w:rFonts w:ascii="Constantia" w:hAnsi="Constantia"/>
          <w:lang w:val="sr-Latn-CS"/>
        </w:rPr>
        <w:t>Buka u životnoj sredini</w:t>
      </w:r>
    </w:p>
    <w:p w:rsidR="00FB1465" w:rsidRPr="006D7889" w:rsidRDefault="00E25F6D" w:rsidP="00276AFC">
      <w:pPr>
        <w:ind w:firstLine="720"/>
        <w:rPr>
          <w:rFonts w:ascii="Constantia" w:hAnsi="Constantia"/>
          <w:lang w:val="sr-Latn-ME"/>
        </w:rPr>
      </w:pPr>
      <w:r>
        <w:rPr>
          <w:rFonts w:ascii="Constantia" w:hAnsi="Constantia"/>
          <w:lang w:val="sr-Latn-ME"/>
        </w:rPr>
        <w:t xml:space="preserve">Radioaktivnost </w:t>
      </w:r>
      <w:r>
        <w:rPr>
          <w:rFonts w:ascii="Constantia" w:hAnsi="Constantia"/>
          <w:lang w:val="sr-Latn-CS"/>
        </w:rPr>
        <w:t>u životnoj sredini</w:t>
      </w:r>
      <w:r w:rsidR="006D7889">
        <w:rPr>
          <w:rFonts w:ascii="Constantia" w:hAnsi="Constantia"/>
          <w:lang w:val="sr-Latn-ME"/>
        </w:rPr>
        <w:t>;</w:t>
      </w:r>
    </w:p>
    <w:p w:rsidR="00EA21B3" w:rsidRDefault="00EA21B3" w:rsidP="00276AFC">
      <w:pPr>
        <w:spacing w:before="240"/>
        <w:ind w:firstLine="720"/>
        <w:rPr>
          <w:rFonts w:ascii="Constantia" w:hAnsi="Constantia"/>
          <w:lang w:val="sr-Latn-CS"/>
        </w:rPr>
      </w:pPr>
      <w:r w:rsidRPr="00897A69">
        <w:rPr>
          <w:rFonts w:ascii="Constantia" w:hAnsi="Constantia"/>
          <w:lang w:val="sr-Latn-CS"/>
        </w:rPr>
        <w:t>II</w:t>
      </w:r>
      <w:r w:rsidRPr="001D4EFB">
        <w:rPr>
          <w:rFonts w:ascii="Constantia" w:hAnsi="Constantia"/>
          <w:lang w:val="sr-Latn-CS"/>
        </w:rPr>
        <w:t>)</w:t>
      </w:r>
      <w:r w:rsidRPr="00897A69">
        <w:rPr>
          <w:rFonts w:ascii="Constantia" w:hAnsi="Constantia"/>
          <w:lang w:val="sr-Latn-CS"/>
        </w:rPr>
        <w:t xml:space="preserve"> Prijedlog mjera u cilju poboljšanja postojećeg </w:t>
      </w:r>
      <w:r w:rsidRPr="00936678">
        <w:rPr>
          <w:rFonts w:ascii="Constantia" w:hAnsi="Constantia"/>
          <w:lang w:val="sr-Latn-CS"/>
        </w:rPr>
        <w:t xml:space="preserve">stanja </w:t>
      </w:r>
      <w:r w:rsidR="006D7889">
        <w:rPr>
          <w:rFonts w:ascii="Constantia" w:hAnsi="Constantia"/>
          <w:lang w:val="sr-Latn-CS"/>
        </w:rPr>
        <w:t>životne sredine;</w:t>
      </w:r>
    </w:p>
    <w:p w:rsidR="00EA21B3" w:rsidRDefault="00EA21B3" w:rsidP="00276AFC">
      <w:pPr>
        <w:ind w:firstLine="720"/>
        <w:rPr>
          <w:rFonts w:ascii="Constantia" w:hAnsi="Constantia"/>
          <w:lang w:val="sr-Latn-CS"/>
        </w:rPr>
      </w:pPr>
      <w:r w:rsidRPr="00936678">
        <w:rPr>
          <w:rFonts w:ascii="Constantia" w:hAnsi="Constantia"/>
          <w:lang w:val="sr-Latn-CS"/>
        </w:rPr>
        <w:t>III</w:t>
      </w:r>
      <w:r w:rsidRPr="001D4EFB">
        <w:rPr>
          <w:rFonts w:ascii="Constantia" w:hAnsi="Constantia"/>
          <w:lang w:val="sr-Latn-CS"/>
        </w:rPr>
        <w:t>)</w:t>
      </w:r>
      <w:r w:rsidRPr="00936678">
        <w:rPr>
          <w:rFonts w:ascii="Constantia" w:hAnsi="Constantia"/>
          <w:lang w:val="sr-Latn-CS"/>
        </w:rPr>
        <w:t xml:space="preserve"> Sektorski pritisci </w:t>
      </w:r>
      <w:r w:rsidRPr="001D4EFB">
        <w:rPr>
          <w:rFonts w:ascii="Constantia" w:hAnsi="Constantia"/>
          <w:lang w:val="sr-Latn-CS"/>
        </w:rPr>
        <w:t>na životnu sredinu</w:t>
      </w:r>
      <w:r w:rsidR="00B17657">
        <w:rPr>
          <w:rFonts w:ascii="Constantia" w:hAnsi="Constantia"/>
          <w:lang w:val="sr-Latn-CS"/>
        </w:rPr>
        <w:t>.</w:t>
      </w:r>
    </w:p>
    <w:p w:rsidR="00EA21B3" w:rsidRDefault="00EA21B3" w:rsidP="00EA21B3">
      <w:pPr>
        <w:spacing w:after="0"/>
        <w:jc w:val="left"/>
        <w:rPr>
          <w:rFonts w:ascii="Constantia" w:hAnsi="Constantia"/>
          <w:lang w:val="sr-Latn-CS"/>
        </w:rPr>
      </w:pPr>
      <w:r>
        <w:rPr>
          <w:rFonts w:ascii="Constantia" w:hAnsi="Constantia"/>
          <w:lang w:val="sr-Latn-CS"/>
        </w:rPr>
        <w:br w:type="page"/>
      </w:r>
    </w:p>
    <w:p w:rsidR="00EA21B3" w:rsidRDefault="00EA21B3" w:rsidP="00276AFC">
      <w:pPr>
        <w:rPr>
          <w:rFonts w:ascii="Constantia" w:hAnsi="Constantia"/>
          <w:lang w:val="sr-Latn-CS"/>
        </w:rPr>
      </w:pPr>
      <w:r w:rsidRPr="00897A69">
        <w:rPr>
          <w:rFonts w:ascii="Constantia" w:hAnsi="Constantia"/>
          <w:b/>
          <w:lang w:val="sr-Latn-CS"/>
        </w:rPr>
        <w:lastRenderedPageBreak/>
        <w:t>I</w:t>
      </w:r>
      <w:r w:rsidRPr="001D4EFB">
        <w:rPr>
          <w:rFonts w:ascii="Constantia" w:hAnsi="Constantia"/>
          <w:b/>
          <w:lang w:val="sr-Latn-CS"/>
        </w:rPr>
        <w:t>)</w:t>
      </w:r>
      <w:r w:rsidRPr="00897A69">
        <w:rPr>
          <w:rFonts w:ascii="Constantia" w:hAnsi="Constantia"/>
          <w:b/>
          <w:lang w:val="sr-Latn-CS"/>
        </w:rPr>
        <w:t xml:space="preserve"> Prikaz stanja životne sredine po segmentima </w:t>
      </w:r>
    </w:p>
    <w:p w:rsidR="00FB1465" w:rsidRDefault="00EA21B3" w:rsidP="00980C28">
      <w:pPr>
        <w:rPr>
          <w:rFonts w:ascii="Constantia" w:hAnsi="Constantia"/>
          <w:lang w:val="sr-Latn-CS"/>
        </w:rPr>
      </w:pPr>
      <w:r w:rsidRPr="00897A69">
        <w:rPr>
          <w:rFonts w:ascii="Constantia" w:hAnsi="Constantia"/>
          <w:lang w:val="sr-Latn-CS"/>
        </w:rPr>
        <w:t>Prikaz stanja životne sredine po segmentima daje opis i ocjenu stanja pojedinih s</w:t>
      </w:r>
      <w:r w:rsidR="00993DB9">
        <w:rPr>
          <w:rFonts w:ascii="Constantia" w:hAnsi="Constantia"/>
          <w:lang w:val="sr-Latn-CS"/>
        </w:rPr>
        <w:t>egmenata životne sredine za 2013</w:t>
      </w:r>
      <w:r w:rsidRPr="00897A69">
        <w:rPr>
          <w:rFonts w:ascii="Constantia" w:hAnsi="Constantia"/>
          <w:lang w:val="sr-Latn-CS"/>
        </w:rPr>
        <w:t>. godinu, na osnovu detaljne analize rezultata ispitivanja i dostupnih podataka. Posebna pažnja posvećena je podacima koji upućuju na prekoračenje zakonom propisanih graničnih vrijednosti, jer su te vrijednosti osnov za analizu i pronalaženje uzroka zagađenja i prijedloga mjera za poboljšanje postojećeg stanja.</w:t>
      </w:r>
    </w:p>
    <w:p w:rsidR="00EA21B3" w:rsidRDefault="00EA21B3" w:rsidP="00276AFC">
      <w:pPr>
        <w:ind w:firstLine="720"/>
        <w:rPr>
          <w:rFonts w:ascii="Constantia" w:hAnsi="Constantia"/>
          <w:lang w:val="sr-Latn-CS"/>
        </w:rPr>
      </w:pPr>
    </w:p>
    <w:p w:rsidR="00EA21B3" w:rsidRDefault="00EA21B3" w:rsidP="00276AFC">
      <w:pPr>
        <w:rPr>
          <w:rFonts w:ascii="Constantia" w:hAnsi="Constantia"/>
          <w:lang w:val="sr-Latn-CS"/>
        </w:rPr>
      </w:pPr>
      <w:r w:rsidRPr="00897A69">
        <w:rPr>
          <w:rFonts w:ascii="Constantia" w:hAnsi="Constantia"/>
          <w:b/>
          <w:lang w:val="sr-Latn-CS"/>
        </w:rPr>
        <w:t>II</w:t>
      </w:r>
      <w:r w:rsidRPr="001D4EFB">
        <w:rPr>
          <w:rFonts w:ascii="Constantia" w:hAnsi="Constantia"/>
          <w:b/>
          <w:lang w:val="sr-Latn-CS"/>
        </w:rPr>
        <w:t>)</w:t>
      </w:r>
      <w:r w:rsidRPr="00897A69">
        <w:rPr>
          <w:rFonts w:ascii="Constantia" w:hAnsi="Constantia"/>
          <w:b/>
          <w:lang w:val="sr-Latn-CS"/>
        </w:rPr>
        <w:t xml:space="preserve"> Prijedlog mjera u cilju poboljšanja postojećeg stanja</w:t>
      </w:r>
      <w:r w:rsidRPr="001D4EFB">
        <w:rPr>
          <w:rFonts w:ascii="Constantia" w:hAnsi="Constantia"/>
          <w:b/>
          <w:lang w:val="sr-Latn-CS"/>
        </w:rPr>
        <w:t xml:space="preserve"> životne sredine</w:t>
      </w:r>
    </w:p>
    <w:p w:rsidR="00EA21B3" w:rsidRDefault="00EA21B3" w:rsidP="00980C28">
      <w:pPr>
        <w:rPr>
          <w:rFonts w:ascii="Constantia" w:hAnsi="Constantia"/>
          <w:lang w:val="sr-Latn-CS"/>
        </w:rPr>
      </w:pPr>
      <w:r w:rsidRPr="00936678">
        <w:rPr>
          <w:rFonts w:ascii="Constantia" w:hAnsi="Constantia"/>
          <w:lang w:val="sr-Latn-CS"/>
        </w:rPr>
        <w:t>Prijedlog mjera u cilju poboljšanja postojećeg stanja definiše aktivnosti koje bi trebalo sprovesti u cilju rješavanja identifikovanih problema i poboljšanja postojećeg stanja životne sredine u Crnoj Gori.</w:t>
      </w:r>
    </w:p>
    <w:p w:rsidR="00FB1465" w:rsidRDefault="00FB1465" w:rsidP="00276AFC">
      <w:pPr>
        <w:ind w:firstLine="720"/>
        <w:rPr>
          <w:rFonts w:ascii="Constantia" w:hAnsi="Constantia"/>
          <w:lang w:val="sr-Latn-CS"/>
        </w:rPr>
      </w:pPr>
    </w:p>
    <w:p w:rsidR="00EA21B3" w:rsidRDefault="00EA21B3" w:rsidP="00276AFC">
      <w:pPr>
        <w:rPr>
          <w:rFonts w:ascii="Constantia" w:hAnsi="Constantia"/>
          <w:b/>
          <w:lang w:val="sr-Latn-CS"/>
        </w:rPr>
      </w:pPr>
      <w:r w:rsidRPr="00936678">
        <w:rPr>
          <w:rFonts w:ascii="Constantia" w:hAnsi="Constantia"/>
          <w:b/>
          <w:lang w:val="sr-Latn-CS"/>
        </w:rPr>
        <w:t>III</w:t>
      </w:r>
      <w:r w:rsidRPr="001D4EFB">
        <w:rPr>
          <w:rFonts w:ascii="Constantia" w:hAnsi="Constantia"/>
          <w:b/>
          <w:lang w:val="sr-Latn-CS"/>
        </w:rPr>
        <w:t>)</w:t>
      </w:r>
      <w:r w:rsidRPr="00936678">
        <w:rPr>
          <w:rFonts w:ascii="Constantia" w:hAnsi="Constantia"/>
          <w:b/>
          <w:lang w:val="sr-Latn-CS"/>
        </w:rPr>
        <w:t xml:space="preserve"> Sektorski pritisci </w:t>
      </w:r>
      <w:r w:rsidRPr="001D4EFB">
        <w:rPr>
          <w:rFonts w:ascii="Constantia" w:hAnsi="Constantia"/>
          <w:b/>
          <w:lang w:val="sr-Latn-CS"/>
        </w:rPr>
        <w:t>na životnu sredinu</w:t>
      </w:r>
    </w:p>
    <w:p w:rsidR="00EA21B3" w:rsidRDefault="00EA21B3" w:rsidP="00980C28">
      <w:pPr>
        <w:rPr>
          <w:rFonts w:ascii="Constantia" w:hAnsi="Constantia"/>
          <w:lang w:val="sr-Latn-CS"/>
        </w:rPr>
      </w:pPr>
      <w:r w:rsidRPr="00936678">
        <w:rPr>
          <w:rFonts w:ascii="Constantia" w:hAnsi="Constantia"/>
          <w:lang w:val="sr-Latn-CS"/>
        </w:rPr>
        <w:t>Antropogene aktivnosti koje se svakodnevno sprovode imaju različite efekte na životnu sredinu. Korišćenje prostora i njegovo modifikovanje za potrebe stanovništva, pored uticaja na prirodnu ravnotežu, djeluju i na ljudsko zdravlje. Da bi se ovi uticaji mogli procijeniti i njihove posledice predvidjeti, moraju se izdvojiti i identifikovati sektori koji vrše konstantan pritisak na životnu sredinu. Neki od ovih sektora</w:t>
      </w:r>
      <w:r w:rsidRPr="001D4EFB">
        <w:rPr>
          <w:rFonts w:ascii="Constantia" w:hAnsi="Constantia"/>
          <w:lang w:val="sr-Latn-CS"/>
        </w:rPr>
        <w:t>,</w:t>
      </w:r>
      <w:r w:rsidRPr="00936678">
        <w:rPr>
          <w:rFonts w:ascii="Constantia" w:hAnsi="Constantia"/>
          <w:lang w:val="sr-Latn-CS"/>
        </w:rPr>
        <w:t xml:space="preserve"> kao što su energetika, saobraćaj i industrija, vrše direktan pritisak na prirodu, dok </w:t>
      </w:r>
      <w:r w:rsidR="007E7B64">
        <w:rPr>
          <w:rFonts w:ascii="Constantia" w:hAnsi="Constantia"/>
          <w:lang w:val="sr-Latn-CS"/>
        </w:rPr>
        <w:t xml:space="preserve">su </w:t>
      </w:r>
      <w:r w:rsidRPr="00936678">
        <w:rPr>
          <w:rFonts w:ascii="Constantia" w:hAnsi="Constantia"/>
          <w:lang w:val="sr-Latn-CS"/>
        </w:rPr>
        <w:t xml:space="preserve">drugi, kao što su poljoprivreda, šumarstvo ili ribarstvo u drugačijoj poziciji, jer direktno zavise od stanja životne sredine. </w:t>
      </w:r>
    </w:p>
    <w:p w:rsidR="00EA21B3" w:rsidRDefault="00EA21B3" w:rsidP="00980C28">
      <w:pPr>
        <w:rPr>
          <w:rFonts w:ascii="Constantia" w:hAnsi="Constantia"/>
          <w:lang w:val="sr-Latn-CS"/>
        </w:rPr>
      </w:pPr>
      <w:r w:rsidRPr="00936678">
        <w:rPr>
          <w:rFonts w:ascii="Constantia" w:hAnsi="Constantia"/>
          <w:lang w:val="sr-Latn-CS"/>
        </w:rPr>
        <w:t xml:space="preserve">Shodno metodologiji izrade indikatora životne sredine (DPSIR </w:t>
      </w:r>
      <w:r w:rsidRPr="00897A69">
        <w:rPr>
          <w:rFonts w:ascii="Constantia" w:hAnsi="Constantia"/>
          <w:lang w:val="sr-Latn-CS"/>
        </w:rPr>
        <w:t>model)</w:t>
      </w:r>
      <w:r w:rsidR="0001182D">
        <w:rPr>
          <w:rFonts w:ascii="Constantia" w:hAnsi="Constantia"/>
          <w:lang w:val="sr-Latn-CS"/>
        </w:rPr>
        <w:t>,</w:t>
      </w:r>
      <w:r w:rsidRPr="00897A69">
        <w:rPr>
          <w:rFonts w:ascii="Constantia" w:hAnsi="Constantia"/>
          <w:lang w:val="sr-Latn-CS"/>
        </w:rPr>
        <w:t xml:space="preserve"> u okviru ovog izvještaja </w:t>
      </w:r>
      <w:r w:rsidRPr="00936678">
        <w:rPr>
          <w:rFonts w:ascii="Constantia" w:hAnsi="Constantia"/>
          <w:lang w:val="sr-Latn-CS"/>
        </w:rPr>
        <w:t>ukaz</w:t>
      </w:r>
      <w:r w:rsidRPr="001D4EFB">
        <w:rPr>
          <w:rFonts w:ascii="Constantia" w:hAnsi="Constantia"/>
          <w:lang w:val="sr-Latn-CS"/>
        </w:rPr>
        <w:t xml:space="preserve">ano je </w:t>
      </w:r>
      <w:r w:rsidRPr="00936678">
        <w:rPr>
          <w:rFonts w:ascii="Constantia" w:hAnsi="Constantia"/>
          <w:lang w:val="sr-Latn-CS"/>
        </w:rPr>
        <w:t xml:space="preserve">na </w:t>
      </w:r>
      <w:r w:rsidRPr="00897A69">
        <w:rPr>
          <w:rFonts w:ascii="Constantia" w:hAnsi="Constantia"/>
          <w:lang w:val="sr-Latn-CS"/>
        </w:rPr>
        <w:t xml:space="preserve">neke indikatore sektorskih pritisaka na životnu sredinu iz oblasti </w:t>
      </w:r>
      <w:r w:rsidRPr="001D4EFB">
        <w:rPr>
          <w:rFonts w:ascii="Constantia" w:hAnsi="Constantia"/>
          <w:lang w:val="sr-Latn-CS"/>
        </w:rPr>
        <w:t>energetike, saobraćaja i turizma</w:t>
      </w:r>
      <w:r w:rsidRPr="00897A69">
        <w:rPr>
          <w:rFonts w:ascii="Constantia" w:hAnsi="Constantia"/>
          <w:lang w:val="sr-Latn-CS"/>
        </w:rPr>
        <w:t>.</w:t>
      </w:r>
    </w:p>
    <w:p w:rsidR="00EA21B3" w:rsidRDefault="00EA21B3" w:rsidP="00EA21B3">
      <w:pPr>
        <w:spacing w:line="276" w:lineRule="auto"/>
        <w:ind w:firstLine="720"/>
        <w:rPr>
          <w:rFonts w:ascii="Constantia" w:hAnsi="Constantia"/>
          <w:lang w:val="sr-Latn-CS"/>
        </w:rPr>
      </w:pPr>
    </w:p>
    <w:p w:rsidR="00EA21B3" w:rsidRDefault="00EA21B3" w:rsidP="00EF4E76">
      <w:pPr>
        <w:pStyle w:val="ListParagraph"/>
        <w:spacing w:after="40"/>
        <w:ind w:left="0"/>
        <w:jc w:val="center"/>
        <w:rPr>
          <w:rFonts w:ascii="Constantia" w:hAnsi="Constantia"/>
          <w:sz w:val="24"/>
          <w:lang w:val="sr-Latn-CS"/>
        </w:rPr>
      </w:pPr>
      <w:r>
        <w:rPr>
          <w:rFonts w:ascii="Constantia" w:hAnsi="Constantia"/>
          <w:sz w:val="24"/>
          <w:lang w:val="sr-Latn-CS"/>
        </w:rPr>
        <w:t>*</w:t>
      </w:r>
      <w:r>
        <w:rPr>
          <w:rFonts w:ascii="Constantia" w:hAnsi="Constantia"/>
          <w:sz w:val="24"/>
          <w:lang w:val="sr-Latn-CS"/>
        </w:rPr>
        <w:tab/>
        <w:t>*</w:t>
      </w:r>
      <w:r>
        <w:rPr>
          <w:rFonts w:ascii="Constantia" w:hAnsi="Constantia"/>
          <w:sz w:val="24"/>
          <w:lang w:val="sr-Latn-CS"/>
        </w:rPr>
        <w:tab/>
        <w:t>*</w:t>
      </w:r>
    </w:p>
    <w:p w:rsidR="00EA21B3" w:rsidRPr="005E4028" w:rsidRDefault="00EA21B3" w:rsidP="00EA21B3">
      <w:pPr>
        <w:spacing w:after="40"/>
        <w:jc w:val="center"/>
        <w:rPr>
          <w:rFonts w:ascii="Constantia" w:hAnsi="Constantia"/>
          <w:lang w:val="sr-Latn-CS"/>
        </w:rPr>
      </w:pPr>
    </w:p>
    <w:p w:rsidR="007F4CD4" w:rsidRPr="007F4CD4" w:rsidRDefault="002E4FA3" w:rsidP="00D44BE8">
      <w:pPr>
        <w:pStyle w:val="Heading1"/>
      </w:pPr>
      <w:bookmarkStart w:id="3" w:name="_Toc393897851"/>
      <w:r>
        <w:lastRenderedPageBreak/>
        <w:t>V</w:t>
      </w:r>
      <w:r w:rsidR="00FB6BB3">
        <w:t>AZDUH</w:t>
      </w:r>
      <w:bookmarkEnd w:id="3"/>
    </w:p>
    <w:p w:rsidR="002E4FA3" w:rsidRPr="00134093" w:rsidRDefault="002E4FA3" w:rsidP="007468D3">
      <w:pPr>
        <w:pStyle w:val="Heading3"/>
      </w:pPr>
      <w:bookmarkStart w:id="4" w:name="_Toc393897852"/>
      <w:r w:rsidRPr="007468D3">
        <w:t>U</w:t>
      </w:r>
      <w:r w:rsidR="00961619" w:rsidRPr="007468D3">
        <w:t>vod</w:t>
      </w:r>
      <w:bookmarkEnd w:id="4"/>
    </w:p>
    <w:p w:rsidR="007701A6" w:rsidRPr="00095632" w:rsidRDefault="00F07746" w:rsidP="00276AFC">
      <w:pPr>
        <w:spacing w:after="200"/>
        <w:rPr>
          <w:rFonts w:ascii="Constantia" w:hAnsi="Constantia"/>
        </w:rPr>
      </w:pPr>
      <w:r w:rsidRPr="00095632">
        <w:rPr>
          <w:rFonts w:ascii="Constantia" w:hAnsi="Constantia"/>
          <w:lang w:val="sr-Latn-CS"/>
        </w:rPr>
        <w:t xml:space="preserve">U skladu sa </w:t>
      </w:r>
      <w:r w:rsidR="00DB2C11" w:rsidRPr="00095632">
        <w:rPr>
          <w:rFonts w:ascii="Constantia" w:hAnsi="Constantia"/>
          <w:lang w:val="sr-Latn-CS"/>
        </w:rPr>
        <w:t>čl</w:t>
      </w:r>
      <w:r w:rsidR="005A24CE">
        <w:rPr>
          <w:rFonts w:ascii="Constantia" w:hAnsi="Constantia"/>
          <w:lang w:val="sr-Latn-CS"/>
        </w:rPr>
        <w:t>a</w:t>
      </w:r>
      <w:r w:rsidR="00DB2C11" w:rsidRPr="00095632">
        <w:rPr>
          <w:rFonts w:ascii="Constantia" w:hAnsi="Constantia"/>
          <w:lang w:val="sr-Latn-CS"/>
        </w:rPr>
        <w:t>nom 19 Zakona</w:t>
      </w:r>
      <w:r w:rsidR="00087C36" w:rsidRPr="00095632">
        <w:rPr>
          <w:rFonts w:ascii="Constantia" w:hAnsi="Constantia"/>
          <w:lang w:val="sr-Latn-CS"/>
        </w:rPr>
        <w:t xml:space="preserve"> o zaštiti vazduha („Sl.</w:t>
      </w:r>
      <w:r w:rsidR="00372309">
        <w:rPr>
          <w:rFonts w:ascii="Constantia" w:hAnsi="Constantia"/>
          <w:lang w:val="sr-Latn-CS"/>
        </w:rPr>
        <w:t xml:space="preserve"> </w:t>
      </w:r>
      <w:r w:rsidR="00087C36" w:rsidRPr="00095632">
        <w:rPr>
          <w:rFonts w:ascii="Constantia" w:hAnsi="Constantia"/>
          <w:lang w:val="sr-Latn-CS"/>
        </w:rPr>
        <w:t>list CG“, br.</w:t>
      </w:r>
      <w:r w:rsidR="00372309">
        <w:rPr>
          <w:rFonts w:ascii="Constantia" w:hAnsi="Constantia"/>
          <w:lang w:val="sr-Latn-CS"/>
        </w:rPr>
        <w:t xml:space="preserve"> </w:t>
      </w:r>
      <w:r w:rsidR="00087C36" w:rsidRPr="00095632">
        <w:rPr>
          <w:rFonts w:ascii="Constantia" w:hAnsi="Constantia"/>
          <w:lang w:val="sr-Latn-CS"/>
        </w:rPr>
        <w:t xml:space="preserve">25/10) Vlada je </w:t>
      </w:r>
      <w:r w:rsidR="006749F2" w:rsidRPr="00095632">
        <w:rPr>
          <w:rFonts w:ascii="Constantia" w:hAnsi="Constantia"/>
          <w:lang w:val="sr-Latn-CS"/>
        </w:rPr>
        <w:t xml:space="preserve">u februaru 2013. godine </w:t>
      </w:r>
      <w:r w:rsidR="00087C36" w:rsidRPr="00095632">
        <w:rPr>
          <w:rFonts w:ascii="Constantia" w:hAnsi="Constantia"/>
          <w:lang w:val="sr-Latn-CS"/>
        </w:rPr>
        <w:t xml:space="preserve">donijela </w:t>
      </w:r>
      <w:r w:rsidR="00DB2C11" w:rsidRPr="00095632">
        <w:rPr>
          <w:rFonts w:ascii="Constantia" w:hAnsi="Constantia"/>
          <w:lang w:val="sr-Latn-CS"/>
        </w:rPr>
        <w:t>Nacionalnu strategiju upravljanja kvalitetom vazduha sa Akcionim planom za period 2013-2016. godine</w:t>
      </w:r>
      <w:r w:rsidR="00993D1C" w:rsidRPr="00095632">
        <w:rPr>
          <w:rFonts w:ascii="Constantia" w:hAnsi="Constantia"/>
          <w:lang w:val="sr-Latn-CS"/>
        </w:rPr>
        <w:t xml:space="preserve">. </w:t>
      </w:r>
      <w:r w:rsidR="00DB2C11" w:rsidRPr="00095632">
        <w:rPr>
          <w:rFonts w:ascii="Constantia" w:hAnsi="Constantia"/>
          <w:lang w:val="sr-Latn-CS"/>
        </w:rPr>
        <w:t>Cilj donošenja Strategije je očuvanje i poboljšanje kvalitet</w:t>
      </w:r>
      <w:r w:rsidR="001B2839" w:rsidRPr="00095632">
        <w:rPr>
          <w:rFonts w:ascii="Constantia" w:hAnsi="Constantia"/>
          <w:lang w:val="sr-Latn-CS"/>
        </w:rPr>
        <w:t>a vazduha i izbjegavanje</w:t>
      </w:r>
      <w:r w:rsidR="00DB2C11" w:rsidRPr="00095632">
        <w:rPr>
          <w:rFonts w:ascii="Constantia" w:hAnsi="Constantia"/>
          <w:lang w:val="sr-Latn-CS"/>
        </w:rPr>
        <w:t>, spriječavanj</w:t>
      </w:r>
      <w:r w:rsidR="001B2839" w:rsidRPr="00095632">
        <w:rPr>
          <w:rFonts w:ascii="Constantia" w:hAnsi="Constantia"/>
          <w:lang w:val="sr-Latn-CS"/>
        </w:rPr>
        <w:t>e</w:t>
      </w:r>
      <w:r w:rsidR="00DB2C11" w:rsidRPr="00095632">
        <w:rPr>
          <w:rFonts w:ascii="Constantia" w:hAnsi="Constantia"/>
          <w:lang w:val="sr-Latn-CS"/>
        </w:rPr>
        <w:t xml:space="preserve"> ili smanjenj</w:t>
      </w:r>
      <w:r w:rsidR="001B2839" w:rsidRPr="00095632">
        <w:rPr>
          <w:rFonts w:ascii="Constantia" w:hAnsi="Constantia"/>
          <w:lang w:val="sr-Latn-CS"/>
        </w:rPr>
        <w:t>e</w:t>
      </w:r>
      <w:r w:rsidR="005270CC">
        <w:rPr>
          <w:rFonts w:ascii="Constantia" w:hAnsi="Constantia"/>
          <w:lang w:val="sr-Latn-CS"/>
        </w:rPr>
        <w:t xml:space="preserve"> štetnih posl</w:t>
      </w:r>
      <w:r w:rsidR="00DB2C11" w:rsidRPr="00095632">
        <w:rPr>
          <w:rFonts w:ascii="Constantia" w:hAnsi="Constantia"/>
          <w:lang w:val="sr-Latn-CS"/>
        </w:rPr>
        <w:t>edica po zdravlje ljudi i/ili životnu sredinu</w:t>
      </w:r>
      <w:r w:rsidR="00BF2D6F" w:rsidRPr="00095632">
        <w:rPr>
          <w:rFonts w:ascii="Constantia" w:hAnsi="Constantia"/>
          <w:lang w:val="sr-Latn-CS"/>
        </w:rPr>
        <w:t xml:space="preserve">, što se očekuje realizacijom </w:t>
      </w:r>
      <w:r w:rsidR="00D67D79" w:rsidRPr="00095632">
        <w:rPr>
          <w:rFonts w:ascii="Constantia" w:hAnsi="Constantia"/>
          <w:lang w:val="sr-Latn-CS"/>
        </w:rPr>
        <w:t xml:space="preserve">definisanih </w:t>
      </w:r>
      <w:r w:rsidR="00BF2D6F" w:rsidRPr="00095632">
        <w:rPr>
          <w:rFonts w:ascii="Constantia" w:hAnsi="Constantia"/>
          <w:lang w:val="sr-Latn-CS"/>
        </w:rPr>
        <w:t>mjera iz Akcionog plana.</w:t>
      </w:r>
    </w:p>
    <w:p w:rsidR="00866053" w:rsidRPr="00095632" w:rsidRDefault="005D737D" w:rsidP="00276AFC">
      <w:pPr>
        <w:spacing w:after="200"/>
        <w:rPr>
          <w:rFonts w:ascii="Constantia" w:hAnsi="Constantia"/>
          <w:lang w:val="sr-Latn-CS"/>
        </w:rPr>
      </w:pPr>
      <w:r w:rsidRPr="00095632">
        <w:rPr>
          <w:rFonts w:ascii="Constantia" w:hAnsi="Constantia"/>
          <w:lang w:val="sr-Latn-CS"/>
        </w:rPr>
        <w:t xml:space="preserve">Na osnovu analize informacija o stepenu implementacije mjera iz Akcionog plana, </w:t>
      </w:r>
      <w:r w:rsidR="005F2A12" w:rsidRPr="00095632">
        <w:rPr>
          <w:rFonts w:ascii="Constantia" w:hAnsi="Constantia"/>
          <w:lang w:val="sr-Latn-CS"/>
        </w:rPr>
        <w:t xml:space="preserve">Vlada je početkom 2014. </w:t>
      </w:r>
      <w:r w:rsidR="00372309">
        <w:rPr>
          <w:rFonts w:ascii="Constantia" w:hAnsi="Constantia"/>
          <w:lang w:val="sr-Latn-CS"/>
        </w:rPr>
        <w:t>g</w:t>
      </w:r>
      <w:r w:rsidR="005F2A12" w:rsidRPr="00095632">
        <w:rPr>
          <w:rFonts w:ascii="Constantia" w:hAnsi="Constantia"/>
          <w:lang w:val="sr-Latn-CS"/>
        </w:rPr>
        <w:t>odine</w:t>
      </w:r>
      <w:r w:rsidR="00372309">
        <w:rPr>
          <w:rFonts w:ascii="Constantia" w:hAnsi="Constantia"/>
          <w:lang w:val="sr-Latn-CS"/>
        </w:rPr>
        <w:t xml:space="preserve"> </w:t>
      </w:r>
      <w:r w:rsidR="005F2A12" w:rsidRPr="00095632">
        <w:rPr>
          <w:rFonts w:ascii="Constantia" w:hAnsi="Constantia"/>
          <w:lang w:val="sr-Latn-CS"/>
        </w:rPr>
        <w:t xml:space="preserve">usvojila </w:t>
      </w:r>
      <w:r w:rsidR="007701A6" w:rsidRPr="00095632">
        <w:rPr>
          <w:rFonts w:ascii="Constantia" w:hAnsi="Constantia"/>
          <w:lang w:val="sr-Latn-CS"/>
        </w:rPr>
        <w:t xml:space="preserve">Izvještaj o sprovođenju Nacionalne strategije upravljanja kvalitetom vazduha za 2013. </w:t>
      </w:r>
      <w:r w:rsidR="005F2A12" w:rsidRPr="00095632">
        <w:rPr>
          <w:rFonts w:ascii="Constantia" w:hAnsi="Constantia"/>
          <w:lang w:val="sr-Latn-CS"/>
        </w:rPr>
        <w:t>g</w:t>
      </w:r>
      <w:r w:rsidR="007701A6" w:rsidRPr="00095632">
        <w:rPr>
          <w:rFonts w:ascii="Constantia" w:hAnsi="Constantia"/>
          <w:lang w:val="sr-Latn-CS"/>
        </w:rPr>
        <w:t>odinu</w:t>
      </w:r>
      <w:r w:rsidR="005F2A12" w:rsidRPr="00095632">
        <w:rPr>
          <w:rFonts w:ascii="Constantia" w:hAnsi="Constantia"/>
          <w:lang w:val="sr-Latn-CS"/>
        </w:rPr>
        <w:t>.</w:t>
      </w:r>
    </w:p>
    <w:p w:rsidR="001F5AD1" w:rsidRPr="00095632" w:rsidRDefault="005D737D" w:rsidP="00276AFC">
      <w:pPr>
        <w:spacing w:after="200"/>
        <w:rPr>
          <w:rFonts w:ascii="Constantia" w:hAnsi="Constantia"/>
          <w:lang w:val="sr-Latn-CS"/>
        </w:rPr>
      </w:pPr>
      <w:r w:rsidRPr="00095632">
        <w:rPr>
          <w:rFonts w:ascii="Constantia" w:hAnsi="Constantia"/>
          <w:lang w:val="sr-Latn-CS"/>
        </w:rPr>
        <w:t>Ministarstvo održivog razvoja i turizma je</w:t>
      </w:r>
      <w:r w:rsidR="000958E4">
        <w:rPr>
          <w:rFonts w:ascii="Constantia" w:hAnsi="Constantia"/>
          <w:lang w:val="sr-Latn-CS"/>
        </w:rPr>
        <w:t>,</w:t>
      </w:r>
      <w:r w:rsidR="009269E9">
        <w:rPr>
          <w:rFonts w:ascii="Constantia" w:hAnsi="Constantia"/>
          <w:lang w:val="sr-Latn-CS"/>
        </w:rPr>
        <w:t xml:space="preserve"> </w:t>
      </w:r>
      <w:r w:rsidR="000804AB" w:rsidRPr="00095632">
        <w:rPr>
          <w:rFonts w:ascii="Constantia" w:hAnsi="Constantia"/>
          <w:lang w:val="sr-Latn-CS"/>
        </w:rPr>
        <w:t>u saradnji</w:t>
      </w:r>
      <w:r w:rsidR="00B75A49" w:rsidRPr="00095632">
        <w:rPr>
          <w:rFonts w:ascii="Constantia" w:hAnsi="Constantia"/>
          <w:lang w:val="sr-Latn-CS"/>
        </w:rPr>
        <w:t xml:space="preserve"> sa Agencijom</w:t>
      </w:r>
      <w:r w:rsidR="003524EB" w:rsidRPr="00095632">
        <w:rPr>
          <w:rFonts w:ascii="Constantia" w:hAnsi="Constantia"/>
          <w:lang w:val="sr-Latn-CS"/>
        </w:rPr>
        <w:t xml:space="preserve"> za zaštitu životne sredine</w:t>
      </w:r>
      <w:r w:rsidR="00B75A49" w:rsidRPr="00095632">
        <w:rPr>
          <w:rFonts w:ascii="Constantia" w:hAnsi="Constantia"/>
          <w:lang w:val="sr-Latn-CS"/>
        </w:rPr>
        <w:t xml:space="preserve"> i organima lokalnih</w:t>
      </w:r>
      <w:r w:rsidR="000804AB" w:rsidRPr="00095632">
        <w:rPr>
          <w:rFonts w:ascii="Constantia" w:hAnsi="Constantia"/>
          <w:lang w:val="sr-Latn-CS"/>
        </w:rPr>
        <w:t xml:space="preserve"> uprav</w:t>
      </w:r>
      <w:r w:rsidR="00B75A49" w:rsidRPr="00095632">
        <w:rPr>
          <w:rFonts w:ascii="Constantia" w:hAnsi="Constantia"/>
          <w:lang w:val="sr-Latn-CS"/>
        </w:rPr>
        <w:t>a</w:t>
      </w:r>
      <w:r w:rsidR="000958E4">
        <w:rPr>
          <w:rFonts w:ascii="Constantia" w:hAnsi="Constantia"/>
          <w:lang w:val="sr-Latn-CS"/>
        </w:rPr>
        <w:t>,</w:t>
      </w:r>
      <w:r w:rsidR="00B75A49" w:rsidRPr="00095632">
        <w:rPr>
          <w:rFonts w:ascii="Constantia" w:hAnsi="Constantia"/>
          <w:lang w:val="sr-Latn-CS"/>
        </w:rPr>
        <w:t xml:space="preserve"> u februaru 2013. godine donijelo Plan kvaliteta vazduha za Opštinu Pljevlja, a</w:t>
      </w:r>
      <w:r w:rsidR="000804AB" w:rsidRPr="00095632">
        <w:rPr>
          <w:rFonts w:ascii="Constantia" w:hAnsi="Constantia"/>
          <w:lang w:val="sr-Latn-CS"/>
        </w:rPr>
        <w:t xml:space="preserve"> u martu 2014. </w:t>
      </w:r>
      <w:r w:rsidR="009269E9" w:rsidRPr="00095632">
        <w:rPr>
          <w:rFonts w:ascii="Constantia" w:hAnsi="Constantia"/>
          <w:lang w:val="sr-Latn-CS"/>
        </w:rPr>
        <w:t>G</w:t>
      </w:r>
      <w:r w:rsidR="000804AB" w:rsidRPr="00095632">
        <w:rPr>
          <w:rFonts w:ascii="Constantia" w:hAnsi="Constantia"/>
          <w:lang w:val="sr-Latn-CS"/>
        </w:rPr>
        <w:t>odine</w:t>
      </w:r>
      <w:r w:rsidR="009269E9">
        <w:rPr>
          <w:rFonts w:ascii="Constantia" w:hAnsi="Constantia"/>
          <w:lang w:val="sr-Latn-CS"/>
        </w:rPr>
        <w:t xml:space="preserve">je </w:t>
      </w:r>
      <w:r w:rsidR="000804AB" w:rsidRPr="00095632">
        <w:rPr>
          <w:rFonts w:ascii="Constantia" w:hAnsi="Constantia"/>
          <w:lang w:val="sr-Latn-CS"/>
        </w:rPr>
        <w:t xml:space="preserve"> doni</w:t>
      </w:r>
      <w:r w:rsidR="00AF05CD">
        <w:rPr>
          <w:rFonts w:ascii="Constantia" w:hAnsi="Constantia"/>
          <w:lang w:val="sr-Latn-CS"/>
        </w:rPr>
        <w:t>jelo Plan kvaliteta vazduha za O</w:t>
      </w:r>
      <w:r w:rsidR="000804AB" w:rsidRPr="00095632">
        <w:rPr>
          <w:rFonts w:ascii="Constantia" w:hAnsi="Constantia"/>
          <w:lang w:val="sr-Latn-CS"/>
        </w:rPr>
        <w:t>pštinu Nikšić, u skladu sa članom 21 Zakona</w:t>
      </w:r>
      <w:r w:rsidR="003524EB" w:rsidRPr="00095632">
        <w:rPr>
          <w:rFonts w:ascii="Constantia" w:hAnsi="Constantia"/>
          <w:lang w:val="sr-Latn-CS"/>
        </w:rPr>
        <w:t xml:space="preserve"> o zaštiti vazduha („Sl. l</w:t>
      </w:r>
      <w:r w:rsidR="000804AB" w:rsidRPr="00095632">
        <w:rPr>
          <w:rFonts w:ascii="Constantia" w:hAnsi="Constantia"/>
          <w:lang w:val="sr-Latn-CS"/>
        </w:rPr>
        <w:t>ist CG”, br</w:t>
      </w:r>
      <w:r w:rsidR="003524EB" w:rsidRPr="00095632">
        <w:rPr>
          <w:rFonts w:ascii="Constantia" w:hAnsi="Constantia"/>
          <w:lang w:val="sr-Latn-CS"/>
        </w:rPr>
        <w:t>.</w:t>
      </w:r>
      <w:r w:rsidR="000804AB" w:rsidRPr="00095632">
        <w:rPr>
          <w:rFonts w:ascii="Constantia" w:hAnsi="Constantia"/>
          <w:lang w:val="sr-Latn-CS"/>
        </w:rPr>
        <w:t xml:space="preserve"> 25/10).  </w:t>
      </w:r>
    </w:p>
    <w:p w:rsidR="00603CEC" w:rsidRPr="00095632" w:rsidRDefault="007D42A3" w:rsidP="00276AFC">
      <w:pPr>
        <w:rPr>
          <w:rFonts w:ascii="Constantia" w:hAnsi="Constantia"/>
          <w:lang w:val="sr-Latn-CS"/>
        </w:rPr>
      </w:pPr>
      <w:r w:rsidRPr="00095632">
        <w:rPr>
          <w:rFonts w:ascii="Constantia" w:hAnsi="Constantia"/>
          <w:lang w:val="sr-Latn-CS"/>
        </w:rPr>
        <w:t>Od 20.</w:t>
      </w:r>
      <w:r w:rsidR="007A38C1">
        <w:rPr>
          <w:rFonts w:ascii="Constantia" w:hAnsi="Constantia"/>
          <w:lang w:val="sr-Latn-CS"/>
        </w:rPr>
        <w:t xml:space="preserve"> februara </w:t>
      </w:r>
      <w:r w:rsidRPr="00095632">
        <w:rPr>
          <w:rFonts w:ascii="Constantia" w:hAnsi="Constantia"/>
          <w:lang w:val="sr-Latn-CS"/>
        </w:rPr>
        <w:t>2014. godine</w:t>
      </w:r>
      <w:r w:rsidR="007A38C1">
        <w:rPr>
          <w:rFonts w:ascii="Constantia" w:hAnsi="Constantia"/>
          <w:lang w:val="sr-Latn-CS"/>
        </w:rPr>
        <w:t>,</w:t>
      </w:r>
      <w:r w:rsidRPr="00095632">
        <w:rPr>
          <w:rFonts w:ascii="Constantia" w:hAnsi="Constantia"/>
          <w:lang w:val="sr-Latn-CS"/>
        </w:rPr>
        <w:t xml:space="preserve"> Agencija </w:t>
      </w:r>
      <w:r w:rsidR="00716E44" w:rsidRPr="00095632">
        <w:rPr>
          <w:rFonts w:ascii="Constantia" w:hAnsi="Constantia"/>
          <w:lang w:val="sr-Latn-CS"/>
        </w:rPr>
        <w:t xml:space="preserve">za zaštitu životne sredine </w:t>
      </w:r>
      <w:r w:rsidRPr="00095632">
        <w:rPr>
          <w:rFonts w:ascii="Constantia" w:hAnsi="Constantia"/>
          <w:lang w:val="sr-Latn-CS"/>
        </w:rPr>
        <w:t xml:space="preserve">je uspostavila </w:t>
      </w:r>
      <w:r w:rsidR="00EE554A" w:rsidRPr="00095632">
        <w:rPr>
          <w:rFonts w:ascii="Constantia" w:hAnsi="Constantia"/>
          <w:lang w:val="sr-Latn-CS"/>
        </w:rPr>
        <w:t xml:space="preserve">sistem za izvještavanje o kvalitetu vazduha u realnom vremenu. Podaci sa automatskih stacionarnih stanica dostupni su javnosti i drugim zainteresovanim </w:t>
      </w:r>
      <w:r w:rsidR="00B40AFB" w:rsidRPr="00095632">
        <w:rPr>
          <w:rFonts w:ascii="Constantia" w:hAnsi="Constantia"/>
          <w:lang w:val="sr-Latn-CS"/>
        </w:rPr>
        <w:t>stranama na sajtu Agencije</w:t>
      </w:r>
      <w:r w:rsidR="008E2AD8" w:rsidRPr="00095632">
        <w:rPr>
          <w:rFonts w:ascii="Constantia" w:hAnsi="Constantia"/>
          <w:lang w:val="sr-Latn-CS"/>
        </w:rPr>
        <w:t xml:space="preserve"> (</w:t>
      </w:r>
      <w:r w:rsidR="008E2AD8" w:rsidRPr="00095632">
        <w:rPr>
          <w:rFonts w:ascii="Constantia" w:hAnsi="Constantia"/>
        </w:rPr>
        <w:t>www.epa.org.me)</w:t>
      </w:r>
      <w:r w:rsidR="00B40AFB" w:rsidRPr="00095632">
        <w:rPr>
          <w:rFonts w:ascii="Constantia" w:hAnsi="Constantia"/>
          <w:lang w:val="sr-Latn-CS"/>
        </w:rPr>
        <w:t>. Na ovaj način ispunjeni su zahtjevi kako naci</w:t>
      </w:r>
      <w:r w:rsidR="008E2AD8" w:rsidRPr="00095632">
        <w:rPr>
          <w:rFonts w:ascii="Constantia" w:hAnsi="Constantia"/>
          <w:lang w:val="sr-Latn-CS"/>
        </w:rPr>
        <w:t>onalnog tako i EU zakonodavstva o pravovremenom informisanju o kvalitetu vazduha.</w:t>
      </w:r>
    </w:p>
    <w:p w:rsidR="002E4FA3" w:rsidRPr="00095632" w:rsidRDefault="000D4A89" w:rsidP="00276AFC">
      <w:pPr>
        <w:spacing w:after="0"/>
        <w:rPr>
          <w:rFonts w:ascii="Constantia" w:hAnsi="Constantia"/>
          <w:lang w:val="sr-Latn-CS"/>
        </w:rPr>
      </w:pPr>
      <w:r w:rsidRPr="00095632">
        <w:rPr>
          <w:rFonts w:ascii="Constantia" w:hAnsi="Constantia"/>
          <w:lang w:val="sr-Latn-CS"/>
        </w:rPr>
        <w:t xml:space="preserve">Realizacija Programa monitoringa kvaliteta vazduha izvršena je u skladu sa </w:t>
      </w:r>
      <w:r w:rsidR="002E4FA3" w:rsidRPr="00095632">
        <w:rPr>
          <w:rFonts w:ascii="Constantia" w:hAnsi="Constantia"/>
          <w:lang w:val="sr-Latn-CS"/>
        </w:rPr>
        <w:t>Pravilnik</w:t>
      </w:r>
      <w:r w:rsidRPr="00095632">
        <w:rPr>
          <w:rFonts w:ascii="Constantia" w:hAnsi="Constantia"/>
          <w:lang w:val="sr-Latn-CS"/>
        </w:rPr>
        <w:t>om</w:t>
      </w:r>
      <w:r w:rsidR="002E4FA3" w:rsidRPr="00095632">
        <w:rPr>
          <w:rFonts w:ascii="Constantia" w:hAnsi="Constantia"/>
          <w:lang w:val="sr-Latn-CS"/>
        </w:rPr>
        <w:t xml:space="preserve"> o načinu i uslovima praćenja kvaliteta vazduha ("Sl</w:t>
      </w:r>
      <w:r w:rsidR="00D070B7" w:rsidRPr="00095632">
        <w:rPr>
          <w:rFonts w:ascii="Constantia" w:hAnsi="Constantia"/>
          <w:lang w:val="sr-Latn-CS"/>
        </w:rPr>
        <w:t>.</w:t>
      </w:r>
      <w:r w:rsidR="002E4FA3" w:rsidRPr="00095632">
        <w:rPr>
          <w:rFonts w:ascii="Constantia" w:hAnsi="Constantia"/>
          <w:lang w:val="sr-Latn-CS"/>
        </w:rPr>
        <w:t xml:space="preserve"> list CG", br. 21/11)</w:t>
      </w:r>
      <w:r w:rsidR="00095632">
        <w:rPr>
          <w:rFonts w:ascii="Constantia" w:hAnsi="Constantia"/>
          <w:lang w:val="sr-Latn-CS"/>
        </w:rPr>
        <w:t xml:space="preserve">, </w:t>
      </w:r>
      <w:r w:rsidRPr="00095632">
        <w:rPr>
          <w:rFonts w:ascii="Constantia" w:hAnsi="Constantia"/>
          <w:lang w:val="sr-Latn-CS"/>
        </w:rPr>
        <w:t xml:space="preserve">kojim je </w:t>
      </w:r>
      <w:r w:rsidR="002E4FA3" w:rsidRPr="00095632">
        <w:rPr>
          <w:rFonts w:ascii="Constantia" w:hAnsi="Constantia"/>
          <w:lang w:val="sr-Latn-CS"/>
        </w:rPr>
        <w:t xml:space="preserve"> propisan način praćenja kvaliteta vazduha i prikupljanj</w:t>
      </w:r>
      <w:r w:rsidR="001B2839" w:rsidRPr="00095632">
        <w:rPr>
          <w:rFonts w:ascii="Constantia" w:hAnsi="Constantia"/>
          <w:lang w:val="sr-Latn-CS"/>
        </w:rPr>
        <w:t>a</w:t>
      </w:r>
      <w:r w:rsidR="002E4FA3" w:rsidRPr="00095632">
        <w:rPr>
          <w:rFonts w:ascii="Constantia" w:hAnsi="Constantia"/>
          <w:lang w:val="sr-Latn-CS"/>
        </w:rPr>
        <w:t xml:space="preserve"> podatak</w:t>
      </w:r>
      <w:r w:rsidR="001B2839" w:rsidRPr="00095632">
        <w:rPr>
          <w:rFonts w:ascii="Constantia" w:hAnsi="Constantia"/>
          <w:lang w:val="sr-Latn-CS"/>
        </w:rPr>
        <w:t>a</w:t>
      </w:r>
      <w:r w:rsidR="002E4FA3" w:rsidRPr="00095632">
        <w:rPr>
          <w:rFonts w:ascii="Constantia" w:hAnsi="Constantia"/>
          <w:lang w:val="sr-Latn-CS"/>
        </w:rPr>
        <w:t>, kao i referentne metode mjerenja, kriterijumi za postizanje kvaliteteta podataka, obezbjeđivanje kvaliteta podataka i njihova validacija.</w:t>
      </w:r>
    </w:p>
    <w:p w:rsidR="000D4A89" w:rsidRPr="00095632" w:rsidRDefault="000D4A89" w:rsidP="00276AFC">
      <w:pPr>
        <w:rPr>
          <w:rFonts w:ascii="Constantia" w:hAnsi="Constantia"/>
          <w:lang w:val="sr-Latn-CS"/>
        </w:rPr>
      </w:pPr>
      <w:r w:rsidRPr="00095632">
        <w:rPr>
          <w:rFonts w:ascii="Constantia" w:hAnsi="Constantia"/>
          <w:lang w:val="sr-Latn-CS"/>
        </w:rPr>
        <w:t>Na osnovu Uredbe</w:t>
      </w:r>
      <w:r w:rsidR="002E4FA3" w:rsidRPr="00095632">
        <w:rPr>
          <w:rFonts w:ascii="Constantia" w:hAnsi="Constantia"/>
          <w:lang w:val="sr-Latn-CS"/>
        </w:rPr>
        <w:t xml:space="preserve"> o povjeravanju dijela poslova </w:t>
      </w:r>
      <w:r w:rsidRPr="00095632">
        <w:rPr>
          <w:rFonts w:ascii="Constantia" w:hAnsi="Constantia"/>
          <w:lang w:val="sr-Latn-CS"/>
        </w:rPr>
        <w:t>("Sl</w:t>
      </w:r>
      <w:r w:rsidR="00D070B7" w:rsidRPr="00095632">
        <w:rPr>
          <w:rFonts w:ascii="Constantia" w:hAnsi="Constantia"/>
          <w:lang w:val="sr-Latn-CS"/>
        </w:rPr>
        <w:t>.</w:t>
      </w:r>
      <w:r w:rsidRPr="00095632">
        <w:rPr>
          <w:rFonts w:ascii="Constantia" w:hAnsi="Constantia"/>
          <w:lang w:val="sr-Latn-CS"/>
        </w:rPr>
        <w:t xml:space="preserve"> list CG", br. 62/11), </w:t>
      </w:r>
      <w:r w:rsidR="00900B13">
        <w:rPr>
          <w:rFonts w:ascii="Constantia" w:hAnsi="Constantia"/>
          <w:lang w:val="sr-Latn-CS"/>
        </w:rPr>
        <w:t>p</w:t>
      </w:r>
      <w:r w:rsidRPr="00095632">
        <w:rPr>
          <w:rFonts w:ascii="Constantia" w:hAnsi="Constantia"/>
          <w:lang w:val="sr-Latn-CS"/>
        </w:rPr>
        <w:t xml:space="preserve">rogram monitoringa kvaliteta vazduha je realizovao </w:t>
      </w:r>
      <w:r w:rsidR="001B2839" w:rsidRPr="00095632">
        <w:rPr>
          <w:rFonts w:ascii="Constantia" w:hAnsi="Constantia"/>
          <w:lang w:val="sr-Latn-CS"/>
        </w:rPr>
        <w:t>D</w:t>
      </w:r>
      <w:r w:rsidR="00900B13">
        <w:rPr>
          <w:rFonts w:ascii="Constantia" w:hAnsi="Constantia"/>
          <w:lang w:val="sr-Latn-CS"/>
        </w:rPr>
        <w:t>.</w:t>
      </w:r>
      <w:r w:rsidR="001B2839" w:rsidRPr="00095632">
        <w:rPr>
          <w:rFonts w:ascii="Constantia" w:hAnsi="Constantia"/>
          <w:lang w:val="sr-Latn-CS"/>
        </w:rPr>
        <w:t>O</w:t>
      </w:r>
      <w:r w:rsidR="00900B13">
        <w:rPr>
          <w:rFonts w:ascii="Constantia" w:hAnsi="Constantia"/>
          <w:lang w:val="sr-Latn-CS"/>
        </w:rPr>
        <w:t>.</w:t>
      </w:r>
      <w:r w:rsidR="001B2839" w:rsidRPr="00095632">
        <w:rPr>
          <w:rFonts w:ascii="Constantia" w:hAnsi="Constantia"/>
          <w:lang w:val="sr-Latn-CS"/>
        </w:rPr>
        <w:t>O</w:t>
      </w:r>
      <w:r w:rsidR="00900B13">
        <w:rPr>
          <w:rFonts w:ascii="Constantia" w:hAnsi="Constantia"/>
          <w:lang w:val="sr-Latn-CS"/>
        </w:rPr>
        <w:t>.</w:t>
      </w:r>
      <w:r w:rsidRPr="00095632">
        <w:rPr>
          <w:rFonts w:ascii="Constantia" w:hAnsi="Constantia"/>
          <w:lang w:val="sr-Latn-CS"/>
        </w:rPr>
        <w:t xml:space="preserve"> </w:t>
      </w:r>
      <w:r w:rsidR="00900B13">
        <w:rPr>
          <w:rFonts w:ascii="Constantia" w:hAnsi="Constantia"/>
          <w:lang w:val="sr-Latn-CS"/>
        </w:rPr>
        <w:t>„</w:t>
      </w:r>
      <w:r w:rsidRPr="00095632">
        <w:rPr>
          <w:rFonts w:ascii="Constantia" w:hAnsi="Constantia"/>
          <w:lang w:val="sr-Latn-CS"/>
        </w:rPr>
        <w:t>Centar</w:t>
      </w:r>
      <w:r w:rsidR="002E4FA3" w:rsidRPr="00095632">
        <w:rPr>
          <w:rFonts w:ascii="Constantia" w:hAnsi="Constantia"/>
          <w:lang w:val="sr-Latn-CS"/>
        </w:rPr>
        <w:t xml:space="preserve"> za ekotoksikološka ispitivanja Crne Gore</w:t>
      </w:r>
      <w:r w:rsidR="00900B13">
        <w:rPr>
          <w:rFonts w:ascii="Constantia" w:hAnsi="Constantia"/>
          <w:lang w:val="sr-Latn-CS"/>
        </w:rPr>
        <w:t>“</w:t>
      </w:r>
      <w:r w:rsidR="00995E1B" w:rsidRPr="00095632">
        <w:rPr>
          <w:rFonts w:ascii="Constantia" w:hAnsi="Constantia"/>
          <w:lang w:val="sr-Latn-CS"/>
        </w:rPr>
        <w:t>.</w:t>
      </w:r>
    </w:p>
    <w:p w:rsidR="002E4FA3" w:rsidRPr="00095632" w:rsidRDefault="002E4FA3" w:rsidP="00276AFC">
      <w:pPr>
        <w:rPr>
          <w:rFonts w:ascii="Constantia" w:hAnsi="Constantia"/>
          <w:lang w:val="sr-Latn-CS"/>
        </w:rPr>
      </w:pPr>
      <w:r w:rsidRPr="00095632">
        <w:rPr>
          <w:rFonts w:ascii="Constantia" w:hAnsi="Constantia"/>
          <w:lang w:val="sr-Latn-CS"/>
        </w:rPr>
        <w:t>Kontrola i praćenje kvaliteta vazduha u Crnoj Gori vrši se radi ocjenjivanja, planiranja i upravljanja kvalitetom vazduha. Analiza dobijenih rezultata služi kao osnov za prijedlog mjera za poboljšanje i unapr</w:t>
      </w:r>
      <w:r w:rsidR="0070246C">
        <w:rPr>
          <w:rFonts w:ascii="Constantia" w:hAnsi="Constantia"/>
          <w:lang w:val="sr-Latn-CS"/>
        </w:rPr>
        <w:t>j</w:t>
      </w:r>
      <w:r w:rsidRPr="00095632">
        <w:rPr>
          <w:rFonts w:ascii="Constantia" w:hAnsi="Constantia"/>
          <w:lang w:val="sr-Latn-CS"/>
        </w:rPr>
        <w:t xml:space="preserve">eđenje kvaliteta vazduha. </w:t>
      </w:r>
    </w:p>
    <w:p w:rsidR="00C7232C" w:rsidRPr="00095632" w:rsidRDefault="002E4FA3" w:rsidP="00276AFC">
      <w:pPr>
        <w:rPr>
          <w:rFonts w:ascii="Constantia" w:hAnsi="Constantia"/>
          <w:lang w:val="sr-Latn-CS"/>
        </w:rPr>
      </w:pPr>
      <w:r w:rsidRPr="00095632">
        <w:rPr>
          <w:rFonts w:ascii="Constantia" w:hAnsi="Constantia"/>
          <w:lang w:val="sr-Latn-CS"/>
        </w:rPr>
        <w:t>Na automatskim stacionarnim stanicama praćen je kvalitet vazduha u P</w:t>
      </w:r>
      <w:r w:rsidR="00C7232C" w:rsidRPr="00095632">
        <w:rPr>
          <w:rFonts w:ascii="Constantia" w:hAnsi="Constantia"/>
          <w:lang w:val="sr-Latn-CS"/>
        </w:rPr>
        <w:t xml:space="preserve">odgorici, Nikšiću, Pljevljima, </w:t>
      </w:r>
      <w:r w:rsidRPr="00095632">
        <w:rPr>
          <w:rFonts w:ascii="Constantia" w:hAnsi="Constantia"/>
          <w:lang w:val="sr-Latn-CS"/>
        </w:rPr>
        <w:t>Baru</w:t>
      </w:r>
      <w:r w:rsidR="00C7232C" w:rsidRPr="00095632">
        <w:rPr>
          <w:rFonts w:ascii="Constantia" w:hAnsi="Constantia"/>
          <w:lang w:val="sr-Latn-CS"/>
        </w:rPr>
        <w:t>, Tivtu, Golubovcima i Gradini (Pljevlja)</w:t>
      </w:r>
      <w:r w:rsidRPr="00095632">
        <w:rPr>
          <w:rFonts w:ascii="Constantia" w:hAnsi="Constantia"/>
          <w:lang w:val="sr-Latn-CS"/>
        </w:rPr>
        <w:t>. Mjerena je koncentrac</w:t>
      </w:r>
      <w:r w:rsidR="00257E41">
        <w:rPr>
          <w:rFonts w:ascii="Constantia" w:hAnsi="Constantia"/>
          <w:lang w:val="sr-Latn-CS"/>
        </w:rPr>
        <w:t>ija sledećih parametara: sumpor-</w:t>
      </w:r>
      <w:r w:rsidRPr="00095632">
        <w:rPr>
          <w:rFonts w:ascii="Constantia" w:hAnsi="Constantia"/>
          <w:lang w:val="sr-Latn-CS"/>
        </w:rPr>
        <w:t>dioksida (SO</w:t>
      </w:r>
      <w:r w:rsidRPr="00095632">
        <w:rPr>
          <w:rFonts w:ascii="Constantia" w:hAnsi="Constantia"/>
          <w:vertAlign w:val="subscript"/>
          <w:lang w:val="sr-Latn-CS"/>
        </w:rPr>
        <w:t>2</w:t>
      </w:r>
      <w:r w:rsidR="00257E41">
        <w:rPr>
          <w:rFonts w:ascii="Constantia" w:hAnsi="Constantia"/>
          <w:lang w:val="sr-Latn-CS"/>
        </w:rPr>
        <w:t>), azot-monoksida (NO), azot-</w:t>
      </w:r>
      <w:r w:rsidRPr="00095632">
        <w:rPr>
          <w:rFonts w:ascii="Constantia" w:hAnsi="Constantia"/>
          <w:lang w:val="sr-Latn-CS"/>
        </w:rPr>
        <w:t>dioksida (NO</w:t>
      </w:r>
      <w:r w:rsidRPr="00095632">
        <w:rPr>
          <w:rFonts w:ascii="Constantia" w:hAnsi="Constantia"/>
          <w:vertAlign w:val="subscript"/>
          <w:lang w:val="sr-Latn-CS"/>
        </w:rPr>
        <w:t>2</w:t>
      </w:r>
      <w:r w:rsidRPr="00095632">
        <w:rPr>
          <w:rFonts w:ascii="Constantia" w:hAnsi="Constantia"/>
          <w:lang w:val="sr-Latn-CS"/>
        </w:rPr>
        <w:t>), ukupnih azotnih oksida (NO</w:t>
      </w:r>
      <w:r w:rsidRPr="00095632">
        <w:rPr>
          <w:rFonts w:ascii="Constantia" w:hAnsi="Constantia"/>
          <w:vertAlign w:val="subscript"/>
          <w:lang w:val="sr-Latn-CS"/>
        </w:rPr>
        <w:t>x</w:t>
      </w:r>
      <w:r w:rsidR="00257E41">
        <w:rPr>
          <w:rFonts w:ascii="Constantia" w:hAnsi="Constantia"/>
          <w:lang w:val="sr-Latn-CS"/>
        </w:rPr>
        <w:t>), ugljen-</w:t>
      </w:r>
      <w:r w:rsidRPr="00095632">
        <w:rPr>
          <w:rFonts w:ascii="Constantia" w:hAnsi="Constantia"/>
          <w:lang w:val="sr-Latn-CS"/>
        </w:rPr>
        <w:t>monoksida (CO), metana (CH</w:t>
      </w:r>
      <w:r w:rsidRPr="00095632">
        <w:rPr>
          <w:rFonts w:ascii="Constantia" w:hAnsi="Constantia"/>
          <w:vertAlign w:val="subscript"/>
          <w:lang w:val="sr-Latn-CS"/>
        </w:rPr>
        <w:t>4</w:t>
      </w:r>
      <w:r w:rsidRPr="00095632">
        <w:rPr>
          <w:rFonts w:ascii="Constantia" w:hAnsi="Constantia"/>
          <w:lang w:val="sr-Latn-CS"/>
        </w:rPr>
        <w:t>), nemetanskih ugljovodonika (NMHC), ukupnih ugljovodonika (THC), PM</w:t>
      </w:r>
      <w:r w:rsidRPr="00095632">
        <w:rPr>
          <w:rFonts w:ascii="Constantia" w:hAnsi="Constantia"/>
          <w:vertAlign w:val="subscript"/>
          <w:lang w:val="sr-Latn-CS"/>
        </w:rPr>
        <w:t>10</w:t>
      </w:r>
      <w:r w:rsidRPr="00095632">
        <w:rPr>
          <w:rFonts w:ascii="Constantia" w:hAnsi="Constantia"/>
          <w:lang w:val="sr-Latn-CS"/>
        </w:rPr>
        <w:t xml:space="preserve"> čestica, prizemnog ozona (O</w:t>
      </w:r>
      <w:r w:rsidRPr="00095632">
        <w:rPr>
          <w:rFonts w:ascii="Constantia" w:hAnsi="Constantia"/>
          <w:vertAlign w:val="subscript"/>
          <w:lang w:val="sr-Latn-CS"/>
        </w:rPr>
        <w:t>3</w:t>
      </w:r>
      <w:r w:rsidRPr="00095632">
        <w:rPr>
          <w:rFonts w:ascii="Constantia" w:hAnsi="Constantia"/>
          <w:lang w:val="sr-Latn-CS"/>
        </w:rPr>
        <w:t xml:space="preserve">), benzena, toluena, etilbenzena, o-m-p xilena (BTX). </w:t>
      </w:r>
    </w:p>
    <w:p w:rsidR="002E4FA3" w:rsidRPr="00095632" w:rsidRDefault="002E4FA3" w:rsidP="00276AFC">
      <w:pPr>
        <w:rPr>
          <w:rFonts w:ascii="Constantia" w:hAnsi="Constantia"/>
          <w:lang w:val="sr-Latn-CS"/>
        </w:rPr>
      </w:pPr>
      <w:r w:rsidRPr="00095632">
        <w:rPr>
          <w:rFonts w:ascii="Constantia" w:hAnsi="Constantia"/>
          <w:lang w:val="sr-Latn-CS"/>
        </w:rPr>
        <w:t xml:space="preserve">Ocjena kvaliteta vazduha vršena je u skladu sa </w:t>
      </w:r>
      <w:r w:rsidR="00AF4735" w:rsidRPr="00095632">
        <w:rPr>
          <w:rFonts w:ascii="Constantia" w:hAnsi="Constantia"/>
          <w:lang w:val="sr-Latn-CS"/>
        </w:rPr>
        <w:t>Uredbom o utvrđivanju vrsta zagađujućih materija, graničnih vrijednosti i drugih standarda kvaliteta vazduha ("Sl</w:t>
      </w:r>
      <w:r w:rsidR="00D61053" w:rsidRPr="00095632">
        <w:rPr>
          <w:rFonts w:ascii="Constantia" w:hAnsi="Constantia"/>
          <w:lang w:val="sr-Latn-CS"/>
        </w:rPr>
        <w:t>.</w:t>
      </w:r>
      <w:r w:rsidR="00AF4735" w:rsidRPr="00095632">
        <w:rPr>
          <w:rFonts w:ascii="Constantia" w:hAnsi="Constantia"/>
          <w:lang w:val="sr-Latn-CS"/>
        </w:rPr>
        <w:t xml:space="preserve"> list CG", br. 45/08, 25/12)</w:t>
      </w:r>
      <w:r w:rsidRPr="00095632">
        <w:rPr>
          <w:rFonts w:ascii="Constantia" w:hAnsi="Constantia"/>
          <w:lang w:val="sr-Latn-CS"/>
        </w:rPr>
        <w:t>, (u daljem tekstu</w:t>
      </w:r>
      <w:r w:rsidR="003524EB" w:rsidRPr="00095632">
        <w:rPr>
          <w:rFonts w:ascii="Constantia" w:hAnsi="Constantia"/>
          <w:lang w:val="sr-Latn-CS"/>
        </w:rPr>
        <w:t>:</w:t>
      </w:r>
      <w:r w:rsidRPr="00095632">
        <w:rPr>
          <w:rFonts w:ascii="Constantia" w:hAnsi="Constantia"/>
          <w:lang w:val="sr-Latn-CS"/>
        </w:rPr>
        <w:t xml:space="preserve"> Uredba).</w:t>
      </w:r>
    </w:p>
    <w:p w:rsidR="002943BD" w:rsidRPr="00095632" w:rsidRDefault="008566B0" w:rsidP="00276AFC">
      <w:pPr>
        <w:rPr>
          <w:rFonts w:ascii="Constantia" w:hAnsi="Constantia"/>
          <w:lang w:val="sr-Latn-CS"/>
        </w:rPr>
      </w:pPr>
      <w:r w:rsidRPr="00095632">
        <w:rPr>
          <w:rFonts w:ascii="Constantia" w:hAnsi="Constantia"/>
          <w:lang w:val="sr-Latn-CS"/>
        </w:rPr>
        <w:t xml:space="preserve">Na </w:t>
      </w:r>
      <w:r w:rsidRPr="00F84C33">
        <w:rPr>
          <w:rFonts w:ascii="Constantia" w:hAnsi="Constantia"/>
          <w:i/>
          <w:lang w:val="sr-Latn-CS"/>
        </w:rPr>
        <w:t>S</w:t>
      </w:r>
      <w:r w:rsidR="002E4FA3" w:rsidRPr="00F84C33">
        <w:rPr>
          <w:rFonts w:ascii="Constantia" w:hAnsi="Constantia"/>
          <w:i/>
          <w:lang w:val="sr-Latn-CS"/>
        </w:rPr>
        <w:t>lici 1</w:t>
      </w:r>
      <w:r w:rsidRPr="00F84C33">
        <w:rPr>
          <w:rFonts w:ascii="Constantia" w:hAnsi="Constantia"/>
          <w:i/>
          <w:lang w:val="sr-Latn-CS"/>
        </w:rPr>
        <w:t>.</w:t>
      </w:r>
      <w:r w:rsidR="002E4FA3" w:rsidRPr="00095632">
        <w:rPr>
          <w:rFonts w:ascii="Constantia" w:hAnsi="Constantia"/>
          <w:lang w:val="sr-Latn-CS"/>
        </w:rPr>
        <w:t xml:space="preserve"> prikazan je položaj automatskih stacionarnih stanica </w:t>
      </w:r>
      <w:r w:rsidR="005D4980" w:rsidRPr="00095632">
        <w:rPr>
          <w:rFonts w:ascii="Constantia" w:hAnsi="Constantia"/>
          <w:lang w:val="sr-Latn-CS"/>
        </w:rPr>
        <w:t xml:space="preserve">u okviru zona kvaliteta vazduha </w:t>
      </w:r>
      <w:r w:rsidR="002E4FA3" w:rsidRPr="00095632">
        <w:rPr>
          <w:rFonts w:ascii="Constantia" w:hAnsi="Constantia"/>
          <w:lang w:val="sr-Latn-CS"/>
        </w:rPr>
        <w:t>(mreža mjernih mjesta).</w:t>
      </w:r>
    </w:p>
    <w:p w:rsidR="002943BD" w:rsidRDefault="0030643A" w:rsidP="00D61053">
      <w:pPr>
        <w:spacing w:after="0"/>
        <w:jc w:val="center"/>
        <w:rPr>
          <w:lang w:val="sr-Latn-CS"/>
        </w:rPr>
      </w:pPr>
      <w:r w:rsidRPr="0030643A">
        <w:rPr>
          <w:noProof/>
        </w:rPr>
        <w:lastRenderedPageBreak/>
        <w:drawing>
          <wp:inline distT="0" distB="0" distL="0" distR="0" wp14:anchorId="505E5A3A" wp14:editId="4EB852B7">
            <wp:extent cx="3432232" cy="4848225"/>
            <wp:effectExtent l="0" t="0" r="0" b="0"/>
            <wp:docPr id="8204" name="Picture 2" descr="C:\Users\Goca Djukanovic\Desktop\mreža mjernih mjesta 2.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8204" name="Picture 2" descr="C:\Users\Goca Djukanovic\Desktop\mreža mjernih mjesta 2.jpg"/>
                    <pic:cNvPicPr>
                      <a:picLocks noGrp="1"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40035" cy="4859246"/>
                    </a:xfrm>
                    <a:prstGeom prst="rect">
                      <a:avLst/>
                    </a:prstGeom>
                    <a:noFill/>
                    <a:ln>
                      <a:noFill/>
                    </a:ln>
                    <a:extLst/>
                  </pic:spPr>
                </pic:pic>
              </a:graphicData>
            </a:graphic>
          </wp:inline>
        </w:drawing>
      </w:r>
    </w:p>
    <w:p w:rsidR="00741973" w:rsidRDefault="00741973" w:rsidP="00741973">
      <w:pPr>
        <w:pStyle w:val="Slika"/>
        <w:tabs>
          <w:tab w:val="left" w:pos="0"/>
          <w:tab w:val="left" w:pos="900"/>
        </w:tabs>
        <w:spacing w:line="276" w:lineRule="auto"/>
        <w:ind w:left="0" w:firstLine="0"/>
        <w:rPr>
          <w:rFonts w:ascii="Constantia" w:eastAsia="Calibri" w:hAnsi="Constantia"/>
        </w:rPr>
      </w:pPr>
      <w:r w:rsidRPr="006213B2">
        <w:rPr>
          <w:rFonts w:ascii="Constantia" w:hAnsi="Constantia"/>
          <w:szCs w:val="22"/>
          <w:lang w:val="sr-Latn-CS"/>
        </w:rPr>
        <w:t>Mreža mjernih mjesta - zone kvaliteta vazduha</w:t>
      </w:r>
    </w:p>
    <w:p w:rsidR="00C86C2B" w:rsidRPr="00762B93" w:rsidRDefault="00C86C2B" w:rsidP="00B67634">
      <w:pPr>
        <w:spacing w:after="0"/>
        <w:jc w:val="center"/>
        <w:rPr>
          <w:i/>
          <w:sz w:val="20"/>
          <w:szCs w:val="20"/>
          <w:lang w:val="sr-Latn-CS"/>
        </w:rPr>
      </w:pPr>
    </w:p>
    <w:p w:rsidR="00202248" w:rsidRDefault="00C86C2B" w:rsidP="002943BD">
      <w:pPr>
        <w:rPr>
          <w:rFonts w:ascii="Constantia" w:hAnsi="Constantia"/>
        </w:rPr>
      </w:pPr>
      <w:r w:rsidRPr="00762B93">
        <w:rPr>
          <w:rFonts w:ascii="Constantia" w:hAnsi="Constantia"/>
          <w:lang w:val="sr-Latn-CS"/>
        </w:rPr>
        <w:t>U skladu sa Uredbom o uspostavljanju mreže mjernih mjesta za praćenje kvaliteta vazduha ("Sl</w:t>
      </w:r>
      <w:r w:rsidR="00D61053" w:rsidRPr="00762B93">
        <w:rPr>
          <w:rFonts w:ascii="Constantia" w:hAnsi="Constantia"/>
          <w:lang w:val="sr-Latn-CS"/>
        </w:rPr>
        <w:t>.</w:t>
      </w:r>
      <w:r w:rsidRPr="00762B93">
        <w:rPr>
          <w:rFonts w:ascii="Constantia" w:hAnsi="Constantia"/>
          <w:lang w:val="sr-Latn-CS"/>
        </w:rPr>
        <w:t xml:space="preserve"> list CG", br. 44/10 i 13/11), teritorija Crne Gore podijeljena je tri </w:t>
      </w:r>
      <w:r w:rsidRPr="00762B93">
        <w:rPr>
          <w:rFonts w:ascii="Constantia" w:hAnsi="Constantia"/>
        </w:rPr>
        <w:t>zone</w:t>
      </w:r>
      <w:r w:rsidR="00202248" w:rsidRPr="00762B93">
        <w:rPr>
          <w:rFonts w:ascii="Constantia" w:hAnsi="Constantia"/>
        </w:rPr>
        <w:t xml:space="preserve"> (</w:t>
      </w:r>
      <w:r w:rsidR="00202248" w:rsidRPr="005D4DAA">
        <w:rPr>
          <w:rFonts w:ascii="Constantia" w:hAnsi="Constantia"/>
          <w:i/>
        </w:rPr>
        <w:t>Tabela 1</w:t>
      </w:r>
      <w:r w:rsidR="005D4DAA" w:rsidRPr="005D4DAA">
        <w:rPr>
          <w:rFonts w:ascii="Constantia" w:hAnsi="Constantia"/>
          <w:i/>
        </w:rPr>
        <w:t>.</w:t>
      </w:r>
      <w:r w:rsidR="00202248" w:rsidRPr="00762B93">
        <w:rPr>
          <w:rFonts w:ascii="Constantia" w:hAnsi="Constantia"/>
        </w:rPr>
        <w:t>)</w:t>
      </w:r>
      <w:r w:rsidRPr="00762B93">
        <w:rPr>
          <w:rFonts w:ascii="Constantia" w:hAnsi="Constantia"/>
        </w:rPr>
        <w:t>, koje su određene preliminarnom</w:t>
      </w:r>
      <w:r w:rsidR="000214A8">
        <w:rPr>
          <w:rFonts w:ascii="Constantia" w:hAnsi="Constantia"/>
        </w:rPr>
        <w:t xml:space="preserve"> </w:t>
      </w:r>
      <w:r w:rsidRPr="00762B93">
        <w:rPr>
          <w:rFonts w:ascii="Constantia" w:hAnsi="Constantia"/>
        </w:rPr>
        <w:t>procjenom kvaliteta vazduha u odnosu na granice ocjenjivanja zagađujućih materija</w:t>
      </w:r>
      <w:r w:rsidR="000214A8">
        <w:rPr>
          <w:rFonts w:ascii="Constantia" w:hAnsi="Constantia"/>
        </w:rPr>
        <w:t>,</w:t>
      </w:r>
      <w:r w:rsidRPr="00762B93">
        <w:rPr>
          <w:rFonts w:ascii="Constantia" w:hAnsi="Constantia"/>
        </w:rPr>
        <w:t xml:space="preserve"> na osnovu dostupnih podataka o koncetracijama zagađujućih materija i modeliranjem postojećih podataka</w:t>
      </w:r>
      <w:r w:rsidR="00760879" w:rsidRPr="00762B93">
        <w:rPr>
          <w:rFonts w:ascii="Constantia" w:hAnsi="Constantia"/>
        </w:rPr>
        <w:t>.</w:t>
      </w:r>
      <w:r w:rsidR="00DC0CCE">
        <w:rPr>
          <w:rFonts w:ascii="Constantia" w:hAnsi="Constantia"/>
        </w:rPr>
        <w:t xml:space="preserve"> </w:t>
      </w:r>
      <w:r w:rsidR="00760879" w:rsidRPr="00762B93">
        <w:rPr>
          <w:rFonts w:ascii="Constantia" w:hAnsi="Constantia"/>
        </w:rPr>
        <w:t>Granice zona kvaliteta vazduha  podudaraju se sa spoljnim administrativnim granicama opština koje se nalaze u sastavu tih zona.</w:t>
      </w:r>
    </w:p>
    <w:p w:rsidR="00653CFB" w:rsidRDefault="00653CFB" w:rsidP="00B67634">
      <w:pPr>
        <w:spacing w:after="0"/>
        <w:rPr>
          <w:rFonts w:ascii="Constantia" w:hAnsi="Constantia"/>
        </w:rPr>
      </w:pPr>
    </w:p>
    <w:tbl>
      <w:tblPr>
        <w:tblStyle w:val="MediumShading1-Accent2"/>
        <w:tblW w:w="0" w:type="auto"/>
        <w:jc w:val="center"/>
        <w:tblInd w:w="-3992" w:type="dxa"/>
        <w:tblLook w:val="04A0" w:firstRow="1" w:lastRow="0" w:firstColumn="1" w:lastColumn="0" w:noHBand="0" w:noVBand="1"/>
      </w:tblPr>
      <w:tblGrid>
        <w:gridCol w:w="4962"/>
        <w:gridCol w:w="3600"/>
      </w:tblGrid>
      <w:tr w:rsidR="002E0C6F" w:rsidRPr="0049470F" w:rsidTr="00EE514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62" w:type="dxa"/>
          </w:tcPr>
          <w:p w:rsidR="002E0C6F" w:rsidRPr="0049470F" w:rsidRDefault="002E0C6F" w:rsidP="0061632D">
            <w:pPr>
              <w:rPr>
                <w:rFonts w:ascii="Constantia" w:hAnsi="Constantia"/>
                <w:szCs w:val="22"/>
                <w:lang w:val="sr-Latn-CS"/>
              </w:rPr>
            </w:pPr>
            <w:r w:rsidRPr="0049470F">
              <w:rPr>
                <w:rFonts w:ascii="Constantia" w:hAnsi="Constantia"/>
                <w:szCs w:val="22"/>
                <w:lang w:val="sr-Latn-CS"/>
              </w:rPr>
              <w:t>Zona kvaliteta vazduha</w:t>
            </w:r>
          </w:p>
        </w:tc>
        <w:tc>
          <w:tcPr>
            <w:tcW w:w="3600" w:type="dxa"/>
          </w:tcPr>
          <w:p w:rsidR="002E0C6F" w:rsidRPr="0049470F" w:rsidRDefault="002E0C6F" w:rsidP="0061632D">
            <w:pPr>
              <w:cnfStyle w:val="100000000000" w:firstRow="1" w:lastRow="0" w:firstColumn="0" w:lastColumn="0" w:oddVBand="0" w:evenVBand="0" w:oddHBand="0" w:evenHBand="0" w:firstRowFirstColumn="0" w:firstRowLastColumn="0" w:lastRowFirstColumn="0" w:lastRowLastColumn="0"/>
              <w:rPr>
                <w:rFonts w:ascii="Constantia" w:hAnsi="Constantia"/>
                <w:szCs w:val="22"/>
                <w:lang w:val="sr-Latn-CS"/>
              </w:rPr>
            </w:pPr>
            <w:r w:rsidRPr="0049470F">
              <w:rPr>
                <w:rFonts w:ascii="Constantia" w:hAnsi="Constantia"/>
                <w:szCs w:val="22"/>
                <w:lang w:val="sr-Latn-CS"/>
              </w:rPr>
              <w:t>Opštine u sastavu zone</w:t>
            </w:r>
          </w:p>
        </w:tc>
      </w:tr>
      <w:tr w:rsidR="002E0C6F" w:rsidRPr="0049470F" w:rsidTr="00EE514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62" w:type="dxa"/>
          </w:tcPr>
          <w:p w:rsidR="002E0C6F" w:rsidRPr="0049470F" w:rsidRDefault="002E0C6F" w:rsidP="0061632D">
            <w:pPr>
              <w:rPr>
                <w:rFonts w:ascii="Constantia" w:hAnsi="Constantia"/>
                <w:szCs w:val="22"/>
                <w:lang w:val="sr-Latn-CS"/>
              </w:rPr>
            </w:pPr>
            <w:r w:rsidRPr="0049470F">
              <w:rPr>
                <w:rFonts w:ascii="Constantia" w:hAnsi="Constantia"/>
                <w:szCs w:val="22"/>
                <w:lang w:val="sr-Latn-CS"/>
              </w:rPr>
              <w:t>Zona održavanja kvaliteta vazduha</w:t>
            </w:r>
          </w:p>
        </w:tc>
        <w:tc>
          <w:tcPr>
            <w:tcW w:w="3600" w:type="dxa"/>
          </w:tcPr>
          <w:p w:rsidR="002E0C6F" w:rsidRPr="0049470F" w:rsidRDefault="002E0C6F" w:rsidP="00B67634">
            <w:pPr>
              <w:spacing w:after="0"/>
              <w:cnfStyle w:val="000000100000" w:firstRow="0" w:lastRow="0" w:firstColumn="0" w:lastColumn="0" w:oddVBand="0" w:evenVBand="0" w:oddHBand="1" w:evenHBand="0" w:firstRowFirstColumn="0" w:firstRowLastColumn="0" w:lastRowFirstColumn="0" w:lastRowLastColumn="0"/>
              <w:rPr>
                <w:rFonts w:ascii="Constantia" w:hAnsi="Constantia"/>
                <w:szCs w:val="22"/>
                <w:lang w:val="sr-Latn-CS"/>
              </w:rPr>
            </w:pPr>
            <w:r w:rsidRPr="0049470F">
              <w:rPr>
                <w:rFonts w:ascii="Constantia" w:hAnsi="Constantia"/>
                <w:szCs w:val="22"/>
                <w:lang w:val="sr-Latn-CS"/>
              </w:rPr>
              <w:t>Andrijevica, Budva, Danilovgrad, Herceg Novi, Kolašin, Kotor, Mojkovac, Plav, Plužine, Rožaje, Šavnik, Tivat, Ulcinj i Žabljak</w:t>
            </w:r>
          </w:p>
        </w:tc>
      </w:tr>
      <w:tr w:rsidR="002E0C6F" w:rsidRPr="0049470F" w:rsidTr="00EE514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62" w:type="dxa"/>
          </w:tcPr>
          <w:p w:rsidR="00EE514C" w:rsidRPr="0049470F" w:rsidRDefault="00EE514C" w:rsidP="00B67634">
            <w:pPr>
              <w:spacing w:after="0"/>
              <w:rPr>
                <w:rFonts w:ascii="Constantia" w:hAnsi="Constantia"/>
                <w:szCs w:val="22"/>
                <w:lang w:val="sr-Latn-CS"/>
              </w:rPr>
            </w:pPr>
            <w:r w:rsidRPr="0049470F">
              <w:rPr>
                <w:rFonts w:ascii="Constantia" w:hAnsi="Constantia"/>
                <w:szCs w:val="22"/>
                <w:lang w:val="sr-Latn-CS"/>
              </w:rPr>
              <w:t xml:space="preserve">Sjeverna zona </w:t>
            </w:r>
          </w:p>
          <w:p w:rsidR="002E0C6F" w:rsidRPr="0049470F" w:rsidRDefault="00EE514C" w:rsidP="00B67634">
            <w:pPr>
              <w:spacing w:after="0"/>
              <w:rPr>
                <w:rFonts w:ascii="Constantia" w:hAnsi="Constantia"/>
                <w:szCs w:val="22"/>
                <w:lang w:val="sr-Latn-CS"/>
              </w:rPr>
            </w:pPr>
            <w:r w:rsidRPr="0049470F">
              <w:rPr>
                <w:rFonts w:ascii="Constantia" w:hAnsi="Constantia"/>
                <w:szCs w:val="22"/>
                <w:lang w:val="sr-Latn-CS"/>
              </w:rPr>
              <w:t>u kojoj je neophodno unaprijeđenje kvaliteta vazduha</w:t>
            </w:r>
          </w:p>
        </w:tc>
        <w:tc>
          <w:tcPr>
            <w:tcW w:w="3600" w:type="dxa"/>
          </w:tcPr>
          <w:p w:rsidR="002E0C6F" w:rsidRPr="0049470F" w:rsidRDefault="00EE514C" w:rsidP="0061632D">
            <w:pPr>
              <w:cnfStyle w:val="000000010000" w:firstRow="0" w:lastRow="0" w:firstColumn="0" w:lastColumn="0" w:oddVBand="0" w:evenVBand="0" w:oddHBand="0" w:evenHBand="1" w:firstRowFirstColumn="0" w:firstRowLastColumn="0" w:lastRowFirstColumn="0" w:lastRowLastColumn="0"/>
              <w:rPr>
                <w:rFonts w:ascii="Constantia" w:hAnsi="Constantia"/>
                <w:szCs w:val="22"/>
                <w:lang w:val="sr-Latn-CS"/>
              </w:rPr>
            </w:pPr>
            <w:r w:rsidRPr="0049470F">
              <w:rPr>
                <w:rFonts w:ascii="Constantia" w:hAnsi="Constantia"/>
                <w:szCs w:val="22"/>
                <w:lang w:val="sr-Latn-CS"/>
              </w:rPr>
              <w:t>Berane, Bijelo Polje i Pljevlja</w:t>
            </w:r>
          </w:p>
        </w:tc>
      </w:tr>
      <w:tr w:rsidR="002E0C6F" w:rsidRPr="0049470F" w:rsidTr="00EE514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62" w:type="dxa"/>
          </w:tcPr>
          <w:p w:rsidR="00EE514C" w:rsidRPr="0049470F" w:rsidRDefault="00EE514C" w:rsidP="00B67634">
            <w:pPr>
              <w:spacing w:after="0"/>
              <w:rPr>
                <w:rFonts w:ascii="Constantia" w:hAnsi="Constantia"/>
                <w:szCs w:val="22"/>
                <w:lang w:val="sr-Latn-CS"/>
              </w:rPr>
            </w:pPr>
            <w:r w:rsidRPr="0049470F">
              <w:rPr>
                <w:rFonts w:ascii="Constantia" w:hAnsi="Constantia"/>
                <w:szCs w:val="22"/>
                <w:lang w:val="sr-Latn-CS"/>
              </w:rPr>
              <w:t xml:space="preserve">Južna zona </w:t>
            </w:r>
          </w:p>
          <w:p w:rsidR="002E0C6F" w:rsidRPr="0049470F" w:rsidRDefault="00EE514C" w:rsidP="00B67634">
            <w:pPr>
              <w:spacing w:after="0"/>
              <w:rPr>
                <w:rFonts w:ascii="Constantia" w:hAnsi="Constantia"/>
                <w:szCs w:val="22"/>
                <w:lang w:val="sr-Latn-CS"/>
              </w:rPr>
            </w:pPr>
            <w:r w:rsidRPr="0049470F">
              <w:rPr>
                <w:rFonts w:ascii="Constantia" w:hAnsi="Constantia"/>
                <w:szCs w:val="22"/>
                <w:lang w:val="sr-Latn-CS"/>
              </w:rPr>
              <w:t>u kojoj je neophodno unaprijeđenje kvaliteta vazduha</w:t>
            </w:r>
          </w:p>
        </w:tc>
        <w:tc>
          <w:tcPr>
            <w:tcW w:w="3600" w:type="dxa"/>
          </w:tcPr>
          <w:p w:rsidR="002E0C6F" w:rsidRPr="0049470F" w:rsidRDefault="00EE514C" w:rsidP="00DC25E0">
            <w:pPr>
              <w:cnfStyle w:val="000000100000" w:firstRow="0" w:lastRow="0" w:firstColumn="0" w:lastColumn="0" w:oddVBand="0" w:evenVBand="0" w:oddHBand="1" w:evenHBand="0" w:firstRowFirstColumn="0" w:firstRowLastColumn="0" w:lastRowFirstColumn="0" w:lastRowLastColumn="0"/>
              <w:rPr>
                <w:rFonts w:ascii="Constantia" w:hAnsi="Constantia"/>
                <w:szCs w:val="22"/>
                <w:lang w:val="sr-Latn-CS"/>
              </w:rPr>
            </w:pPr>
            <w:r w:rsidRPr="0049470F">
              <w:rPr>
                <w:rFonts w:ascii="Constantia" w:hAnsi="Constantia"/>
                <w:szCs w:val="22"/>
                <w:lang w:val="sr-Latn-CS"/>
              </w:rPr>
              <w:t>Bar, Cetinje, Nik</w:t>
            </w:r>
            <w:r w:rsidR="00DC25E0" w:rsidRPr="0049470F">
              <w:rPr>
                <w:rFonts w:ascii="Constantia" w:hAnsi="Constantia"/>
                <w:szCs w:val="22"/>
                <w:lang w:val="sr-Latn-CS"/>
              </w:rPr>
              <w:t>š</w:t>
            </w:r>
            <w:r w:rsidRPr="0049470F">
              <w:rPr>
                <w:rFonts w:ascii="Constantia" w:hAnsi="Constantia"/>
                <w:szCs w:val="22"/>
                <w:lang w:val="sr-Latn-CS"/>
              </w:rPr>
              <w:t>ić i Podgorica</w:t>
            </w:r>
          </w:p>
        </w:tc>
      </w:tr>
    </w:tbl>
    <w:p w:rsidR="00916915" w:rsidRPr="00C51593" w:rsidRDefault="00916915" w:rsidP="00916915">
      <w:pPr>
        <w:pStyle w:val="Tabele"/>
        <w:tabs>
          <w:tab w:val="left" w:pos="0"/>
          <w:tab w:val="left" w:pos="1080"/>
        </w:tabs>
        <w:spacing w:after="0"/>
        <w:ind w:left="360"/>
        <w:rPr>
          <w:rFonts w:ascii="Constantia" w:hAnsi="Constantia"/>
          <w:sz w:val="22"/>
          <w:szCs w:val="22"/>
        </w:rPr>
      </w:pPr>
      <w:r w:rsidRPr="00C51593">
        <w:rPr>
          <w:rFonts w:ascii="Constantia" w:hAnsi="Constantia"/>
          <w:sz w:val="22"/>
          <w:szCs w:val="22"/>
        </w:rPr>
        <w:t>Zone kvaliteta vazduha</w:t>
      </w:r>
    </w:p>
    <w:p w:rsidR="00053736" w:rsidRPr="00C51593" w:rsidRDefault="00053736" w:rsidP="00053736">
      <w:pPr>
        <w:tabs>
          <w:tab w:val="left" w:pos="5685"/>
        </w:tabs>
        <w:rPr>
          <w:rFonts w:ascii="Constantia" w:hAnsi="Constantia"/>
        </w:rPr>
      </w:pPr>
      <w:r w:rsidRPr="00C51593">
        <w:rPr>
          <w:rFonts w:ascii="Constantia" w:hAnsi="Constantia"/>
        </w:rPr>
        <w:lastRenderedPageBreak/>
        <w:t>Na EMEP</w:t>
      </w:r>
      <w:r w:rsidR="0017725E" w:rsidRPr="00C51593">
        <w:rPr>
          <w:rStyle w:val="FootnoteReference"/>
          <w:rFonts w:ascii="Constantia" w:hAnsi="Constantia"/>
        </w:rPr>
        <w:footnoteReference w:id="2"/>
      </w:r>
      <w:r w:rsidR="006C6D73">
        <w:rPr>
          <w:rFonts w:ascii="Constantia" w:hAnsi="Constantia"/>
        </w:rPr>
        <w:t xml:space="preserve"> stanici na</w:t>
      </w:r>
      <w:r w:rsidRPr="00C51593">
        <w:rPr>
          <w:rFonts w:ascii="Constantia" w:hAnsi="Constantia"/>
        </w:rPr>
        <w:t xml:space="preserve"> Žabljaku, neophodna je nabavka nove opreme (automatskih uzorkivača i anlizatora), kako bi rezultati mjerenja bili kompatibilni s rezultatima mjerenja na ostalim stanicama u okviru Državne mreže</w:t>
      </w:r>
      <w:r w:rsidR="0017725E" w:rsidRPr="00C51593">
        <w:rPr>
          <w:rFonts w:ascii="Constantia" w:hAnsi="Constantia"/>
        </w:rPr>
        <w:t xml:space="preserve">, </w:t>
      </w:r>
      <w:r w:rsidR="000C6EAB" w:rsidRPr="00C51593">
        <w:rPr>
          <w:rFonts w:ascii="Constantia" w:hAnsi="Constantia"/>
        </w:rPr>
        <w:t>uporedivi sa propisanim vrijednostima</w:t>
      </w:r>
      <w:r w:rsidR="0017725E" w:rsidRPr="00C51593">
        <w:rPr>
          <w:rFonts w:ascii="Constantia" w:hAnsi="Constantia"/>
        </w:rPr>
        <w:t xml:space="preserve"> i</w:t>
      </w:r>
      <w:r w:rsidR="00D070B7" w:rsidRPr="00C51593">
        <w:rPr>
          <w:rFonts w:ascii="Constantia" w:hAnsi="Constantia"/>
        </w:rPr>
        <w:t xml:space="preserve"> usklađeni sa zahtjevima EMEP-a</w:t>
      </w:r>
      <w:r w:rsidR="000C6EAB" w:rsidRPr="00C51593">
        <w:rPr>
          <w:rFonts w:ascii="Constantia" w:hAnsi="Constantia"/>
        </w:rPr>
        <w:t>.</w:t>
      </w:r>
    </w:p>
    <w:p w:rsidR="00480B68" w:rsidRPr="00134093" w:rsidRDefault="00B656BF" w:rsidP="00287090">
      <w:pPr>
        <w:pStyle w:val="Heading2"/>
        <w:ind w:left="720"/>
      </w:pPr>
      <w:bookmarkStart w:id="5" w:name="_Toc393897853"/>
      <w:r w:rsidRPr="00134093">
        <w:t>Rezultati ispitivanja kvaliteta vazduha</w:t>
      </w:r>
      <w:r w:rsidR="00866F5F" w:rsidRPr="00134093">
        <w:t xml:space="preserve"> – Državna mreža</w:t>
      </w:r>
      <w:bookmarkEnd w:id="5"/>
    </w:p>
    <w:p w:rsidR="00B656BF" w:rsidRPr="00134093" w:rsidRDefault="00DB22B7" w:rsidP="00B656BF">
      <w:pPr>
        <w:tabs>
          <w:tab w:val="left" w:pos="5685"/>
        </w:tabs>
        <w:rPr>
          <w:rFonts w:ascii="Constantia" w:hAnsi="Constantia"/>
          <w:lang w:val="sr-Latn-CS"/>
        </w:rPr>
      </w:pPr>
      <w:r w:rsidRPr="00134093">
        <w:rPr>
          <w:rFonts w:ascii="Constantia" w:hAnsi="Constantia"/>
        </w:rPr>
        <w:t>D</w:t>
      </w:r>
      <w:r w:rsidR="006C6D73">
        <w:rPr>
          <w:rFonts w:ascii="Constantia" w:hAnsi="Constantia"/>
        </w:rPr>
        <w:t>.</w:t>
      </w:r>
      <w:r w:rsidRPr="00134093">
        <w:rPr>
          <w:rFonts w:ascii="Constantia" w:hAnsi="Constantia"/>
        </w:rPr>
        <w:t>O</w:t>
      </w:r>
      <w:r w:rsidR="006C6D73">
        <w:rPr>
          <w:rFonts w:ascii="Constantia" w:hAnsi="Constantia"/>
        </w:rPr>
        <w:t>.</w:t>
      </w:r>
      <w:r w:rsidRPr="00134093">
        <w:rPr>
          <w:rFonts w:ascii="Constantia" w:hAnsi="Constantia"/>
        </w:rPr>
        <w:t>O</w:t>
      </w:r>
      <w:r w:rsidR="006C6D73">
        <w:rPr>
          <w:rFonts w:ascii="Constantia" w:hAnsi="Constantia"/>
        </w:rPr>
        <w:t>.</w:t>
      </w:r>
      <w:r w:rsidR="00B656BF" w:rsidRPr="00134093">
        <w:rPr>
          <w:rFonts w:ascii="Constantia" w:hAnsi="Constantia"/>
        </w:rPr>
        <w:t xml:space="preserve"> </w:t>
      </w:r>
      <w:r w:rsidR="006C6D73">
        <w:rPr>
          <w:rFonts w:ascii="Constantia" w:hAnsi="Constantia"/>
        </w:rPr>
        <w:t>“</w:t>
      </w:r>
      <w:r w:rsidR="00B656BF" w:rsidRPr="00134093">
        <w:rPr>
          <w:rFonts w:ascii="Constantia" w:hAnsi="Constantia"/>
        </w:rPr>
        <w:t>Centar za ekotoksikološka ispitivanja Crne Gore</w:t>
      </w:r>
      <w:r w:rsidR="006C6D73">
        <w:rPr>
          <w:rFonts w:ascii="Constantia" w:hAnsi="Constantia"/>
        </w:rPr>
        <w:t>”</w:t>
      </w:r>
      <w:r w:rsidR="00B656BF" w:rsidRPr="00134093">
        <w:rPr>
          <w:rFonts w:ascii="Constantia" w:hAnsi="Constantia"/>
        </w:rPr>
        <w:t xml:space="preserve"> (CETI), realizovao </w:t>
      </w:r>
      <w:r w:rsidR="0094225F" w:rsidRPr="00134093">
        <w:rPr>
          <w:rFonts w:ascii="Constantia" w:hAnsi="Constantia"/>
        </w:rPr>
        <w:t xml:space="preserve">je </w:t>
      </w:r>
      <w:r w:rsidR="00B656BF" w:rsidRPr="00134093">
        <w:rPr>
          <w:rFonts w:ascii="Constantia" w:hAnsi="Constantia"/>
        </w:rPr>
        <w:t>Program kontrole kva</w:t>
      </w:r>
      <w:r w:rsidRPr="00134093">
        <w:rPr>
          <w:rFonts w:ascii="Constantia" w:hAnsi="Constantia"/>
        </w:rPr>
        <w:t>liteta vazduha Crne Gore za 2013</w:t>
      </w:r>
      <w:r w:rsidR="00B656BF" w:rsidRPr="00134093">
        <w:rPr>
          <w:rFonts w:ascii="Constantia" w:hAnsi="Constantia"/>
        </w:rPr>
        <w:t>.</w:t>
      </w:r>
      <w:r w:rsidR="006C6D73">
        <w:rPr>
          <w:rFonts w:ascii="Constantia" w:hAnsi="Constantia"/>
        </w:rPr>
        <w:t xml:space="preserve"> </w:t>
      </w:r>
      <w:r w:rsidR="00B656BF" w:rsidRPr="00134093">
        <w:rPr>
          <w:rFonts w:ascii="Constantia" w:hAnsi="Constantia"/>
        </w:rPr>
        <w:t>godinu. Programom je obuhvaćeno sistematsko mjerenje imisije zagađujućih materija u vazduhu na automatskim mjernim stanicama.</w:t>
      </w:r>
    </w:p>
    <w:p w:rsidR="00480B68" w:rsidRPr="00A46632" w:rsidRDefault="002B5385" w:rsidP="007468D3">
      <w:pPr>
        <w:pStyle w:val="Heading3"/>
      </w:pPr>
      <w:bookmarkStart w:id="6" w:name="_Toc393897854"/>
      <w:r>
        <w:t xml:space="preserve">1.1.1   </w:t>
      </w:r>
      <w:r w:rsidR="00480B68" w:rsidRPr="007468D3">
        <w:t>Podgorica</w:t>
      </w:r>
      <w:bookmarkEnd w:id="6"/>
    </w:p>
    <w:p w:rsidR="00480B68" w:rsidRPr="00A46632" w:rsidRDefault="00355E75" w:rsidP="00480B68">
      <w:pPr>
        <w:tabs>
          <w:tab w:val="left" w:pos="5685"/>
        </w:tabs>
        <w:rPr>
          <w:rFonts w:ascii="Constantia" w:hAnsi="Constantia"/>
          <w:b/>
        </w:rPr>
      </w:pPr>
      <w:r w:rsidRPr="00A46632">
        <w:rPr>
          <w:rFonts w:ascii="Constantia" w:hAnsi="Constantia"/>
        </w:rPr>
        <w:t>U</w:t>
      </w:r>
      <w:r w:rsidR="00480B68" w:rsidRPr="00A46632">
        <w:rPr>
          <w:rFonts w:ascii="Constantia" w:hAnsi="Constantia"/>
        </w:rPr>
        <w:t xml:space="preserve"> Podgorici </w:t>
      </w:r>
      <w:r w:rsidRPr="00A46632">
        <w:rPr>
          <w:rFonts w:ascii="Constantia" w:hAnsi="Constantia"/>
        </w:rPr>
        <w:t xml:space="preserve">su </w:t>
      </w:r>
      <w:r w:rsidR="00480B68" w:rsidRPr="00A46632">
        <w:rPr>
          <w:rFonts w:ascii="Constantia" w:hAnsi="Constantia"/>
        </w:rPr>
        <w:t>vršena kontinu</w:t>
      </w:r>
      <w:r w:rsidR="0094225F" w:rsidRPr="00A46632">
        <w:rPr>
          <w:rFonts w:ascii="Constantia" w:hAnsi="Constantia"/>
        </w:rPr>
        <w:t>irana</w:t>
      </w:r>
      <w:r w:rsidR="00480B68" w:rsidRPr="00A46632">
        <w:rPr>
          <w:rFonts w:ascii="Constantia" w:hAnsi="Constantia"/>
        </w:rPr>
        <w:t xml:space="preserve"> mjerenja zagađujućih materija</w:t>
      </w:r>
      <w:r w:rsidR="002638DC" w:rsidRPr="00A46632">
        <w:rPr>
          <w:rFonts w:ascii="Constantia" w:hAnsi="Constantia"/>
        </w:rPr>
        <w:t>:</w:t>
      </w:r>
      <w:r w:rsidR="00790829">
        <w:rPr>
          <w:rFonts w:ascii="Constantia" w:hAnsi="Constantia"/>
        </w:rPr>
        <w:t xml:space="preserve"> </w:t>
      </w:r>
      <w:r w:rsidR="007E3305" w:rsidRPr="00A46632">
        <w:rPr>
          <w:rFonts w:ascii="Constantia" w:hAnsi="Constantia"/>
          <w:b/>
        </w:rPr>
        <w:t>azot(II)</w:t>
      </w:r>
      <w:r w:rsidR="00480B68" w:rsidRPr="00A46632">
        <w:rPr>
          <w:rFonts w:ascii="Constantia" w:hAnsi="Constantia"/>
          <w:b/>
        </w:rPr>
        <w:t>oksida</w:t>
      </w:r>
      <w:r w:rsidR="00393880">
        <w:rPr>
          <w:rFonts w:ascii="Constantia" w:hAnsi="Constantia"/>
          <w:b/>
        </w:rPr>
        <w:t xml:space="preserve"> </w:t>
      </w:r>
      <w:r w:rsidR="00600001" w:rsidRPr="00A46632">
        <w:rPr>
          <w:rFonts w:ascii="Constantia" w:hAnsi="Constantia"/>
          <w:b/>
          <w:lang w:val="sr-Latn-CS"/>
        </w:rPr>
        <w:t>(NO)</w:t>
      </w:r>
      <w:r w:rsidR="00480B68" w:rsidRPr="00A46632">
        <w:rPr>
          <w:rFonts w:ascii="Constantia" w:hAnsi="Constantia"/>
          <w:b/>
        </w:rPr>
        <w:t>, azot</w:t>
      </w:r>
      <w:r w:rsidR="007E3305" w:rsidRPr="00A46632">
        <w:rPr>
          <w:rFonts w:ascii="Constantia" w:hAnsi="Constantia"/>
          <w:b/>
        </w:rPr>
        <w:t>(IV)</w:t>
      </w:r>
      <w:r w:rsidR="00480B68" w:rsidRPr="00A46632">
        <w:rPr>
          <w:rFonts w:ascii="Constantia" w:hAnsi="Constantia"/>
          <w:b/>
        </w:rPr>
        <w:t>oksida</w:t>
      </w:r>
      <w:r w:rsidR="00600001" w:rsidRPr="00A46632">
        <w:rPr>
          <w:rFonts w:ascii="Constantia" w:hAnsi="Constantia"/>
          <w:b/>
        </w:rPr>
        <w:t xml:space="preserve"> (NO</w:t>
      </w:r>
      <w:r w:rsidR="00600001" w:rsidRPr="00A46632">
        <w:rPr>
          <w:rFonts w:ascii="Constantia" w:hAnsi="Constantia"/>
          <w:b/>
          <w:vertAlign w:val="subscript"/>
        </w:rPr>
        <w:t>2</w:t>
      </w:r>
      <w:r w:rsidR="00600001" w:rsidRPr="00A46632">
        <w:rPr>
          <w:rFonts w:ascii="Constantia" w:hAnsi="Constantia"/>
          <w:b/>
        </w:rPr>
        <w:t>)</w:t>
      </w:r>
      <w:r w:rsidR="00480B68" w:rsidRPr="00A46632">
        <w:rPr>
          <w:rFonts w:ascii="Constantia" w:hAnsi="Constantia"/>
          <w:b/>
        </w:rPr>
        <w:t>, ukupnih azotnih oksida</w:t>
      </w:r>
      <w:r w:rsidR="00600001" w:rsidRPr="00A46632">
        <w:rPr>
          <w:rFonts w:ascii="Constantia" w:hAnsi="Constantia"/>
          <w:b/>
        </w:rPr>
        <w:t xml:space="preserve"> (NO</w:t>
      </w:r>
      <w:r w:rsidR="00600001" w:rsidRPr="00A46632">
        <w:rPr>
          <w:rFonts w:ascii="Constantia" w:hAnsi="Constantia"/>
          <w:b/>
          <w:vertAlign w:val="subscript"/>
        </w:rPr>
        <w:t>x</w:t>
      </w:r>
      <w:r w:rsidR="00600001" w:rsidRPr="00A46632">
        <w:rPr>
          <w:rFonts w:ascii="Constantia" w:hAnsi="Constantia"/>
          <w:b/>
        </w:rPr>
        <w:t>)</w:t>
      </w:r>
      <w:r w:rsidR="00480B68" w:rsidRPr="00A46632">
        <w:rPr>
          <w:rFonts w:ascii="Constantia" w:hAnsi="Constantia"/>
          <w:b/>
        </w:rPr>
        <w:t>, ugljen</w:t>
      </w:r>
      <w:r w:rsidR="007E3305" w:rsidRPr="00A46632">
        <w:rPr>
          <w:rFonts w:ascii="Constantia" w:hAnsi="Constantia"/>
          <w:b/>
        </w:rPr>
        <w:t>(II)</w:t>
      </w:r>
      <w:r w:rsidR="00480B68" w:rsidRPr="00A46632">
        <w:rPr>
          <w:rFonts w:ascii="Constantia" w:hAnsi="Constantia"/>
          <w:b/>
        </w:rPr>
        <w:t>oksida</w:t>
      </w:r>
      <w:r w:rsidR="00600001" w:rsidRPr="00A46632">
        <w:rPr>
          <w:rFonts w:ascii="Constantia" w:hAnsi="Constantia"/>
          <w:b/>
        </w:rPr>
        <w:t xml:space="preserve"> (CO)</w:t>
      </w:r>
      <w:r w:rsidR="00480B68" w:rsidRPr="00A46632">
        <w:rPr>
          <w:rFonts w:ascii="Constantia" w:hAnsi="Constantia"/>
          <w:b/>
        </w:rPr>
        <w:t>, PM</w:t>
      </w:r>
      <w:r w:rsidR="00480B68" w:rsidRPr="00A46632">
        <w:rPr>
          <w:rFonts w:ascii="Constantia" w:hAnsi="Constantia"/>
          <w:b/>
          <w:vertAlign w:val="subscript"/>
        </w:rPr>
        <w:t>10</w:t>
      </w:r>
      <w:r w:rsidR="00480B68" w:rsidRPr="00A46632">
        <w:rPr>
          <w:rFonts w:ascii="Constantia" w:hAnsi="Constantia"/>
          <w:b/>
        </w:rPr>
        <w:t xml:space="preserve"> čestica, sadržaja olova</w:t>
      </w:r>
      <w:r w:rsidR="00600001" w:rsidRPr="00A46632">
        <w:rPr>
          <w:rFonts w:ascii="Constantia" w:hAnsi="Constantia"/>
          <w:b/>
        </w:rPr>
        <w:t xml:space="preserve"> (Pb)</w:t>
      </w:r>
      <w:r w:rsidR="00A46632">
        <w:rPr>
          <w:rFonts w:ascii="Constantia" w:hAnsi="Constantia"/>
          <w:b/>
        </w:rPr>
        <w:t>, benzo</w:t>
      </w:r>
      <w:r w:rsidR="00480B68" w:rsidRPr="00A46632">
        <w:rPr>
          <w:rFonts w:ascii="Constantia" w:hAnsi="Constantia"/>
          <w:b/>
        </w:rPr>
        <w:t>(a)pirena</w:t>
      </w:r>
      <w:r w:rsidR="00600001" w:rsidRPr="00A46632">
        <w:rPr>
          <w:rFonts w:ascii="Constantia" w:hAnsi="Constantia"/>
          <w:b/>
        </w:rPr>
        <w:t xml:space="preserve"> (BaP)</w:t>
      </w:r>
      <w:r w:rsidR="00480B68" w:rsidRPr="00A46632">
        <w:rPr>
          <w:rFonts w:ascii="Constantia" w:hAnsi="Constantia"/>
          <w:b/>
        </w:rPr>
        <w:t>, relevantnih predstavnika P</w:t>
      </w:r>
      <w:r w:rsidR="00A46632">
        <w:rPr>
          <w:rFonts w:ascii="Constantia" w:hAnsi="Constantia"/>
          <w:b/>
        </w:rPr>
        <w:t>AH-</w:t>
      </w:r>
      <w:r w:rsidR="0061506A">
        <w:rPr>
          <w:rFonts w:ascii="Constantia" w:hAnsi="Constantia"/>
          <w:b/>
        </w:rPr>
        <w:t>ova</w:t>
      </w:r>
      <w:r w:rsidR="00A46632">
        <w:rPr>
          <w:rFonts w:ascii="Constantia" w:hAnsi="Constantia"/>
          <w:b/>
        </w:rPr>
        <w:t xml:space="preserve"> (markera benzo</w:t>
      </w:r>
      <w:r w:rsidR="00F03093" w:rsidRPr="00A46632">
        <w:rPr>
          <w:rFonts w:ascii="Constantia" w:hAnsi="Constantia"/>
          <w:b/>
        </w:rPr>
        <w:t>(a)pirena) i</w:t>
      </w:r>
      <w:r w:rsidR="00480B68" w:rsidRPr="00A46632">
        <w:rPr>
          <w:rFonts w:ascii="Constantia" w:hAnsi="Constantia"/>
          <w:b/>
        </w:rPr>
        <w:t xml:space="preserve"> ukupnih PAH-</w:t>
      </w:r>
      <w:r w:rsidR="0061506A">
        <w:rPr>
          <w:rFonts w:ascii="Constantia" w:hAnsi="Constantia"/>
          <w:b/>
        </w:rPr>
        <w:t>ova</w:t>
      </w:r>
      <w:r w:rsidR="00480B68" w:rsidRPr="00A46632">
        <w:rPr>
          <w:rFonts w:ascii="Constantia" w:hAnsi="Constantia"/>
          <w:b/>
        </w:rPr>
        <w:t xml:space="preserve"> u PM</w:t>
      </w:r>
      <w:r w:rsidR="00480B68" w:rsidRPr="00A46632">
        <w:rPr>
          <w:rFonts w:ascii="Constantia" w:hAnsi="Constantia"/>
          <w:b/>
          <w:vertAlign w:val="subscript"/>
        </w:rPr>
        <w:t>10</w:t>
      </w:r>
      <w:r w:rsidR="00480B68" w:rsidRPr="00A46632">
        <w:rPr>
          <w:rFonts w:ascii="Constantia" w:hAnsi="Constantia"/>
          <w:b/>
        </w:rPr>
        <w:t>.</w:t>
      </w:r>
    </w:p>
    <w:p w:rsidR="009E551E" w:rsidRPr="00A46632" w:rsidRDefault="00D61053" w:rsidP="009E551E">
      <w:pPr>
        <w:rPr>
          <w:rFonts w:ascii="Constantia" w:hAnsi="Constantia"/>
          <w:lang w:val="sr-Latn-CS"/>
        </w:rPr>
      </w:pPr>
      <w:r w:rsidRPr="00A46632">
        <w:rPr>
          <w:rFonts w:ascii="Constantia" w:hAnsi="Constantia"/>
          <w:lang w:val="sr-Latn-CS"/>
        </w:rPr>
        <w:t xml:space="preserve">Na </w:t>
      </w:r>
      <w:r w:rsidRPr="00A46632">
        <w:rPr>
          <w:rFonts w:ascii="Constantia" w:hAnsi="Constantia"/>
          <w:i/>
          <w:lang w:val="sr-Latn-CS"/>
        </w:rPr>
        <w:t>G</w:t>
      </w:r>
      <w:r w:rsidR="009E551E" w:rsidRPr="00A46632">
        <w:rPr>
          <w:rFonts w:ascii="Constantia" w:hAnsi="Constantia"/>
          <w:i/>
          <w:lang w:val="sr-Latn-CS"/>
        </w:rPr>
        <w:t>rafikonu 1</w:t>
      </w:r>
      <w:r w:rsidRPr="00A46632">
        <w:rPr>
          <w:rFonts w:ascii="Constantia" w:hAnsi="Constantia"/>
          <w:i/>
          <w:lang w:val="sr-Latn-CS"/>
        </w:rPr>
        <w:t>.</w:t>
      </w:r>
      <w:r w:rsidR="009E551E" w:rsidRPr="00A46632">
        <w:rPr>
          <w:rFonts w:ascii="Constantia" w:hAnsi="Constantia"/>
          <w:lang w:val="sr-Latn-CS"/>
        </w:rPr>
        <w:t xml:space="preserve"> prikazane su koncentracije NO</w:t>
      </w:r>
      <w:r w:rsidR="009E551E" w:rsidRPr="00A46632">
        <w:rPr>
          <w:rFonts w:ascii="Constantia" w:hAnsi="Constantia"/>
          <w:vertAlign w:val="subscript"/>
          <w:lang w:val="sr-Latn-CS"/>
        </w:rPr>
        <w:t>2</w:t>
      </w:r>
      <w:r w:rsidR="009E551E" w:rsidRPr="00A46632">
        <w:rPr>
          <w:rFonts w:ascii="Constantia" w:hAnsi="Constantia"/>
          <w:lang w:val="sr-Latn-CS"/>
        </w:rPr>
        <w:t xml:space="preserve"> u vazduhu (maksimalne jednočasovne </w:t>
      </w:r>
      <w:r w:rsidR="00D333C1" w:rsidRPr="00A46632">
        <w:rPr>
          <w:rFonts w:ascii="Constantia" w:hAnsi="Constantia"/>
          <w:lang w:val="sr-Latn-CS"/>
        </w:rPr>
        <w:t>i srednje mjesečne koncentracije</w:t>
      </w:r>
      <w:r w:rsidR="0061632D" w:rsidRPr="00A46632">
        <w:rPr>
          <w:rFonts w:ascii="Constantia" w:hAnsi="Constantia"/>
          <w:lang w:val="sr-Latn-CS"/>
        </w:rPr>
        <w:t>) izmjerene tokom 2013</w:t>
      </w:r>
      <w:r w:rsidR="009E551E" w:rsidRPr="00A46632">
        <w:rPr>
          <w:rFonts w:ascii="Constantia" w:hAnsi="Constantia"/>
          <w:lang w:val="sr-Latn-CS"/>
        </w:rPr>
        <w:t>. godine.</w:t>
      </w:r>
    </w:p>
    <w:p w:rsidR="000E6C87" w:rsidRPr="00F84A21" w:rsidRDefault="000E6C87" w:rsidP="0017542C">
      <w:pPr>
        <w:spacing w:after="0"/>
        <w:jc w:val="center"/>
        <w:rPr>
          <w:lang w:val="sr-Latn-CS"/>
        </w:rPr>
      </w:pPr>
      <w:r>
        <w:rPr>
          <w:noProof/>
        </w:rPr>
        <w:drawing>
          <wp:inline distT="0" distB="0" distL="0" distR="0" wp14:anchorId="104A02B0" wp14:editId="0255C301">
            <wp:extent cx="4695825" cy="2590800"/>
            <wp:effectExtent l="0" t="0" r="0" b="0"/>
            <wp:docPr id="10"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E551E" w:rsidRDefault="009E551E" w:rsidP="009E551E">
      <w:pPr>
        <w:pStyle w:val="Grafikon"/>
        <w:ind w:left="144" w:hanging="144"/>
        <w:rPr>
          <w:rFonts w:ascii="Constantia" w:hAnsi="Constantia"/>
          <w:sz w:val="22"/>
          <w:szCs w:val="22"/>
        </w:rPr>
      </w:pPr>
      <w:r w:rsidRPr="00F84C33">
        <w:rPr>
          <w:rFonts w:ascii="Constantia" w:hAnsi="Constantia"/>
          <w:sz w:val="22"/>
          <w:szCs w:val="22"/>
        </w:rPr>
        <w:t>Koncentracija NO</w:t>
      </w:r>
      <w:r w:rsidRPr="00F84C33">
        <w:rPr>
          <w:rFonts w:ascii="Constantia" w:hAnsi="Constantia"/>
          <w:sz w:val="22"/>
          <w:szCs w:val="22"/>
          <w:vertAlign w:val="subscript"/>
        </w:rPr>
        <w:t>2</w:t>
      </w:r>
      <w:r w:rsidRPr="00F84C33">
        <w:rPr>
          <w:rFonts w:ascii="Constantia" w:hAnsi="Constantia"/>
          <w:sz w:val="22"/>
          <w:szCs w:val="22"/>
        </w:rPr>
        <w:t xml:space="preserve"> u vazduhu</w:t>
      </w:r>
      <w:r w:rsidR="00393880">
        <w:rPr>
          <w:rFonts w:ascii="Constantia" w:hAnsi="Constantia"/>
          <w:sz w:val="22"/>
          <w:szCs w:val="22"/>
        </w:rPr>
        <w:t xml:space="preserve"> </w:t>
      </w:r>
      <w:r w:rsidR="008652D0">
        <w:rPr>
          <w:rFonts w:ascii="Constantia" w:hAnsi="Constantia"/>
          <w:sz w:val="22"/>
          <w:szCs w:val="22"/>
        </w:rPr>
        <w:t>–</w:t>
      </w:r>
      <w:r w:rsidR="00393880">
        <w:rPr>
          <w:rFonts w:ascii="Constantia" w:hAnsi="Constantia"/>
          <w:sz w:val="22"/>
          <w:szCs w:val="22"/>
        </w:rPr>
        <w:t xml:space="preserve"> </w:t>
      </w:r>
      <w:r w:rsidRPr="00F84C33">
        <w:rPr>
          <w:rFonts w:ascii="Constantia" w:hAnsi="Constantia"/>
          <w:sz w:val="22"/>
          <w:szCs w:val="22"/>
        </w:rPr>
        <w:t>Podgorica</w:t>
      </w:r>
    </w:p>
    <w:p w:rsidR="008652D0" w:rsidRPr="00F84C33" w:rsidRDefault="008652D0" w:rsidP="008652D0">
      <w:pPr>
        <w:pStyle w:val="Grafikon"/>
        <w:numPr>
          <w:ilvl w:val="0"/>
          <w:numId w:val="0"/>
        </w:numPr>
        <w:spacing w:after="0"/>
        <w:ind w:left="144"/>
        <w:jc w:val="both"/>
        <w:rPr>
          <w:rFonts w:ascii="Constantia" w:hAnsi="Constantia"/>
          <w:sz w:val="22"/>
          <w:szCs w:val="22"/>
        </w:rPr>
      </w:pPr>
    </w:p>
    <w:p w:rsidR="00181D60" w:rsidRPr="00A46632" w:rsidRDefault="006F4114" w:rsidP="00181D60">
      <w:pPr>
        <w:pStyle w:val="Grafikon"/>
        <w:numPr>
          <w:ilvl w:val="0"/>
          <w:numId w:val="0"/>
        </w:numPr>
        <w:jc w:val="both"/>
        <w:rPr>
          <w:rFonts w:ascii="Constantia" w:hAnsi="Constantia"/>
        </w:rPr>
      </w:pPr>
      <w:r w:rsidRPr="00A46632">
        <w:rPr>
          <w:rFonts w:ascii="Constantia" w:hAnsi="Constantia"/>
          <w:i w:val="0"/>
          <w:sz w:val="22"/>
        </w:rPr>
        <w:t xml:space="preserve">Sve jednočasovne srednje vrijednosti </w:t>
      </w:r>
      <w:r w:rsidR="00FF0633" w:rsidRPr="00A46632">
        <w:rPr>
          <w:rFonts w:ascii="Constantia" w:hAnsi="Constantia"/>
          <w:i w:val="0"/>
          <w:sz w:val="22"/>
        </w:rPr>
        <w:t>azot(IV)oksida (NO</w:t>
      </w:r>
      <w:r w:rsidR="00FF0633" w:rsidRPr="00A46632">
        <w:rPr>
          <w:rFonts w:ascii="Constantia" w:hAnsi="Constantia"/>
          <w:i w:val="0"/>
          <w:sz w:val="22"/>
          <w:vertAlign w:val="subscript"/>
        </w:rPr>
        <w:t>2</w:t>
      </w:r>
      <w:r w:rsidR="00FF0633" w:rsidRPr="00A46632">
        <w:rPr>
          <w:rFonts w:ascii="Constantia" w:hAnsi="Constantia"/>
          <w:i w:val="0"/>
          <w:sz w:val="22"/>
        </w:rPr>
        <w:t xml:space="preserve">) </w:t>
      </w:r>
      <w:r w:rsidRPr="00A46632">
        <w:rPr>
          <w:rFonts w:ascii="Constantia" w:hAnsi="Constantia"/>
          <w:i w:val="0"/>
          <w:sz w:val="22"/>
        </w:rPr>
        <w:t>su bile ispod prop</w:t>
      </w:r>
      <w:r w:rsidR="005D4DAA">
        <w:rPr>
          <w:rFonts w:ascii="Constantia" w:hAnsi="Constantia"/>
          <w:i w:val="0"/>
          <w:sz w:val="22"/>
        </w:rPr>
        <w:t xml:space="preserve">isane granične vrijednosti (200 </w:t>
      </w:r>
      <w:r w:rsidRPr="00A46632">
        <w:rPr>
          <w:rFonts w:ascii="Constantia" w:hAnsi="Constantia"/>
          <w:i w:val="0"/>
          <w:sz w:val="22"/>
        </w:rPr>
        <w:t>μg/m</w:t>
      </w:r>
      <w:r w:rsidRPr="00A46632">
        <w:rPr>
          <w:rFonts w:ascii="Constantia" w:hAnsi="Constantia"/>
          <w:i w:val="0"/>
          <w:sz w:val="22"/>
          <w:vertAlign w:val="superscript"/>
        </w:rPr>
        <w:t>3</w:t>
      </w:r>
      <w:r w:rsidRPr="00A46632">
        <w:rPr>
          <w:rFonts w:ascii="Constantia" w:hAnsi="Constantia"/>
          <w:i w:val="0"/>
          <w:sz w:val="22"/>
        </w:rPr>
        <w:t>).</w:t>
      </w:r>
      <w:r w:rsidR="00526B9D">
        <w:rPr>
          <w:rFonts w:ascii="Constantia" w:hAnsi="Constantia"/>
          <w:i w:val="0"/>
          <w:sz w:val="22"/>
        </w:rPr>
        <w:t xml:space="preserve"> </w:t>
      </w:r>
      <w:r w:rsidR="003502A5" w:rsidRPr="00A46632">
        <w:rPr>
          <w:rFonts w:ascii="Constantia" w:hAnsi="Constantia"/>
          <w:i w:val="0"/>
          <w:sz w:val="22"/>
        </w:rPr>
        <w:t>U skladu sa Uredbom</w:t>
      </w:r>
      <w:r w:rsidR="00526B9D">
        <w:rPr>
          <w:rFonts w:ascii="Constantia" w:hAnsi="Constantia"/>
          <w:i w:val="0"/>
          <w:sz w:val="22"/>
        </w:rPr>
        <w:t>,</w:t>
      </w:r>
      <w:r w:rsidR="003502A5" w:rsidRPr="00A46632">
        <w:rPr>
          <w:rFonts w:ascii="Constantia" w:hAnsi="Constantia"/>
          <w:i w:val="0"/>
          <w:sz w:val="22"/>
        </w:rPr>
        <w:t xml:space="preserve"> g</w:t>
      </w:r>
      <w:r w:rsidR="00181D60" w:rsidRPr="00A46632">
        <w:rPr>
          <w:rFonts w:ascii="Constantia" w:hAnsi="Constantia"/>
          <w:i w:val="0"/>
          <w:sz w:val="22"/>
        </w:rPr>
        <w:t xml:space="preserve">ranična vrijednost za jednočasovne srednje vrijednosti ne smije biti prekoračena preko 18 puta godišnje, </w:t>
      </w:r>
      <w:r w:rsidR="003502A5" w:rsidRPr="00A46632">
        <w:rPr>
          <w:rFonts w:ascii="Constantia" w:hAnsi="Constantia"/>
          <w:i w:val="0"/>
          <w:sz w:val="22"/>
        </w:rPr>
        <w:t xml:space="preserve">što znači da je po osnovu ovog parametra vazduh bio zadovoljavajućeg kvaliteta. Srednja godišnja koncentracija je iznosila </w:t>
      </w:r>
      <w:r w:rsidR="00E9425A" w:rsidRPr="00A46632">
        <w:rPr>
          <w:rFonts w:ascii="Constantia" w:hAnsi="Constantia"/>
          <w:i w:val="0"/>
          <w:sz w:val="22"/>
        </w:rPr>
        <w:t>25,45</w:t>
      </w:r>
      <w:r w:rsidR="00526B9D">
        <w:rPr>
          <w:rFonts w:ascii="Constantia" w:hAnsi="Constantia"/>
          <w:i w:val="0"/>
          <w:sz w:val="22"/>
        </w:rPr>
        <w:t xml:space="preserve"> </w:t>
      </w:r>
      <w:r w:rsidR="003502A5" w:rsidRPr="00A46632">
        <w:rPr>
          <w:rFonts w:ascii="Constantia" w:hAnsi="Constantia"/>
          <w:i w:val="0"/>
          <w:sz w:val="22"/>
        </w:rPr>
        <w:t>μg/m</w:t>
      </w:r>
      <w:r w:rsidR="003502A5" w:rsidRPr="00A46632">
        <w:rPr>
          <w:rFonts w:ascii="Constantia" w:hAnsi="Constantia"/>
          <w:i w:val="0"/>
          <w:sz w:val="22"/>
          <w:vertAlign w:val="superscript"/>
        </w:rPr>
        <w:t>3</w:t>
      </w:r>
      <w:r w:rsidR="00F03093" w:rsidRPr="00A46632">
        <w:rPr>
          <w:rFonts w:ascii="Constantia" w:hAnsi="Constantia"/>
          <w:i w:val="0"/>
          <w:sz w:val="22"/>
        </w:rPr>
        <w:t>, što je ispod</w:t>
      </w:r>
      <w:r w:rsidR="003502A5" w:rsidRPr="00A46632">
        <w:rPr>
          <w:rFonts w:ascii="Constantia" w:hAnsi="Constantia"/>
          <w:i w:val="0"/>
          <w:sz w:val="22"/>
        </w:rPr>
        <w:t xml:space="preserve"> propisane srednje godišnje granične vrijednosti </w:t>
      </w:r>
      <w:r w:rsidR="00A23A51" w:rsidRPr="00A46632">
        <w:rPr>
          <w:rFonts w:ascii="Constantia" w:hAnsi="Constantia"/>
          <w:i w:val="0"/>
          <w:sz w:val="22"/>
        </w:rPr>
        <w:t>(</w:t>
      </w:r>
      <w:r w:rsidR="003502A5" w:rsidRPr="00A46632">
        <w:rPr>
          <w:rFonts w:ascii="Constantia" w:hAnsi="Constantia"/>
          <w:i w:val="0"/>
          <w:sz w:val="22"/>
        </w:rPr>
        <w:t>40μg/m</w:t>
      </w:r>
      <w:r w:rsidR="003502A5" w:rsidRPr="00A46632">
        <w:rPr>
          <w:rFonts w:ascii="Constantia" w:hAnsi="Constantia"/>
          <w:i w:val="0"/>
          <w:sz w:val="22"/>
          <w:vertAlign w:val="superscript"/>
        </w:rPr>
        <w:t>3</w:t>
      </w:r>
      <w:r w:rsidR="00A23A51" w:rsidRPr="00A46632">
        <w:rPr>
          <w:rFonts w:ascii="Constantia" w:hAnsi="Constantia"/>
          <w:i w:val="0"/>
          <w:sz w:val="22"/>
        </w:rPr>
        <w:t>)</w:t>
      </w:r>
      <w:r w:rsidR="003502A5" w:rsidRPr="00A46632">
        <w:rPr>
          <w:rFonts w:ascii="Constantia" w:hAnsi="Constantia"/>
          <w:i w:val="0"/>
          <w:sz w:val="22"/>
        </w:rPr>
        <w:t xml:space="preserve">.  </w:t>
      </w:r>
    </w:p>
    <w:p w:rsidR="00AC7368" w:rsidRPr="00A46632" w:rsidRDefault="008B5ECC" w:rsidP="00AC7368">
      <w:pPr>
        <w:rPr>
          <w:rFonts w:ascii="Constantia" w:hAnsi="Constantia"/>
          <w:lang w:val="sr-Latn-CS"/>
        </w:rPr>
      </w:pPr>
      <w:r w:rsidRPr="00A46632">
        <w:rPr>
          <w:rFonts w:ascii="Constantia" w:hAnsi="Constantia"/>
          <w:lang w:val="sr-Latn-CS"/>
        </w:rPr>
        <w:lastRenderedPageBreak/>
        <w:t xml:space="preserve">Na </w:t>
      </w:r>
      <w:r w:rsidRPr="00A46632">
        <w:rPr>
          <w:rFonts w:ascii="Constantia" w:hAnsi="Constantia"/>
          <w:i/>
          <w:lang w:val="sr-Latn-CS"/>
        </w:rPr>
        <w:t>G</w:t>
      </w:r>
      <w:r w:rsidR="00AC7368" w:rsidRPr="00A46632">
        <w:rPr>
          <w:rFonts w:ascii="Constantia" w:hAnsi="Constantia"/>
          <w:i/>
          <w:lang w:val="sr-Latn-CS"/>
        </w:rPr>
        <w:t>rafikonu 2</w:t>
      </w:r>
      <w:r w:rsidRPr="00A46632">
        <w:rPr>
          <w:rFonts w:ascii="Constantia" w:hAnsi="Constantia"/>
          <w:i/>
          <w:lang w:val="sr-Latn-CS"/>
        </w:rPr>
        <w:t>.</w:t>
      </w:r>
      <w:r w:rsidR="00AC7368" w:rsidRPr="00A46632">
        <w:rPr>
          <w:rFonts w:ascii="Constantia" w:hAnsi="Constantia"/>
          <w:lang w:val="sr-Latn-CS"/>
        </w:rPr>
        <w:t xml:space="preserve"> prikazane su </w:t>
      </w:r>
      <w:r w:rsidR="008F5336" w:rsidRPr="00A46632">
        <w:rPr>
          <w:rFonts w:ascii="Constantia" w:hAnsi="Constantia"/>
          <w:lang w:val="sr-Latn-CS"/>
        </w:rPr>
        <w:t xml:space="preserve">maksimalne osmočasovne srednje </w:t>
      </w:r>
      <w:r w:rsidR="00661609" w:rsidRPr="00A46632">
        <w:rPr>
          <w:rFonts w:ascii="Constantia" w:hAnsi="Constantia"/>
          <w:lang w:val="sr-Latn-CS"/>
        </w:rPr>
        <w:t xml:space="preserve">i srednje mjesečne koncentracije </w:t>
      </w:r>
      <w:r w:rsidR="00661609" w:rsidRPr="00A46632">
        <w:rPr>
          <w:rFonts w:ascii="Constantia" w:hAnsi="Constantia"/>
        </w:rPr>
        <w:t>ugljen(II)oksida (CO)</w:t>
      </w:r>
      <w:r w:rsidR="00AC7368" w:rsidRPr="00A46632">
        <w:rPr>
          <w:rFonts w:ascii="Constantia" w:hAnsi="Constantia"/>
          <w:lang w:val="sr-Latn-CS"/>
        </w:rPr>
        <w:t xml:space="preserve"> u vazduhu </w:t>
      </w:r>
      <w:r w:rsidR="002264BD" w:rsidRPr="00A46632">
        <w:rPr>
          <w:rFonts w:ascii="Constantia" w:hAnsi="Constantia"/>
          <w:lang w:val="sr-Latn-CS"/>
        </w:rPr>
        <w:t>izmjerene tokom 2013</w:t>
      </w:r>
      <w:r w:rsidR="00AC7368" w:rsidRPr="00A46632">
        <w:rPr>
          <w:rFonts w:ascii="Constantia" w:hAnsi="Constantia"/>
          <w:lang w:val="sr-Latn-CS"/>
        </w:rPr>
        <w:t>. godine.</w:t>
      </w:r>
    </w:p>
    <w:p w:rsidR="00A33DD4" w:rsidRDefault="00A33DD4" w:rsidP="008B5ECC">
      <w:pPr>
        <w:tabs>
          <w:tab w:val="left" w:pos="5685"/>
        </w:tabs>
        <w:spacing w:after="0"/>
        <w:jc w:val="center"/>
      </w:pPr>
      <w:r>
        <w:rPr>
          <w:noProof/>
        </w:rPr>
        <w:drawing>
          <wp:inline distT="0" distB="0" distL="0" distR="0" wp14:anchorId="2F269F28" wp14:editId="77B4984C">
            <wp:extent cx="4543425" cy="2562225"/>
            <wp:effectExtent l="0" t="0" r="0" b="0"/>
            <wp:docPr id="4"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B5385" w:rsidRDefault="008F5336" w:rsidP="002B5385">
      <w:pPr>
        <w:pStyle w:val="Grafikon"/>
        <w:ind w:left="144" w:hanging="144"/>
        <w:rPr>
          <w:rFonts w:ascii="Constantia" w:hAnsi="Constantia"/>
          <w:sz w:val="22"/>
          <w:szCs w:val="22"/>
        </w:rPr>
      </w:pPr>
      <w:r w:rsidRPr="006213B2">
        <w:rPr>
          <w:rFonts w:ascii="Constantia" w:hAnsi="Constantia"/>
          <w:sz w:val="22"/>
          <w:szCs w:val="22"/>
        </w:rPr>
        <w:t>Koncentracija CO u vazduhu</w:t>
      </w:r>
      <w:r w:rsidR="00D300BE">
        <w:rPr>
          <w:rFonts w:ascii="Constantia" w:hAnsi="Constantia"/>
          <w:sz w:val="22"/>
          <w:szCs w:val="22"/>
        </w:rPr>
        <w:t xml:space="preserve"> </w:t>
      </w:r>
      <w:r w:rsidR="002B5385">
        <w:rPr>
          <w:rFonts w:ascii="Constantia" w:hAnsi="Constantia"/>
          <w:sz w:val="22"/>
          <w:szCs w:val="22"/>
        </w:rPr>
        <w:t>–</w:t>
      </w:r>
      <w:r w:rsidR="00D300BE">
        <w:rPr>
          <w:rFonts w:ascii="Constantia" w:hAnsi="Constantia"/>
          <w:sz w:val="22"/>
          <w:szCs w:val="22"/>
        </w:rPr>
        <w:t xml:space="preserve"> </w:t>
      </w:r>
      <w:r w:rsidRPr="006213B2">
        <w:rPr>
          <w:rFonts w:ascii="Constantia" w:hAnsi="Constantia"/>
          <w:sz w:val="22"/>
          <w:szCs w:val="22"/>
        </w:rPr>
        <w:t>Podgorica</w:t>
      </w:r>
    </w:p>
    <w:p w:rsidR="002B5385" w:rsidRPr="002B5385" w:rsidRDefault="002B5385" w:rsidP="002B5385">
      <w:pPr>
        <w:pStyle w:val="Grafikon"/>
        <w:numPr>
          <w:ilvl w:val="0"/>
          <w:numId w:val="0"/>
        </w:numPr>
        <w:spacing w:after="0"/>
        <w:jc w:val="both"/>
        <w:rPr>
          <w:rFonts w:ascii="Constantia" w:hAnsi="Constantia"/>
          <w:sz w:val="22"/>
          <w:szCs w:val="22"/>
        </w:rPr>
      </w:pPr>
    </w:p>
    <w:p w:rsidR="00E01ADA" w:rsidRPr="006213B2" w:rsidRDefault="008F5336" w:rsidP="00480B68">
      <w:pPr>
        <w:tabs>
          <w:tab w:val="left" w:pos="5685"/>
        </w:tabs>
        <w:rPr>
          <w:rFonts w:ascii="Constantia" w:hAnsi="Constantia"/>
        </w:rPr>
      </w:pPr>
      <w:r w:rsidRPr="006213B2">
        <w:rPr>
          <w:rFonts w:ascii="Constantia" w:hAnsi="Constantia"/>
        </w:rPr>
        <w:t xml:space="preserve">Sve maksimalne osmočasovne srednje vrijednosti </w:t>
      </w:r>
      <w:r w:rsidR="00BA6076" w:rsidRPr="006213B2">
        <w:rPr>
          <w:rFonts w:ascii="Constantia" w:hAnsi="Constantia"/>
        </w:rPr>
        <w:t>ugljen(II)oksida (CO)</w:t>
      </w:r>
      <w:r w:rsidRPr="006213B2">
        <w:rPr>
          <w:rFonts w:ascii="Constantia" w:hAnsi="Constantia"/>
        </w:rPr>
        <w:t>na ovoj lokaciji su bile ispod propisane granične vrijednosti</w:t>
      </w:r>
      <w:r w:rsidR="00B56C07" w:rsidRPr="006213B2">
        <w:rPr>
          <w:rFonts w:ascii="Constantia" w:hAnsi="Constantia"/>
        </w:rPr>
        <w:t xml:space="preserve"> od 10</w:t>
      </w:r>
      <w:r w:rsidR="00143699">
        <w:rPr>
          <w:rFonts w:ascii="Constantia" w:hAnsi="Constantia"/>
        </w:rPr>
        <w:t xml:space="preserve"> </w:t>
      </w:r>
      <w:r w:rsidR="00BA6076" w:rsidRPr="006213B2">
        <w:rPr>
          <w:rFonts w:ascii="Constantia" w:hAnsi="Constantia"/>
        </w:rPr>
        <w:t>mg/m</w:t>
      </w:r>
      <w:r w:rsidR="00BA6076" w:rsidRPr="006213B2">
        <w:rPr>
          <w:rFonts w:ascii="Constantia" w:hAnsi="Constantia"/>
          <w:vertAlign w:val="superscript"/>
        </w:rPr>
        <w:t>3</w:t>
      </w:r>
      <w:r w:rsidRPr="006213B2">
        <w:rPr>
          <w:rFonts w:ascii="Constantia" w:hAnsi="Constantia"/>
        </w:rPr>
        <w:t>.</w:t>
      </w:r>
      <w:r w:rsidR="00BA6076" w:rsidRPr="006213B2">
        <w:rPr>
          <w:rFonts w:ascii="Constantia" w:hAnsi="Constantia"/>
        </w:rPr>
        <w:t xml:space="preserve"> Srednja godišnja koncentracija od </w:t>
      </w:r>
      <w:r w:rsidR="0061506A">
        <w:rPr>
          <w:rFonts w:ascii="Constantia" w:hAnsi="Constantia"/>
        </w:rPr>
        <w:t>0,6</w:t>
      </w:r>
      <w:r w:rsidR="00143699">
        <w:rPr>
          <w:rFonts w:ascii="Constantia" w:hAnsi="Constantia"/>
        </w:rPr>
        <w:t xml:space="preserve"> </w:t>
      </w:r>
      <w:r w:rsidR="00BA6076" w:rsidRPr="006213B2">
        <w:rPr>
          <w:rFonts w:ascii="Constantia" w:hAnsi="Constantia"/>
        </w:rPr>
        <w:t>mg/m</w:t>
      </w:r>
      <w:r w:rsidR="00BA6076" w:rsidRPr="006213B2">
        <w:rPr>
          <w:rFonts w:ascii="Constantia" w:hAnsi="Constantia"/>
          <w:vertAlign w:val="superscript"/>
        </w:rPr>
        <w:t>3</w:t>
      </w:r>
      <w:r w:rsidR="00BA6076" w:rsidRPr="006213B2">
        <w:rPr>
          <w:rFonts w:ascii="Constantia" w:hAnsi="Constantia"/>
        </w:rPr>
        <w:t xml:space="preserve"> ukazuje da je kvalitet vazduha zadovoljavajući sa aspekta </w:t>
      </w:r>
      <w:r w:rsidR="004701FA" w:rsidRPr="006213B2">
        <w:rPr>
          <w:rFonts w:ascii="Constantia" w:hAnsi="Constantia"/>
        </w:rPr>
        <w:t xml:space="preserve">uticaja </w:t>
      </w:r>
      <w:r w:rsidR="00BA6076" w:rsidRPr="006213B2">
        <w:rPr>
          <w:rFonts w:ascii="Constantia" w:hAnsi="Constantia"/>
        </w:rPr>
        <w:t>koncentracije ugljen(II)oksida (CO).</w:t>
      </w:r>
    </w:p>
    <w:p w:rsidR="00F80788" w:rsidRPr="006213B2" w:rsidRDefault="00906B1F" w:rsidP="00F844FC">
      <w:pPr>
        <w:rPr>
          <w:rFonts w:ascii="Constantia" w:hAnsi="Constantia"/>
          <w:lang w:val="sr-Latn-CS"/>
        </w:rPr>
      </w:pPr>
      <w:r w:rsidRPr="006213B2">
        <w:rPr>
          <w:rFonts w:ascii="Constantia" w:hAnsi="Constantia"/>
          <w:lang w:val="sr-Latn-CS"/>
        </w:rPr>
        <w:t xml:space="preserve">Na </w:t>
      </w:r>
      <w:r w:rsidRPr="006213B2">
        <w:rPr>
          <w:rFonts w:ascii="Constantia" w:hAnsi="Constantia"/>
          <w:i/>
          <w:lang w:val="sr-Latn-CS"/>
        </w:rPr>
        <w:t>G</w:t>
      </w:r>
      <w:r w:rsidR="005A54E3" w:rsidRPr="006213B2">
        <w:rPr>
          <w:rFonts w:ascii="Constantia" w:hAnsi="Constantia"/>
          <w:i/>
          <w:lang w:val="sr-Latn-CS"/>
        </w:rPr>
        <w:t>rafikonu 3</w:t>
      </w:r>
      <w:r w:rsidRPr="006213B2">
        <w:rPr>
          <w:rFonts w:ascii="Constantia" w:hAnsi="Constantia"/>
          <w:i/>
          <w:lang w:val="sr-Latn-CS"/>
        </w:rPr>
        <w:t>.</w:t>
      </w:r>
      <w:r w:rsidR="00143699">
        <w:rPr>
          <w:rFonts w:ascii="Constantia" w:hAnsi="Constantia"/>
          <w:i/>
          <w:lang w:val="sr-Latn-CS"/>
        </w:rPr>
        <w:t xml:space="preserve"> </w:t>
      </w:r>
      <w:r w:rsidR="005A54E3" w:rsidRPr="006213B2">
        <w:rPr>
          <w:rFonts w:ascii="Constantia" w:hAnsi="Constantia"/>
          <w:lang w:val="sr-Latn-CS"/>
        </w:rPr>
        <w:t>prikazane su koncentracije PM</w:t>
      </w:r>
      <w:r w:rsidR="005A54E3" w:rsidRPr="006213B2">
        <w:rPr>
          <w:rFonts w:ascii="Constantia" w:hAnsi="Constantia"/>
          <w:vertAlign w:val="subscript"/>
          <w:lang w:val="sr-Latn-CS"/>
        </w:rPr>
        <w:t>10</w:t>
      </w:r>
      <w:r w:rsidR="005A54E3" w:rsidRPr="006213B2">
        <w:rPr>
          <w:rFonts w:ascii="Constantia" w:hAnsi="Constantia"/>
          <w:lang w:val="sr-Latn-CS"/>
        </w:rPr>
        <w:t xml:space="preserve"> u vazduhu (maksimalne dnevne srednje v</w:t>
      </w:r>
      <w:r w:rsidR="00DA77F9" w:rsidRPr="006213B2">
        <w:rPr>
          <w:rFonts w:ascii="Constantia" w:hAnsi="Constantia"/>
          <w:lang w:val="sr-Latn-CS"/>
        </w:rPr>
        <w:t>rijednosti</w:t>
      </w:r>
      <w:r w:rsidR="00661609" w:rsidRPr="006213B2">
        <w:rPr>
          <w:rFonts w:ascii="Constantia" w:hAnsi="Constantia"/>
          <w:lang w:val="sr-Latn-CS"/>
        </w:rPr>
        <w:t xml:space="preserve"> i srednje mjesečne koncentracije</w:t>
      </w:r>
      <w:r w:rsidR="002264BD" w:rsidRPr="006213B2">
        <w:rPr>
          <w:rFonts w:ascii="Constantia" w:hAnsi="Constantia"/>
          <w:lang w:val="sr-Latn-CS"/>
        </w:rPr>
        <w:t>) izmjerene tokom 2013</w:t>
      </w:r>
      <w:r w:rsidR="005A54E3" w:rsidRPr="006213B2">
        <w:rPr>
          <w:rFonts w:ascii="Constantia" w:hAnsi="Constantia"/>
          <w:lang w:val="sr-Latn-CS"/>
        </w:rPr>
        <w:t>. godine.</w:t>
      </w:r>
    </w:p>
    <w:p w:rsidR="005A54E3" w:rsidRDefault="005A54E3" w:rsidP="00754BFE">
      <w:pPr>
        <w:tabs>
          <w:tab w:val="left" w:pos="5685"/>
        </w:tabs>
        <w:jc w:val="center"/>
      </w:pPr>
    </w:p>
    <w:p w:rsidR="00503941" w:rsidRDefault="00503941" w:rsidP="00906B1F">
      <w:pPr>
        <w:tabs>
          <w:tab w:val="left" w:pos="5685"/>
        </w:tabs>
        <w:spacing w:after="0"/>
        <w:jc w:val="center"/>
      </w:pPr>
      <w:r w:rsidRPr="00E41D64">
        <w:rPr>
          <w:noProof/>
        </w:rPr>
        <w:drawing>
          <wp:inline distT="0" distB="0" distL="0" distR="0" wp14:anchorId="6643997D" wp14:editId="4A64303E">
            <wp:extent cx="4714875" cy="2371725"/>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F80788" w:rsidRPr="006213B2" w:rsidRDefault="00F80788" w:rsidP="002C13E9">
      <w:pPr>
        <w:pStyle w:val="Grafikon"/>
        <w:ind w:left="144" w:hanging="144"/>
        <w:rPr>
          <w:rFonts w:ascii="Constantia" w:hAnsi="Constantia"/>
          <w:sz w:val="22"/>
          <w:szCs w:val="22"/>
        </w:rPr>
      </w:pPr>
      <w:r w:rsidRPr="006213B2">
        <w:rPr>
          <w:rFonts w:ascii="Constantia" w:hAnsi="Constantia"/>
          <w:sz w:val="22"/>
          <w:szCs w:val="22"/>
        </w:rPr>
        <w:t>Koncentracija PM</w:t>
      </w:r>
      <w:r w:rsidRPr="006213B2">
        <w:rPr>
          <w:rFonts w:ascii="Constantia" w:hAnsi="Constantia"/>
          <w:sz w:val="22"/>
          <w:szCs w:val="22"/>
          <w:vertAlign w:val="subscript"/>
        </w:rPr>
        <w:t>10</w:t>
      </w:r>
      <w:r w:rsidRPr="006213B2">
        <w:rPr>
          <w:rFonts w:ascii="Constantia" w:hAnsi="Constantia"/>
          <w:sz w:val="22"/>
          <w:szCs w:val="22"/>
        </w:rPr>
        <w:t xml:space="preserve"> u vazduhu</w:t>
      </w:r>
      <w:r w:rsidR="001F5E7D">
        <w:rPr>
          <w:rFonts w:ascii="Constantia" w:hAnsi="Constantia"/>
          <w:sz w:val="22"/>
          <w:szCs w:val="22"/>
        </w:rPr>
        <w:t xml:space="preserve"> </w:t>
      </w:r>
      <w:r w:rsidRPr="006213B2">
        <w:rPr>
          <w:rFonts w:ascii="Constantia" w:hAnsi="Constantia"/>
          <w:sz w:val="22"/>
          <w:szCs w:val="22"/>
        </w:rPr>
        <w:t>-</w:t>
      </w:r>
      <w:r w:rsidR="001F5E7D">
        <w:rPr>
          <w:rFonts w:ascii="Constantia" w:hAnsi="Constantia"/>
          <w:sz w:val="22"/>
          <w:szCs w:val="22"/>
        </w:rPr>
        <w:t xml:space="preserve"> </w:t>
      </w:r>
      <w:r w:rsidRPr="006213B2">
        <w:rPr>
          <w:rFonts w:ascii="Constantia" w:hAnsi="Constantia"/>
          <w:sz w:val="22"/>
          <w:szCs w:val="22"/>
        </w:rPr>
        <w:t>Podgorica</w:t>
      </w:r>
    </w:p>
    <w:p w:rsidR="004C75B0" w:rsidRDefault="004C75B0" w:rsidP="004C75B0">
      <w:pPr>
        <w:pStyle w:val="Grafikon"/>
        <w:numPr>
          <w:ilvl w:val="0"/>
          <w:numId w:val="0"/>
        </w:numPr>
        <w:ind w:left="144"/>
      </w:pPr>
    </w:p>
    <w:p w:rsidR="005435B2" w:rsidRPr="006213B2" w:rsidRDefault="002C13E9" w:rsidP="00480B68">
      <w:pPr>
        <w:tabs>
          <w:tab w:val="left" w:pos="5685"/>
        </w:tabs>
        <w:rPr>
          <w:rFonts w:ascii="Constantia" w:hAnsi="Constantia"/>
        </w:rPr>
      </w:pPr>
      <w:r w:rsidRPr="006213B2">
        <w:rPr>
          <w:rFonts w:ascii="Constantia" w:hAnsi="Constantia"/>
        </w:rPr>
        <w:t>Srednje dnevne vrijednosti PM</w:t>
      </w:r>
      <w:r w:rsidRPr="006213B2">
        <w:rPr>
          <w:rFonts w:ascii="Constantia" w:hAnsi="Constantia"/>
          <w:vertAlign w:val="subscript"/>
        </w:rPr>
        <w:t>10</w:t>
      </w:r>
      <w:r w:rsidRPr="006213B2">
        <w:rPr>
          <w:rFonts w:ascii="Constantia" w:hAnsi="Constantia"/>
        </w:rPr>
        <w:t xml:space="preserve"> čestica su </w:t>
      </w:r>
      <w:r w:rsidR="00F0178E" w:rsidRPr="006213B2">
        <w:rPr>
          <w:rFonts w:ascii="Constantia" w:hAnsi="Constantia"/>
        </w:rPr>
        <w:t>64</w:t>
      </w:r>
      <w:r w:rsidR="00263B3B" w:rsidRPr="006213B2">
        <w:rPr>
          <w:rFonts w:ascii="Constantia" w:hAnsi="Constantia"/>
        </w:rPr>
        <w:t xml:space="preserve"> puta (354</w:t>
      </w:r>
      <w:r w:rsidRPr="006213B2">
        <w:rPr>
          <w:rFonts w:ascii="Constantia" w:hAnsi="Constantia"/>
        </w:rPr>
        <w:t xml:space="preserve"> dana validnih mjerenja) prelazile p</w:t>
      </w:r>
      <w:r w:rsidR="005D4DAA">
        <w:rPr>
          <w:rFonts w:ascii="Constantia" w:hAnsi="Constantia"/>
        </w:rPr>
        <w:t xml:space="preserve">ropisanu graničnu vrijednost (50 </w:t>
      </w:r>
      <w:r w:rsidRPr="006213B2">
        <w:rPr>
          <w:rFonts w:ascii="Constantia" w:hAnsi="Constantia"/>
        </w:rPr>
        <w:t>µg/m</w:t>
      </w:r>
      <w:r w:rsidRPr="006213B2">
        <w:rPr>
          <w:rFonts w:ascii="Constantia" w:hAnsi="Constantia"/>
          <w:vertAlign w:val="superscript"/>
        </w:rPr>
        <w:t>3</w:t>
      </w:r>
      <w:r w:rsidRPr="006213B2">
        <w:rPr>
          <w:rFonts w:ascii="Constantia" w:hAnsi="Constantia"/>
        </w:rPr>
        <w:t xml:space="preserve">), odnosno </w:t>
      </w:r>
      <w:r w:rsidR="00293F3B" w:rsidRPr="006213B2">
        <w:rPr>
          <w:rFonts w:ascii="Constantia" w:hAnsi="Constantia"/>
        </w:rPr>
        <w:t>1</w:t>
      </w:r>
      <w:r w:rsidR="00F0178E" w:rsidRPr="006213B2">
        <w:rPr>
          <w:rFonts w:ascii="Constantia" w:hAnsi="Constantia"/>
        </w:rPr>
        <w:t>9</w:t>
      </w:r>
      <w:r w:rsidR="00591B8A">
        <w:rPr>
          <w:rFonts w:ascii="Constantia" w:hAnsi="Constantia"/>
        </w:rPr>
        <w:t xml:space="preserve"> </w:t>
      </w:r>
      <w:r w:rsidR="00162651" w:rsidRPr="006213B2">
        <w:rPr>
          <w:rFonts w:ascii="Constantia" w:hAnsi="Constantia"/>
        </w:rPr>
        <w:t>puta</w:t>
      </w:r>
      <w:r w:rsidR="00591B8A">
        <w:rPr>
          <w:rFonts w:ascii="Constantia" w:hAnsi="Constantia"/>
        </w:rPr>
        <w:t xml:space="preserve"> </w:t>
      </w:r>
      <w:r w:rsidR="00162651" w:rsidRPr="006213B2">
        <w:rPr>
          <w:rFonts w:ascii="Constantia" w:hAnsi="Constantia"/>
        </w:rPr>
        <w:t xml:space="preserve">granicu tolerancije </w:t>
      </w:r>
      <w:r w:rsidR="00293F3B" w:rsidRPr="006213B2">
        <w:rPr>
          <w:rFonts w:ascii="Constantia" w:hAnsi="Constantia"/>
        </w:rPr>
        <w:t>za dnevnu srednju vrijednost</w:t>
      </w:r>
      <w:r w:rsidRPr="006213B2">
        <w:rPr>
          <w:rFonts w:ascii="Constantia" w:hAnsi="Constantia"/>
        </w:rPr>
        <w:t xml:space="preserve">. </w:t>
      </w:r>
      <w:r w:rsidR="00A5141D" w:rsidRPr="006213B2">
        <w:rPr>
          <w:rFonts w:ascii="Constantia" w:hAnsi="Constantia"/>
        </w:rPr>
        <w:t>Dozvoljeni broj prekoračenja je 35.</w:t>
      </w:r>
      <w:r w:rsidR="00591B8A">
        <w:rPr>
          <w:rFonts w:ascii="Constantia" w:hAnsi="Constantia"/>
        </w:rPr>
        <w:t xml:space="preserve"> </w:t>
      </w:r>
      <w:r w:rsidR="007F426D" w:rsidRPr="006213B2">
        <w:rPr>
          <w:rFonts w:ascii="Constantia" w:hAnsi="Constantia"/>
        </w:rPr>
        <w:t>Srednja godišnja koncentracija PM</w:t>
      </w:r>
      <w:r w:rsidR="007F426D" w:rsidRPr="006213B2">
        <w:rPr>
          <w:rFonts w:ascii="Constantia" w:hAnsi="Constantia"/>
          <w:vertAlign w:val="subscript"/>
        </w:rPr>
        <w:t>10</w:t>
      </w:r>
      <w:r w:rsidR="007F426D" w:rsidRPr="006213B2">
        <w:rPr>
          <w:rFonts w:ascii="Constantia" w:hAnsi="Constantia"/>
        </w:rPr>
        <w:t xml:space="preserve"> čestica iznosila je </w:t>
      </w:r>
      <w:r w:rsidR="00F0178E" w:rsidRPr="006213B2">
        <w:rPr>
          <w:rFonts w:ascii="Constantia" w:hAnsi="Constantia"/>
        </w:rPr>
        <w:t>33,97</w:t>
      </w:r>
      <w:r w:rsidR="00591B8A">
        <w:rPr>
          <w:rFonts w:ascii="Constantia" w:hAnsi="Constantia"/>
        </w:rPr>
        <w:t xml:space="preserve"> </w:t>
      </w:r>
      <w:r w:rsidR="007F426D" w:rsidRPr="006213B2">
        <w:rPr>
          <w:rFonts w:ascii="Constantia" w:hAnsi="Constantia"/>
        </w:rPr>
        <w:t>µg/m</w:t>
      </w:r>
      <w:r w:rsidR="007F426D" w:rsidRPr="006213B2">
        <w:rPr>
          <w:rFonts w:ascii="Constantia" w:hAnsi="Constantia"/>
          <w:vertAlign w:val="superscript"/>
        </w:rPr>
        <w:t>3</w:t>
      </w:r>
      <w:r w:rsidR="007F426D" w:rsidRPr="006213B2">
        <w:rPr>
          <w:rFonts w:ascii="Constantia" w:hAnsi="Constantia"/>
        </w:rPr>
        <w:t xml:space="preserve">, što je ispod propisane </w:t>
      </w:r>
      <w:r w:rsidR="00515135" w:rsidRPr="006213B2">
        <w:rPr>
          <w:rFonts w:ascii="Constantia" w:hAnsi="Constantia"/>
        </w:rPr>
        <w:t xml:space="preserve">granične </w:t>
      </w:r>
      <w:r w:rsidR="007F426D" w:rsidRPr="006213B2">
        <w:rPr>
          <w:rFonts w:ascii="Constantia" w:hAnsi="Constantia"/>
        </w:rPr>
        <w:t>vrijednosti</w:t>
      </w:r>
      <w:r w:rsidR="00293F3B" w:rsidRPr="006213B2">
        <w:rPr>
          <w:rFonts w:ascii="Constantia" w:hAnsi="Constantia"/>
        </w:rPr>
        <w:t xml:space="preserve"> i granice tolerancije</w:t>
      </w:r>
      <w:r w:rsidR="007F426D" w:rsidRPr="006213B2">
        <w:rPr>
          <w:rFonts w:ascii="Constantia" w:hAnsi="Constantia"/>
        </w:rPr>
        <w:t>.</w:t>
      </w:r>
    </w:p>
    <w:p w:rsidR="00BC1BD2" w:rsidRDefault="001E39EE" w:rsidP="00480B68">
      <w:pPr>
        <w:tabs>
          <w:tab w:val="left" w:pos="5685"/>
        </w:tabs>
      </w:pPr>
      <w:r w:rsidRPr="006213B2">
        <w:rPr>
          <w:rFonts w:ascii="Constantia" w:hAnsi="Constantia"/>
        </w:rPr>
        <w:t>Povećane koncentracije PM</w:t>
      </w:r>
      <w:r w:rsidRPr="006213B2">
        <w:rPr>
          <w:rFonts w:ascii="Constantia" w:hAnsi="Constantia"/>
          <w:vertAlign w:val="subscript"/>
        </w:rPr>
        <w:t>10</w:t>
      </w:r>
      <w:r w:rsidRPr="006213B2">
        <w:rPr>
          <w:rFonts w:ascii="Constantia" w:hAnsi="Constantia"/>
        </w:rPr>
        <w:t xml:space="preserve"> čestica sredinom maja 2013.</w:t>
      </w:r>
      <w:r w:rsidR="0075388B">
        <w:rPr>
          <w:rFonts w:ascii="Constantia" w:hAnsi="Constantia"/>
        </w:rPr>
        <w:t xml:space="preserve"> </w:t>
      </w:r>
      <w:r w:rsidRPr="006213B2">
        <w:rPr>
          <w:rFonts w:ascii="Constantia" w:hAnsi="Constantia"/>
        </w:rPr>
        <w:t>godine</w:t>
      </w:r>
      <w:r w:rsidR="001E6713" w:rsidRPr="006213B2">
        <w:rPr>
          <w:rFonts w:ascii="Constantia" w:hAnsi="Constantia"/>
        </w:rPr>
        <w:t>, neuobičajeno</w:t>
      </w:r>
      <w:r w:rsidR="005435B2" w:rsidRPr="006213B2">
        <w:rPr>
          <w:rFonts w:ascii="Constantia" w:hAnsi="Constantia"/>
        </w:rPr>
        <w:t xml:space="preserve"> visoke</w:t>
      </w:r>
      <w:r w:rsidR="001E6713" w:rsidRPr="006213B2">
        <w:rPr>
          <w:rFonts w:ascii="Constantia" w:hAnsi="Constantia"/>
        </w:rPr>
        <w:t xml:space="preserve"> za ovaj period godine,</w:t>
      </w:r>
      <w:r w:rsidRPr="006213B2">
        <w:rPr>
          <w:rFonts w:ascii="Constantia" w:hAnsi="Constantia"/>
        </w:rPr>
        <w:t xml:space="preserve"> rezultat su </w:t>
      </w:r>
      <w:r w:rsidR="00BC1BD2" w:rsidRPr="006213B2">
        <w:rPr>
          <w:rFonts w:ascii="Constantia" w:hAnsi="Constantia"/>
        </w:rPr>
        <w:t>kretanja</w:t>
      </w:r>
      <w:r w:rsidR="001E6713" w:rsidRPr="006213B2">
        <w:rPr>
          <w:rFonts w:ascii="Constantia" w:hAnsi="Constantia"/>
        </w:rPr>
        <w:t xml:space="preserve"> saharskog pijeska</w:t>
      </w:r>
      <w:r w:rsidR="005435B2" w:rsidRPr="006213B2">
        <w:rPr>
          <w:rFonts w:ascii="Constantia" w:hAnsi="Constantia"/>
        </w:rPr>
        <w:t>.</w:t>
      </w:r>
      <w:r w:rsidR="0075388B">
        <w:rPr>
          <w:rFonts w:ascii="Constantia" w:hAnsi="Constantia"/>
        </w:rPr>
        <w:t xml:space="preserve"> </w:t>
      </w:r>
      <w:r w:rsidR="005435B2" w:rsidRPr="006213B2">
        <w:rPr>
          <w:rFonts w:ascii="Constantia" w:hAnsi="Constantia"/>
        </w:rPr>
        <w:t>Ova pojava je izazvala</w:t>
      </w:r>
      <w:r w:rsidR="0075388B">
        <w:rPr>
          <w:rFonts w:ascii="Constantia" w:hAnsi="Constantia"/>
        </w:rPr>
        <w:t xml:space="preserve"> </w:t>
      </w:r>
      <w:r w:rsidR="00BC1BD2" w:rsidRPr="006213B2">
        <w:rPr>
          <w:rFonts w:ascii="Constantia" w:hAnsi="Constantia"/>
        </w:rPr>
        <w:t xml:space="preserve">prekoračenja </w:t>
      </w:r>
      <w:r w:rsidR="00BC1BD2" w:rsidRPr="006213B2">
        <w:rPr>
          <w:rFonts w:ascii="Constantia" w:hAnsi="Constantia"/>
        </w:rPr>
        <w:lastRenderedPageBreak/>
        <w:t>dozvoljenih srednjih dnevnih koncentracija PM</w:t>
      </w:r>
      <w:r w:rsidR="00BC1BD2" w:rsidRPr="006213B2">
        <w:rPr>
          <w:rFonts w:ascii="Constantia" w:hAnsi="Constantia"/>
          <w:vertAlign w:val="subscript"/>
        </w:rPr>
        <w:t>10</w:t>
      </w:r>
      <w:r w:rsidR="00BC1BD2" w:rsidRPr="006213B2">
        <w:rPr>
          <w:rFonts w:ascii="Constantia" w:hAnsi="Constantia"/>
        </w:rPr>
        <w:t xml:space="preserve"> čestica u </w:t>
      </w:r>
      <w:r w:rsidR="005435B2" w:rsidRPr="006213B2">
        <w:rPr>
          <w:rFonts w:ascii="Constantia" w:hAnsi="Constantia"/>
        </w:rPr>
        <w:t xml:space="preserve">gotovo cijelom </w:t>
      </w:r>
      <w:r w:rsidR="0075388B">
        <w:rPr>
          <w:rFonts w:ascii="Constantia" w:hAnsi="Constantia"/>
        </w:rPr>
        <w:t xml:space="preserve">region </w:t>
      </w:r>
      <w:r w:rsidR="00481904" w:rsidRPr="006213B2">
        <w:rPr>
          <w:rFonts w:ascii="Constantia" w:hAnsi="Constantia"/>
        </w:rPr>
        <w:t>jugoistočnog M</w:t>
      </w:r>
      <w:r w:rsidR="00BC1BD2" w:rsidRPr="006213B2">
        <w:rPr>
          <w:rFonts w:ascii="Constantia" w:hAnsi="Constantia"/>
        </w:rPr>
        <w:t>editerana.</w:t>
      </w:r>
    </w:p>
    <w:p w:rsidR="00E01ADA" w:rsidRDefault="00BC1BD2" w:rsidP="00BC1BD2">
      <w:pPr>
        <w:tabs>
          <w:tab w:val="left" w:pos="5685"/>
        </w:tabs>
        <w:jc w:val="center"/>
      </w:pPr>
      <w:r w:rsidRPr="00BC1BD2">
        <w:rPr>
          <w:noProof/>
        </w:rPr>
        <w:drawing>
          <wp:inline distT="0" distB="0" distL="0" distR="0" wp14:anchorId="009BA094" wp14:editId="6D6C1060">
            <wp:extent cx="3867150" cy="4410075"/>
            <wp:effectExtent l="0" t="0" r="0" b="0"/>
            <wp:docPr id="24" name="Immagine 6" descr="http://www.eosnap.com/public/media/2013/05/dust/20130519-dust1-thumb.jpg">
              <a:hlinkClick xmlns:a="http://schemas.openxmlformats.org/drawingml/2006/main" r:id="rId17" tgtFrame="&quot;_blank&quot;"/>
            </wp:docPr>
            <wp:cNvGraphicFramePr/>
            <a:graphic xmlns:a="http://schemas.openxmlformats.org/drawingml/2006/main">
              <a:graphicData uri="http://schemas.openxmlformats.org/drawingml/2006/picture">
                <pic:pic xmlns:pic="http://schemas.openxmlformats.org/drawingml/2006/picture">
                  <pic:nvPicPr>
                    <pic:cNvPr id="7" name="Immagine 6" descr="http://www.eosnap.com/public/media/2013/05/dust/20130519-dust1-thumb.jpg">
                      <a:hlinkClick r:id="rId17" tgtFrame="&quot;_blank&quot;"/>
                    </pic:cNvPr>
                    <pic:cNvPicPr/>
                  </pic:nvPicPr>
                  <pic:blipFill>
                    <a:blip r:embed="rId18"/>
                    <a:srcRect/>
                    <a:stretch>
                      <a:fillRect/>
                    </a:stretch>
                  </pic:blipFill>
                  <pic:spPr bwMode="auto">
                    <a:xfrm>
                      <a:off x="0" y="0"/>
                      <a:ext cx="3871224" cy="4414721"/>
                    </a:xfrm>
                    <a:prstGeom prst="rect">
                      <a:avLst/>
                    </a:prstGeom>
                    <a:noFill/>
                    <a:ln w="9525">
                      <a:noFill/>
                      <a:miter lim="800000"/>
                      <a:headEnd/>
                      <a:tailEnd/>
                    </a:ln>
                  </pic:spPr>
                </pic:pic>
              </a:graphicData>
            </a:graphic>
          </wp:inline>
        </w:drawing>
      </w:r>
    </w:p>
    <w:p w:rsidR="00BC1BD2" w:rsidRPr="00790829" w:rsidRDefault="00BC1BD2" w:rsidP="00790829">
      <w:pPr>
        <w:pStyle w:val="Slika"/>
        <w:tabs>
          <w:tab w:val="left" w:pos="0"/>
          <w:tab w:val="left" w:pos="900"/>
        </w:tabs>
        <w:spacing w:line="276" w:lineRule="auto"/>
        <w:ind w:left="0" w:firstLine="0"/>
        <w:rPr>
          <w:rFonts w:ascii="Constantia" w:eastAsia="Calibri" w:hAnsi="Constantia"/>
        </w:rPr>
      </w:pPr>
      <w:r w:rsidRPr="00790829">
        <w:rPr>
          <w:rFonts w:ascii="Constantia" w:hAnsi="Constantia"/>
          <w:szCs w:val="22"/>
        </w:rPr>
        <w:t>Maj 2013.</w:t>
      </w:r>
      <w:r w:rsidR="00ED233A">
        <w:rPr>
          <w:rFonts w:ascii="Constantia" w:hAnsi="Constantia"/>
          <w:szCs w:val="22"/>
        </w:rPr>
        <w:t xml:space="preserve"> </w:t>
      </w:r>
      <w:r w:rsidRPr="00790829">
        <w:rPr>
          <w:rFonts w:ascii="Constantia" w:hAnsi="Constantia"/>
          <w:szCs w:val="22"/>
        </w:rPr>
        <w:t>godine, satelitski snima</w:t>
      </w:r>
      <w:r w:rsidR="003576E6">
        <w:rPr>
          <w:rFonts w:ascii="Constantia" w:hAnsi="Constantia"/>
          <w:szCs w:val="22"/>
        </w:rPr>
        <w:t>k-</w:t>
      </w:r>
      <w:r w:rsidR="00ED233A">
        <w:rPr>
          <w:rFonts w:ascii="Constantia" w:hAnsi="Constantia"/>
          <w:szCs w:val="22"/>
        </w:rPr>
        <w:t xml:space="preserve"> </w:t>
      </w:r>
      <w:r w:rsidR="005B0241" w:rsidRPr="00790829">
        <w:rPr>
          <w:rFonts w:ascii="Constantia" w:hAnsi="Constantia"/>
          <w:szCs w:val="22"/>
        </w:rPr>
        <w:t>“</w:t>
      </w:r>
      <w:r w:rsidR="00265CAC" w:rsidRPr="00790829">
        <w:rPr>
          <w:rFonts w:ascii="Constantia" w:hAnsi="Constantia"/>
          <w:szCs w:val="22"/>
        </w:rPr>
        <w:t>kretanje</w:t>
      </w:r>
      <w:r w:rsidR="006D2D01" w:rsidRPr="00790829">
        <w:rPr>
          <w:rFonts w:ascii="Constantia" w:hAnsi="Constantia"/>
          <w:szCs w:val="22"/>
        </w:rPr>
        <w:t xml:space="preserve"> oblaka</w:t>
      </w:r>
      <w:r w:rsidR="00E56085" w:rsidRPr="00790829">
        <w:rPr>
          <w:rFonts w:ascii="Constantia" w:hAnsi="Constantia"/>
          <w:szCs w:val="22"/>
        </w:rPr>
        <w:t>”</w:t>
      </w:r>
      <w:r w:rsidR="00265CAC" w:rsidRPr="00790829">
        <w:rPr>
          <w:rFonts w:ascii="Constantia" w:hAnsi="Constantia"/>
          <w:szCs w:val="22"/>
        </w:rPr>
        <w:t xml:space="preserve"> saharskog pijeska</w:t>
      </w:r>
      <w:r w:rsidR="00A01441" w:rsidRPr="00790829">
        <w:rPr>
          <w:rFonts w:ascii="Constantia" w:hAnsi="Constantia"/>
          <w:szCs w:val="22"/>
        </w:rPr>
        <w:t xml:space="preserve"> prema </w:t>
      </w:r>
      <w:r w:rsidR="00E56085" w:rsidRPr="00790829">
        <w:rPr>
          <w:rFonts w:ascii="Constantia" w:hAnsi="Constantia"/>
          <w:szCs w:val="22"/>
        </w:rPr>
        <w:t>Balkanskom</w:t>
      </w:r>
      <w:r w:rsidR="00A01441" w:rsidRPr="00790829">
        <w:rPr>
          <w:rFonts w:ascii="Constantia" w:hAnsi="Constantia"/>
          <w:szCs w:val="22"/>
        </w:rPr>
        <w:t xml:space="preserve"> poluostrv</w:t>
      </w:r>
      <w:r w:rsidR="00E56085" w:rsidRPr="00790829">
        <w:rPr>
          <w:rFonts w:ascii="Constantia" w:hAnsi="Constantia"/>
          <w:szCs w:val="22"/>
        </w:rPr>
        <w:t>u</w:t>
      </w:r>
    </w:p>
    <w:p w:rsidR="002B5385" w:rsidRDefault="002B5385" w:rsidP="002B5385">
      <w:pPr>
        <w:tabs>
          <w:tab w:val="left" w:pos="5685"/>
        </w:tabs>
        <w:spacing w:after="0"/>
        <w:rPr>
          <w:rFonts w:ascii="Constantia" w:hAnsi="Constantia"/>
        </w:rPr>
      </w:pPr>
    </w:p>
    <w:p w:rsidR="00F907FB" w:rsidRPr="006213B2" w:rsidRDefault="007C2069" w:rsidP="00480B68">
      <w:pPr>
        <w:tabs>
          <w:tab w:val="left" w:pos="5685"/>
        </w:tabs>
        <w:rPr>
          <w:rFonts w:ascii="Constantia" w:hAnsi="Constantia"/>
        </w:rPr>
      </w:pPr>
      <w:r w:rsidRPr="006213B2">
        <w:rPr>
          <w:rFonts w:ascii="Constantia" w:hAnsi="Constantia"/>
        </w:rPr>
        <w:t>PM</w:t>
      </w:r>
      <w:r w:rsidRPr="006213B2">
        <w:rPr>
          <w:rFonts w:ascii="Constantia" w:hAnsi="Constantia"/>
          <w:vertAlign w:val="subscript"/>
        </w:rPr>
        <w:t>10</w:t>
      </w:r>
      <w:r w:rsidRPr="006213B2">
        <w:rPr>
          <w:rFonts w:ascii="Constantia" w:hAnsi="Constantia"/>
        </w:rPr>
        <w:t xml:space="preserve"> čestice su analizirane na sadržaj olova za koje su propisani standardi kvaliteta vazduha na godišnjem nivou.</w:t>
      </w:r>
      <w:r w:rsidR="00727442">
        <w:rPr>
          <w:rFonts w:ascii="Constantia" w:hAnsi="Constantia"/>
        </w:rPr>
        <w:t xml:space="preserve"> </w:t>
      </w:r>
      <w:r w:rsidRPr="006213B2">
        <w:rPr>
          <w:rFonts w:ascii="Constantia" w:hAnsi="Constantia"/>
        </w:rPr>
        <w:t>Sadržaj olova, računat kao srednj</w:t>
      </w:r>
      <w:r w:rsidR="00D32CF1" w:rsidRPr="006213B2">
        <w:rPr>
          <w:rFonts w:ascii="Constantia" w:hAnsi="Constantia"/>
        </w:rPr>
        <w:t>a vrijednost nedjeljnih uzoraka</w:t>
      </w:r>
      <w:r w:rsidR="006213B2">
        <w:rPr>
          <w:rFonts w:ascii="Constantia" w:hAnsi="Constantia"/>
        </w:rPr>
        <w:t>,</w:t>
      </w:r>
      <w:r w:rsidRPr="006213B2">
        <w:rPr>
          <w:rFonts w:ascii="Constantia" w:hAnsi="Constantia"/>
        </w:rPr>
        <w:t xml:space="preserve"> je značajno ispod propisane granične vrijednosti</w:t>
      </w:r>
      <w:r w:rsidR="00D32CF1" w:rsidRPr="006213B2">
        <w:rPr>
          <w:rFonts w:ascii="Constantia" w:hAnsi="Constantia"/>
        </w:rPr>
        <w:t>. V</w:t>
      </w:r>
      <w:r w:rsidRPr="006213B2">
        <w:rPr>
          <w:rFonts w:ascii="Constantia" w:hAnsi="Constantia"/>
        </w:rPr>
        <w:t xml:space="preserve">ršene </w:t>
      </w:r>
      <w:r w:rsidR="00D32CF1" w:rsidRPr="006213B2">
        <w:rPr>
          <w:rFonts w:ascii="Constantia" w:hAnsi="Constantia"/>
        </w:rPr>
        <w:t xml:space="preserve">su </w:t>
      </w:r>
      <w:r w:rsidRPr="006213B2">
        <w:rPr>
          <w:rFonts w:ascii="Constantia" w:hAnsi="Constantia"/>
        </w:rPr>
        <w:t>analize PM</w:t>
      </w:r>
      <w:r w:rsidRPr="006213B2">
        <w:rPr>
          <w:rFonts w:ascii="Constantia" w:hAnsi="Constantia"/>
          <w:vertAlign w:val="subscript"/>
        </w:rPr>
        <w:t>10</w:t>
      </w:r>
      <w:r w:rsidRPr="006213B2">
        <w:rPr>
          <w:rFonts w:ascii="Constantia" w:hAnsi="Constantia"/>
        </w:rPr>
        <w:t xml:space="preserve"> čestica na</w:t>
      </w:r>
      <w:r w:rsidR="006213B2">
        <w:rPr>
          <w:rFonts w:ascii="Constantia" w:hAnsi="Constantia"/>
        </w:rPr>
        <w:t xml:space="preserve"> sadržaj benzo</w:t>
      </w:r>
      <w:r w:rsidRPr="006213B2">
        <w:rPr>
          <w:rFonts w:ascii="Constantia" w:hAnsi="Constantia"/>
        </w:rPr>
        <w:t>(a)pirena i drugih relevantnih policikličnih aromatičnih ugljovodonika: benzo(a)antracena, benzo(b)</w:t>
      </w:r>
      <w:r w:rsidR="006213B2">
        <w:rPr>
          <w:rFonts w:ascii="Constantia" w:hAnsi="Constantia"/>
        </w:rPr>
        <w:t>fluoroantena, benzo</w:t>
      </w:r>
      <w:r w:rsidRPr="006213B2">
        <w:rPr>
          <w:rFonts w:ascii="Constantia" w:hAnsi="Constantia"/>
        </w:rPr>
        <w:t>(j)</w:t>
      </w:r>
      <w:r w:rsidR="006213B2">
        <w:rPr>
          <w:rFonts w:ascii="Constantia" w:hAnsi="Constantia"/>
        </w:rPr>
        <w:t>fluoroantena, benzo</w:t>
      </w:r>
      <w:r w:rsidRPr="006213B2">
        <w:rPr>
          <w:rFonts w:ascii="Constantia" w:hAnsi="Constantia"/>
        </w:rPr>
        <w:t>(k)fluoroantena, ideno(a,2,3-cd)</w:t>
      </w:r>
      <w:r w:rsidR="006213B2">
        <w:rPr>
          <w:rFonts w:ascii="Constantia" w:hAnsi="Constantia"/>
        </w:rPr>
        <w:t>pirena i dibenzo</w:t>
      </w:r>
      <w:r w:rsidRPr="006213B2">
        <w:rPr>
          <w:rFonts w:ascii="Constantia" w:hAnsi="Constantia"/>
        </w:rPr>
        <w:t>(a,h)antracena i ostalih PAH-ova za koje nisu propisani</w:t>
      </w:r>
      <w:r w:rsidR="00727442">
        <w:rPr>
          <w:rFonts w:ascii="Constantia" w:hAnsi="Constantia"/>
        </w:rPr>
        <w:t xml:space="preserve"> </w:t>
      </w:r>
      <w:r w:rsidRPr="006213B2">
        <w:rPr>
          <w:rFonts w:ascii="Constantia" w:hAnsi="Constantia"/>
        </w:rPr>
        <w:t xml:space="preserve">standardi kvaliteta vazduha već samo mjere kontrole imisija. </w:t>
      </w:r>
      <w:r w:rsidR="006213B2">
        <w:rPr>
          <w:rFonts w:ascii="Constantia" w:hAnsi="Constantia"/>
        </w:rPr>
        <w:t>Sadržaj benzo</w:t>
      </w:r>
      <w:r w:rsidR="00B102A3" w:rsidRPr="006213B2">
        <w:rPr>
          <w:rFonts w:ascii="Constantia" w:hAnsi="Constantia"/>
        </w:rPr>
        <w:t>(a)pirena izračunat kao srednja vrijednost nedjeljnih uzoraka bio je 1,</w:t>
      </w:r>
      <w:r w:rsidR="00252B50" w:rsidRPr="006213B2">
        <w:rPr>
          <w:rFonts w:ascii="Constantia" w:hAnsi="Constantia"/>
        </w:rPr>
        <w:t>18</w:t>
      </w:r>
      <w:r w:rsidR="00727442">
        <w:rPr>
          <w:rFonts w:ascii="Constantia" w:hAnsi="Constantia"/>
        </w:rPr>
        <w:t xml:space="preserve"> </w:t>
      </w:r>
      <w:r w:rsidR="00B102A3" w:rsidRPr="006213B2">
        <w:rPr>
          <w:rFonts w:ascii="Constantia" w:hAnsi="Constantia"/>
        </w:rPr>
        <w:t>ng/m</w:t>
      </w:r>
      <w:r w:rsidR="00B102A3" w:rsidRPr="006213B2">
        <w:rPr>
          <w:rFonts w:ascii="Constantia" w:hAnsi="Constantia"/>
          <w:vertAlign w:val="superscript"/>
        </w:rPr>
        <w:t>3</w:t>
      </w:r>
      <w:r w:rsidR="00252B50" w:rsidRPr="006213B2">
        <w:rPr>
          <w:rFonts w:ascii="Constantia" w:hAnsi="Constantia"/>
        </w:rPr>
        <w:t>. Ciljna</w:t>
      </w:r>
      <w:r w:rsidR="00B102A3" w:rsidRPr="006213B2">
        <w:rPr>
          <w:rFonts w:ascii="Constantia" w:hAnsi="Constantia"/>
        </w:rPr>
        <w:t xml:space="preserve"> vrijednost</w:t>
      </w:r>
      <w:r w:rsidR="00266316" w:rsidRPr="006213B2">
        <w:rPr>
          <w:rFonts w:ascii="Constantia" w:hAnsi="Constantia"/>
        </w:rPr>
        <w:t xml:space="preserve"> propisan</w:t>
      </w:r>
      <w:r w:rsidR="00252B50" w:rsidRPr="006213B2">
        <w:rPr>
          <w:rFonts w:ascii="Constantia" w:hAnsi="Constantia"/>
        </w:rPr>
        <w:t>a</w:t>
      </w:r>
      <w:r w:rsidR="006213B2">
        <w:rPr>
          <w:rFonts w:ascii="Constantia" w:hAnsi="Constantia"/>
        </w:rPr>
        <w:t xml:space="preserve"> s</w:t>
      </w:r>
      <w:r w:rsidR="00B102A3" w:rsidRPr="006213B2">
        <w:rPr>
          <w:rFonts w:ascii="Constantia" w:hAnsi="Constantia"/>
        </w:rPr>
        <w:t xml:space="preserve"> ciljem zaštite zdravlja ljudi i rokom postizanja do 2015. </w:t>
      </w:r>
      <w:r w:rsidR="00266316" w:rsidRPr="006213B2">
        <w:rPr>
          <w:rFonts w:ascii="Constantia" w:hAnsi="Constantia"/>
        </w:rPr>
        <w:t>g</w:t>
      </w:r>
      <w:r w:rsidR="00B102A3" w:rsidRPr="006213B2">
        <w:rPr>
          <w:rFonts w:ascii="Constantia" w:hAnsi="Constantia"/>
        </w:rPr>
        <w:t>odine</w:t>
      </w:r>
      <w:r w:rsidR="00266316" w:rsidRPr="006213B2">
        <w:rPr>
          <w:rFonts w:ascii="Constantia" w:hAnsi="Constantia"/>
        </w:rPr>
        <w:t xml:space="preserve"> iznosi </w:t>
      </w:r>
      <w:r w:rsidR="006213B2">
        <w:rPr>
          <w:rFonts w:ascii="Constantia" w:hAnsi="Constantia"/>
        </w:rPr>
        <w:t xml:space="preserve">1 </w:t>
      </w:r>
      <w:r w:rsidR="00266316" w:rsidRPr="006213B2">
        <w:rPr>
          <w:rFonts w:ascii="Constantia" w:hAnsi="Constantia"/>
        </w:rPr>
        <w:t>ng/m</w:t>
      </w:r>
      <w:r w:rsidR="00266316" w:rsidRPr="006213B2">
        <w:rPr>
          <w:rFonts w:ascii="Constantia" w:hAnsi="Constantia"/>
          <w:vertAlign w:val="superscript"/>
        </w:rPr>
        <w:t>3</w:t>
      </w:r>
      <w:r w:rsidR="00B102A3" w:rsidRPr="006213B2">
        <w:rPr>
          <w:rFonts w:ascii="Constantia" w:hAnsi="Constantia"/>
        </w:rPr>
        <w:t>.</w:t>
      </w:r>
    </w:p>
    <w:p w:rsidR="00F43B41" w:rsidRDefault="00F43B41" w:rsidP="00480B68">
      <w:pPr>
        <w:tabs>
          <w:tab w:val="left" w:pos="5685"/>
        </w:tabs>
        <w:rPr>
          <w:rFonts w:ascii="Constantia" w:hAnsi="Constantia"/>
        </w:rPr>
      </w:pPr>
      <w:r w:rsidRPr="006213B2">
        <w:rPr>
          <w:rFonts w:ascii="Constantia" w:hAnsi="Constantia"/>
        </w:rPr>
        <w:t>Srednja godišnja koncentracija benzena tokom 2013.</w:t>
      </w:r>
      <w:r w:rsidR="00B93D30">
        <w:rPr>
          <w:rFonts w:ascii="Constantia" w:hAnsi="Constantia"/>
        </w:rPr>
        <w:t xml:space="preserve"> </w:t>
      </w:r>
      <w:r w:rsidR="00B93D30" w:rsidRPr="006213B2">
        <w:rPr>
          <w:rFonts w:ascii="Constantia" w:hAnsi="Constantia"/>
        </w:rPr>
        <w:t>G</w:t>
      </w:r>
      <w:r w:rsidRPr="006213B2">
        <w:rPr>
          <w:rFonts w:ascii="Constantia" w:hAnsi="Constantia"/>
        </w:rPr>
        <w:t>odine</w:t>
      </w:r>
      <w:r w:rsidR="00B93D30">
        <w:rPr>
          <w:rFonts w:ascii="Constantia" w:hAnsi="Constantia"/>
        </w:rPr>
        <w:t xml:space="preserve"> </w:t>
      </w:r>
      <w:r w:rsidR="00BD4E59" w:rsidRPr="006213B2">
        <w:rPr>
          <w:rFonts w:ascii="Constantia" w:hAnsi="Constantia"/>
        </w:rPr>
        <w:t>(v</w:t>
      </w:r>
      <w:r w:rsidRPr="006213B2">
        <w:rPr>
          <w:rFonts w:ascii="Constantia" w:hAnsi="Constantia"/>
        </w:rPr>
        <w:t>alidnih mjerenja je bilo 242 dana</w:t>
      </w:r>
      <w:r w:rsidR="00BD4E59" w:rsidRPr="006213B2">
        <w:rPr>
          <w:rFonts w:ascii="Constantia" w:hAnsi="Constantia"/>
        </w:rPr>
        <w:t>) iznosila je 1,77</w:t>
      </w:r>
      <w:r w:rsidR="00B93D30">
        <w:rPr>
          <w:rFonts w:ascii="Constantia" w:hAnsi="Constantia"/>
        </w:rPr>
        <w:t xml:space="preserve"> </w:t>
      </w:r>
      <w:r w:rsidRPr="006213B2">
        <w:rPr>
          <w:rFonts w:ascii="Constantia" w:hAnsi="Constantia"/>
        </w:rPr>
        <w:t>µg/m</w:t>
      </w:r>
      <w:r w:rsidRPr="006213B2">
        <w:rPr>
          <w:rFonts w:ascii="Constantia" w:hAnsi="Constantia"/>
          <w:vertAlign w:val="superscript"/>
        </w:rPr>
        <w:t>3</w:t>
      </w:r>
      <w:r w:rsidR="00BD4E59" w:rsidRPr="006213B2">
        <w:rPr>
          <w:rFonts w:ascii="Constantia" w:hAnsi="Constantia"/>
        </w:rPr>
        <w:t>, što</w:t>
      </w:r>
      <w:r w:rsidRPr="006213B2">
        <w:rPr>
          <w:rFonts w:ascii="Constantia" w:hAnsi="Constantia"/>
        </w:rPr>
        <w:t xml:space="preserve"> je ispod propisane granične vrijednosti od 5</w:t>
      </w:r>
      <w:r w:rsidR="00B93D30">
        <w:rPr>
          <w:rFonts w:ascii="Constantia" w:hAnsi="Constantia"/>
        </w:rPr>
        <w:t xml:space="preserve"> </w:t>
      </w:r>
      <w:r w:rsidRPr="006213B2">
        <w:rPr>
          <w:rFonts w:ascii="Constantia" w:hAnsi="Constantia"/>
        </w:rPr>
        <w:t>µg/m</w:t>
      </w:r>
      <w:r w:rsidRPr="006213B2">
        <w:rPr>
          <w:rFonts w:ascii="Constantia" w:hAnsi="Constantia"/>
          <w:vertAlign w:val="superscript"/>
        </w:rPr>
        <w:t>3</w:t>
      </w:r>
      <w:r w:rsidR="00BD4E59" w:rsidRPr="006213B2">
        <w:rPr>
          <w:rFonts w:ascii="Constantia" w:hAnsi="Constantia"/>
        </w:rPr>
        <w:t>.</w:t>
      </w:r>
    </w:p>
    <w:p w:rsidR="00480B68" w:rsidRPr="009B693B" w:rsidRDefault="009E2298" w:rsidP="007468D3">
      <w:pPr>
        <w:pStyle w:val="Heading3"/>
      </w:pPr>
      <w:bookmarkStart w:id="7" w:name="_Toc393897855"/>
      <w:r>
        <w:t xml:space="preserve">1.1.2  </w:t>
      </w:r>
      <w:r w:rsidR="00480B68" w:rsidRPr="007468D3">
        <w:t>Bar</w:t>
      </w:r>
      <w:bookmarkEnd w:id="7"/>
    </w:p>
    <w:p w:rsidR="00763B31" w:rsidRDefault="00480B68" w:rsidP="00480B68">
      <w:pPr>
        <w:tabs>
          <w:tab w:val="left" w:pos="5685"/>
        </w:tabs>
        <w:rPr>
          <w:rFonts w:ascii="Constantia" w:hAnsi="Constantia"/>
        </w:rPr>
      </w:pPr>
      <w:r w:rsidRPr="009B693B">
        <w:rPr>
          <w:rFonts w:ascii="Constantia" w:hAnsi="Constantia"/>
        </w:rPr>
        <w:t xml:space="preserve">U Baru je vršeno mjerenje sledećih parametara: </w:t>
      </w:r>
      <w:r w:rsidR="00763B31" w:rsidRPr="009B693B">
        <w:rPr>
          <w:rFonts w:ascii="Constantia" w:hAnsi="Constantia"/>
          <w:b/>
        </w:rPr>
        <w:t>sumpor(IV)oks</w:t>
      </w:r>
      <w:r w:rsidR="00ED071C" w:rsidRPr="009B693B">
        <w:rPr>
          <w:rFonts w:ascii="Constantia" w:hAnsi="Constantia"/>
          <w:b/>
        </w:rPr>
        <w:t>i</w:t>
      </w:r>
      <w:r w:rsidR="00763B31" w:rsidRPr="009B693B">
        <w:rPr>
          <w:rFonts w:ascii="Constantia" w:hAnsi="Constantia"/>
          <w:b/>
        </w:rPr>
        <w:t>da (SO</w:t>
      </w:r>
      <w:r w:rsidR="00763B31" w:rsidRPr="009B693B">
        <w:rPr>
          <w:rFonts w:ascii="Constantia" w:hAnsi="Constantia"/>
          <w:b/>
          <w:vertAlign w:val="subscript"/>
        </w:rPr>
        <w:t>2</w:t>
      </w:r>
      <w:r w:rsidR="00763B31" w:rsidRPr="009B693B">
        <w:rPr>
          <w:rFonts w:ascii="Constantia" w:hAnsi="Constantia"/>
          <w:b/>
        </w:rPr>
        <w:t xml:space="preserve">), azot(II)oksida </w:t>
      </w:r>
      <w:r w:rsidR="00763B31" w:rsidRPr="009B693B">
        <w:rPr>
          <w:rFonts w:ascii="Constantia" w:hAnsi="Constantia"/>
          <w:b/>
          <w:lang w:val="sr-Latn-CS"/>
        </w:rPr>
        <w:t>(NO)</w:t>
      </w:r>
      <w:r w:rsidR="00763B31" w:rsidRPr="009B693B">
        <w:rPr>
          <w:rFonts w:ascii="Constantia" w:hAnsi="Constantia"/>
          <w:b/>
        </w:rPr>
        <w:t>, azot(IV)oksida (NO</w:t>
      </w:r>
      <w:r w:rsidR="00763B31" w:rsidRPr="009B693B">
        <w:rPr>
          <w:rFonts w:ascii="Constantia" w:hAnsi="Constantia"/>
          <w:b/>
          <w:vertAlign w:val="subscript"/>
        </w:rPr>
        <w:t>2</w:t>
      </w:r>
      <w:r w:rsidR="00763B31" w:rsidRPr="009B693B">
        <w:rPr>
          <w:rFonts w:ascii="Constantia" w:hAnsi="Constantia"/>
          <w:b/>
        </w:rPr>
        <w:t>), ukupnih azotnih oksida (NO</w:t>
      </w:r>
      <w:r w:rsidR="00763B31" w:rsidRPr="009B693B">
        <w:rPr>
          <w:rFonts w:ascii="Constantia" w:hAnsi="Constantia"/>
          <w:b/>
          <w:vertAlign w:val="subscript"/>
        </w:rPr>
        <w:t>x</w:t>
      </w:r>
      <w:r w:rsidR="00763B31" w:rsidRPr="009B693B">
        <w:rPr>
          <w:rFonts w:ascii="Constantia" w:hAnsi="Constantia"/>
          <w:b/>
        </w:rPr>
        <w:t>),</w:t>
      </w:r>
      <w:r w:rsidR="00973A75" w:rsidRPr="009B693B">
        <w:rPr>
          <w:rFonts w:ascii="Constantia" w:hAnsi="Constantia"/>
          <w:b/>
        </w:rPr>
        <w:t xml:space="preserve"> ugljen(II)oksida (CO),</w:t>
      </w:r>
      <w:r w:rsidR="001E6720">
        <w:rPr>
          <w:rFonts w:ascii="Constantia" w:hAnsi="Constantia"/>
          <w:b/>
        </w:rPr>
        <w:t xml:space="preserve"> </w:t>
      </w:r>
      <w:r w:rsidR="001135D2" w:rsidRPr="009B693B">
        <w:rPr>
          <w:rFonts w:ascii="Constantia" w:hAnsi="Constantia"/>
          <w:b/>
        </w:rPr>
        <w:t>prizemnog ozona (O</w:t>
      </w:r>
      <w:r w:rsidR="001135D2" w:rsidRPr="009B693B">
        <w:rPr>
          <w:rFonts w:ascii="Constantia" w:hAnsi="Constantia"/>
          <w:b/>
          <w:vertAlign w:val="subscript"/>
        </w:rPr>
        <w:t>3</w:t>
      </w:r>
      <w:r w:rsidR="001135D2" w:rsidRPr="009B693B">
        <w:rPr>
          <w:rFonts w:ascii="Constantia" w:hAnsi="Constantia"/>
          <w:b/>
        </w:rPr>
        <w:t xml:space="preserve">), </w:t>
      </w:r>
      <w:r w:rsidR="00BF5C74" w:rsidRPr="009B693B">
        <w:rPr>
          <w:rFonts w:ascii="Constantia" w:hAnsi="Constantia"/>
          <w:b/>
        </w:rPr>
        <w:t>PM</w:t>
      </w:r>
      <w:r w:rsidR="00BF5C74" w:rsidRPr="009B693B">
        <w:rPr>
          <w:rFonts w:ascii="Constantia" w:hAnsi="Constantia"/>
          <w:b/>
          <w:vertAlign w:val="subscript"/>
        </w:rPr>
        <w:t>2,5</w:t>
      </w:r>
      <w:r w:rsidR="00BF5C74" w:rsidRPr="009B693B">
        <w:rPr>
          <w:rFonts w:ascii="Constantia" w:hAnsi="Constantia"/>
          <w:b/>
        </w:rPr>
        <w:t xml:space="preserve"> čestica, </w:t>
      </w:r>
      <w:r w:rsidR="00763B31" w:rsidRPr="009B693B">
        <w:rPr>
          <w:rFonts w:ascii="Constantia" w:hAnsi="Constantia"/>
          <w:b/>
        </w:rPr>
        <w:t>PM</w:t>
      </w:r>
      <w:r w:rsidR="00763B31" w:rsidRPr="009B693B">
        <w:rPr>
          <w:rFonts w:ascii="Constantia" w:hAnsi="Constantia"/>
          <w:b/>
          <w:vertAlign w:val="subscript"/>
        </w:rPr>
        <w:t>10</w:t>
      </w:r>
      <w:r w:rsidR="00763B31" w:rsidRPr="009B693B">
        <w:rPr>
          <w:rFonts w:ascii="Constantia" w:hAnsi="Constantia"/>
          <w:b/>
        </w:rPr>
        <w:t xml:space="preserve"> čestica, </w:t>
      </w:r>
      <w:r w:rsidR="00C25271" w:rsidRPr="009B693B">
        <w:rPr>
          <w:rFonts w:ascii="Constantia" w:hAnsi="Constantia"/>
          <w:b/>
        </w:rPr>
        <w:t>sadržaj teških metala</w:t>
      </w:r>
      <w:r w:rsidR="009B693B">
        <w:rPr>
          <w:rFonts w:ascii="Constantia" w:hAnsi="Constantia"/>
          <w:b/>
        </w:rPr>
        <w:t>, benzo</w:t>
      </w:r>
      <w:r w:rsidR="00763B31" w:rsidRPr="009B693B">
        <w:rPr>
          <w:rFonts w:ascii="Constantia" w:hAnsi="Constantia"/>
          <w:b/>
        </w:rPr>
        <w:t>(a)pirena (BaP), relevantnih predstavnika P</w:t>
      </w:r>
      <w:r w:rsidR="007C3449" w:rsidRPr="009B693B">
        <w:rPr>
          <w:rFonts w:ascii="Constantia" w:hAnsi="Constantia"/>
          <w:b/>
        </w:rPr>
        <w:t>AH-</w:t>
      </w:r>
      <w:r w:rsidR="009B693B">
        <w:rPr>
          <w:rFonts w:ascii="Constantia" w:hAnsi="Constantia"/>
          <w:b/>
        </w:rPr>
        <w:t>ova</w:t>
      </w:r>
      <w:r w:rsidR="007C3449" w:rsidRPr="009B693B">
        <w:rPr>
          <w:rFonts w:ascii="Constantia" w:hAnsi="Constantia"/>
          <w:b/>
        </w:rPr>
        <w:t xml:space="preserve"> (marker</w:t>
      </w:r>
      <w:r w:rsidR="009B693B">
        <w:rPr>
          <w:rFonts w:ascii="Constantia" w:hAnsi="Constantia"/>
          <w:b/>
        </w:rPr>
        <w:t>a benzo</w:t>
      </w:r>
      <w:r w:rsidR="007C3449" w:rsidRPr="009B693B">
        <w:rPr>
          <w:rFonts w:ascii="Constantia" w:hAnsi="Constantia"/>
          <w:b/>
        </w:rPr>
        <w:t>(a)pirena) i</w:t>
      </w:r>
      <w:r w:rsidR="00763B31" w:rsidRPr="009B693B">
        <w:rPr>
          <w:rFonts w:ascii="Constantia" w:hAnsi="Constantia"/>
          <w:b/>
        </w:rPr>
        <w:t xml:space="preserve"> ukupnih PAH-</w:t>
      </w:r>
      <w:r w:rsidR="009B693B">
        <w:rPr>
          <w:rFonts w:ascii="Constantia" w:hAnsi="Constantia"/>
          <w:b/>
        </w:rPr>
        <w:t>ova</w:t>
      </w:r>
      <w:r w:rsidR="00763B31" w:rsidRPr="009B693B">
        <w:rPr>
          <w:rFonts w:ascii="Constantia" w:hAnsi="Constantia"/>
          <w:b/>
        </w:rPr>
        <w:t xml:space="preserve"> u PM</w:t>
      </w:r>
      <w:r w:rsidR="00763B31" w:rsidRPr="009B693B">
        <w:rPr>
          <w:rFonts w:ascii="Constantia" w:hAnsi="Constantia"/>
          <w:b/>
          <w:vertAlign w:val="subscript"/>
        </w:rPr>
        <w:t>10</w:t>
      </w:r>
      <w:r w:rsidR="00763B31" w:rsidRPr="009B693B">
        <w:rPr>
          <w:rFonts w:ascii="Constantia" w:hAnsi="Constantia"/>
        </w:rPr>
        <w:t>.</w:t>
      </w:r>
    </w:p>
    <w:p w:rsidR="00F97A65" w:rsidRDefault="00A6758D" w:rsidP="008736E0">
      <w:r w:rsidRPr="008523DA">
        <w:rPr>
          <w:rFonts w:ascii="Constantia" w:hAnsi="Constantia"/>
          <w:lang w:val="sr-Latn-CS"/>
        </w:rPr>
        <w:lastRenderedPageBreak/>
        <w:t xml:space="preserve">Na </w:t>
      </w:r>
      <w:r w:rsidRPr="008523DA">
        <w:rPr>
          <w:rFonts w:ascii="Constantia" w:hAnsi="Constantia"/>
          <w:i/>
          <w:lang w:val="sr-Latn-CS"/>
        </w:rPr>
        <w:t>G</w:t>
      </w:r>
      <w:r w:rsidR="00635EA8" w:rsidRPr="008523DA">
        <w:rPr>
          <w:rFonts w:ascii="Constantia" w:hAnsi="Constantia"/>
          <w:i/>
          <w:lang w:val="sr-Latn-CS"/>
        </w:rPr>
        <w:t>rafikonu 4</w:t>
      </w:r>
      <w:r w:rsidRPr="008523DA">
        <w:rPr>
          <w:rFonts w:ascii="Constantia" w:hAnsi="Constantia"/>
          <w:i/>
          <w:lang w:val="sr-Latn-CS"/>
        </w:rPr>
        <w:t>.</w:t>
      </w:r>
      <w:r w:rsidR="00635EA8" w:rsidRPr="008523DA">
        <w:rPr>
          <w:rFonts w:ascii="Constantia" w:hAnsi="Constantia"/>
          <w:lang w:val="sr-Latn-CS"/>
        </w:rPr>
        <w:t xml:space="preserve"> prikazane su koncentracije </w:t>
      </w:r>
      <w:r w:rsidR="00B85966" w:rsidRPr="008523DA">
        <w:rPr>
          <w:rFonts w:ascii="Constantia" w:hAnsi="Constantia"/>
        </w:rPr>
        <w:t>sumpor(IV)oks</w:t>
      </w:r>
      <w:r w:rsidR="00ED071C" w:rsidRPr="008523DA">
        <w:rPr>
          <w:rFonts w:ascii="Constantia" w:hAnsi="Constantia"/>
        </w:rPr>
        <w:t>i</w:t>
      </w:r>
      <w:r w:rsidR="00B85966" w:rsidRPr="008523DA">
        <w:rPr>
          <w:rFonts w:ascii="Constantia" w:hAnsi="Constantia"/>
        </w:rPr>
        <w:t>da (SO</w:t>
      </w:r>
      <w:r w:rsidR="00B85966" w:rsidRPr="008523DA">
        <w:rPr>
          <w:rFonts w:ascii="Constantia" w:hAnsi="Constantia"/>
          <w:vertAlign w:val="subscript"/>
        </w:rPr>
        <w:t>2</w:t>
      </w:r>
      <w:r w:rsidR="00B85966" w:rsidRPr="008523DA">
        <w:rPr>
          <w:rFonts w:ascii="Constantia" w:hAnsi="Constantia"/>
        </w:rPr>
        <w:t>)</w:t>
      </w:r>
      <w:r w:rsidR="00635EA8" w:rsidRPr="008523DA">
        <w:rPr>
          <w:rFonts w:ascii="Constantia" w:hAnsi="Constantia"/>
          <w:lang w:val="sr-Latn-CS"/>
        </w:rPr>
        <w:t xml:space="preserve"> u vazduhu (maksimalne </w:t>
      </w:r>
      <w:r w:rsidR="003E007D" w:rsidRPr="008523DA">
        <w:rPr>
          <w:rFonts w:ascii="Constantia" w:hAnsi="Constantia"/>
          <w:lang w:val="sr-Latn-CS"/>
        </w:rPr>
        <w:t>jednočasovne</w:t>
      </w:r>
      <w:r w:rsidR="00635EA8" w:rsidRPr="008523DA">
        <w:rPr>
          <w:rFonts w:ascii="Constantia" w:hAnsi="Constantia"/>
          <w:lang w:val="sr-Latn-CS"/>
        </w:rPr>
        <w:t xml:space="preserve"> srednje </w:t>
      </w:r>
      <w:r w:rsidR="003E007D" w:rsidRPr="008523DA">
        <w:rPr>
          <w:rFonts w:ascii="Constantia" w:hAnsi="Constantia"/>
          <w:lang w:val="sr-Latn-CS"/>
        </w:rPr>
        <w:t>koncentracije i srednje mjesečne koncentracije</w:t>
      </w:r>
      <w:r w:rsidR="00AC120B" w:rsidRPr="008523DA">
        <w:rPr>
          <w:rFonts w:ascii="Constantia" w:hAnsi="Constantia"/>
          <w:lang w:val="sr-Latn-CS"/>
        </w:rPr>
        <w:t>) izmjerene tokom 2013</w:t>
      </w:r>
      <w:r w:rsidR="00635EA8" w:rsidRPr="008523DA">
        <w:rPr>
          <w:rFonts w:ascii="Constantia" w:hAnsi="Constantia"/>
          <w:lang w:val="sr-Latn-CS"/>
        </w:rPr>
        <w:t>. godine.</w:t>
      </w:r>
    </w:p>
    <w:p w:rsidR="009E043D" w:rsidRDefault="009E043D" w:rsidP="00A6758D">
      <w:pPr>
        <w:tabs>
          <w:tab w:val="left" w:pos="5685"/>
        </w:tabs>
        <w:spacing w:after="0"/>
        <w:jc w:val="center"/>
      </w:pPr>
      <w:r>
        <w:rPr>
          <w:noProof/>
        </w:rPr>
        <w:drawing>
          <wp:inline distT="0" distB="0" distL="0" distR="0" wp14:anchorId="65BD1F12" wp14:editId="235DE602">
            <wp:extent cx="4543425" cy="2667000"/>
            <wp:effectExtent l="0" t="0" r="0" b="0"/>
            <wp:docPr id="11"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97A65" w:rsidRDefault="00635EA8" w:rsidP="00D1299A">
      <w:pPr>
        <w:pStyle w:val="Grafikon"/>
        <w:ind w:left="144" w:hanging="144"/>
        <w:rPr>
          <w:rFonts w:ascii="Constantia" w:hAnsi="Constantia"/>
          <w:sz w:val="22"/>
          <w:szCs w:val="22"/>
        </w:rPr>
      </w:pPr>
      <w:r w:rsidRPr="008523DA">
        <w:rPr>
          <w:rFonts w:ascii="Constantia" w:hAnsi="Constantia"/>
          <w:sz w:val="22"/>
          <w:szCs w:val="22"/>
        </w:rPr>
        <w:t>Koncentracija SO</w:t>
      </w:r>
      <w:r w:rsidRPr="008523DA">
        <w:rPr>
          <w:rFonts w:ascii="Constantia" w:hAnsi="Constantia"/>
          <w:sz w:val="22"/>
          <w:szCs w:val="22"/>
          <w:vertAlign w:val="subscript"/>
        </w:rPr>
        <w:t>2</w:t>
      </w:r>
      <w:r w:rsidRPr="008523DA">
        <w:rPr>
          <w:rFonts w:ascii="Constantia" w:hAnsi="Constantia"/>
          <w:sz w:val="22"/>
          <w:szCs w:val="22"/>
        </w:rPr>
        <w:t xml:space="preserve"> u vazduhu</w:t>
      </w:r>
      <w:r w:rsidR="001A090C">
        <w:rPr>
          <w:rFonts w:ascii="Constantia" w:hAnsi="Constantia"/>
          <w:sz w:val="22"/>
          <w:szCs w:val="22"/>
        </w:rPr>
        <w:t xml:space="preserve"> </w:t>
      </w:r>
      <w:r w:rsidR="008736E0">
        <w:rPr>
          <w:rFonts w:ascii="Constantia" w:hAnsi="Constantia"/>
          <w:sz w:val="22"/>
          <w:szCs w:val="22"/>
        </w:rPr>
        <w:t>–</w:t>
      </w:r>
      <w:r w:rsidR="001A090C">
        <w:rPr>
          <w:rFonts w:ascii="Constantia" w:hAnsi="Constantia"/>
          <w:sz w:val="22"/>
          <w:szCs w:val="22"/>
        </w:rPr>
        <w:t xml:space="preserve"> </w:t>
      </w:r>
      <w:r w:rsidRPr="008523DA">
        <w:rPr>
          <w:rFonts w:ascii="Constantia" w:hAnsi="Constantia"/>
          <w:sz w:val="22"/>
          <w:szCs w:val="22"/>
        </w:rPr>
        <w:t>Bar</w:t>
      </w:r>
    </w:p>
    <w:p w:rsidR="008736E0" w:rsidRPr="008523DA" w:rsidRDefault="008736E0" w:rsidP="008736E0">
      <w:pPr>
        <w:pStyle w:val="Grafikon"/>
        <w:numPr>
          <w:ilvl w:val="0"/>
          <w:numId w:val="0"/>
        </w:numPr>
        <w:spacing w:after="0"/>
        <w:ind w:left="144"/>
        <w:jc w:val="both"/>
        <w:rPr>
          <w:rFonts w:ascii="Constantia" w:hAnsi="Constantia"/>
          <w:sz w:val="22"/>
          <w:szCs w:val="22"/>
        </w:rPr>
      </w:pPr>
    </w:p>
    <w:p w:rsidR="00F97A65" w:rsidRPr="008523DA" w:rsidRDefault="00F64275" w:rsidP="00480B68">
      <w:pPr>
        <w:tabs>
          <w:tab w:val="left" w:pos="5685"/>
        </w:tabs>
        <w:rPr>
          <w:rFonts w:ascii="Constantia" w:hAnsi="Constantia"/>
        </w:rPr>
      </w:pPr>
      <w:r w:rsidRPr="008523DA">
        <w:rPr>
          <w:rFonts w:ascii="Constantia" w:hAnsi="Constantia"/>
        </w:rPr>
        <w:t xml:space="preserve">Sve izmjerene vrijednosti </w:t>
      </w:r>
      <w:r w:rsidR="00B85966" w:rsidRPr="008523DA">
        <w:rPr>
          <w:rFonts w:ascii="Constantia" w:hAnsi="Constantia"/>
        </w:rPr>
        <w:t>sumpor(IV)oks</w:t>
      </w:r>
      <w:r w:rsidR="00ED071C" w:rsidRPr="008523DA">
        <w:rPr>
          <w:rFonts w:ascii="Constantia" w:hAnsi="Constantia"/>
        </w:rPr>
        <w:t>i</w:t>
      </w:r>
      <w:r w:rsidR="00B85966" w:rsidRPr="008523DA">
        <w:rPr>
          <w:rFonts w:ascii="Constantia" w:hAnsi="Constantia"/>
        </w:rPr>
        <w:t>da (SO</w:t>
      </w:r>
      <w:r w:rsidR="00B85966" w:rsidRPr="008523DA">
        <w:rPr>
          <w:rFonts w:ascii="Constantia" w:hAnsi="Constantia"/>
          <w:vertAlign w:val="subscript"/>
        </w:rPr>
        <w:t>2</w:t>
      </w:r>
      <w:r w:rsidR="00B85966" w:rsidRPr="008523DA">
        <w:rPr>
          <w:rFonts w:ascii="Constantia" w:hAnsi="Constantia"/>
        </w:rPr>
        <w:t>)</w:t>
      </w:r>
      <w:r w:rsidR="00721CA0">
        <w:rPr>
          <w:rFonts w:ascii="Constantia" w:hAnsi="Constantia"/>
        </w:rPr>
        <w:t xml:space="preserve">, </w:t>
      </w:r>
      <w:r w:rsidRPr="008523DA">
        <w:rPr>
          <w:rFonts w:ascii="Constantia" w:hAnsi="Constantia"/>
        </w:rPr>
        <w:t>posmatrane u odnosu na granične vrijednosti (jednočasovne srednje vrijednos</w:t>
      </w:r>
      <w:r w:rsidR="003D7053" w:rsidRPr="008523DA">
        <w:rPr>
          <w:rFonts w:ascii="Constantia" w:hAnsi="Constantia"/>
        </w:rPr>
        <w:t>ti i dnevne srednje vrijednosti</w:t>
      </w:r>
      <w:r w:rsidRPr="008523DA">
        <w:rPr>
          <w:rFonts w:ascii="Constantia" w:hAnsi="Constantia"/>
        </w:rPr>
        <w:t>) za zaštitu zdravlja</w:t>
      </w:r>
      <w:r w:rsidR="00721CA0">
        <w:rPr>
          <w:rFonts w:ascii="Constantia" w:hAnsi="Constantia"/>
        </w:rPr>
        <w:t>,</w:t>
      </w:r>
      <w:r w:rsidRPr="008523DA">
        <w:rPr>
          <w:rFonts w:ascii="Constantia" w:hAnsi="Constantia"/>
        </w:rPr>
        <w:t xml:space="preserve"> bile</w:t>
      </w:r>
      <w:r w:rsidR="00610D3F" w:rsidRPr="008523DA">
        <w:rPr>
          <w:rFonts w:ascii="Constantia" w:hAnsi="Constantia"/>
        </w:rPr>
        <w:t xml:space="preserve"> su</w:t>
      </w:r>
      <w:r w:rsidRPr="008523DA">
        <w:rPr>
          <w:rFonts w:ascii="Constantia" w:hAnsi="Constantia"/>
        </w:rPr>
        <w:t xml:space="preserve"> značajno ispod propisanih graničnih vrijednost od 3</w:t>
      </w:r>
      <w:r w:rsidR="00D7496E" w:rsidRPr="008523DA">
        <w:rPr>
          <w:rFonts w:ascii="Constantia" w:hAnsi="Constantia"/>
        </w:rPr>
        <w:t>5</w:t>
      </w:r>
      <w:r w:rsidRPr="008523DA">
        <w:rPr>
          <w:rFonts w:ascii="Constantia" w:hAnsi="Constantia"/>
        </w:rPr>
        <w:t>0</w:t>
      </w:r>
      <w:r w:rsidR="00721CA0">
        <w:rPr>
          <w:rFonts w:ascii="Constantia" w:hAnsi="Constantia"/>
        </w:rPr>
        <w:t xml:space="preserve"> </w:t>
      </w:r>
      <w:r w:rsidRPr="008523DA">
        <w:rPr>
          <w:rFonts w:ascii="Constantia" w:hAnsi="Constantia"/>
        </w:rPr>
        <w:t>μg/m</w:t>
      </w:r>
      <w:r w:rsidRPr="008523DA">
        <w:rPr>
          <w:rFonts w:ascii="Constantia" w:hAnsi="Constantia"/>
          <w:vertAlign w:val="superscript"/>
        </w:rPr>
        <w:t>3</w:t>
      </w:r>
      <w:r w:rsidRPr="008523DA">
        <w:rPr>
          <w:rFonts w:ascii="Constantia" w:hAnsi="Constantia"/>
        </w:rPr>
        <w:t>, odnosno 1</w:t>
      </w:r>
      <w:r w:rsidR="002F4DAE" w:rsidRPr="008523DA">
        <w:rPr>
          <w:rFonts w:ascii="Constantia" w:hAnsi="Constantia"/>
        </w:rPr>
        <w:t>25</w:t>
      </w:r>
      <w:r w:rsidR="00721CA0">
        <w:rPr>
          <w:rFonts w:ascii="Constantia" w:hAnsi="Constantia"/>
        </w:rPr>
        <w:t xml:space="preserve"> </w:t>
      </w:r>
      <w:r w:rsidRPr="008523DA">
        <w:rPr>
          <w:rFonts w:ascii="Constantia" w:hAnsi="Constantia"/>
        </w:rPr>
        <w:t>μg/m</w:t>
      </w:r>
      <w:r w:rsidRPr="008523DA">
        <w:rPr>
          <w:rFonts w:ascii="Constantia" w:hAnsi="Constantia"/>
          <w:vertAlign w:val="superscript"/>
        </w:rPr>
        <w:t>3</w:t>
      </w:r>
      <w:r w:rsidRPr="008523DA">
        <w:rPr>
          <w:rFonts w:ascii="Constantia" w:hAnsi="Constantia"/>
        </w:rPr>
        <w:t>.</w:t>
      </w:r>
    </w:p>
    <w:p w:rsidR="000507E3" w:rsidRDefault="00A6758D" w:rsidP="000507E3">
      <w:pPr>
        <w:rPr>
          <w:rFonts w:ascii="Constantia" w:hAnsi="Constantia"/>
          <w:lang w:val="sr-Latn-CS"/>
        </w:rPr>
      </w:pPr>
      <w:r w:rsidRPr="008523DA">
        <w:rPr>
          <w:rFonts w:ascii="Constantia" w:hAnsi="Constantia"/>
          <w:lang w:val="sr-Latn-CS"/>
        </w:rPr>
        <w:t xml:space="preserve">Na </w:t>
      </w:r>
      <w:r w:rsidRPr="008523DA">
        <w:rPr>
          <w:rFonts w:ascii="Constantia" w:hAnsi="Constantia"/>
          <w:i/>
          <w:lang w:val="sr-Latn-CS"/>
        </w:rPr>
        <w:t>G</w:t>
      </w:r>
      <w:r w:rsidR="000507E3" w:rsidRPr="008523DA">
        <w:rPr>
          <w:rFonts w:ascii="Constantia" w:hAnsi="Constantia"/>
          <w:i/>
          <w:lang w:val="sr-Latn-CS"/>
        </w:rPr>
        <w:t>rafikonu 5</w:t>
      </w:r>
      <w:r w:rsidRPr="008523DA">
        <w:rPr>
          <w:rFonts w:ascii="Constantia" w:hAnsi="Constantia"/>
          <w:i/>
          <w:lang w:val="sr-Latn-CS"/>
        </w:rPr>
        <w:t>.</w:t>
      </w:r>
      <w:r w:rsidR="000507E3" w:rsidRPr="008523DA">
        <w:rPr>
          <w:rFonts w:ascii="Constantia" w:hAnsi="Constantia"/>
          <w:lang w:val="sr-Latn-CS"/>
        </w:rPr>
        <w:t xml:space="preserve"> prikazane su koncentracije </w:t>
      </w:r>
      <w:r w:rsidR="00733F7A" w:rsidRPr="008523DA">
        <w:rPr>
          <w:rFonts w:ascii="Constantia" w:hAnsi="Constantia"/>
        </w:rPr>
        <w:t>azot(IV)oksida (NO</w:t>
      </w:r>
      <w:r w:rsidR="00733F7A" w:rsidRPr="008523DA">
        <w:rPr>
          <w:rFonts w:ascii="Constantia" w:hAnsi="Constantia"/>
          <w:vertAlign w:val="subscript"/>
        </w:rPr>
        <w:t>2</w:t>
      </w:r>
      <w:r w:rsidR="00733F7A" w:rsidRPr="008523DA">
        <w:rPr>
          <w:rFonts w:ascii="Constantia" w:hAnsi="Constantia"/>
        </w:rPr>
        <w:t>)</w:t>
      </w:r>
      <w:r w:rsidR="000507E3" w:rsidRPr="008523DA">
        <w:rPr>
          <w:rFonts w:ascii="Constantia" w:hAnsi="Constantia"/>
          <w:lang w:val="sr-Latn-CS"/>
        </w:rPr>
        <w:t xml:space="preserve"> u vazduhu (maksimalne jednočasovne srednje </w:t>
      </w:r>
      <w:r w:rsidR="00C80D9C" w:rsidRPr="008523DA">
        <w:rPr>
          <w:rFonts w:ascii="Constantia" w:hAnsi="Constantia"/>
          <w:lang w:val="sr-Latn-CS"/>
        </w:rPr>
        <w:t>koncentracije i srednje mjesečne koncentracije</w:t>
      </w:r>
      <w:r w:rsidR="000507E3" w:rsidRPr="008523DA">
        <w:rPr>
          <w:rFonts w:ascii="Constantia" w:hAnsi="Constantia"/>
          <w:lang w:val="sr-Latn-CS"/>
        </w:rPr>
        <w:t>)</w:t>
      </w:r>
      <w:r w:rsidR="00E259E9" w:rsidRPr="008523DA">
        <w:rPr>
          <w:rFonts w:ascii="Constantia" w:hAnsi="Constantia"/>
          <w:lang w:val="sr-Latn-CS"/>
        </w:rPr>
        <w:t xml:space="preserve"> izmjerene tokom 2013</w:t>
      </w:r>
      <w:r w:rsidR="000507E3" w:rsidRPr="008523DA">
        <w:rPr>
          <w:rFonts w:ascii="Constantia" w:hAnsi="Constantia"/>
          <w:lang w:val="sr-Latn-CS"/>
        </w:rPr>
        <w:t>. godine.</w:t>
      </w:r>
    </w:p>
    <w:p w:rsidR="00702DD4" w:rsidRPr="00F84A21" w:rsidRDefault="00702DD4" w:rsidP="00A6758D">
      <w:pPr>
        <w:spacing w:after="0"/>
        <w:jc w:val="center"/>
        <w:rPr>
          <w:lang w:val="sr-Latn-CS"/>
        </w:rPr>
      </w:pPr>
      <w:r>
        <w:rPr>
          <w:noProof/>
        </w:rPr>
        <w:drawing>
          <wp:inline distT="0" distB="0" distL="0" distR="0" wp14:anchorId="644DA6DA" wp14:editId="1206E804">
            <wp:extent cx="4562475" cy="2466975"/>
            <wp:effectExtent l="0" t="0" r="0" b="0"/>
            <wp:docPr id="12"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0507E3" w:rsidRDefault="000507E3" w:rsidP="000507E3">
      <w:pPr>
        <w:pStyle w:val="Grafikon"/>
        <w:ind w:left="144" w:hanging="144"/>
        <w:rPr>
          <w:rFonts w:ascii="Constantia" w:hAnsi="Constantia"/>
          <w:sz w:val="22"/>
          <w:szCs w:val="22"/>
        </w:rPr>
      </w:pPr>
      <w:r w:rsidRPr="004D44B5">
        <w:rPr>
          <w:rFonts w:ascii="Constantia" w:hAnsi="Constantia"/>
          <w:sz w:val="22"/>
          <w:szCs w:val="22"/>
        </w:rPr>
        <w:t>Koncentracija NO</w:t>
      </w:r>
      <w:r w:rsidRPr="004D44B5">
        <w:rPr>
          <w:rFonts w:ascii="Constantia" w:hAnsi="Constantia"/>
          <w:sz w:val="22"/>
          <w:szCs w:val="22"/>
          <w:vertAlign w:val="subscript"/>
        </w:rPr>
        <w:t>2</w:t>
      </w:r>
      <w:r w:rsidRPr="004D44B5">
        <w:rPr>
          <w:rFonts w:ascii="Constantia" w:hAnsi="Constantia"/>
          <w:sz w:val="22"/>
          <w:szCs w:val="22"/>
        </w:rPr>
        <w:t xml:space="preserve"> u vazduhu</w:t>
      </w:r>
      <w:r w:rsidR="001A090C">
        <w:rPr>
          <w:rFonts w:ascii="Constantia" w:hAnsi="Constantia"/>
          <w:sz w:val="22"/>
          <w:szCs w:val="22"/>
        </w:rPr>
        <w:t xml:space="preserve"> </w:t>
      </w:r>
      <w:r w:rsidR="008736E0">
        <w:rPr>
          <w:rFonts w:ascii="Constantia" w:hAnsi="Constantia"/>
          <w:sz w:val="22"/>
          <w:szCs w:val="22"/>
        </w:rPr>
        <w:t>–</w:t>
      </w:r>
      <w:r w:rsidR="001A090C">
        <w:rPr>
          <w:rFonts w:ascii="Constantia" w:hAnsi="Constantia"/>
          <w:sz w:val="22"/>
          <w:szCs w:val="22"/>
        </w:rPr>
        <w:t xml:space="preserve"> </w:t>
      </w:r>
      <w:r w:rsidRPr="004D44B5">
        <w:rPr>
          <w:rFonts w:ascii="Constantia" w:hAnsi="Constantia"/>
          <w:sz w:val="22"/>
          <w:szCs w:val="22"/>
        </w:rPr>
        <w:t>Bar</w:t>
      </w:r>
    </w:p>
    <w:p w:rsidR="008736E0" w:rsidRPr="004D44B5" w:rsidRDefault="008736E0" w:rsidP="008736E0">
      <w:pPr>
        <w:pStyle w:val="Grafikon"/>
        <w:numPr>
          <w:ilvl w:val="0"/>
          <w:numId w:val="0"/>
        </w:numPr>
        <w:spacing w:after="0"/>
        <w:ind w:left="144"/>
        <w:jc w:val="both"/>
        <w:rPr>
          <w:rFonts w:ascii="Constantia" w:hAnsi="Constantia"/>
          <w:sz w:val="22"/>
          <w:szCs w:val="22"/>
        </w:rPr>
      </w:pPr>
    </w:p>
    <w:p w:rsidR="0005692E" w:rsidRPr="004D44B5" w:rsidRDefault="002F6A9E" w:rsidP="002F6A9E">
      <w:pPr>
        <w:rPr>
          <w:rFonts w:ascii="Constantia" w:hAnsi="Constantia"/>
        </w:rPr>
      </w:pPr>
      <w:r w:rsidRPr="004D44B5">
        <w:rPr>
          <w:rFonts w:ascii="Constantia" w:hAnsi="Constantia"/>
        </w:rPr>
        <w:t xml:space="preserve">Sve srednje jednočasovne vrijednosti </w:t>
      </w:r>
      <w:r w:rsidR="00733F7A" w:rsidRPr="004D44B5">
        <w:rPr>
          <w:rFonts w:ascii="Constantia" w:hAnsi="Constantia"/>
        </w:rPr>
        <w:t>azot(IV)oksida (NO</w:t>
      </w:r>
      <w:r w:rsidR="00733F7A" w:rsidRPr="004D44B5">
        <w:rPr>
          <w:rFonts w:ascii="Constantia" w:hAnsi="Constantia"/>
          <w:vertAlign w:val="subscript"/>
        </w:rPr>
        <w:t>2</w:t>
      </w:r>
      <w:r w:rsidR="00733F7A" w:rsidRPr="004D44B5">
        <w:rPr>
          <w:rFonts w:ascii="Constantia" w:hAnsi="Constantia"/>
        </w:rPr>
        <w:t>)</w:t>
      </w:r>
      <w:r w:rsidR="005164F3">
        <w:rPr>
          <w:rFonts w:ascii="Constantia" w:hAnsi="Constantia"/>
        </w:rPr>
        <w:t xml:space="preserve"> </w:t>
      </w:r>
      <w:r w:rsidRPr="004D44B5">
        <w:rPr>
          <w:rFonts w:ascii="Constantia" w:hAnsi="Constantia"/>
        </w:rPr>
        <w:t>bile su u ispod propisanih normi</w:t>
      </w:r>
      <w:r w:rsidR="003C522A" w:rsidRPr="004D44B5">
        <w:rPr>
          <w:rFonts w:ascii="Constantia" w:hAnsi="Constantia"/>
        </w:rPr>
        <w:t>.</w:t>
      </w:r>
      <w:r w:rsidR="005164F3">
        <w:rPr>
          <w:rFonts w:ascii="Constantia" w:hAnsi="Constantia"/>
        </w:rPr>
        <w:t xml:space="preserve"> </w:t>
      </w:r>
      <w:r w:rsidR="003C522A" w:rsidRPr="004D44B5">
        <w:rPr>
          <w:rFonts w:ascii="Constantia" w:hAnsi="Constantia"/>
        </w:rPr>
        <w:t>S</w:t>
      </w:r>
      <w:r w:rsidRPr="004D44B5">
        <w:rPr>
          <w:rFonts w:ascii="Constantia" w:hAnsi="Constantia"/>
        </w:rPr>
        <w:t>rednja godišnja vrijednost</w:t>
      </w:r>
      <w:r w:rsidR="004D44B5" w:rsidRPr="004D44B5">
        <w:rPr>
          <w:rFonts w:ascii="Constantia" w:hAnsi="Constantia"/>
        </w:rPr>
        <w:t xml:space="preserve">od </w:t>
      </w:r>
      <w:r w:rsidR="0063159E" w:rsidRPr="004D44B5">
        <w:rPr>
          <w:rFonts w:ascii="Constantia" w:hAnsi="Constantia"/>
        </w:rPr>
        <w:t>13,18</w:t>
      </w:r>
      <w:r w:rsidR="005164F3">
        <w:rPr>
          <w:rFonts w:ascii="Constantia" w:hAnsi="Constantia"/>
        </w:rPr>
        <w:t xml:space="preserve"> </w:t>
      </w:r>
      <w:r w:rsidR="0063159E" w:rsidRPr="004D44B5">
        <w:rPr>
          <w:rFonts w:ascii="Constantia" w:hAnsi="Constantia"/>
        </w:rPr>
        <w:t>μg/m</w:t>
      </w:r>
      <w:r w:rsidR="005164F3">
        <w:rPr>
          <w:rFonts w:ascii="Constantia" w:hAnsi="Constantia"/>
        </w:rPr>
        <w:t xml:space="preserve"> </w:t>
      </w:r>
      <w:r w:rsidR="0063159E" w:rsidRPr="004D44B5">
        <w:rPr>
          <w:rFonts w:ascii="Constantia" w:hAnsi="Constantia"/>
          <w:vertAlign w:val="superscript"/>
        </w:rPr>
        <w:t>3</w:t>
      </w:r>
      <w:r w:rsidR="003C522A" w:rsidRPr="004D44B5">
        <w:rPr>
          <w:rFonts w:ascii="Constantia" w:hAnsi="Constantia"/>
        </w:rPr>
        <w:t xml:space="preserve">takođe je bila </w:t>
      </w:r>
      <w:r w:rsidR="00DC263D" w:rsidRPr="004D44B5">
        <w:rPr>
          <w:rFonts w:ascii="Constantia" w:hAnsi="Constantia"/>
        </w:rPr>
        <w:t>ispod</w:t>
      </w:r>
      <w:r w:rsidR="005164F3">
        <w:rPr>
          <w:rFonts w:ascii="Constantia" w:hAnsi="Constantia"/>
        </w:rPr>
        <w:t xml:space="preserve"> </w:t>
      </w:r>
      <w:r w:rsidR="009505E3" w:rsidRPr="004D44B5">
        <w:rPr>
          <w:rFonts w:ascii="Constantia" w:hAnsi="Constantia"/>
        </w:rPr>
        <w:t>dozvoljene srednje godišnje</w:t>
      </w:r>
      <w:r w:rsidR="007F12B0" w:rsidRPr="004D44B5">
        <w:rPr>
          <w:rFonts w:ascii="Constantia" w:hAnsi="Constantia"/>
        </w:rPr>
        <w:t xml:space="preserve"> vrijednost</w:t>
      </w:r>
      <w:r w:rsidR="009505E3" w:rsidRPr="004D44B5">
        <w:rPr>
          <w:rFonts w:ascii="Constantia" w:hAnsi="Constantia"/>
        </w:rPr>
        <w:t>i</w:t>
      </w:r>
      <w:r w:rsidR="005164F3">
        <w:rPr>
          <w:rFonts w:ascii="Constantia" w:hAnsi="Constantia"/>
        </w:rPr>
        <w:t xml:space="preserve"> </w:t>
      </w:r>
      <w:r w:rsidR="009505E3" w:rsidRPr="004D44B5">
        <w:rPr>
          <w:rFonts w:ascii="Constantia" w:hAnsi="Constantia"/>
        </w:rPr>
        <w:t xml:space="preserve">koja </w:t>
      </w:r>
      <w:r w:rsidR="007F12B0" w:rsidRPr="004D44B5">
        <w:rPr>
          <w:rFonts w:ascii="Constantia" w:hAnsi="Constantia"/>
        </w:rPr>
        <w:t>iznosi 40</w:t>
      </w:r>
      <w:r w:rsidR="005164F3">
        <w:rPr>
          <w:rFonts w:ascii="Constantia" w:hAnsi="Constantia"/>
        </w:rPr>
        <w:t xml:space="preserve"> </w:t>
      </w:r>
      <w:r w:rsidR="007F12B0" w:rsidRPr="004D44B5">
        <w:rPr>
          <w:rFonts w:ascii="Constantia" w:hAnsi="Constantia"/>
        </w:rPr>
        <w:t>μg/m</w:t>
      </w:r>
      <w:r w:rsidR="007F12B0" w:rsidRPr="004D44B5">
        <w:rPr>
          <w:rFonts w:ascii="Constantia" w:hAnsi="Constantia"/>
          <w:vertAlign w:val="superscript"/>
        </w:rPr>
        <w:t>3</w:t>
      </w:r>
      <w:r w:rsidR="003C522A" w:rsidRPr="004D44B5">
        <w:rPr>
          <w:rFonts w:ascii="Constantia" w:hAnsi="Constantia"/>
        </w:rPr>
        <w:t>.</w:t>
      </w:r>
    </w:p>
    <w:p w:rsidR="0005692E" w:rsidRPr="00B60588" w:rsidRDefault="00A6758D" w:rsidP="0005692E">
      <w:pPr>
        <w:rPr>
          <w:rFonts w:ascii="Constantia" w:hAnsi="Constantia"/>
          <w:lang w:val="sr-Latn-CS"/>
        </w:rPr>
      </w:pPr>
      <w:r w:rsidRPr="00B60588">
        <w:rPr>
          <w:rFonts w:ascii="Constantia" w:hAnsi="Constantia"/>
          <w:lang w:val="sr-Latn-CS"/>
        </w:rPr>
        <w:t xml:space="preserve">Na </w:t>
      </w:r>
      <w:r w:rsidRPr="00B60588">
        <w:rPr>
          <w:rFonts w:ascii="Constantia" w:hAnsi="Constantia"/>
          <w:i/>
          <w:lang w:val="sr-Latn-CS"/>
        </w:rPr>
        <w:t>G</w:t>
      </w:r>
      <w:r w:rsidR="0005692E" w:rsidRPr="00B60588">
        <w:rPr>
          <w:rFonts w:ascii="Constantia" w:hAnsi="Constantia"/>
          <w:i/>
          <w:lang w:val="sr-Latn-CS"/>
        </w:rPr>
        <w:t>rafikonu 6</w:t>
      </w:r>
      <w:r w:rsidRPr="00B60588">
        <w:rPr>
          <w:rFonts w:ascii="Constantia" w:hAnsi="Constantia"/>
          <w:i/>
          <w:lang w:val="sr-Latn-CS"/>
        </w:rPr>
        <w:t>.</w:t>
      </w:r>
      <w:r w:rsidR="0005692E" w:rsidRPr="00B60588">
        <w:rPr>
          <w:rFonts w:ascii="Constantia" w:hAnsi="Constantia"/>
          <w:lang w:val="sr-Latn-CS"/>
        </w:rPr>
        <w:t xml:space="preserve"> prikazane su koncentracije </w:t>
      </w:r>
      <w:r w:rsidR="00733F7A" w:rsidRPr="00B60588">
        <w:rPr>
          <w:rFonts w:ascii="Constantia" w:hAnsi="Constantia"/>
        </w:rPr>
        <w:t>prizemnog ozona (O</w:t>
      </w:r>
      <w:r w:rsidR="00733F7A" w:rsidRPr="00B60588">
        <w:rPr>
          <w:rFonts w:ascii="Constantia" w:hAnsi="Constantia"/>
          <w:vertAlign w:val="subscript"/>
        </w:rPr>
        <w:t>3</w:t>
      </w:r>
      <w:r w:rsidR="00733F7A" w:rsidRPr="00B60588">
        <w:rPr>
          <w:rFonts w:ascii="Constantia" w:hAnsi="Constantia"/>
        </w:rPr>
        <w:t>)</w:t>
      </w:r>
      <w:r w:rsidR="0005692E" w:rsidRPr="00B60588">
        <w:rPr>
          <w:rFonts w:ascii="Constantia" w:hAnsi="Constantia"/>
          <w:lang w:val="sr-Latn-CS"/>
        </w:rPr>
        <w:t xml:space="preserve"> u vazduhu (maksimalne dnevne osmočasovne srednje </w:t>
      </w:r>
      <w:r w:rsidR="00733F7A" w:rsidRPr="00B60588">
        <w:rPr>
          <w:rFonts w:ascii="Constantia" w:hAnsi="Constantia"/>
          <w:lang w:val="sr-Latn-CS"/>
        </w:rPr>
        <w:t>koncentracije i srednje mjesečne koncentracije</w:t>
      </w:r>
      <w:r w:rsidR="006120B7" w:rsidRPr="00B60588">
        <w:rPr>
          <w:rFonts w:ascii="Constantia" w:hAnsi="Constantia"/>
          <w:lang w:val="sr-Latn-CS"/>
        </w:rPr>
        <w:t>) izmjerene tokom 2013</w:t>
      </w:r>
      <w:r w:rsidR="0005692E" w:rsidRPr="00B60588">
        <w:rPr>
          <w:rFonts w:ascii="Constantia" w:hAnsi="Constantia"/>
          <w:lang w:val="sr-Latn-CS"/>
        </w:rPr>
        <w:t>. godine.</w:t>
      </w:r>
    </w:p>
    <w:p w:rsidR="0005692E" w:rsidRPr="00F84A21" w:rsidRDefault="00460AD9" w:rsidP="00A6758D">
      <w:pPr>
        <w:spacing w:after="0"/>
        <w:jc w:val="center"/>
        <w:rPr>
          <w:lang w:val="sr-Latn-CS"/>
        </w:rPr>
      </w:pPr>
      <w:r>
        <w:rPr>
          <w:noProof/>
        </w:rPr>
        <w:lastRenderedPageBreak/>
        <w:drawing>
          <wp:inline distT="0" distB="0" distL="0" distR="0" wp14:anchorId="2DFFADBB" wp14:editId="44B8B553">
            <wp:extent cx="4591050" cy="2447925"/>
            <wp:effectExtent l="0" t="0" r="0" b="0"/>
            <wp:docPr id="6"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05692E" w:rsidRDefault="0005692E" w:rsidP="0005692E">
      <w:pPr>
        <w:pStyle w:val="Grafikon"/>
        <w:ind w:left="144" w:hanging="144"/>
        <w:rPr>
          <w:rFonts w:ascii="Constantia" w:hAnsi="Constantia"/>
          <w:sz w:val="22"/>
          <w:szCs w:val="22"/>
        </w:rPr>
      </w:pPr>
      <w:r w:rsidRPr="005422DF">
        <w:rPr>
          <w:rFonts w:ascii="Constantia" w:hAnsi="Constantia"/>
          <w:sz w:val="22"/>
          <w:szCs w:val="22"/>
        </w:rPr>
        <w:t>Koncentracija O</w:t>
      </w:r>
      <w:r w:rsidRPr="005422DF">
        <w:rPr>
          <w:rFonts w:ascii="Constantia" w:hAnsi="Constantia"/>
          <w:sz w:val="22"/>
          <w:szCs w:val="22"/>
          <w:vertAlign w:val="subscript"/>
        </w:rPr>
        <w:t>3</w:t>
      </w:r>
      <w:r w:rsidRPr="005422DF">
        <w:rPr>
          <w:rFonts w:ascii="Constantia" w:hAnsi="Constantia"/>
          <w:sz w:val="22"/>
          <w:szCs w:val="22"/>
        </w:rPr>
        <w:t xml:space="preserve"> u vazduhu</w:t>
      </w:r>
      <w:r w:rsidR="001A090C">
        <w:rPr>
          <w:rFonts w:ascii="Constantia" w:hAnsi="Constantia"/>
          <w:sz w:val="22"/>
          <w:szCs w:val="22"/>
        </w:rPr>
        <w:t xml:space="preserve"> </w:t>
      </w:r>
      <w:r w:rsidR="008736E0">
        <w:rPr>
          <w:rFonts w:ascii="Constantia" w:hAnsi="Constantia"/>
          <w:sz w:val="22"/>
          <w:szCs w:val="22"/>
        </w:rPr>
        <w:t>–</w:t>
      </w:r>
      <w:r w:rsidR="001A090C">
        <w:rPr>
          <w:rFonts w:ascii="Constantia" w:hAnsi="Constantia"/>
          <w:sz w:val="22"/>
          <w:szCs w:val="22"/>
        </w:rPr>
        <w:t xml:space="preserve"> </w:t>
      </w:r>
      <w:r w:rsidRPr="005422DF">
        <w:rPr>
          <w:rFonts w:ascii="Constantia" w:hAnsi="Constantia"/>
          <w:sz w:val="22"/>
          <w:szCs w:val="22"/>
        </w:rPr>
        <w:t>Bar</w:t>
      </w:r>
    </w:p>
    <w:p w:rsidR="008736E0" w:rsidRPr="005422DF" w:rsidRDefault="008736E0" w:rsidP="008736E0">
      <w:pPr>
        <w:pStyle w:val="Grafikon"/>
        <w:numPr>
          <w:ilvl w:val="0"/>
          <w:numId w:val="0"/>
        </w:numPr>
        <w:spacing w:after="0"/>
        <w:ind w:left="144"/>
        <w:jc w:val="both"/>
        <w:rPr>
          <w:rFonts w:ascii="Constantia" w:hAnsi="Constantia"/>
          <w:sz w:val="22"/>
          <w:szCs w:val="22"/>
        </w:rPr>
      </w:pPr>
    </w:p>
    <w:p w:rsidR="0005692E" w:rsidRPr="005422DF" w:rsidRDefault="0005692E" w:rsidP="0005692E">
      <w:pPr>
        <w:rPr>
          <w:rFonts w:ascii="Constantia" w:hAnsi="Constantia"/>
          <w:lang w:val="sr-Latn-CS"/>
        </w:rPr>
      </w:pPr>
      <w:r w:rsidRPr="005422DF">
        <w:rPr>
          <w:rFonts w:ascii="Constantia" w:hAnsi="Constantia"/>
          <w:lang w:val="sr-Latn-CS"/>
        </w:rPr>
        <w:t xml:space="preserve">Maksimalne dnevne osmočasovne srednje vrijednosti </w:t>
      </w:r>
      <w:r w:rsidR="00733F7A" w:rsidRPr="005422DF">
        <w:rPr>
          <w:rFonts w:ascii="Constantia" w:hAnsi="Constantia"/>
        </w:rPr>
        <w:t>prizemnog ozona (O</w:t>
      </w:r>
      <w:r w:rsidR="00733F7A" w:rsidRPr="005422DF">
        <w:rPr>
          <w:rFonts w:ascii="Constantia" w:hAnsi="Constantia"/>
          <w:vertAlign w:val="subscript"/>
        </w:rPr>
        <w:t>3</w:t>
      </w:r>
      <w:r w:rsidR="00733F7A" w:rsidRPr="005422DF">
        <w:rPr>
          <w:rFonts w:ascii="Constantia" w:hAnsi="Constantia"/>
        </w:rPr>
        <w:t>)</w:t>
      </w:r>
      <w:r w:rsidRPr="005422DF">
        <w:rPr>
          <w:rFonts w:ascii="Constantia" w:hAnsi="Constantia"/>
          <w:lang w:val="sr-Latn-CS"/>
        </w:rPr>
        <w:t xml:space="preserve"> su </w:t>
      </w:r>
      <w:r w:rsidR="00897FDC" w:rsidRPr="005422DF">
        <w:rPr>
          <w:rFonts w:ascii="Constantia" w:hAnsi="Constantia"/>
        </w:rPr>
        <w:t>30</w:t>
      </w:r>
      <w:r w:rsidRPr="005422DF">
        <w:rPr>
          <w:rFonts w:ascii="Constantia" w:hAnsi="Constantia"/>
          <w:lang w:val="sr-Latn-CS"/>
        </w:rPr>
        <w:t xml:space="preserve"> puta </w:t>
      </w:r>
      <w:r w:rsidR="00A047B3" w:rsidRPr="005422DF">
        <w:rPr>
          <w:rFonts w:ascii="Constantia" w:hAnsi="Constantia"/>
          <w:lang w:val="sr-Latn-CS"/>
        </w:rPr>
        <w:t>bile iznad ciljne</w:t>
      </w:r>
      <w:r w:rsidRPr="005422DF">
        <w:rPr>
          <w:rFonts w:ascii="Constantia" w:hAnsi="Constantia"/>
          <w:lang w:val="sr-Latn-CS"/>
        </w:rPr>
        <w:t xml:space="preserve"> vrijednost</w:t>
      </w:r>
      <w:r w:rsidR="00A047B3" w:rsidRPr="005422DF">
        <w:rPr>
          <w:rFonts w:ascii="Constantia" w:hAnsi="Constantia"/>
          <w:lang w:val="sr-Latn-CS"/>
        </w:rPr>
        <w:t>i (</w:t>
      </w:r>
      <w:r w:rsidRPr="005422DF">
        <w:rPr>
          <w:rFonts w:ascii="Constantia" w:hAnsi="Constantia"/>
          <w:lang w:val="sr-Latn-CS"/>
        </w:rPr>
        <w:t>tolerantni nivo je 25 prekora</w:t>
      </w:r>
      <w:r w:rsidR="006E7847" w:rsidRPr="005422DF">
        <w:rPr>
          <w:rFonts w:ascii="Constantia" w:hAnsi="Constantia"/>
          <w:lang w:val="sr-Latn-CS"/>
        </w:rPr>
        <w:t>čenja tokom kalendarske godine</w:t>
      </w:r>
      <w:r w:rsidR="00A047B3" w:rsidRPr="005422DF">
        <w:rPr>
          <w:rFonts w:ascii="Constantia" w:hAnsi="Constantia"/>
          <w:lang w:val="sr-Latn-CS"/>
        </w:rPr>
        <w:t>)</w:t>
      </w:r>
      <w:r w:rsidR="006E7847" w:rsidRPr="005422DF">
        <w:rPr>
          <w:rFonts w:ascii="Constantia" w:hAnsi="Constantia"/>
          <w:lang w:val="sr-Latn-CS"/>
        </w:rPr>
        <w:t>.</w:t>
      </w:r>
      <w:r w:rsidR="00A047B3" w:rsidRPr="005422DF">
        <w:rPr>
          <w:rFonts w:ascii="Constantia" w:hAnsi="Constantia"/>
          <w:lang w:val="sr-Latn-CS"/>
        </w:rPr>
        <w:t xml:space="preserve"> Srednja godišnja koncentracija iznosila je </w:t>
      </w:r>
      <w:r w:rsidR="00897FDC" w:rsidRPr="005422DF">
        <w:rPr>
          <w:rFonts w:ascii="Constantia" w:hAnsi="Constantia"/>
          <w:lang w:val="sr-Latn-CS"/>
        </w:rPr>
        <w:t>74</w:t>
      </w:r>
      <w:r w:rsidR="00BF5C74" w:rsidRPr="005422DF">
        <w:rPr>
          <w:rFonts w:ascii="Constantia" w:hAnsi="Constantia"/>
          <w:lang w:val="sr-Latn-CS"/>
        </w:rPr>
        <w:t>,</w:t>
      </w:r>
      <w:r w:rsidR="00897FDC" w:rsidRPr="005422DF">
        <w:rPr>
          <w:rFonts w:ascii="Constantia" w:hAnsi="Constantia"/>
          <w:lang w:val="sr-Latn-CS"/>
        </w:rPr>
        <w:t>01</w:t>
      </w:r>
      <w:r w:rsidR="00EB1233">
        <w:rPr>
          <w:rFonts w:ascii="Constantia" w:hAnsi="Constantia"/>
          <w:lang w:val="sr-Latn-CS"/>
        </w:rPr>
        <w:t xml:space="preserve"> </w:t>
      </w:r>
      <w:r w:rsidR="00A047B3" w:rsidRPr="005422DF">
        <w:rPr>
          <w:rFonts w:ascii="Constantia" w:hAnsi="Constantia"/>
        </w:rPr>
        <w:t>μg/m</w:t>
      </w:r>
      <w:r w:rsidR="00A047B3" w:rsidRPr="005422DF">
        <w:rPr>
          <w:rFonts w:ascii="Constantia" w:hAnsi="Constantia"/>
          <w:vertAlign w:val="superscript"/>
        </w:rPr>
        <w:t>3</w:t>
      </w:r>
      <w:r w:rsidR="00A047B3" w:rsidRPr="005422DF">
        <w:rPr>
          <w:rFonts w:ascii="Constantia" w:hAnsi="Constantia"/>
        </w:rPr>
        <w:t>.</w:t>
      </w:r>
      <w:r w:rsidR="00EB1233">
        <w:rPr>
          <w:rFonts w:ascii="Constantia" w:hAnsi="Constantia"/>
        </w:rPr>
        <w:t xml:space="preserve"> </w:t>
      </w:r>
      <w:r w:rsidR="00897FDC" w:rsidRPr="005422DF">
        <w:rPr>
          <w:rFonts w:ascii="Constantia" w:hAnsi="Constantia"/>
          <w:lang w:val="sr-Latn-CS"/>
        </w:rPr>
        <w:t>Tokom oktobra nije bilo mjerenja zbog redovnog godišnjeg servisa i kalibracije mjernog instrumenta.</w:t>
      </w:r>
    </w:p>
    <w:p w:rsidR="002C74DC" w:rsidRDefault="00AE2DD4" w:rsidP="002C74DC">
      <w:pPr>
        <w:rPr>
          <w:rFonts w:ascii="Constantia" w:hAnsi="Constantia"/>
          <w:lang w:val="sr-Latn-CS"/>
        </w:rPr>
      </w:pPr>
      <w:r w:rsidRPr="005422DF">
        <w:rPr>
          <w:rFonts w:ascii="Constantia" w:hAnsi="Constantia"/>
          <w:lang w:val="sr-Latn-CS"/>
        </w:rPr>
        <w:t xml:space="preserve">Na </w:t>
      </w:r>
      <w:r w:rsidRPr="005422DF">
        <w:rPr>
          <w:rFonts w:ascii="Constantia" w:hAnsi="Constantia"/>
          <w:i/>
          <w:lang w:val="sr-Latn-CS"/>
        </w:rPr>
        <w:t>G</w:t>
      </w:r>
      <w:r w:rsidR="002C74DC" w:rsidRPr="005422DF">
        <w:rPr>
          <w:rFonts w:ascii="Constantia" w:hAnsi="Constantia"/>
          <w:i/>
          <w:lang w:val="sr-Latn-CS"/>
        </w:rPr>
        <w:t xml:space="preserve">rafikonu </w:t>
      </w:r>
      <w:r w:rsidR="002D6FB3" w:rsidRPr="005422DF">
        <w:rPr>
          <w:rFonts w:ascii="Constantia" w:hAnsi="Constantia"/>
          <w:i/>
          <w:lang w:val="sr-Latn-CS"/>
        </w:rPr>
        <w:t>7</w:t>
      </w:r>
      <w:r w:rsidRPr="005422DF">
        <w:rPr>
          <w:rFonts w:ascii="Constantia" w:hAnsi="Constantia"/>
          <w:i/>
          <w:lang w:val="sr-Latn-CS"/>
        </w:rPr>
        <w:t>.</w:t>
      </w:r>
      <w:r w:rsidR="002C74DC" w:rsidRPr="005422DF">
        <w:rPr>
          <w:rFonts w:ascii="Constantia" w:hAnsi="Constantia"/>
          <w:lang w:val="sr-Latn-CS"/>
        </w:rPr>
        <w:t xml:space="preserve"> prikazane su maksimalne osmočasovne srednje i srednje mjesečne koncentracije </w:t>
      </w:r>
      <w:r w:rsidR="002C74DC" w:rsidRPr="005422DF">
        <w:rPr>
          <w:rFonts w:ascii="Constantia" w:hAnsi="Constantia"/>
        </w:rPr>
        <w:t>ugljen(II)oksida (CO)</w:t>
      </w:r>
      <w:r w:rsidR="002C74DC" w:rsidRPr="005422DF">
        <w:rPr>
          <w:rFonts w:ascii="Constantia" w:hAnsi="Constantia"/>
          <w:lang w:val="sr-Latn-CS"/>
        </w:rPr>
        <w:t xml:space="preserve"> u vazduhu </w:t>
      </w:r>
      <w:r w:rsidR="00AA253B" w:rsidRPr="005422DF">
        <w:rPr>
          <w:rFonts w:ascii="Constantia" w:hAnsi="Constantia"/>
          <w:lang w:val="sr-Latn-CS"/>
        </w:rPr>
        <w:t>izmjerene tokom 2013</w:t>
      </w:r>
      <w:r w:rsidR="002C74DC" w:rsidRPr="005422DF">
        <w:rPr>
          <w:rFonts w:ascii="Constantia" w:hAnsi="Constantia"/>
          <w:lang w:val="sr-Latn-CS"/>
        </w:rPr>
        <w:t>. godine.</w:t>
      </w:r>
    </w:p>
    <w:p w:rsidR="008736E0" w:rsidRDefault="008736E0" w:rsidP="002C74DC">
      <w:pPr>
        <w:rPr>
          <w:rFonts w:ascii="Constantia" w:hAnsi="Constantia"/>
          <w:lang w:val="sr-Latn-CS"/>
        </w:rPr>
      </w:pPr>
    </w:p>
    <w:p w:rsidR="002C74DC" w:rsidRDefault="002C74DC" w:rsidP="00AE2DD4">
      <w:pPr>
        <w:spacing w:after="0"/>
        <w:jc w:val="center"/>
        <w:rPr>
          <w:lang w:val="sr-Latn-CS"/>
        </w:rPr>
      </w:pPr>
      <w:r>
        <w:rPr>
          <w:noProof/>
        </w:rPr>
        <w:drawing>
          <wp:inline distT="0" distB="0" distL="0" distR="0" wp14:anchorId="7D111B8C" wp14:editId="145AC75E">
            <wp:extent cx="4486275" cy="2447925"/>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2C74DC" w:rsidRDefault="002C74DC" w:rsidP="002C74DC">
      <w:pPr>
        <w:pStyle w:val="Grafikon"/>
        <w:ind w:left="144" w:hanging="144"/>
        <w:rPr>
          <w:rFonts w:ascii="Constantia" w:hAnsi="Constantia"/>
          <w:sz w:val="22"/>
          <w:szCs w:val="22"/>
        </w:rPr>
      </w:pPr>
      <w:r w:rsidRPr="005422DF">
        <w:rPr>
          <w:rFonts w:ascii="Constantia" w:hAnsi="Constantia"/>
          <w:sz w:val="22"/>
          <w:szCs w:val="22"/>
        </w:rPr>
        <w:t>Koncentracija CO u vazduhu</w:t>
      </w:r>
      <w:r w:rsidR="001A090C">
        <w:rPr>
          <w:rFonts w:ascii="Constantia" w:hAnsi="Constantia"/>
          <w:sz w:val="22"/>
          <w:szCs w:val="22"/>
        </w:rPr>
        <w:t xml:space="preserve"> </w:t>
      </w:r>
      <w:r w:rsidR="008736E0">
        <w:rPr>
          <w:rFonts w:ascii="Constantia" w:hAnsi="Constantia"/>
          <w:sz w:val="22"/>
          <w:szCs w:val="22"/>
        </w:rPr>
        <w:t>–</w:t>
      </w:r>
      <w:r w:rsidR="001A090C">
        <w:rPr>
          <w:rFonts w:ascii="Constantia" w:hAnsi="Constantia"/>
          <w:sz w:val="22"/>
          <w:szCs w:val="22"/>
        </w:rPr>
        <w:t xml:space="preserve"> </w:t>
      </w:r>
      <w:r w:rsidRPr="005422DF">
        <w:rPr>
          <w:rFonts w:ascii="Constantia" w:hAnsi="Constantia"/>
          <w:sz w:val="22"/>
          <w:szCs w:val="22"/>
        </w:rPr>
        <w:t>Bar</w:t>
      </w:r>
    </w:p>
    <w:p w:rsidR="008736E0" w:rsidRPr="005422DF" w:rsidRDefault="008736E0" w:rsidP="008736E0">
      <w:pPr>
        <w:pStyle w:val="Grafikon"/>
        <w:numPr>
          <w:ilvl w:val="0"/>
          <w:numId w:val="0"/>
        </w:numPr>
        <w:spacing w:after="0"/>
        <w:ind w:left="144"/>
        <w:jc w:val="both"/>
        <w:rPr>
          <w:rFonts w:ascii="Constantia" w:hAnsi="Constantia"/>
          <w:sz w:val="22"/>
          <w:szCs w:val="22"/>
        </w:rPr>
      </w:pPr>
    </w:p>
    <w:p w:rsidR="002C74DC" w:rsidRPr="005422DF" w:rsidRDefault="00CB4009" w:rsidP="007A3F3E">
      <w:pPr>
        <w:tabs>
          <w:tab w:val="left" w:pos="5685"/>
        </w:tabs>
        <w:rPr>
          <w:rFonts w:ascii="Constantia" w:hAnsi="Constantia"/>
        </w:rPr>
      </w:pPr>
      <w:r w:rsidRPr="005422DF">
        <w:rPr>
          <w:rFonts w:ascii="Constantia" w:hAnsi="Constantia"/>
        </w:rPr>
        <w:t>Sve maksimalne osmočasovne srednje vrijednosti ugljen(II)oksida (CO) na ovoj lokaciji su bile ispod propi</w:t>
      </w:r>
      <w:r w:rsidR="00B56C07" w:rsidRPr="005422DF">
        <w:rPr>
          <w:rFonts w:ascii="Constantia" w:hAnsi="Constantia"/>
        </w:rPr>
        <w:t>sane granične vrijednosti od 10</w:t>
      </w:r>
      <w:r w:rsidR="005F103D">
        <w:rPr>
          <w:rFonts w:ascii="Constantia" w:hAnsi="Constantia"/>
        </w:rPr>
        <w:t xml:space="preserve"> </w:t>
      </w:r>
      <w:r w:rsidRPr="005422DF">
        <w:rPr>
          <w:rFonts w:ascii="Constantia" w:hAnsi="Constantia"/>
        </w:rPr>
        <w:t>mg/m</w:t>
      </w:r>
      <w:r w:rsidRPr="005422DF">
        <w:rPr>
          <w:rFonts w:ascii="Constantia" w:hAnsi="Constantia"/>
          <w:vertAlign w:val="superscript"/>
        </w:rPr>
        <w:t>3</w:t>
      </w:r>
      <w:r w:rsidRPr="005422DF">
        <w:rPr>
          <w:rFonts w:ascii="Constantia" w:hAnsi="Constantia"/>
        </w:rPr>
        <w:t xml:space="preserve">. Srednja godišnja koncentracija od </w:t>
      </w:r>
      <w:r w:rsidR="007143C3" w:rsidRPr="005422DF">
        <w:rPr>
          <w:rFonts w:ascii="Constantia" w:hAnsi="Constantia"/>
        </w:rPr>
        <w:t>0,82</w:t>
      </w:r>
      <w:r w:rsidR="005F103D">
        <w:rPr>
          <w:rFonts w:ascii="Constantia" w:hAnsi="Constantia"/>
        </w:rPr>
        <w:t xml:space="preserve"> </w:t>
      </w:r>
      <w:r w:rsidRPr="005422DF">
        <w:rPr>
          <w:rFonts w:ascii="Constantia" w:hAnsi="Constantia"/>
        </w:rPr>
        <w:t>mg/m</w:t>
      </w:r>
      <w:r w:rsidRPr="005422DF">
        <w:rPr>
          <w:rFonts w:ascii="Constantia" w:hAnsi="Constantia"/>
          <w:vertAlign w:val="superscript"/>
        </w:rPr>
        <w:t>3</w:t>
      </w:r>
      <w:r w:rsidRPr="005422DF">
        <w:rPr>
          <w:rFonts w:ascii="Constantia" w:hAnsi="Constantia"/>
        </w:rPr>
        <w:t xml:space="preserve"> ukazuje da je kvalitet vazduha zadovoljavajući sa aspekta uticaja koncentracije ugljen(II)oksida (CO).</w:t>
      </w:r>
    </w:p>
    <w:p w:rsidR="00091531" w:rsidRPr="005422DF" w:rsidRDefault="00AE2DD4" w:rsidP="00B30214">
      <w:pPr>
        <w:rPr>
          <w:rFonts w:ascii="Constantia" w:hAnsi="Constantia"/>
          <w:lang w:val="sr-Latn-CS"/>
        </w:rPr>
      </w:pPr>
      <w:r w:rsidRPr="005422DF">
        <w:rPr>
          <w:rFonts w:ascii="Constantia" w:hAnsi="Constantia"/>
          <w:lang w:val="sr-Latn-CS"/>
        </w:rPr>
        <w:t xml:space="preserve">Na </w:t>
      </w:r>
      <w:r w:rsidRPr="005422DF">
        <w:rPr>
          <w:rFonts w:ascii="Constantia" w:hAnsi="Constantia"/>
          <w:i/>
          <w:lang w:val="sr-Latn-CS"/>
        </w:rPr>
        <w:t>G</w:t>
      </w:r>
      <w:r w:rsidR="00091531" w:rsidRPr="005422DF">
        <w:rPr>
          <w:rFonts w:ascii="Constantia" w:hAnsi="Constantia"/>
          <w:i/>
          <w:lang w:val="sr-Latn-CS"/>
        </w:rPr>
        <w:t>rafikonu 8</w:t>
      </w:r>
      <w:r w:rsidRPr="005422DF">
        <w:rPr>
          <w:rFonts w:ascii="Constantia" w:hAnsi="Constantia"/>
          <w:i/>
          <w:lang w:val="sr-Latn-CS"/>
        </w:rPr>
        <w:t>.</w:t>
      </w:r>
      <w:r w:rsidR="00091531" w:rsidRPr="005422DF">
        <w:rPr>
          <w:rFonts w:ascii="Constantia" w:hAnsi="Constantia"/>
          <w:lang w:val="sr-Latn-CS"/>
        </w:rPr>
        <w:t xml:space="preserve"> prikazane su koncentracije PM</w:t>
      </w:r>
      <w:r w:rsidR="00091531" w:rsidRPr="005422DF">
        <w:rPr>
          <w:rFonts w:ascii="Constantia" w:hAnsi="Constantia"/>
          <w:vertAlign w:val="subscript"/>
          <w:lang w:val="sr-Latn-CS"/>
        </w:rPr>
        <w:t>10</w:t>
      </w:r>
      <w:r w:rsidR="00091531" w:rsidRPr="005422DF">
        <w:rPr>
          <w:rFonts w:ascii="Constantia" w:hAnsi="Constantia"/>
          <w:lang w:val="sr-Latn-CS"/>
        </w:rPr>
        <w:t xml:space="preserve"> čestica u vazduhu (maksimalne dnevne srednje koncentracije i srednje mjesečne kon</w:t>
      </w:r>
      <w:r w:rsidR="00FC5E49" w:rsidRPr="005422DF">
        <w:rPr>
          <w:rFonts w:ascii="Constantia" w:hAnsi="Constantia"/>
          <w:lang w:val="sr-Latn-CS"/>
        </w:rPr>
        <w:t>centracije) izmjerene tokom 2013</w:t>
      </w:r>
      <w:r w:rsidR="00091531" w:rsidRPr="005422DF">
        <w:rPr>
          <w:rFonts w:ascii="Constantia" w:hAnsi="Constantia"/>
          <w:lang w:val="sr-Latn-CS"/>
        </w:rPr>
        <w:t>. godine.</w:t>
      </w:r>
    </w:p>
    <w:p w:rsidR="004060C8" w:rsidRPr="00F84A21" w:rsidRDefault="00C32007" w:rsidP="00AE2DD4">
      <w:pPr>
        <w:spacing w:after="0"/>
        <w:jc w:val="center"/>
        <w:rPr>
          <w:lang w:val="sr-Latn-CS"/>
        </w:rPr>
      </w:pPr>
      <w:r w:rsidRPr="00E41D64">
        <w:rPr>
          <w:noProof/>
        </w:rPr>
        <w:lastRenderedPageBreak/>
        <w:drawing>
          <wp:inline distT="0" distB="0" distL="0" distR="0" wp14:anchorId="799F1E36" wp14:editId="6856FF3E">
            <wp:extent cx="4714875" cy="2371725"/>
            <wp:effectExtent l="0" t="0" r="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B30214" w:rsidRDefault="00B30214" w:rsidP="00B30214">
      <w:pPr>
        <w:pStyle w:val="Grafikon"/>
        <w:ind w:left="144" w:hanging="144"/>
        <w:rPr>
          <w:rFonts w:ascii="Constantia" w:hAnsi="Constantia"/>
          <w:sz w:val="22"/>
          <w:szCs w:val="22"/>
        </w:rPr>
      </w:pPr>
      <w:r w:rsidRPr="005E2DEB">
        <w:rPr>
          <w:rFonts w:ascii="Constantia" w:hAnsi="Constantia"/>
          <w:sz w:val="22"/>
          <w:szCs w:val="22"/>
        </w:rPr>
        <w:t>Koncentracija PM</w:t>
      </w:r>
      <w:r w:rsidRPr="005E2DEB">
        <w:rPr>
          <w:rFonts w:ascii="Constantia" w:hAnsi="Constantia"/>
          <w:sz w:val="22"/>
          <w:szCs w:val="22"/>
          <w:vertAlign w:val="subscript"/>
        </w:rPr>
        <w:t>10</w:t>
      </w:r>
      <w:r w:rsidRPr="005E2DEB">
        <w:rPr>
          <w:rFonts w:ascii="Constantia" w:hAnsi="Constantia"/>
          <w:sz w:val="22"/>
          <w:szCs w:val="22"/>
        </w:rPr>
        <w:t xml:space="preserve"> u vazduhu</w:t>
      </w:r>
      <w:r w:rsidR="00624B6B">
        <w:rPr>
          <w:rFonts w:ascii="Constantia" w:hAnsi="Constantia"/>
          <w:sz w:val="22"/>
          <w:szCs w:val="22"/>
        </w:rPr>
        <w:t xml:space="preserve"> </w:t>
      </w:r>
      <w:r w:rsidR="008736E0">
        <w:rPr>
          <w:rFonts w:ascii="Constantia" w:hAnsi="Constantia"/>
          <w:sz w:val="22"/>
          <w:szCs w:val="22"/>
        </w:rPr>
        <w:t>–</w:t>
      </w:r>
      <w:r w:rsidR="00624B6B">
        <w:rPr>
          <w:rFonts w:ascii="Constantia" w:hAnsi="Constantia"/>
          <w:sz w:val="22"/>
          <w:szCs w:val="22"/>
        </w:rPr>
        <w:t xml:space="preserve"> </w:t>
      </w:r>
      <w:r w:rsidRPr="005E2DEB">
        <w:rPr>
          <w:rFonts w:ascii="Constantia" w:hAnsi="Constantia"/>
          <w:sz w:val="22"/>
          <w:szCs w:val="22"/>
        </w:rPr>
        <w:t>Bar</w:t>
      </w:r>
    </w:p>
    <w:p w:rsidR="008736E0" w:rsidRPr="005E2DEB" w:rsidRDefault="008736E0" w:rsidP="008736E0">
      <w:pPr>
        <w:pStyle w:val="Grafikon"/>
        <w:numPr>
          <w:ilvl w:val="0"/>
          <w:numId w:val="0"/>
        </w:numPr>
        <w:spacing w:after="0"/>
        <w:ind w:left="144"/>
        <w:jc w:val="both"/>
        <w:rPr>
          <w:rFonts w:ascii="Constantia" w:hAnsi="Constantia"/>
          <w:sz w:val="22"/>
          <w:szCs w:val="22"/>
        </w:rPr>
      </w:pPr>
    </w:p>
    <w:p w:rsidR="00350BB9" w:rsidRPr="005E2DEB" w:rsidRDefault="0018683A" w:rsidP="00480B68">
      <w:pPr>
        <w:tabs>
          <w:tab w:val="left" w:pos="5685"/>
        </w:tabs>
        <w:rPr>
          <w:rFonts w:ascii="Constantia" w:hAnsi="Constantia"/>
        </w:rPr>
      </w:pPr>
      <w:r w:rsidRPr="005E2DEB">
        <w:rPr>
          <w:rFonts w:ascii="Constantia" w:hAnsi="Constantia"/>
        </w:rPr>
        <w:t xml:space="preserve">Srednje dnevne </w:t>
      </w:r>
      <w:r w:rsidR="00A846CF" w:rsidRPr="005E2DEB">
        <w:rPr>
          <w:rFonts w:ascii="Constantia" w:hAnsi="Constantia"/>
        </w:rPr>
        <w:t>koncentracije</w:t>
      </w:r>
      <w:r w:rsidRPr="005E2DEB">
        <w:rPr>
          <w:rFonts w:ascii="Constantia" w:hAnsi="Constantia"/>
        </w:rPr>
        <w:t xml:space="preserve"> PM</w:t>
      </w:r>
      <w:r w:rsidRPr="005E2DEB">
        <w:rPr>
          <w:rFonts w:ascii="Constantia" w:hAnsi="Constantia"/>
          <w:vertAlign w:val="subscript"/>
        </w:rPr>
        <w:t>10</w:t>
      </w:r>
      <w:r w:rsidRPr="005E2DEB">
        <w:rPr>
          <w:rFonts w:ascii="Constantia" w:hAnsi="Constantia"/>
        </w:rPr>
        <w:t xml:space="preserve"> čestica </w:t>
      </w:r>
      <w:r w:rsidR="003038E5" w:rsidRPr="005E2DEB">
        <w:rPr>
          <w:rFonts w:ascii="Constantia" w:hAnsi="Constantia"/>
        </w:rPr>
        <w:t>(od 333</w:t>
      </w:r>
      <w:r w:rsidRPr="005E2DEB">
        <w:rPr>
          <w:rFonts w:ascii="Constantia" w:hAnsi="Constantia"/>
        </w:rPr>
        <w:t xml:space="preserve"> validnih mjerenja) </w:t>
      </w:r>
      <w:r w:rsidR="00520446" w:rsidRPr="005E2DEB">
        <w:rPr>
          <w:rFonts w:ascii="Constantia" w:hAnsi="Constantia"/>
        </w:rPr>
        <w:t>50</w:t>
      </w:r>
      <w:r w:rsidRPr="005E2DEB">
        <w:rPr>
          <w:rFonts w:ascii="Constantia" w:hAnsi="Constantia"/>
        </w:rPr>
        <w:t xml:space="preserve"> dana su prelazile propisanu graničnu </w:t>
      </w:r>
      <w:r w:rsidR="00530307" w:rsidRPr="005E2DEB">
        <w:rPr>
          <w:rFonts w:ascii="Constantia" w:hAnsi="Constantia"/>
        </w:rPr>
        <w:t xml:space="preserve">srednju dnevnu </w:t>
      </w:r>
      <w:r w:rsidRPr="005E2DEB">
        <w:rPr>
          <w:rFonts w:ascii="Constantia" w:hAnsi="Constantia"/>
        </w:rPr>
        <w:t>vrijednost od 50</w:t>
      </w:r>
      <w:r w:rsidR="00A12979">
        <w:rPr>
          <w:rFonts w:ascii="Constantia" w:hAnsi="Constantia"/>
        </w:rPr>
        <w:t xml:space="preserve"> </w:t>
      </w:r>
      <w:r w:rsidRPr="005E2DEB">
        <w:rPr>
          <w:rFonts w:ascii="Constantia" w:hAnsi="Constantia"/>
        </w:rPr>
        <w:t>μg/m</w:t>
      </w:r>
      <w:r w:rsidRPr="005E2DEB">
        <w:rPr>
          <w:rFonts w:ascii="Constantia" w:hAnsi="Constantia"/>
          <w:vertAlign w:val="superscript"/>
        </w:rPr>
        <w:t>3</w:t>
      </w:r>
      <w:r w:rsidR="00530307" w:rsidRPr="005E2DEB">
        <w:rPr>
          <w:rFonts w:ascii="Constantia" w:hAnsi="Constantia"/>
        </w:rPr>
        <w:t>,</w:t>
      </w:r>
      <w:r w:rsidR="003038E5" w:rsidRPr="005E2DEB">
        <w:rPr>
          <w:rFonts w:ascii="Constantia" w:hAnsi="Constantia"/>
        </w:rPr>
        <w:t xml:space="preserve">odnosno 13 puta granicu tolerancije za dnevnu srednju vrijednost. </w:t>
      </w:r>
      <w:r w:rsidR="001F1DC7" w:rsidRPr="005E2DEB">
        <w:rPr>
          <w:rFonts w:ascii="Constantia" w:hAnsi="Constantia"/>
        </w:rPr>
        <w:t xml:space="preserve">Dozvoljeni broj </w:t>
      </w:r>
      <w:r w:rsidR="00530307" w:rsidRPr="005E2DEB">
        <w:rPr>
          <w:rFonts w:ascii="Constantia" w:hAnsi="Constantia"/>
        </w:rPr>
        <w:t>prekoračenja tok</w:t>
      </w:r>
      <w:r w:rsidR="003533B7" w:rsidRPr="005E2DEB">
        <w:rPr>
          <w:rFonts w:ascii="Constantia" w:hAnsi="Constantia"/>
        </w:rPr>
        <w:t>om godine je 35, što znači da</w:t>
      </w:r>
      <w:r w:rsidR="00530307" w:rsidRPr="005E2DEB">
        <w:rPr>
          <w:rFonts w:ascii="Constantia" w:hAnsi="Constantia"/>
        </w:rPr>
        <w:t xml:space="preserve"> vazduh po osnovu ovog parametra </w:t>
      </w:r>
      <w:r w:rsidR="003533B7" w:rsidRPr="005E2DEB">
        <w:rPr>
          <w:rFonts w:ascii="Constantia" w:hAnsi="Constantia"/>
        </w:rPr>
        <w:t>nije bio zadovoljavajućeg kvaliteta.</w:t>
      </w:r>
      <w:r w:rsidR="00A12979">
        <w:rPr>
          <w:rFonts w:ascii="Constantia" w:hAnsi="Constantia"/>
        </w:rPr>
        <w:t xml:space="preserve"> </w:t>
      </w:r>
      <w:r w:rsidR="003533B7" w:rsidRPr="005E2DEB">
        <w:rPr>
          <w:rFonts w:ascii="Constantia" w:hAnsi="Constantia"/>
        </w:rPr>
        <w:t>S</w:t>
      </w:r>
      <w:r w:rsidRPr="005E2DEB">
        <w:rPr>
          <w:rFonts w:ascii="Constantia" w:hAnsi="Constantia"/>
        </w:rPr>
        <w:t>rednja godišnja koncentracija</w:t>
      </w:r>
      <w:r w:rsidR="00A12979">
        <w:rPr>
          <w:rFonts w:ascii="Constantia" w:hAnsi="Constantia"/>
        </w:rPr>
        <w:t>,</w:t>
      </w:r>
      <w:r w:rsidRPr="005E2DEB">
        <w:rPr>
          <w:rFonts w:ascii="Constantia" w:hAnsi="Constantia"/>
        </w:rPr>
        <w:t xml:space="preserve"> </w:t>
      </w:r>
      <w:r w:rsidR="00530307" w:rsidRPr="005E2DEB">
        <w:rPr>
          <w:rFonts w:ascii="Constantia" w:hAnsi="Constantia"/>
        </w:rPr>
        <w:t xml:space="preserve">koja </w:t>
      </w:r>
      <w:r w:rsidRPr="005E2DEB">
        <w:rPr>
          <w:rFonts w:ascii="Constantia" w:hAnsi="Constantia"/>
        </w:rPr>
        <w:t>je iznosila</w:t>
      </w:r>
      <w:r w:rsidR="00A12979">
        <w:rPr>
          <w:rFonts w:ascii="Constantia" w:hAnsi="Constantia"/>
        </w:rPr>
        <w:t xml:space="preserve"> </w:t>
      </w:r>
      <w:r w:rsidR="003533B7" w:rsidRPr="005E2DEB">
        <w:rPr>
          <w:rFonts w:ascii="Constantia" w:hAnsi="Constantia"/>
        </w:rPr>
        <w:t>32,92</w:t>
      </w:r>
      <w:r w:rsidR="00A12979">
        <w:rPr>
          <w:rFonts w:ascii="Constantia" w:hAnsi="Constantia"/>
        </w:rPr>
        <w:t xml:space="preserve"> </w:t>
      </w:r>
      <w:r w:rsidRPr="005E2DEB">
        <w:rPr>
          <w:rFonts w:ascii="Constantia" w:hAnsi="Constantia"/>
        </w:rPr>
        <w:t>μg/m</w:t>
      </w:r>
      <w:r w:rsidRPr="005E2DEB">
        <w:rPr>
          <w:rFonts w:ascii="Constantia" w:hAnsi="Constantia"/>
          <w:vertAlign w:val="superscript"/>
        </w:rPr>
        <w:t>3</w:t>
      </w:r>
      <w:r w:rsidR="00A12979">
        <w:rPr>
          <w:rFonts w:ascii="Constantia" w:hAnsi="Constantia"/>
        </w:rPr>
        <w:t>,</w:t>
      </w:r>
      <w:r w:rsidR="00A12979">
        <w:rPr>
          <w:rFonts w:ascii="Constantia" w:hAnsi="Constantia"/>
          <w:vertAlign w:val="superscript"/>
        </w:rPr>
        <w:t xml:space="preserve"> </w:t>
      </w:r>
      <w:r w:rsidR="00530307" w:rsidRPr="005E2DEB">
        <w:rPr>
          <w:rFonts w:ascii="Constantia" w:hAnsi="Constantia"/>
        </w:rPr>
        <w:t>bila</w:t>
      </w:r>
      <w:r w:rsidR="00A12979">
        <w:rPr>
          <w:rFonts w:ascii="Constantia" w:hAnsi="Constantia"/>
        </w:rPr>
        <w:t xml:space="preserve"> je</w:t>
      </w:r>
      <w:r w:rsidRPr="005E2DEB">
        <w:rPr>
          <w:rFonts w:ascii="Constantia" w:hAnsi="Constantia"/>
        </w:rPr>
        <w:t xml:space="preserve"> ispod propisane granične vrijednosti</w:t>
      </w:r>
      <w:r w:rsidR="00760287" w:rsidRPr="005E2DEB">
        <w:rPr>
          <w:rFonts w:ascii="Constantia" w:hAnsi="Constantia"/>
        </w:rPr>
        <w:t xml:space="preserve"> (40</w:t>
      </w:r>
      <w:r w:rsidR="00A12979">
        <w:rPr>
          <w:rFonts w:ascii="Constantia" w:hAnsi="Constantia"/>
        </w:rPr>
        <w:t xml:space="preserve"> </w:t>
      </w:r>
      <w:r w:rsidR="00760287" w:rsidRPr="005E2DEB">
        <w:rPr>
          <w:rFonts w:ascii="Constantia" w:hAnsi="Constantia"/>
        </w:rPr>
        <w:t>μg/m</w:t>
      </w:r>
      <w:r w:rsidR="00760287" w:rsidRPr="005E2DEB">
        <w:rPr>
          <w:rFonts w:ascii="Constantia" w:hAnsi="Constantia"/>
          <w:vertAlign w:val="superscript"/>
        </w:rPr>
        <w:t>3</w:t>
      </w:r>
      <w:r w:rsidR="00760287" w:rsidRPr="005E2DEB">
        <w:rPr>
          <w:rFonts w:ascii="Constantia" w:hAnsi="Constantia"/>
        </w:rPr>
        <w:t>)</w:t>
      </w:r>
      <w:r w:rsidRPr="005E2DEB">
        <w:rPr>
          <w:rFonts w:ascii="Constantia" w:hAnsi="Constantia"/>
        </w:rPr>
        <w:t xml:space="preserve">. </w:t>
      </w:r>
    </w:p>
    <w:p w:rsidR="00C47AFF" w:rsidRPr="005E2DEB" w:rsidRDefault="00C47AFF" w:rsidP="00C47AFF">
      <w:pPr>
        <w:tabs>
          <w:tab w:val="left" w:pos="5685"/>
        </w:tabs>
        <w:rPr>
          <w:rFonts w:ascii="Constantia" w:hAnsi="Constantia"/>
        </w:rPr>
      </w:pPr>
      <w:r w:rsidRPr="005E2DEB">
        <w:rPr>
          <w:rFonts w:ascii="Constantia" w:hAnsi="Constantia"/>
        </w:rPr>
        <w:t>PM</w:t>
      </w:r>
      <w:r w:rsidRPr="005E2DEB">
        <w:rPr>
          <w:rFonts w:ascii="Constantia" w:hAnsi="Constantia"/>
          <w:vertAlign w:val="subscript"/>
        </w:rPr>
        <w:t>10</w:t>
      </w:r>
      <w:r w:rsidRPr="005E2DEB">
        <w:rPr>
          <w:rFonts w:ascii="Constantia" w:hAnsi="Constantia"/>
        </w:rPr>
        <w:t xml:space="preserve"> čestice su analizirane na sadržaj teških me</w:t>
      </w:r>
      <w:r w:rsidR="00746223" w:rsidRPr="005E2DEB">
        <w:rPr>
          <w:rFonts w:ascii="Constantia" w:hAnsi="Constantia"/>
        </w:rPr>
        <w:t xml:space="preserve">tala, benzo(a)pirena, </w:t>
      </w:r>
      <w:r w:rsidRPr="005E2DEB">
        <w:rPr>
          <w:rFonts w:ascii="Constantia" w:hAnsi="Constantia"/>
        </w:rPr>
        <w:t>polutanata za koje su propisani standardi kvaliteta vazduha na godišnjem nivou i drugih relevantnih policikličnih a</w:t>
      </w:r>
      <w:r w:rsidR="005E2DEB">
        <w:rPr>
          <w:rFonts w:ascii="Constantia" w:hAnsi="Constantia"/>
        </w:rPr>
        <w:t>romatičnih ugljovodonika: benzo</w:t>
      </w:r>
      <w:r w:rsidRPr="005E2DEB">
        <w:rPr>
          <w:rFonts w:ascii="Constantia" w:hAnsi="Constantia"/>
        </w:rPr>
        <w:t>(a)</w:t>
      </w:r>
      <w:r w:rsidR="005E2DEB">
        <w:rPr>
          <w:rFonts w:ascii="Constantia" w:hAnsi="Constantia"/>
        </w:rPr>
        <w:t>antracena, benzo</w:t>
      </w:r>
      <w:r w:rsidRPr="005E2DEB">
        <w:rPr>
          <w:rFonts w:ascii="Constantia" w:hAnsi="Constantia"/>
        </w:rPr>
        <w:t>(b)</w:t>
      </w:r>
      <w:r w:rsidR="005E2DEB">
        <w:rPr>
          <w:rFonts w:ascii="Constantia" w:hAnsi="Constantia"/>
        </w:rPr>
        <w:t>fluoroantena, benzo</w:t>
      </w:r>
      <w:r w:rsidRPr="005E2DEB">
        <w:rPr>
          <w:rFonts w:ascii="Constantia" w:hAnsi="Constantia"/>
        </w:rPr>
        <w:t>(j)</w:t>
      </w:r>
      <w:r w:rsidR="005E2DEB">
        <w:rPr>
          <w:rFonts w:ascii="Constantia" w:hAnsi="Constantia"/>
        </w:rPr>
        <w:t>fluoroantena, benzo</w:t>
      </w:r>
      <w:r w:rsidRPr="005E2DEB">
        <w:rPr>
          <w:rFonts w:ascii="Constantia" w:hAnsi="Constantia"/>
        </w:rPr>
        <w:t>(k)fluoroantena, ideno(a,2,3-cd)pirena i dibenzo(a,h)antracena i ostalih PAH-ova za koje nisu propisani standardi kvaliteta vazduha već samo mjere kontrole</w:t>
      </w:r>
      <w:r w:rsidR="00C16F52" w:rsidRPr="005E2DEB">
        <w:rPr>
          <w:rFonts w:ascii="Constantia" w:hAnsi="Constantia"/>
        </w:rPr>
        <w:t>.</w:t>
      </w:r>
    </w:p>
    <w:p w:rsidR="00C47AFF" w:rsidRPr="005E2DEB" w:rsidRDefault="00C47AFF" w:rsidP="00C47AFF">
      <w:pPr>
        <w:tabs>
          <w:tab w:val="left" w:pos="5685"/>
        </w:tabs>
        <w:rPr>
          <w:rFonts w:ascii="Constantia" w:hAnsi="Constantia"/>
        </w:rPr>
      </w:pPr>
      <w:r w:rsidRPr="005E2DEB">
        <w:rPr>
          <w:rFonts w:ascii="Constantia" w:hAnsi="Constantia"/>
        </w:rPr>
        <w:t>Srednje godiš</w:t>
      </w:r>
      <w:r w:rsidR="00746223" w:rsidRPr="005E2DEB">
        <w:rPr>
          <w:rFonts w:ascii="Constantia" w:hAnsi="Constantia"/>
        </w:rPr>
        <w:t xml:space="preserve">nje vrijednosti </w:t>
      </w:r>
      <w:r w:rsidR="005551BC">
        <w:rPr>
          <w:rFonts w:ascii="Constantia" w:hAnsi="Constantia"/>
        </w:rPr>
        <w:t>kadmijuma</w:t>
      </w:r>
      <w:r w:rsidR="00746223" w:rsidRPr="005E2DEB">
        <w:rPr>
          <w:rFonts w:ascii="Constantia" w:hAnsi="Constantia"/>
        </w:rPr>
        <w:t xml:space="preserve">, </w:t>
      </w:r>
      <w:r w:rsidR="005551BC">
        <w:rPr>
          <w:rFonts w:ascii="Constantia" w:hAnsi="Constantia"/>
        </w:rPr>
        <w:t>arsena</w:t>
      </w:r>
      <w:r w:rsidR="00746223" w:rsidRPr="005E2DEB">
        <w:rPr>
          <w:rFonts w:ascii="Constantia" w:hAnsi="Constantia"/>
        </w:rPr>
        <w:t xml:space="preserve"> i </w:t>
      </w:r>
      <w:r w:rsidR="005551BC">
        <w:rPr>
          <w:rFonts w:ascii="Constantia" w:hAnsi="Constantia"/>
        </w:rPr>
        <w:t>n</w:t>
      </w:r>
      <w:r w:rsidR="00746223" w:rsidRPr="005E2DEB">
        <w:rPr>
          <w:rFonts w:ascii="Constantia" w:hAnsi="Constantia"/>
        </w:rPr>
        <w:t>i</w:t>
      </w:r>
      <w:r w:rsidR="005551BC">
        <w:rPr>
          <w:rFonts w:ascii="Constantia" w:hAnsi="Constantia"/>
        </w:rPr>
        <w:t>kla</w:t>
      </w:r>
      <w:r w:rsidR="00746223" w:rsidRPr="005E2DEB">
        <w:rPr>
          <w:rFonts w:ascii="Constantia" w:hAnsi="Constantia"/>
        </w:rPr>
        <w:t xml:space="preserve"> bile su </w:t>
      </w:r>
      <w:r w:rsidRPr="005E2DEB">
        <w:rPr>
          <w:rFonts w:ascii="Constantia" w:hAnsi="Constantia"/>
        </w:rPr>
        <w:t>ispod ciljnih vrijednosti propisanih s ciljem zaštite zdravlja ljudi i rokom postizanja do 2015. godine.</w:t>
      </w:r>
    </w:p>
    <w:p w:rsidR="002C0A3C" w:rsidRPr="005E2DEB" w:rsidRDefault="00FD5664" w:rsidP="00480B68">
      <w:pPr>
        <w:tabs>
          <w:tab w:val="left" w:pos="5685"/>
        </w:tabs>
        <w:rPr>
          <w:rFonts w:ascii="Constantia" w:hAnsi="Constantia"/>
        </w:rPr>
      </w:pPr>
      <w:r>
        <w:rPr>
          <w:rFonts w:ascii="Constantia" w:hAnsi="Constantia"/>
        </w:rPr>
        <w:t>Sadržaj benzo</w:t>
      </w:r>
      <w:r w:rsidR="00C47AFF" w:rsidRPr="005E2DEB">
        <w:rPr>
          <w:rFonts w:ascii="Constantia" w:hAnsi="Constantia"/>
        </w:rPr>
        <w:t xml:space="preserve">(a)pirena, kao srednja godišnja vrijednost nedjeljnih uzoraka je </w:t>
      </w:r>
      <w:r w:rsidR="00746223" w:rsidRPr="005E2DEB">
        <w:rPr>
          <w:rFonts w:ascii="Constantia" w:hAnsi="Constantia"/>
        </w:rPr>
        <w:t xml:space="preserve">bio </w:t>
      </w:r>
      <w:r w:rsidR="00C47AFF" w:rsidRPr="005E2DEB">
        <w:rPr>
          <w:rFonts w:ascii="Constantia" w:hAnsi="Constantia"/>
        </w:rPr>
        <w:t>ispod propisane ciljne vrijednosti</w:t>
      </w:r>
      <w:r>
        <w:rPr>
          <w:rFonts w:ascii="Constantia" w:hAnsi="Constantia"/>
        </w:rPr>
        <w:t>,</w:t>
      </w:r>
      <w:r w:rsidR="00C47AFF" w:rsidRPr="005E2DEB">
        <w:rPr>
          <w:rFonts w:ascii="Constantia" w:hAnsi="Constantia"/>
        </w:rPr>
        <w:t xml:space="preserve"> s ciljem zaštite zdravlja ljudi i rokom postizanja do 2015. </w:t>
      </w:r>
      <w:r w:rsidR="00F45C2F" w:rsidRPr="005E2DEB">
        <w:rPr>
          <w:rFonts w:ascii="Constantia" w:hAnsi="Constantia"/>
        </w:rPr>
        <w:t>g</w:t>
      </w:r>
      <w:r w:rsidR="00C47AFF" w:rsidRPr="005E2DEB">
        <w:rPr>
          <w:rFonts w:ascii="Constantia" w:hAnsi="Constantia"/>
        </w:rPr>
        <w:t>odine</w:t>
      </w:r>
      <w:r w:rsidR="00F45C2F" w:rsidRPr="005E2DEB">
        <w:rPr>
          <w:rFonts w:ascii="Constantia" w:hAnsi="Constantia"/>
        </w:rPr>
        <w:t xml:space="preserve">, </w:t>
      </w:r>
      <w:r w:rsidR="007D11E0" w:rsidRPr="005E2DEB">
        <w:rPr>
          <w:rFonts w:ascii="Constantia" w:hAnsi="Constantia"/>
        </w:rPr>
        <w:t>i</w:t>
      </w:r>
      <w:r w:rsidR="00F45C2F" w:rsidRPr="005E2DEB">
        <w:rPr>
          <w:rFonts w:ascii="Constantia" w:hAnsi="Constantia"/>
        </w:rPr>
        <w:t xml:space="preserve"> iznosio je 0,83</w:t>
      </w:r>
      <w:r w:rsidR="00570F03">
        <w:rPr>
          <w:rFonts w:ascii="Constantia" w:hAnsi="Constantia"/>
        </w:rPr>
        <w:t xml:space="preserve"> </w:t>
      </w:r>
      <w:r w:rsidR="00F45C2F" w:rsidRPr="005E2DEB">
        <w:rPr>
          <w:rFonts w:ascii="Constantia" w:hAnsi="Constantia"/>
        </w:rPr>
        <w:t>ng/m</w:t>
      </w:r>
      <w:r w:rsidR="00F45C2F" w:rsidRPr="005E2DEB">
        <w:rPr>
          <w:rFonts w:ascii="Constantia" w:hAnsi="Constantia"/>
          <w:vertAlign w:val="superscript"/>
        </w:rPr>
        <w:t>3</w:t>
      </w:r>
      <w:r w:rsidR="00C47AFF" w:rsidRPr="005E2DEB">
        <w:rPr>
          <w:rFonts w:ascii="Constantia" w:hAnsi="Constantia"/>
        </w:rPr>
        <w:t>.</w:t>
      </w:r>
    </w:p>
    <w:p w:rsidR="00631B21" w:rsidRPr="005E2DEB" w:rsidRDefault="00631B21" w:rsidP="00480B68">
      <w:pPr>
        <w:tabs>
          <w:tab w:val="left" w:pos="5685"/>
        </w:tabs>
        <w:rPr>
          <w:rFonts w:ascii="Constantia" w:hAnsi="Constantia"/>
        </w:rPr>
      </w:pPr>
      <w:r w:rsidRPr="005E2DEB">
        <w:rPr>
          <w:rFonts w:ascii="Constantia" w:hAnsi="Constantia"/>
        </w:rPr>
        <w:t>Validnih mjerenja PM</w:t>
      </w:r>
      <w:r w:rsidRPr="005E2DEB">
        <w:rPr>
          <w:rFonts w:ascii="Constantia" w:hAnsi="Constantia"/>
          <w:vertAlign w:val="subscript"/>
        </w:rPr>
        <w:t>2.5</w:t>
      </w:r>
      <w:r w:rsidRPr="005E2DEB">
        <w:rPr>
          <w:rFonts w:ascii="Constantia" w:hAnsi="Constantia"/>
        </w:rPr>
        <w:t xml:space="preserve"> čestica je bilo </w:t>
      </w:r>
      <w:r w:rsidR="00AE6281" w:rsidRPr="005E2DEB">
        <w:rPr>
          <w:rFonts w:ascii="Constantia" w:hAnsi="Constantia"/>
        </w:rPr>
        <w:t>252</w:t>
      </w:r>
      <w:r w:rsidR="0037262F">
        <w:rPr>
          <w:rFonts w:ascii="Constantia" w:hAnsi="Constantia"/>
        </w:rPr>
        <w:t xml:space="preserve"> </w:t>
      </w:r>
      <w:r w:rsidRPr="005E2DEB">
        <w:rPr>
          <w:rFonts w:ascii="Constantia" w:hAnsi="Constantia"/>
        </w:rPr>
        <w:t xml:space="preserve">dana. </w:t>
      </w:r>
      <w:r w:rsidR="005C03F1" w:rsidRPr="005E2DEB">
        <w:rPr>
          <w:rFonts w:ascii="Constantia" w:hAnsi="Constantia"/>
        </w:rPr>
        <w:t xml:space="preserve">Srednja godišnja </w:t>
      </w:r>
      <w:r w:rsidR="00B56C07" w:rsidRPr="005E2DEB">
        <w:rPr>
          <w:rFonts w:ascii="Constantia" w:hAnsi="Constantia"/>
        </w:rPr>
        <w:t>kon</w:t>
      </w:r>
      <w:r w:rsidR="00AE6281" w:rsidRPr="005E2DEB">
        <w:rPr>
          <w:rFonts w:ascii="Constantia" w:hAnsi="Constantia"/>
        </w:rPr>
        <w:t>centracija iznosila je 14,22</w:t>
      </w:r>
      <w:r w:rsidR="0037262F">
        <w:rPr>
          <w:rFonts w:ascii="Constantia" w:hAnsi="Constantia"/>
        </w:rPr>
        <w:t xml:space="preserve"> </w:t>
      </w:r>
      <w:r w:rsidR="005C03F1" w:rsidRPr="005E2DEB">
        <w:rPr>
          <w:rFonts w:ascii="Constantia" w:hAnsi="Constantia"/>
        </w:rPr>
        <w:t>μg/m</w:t>
      </w:r>
      <w:r w:rsidR="005C03F1" w:rsidRPr="005E2DEB">
        <w:rPr>
          <w:rFonts w:ascii="Constantia" w:hAnsi="Constantia"/>
          <w:vertAlign w:val="superscript"/>
        </w:rPr>
        <w:t>3</w:t>
      </w:r>
      <w:r w:rsidR="005C03F1" w:rsidRPr="005E2DEB">
        <w:rPr>
          <w:rFonts w:ascii="Constantia" w:hAnsi="Constantia"/>
        </w:rPr>
        <w:t>, što je ispod gran</w:t>
      </w:r>
      <w:r w:rsidR="00B56C07" w:rsidRPr="005E2DEB">
        <w:rPr>
          <w:rFonts w:ascii="Constantia" w:hAnsi="Constantia"/>
        </w:rPr>
        <w:t>ične godišnje vrijednosti od 25</w:t>
      </w:r>
      <w:r w:rsidR="0037262F">
        <w:rPr>
          <w:rFonts w:ascii="Constantia" w:hAnsi="Constantia"/>
        </w:rPr>
        <w:t xml:space="preserve"> </w:t>
      </w:r>
      <w:r w:rsidR="005C03F1" w:rsidRPr="005E2DEB">
        <w:rPr>
          <w:rFonts w:ascii="Constantia" w:hAnsi="Constantia"/>
        </w:rPr>
        <w:t>μg/m</w:t>
      </w:r>
      <w:r w:rsidR="005C03F1" w:rsidRPr="005E2DEB">
        <w:rPr>
          <w:rFonts w:ascii="Constantia" w:hAnsi="Constantia"/>
          <w:vertAlign w:val="superscript"/>
        </w:rPr>
        <w:t>3</w:t>
      </w:r>
      <w:r w:rsidR="00560F62" w:rsidRPr="005E2DEB">
        <w:rPr>
          <w:rFonts w:ascii="Constantia" w:hAnsi="Constantia"/>
        </w:rPr>
        <w:t xml:space="preserve"> i granice tolerancije za 2013</w:t>
      </w:r>
      <w:r w:rsidR="005C03F1" w:rsidRPr="005E2DEB">
        <w:rPr>
          <w:rFonts w:ascii="Constantia" w:hAnsi="Constantia"/>
        </w:rPr>
        <w:t>. godinu.</w:t>
      </w:r>
    </w:p>
    <w:p w:rsidR="00480B68" w:rsidRPr="004E08C0" w:rsidRDefault="002B5385" w:rsidP="007468D3">
      <w:pPr>
        <w:pStyle w:val="Heading3"/>
      </w:pPr>
      <w:bookmarkStart w:id="8" w:name="_Toc393897856"/>
      <w:r>
        <w:t xml:space="preserve">1.1.3  </w:t>
      </w:r>
      <w:r w:rsidR="004C7AFF" w:rsidRPr="007468D3">
        <w:t>Nikšić</w:t>
      </w:r>
      <w:bookmarkEnd w:id="8"/>
    </w:p>
    <w:p w:rsidR="003E2E32" w:rsidRPr="004E08C0" w:rsidRDefault="00480B68" w:rsidP="003E2E32">
      <w:pPr>
        <w:tabs>
          <w:tab w:val="left" w:pos="5685"/>
        </w:tabs>
        <w:rPr>
          <w:rFonts w:ascii="Constantia" w:hAnsi="Constantia"/>
        </w:rPr>
      </w:pPr>
      <w:r w:rsidRPr="004E08C0">
        <w:rPr>
          <w:rFonts w:ascii="Constantia" w:hAnsi="Constantia"/>
        </w:rPr>
        <w:t>U Nikšiću</w:t>
      </w:r>
      <w:r w:rsidR="00903F36" w:rsidRPr="004E08C0">
        <w:rPr>
          <w:rFonts w:ascii="Constantia" w:hAnsi="Constantia"/>
        </w:rPr>
        <w:t xml:space="preserve"> je</w:t>
      </w:r>
      <w:r w:rsidRPr="004E08C0">
        <w:rPr>
          <w:rFonts w:ascii="Constantia" w:hAnsi="Constantia"/>
        </w:rPr>
        <w:t xml:space="preserve"> vršeno automatsko mjerenje</w:t>
      </w:r>
      <w:r w:rsidR="002638DC" w:rsidRPr="004E08C0">
        <w:rPr>
          <w:rFonts w:ascii="Constantia" w:hAnsi="Constantia"/>
        </w:rPr>
        <w:t>:</w:t>
      </w:r>
      <w:r w:rsidR="00D66260">
        <w:rPr>
          <w:rFonts w:ascii="Constantia" w:hAnsi="Constantia"/>
        </w:rPr>
        <w:t xml:space="preserve"> </w:t>
      </w:r>
      <w:r w:rsidR="003E2E32" w:rsidRPr="004E08C0">
        <w:rPr>
          <w:rFonts w:ascii="Constantia" w:hAnsi="Constantia"/>
          <w:b/>
        </w:rPr>
        <w:t>sumpor(IV)oks</w:t>
      </w:r>
      <w:r w:rsidR="00565FB9" w:rsidRPr="004E08C0">
        <w:rPr>
          <w:rFonts w:ascii="Constantia" w:hAnsi="Constantia"/>
          <w:b/>
        </w:rPr>
        <w:t>i</w:t>
      </w:r>
      <w:r w:rsidR="003E2E32" w:rsidRPr="004E08C0">
        <w:rPr>
          <w:rFonts w:ascii="Constantia" w:hAnsi="Constantia"/>
          <w:b/>
        </w:rPr>
        <w:t>da (SO</w:t>
      </w:r>
      <w:r w:rsidR="003E2E32" w:rsidRPr="004E08C0">
        <w:rPr>
          <w:rFonts w:ascii="Constantia" w:hAnsi="Constantia"/>
          <w:b/>
          <w:vertAlign w:val="subscript"/>
        </w:rPr>
        <w:t>2</w:t>
      </w:r>
      <w:r w:rsidR="003E2E32" w:rsidRPr="004E08C0">
        <w:rPr>
          <w:rFonts w:ascii="Constantia" w:hAnsi="Constantia"/>
          <w:b/>
        </w:rPr>
        <w:t xml:space="preserve">), azot(II)oksida </w:t>
      </w:r>
      <w:r w:rsidR="003E2E32" w:rsidRPr="004E08C0">
        <w:rPr>
          <w:rFonts w:ascii="Constantia" w:hAnsi="Constantia"/>
          <w:b/>
          <w:lang w:val="sr-Latn-CS"/>
        </w:rPr>
        <w:t>(NO)</w:t>
      </w:r>
      <w:r w:rsidR="003E2E32" w:rsidRPr="004E08C0">
        <w:rPr>
          <w:rFonts w:ascii="Constantia" w:hAnsi="Constantia"/>
          <w:b/>
        </w:rPr>
        <w:t>, azot(IV)oksida (NO</w:t>
      </w:r>
      <w:r w:rsidR="003E2E32" w:rsidRPr="004E08C0">
        <w:rPr>
          <w:rFonts w:ascii="Constantia" w:hAnsi="Constantia"/>
          <w:b/>
          <w:vertAlign w:val="subscript"/>
        </w:rPr>
        <w:t>2</w:t>
      </w:r>
      <w:r w:rsidR="003E2E32" w:rsidRPr="004E08C0">
        <w:rPr>
          <w:rFonts w:ascii="Constantia" w:hAnsi="Constantia"/>
          <w:b/>
        </w:rPr>
        <w:t>), ukupnih azotnih oksida (NO</w:t>
      </w:r>
      <w:r w:rsidR="003E2E32" w:rsidRPr="004E08C0">
        <w:rPr>
          <w:rFonts w:ascii="Constantia" w:hAnsi="Constantia"/>
          <w:b/>
          <w:vertAlign w:val="subscript"/>
        </w:rPr>
        <w:t>x</w:t>
      </w:r>
      <w:r w:rsidR="003E2E32" w:rsidRPr="004E08C0">
        <w:rPr>
          <w:rFonts w:ascii="Constantia" w:hAnsi="Constantia"/>
          <w:b/>
        </w:rPr>
        <w:t>), ugljen(II)oksida (CO), prizemnog ozona (O</w:t>
      </w:r>
      <w:r w:rsidR="003E2E32" w:rsidRPr="004E08C0">
        <w:rPr>
          <w:rFonts w:ascii="Constantia" w:hAnsi="Constantia"/>
          <w:b/>
          <w:vertAlign w:val="subscript"/>
        </w:rPr>
        <w:t>3</w:t>
      </w:r>
      <w:r w:rsidR="003E2E32" w:rsidRPr="004E08C0">
        <w:rPr>
          <w:rFonts w:ascii="Constantia" w:hAnsi="Constantia"/>
          <w:b/>
        </w:rPr>
        <w:t>), PM</w:t>
      </w:r>
      <w:r w:rsidR="003E2E32" w:rsidRPr="004E08C0">
        <w:rPr>
          <w:rFonts w:ascii="Constantia" w:hAnsi="Constantia"/>
          <w:b/>
          <w:vertAlign w:val="subscript"/>
        </w:rPr>
        <w:t>2,5</w:t>
      </w:r>
      <w:r w:rsidR="003E2E32" w:rsidRPr="004E08C0">
        <w:rPr>
          <w:rFonts w:ascii="Constantia" w:hAnsi="Constantia"/>
          <w:b/>
        </w:rPr>
        <w:t xml:space="preserve"> čestica, PM</w:t>
      </w:r>
      <w:r w:rsidR="003E2E32" w:rsidRPr="004E08C0">
        <w:rPr>
          <w:rFonts w:ascii="Constantia" w:hAnsi="Constantia"/>
          <w:b/>
          <w:vertAlign w:val="subscript"/>
        </w:rPr>
        <w:t>10</w:t>
      </w:r>
      <w:r w:rsidR="003E2E32" w:rsidRPr="004E08C0">
        <w:rPr>
          <w:rFonts w:ascii="Constantia" w:hAnsi="Constantia"/>
          <w:b/>
        </w:rPr>
        <w:t xml:space="preserve"> čestic</w:t>
      </w:r>
      <w:r w:rsidR="004E08C0">
        <w:rPr>
          <w:rFonts w:ascii="Constantia" w:hAnsi="Constantia"/>
          <w:b/>
        </w:rPr>
        <w:t>a, sadržaj teških metala, benzo(a)</w:t>
      </w:r>
      <w:r w:rsidR="003E2E32" w:rsidRPr="004E08C0">
        <w:rPr>
          <w:rFonts w:ascii="Constantia" w:hAnsi="Constantia"/>
          <w:b/>
        </w:rPr>
        <w:t>pirena (BaP), relevantnih predstavnika PAH-</w:t>
      </w:r>
      <w:r w:rsidR="004E08C0">
        <w:rPr>
          <w:rFonts w:ascii="Constantia" w:hAnsi="Constantia"/>
          <w:b/>
        </w:rPr>
        <w:t>ova (markera benzo</w:t>
      </w:r>
      <w:r w:rsidR="007C3449" w:rsidRPr="004E08C0">
        <w:rPr>
          <w:rFonts w:ascii="Constantia" w:hAnsi="Constantia"/>
          <w:b/>
        </w:rPr>
        <w:t xml:space="preserve">(a)pirena) i </w:t>
      </w:r>
      <w:r w:rsidR="004E08C0">
        <w:rPr>
          <w:rFonts w:ascii="Constantia" w:hAnsi="Constantia"/>
          <w:b/>
        </w:rPr>
        <w:t>ukupnih PAH-ova</w:t>
      </w:r>
      <w:r w:rsidR="003E2E32" w:rsidRPr="004E08C0">
        <w:rPr>
          <w:rFonts w:ascii="Constantia" w:hAnsi="Constantia"/>
          <w:b/>
        </w:rPr>
        <w:t xml:space="preserve"> u PM</w:t>
      </w:r>
      <w:r w:rsidR="003E2E32" w:rsidRPr="004E08C0">
        <w:rPr>
          <w:rFonts w:ascii="Constantia" w:hAnsi="Constantia"/>
          <w:b/>
          <w:vertAlign w:val="subscript"/>
        </w:rPr>
        <w:t>10</w:t>
      </w:r>
      <w:r w:rsidR="003E2E32" w:rsidRPr="004E08C0">
        <w:rPr>
          <w:rFonts w:ascii="Constantia" w:hAnsi="Constantia"/>
        </w:rPr>
        <w:t>.</w:t>
      </w:r>
    </w:p>
    <w:p w:rsidR="00A564A9" w:rsidRPr="004E08C0" w:rsidRDefault="00AE2DD4" w:rsidP="00A564A9">
      <w:pPr>
        <w:rPr>
          <w:rFonts w:ascii="Constantia" w:hAnsi="Constantia"/>
          <w:lang w:val="sr-Latn-CS"/>
        </w:rPr>
      </w:pPr>
      <w:r w:rsidRPr="004E08C0">
        <w:rPr>
          <w:rFonts w:ascii="Constantia" w:hAnsi="Constantia"/>
          <w:lang w:val="sr-Latn-CS"/>
        </w:rPr>
        <w:t xml:space="preserve">Na </w:t>
      </w:r>
      <w:r w:rsidRPr="004E08C0">
        <w:rPr>
          <w:rFonts w:ascii="Constantia" w:hAnsi="Constantia"/>
          <w:i/>
          <w:lang w:val="sr-Latn-CS"/>
        </w:rPr>
        <w:t>G</w:t>
      </w:r>
      <w:r w:rsidR="00A564A9" w:rsidRPr="004E08C0">
        <w:rPr>
          <w:rFonts w:ascii="Constantia" w:hAnsi="Constantia"/>
          <w:i/>
          <w:lang w:val="sr-Latn-CS"/>
        </w:rPr>
        <w:t xml:space="preserve">rafikonu </w:t>
      </w:r>
      <w:r w:rsidR="0086023B" w:rsidRPr="004E08C0">
        <w:rPr>
          <w:rFonts w:ascii="Constantia" w:hAnsi="Constantia"/>
          <w:i/>
          <w:lang w:val="sr-Latn-CS"/>
        </w:rPr>
        <w:t>9</w:t>
      </w:r>
      <w:r w:rsidRPr="004E08C0">
        <w:rPr>
          <w:rFonts w:ascii="Constantia" w:hAnsi="Constantia"/>
          <w:i/>
          <w:lang w:val="sr-Latn-CS"/>
        </w:rPr>
        <w:t>.</w:t>
      </w:r>
      <w:r w:rsidR="00A564A9" w:rsidRPr="004E08C0">
        <w:rPr>
          <w:rFonts w:ascii="Constantia" w:hAnsi="Constantia"/>
          <w:lang w:val="sr-Latn-CS"/>
        </w:rPr>
        <w:t xml:space="preserve"> su prikazane koncentracije </w:t>
      </w:r>
      <w:r w:rsidR="00A564A9" w:rsidRPr="004E08C0">
        <w:rPr>
          <w:rFonts w:ascii="Constantia" w:hAnsi="Constantia"/>
        </w:rPr>
        <w:t>sumpor(IV)oksda (SO</w:t>
      </w:r>
      <w:r w:rsidR="00A564A9" w:rsidRPr="004E08C0">
        <w:rPr>
          <w:rFonts w:ascii="Constantia" w:hAnsi="Constantia"/>
          <w:vertAlign w:val="subscript"/>
        </w:rPr>
        <w:t>2</w:t>
      </w:r>
      <w:r w:rsidR="00A564A9" w:rsidRPr="004E08C0">
        <w:rPr>
          <w:rFonts w:ascii="Constantia" w:hAnsi="Constantia"/>
        </w:rPr>
        <w:t>)</w:t>
      </w:r>
      <w:r w:rsidR="00A564A9" w:rsidRPr="004E08C0">
        <w:rPr>
          <w:rFonts w:ascii="Constantia" w:hAnsi="Constantia"/>
          <w:lang w:val="sr-Latn-CS"/>
        </w:rPr>
        <w:t xml:space="preserve"> u vazduhu (maksimalne jednočasovne srednje koncentracije i srednje mjesečne kon</w:t>
      </w:r>
      <w:r w:rsidR="00AC50F9" w:rsidRPr="004E08C0">
        <w:rPr>
          <w:rFonts w:ascii="Constantia" w:hAnsi="Constantia"/>
          <w:lang w:val="sr-Latn-CS"/>
        </w:rPr>
        <w:t>centracije) izmjerene tokom 2013</w:t>
      </w:r>
      <w:r w:rsidR="00A564A9" w:rsidRPr="004E08C0">
        <w:rPr>
          <w:rFonts w:ascii="Constantia" w:hAnsi="Constantia"/>
          <w:lang w:val="sr-Latn-CS"/>
        </w:rPr>
        <w:t>. godine.</w:t>
      </w:r>
    </w:p>
    <w:p w:rsidR="000F226A" w:rsidRPr="00F84A21" w:rsidRDefault="000F226A" w:rsidP="00AE2DD4">
      <w:pPr>
        <w:spacing w:after="0"/>
        <w:jc w:val="center"/>
        <w:rPr>
          <w:lang w:val="sr-Latn-CS"/>
        </w:rPr>
      </w:pPr>
      <w:r>
        <w:rPr>
          <w:noProof/>
        </w:rPr>
        <w:lastRenderedPageBreak/>
        <w:drawing>
          <wp:inline distT="0" distB="0" distL="0" distR="0" wp14:anchorId="6C8AD080" wp14:editId="246DBCAE">
            <wp:extent cx="4543425" cy="2543175"/>
            <wp:effectExtent l="0" t="0" r="0" b="0"/>
            <wp:docPr id="14"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002698" w:rsidRDefault="00002698" w:rsidP="00002698">
      <w:pPr>
        <w:pStyle w:val="Grafikon"/>
        <w:ind w:left="144" w:hanging="144"/>
        <w:rPr>
          <w:rFonts w:ascii="Constantia" w:hAnsi="Constantia"/>
          <w:sz w:val="22"/>
          <w:szCs w:val="22"/>
        </w:rPr>
      </w:pPr>
      <w:r w:rsidRPr="00617ABC">
        <w:rPr>
          <w:rFonts w:ascii="Constantia" w:hAnsi="Constantia"/>
          <w:sz w:val="22"/>
          <w:szCs w:val="22"/>
        </w:rPr>
        <w:t>Koncentracija SO</w:t>
      </w:r>
      <w:r w:rsidRPr="00617ABC">
        <w:rPr>
          <w:rFonts w:ascii="Constantia" w:hAnsi="Constantia"/>
          <w:sz w:val="22"/>
          <w:szCs w:val="22"/>
          <w:vertAlign w:val="subscript"/>
        </w:rPr>
        <w:t>2</w:t>
      </w:r>
      <w:r w:rsidRPr="00617ABC">
        <w:rPr>
          <w:rFonts w:ascii="Constantia" w:hAnsi="Constantia"/>
          <w:sz w:val="22"/>
          <w:szCs w:val="22"/>
        </w:rPr>
        <w:t xml:space="preserve"> u vazduhu</w:t>
      </w:r>
      <w:r w:rsidR="00624B6B">
        <w:rPr>
          <w:rFonts w:ascii="Constantia" w:hAnsi="Constantia"/>
          <w:sz w:val="22"/>
          <w:szCs w:val="22"/>
        </w:rPr>
        <w:t xml:space="preserve"> </w:t>
      </w:r>
      <w:r w:rsidR="008652D0">
        <w:rPr>
          <w:rFonts w:ascii="Constantia" w:hAnsi="Constantia"/>
          <w:sz w:val="22"/>
          <w:szCs w:val="22"/>
        </w:rPr>
        <w:t>–</w:t>
      </w:r>
      <w:r w:rsidR="00624B6B">
        <w:rPr>
          <w:rFonts w:ascii="Constantia" w:hAnsi="Constantia"/>
          <w:sz w:val="22"/>
          <w:szCs w:val="22"/>
        </w:rPr>
        <w:t xml:space="preserve"> </w:t>
      </w:r>
      <w:r w:rsidRPr="00617ABC">
        <w:rPr>
          <w:rFonts w:ascii="Constantia" w:hAnsi="Constantia"/>
          <w:sz w:val="22"/>
          <w:szCs w:val="22"/>
        </w:rPr>
        <w:t>Nikšić</w:t>
      </w:r>
    </w:p>
    <w:p w:rsidR="008652D0" w:rsidRPr="00617ABC" w:rsidRDefault="008652D0" w:rsidP="008652D0">
      <w:pPr>
        <w:pStyle w:val="Grafikon"/>
        <w:numPr>
          <w:ilvl w:val="0"/>
          <w:numId w:val="0"/>
        </w:numPr>
        <w:spacing w:after="0"/>
        <w:ind w:left="144"/>
        <w:jc w:val="both"/>
        <w:rPr>
          <w:rFonts w:ascii="Constantia" w:hAnsi="Constantia"/>
          <w:sz w:val="22"/>
          <w:szCs w:val="22"/>
        </w:rPr>
      </w:pPr>
    </w:p>
    <w:p w:rsidR="00002698" w:rsidRPr="00617ABC" w:rsidRDefault="00002698" w:rsidP="00480B68">
      <w:pPr>
        <w:tabs>
          <w:tab w:val="left" w:pos="5685"/>
        </w:tabs>
        <w:rPr>
          <w:rFonts w:ascii="Constantia" w:hAnsi="Constantia"/>
        </w:rPr>
      </w:pPr>
      <w:r w:rsidRPr="00617ABC">
        <w:rPr>
          <w:rFonts w:ascii="Constantia" w:hAnsi="Constantia"/>
        </w:rPr>
        <w:t xml:space="preserve">Sve izmjerene vrijednosti </w:t>
      </w:r>
      <w:r w:rsidR="00084153" w:rsidRPr="00617ABC">
        <w:rPr>
          <w:rFonts w:ascii="Constantia" w:hAnsi="Constantia"/>
        </w:rPr>
        <w:t>sumpor(IV)oks</w:t>
      </w:r>
      <w:r w:rsidR="00ED071C" w:rsidRPr="00617ABC">
        <w:rPr>
          <w:rFonts w:ascii="Constantia" w:hAnsi="Constantia"/>
        </w:rPr>
        <w:t>i</w:t>
      </w:r>
      <w:r w:rsidR="00084153" w:rsidRPr="00617ABC">
        <w:rPr>
          <w:rFonts w:ascii="Constantia" w:hAnsi="Constantia"/>
        </w:rPr>
        <w:t>da (SO</w:t>
      </w:r>
      <w:r w:rsidR="00084153" w:rsidRPr="00617ABC">
        <w:rPr>
          <w:rFonts w:ascii="Constantia" w:hAnsi="Constantia"/>
          <w:vertAlign w:val="subscript"/>
        </w:rPr>
        <w:t>2</w:t>
      </w:r>
      <w:r w:rsidR="00084153" w:rsidRPr="00617ABC">
        <w:rPr>
          <w:rFonts w:ascii="Constantia" w:hAnsi="Constantia"/>
        </w:rPr>
        <w:t>)</w:t>
      </w:r>
      <w:r w:rsidR="00D66260">
        <w:rPr>
          <w:rFonts w:ascii="Constantia" w:hAnsi="Constantia"/>
        </w:rPr>
        <w:t xml:space="preserve"> </w:t>
      </w:r>
      <w:r w:rsidRPr="00617ABC">
        <w:rPr>
          <w:rFonts w:ascii="Constantia" w:hAnsi="Constantia"/>
        </w:rPr>
        <w:t>posmatrane u odnosu na granične vrijednosti (jednočasovne srednje vrijednosti i dnevne srednje vrijednosti ) za zaštitu zdravlja su tokom 201</w:t>
      </w:r>
      <w:r w:rsidR="00421AD5" w:rsidRPr="00617ABC">
        <w:rPr>
          <w:rFonts w:ascii="Constantia" w:hAnsi="Constantia"/>
        </w:rPr>
        <w:t>3</w:t>
      </w:r>
      <w:r w:rsidRPr="00617ABC">
        <w:rPr>
          <w:rFonts w:ascii="Constantia" w:hAnsi="Constantia"/>
        </w:rPr>
        <w:t>. godine bile značajno ispod propisanih graničnih vrijednost od 3</w:t>
      </w:r>
      <w:r w:rsidR="000D4867" w:rsidRPr="00617ABC">
        <w:rPr>
          <w:rFonts w:ascii="Constantia" w:hAnsi="Constantia"/>
        </w:rPr>
        <w:t>5</w:t>
      </w:r>
      <w:r w:rsidRPr="00617ABC">
        <w:rPr>
          <w:rFonts w:ascii="Constantia" w:hAnsi="Constantia"/>
        </w:rPr>
        <w:t>0</w:t>
      </w:r>
      <w:r w:rsidR="00D66260">
        <w:rPr>
          <w:rFonts w:ascii="Constantia" w:hAnsi="Constantia"/>
        </w:rPr>
        <w:t xml:space="preserve"> </w:t>
      </w:r>
      <w:r w:rsidRPr="00617ABC">
        <w:rPr>
          <w:rFonts w:ascii="Constantia" w:hAnsi="Constantia"/>
        </w:rPr>
        <w:t>μg/m</w:t>
      </w:r>
      <w:r w:rsidRPr="00617ABC">
        <w:rPr>
          <w:rFonts w:ascii="Constantia" w:hAnsi="Constantia"/>
          <w:vertAlign w:val="superscript"/>
        </w:rPr>
        <w:t>3</w:t>
      </w:r>
      <w:r w:rsidR="000E5149" w:rsidRPr="00617ABC">
        <w:rPr>
          <w:rFonts w:ascii="Constantia" w:hAnsi="Constantia"/>
        </w:rPr>
        <w:t>,</w:t>
      </w:r>
      <w:r w:rsidRPr="00617ABC">
        <w:rPr>
          <w:rFonts w:ascii="Constantia" w:hAnsi="Constantia"/>
        </w:rPr>
        <w:t xml:space="preserve"> odnosno 1</w:t>
      </w:r>
      <w:r w:rsidR="000D4867" w:rsidRPr="00617ABC">
        <w:rPr>
          <w:rFonts w:ascii="Constantia" w:hAnsi="Constantia"/>
        </w:rPr>
        <w:t>25</w:t>
      </w:r>
      <w:r w:rsidR="00D66260">
        <w:rPr>
          <w:rFonts w:ascii="Constantia" w:hAnsi="Constantia"/>
        </w:rPr>
        <w:t xml:space="preserve"> </w:t>
      </w:r>
      <w:r w:rsidRPr="00617ABC">
        <w:rPr>
          <w:rFonts w:ascii="Constantia" w:hAnsi="Constantia"/>
        </w:rPr>
        <w:t>μg/m</w:t>
      </w:r>
      <w:r w:rsidRPr="00617ABC">
        <w:rPr>
          <w:rFonts w:ascii="Constantia" w:hAnsi="Constantia"/>
          <w:vertAlign w:val="superscript"/>
        </w:rPr>
        <w:t>3</w:t>
      </w:r>
      <w:r w:rsidRPr="00617ABC">
        <w:rPr>
          <w:rFonts w:ascii="Constantia" w:hAnsi="Constantia"/>
        </w:rPr>
        <w:t>.</w:t>
      </w:r>
    </w:p>
    <w:p w:rsidR="00876C09" w:rsidRPr="00617ABC" w:rsidRDefault="00AE2DD4" w:rsidP="00876C09">
      <w:pPr>
        <w:rPr>
          <w:rFonts w:ascii="Constantia" w:hAnsi="Constantia"/>
          <w:lang w:val="sr-Latn-CS"/>
        </w:rPr>
      </w:pPr>
      <w:r w:rsidRPr="00617ABC">
        <w:rPr>
          <w:rFonts w:ascii="Constantia" w:hAnsi="Constantia"/>
          <w:lang w:val="sr-Latn-CS"/>
        </w:rPr>
        <w:t xml:space="preserve">Na </w:t>
      </w:r>
      <w:r w:rsidRPr="000141DE">
        <w:rPr>
          <w:rFonts w:ascii="Constantia" w:hAnsi="Constantia"/>
          <w:i/>
          <w:lang w:val="sr-Latn-CS"/>
        </w:rPr>
        <w:t>G</w:t>
      </w:r>
      <w:r w:rsidR="00876C09" w:rsidRPr="000141DE">
        <w:rPr>
          <w:rFonts w:ascii="Constantia" w:hAnsi="Constantia"/>
          <w:i/>
          <w:lang w:val="sr-Latn-CS"/>
        </w:rPr>
        <w:t xml:space="preserve">rafikonu </w:t>
      </w:r>
      <w:r w:rsidR="0086023B" w:rsidRPr="000141DE">
        <w:rPr>
          <w:rFonts w:ascii="Constantia" w:hAnsi="Constantia"/>
          <w:i/>
          <w:lang w:val="sr-Latn-CS"/>
        </w:rPr>
        <w:t>10</w:t>
      </w:r>
      <w:r w:rsidRPr="000141DE">
        <w:rPr>
          <w:rFonts w:ascii="Constantia" w:hAnsi="Constantia"/>
          <w:i/>
          <w:lang w:val="sr-Latn-CS"/>
        </w:rPr>
        <w:t>.</w:t>
      </w:r>
      <w:r w:rsidR="00876C09" w:rsidRPr="00617ABC">
        <w:rPr>
          <w:rFonts w:ascii="Constantia" w:hAnsi="Constantia"/>
          <w:lang w:val="sr-Latn-CS"/>
        </w:rPr>
        <w:t xml:space="preserve"> prikazane su koncentracije </w:t>
      </w:r>
      <w:r w:rsidR="00FE4E95" w:rsidRPr="00617ABC">
        <w:rPr>
          <w:rFonts w:ascii="Constantia" w:hAnsi="Constantia"/>
        </w:rPr>
        <w:t>azot(IV)oksida (NO</w:t>
      </w:r>
      <w:r w:rsidR="00FE4E95" w:rsidRPr="00617ABC">
        <w:rPr>
          <w:rFonts w:ascii="Constantia" w:hAnsi="Constantia"/>
          <w:vertAlign w:val="subscript"/>
        </w:rPr>
        <w:t>2</w:t>
      </w:r>
      <w:r w:rsidR="00FE4E95" w:rsidRPr="00617ABC">
        <w:rPr>
          <w:rFonts w:ascii="Constantia" w:hAnsi="Constantia"/>
        </w:rPr>
        <w:t>)</w:t>
      </w:r>
      <w:r w:rsidR="00876C09" w:rsidRPr="00617ABC">
        <w:rPr>
          <w:rFonts w:ascii="Constantia" w:hAnsi="Constantia"/>
          <w:lang w:val="sr-Latn-CS"/>
        </w:rPr>
        <w:t xml:space="preserve"> u vazduhu </w:t>
      </w:r>
      <w:r w:rsidR="00230275" w:rsidRPr="00617ABC">
        <w:rPr>
          <w:rFonts w:ascii="Constantia" w:hAnsi="Constantia"/>
          <w:lang w:val="sr-Latn-CS"/>
        </w:rPr>
        <w:t>(maksimalne jednočasovne srednje koncentracije i srednje mjesečne koncentracije)</w:t>
      </w:r>
      <w:r w:rsidR="00421AD5" w:rsidRPr="00617ABC">
        <w:rPr>
          <w:rFonts w:ascii="Constantia" w:hAnsi="Constantia"/>
          <w:lang w:val="sr-Latn-CS"/>
        </w:rPr>
        <w:t xml:space="preserve"> izmjerene tokom 2013</w:t>
      </w:r>
      <w:r w:rsidR="00876C09" w:rsidRPr="00617ABC">
        <w:rPr>
          <w:rFonts w:ascii="Constantia" w:hAnsi="Constantia"/>
          <w:lang w:val="sr-Latn-CS"/>
        </w:rPr>
        <w:t>. godine.</w:t>
      </w:r>
    </w:p>
    <w:p w:rsidR="00876C09" w:rsidRPr="00F84A21" w:rsidRDefault="00961F3D" w:rsidP="00AE2DD4">
      <w:pPr>
        <w:spacing w:after="0"/>
        <w:jc w:val="center"/>
        <w:rPr>
          <w:lang w:val="sr-Latn-CS"/>
        </w:rPr>
      </w:pPr>
      <w:r>
        <w:rPr>
          <w:noProof/>
        </w:rPr>
        <w:drawing>
          <wp:inline distT="0" distB="0" distL="0" distR="0" wp14:anchorId="20EC348E" wp14:editId="20A90128">
            <wp:extent cx="4514850" cy="2533650"/>
            <wp:effectExtent l="0" t="0" r="0" b="0"/>
            <wp:docPr id="15"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876C09" w:rsidRDefault="00876C09" w:rsidP="00876C09">
      <w:pPr>
        <w:pStyle w:val="Grafikon"/>
        <w:ind w:left="144" w:hanging="144"/>
        <w:rPr>
          <w:rFonts w:ascii="Constantia" w:hAnsi="Constantia"/>
          <w:sz w:val="22"/>
          <w:szCs w:val="22"/>
        </w:rPr>
      </w:pPr>
      <w:r w:rsidRPr="000141DE">
        <w:rPr>
          <w:rFonts w:ascii="Constantia" w:hAnsi="Constantia"/>
          <w:sz w:val="22"/>
          <w:szCs w:val="22"/>
        </w:rPr>
        <w:t>Koncentracija NO</w:t>
      </w:r>
      <w:r w:rsidRPr="000141DE">
        <w:rPr>
          <w:rFonts w:ascii="Constantia" w:hAnsi="Constantia"/>
          <w:sz w:val="22"/>
          <w:szCs w:val="22"/>
          <w:vertAlign w:val="subscript"/>
        </w:rPr>
        <w:t>2</w:t>
      </w:r>
      <w:r w:rsidRPr="000141DE">
        <w:rPr>
          <w:rFonts w:ascii="Constantia" w:hAnsi="Constantia"/>
          <w:sz w:val="22"/>
          <w:szCs w:val="22"/>
        </w:rPr>
        <w:t xml:space="preserve"> u vazduhu</w:t>
      </w:r>
      <w:r w:rsidR="00624B6B">
        <w:rPr>
          <w:rFonts w:ascii="Constantia" w:hAnsi="Constantia"/>
          <w:sz w:val="22"/>
          <w:szCs w:val="22"/>
        </w:rPr>
        <w:t xml:space="preserve"> </w:t>
      </w:r>
      <w:r w:rsidR="008652D0">
        <w:rPr>
          <w:rFonts w:ascii="Constantia" w:hAnsi="Constantia"/>
          <w:sz w:val="22"/>
          <w:szCs w:val="22"/>
        </w:rPr>
        <w:t>–</w:t>
      </w:r>
      <w:r w:rsidR="00624B6B">
        <w:rPr>
          <w:rFonts w:ascii="Constantia" w:hAnsi="Constantia"/>
          <w:sz w:val="22"/>
          <w:szCs w:val="22"/>
        </w:rPr>
        <w:t xml:space="preserve"> </w:t>
      </w:r>
      <w:r w:rsidRPr="000141DE">
        <w:rPr>
          <w:rFonts w:ascii="Constantia" w:hAnsi="Constantia"/>
          <w:sz w:val="22"/>
          <w:szCs w:val="22"/>
        </w:rPr>
        <w:t>Nikšić</w:t>
      </w:r>
    </w:p>
    <w:p w:rsidR="008652D0" w:rsidRPr="000141DE" w:rsidRDefault="008652D0" w:rsidP="008652D0">
      <w:pPr>
        <w:pStyle w:val="Grafikon"/>
        <w:numPr>
          <w:ilvl w:val="0"/>
          <w:numId w:val="0"/>
        </w:numPr>
        <w:spacing w:after="0"/>
        <w:ind w:left="144"/>
        <w:jc w:val="both"/>
        <w:rPr>
          <w:rFonts w:ascii="Constantia" w:hAnsi="Constantia"/>
          <w:sz w:val="22"/>
          <w:szCs w:val="22"/>
        </w:rPr>
      </w:pPr>
    </w:p>
    <w:p w:rsidR="00876C09" w:rsidRPr="000141DE" w:rsidRDefault="00876C09" w:rsidP="00876C09">
      <w:pPr>
        <w:tabs>
          <w:tab w:val="left" w:pos="5685"/>
        </w:tabs>
        <w:rPr>
          <w:rFonts w:ascii="Constantia" w:hAnsi="Constantia"/>
        </w:rPr>
      </w:pPr>
      <w:r w:rsidRPr="000141DE">
        <w:rPr>
          <w:rFonts w:ascii="Constantia" w:hAnsi="Constantia"/>
        </w:rPr>
        <w:t xml:space="preserve">Jednočasovne srednje </w:t>
      </w:r>
      <w:r w:rsidR="007916CD" w:rsidRPr="000141DE">
        <w:rPr>
          <w:rFonts w:ascii="Constantia" w:hAnsi="Constantia"/>
        </w:rPr>
        <w:t>koncentracije</w:t>
      </w:r>
      <w:r w:rsidR="00012781">
        <w:rPr>
          <w:rFonts w:ascii="Constantia" w:hAnsi="Constantia"/>
        </w:rPr>
        <w:t xml:space="preserve"> </w:t>
      </w:r>
      <w:r w:rsidR="006E209C" w:rsidRPr="000141DE">
        <w:rPr>
          <w:rFonts w:ascii="Constantia" w:hAnsi="Constantia"/>
        </w:rPr>
        <w:t>azot(IV)oksida (NO</w:t>
      </w:r>
      <w:r w:rsidR="006E209C" w:rsidRPr="000141DE">
        <w:rPr>
          <w:rFonts w:ascii="Constantia" w:hAnsi="Constantia"/>
          <w:vertAlign w:val="subscript"/>
        </w:rPr>
        <w:t>2</w:t>
      </w:r>
      <w:r w:rsidR="006E209C" w:rsidRPr="000141DE">
        <w:rPr>
          <w:rFonts w:ascii="Constantia" w:hAnsi="Constantia"/>
        </w:rPr>
        <w:t xml:space="preserve">) </w:t>
      </w:r>
      <w:r w:rsidRPr="000141DE">
        <w:rPr>
          <w:rFonts w:ascii="Constantia" w:hAnsi="Constantia"/>
        </w:rPr>
        <w:t xml:space="preserve">su bile ispod propisanih </w:t>
      </w:r>
      <w:r w:rsidR="000E5149" w:rsidRPr="000141DE">
        <w:rPr>
          <w:rFonts w:ascii="Constantia" w:hAnsi="Constantia"/>
        </w:rPr>
        <w:t xml:space="preserve">graničnih vrijednosti </w:t>
      </w:r>
      <w:r w:rsidR="00B56C07" w:rsidRPr="000141DE">
        <w:rPr>
          <w:rFonts w:ascii="Constantia" w:hAnsi="Constantia"/>
        </w:rPr>
        <w:t>(200</w:t>
      </w:r>
      <w:r w:rsidR="00012781">
        <w:rPr>
          <w:rFonts w:ascii="Constantia" w:hAnsi="Constantia"/>
        </w:rPr>
        <w:t xml:space="preserve"> </w:t>
      </w:r>
      <w:r w:rsidRPr="000141DE">
        <w:rPr>
          <w:rFonts w:ascii="Constantia" w:hAnsi="Constantia"/>
        </w:rPr>
        <w:t>μg/m</w:t>
      </w:r>
      <w:r w:rsidRPr="000141DE">
        <w:rPr>
          <w:rFonts w:ascii="Constantia" w:hAnsi="Constantia"/>
          <w:vertAlign w:val="superscript"/>
        </w:rPr>
        <w:t>3</w:t>
      </w:r>
      <w:r w:rsidRPr="000141DE">
        <w:rPr>
          <w:rFonts w:ascii="Constantia" w:hAnsi="Constantia"/>
        </w:rPr>
        <w:t>).</w:t>
      </w:r>
      <w:r w:rsidR="007F0F2F">
        <w:rPr>
          <w:rFonts w:ascii="Constantia" w:hAnsi="Constantia"/>
        </w:rPr>
        <w:t xml:space="preserve"> </w:t>
      </w:r>
      <w:r w:rsidR="00012781">
        <w:rPr>
          <w:rFonts w:ascii="Constantia" w:hAnsi="Constantia"/>
        </w:rPr>
        <w:t xml:space="preserve"> </w:t>
      </w:r>
      <w:r w:rsidRPr="000141DE">
        <w:rPr>
          <w:rFonts w:ascii="Constantia" w:hAnsi="Constantia"/>
        </w:rPr>
        <w:t xml:space="preserve">Srednja godišnja </w:t>
      </w:r>
      <w:r w:rsidR="005F7304" w:rsidRPr="000141DE">
        <w:rPr>
          <w:rFonts w:ascii="Constantia" w:hAnsi="Constantia"/>
        </w:rPr>
        <w:t>koncentracija</w:t>
      </w:r>
      <w:r w:rsidR="00012781">
        <w:rPr>
          <w:rFonts w:ascii="Constantia" w:hAnsi="Constantia"/>
        </w:rPr>
        <w:t xml:space="preserve"> </w:t>
      </w:r>
      <w:r w:rsidRPr="000141DE">
        <w:rPr>
          <w:rFonts w:ascii="Constantia" w:hAnsi="Constantia"/>
        </w:rPr>
        <w:t xml:space="preserve">je takođe </w:t>
      </w:r>
      <w:r w:rsidR="000E5149" w:rsidRPr="000141DE">
        <w:rPr>
          <w:rFonts w:ascii="Constantia" w:hAnsi="Constantia"/>
        </w:rPr>
        <w:t xml:space="preserve">bila </w:t>
      </w:r>
      <w:r w:rsidRPr="000141DE">
        <w:rPr>
          <w:rFonts w:ascii="Constantia" w:hAnsi="Constantia"/>
        </w:rPr>
        <w:t>ispod propisane granične vrijednosti</w:t>
      </w:r>
      <w:r w:rsidR="006E209C" w:rsidRPr="000141DE">
        <w:rPr>
          <w:rFonts w:ascii="Constantia" w:hAnsi="Constantia"/>
        </w:rPr>
        <w:t xml:space="preserve"> od 40</w:t>
      </w:r>
      <w:r w:rsidR="00012781">
        <w:rPr>
          <w:rFonts w:ascii="Constantia" w:hAnsi="Constantia"/>
        </w:rPr>
        <w:t xml:space="preserve"> </w:t>
      </w:r>
      <w:r w:rsidR="006E209C" w:rsidRPr="000141DE">
        <w:rPr>
          <w:rFonts w:ascii="Constantia" w:hAnsi="Constantia"/>
        </w:rPr>
        <w:t>μg/m</w:t>
      </w:r>
      <w:r w:rsidR="006E209C" w:rsidRPr="000141DE">
        <w:rPr>
          <w:rFonts w:ascii="Constantia" w:hAnsi="Constantia"/>
          <w:vertAlign w:val="superscript"/>
        </w:rPr>
        <w:t>3</w:t>
      </w:r>
      <w:r w:rsidR="006E209C" w:rsidRPr="000141DE">
        <w:rPr>
          <w:rFonts w:ascii="Constantia" w:hAnsi="Constantia"/>
        </w:rPr>
        <w:t xml:space="preserve"> i iznosila je 15</w:t>
      </w:r>
      <w:r w:rsidR="00421AD5" w:rsidRPr="000141DE">
        <w:rPr>
          <w:rFonts w:ascii="Constantia" w:hAnsi="Constantia"/>
        </w:rPr>
        <w:t>,26</w:t>
      </w:r>
      <w:r w:rsidR="006E209C" w:rsidRPr="000141DE">
        <w:rPr>
          <w:rFonts w:ascii="Constantia" w:hAnsi="Constantia"/>
        </w:rPr>
        <w:t xml:space="preserve"> μg/m</w:t>
      </w:r>
      <w:r w:rsidR="006E209C" w:rsidRPr="000141DE">
        <w:rPr>
          <w:rFonts w:ascii="Constantia" w:hAnsi="Constantia"/>
          <w:vertAlign w:val="superscript"/>
        </w:rPr>
        <w:t>3</w:t>
      </w:r>
      <w:r w:rsidRPr="000141DE">
        <w:rPr>
          <w:rFonts w:ascii="Constantia" w:hAnsi="Constantia"/>
        </w:rPr>
        <w:t xml:space="preserve">. </w:t>
      </w:r>
    </w:p>
    <w:p w:rsidR="004142B5" w:rsidRPr="000141DE" w:rsidRDefault="00AE2DD4" w:rsidP="004142B5">
      <w:pPr>
        <w:rPr>
          <w:rFonts w:ascii="Constantia" w:hAnsi="Constantia"/>
          <w:lang w:val="sr-Latn-CS"/>
        </w:rPr>
      </w:pPr>
      <w:r w:rsidRPr="000141DE">
        <w:rPr>
          <w:rFonts w:ascii="Constantia" w:hAnsi="Constantia"/>
          <w:lang w:val="sr-Latn-CS"/>
        </w:rPr>
        <w:t xml:space="preserve">Na </w:t>
      </w:r>
      <w:r w:rsidRPr="00AA6316">
        <w:rPr>
          <w:rFonts w:ascii="Constantia" w:hAnsi="Constantia"/>
          <w:i/>
          <w:lang w:val="sr-Latn-CS"/>
        </w:rPr>
        <w:t>G</w:t>
      </w:r>
      <w:r w:rsidR="004142B5" w:rsidRPr="00AA6316">
        <w:rPr>
          <w:rFonts w:ascii="Constantia" w:hAnsi="Constantia"/>
          <w:i/>
          <w:lang w:val="sr-Latn-CS"/>
        </w:rPr>
        <w:t>rafikonu 1</w:t>
      </w:r>
      <w:r w:rsidR="0086023B" w:rsidRPr="00AA6316">
        <w:rPr>
          <w:rFonts w:ascii="Constantia" w:hAnsi="Constantia"/>
          <w:i/>
          <w:lang w:val="sr-Latn-CS"/>
        </w:rPr>
        <w:t>1</w:t>
      </w:r>
      <w:r w:rsidRPr="00AA6316">
        <w:rPr>
          <w:rFonts w:ascii="Constantia" w:hAnsi="Constantia"/>
          <w:i/>
          <w:lang w:val="sr-Latn-CS"/>
        </w:rPr>
        <w:t>.</w:t>
      </w:r>
      <w:r w:rsidR="004142B5" w:rsidRPr="000141DE">
        <w:rPr>
          <w:rFonts w:ascii="Constantia" w:hAnsi="Constantia"/>
          <w:lang w:val="sr-Latn-CS"/>
        </w:rPr>
        <w:t xml:space="preserve"> prikazane su koncentracije </w:t>
      </w:r>
      <w:r w:rsidR="00CA437A" w:rsidRPr="000141DE">
        <w:rPr>
          <w:rFonts w:ascii="Constantia" w:hAnsi="Constantia"/>
        </w:rPr>
        <w:t>prizemnog ozona (O</w:t>
      </w:r>
      <w:r w:rsidR="00CA437A" w:rsidRPr="000141DE">
        <w:rPr>
          <w:rFonts w:ascii="Constantia" w:hAnsi="Constantia"/>
          <w:vertAlign w:val="subscript"/>
        </w:rPr>
        <w:t>3</w:t>
      </w:r>
      <w:r w:rsidR="00CA437A" w:rsidRPr="000141DE">
        <w:rPr>
          <w:rFonts w:ascii="Constantia" w:hAnsi="Constantia"/>
        </w:rPr>
        <w:t>)</w:t>
      </w:r>
      <w:r w:rsidR="004142B5" w:rsidRPr="000141DE">
        <w:rPr>
          <w:rFonts w:ascii="Constantia" w:hAnsi="Constantia"/>
          <w:lang w:val="sr-Latn-CS"/>
        </w:rPr>
        <w:t xml:space="preserve"> u vazduhu </w:t>
      </w:r>
      <w:r w:rsidR="00CA437A" w:rsidRPr="000141DE">
        <w:rPr>
          <w:rFonts w:ascii="Constantia" w:hAnsi="Constantia"/>
          <w:lang w:val="sr-Latn-CS"/>
        </w:rPr>
        <w:t>(maksimalne dnevne osmočasovne srednje koncentracije i srednje mjesečne koncentracije)</w:t>
      </w:r>
      <w:r w:rsidR="004142B5" w:rsidRPr="000141DE">
        <w:rPr>
          <w:rFonts w:ascii="Constantia" w:hAnsi="Constantia"/>
          <w:lang w:val="sr-Latn-CS"/>
        </w:rPr>
        <w:t xml:space="preserve"> izmjerene tokom 201</w:t>
      </w:r>
      <w:r w:rsidR="0058459F" w:rsidRPr="000141DE">
        <w:rPr>
          <w:rFonts w:ascii="Constantia" w:hAnsi="Constantia"/>
          <w:lang w:val="sr-Latn-CS"/>
        </w:rPr>
        <w:t>3</w:t>
      </w:r>
      <w:r w:rsidR="004142B5" w:rsidRPr="000141DE">
        <w:rPr>
          <w:rFonts w:ascii="Constantia" w:hAnsi="Constantia"/>
          <w:lang w:val="sr-Latn-CS"/>
        </w:rPr>
        <w:t>. godine.</w:t>
      </w:r>
    </w:p>
    <w:p w:rsidR="004142B5" w:rsidRPr="00F84A21" w:rsidRDefault="007A2944" w:rsidP="00AE2DD4">
      <w:pPr>
        <w:spacing w:after="0"/>
        <w:jc w:val="center"/>
        <w:rPr>
          <w:lang w:val="sr-Latn-CS"/>
        </w:rPr>
      </w:pPr>
      <w:r>
        <w:rPr>
          <w:noProof/>
        </w:rPr>
        <w:lastRenderedPageBreak/>
        <w:drawing>
          <wp:inline distT="0" distB="0" distL="0" distR="0" wp14:anchorId="0E9E1FA5" wp14:editId="6330B4B0">
            <wp:extent cx="4638675" cy="2628900"/>
            <wp:effectExtent l="0" t="0" r="0" b="0"/>
            <wp:docPr id="16"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4142B5" w:rsidRDefault="004142B5" w:rsidP="004142B5">
      <w:pPr>
        <w:pStyle w:val="Grafikon"/>
        <w:ind w:left="144" w:hanging="144"/>
        <w:rPr>
          <w:rFonts w:ascii="Constantia" w:hAnsi="Constantia"/>
          <w:sz w:val="22"/>
          <w:szCs w:val="22"/>
        </w:rPr>
      </w:pPr>
      <w:r w:rsidRPr="00333793">
        <w:rPr>
          <w:rFonts w:ascii="Constantia" w:hAnsi="Constantia"/>
          <w:sz w:val="22"/>
          <w:szCs w:val="22"/>
        </w:rPr>
        <w:t>Koncentracija O</w:t>
      </w:r>
      <w:r w:rsidRPr="00333793">
        <w:rPr>
          <w:rFonts w:ascii="Constantia" w:hAnsi="Constantia"/>
          <w:sz w:val="22"/>
          <w:szCs w:val="22"/>
          <w:vertAlign w:val="subscript"/>
        </w:rPr>
        <w:t>3</w:t>
      </w:r>
      <w:r w:rsidRPr="00333793">
        <w:rPr>
          <w:rFonts w:ascii="Constantia" w:hAnsi="Constantia"/>
          <w:sz w:val="22"/>
          <w:szCs w:val="22"/>
        </w:rPr>
        <w:t xml:space="preserve"> u vazduhu</w:t>
      </w:r>
      <w:r w:rsidR="00624B6B">
        <w:rPr>
          <w:rFonts w:ascii="Constantia" w:hAnsi="Constantia"/>
          <w:sz w:val="22"/>
          <w:szCs w:val="22"/>
        </w:rPr>
        <w:t xml:space="preserve"> </w:t>
      </w:r>
      <w:r w:rsidR="0099501B">
        <w:rPr>
          <w:rFonts w:ascii="Constantia" w:hAnsi="Constantia"/>
          <w:sz w:val="22"/>
          <w:szCs w:val="22"/>
        </w:rPr>
        <w:t>–</w:t>
      </w:r>
      <w:r w:rsidR="00624B6B">
        <w:rPr>
          <w:rFonts w:ascii="Constantia" w:hAnsi="Constantia"/>
          <w:sz w:val="22"/>
          <w:szCs w:val="22"/>
        </w:rPr>
        <w:t xml:space="preserve"> </w:t>
      </w:r>
      <w:r w:rsidRPr="00333793">
        <w:rPr>
          <w:rFonts w:ascii="Constantia" w:hAnsi="Constantia"/>
          <w:sz w:val="22"/>
          <w:szCs w:val="22"/>
        </w:rPr>
        <w:t>Nikšić</w:t>
      </w:r>
    </w:p>
    <w:p w:rsidR="0099501B" w:rsidRPr="00333793" w:rsidRDefault="0099501B" w:rsidP="0099501B">
      <w:pPr>
        <w:pStyle w:val="Grafikon"/>
        <w:numPr>
          <w:ilvl w:val="0"/>
          <w:numId w:val="0"/>
        </w:numPr>
        <w:spacing w:after="0"/>
        <w:ind w:left="144"/>
        <w:jc w:val="both"/>
        <w:rPr>
          <w:rFonts w:ascii="Constantia" w:hAnsi="Constantia"/>
          <w:sz w:val="22"/>
          <w:szCs w:val="22"/>
        </w:rPr>
      </w:pPr>
    </w:p>
    <w:p w:rsidR="00357D27" w:rsidRPr="00333793" w:rsidRDefault="004142B5" w:rsidP="00A502A8">
      <w:pPr>
        <w:rPr>
          <w:rFonts w:ascii="Constantia" w:hAnsi="Constantia"/>
        </w:rPr>
      </w:pPr>
      <w:r w:rsidRPr="00333793">
        <w:rPr>
          <w:rFonts w:ascii="Constantia" w:hAnsi="Constantia"/>
        </w:rPr>
        <w:t xml:space="preserve">Maksimalna dnevna osmočasovna srednja vrijednost </w:t>
      </w:r>
      <w:r w:rsidR="00C05456" w:rsidRPr="00333793">
        <w:rPr>
          <w:rFonts w:ascii="Constantia" w:hAnsi="Constantia"/>
        </w:rPr>
        <w:t>prizemnog ozona (O</w:t>
      </w:r>
      <w:r w:rsidR="00C05456" w:rsidRPr="00333793">
        <w:rPr>
          <w:rFonts w:ascii="Constantia" w:hAnsi="Constantia"/>
          <w:vertAlign w:val="subscript"/>
        </w:rPr>
        <w:t>3</w:t>
      </w:r>
      <w:r w:rsidR="00C05456" w:rsidRPr="00333793">
        <w:rPr>
          <w:rFonts w:ascii="Constantia" w:hAnsi="Constantia"/>
        </w:rPr>
        <w:t>)</w:t>
      </w:r>
      <w:r w:rsidRPr="00333793">
        <w:rPr>
          <w:rFonts w:ascii="Constantia" w:hAnsi="Constantia"/>
        </w:rPr>
        <w:t xml:space="preserve"> je </w:t>
      </w:r>
      <w:r w:rsidR="002F28DB" w:rsidRPr="00333793">
        <w:rPr>
          <w:rFonts w:ascii="Constantia" w:hAnsi="Constantia"/>
        </w:rPr>
        <w:t>30</w:t>
      </w:r>
      <w:r w:rsidRPr="00333793">
        <w:rPr>
          <w:rFonts w:ascii="Constantia" w:hAnsi="Constantia"/>
        </w:rPr>
        <w:t xml:space="preserve"> put</w:t>
      </w:r>
      <w:r w:rsidR="00C51F6A">
        <w:rPr>
          <w:rFonts w:ascii="Constantia" w:hAnsi="Constantia"/>
        </w:rPr>
        <w:t>a</w:t>
      </w:r>
      <w:r w:rsidR="00FC3E95" w:rsidRPr="00333793">
        <w:rPr>
          <w:rFonts w:ascii="Constantia" w:hAnsi="Constantia"/>
        </w:rPr>
        <w:t xml:space="preserve"> </w:t>
      </w:r>
      <w:r w:rsidRPr="00333793">
        <w:rPr>
          <w:rFonts w:ascii="Constantia" w:hAnsi="Constantia"/>
        </w:rPr>
        <w:t>prelazila propisanu ciljnu vrijednost</w:t>
      </w:r>
      <w:r w:rsidR="00C51F6A">
        <w:rPr>
          <w:rFonts w:ascii="Constantia" w:hAnsi="Constantia"/>
        </w:rPr>
        <w:t xml:space="preserve"> </w:t>
      </w:r>
      <w:r w:rsidR="00A502A8" w:rsidRPr="00333793">
        <w:rPr>
          <w:rFonts w:ascii="Constantia" w:hAnsi="Constantia"/>
          <w:lang w:val="sr-Latn-CS"/>
        </w:rPr>
        <w:t xml:space="preserve">(dozvoljeni broj je 25 prekoračenja tokom kalendarske godine). Srednja godišnja </w:t>
      </w:r>
      <w:r w:rsidR="00B56C07" w:rsidRPr="00333793">
        <w:rPr>
          <w:rFonts w:ascii="Constantia" w:hAnsi="Constantia"/>
          <w:lang w:val="sr-Latn-CS"/>
        </w:rPr>
        <w:t xml:space="preserve">koncentracija iznosila je </w:t>
      </w:r>
      <w:r w:rsidR="00EE765B" w:rsidRPr="00333793">
        <w:rPr>
          <w:rFonts w:ascii="Constantia" w:hAnsi="Constantia"/>
          <w:lang w:val="sr-Latn-CS"/>
        </w:rPr>
        <w:t>92,61</w:t>
      </w:r>
      <w:r w:rsidR="00C51F6A">
        <w:rPr>
          <w:rFonts w:ascii="Constantia" w:hAnsi="Constantia"/>
          <w:lang w:val="sr-Latn-CS"/>
        </w:rPr>
        <w:t xml:space="preserve"> </w:t>
      </w:r>
      <w:r w:rsidR="00A502A8" w:rsidRPr="00333793">
        <w:rPr>
          <w:rFonts w:ascii="Constantia" w:hAnsi="Constantia"/>
        </w:rPr>
        <w:t>μg/m</w:t>
      </w:r>
      <w:r w:rsidR="00A502A8" w:rsidRPr="00333793">
        <w:rPr>
          <w:rFonts w:ascii="Constantia" w:hAnsi="Constantia"/>
          <w:vertAlign w:val="superscript"/>
        </w:rPr>
        <w:t>3</w:t>
      </w:r>
      <w:r w:rsidR="00A502A8" w:rsidRPr="00333793">
        <w:rPr>
          <w:rFonts w:ascii="Constantia" w:hAnsi="Constantia"/>
        </w:rPr>
        <w:t>.</w:t>
      </w:r>
      <w:r w:rsidR="0053102C" w:rsidRPr="00333793">
        <w:rPr>
          <w:rFonts w:ascii="Constantia" w:hAnsi="Constantia"/>
          <w:lang w:val="sr-Latn-CS"/>
        </w:rPr>
        <w:t xml:space="preserve"> Tokom oktobra nije bilo mjerenja zbog redovnog godišnjeg servisa i kalibracije mjernog instrumenta.</w:t>
      </w:r>
    </w:p>
    <w:p w:rsidR="00357D27" w:rsidRPr="00333793" w:rsidRDefault="00AE2DD4" w:rsidP="00357D27">
      <w:pPr>
        <w:rPr>
          <w:rFonts w:ascii="Constantia" w:hAnsi="Constantia"/>
          <w:lang w:val="sr-Latn-CS"/>
        </w:rPr>
      </w:pPr>
      <w:r w:rsidRPr="00333793">
        <w:rPr>
          <w:rFonts w:ascii="Constantia" w:hAnsi="Constantia"/>
          <w:lang w:val="sr-Latn-CS"/>
        </w:rPr>
        <w:t xml:space="preserve">Na </w:t>
      </w:r>
      <w:r w:rsidRPr="00333793">
        <w:rPr>
          <w:rFonts w:ascii="Constantia" w:hAnsi="Constantia"/>
          <w:i/>
          <w:lang w:val="sr-Latn-CS"/>
        </w:rPr>
        <w:t>G</w:t>
      </w:r>
      <w:r w:rsidR="00357D27" w:rsidRPr="00333793">
        <w:rPr>
          <w:rFonts w:ascii="Constantia" w:hAnsi="Constantia"/>
          <w:i/>
          <w:lang w:val="sr-Latn-CS"/>
        </w:rPr>
        <w:t>rafikonu 12</w:t>
      </w:r>
      <w:r w:rsidRPr="00333793">
        <w:rPr>
          <w:rFonts w:ascii="Constantia" w:hAnsi="Constantia"/>
          <w:i/>
          <w:lang w:val="sr-Latn-CS"/>
        </w:rPr>
        <w:t>.</w:t>
      </w:r>
      <w:r w:rsidR="00357D27" w:rsidRPr="00333793">
        <w:rPr>
          <w:rFonts w:ascii="Constantia" w:hAnsi="Constantia"/>
          <w:lang w:val="sr-Latn-CS"/>
        </w:rPr>
        <w:t xml:space="preserve"> prikazane su maksimalne osmočasovne srednje i srednje mjesečne koncentracije </w:t>
      </w:r>
      <w:r w:rsidR="00357D27" w:rsidRPr="00333793">
        <w:rPr>
          <w:rFonts w:ascii="Constantia" w:hAnsi="Constantia"/>
        </w:rPr>
        <w:t>ugljen(II)oksida (CO)</w:t>
      </w:r>
      <w:r w:rsidR="00357D27" w:rsidRPr="00333793">
        <w:rPr>
          <w:rFonts w:ascii="Constantia" w:hAnsi="Constantia"/>
          <w:lang w:val="sr-Latn-CS"/>
        </w:rPr>
        <w:t xml:space="preserve"> u vazduhu </w:t>
      </w:r>
      <w:r w:rsidR="008C3438" w:rsidRPr="00333793">
        <w:rPr>
          <w:rFonts w:ascii="Constantia" w:hAnsi="Constantia"/>
          <w:lang w:val="sr-Latn-CS"/>
        </w:rPr>
        <w:t>izmjerene tokom 2013</w:t>
      </w:r>
      <w:r w:rsidR="00357D27" w:rsidRPr="00333793">
        <w:rPr>
          <w:rFonts w:ascii="Constantia" w:hAnsi="Constantia"/>
          <w:lang w:val="sr-Latn-CS"/>
        </w:rPr>
        <w:t>. godine.</w:t>
      </w:r>
    </w:p>
    <w:p w:rsidR="00A502A8" w:rsidRDefault="00357D27" w:rsidP="00AE2DD4">
      <w:pPr>
        <w:spacing w:after="0"/>
        <w:jc w:val="center"/>
        <w:rPr>
          <w:lang w:val="sr-Latn-CS"/>
        </w:rPr>
      </w:pPr>
      <w:r>
        <w:rPr>
          <w:noProof/>
        </w:rPr>
        <w:drawing>
          <wp:inline distT="0" distB="0" distL="0" distR="0" wp14:anchorId="5E90A32B" wp14:editId="6DD0A3A7">
            <wp:extent cx="4667250" cy="2752725"/>
            <wp:effectExtent l="0" t="0" r="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357D27" w:rsidRDefault="00357D27" w:rsidP="00357D27">
      <w:pPr>
        <w:pStyle w:val="Grafikon"/>
        <w:ind w:left="144" w:hanging="144"/>
        <w:rPr>
          <w:rFonts w:ascii="Constantia" w:hAnsi="Constantia"/>
          <w:sz w:val="22"/>
          <w:szCs w:val="22"/>
        </w:rPr>
      </w:pPr>
      <w:r w:rsidRPr="00333793">
        <w:rPr>
          <w:rFonts w:ascii="Constantia" w:hAnsi="Constantia"/>
          <w:sz w:val="22"/>
          <w:szCs w:val="22"/>
        </w:rPr>
        <w:t>Koncentracija CO u vazduhu</w:t>
      </w:r>
      <w:r w:rsidR="00624B6B">
        <w:rPr>
          <w:rFonts w:ascii="Constantia" w:hAnsi="Constantia"/>
          <w:sz w:val="22"/>
          <w:szCs w:val="22"/>
        </w:rPr>
        <w:t xml:space="preserve"> </w:t>
      </w:r>
      <w:r w:rsidR="0099501B">
        <w:rPr>
          <w:rFonts w:ascii="Constantia" w:hAnsi="Constantia"/>
          <w:sz w:val="22"/>
          <w:szCs w:val="22"/>
        </w:rPr>
        <w:t>–</w:t>
      </w:r>
      <w:r w:rsidR="00624B6B">
        <w:rPr>
          <w:rFonts w:ascii="Constantia" w:hAnsi="Constantia"/>
          <w:sz w:val="22"/>
          <w:szCs w:val="22"/>
        </w:rPr>
        <w:t xml:space="preserve"> </w:t>
      </w:r>
      <w:r w:rsidR="0078525F" w:rsidRPr="00333793">
        <w:rPr>
          <w:rFonts w:ascii="Constantia" w:hAnsi="Constantia"/>
          <w:sz w:val="22"/>
          <w:szCs w:val="22"/>
        </w:rPr>
        <w:t>Nikšić</w:t>
      </w:r>
    </w:p>
    <w:p w:rsidR="0099501B" w:rsidRPr="00333793" w:rsidRDefault="0099501B" w:rsidP="0099501B">
      <w:pPr>
        <w:pStyle w:val="Grafikon"/>
        <w:numPr>
          <w:ilvl w:val="0"/>
          <w:numId w:val="0"/>
        </w:numPr>
        <w:spacing w:after="0"/>
        <w:ind w:left="144"/>
        <w:jc w:val="both"/>
        <w:rPr>
          <w:rFonts w:ascii="Constantia" w:hAnsi="Constantia"/>
          <w:sz w:val="22"/>
          <w:szCs w:val="22"/>
        </w:rPr>
      </w:pPr>
    </w:p>
    <w:p w:rsidR="00B80AF3" w:rsidRPr="00333793" w:rsidRDefault="00357D27" w:rsidP="00A502A8">
      <w:pPr>
        <w:rPr>
          <w:rFonts w:ascii="Constantia" w:hAnsi="Constantia"/>
        </w:rPr>
      </w:pPr>
      <w:r w:rsidRPr="00333793">
        <w:rPr>
          <w:rFonts w:ascii="Constantia" w:hAnsi="Constantia"/>
        </w:rPr>
        <w:t>Sve maksimalne osmočasovne srednje vrijednosti ugljen(II)oksida (CO) na ovoj lokaciji su bile ispod propi</w:t>
      </w:r>
      <w:r w:rsidR="00B56C07" w:rsidRPr="00333793">
        <w:rPr>
          <w:rFonts w:ascii="Constantia" w:hAnsi="Constantia"/>
        </w:rPr>
        <w:t>sane granične vrijednosti od 10</w:t>
      </w:r>
      <w:r w:rsidR="00876B21">
        <w:rPr>
          <w:rFonts w:ascii="Constantia" w:hAnsi="Constantia"/>
        </w:rPr>
        <w:t xml:space="preserve"> </w:t>
      </w:r>
      <w:r w:rsidRPr="00333793">
        <w:rPr>
          <w:rFonts w:ascii="Constantia" w:hAnsi="Constantia"/>
        </w:rPr>
        <w:t>mg/m</w:t>
      </w:r>
      <w:r w:rsidRPr="00333793">
        <w:rPr>
          <w:rFonts w:ascii="Constantia" w:hAnsi="Constantia"/>
          <w:vertAlign w:val="superscript"/>
        </w:rPr>
        <w:t>3</w:t>
      </w:r>
      <w:r w:rsidRPr="00333793">
        <w:rPr>
          <w:rFonts w:ascii="Constantia" w:hAnsi="Constantia"/>
        </w:rPr>
        <w:t xml:space="preserve">. Srednja godišnja koncentracija od </w:t>
      </w:r>
      <w:r w:rsidR="003A4385" w:rsidRPr="00333793">
        <w:rPr>
          <w:rFonts w:ascii="Constantia" w:hAnsi="Constantia"/>
        </w:rPr>
        <w:t>1,21</w:t>
      </w:r>
      <w:r w:rsidR="00876B21">
        <w:rPr>
          <w:rFonts w:ascii="Constantia" w:hAnsi="Constantia"/>
        </w:rPr>
        <w:t xml:space="preserve"> </w:t>
      </w:r>
      <w:r w:rsidRPr="00333793">
        <w:rPr>
          <w:rFonts w:ascii="Constantia" w:hAnsi="Constantia"/>
        </w:rPr>
        <w:t>mg/m</w:t>
      </w:r>
      <w:r w:rsidRPr="00333793">
        <w:rPr>
          <w:rFonts w:ascii="Constantia" w:hAnsi="Constantia"/>
          <w:vertAlign w:val="superscript"/>
        </w:rPr>
        <w:t>3</w:t>
      </w:r>
      <w:r w:rsidR="00876B21">
        <w:rPr>
          <w:rFonts w:ascii="Constantia" w:hAnsi="Constantia"/>
        </w:rPr>
        <w:t xml:space="preserve"> </w:t>
      </w:r>
      <w:r w:rsidRPr="00333793">
        <w:rPr>
          <w:rFonts w:ascii="Constantia" w:hAnsi="Constantia"/>
        </w:rPr>
        <w:t>ukazuje da je kvalitet vazduha zadovoljavajući sa aspekta uticaja koncentracije ugljen(II)oksida (CO).</w:t>
      </w:r>
    </w:p>
    <w:p w:rsidR="00725948" w:rsidRPr="00333793" w:rsidRDefault="00AE2DD4" w:rsidP="00A502A8">
      <w:pPr>
        <w:tabs>
          <w:tab w:val="left" w:pos="5685"/>
        </w:tabs>
        <w:rPr>
          <w:rFonts w:ascii="Constantia" w:hAnsi="Constantia"/>
        </w:rPr>
      </w:pPr>
      <w:r w:rsidRPr="00333793">
        <w:rPr>
          <w:rFonts w:ascii="Constantia" w:hAnsi="Constantia"/>
          <w:lang w:val="sr-Latn-CS"/>
        </w:rPr>
        <w:t xml:space="preserve">Na </w:t>
      </w:r>
      <w:r w:rsidRPr="00333793">
        <w:rPr>
          <w:rFonts w:ascii="Constantia" w:hAnsi="Constantia"/>
          <w:i/>
          <w:lang w:val="sr-Latn-CS"/>
        </w:rPr>
        <w:t>G</w:t>
      </w:r>
      <w:r w:rsidR="00725948" w:rsidRPr="00333793">
        <w:rPr>
          <w:rFonts w:ascii="Constantia" w:hAnsi="Constantia"/>
          <w:i/>
          <w:lang w:val="sr-Latn-CS"/>
        </w:rPr>
        <w:t>rafikonu 1</w:t>
      </w:r>
      <w:r w:rsidR="00357D27" w:rsidRPr="00333793">
        <w:rPr>
          <w:rFonts w:ascii="Constantia" w:hAnsi="Constantia"/>
          <w:i/>
          <w:lang w:val="sr-Latn-CS"/>
        </w:rPr>
        <w:t>3</w:t>
      </w:r>
      <w:r w:rsidRPr="00333793">
        <w:rPr>
          <w:rFonts w:ascii="Constantia" w:hAnsi="Constantia"/>
          <w:i/>
          <w:lang w:val="sr-Latn-CS"/>
        </w:rPr>
        <w:t>.</w:t>
      </w:r>
      <w:r w:rsidR="00725948" w:rsidRPr="00333793">
        <w:rPr>
          <w:rFonts w:ascii="Constantia" w:hAnsi="Constantia"/>
          <w:lang w:val="sr-Latn-CS"/>
        </w:rPr>
        <w:t xml:space="preserve"> prikazane su koncentracije PM</w:t>
      </w:r>
      <w:r w:rsidR="00725948" w:rsidRPr="00333793">
        <w:rPr>
          <w:rFonts w:ascii="Constantia" w:hAnsi="Constantia"/>
          <w:vertAlign w:val="subscript"/>
          <w:lang w:val="sr-Latn-CS"/>
        </w:rPr>
        <w:t>10</w:t>
      </w:r>
      <w:r w:rsidR="00286CAF">
        <w:rPr>
          <w:rFonts w:ascii="Constantia" w:hAnsi="Constantia"/>
          <w:vertAlign w:val="subscript"/>
          <w:lang w:val="sr-Latn-CS"/>
        </w:rPr>
        <w:t xml:space="preserve"> </w:t>
      </w:r>
      <w:r w:rsidR="000A5917" w:rsidRPr="00333793">
        <w:rPr>
          <w:rFonts w:ascii="Constantia" w:hAnsi="Constantia"/>
          <w:lang w:val="sr-Latn-CS"/>
        </w:rPr>
        <w:t xml:space="preserve">čestica </w:t>
      </w:r>
      <w:r w:rsidR="00725948" w:rsidRPr="00333793">
        <w:rPr>
          <w:rFonts w:ascii="Constantia" w:hAnsi="Constantia"/>
          <w:lang w:val="sr-Latn-CS"/>
        </w:rPr>
        <w:t xml:space="preserve">u vazduhu </w:t>
      </w:r>
      <w:r w:rsidR="000A5917" w:rsidRPr="00333793">
        <w:rPr>
          <w:rFonts w:ascii="Constantia" w:hAnsi="Constantia"/>
          <w:lang w:val="sr-Latn-CS"/>
        </w:rPr>
        <w:t>(maksimalne dnevne srednje koncentracije i srednje mjesečne koncentracije)</w:t>
      </w:r>
      <w:r w:rsidR="00725948" w:rsidRPr="00333793">
        <w:rPr>
          <w:rFonts w:ascii="Constantia" w:hAnsi="Constantia"/>
          <w:lang w:val="sr-Latn-CS"/>
        </w:rPr>
        <w:t xml:space="preserve"> izmjerene tokom 201</w:t>
      </w:r>
      <w:r w:rsidR="000210FA" w:rsidRPr="00333793">
        <w:rPr>
          <w:rFonts w:ascii="Constantia" w:hAnsi="Constantia"/>
          <w:lang w:val="sr-Latn-CS"/>
        </w:rPr>
        <w:t>3</w:t>
      </w:r>
      <w:r w:rsidR="00725948" w:rsidRPr="00333793">
        <w:rPr>
          <w:rFonts w:ascii="Constantia" w:hAnsi="Constantia"/>
          <w:lang w:val="sr-Latn-CS"/>
        </w:rPr>
        <w:t xml:space="preserve">. </w:t>
      </w:r>
      <w:r w:rsidR="00321B33" w:rsidRPr="00333793">
        <w:rPr>
          <w:rFonts w:ascii="Constantia" w:hAnsi="Constantia"/>
          <w:lang w:val="sr-Latn-CS"/>
        </w:rPr>
        <w:t>g</w:t>
      </w:r>
      <w:r w:rsidR="00725948" w:rsidRPr="00333793">
        <w:rPr>
          <w:rFonts w:ascii="Constantia" w:hAnsi="Constantia"/>
          <w:lang w:val="sr-Latn-CS"/>
        </w:rPr>
        <w:t>odine.</w:t>
      </w:r>
    </w:p>
    <w:p w:rsidR="00725948" w:rsidRPr="00F84A21" w:rsidRDefault="00BC7247" w:rsidP="00AE2DD4">
      <w:pPr>
        <w:spacing w:after="0"/>
        <w:jc w:val="center"/>
        <w:rPr>
          <w:lang w:val="sr-Latn-CS"/>
        </w:rPr>
      </w:pPr>
      <w:r w:rsidRPr="00E41D64">
        <w:rPr>
          <w:noProof/>
        </w:rPr>
        <w:lastRenderedPageBreak/>
        <w:drawing>
          <wp:inline distT="0" distB="0" distL="0" distR="0" wp14:anchorId="7823213F" wp14:editId="76BF5728">
            <wp:extent cx="4943475" cy="2686050"/>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9307F0" w:rsidRDefault="00725948" w:rsidP="00F0745B">
      <w:pPr>
        <w:pStyle w:val="Grafikon"/>
        <w:ind w:left="144" w:hanging="144"/>
        <w:rPr>
          <w:rFonts w:ascii="Constantia" w:hAnsi="Constantia"/>
          <w:sz w:val="22"/>
          <w:szCs w:val="22"/>
        </w:rPr>
      </w:pPr>
      <w:r w:rsidRPr="00333793">
        <w:rPr>
          <w:rFonts w:ascii="Constantia" w:hAnsi="Constantia"/>
          <w:sz w:val="22"/>
          <w:szCs w:val="22"/>
        </w:rPr>
        <w:t>Koncentracija PM</w:t>
      </w:r>
      <w:r w:rsidRPr="00333793">
        <w:rPr>
          <w:rFonts w:ascii="Constantia" w:hAnsi="Constantia"/>
          <w:sz w:val="22"/>
          <w:szCs w:val="22"/>
          <w:vertAlign w:val="subscript"/>
        </w:rPr>
        <w:t>10</w:t>
      </w:r>
      <w:r w:rsidRPr="00333793">
        <w:rPr>
          <w:rFonts w:ascii="Constantia" w:hAnsi="Constantia"/>
          <w:sz w:val="22"/>
          <w:szCs w:val="22"/>
        </w:rPr>
        <w:t xml:space="preserve"> u vazduhu</w:t>
      </w:r>
      <w:r w:rsidR="00624B6B">
        <w:rPr>
          <w:rFonts w:ascii="Constantia" w:hAnsi="Constantia"/>
          <w:sz w:val="22"/>
          <w:szCs w:val="22"/>
        </w:rPr>
        <w:t xml:space="preserve"> </w:t>
      </w:r>
      <w:r w:rsidR="0099501B">
        <w:rPr>
          <w:rFonts w:ascii="Constantia" w:hAnsi="Constantia"/>
          <w:sz w:val="22"/>
          <w:szCs w:val="22"/>
        </w:rPr>
        <w:t>–</w:t>
      </w:r>
      <w:r w:rsidR="00624B6B">
        <w:rPr>
          <w:rFonts w:ascii="Constantia" w:hAnsi="Constantia"/>
          <w:sz w:val="22"/>
          <w:szCs w:val="22"/>
        </w:rPr>
        <w:t xml:space="preserve"> </w:t>
      </w:r>
      <w:r w:rsidRPr="00333793">
        <w:rPr>
          <w:rFonts w:ascii="Constantia" w:hAnsi="Constantia"/>
          <w:sz w:val="22"/>
          <w:szCs w:val="22"/>
        </w:rPr>
        <w:t>Nikšić</w:t>
      </w:r>
    </w:p>
    <w:p w:rsidR="0099501B" w:rsidRPr="00333793" w:rsidRDefault="0099501B" w:rsidP="0099501B">
      <w:pPr>
        <w:pStyle w:val="Grafikon"/>
        <w:numPr>
          <w:ilvl w:val="0"/>
          <w:numId w:val="0"/>
        </w:numPr>
        <w:spacing w:after="0"/>
        <w:ind w:left="144"/>
        <w:jc w:val="both"/>
        <w:rPr>
          <w:rFonts w:ascii="Constantia" w:hAnsi="Constantia"/>
          <w:sz w:val="22"/>
          <w:szCs w:val="22"/>
        </w:rPr>
      </w:pPr>
    </w:p>
    <w:p w:rsidR="00661A54" w:rsidRPr="00333793" w:rsidRDefault="009307F0" w:rsidP="00725948">
      <w:pPr>
        <w:tabs>
          <w:tab w:val="left" w:pos="5685"/>
        </w:tabs>
        <w:rPr>
          <w:rFonts w:ascii="Constantia" w:hAnsi="Constantia"/>
        </w:rPr>
      </w:pPr>
      <w:r w:rsidRPr="00333793">
        <w:rPr>
          <w:rFonts w:ascii="Constantia" w:hAnsi="Constantia"/>
        </w:rPr>
        <w:t>Srednje dnevne vrijednosti PM</w:t>
      </w:r>
      <w:r w:rsidRPr="00333793">
        <w:rPr>
          <w:rFonts w:ascii="Constantia" w:hAnsi="Constantia"/>
          <w:vertAlign w:val="subscript"/>
        </w:rPr>
        <w:t>10</w:t>
      </w:r>
      <w:r w:rsidRPr="00333793">
        <w:rPr>
          <w:rFonts w:ascii="Constantia" w:hAnsi="Constantia"/>
        </w:rPr>
        <w:t xml:space="preserve"> čestica su 1</w:t>
      </w:r>
      <w:r w:rsidR="009A7465" w:rsidRPr="00333793">
        <w:rPr>
          <w:rFonts w:ascii="Constantia" w:hAnsi="Constantia"/>
        </w:rPr>
        <w:t>0</w:t>
      </w:r>
      <w:r w:rsidR="00F269E8" w:rsidRPr="00333793">
        <w:rPr>
          <w:rFonts w:ascii="Constantia" w:hAnsi="Constantia"/>
        </w:rPr>
        <w:t>4</w:t>
      </w:r>
      <w:r w:rsidRPr="00333793">
        <w:rPr>
          <w:rFonts w:ascii="Constantia" w:hAnsi="Constantia"/>
        </w:rPr>
        <w:t xml:space="preserve"> puta (</w:t>
      </w:r>
      <w:r w:rsidR="00F269E8" w:rsidRPr="00333793">
        <w:rPr>
          <w:rFonts w:ascii="Constantia" w:hAnsi="Constantia"/>
        </w:rPr>
        <w:t>336</w:t>
      </w:r>
      <w:r w:rsidRPr="00333793">
        <w:rPr>
          <w:rFonts w:ascii="Constantia" w:hAnsi="Constantia"/>
        </w:rPr>
        <w:t xml:space="preserve"> dana validnih mjerenja) prelazile propisanu graničnu vrijednost (50</w:t>
      </w:r>
      <w:r w:rsidR="006D3DC7">
        <w:rPr>
          <w:rFonts w:ascii="Constantia" w:hAnsi="Constantia"/>
        </w:rPr>
        <w:t xml:space="preserve"> </w:t>
      </w:r>
      <w:r w:rsidRPr="00333793">
        <w:rPr>
          <w:rFonts w:ascii="Constantia" w:hAnsi="Constantia"/>
        </w:rPr>
        <w:t>µg/m</w:t>
      </w:r>
      <w:r w:rsidRPr="00333793">
        <w:rPr>
          <w:rFonts w:ascii="Constantia" w:hAnsi="Constantia"/>
          <w:vertAlign w:val="superscript"/>
        </w:rPr>
        <w:t>3</w:t>
      </w:r>
      <w:r w:rsidRPr="00333793">
        <w:rPr>
          <w:rFonts w:ascii="Constantia" w:hAnsi="Constantia"/>
        </w:rPr>
        <w:t xml:space="preserve">), odnosno </w:t>
      </w:r>
      <w:r w:rsidR="00F269E8" w:rsidRPr="00333793">
        <w:rPr>
          <w:rFonts w:ascii="Constantia" w:hAnsi="Constantia"/>
        </w:rPr>
        <w:t>42</w:t>
      </w:r>
      <w:r w:rsidRPr="00333793">
        <w:rPr>
          <w:rFonts w:ascii="Constantia" w:hAnsi="Constantia"/>
        </w:rPr>
        <w:t xml:space="preserve"> puta granicu toleranci</w:t>
      </w:r>
      <w:r w:rsidR="00AE5784" w:rsidRPr="00333793">
        <w:rPr>
          <w:rFonts w:ascii="Constantia" w:hAnsi="Constantia"/>
        </w:rPr>
        <w:t>je za dnevnu srednju vrijednost</w:t>
      </w:r>
      <w:r w:rsidR="009A7465" w:rsidRPr="00333793">
        <w:rPr>
          <w:rFonts w:ascii="Constantia" w:hAnsi="Constantia"/>
        </w:rPr>
        <w:t xml:space="preserve">. </w:t>
      </w:r>
      <w:r w:rsidRPr="00333793">
        <w:rPr>
          <w:rFonts w:ascii="Constantia" w:hAnsi="Constantia"/>
        </w:rPr>
        <w:t>Dozvoljeni broj prekoračenja je 35. Srednja godišnja koncentracija PM</w:t>
      </w:r>
      <w:r w:rsidRPr="00333793">
        <w:rPr>
          <w:rFonts w:ascii="Constantia" w:hAnsi="Constantia"/>
          <w:vertAlign w:val="subscript"/>
        </w:rPr>
        <w:t>10</w:t>
      </w:r>
      <w:r w:rsidRPr="00333793">
        <w:rPr>
          <w:rFonts w:ascii="Constantia" w:hAnsi="Constantia"/>
        </w:rPr>
        <w:t xml:space="preserve"> čestica iznosila je </w:t>
      </w:r>
      <w:r w:rsidR="00F269E8" w:rsidRPr="00333793">
        <w:rPr>
          <w:rFonts w:ascii="Constantia" w:hAnsi="Constantia"/>
        </w:rPr>
        <w:t>45,72</w:t>
      </w:r>
      <w:r w:rsidR="006D3DC7">
        <w:rPr>
          <w:rFonts w:ascii="Constantia" w:hAnsi="Constantia"/>
        </w:rPr>
        <w:t xml:space="preserve"> </w:t>
      </w:r>
      <w:r w:rsidRPr="00333793">
        <w:rPr>
          <w:rFonts w:ascii="Constantia" w:hAnsi="Constantia"/>
        </w:rPr>
        <w:t>µg/m</w:t>
      </w:r>
      <w:r w:rsidRPr="00333793">
        <w:rPr>
          <w:rFonts w:ascii="Constantia" w:hAnsi="Constantia"/>
          <w:vertAlign w:val="superscript"/>
        </w:rPr>
        <w:t>3</w:t>
      </w:r>
      <w:r w:rsidRPr="00333793">
        <w:rPr>
          <w:rFonts w:ascii="Constantia" w:hAnsi="Constantia"/>
        </w:rPr>
        <w:t>, što je iznad propisane granične vrijednosti</w:t>
      </w:r>
      <w:r w:rsidR="00C327CD" w:rsidRPr="00333793">
        <w:rPr>
          <w:rFonts w:ascii="Constantia" w:hAnsi="Constantia"/>
        </w:rPr>
        <w:t xml:space="preserve"> (40</w:t>
      </w:r>
      <w:r w:rsidR="006D3DC7">
        <w:rPr>
          <w:rFonts w:ascii="Constantia" w:hAnsi="Constantia"/>
        </w:rPr>
        <w:t xml:space="preserve"> </w:t>
      </w:r>
      <w:r w:rsidR="00C327CD" w:rsidRPr="00333793">
        <w:rPr>
          <w:rFonts w:ascii="Constantia" w:hAnsi="Constantia"/>
        </w:rPr>
        <w:t>µg/m</w:t>
      </w:r>
      <w:r w:rsidR="00C327CD" w:rsidRPr="00333793">
        <w:rPr>
          <w:rFonts w:ascii="Constantia" w:hAnsi="Constantia"/>
          <w:vertAlign w:val="superscript"/>
        </w:rPr>
        <w:t>3</w:t>
      </w:r>
      <w:r w:rsidR="00C327CD" w:rsidRPr="00333793">
        <w:rPr>
          <w:rFonts w:ascii="Constantia" w:hAnsi="Constantia"/>
        </w:rPr>
        <w:t>)</w:t>
      </w:r>
      <w:r w:rsidR="00F269E8" w:rsidRPr="00333793">
        <w:rPr>
          <w:rFonts w:ascii="Constantia" w:hAnsi="Constantia"/>
        </w:rPr>
        <w:t>,</w:t>
      </w:r>
      <w:r w:rsidR="006D3DC7">
        <w:rPr>
          <w:rFonts w:ascii="Constantia" w:hAnsi="Constantia"/>
        </w:rPr>
        <w:t xml:space="preserve"> </w:t>
      </w:r>
      <w:r w:rsidR="00F269E8" w:rsidRPr="00333793">
        <w:rPr>
          <w:rFonts w:ascii="Constantia" w:hAnsi="Constantia"/>
        </w:rPr>
        <w:t xml:space="preserve">ali ispod </w:t>
      </w:r>
      <w:r w:rsidR="00A86475" w:rsidRPr="00333793">
        <w:rPr>
          <w:rFonts w:ascii="Constantia" w:hAnsi="Constantia"/>
        </w:rPr>
        <w:t xml:space="preserve">granice </w:t>
      </w:r>
      <w:r w:rsidR="00F269E8" w:rsidRPr="00333793">
        <w:rPr>
          <w:rFonts w:ascii="Constantia" w:hAnsi="Constantia"/>
        </w:rPr>
        <w:t>tolerancije za 2013. godinu (50</w:t>
      </w:r>
      <w:r w:rsidR="006D3DC7">
        <w:rPr>
          <w:rFonts w:ascii="Constantia" w:hAnsi="Constantia"/>
        </w:rPr>
        <w:t xml:space="preserve"> </w:t>
      </w:r>
      <w:r w:rsidR="00A86475" w:rsidRPr="00333793">
        <w:rPr>
          <w:rFonts w:ascii="Constantia" w:hAnsi="Constantia"/>
        </w:rPr>
        <w:t>µg/m</w:t>
      </w:r>
      <w:r w:rsidR="00A86475" w:rsidRPr="00333793">
        <w:rPr>
          <w:rFonts w:ascii="Constantia" w:hAnsi="Constantia"/>
          <w:vertAlign w:val="superscript"/>
        </w:rPr>
        <w:t>3</w:t>
      </w:r>
      <w:r w:rsidR="00A86475" w:rsidRPr="00333793">
        <w:rPr>
          <w:rFonts w:ascii="Constantia" w:hAnsi="Constantia"/>
        </w:rPr>
        <w:t>)</w:t>
      </w:r>
      <w:r w:rsidRPr="00333793">
        <w:rPr>
          <w:rFonts w:ascii="Constantia" w:hAnsi="Constantia"/>
        </w:rPr>
        <w:t xml:space="preserve">. </w:t>
      </w:r>
      <w:r w:rsidR="00725948" w:rsidRPr="00333793">
        <w:rPr>
          <w:rFonts w:ascii="Constantia" w:hAnsi="Constantia"/>
        </w:rPr>
        <w:t xml:space="preserve">Na osnovu ovih rezultata može se konstatovati da je opterećenje ambijentalnog vazduha </w:t>
      </w:r>
      <w:r w:rsidR="00192F3C" w:rsidRPr="00333793">
        <w:rPr>
          <w:rFonts w:ascii="Constantia" w:hAnsi="Constantia"/>
        </w:rPr>
        <w:t>PM</w:t>
      </w:r>
      <w:r w:rsidR="00192F3C" w:rsidRPr="00333793">
        <w:rPr>
          <w:rFonts w:ascii="Constantia" w:hAnsi="Constantia"/>
          <w:vertAlign w:val="subscript"/>
        </w:rPr>
        <w:t>10</w:t>
      </w:r>
      <w:r w:rsidR="00192F3C" w:rsidRPr="00333793">
        <w:rPr>
          <w:rFonts w:ascii="Constantia" w:hAnsi="Constantia"/>
        </w:rPr>
        <w:t xml:space="preserve"> česticama </w:t>
      </w:r>
      <w:r w:rsidR="00725948" w:rsidRPr="00333793">
        <w:rPr>
          <w:rFonts w:ascii="Constantia" w:hAnsi="Constantia"/>
        </w:rPr>
        <w:t>na ovoj lokaciji</w:t>
      </w:r>
      <w:r w:rsidR="000E5149" w:rsidRPr="00333793">
        <w:rPr>
          <w:rFonts w:ascii="Constantia" w:hAnsi="Constantia"/>
        </w:rPr>
        <w:t xml:space="preserve"> veliko,</w:t>
      </w:r>
      <w:r w:rsidR="006D3DC7">
        <w:rPr>
          <w:rFonts w:ascii="Constantia" w:hAnsi="Constantia"/>
        </w:rPr>
        <w:t xml:space="preserve"> </w:t>
      </w:r>
      <w:r w:rsidR="008D4426" w:rsidRPr="00333793">
        <w:rPr>
          <w:rFonts w:ascii="Constantia" w:hAnsi="Constantia"/>
        </w:rPr>
        <w:t>s velikim brojem prekoračenja srednje dnevne koncentracije</w:t>
      </w:r>
      <w:r w:rsidR="00725948" w:rsidRPr="00333793">
        <w:rPr>
          <w:rFonts w:ascii="Constantia" w:hAnsi="Constantia"/>
        </w:rPr>
        <w:t>.</w:t>
      </w:r>
    </w:p>
    <w:p w:rsidR="005F03FF" w:rsidRPr="00333793" w:rsidRDefault="005F03FF" w:rsidP="005F03FF">
      <w:pPr>
        <w:tabs>
          <w:tab w:val="left" w:pos="5685"/>
        </w:tabs>
        <w:rPr>
          <w:rFonts w:ascii="Constantia" w:hAnsi="Constantia"/>
        </w:rPr>
      </w:pPr>
      <w:r w:rsidRPr="00333793">
        <w:rPr>
          <w:rFonts w:ascii="Constantia" w:hAnsi="Constantia"/>
        </w:rPr>
        <w:t>PM</w:t>
      </w:r>
      <w:r w:rsidRPr="00333793">
        <w:rPr>
          <w:rFonts w:ascii="Constantia" w:hAnsi="Constantia"/>
          <w:vertAlign w:val="subscript"/>
        </w:rPr>
        <w:t xml:space="preserve">10 </w:t>
      </w:r>
      <w:r w:rsidRPr="00333793">
        <w:rPr>
          <w:rFonts w:ascii="Constantia" w:hAnsi="Constantia"/>
        </w:rPr>
        <w:t>čestice su analizirane na sadržaj teških metala za koje su propisani standardi kvaliteta vazduha na godišnjem nivou.</w:t>
      </w:r>
      <w:r w:rsidR="005E7E1C">
        <w:rPr>
          <w:rFonts w:ascii="Constantia" w:hAnsi="Constantia"/>
        </w:rPr>
        <w:t xml:space="preserve"> </w:t>
      </w:r>
      <w:r w:rsidRPr="00333793">
        <w:rPr>
          <w:rFonts w:ascii="Constantia" w:hAnsi="Constantia"/>
        </w:rPr>
        <w:t>Sadržaj olova, računat kao srednj</w:t>
      </w:r>
      <w:r w:rsidR="00333793">
        <w:rPr>
          <w:rFonts w:ascii="Constantia" w:hAnsi="Constantia"/>
        </w:rPr>
        <w:t>a vrijednost nedj</w:t>
      </w:r>
      <w:r w:rsidR="00850034" w:rsidRPr="00333793">
        <w:rPr>
          <w:rFonts w:ascii="Constantia" w:hAnsi="Constantia"/>
        </w:rPr>
        <w:t>eljnih uzoraka</w:t>
      </w:r>
      <w:r w:rsidRPr="00333793">
        <w:rPr>
          <w:rFonts w:ascii="Constantia" w:hAnsi="Constantia"/>
        </w:rPr>
        <w:t xml:space="preserve"> je bio ispod</w:t>
      </w:r>
      <w:r w:rsidR="00850034" w:rsidRPr="00333793">
        <w:rPr>
          <w:rFonts w:ascii="Constantia" w:hAnsi="Constantia"/>
        </w:rPr>
        <w:t xml:space="preserve"> propisane granične vrijednosti</w:t>
      </w:r>
      <w:r w:rsidRPr="00333793">
        <w:rPr>
          <w:rFonts w:ascii="Constantia" w:hAnsi="Constantia"/>
        </w:rPr>
        <w:t>.</w:t>
      </w:r>
      <w:r w:rsidR="005E7E1C">
        <w:rPr>
          <w:rFonts w:ascii="Constantia" w:hAnsi="Constantia"/>
        </w:rPr>
        <w:t xml:space="preserve"> </w:t>
      </w:r>
      <w:r w:rsidRPr="00333793">
        <w:rPr>
          <w:rFonts w:ascii="Constantia" w:hAnsi="Constantia"/>
        </w:rPr>
        <w:t>Na isti način vršene su analize uzoraka filtera na sadržaj arsena, kadmijuma, nikla i žive.</w:t>
      </w:r>
      <w:r w:rsidR="005E7E1C">
        <w:rPr>
          <w:rFonts w:ascii="Constantia" w:hAnsi="Constantia"/>
        </w:rPr>
        <w:t xml:space="preserve"> </w:t>
      </w:r>
      <w:r w:rsidRPr="00333793">
        <w:rPr>
          <w:rFonts w:ascii="Constantia" w:hAnsi="Constantia"/>
        </w:rPr>
        <w:t>Rezultati analize pokazuju da je sadržaj kadmijuma, nikla i arsena bio ispod ciljne vrijednosti propisane s ciljem zaštite zdravlja ljudi i rokom postizanja do 2015</w:t>
      </w:r>
      <w:r w:rsidR="008B462D" w:rsidRPr="00333793">
        <w:rPr>
          <w:rFonts w:ascii="Constantia" w:hAnsi="Constantia"/>
        </w:rPr>
        <w:t>.</w:t>
      </w:r>
      <w:r w:rsidR="005E7E1C">
        <w:rPr>
          <w:rFonts w:ascii="Constantia" w:hAnsi="Constantia"/>
        </w:rPr>
        <w:t xml:space="preserve"> </w:t>
      </w:r>
      <w:r w:rsidRPr="00333793">
        <w:rPr>
          <w:rFonts w:ascii="Constantia" w:hAnsi="Constantia"/>
        </w:rPr>
        <w:t>godine.</w:t>
      </w:r>
    </w:p>
    <w:p w:rsidR="00136DC5" w:rsidRPr="00333793" w:rsidRDefault="00C00FBF" w:rsidP="00136DC5">
      <w:pPr>
        <w:tabs>
          <w:tab w:val="left" w:pos="5685"/>
        </w:tabs>
        <w:rPr>
          <w:rFonts w:ascii="Constantia" w:hAnsi="Constantia"/>
        </w:rPr>
      </w:pPr>
      <w:r w:rsidRPr="00333793">
        <w:rPr>
          <w:rFonts w:ascii="Constantia" w:hAnsi="Constantia"/>
        </w:rPr>
        <w:t>Srednja godišnja vrijednost s</w:t>
      </w:r>
      <w:r w:rsidR="005F03FF" w:rsidRPr="00333793">
        <w:rPr>
          <w:rFonts w:ascii="Constantia" w:hAnsi="Constantia"/>
        </w:rPr>
        <w:t>adržaj</w:t>
      </w:r>
      <w:r w:rsidRPr="00333793">
        <w:rPr>
          <w:rFonts w:ascii="Constantia" w:hAnsi="Constantia"/>
        </w:rPr>
        <w:t>a</w:t>
      </w:r>
      <w:r w:rsidR="005E7E1C">
        <w:rPr>
          <w:rFonts w:ascii="Constantia" w:hAnsi="Constantia"/>
        </w:rPr>
        <w:t xml:space="preserve"> </w:t>
      </w:r>
      <w:r w:rsidR="00333793">
        <w:rPr>
          <w:rFonts w:ascii="Constantia" w:hAnsi="Constantia"/>
        </w:rPr>
        <w:t>benzo</w:t>
      </w:r>
      <w:r w:rsidR="005F03FF" w:rsidRPr="00333793">
        <w:rPr>
          <w:rFonts w:ascii="Constantia" w:hAnsi="Constantia"/>
        </w:rPr>
        <w:t xml:space="preserve">(a)pirena prelazila </w:t>
      </w:r>
      <w:r w:rsidRPr="00333793">
        <w:rPr>
          <w:rFonts w:ascii="Constantia" w:hAnsi="Constantia"/>
        </w:rPr>
        <w:t xml:space="preserve">je </w:t>
      </w:r>
      <w:r w:rsidR="005F03FF" w:rsidRPr="00333793">
        <w:rPr>
          <w:rFonts w:ascii="Constantia" w:hAnsi="Constantia"/>
        </w:rPr>
        <w:t>propisanu ciljnu vrijednost</w:t>
      </w:r>
      <w:r w:rsidR="00363B34" w:rsidRPr="00333793">
        <w:rPr>
          <w:rFonts w:ascii="Constantia" w:hAnsi="Constantia"/>
        </w:rPr>
        <w:t xml:space="preserve"> od 1</w:t>
      </w:r>
      <w:r w:rsidR="005E7E1C">
        <w:rPr>
          <w:rFonts w:ascii="Constantia" w:hAnsi="Constantia"/>
        </w:rPr>
        <w:t xml:space="preserve"> </w:t>
      </w:r>
      <w:r w:rsidR="00363B34" w:rsidRPr="00333793">
        <w:rPr>
          <w:rFonts w:ascii="Constantia" w:hAnsi="Constantia"/>
        </w:rPr>
        <w:t>ng/m</w:t>
      </w:r>
      <w:r w:rsidR="00363B34" w:rsidRPr="00333793">
        <w:rPr>
          <w:rFonts w:ascii="Constantia" w:hAnsi="Constantia"/>
          <w:vertAlign w:val="superscript"/>
        </w:rPr>
        <w:t>3</w:t>
      </w:r>
      <w:r w:rsidR="00363B34" w:rsidRPr="00333793">
        <w:rPr>
          <w:rFonts w:ascii="Constantia" w:hAnsi="Constantia"/>
        </w:rPr>
        <w:t xml:space="preserve"> i iznosila je </w:t>
      </w:r>
      <w:r w:rsidR="00275073" w:rsidRPr="00333793">
        <w:rPr>
          <w:rFonts w:ascii="Constantia" w:hAnsi="Constantia"/>
        </w:rPr>
        <w:t>4,1</w:t>
      </w:r>
      <w:r w:rsidR="005E7E1C">
        <w:rPr>
          <w:rFonts w:ascii="Constantia" w:hAnsi="Constantia"/>
        </w:rPr>
        <w:t xml:space="preserve"> </w:t>
      </w:r>
      <w:r w:rsidR="00381D63" w:rsidRPr="00333793">
        <w:rPr>
          <w:rFonts w:ascii="Constantia" w:hAnsi="Constantia"/>
        </w:rPr>
        <w:t>ng/m</w:t>
      </w:r>
      <w:r w:rsidR="00381D63" w:rsidRPr="00333793">
        <w:rPr>
          <w:rFonts w:ascii="Constantia" w:hAnsi="Constantia"/>
          <w:vertAlign w:val="superscript"/>
        </w:rPr>
        <w:t>3</w:t>
      </w:r>
      <w:r w:rsidR="005F03FF" w:rsidRPr="00333793">
        <w:rPr>
          <w:rFonts w:ascii="Constantia" w:hAnsi="Constantia"/>
        </w:rPr>
        <w:t>.</w:t>
      </w:r>
    </w:p>
    <w:p w:rsidR="00136DC5" w:rsidRPr="00333793" w:rsidRDefault="00136DC5" w:rsidP="00136DC5">
      <w:pPr>
        <w:tabs>
          <w:tab w:val="left" w:pos="5685"/>
        </w:tabs>
        <w:rPr>
          <w:rFonts w:ascii="Constantia" w:hAnsi="Constantia"/>
        </w:rPr>
      </w:pPr>
      <w:r w:rsidRPr="00333793">
        <w:rPr>
          <w:rFonts w:ascii="Constantia" w:hAnsi="Constantia"/>
        </w:rPr>
        <w:t>Validnih mjerenja PM</w:t>
      </w:r>
      <w:r w:rsidRPr="00333793">
        <w:rPr>
          <w:rFonts w:ascii="Constantia" w:hAnsi="Constantia"/>
          <w:vertAlign w:val="subscript"/>
        </w:rPr>
        <w:t>2.5</w:t>
      </w:r>
      <w:r w:rsidRPr="00333793">
        <w:rPr>
          <w:rFonts w:ascii="Constantia" w:hAnsi="Constantia"/>
        </w:rPr>
        <w:t xml:space="preserve"> čestica je bilo </w:t>
      </w:r>
      <w:r w:rsidR="00BF31C1" w:rsidRPr="00333793">
        <w:rPr>
          <w:rFonts w:ascii="Constantia" w:hAnsi="Constantia"/>
        </w:rPr>
        <w:t>325</w:t>
      </w:r>
      <w:r w:rsidR="005E7E1C">
        <w:rPr>
          <w:rFonts w:ascii="Constantia" w:hAnsi="Constantia"/>
        </w:rPr>
        <w:t xml:space="preserve"> </w:t>
      </w:r>
      <w:r w:rsidRPr="00333793">
        <w:rPr>
          <w:rFonts w:ascii="Constantia" w:hAnsi="Constantia"/>
        </w:rPr>
        <w:t xml:space="preserve">dana. Srednja godišnja </w:t>
      </w:r>
      <w:r w:rsidR="00BF31C1" w:rsidRPr="00333793">
        <w:rPr>
          <w:rFonts w:ascii="Constantia" w:hAnsi="Constantia"/>
        </w:rPr>
        <w:t>koncentracija iznosila je 26,21</w:t>
      </w:r>
      <w:r w:rsidR="005E7E1C">
        <w:rPr>
          <w:rFonts w:ascii="Constantia" w:hAnsi="Constantia"/>
        </w:rPr>
        <w:t xml:space="preserve"> </w:t>
      </w:r>
      <w:r w:rsidRPr="00333793">
        <w:rPr>
          <w:rFonts w:ascii="Constantia" w:hAnsi="Constantia"/>
        </w:rPr>
        <w:t>μg/m</w:t>
      </w:r>
      <w:r w:rsidRPr="00333793">
        <w:rPr>
          <w:rFonts w:ascii="Constantia" w:hAnsi="Constantia"/>
          <w:vertAlign w:val="superscript"/>
        </w:rPr>
        <w:t>3</w:t>
      </w:r>
      <w:r w:rsidRPr="00333793">
        <w:rPr>
          <w:rFonts w:ascii="Constantia" w:hAnsi="Constantia"/>
        </w:rPr>
        <w:t>, što je iznad gran</w:t>
      </w:r>
      <w:r w:rsidR="00874B6A" w:rsidRPr="00333793">
        <w:rPr>
          <w:rFonts w:ascii="Constantia" w:hAnsi="Constantia"/>
        </w:rPr>
        <w:t>ične godišnje vrijednosti od 25</w:t>
      </w:r>
      <w:r w:rsidR="005E7E1C">
        <w:rPr>
          <w:rFonts w:ascii="Constantia" w:hAnsi="Constantia"/>
        </w:rPr>
        <w:t xml:space="preserve"> </w:t>
      </w:r>
      <w:r w:rsidRPr="00333793">
        <w:rPr>
          <w:rFonts w:ascii="Constantia" w:hAnsi="Constantia"/>
        </w:rPr>
        <w:t>μg/m</w:t>
      </w:r>
      <w:r w:rsidRPr="00333793">
        <w:rPr>
          <w:rFonts w:ascii="Constantia" w:hAnsi="Constantia"/>
          <w:vertAlign w:val="superscript"/>
        </w:rPr>
        <w:t>3</w:t>
      </w:r>
      <w:r w:rsidR="00BF31C1" w:rsidRPr="00333793">
        <w:rPr>
          <w:rFonts w:ascii="Constantia" w:hAnsi="Constantia"/>
        </w:rPr>
        <w:t>, ali</w:t>
      </w:r>
      <w:r w:rsidR="005E7E1C">
        <w:rPr>
          <w:rFonts w:ascii="Constantia" w:hAnsi="Constantia"/>
        </w:rPr>
        <w:t xml:space="preserve"> </w:t>
      </w:r>
      <w:r w:rsidR="00BF31C1" w:rsidRPr="00333793">
        <w:rPr>
          <w:rFonts w:ascii="Constantia" w:hAnsi="Constantia"/>
        </w:rPr>
        <w:t xml:space="preserve">ispod </w:t>
      </w:r>
      <w:r w:rsidRPr="00333793">
        <w:rPr>
          <w:rFonts w:ascii="Constantia" w:hAnsi="Constantia"/>
        </w:rPr>
        <w:t xml:space="preserve">granice </w:t>
      </w:r>
      <w:r w:rsidR="00BF31C1" w:rsidRPr="00333793">
        <w:rPr>
          <w:rFonts w:ascii="Constantia" w:hAnsi="Constantia"/>
        </w:rPr>
        <w:t>tolerancije za 2013. godinu (28</w:t>
      </w:r>
      <w:r w:rsidR="005E7E1C">
        <w:rPr>
          <w:rFonts w:ascii="Constantia" w:hAnsi="Constantia"/>
        </w:rPr>
        <w:t xml:space="preserve"> </w:t>
      </w:r>
      <w:r w:rsidRPr="00333793">
        <w:rPr>
          <w:rFonts w:ascii="Constantia" w:hAnsi="Constantia"/>
        </w:rPr>
        <w:t>μg/m</w:t>
      </w:r>
      <w:r w:rsidRPr="00333793">
        <w:rPr>
          <w:rFonts w:ascii="Constantia" w:hAnsi="Constantia"/>
          <w:vertAlign w:val="superscript"/>
        </w:rPr>
        <w:t>3</w:t>
      </w:r>
      <w:r w:rsidRPr="00333793">
        <w:rPr>
          <w:rFonts w:ascii="Constantia" w:hAnsi="Constantia"/>
        </w:rPr>
        <w:t>).</w:t>
      </w:r>
    </w:p>
    <w:p w:rsidR="00480B68" w:rsidRPr="00712033" w:rsidRDefault="00BF3628" w:rsidP="007468D3">
      <w:pPr>
        <w:pStyle w:val="Heading3"/>
      </w:pPr>
      <w:bookmarkStart w:id="9" w:name="_Toc393897857"/>
      <w:r>
        <w:t>1.1.4</w:t>
      </w:r>
      <w:r w:rsidR="00823BD8">
        <w:t xml:space="preserve">  </w:t>
      </w:r>
      <w:r w:rsidR="00480B68" w:rsidRPr="007468D3">
        <w:t>Pljevlja</w:t>
      </w:r>
      <w:bookmarkEnd w:id="9"/>
    </w:p>
    <w:p w:rsidR="00F96368" w:rsidRPr="00712033" w:rsidRDefault="00480B68" w:rsidP="00480B68">
      <w:pPr>
        <w:tabs>
          <w:tab w:val="left" w:pos="5685"/>
        </w:tabs>
        <w:rPr>
          <w:rFonts w:ascii="Constantia" w:hAnsi="Constantia"/>
          <w:b/>
        </w:rPr>
      </w:pPr>
      <w:r w:rsidRPr="00712033">
        <w:rPr>
          <w:rFonts w:ascii="Constantia" w:hAnsi="Constantia"/>
        </w:rPr>
        <w:t>U Pljevljima</w:t>
      </w:r>
      <w:r w:rsidR="00517B04">
        <w:rPr>
          <w:rFonts w:ascii="Constantia" w:hAnsi="Constantia"/>
        </w:rPr>
        <w:t xml:space="preserve"> </w:t>
      </w:r>
      <w:r w:rsidRPr="00712033">
        <w:rPr>
          <w:rFonts w:ascii="Constantia" w:hAnsi="Constantia"/>
        </w:rPr>
        <w:t>je vršeno automatsko mjerenje</w:t>
      </w:r>
      <w:r w:rsidR="00801831" w:rsidRPr="00712033">
        <w:rPr>
          <w:rFonts w:ascii="Constantia" w:hAnsi="Constantia"/>
        </w:rPr>
        <w:t>:</w:t>
      </w:r>
      <w:r w:rsidR="00517B04">
        <w:rPr>
          <w:rFonts w:ascii="Constantia" w:hAnsi="Constantia"/>
        </w:rPr>
        <w:t xml:space="preserve"> </w:t>
      </w:r>
      <w:r w:rsidR="00214EB1" w:rsidRPr="00712033">
        <w:rPr>
          <w:rFonts w:ascii="Constantia" w:hAnsi="Constantia"/>
          <w:b/>
        </w:rPr>
        <w:t>sumpor(IV)oksida (SO</w:t>
      </w:r>
      <w:r w:rsidR="00214EB1" w:rsidRPr="00712033">
        <w:rPr>
          <w:rFonts w:ascii="Constantia" w:hAnsi="Constantia"/>
          <w:b/>
          <w:vertAlign w:val="subscript"/>
        </w:rPr>
        <w:t>2</w:t>
      </w:r>
      <w:r w:rsidR="00214EB1" w:rsidRPr="00712033">
        <w:rPr>
          <w:rFonts w:ascii="Constantia" w:hAnsi="Constantia"/>
          <w:b/>
        </w:rPr>
        <w:t xml:space="preserve">), </w:t>
      </w:r>
      <w:r w:rsidR="00801831" w:rsidRPr="00712033">
        <w:rPr>
          <w:rFonts w:ascii="Constantia" w:hAnsi="Constantia"/>
          <w:b/>
        </w:rPr>
        <w:t xml:space="preserve">azot(II)oksida </w:t>
      </w:r>
      <w:r w:rsidR="00801831" w:rsidRPr="00712033">
        <w:rPr>
          <w:rFonts w:ascii="Constantia" w:hAnsi="Constantia"/>
          <w:b/>
          <w:lang w:val="sr-Latn-CS"/>
        </w:rPr>
        <w:t>(NO)</w:t>
      </w:r>
      <w:r w:rsidR="00801831" w:rsidRPr="00712033">
        <w:rPr>
          <w:rFonts w:ascii="Constantia" w:hAnsi="Constantia"/>
          <w:b/>
        </w:rPr>
        <w:t>, azot(IV)oksida (NO</w:t>
      </w:r>
      <w:r w:rsidR="00801831" w:rsidRPr="00712033">
        <w:rPr>
          <w:rFonts w:ascii="Constantia" w:hAnsi="Constantia"/>
          <w:b/>
          <w:vertAlign w:val="subscript"/>
        </w:rPr>
        <w:t>2</w:t>
      </w:r>
      <w:r w:rsidR="00801831" w:rsidRPr="00712033">
        <w:rPr>
          <w:rFonts w:ascii="Constantia" w:hAnsi="Constantia"/>
          <w:b/>
        </w:rPr>
        <w:t>), ukupnih azotnih oksida (NO</w:t>
      </w:r>
      <w:r w:rsidR="00801831" w:rsidRPr="00712033">
        <w:rPr>
          <w:rFonts w:ascii="Constantia" w:hAnsi="Constantia"/>
          <w:b/>
          <w:vertAlign w:val="subscript"/>
        </w:rPr>
        <w:t>x</w:t>
      </w:r>
      <w:r w:rsidR="00801831" w:rsidRPr="00712033">
        <w:rPr>
          <w:rFonts w:ascii="Constantia" w:hAnsi="Constantia"/>
          <w:b/>
        </w:rPr>
        <w:t xml:space="preserve">), </w:t>
      </w:r>
      <w:r w:rsidR="0063457F" w:rsidRPr="00712033">
        <w:rPr>
          <w:rFonts w:ascii="Constantia" w:hAnsi="Constantia"/>
          <w:b/>
        </w:rPr>
        <w:t>PM</w:t>
      </w:r>
      <w:r w:rsidR="0063457F" w:rsidRPr="00712033">
        <w:rPr>
          <w:rFonts w:ascii="Constantia" w:hAnsi="Constantia"/>
          <w:b/>
          <w:vertAlign w:val="subscript"/>
        </w:rPr>
        <w:t>2,5</w:t>
      </w:r>
      <w:r w:rsidR="0063457F" w:rsidRPr="00712033">
        <w:rPr>
          <w:rFonts w:ascii="Constantia" w:hAnsi="Constantia"/>
          <w:b/>
        </w:rPr>
        <w:t xml:space="preserve"> čestica, </w:t>
      </w:r>
      <w:r w:rsidRPr="00712033">
        <w:rPr>
          <w:rFonts w:ascii="Constantia" w:hAnsi="Constantia"/>
          <w:b/>
        </w:rPr>
        <w:t>PM</w:t>
      </w:r>
      <w:r w:rsidRPr="00712033">
        <w:rPr>
          <w:rFonts w:ascii="Constantia" w:hAnsi="Constantia"/>
          <w:b/>
          <w:vertAlign w:val="subscript"/>
        </w:rPr>
        <w:t>10</w:t>
      </w:r>
      <w:r w:rsidR="00843B3B" w:rsidRPr="00712033">
        <w:rPr>
          <w:rFonts w:ascii="Constantia" w:hAnsi="Constantia"/>
          <w:b/>
        </w:rPr>
        <w:t xml:space="preserve"> čestica</w:t>
      </w:r>
      <w:r w:rsidR="00F47343" w:rsidRPr="00712033">
        <w:rPr>
          <w:rFonts w:ascii="Constantia" w:hAnsi="Constantia"/>
          <w:b/>
        </w:rPr>
        <w:t>, sadržaj</w:t>
      </w:r>
      <w:r w:rsidR="00712033">
        <w:rPr>
          <w:rFonts w:ascii="Constantia" w:hAnsi="Constantia"/>
          <w:b/>
        </w:rPr>
        <w:t xml:space="preserve"> teških metala, benzo</w:t>
      </w:r>
      <w:r w:rsidR="00F47343" w:rsidRPr="00712033">
        <w:rPr>
          <w:rFonts w:ascii="Constantia" w:hAnsi="Constantia"/>
          <w:b/>
        </w:rPr>
        <w:t>(a)pirena (BaP), relevantnih predstavnika PAH-</w:t>
      </w:r>
      <w:r w:rsidR="00712033">
        <w:rPr>
          <w:rFonts w:ascii="Constantia" w:hAnsi="Constantia"/>
          <w:b/>
        </w:rPr>
        <w:t>ova (markera benzo</w:t>
      </w:r>
      <w:r w:rsidR="00F47343" w:rsidRPr="00712033">
        <w:rPr>
          <w:rFonts w:ascii="Constantia" w:hAnsi="Constantia"/>
          <w:b/>
        </w:rPr>
        <w:t>(a)pirena), ukupnih PAH-</w:t>
      </w:r>
      <w:r w:rsidR="00712033">
        <w:rPr>
          <w:rFonts w:ascii="Constantia" w:hAnsi="Constantia"/>
          <w:b/>
        </w:rPr>
        <w:t>ova</w:t>
      </w:r>
      <w:r w:rsidR="00F47343" w:rsidRPr="00712033">
        <w:rPr>
          <w:rFonts w:ascii="Constantia" w:hAnsi="Constantia"/>
          <w:b/>
        </w:rPr>
        <w:t xml:space="preserve"> u PM</w:t>
      </w:r>
      <w:r w:rsidR="00F47343" w:rsidRPr="00712033">
        <w:rPr>
          <w:rFonts w:ascii="Constantia" w:hAnsi="Constantia"/>
          <w:b/>
          <w:vertAlign w:val="subscript"/>
        </w:rPr>
        <w:t>10</w:t>
      </w:r>
      <w:r w:rsidR="00F47343" w:rsidRPr="00712033">
        <w:rPr>
          <w:rFonts w:ascii="Constantia" w:hAnsi="Constantia"/>
          <w:b/>
        </w:rPr>
        <w:t>.</w:t>
      </w:r>
    </w:p>
    <w:p w:rsidR="00DA565C" w:rsidRPr="00712033" w:rsidRDefault="00AE2DD4" w:rsidP="00DA565C">
      <w:pPr>
        <w:rPr>
          <w:rFonts w:ascii="Constantia" w:hAnsi="Constantia"/>
          <w:lang w:val="sr-Latn-CS"/>
        </w:rPr>
      </w:pPr>
      <w:r w:rsidRPr="00712033">
        <w:rPr>
          <w:rFonts w:ascii="Constantia" w:hAnsi="Constantia"/>
          <w:lang w:val="sr-Latn-CS"/>
        </w:rPr>
        <w:t xml:space="preserve">Na </w:t>
      </w:r>
      <w:r w:rsidRPr="00712033">
        <w:rPr>
          <w:rFonts w:ascii="Constantia" w:hAnsi="Constantia"/>
          <w:i/>
          <w:lang w:val="sr-Latn-CS"/>
        </w:rPr>
        <w:t>G</w:t>
      </w:r>
      <w:r w:rsidR="00DA565C" w:rsidRPr="00712033">
        <w:rPr>
          <w:rFonts w:ascii="Constantia" w:hAnsi="Constantia"/>
          <w:i/>
          <w:lang w:val="sr-Latn-CS"/>
        </w:rPr>
        <w:t>rafikonu 14</w:t>
      </w:r>
      <w:r w:rsidRPr="00712033">
        <w:rPr>
          <w:rFonts w:ascii="Constantia" w:hAnsi="Constantia"/>
          <w:i/>
          <w:lang w:val="sr-Latn-CS"/>
        </w:rPr>
        <w:t>.</w:t>
      </w:r>
      <w:r w:rsidR="00DA565C" w:rsidRPr="00712033">
        <w:rPr>
          <w:rFonts w:ascii="Constantia" w:hAnsi="Constantia"/>
          <w:lang w:val="sr-Latn-CS"/>
        </w:rPr>
        <w:t xml:space="preserve"> su prikazane koncentracije </w:t>
      </w:r>
      <w:r w:rsidR="00DA565C" w:rsidRPr="00712033">
        <w:rPr>
          <w:rFonts w:ascii="Constantia" w:hAnsi="Constantia"/>
        </w:rPr>
        <w:t>sumpor(IV)oksda (SO</w:t>
      </w:r>
      <w:r w:rsidR="00DA565C" w:rsidRPr="00712033">
        <w:rPr>
          <w:rFonts w:ascii="Constantia" w:hAnsi="Constantia"/>
          <w:vertAlign w:val="subscript"/>
        </w:rPr>
        <w:t>2</w:t>
      </w:r>
      <w:r w:rsidR="00DA565C" w:rsidRPr="00712033">
        <w:rPr>
          <w:rFonts w:ascii="Constantia" w:hAnsi="Constantia"/>
        </w:rPr>
        <w:t>)</w:t>
      </w:r>
      <w:r w:rsidR="00DA565C" w:rsidRPr="00712033">
        <w:rPr>
          <w:rFonts w:ascii="Constantia" w:hAnsi="Constantia"/>
          <w:lang w:val="sr-Latn-CS"/>
        </w:rPr>
        <w:t xml:space="preserve"> u vazduhu (maksimalne jednočasovne srednje koncentracije i srednje mjesečne koncentracije) izmjerene tokom 2013. godine.</w:t>
      </w:r>
    </w:p>
    <w:p w:rsidR="00DA565C" w:rsidRPr="00F84A21" w:rsidRDefault="00DA565C" w:rsidP="00DA565C">
      <w:pPr>
        <w:rPr>
          <w:lang w:val="sr-Latn-CS"/>
        </w:rPr>
      </w:pPr>
    </w:p>
    <w:p w:rsidR="00DA565C" w:rsidRDefault="00DA565C" w:rsidP="00AE2DD4">
      <w:pPr>
        <w:tabs>
          <w:tab w:val="left" w:pos="5685"/>
        </w:tabs>
        <w:spacing w:after="0"/>
        <w:jc w:val="center"/>
        <w:rPr>
          <w:b/>
        </w:rPr>
      </w:pPr>
      <w:r>
        <w:rPr>
          <w:noProof/>
        </w:rPr>
        <w:lastRenderedPageBreak/>
        <w:drawing>
          <wp:inline distT="0" distB="0" distL="0" distR="0" wp14:anchorId="257FA1AE" wp14:editId="2C6A4556">
            <wp:extent cx="4543425" cy="2543175"/>
            <wp:effectExtent l="0" t="0" r="0" b="0"/>
            <wp:docPr id="25"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DA565C" w:rsidRDefault="00DA565C" w:rsidP="00DA565C">
      <w:pPr>
        <w:pStyle w:val="Grafikon"/>
        <w:ind w:left="144" w:hanging="144"/>
        <w:rPr>
          <w:rFonts w:ascii="Constantia" w:hAnsi="Constantia"/>
          <w:sz w:val="22"/>
          <w:szCs w:val="22"/>
        </w:rPr>
      </w:pPr>
      <w:r w:rsidRPr="005A04AF">
        <w:rPr>
          <w:rFonts w:ascii="Constantia" w:hAnsi="Constantia"/>
          <w:sz w:val="22"/>
          <w:szCs w:val="22"/>
        </w:rPr>
        <w:t>Koncentracija SO</w:t>
      </w:r>
      <w:r w:rsidRPr="005A04AF">
        <w:rPr>
          <w:rFonts w:ascii="Constantia" w:hAnsi="Constantia"/>
          <w:sz w:val="22"/>
          <w:szCs w:val="22"/>
          <w:vertAlign w:val="subscript"/>
        </w:rPr>
        <w:t>2</w:t>
      </w:r>
      <w:r w:rsidRPr="005A04AF">
        <w:rPr>
          <w:rFonts w:ascii="Constantia" w:hAnsi="Constantia"/>
          <w:sz w:val="22"/>
          <w:szCs w:val="22"/>
        </w:rPr>
        <w:t xml:space="preserve"> u vazduhu</w:t>
      </w:r>
      <w:r w:rsidR="007558B0">
        <w:rPr>
          <w:rFonts w:ascii="Constantia" w:hAnsi="Constantia"/>
          <w:sz w:val="22"/>
          <w:szCs w:val="22"/>
        </w:rPr>
        <w:t xml:space="preserve"> </w:t>
      </w:r>
      <w:r w:rsidR="008505BA">
        <w:rPr>
          <w:rFonts w:ascii="Constantia" w:hAnsi="Constantia"/>
          <w:sz w:val="22"/>
          <w:szCs w:val="22"/>
        </w:rPr>
        <w:t>–</w:t>
      </w:r>
      <w:r w:rsidR="007558B0">
        <w:rPr>
          <w:rFonts w:ascii="Constantia" w:hAnsi="Constantia"/>
          <w:sz w:val="22"/>
          <w:szCs w:val="22"/>
        </w:rPr>
        <w:t xml:space="preserve"> </w:t>
      </w:r>
      <w:r w:rsidRPr="005A04AF">
        <w:rPr>
          <w:rFonts w:ascii="Constantia" w:hAnsi="Constantia"/>
          <w:sz w:val="22"/>
          <w:szCs w:val="22"/>
        </w:rPr>
        <w:t>Pljevlja</w:t>
      </w:r>
    </w:p>
    <w:p w:rsidR="008505BA" w:rsidRPr="005A04AF" w:rsidRDefault="008505BA" w:rsidP="008505BA">
      <w:pPr>
        <w:pStyle w:val="Grafikon"/>
        <w:numPr>
          <w:ilvl w:val="0"/>
          <w:numId w:val="0"/>
        </w:numPr>
        <w:spacing w:after="0"/>
        <w:ind w:left="144"/>
        <w:jc w:val="both"/>
        <w:rPr>
          <w:rFonts w:ascii="Constantia" w:hAnsi="Constantia"/>
          <w:sz w:val="22"/>
          <w:szCs w:val="22"/>
        </w:rPr>
      </w:pPr>
    </w:p>
    <w:p w:rsidR="00DA565C" w:rsidRPr="005A04AF" w:rsidRDefault="009E6C1D" w:rsidP="0049500C">
      <w:pPr>
        <w:tabs>
          <w:tab w:val="left" w:pos="5685"/>
        </w:tabs>
        <w:rPr>
          <w:rFonts w:ascii="Constantia" w:hAnsi="Constantia"/>
        </w:rPr>
      </w:pPr>
      <w:r w:rsidRPr="005A04AF">
        <w:rPr>
          <w:rFonts w:ascii="Constantia" w:hAnsi="Constantia"/>
        </w:rPr>
        <w:t>Jedna satna vrijednost</w:t>
      </w:r>
      <w:r w:rsidR="00823BD8">
        <w:rPr>
          <w:rFonts w:ascii="Constantia" w:hAnsi="Constantia"/>
        </w:rPr>
        <w:t xml:space="preserve"> </w:t>
      </w:r>
      <w:r w:rsidR="0049500C" w:rsidRPr="005A04AF">
        <w:rPr>
          <w:rFonts w:ascii="Constantia" w:hAnsi="Constantia"/>
        </w:rPr>
        <w:t>sumpor(IV)oksida (SO</w:t>
      </w:r>
      <w:r w:rsidR="0049500C" w:rsidRPr="005A04AF">
        <w:rPr>
          <w:rFonts w:ascii="Constantia" w:hAnsi="Constantia"/>
          <w:vertAlign w:val="subscript"/>
        </w:rPr>
        <w:t>2</w:t>
      </w:r>
      <w:r w:rsidR="0049500C" w:rsidRPr="005A04AF">
        <w:rPr>
          <w:rFonts w:ascii="Constantia" w:hAnsi="Constantia"/>
        </w:rPr>
        <w:t xml:space="preserve">) </w:t>
      </w:r>
      <w:r w:rsidRPr="005A04AF">
        <w:rPr>
          <w:rFonts w:ascii="Constantia" w:hAnsi="Constantia"/>
        </w:rPr>
        <w:t>je (tokom aprila) bila iznad propisane satne granične vrijednosti od 350</w:t>
      </w:r>
      <w:r w:rsidR="00517B04">
        <w:rPr>
          <w:rFonts w:ascii="Constantia" w:hAnsi="Constantia"/>
        </w:rPr>
        <w:t xml:space="preserve"> </w:t>
      </w:r>
      <w:r w:rsidRPr="005A04AF">
        <w:rPr>
          <w:rFonts w:ascii="Constantia" w:hAnsi="Constantia"/>
        </w:rPr>
        <w:t>μg/m</w:t>
      </w:r>
      <w:r w:rsidRPr="005A04AF">
        <w:rPr>
          <w:rFonts w:ascii="Constantia" w:hAnsi="Constantia"/>
          <w:vertAlign w:val="superscript"/>
        </w:rPr>
        <w:t>3</w:t>
      </w:r>
      <w:r w:rsidR="008D6712" w:rsidRPr="005A04AF">
        <w:rPr>
          <w:rFonts w:ascii="Constantia" w:hAnsi="Constantia"/>
        </w:rPr>
        <w:t>. Srednje dnevne koncentracije su bile ispod propisane granične vrijednosti od</w:t>
      </w:r>
      <w:r w:rsidR="0049500C" w:rsidRPr="005A04AF">
        <w:rPr>
          <w:rFonts w:ascii="Constantia" w:hAnsi="Constantia"/>
        </w:rPr>
        <w:t xml:space="preserve"> 125</w:t>
      </w:r>
      <w:r w:rsidR="00517B04">
        <w:rPr>
          <w:rFonts w:ascii="Constantia" w:hAnsi="Constantia"/>
        </w:rPr>
        <w:t xml:space="preserve"> </w:t>
      </w:r>
      <w:r w:rsidR="0049500C" w:rsidRPr="005A04AF">
        <w:rPr>
          <w:rFonts w:ascii="Constantia" w:hAnsi="Constantia"/>
        </w:rPr>
        <w:t>μg/m</w:t>
      </w:r>
      <w:r w:rsidR="0049500C" w:rsidRPr="005A04AF">
        <w:rPr>
          <w:rFonts w:ascii="Constantia" w:hAnsi="Constantia"/>
          <w:vertAlign w:val="superscript"/>
        </w:rPr>
        <w:t>3</w:t>
      </w:r>
      <w:r w:rsidR="0049500C" w:rsidRPr="005A04AF">
        <w:rPr>
          <w:rFonts w:ascii="Constantia" w:hAnsi="Constantia"/>
        </w:rPr>
        <w:t>.</w:t>
      </w:r>
    </w:p>
    <w:p w:rsidR="006256E3" w:rsidRPr="005A04AF" w:rsidRDefault="00AE2DD4" w:rsidP="006256E3">
      <w:pPr>
        <w:rPr>
          <w:rFonts w:ascii="Constantia" w:hAnsi="Constantia"/>
          <w:lang w:val="sr-Latn-CS"/>
        </w:rPr>
      </w:pPr>
      <w:r w:rsidRPr="005A04AF">
        <w:rPr>
          <w:rFonts w:ascii="Constantia" w:hAnsi="Constantia"/>
          <w:lang w:val="sr-Latn-CS"/>
        </w:rPr>
        <w:t xml:space="preserve">Na </w:t>
      </w:r>
      <w:r w:rsidRPr="005A04AF">
        <w:rPr>
          <w:rFonts w:ascii="Constantia" w:hAnsi="Constantia"/>
          <w:i/>
          <w:lang w:val="sr-Latn-CS"/>
        </w:rPr>
        <w:t>G</w:t>
      </w:r>
      <w:r w:rsidR="0049500C" w:rsidRPr="005A04AF">
        <w:rPr>
          <w:rFonts w:ascii="Constantia" w:hAnsi="Constantia"/>
          <w:i/>
          <w:lang w:val="sr-Latn-CS"/>
        </w:rPr>
        <w:t>rafikonu 15</w:t>
      </w:r>
      <w:r w:rsidRPr="005A04AF">
        <w:rPr>
          <w:rFonts w:ascii="Constantia" w:hAnsi="Constantia"/>
          <w:i/>
          <w:lang w:val="sr-Latn-CS"/>
        </w:rPr>
        <w:t>.</w:t>
      </w:r>
      <w:r w:rsidR="006256E3" w:rsidRPr="005A04AF">
        <w:rPr>
          <w:rFonts w:ascii="Constantia" w:hAnsi="Constantia"/>
          <w:lang w:val="sr-Latn-CS"/>
        </w:rPr>
        <w:t xml:space="preserve"> prikazane su koncentracije </w:t>
      </w:r>
      <w:r w:rsidR="006256E3" w:rsidRPr="005A04AF">
        <w:rPr>
          <w:rFonts w:ascii="Constantia" w:hAnsi="Constantia"/>
        </w:rPr>
        <w:t>azot(IV)oksida (NO</w:t>
      </w:r>
      <w:r w:rsidR="006256E3" w:rsidRPr="005A04AF">
        <w:rPr>
          <w:rFonts w:ascii="Constantia" w:hAnsi="Constantia"/>
          <w:vertAlign w:val="subscript"/>
        </w:rPr>
        <w:t>2</w:t>
      </w:r>
      <w:r w:rsidR="006256E3" w:rsidRPr="005A04AF">
        <w:rPr>
          <w:rFonts w:ascii="Constantia" w:hAnsi="Constantia"/>
        </w:rPr>
        <w:t>)</w:t>
      </w:r>
      <w:r w:rsidR="006256E3" w:rsidRPr="005A04AF">
        <w:rPr>
          <w:rFonts w:ascii="Constantia" w:hAnsi="Constantia"/>
          <w:lang w:val="sr-Latn-CS"/>
        </w:rPr>
        <w:t xml:space="preserve"> u vazduhu </w:t>
      </w:r>
      <w:r w:rsidR="00230275" w:rsidRPr="005A04AF">
        <w:rPr>
          <w:rFonts w:ascii="Constantia" w:hAnsi="Constantia"/>
          <w:lang w:val="sr-Latn-CS"/>
        </w:rPr>
        <w:t>(maksimalne jednočasovne srednje koncentracije i srednje mjesečne koncentracije)</w:t>
      </w:r>
      <w:r w:rsidR="000B6734" w:rsidRPr="005A04AF">
        <w:rPr>
          <w:rFonts w:ascii="Constantia" w:hAnsi="Constantia"/>
          <w:lang w:val="sr-Latn-CS"/>
        </w:rPr>
        <w:t xml:space="preserve"> izmjerene tokom 2013</w:t>
      </w:r>
      <w:r w:rsidR="006256E3" w:rsidRPr="005A04AF">
        <w:rPr>
          <w:rFonts w:ascii="Constantia" w:hAnsi="Constantia"/>
          <w:lang w:val="sr-Latn-CS"/>
        </w:rPr>
        <w:t>. godine.</w:t>
      </w:r>
    </w:p>
    <w:p w:rsidR="006256E3" w:rsidRDefault="006256E3" w:rsidP="00AE2DD4">
      <w:pPr>
        <w:tabs>
          <w:tab w:val="left" w:pos="5685"/>
        </w:tabs>
        <w:spacing w:after="0"/>
        <w:jc w:val="center"/>
        <w:rPr>
          <w:b/>
        </w:rPr>
      </w:pPr>
      <w:r>
        <w:rPr>
          <w:noProof/>
        </w:rPr>
        <w:drawing>
          <wp:inline distT="0" distB="0" distL="0" distR="0" wp14:anchorId="03F2C5C5" wp14:editId="1399BBA9">
            <wp:extent cx="4610100" cy="2476500"/>
            <wp:effectExtent l="0" t="0" r="0" b="0"/>
            <wp:docPr id="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F073A8" w:rsidRDefault="006256E3" w:rsidP="00F073A8">
      <w:pPr>
        <w:pStyle w:val="Grafikon"/>
        <w:ind w:left="144" w:hanging="144"/>
        <w:rPr>
          <w:rFonts w:ascii="Constantia" w:hAnsi="Constantia"/>
          <w:sz w:val="22"/>
          <w:szCs w:val="22"/>
        </w:rPr>
      </w:pPr>
      <w:r w:rsidRPr="005A04AF">
        <w:rPr>
          <w:rFonts w:ascii="Constantia" w:hAnsi="Constantia"/>
          <w:sz w:val="22"/>
          <w:szCs w:val="22"/>
        </w:rPr>
        <w:t>Koncentracija NO</w:t>
      </w:r>
      <w:r w:rsidRPr="005A04AF">
        <w:rPr>
          <w:rFonts w:ascii="Constantia" w:hAnsi="Constantia"/>
          <w:sz w:val="22"/>
          <w:szCs w:val="22"/>
          <w:vertAlign w:val="subscript"/>
        </w:rPr>
        <w:t>2</w:t>
      </w:r>
      <w:r w:rsidRPr="005A04AF">
        <w:rPr>
          <w:rFonts w:ascii="Constantia" w:hAnsi="Constantia"/>
          <w:sz w:val="22"/>
          <w:szCs w:val="22"/>
        </w:rPr>
        <w:t xml:space="preserve"> u vazduhu</w:t>
      </w:r>
      <w:r w:rsidR="007558B0">
        <w:rPr>
          <w:rFonts w:ascii="Constantia" w:hAnsi="Constantia"/>
          <w:sz w:val="22"/>
          <w:szCs w:val="22"/>
        </w:rPr>
        <w:t xml:space="preserve"> </w:t>
      </w:r>
      <w:r w:rsidR="008505BA">
        <w:rPr>
          <w:rFonts w:ascii="Constantia" w:hAnsi="Constantia"/>
          <w:sz w:val="22"/>
          <w:szCs w:val="22"/>
        </w:rPr>
        <w:t>–</w:t>
      </w:r>
      <w:r w:rsidRPr="005A04AF">
        <w:rPr>
          <w:rFonts w:ascii="Constantia" w:hAnsi="Constantia"/>
          <w:sz w:val="22"/>
          <w:szCs w:val="22"/>
        </w:rPr>
        <w:t xml:space="preserve"> Pljevlja</w:t>
      </w:r>
    </w:p>
    <w:p w:rsidR="008505BA" w:rsidRPr="005A04AF" w:rsidRDefault="008505BA" w:rsidP="008505BA">
      <w:pPr>
        <w:pStyle w:val="Grafikon"/>
        <w:numPr>
          <w:ilvl w:val="0"/>
          <w:numId w:val="0"/>
        </w:numPr>
        <w:spacing w:after="0"/>
        <w:ind w:left="144"/>
        <w:jc w:val="both"/>
        <w:rPr>
          <w:rFonts w:ascii="Constantia" w:hAnsi="Constantia"/>
          <w:sz w:val="22"/>
          <w:szCs w:val="22"/>
        </w:rPr>
      </w:pPr>
    </w:p>
    <w:p w:rsidR="00BA143A" w:rsidRPr="005A04AF" w:rsidRDefault="00F073A8" w:rsidP="00480B68">
      <w:pPr>
        <w:tabs>
          <w:tab w:val="left" w:pos="5685"/>
        </w:tabs>
        <w:rPr>
          <w:rFonts w:ascii="Constantia" w:hAnsi="Constantia"/>
        </w:rPr>
      </w:pPr>
      <w:r w:rsidRPr="005A04AF">
        <w:rPr>
          <w:rFonts w:ascii="Constantia" w:hAnsi="Constantia"/>
        </w:rPr>
        <w:t>Jednočasovne srednje koncentracije azot(IV)oksida (NO</w:t>
      </w:r>
      <w:r w:rsidRPr="005A04AF">
        <w:rPr>
          <w:rFonts w:ascii="Constantia" w:hAnsi="Constantia"/>
          <w:vertAlign w:val="subscript"/>
        </w:rPr>
        <w:t>2</w:t>
      </w:r>
      <w:r w:rsidRPr="005A04AF">
        <w:rPr>
          <w:rFonts w:ascii="Constantia" w:hAnsi="Constantia"/>
        </w:rPr>
        <w:t>) su bile ispod propis</w:t>
      </w:r>
      <w:r w:rsidR="008A3FD5" w:rsidRPr="005A04AF">
        <w:rPr>
          <w:rFonts w:ascii="Constantia" w:hAnsi="Constantia"/>
        </w:rPr>
        <w:t>anih graničnih vrijednosti (200</w:t>
      </w:r>
      <w:r w:rsidR="00502582">
        <w:rPr>
          <w:rFonts w:ascii="Constantia" w:hAnsi="Constantia"/>
        </w:rPr>
        <w:t xml:space="preserve"> </w:t>
      </w:r>
      <w:r w:rsidRPr="005A04AF">
        <w:rPr>
          <w:rFonts w:ascii="Constantia" w:hAnsi="Constantia"/>
        </w:rPr>
        <w:t>μg/m</w:t>
      </w:r>
      <w:r w:rsidRPr="005A04AF">
        <w:rPr>
          <w:rFonts w:ascii="Constantia" w:hAnsi="Constantia"/>
          <w:vertAlign w:val="superscript"/>
        </w:rPr>
        <w:t>3</w:t>
      </w:r>
      <w:r w:rsidRPr="005A04AF">
        <w:rPr>
          <w:rFonts w:ascii="Constantia" w:hAnsi="Constantia"/>
        </w:rPr>
        <w:t>). Srednja godišnja koncentracija azot dioksida je takođe bila ispod propi</w:t>
      </w:r>
      <w:r w:rsidR="008A3FD5" w:rsidRPr="005A04AF">
        <w:rPr>
          <w:rFonts w:ascii="Constantia" w:hAnsi="Constantia"/>
        </w:rPr>
        <w:t>sane granične vrijednosti od 40</w:t>
      </w:r>
      <w:r w:rsidR="00502582">
        <w:rPr>
          <w:rFonts w:ascii="Constantia" w:hAnsi="Constantia"/>
        </w:rPr>
        <w:t xml:space="preserve"> </w:t>
      </w:r>
      <w:r w:rsidRPr="005A04AF">
        <w:rPr>
          <w:rFonts w:ascii="Constantia" w:hAnsi="Constantia"/>
        </w:rPr>
        <w:t>μg/m</w:t>
      </w:r>
      <w:r w:rsidRPr="005A04AF">
        <w:rPr>
          <w:rFonts w:ascii="Constantia" w:hAnsi="Constantia"/>
          <w:vertAlign w:val="superscript"/>
        </w:rPr>
        <w:t>3</w:t>
      </w:r>
      <w:r w:rsidRPr="005A04AF">
        <w:rPr>
          <w:rFonts w:ascii="Constantia" w:hAnsi="Constantia"/>
        </w:rPr>
        <w:t xml:space="preserve"> i iznosila je </w:t>
      </w:r>
      <w:r w:rsidR="000D4F71" w:rsidRPr="005A04AF">
        <w:rPr>
          <w:rFonts w:ascii="Constantia" w:hAnsi="Constantia"/>
        </w:rPr>
        <w:t>16,17</w:t>
      </w:r>
      <w:r w:rsidR="00502582">
        <w:rPr>
          <w:rFonts w:ascii="Constantia" w:hAnsi="Constantia"/>
        </w:rPr>
        <w:t xml:space="preserve"> </w:t>
      </w:r>
      <w:r w:rsidRPr="005A04AF">
        <w:rPr>
          <w:rFonts w:ascii="Constantia" w:hAnsi="Constantia"/>
        </w:rPr>
        <w:t>μg/m</w:t>
      </w:r>
      <w:r w:rsidRPr="005A04AF">
        <w:rPr>
          <w:rFonts w:ascii="Constantia" w:hAnsi="Constantia"/>
          <w:vertAlign w:val="superscript"/>
        </w:rPr>
        <w:t>3</w:t>
      </w:r>
      <w:r w:rsidRPr="005A04AF">
        <w:rPr>
          <w:rFonts w:ascii="Constantia" w:hAnsi="Constantia"/>
        </w:rPr>
        <w:t>.</w:t>
      </w:r>
    </w:p>
    <w:p w:rsidR="009E22D7" w:rsidRPr="005A04AF" w:rsidRDefault="00AE2DD4" w:rsidP="00480B68">
      <w:pPr>
        <w:tabs>
          <w:tab w:val="left" w:pos="5685"/>
        </w:tabs>
        <w:rPr>
          <w:rFonts w:ascii="Constantia" w:hAnsi="Constantia"/>
        </w:rPr>
      </w:pPr>
      <w:r w:rsidRPr="005A04AF">
        <w:rPr>
          <w:rFonts w:ascii="Constantia" w:hAnsi="Constantia"/>
        </w:rPr>
        <w:t xml:space="preserve">Na </w:t>
      </w:r>
      <w:r w:rsidRPr="005A04AF">
        <w:rPr>
          <w:rFonts w:ascii="Constantia" w:hAnsi="Constantia"/>
          <w:i/>
        </w:rPr>
        <w:t>G</w:t>
      </w:r>
      <w:r w:rsidR="009E22D7" w:rsidRPr="005A04AF">
        <w:rPr>
          <w:rFonts w:ascii="Constantia" w:hAnsi="Constantia"/>
          <w:i/>
        </w:rPr>
        <w:t>rafikonu 1</w:t>
      </w:r>
      <w:r w:rsidR="000B6734" w:rsidRPr="005A04AF">
        <w:rPr>
          <w:rFonts w:ascii="Constantia" w:hAnsi="Constantia"/>
          <w:i/>
        </w:rPr>
        <w:t>6</w:t>
      </w:r>
      <w:r w:rsidRPr="005A04AF">
        <w:rPr>
          <w:rFonts w:ascii="Constantia" w:hAnsi="Constantia"/>
          <w:i/>
        </w:rPr>
        <w:t>.</w:t>
      </w:r>
      <w:r w:rsidR="00502582">
        <w:rPr>
          <w:rFonts w:ascii="Constantia" w:hAnsi="Constantia"/>
          <w:i/>
        </w:rPr>
        <w:t xml:space="preserve"> </w:t>
      </w:r>
      <w:r w:rsidR="009E22D7" w:rsidRPr="005A04AF">
        <w:rPr>
          <w:rFonts w:ascii="Constantia" w:hAnsi="Constantia"/>
        </w:rPr>
        <w:t>prikazane su koncentracije PM</w:t>
      </w:r>
      <w:r w:rsidR="009E22D7" w:rsidRPr="005A04AF">
        <w:rPr>
          <w:rFonts w:ascii="Constantia" w:hAnsi="Constantia"/>
          <w:vertAlign w:val="subscript"/>
        </w:rPr>
        <w:t>10</w:t>
      </w:r>
      <w:r w:rsidR="009E22D7" w:rsidRPr="005A04AF">
        <w:rPr>
          <w:rFonts w:ascii="Constantia" w:hAnsi="Constantia"/>
        </w:rPr>
        <w:t xml:space="preserve"> čestica u vazduhu (maksimalne dnevne srednje koncentracije i srednje mjesečne kon</w:t>
      </w:r>
      <w:r w:rsidR="00980A1E" w:rsidRPr="005A04AF">
        <w:rPr>
          <w:rFonts w:ascii="Constantia" w:hAnsi="Constantia"/>
        </w:rPr>
        <w:t>centracije) izmjerene tokom 2013</w:t>
      </w:r>
      <w:r w:rsidR="009E22D7" w:rsidRPr="005A04AF">
        <w:rPr>
          <w:rFonts w:ascii="Constantia" w:hAnsi="Constantia"/>
        </w:rPr>
        <w:t>. godine.</w:t>
      </w:r>
    </w:p>
    <w:p w:rsidR="00F96368" w:rsidRPr="00BA143A" w:rsidRDefault="00BA143A" w:rsidP="00AE2DD4">
      <w:pPr>
        <w:tabs>
          <w:tab w:val="left" w:pos="5685"/>
        </w:tabs>
        <w:spacing w:after="0"/>
        <w:jc w:val="center"/>
      </w:pPr>
      <w:r w:rsidRPr="00E41D64">
        <w:rPr>
          <w:noProof/>
        </w:rPr>
        <w:lastRenderedPageBreak/>
        <w:drawing>
          <wp:inline distT="0" distB="0" distL="0" distR="0" wp14:anchorId="0BC0F281" wp14:editId="0423E382">
            <wp:extent cx="4829175" cy="268605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C71760" w:rsidRDefault="00F96368" w:rsidP="00C71760">
      <w:pPr>
        <w:pStyle w:val="Grafikon"/>
        <w:ind w:left="144" w:hanging="144"/>
        <w:rPr>
          <w:rFonts w:ascii="Constantia" w:hAnsi="Constantia"/>
          <w:sz w:val="22"/>
          <w:szCs w:val="22"/>
        </w:rPr>
      </w:pPr>
      <w:r w:rsidRPr="005A04AF">
        <w:rPr>
          <w:rFonts w:ascii="Constantia" w:hAnsi="Constantia"/>
          <w:sz w:val="22"/>
          <w:szCs w:val="22"/>
        </w:rPr>
        <w:t>Koncentracija PM</w:t>
      </w:r>
      <w:r w:rsidRPr="005A04AF">
        <w:rPr>
          <w:rFonts w:ascii="Constantia" w:hAnsi="Constantia"/>
          <w:sz w:val="22"/>
          <w:szCs w:val="22"/>
          <w:vertAlign w:val="subscript"/>
        </w:rPr>
        <w:t>10</w:t>
      </w:r>
      <w:r w:rsidRPr="005A04AF">
        <w:rPr>
          <w:rFonts w:ascii="Constantia" w:hAnsi="Constantia"/>
          <w:sz w:val="22"/>
          <w:szCs w:val="22"/>
        </w:rPr>
        <w:t xml:space="preserve"> u vazduhu</w:t>
      </w:r>
      <w:r w:rsidR="007558B0">
        <w:rPr>
          <w:rFonts w:ascii="Constantia" w:hAnsi="Constantia"/>
          <w:sz w:val="22"/>
          <w:szCs w:val="22"/>
        </w:rPr>
        <w:t xml:space="preserve"> </w:t>
      </w:r>
      <w:r w:rsidR="008505BA">
        <w:rPr>
          <w:rFonts w:ascii="Constantia" w:hAnsi="Constantia"/>
          <w:sz w:val="22"/>
          <w:szCs w:val="22"/>
        </w:rPr>
        <w:t>–</w:t>
      </w:r>
      <w:r w:rsidR="007558B0">
        <w:rPr>
          <w:rFonts w:ascii="Constantia" w:hAnsi="Constantia"/>
          <w:sz w:val="22"/>
          <w:szCs w:val="22"/>
        </w:rPr>
        <w:t xml:space="preserve"> </w:t>
      </w:r>
      <w:r w:rsidRPr="005A04AF">
        <w:rPr>
          <w:rFonts w:ascii="Constantia" w:hAnsi="Constantia"/>
          <w:sz w:val="22"/>
          <w:szCs w:val="22"/>
        </w:rPr>
        <w:t>Pljevlja</w:t>
      </w:r>
    </w:p>
    <w:p w:rsidR="008505BA" w:rsidRPr="005A04AF" w:rsidRDefault="008505BA" w:rsidP="008505BA">
      <w:pPr>
        <w:pStyle w:val="Grafikon"/>
        <w:numPr>
          <w:ilvl w:val="0"/>
          <w:numId w:val="0"/>
        </w:numPr>
        <w:spacing w:after="0"/>
        <w:ind w:left="144"/>
        <w:jc w:val="both"/>
        <w:rPr>
          <w:rFonts w:ascii="Constantia" w:hAnsi="Constantia"/>
          <w:sz w:val="22"/>
          <w:szCs w:val="22"/>
        </w:rPr>
      </w:pPr>
    </w:p>
    <w:p w:rsidR="00E053BE" w:rsidRPr="005A04AF" w:rsidRDefault="00C71760" w:rsidP="00E053BE">
      <w:pPr>
        <w:pStyle w:val="Grafikon"/>
        <w:numPr>
          <w:ilvl w:val="0"/>
          <w:numId w:val="0"/>
        </w:numPr>
        <w:jc w:val="both"/>
        <w:rPr>
          <w:rFonts w:ascii="Constantia" w:hAnsi="Constantia"/>
          <w:i w:val="0"/>
          <w:sz w:val="22"/>
          <w:szCs w:val="22"/>
        </w:rPr>
      </w:pPr>
      <w:r w:rsidRPr="005A04AF">
        <w:rPr>
          <w:rFonts w:ascii="Constantia" w:hAnsi="Constantia"/>
          <w:i w:val="0"/>
          <w:sz w:val="22"/>
          <w:szCs w:val="22"/>
        </w:rPr>
        <w:t>Srednje dnevne vrijednosti PM</w:t>
      </w:r>
      <w:r w:rsidRPr="005A04AF">
        <w:rPr>
          <w:rFonts w:ascii="Constantia" w:hAnsi="Constantia"/>
          <w:i w:val="0"/>
          <w:sz w:val="22"/>
          <w:szCs w:val="22"/>
          <w:vertAlign w:val="subscript"/>
        </w:rPr>
        <w:t>10</w:t>
      </w:r>
      <w:r w:rsidRPr="005A04AF">
        <w:rPr>
          <w:rFonts w:ascii="Constantia" w:hAnsi="Constantia"/>
          <w:i w:val="0"/>
          <w:sz w:val="22"/>
          <w:szCs w:val="22"/>
        </w:rPr>
        <w:t xml:space="preserve"> čestica su </w:t>
      </w:r>
      <w:r w:rsidR="008C589F" w:rsidRPr="005A04AF">
        <w:rPr>
          <w:rFonts w:ascii="Constantia" w:hAnsi="Constantia"/>
          <w:i w:val="0"/>
          <w:sz w:val="22"/>
          <w:szCs w:val="22"/>
        </w:rPr>
        <w:t>177</w:t>
      </w:r>
      <w:r w:rsidRPr="005A04AF">
        <w:rPr>
          <w:rFonts w:ascii="Constantia" w:hAnsi="Constantia"/>
          <w:i w:val="0"/>
          <w:sz w:val="22"/>
          <w:szCs w:val="22"/>
        </w:rPr>
        <w:t xml:space="preserve"> dana (</w:t>
      </w:r>
      <w:r w:rsidR="00D31F26" w:rsidRPr="005A04AF">
        <w:rPr>
          <w:rFonts w:ascii="Constantia" w:hAnsi="Constantia"/>
          <w:i w:val="0"/>
          <w:sz w:val="22"/>
          <w:szCs w:val="22"/>
        </w:rPr>
        <w:t xml:space="preserve">od </w:t>
      </w:r>
      <w:r w:rsidRPr="005A04AF">
        <w:rPr>
          <w:rFonts w:ascii="Constantia" w:hAnsi="Constantia"/>
          <w:i w:val="0"/>
          <w:sz w:val="22"/>
          <w:szCs w:val="22"/>
        </w:rPr>
        <w:t>33</w:t>
      </w:r>
      <w:r w:rsidR="008C589F" w:rsidRPr="005A04AF">
        <w:rPr>
          <w:rFonts w:ascii="Constantia" w:hAnsi="Constantia"/>
          <w:i w:val="0"/>
          <w:sz w:val="22"/>
          <w:szCs w:val="22"/>
        </w:rPr>
        <w:t>7</w:t>
      </w:r>
      <w:r w:rsidRPr="005A04AF">
        <w:rPr>
          <w:rFonts w:ascii="Constantia" w:hAnsi="Constantia"/>
          <w:i w:val="0"/>
          <w:sz w:val="22"/>
          <w:szCs w:val="22"/>
        </w:rPr>
        <w:t xml:space="preserve"> dana </w:t>
      </w:r>
      <w:r w:rsidR="00B96A4D" w:rsidRPr="005A04AF">
        <w:rPr>
          <w:rFonts w:ascii="Constantia" w:hAnsi="Constantia"/>
          <w:i w:val="0"/>
          <w:sz w:val="22"/>
          <w:szCs w:val="22"/>
        </w:rPr>
        <w:t xml:space="preserve">validnih </w:t>
      </w:r>
      <w:r w:rsidRPr="005A04AF">
        <w:rPr>
          <w:rFonts w:ascii="Constantia" w:hAnsi="Constantia"/>
          <w:i w:val="0"/>
          <w:sz w:val="22"/>
          <w:szCs w:val="22"/>
        </w:rPr>
        <w:t>mjerenja) prelazile propisanu graničnu vrijednost od 50</w:t>
      </w:r>
      <w:r w:rsidR="00502582">
        <w:rPr>
          <w:rFonts w:ascii="Constantia" w:hAnsi="Constantia"/>
          <w:i w:val="0"/>
          <w:sz w:val="22"/>
          <w:szCs w:val="22"/>
        </w:rPr>
        <w:t xml:space="preserve"> </w:t>
      </w:r>
      <w:r w:rsidRPr="005A04AF">
        <w:rPr>
          <w:rFonts w:ascii="Constantia" w:hAnsi="Constantia"/>
          <w:i w:val="0"/>
          <w:sz w:val="22"/>
          <w:szCs w:val="22"/>
        </w:rPr>
        <w:t>µg/m</w:t>
      </w:r>
      <w:r w:rsidRPr="005A04AF">
        <w:rPr>
          <w:rFonts w:ascii="Constantia" w:hAnsi="Constantia"/>
          <w:i w:val="0"/>
          <w:sz w:val="22"/>
          <w:szCs w:val="22"/>
          <w:vertAlign w:val="superscript"/>
        </w:rPr>
        <w:t>3</w:t>
      </w:r>
      <w:r w:rsidR="00D45989" w:rsidRPr="005A04AF">
        <w:rPr>
          <w:rFonts w:ascii="Constantia" w:hAnsi="Constantia"/>
          <w:i w:val="0"/>
          <w:sz w:val="22"/>
          <w:szCs w:val="22"/>
        </w:rPr>
        <w:t>, dok su g</w:t>
      </w:r>
      <w:r w:rsidRPr="005A04AF">
        <w:rPr>
          <w:rFonts w:ascii="Constantia" w:hAnsi="Constantia"/>
          <w:i w:val="0"/>
          <w:sz w:val="22"/>
          <w:szCs w:val="22"/>
        </w:rPr>
        <w:t xml:space="preserve">ranicu tolerancije </w:t>
      </w:r>
      <w:r w:rsidR="004F4BF0" w:rsidRPr="005A04AF">
        <w:rPr>
          <w:rFonts w:ascii="Constantia" w:hAnsi="Constantia"/>
          <w:i w:val="0"/>
          <w:sz w:val="22"/>
          <w:szCs w:val="22"/>
        </w:rPr>
        <w:t xml:space="preserve">prelazile </w:t>
      </w:r>
      <w:r w:rsidR="008C589F" w:rsidRPr="005A04AF">
        <w:rPr>
          <w:rFonts w:ascii="Constantia" w:hAnsi="Constantia"/>
          <w:i w:val="0"/>
          <w:sz w:val="22"/>
          <w:szCs w:val="22"/>
        </w:rPr>
        <w:t xml:space="preserve">85 </w:t>
      </w:r>
      <w:r w:rsidR="004F4BF0" w:rsidRPr="005A04AF">
        <w:rPr>
          <w:rFonts w:ascii="Constantia" w:hAnsi="Constantia"/>
          <w:i w:val="0"/>
          <w:sz w:val="22"/>
          <w:szCs w:val="22"/>
        </w:rPr>
        <w:t>dana.</w:t>
      </w:r>
      <w:r w:rsidR="00502582">
        <w:rPr>
          <w:rFonts w:ascii="Constantia" w:hAnsi="Constantia"/>
          <w:i w:val="0"/>
          <w:sz w:val="22"/>
          <w:szCs w:val="22"/>
        </w:rPr>
        <w:t xml:space="preserve"> </w:t>
      </w:r>
      <w:r w:rsidR="00D45989" w:rsidRPr="005A04AF">
        <w:rPr>
          <w:rFonts w:ascii="Constantia" w:hAnsi="Constantia"/>
          <w:i w:val="0"/>
          <w:sz w:val="22"/>
          <w:szCs w:val="22"/>
        </w:rPr>
        <w:t xml:space="preserve">Dozvoljeni broj prekoračenja je 35. </w:t>
      </w:r>
      <w:r w:rsidR="004F4BF0" w:rsidRPr="005A04AF">
        <w:rPr>
          <w:rFonts w:ascii="Constantia" w:hAnsi="Constantia"/>
          <w:i w:val="0"/>
          <w:sz w:val="22"/>
          <w:szCs w:val="22"/>
        </w:rPr>
        <w:t>S</w:t>
      </w:r>
      <w:r w:rsidRPr="005A04AF">
        <w:rPr>
          <w:rFonts w:ascii="Constantia" w:hAnsi="Constantia"/>
          <w:i w:val="0"/>
          <w:sz w:val="22"/>
          <w:szCs w:val="22"/>
        </w:rPr>
        <w:t xml:space="preserve">rednja godišnja </w:t>
      </w:r>
      <w:r w:rsidR="008C589F" w:rsidRPr="005A04AF">
        <w:rPr>
          <w:rFonts w:ascii="Constantia" w:hAnsi="Constantia"/>
          <w:i w:val="0"/>
          <w:sz w:val="22"/>
          <w:szCs w:val="22"/>
        </w:rPr>
        <w:t>koncentracija koja je iznosila 79,51</w:t>
      </w:r>
      <w:r w:rsidR="00502582">
        <w:rPr>
          <w:rFonts w:ascii="Constantia" w:hAnsi="Constantia"/>
          <w:i w:val="0"/>
          <w:sz w:val="22"/>
          <w:szCs w:val="22"/>
        </w:rPr>
        <w:t xml:space="preserve"> </w:t>
      </w:r>
      <w:r w:rsidRPr="005A04AF">
        <w:rPr>
          <w:rFonts w:ascii="Constantia" w:hAnsi="Constantia"/>
          <w:i w:val="0"/>
          <w:sz w:val="22"/>
          <w:szCs w:val="22"/>
        </w:rPr>
        <w:t>µg/m</w:t>
      </w:r>
      <w:r w:rsidRPr="005A04AF">
        <w:rPr>
          <w:rFonts w:ascii="Constantia" w:hAnsi="Constantia"/>
          <w:i w:val="0"/>
          <w:sz w:val="22"/>
          <w:szCs w:val="22"/>
          <w:vertAlign w:val="superscript"/>
        </w:rPr>
        <w:t>3</w:t>
      </w:r>
      <w:r w:rsidR="00502582">
        <w:rPr>
          <w:rFonts w:ascii="Constantia" w:hAnsi="Constantia"/>
          <w:i w:val="0"/>
          <w:sz w:val="22"/>
          <w:szCs w:val="22"/>
          <w:vertAlign w:val="superscript"/>
        </w:rPr>
        <w:t xml:space="preserve"> </w:t>
      </w:r>
      <w:r w:rsidR="004E2902" w:rsidRPr="005A04AF">
        <w:rPr>
          <w:rFonts w:ascii="Constantia" w:hAnsi="Constantia"/>
          <w:i w:val="0"/>
          <w:sz w:val="22"/>
          <w:szCs w:val="22"/>
        </w:rPr>
        <w:t>bila</w:t>
      </w:r>
      <w:r w:rsidRPr="005A04AF">
        <w:rPr>
          <w:rFonts w:ascii="Constantia" w:hAnsi="Constantia"/>
          <w:i w:val="0"/>
          <w:sz w:val="22"/>
          <w:szCs w:val="22"/>
        </w:rPr>
        <w:t xml:space="preserve"> je </w:t>
      </w:r>
      <w:r w:rsidR="004E2902" w:rsidRPr="005A04AF">
        <w:rPr>
          <w:rFonts w:ascii="Constantia" w:hAnsi="Constantia"/>
          <w:i w:val="0"/>
          <w:sz w:val="22"/>
          <w:szCs w:val="22"/>
        </w:rPr>
        <w:t xml:space="preserve">iznad </w:t>
      </w:r>
      <w:r w:rsidR="00B30330" w:rsidRPr="005A04AF">
        <w:rPr>
          <w:rFonts w:ascii="Constantia" w:hAnsi="Constantia"/>
          <w:i w:val="0"/>
          <w:sz w:val="22"/>
          <w:szCs w:val="22"/>
        </w:rPr>
        <w:t>pro</w:t>
      </w:r>
      <w:r w:rsidR="008A3FD5" w:rsidRPr="005A04AF">
        <w:rPr>
          <w:rFonts w:ascii="Constantia" w:hAnsi="Constantia"/>
          <w:i w:val="0"/>
          <w:sz w:val="22"/>
          <w:szCs w:val="22"/>
        </w:rPr>
        <w:t>pisane granične vrijednosti (40</w:t>
      </w:r>
      <w:r w:rsidR="00502582">
        <w:rPr>
          <w:rFonts w:ascii="Constantia" w:hAnsi="Constantia"/>
          <w:i w:val="0"/>
          <w:sz w:val="22"/>
          <w:szCs w:val="22"/>
        </w:rPr>
        <w:t xml:space="preserve"> </w:t>
      </w:r>
      <w:r w:rsidR="00B30330" w:rsidRPr="005A04AF">
        <w:rPr>
          <w:rFonts w:ascii="Constantia" w:hAnsi="Constantia"/>
          <w:i w:val="0"/>
          <w:sz w:val="22"/>
          <w:szCs w:val="22"/>
        </w:rPr>
        <w:t>µg/m</w:t>
      </w:r>
      <w:r w:rsidR="00B30330" w:rsidRPr="005A04AF">
        <w:rPr>
          <w:rFonts w:ascii="Constantia" w:hAnsi="Constantia"/>
          <w:i w:val="0"/>
          <w:sz w:val="22"/>
          <w:szCs w:val="22"/>
          <w:vertAlign w:val="superscript"/>
        </w:rPr>
        <w:t>3</w:t>
      </w:r>
      <w:r w:rsidR="00B30330" w:rsidRPr="005A04AF">
        <w:rPr>
          <w:rFonts w:ascii="Constantia" w:hAnsi="Constantia"/>
          <w:i w:val="0"/>
          <w:sz w:val="22"/>
          <w:szCs w:val="22"/>
        </w:rPr>
        <w:t xml:space="preserve">) i granice </w:t>
      </w:r>
      <w:r w:rsidR="00374B70" w:rsidRPr="005A04AF">
        <w:rPr>
          <w:rFonts w:ascii="Constantia" w:hAnsi="Constantia"/>
          <w:i w:val="0"/>
          <w:sz w:val="22"/>
          <w:szCs w:val="22"/>
        </w:rPr>
        <w:t>tolerancije za 2013</w:t>
      </w:r>
      <w:r w:rsidR="008C589F" w:rsidRPr="005A04AF">
        <w:rPr>
          <w:rFonts w:ascii="Constantia" w:hAnsi="Constantia"/>
          <w:i w:val="0"/>
          <w:sz w:val="22"/>
          <w:szCs w:val="22"/>
        </w:rPr>
        <w:t>. godinu (50</w:t>
      </w:r>
      <w:r w:rsidR="00502582">
        <w:rPr>
          <w:rFonts w:ascii="Constantia" w:hAnsi="Constantia"/>
          <w:i w:val="0"/>
          <w:sz w:val="22"/>
          <w:szCs w:val="22"/>
        </w:rPr>
        <w:t xml:space="preserve"> </w:t>
      </w:r>
      <w:r w:rsidR="00B30330" w:rsidRPr="005A04AF">
        <w:rPr>
          <w:rFonts w:ascii="Constantia" w:hAnsi="Constantia"/>
          <w:i w:val="0"/>
          <w:sz w:val="22"/>
          <w:szCs w:val="22"/>
        </w:rPr>
        <w:t>µg/m</w:t>
      </w:r>
      <w:r w:rsidR="00B30330" w:rsidRPr="005A04AF">
        <w:rPr>
          <w:rFonts w:ascii="Constantia" w:hAnsi="Constantia"/>
          <w:i w:val="0"/>
          <w:sz w:val="22"/>
          <w:szCs w:val="22"/>
          <w:vertAlign w:val="superscript"/>
        </w:rPr>
        <w:t>3</w:t>
      </w:r>
      <w:r w:rsidR="00B30330" w:rsidRPr="005A04AF">
        <w:rPr>
          <w:rFonts w:ascii="Constantia" w:hAnsi="Constantia"/>
          <w:i w:val="0"/>
          <w:sz w:val="22"/>
          <w:szCs w:val="22"/>
        </w:rPr>
        <w:t xml:space="preserve">). </w:t>
      </w:r>
      <w:r w:rsidRPr="005A04AF">
        <w:rPr>
          <w:rFonts w:ascii="Constantia" w:hAnsi="Constantia"/>
          <w:i w:val="0"/>
          <w:sz w:val="22"/>
          <w:szCs w:val="22"/>
        </w:rPr>
        <w:t>Na osnovu izmjerenih vrijednosti, može se konstatovati veliko opterećenje vazduha u Pljevljima sa PM</w:t>
      </w:r>
      <w:r w:rsidRPr="005A04AF">
        <w:rPr>
          <w:rFonts w:ascii="Constantia" w:hAnsi="Constantia"/>
          <w:i w:val="0"/>
          <w:sz w:val="22"/>
          <w:szCs w:val="22"/>
          <w:vertAlign w:val="subscript"/>
        </w:rPr>
        <w:t>10</w:t>
      </w:r>
      <w:r w:rsidRPr="005A04AF">
        <w:rPr>
          <w:rFonts w:ascii="Constantia" w:hAnsi="Constantia"/>
          <w:i w:val="0"/>
          <w:sz w:val="22"/>
          <w:szCs w:val="22"/>
        </w:rPr>
        <w:t xml:space="preserve"> česticama</w:t>
      </w:r>
      <w:r w:rsidR="00E27206" w:rsidRPr="005A04AF">
        <w:rPr>
          <w:rFonts w:ascii="Constantia" w:hAnsi="Constantia"/>
          <w:i w:val="0"/>
          <w:sz w:val="22"/>
          <w:szCs w:val="22"/>
        </w:rPr>
        <w:t>, ne samo zbog izmjerenih koncentracija, već i zbog velikog broja dana s prekoračenjima.</w:t>
      </w:r>
    </w:p>
    <w:p w:rsidR="00CE4EF0" w:rsidRPr="005A04AF" w:rsidRDefault="00CE4EF0" w:rsidP="00CE4EF0">
      <w:pPr>
        <w:tabs>
          <w:tab w:val="left" w:pos="5685"/>
        </w:tabs>
        <w:rPr>
          <w:rFonts w:ascii="Constantia" w:hAnsi="Constantia"/>
        </w:rPr>
      </w:pPr>
      <w:r w:rsidRPr="005A04AF">
        <w:rPr>
          <w:rFonts w:ascii="Constantia" w:hAnsi="Constantia"/>
        </w:rPr>
        <w:t>PM</w:t>
      </w:r>
      <w:r w:rsidRPr="005A04AF">
        <w:rPr>
          <w:rFonts w:ascii="Constantia" w:hAnsi="Constantia"/>
          <w:vertAlign w:val="subscript"/>
        </w:rPr>
        <w:t xml:space="preserve">10 </w:t>
      </w:r>
      <w:r w:rsidRPr="005A04AF">
        <w:rPr>
          <w:rFonts w:ascii="Constantia" w:hAnsi="Constantia"/>
        </w:rPr>
        <w:t>čestice su analizirane na sadržaj teških metala za koje su propisani standardi kvaliteta vazduha na godišnje</w:t>
      </w:r>
      <w:r w:rsidR="005A04AF">
        <w:rPr>
          <w:rFonts w:ascii="Constantia" w:hAnsi="Constantia"/>
        </w:rPr>
        <w:t>m nivou. Sadržaj olova, računat</w:t>
      </w:r>
      <w:r w:rsidRPr="005A04AF">
        <w:rPr>
          <w:rFonts w:ascii="Constantia" w:hAnsi="Constantia"/>
        </w:rPr>
        <w:t xml:space="preserve"> kao srednja vrijednost nedjeljnih uzoraka je bio ispod propisane granične vrijednosti. Na isti način vršene su analize uzoraka filtera na sadržaj arsena, kadmijuma, nikla i žive. Rezultati analize pokazuju da je sadržaj kadmijuma, nikla i arsena bio ispod ciljne vrijednosti propisane s ciljem zaštite zdravlja ljudi i rokom postizanja do 2015. godine.</w:t>
      </w:r>
    </w:p>
    <w:p w:rsidR="00CE4EF0" w:rsidRPr="005A04AF" w:rsidRDefault="00CE4EF0" w:rsidP="00A909D9">
      <w:pPr>
        <w:tabs>
          <w:tab w:val="left" w:pos="5685"/>
        </w:tabs>
        <w:rPr>
          <w:rFonts w:ascii="Constantia" w:hAnsi="Constantia"/>
        </w:rPr>
      </w:pPr>
      <w:r w:rsidRPr="005A04AF">
        <w:rPr>
          <w:rFonts w:ascii="Constantia" w:hAnsi="Constantia"/>
        </w:rPr>
        <w:t>Srednja godišnja vrijednost sadržaja benzo(a)pirena  prelazila je propisanu ciljnu vrijednost od 1</w:t>
      </w:r>
      <w:r w:rsidR="00A651F3">
        <w:rPr>
          <w:rFonts w:ascii="Constantia" w:hAnsi="Constantia"/>
        </w:rPr>
        <w:t xml:space="preserve"> </w:t>
      </w:r>
      <w:r w:rsidRPr="005A04AF">
        <w:rPr>
          <w:rFonts w:ascii="Constantia" w:hAnsi="Constantia"/>
        </w:rPr>
        <w:t>ng/m</w:t>
      </w:r>
      <w:r w:rsidRPr="005A04AF">
        <w:rPr>
          <w:rFonts w:ascii="Constantia" w:hAnsi="Constantia"/>
          <w:vertAlign w:val="superscript"/>
        </w:rPr>
        <w:t>3</w:t>
      </w:r>
      <w:r w:rsidRPr="005A04AF">
        <w:rPr>
          <w:rFonts w:ascii="Constantia" w:hAnsi="Constantia"/>
        </w:rPr>
        <w:t xml:space="preserve"> i iznosila je 3,83</w:t>
      </w:r>
      <w:r w:rsidR="00A651F3">
        <w:rPr>
          <w:rFonts w:ascii="Constantia" w:hAnsi="Constantia"/>
        </w:rPr>
        <w:t xml:space="preserve"> </w:t>
      </w:r>
      <w:r w:rsidRPr="005A04AF">
        <w:rPr>
          <w:rFonts w:ascii="Constantia" w:hAnsi="Constantia"/>
        </w:rPr>
        <w:t>ng/m</w:t>
      </w:r>
      <w:r w:rsidRPr="005A04AF">
        <w:rPr>
          <w:rFonts w:ascii="Constantia" w:hAnsi="Constantia"/>
          <w:vertAlign w:val="superscript"/>
        </w:rPr>
        <w:t>3</w:t>
      </w:r>
      <w:r w:rsidRPr="005A04AF">
        <w:rPr>
          <w:rFonts w:ascii="Constantia" w:hAnsi="Constantia"/>
        </w:rPr>
        <w:t>.</w:t>
      </w:r>
    </w:p>
    <w:p w:rsidR="00CE4EF0" w:rsidRPr="005A04AF" w:rsidRDefault="00C56700" w:rsidP="00E053BE">
      <w:pPr>
        <w:pStyle w:val="Grafikon"/>
        <w:numPr>
          <w:ilvl w:val="0"/>
          <w:numId w:val="0"/>
        </w:numPr>
        <w:jc w:val="both"/>
        <w:rPr>
          <w:rFonts w:ascii="Constantia" w:hAnsi="Constantia"/>
          <w:i w:val="0"/>
          <w:sz w:val="22"/>
          <w:szCs w:val="22"/>
        </w:rPr>
      </w:pPr>
      <w:r w:rsidRPr="005A04AF">
        <w:rPr>
          <w:rFonts w:ascii="Constantia" w:hAnsi="Constantia"/>
          <w:i w:val="0"/>
          <w:sz w:val="22"/>
          <w:szCs w:val="22"/>
        </w:rPr>
        <w:t>Validnih mjerenja PM</w:t>
      </w:r>
      <w:r w:rsidRPr="005A04AF">
        <w:rPr>
          <w:rFonts w:ascii="Constantia" w:hAnsi="Constantia"/>
          <w:i w:val="0"/>
          <w:sz w:val="22"/>
          <w:szCs w:val="22"/>
          <w:vertAlign w:val="subscript"/>
        </w:rPr>
        <w:t>2.5</w:t>
      </w:r>
      <w:r w:rsidRPr="005A04AF">
        <w:rPr>
          <w:rFonts w:ascii="Constantia" w:hAnsi="Constantia"/>
          <w:i w:val="0"/>
          <w:sz w:val="22"/>
          <w:szCs w:val="22"/>
        </w:rPr>
        <w:t xml:space="preserve"> čestica je bilo </w:t>
      </w:r>
      <w:r w:rsidR="00AE2E9B" w:rsidRPr="005A04AF">
        <w:rPr>
          <w:rFonts w:ascii="Constantia" w:hAnsi="Constantia"/>
          <w:i w:val="0"/>
          <w:sz w:val="22"/>
          <w:szCs w:val="22"/>
        </w:rPr>
        <w:t>332</w:t>
      </w:r>
      <w:r w:rsidRPr="005A04AF">
        <w:rPr>
          <w:rFonts w:ascii="Constantia" w:hAnsi="Constantia"/>
          <w:i w:val="0"/>
          <w:sz w:val="22"/>
          <w:szCs w:val="22"/>
        </w:rPr>
        <w:t xml:space="preserve"> dana. Srednja godišnja koncentracija iznosila je </w:t>
      </w:r>
      <w:r w:rsidR="00AE2E9B" w:rsidRPr="005A04AF">
        <w:rPr>
          <w:rFonts w:ascii="Constantia" w:hAnsi="Constantia"/>
          <w:i w:val="0"/>
          <w:sz w:val="22"/>
          <w:szCs w:val="22"/>
        </w:rPr>
        <w:t>45,69</w:t>
      </w:r>
      <w:r w:rsidR="00C27412">
        <w:rPr>
          <w:rFonts w:ascii="Constantia" w:hAnsi="Constantia"/>
          <w:i w:val="0"/>
          <w:sz w:val="22"/>
          <w:szCs w:val="22"/>
        </w:rPr>
        <w:t xml:space="preserve"> </w:t>
      </w:r>
      <w:r w:rsidRPr="005A04AF">
        <w:rPr>
          <w:rFonts w:ascii="Constantia" w:hAnsi="Constantia"/>
          <w:i w:val="0"/>
          <w:sz w:val="22"/>
          <w:szCs w:val="22"/>
        </w:rPr>
        <w:t>μg/m</w:t>
      </w:r>
      <w:r w:rsidRPr="005A04AF">
        <w:rPr>
          <w:rFonts w:ascii="Constantia" w:hAnsi="Constantia"/>
          <w:i w:val="0"/>
          <w:sz w:val="22"/>
          <w:szCs w:val="22"/>
          <w:vertAlign w:val="superscript"/>
        </w:rPr>
        <w:t>3</w:t>
      </w:r>
      <w:r w:rsidRPr="005A04AF">
        <w:rPr>
          <w:rFonts w:ascii="Constantia" w:hAnsi="Constantia"/>
          <w:i w:val="0"/>
          <w:sz w:val="22"/>
          <w:szCs w:val="22"/>
        </w:rPr>
        <w:t>, što je iznad gran</w:t>
      </w:r>
      <w:r w:rsidR="008A3FD5" w:rsidRPr="005A04AF">
        <w:rPr>
          <w:rFonts w:ascii="Constantia" w:hAnsi="Constantia"/>
          <w:i w:val="0"/>
          <w:sz w:val="22"/>
          <w:szCs w:val="22"/>
        </w:rPr>
        <w:t>ične godišnje vrijednosti od 25</w:t>
      </w:r>
      <w:r w:rsidR="00C27412">
        <w:rPr>
          <w:rFonts w:ascii="Constantia" w:hAnsi="Constantia"/>
          <w:i w:val="0"/>
          <w:sz w:val="22"/>
          <w:szCs w:val="22"/>
        </w:rPr>
        <w:t xml:space="preserve"> </w:t>
      </w:r>
      <w:r w:rsidRPr="005A04AF">
        <w:rPr>
          <w:rFonts w:ascii="Constantia" w:hAnsi="Constantia"/>
          <w:i w:val="0"/>
          <w:sz w:val="22"/>
          <w:szCs w:val="22"/>
        </w:rPr>
        <w:t>μg/m</w:t>
      </w:r>
      <w:r w:rsidRPr="005A04AF">
        <w:rPr>
          <w:rFonts w:ascii="Constantia" w:hAnsi="Constantia"/>
          <w:i w:val="0"/>
          <w:sz w:val="22"/>
          <w:szCs w:val="22"/>
          <w:vertAlign w:val="superscript"/>
        </w:rPr>
        <w:t>3</w:t>
      </w:r>
      <w:r w:rsidRPr="005A04AF">
        <w:rPr>
          <w:rFonts w:ascii="Constantia" w:hAnsi="Constantia"/>
          <w:i w:val="0"/>
          <w:sz w:val="22"/>
          <w:szCs w:val="22"/>
        </w:rPr>
        <w:t xml:space="preserve"> i granice </w:t>
      </w:r>
      <w:r w:rsidR="002303F9" w:rsidRPr="005A04AF">
        <w:rPr>
          <w:rFonts w:ascii="Constantia" w:hAnsi="Constantia"/>
          <w:i w:val="0"/>
          <w:sz w:val="22"/>
          <w:szCs w:val="22"/>
        </w:rPr>
        <w:t>tolerancije za 2013</w:t>
      </w:r>
      <w:r w:rsidR="00543B6E" w:rsidRPr="005A04AF">
        <w:rPr>
          <w:rFonts w:ascii="Constantia" w:hAnsi="Constantia"/>
          <w:i w:val="0"/>
          <w:sz w:val="22"/>
          <w:szCs w:val="22"/>
        </w:rPr>
        <w:t>. godinu (28</w:t>
      </w:r>
      <w:r w:rsidR="00C27412">
        <w:rPr>
          <w:rFonts w:ascii="Constantia" w:hAnsi="Constantia"/>
          <w:i w:val="0"/>
          <w:sz w:val="22"/>
          <w:szCs w:val="22"/>
        </w:rPr>
        <w:t xml:space="preserve"> </w:t>
      </w:r>
      <w:r w:rsidRPr="005A04AF">
        <w:rPr>
          <w:rFonts w:ascii="Constantia" w:hAnsi="Constantia"/>
          <w:i w:val="0"/>
          <w:sz w:val="22"/>
          <w:szCs w:val="22"/>
        </w:rPr>
        <w:t>μg/m</w:t>
      </w:r>
      <w:r w:rsidRPr="005A04AF">
        <w:rPr>
          <w:rFonts w:ascii="Constantia" w:hAnsi="Constantia"/>
          <w:i w:val="0"/>
          <w:sz w:val="22"/>
          <w:szCs w:val="22"/>
          <w:vertAlign w:val="superscript"/>
        </w:rPr>
        <w:t>3</w:t>
      </w:r>
      <w:r w:rsidR="00C10E79" w:rsidRPr="005A04AF">
        <w:rPr>
          <w:rFonts w:ascii="Constantia" w:hAnsi="Constantia"/>
          <w:i w:val="0"/>
          <w:sz w:val="22"/>
          <w:szCs w:val="22"/>
        </w:rPr>
        <w:t>)</w:t>
      </w:r>
      <w:r w:rsidRPr="005A04AF">
        <w:rPr>
          <w:rFonts w:ascii="Constantia" w:hAnsi="Constantia"/>
          <w:i w:val="0"/>
          <w:sz w:val="22"/>
          <w:szCs w:val="22"/>
        </w:rPr>
        <w:t>.</w:t>
      </w:r>
    </w:p>
    <w:p w:rsidR="003A50EF" w:rsidRPr="00077488" w:rsidRDefault="008505BA" w:rsidP="007468D3">
      <w:pPr>
        <w:pStyle w:val="Heading3"/>
      </w:pPr>
      <w:bookmarkStart w:id="10" w:name="_Toc393897858"/>
      <w:r>
        <w:t xml:space="preserve">1.1.5   </w:t>
      </w:r>
      <w:r w:rsidR="003A50EF" w:rsidRPr="007468D3">
        <w:t>Gradina</w:t>
      </w:r>
      <w:r w:rsidR="003A50EF" w:rsidRPr="00077488">
        <w:t xml:space="preserve"> (selo Kruševo)</w:t>
      </w:r>
      <w:bookmarkEnd w:id="10"/>
    </w:p>
    <w:p w:rsidR="005427CF" w:rsidRPr="00B177B9" w:rsidRDefault="008C18B6" w:rsidP="005427CF">
      <w:pPr>
        <w:tabs>
          <w:tab w:val="left" w:pos="5685"/>
        </w:tabs>
        <w:spacing w:after="0"/>
        <w:rPr>
          <w:rFonts w:ascii="Constantia" w:hAnsi="Constantia"/>
          <w:lang w:val="sr-Latn-CS"/>
        </w:rPr>
      </w:pPr>
      <w:r w:rsidRPr="00B177B9">
        <w:rPr>
          <w:rFonts w:ascii="Constantia" w:hAnsi="Constantia"/>
        </w:rPr>
        <w:t>U selu Kruševu</w:t>
      </w:r>
      <w:r w:rsidR="000E3F05">
        <w:rPr>
          <w:rFonts w:ascii="Constantia" w:hAnsi="Constantia"/>
        </w:rPr>
        <w:t>,</w:t>
      </w:r>
      <w:r w:rsidRPr="00B177B9">
        <w:rPr>
          <w:rFonts w:ascii="Constantia" w:hAnsi="Constantia"/>
        </w:rPr>
        <w:t xml:space="preserve"> na lokaciji Gradina</w:t>
      </w:r>
      <w:r w:rsidR="000E3F05">
        <w:rPr>
          <w:rFonts w:ascii="Constantia" w:hAnsi="Constantia"/>
        </w:rPr>
        <w:t>,</w:t>
      </w:r>
      <w:r w:rsidRPr="00B177B9">
        <w:rPr>
          <w:rFonts w:ascii="Constantia" w:hAnsi="Constantia"/>
        </w:rPr>
        <w:t xml:space="preserve"> vršeno </w:t>
      </w:r>
      <w:r w:rsidR="005F2A63" w:rsidRPr="00B177B9">
        <w:rPr>
          <w:rFonts w:ascii="Constantia" w:hAnsi="Constantia"/>
        </w:rPr>
        <w:t xml:space="preserve">je </w:t>
      </w:r>
      <w:r w:rsidRPr="00B177B9">
        <w:rPr>
          <w:rFonts w:ascii="Constantia" w:hAnsi="Constantia"/>
        </w:rPr>
        <w:t>automatsko mjerenje:</w:t>
      </w:r>
      <w:r w:rsidR="000E3F05">
        <w:rPr>
          <w:rFonts w:ascii="Constantia" w:hAnsi="Constantia"/>
        </w:rPr>
        <w:t xml:space="preserve"> </w:t>
      </w:r>
      <w:r w:rsidRPr="00B177B9">
        <w:rPr>
          <w:rFonts w:ascii="Constantia" w:hAnsi="Constantia"/>
          <w:b/>
        </w:rPr>
        <w:t xml:space="preserve">azot(II)oksida </w:t>
      </w:r>
      <w:r w:rsidRPr="00B177B9">
        <w:rPr>
          <w:rFonts w:ascii="Constantia" w:hAnsi="Constantia"/>
          <w:b/>
          <w:lang w:val="sr-Latn-CS"/>
        </w:rPr>
        <w:t>(NO)</w:t>
      </w:r>
      <w:r w:rsidR="000E3F05">
        <w:rPr>
          <w:rFonts w:ascii="Constantia" w:hAnsi="Constantia"/>
          <w:b/>
        </w:rPr>
        <w:t xml:space="preserve">, azot(IV)oksida </w:t>
      </w:r>
      <w:r w:rsidRPr="00B177B9">
        <w:rPr>
          <w:rFonts w:ascii="Constantia" w:hAnsi="Constantia"/>
          <w:b/>
        </w:rPr>
        <w:t>(NO</w:t>
      </w:r>
      <w:r w:rsidRPr="00B177B9">
        <w:rPr>
          <w:rFonts w:ascii="Constantia" w:hAnsi="Constantia"/>
          <w:b/>
          <w:vertAlign w:val="subscript"/>
        </w:rPr>
        <w:t>2</w:t>
      </w:r>
      <w:r w:rsidRPr="00B177B9">
        <w:rPr>
          <w:rFonts w:ascii="Constantia" w:hAnsi="Constantia"/>
          <w:b/>
        </w:rPr>
        <w:t>), ukupnih azotnih oksida (NO</w:t>
      </w:r>
      <w:r w:rsidRPr="00B177B9">
        <w:rPr>
          <w:rFonts w:ascii="Constantia" w:hAnsi="Constantia"/>
          <w:b/>
          <w:vertAlign w:val="subscript"/>
        </w:rPr>
        <w:t>x</w:t>
      </w:r>
      <w:r w:rsidR="000E3F05">
        <w:rPr>
          <w:rFonts w:ascii="Constantia" w:hAnsi="Constantia"/>
          <w:b/>
        </w:rPr>
        <w:t>)</w:t>
      </w:r>
      <w:r w:rsidRPr="00B177B9">
        <w:rPr>
          <w:rFonts w:ascii="Constantia" w:hAnsi="Constantia"/>
          <w:b/>
        </w:rPr>
        <w:t xml:space="preserve"> </w:t>
      </w:r>
      <w:r w:rsidR="00BC0FBA" w:rsidRPr="00B177B9">
        <w:rPr>
          <w:rFonts w:ascii="Constantia" w:hAnsi="Constantia"/>
          <w:b/>
        </w:rPr>
        <w:t>i</w:t>
      </w:r>
      <w:r w:rsidRPr="00B177B9">
        <w:rPr>
          <w:rFonts w:ascii="Constantia" w:hAnsi="Constantia"/>
          <w:b/>
        </w:rPr>
        <w:t xml:space="preserve"> sumpor(IV)oks</w:t>
      </w:r>
      <w:r w:rsidR="009D7C04" w:rsidRPr="00B177B9">
        <w:rPr>
          <w:rFonts w:ascii="Constantia" w:hAnsi="Constantia"/>
          <w:b/>
        </w:rPr>
        <w:t>i</w:t>
      </w:r>
      <w:r w:rsidRPr="00B177B9">
        <w:rPr>
          <w:rFonts w:ascii="Constantia" w:hAnsi="Constantia"/>
          <w:b/>
        </w:rPr>
        <w:t>d</w:t>
      </w:r>
      <w:r w:rsidR="00BC0FBA" w:rsidRPr="00B177B9">
        <w:rPr>
          <w:rFonts w:ascii="Constantia" w:hAnsi="Constantia"/>
          <w:b/>
        </w:rPr>
        <w:t>a</w:t>
      </w:r>
      <w:r w:rsidRPr="00B177B9">
        <w:rPr>
          <w:rFonts w:ascii="Constantia" w:hAnsi="Constantia"/>
          <w:b/>
        </w:rPr>
        <w:t xml:space="preserve"> (SO</w:t>
      </w:r>
      <w:r w:rsidRPr="00B177B9">
        <w:rPr>
          <w:rFonts w:ascii="Constantia" w:hAnsi="Constantia"/>
          <w:b/>
          <w:vertAlign w:val="subscript"/>
        </w:rPr>
        <w:t>2</w:t>
      </w:r>
      <w:r w:rsidRPr="00B177B9">
        <w:rPr>
          <w:rFonts w:ascii="Constantia" w:hAnsi="Constantia"/>
          <w:b/>
        </w:rPr>
        <w:t>).</w:t>
      </w:r>
      <w:r w:rsidR="000E3F05">
        <w:rPr>
          <w:rFonts w:ascii="Constantia" w:hAnsi="Constantia"/>
          <w:b/>
        </w:rPr>
        <w:t xml:space="preserve"> </w:t>
      </w:r>
      <w:r w:rsidR="0046473D" w:rsidRPr="00B177B9">
        <w:rPr>
          <w:rFonts w:ascii="Constantia" w:hAnsi="Constantia"/>
        </w:rPr>
        <w:t>Određen broj rezultata nedostaje z</w:t>
      </w:r>
      <w:r w:rsidR="00B177B9">
        <w:rPr>
          <w:rFonts w:ascii="Constantia" w:hAnsi="Constantia"/>
        </w:rPr>
        <w:t>bog problema s</w:t>
      </w:r>
      <w:r w:rsidR="000E3F05">
        <w:rPr>
          <w:rFonts w:ascii="Constantia" w:hAnsi="Constantia"/>
        </w:rPr>
        <w:t xml:space="preserve"> </w:t>
      </w:r>
      <w:r w:rsidR="006F4728" w:rsidRPr="00B177B9">
        <w:rPr>
          <w:rFonts w:ascii="Constantia" w:hAnsi="Constantia"/>
        </w:rPr>
        <w:t>protokom podataka.</w:t>
      </w:r>
      <w:r w:rsidR="00297F31">
        <w:rPr>
          <w:rFonts w:ascii="Constantia" w:hAnsi="Constantia"/>
        </w:rPr>
        <w:t xml:space="preserve"> </w:t>
      </w:r>
      <w:r w:rsidR="006F4728" w:rsidRPr="00B177B9">
        <w:rPr>
          <w:rFonts w:ascii="Constantia" w:hAnsi="Constantia"/>
        </w:rPr>
        <w:t>Nakon instalacije potrebne opreme početkom 2014.</w:t>
      </w:r>
      <w:r w:rsidR="00297F31">
        <w:rPr>
          <w:rFonts w:ascii="Constantia" w:hAnsi="Constantia"/>
        </w:rPr>
        <w:t xml:space="preserve"> </w:t>
      </w:r>
      <w:r w:rsidR="000E3F05">
        <w:rPr>
          <w:rFonts w:ascii="Constantia" w:hAnsi="Constantia"/>
        </w:rPr>
        <w:t xml:space="preserve"> </w:t>
      </w:r>
      <w:r w:rsidR="006F4728" w:rsidRPr="00B177B9">
        <w:rPr>
          <w:rFonts w:ascii="Constantia" w:hAnsi="Constantia"/>
        </w:rPr>
        <w:t>godine</w:t>
      </w:r>
      <w:r w:rsidR="00B177B9">
        <w:rPr>
          <w:rFonts w:ascii="Constantia" w:hAnsi="Constantia"/>
        </w:rPr>
        <w:t>,</w:t>
      </w:r>
      <w:r w:rsidR="00297F31">
        <w:rPr>
          <w:rFonts w:ascii="Constantia" w:hAnsi="Constantia"/>
        </w:rPr>
        <w:t xml:space="preserve"> </w:t>
      </w:r>
      <w:r w:rsidR="0046473D" w:rsidRPr="00B177B9">
        <w:rPr>
          <w:rFonts w:ascii="Constantia" w:hAnsi="Constantia"/>
        </w:rPr>
        <w:t>ovaj problem je riješen</w:t>
      </w:r>
      <w:r w:rsidR="007A318C" w:rsidRPr="00B177B9">
        <w:rPr>
          <w:rFonts w:ascii="Constantia" w:hAnsi="Constantia"/>
        </w:rPr>
        <w:t xml:space="preserve">. </w:t>
      </w:r>
      <w:r w:rsidR="00AE2DD4" w:rsidRPr="00B177B9">
        <w:rPr>
          <w:rFonts w:ascii="Constantia" w:hAnsi="Constantia"/>
          <w:lang w:val="sr-Latn-CS"/>
        </w:rPr>
        <w:t xml:space="preserve">Na </w:t>
      </w:r>
      <w:r w:rsidR="00AE2DD4" w:rsidRPr="00B177B9">
        <w:rPr>
          <w:rFonts w:ascii="Constantia" w:hAnsi="Constantia"/>
          <w:i/>
          <w:lang w:val="sr-Latn-CS"/>
        </w:rPr>
        <w:t>S</w:t>
      </w:r>
      <w:r w:rsidR="0099792A">
        <w:rPr>
          <w:rFonts w:ascii="Constantia" w:hAnsi="Constantia"/>
          <w:i/>
          <w:lang w:val="sr-Latn-CS"/>
        </w:rPr>
        <w:t>lici 3</w:t>
      </w:r>
      <w:r w:rsidR="00AE2DD4" w:rsidRPr="00B177B9">
        <w:rPr>
          <w:rFonts w:ascii="Constantia" w:hAnsi="Constantia"/>
          <w:i/>
          <w:lang w:val="sr-Latn-CS"/>
        </w:rPr>
        <w:t>.</w:t>
      </w:r>
      <w:r w:rsidR="00297F31">
        <w:rPr>
          <w:rFonts w:ascii="Constantia" w:hAnsi="Constantia"/>
          <w:i/>
          <w:lang w:val="sr-Latn-CS"/>
        </w:rPr>
        <w:t xml:space="preserve"> </w:t>
      </w:r>
      <w:r w:rsidR="005427CF" w:rsidRPr="00B177B9">
        <w:rPr>
          <w:rFonts w:ascii="Constantia" w:hAnsi="Constantia"/>
          <w:lang w:val="sr-Latn-CS"/>
        </w:rPr>
        <w:t>prikazana je mjerna stanica Gradina</w:t>
      </w:r>
      <w:r w:rsidR="000E3F05">
        <w:rPr>
          <w:rFonts w:ascii="Constantia" w:hAnsi="Constantia"/>
          <w:lang w:val="sr-Latn-CS"/>
        </w:rPr>
        <w:t>,</w:t>
      </w:r>
      <w:r w:rsidR="005427CF" w:rsidRPr="00B177B9">
        <w:rPr>
          <w:rFonts w:ascii="Constantia" w:hAnsi="Constantia"/>
          <w:lang w:val="sr-Latn-CS"/>
        </w:rPr>
        <w:t xml:space="preserve"> u selu Kruševu</w:t>
      </w:r>
      <w:r w:rsidR="0099792A">
        <w:rPr>
          <w:rFonts w:ascii="Constantia" w:hAnsi="Constantia"/>
          <w:lang w:val="sr-Latn-CS"/>
        </w:rPr>
        <w:t>,</w:t>
      </w:r>
      <w:r w:rsidR="005427CF" w:rsidRPr="00B177B9">
        <w:rPr>
          <w:rFonts w:ascii="Constantia" w:hAnsi="Constantia"/>
          <w:lang w:val="sr-Latn-CS"/>
        </w:rPr>
        <w:t xml:space="preserve"> u blizini Pljevalja</w:t>
      </w:r>
      <w:r w:rsidR="008B4307" w:rsidRPr="00B177B9">
        <w:rPr>
          <w:rFonts w:ascii="Constantia" w:hAnsi="Constantia"/>
          <w:lang w:val="sr-Latn-CS"/>
        </w:rPr>
        <w:t>.</w:t>
      </w:r>
    </w:p>
    <w:p w:rsidR="00C62004" w:rsidRPr="006911A1" w:rsidRDefault="00C62004" w:rsidP="009623AF">
      <w:pPr>
        <w:tabs>
          <w:tab w:val="left" w:pos="5685"/>
        </w:tabs>
        <w:spacing w:after="0"/>
        <w:jc w:val="center"/>
        <w:rPr>
          <w:lang w:val="sr-Latn-CS"/>
        </w:rPr>
      </w:pPr>
      <w:r>
        <w:rPr>
          <w:b/>
          <w:noProof/>
          <w:sz w:val="20"/>
          <w:szCs w:val="20"/>
        </w:rPr>
        <w:lastRenderedPageBreak/>
        <w:drawing>
          <wp:inline distT="0" distB="0" distL="0" distR="0" wp14:anchorId="6FDB9EE2" wp14:editId="576B27D4">
            <wp:extent cx="2480807" cy="2266122"/>
            <wp:effectExtent l="0" t="0" r="0" b="0"/>
            <wp:docPr id="18" name="Picture 18" descr="C:\Users\Goca Djukanovic\Desktop\28ff7-gradin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oca Djukanovic\Desktop\28ff7-gradina2.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81479" cy="2266736"/>
                    </a:xfrm>
                    <a:prstGeom prst="rect">
                      <a:avLst/>
                    </a:prstGeom>
                    <a:noFill/>
                    <a:ln>
                      <a:noFill/>
                    </a:ln>
                  </pic:spPr>
                </pic:pic>
              </a:graphicData>
            </a:graphic>
          </wp:inline>
        </w:drawing>
      </w:r>
    </w:p>
    <w:p w:rsidR="008C18B6" w:rsidRPr="009623AF" w:rsidRDefault="00C62004" w:rsidP="009623AF">
      <w:pPr>
        <w:pStyle w:val="Slika"/>
        <w:tabs>
          <w:tab w:val="left" w:pos="0"/>
          <w:tab w:val="left" w:pos="900"/>
        </w:tabs>
        <w:spacing w:line="276" w:lineRule="auto"/>
        <w:ind w:left="0" w:firstLine="0"/>
        <w:rPr>
          <w:rFonts w:ascii="Constantia" w:eastAsia="Calibri" w:hAnsi="Constantia"/>
        </w:rPr>
      </w:pPr>
      <w:r w:rsidRPr="009623AF">
        <w:rPr>
          <w:rFonts w:ascii="Constantia" w:hAnsi="Constantia"/>
          <w:szCs w:val="22"/>
          <w:lang w:val="sr-Latn-CS"/>
        </w:rPr>
        <w:t>Mjerna</w:t>
      </w:r>
      <w:r w:rsidR="009E0FEF" w:rsidRPr="009623AF">
        <w:rPr>
          <w:rFonts w:ascii="Constantia" w:hAnsi="Constantia"/>
          <w:szCs w:val="22"/>
          <w:lang w:val="sr-Latn-CS"/>
        </w:rPr>
        <w:t xml:space="preserve"> stanic</w:t>
      </w:r>
      <w:r w:rsidRPr="009623AF">
        <w:rPr>
          <w:rFonts w:ascii="Constantia" w:hAnsi="Constantia"/>
          <w:szCs w:val="22"/>
          <w:lang w:val="sr-Latn-CS"/>
        </w:rPr>
        <w:t>a</w:t>
      </w:r>
      <w:r w:rsidR="001F0B5D" w:rsidRPr="009623AF">
        <w:rPr>
          <w:rFonts w:ascii="Constantia" w:hAnsi="Constantia"/>
          <w:szCs w:val="22"/>
          <w:lang w:val="sr-Latn-CS"/>
        </w:rPr>
        <w:t xml:space="preserve"> Gradina</w:t>
      </w:r>
      <w:r w:rsidRPr="009623AF">
        <w:rPr>
          <w:rFonts w:ascii="Constantia" w:hAnsi="Constantia"/>
          <w:szCs w:val="22"/>
          <w:lang w:val="sr-Latn-CS"/>
        </w:rPr>
        <w:t xml:space="preserve"> – selo Kru</w:t>
      </w:r>
      <w:r w:rsidRPr="009623AF">
        <w:rPr>
          <w:rFonts w:ascii="Constantia" w:hAnsi="Constantia"/>
          <w:szCs w:val="22"/>
        </w:rPr>
        <w:t>ševo</w:t>
      </w:r>
    </w:p>
    <w:p w:rsidR="008B4307" w:rsidRDefault="008B4307" w:rsidP="00156F5C">
      <w:pPr>
        <w:tabs>
          <w:tab w:val="left" w:pos="5685"/>
        </w:tabs>
        <w:spacing w:after="0"/>
        <w:rPr>
          <w:lang w:val="sr-Latn-CS"/>
        </w:rPr>
      </w:pPr>
    </w:p>
    <w:p w:rsidR="00901E3A" w:rsidRDefault="00470CBE" w:rsidP="00CA766E">
      <w:pPr>
        <w:spacing w:after="0"/>
        <w:rPr>
          <w:rFonts w:ascii="Constantia" w:hAnsi="Constantia"/>
          <w:lang w:val="sr-Latn-CS"/>
        </w:rPr>
      </w:pPr>
      <w:r w:rsidRPr="0099792A">
        <w:rPr>
          <w:rFonts w:ascii="Constantia" w:hAnsi="Constantia"/>
          <w:lang w:val="sr-Latn-CS"/>
        </w:rPr>
        <w:t xml:space="preserve">U </w:t>
      </w:r>
      <w:r w:rsidRPr="0099792A">
        <w:rPr>
          <w:rFonts w:ascii="Constantia" w:hAnsi="Constantia"/>
          <w:i/>
          <w:lang w:val="sr-Latn-CS"/>
        </w:rPr>
        <w:t>Tabeli</w:t>
      </w:r>
      <w:r w:rsidR="006B2B5E" w:rsidRPr="0099792A">
        <w:rPr>
          <w:rFonts w:ascii="Constantia" w:hAnsi="Constantia"/>
          <w:i/>
          <w:lang w:val="sr-Latn-CS"/>
        </w:rPr>
        <w:t xml:space="preserve"> 2</w:t>
      </w:r>
      <w:r w:rsidR="00AE2DD4" w:rsidRPr="0099792A">
        <w:rPr>
          <w:rFonts w:ascii="Constantia" w:hAnsi="Constantia"/>
          <w:i/>
          <w:lang w:val="sr-Latn-CS"/>
        </w:rPr>
        <w:t>.</w:t>
      </w:r>
      <w:r w:rsidR="00901E3A" w:rsidRPr="0099792A">
        <w:rPr>
          <w:rFonts w:ascii="Constantia" w:hAnsi="Constantia"/>
          <w:lang w:val="sr-Latn-CS"/>
        </w:rPr>
        <w:t xml:space="preserve"> su prikazane koncentracije </w:t>
      </w:r>
      <w:r w:rsidR="00901E3A" w:rsidRPr="0099792A">
        <w:rPr>
          <w:rFonts w:ascii="Constantia" w:hAnsi="Constantia"/>
        </w:rPr>
        <w:t>sumpor(IV)oksda (SO</w:t>
      </w:r>
      <w:r w:rsidR="00901E3A" w:rsidRPr="0099792A">
        <w:rPr>
          <w:rFonts w:ascii="Constantia" w:hAnsi="Constantia"/>
          <w:vertAlign w:val="subscript"/>
        </w:rPr>
        <w:t>2</w:t>
      </w:r>
      <w:r w:rsidR="00901E3A" w:rsidRPr="0099792A">
        <w:rPr>
          <w:rFonts w:ascii="Constantia" w:hAnsi="Constantia"/>
        </w:rPr>
        <w:t>)</w:t>
      </w:r>
      <w:r w:rsidR="00901E3A" w:rsidRPr="0099792A">
        <w:rPr>
          <w:rFonts w:ascii="Constantia" w:hAnsi="Constantia"/>
          <w:lang w:val="sr-Latn-CS"/>
        </w:rPr>
        <w:t xml:space="preserve"> u vazduhu (maksimalne</w:t>
      </w:r>
      <w:r w:rsidR="007F3731" w:rsidRPr="0099792A">
        <w:rPr>
          <w:rFonts w:ascii="Constantia" w:hAnsi="Constantia"/>
          <w:lang w:val="sr-Latn-CS"/>
        </w:rPr>
        <w:t>, minimalne i srednje</w:t>
      </w:r>
      <w:r w:rsidR="00901E3A" w:rsidRPr="0099792A">
        <w:rPr>
          <w:rFonts w:ascii="Constantia" w:hAnsi="Constantia"/>
          <w:lang w:val="sr-Latn-CS"/>
        </w:rPr>
        <w:t xml:space="preserve"> jednočasovne kon</w:t>
      </w:r>
      <w:r w:rsidR="00801DEC" w:rsidRPr="0099792A">
        <w:rPr>
          <w:rFonts w:ascii="Constantia" w:hAnsi="Constantia"/>
          <w:lang w:val="sr-Latn-CS"/>
        </w:rPr>
        <w:t>centracije) izmjerene tokom 2013</w:t>
      </w:r>
      <w:r w:rsidR="007F3731" w:rsidRPr="0099792A">
        <w:rPr>
          <w:rFonts w:ascii="Constantia" w:hAnsi="Constantia"/>
          <w:lang w:val="sr-Latn-CS"/>
        </w:rPr>
        <w:t>. godine, kao i broj časova validnih mjerenja.</w:t>
      </w:r>
    </w:p>
    <w:p w:rsidR="00CA766E" w:rsidRDefault="00CA766E" w:rsidP="00CA766E">
      <w:pPr>
        <w:spacing w:after="0"/>
        <w:rPr>
          <w:rFonts w:ascii="Constantia" w:hAnsi="Constantia"/>
          <w:lang w:val="sr-Latn-CS"/>
        </w:rPr>
      </w:pPr>
    </w:p>
    <w:tbl>
      <w:tblPr>
        <w:tblStyle w:val="LightList-Accent5"/>
        <w:tblW w:w="0" w:type="auto"/>
        <w:jc w:val="center"/>
        <w:tblLook w:val="01E0" w:firstRow="1" w:lastRow="1" w:firstColumn="1" w:lastColumn="1" w:noHBand="0" w:noVBand="0"/>
      </w:tblPr>
      <w:tblGrid>
        <w:gridCol w:w="6408"/>
        <w:gridCol w:w="2448"/>
      </w:tblGrid>
      <w:tr w:rsidR="000068B4" w:rsidRPr="0099792A" w:rsidTr="00F40E9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408" w:type="dxa"/>
          </w:tcPr>
          <w:p w:rsidR="000068B4" w:rsidRPr="0099792A" w:rsidRDefault="000068B4" w:rsidP="0061632D">
            <w:pPr>
              <w:rPr>
                <w:rFonts w:ascii="Constantia" w:hAnsi="Constantia"/>
                <w:color w:val="auto"/>
                <w:lang w:val="sr-Latn-CS"/>
              </w:rPr>
            </w:pPr>
            <w:r w:rsidRPr="0099792A">
              <w:rPr>
                <w:rFonts w:ascii="Constantia" w:hAnsi="Constantia"/>
                <w:color w:val="auto"/>
                <w:lang w:val="sr-Latn-CS"/>
              </w:rPr>
              <w:t>Broj časovnih mjerenja</w:t>
            </w:r>
          </w:p>
        </w:tc>
        <w:tc>
          <w:tcPr>
            <w:cnfStyle w:val="000100000000" w:firstRow="0" w:lastRow="0" w:firstColumn="0" w:lastColumn="1" w:oddVBand="0" w:evenVBand="0" w:oddHBand="0" w:evenHBand="0" w:firstRowFirstColumn="0" w:firstRowLastColumn="0" w:lastRowFirstColumn="0" w:lastRowLastColumn="0"/>
            <w:tcW w:w="2448" w:type="dxa"/>
          </w:tcPr>
          <w:p w:rsidR="000068B4" w:rsidRPr="0099792A" w:rsidRDefault="007B25F0" w:rsidP="0061632D">
            <w:pPr>
              <w:jc w:val="center"/>
              <w:rPr>
                <w:rFonts w:ascii="Constantia" w:hAnsi="Constantia"/>
                <w:color w:val="auto"/>
              </w:rPr>
            </w:pPr>
            <w:r w:rsidRPr="0099792A">
              <w:rPr>
                <w:rFonts w:ascii="Constantia" w:hAnsi="Constantia"/>
                <w:color w:val="auto"/>
              </w:rPr>
              <w:t>2</w:t>
            </w:r>
            <w:r w:rsidR="008F2922">
              <w:rPr>
                <w:rFonts w:ascii="Constantia" w:hAnsi="Constantia"/>
                <w:color w:val="auto"/>
              </w:rPr>
              <w:t xml:space="preserve"> </w:t>
            </w:r>
            <w:r w:rsidRPr="0099792A">
              <w:rPr>
                <w:rFonts w:ascii="Constantia" w:hAnsi="Constantia"/>
                <w:color w:val="auto"/>
              </w:rPr>
              <w:t>123</w:t>
            </w:r>
          </w:p>
        </w:tc>
      </w:tr>
      <w:tr w:rsidR="000068B4" w:rsidRPr="0099792A" w:rsidTr="00F40E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408" w:type="dxa"/>
          </w:tcPr>
          <w:p w:rsidR="000068B4" w:rsidRPr="0099792A" w:rsidRDefault="000068B4" w:rsidP="0061632D">
            <w:pPr>
              <w:rPr>
                <w:rFonts w:ascii="Constantia" w:hAnsi="Constantia"/>
                <w:lang w:val="sr-Latn-CS"/>
              </w:rPr>
            </w:pPr>
            <w:r w:rsidRPr="0099792A">
              <w:rPr>
                <w:rFonts w:ascii="Constantia" w:hAnsi="Constantia"/>
                <w:lang w:val="sr-Latn-CS"/>
              </w:rPr>
              <w:t>Minimalna časovna vrijednost (μg/m</w:t>
            </w:r>
            <w:r w:rsidRPr="0099792A">
              <w:rPr>
                <w:rFonts w:ascii="Constantia" w:hAnsi="Constantia"/>
                <w:vertAlign w:val="superscript"/>
                <w:lang w:val="sr-Latn-CS"/>
              </w:rPr>
              <w:t>3</w:t>
            </w:r>
            <w:r w:rsidRPr="0099792A">
              <w:rPr>
                <w:rFonts w:ascii="Constantia" w:hAnsi="Constantia"/>
                <w:lang w:val="sr-Latn-CS"/>
              </w:rPr>
              <w:t>)</w:t>
            </w:r>
          </w:p>
        </w:tc>
        <w:tc>
          <w:tcPr>
            <w:cnfStyle w:val="000100000000" w:firstRow="0" w:lastRow="0" w:firstColumn="0" w:lastColumn="1" w:oddVBand="0" w:evenVBand="0" w:oddHBand="0" w:evenHBand="0" w:firstRowFirstColumn="0" w:firstRowLastColumn="0" w:lastRowFirstColumn="0" w:lastRowLastColumn="0"/>
            <w:tcW w:w="2448" w:type="dxa"/>
          </w:tcPr>
          <w:p w:rsidR="000068B4" w:rsidRPr="0099792A" w:rsidRDefault="00D0580E" w:rsidP="0061632D">
            <w:pPr>
              <w:jc w:val="center"/>
              <w:rPr>
                <w:rFonts w:ascii="Constantia" w:hAnsi="Constantia"/>
              </w:rPr>
            </w:pPr>
            <w:r w:rsidRPr="0099792A">
              <w:rPr>
                <w:rFonts w:ascii="Constantia" w:hAnsi="Constantia"/>
              </w:rPr>
              <w:t>0,</w:t>
            </w:r>
            <w:r w:rsidR="007B25F0" w:rsidRPr="0099792A">
              <w:rPr>
                <w:rFonts w:ascii="Constantia" w:hAnsi="Constantia"/>
              </w:rPr>
              <w:t>26</w:t>
            </w:r>
          </w:p>
        </w:tc>
      </w:tr>
      <w:tr w:rsidR="000068B4" w:rsidRPr="0099792A" w:rsidTr="00F40E9F">
        <w:trPr>
          <w:jc w:val="center"/>
        </w:trPr>
        <w:tc>
          <w:tcPr>
            <w:cnfStyle w:val="001000000000" w:firstRow="0" w:lastRow="0" w:firstColumn="1" w:lastColumn="0" w:oddVBand="0" w:evenVBand="0" w:oddHBand="0" w:evenHBand="0" w:firstRowFirstColumn="0" w:firstRowLastColumn="0" w:lastRowFirstColumn="0" w:lastRowLastColumn="0"/>
            <w:tcW w:w="6408" w:type="dxa"/>
          </w:tcPr>
          <w:p w:rsidR="000068B4" w:rsidRPr="0099792A" w:rsidRDefault="000068B4" w:rsidP="0061632D">
            <w:pPr>
              <w:rPr>
                <w:rFonts w:ascii="Constantia" w:hAnsi="Constantia"/>
                <w:lang w:val="sr-Latn-CS"/>
              </w:rPr>
            </w:pPr>
            <w:r w:rsidRPr="0099792A">
              <w:rPr>
                <w:rFonts w:ascii="Constantia" w:hAnsi="Constantia"/>
                <w:lang w:val="sr-Latn-CS"/>
              </w:rPr>
              <w:t>Maksimalna časovna vrijednost (μg/m</w:t>
            </w:r>
            <w:r w:rsidRPr="0099792A">
              <w:rPr>
                <w:rFonts w:ascii="Constantia" w:hAnsi="Constantia"/>
                <w:vertAlign w:val="superscript"/>
                <w:lang w:val="sr-Latn-CS"/>
              </w:rPr>
              <w:t>3</w:t>
            </w:r>
            <w:r w:rsidRPr="0099792A">
              <w:rPr>
                <w:rFonts w:ascii="Constantia" w:hAnsi="Constantia"/>
                <w:lang w:val="sr-Latn-CS"/>
              </w:rPr>
              <w:t>)</w:t>
            </w:r>
          </w:p>
        </w:tc>
        <w:tc>
          <w:tcPr>
            <w:cnfStyle w:val="000100000000" w:firstRow="0" w:lastRow="0" w:firstColumn="0" w:lastColumn="1" w:oddVBand="0" w:evenVBand="0" w:oddHBand="0" w:evenHBand="0" w:firstRowFirstColumn="0" w:firstRowLastColumn="0" w:lastRowFirstColumn="0" w:lastRowLastColumn="0"/>
            <w:tcW w:w="2448" w:type="dxa"/>
          </w:tcPr>
          <w:p w:rsidR="000068B4" w:rsidRPr="0099792A" w:rsidRDefault="007B25F0" w:rsidP="0061632D">
            <w:pPr>
              <w:jc w:val="center"/>
              <w:rPr>
                <w:rFonts w:ascii="Constantia" w:hAnsi="Constantia"/>
              </w:rPr>
            </w:pPr>
            <w:r w:rsidRPr="0099792A">
              <w:rPr>
                <w:rFonts w:ascii="Constantia" w:hAnsi="Constantia"/>
              </w:rPr>
              <w:t>192,65</w:t>
            </w:r>
          </w:p>
        </w:tc>
      </w:tr>
      <w:tr w:rsidR="000068B4" w:rsidRPr="0099792A" w:rsidTr="00F40E9F">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408" w:type="dxa"/>
          </w:tcPr>
          <w:p w:rsidR="000068B4" w:rsidRPr="0099792A" w:rsidRDefault="000068B4" w:rsidP="0061632D">
            <w:pPr>
              <w:rPr>
                <w:rFonts w:ascii="Constantia" w:hAnsi="Constantia"/>
                <w:lang w:val="sr-Latn-CS"/>
              </w:rPr>
            </w:pPr>
            <w:r w:rsidRPr="0099792A">
              <w:rPr>
                <w:rFonts w:ascii="Constantia" w:hAnsi="Constantia"/>
                <w:lang w:val="sr-Latn-CS"/>
              </w:rPr>
              <w:t>Srednja vrijednost  časovnih vremena usrednjavanja (μg/m</w:t>
            </w:r>
            <w:r w:rsidRPr="0099792A">
              <w:rPr>
                <w:rFonts w:ascii="Constantia" w:hAnsi="Constantia"/>
                <w:vertAlign w:val="superscript"/>
                <w:lang w:val="sr-Latn-CS"/>
              </w:rPr>
              <w:t>3</w:t>
            </w:r>
            <w:r w:rsidRPr="0099792A">
              <w:rPr>
                <w:rFonts w:ascii="Constantia" w:hAnsi="Constantia"/>
                <w:lang w:val="sr-Latn-CS"/>
              </w:rPr>
              <w:t>)</w:t>
            </w:r>
          </w:p>
        </w:tc>
        <w:tc>
          <w:tcPr>
            <w:cnfStyle w:val="000100000000" w:firstRow="0" w:lastRow="0" w:firstColumn="0" w:lastColumn="1" w:oddVBand="0" w:evenVBand="0" w:oddHBand="0" w:evenHBand="0" w:firstRowFirstColumn="0" w:firstRowLastColumn="0" w:lastRowFirstColumn="0" w:lastRowLastColumn="0"/>
            <w:tcW w:w="2448" w:type="dxa"/>
          </w:tcPr>
          <w:p w:rsidR="000068B4" w:rsidRPr="0099792A" w:rsidRDefault="007B25F0" w:rsidP="0061632D">
            <w:pPr>
              <w:jc w:val="center"/>
              <w:rPr>
                <w:rFonts w:ascii="Constantia" w:hAnsi="Constantia"/>
              </w:rPr>
            </w:pPr>
            <w:r w:rsidRPr="0099792A">
              <w:rPr>
                <w:rFonts w:ascii="Constantia" w:hAnsi="Constantia"/>
              </w:rPr>
              <w:t>5,24</w:t>
            </w:r>
          </w:p>
        </w:tc>
      </w:tr>
    </w:tbl>
    <w:p w:rsidR="00F40E9F" w:rsidRPr="00F40E9F" w:rsidRDefault="00F40E9F" w:rsidP="00E25DE9">
      <w:pPr>
        <w:pStyle w:val="Tabele"/>
        <w:spacing w:before="0"/>
        <w:ind w:left="0" w:firstLine="0"/>
        <w:rPr>
          <w:rFonts w:ascii="Constantia" w:hAnsi="Constantia"/>
          <w:sz w:val="22"/>
          <w:szCs w:val="22"/>
        </w:rPr>
      </w:pPr>
      <w:r w:rsidRPr="00F40E9F">
        <w:rPr>
          <w:rFonts w:ascii="Constantia" w:hAnsi="Constantia"/>
          <w:sz w:val="22"/>
          <w:szCs w:val="22"/>
        </w:rPr>
        <w:t>Statistički podaci za sumpor(IV)oksid (SO</w:t>
      </w:r>
      <w:r w:rsidRPr="00F40E9F">
        <w:rPr>
          <w:rFonts w:ascii="Constantia" w:hAnsi="Constantia"/>
          <w:sz w:val="22"/>
          <w:szCs w:val="22"/>
          <w:vertAlign w:val="subscript"/>
        </w:rPr>
        <w:t>2</w:t>
      </w:r>
      <w:r w:rsidRPr="00F40E9F">
        <w:rPr>
          <w:rFonts w:ascii="Constantia" w:hAnsi="Constantia"/>
          <w:sz w:val="22"/>
          <w:szCs w:val="22"/>
        </w:rPr>
        <w:t xml:space="preserve">) na mjernom mjestu Gradina </w:t>
      </w:r>
    </w:p>
    <w:p w:rsidR="00273E78" w:rsidRPr="0099792A" w:rsidRDefault="00273E78" w:rsidP="00B75AC4">
      <w:pPr>
        <w:spacing w:before="240"/>
        <w:rPr>
          <w:rFonts w:ascii="Constantia" w:hAnsi="Constantia"/>
          <w:lang w:val="sr-Latn-CS"/>
        </w:rPr>
      </w:pPr>
      <w:r w:rsidRPr="0099792A">
        <w:rPr>
          <w:rFonts w:ascii="Constantia" w:hAnsi="Constantia"/>
          <w:lang w:val="sr-Latn-CS"/>
        </w:rPr>
        <w:t xml:space="preserve">Sve izmjerene vrijednosti </w:t>
      </w:r>
      <w:r w:rsidR="002814F8" w:rsidRPr="0099792A">
        <w:rPr>
          <w:rFonts w:ascii="Constantia" w:hAnsi="Constantia"/>
        </w:rPr>
        <w:t>sumpor(IV)oks</w:t>
      </w:r>
      <w:r w:rsidR="009E38CF" w:rsidRPr="0099792A">
        <w:rPr>
          <w:rFonts w:ascii="Constantia" w:hAnsi="Constantia"/>
        </w:rPr>
        <w:t>i</w:t>
      </w:r>
      <w:r w:rsidR="002814F8" w:rsidRPr="0099792A">
        <w:rPr>
          <w:rFonts w:ascii="Constantia" w:hAnsi="Constantia"/>
        </w:rPr>
        <w:t>da (SO</w:t>
      </w:r>
      <w:r w:rsidR="002814F8" w:rsidRPr="0099792A">
        <w:rPr>
          <w:rFonts w:ascii="Constantia" w:hAnsi="Constantia"/>
          <w:vertAlign w:val="subscript"/>
        </w:rPr>
        <w:t>2</w:t>
      </w:r>
      <w:r w:rsidR="002814F8" w:rsidRPr="0099792A">
        <w:rPr>
          <w:rFonts w:ascii="Constantia" w:hAnsi="Constantia"/>
        </w:rPr>
        <w:t>)</w:t>
      </w:r>
      <w:r w:rsidR="008F2922">
        <w:rPr>
          <w:rFonts w:ascii="Constantia" w:hAnsi="Constantia"/>
        </w:rPr>
        <w:t xml:space="preserve"> </w:t>
      </w:r>
      <w:r w:rsidRPr="0099792A">
        <w:rPr>
          <w:rFonts w:ascii="Constantia" w:hAnsi="Constantia"/>
          <w:lang w:val="sr-Latn-CS"/>
        </w:rPr>
        <w:t>posmatrane u odnosu na granične vrijednosti (jednočasovne srednje vrijednos</w:t>
      </w:r>
      <w:r w:rsidR="005767B8" w:rsidRPr="0099792A">
        <w:rPr>
          <w:rFonts w:ascii="Constantia" w:hAnsi="Constantia"/>
          <w:lang w:val="sr-Latn-CS"/>
        </w:rPr>
        <w:t>ti i dnevne srednje vrijednosti</w:t>
      </w:r>
      <w:r w:rsidRPr="0099792A">
        <w:rPr>
          <w:rFonts w:ascii="Constantia" w:hAnsi="Constantia"/>
          <w:lang w:val="sr-Latn-CS"/>
        </w:rPr>
        <w:t>) su bile ispod propisanih graničnih vrijednost od 350</w:t>
      </w:r>
      <w:r w:rsidR="008F2922">
        <w:rPr>
          <w:rFonts w:ascii="Constantia" w:hAnsi="Constantia"/>
          <w:lang w:val="sr-Latn-CS"/>
        </w:rPr>
        <w:t xml:space="preserve"> </w:t>
      </w:r>
      <w:r w:rsidRPr="0099792A">
        <w:rPr>
          <w:rFonts w:ascii="Constantia" w:hAnsi="Constantia"/>
          <w:lang w:val="sr-Latn-CS"/>
        </w:rPr>
        <w:t>μg/m</w:t>
      </w:r>
      <w:r w:rsidRPr="0099792A">
        <w:rPr>
          <w:rFonts w:ascii="Constantia" w:hAnsi="Constantia"/>
          <w:vertAlign w:val="superscript"/>
          <w:lang w:val="sr-Latn-CS"/>
        </w:rPr>
        <w:t>3</w:t>
      </w:r>
      <w:r w:rsidR="005767B8" w:rsidRPr="0099792A">
        <w:rPr>
          <w:rFonts w:ascii="Constantia" w:hAnsi="Constantia"/>
          <w:lang w:val="sr-Latn-CS"/>
        </w:rPr>
        <w:t>,</w:t>
      </w:r>
      <w:r w:rsidR="008C49AE" w:rsidRPr="0099792A">
        <w:rPr>
          <w:rFonts w:ascii="Constantia" w:hAnsi="Constantia"/>
          <w:lang w:val="sr-Latn-CS"/>
        </w:rPr>
        <w:t xml:space="preserve"> odnosno 125</w:t>
      </w:r>
      <w:r w:rsidR="008F2922">
        <w:rPr>
          <w:rFonts w:ascii="Constantia" w:hAnsi="Constantia"/>
          <w:lang w:val="sr-Latn-CS"/>
        </w:rPr>
        <w:t xml:space="preserve"> </w:t>
      </w:r>
      <w:r w:rsidRPr="0099792A">
        <w:rPr>
          <w:rFonts w:ascii="Constantia" w:hAnsi="Constantia"/>
          <w:lang w:val="sr-Latn-CS"/>
        </w:rPr>
        <w:t>μg/m</w:t>
      </w:r>
      <w:r w:rsidRPr="0099792A">
        <w:rPr>
          <w:rFonts w:ascii="Constantia" w:hAnsi="Constantia"/>
          <w:vertAlign w:val="superscript"/>
          <w:lang w:val="sr-Latn-CS"/>
        </w:rPr>
        <w:t>3</w:t>
      </w:r>
      <w:r w:rsidRPr="0099792A">
        <w:rPr>
          <w:rFonts w:ascii="Constantia" w:hAnsi="Constantia"/>
          <w:lang w:val="sr-Latn-CS"/>
        </w:rPr>
        <w:t>.</w:t>
      </w:r>
    </w:p>
    <w:p w:rsidR="00DC48A2" w:rsidRDefault="00DC48A2" w:rsidP="00156F5C">
      <w:pPr>
        <w:rPr>
          <w:rFonts w:ascii="Constantia" w:hAnsi="Constantia"/>
          <w:lang w:val="sr-Latn-CS"/>
        </w:rPr>
      </w:pPr>
      <w:r w:rsidRPr="0099792A">
        <w:rPr>
          <w:rFonts w:ascii="Constantia" w:hAnsi="Constantia"/>
          <w:lang w:val="sr-Latn-CS"/>
        </w:rPr>
        <w:t xml:space="preserve">U </w:t>
      </w:r>
      <w:r w:rsidRPr="0099792A">
        <w:rPr>
          <w:rFonts w:ascii="Constantia" w:hAnsi="Constantia"/>
          <w:i/>
          <w:lang w:val="sr-Latn-CS"/>
        </w:rPr>
        <w:t>Tabeli 3</w:t>
      </w:r>
      <w:r w:rsidR="0099792A" w:rsidRPr="0099792A">
        <w:rPr>
          <w:rFonts w:ascii="Constantia" w:hAnsi="Constantia"/>
          <w:i/>
          <w:lang w:val="sr-Latn-CS"/>
        </w:rPr>
        <w:t>.</w:t>
      </w:r>
      <w:r w:rsidRPr="0099792A">
        <w:rPr>
          <w:rFonts w:ascii="Constantia" w:hAnsi="Constantia"/>
          <w:lang w:val="sr-Latn-CS"/>
        </w:rPr>
        <w:t xml:space="preserve"> su prikazane koncentracije </w:t>
      </w:r>
      <w:r w:rsidRPr="0099792A">
        <w:rPr>
          <w:rFonts w:ascii="Constantia" w:hAnsi="Constantia"/>
        </w:rPr>
        <w:t>azot(IV)oksida (NO</w:t>
      </w:r>
      <w:r w:rsidRPr="0099792A">
        <w:rPr>
          <w:rFonts w:ascii="Constantia" w:hAnsi="Constantia"/>
          <w:vertAlign w:val="subscript"/>
        </w:rPr>
        <w:t>2</w:t>
      </w:r>
      <w:r w:rsidRPr="0099792A">
        <w:rPr>
          <w:rFonts w:ascii="Constantia" w:hAnsi="Constantia"/>
        </w:rPr>
        <w:t>)</w:t>
      </w:r>
      <w:r w:rsidR="008F2922">
        <w:rPr>
          <w:rFonts w:ascii="Constantia" w:hAnsi="Constantia"/>
        </w:rPr>
        <w:t xml:space="preserve"> </w:t>
      </w:r>
      <w:r w:rsidRPr="0099792A">
        <w:rPr>
          <w:rFonts w:ascii="Constantia" w:hAnsi="Constantia"/>
          <w:lang w:val="sr-Latn-CS"/>
        </w:rPr>
        <w:t>u vazduhu (maksimalne, minimalne i srednje jednočasovne kon</w:t>
      </w:r>
      <w:r w:rsidR="00B75C5B" w:rsidRPr="0099792A">
        <w:rPr>
          <w:rFonts w:ascii="Constantia" w:hAnsi="Constantia"/>
          <w:lang w:val="sr-Latn-CS"/>
        </w:rPr>
        <w:t>centracije) izmjerene tokom 2013</w:t>
      </w:r>
      <w:r w:rsidRPr="0099792A">
        <w:rPr>
          <w:rFonts w:ascii="Constantia" w:hAnsi="Constantia"/>
          <w:lang w:val="sr-Latn-CS"/>
        </w:rPr>
        <w:t>. godine, kao i broj časova validnih mjerenja.</w:t>
      </w:r>
    </w:p>
    <w:p w:rsidR="00F40E9F" w:rsidRDefault="00F40E9F" w:rsidP="008F2922">
      <w:pPr>
        <w:spacing w:after="0"/>
        <w:rPr>
          <w:rFonts w:ascii="Constantia" w:hAnsi="Constantia"/>
          <w:lang w:val="sr-Latn-CS"/>
        </w:rPr>
      </w:pPr>
    </w:p>
    <w:tbl>
      <w:tblPr>
        <w:tblStyle w:val="LightList-Accent5"/>
        <w:tblW w:w="8865" w:type="dxa"/>
        <w:jc w:val="center"/>
        <w:tblLook w:val="01E0" w:firstRow="1" w:lastRow="1" w:firstColumn="1" w:lastColumn="1" w:noHBand="0" w:noVBand="0"/>
      </w:tblPr>
      <w:tblGrid>
        <w:gridCol w:w="6408"/>
        <w:gridCol w:w="2457"/>
      </w:tblGrid>
      <w:tr w:rsidR="00DC48A2" w:rsidRPr="0099792A" w:rsidTr="00F40E9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408" w:type="dxa"/>
          </w:tcPr>
          <w:p w:rsidR="00DC48A2" w:rsidRPr="0099792A" w:rsidRDefault="00DC48A2" w:rsidP="0061632D">
            <w:pPr>
              <w:rPr>
                <w:rFonts w:ascii="Constantia" w:hAnsi="Constantia"/>
                <w:color w:val="auto"/>
              </w:rPr>
            </w:pPr>
            <w:r w:rsidRPr="0099792A">
              <w:rPr>
                <w:rFonts w:ascii="Constantia" w:hAnsi="Constantia"/>
                <w:color w:val="auto"/>
              </w:rPr>
              <w:t>Broj satnih mjerenja</w:t>
            </w:r>
          </w:p>
        </w:tc>
        <w:tc>
          <w:tcPr>
            <w:cnfStyle w:val="000100000000" w:firstRow="0" w:lastRow="0" w:firstColumn="0" w:lastColumn="1" w:oddVBand="0" w:evenVBand="0" w:oddHBand="0" w:evenHBand="0" w:firstRowFirstColumn="0" w:firstRowLastColumn="0" w:lastRowFirstColumn="0" w:lastRowLastColumn="0"/>
            <w:tcW w:w="2457" w:type="dxa"/>
          </w:tcPr>
          <w:p w:rsidR="00DC48A2" w:rsidRPr="0099792A" w:rsidRDefault="00B75C5B" w:rsidP="0061632D">
            <w:pPr>
              <w:jc w:val="center"/>
              <w:rPr>
                <w:rFonts w:ascii="Constantia" w:hAnsi="Constantia"/>
                <w:color w:val="auto"/>
              </w:rPr>
            </w:pPr>
            <w:r w:rsidRPr="0099792A">
              <w:rPr>
                <w:rFonts w:ascii="Constantia" w:hAnsi="Constantia"/>
                <w:color w:val="auto"/>
              </w:rPr>
              <w:t>2</w:t>
            </w:r>
            <w:r w:rsidR="008F2922">
              <w:rPr>
                <w:rFonts w:ascii="Constantia" w:hAnsi="Constantia"/>
                <w:color w:val="auto"/>
              </w:rPr>
              <w:t xml:space="preserve"> </w:t>
            </w:r>
            <w:r w:rsidRPr="0099792A">
              <w:rPr>
                <w:rFonts w:ascii="Constantia" w:hAnsi="Constantia"/>
                <w:color w:val="auto"/>
              </w:rPr>
              <w:t>251</w:t>
            </w:r>
          </w:p>
        </w:tc>
      </w:tr>
      <w:tr w:rsidR="00DC48A2" w:rsidRPr="0099792A" w:rsidTr="00F40E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408" w:type="dxa"/>
          </w:tcPr>
          <w:p w:rsidR="00DC48A2" w:rsidRPr="0099792A" w:rsidRDefault="00DC48A2" w:rsidP="0061632D">
            <w:pPr>
              <w:rPr>
                <w:rFonts w:ascii="Constantia" w:hAnsi="Constantia"/>
                <w:lang w:val="pl-PL"/>
              </w:rPr>
            </w:pPr>
            <w:r w:rsidRPr="0099792A">
              <w:rPr>
                <w:rFonts w:ascii="Constantia" w:hAnsi="Constantia"/>
                <w:lang w:val="pl-PL"/>
              </w:rPr>
              <w:t>Minimalna časovna vrijednost (</w:t>
            </w:r>
            <w:r w:rsidRPr="0099792A">
              <w:rPr>
                <w:rFonts w:ascii="Constantia" w:hAnsi="Constantia"/>
              </w:rPr>
              <w:t>μ</w:t>
            </w:r>
            <w:r w:rsidRPr="0099792A">
              <w:rPr>
                <w:rFonts w:ascii="Constantia" w:hAnsi="Constantia"/>
                <w:lang w:val="pl-PL"/>
              </w:rPr>
              <w:t>g/m</w:t>
            </w:r>
            <w:r w:rsidRPr="0099792A">
              <w:rPr>
                <w:rFonts w:ascii="Constantia" w:hAnsi="Constantia"/>
                <w:vertAlign w:val="superscript"/>
                <w:lang w:val="pl-PL"/>
              </w:rPr>
              <w:t>3</w:t>
            </w:r>
            <w:r w:rsidRPr="0099792A">
              <w:rPr>
                <w:rFonts w:ascii="Constantia" w:hAnsi="Constantia"/>
                <w:lang w:val="pl-PL"/>
              </w:rPr>
              <w:t>)</w:t>
            </w:r>
          </w:p>
        </w:tc>
        <w:tc>
          <w:tcPr>
            <w:cnfStyle w:val="000100000000" w:firstRow="0" w:lastRow="0" w:firstColumn="0" w:lastColumn="1" w:oddVBand="0" w:evenVBand="0" w:oddHBand="0" w:evenHBand="0" w:firstRowFirstColumn="0" w:firstRowLastColumn="0" w:lastRowFirstColumn="0" w:lastRowLastColumn="0"/>
            <w:tcW w:w="2457" w:type="dxa"/>
          </w:tcPr>
          <w:p w:rsidR="00DC48A2" w:rsidRPr="0099792A" w:rsidRDefault="00B75C5B" w:rsidP="0061632D">
            <w:pPr>
              <w:jc w:val="center"/>
              <w:rPr>
                <w:rFonts w:ascii="Constantia" w:hAnsi="Constantia"/>
              </w:rPr>
            </w:pPr>
            <w:r w:rsidRPr="0099792A">
              <w:rPr>
                <w:rFonts w:ascii="Constantia" w:hAnsi="Constantia"/>
              </w:rPr>
              <w:t>0,</w:t>
            </w:r>
            <w:r w:rsidR="00DC48A2" w:rsidRPr="0099792A">
              <w:rPr>
                <w:rFonts w:ascii="Constantia" w:hAnsi="Constantia"/>
              </w:rPr>
              <w:t>25</w:t>
            </w:r>
          </w:p>
        </w:tc>
      </w:tr>
      <w:tr w:rsidR="00DC48A2" w:rsidRPr="0099792A" w:rsidTr="00F40E9F">
        <w:trPr>
          <w:jc w:val="center"/>
        </w:trPr>
        <w:tc>
          <w:tcPr>
            <w:cnfStyle w:val="001000000000" w:firstRow="0" w:lastRow="0" w:firstColumn="1" w:lastColumn="0" w:oddVBand="0" w:evenVBand="0" w:oddHBand="0" w:evenHBand="0" w:firstRowFirstColumn="0" w:firstRowLastColumn="0" w:lastRowFirstColumn="0" w:lastRowLastColumn="0"/>
            <w:tcW w:w="6408" w:type="dxa"/>
          </w:tcPr>
          <w:p w:rsidR="00DC48A2" w:rsidRPr="0099792A" w:rsidRDefault="00DC48A2" w:rsidP="0061632D">
            <w:pPr>
              <w:rPr>
                <w:rFonts w:ascii="Constantia" w:hAnsi="Constantia"/>
                <w:lang w:val="sr-Latn-CS"/>
              </w:rPr>
            </w:pPr>
            <w:r w:rsidRPr="0099792A">
              <w:rPr>
                <w:rFonts w:ascii="Constantia" w:hAnsi="Constantia"/>
                <w:lang w:val="sr-Latn-CS"/>
              </w:rPr>
              <w:t>Maksimalna časovna vrijednost (</w:t>
            </w:r>
            <w:r w:rsidRPr="0099792A">
              <w:rPr>
                <w:rFonts w:ascii="Constantia" w:hAnsi="Constantia"/>
              </w:rPr>
              <w:t>μ</w:t>
            </w:r>
            <w:r w:rsidRPr="0099792A">
              <w:rPr>
                <w:rFonts w:ascii="Constantia" w:hAnsi="Constantia"/>
                <w:lang w:val="sr-Latn-CS"/>
              </w:rPr>
              <w:t>g/m</w:t>
            </w:r>
            <w:r w:rsidRPr="0099792A">
              <w:rPr>
                <w:rFonts w:ascii="Constantia" w:hAnsi="Constantia"/>
                <w:vertAlign w:val="superscript"/>
                <w:lang w:val="sr-Latn-CS"/>
              </w:rPr>
              <w:t>3</w:t>
            </w:r>
            <w:r w:rsidRPr="0099792A">
              <w:rPr>
                <w:rFonts w:ascii="Constantia" w:hAnsi="Constantia"/>
                <w:lang w:val="sr-Latn-CS"/>
              </w:rPr>
              <w:t>)</w:t>
            </w:r>
          </w:p>
        </w:tc>
        <w:tc>
          <w:tcPr>
            <w:cnfStyle w:val="000100000000" w:firstRow="0" w:lastRow="0" w:firstColumn="0" w:lastColumn="1" w:oddVBand="0" w:evenVBand="0" w:oddHBand="0" w:evenHBand="0" w:firstRowFirstColumn="0" w:firstRowLastColumn="0" w:lastRowFirstColumn="0" w:lastRowLastColumn="0"/>
            <w:tcW w:w="2457" w:type="dxa"/>
          </w:tcPr>
          <w:p w:rsidR="00DC48A2" w:rsidRPr="0099792A" w:rsidRDefault="00B75C5B" w:rsidP="0061632D">
            <w:pPr>
              <w:jc w:val="center"/>
              <w:rPr>
                <w:rFonts w:ascii="Constantia" w:hAnsi="Constantia"/>
              </w:rPr>
            </w:pPr>
            <w:r w:rsidRPr="0099792A">
              <w:rPr>
                <w:rFonts w:ascii="Constantia" w:hAnsi="Constantia"/>
              </w:rPr>
              <w:t>38,18</w:t>
            </w:r>
          </w:p>
        </w:tc>
      </w:tr>
      <w:tr w:rsidR="00DC48A2" w:rsidRPr="0099792A" w:rsidTr="00F40E9F">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408" w:type="dxa"/>
          </w:tcPr>
          <w:p w:rsidR="00DC48A2" w:rsidRPr="0099792A" w:rsidRDefault="00DC48A2" w:rsidP="00B6381C">
            <w:pPr>
              <w:rPr>
                <w:rFonts w:ascii="Constantia" w:hAnsi="Constantia"/>
                <w:lang w:val="sr-Latn-CS"/>
              </w:rPr>
            </w:pPr>
            <w:r w:rsidRPr="0099792A">
              <w:rPr>
                <w:rFonts w:ascii="Constantia" w:hAnsi="Constantia"/>
                <w:lang w:val="sr-Latn-CS"/>
              </w:rPr>
              <w:t>Srednja vrijednost časovnih vremena usrednjavanja (</w:t>
            </w:r>
            <w:r w:rsidRPr="0099792A">
              <w:rPr>
                <w:rFonts w:ascii="Constantia" w:hAnsi="Constantia"/>
              </w:rPr>
              <w:t>μ</w:t>
            </w:r>
            <w:r w:rsidRPr="0099792A">
              <w:rPr>
                <w:rFonts w:ascii="Constantia" w:hAnsi="Constantia"/>
                <w:lang w:val="sr-Latn-CS"/>
              </w:rPr>
              <w:t>g/m</w:t>
            </w:r>
            <w:r w:rsidRPr="0099792A">
              <w:rPr>
                <w:rFonts w:ascii="Constantia" w:hAnsi="Constantia"/>
                <w:vertAlign w:val="superscript"/>
                <w:lang w:val="sr-Latn-CS"/>
              </w:rPr>
              <w:t>3</w:t>
            </w:r>
            <w:r w:rsidRPr="0099792A">
              <w:rPr>
                <w:rFonts w:ascii="Constantia" w:hAnsi="Constantia"/>
                <w:lang w:val="sr-Latn-CS"/>
              </w:rPr>
              <w:t>)</w:t>
            </w:r>
          </w:p>
        </w:tc>
        <w:tc>
          <w:tcPr>
            <w:cnfStyle w:val="000100000000" w:firstRow="0" w:lastRow="0" w:firstColumn="0" w:lastColumn="1" w:oddVBand="0" w:evenVBand="0" w:oddHBand="0" w:evenHBand="0" w:firstRowFirstColumn="0" w:firstRowLastColumn="0" w:lastRowFirstColumn="0" w:lastRowLastColumn="0"/>
            <w:tcW w:w="2457" w:type="dxa"/>
          </w:tcPr>
          <w:p w:rsidR="00DC48A2" w:rsidRPr="0099792A" w:rsidRDefault="00B75C5B" w:rsidP="0061632D">
            <w:pPr>
              <w:jc w:val="center"/>
              <w:rPr>
                <w:rFonts w:ascii="Constantia" w:hAnsi="Constantia"/>
              </w:rPr>
            </w:pPr>
            <w:r w:rsidRPr="0099792A">
              <w:rPr>
                <w:rFonts w:ascii="Constantia" w:hAnsi="Constantia"/>
              </w:rPr>
              <w:t>1,77</w:t>
            </w:r>
          </w:p>
        </w:tc>
      </w:tr>
    </w:tbl>
    <w:p w:rsidR="00F40E9F" w:rsidRPr="00F40E9F" w:rsidRDefault="00F40E9F" w:rsidP="00E25DE9">
      <w:pPr>
        <w:pStyle w:val="Tabele"/>
        <w:ind w:left="0" w:firstLine="0"/>
        <w:rPr>
          <w:rFonts w:ascii="Constantia" w:hAnsi="Constantia"/>
          <w:sz w:val="22"/>
          <w:szCs w:val="22"/>
        </w:rPr>
      </w:pPr>
      <w:r w:rsidRPr="00F40E9F">
        <w:rPr>
          <w:rFonts w:ascii="Constantia" w:hAnsi="Constantia"/>
          <w:sz w:val="22"/>
          <w:szCs w:val="22"/>
        </w:rPr>
        <w:t>Statistički podaci za azot(IV)oksida (NO</w:t>
      </w:r>
      <w:r w:rsidRPr="00F40E9F">
        <w:rPr>
          <w:rFonts w:ascii="Constantia" w:hAnsi="Constantia"/>
          <w:sz w:val="22"/>
          <w:szCs w:val="22"/>
          <w:vertAlign w:val="subscript"/>
        </w:rPr>
        <w:t>2</w:t>
      </w:r>
      <w:r w:rsidRPr="00F40E9F">
        <w:rPr>
          <w:rFonts w:ascii="Constantia" w:hAnsi="Constantia"/>
          <w:sz w:val="22"/>
          <w:szCs w:val="22"/>
        </w:rPr>
        <w:t>) na mjernom mjestu Gradina</w:t>
      </w:r>
    </w:p>
    <w:p w:rsidR="00710449" w:rsidRPr="0099792A" w:rsidRDefault="00710449" w:rsidP="00B6381C">
      <w:pPr>
        <w:tabs>
          <w:tab w:val="left" w:pos="5685"/>
        </w:tabs>
        <w:spacing w:before="240"/>
        <w:rPr>
          <w:rFonts w:ascii="Constantia" w:hAnsi="Constantia"/>
          <w:lang w:val="sr-Latn-CS"/>
        </w:rPr>
      </w:pPr>
      <w:r w:rsidRPr="0099792A">
        <w:rPr>
          <w:rFonts w:ascii="Constantia" w:hAnsi="Constantia"/>
          <w:lang w:val="sr-Latn-CS"/>
        </w:rPr>
        <w:t>Sve j</w:t>
      </w:r>
      <w:r w:rsidR="00273E78" w:rsidRPr="0099792A">
        <w:rPr>
          <w:rFonts w:ascii="Constantia" w:hAnsi="Constantia"/>
          <w:lang w:val="sr-Latn-CS"/>
        </w:rPr>
        <w:t xml:space="preserve">ednočasovne srednje vrijednosti </w:t>
      </w:r>
      <w:r w:rsidRPr="0099792A">
        <w:rPr>
          <w:rFonts w:ascii="Constantia" w:hAnsi="Constantia"/>
        </w:rPr>
        <w:t>azot(IV)oksida (NO</w:t>
      </w:r>
      <w:r w:rsidRPr="0099792A">
        <w:rPr>
          <w:rFonts w:ascii="Constantia" w:hAnsi="Constantia"/>
          <w:vertAlign w:val="subscript"/>
        </w:rPr>
        <w:t>2</w:t>
      </w:r>
      <w:r w:rsidRPr="0099792A">
        <w:rPr>
          <w:rFonts w:ascii="Constantia" w:hAnsi="Constantia"/>
        </w:rPr>
        <w:t xml:space="preserve">) bile </w:t>
      </w:r>
      <w:r w:rsidR="00273E78" w:rsidRPr="0099792A">
        <w:rPr>
          <w:rFonts w:ascii="Constantia" w:hAnsi="Constantia"/>
          <w:lang w:val="sr-Latn-CS"/>
        </w:rPr>
        <w:t>su ispod propis</w:t>
      </w:r>
      <w:r w:rsidR="008C49AE" w:rsidRPr="0099792A">
        <w:rPr>
          <w:rFonts w:ascii="Constantia" w:hAnsi="Constantia"/>
          <w:lang w:val="sr-Latn-CS"/>
        </w:rPr>
        <w:t>anih graničnih vrijednosti (200</w:t>
      </w:r>
      <w:r w:rsidR="008F2922">
        <w:rPr>
          <w:rFonts w:ascii="Constantia" w:hAnsi="Constantia"/>
          <w:lang w:val="sr-Latn-CS"/>
        </w:rPr>
        <w:t xml:space="preserve"> </w:t>
      </w:r>
      <w:r w:rsidR="00273E78" w:rsidRPr="0099792A">
        <w:rPr>
          <w:rFonts w:ascii="Constantia" w:hAnsi="Constantia"/>
          <w:lang w:val="sr-Latn-CS"/>
        </w:rPr>
        <w:t>μg/m</w:t>
      </w:r>
      <w:r w:rsidR="00273E78" w:rsidRPr="0099792A">
        <w:rPr>
          <w:rFonts w:ascii="Constantia" w:hAnsi="Constantia"/>
          <w:vertAlign w:val="superscript"/>
          <w:lang w:val="sr-Latn-CS"/>
        </w:rPr>
        <w:t>3</w:t>
      </w:r>
      <w:r w:rsidR="00273E78" w:rsidRPr="0099792A">
        <w:rPr>
          <w:rFonts w:ascii="Constantia" w:hAnsi="Constantia"/>
          <w:lang w:val="sr-Latn-CS"/>
        </w:rPr>
        <w:t xml:space="preserve">). </w:t>
      </w:r>
    </w:p>
    <w:p w:rsidR="006943DD" w:rsidRPr="003C4C88" w:rsidRDefault="00F07886" w:rsidP="007468D3">
      <w:pPr>
        <w:pStyle w:val="Heading3"/>
      </w:pPr>
      <w:bookmarkStart w:id="11" w:name="_Toc393897859"/>
      <w:r>
        <w:lastRenderedPageBreak/>
        <w:t xml:space="preserve">1.1.6   </w:t>
      </w:r>
      <w:r w:rsidR="006943DD" w:rsidRPr="007468D3">
        <w:t>Golubovci</w:t>
      </w:r>
      <w:r w:rsidR="006943DD" w:rsidRPr="003C4C88">
        <w:t xml:space="preserve"> (Tomića Ub</w:t>
      </w:r>
      <w:r w:rsidR="00F9661F" w:rsidRPr="003C4C88">
        <w:t>a</w:t>
      </w:r>
      <w:r w:rsidR="006943DD" w:rsidRPr="003C4C88">
        <w:t>)</w:t>
      </w:r>
      <w:bookmarkEnd w:id="11"/>
    </w:p>
    <w:p w:rsidR="00C809AB" w:rsidRPr="003C4C88" w:rsidRDefault="005F2A63" w:rsidP="005F2A63">
      <w:pPr>
        <w:tabs>
          <w:tab w:val="left" w:pos="5685"/>
        </w:tabs>
        <w:rPr>
          <w:rFonts w:ascii="Constantia" w:hAnsi="Constantia"/>
          <w:b/>
        </w:rPr>
      </w:pPr>
      <w:r w:rsidRPr="003C4C88">
        <w:rPr>
          <w:rFonts w:ascii="Constantia" w:hAnsi="Constantia"/>
        </w:rPr>
        <w:t>U Golubovcima</w:t>
      </w:r>
      <w:r w:rsidR="00B97F7D">
        <w:rPr>
          <w:rFonts w:ascii="Constantia" w:hAnsi="Constantia"/>
        </w:rPr>
        <w:t>,</w:t>
      </w:r>
      <w:r w:rsidRPr="003C4C88">
        <w:rPr>
          <w:rFonts w:ascii="Constantia" w:hAnsi="Constantia"/>
        </w:rPr>
        <w:t xml:space="preserve"> na lokaciji Tomića Uba</w:t>
      </w:r>
      <w:r w:rsidR="00B97F7D">
        <w:rPr>
          <w:rFonts w:ascii="Constantia" w:hAnsi="Constantia"/>
        </w:rPr>
        <w:t>,</w:t>
      </w:r>
      <w:r w:rsidRPr="003C4C88">
        <w:rPr>
          <w:rFonts w:ascii="Constantia" w:hAnsi="Constantia"/>
        </w:rPr>
        <w:t xml:space="preserve"> vršeno je automatsko mjerenje:</w:t>
      </w:r>
      <w:r w:rsidR="0023338F">
        <w:rPr>
          <w:rFonts w:ascii="Constantia" w:hAnsi="Constantia"/>
        </w:rPr>
        <w:t xml:space="preserve"> </w:t>
      </w:r>
      <w:r w:rsidRPr="003C4C88">
        <w:rPr>
          <w:rFonts w:ascii="Constantia" w:hAnsi="Constantia"/>
          <w:b/>
        </w:rPr>
        <w:t xml:space="preserve">azot(II)oksida </w:t>
      </w:r>
      <w:r w:rsidRPr="003C4C88">
        <w:rPr>
          <w:rFonts w:ascii="Constantia" w:hAnsi="Constantia"/>
          <w:b/>
          <w:lang w:val="sr-Latn-CS"/>
        </w:rPr>
        <w:t>(NO)</w:t>
      </w:r>
      <w:r w:rsidRPr="003C4C88">
        <w:rPr>
          <w:rFonts w:ascii="Constantia" w:hAnsi="Constantia"/>
          <w:b/>
        </w:rPr>
        <w:t>, azot(IV)oksida (NO</w:t>
      </w:r>
      <w:r w:rsidRPr="003C4C88">
        <w:rPr>
          <w:rFonts w:ascii="Constantia" w:hAnsi="Constantia"/>
          <w:b/>
          <w:vertAlign w:val="subscript"/>
        </w:rPr>
        <w:t>2</w:t>
      </w:r>
      <w:r w:rsidRPr="003C4C88">
        <w:rPr>
          <w:rFonts w:ascii="Constantia" w:hAnsi="Constantia"/>
          <w:b/>
        </w:rPr>
        <w:t>), ukupnih azotnih oksida (NO</w:t>
      </w:r>
      <w:r w:rsidRPr="003C4C88">
        <w:rPr>
          <w:rFonts w:ascii="Constantia" w:hAnsi="Constantia"/>
          <w:b/>
          <w:vertAlign w:val="subscript"/>
        </w:rPr>
        <w:t>x</w:t>
      </w:r>
      <w:r w:rsidRPr="003C4C88">
        <w:rPr>
          <w:rFonts w:ascii="Constantia" w:hAnsi="Constantia"/>
          <w:b/>
        </w:rPr>
        <w:t xml:space="preserve">).  </w:t>
      </w:r>
    </w:p>
    <w:p w:rsidR="00AE2DD4" w:rsidRPr="003C4C88" w:rsidRDefault="00AE2DD4" w:rsidP="005F2A63">
      <w:pPr>
        <w:tabs>
          <w:tab w:val="left" w:pos="5685"/>
        </w:tabs>
        <w:rPr>
          <w:rFonts w:ascii="Constantia" w:hAnsi="Constantia"/>
          <w:b/>
        </w:rPr>
      </w:pPr>
    </w:p>
    <w:p w:rsidR="00C809AB" w:rsidRDefault="00C809AB" w:rsidP="00C809AB">
      <w:pPr>
        <w:tabs>
          <w:tab w:val="left" w:pos="5685"/>
        </w:tabs>
        <w:jc w:val="center"/>
      </w:pPr>
      <w:r>
        <w:rPr>
          <w:noProof/>
        </w:rPr>
        <w:drawing>
          <wp:inline distT="0" distB="0" distL="0" distR="0" wp14:anchorId="44E3E73A" wp14:editId="762A7588">
            <wp:extent cx="1843088" cy="2286000"/>
            <wp:effectExtent l="0" t="0" r="0" b="0"/>
            <wp:docPr id="19" name="Picture 19" descr="C:\Users\Goca Djukanovic\Desktop\37b5a-golubovc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oca Djukanovic\Desktop\37b5a-golubovci.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46606" cy="2290364"/>
                    </a:xfrm>
                    <a:prstGeom prst="rect">
                      <a:avLst/>
                    </a:prstGeom>
                    <a:noFill/>
                    <a:ln>
                      <a:noFill/>
                    </a:ln>
                  </pic:spPr>
                </pic:pic>
              </a:graphicData>
            </a:graphic>
          </wp:inline>
        </w:drawing>
      </w:r>
    </w:p>
    <w:p w:rsidR="002C207B" w:rsidRPr="009D06E6" w:rsidRDefault="002C207B" w:rsidP="009D06E6">
      <w:pPr>
        <w:pStyle w:val="Slika"/>
        <w:tabs>
          <w:tab w:val="left" w:pos="0"/>
          <w:tab w:val="left" w:pos="900"/>
        </w:tabs>
        <w:spacing w:line="276" w:lineRule="auto"/>
        <w:ind w:left="0" w:firstLine="0"/>
        <w:rPr>
          <w:rFonts w:ascii="Constantia" w:eastAsia="Calibri" w:hAnsi="Constantia"/>
        </w:rPr>
      </w:pPr>
      <w:r w:rsidRPr="009D06E6">
        <w:rPr>
          <w:rFonts w:ascii="Constantia" w:hAnsi="Constantia"/>
          <w:szCs w:val="22"/>
          <w:lang w:val="sr-Latn-CS"/>
        </w:rPr>
        <w:t>Mjerna stanica Golubovci</w:t>
      </w:r>
    </w:p>
    <w:p w:rsidR="00563B47" w:rsidRPr="003C4C88" w:rsidRDefault="00563B47" w:rsidP="00563B47">
      <w:pPr>
        <w:tabs>
          <w:tab w:val="left" w:pos="5685"/>
        </w:tabs>
        <w:spacing w:after="0"/>
        <w:jc w:val="center"/>
        <w:rPr>
          <w:i/>
        </w:rPr>
      </w:pPr>
    </w:p>
    <w:p w:rsidR="001D7C3F" w:rsidRDefault="001D7C3F" w:rsidP="001D7C3F">
      <w:pPr>
        <w:rPr>
          <w:rFonts w:ascii="Constantia" w:hAnsi="Constantia"/>
          <w:lang w:val="sr-Latn-CS"/>
        </w:rPr>
      </w:pPr>
      <w:r w:rsidRPr="003C4C88">
        <w:rPr>
          <w:rFonts w:ascii="Constantia" w:hAnsi="Constantia"/>
          <w:lang w:val="sr-Latn-CS"/>
        </w:rPr>
        <w:t xml:space="preserve">U </w:t>
      </w:r>
      <w:r w:rsidRPr="003C4C88">
        <w:rPr>
          <w:rFonts w:ascii="Constantia" w:hAnsi="Constantia"/>
          <w:i/>
          <w:lang w:val="sr-Latn-CS"/>
        </w:rPr>
        <w:t>Tabeli 4</w:t>
      </w:r>
      <w:r w:rsidR="00AE2DD4" w:rsidRPr="003C4C88">
        <w:rPr>
          <w:rFonts w:ascii="Constantia" w:hAnsi="Constantia"/>
          <w:i/>
          <w:lang w:val="sr-Latn-CS"/>
        </w:rPr>
        <w:t>.</w:t>
      </w:r>
      <w:r w:rsidRPr="003C4C88">
        <w:rPr>
          <w:rFonts w:ascii="Constantia" w:hAnsi="Constantia"/>
          <w:lang w:val="sr-Latn-CS"/>
        </w:rPr>
        <w:t xml:space="preserve"> su prikazane koncentracije </w:t>
      </w:r>
      <w:r w:rsidRPr="003C4C88">
        <w:rPr>
          <w:rFonts w:ascii="Constantia" w:hAnsi="Constantia"/>
        </w:rPr>
        <w:t>azot(IV)oksida (NO</w:t>
      </w:r>
      <w:r w:rsidRPr="003C4C88">
        <w:rPr>
          <w:rFonts w:ascii="Constantia" w:hAnsi="Constantia"/>
          <w:vertAlign w:val="subscript"/>
        </w:rPr>
        <w:t>2</w:t>
      </w:r>
      <w:r w:rsidRPr="003C4C88">
        <w:rPr>
          <w:rFonts w:ascii="Constantia" w:hAnsi="Constantia"/>
        </w:rPr>
        <w:t>)</w:t>
      </w:r>
      <w:r w:rsidRPr="003C4C88">
        <w:rPr>
          <w:rFonts w:ascii="Constantia" w:hAnsi="Constantia"/>
          <w:lang w:val="sr-Latn-CS"/>
        </w:rPr>
        <w:t>u vazduhu (maksimalne, minimalne i srednje jednočasovne kon</w:t>
      </w:r>
      <w:r w:rsidR="00C809AB" w:rsidRPr="003C4C88">
        <w:rPr>
          <w:rFonts w:ascii="Constantia" w:hAnsi="Constantia"/>
          <w:lang w:val="sr-Latn-CS"/>
        </w:rPr>
        <w:t>centracije) izmjerene tokom 2013</w:t>
      </w:r>
      <w:r w:rsidRPr="003C4C88">
        <w:rPr>
          <w:rFonts w:ascii="Constantia" w:hAnsi="Constantia"/>
          <w:lang w:val="sr-Latn-CS"/>
        </w:rPr>
        <w:t>. godine, kao i broj časova validnih mjerenja.</w:t>
      </w:r>
    </w:p>
    <w:p w:rsidR="006B1ED3" w:rsidRDefault="006B1ED3" w:rsidP="001D7C3F">
      <w:pPr>
        <w:rPr>
          <w:rFonts w:ascii="Constantia" w:hAnsi="Constantia"/>
          <w:lang w:val="sr-Latn-CS"/>
        </w:rPr>
      </w:pPr>
    </w:p>
    <w:tbl>
      <w:tblPr>
        <w:tblStyle w:val="LightList-Accent5"/>
        <w:tblW w:w="8865" w:type="dxa"/>
        <w:jc w:val="center"/>
        <w:tblLook w:val="01E0" w:firstRow="1" w:lastRow="1" w:firstColumn="1" w:lastColumn="1" w:noHBand="0" w:noVBand="0"/>
      </w:tblPr>
      <w:tblGrid>
        <w:gridCol w:w="6408"/>
        <w:gridCol w:w="2457"/>
      </w:tblGrid>
      <w:tr w:rsidR="006B1ED3" w:rsidRPr="003C4C88" w:rsidTr="006B1ED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408" w:type="dxa"/>
          </w:tcPr>
          <w:p w:rsidR="006B1ED3" w:rsidRPr="003C4C88" w:rsidRDefault="006B1ED3" w:rsidP="004E680E">
            <w:pPr>
              <w:rPr>
                <w:rFonts w:ascii="Constantia" w:hAnsi="Constantia"/>
                <w:color w:val="auto"/>
              </w:rPr>
            </w:pPr>
            <w:r w:rsidRPr="003C4C88">
              <w:rPr>
                <w:rFonts w:ascii="Constantia" w:hAnsi="Constantia"/>
                <w:color w:val="auto"/>
              </w:rPr>
              <w:t>Broj satnih mjerenja</w:t>
            </w:r>
          </w:p>
        </w:tc>
        <w:tc>
          <w:tcPr>
            <w:cnfStyle w:val="000100000000" w:firstRow="0" w:lastRow="0" w:firstColumn="0" w:lastColumn="1" w:oddVBand="0" w:evenVBand="0" w:oddHBand="0" w:evenHBand="0" w:firstRowFirstColumn="0" w:firstRowLastColumn="0" w:lastRowFirstColumn="0" w:lastRowLastColumn="0"/>
            <w:tcW w:w="2457" w:type="dxa"/>
          </w:tcPr>
          <w:p w:rsidR="006B1ED3" w:rsidRPr="003C4C88" w:rsidRDefault="006B1ED3" w:rsidP="004E680E">
            <w:pPr>
              <w:jc w:val="center"/>
              <w:rPr>
                <w:rFonts w:ascii="Constantia" w:hAnsi="Constantia"/>
                <w:color w:val="auto"/>
              </w:rPr>
            </w:pPr>
            <w:r w:rsidRPr="003C4C88">
              <w:rPr>
                <w:rFonts w:ascii="Constantia" w:hAnsi="Constantia"/>
                <w:color w:val="auto"/>
              </w:rPr>
              <w:t>5</w:t>
            </w:r>
            <w:r w:rsidR="00396377">
              <w:rPr>
                <w:rFonts w:ascii="Constantia" w:hAnsi="Constantia"/>
                <w:color w:val="auto"/>
              </w:rPr>
              <w:t xml:space="preserve"> </w:t>
            </w:r>
            <w:r w:rsidRPr="003C4C88">
              <w:rPr>
                <w:rFonts w:ascii="Constantia" w:hAnsi="Constantia"/>
                <w:color w:val="auto"/>
              </w:rPr>
              <w:t>120</w:t>
            </w:r>
          </w:p>
        </w:tc>
      </w:tr>
      <w:tr w:rsidR="006B1ED3" w:rsidRPr="003C4C88" w:rsidTr="006B1ED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408" w:type="dxa"/>
          </w:tcPr>
          <w:p w:rsidR="006B1ED3" w:rsidRPr="003C4C88" w:rsidRDefault="006B1ED3" w:rsidP="004E680E">
            <w:pPr>
              <w:rPr>
                <w:rFonts w:ascii="Constantia" w:hAnsi="Constantia"/>
                <w:lang w:val="pl-PL"/>
              </w:rPr>
            </w:pPr>
            <w:r w:rsidRPr="003C4C88">
              <w:rPr>
                <w:rFonts w:ascii="Constantia" w:hAnsi="Constantia"/>
                <w:lang w:val="pl-PL"/>
              </w:rPr>
              <w:t>Minimalna časovna vrijednost (</w:t>
            </w:r>
            <w:r w:rsidRPr="003C4C88">
              <w:rPr>
                <w:rFonts w:ascii="Constantia" w:hAnsi="Constantia"/>
              </w:rPr>
              <w:t>μ</w:t>
            </w:r>
            <w:r w:rsidRPr="003C4C88">
              <w:rPr>
                <w:rFonts w:ascii="Constantia" w:hAnsi="Constantia"/>
                <w:lang w:val="pl-PL"/>
              </w:rPr>
              <w:t>g/m</w:t>
            </w:r>
            <w:r w:rsidRPr="003C4C88">
              <w:rPr>
                <w:rFonts w:ascii="Constantia" w:hAnsi="Constantia"/>
                <w:vertAlign w:val="superscript"/>
                <w:lang w:val="pl-PL"/>
              </w:rPr>
              <w:t>3</w:t>
            </w:r>
            <w:r w:rsidRPr="003C4C88">
              <w:rPr>
                <w:rFonts w:ascii="Constantia" w:hAnsi="Constantia"/>
                <w:lang w:val="pl-PL"/>
              </w:rPr>
              <w:t>)</w:t>
            </w:r>
          </w:p>
        </w:tc>
        <w:tc>
          <w:tcPr>
            <w:cnfStyle w:val="000100000000" w:firstRow="0" w:lastRow="0" w:firstColumn="0" w:lastColumn="1" w:oddVBand="0" w:evenVBand="0" w:oddHBand="0" w:evenHBand="0" w:firstRowFirstColumn="0" w:firstRowLastColumn="0" w:lastRowFirstColumn="0" w:lastRowLastColumn="0"/>
            <w:tcW w:w="2457" w:type="dxa"/>
          </w:tcPr>
          <w:p w:rsidR="006B1ED3" w:rsidRPr="003C4C88" w:rsidRDefault="006B1ED3" w:rsidP="004E680E">
            <w:pPr>
              <w:jc w:val="center"/>
              <w:rPr>
                <w:rFonts w:ascii="Constantia" w:hAnsi="Constantia"/>
              </w:rPr>
            </w:pPr>
            <w:r w:rsidRPr="003C4C88">
              <w:rPr>
                <w:rFonts w:ascii="Constantia" w:hAnsi="Constantia"/>
              </w:rPr>
              <w:t>0,25</w:t>
            </w:r>
          </w:p>
        </w:tc>
      </w:tr>
      <w:tr w:rsidR="006B1ED3" w:rsidRPr="003C4C88" w:rsidTr="006B1ED3">
        <w:trPr>
          <w:jc w:val="center"/>
        </w:trPr>
        <w:tc>
          <w:tcPr>
            <w:cnfStyle w:val="001000000000" w:firstRow="0" w:lastRow="0" w:firstColumn="1" w:lastColumn="0" w:oddVBand="0" w:evenVBand="0" w:oddHBand="0" w:evenHBand="0" w:firstRowFirstColumn="0" w:firstRowLastColumn="0" w:lastRowFirstColumn="0" w:lastRowLastColumn="0"/>
            <w:tcW w:w="6408" w:type="dxa"/>
          </w:tcPr>
          <w:p w:rsidR="006B1ED3" w:rsidRPr="003C4C88" w:rsidRDefault="006B1ED3" w:rsidP="004E680E">
            <w:pPr>
              <w:rPr>
                <w:rFonts w:ascii="Constantia" w:hAnsi="Constantia"/>
                <w:lang w:val="sr-Latn-CS"/>
              </w:rPr>
            </w:pPr>
            <w:r w:rsidRPr="003C4C88">
              <w:rPr>
                <w:rFonts w:ascii="Constantia" w:hAnsi="Constantia"/>
                <w:lang w:val="sr-Latn-CS"/>
              </w:rPr>
              <w:t>Maksimalna časovna vrijednost (</w:t>
            </w:r>
            <w:r w:rsidRPr="003C4C88">
              <w:rPr>
                <w:rFonts w:ascii="Constantia" w:hAnsi="Constantia"/>
              </w:rPr>
              <w:t>μ</w:t>
            </w:r>
            <w:r w:rsidRPr="003C4C88">
              <w:rPr>
                <w:rFonts w:ascii="Constantia" w:hAnsi="Constantia"/>
                <w:lang w:val="sr-Latn-CS"/>
              </w:rPr>
              <w:t>g/m</w:t>
            </w:r>
            <w:r w:rsidRPr="003C4C88">
              <w:rPr>
                <w:rFonts w:ascii="Constantia" w:hAnsi="Constantia"/>
                <w:vertAlign w:val="superscript"/>
                <w:lang w:val="sr-Latn-CS"/>
              </w:rPr>
              <w:t>3</w:t>
            </w:r>
            <w:r w:rsidRPr="003C4C88">
              <w:rPr>
                <w:rFonts w:ascii="Constantia" w:hAnsi="Constantia"/>
                <w:lang w:val="sr-Latn-CS"/>
              </w:rPr>
              <w:t>)</w:t>
            </w:r>
          </w:p>
        </w:tc>
        <w:tc>
          <w:tcPr>
            <w:cnfStyle w:val="000100000000" w:firstRow="0" w:lastRow="0" w:firstColumn="0" w:lastColumn="1" w:oddVBand="0" w:evenVBand="0" w:oddHBand="0" w:evenHBand="0" w:firstRowFirstColumn="0" w:firstRowLastColumn="0" w:lastRowFirstColumn="0" w:lastRowLastColumn="0"/>
            <w:tcW w:w="2457" w:type="dxa"/>
          </w:tcPr>
          <w:p w:rsidR="006B1ED3" w:rsidRPr="003C4C88" w:rsidRDefault="006B1ED3" w:rsidP="004E680E">
            <w:pPr>
              <w:jc w:val="center"/>
              <w:rPr>
                <w:rFonts w:ascii="Constantia" w:hAnsi="Constantia"/>
              </w:rPr>
            </w:pPr>
            <w:r w:rsidRPr="003C4C88">
              <w:rPr>
                <w:rFonts w:ascii="Constantia" w:hAnsi="Constantia"/>
              </w:rPr>
              <w:t>138,03</w:t>
            </w:r>
          </w:p>
        </w:tc>
      </w:tr>
      <w:tr w:rsidR="006B1ED3" w:rsidRPr="003C4C88" w:rsidTr="006B1ED3">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408" w:type="dxa"/>
          </w:tcPr>
          <w:p w:rsidR="006B1ED3" w:rsidRPr="003C4C88" w:rsidRDefault="006B1ED3" w:rsidP="004E680E">
            <w:pPr>
              <w:rPr>
                <w:rFonts w:ascii="Constantia" w:hAnsi="Constantia"/>
                <w:lang w:val="sr-Latn-CS"/>
              </w:rPr>
            </w:pPr>
            <w:r w:rsidRPr="003C4C88">
              <w:rPr>
                <w:rFonts w:ascii="Constantia" w:hAnsi="Constantia"/>
                <w:lang w:val="sr-Latn-CS"/>
              </w:rPr>
              <w:t>Srednja vrijednost časovnih vremena usrednjavanja (</w:t>
            </w:r>
            <w:r w:rsidRPr="003C4C88">
              <w:rPr>
                <w:rFonts w:ascii="Constantia" w:hAnsi="Constantia"/>
              </w:rPr>
              <w:t>μ</w:t>
            </w:r>
            <w:r w:rsidRPr="003C4C88">
              <w:rPr>
                <w:rFonts w:ascii="Constantia" w:hAnsi="Constantia"/>
                <w:lang w:val="sr-Latn-CS"/>
              </w:rPr>
              <w:t>g/m</w:t>
            </w:r>
            <w:r w:rsidRPr="003C4C88">
              <w:rPr>
                <w:rFonts w:ascii="Constantia" w:hAnsi="Constantia"/>
                <w:vertAlign w:val="superscript"/>
                <w:lang w:val="sr-Latn-CS"/>
              </w:rPr>
              <w:t>3</w:t>
            </w:r>
            <w:r w:rsidRPr="003C4C88">
              <w:rPr>
                <w:rFonts w:ascii="Constantia" w:hAnsi="Constantia"/>
                <w:lang w:val="sr-Latn-CS"/>
              </w:rPr>
              <w:t>)</w:t>
            </w:r>
          </w:p>
        </w:tc>
        <w:tc>
          <w:tcPr>
            <w:cnfStyle w:val="000100000000" w:firstRow="0" w:lastRow="0" w:firstColumn="0" w:lastColumn="1" w:oddVBand="0" w:evenVBand="0" w:oddHBand="0" w:evenHBand="0" w:firstRowFirstColumn="0" w:firstRowLastColumn="0" w:lastRowFirstColumn="0" w:lastRowLastColumn="0"/>
            <w:tcW w:w="2457" w:type="dxa"/>
          </w:tcPr>
          <w:p w:rsidR="006B1ED3" w:rsidRPr="003C4C88" w:rsidRDefault="006B1ED3" w:rsidP="004E680E">
            <w:pPr>
              <w:jc w:val="center"/>
              <w:rPr>
                <w:rFonts w:ascii="Constantia" w:hAnsi="Constantia"/>
              </w:rPr>
            </w:pPr>
            <w:r w:rsidRPr="003C4C88">
              <w:rPr>
                <w:rFonts w:ascii="Constantia" w:hAnsi="Constantia"/>
              </w:rPr>
              <w:t>12,35</w:t>
            </w:r>
          </w:p>
        </w:tc>
      </w:tr>
    </w:tbl>
    <w:p w:rsidR="000972C5" w:rsidRPr="003C4C88" w:rsidRDefault="000972C5" w:rsidP="00E25DE9">
      <w:pPr>
        <w:pStyle w:val="Tabele"/>
        <w:spacing w:before="0" w:after="0"/>
        <w:ind w:left="0" w:firstLine="0"/>
        <w:rPr>
          <w:rFonts w:ascii="Constantia" w:hAnsi="Constantia"/>
          <w:sz w:val="22"/>
          <w:szCs w:val="22"/>
        </w:rPr>
      </w:pPr>
      <w:r w:rsidRPr="003C4C88">
        <w:rPr>
          <w:rFonts w:ascii="Constantia" w:hAnsi="Constantia"/>
          <w:sz w:val="22"/>
          <w:szCs w:val="22"/>
        </w:rPr>
        <w:t>Statistički podaci za azot(IV)oksida (NO</w:t>
      </w:r>
      <w:r w:rsidRPr="003C4C88">
        <w:rPr>
          <w:rFonts w:ascii="Constantia" w:hAnsi="Constantia"/>
          <w:sz w:val="22"/>
          <w:szCs w:val="22"/>
          <w:vertAlign w:val="subscript"/>
        </w:rPr>
        <w:t>2</w:t>
      </w:r>
      <w:r w:rsidRPr="003C4C88">
        <w:rPr>
          <w:rFonts w:ascii="Constantia" w:hAnsi="Constantia"/>
          <w:sz w:val="22"/>
          <w:szCs w:val="22"/>
        </w:rPr>
        <w:t>) na mjernom mjestu Golubovci</w:t>
      </w:r>
    </w:p>
    <w:p w:rsidR="003C4C88" w:rsidRDefault="003C4C88" w:rsidP="000F2D83">
      <w:pPr>
        <w:tabs>
          <w:tab w:val="left" w:pos="5685"/>
        </w:tabs>
        <w:rPr>
          <w:rFonts w:ascii="Constantia" w:hAnsi="Constantia"/>
          <w:lang w:val="sr-Latn-CS"/>
        </w:rPr>
      </w:pPr>
    </w:p>
    <w:p w:rsidR="00AE2DD4" w:rsidRPr="003C4C88" w:rsidRDefault="009E30AB" w:rsidP="000F2D83">
      <w:pPr>
        <w:tabs>
          <w:tab w:val="left" w:pos="5685"/>
        </w:tabs>
        <w:rPr>
          <w:rFonts w:ascii="Constantia" w:hAnsi="Constantia"/>
          <w:lang w:val="sr-Latn-CS"/>
        </w:rPr>
      </w:pPr>
      <w:r w:rsidRPr="003C4C88">
        <w:rPr>
          <w:rFonts w:ascii="Constantia" w:hAnsi="Constantia"/>
          <w:lang w:val="sr-Latn-CS"/>
        </w:rPr>
        <w:t xml:space="preserve">Sve jednočasovne srednje vrijednosti </w:t>
      </w:r>
      <w:r w:rsidRPr="003C4C88">
        <w:rPr>
          <w:rFonts w:ascii="Constantia" w:hAnsi="Constantia"/>
        </w:rPr>
        <w:t>azot(IV)oksida (NO</w:t>
      </w:r>
      <w:r w:rsidRPr="003C4C88">
        <w:rPr>
          <w:rFonts w:ascii="Constantia" w:hAnsi="Constantia"/>
          <w:vertAlign w:val="subscript"/>
        </w:rPr>
        <w:t>2</w:t>
      </w:r>
      <w:r w:rsidRPr="003C4C88">
        <w:rPr>
          <w:rFonts w:ascii="Constantia" w:hAnsi="Constantia"/>
        </w:rPr>
        <w:t xml:space="preserve">) bile </w:t>
      </w:r>
      <w:r w:rsidRPr="003C4C88">
        <w:rPr>
          <w:rFonts w:ascii="Constantia" w:hAnsi="Constantia"/>
          <w:lang w:val="sr-Latn-CS"/>
        </w:rPr>
        <w:t>su ispod propis</w:t>
      </w:r>
      <w:r w:rsidR="008C49AE" w:rsidRPr="003C4C88">
        <w:rPr>
          <w:rFonts w:ascii="Constantia" w:hAnsi="Constantia"/>
          <w:lang w:val="sr-Latn-CS"/>
        </w:rPr>
        <w:t>anih graničnih vrijednosti (200</w:t>
      </w:r>
      <w:r w:rsidR="00396377">
        <w:rPr>
          <w:rFonts w:ascii="Constantia" w:hAnsi="Constantia"/>
          <w:lang w:val="sr-Latn-CS"/>
        </w:rPr>
        <w:t xml:space="preserve"> </w:t>
      </w:r>
      <w:r w:rsidRPr="003C4C88">
        <w:rPr>
          <w:rFonts w:ascii="Constantia" w:hAnsi="Constantia"/>
          <w:lang w:val="sr-Latn-CS"/>
        </w:rPr>
        <w:t>μg/m</w:t>
      </w:r>
      <w:r w:rsidRPr="003C4C88">
        <w:rPr>
          <w:rFonts w:ascii="Constantia" w:hAnsi="Constantia"/>
          <w:vertAlign w:val="superscript"/>
          <w:lang w:val="sr-Latn-CS"/>
        </w:rPr>
        <w:t>3</w:t>
      </w:r>
      <w:r w:rsidRPr="003C4C88">
        <w:rPr>
          <w:rFonts w:ascii="Constantia" w:hAnsi="Constantia"/>
          <w:lang w:val="sr-Latn-CS"/>
        </w:rPr>
        <w:t>).</w:t>
      </w:r>
    </w:p>
    <w:p w:rsidR="008652B3" w:rsidRPr="000F2D83" w:rsidRDefault="008652B3" w:rsidP="000F2D83">
      <w:pPr>
        <w:tabs>
          <w:tab w:val="left" w:pos="5685"/>
        </w:tabs>
        <w:rPr>
          <w:lang w:val="sr-Latn-CS"/>
        </w:rPr>
      </w:pPr>
    </w:p>
    <w:p w:rsidR="00AF7ECB" w:rsidRPr="003C4C88" w:rsidRDefault="000A613A" w:rsidP="007468D3">
      <w:pPr>
        <w:pStyle w:val="Heading3"/>
      </w:pPr>
      <w:bookmarkStart w:id="12" w:name="_Toc393897860"/>
      <w:r>
        <w:t xml:space="preserve">1.1.7   </w:t>
      </w:r>
      <w:r w:rsidR="00AF7ECB" w:rsidRPr="007468D3">
        <w:t>Tivat</w:t>
      </w:r>
      <w:bookmarkEnd w:id="12"/>
    </w:p>
    <w:p w:rsidR="002310BE" w:rsidRPr="003C4C88" w:rsidRDefault="00596A12" w:rsidP="008F7973">
      <w:pPr>
        <w:tabs>
          <w:tab w:val="left" w:pos="5685"/>
        </w:tabs>
        <w:spacing w:after="0"/>
        <w:rPr>
          <w:rFonts w:ascii="Constantia" w:hAnsi="Constantia"/>
          <w:lang w:val="sr-Latn-CS"/>
        </w:rPr>
      </w:pPr>
      <w:r w:rsidRPr="003C4C88">
        <w:rPr>
          <w:rFonts w:ascii="Constantia" w:hAnsi="Constantia"/>
        </w:rPr>
        <w:t>Zbog kvara na mjernoj opremi</w:t>
      </w:r>
      <w:r w:rsidR="000A613A">
        <w:rPr>
          <w:rFonts w:ascii="Constantia" w:hAnsi="Constantia"/>
        </w:rPr>
        <w:t>,</w:t>
      </w:r>
      <w:r w:rsidRPr="003C4C88">
        <w:rPr>
          <w:rFonts w:ascii="Constantia" w:hAnsi="Constantia"/>
        </w:rPr>
        <w:t xml:space="preserve"> u</w:t>
      </w:r>
      <w:r w:rsidR="003855B5" w:rsidRPr="003C4C88">
        <w:rPr>
          <w:rFonts w:ascii="Constantia" w:hAnsi="Constantia"/>
        </w:rPr>
        <w:t xml:space="preserve"> Tivtu</w:t>
      </w:r>
      <w:r w:rsidR="00D73F90">
        <w:rPr>
          <w:rFonts w:ascii="Constantia" w:hAnsi="Constantia"/>
        </w:rPr>
        <w:t xml:space="preserve"> </w:t>
      </w:r>
      <w:r w:rsidR="003855B5" w:rsidRPr="003C4C88">
        <w:rPr>
          <w:rFonts w:ascii="Constantia" w:hAnsi="Constantia"/>
        </w:rPr>
        <w:t>je vršeno automatsko mjerenje</w:t>
      </w:r>
      <w:r w:rsidRPr="003C4C88">
        <w:rPr>
          <w:rFonts w:ascii="Constantia" w:hAnsi="Constantia"/>
        </w:rPr>
        <w:t xml:space="preserve"> samo </w:t>
      </w:r>
      <w:r w:rsidR="003855B5" w:rsidRPr="003C4C88">
        <w:rPr>
          <w:rFonts w:ascii="Constantia" w:hAnsi="Constantia"/>
          <w:b/>
        </w:rPr>
        <w:t>PM</w:t>
      </w:r>
      <w:r w:rsidR="003855B5" w:rsidRPr="003C4C88">
        <w:rPr>
          <w:rFonts w:ascii="Constantia" w:hAnsi="Constantia"/>
          <w:b/>
          <w:vertAlign w:val="subscript"/>
        </w:rPr>
        <w:t>2,5</w:t>
      </w:r>
      <w:r w:rsidR="00F953EE" w:rsidRPr="003C4C88">
        <w:rPr>
          <w:rFonts w:ascii="Constantia" w:hAnsi="Constantia"/>
          <w:b/>
        </w:rPr>
        <w:t xml:space="preserve"> čestica</w:t>
      </w:r>
      <w:r w:rsidR="003855B5" w:rsidRPr="003C4C88">
        <w:rPr>
          <w:rFonts w:ascii="Constantia" w:hAnsi="Constantia"/>
          <w:b/>
        </w:rPr>
        <w:t xml:space="preserve">. </w:t>
      </w:r>
    </w:p>
    <w:p w:rsidR="00214EB1" w:rsidRPr="003C4C88" w:rsidRDefault="00AE2DD4" w:rsidP="00AD3930">
      <w:pPr>
        <w:tabs>
          <w:tab w:val="left" w:pos="5685"/>
        </w:tabs>
        <w:spacing w:after="0"/>
        <w:rPr>
          <w:rFonts w:ascii="Constantia" w:hAnsi="Constantia"/>
        </w:rPr>
      </w:pPr>
      <w:r w:rsidRPr="003C4C88">
        <w:rPr>
          <w:rFonts w:ascii="Constantia" w:hAnsi="Constantia"/>
        </w:rPr>
        <w:t xml:space="preserve">Na </w:t>
      </w:r>
      <w:r w:rsidRPr="003C4C88">
        <w:rPr>
          <w:rFonts w:ascii="Constantia" w:hAnsi="Constantia"/>
          <w:i/>
        </w:rPr>
        <w:t>S</w:t>
      </w:r>
      <w:r w:rsidR="003C4C88" w:rsidRPr="003C4C88">
        <w:rPr>
          <w:rFonts w:ascii="Constantia" w:hAnsi="Constantia"/>
          <w:i/>
        </w:rPr>
        <w:t>lici 5</w:t>
      </w:r>
      <w:r w:rsidRPr="003C4C88">
        <w:rPr>
          <w:rFonts w:ascii="Constantia" w:hAnsi="Constantia"/>
          <w:i/>
        </w:rPr>
        <w:t>.</w:t>
      </w:r>
      <w:r w:rsidR="00D73F90">
        <w:rPr>
          <w:rFonts w:ascii="Constantia" w:hAnsi="Constantia"/>
          <w:i/>
        </w:rPr>
        <w:t xml:space="preserve"> </w:t>
      </w:r>
      <w:r w:rsidR="00DD7161" w:rsidRPr="003C4C88">
        <w:rPr>
          <w:rFonts w:ascii="Constantia" w:hAnsi="Constantia"/>
        </w:rPr>
        <w:t>je prikazana mjerna stanica u Tivtu.</w:t>
      </w:r>
    </w:p>
    <w:p w:rsidR="00AD3930" w:rsidRPr="000F2D83" w:rsidRDefault="000F2D83" w:rsidP="000F2D83">
      <w:pPr>
        <w:spacing w:after="0"/>
        <w:jc w:val="center"/>
        <w:rPr>
          <w:lang w:val="sr-Latn-CS"/>
        </w:rPr>
      </w:pPr>
      <w:r>
        <w:rPr>
          <w:noProof/>
        </w:rPr>
        <w:lastRenderedPageBreak/>
        <w:drawing>
          <wp:inline distT="0" distB="0" distL="0" distR="0" wp14:anchorId="55EBDDF6" wp14:editId="54AF1470">
            <wp:extent cx="1809750" cy="2412999"/>
            <wp:effectExtent l="0" t="0" r="0" b="0"/>
            <wp:docPr id="26" name="Picture 26" descr="C:\Users\Goca Djukanovic\Desktop\3b333-P33000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oca Djukanovic\Desktop\3b333-P3300076.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828984" cy="2438644"/>
                    </a:xfrm>
                    <a:prstGeom prst="rect">
                      <a:avLst/>
                    </a:prstGeom>
                    <a:noFill/>
                    <a:ln>
                      <a:noFill/>
                    </a:ln>
                  </pic:spPr>
                </pic:pic>
              </a:graphicData>
            </a:graphic>
          </wp:inline>
        </w:drawing>
      </w:r>
    </w:p>
    <w:p w:rsidR="003856C7" w:rsidRPr="00B05FFC" w:rsidRDefault="003856C7" w:rsidP="00B05FFC">
      <w:pPr>
        <w:pStyle w:val="Slika"/>
        <w:tabs>
          <w:tab w:val="left" w:pos="0"/>
          <w:tab w:val="left" w:pos="900"/>
        </w:tabs>
        <w:spacing w:line="276" w:lineRule="auto"/>
        <w:ind w:left="0" w:firstLine="0"/>
        <w:rPr>
          <w:rFonts w:ascii="Constantia" w:eastAsia="Calibri" w:hAnsi="Constantia"/>
        </w:rPr>
      </w:pPr>
      <w:r w:rsidRPr="00B05FFC">
        <w:rPr>
          <w:rFonts w:ascii="Constantia" w:hAnsi="Constantia"/>
          <w:szCs w:val="22"/>
          <w:lang w:val="sr-Latn-CS"/>
        </w:rPr>
        <w:t>Mjerna stanica Tivat</w:t>
      </w:r>
    </w:p>
    <w:p w:rsidR="003856C7" w:rsidRDefault="003856C7" w:rsidP="00DD7161">
      <w:pPr>
        <w:spacing w:after="0"/>
        <w:rPr>
          <w:lang w:val="sr-Latn-CS"/>
        </w:rPr>
      </w:pPr>
    </w:p>
    <w:p w:rsidR="00DD40F0" w:rsidRPr="003C4C88" w:rsidRDefault="00B35B16" w:rsidP="00BC5835">
      <w:pPr>
        <w:tabs>
          <w:tab w:val="left" w:pos="5685"/>
        </w:tabs>
        <w:rPr>
          <w:rFonts w:ascii="Constantia" w:hAnsi="Constantia"/>
        </w:rPr>
      </w:pPr>
      <w:r w:rsidRPr="003C4C88">
        <w:rPr>
          <w:rFonts w:ascii="Constantia" w:hAnsi="Constantia"/>
        </w:rPr>
        <w:t>Validnih mjerenja PM</w:t>
      </w:r>
      <w:r w:rsidRPr="003C4C88">
        <w:rPr>
          <w:rFonts w:ascii="Constantia" w:hAnsi="Constantia"/>
          <w:vertAlign w:val="subscript"/>
        </w:rPr>
        <w:t>2.5</w:t>
      </w:r>
      <w:r w:rsidR="00340D7B" w:rsidRPr="003C4C88">
        <w:rPr>
          <w:rFonts w:ascii="Constantia" w:hAnsi="Constantia"/>
        </w:rPr>
        <w:t xml:space="preserve"> čestica je bilo 35</w:t>
      </w:r>
      <w:r w:rsidRPr="003C4C88">
        <w:rPr>
          <w:rFonts w:ascii="Constantia" w:hAnsi="Constantia"/>
        </w:rPr>
        <w:t>1</w:t>
      </w:r>
      <w:r w:rsidR="00515A22" w:rsidRPr="003C4C88">
        <w:rPr>
          <w:rFonts w:ascii="Constantia" w:hAnsi="Constantia"/>
        </w:rPr>
        <w:t xml:space="preserve"> dan</w:t>
      </w:r>
      <w:r w:rsidRPr="003C4C88">
        <w:rPr>
          <w:rFonts w:ascii="Constantia" w:hAnsi="Constantia"/>
        </w:rPr>
        <w:t xml:space="preserve">. Srednja godišnja </w:t>
      </w:r>
      <w:r w:rsidR="00CA19D1" w:rsidRPr="003C4C88">
        <w:rPr>
          <w:rFonts w:ascii="Constantia" w:hAnsi="Constantia"/>
        </w:rPr>
        <w:t xml:space="preserve">koncentracija iznosila je </w:t>
      </w:r>
      <w:r w:rsidR="00340D7B" w:rsidRPr="003C4C88">
        <w:rPr>
          <w:rFonts w:ascii="Constantia" w:hAnsi="Constantia"/>
        </w:rPr>
        <w:t>16,22</w:t>
      </w:r>
      <w:r w:rsidR="00D73F90">
        <w:rPr>
          <w:rFonts w:ascii="Constantia" w:hAnsi="Constantia"/>
        </w:rPr>
        <w:t xml:space="preserve"> </w:t>
      </w:r>
      <w:r w:rsidRPr="003C4C88">
        <w:rPr>
          <w:rFonts w:ascii="Constantia" w:hAnsi="Constantia"/>
        </w:rPr>
        <w:t>μg/m</w:t>
      </w:r>
      <w:r w:rsidRPr="003C4C88">
        <w:rPr>
          <w:rFonts w:ascii="Constantia" w:hAnsi="Constantia"/>
          <w:vertAlign w:val="superscript"/>
        </w:rPr>
        <w:t>3</w:t>
      </w:r>
      <w:r w:rsidRPr="003C4C88">
        <w:rPr>
          <w:rFonts w:ascii="Constantia" w:hAnsi="Constantia"/>
        </w:rPr>
        <w:t>, što je ispod gran</w:t>
      </w:r>
      <w:r w:rsidR="00CA19D1" w:rsidRPr="003C4C88">
        <w:rPr>
          <w:rFonts w:ascii="Constantia" w:hAnsi="Constantia"/>
        </w:rPr>
        <w:t>ične godišnje vrijednosti od 25</w:t>
      </w:r>
      <w:r w:rsidR="00D73F90">
        <w:rPr>
          <w:rFonts w:ascii="Constantia" w:hAnsi="Constantia"/>
        </w:rPr>
        <w:t xml:space="preserve"> </w:t>
      </w:r>
      <w:r w:rsidRPr="003C4C88">
        <w:rPr>
          <w:rFonts w:ascii="Constantia" w:hAnsi="Constantia"/>
        </w:rPr>
        <w:t>μg/m</w:t>
      </w:r>
      <w:r w:rsidRPr="003C4C88">
        <w:rPr>
          <w:rFonts w:ascii="Constantia" w:hAnsi="Constantia"/>
          <w:vertAlign w:val="superscript"/>
        </w:rPr>
        <w:t>3</w:t>
      </w:r>
      <w:r w:rsidRPr="003C4C88">
        <w:rPr>
          <w:rFonts w:ascii="Constantia" w:hAnsi="Constantia"/>
        </w:rPr>
        <w:t xml:space="preserve"> i granice toleran</w:t>
      </w:r>
      <w:r w:rsidR="00340D7B" w:rsidRPr="003C4C88">
        <w:rPr>
          <w:rFonts w:ascii="Constantia" w:hAnsi="Constantia"/>
        </w:rPr>
        <w:t>cije za 2013</w:t>
      </w:r>
      <w:r w:rsidRPr="003C4C88">
        <w:rPr>
          <w:rFonts w:ascii="Constantia" w:hAnsi="Constantia"/>
        </w:rPr>
        <w:t xml:space="preserve">. </w:t>
      </w:r>
      <w:r w:rsidR="000F2D83" w:rsidRPr="003C4C88">
        <w:rPr>
          <w:rFonts w:ascii="Constantia" w:hAnsi="Constantia"/>
        </w:rPr>
        <w:t>g</w:t>
      </w:r>
      <w:r w:rsidRPr="003C4C88">
        <w:rPr>
          <w:rFonts w:ascii="Constantia" w:hAnsi="Constantia"/>
        </w:rPr>
        <w:t>odinu</w:t>
      </w:r>
      <w:r w:rsidR="000F2D83" w:rsidRPr="003C4C88">
        <w:rPr>
          <w:rFonts w:ascii="Constantia" w:hAnsi="Constantia"/>
        </w:rPr>
        <w:t xml:space="preserve"> koja iznosi 28</w:t>
      </w:r>
      <w:r w:rsidR="00D73F90">
        <w:rPr>
          <w:rFonts w:ascii="Constantia" w:hAnsi="Constantia"/>
        </w:rPr>
        <w:t xml:space="preserve"> </w:t>
      </w:r>
      <w:r w:rsidR="000F2D83" w:rsidRPr="003C4C88">
        <w:rPr>
          <w:rFonts w:ascii="Constantia" w:hAnsi="Constantia"/>
        </w:rPr>
        <w:t>μg/m</w:t>
      </w:r>
      <w:r w:rsidR="000F2D83" w:rsidRPr="003C4C88">
        <w:rPr>
          <w:rFonts w:ascii="Constantia" w:hAnsi="Constantia"/>
          <w:vertAlign w:val="superscript"/>
        </w:rPr>
        <w:t>3</w:t>
      </w:r>
      <w:r w:rsidRPr="003C4C88">
        <w:rPr>
          <w:rFonts w:ascii="Constantia" w:hAnsi="Constantia"/>
        </w:rPr>
        <w:t>.</w:t>
      </w:r>
    </w:p>
    <w:p w:rsidR="00F25730" w:rsidRPr="00EC57E5" w:rsidRDefault="00F25730" w:rsidP="00287090">
      <w:pPr>
        <w:pStyle w:val="Heading2"/>
        <w:ind w:left="720"/>
      </w:pPr>
      <w:bookmarkStart w:id="13" w:name="_Toc393897861"/>
      <w:r w:rsidRPr="00EC57E5">
        <w:t xml:space="preserve">Mreža mjernih </w:t>
      </w:r>
      <w:r w:rsidRPr="007468D3">
        <w:t>stanica</w:t>
      </w:r>
      <w:r w:rsidRPr="00EC57E5">
        <w:t xml:space="preserve"> </w:t>
      </w:r>
      <w:r w:rsidR="00590710" w:rsidRPr="00EC57E5">
        <w:t>–</w:t>
      </w:r>
      <w:r w:rsidR="00844EA3">
        <w:t xml:space="preserve"> </w:t>
      </w:r>
      <w:r w:rsidR="009507AA" w:rsidRPr="00EC57E5">
        <w:t>Zavod za hidrometeorologiju</w:t>
      </w:r>
      <w:r w:rsidR="00590710" w:rsidRPr="00EC57E5">
        <w:t xml:space="preserve"> i </w:t>
      </w:r>
      <w:r w:rsidR="009507AA" w:rsidRPr="00EC57E5">
        <w:t>seizmologiju</w:t>
      </w:r>
      <w:r w:rsidRPr="00EC57E5">
        <w:t xml:space="preserve"> Crne Gore</w:t>
      </w:r>
      <w:bookmarkEnd w:id="13"/>
    </w:p>
    <w:p w:rsidR="008C309D" w:rsidRPr="00EC57E5" w:rsidRDefault="00F25730" w:rsidP="00F25730">
      <w:pPr>
        <w:rPr>
          <w:rFonts w:ascii="Constantia" w:hAnsi="Constantia"/>
        </w:rPr>
      </w:pPr>
      <w:r w:rsidRPr="00EC57E5">
        <w:rPr>
          <w:rFonts w:ascii="Constantia" w:hAnsi="Constantia"/>
        </w:rPr>
        <w:t xml:space="preserve">Osnovna mreža (tzv. poluautomatskih stanica) </w:t>
      </w:r>
      <w:r w:rsidR="00762BF0" w:rsidRPr="00EC57E5">
        <w:rPr>
          <w:rFonts w:ascii="Constantia" w:hAnsi="Constantia"/>
        </w:rPr>
        <w:t>za praćenje</w:t>
      </w:r>
      <w:r w:rsidRPr="00EC57E5">
        <w:rPr>
          <w:rFonts w:ascii="Constantia" w:hAnsi="Constantia"/>
        </w:rPr>
        <w:t xml:space="preserve"> kvaliteta vazduha</w:t>
      </w:r>
      <w:r w:rsidR="00762BF0" w:rsidRPr="00EC57E5">
        <w:rPr>
          <w:rFonts w:ascii="Constantia" w:hAnsi="Constantia"/>
        </w:rPr>
        <w:t>, kojom upravlja</w:t>
      </w:r>
      <w:r w:rsidR="00540F35">
        <w:rPr>
          <w:rFonts w:ascii="Constantia" w:hAnsi="Constantia"/>
        </w:rPr>
        <w:t xml:space="preserve"> </w:t>
      </w:r>
      <w:r w:rsidR="00762BF0" w:rsidRPr="00EC57E5">
        <w:rPr>
          <w:rFonts w:ascii="Constantia" w:hAnsi="Constantia"/>
        </w:rPr>
        <w:t>Zavod za hidrometeorologiju i seizmologiju</w:t>
      </w:r>
      <w:r w:rsidR="00AA3B90">
        <w:rPr>
          <w:rFonts w:ascii="Constantia" w:hAnsi="Constantia"/>
        </w:rPr>
        <w:t xml:space="preserve"> </w:t>
      </w:r>
      <w:r w:rsidR="00AA3B90" w:rsidRPr="00EC57E5">
        <w:rPr>
          <w:rFonts w:ascii="Constantia" w:hAnsi="Constantia"/>
        </w:rPr>
        <w:t>(ZHMS</w:t>
      </w:r>
      <w:r w:rsidR="00AA3B90">
        <w:rPr>
          <w:rFonts w:ascii="Constantia" w:hAnsi="Constantia"/>
        </w:rPr>
        <w:t>)</w:t>
      </w:r>
      <w:r w:rsidR="008566B0" w:rsidRPr="00EC57E5">
        <w:rPr>
          <w:rFonts w:ascii="Constantia" w:hAnsi="Constantia"/>
        </w:rPr>
        <w:t>,</w:t>
      </w:r>
      <w:r w:rsidRPr="00EC57E5">
        <w:rPr>
          <w:rFonts w:ascii="Constantia" w:hAnsi="Constantia"/>
        </w:rPr>
        <w:t xml:space="preserve"> tokom 201</w:t>
      </w:r>
      <w:r w:rsidR="00ED0CB2" w:rsidRPr="00EC57E5">
        <w:rPr>
          <w:rFonts w:ascii="Constantia" w:hAnsi="Constantia"/>
        </w:rPr>
        <w:t>3</w:t>
      </w:r>
      <w:r w:rsidRPr="00EC57E5">
        <w:rPr>
          <w:rFonts w:ascii="Constantia" w:hAnsi="Constantia"/>
        </w:rPr>
        <w:t>.</w:t>
      </w:r>
      <w:r w:rsidR="00AA3B90">
        <w:rPr>
          <w:rFonts w:ascii="Constantia" w:hAnsi="Constantia"/>
        </w:rPr>
        <w:t xml:space="preserve"> </w:t>
      </w:r>
      <w:r w:rsidRPr="00EC57E5">
        <w:rPr>
          <w:rFonts w:ascii="Constantia" w:hAnsi="Constantia"/>
        </w:rPr>
        <w:t>godine obuhvata</w:t>
      </w:r>
      <w:r w:rsidR="00762BF0" w:rsidRPr="00EC57E5">
        <w:rPr>
          <w:rFonts w:ascii="Constantia" w:hAnsi="Constantia"/>
        </w:rPr>
        <w:t>la je</w:t>
      </w:r>
      <w:r w:rsidRPr="00EC57E5">
        <w:rPr>
          <w:rFonts w:ascii="Constantia" w:hAnsi="Constantia"/>
        </w:rPr>
        <w:t xml:space="preserve"> 1</w:t>
      </w:r>
      <w:r w:rsidR="00FF78BE" w:rsidRPr="00EC57E5">
        <w:rPr>
          <w:rFonts w:ascii="Constantia" w:hAnsi="Constantia"/>
        </w:rPr>
        <w:t>4</w:t>
      </w:r>
      <w:r w:rsidRPr="00EC57E5">
        <w:rPr>
          <w:rFonts w:ascii="Constantia" w:hAnsi="Constantia"/>
        </w:rPr>
        <w:t xml:space="preserve"> stanica i to u:</w:t>
      </w:r>
      <w:r w:rsidR="00540F35">
        <w:rPr>
          <w:rFonts w:ascii="Constantia" w:hAnsi="Constantia"/>
        </w:rPr>
        <w:t xml:space="preserve"> </w:t>
      </w:r>
      <w:r w:rsidR="00762BF0" w:rsidRPr="00EC57E5">
        <w:rPr>
          <w:rFonts w:ascii="Constantia" w:hAnsi="Constantia"/>
        </w:rPr>
        <w:t>Podgorici (ZHMS</w:t>
      </w:r>
      <w:r w:rsidR="00036CD9" w:rsidRPr="00EC57E5">
        <w:rPr>
          <w:rFonts w:ascii="Constantia" w:hAnsi="Constantia"/>
        </w:rPr>
        <w:t xml:space="preserve"> i Biotehnički fakultet), </w:t>
      </w:r>
      <w:r w:rsidRPr="00EC57E5">
        <w:rPr>
          <w:rFonts w:ascii="Constantia" w:hAnsi="Constantia"/>
        </w:rPr>
        <w:t>Pljevljima,</w:t>
      </w:r>
      <w:r w:rsidR="00540F35">
        <w:rPr>
          <w:rFonts w:ascii="Constantia" w:hAnsi="Constantia"/>
        </w:rPr>
        <w:t xml:space="preserve"> </w:t>
      </w:r>
      <w:r w:rsidR="00036CD9" w:rsidRPr="00EC57E5">
        <w:rPr>
          <w:rFonts w:ascii="Constantia" w:hAnsi="Constantia"/>
        </w:rPr>
        <w:t xml:space="preserve">Kolašinu, Baru, </w:t>
      </w:r>
      <w:r w:rsidRPr="00EC57E5">
        <w:rPr>
          <w:rFonts w:ascii="Constantia" w:hAnsi="Constantia"/>
        </w:rPr>
        <w:t>Bijelom Polju, Beran</w:t>
      </w:r>
      <w:r w:rsidR="00ED0CB2" w:rsidRPr="00EC57E5">
        <w:rPr>
          <w:rFonts w:ascii="Constantia" w:hAnsi="Constantia"/>
        </w:rPr>
        <w:t>ama</w:t>
      </w:r>
      <w:r w:rsidRPr="00EC57E5">
        <w:rPr>
          <w:rFonts w:ascii="Constantia" w:hAnsi="Constantia"/>
        </w:rPr>
        <w:t>, Nikšić</w:t>
      </w:r>
      <w:r w:rsidR="00036CD9" w:rsidRPr="00EC57E5">
        <w:rPr>
          <w:rFonts w:ascii="Constantia" w:hAnsi="Constantia"/>
        </w:rPr>
        <w:t xml:space="preserve">u, Cetinju, </w:t>
      </w:r>
      <w:r w:rsidRPr="00EC57E5">
        <w:rPr>
          <w:rFonts w:ascii="Constantia" w:hAnsi="Constantia"/>
        </w:rPr>
        <w:t>Golubovcim</w:t>
      </w:r>
      <w:r w:rsidR="00ED0CB2" w:rsidRPr="00EC57E5">
        <w:rPr>
          <w:rFonts w:ascii="Constantia" w:hAnsi="Constantia"/>
        </w:rPr>
        <w:t>a, Herceg Novom</w:t>
      </w:r>
      <w:r w:rsidR="00FF78BE" w:rsidRPr="00EC57E5">
        <w:rPr>
          <w:rFonts w:ascii="Constantia" w:hAnsi="Constantia"/>
        </w:rPr>
        <w:t>, Ulcinju, Budvi i</w:t>
      </w:r>
      <w:r w:rsidR="00540F35">
        <w:rPr>
          <w:rFonts w:ascii="Constantia" w:hAnsi="Constantia"/>
        </w:rPr>
        <w:t xml:space="preserve"> </w:t>
      </w:r>
      <w:r w:rsidR="008C309D" w:rsidRPr="00EC57E5">
        <w:rPr>
          <w:rFonts w:ascii="Constantia" w:hAnsi="Constantia"/>
        </w:rPr>
        <w:t>Žabljak</w:t>
      </w:r>
      <w:r w:rsidR="00FF78BE" w:rsidRPr="00EC57E5">
        <w:rPr>
          <w:rFonts w:ascii="Constantia" w:hAnsi="Constantia"/>
        </w:rPr>
        <w:t>u</w:t>
      </w:r>
      <w:r w:rsidR="008C309D" w:rsidRPr="00EC57E5">
        <w:rPr>
          <w:rFonts w:ascii="Constantia" w:hAnsi="Constantia"/>
        </w:rPr>
        <w:t xml:space="preserve"> – EMEP</w:t>
      </w:r>
      <w:r w:rsidR="00036CD9" w:rsidRPr="00EC57E5">
        <w:rPr>
          <w:rFonts w:ascii="Constantia" w:hAnsi="Constantia"/>
        </w:rPr>
        <w:t>.</w:t>
      </w:r>
      <w:r w:rsidR="00540F35">
        <w:rPr>
          <w:rFonts w:ascii="Constantia" w:hAnsi="Constantia"/>
        </w:rPr>
        <w:t xml:space="preserve"> </w:t>
      </w:r>
      <w:r w:rsidR="00762BF0" w:rsidRPr="00EC57E5">
        <w:rPr>
          <w:rFonts w:ascii="Constantia" w:hAnsi="Constantia"/>
        </w:rPr>
        <w:t>U Pljevljima nije realizovan dovoljan broj mjerenja da bi rezultati bili reprezentativni.</w:t>
      </w:r>
    </w:p>
    <w:p w:rsidR="00F705C9" w:rsidRPr="00EC57E5" w:rsidRDefault="00AD0E01" w:rsidP="00F705C9">
      <w:pPr>
        <w:rPr>
          <w:rFonts w:ascii="Constantia" w:hAnsi="Constantia"/>
        </w:rPr>
      </w:pPr>
      <w:r w:rsidRPr="00EC57E5">
        <w:rPr>
          <w:rFonts w:ascii="Constantia" w:hAnsi="Constantia"/>
          <w:b/>
        </w:rPr>
        <w:t>EMEP</w:t>
      </w:r>
      <w:r w:rsidRPr="00EC57E5">
        <w:rPr>
          <w:rFonts w:ascii="Constantia" w:hAnsi="Constantia"/>
        </w:rPr>
        <w:t xml:space="preserve">- </w:t>
      </w:r>
      <w:r w:rsidR="00F705C9" w:rsidRPr="00EC57E5">
        <w:rPr>
          <w:rFonts w:ascii="Constantia" w:hAnsi="Constantia"/>
        </w:rPr>
        <w:t xml:space="preserve">Stanica za kvalitet vazduha </w:t>
      </w:r>
      <w:r w:rsidR="008010F6">
        <w:rPr>
          <w:rFonts w:ascii="Constantia" w:hAnsi="Constantia"/>
        </w:rPr>
        <w:t>na</w:t>
      </w:r>
      <w:r w:rsidR="00F705C9" w:rsidRPr="00EC57E5">
        <w:rPr>
          <w:rFonts w:ascii="Constantia" w:hAnsi="Constantia"/>
        </w:rPr>
        <w:t xml:space="preserve"> Žabljaku</w:t>
      </w:r>
      <w:r w:rsidR="00CF54F4">
        <w:rPr>
          <w:rFonts w:ascii="Constantia" w:hAnsi="Constantia"/>
        </w:rPr>
        <w:t xml:space="preserve"> je</w:t>
      </w:r>
      <w:r w:rsidR="008010F6">
        <w:rPr>
          <w:rFonts w:ascii="Constantia" w:hAnsi="Constantia"/>
        </w:rPr>
        <w:t xml:space="preserve"> </w:t>
      </w:r>
      <w:r w:rsidR="00C0025A" w:rsidRPr="00EC57E5">
        <w:rPr>
          <w:rFonts w:ascii="Constantia" w:hAnsi="Constantia"/>
        </w:rPr>
        <w:t>f</w:t>
      </w:r>
      <w:r w:rsidR="00F705C9" w:rsidRPr="00EC57E5">
        <w:rPr>
          <w:rFonts w:ascii="Constantia" w:hAnsi="Constantia"/>
        </w:rPr>
        <w:t>ormirana 1993.</w:t>
      </w:r>
      <w:r w:rsidR="008010F6">
        <w:rPr>
          <w:rFonts w:ascii="Constantia" w:hAnsi="Constantia"/>
        </w:rPr>
        <w:t xml:space="preserve"> </w:t>
      </w:r>
      <w:r w:rsidR="00F705C9" w:rsidRPr="00EC57E5">
        <w:rPr>
          <w:rFonts w:ascii="Constantia" w:hAnsi="Constantia"/>
        </w:rPr>
        <w:t xml:space="preserve">godine. </w:t>
      </w:r>
      <w:r w:rsidR="00113868" w:rsidRPr="00EC57E5">
        <w:rPr>
          <w:rFonts w:ascii="Constantia" w:hAnsi="Constantia"/>
        </w:rPr>
        <w:t xml:space="preserve">Na </w:t>
      </w:r>
      <w:r w:rsidR="00762BF0" w:rsidRPr="00EC57E5">
        <w:rPr>
          <w:rFonts w:ascii="Constantia" w:hAnsi="Constantia"/>
        </w:rPr>
        <w:t>ovoj</w:t>
      </w:r>
      <w:r w:rsidR="00113868" w:rsidRPr="00EC57E5">
        <w:rPr>
          <w:rFonts w:ascii="Constantia" w:hAnsi="Constantia"/>
        </w:rPr>
        <w:t xml:space="preserve"> stanici</w:t>
      </w:r>
      <w:r w:rsidR="00BB153A" w:rsidRPr="00EC57E5">
        <w:rPr>
          <w:rFonts w:ascii="Constantia" w:hAnsi="Constantia"/>
        </w:rPr>
        <w:t xml:space="preserve"> se vrši </w:t>
      </w:r>
      <w:r w:rsidR="00F705C9" w:rsidRPr="00EC57E5">
        <w:rPr>
          <w:rFonts w:ascii="Constantia" w:hAnsi="Constantia"/>
        </w:rPr>
        <w:t xml:space="preserve">mjerenje hemizma padavina, kao i sadržaja </w:t>
      </w:r>
      <w:r w:rsidR="009C50EB" w:rsidRPr="00EC57E5">
        <w:rPr>
          <w:rFonts w:ascii="Constantia" w:hAnsi="Constantia"/>
        </w:rPr>
        <w:t>sumpor(IV)oksda (</w:t>
      </w:r>
      <w:r w:rsidR="00F705C9" w:rsidRPr="00EC57E5">
        <w:rPr>
          <w:rFonts w:ascii="Constantia" w:hAnsi="Constantia"/>
        </w:rPr>
        <w:t>SO</w:t>
      </w:r>
      <w:r w:rsidR="00F705C9" w:rsidRPr="00EC57E5">
        <w:rPr>
          <w:rFonts w:ascii="Constantia" w:hAnsi="Constantia"/>
          <w:vertAlign w:val="subscript"/>
        </w:rPr>
        <w:t>2</w:t>
      </w:r>
      <w:r w:rsidR="009C50EB" w:rsidRPr="00EC57E5">
        <w:rPr>
          <w:rFonts w:ascii="Constantia" w:hAnsi="Constantia"/>
        </w:rPr>
        <w:t>)</w:t>
      </w:r>
      <w:r w:rsidR="00F705C9" w:rsidRPr="00EC57E5">
        <w:rPr>
          <w:rFonts w:ascii="Constantia" w:hAnsi="Constantia"/>
        </w:rPr>
        <w:t xml:space="preserve"> i NO</w:t>
      </w:r>
      <w:r w:rsidR="00F705C9" w:rsidRPr="00EC57E5">
        <w:rPr>
          <w:rFonts w:ascii="Constantia" w:hAnsi="Constantia"/>
          <w:vertAlign w:val="subscript"/>
        </w:rPr>
        <w:t>x</w:t>
      </w:r>
      <w:r w:rsidR="00BB153A" w:rsidRPr="00EC57E5">
        <w:rPr>
          <w:rFonts w:ascii="Constantia" w:hAnsi="Constantia"/>
        </w:rPr>
        <w:t xml:space="preserve"> u vazduhu</w:t>
      </w:r>
      <w:r w:rsidR="00121AE1" w:rsidRPr="00EC57E5">
        <w:rPr>
          <w:rFonts w:ascii="Constantia" w:hAnsi="Constantia"/>
        </w:rPr>
        <w:t xml:space="preserve"> (manuelnim metodama)</w:t>
      </w:r>
      <w:r w:rsidR="00BB153A" w:rsidRPr="00EC57E5">
        <w:rPr>
          <w:rFonts w:ascii="Constantia" w:hAnsi="Constantia"/>
        </w:rPr>
        <w:t>,</w:t>
      </w:r>
      <w:r w:rsidR="00762BF0" w:rsidRPr="00EC57E5">
        <w:rPr>
          <w:rFonts w:ascii="Constantia" w:hAnsi="Constantia"/>
        </w:rPr>
        <w:t xml:space="preserve"> tako da je neophodno </w:t>
      </w:r>
      <w:r w:rsidR="00BB153A" w:rsidRPr="00EC57E5">
        <w:rPr>
          <w:rFonts w:ascii="Constantia" w:hAnsi="Constantia"/>
        </w:rPr>
        <w:t>t</w:t>
      </w:r>
      <w:r w:rsidR="00F705C9" w:rsidRPr="00EC57E5">
        <w:rPr>
          <w:rFonts w:ascii="Constantia" w:hAnsi="Constantia"/>
        </w:rPr>
        <w:t>ehničko i programsko unapr</w:t>
      </w:r>
      <w:r w:rsidR="00AA3B90">
        <w:rPr>
          <w:rFonts w:ascii="Constantia" w:hAnsi="Constantia"/>
        </w:rPr>
        <w:t>j</w:t>
      </w:r>
      <w:r w:rsidR="00F705C9" w:rsidRPr="00EC57E5">
        <w:rPr>
          <w:rFonts w:ascii="Constantia" w:hAnsi="Constantia"/>
        </w:rPr>
        <w:t>eđ</w:t>
      </w:r>
      <w:r w:rsidR="00113868" w:rsidRPr="00EC57E5">
        <w:rPr>
          <w:rFonts w:ascii="Constantia" w:hAnsi="Constantia"/>
        </w:rPr>
        <w:t>enje rada, jer mjere</w:t>
      </w:r>
      <w:r w:rsidR="00762BF0" w:rsidRPr="00EC57E5">
        <w:rPr>
          <w:rFonts w:ascii="Constantia" w:hAnsi="Constantia"/>
        </w:rPr>
        <w:t>nja</w:t>
      </w:r>
      <w:r w:rsidR="00113868" w:rsidRPr="00EC57E5">
        <w:rPr>
          <w:rFonts w:ascii="Constantia" w:hAnsi="Constantia"/>
        </w:rPr>
        <w:t xml:space="preserve"> koj</w:t>
      </w:r>
      <w:r w:rsidR="00762BF0" w:rsidRPr="00EC57E5">
        <w:rPr>
          <w:rFonts w:ascii="Constantia" w:hAnsi="Constantia"/>
        </w:rPr>
        <w:t>a se sprovode</w:t>
      </w:r>
      <w:r w:rsidR="00113868" w:rsidRPr="00EC57E5">
        <w:rPr>
          <w:rFonts w:ascii="Constantia" w:hAnsi="Constantia"/>
        </w:rPr>
        <w:t xml:space="preserve"> ne ispunjava</w:t>
      </w:r>
      <w:r w:rsidR="00762BF0" w:rsidRPr="00EC57E5">
        <w:rPr>
          <w:rFonts w:ascii="Constantia" w:hAnsi="Constantia"/>
        </w:rPr>
        <w:t>ju</w:t>
      </w:r>
      <w:r w:rsidR="004C2A1D">
        <w:rPr>
          <w:rFonts w:ascii="Constantia" w:hAnsi="Constantia"/>
        </w:rPr>
        <w:t xml:space="preserve"> </w:t>
      </w:r>
      <w:r w:rsidRPr="00EC57E5">
        <w:rPr>
          <w:rFonts w:ascii="Constantia" w:hAnsi="Constantia"/>
        </w:rPr>
        <w:t xml:space="preserve">propisane </w:t>
      </w:r>
      <w:r w:rsidR="00BB153A" w:rsidRPr="00EC57E5">
        <w:rPr>
          <w:rFonts w:ascii="Constantia" w:hAnsi="Constantia"/>
        </w:rPr>
        <w:t>zahtjeve</w:t>
      </w:r>
      <w:r w:rsidR="00F705C9" w:rsidRPr="00EC57E5">
        <w:rPr>
          <w:rFonts w:ascii="Constantia" w:hAnsi="Constantia"/>
        </w:rPr>
        <w:t xml:space="preserve"> EMEP</w:t>
      </w:r>
      <w:r w:rsidR="00713C86" w:rsidRPr="00EC57E5">
        <w:rPr>
          <w:rFonts w:ascii="Constantia" w:hAnsi="Constantia"/>
        </w:rPr>
        <w:t>-a</w:t>
      </w:r>
      <w:r w:rsidR="00F705C9" w:rsidRPr="00EC57E5">
        <w:rPr>
          <w:rFonts w:ascii="Constantia" w:hAnsi="Constantia"/>
        </w:rPr>
        <w:t>.</w:t>
      </w:r>
    </w:p>
    <w:p w:rsidR="006C35B3" w:rsidRPr="00CF54F4" w:rsidRDefault="004A6348" w:rsidP="00741973">
      <w:pPr>
        <w:pStyle w:val="Heading3"/>
      </w:pPr>
      <w:bookmarkStart w:id="14" w:name="_Toc393897862"/>
      <w:r>
        <w:t xml:space="preserve">1.2.1   </w:t>
      </w:r>
      <w:r w:rsidR="00F25730" w:rsidRPr="00CF54F4">
        <w:t>Fizič</w:t>
      </w:r>
      <w:r w:rsidR="00F962C3" w:rsidRPr="00CF54F4">
        <w:t>ko-</w:t>
      </w:r>
      <w:r w:rsidR="00F25730" w:rsidRPr="00CF54F4">
        <w:t>hemijski parametri kvaliteta vazduha</w:t>
      </w:r>
      <w:r w:rsidR="00235E72" w:rsidRPr="00CF54F4">
        <w:rPr>
          <w:rStyle w:val="FootnoteReference"/>
          <w:rFonts w:ascii="Constantia" w:hAnsi="Constantia"/>
        </w:rPr>
        <w:footnoteReference w:id="3"/>
      </w:r>
      <w:bookmarkEnd w:id="14"/>
    </w:p>
    <w:p w:rsidR="00ED0FEA" w:rsidRPr="00CF54F4" w:rsidRDefault="00A8678D" w:rsidP="00741973">
      <w:pPr>
        <w:pStyle w:val="Heading4"/>
        <w:numPr>
          <w:ilvl w:val="0"/>
          <w:numId w:val="0"/>
        </w:numPr>
        <w:ind w:left="1134" w:hanging="1134"/>
        <w:rPr>
          <w:rFonts w:ascii="Constantia" w:hAnsi="Constantia"/>
          <w:sz w:val="22"/>
          <w:szCs w:val="22"/>
          <w:lang w:val="sr-Latn-CS"/>
        </w:rPr>
      </w:pPr>
      <w:r w:rsidRPr="00CF54F4">
        <w:rPr>
          <w:rFonts w:ascii="Constantia" w:hAnsi="Constantia"/>
          <w:sz w:val="22"/>
          <w:szCs w:val="22"/>
          <w:lang w:val="sr-Latn-CS"/>
        </w:rPr>
        <w:t>Sumpor(IV)oks</w:t>
      </w:r>
      <w:r w:rsidR="00C04052" w:rsidRPr="00CF54F4">
        <w:rPr>
          <w:rFonts w:ascii="Constantia" w:hAnsi="Constantia"/>
          <w:sz w:val="22"/>
          <w:szCs w:val="22"/>
          <w:lang w:val="sr-Latn-CS"/>
        </w:rPr>
        <w:t>i</w:t>
      </w:r>
      <w:r w:rsidRPr="00CF54F4">
        <w:rPr>
          <w:rFonts w:ascii="Constantia" w:hAnsi="Constantia"/>
          <w:sz w:val="22"/>
          <w:szCs w:val="22"/>
          <w:lang w:val="sr-Latn-CS"/>
        </w:rPr>
        <w:t xml:space="preserve">d </w:t>
      </w:r>
      <w:r w:rsidR="00ED0FEA" w:rsidRPr="00CF54F4">
        <w:rPr>
          <w:rFonts w:ascii="Constantia" w:hAnsi="Constantia"/>
          <w:sz w:val="22"/>
          <w:szCs w:val="22"/>
          <w:lang w:val="sr-Latn-CS"/>
        </w:rPr>
        <w:t>- SO</w:t>
      </w:r>
      <w:r w:rsidR="00ED0FEA" w:rsidRPr="00CF54F4">
        <w:rPr>
          <w:rFonts w:ascii="Constantia" w:hAnsi="Constantia"/>
          <w:sz w:val="22"/>
          <w:szCs w:val="22"/>
          <w:vertAlign w:val="subscript"/>
          <w:lang w:val="sr-Latn-CS"/>
        </w:rPr>
        <w:t>2</w:t>
      </w:r>
    </w:p>
    <w:p w:rsidR="00ED0FEA" w:rsidRPr="00CF54F4" w:rsidRDefault="00ED0FEA" w:rsidP="00ED0FEA">
      <w:pPr>
        <w:rPr>
          <w:rFonts w:ascii="Constantia" w:hAnsi="Constantia"/>
          <w:lang w:val="sr-Latn-CS"/>
        </w:rPr>
      </w:pPr>
      <w:r w:rsidRPr="00CF54F4">
        <w:rPr>
          <w:rFonts w:ascii="Constantia" w:hAnsi="Constantia"/>
          <w:lang w:val="sr-Latn-CS"/>
        </w:rPr>
        <w:t xml:space="preserve">Sadržaj </w:t>
      </w:r>
      <w:r w:rsidR="00BA0340" w:rsidRPr="00CF54F4">
        <w:rPr>
          <w:rFonts w:ascii="Constantia" w:hAnsi="Constantia"/>
        </w:rPr>
        <w:t>sumpor(IV)oks</w:t>
      </w:r>
      <w:r w:rsidR="00C04052" w:rsidRPr="00CF54F4">
        <w:rPr>
          <w:rFonts w:ascii="Constantia" w:hAnsi="Constantia"/>
        </w:rPr>
        <w:t>i</w:t>
      </w:r>
      <w:r w:rsidR="00BA0340" w:rsidRPr="00CF54F4">
        <w:rPr>
          <w:rFonts w:ascii="Constantia" w:hAnsi="Constantia"/>
        </w:rPr>
        <w:t>da (SO</w:t>
      </w:r>
      <w:r w:rsidR="00BA0340" w:rsidRPr="00CF54F4">
        <w:rPr>
          <w:rFonts w:ascii="Constantia" w:hAnsi="Constantia"/>
          <w:vertAlign w:val="subscript"/>
        </w:rPr>
        <w:t>2</w:t>
      </w:r>
      <w:r w:rsidR="00BA0340" w:rsidRPr="00CF54F4">
        <w:rPr>
          <w:rFonts w:ascii="Constantia" w:hAnsi="Constantia"/>
        </w:rPr>
        <w:t>)</w:t>
      </w:r>
      <w:r w:rsidR="00046DA4">
        <w:rPr>
          <w:rFonts w:ascii="Constantia" w:hAnsi="Constantia"/>
        </w:rPr>
        <w:t xml:space="preserve"> </w:t>
      </w:r>
      <w:r w:rsidR="008A1534" w:rsidRPr="00CF54F4">
        <w:rPr>
          <w:rFonts w:ascii="Constantia" w:hAnsi="Constantia"/>
          <w:lang w:val="sr-Latn-CS"/>
        </w:rPr>
        <w:t xml:space="preserve">u vazduhu </w:t>
      </w:r>
      <w:r w:rsidRPr="00CF54F4">
        <w:rPr>
          <w:rFonts w:ascii="Constantia" w:hAnsi="Constantia"/>
          <w:lang w:val="sr-Latn-CS"/>
        </w:rPr>
        <w:t xml:space="preserve">je bio vrlo nizak. </w:t>
      </w:r>
      <w:r w:rsidR="00015B22" w:rsidRPr="00CF54F4">
        <w:rPr>
          <w:rFonts w:ascii="Constantia" w:hAnsi="Constantia"/>
          <w:lang w:val="sr-Latn-CS"/>
        </w:rPr>
        <w:t xml:space="preserve">Godišnje srednje vrijednosti su bile ispod granice detekcije. </w:t>
      </w:r>
      <w:r w:rsidR="00CE7F40" w:rsidRPr="00CF54F4">
        <w:rPr>
          <w:rFonts w:ascii="Constantia" w:hAnsi="Constantia"/>
          <w:lang w:val="sr-Latn-CS"/>
        </w:rPr>
        <w:t>Vrijeme usrednjavanja uzoraka vazduha je 24 časa.</w:t>
      </w:r>
    </w:p>
    <w:p w:rsidR="00ED0FEA" w:rsidRPr="00CF54F4" w:rsidRDefault="00ED0FEA" w:rsidP="00ED0FEA">
      <w:pPr>
        <w:pStyle w:val="Heading4"/>
        <w:numPr>
          <w:ilvl w:val="0"/>
          <w:numId w:val="0"/>
        </w:numPr>
        <w:ind w:left="1134" w:hanging="1134"/>
        <w:rPr>
          <w:rFonts w:ascii="Constantia" w:hAnsi="Constantia"/>
          <w:sz w:val="22"/>
          <w:szCs w:val="22"/>
          <w:lang w:val="sr-Latn-CS"/>
        </w:rPr>
      </w:pPr>
      <w:r w:rsidRPr="00CF54F4">
        <w:rPr>
          <w:rFonts w:ascii="Constantia" w:hAnsi="Constantia"/>
          <w:sz w:val="22"/>
          <w:szCs w:val="22"/>
          <w:lang w:val="sr-Latn-CS"/>
        </w:rPr>
        <w:t>Dim</w:t>
      </w:r>
    </w:p>
    <w:p w:rsidR="00ED0FEA" w:rsidRPr="00CF54F4" w:rsidRDefault="00015B22" w:rsidP="00ED0FEA">
      <w:pPr>
        <w:rPr>
          <w:rFonts w:ascii="Constantia" w:hAnsi="Constantia"/>
          <w:lang w:val="sr-Latn-CS"/>
        </w:rPr>
      </w:pPr>
      <w:r w:rsidRPr="00CF54F4">
        <w:rPr>
          <w:rFonts w:ascii="Constantia" w:hAnsi="Constantia"/>
          <w:lang w:val="sr-Latn-CS"/>
        </w:rPr>
        <w:t>Na svim stanicama su izmjerene niske vrijednosti sadržaja dima</w:t>
      </w:r>
      <w:r w:rsidR="008A1534" w:rsidRPr="00CF54F4">
        <w:rPr>
          <w:rFonts w:ascii="Constantia" w:hAnsi="Constantia"/>
          <w:lang w:val="sr-Latn-CS"/>
        </w:rPr>
        <w:t xml:space="preserve"> u vazduhu</w:t>
      </w:r>
      <w:r w:rsidRPr="00CF54F4">
        <w:rPr>
          <w:rFonts w:ascii="Constantia" w:hAnsi="Constantia"/>
          <w:lang w:val="sr-Latn-CS"/>
        </w:rPr>
        <w:t>. Maksimalne vrijednosti su evidentirane u zimskom periodu (novembar-mart).</w:t>
      </w:r>
      <w:r w:rsidR="00046DA4">
        <w:rPr>
          <w:rFonts w:ascii="Constantia" w:hAnsi="Constantia"/>
          <w:lang w:val="sr-Latn-CS"/>
        </w:rPr>
        <w:t xml:space="preserve"> </w:t>
      </w:r>
      <w:r w:rsidR="00CE7F40" w:rsidRPr="00CF54F4">
        <w:rPr>
          <w:rFonts w:ascii="Constantia" w:hAnsi="Constantia"/>
          <w:lang w:val="sr-Latn-CS"/>
        </w:rPr>
        <w:t>Vrijeme usrednjavanja uzoraka vazduha je 24 časa.</w:t>
      </w:r>
    </w:p>
    <w:p w:rsidR="00ED0FEA" w:rsidRPr="00E426F0" w:rsidRDefault="00ED0FEA" w:rsidP="00A61851">
      <w:pPr>
        <w:pStyle w:val="Heading4"/>
        <w:numPr>
          <w:ilvl w:val="0"/>
          <w:numId w:val="0"/>
        </w:numPr>
        <w:rPr>
          <w:rFonts w:ascii="Constantia" w:hAnsi="Constantia"/>
          <w:sz w:val="22"/>
          <w:szCs w:val="22"/>
          <w:vertAlign w:val="subscript"/>
          <w:lang w:val="sr-Latn-CS"/>
        </w:rPr>
      </w:pPr>
      <w:r w:rsidRPr="00E426F0">
        <w:rPr>
          <w:rFonts w:ascii="Constantia" w:hAnsi="Constantia"/>
          <w:sz w:val="22"/>
          <w:szCs w:val="22"/>
          <w:lang w:val="sr-Latn-CS"/>
        </w:rPr>
        <w:lastRenderedPageBreak/>
        <w:t>Azotni oksidi - NO</w:t>
      </w:r>
      <w:r w:rsidRPr="00E426F0">
        <w:rPr>
          <w:rFonts w:ascii="Constantia" w:hAnsi="Constantia"/>
          <w:sz w:val="22"/>
          <w:szCs w:val="22"/>
          <w:vertAlign w:val="subscript"/>
          <w:lang w:val="sr-Latn-CS"/>
        </w:rPr>
        <w:t>x</w:t>
      </w:r>
    </w:p>
    <w:p w:rsidR="00827B9A" w:rsidRPr="00E426F0" w:rsidRDefault="00F17EEE" w:rsidP="00827B9A">
      <w:pPr>
        <w:rPr>
          <w:rFonts w:ascii="Constantia" w:hAnsi="Constantia"/>
          <w:lang w:val="sr-Latn-CS"/>
        </w:rPr>
      </w:pPr>
      <w:r w:rsidRPr="00E426F0">
        <w:rPr>
          <w:rFonts w:ascii="Constantia" w:hAnsi="Constantia"/>
          <w:lang w:val="sr-Latn-CS"/>
        </w:rPr>
        <w:t>Koncentracija</w:t>
      </w:r>
      <w:r w:rsidR="00A2635E" w:rsidRPr="00E426F0">
        <w:rPr>
          <w:rFonts w:ascii="Constantia" w:hAnsi="Constantia"/>
          <w:lang w:val="sr-Latn-CS"/>
        </w:rPr>
        <w:t xml:space="preserve"> azotnih</w:t>
      </w:r>
      <w:r w:rsidR="00827B9A" w:rsidRPr="00E426F0">
        <w:rPr>
          <w:rFonts w:ascii="Constantia" w:hAnsi="Constantia"/>
          <w:lang w:val="sr-Latn-CS"/>
        </w:rPr>
        <w:t xml:space="preserve"> oksida</w:t>
      </w:r>
      <w:r w:rsidRPr="00E426F0">
        <w:rPr>
          <w:rFonts w:ascii="Constantia" w:hAnsi="Constantia"/>
          <w:lang w:val="sr-Latn-CS"/>
        </w:rPr>
        <w:t xml:space="preserve"> NO</w:t>
      </w:r>
      <w:r w:rsidRPr="00E426F0">
        <w:rPr>
          <w:rFonts w:ascii="Constantia" w:hAnsi="Constantia"/>
          <w:vertAlign w:val="subscript"/>
          <w:lang w:val="sr-Latn-CS"/>
        </w:rPr>
        <w:t>x</w:t>
      </w:r>
      <w:r w:rsidR="00BB089E">
        <w:rPr>
          <w:rFonts w:ascii="Constantia" w:hAnsi="Constantia"/>
          <w:vertAlign w:val="subscript"/>
          <w:lang w:val="sr-Latn-CS"/>
        </w:rPr>
        <w:t xml:space="preserve"> </w:t>
      </w:r>
      <w:r w:rsidRPr="00E426F0">
        <w:rPr>
          <w:rFonts w:ascii="Constantia" w:hAnsi="Constantia"/>
          <w:lang w:val="sr-Latn-CS"/>
        </w:rPr>
        <w:t xml:space="preserve">mjerena je na stanicama u Podgorici i </w:t>
      </w:r>
      <w:r w:rsidRPr="00E426F0">
        <w:rPr>
          <w:rFonts w:ascii="Constantia" w:hAnsi="Constantia"/>
        </w:rPr>
        <w:t xml:space="preserve">Žabljaku. </w:t>
      </w:r>
      <w:r w:rsidRPr="00E426F0">
        <w:rPr>
          <w:rFonts w:ascii="Constantia" w:hAnsi="Constantia"/>
          <w:lang w:val="sr-Latn-CS"/>
        </w:rPr>
        <w:t xml:space="preserve">Srednja godišnja koncentracije je </w:t>
      </w:r>
      <w:r w:rsidR="00DA7D52" w:rsidRPr="00E426F0">
        <w:rPr>
          <w:rFonts w:ascii="Constantia" w:hAnsi="Constantia"/>
          <w:lang w:val="sr-Latn-CS"/>
        </w:rPr>
        <w:t>na oba mjerna mjesta bila ispod propisane vrijednosti od 40</w:t>
      </w:r>
      <w:r w:rsidR="00DA7D52" w:rsidRPr="00E426F0">
        <w:rPr>
          <w:rFonts w:ascii="Constantia" w:hAnsi="Constantia"/>
        </w:rPr>
        <w:t xml:space="preserve"> μ</w:t>
      </w:r>
      <w:r w:rsidR="00DA7D52" w:rsidRPr="00E426F0">
        <w:rPr>
          <w:rFonts w:ascii="Constantia" w:hAnsi="Constantia"/>
          <w:lang w:val="pl-PL"/>
        </w:rPr>
        <w:t>g/m</w:t>
      </w:r>
      <w:r w:rsidR="00DA7D52" w:rsidRPr="00E426F0">
        <w:rPr>
          <w:rFonts w:ascii="Constantia" w:hAnsi="Constantia"/>
          <w:vertAlign w:val="superscript"/>
          <w:lang w:val="pl-PL"/>
        </w:rPr>
        <w:t>3</w:t>
      </w:r>
      <w:r w:rsidR="00DA7D52" w:rsidRPr="00E426F0">
        <w:rPr>
          <w:rFonts w:ascii="Constantia" w:hAnsi="Constantia"/>
          <w:lang w:val="pl-PL"/>
        </w:rPr>
        <w:t>.</w:t>
      </w:r>
      <w:r w:rsidR="008F4430">
        <w:rPr>
          <w:rFonts w:ascii="Constantia" w:hAnsi="Constantia"/>
          <w:lang w:val="pl-PL"/>
        </w:rPr>
        <w:t xml:space="preserve"> </w:t>
      </w:r>
      <w:r w:rsidR="00CE7F40" w:rsidRPr="00E426F0">
        <w:rPr>
          <w:rFonts w:ascii="Constantia" w:hAnsi="Constantia"/>
          <w:lang w:val="sr-Latn-CS"/>
        </w:rPr>
        <w:t>Vrijeme usrednjavanja uzoraka vazduha je 24 časa.</w:t>
      </w:r>
    </w:p>
    <w:p w:rsidR="00003FC7" w:rsidRPr="00E426F0" w:rsidRDefault="004A6348" w:rsidP="007468D3">
      <w:pPr>
        <w:pStyle w:val="Heading3"/>
      </w:pPr>
      <w:bookmarkStart w:id="15" w:name="_Toc393897863"/>
      <w:r>
        <w:t xml:space="preserve">1.2.2   </w:t>
      </w:r>
      <w:r w:rsidR="00003FC7" w:rsidRPr="00E426F0">
        <w:t>Fizičko</w:t>
      </w:r>
      <w:r w:rsidR="00272596" w:rsidRPr="00E426F0">
        <w:t>-</w:t>
      </w:r>
      <w:r w:rsidR="00003FC7" w:rsidRPr="00E426F0">
        <w:t xml:space="preserve">hemijski parametri </w:t>
      </w:r>
      <w:r w:rsidR="00003FC7" w:rsidRPr="007468D3">
        <w:t>kvaliteta</w:t>
      </w:r>
      <w:r w:rsidR="00003FC7" w:rsidRPr="00E426F0">
        <w:t xml:space="preserve"> padavina</w:t>
      </w:r>
      <w:bookmarkEnd w:id="15"/>
    </w:p>
    <w:p w:rsidR="0060244B" w:rsidRPr="00E426F0" w:rsidRDefault="0060244B" w:rsidP="0060244B">
      <w:pPr>
        <w:rPr>
          <w:rFonts w:ascii="Constantia" w:hAnsi="Constantia"/>
        </w:rPr>
      </w:pPr>
      <w:r w:rsidRPr="00E426F0">
        <w:rPr>
          <w:rFonts w:ascii="Constantia" w:hAnsi="Constantia"/>
        </w:rPr>
        <w:t>Program sistematskog ispitivanja kvaliteta padavina je realizovan na 13 mjernih mjesta u mreži za opšti hemizam i na 5 sta</w:t>
      </w:r>
      <w:r w:rsidR="002F2DE5" w:rsidRPr="00E426F0">
        <w:rPr>
          <w:rFonts w:ascii="Constantia" w:hAnsi="Constantia"/>
        </w:rPr>
        <w:t xml:space="preserve">nica za ukupne taložne čestice. </w:t>
      </w:r>
      <w:r w:rsidRPr="00E426F0">
        <w:rPr>
          <w:rFonts w:ascii="Constantia" w:hAnsi="Constantia"/>
        </w:rPr>
        <w:t xml:space="preserve">Procenat realizacije uzorkovanja je zadovoljavajući na svim stanicama. </w:t>
      </w:r>
    </w:p>
    <w:p w:rsidR="0060244B" w:rsidRPr="00E426F0" w:rsidRDefault="007C6983" w:rsidP="0060244B">
      <w:pPr>
        <w:rPr>
          <w:rFonts w:ascii="Constantia" w:hAnsi="Constantia"/>
        </w:rPr>
      </w:pPr>
      <w:r w:rsidRPr="00E426F0">
        <w:rPr>
          <w:rFonts w:ascii="Constantia" w:hAnsi="Constantia"/>
        </w:rPr>
        <w:t>Pojava kis</w:t>
      </w:r>
      <w:r w:rsidR="0060244B" w:rsidRPr="00E426F0">
        <w:rPr>
          <w:rFonts w:ascii="Constantia" w:hAnsi="Constantia"/>
        </w:rPr>
        <w:t>elih kiša je bila zastupljena širom teritorije</w:t>
      </w:r>
      <w:r w:rsidR="00C35E33" w:rsidRPr="00E426F0">
        <w:rPr>
          <w:rFonts w:ascii="Constantia" w:hAnsi="Constantia"/>
        </w:rPr>
        <w:t xml:space="preserve"> Crne Gore</w:t>
      </w:r>
      <w:r w:rsidR="0060244B" w:rsidRPr="00E426F0">
        <w:rPr>
          <w:rFonts w:ascii="Constantia" w:hAnsi="Constantia"/>
        </w:rPr>
        <w:t>, na čak 7 mjern</w:t>
      </w:r>
      <w:r w:rsidR="00C35E33" w:rsidRPr="00E426F0">
        <w:rPr>
          <w:rFonts w:ascii="Constantia" w:hAnsi="Constantia"/>
        </w:rPr>
        <w:t>ih stanica. Za razliku od ran</w:t>
      </w:r>
      <w:r w:rsidR="00921C50">
        <w:rPr>
          <w:rFonts w:ascii="Constantia" w:hAnsi="Constantia"/>
        </w:rPr>
        <w:t>i</w:t>
      </w:r>
      <w:r w:rsidR="00C35E33" w:rsidRPr="00E426F0">
        <w:rPr>
          <w:rFonts w:ascii="Constantia" w:hAnsi="Constantia"/>
        </w:rPr>
        <w:t>jih godina</w:t>
      </w:r>
      <w:r w:rsidR="00921C50">
        <w:rPr>
          <w:rFonts w:ascii="Constantia" w:hAnsi="Constantia"/>
        </w:rPr>
        <w:t>,</w:t>
      </w:r>
      <w:r w:rsidR="00C35E33" w:rsidRPr="00E426F0">
        <w:rPr>
          <w:rFonts w:ascii="Constantia" w:hAnsi="Constantia"/>
        </w:rPr>
        <w:t xml:space="preserve"> </w:t>
      </w:r>
      <w:r w:rsidR="00075653" w:rsidRPr="00E426F0">
        <w:rPr>
          <w:rFonts w:ascii="Constantia" w:hAnsi="Constantia"/>
        </w:rPr>
        <w:t xml:space="preserve">ova pojava nije evidentirana </w:t>
      </w:r>
      <w:r w:rsidR="00C35E33" w:rsidRPr="00E426F0">
        <w:rPr>
          <w:rFonts w:ascii="Constantia" w:hAnsi="Constantia"/>
        </w:rPr>
        <w:t>na urbanom području Podgorice, dok je na području Pljevalja zabilježena</w:t>
      </w:r>
      <w:r w:rsidR="0060244B" w:rsidRPr="00E426F0">
        <w:rPr>
          <w:rFonts w:ascii="Constantia" w:hAnsi="Constantia"/>
        </w:rPr>
        <w:t>. V</w:t>
      </w:r>
      <w:r w:rsidRPr="00E426F0">
        <w:rPr>
          <w:rFonts w:ascii="Constantia" w:hAnsi="Constantia"/>
        </w:rPr>
        <w:t>eličina kis</w:t>
      </w:r>
      <w:r w:rsidR="00B84AA3" w:rsidRPr="00E426F0">
        <w:rPr>
          <w:rFonts w:ascii="Constantia" w:hAnsi="Constantia"/>
        </w:rPr>
        <w:t xml:space="preserve">elosti je bila mala </w:t>
      </w:r>
      <w:r w:rsidR="00921C50">
        <w:rPr>
          <w:rFonts w:ascii="Constantia" w:hAnsi="Constantia"/>
        </w:rPr>
        <w:t>(</w:t>
      </w:r>
      <w:r w:rsidR="0060244B" w:rsidRPr="00E426F0">
        <w:rPr>
          <w:rFonts w:ascii="Constantia" w:hAnsi="Constantia"/>
        </w:rPr>
        <w:t>pH&gt;5</w:t>
      </w:r>
      <w:r w:rsidR="00921C50">
        <w:rPr>
          <w:rFonts w:ascii="Constantia" w:hAnsi="Constantia"/>
        </w:rPr>
        <w:t>)</w:t>
      </w:r>
      <w:r w:rsidR="0060244B" w:rsidRPr="00E426F0">
        <w:rPr>
          <w:rFonts w:ascii="Constantia" w:hAnsi="Constantia"/>
        </w:rPr>
        <w:t xml:space="preserve">, a </w:t>
      </w:r>
      <w:r w:rsidR="00B84AA3" w:rsidRPr="00E426F0">
        <w:rPr>
          <w:rFonts w:ascii="Constantia" w:hAnsi="Constantia"/>
        </w:rPr>
        <w:t>frekvencija pojavljivanja -</w:t>
      </w:r>
      <w:r w:rsidR="0060244B" w:rsidRPr="00E426F0">
        <w:rPr>
          <w:rFonts w:ascii="Constantia" w:hAnsi="Constantia"/>
        </w:rPr>
        <w:t xml:space="preserve"> umjerena. Pojava </w:t>
      </w:r>
      <w:r w:rsidR="00921C50">
        <w:rPr>
          <w:rFonts w:ascii="Constantia" w:hAnsi="Constantia"/>
        </w:rPr>
        <w:t>ki</w:t>
      </w:r>
      <w:r w:rsidRPr="00E426F0">
        <w:rPr>
          <w:rFonts w:ascii="Constantia" w:hAnsi="Constantia"/>
        </w:rPr>
        <w:t>s</w:t>
      </w:r>
      <w:r w:rsidR="00B84AA3" w:rsidRPr="00E426F0">
        <w:rPr>
          <w:rFonts w:ascii="Constantia" w:hAnsi="Constantia"/>
        </w:rPr>
        <w:t xml:space="preserve">elih kiša </w:t>
      </w:r>
      <w:r w:rsidR="0060244B" w:rsidRPr="00E426F0">
        <w:rPr>
          <w:rFonts w:ascii="Constantia" w:hAnsi="Constantia"/>
        </w:rPr>
        <w:t>je bila n</w:t>
      </w:r>
      <w:r w:rsidR="00075653" w:rsidRPr="00E426F0">
        <w:rPr>
          <w:rFonts w:ascii="Constantia" w:hAnsi="Constantia"/>
        </w:rPr>
        <w:t xml:space="preserve">ajčešća na području Kolašina </w:t>
      </w:r>
      <w:r w:rsidR="00921C50">
        <w:rPr>
          <w:rFonts w:ascii="Constantia" w:hAnsi="Constantia"/>
        </w:rPr>
        <w:t xml:space="preserve">sa </w:t>
      </w:r>
      <w:r w:rsidR="001A7A92" w:rsidRPr="00E426F0">
        <w:rPr>
          <w:rFonts w:ascii="Constantia" w:hAnsi="Constantia"/>
        </w:rPr>
        <w:t>16</w:t>
      </w:r>
      <w:r w:rsidR="00075653" w:rsidRPr="00E426F0">
        <w:rPr>
          <w:rFonts w:ascii="Constantia" w:hAnsi="Constantia"/>
        </w:rPr>
        <w:t>%</w:t>
      </w:r>
      <w:r w:rsidR="0060244B" w:rsidRPr="00E426F0">
        <w:rPr>
          <w:rFonts w:ascii="Constantia" w:hAnsi="Constantia"/>
        </w:rPr>
        <w:t xml:space="preserve">, dok je u ostalim sredinama bila </w:t>
      </w:r>
      <w:r w:rsidR="00075653" w:rsidRPr="00E426F0">
        <w:rPr>
          <w:rFonts w:ascii="Constantia" w:hAnsi="Constantia"/>
        </w:rPr>
        <w:t>od</w:t>
      </w:r>
      <w:r w:rsidR="00D609D6" w:rsidRPr="00E426F0">
        <w:rPr>
          <w:rFonts w:ascii="Constantia" w:hAnsi="Constantia"/>
        </w:rPr>
        <w:t xml:space="preserve"> 1-3%. </w:t>
      </w:r>
      <w:r w:rsidRPr="00E426F0">
        <w:rPr>
          <w:rFonts w:ascii="Constantia" w:hAnsi="Constantia"/>
        </w:rPr>
        <w:t>Analizom godišnje raspodjele, kis</w:t>
      </w:r>
      <w:r w:rsidR="0060244B" w:rsidRPr="00E426F0">
        <w:rPr>
          <w:rFonts w:ascii="Constantia" w:hAnsi="Constantia"/>
        </w:rPr>
        <w:t>ele kiše su se najčešće javljale zimi.</w:t>
      </w:r>
    </w:p>
    <w:p w:rsidR="00143F88" w:rsidRDefault="0060244B" w:rsidP="0060244B">
      <w:pPr>
        <w:rPr>
          <w:rFonts w:ascii="Constantia" w:hAnsi="Constantia"/>
        </w:rPr>
      </w:pPr>
      <w:r w:rsidRPr="00E426F0">
        <w:rPr>
          <w:rFonts w:ascii="Constantia" w:hAnsi="Constantia"/>
        </w:rPr>
        <w:t>Srednja godišnja p</w:t>
      </w:r>
      <w:r w:rsidR="00D609D6" w:rsidRPr="00E426F0">
        <w:rPr>
          <w:rFonts w:ascii="Constantia" w:hAnsi="Constantia"/>
        </w:rPr>
        <w:t>H vrijednost je bila u opsegu od 6,</w:t>
      </w:r>
      <w:r w:rsidRPr="00E426F0">
        <w:rPr>
          <w:rFonts w:ascii="Constantia" w:hAnsi="Constantia"/>
        </w:rPr>
        <w:t xml:space="preserve">30 (Berane) </w:t>
      </w:r>
      <w:r w:rsidR="00503C17" w:rsidRPr="00E426F0">
        <w:rPr>
          <w:rFonts w:ascii="Constantia" w:hAnsi="Constantia"/>
        </w:rPr>
        <w:t>do</w:t>
      </w:r>
      <w:r w:rsidRPr="00E426F0">
        <w:rPr>
          <w:rFonts w:ascii="Constantia" w:hAnsi="Constantia"/>
        </w:rPr>
        <w:t xml:space="preserve"> 6,96 (Nikšić). Samo je u Pljevljima i Bijelom Polju srednja pH bila iznad 7 (7,05).</w:t>
      </w:r>
      <w:r w:rsidR="00967C23">
        <w:rPr>
          <w:rFonts w:ascii="Constantia" w:hAnsi="Constantia"/>
        </w:rPr>
        <w:t xml:space="preserve"> </w:t>
      </w:r>
      <w:r w:rsidR="00143F88" w:rsidRPr="00E426F0">
        <w:rPr>
          <w:rFonts w:ascii="Constantia" w:hAnsi="Constantia"/>
        </w:rPr>
        <w:t xml:space="preserve">U </w:t>
      </w:r>
      <w:r w:rsidR="00143F88" w:rsidRPr="00E426F0">
        <w:rPr>
          <w:rFonts w:ascii="Constantia" w:hAnsi="Constantia"/>
          <w:i/>
        </w:rPr>
        <w:t>Tabeli 5</w:t>
      </w:r>
      <w:r w:rsidR="008652B3" w:rsidRPr="00E426F0">
        <w:rPr>
          <w:rFonts w:ascii="Constantia" w:hAnsi="Constantia"/>
          <w:i/>
        </w:rPr>
        <w:t>.</w:t>
      </w:r>
      <w:r w:rsidR="00967C23">
        <w:rPr>
          <w:rFonts w:ascii="Constantia" w:hAnsi="Constantia"/>
          <w:i/>
        </w:rPr>
        <w:t xml:space="preserve"> </w:t>
      </w:r>
      <w:r w:rsidR="00143F88" w:rsidRPr="00E426F0">
        <w:rPr>
          <w:rFonts w:ascii="Constantia" w:hAnsi="Constantia"/>
        </w:rPr>
        <w:t xml:space="preserve">prikazani su podaci o broju i učestalosti </w:t>
      </w:r>
      <w:r w:rsidR="007C6983" w:rsidRPr="00E426F0">
        <w:rPr>
          <w:rFonts w:ascii="Constantia" w:hAnsi="Constantia"/>
        </w:rPr>
        <w:t>pojavljivanja kis</w:t>
      </w:r>
      <w:r w:rsidR="00143F88" w:rsidRPr="00E426F0">
        <w:rPr>
          <w:rFonts w:ascii="Constantia" w:hAnsi="Constantia"/>
        </w:rPr>
        <w:t>elih kiša.</w:t>
      </w:r>
    </w:p>
    <w:p w:rsidR="008F4430" w:rsidRPr="00E426F0" w:rsidRDefault="008F4430" w:rsidP="00967C23">
      <w:pPr>
        <w:spacing w:after="0"/>
        <w:rPr>
          <w:rFonts w:ascii="Constantia" w:hAnsi="Constantia"/>
        </w:rPr>
      </w:pPr>
    </w:p>
    <w:tbl>
      <w:tblPr>
        <w:tblStyle w:val="MediumShading1-Accent6"/>
        <w:tblW w:w="0" w:type="auto"/>
        <w:jc w:val="center"/>
        <w:tblLook w:val="01E0" w:firstRow="1" w:lastRow="1" w:firstColumn="1" w:lastColumn="1" w:noHBand="0" w:noVBand="0"/>
      </w:tblPr>
      <w:tblGrid>
        <w:gridCol w:w="3168"/>
        <w:gridCol w:w="900"/>
        <w:gridCol w:w="1080"/>
      </w:tblGrid>
      <w:tr w:rsidR="00143F88" w:rsidRPr="00E426F0" w:rsidTr="00143F8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68" w:type="dxa"/>
          </w:tcPr>
          <w:p w:rsidR="00143F88" w:rsidRPr="00E426F0" w:rsidRDefault="00143F88" w:rsidP="00143F88">
            <w:pPr>
              <w:jc w:val="center"/>
              <w:rPr>
                <w:rFonts w:ascii="Constantia" w:hAnsi="Constantia"/>
                <w:color w:val="auto"/>
              </w:rPr>
            </w:pPr>
            <w:r w:rsidRPr="00E426F0">
              <w:rPr>
                <w:rFonts w:ascii="Constantia" w:hAnsi="Constantia"/>
                <w:color w:val="auto"/>
              </w:rPr>
              <w:t>Mjerna mjesta</w:t>
            </w:r>
          </w:p>
        </w:tc>
        <w:tc>
          <w:tcPr>
            <w:cnfStyle w:val="000010000000" w:firstRow="0" w:lastRow="0" w:firstColumn="0" w:lastColumn="0" w:oddVBand="1" w:evenVBand="0" w:oddHBand="0" w:evenHBand="0" w:firstRowFirstColumn="0" w:firstRowLastColumn="0" w:lastRowFirstColumn="0" w:lastRowLastColumn="0"/>
            <w:tcW w:w="900" w:type="dxa"/>
          </w:tcPr>
          <w:p w:rsidR="00143F88" w:rsidRPr="00E426F0" w:rsidRDefault="00143F88" w:rsidP="00143F88">
            <w:pPr>
              <w:jc w:val="center"/>
              <w:rPr>
                <w:rFonts w:ascii="Constantia" w:hAnsi="Constantia"/>
                <w:color w:val="auto"/>
              </w:rPr>
            </w:pPr>
            <w:r w:rsidRPr="00E426F0">
              <w:rPr>
                <w:rFonts w:ascii="Constantia" w:hAnsi="Constantia"/>
                <w:color w:val="auto"/>
              </w:rPr>
              <w:t>N</w:t>
            </w:r>
          </w:p>
        </w:tc>
        <w:tc>
          <w:tcPr>
            <w:cnfStyle w:val="000100000000" w:firstRow="0" w:lastRow="0" w:firstColumn="0" w:lastColumn="1" w:oddVBand="0" w:evenVBand="0" w:oddHBand="0" w:evenHBand="0" w:firstRowFirstColumn="0" w:firstRowLastColumn="0" w:lastRowFirstColumn="0" w:lastRowLastColumn="0"/>
            <w:tcW w:w="1080" w:type="dxa"/>
          </w:tcPr>
          <w:p w:rsidR="00143F88" w:rsidRPr="00E426F0" w:rsidRDefault="00143F88" w:rsidP="00143F88">
            <w:pPr>
              <w:jc w:val="center"/>
              <w:rPr>
                <w:rFonts w:ascii="Constantia" w:hAnsi="Constantia"/>
                <w:color w:val="auto"/>
              </w:rPr>
            </w:pPr>
            <w:r w:rsidRPr="00E426F0">
              <w:rPr>
                <w:rFonts w:ascii="Constantia" w:hAnsi="Constantia"/>
                <w:color w:val="auto"/>
              </w:rPr>
              <w:t>%</w:t>
            </w:r>
          </w:p>
        </w:tc>
      </w:tr>
      <w:tr w:rsidR="00143F88" w:rsidRPr="00E426F0" w:rsidTr="00143F8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68" w:type="dxa"/>
          </w:tcPr>
          <w:p w:rsidR="00143F88" w:rsidRPr="00E426F0" w:rsidRDefault="00143F88" w:rsidP="00906B1F">
            <w:pPr>
              <w:jc w:val="center"/>
              <w:rPr>
                <w:rFonts w:ascii="Constantia" w:hAnsi="Constantia"/>
                <w:b w:val="0"/>
              </w:rPr>
            </w:pPr>
            <w:r w:rsidRPr="00E426F0">
              <w:rPr>
                <w:rFonts w:ascii="Constantia" w:hAnsi="Constantia"/>
                <w:b w:val="0"/>
              </w:rPr>
              <w:t>Žabljak</w:t>
            </w:r>
          </w:p>
        </w:tc>
        <w:tc>
          <w:tcPr>
            <w:cnfStyle w:val="000010000000" w:firstRow="0" w:lastRow="0" w:firstColumn="0" w:lastColumn="0" w:oddVBand="1" w:evenVBand="0" w:oddHBand="0" w:evenHBand="0" w:firstRowFirstColumn="0" w:firstRowLastColumn="0" w:lastRowFirstColumn="0" w:lastRowLastColumn="0"/>
            <w:tcW w:w="900" w:type="dxa"/>
          </w:tcPr>
          <w:p w:rsidR="00143F88" w:rsidRPr="00E426F0" w:rsidRDefault="00143F88" w:rsidP="00906B1F">
            <w:pPr>
              <w:jc w:val="center"/>
              <w:rPr>
                <w:rFonts w:ascii="Constantia" w:hAnsi="Constantia"/>
              </w:rPr>
            </w:pPr>
            <w:r w:rsidRPr="00E426F0">
              <w:rPr>
                <w:rFonts w:ascii="Constantia" w:hAnsi="Constantia"/>
              </w:rPr>
              <w:t>1</w:t>
            </w:r>
          </w:p>
        </w:tc>
        <w:tc>
          <w:tcPr>
            <w:cnfStyle w:val="000100000000" w:firstRow="0" w:lastRow="0" w:firstColumn="0" w:lastColumn="1" w:oddVBand="0" w:evenVBand="0" w:oddHBand="0" w:evenHBand="0" w:firstRowFirstColumn="0" w:firstRowLastColumn="0" w:lastRowFirstColumn="0" w:lastRowLastColumn="0"/>
            <w:tcW w:w="1080" w:type="dxa"/>
          </w:tcPr>
          <w:p w:rsidR="00143F88" w:rsidRPr="00E426F0" w:rsidRDefault="00143F88" w:rsidP="00906B1F">
            <w:pPr>
              <w:jc w:val="center"/>
              <w:rPr>
                <w:rFonts w:ascii="Constantia" w:hAnsi="Constantia"/>
                <w:b w:val="0"/>
              </w:rPr>
            </w:pPr>
            <w:r w:rsidRPr="00E426F0">
              <w:rPr>
                <w:rFonts w:ascii="Constantia" w:hAnsi="Constantia"/>
                <w:b w:val="0"/>
              </w:rPr>
              <w:t>1</w:t>
            </w:r>
          </w:p>
        </w:tc>
      </w:tr>
      <w:tr w:rsidR="00143F88" w:rsidRPr="00E426F0" w:rsidTr="00143F8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68" w:type="dxa"/>
          </w:tcPr>
          <w:p w:rsidR="00143F88" w:rsidRPr="00E426F0" w:rsidRDefault="00143F88" w:rsidP="00906B1F">
            <w:pPr>
              <w:jc w:val="center"/>
              <w:rPr>
                <w:rFonts w:ascii="Constantia" w:hAnsi="Constantia"/>
                <w:b w:val="0"/>
              </w:rPr>
            </w:pPr>
            <w:r w:rsidRPr="00E426F0">
              <w:rPr>
                <w:rFonts w:ascii="Constantia" w:hAnsi="Constantia"/>
                <w:b w:val="0"/>
              </w:rPr>
              <w:t>Pljevlja</w:t>
            </w:r>
          </w:p>
        </w:tc>
        <w:tc>
          <w:tcPr>
            <w:cnfStyle w:val="000010000000" w:firstRow="0" w:lastRow="0" w:firstColumn="0" w:lastColumn="0" w:oddVBand="1" w:evenVBand="0" w:oddHBand="0" w:evenHBand="0" w:firstRowFirstColumn="0" w:firstRowLastColumn="0" w:lastRowFirstColumn="0" w:lastRowLastColumn="0"/>
            <w:tcW w:w="900" w:type="dxa"/>
          </w:tcPr>
          <w:p w:rsidR="00143F88" w:rsidRPr="00E426F0" w:rsidRDefault="00143F88" w:rsidP="00906B1F">
            <w:pPr>
              <w:jc w:val="center"/>
              <w:rPr>
                <w:rFonts w:ascii="Constantia" w:hAnsi="Constantia"/>
              </w:rPr>
            </w:pPr>
            <w:r w:rsidRPr="00E426F0">
              <w:rPr>
                <w:rFonts w:ascii="Constantia" w:hAnsi="Constantia"/>
              </w:rPr>
              <w:t>2</w:t>
            </w:r>
          </w:p>
        </w:tc>
        <w:tc>
          <w:tcPr>
            <w:cnfStyle w:val="000100000000" w:firstRow="0" w:lastRow="0" w:firstColumn="0" w:lastColumn="1" w:oddVBand="0" w:evenVBand="0" w:oddHBand="0" w:evenHBand="0" w:firstRowFirstColumn="0" w:firstRowLastColumn="0" w:lastRowFirstColumn="0" w:lastRowLastColumn="0"/>
            <w:tcW w:w="1080" w:type="dxa"/>
          </w:tcPr>
          <w:p w:rsidR="00143F88" w:rsidRPr="00E426F0" w:rsidRDefault="00143F88" w:rsidP="00906B1F">
            <w:pPr>
              <w:jc w:val="center"/>
              <w:rPr>
                <w:rFonts w:ascii="Constantia" w:hAnsi="Constantia"/>
                <w:b w:val="0"/>
              </w:rPr>
            </w:pPr>
            <w:r w:rsidRPr="00E426F0">
              <w:rPr>
                <w:rFonts w:ascii="Constantia" w:hAnsi="Constantia"/>
                <w:b w:val="0"/>
              </w:rPr>
              <w:t>2</w:t>
            </w:r>
          </w:p>
        </w:tc>
      </w:tr>
      <w:tr w:rsidR="00143F88" w:rsidRPr="00E426F0" w:rsidTr="00143F8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68" w:type="dxa"/>
          </w:tcPr>
          <w:p w:rsidR="00143F88" w:rsidRPr="00E426F0" w:rsidRDefault="00143F88" w:rsidP="00906B1F">
            <w:pPr>
              <w:jc w:val="center"/>
              <w:rPr>
                <w:rFonts w:ascii="Constantia" w:hAnsi="Constantia"/>
                <w:b w:val="0"/>
              </w:rPr>
            </w:pPr>
            <w:r w:rsidRPr="00E426F0">
              <w:rPr>
                <w:rFonts w:ascii="Constantia" w:hAnsi="Constantia"/>
                <w:b w:val="0"/>
              </w:rPr>
              <w:t>Kolašin</w:t>
            </w:r>
          </w:p>
        </w:tc>
        <w:tc>
          <w:tcPr>
            <w:cnfStyle w:val="000010000000" w:firstRow="0" w:lastRow="0" w:firstColumn="0" w:lastColumn="0" w:oddVBand="1" w:evenVBand="0" w:oddHBand="0" w:evenHBand="0" w:firstRowFirstColumn="0" w:firstRowLastColumn="0" w:lastRowFirstColumn="0" w:lastRowLastColumn="0"/>
            <w:tcW w:w="900" w:type="dxa"/>
          </w:tcPr>
          <w:p w:rsidR="00143F88" w:rsidRPr="00E426F0" w:rsidRDefault="00143F88" w:rsidP="00906B1F">
            <w:pPr>
              <w:jc w:val="center"/>
              <w:rPr>
                <w:rFonts w:ascii="Constantia" w:hAnsi="Constantia"/>
              </w:rPr>
            </w:pPr>
            <w:r w:rsidRPr="00E426F0">
              <w:rPr>
                <w:rFonts w:ascii="Constantia" w:hAnsi="Constantia"/>
              </w:rPr>
              <w:t>22</w:t>
            </w:r>
          </w:p>
        </w:tc>
        <w:tc>
          <w:tcPr>
            <w:cnfStyle w:val="000100000000" w:firstRow="0" w:lastRow="0" w:firstColumn="0" w:lastColumn="1" w:oddVBand="0" w:evenVBand="0" w:oddHBand="0" w:evenHBand="0" w:firstRowFirstColumn="0" w:firstRowLastColumn="0" w:lastRowFirstColumn="0" w:lastRowLastColumn="0"/>
            <w:tcW w:w="1080" w:type="dxa"/>
          </w:tcPr>
          <w:p w:rsidR="00143F88" w:rsidRPr="00E426F0" w:rsidRDefault="00143F88" w:rsidP="00906B1F">
            <w:pPr>
              <w:jc w:val="center"/>
              <w:rPr>
                <w:rFonts w:ascii="Constantia" w:hAnsi="Constantia"/>
                <w:b w:val="0"/>
              </w:rPr>
            </w:pPr>
            <w:r w:rsidRPr="00E426F0">
              <w:rPr>
                <w:rFonts w:ascii="Constantia" w:hAnsi="Constantia"/>
                <w:b w:val="0"/>
              </w:rPr>
              <w:t>16</w:t>
            </w:r>
          </w:p>
        </w:tc>
      </w:tr>
      <w:tr w:rsidR="00143F88" w:rsidRPr="00E426F0" w:rsidTr="00143F8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68" w:type="dxa"/>
          </w:tcPr>
          <w:p w:rsidR="00143F88" w:rsidRPr="00E426F0" w:rsidRDefault="00143F88" w:rsidP="00906B1F">
            <w:pPr>
              <w:jc w:val="center"/>
              <w:rPr>
                <w:rFonts w:ascii="Constantia" w:hAnsi="Constantia"/>
                <w:b w:val="0"/>
              </w:rPr>
            </w:pPr>
            <w:r w:rsidRPr="00E426F0">
              <w:rPr>
                <w:rFonts w:ascii="Constantia" w:hAnsi="Constantia"/>
                <w:b w:val="0"/>
              </w:rPr>
              <w:t>Golubovci</w:t>
            </w:r>
          </w:p>
        </w:tc>
        <w:tc>
          <w:tcPr>
            <w:cnfStyle w:val="000010000000" w:firstRow="0" w:lastRow="0" w:firstColumn="0" w:lastColumn="0" w:oddVBand="1" w:evenVBand="0" w:oddHBand="0" w:evenHBand="0" w:firstRowFirstColumn="0" w:firstRowLastColumn="0" w:lastRowFirstColumn="0" w:lastRowLastColumn="0"/>
            <w:tcW w:w="900" w:type="dxa"/>
          </w:tcPr>
          <w:p w:rsidR="00143F88" w:rsidRPr="00E426F0" w:rsidRDefault="00143F88" w:rsidP="00906B1F">
            <w:pPr>
              <w:jc w:val="center"/>
              <w:rPr>
                <w:rFonts w:ascii="Constantia" w:hAnsi="Constantia"/>
              </w:rPr>
            </w:pPr>
            <w:r w:rsidRPr="00E426F0">
              <w:rPr>
                <w:rFonts w:ascii="Constantia" w:hAnsi="Constantia"/>
              </w:rPr>
              <w:t>2</w:t>
            </w:r>
          </w:p>
        </w:tc>
        <w:tc>
          <w:tcPr>
            <w:cnfStyle w:val="000100000000" w:firstRow="0" w:lastRow="0" w:firstColumn="0" w:lastColumn="1" w:oddVBand="0" w:evenVBand="0" w:oddHBand="0" w:evenHBand="0" w:firstRowFirstColumn="0" w:firstRowLastColumn="0" w:lastRowFirstColumn="0" w:lastRowLastColumn="0"/>
            <w:tcW w:w="1080" w:type="dxa"/>
          </w:tcPr>
          <w:p w:rsidR="00143F88" w:rsidRPr="00E426F0" w:rsidRDefault="00143F88" w:rsidP="00906B1F">
            <w:pPr>
              <w:jc w:val="center"/>
              <w:rPr>
                <w:rFonts w:ascii="Constantia" w:hAnsi="Constantia"/>
                <w:b w:val="0"/>
              </w:rPr>
            </w:pPr>
            <w:r w:rsidRPr="00E426F0">
              <w:rPr>
                <w:rFonts w:ascii="Constantia" w:hAnsi="Constantia"/>
                <w:b w:val="0"/>
              </w:rPr>
              <w:t>3</w:t>
            </w:r>
          </w:p>
        </w:tc>
      </w:tr>
      <w:tr w:rsidR="00143F88" w:rsidRPr="00E426F0" w:rsidTr="00143F8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68" w:type="dxa"/>
          </w:tcPr>
          <w:p w:rsidR="00143F88" w:rsidRPr="00E426F0" w:rsidRDefault="00143F88" w:rsidP="00906B1F">
            <w:pPr>
              <w:jc w:val="center"/>
              <w:rPr>
                <w:rFonts w:ascii="Constantia" w:hAnsi="Constantia"/>
                <w:b w:val="0"/>
              </w:rPr>
            </w:pPr>
            <w:r w:rsidRPr="00E426F0">
              <w:rPr>
                <w:rFonts w:ascii="Constantia" w:hAnsi="Constantia"/>
                <w:b w:val="0"/>
              </w:rPr>
              <w:t>Cetinje</w:t>
            </w:r>
          </w:p>
        </w:tc>
        <w:tc>
          <w:tcPr>
            <w:cnfStyle w:val="000010000000" w:firstRow="0" w:lastRow="0" w:firstColumn="0" w:lastColumn="0" w:oddVBand="1" w:evenVBand="0" w:oddHBand="0" w:evenHBand="0" w:firstRowFirstColumn="0" w:firstRowLastColumn="0" w:lastRowFirstColumn="0" w:lastRowLastColumn="0"/>
            <w:tcW w:w="900" w:type="dxa"/>
          </w:tcPr>
          <w:p w:rsidR="00143F88" w:rsidRPr="00E426F0" w:rsidRDefault="00143F88" w:rsidP="00906B1F">
            <w:pPr>
              <w:jc w:val="center"/>
              <w:rPr>
                <w:rFonts w:ascii="Constantia" w:hAnsi="Constantia"/>
              </w:rPr>
            </w:pPr>
            <w:r w:rsidRPr="00E426F0">
              <w:rPr>
                <w:rFonts w:ascii="Constantia" w:hAnsi="Constantia"/>
              </w:rPr>
              <w:t>3</w:t>
            </w:r>
          </w:p>
        </w:tc>
        <w:tc>
          <w:tcPr>
            <w:cnfStyle w:val="000100000000" w:firstRow="0" w:lastRow="0" w:firstColumn="0" w:lastColumn="1" w:oddVBand="0" w:evenVBand="0" w:oddHBand="0" w:evenHBand="0" w:firstRowFirstColumn="0" w:firstRowLastColumn="0" w:lastRowFirstColumn="0" w:lastRowLastColumn="0"/>
            <w:tcW w:w="1080" w:type="dxa"/>
          </w:tcPr>
          <w:p w:rsidR="00143F88" w:rsidRPr="00E426F0" w:rsidRDefault="00143F88" w:rsidP="00906B1F">
            <w:pPr>
              <w:jc w:val="center"/>
              <w:rPr>
                <w:rFonts w:ascii="Constantia" w:hAnsi="Constantia"/>
                <w:b w:val="0"/>
              </w:rPr>
            </w:pPr>
            <w:r w:rsidRPr="00E426F0">
              <w:rPr>
                <w:rFonts w:ascii="Constantia" w:hAnsi="Constantia"/>
                <w:b w:val="0"/>
              </w:rPr>
              <w:t>2</w:t>
            </w:r>
          </w:p>
        </w:tc>
      </w:tr>
      <w:tr w:rsidR="00143F88" w:rsidRPr="00E426F0" w:rsidTr="00143F8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68" w:type="dxa"/>
          </w:tcPr>
          <w:p w:rsidR="00143F88" w:rsidRPr="00E426F0" w:rsidRDefault="00964FF8" w:rsidP="00906B1F">
            <w:pPr>
              <w:jc w:val="center"/>
              <w:rPr>
                <w:rFonts w:ascii="Constantia" w:hAnsi="Constantia"/>
                <w:b w:val="0"/>
              </w:rPr>
            </w:pPr>
            <w:r w:rsidRPr="00E426F0">
              <w:rPr>
                <w:rFonts w:ascii="Constantia" w:hAnsi="Constantia"/>
                <w:b w:val="0"/>
              </w:rPr>
              <w:t xml:space="preserve">Herceg </w:t>
            </w:r>
            <w:r w:rsidR="00143F88" w:rsidRPr="00E426F0">
              <w:rPr>
                <w:rFonts w:ascii="Constantia" w:hAnsi="Constantia"/>
                <w:b w:val="0"/>
              </w:rPr>
              <w:t>Novi</w:t>
            </w:r>
          </w:p>
        </w:tc>
        <w:tc>
          <w:tcPr>
            <w:cnfStyle w:val="000010000000" w:firstRow="0" w:lastRow="0" w:firstColumn="0" w:lastColumn="0" w:oddVBand="1" w:evenVBand="0" w:oddHBand="0" w:evenHBand="0" w:firstRowFirstColumn="0" w:firstRowLastColumn="0" w:lastRowFirstColumn="0" w:lastRowLastColumn="0"/>
            <w:tcW w:w="900" w:type="dxa"/>
          </w:tcPr>
          <w:p w:rsidR="00143F88" w:rsidRPr="00E426F0" w:rsidRDefault="00143F88" w:rsidP="00906B1F">
            <w:pPr>
              <w:jc w:val="center"/>
              <w:rPr>
                <w:rFonts w:ascii="Constantia" w:hAnsi="Constantia"/>
              </w:rPr>
            </w:pPr>
            <w:r w:rsidRPr="00E426F0">
              <w:rPr>
                <w:rFonts w:ascii="Constantia" w:hAnsi="Constantia"/>
              </w:rPr>
              <w:t>2</w:t>
            </w:r>
          </w:p>
        </w:tc>
        <w:tc>
          <w:tcPr>
            <w:cnfStyle w:val="000100000000" w:firstRow="0" w:lastRow="0" w:firstColumn="0" w:lastColumn="1" w:oddVBand="0" w:evenVBand="0" w:oddHBand="0" w:evenHBand="0" w:firstRowFirstColumn="0" w:firstRowLastColumn="0" w:lastRowFirstColumn="0" w:lastRowLastColumn="0"/>
            <w:tcW w:w="1080" w:type="dxa"/>
          </w:tcPr>
          <w:p w:rsidR="00143F88" w:rsidRPr="00E426F0" w:rsidRDefault="00143F88" w:rsidP="00906B1F">
            <w:pPr>
              <w:jc w:val="center"/>
              <w:rPr>
                <w:rFonts w:ascii="Constantia" w:hAnsi="Constantia"/>
                <w:b w:val="0"/>
              </w:rPr>
            </w:pPr>
            <w:r w:rsidRPr="00E426F0">
              <w:rPr>
                <w:rFonts w:ascii="Constantia" w:hAnsi="Constantia"/>
                <w:b w:val="0"/>
              </w:rPr>
              <w:t>2</w:t>
            </w:r>
          </w:p>
        </w:tc>
      </w:tr>
      <w:tr w:rsidR="00143F88" w:rsidRPr="00E426F0" w:rsidTr="000E0797">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68" w:type="dxa"/>
            <w:shd w:val="clear" w:color="auto" w:fill="FCD8BB" w:themeFill="accent3" w:themeFillTint="99"/>
          </w:tcPr>
          <w:p w:rsidR="00143F88" w:rsidRPr="00E426F0" w:rsidRDefault="00143F88" w:rsidP="00906B1F">
            <w:pPr>
              <w:jc w:val="center"/>
              <w:rPr>
                <w:rFonts w:ascii="Constantia" w:hAnsi="Constantia"/>
                <w:b w:val="0"/>
              </w:rPr>
            </w:pPr>
            <w:r w:rsidRPr="00E426F0">
              <w:rPr>
                <w:rFonts w:ascii="Constantia" w:hAnsi="Constantia"/>
                <w:b w:val="0"/>
              </w:rPr>
              <w:t>Ulcinj</w:t>
            </w:r>
          </w:p>
        </w:tc>
        <w:tc>
          <w:tcPr>
            <w:cnfStyle w:val="000010000000" w:firstRow="0" w:lastRow="0" w:firstColumn="0" w:lastColumn="0" w:oddVBand="1" w:evenVBand="0" w:oddHBand="0" w:evenHBand="0" w:firstRowFirstColumn="0" w:firstRowLastColumn="0" w:lastRowFirstColumn="0" w:lastRowLastColumn="0"/>
            <w:tcW w:w="900" w:type="dxa"/>
            <w:shd w:val="clear" w:color="auto" w:fill="FCD8BB" w:themeFill="accent3" w:themeFillTint="99"/>
          </w:tcPr>
          <w:p w:rsidR="00143F88" w:rsidRPr="00E426F0" w:rsidRDefault="00143F88" w:rsidP="00906B1F">
            <w:pPr>
              <w:jc w:val="center"/>
              <w:rPr>
                <w:rFonts w:ascii="Constantia" w:hAnsi="Constantia"/>
                <w:b w:val="0"/>
              </w:rPr>
            </w:pPr>
            <w:r w:rsidRPr="00E426F0">
              <w:rPr>
                <w:rFonts w:ascii="Constantia" w:hAnsi="Constantia"/>
                <w:b w:val="0"/>
              </w:rPr>
              <w:t>2</w:t>
            </w:r>
          </w:p>
        </w:tc>
        <w:tc>
          <w:tcPr>
            <w:cnfStyle w:val="000100000000" w:firstRow="0" w:lastRow="0" w:firstColumn="0" w:lastColumn="1" w:oddVBand="0" w:evenVBand="0" w:oddHBand="0" w:evenHBand="0" w:firstRowFirstColumn="0" w:firstRowLastColumn="0" w:lastRowFirstColumn="0" w:lastRowLastColumn="0"/>
            <w:tcW w:w="1080" w:type="dxa"/>
            <w:shd w:val="clear" w:color="auto" w:fill="FCD8BB" w:themeFill="accent3" w:themeFillTint="99"/>
          </w:tcPr>
          <w:p w:rsidR="00143F88" w:rsidRPr="00E426F0" w:rsidRDefault="00143F88" w:rsidP="00906B1F">
            <w:pPr>
              <w:jc w:val="center"/>
              <w:rPr>
                <w:rFonts w:ascii="Constantia" w:hAnsi="Constantia"/>
                <w:b w:val="0"/>
              </w:rPr>
            </w:pPr>
            <w:r w:rsidRPr="00E426F0">
              <w:rPr>
                <w:rFonts w:ascii="Constantia" w:hAnsi="Constantia"/>
                <w:b w:val="0"/>
              </w:rPr>
              <w:t>3</w:t>
            </w:r>
          </w:p>
        </w:tc>
      </w:tr>
    </w:tbl>
    <w:p w:rsidR="00143F88" w:rsidRPr="00967C23" w:rsidRDefault="008F4430" w:rsidP="00E25DE9">
      <w:pPr>
        <w:pStyle w:val="Tabele"/>
        <w:ind w:left="0" w:firstLine="0"/>
        <w:rPr>
          <w:rFonts w:ascii="Constantia" w:hAnsi="Constantia"/>
          <w:sz w:val="22"/>
          <w:szCs w:val="22"/>
        </w:rPr>
      </w:pPr>
      <w:r w:rsidRPr="008F4430">
        <w:rPr>
          <w:rFonts w:ascii="Constantia" w:hAnsi="Constantia"/>
          <w:sz w:val="22"/>
          <w:szCs w:val="22"/>
        </w:rPr>
        <w:t>Pojava kiselih kiša u 2013. godini</w:t>
      </w:r>
    </w:p>
    <w:p w:rsidR="0060244B" w:rsidRPr="00E426F0" w:rsidRDefault="0060244B" w:rsidP="0060244B">
      <w:pPr>
        <w:rPr>
          <w:rFonts w:ascii="Constantia" w:hAnsi="Constantia"/>
        </w:rPr>
      </w:pPr>
      <w:r w:rsidRPr="00E426F0">
        <w:rPr>
          <w:rFonts w:ascii="Constantia" w:hAnsi="Constantia"/>
        </w:rPr>
        <w:t>Prosječna vrijednost elekt</w:t>
      </w:r>
      <w:r w:rsidR="00D609D6" w:rsidRPr="00E426F0">
        <w:rPr>
          <w:rFonts w:ascii="Constantia" w:hAnsi="Constantia"/>
        </w:rPr>
        <w:t>ro</w:t>
      </w:r>
      <w:r w:rsidR="00E426F0">
        <w:rPr>
          <w:rFonts w:ascii="Constantia" w:hAnsi="Constantia"/>
        </w:rPr>
        <w:t>-</w:t>
      </w:r>
      <w:r w:rsidR="00D609D6" w:rsidRPr="00E426F0">
        <w:rPr>
          <w:rFonts w:ascii="Constantia" w:hAnsi="Constantia"/>
        </w:rPr>
        <w:t xml:space="preserve">provodljivosti padavina (Ep) </w:t>
      </w:r>
      <w:r w:rsidRPr="00E426F0">
        <w:rPr>
          <w:rFonts w:ascii="Constantia" w:hAnsi="Constantia"/>
        </w:rPr>
        <w:t>se kretala u opsegu 23</w:t>
      </w:r>
      <w:r w:rsidR="00967C23">
        <w:rPr>
          <w:rFonts w:ascii="Constantia" w:hAnsi="Constantia"/>
        </w:rPr>
        <w:t xml:space="preserve"> </w:t>
      </w:r>
      <w:r w:rsidR="00D609D6" w:rsidRPr="00E426F0">
        <w:rPr>
          <w:rFonts w:ascii="Constantia" w:hAnsi="Constantia" w:cs="Arial"/>
        </w:rPr>
        <w:t>µ</w:t>
      </w:r>
      <w:r w:rsidR="00D609D6" w:rsidRPr="00E426F0">
        <w:rPr>
          <w:rFonts w:ascii="Constantia" w:hAnsi="Constantia"/>
        </w:rPr>
        <w:t>S/cm</w:t>
      </w:r>
      <w:r w:rsidRPr="00E426F0">
        <w:rPr>
          <w:rFonts w:ascii="Constantia" w:hAnsi="Constantia"/>
        </w:rPr>
        <w:t xml:space="preserve"> (Berane) </w:t>
      </w:r>
      <w:r w:rsidR="00503C17" w:rsidRPr="00E426F0">
        <w:rPr>
          <w:rFonts w:ascii="Constantia" w:hAnsi="Constantia"/>
        </w:rPr>
        <w:t>do</w:t>
      </w:r>
      <w:r w:rsidR="00967C23">
        <w:rPr>
          <w:rFonts w:ascii="Constantia" w:hAnsi="Constantia"/>
        </w:rPr>
        <w:t xml:space="preserve"> </w:t>
      </w:r>
      <w:r w:rsidRPr="00E426F0">
        <w:rPr>
          <w:rFonts w:ascii="Constantia" w:hAnsi="Constantia"/>
        </w:rPr>
        <w:t>91</w:t>
      </w:r>
      <w:r w:rsidR="00967C23">
        <w:rPr>
          <w:rFonts w:ascii="Constantia" w:hAnsi="Constantia"/>
        </w:rPr>
        <w:t xml:space="preserve"> </w:t>
      </w:r>
      <w:r w:rsidR="00D609D6" w:rsidRPr="00E426F0">
        <w:rPr>
          <w:rFonts w:ascii="Constantia" w:hAnsi="Constantia" w:cs="Arial"/>
        </w:rPr>
        <w:t>µ</w:t>
      </w:r>
      <w:r w:rsidRPr="00E426F0">
        <w:rPr>
          <w:rFonts w:ascii="Constantia" w:hAnsi="Constantia"/>
        </w:rPr>
        <w:t xml:space="preserve">S/cm (Ulcinj). </w:t>
      </w:r>
    </w:p>
    <w:p w:rsidR="0060244B" w:rsidRPr="00E426F0" w:rsidRDefault="0060244B" w:rsidP="0060244B">
      <w:pPr>
        <w:rPr>
          <w:rFonts w:ascii="Constantia" w:hAnsi="Constantia"/>
        </w:rPr>
      </w:pPr>
      <w:r w:rsidRPr="00E426F0">
        <w:rPr>
          <w:rFonts w:ascii="Constantia" w:hAnsi="Constantia"/>
        </w:rPr>
        <w:t xml:space="preserve">Sadržaj sulfata je bio najveći u Ulcinu i Pljevljima;  nitrata u Ulcinju i Budvi; hlorida i natrijuma na </w:t>
      </w:r>
      <w:r w:rsidR="00FE50A7" w:rsidRPr="00E426F0">
        <w:rPr>
          <w:rFonts w:ascii="Constantia" w:hAnsi="Constantia"/>
        </w:rPr>
        <w:t>primorju; kalijuma u Ulcinju, Herceg</w:t>
      </w:r>
      <w:r w:rsidRPr="00E426F0">
        <w:rPr>
          <w:rFonts w:ascii="Constantia" w:hAnsi="Constantia"/>
        </w:rPr>
        <w:t xml:space="preserve"> Novom i Nikšiću; kalcijuma u Pljevljima i Bijelom Polju; magnezijuma na području primorja, Ceti</w:t>
      </w:r>
      <w:r w:rsidR="00FE50A7" w:rsidRPr="00E426F0">
        <w:rPr>
          <w:rFonts w:ascii="Constantia" w:hAnsi="Constantia"/>
        </w:rPr>
        <w:t>nja i Podgorice; amonijum jona</w:t>
      </w:r>
      <w:r w:rsidRPr="00E426F0">
        <w:rPr>
          <w:rFonts w:ascii="Constantia" w:hAnsi="Constantia"/>
        </w:rPr>
        <w:t xml:space="preserve"> u Ulcinju i </w:t>
      </w:r>
      <w:r w:rsidR="00FE50A7" w:rsidRPr="00E426F0">
        <w:rPr>
          <w:rFonts w:ascii="Constantia" w:hAnsi="Constantia"/>
        </w:rPr>
        <w:t xml:space="preserve">na </w:t>
      </w:r>
      <w:r w:rsidRPr="00E426F0">
        <w:rPr>
          <w:rFonts w:ascii="Constantia" w:hAnsi="Constantia"/>
        </w:rPr>
        <w:t xml:space="preserve">Žabljaku. </w:t>
      </w:r>
    </w:p>
    <w:p w:rsidR="0060244B" w:rsidRDefault="0060244B" w:rsidP="0060244B">
      <w:pPr>
        <w:rPr>
          <w:rFonts w:ascii="Constantia" w:hAnsi="Constantia"/>
        </w:rPr>
      </w:pPr>
      <w:r w:rsidRPr="00E426F0">
        <w:rPr>
          <w:rFonts w:ascii="Constantia" w:hAnsi="Constantia"/>
        </w:rPr>
        <w:t xml:space="preserve">Najveća srednja </w:t>
      </w:r>
      <w:r w:rsidR="00143F88" w:rsidRPr="00E426F0">
        <w:rPr>
          <w:rFonts w:ascii="Constantia" w:hAnsi="Constantia"/>
        </w:rPr>
        <w:t>koncentracija</w:t>
      </w:r>
      <w:r w:rsidRPr="00E426F0">
        <w:rPr>
          <w:rFonts w:ascii="Constantia" w:hAnsi="Constantia"/>
        </w:rPr>
        <w:t xml:space="preserve"> taložnih materija je evidentirana u Podgorici, a najmanja </w:t>
      </w:r>
      <w:r w:rsidR="00866D28">
        <w:rPr>
          <w:rFonts w:ascii="Constantia" w:hAnsi="Constantia"/>
        </w:rPr>
        <w:t>na</w:t>
      </w:r>
      <w:r w:rsidRPr="00E426F0">
        <w:rPr>
          <w:rFonts w:ascii="Constantia" w:hAnsi="Constantia"/>
        </w:rPr>
        <w:t xml:space="preserve"> Žabljaku. Vrijednosti ovog parametra na svim stanicama su bile približne.</w:t>
      </w:r>
    </w:p>
    <w:p w:rsidR="00E25DE9" w:rsidRPr="00E426F0" w:rsidRDefault="00E25DE9" w:rsidP="0060244B">
      <w:pPr>
        <w:rPr>
          <w:rFonts w:ascii="Constantia" w:hAnsi="Constantia"/>
        </w:rPr>
      </w:pPr>
    </w:p>
    <w:p w:rsidR="00482B1C" w:rsidRPr="00903739" w:rsidRDefault="00482B1C" w:rsidP="00287090">
      <w:pPr>
        <w:pStyle w:val="Heading2"/>
        <w:ind w:left="720"/>
        <w:rPr>
          <w:lang w:val="sr-Latn-CS"/>
        </w:rPr>
      </w:pPr>
      <w:bookmarkStart w:id="16" w:name="_Toc294541816"/>
      <w:bookmarkStart w:id="17" w:name="_Toc393897864"/>
      <w:r w:rsidRPr="00903739">
        <w:rPr>
          <w:lang w:val="sr-Latn-CS"/>
        </w:rPr>
        <w:lastRenderedPageBreak/>
        <w:t xml:space="preserve">Ocjena </w:t>
      </w:r>
      <w:r w:rsidRPr="007468D3">
        <w:t>kvaliteta</w:t>
      </w:r>
      <w:r w:rsidRPr="00903739">
        <w:rPr>
          <w:lang w:val="sr-Latn-CS"/>
        </w:rPr>
        <w:t xml:space="preserve"> vazduha u Crnoj Gori</w:t>
      </w:r>
      <w:bookmarkEnd w:id="16"/>
      <w:bookmarkEnd w:id="17"/>
    </w:p>
    <w:p w:rsidR="00F91B2F" w:rsidRPr="00903739" w:rsidRDefault="00482B1C" w:rsidP="00A50466">
      <w:pPr>
        <w:pStyle w:val="ListParagraph"/>
        <w:numPr>
          <w:ilvl w:val="0"/>
          <w:numId w:val="5"/>
        </w:numPr>
        <w:rPr>
          <w:rFonts w:ascii="Constantia" w:hAnsi="Constantia"/>
          <w:lang w:val="sr-Latn-CS"/>
        </w:rPr>
      </w:pPr>
      <w:r w:rsidRPr="00903739">
        <w:rPr>
          <w:rFonts w:ascii="Constantia" w:hAnsi="Constantia"/>
          <w:lang w:val="sr-Latn-CS"/>
        </w:rPr>
        <w:t>Imisijske k</w:t>
      </w:r>
      <w:r w:rsidR="00251B6C" w:rsidRPr="00903739">
        <w:rPr>
          <w:rFonts w:ascii="Constantia" w:hAnsi="Constantia"/>
          <w:lang w:val="sr-Latn-CS"/>
        </w:rPr>
        <w:t xml:space="preserve">oncentracije </w:t>
      </w:r>
      <w:r w:rsidR="00744242" w:rsidRPr="00903739">
        <w:rPr>
          <w:rFonts w:ascii="Constantia" w:hAnsi="Constantia"/>
        </w:rPr>
        <w:t>sumpor(IV)oks</w:t>
      </w:r>
      <w:r w:rsidR="009E38CF" w:rsidRPr="00903739">
        <w:rPr>
          <w:rFonts w:ascii="Constantia" w:hAnsi="Constantia"/>
        </w:rPr>
        <w:t>i</w:t>
      </w:r>
      <w:r w:rsidR="00744242" w:rsidRPr="00903739">
        <w:rPr>
          <w:rFonts w:ascii="Constantia" w:hAnsi="Constantia"/>
        </w:rPr>
        <w:t>da (SO</w:t>
      </w:r>
      <w:r w:rsidR="00744242" w:rsidRPr="00903739">
        <w:rPr>
          <w:rFonts w:ascii="Constantia" w:hAnsi="Constantia"/>
          <w:vertAlign w:val="subscript"/>
        </w:rPr>
        <w:t>2</w:t>
      </w:r>
      <w:r w:rsidR="00744242" w:rsidRPr="00903739">
        <w:rPr>
          <w:rFonts w:ascii="Constantia" w:hAnsi="Constantia"/>
        </w:rPr>
        <w:t>)</w:t>
      </w:r>
      <w:r w:rsidR="007D37BD">
        <w:rPr>
          <w:rFonts w:ascii="Constantia" w:hAnsi="Constantia"/>
        </w:rPr>
        <w:t xml:space="preserve"> </w:t>
      </w:r>
      <w:r w:rsidR="00251B6C" w:rsidRPr="00903739">
        <w:rPr>
          <w:rFonts w:ascii="Constantia" w:hAnsi="Constantia"/>
          <w:lang w:val="sr-Latn-CS"/>
        </w:rPr>
        <w:t xml:space="preserve">u </w:t>
      </w:r>
      <w:r w:rsidRPr="00903739">
        <w:rPr>
          <w:rFonts w:ascii="Constantia" w:hAnsi="Constantia"/>
          <w:lang w:val="sr-Latn-CS"/>
        </w:rPr>
        <w:t>Baru i Nikšiću i kao jednočasovne srednje i srednje dnevne vrijednosti su značajno ispod propisanih graničnih vrijednosti</w:t>
      </w:r>
      <w:r w:rsidR="00251B6C" w:rsidRPr="00903739">
        <w:rPr>
          <w:rFonts w:ascii="Constantia" w:hAnsi="Constantia"/>
          <w:lang w:val="sr-Latn-CS"/>
        </w:rPr>
        <w:t>.</w:t>
      </w:r>
    </w:p>
    <w:p w:rsidR="00744242" w:rsidRPr="00903739" w:rsidRDefault="003C3D50" w:rsidP="00744242">
      <w:pPr>
        <w:pStyle w:val="ListParagraph"/>
        <w:rPr>
          <w:rFonts w:ascii="Constantia" w:hAnsi="Constantia"/>
          <w:lang w:val="sr-Latn-CS"/>
        </w:rPr>
      </w:pPr>
      <w:r>
        <w:rPr>
          <w:rFonts w:ascii="Constantia" w:hAnsi="Constantia"/>
          <w:lang w:val="sr-Latn-CS"/>
        </w:rPr>
        <w:t>Na mjernoj stanici Gradina u o</w:t>
      </w:r>
      <w:r w:rsidR="00744242" w:rsidRPr="00903739">
        <w:rPr>
          <w:rFonts w:ascii="Constantia" w:hAnsi="Constantia"/>
          <w:lang w:val="sr-Latn-CS"/>
        </w:rPr>
        <w:t xml:space="preserve">pštini Pljevlja  na kojoj se prati pozadinsko zagađenje u prigradskom području, uočavaju se nešto više koncentracije </w:t>
      </w:r>
      <w:r w:rsidR="00744242" w:rsidRPr="00903739">
        <w:rPr>
          <w:rFonts w:ascii="Constantia" w:hAnsi="Constantia"/>
        </w:rPr>
        <w:t>sumpor(IV)oks</w:t>
      </w:r>
      <w:r w:rsidR="005D6163" w:rsidRPr="00903739">
        <w:rPr>
          <w:rFonts w:ascii="Constantia" w:hAnsi="Constantia"/>
        </w:rPr>
        <w:t>i</w:t>
      </w:r>
      <w:r w:rsidR="00744242" w:rsidRPr="00903739">
        <w:rPr>
          <w:rFonts w:ascii="Constantia" w:hAnsi="Constantia"/>
        </w:rPr>
        <w:t>da (SO</w:t>
      </w:r>
      <w:r w:rsidR="00744242" w:rsidRPr="00903739">
        <w:rPr>
          <w:rFonts w:ascii="Constantia" w:hAnsi="Constantia"/>
          <w:vertAlign w:val="subscript"/>
        </w:rPr>
        <w:t>2</w:t>
      </w:r>
      <w:r w:rsidR="00744242" w:rsidRPr="00903739">
        <w:rPr>
          <w:rFonts w:ascii="Constantia" w:hAnsi="Constantia"/>
        </w:rPr>
        <w:t>)</w:t>
      </w:r>
      <w:r w:rsidR="00744242" w:rsidRPr="00903739">
        <w:rPr>
          <w:rFonts w:ascii="Constantia" w:hAnsi="Constantia"/>
          <w:lang w:val="sr-Latn-CS"/>
        </w:rPr>
        <w:t>, u odnosu na druge zone u kojima je vršeno mjerenje ovog polutanta. Međutim, sve izmjerene vrijednosti su ispod p</w:t>
      </w:r>
      <w:r w:rsidR="00E52A6D" w:rsidRPr="00903739">
        <w:rPr>
          <w:rFonts w:ascii="Constantia" w:hAnsi="Constantia"/>
          <w:lang w:val="sr-Latn-CS"/>
        </w:rPr>
        <w:t xml:space="preserve">ropisanih graničnih vrijednosti. </w:t>
      </w:r>
      <w:r w:rsidR="00197AC4" w:rsidRPr="00903739">
        <w:rPr>
          <w:rFonts w:ascii="Constantia" w:hAnsi="Constantia"/>
          <w:lang w:val="sr-Latn-CS"/>
        </w:rPr>
        <w:t>Pojava</w:t>
      </w:r>
      <w:r w:rsidR="00744242" w:rsidRPr="00903739">
        <w:rPr>
          <w:rFonts w:ascii="Constantia" w:hAnsi="Constantia"/>
          <w:lang w:val="sr-Latn-CS"/>
        </w:rPr>
        <w:t xml:space="preserve"> n</w:t>
      </w:r>
      <w:r>
        <w:rPr>
          <w:rFonts w:ascii="Constantia" w:hAnsi="Constantia"/>
          <w:lang w:val="sr-Latn-CS"/>
        </w:rPr>
        <w:t>ešto viših koncentracija sumpor-</w:t>
      </w:r>
      <w:r w:rsidR="00744242" w:rsidRPr="00903739">
        <w:rPr>
          <w:rFonts w:ascii="Constantia" w:hAnsi="Constantia"/>
          <w:lang w:val="sr-Latn-CS"/>
        </w:rPr>
        <w:t>dioksida na ovom mjernom mjestu najvjerovatnije je posledica emisija</w:t>
      </w:r>
      <w:r w:rsidR="008842D6" w:rsidRPr="00903739">
        <w:rPr>
          <w:rFonts w:ascii="Constantia" w:hAnsi="Constantia"/>
          <w:lang w:val="sr-Latn-CS"/>
        </w:rPr>
        <w:t xml:space="preserve"> iz</w:t>
      </w:r>
      <w:r w:rsidR="00744242" w:rsidRPr="00903739">
        <w:rPr>
          <w:rFonts w:ascii="Constantia" w:hAnsi="Constantia"/>
          <w:lang w:val="sr-Latn-CS"/>
        </w:rPr>
        <w:t xml:space="preserve"> </w:t>
      </w:r>
      <w:r>
        <w:rPr>
          <w:rFonts w:ascii="Constantia" w:hAnsi="Constantia"/>
          <w:lang w:val="sr-Latn-CS"/>
        </w:rPr>
        <w:t>T</w:t>
      </w:r>
      <w:r w:rsidR="00744242" w:rsidRPr="00903739">
        <w:rPr>
          <w:rFonts w:ascii="Constantia" w:hAnsi="Constantia"/>
          <w:lang w:val="sr-Latn-CS"/>
        </w:rPr>
        <w:t>E Pljevlja.</w:t>
      </w:r>
    </w:p>
    <w:p w:rsidR="006F255C" w:rsidRPr="006F255C" w:rsidRDefault="009B1BF3" w:rsidP="006F255C">
      <w:pPr>
        <w:pStyle w:val="ListParagraph"/>
        <w:rPr>
          <w:rFonts w:ascii="Constantia" w:hAnsi="Constantia"/>
          <w:lang w:val="sr-Latn-CS"/>
        </w:rPr>
      </w:pPr>
      <w:r w:rsidRPr="00903739">
        <w:rPr>
          <w:rFonts w:ascii="Constantia" w:hAnsi="Constantia"/>
          <w:lang w:val="sr-Latn-CS"/>
        </w:rPr>
        <w:t xml:space="preserve">Najveća opterećenost vazduha ovim polutantom evidentirana je na mjernom mjestu u Pljevljima. Izmjerene su povremeno veoma visoke satne koncentracije, </w:t>
      </w:r>
      <w:r w:rsidR="00CF4BB7" w:rsidRPr="00903739">
        <w:rPr>
          <w:rFonts w:ascii="Constantia" w:hAnsi="Constantia"/>
          <w:lang w:val="sr-Latn-CS"/>
        </w:rPr>
        <w:t>što je</w:t>
      </w:r>
      <w:r w:rsidRPr="00903739">
        <w:rPr>
          <w:rFonts w:ascii="Constantia" w:hAnsi="Constantia"/>
          <w:lang w:val="sr-Latn-CS"/>
        </w:rPr>
        <w:t xml:space="preserve"> rezultat sag</w:t>
      </w:r>
      <w:r w:rsidR="00CF4BB7" w:rsidRPr="00903739">
        <w:rPr>
          <w:rFonts w:ascii="Constantia" w:hAnsi="Constantia"/>
          <w:lang w:val="sr-Latn-CS"/>
        </w:rPr>
        <w:t>orijevanja uglja sa visokim</w:t>
      </w:r>
      <w:r w:rsidRPr="00903739">
        <w:rPr>
          <w:rFonts w:ascii="Constantia" w:hAnsi="Constantia"/>
          <w:lang w:val="sr-Latn-CS"/>
        </w:rPr>
        <w:t xml:space="preserve"> sadržaj</w:t>
      </w:r>
      <w:r w:rsidR="00CF4BB7" w:rsidRPr="00903739">
        <w:rPr>
          <w:rFonts w:ascii="Constantia" w:hAnsi="Constantia"/>
          <w:lang w:val="sr-Latn-CS"/>
        </w:rPr>
        <w:t>em</w:t>
      </w:r>
      <w:r w:rsidRPr="00903739">
        <w:rPr>
          <w:rFonts w:ascii="Constantia" w:hAnsi="Constantia"/>
          <w:lang w:val="sr-Latn-CS"/>
        </w:rPr>
        <w:t xml:space="preserve"> sumpora, koji se koristi kako u TE Pljevlja, tako i u domaćinstvima za grijanje.</w:t>
      </w:r>
    </w:p>
    <w:p w:rsidR="006F255C" w:rsidRPr="006F255C" w:rsidRDefault="00482B1C" w:rsidP="00A50466">
      <w:pPr>
        <w:pStyle w:val="ListParagraph"/>
        <w:numPr>
          <w:ilvl w:val="0"/>
          <w:numId w:val="5"/>
        </w:numPr>
        <w:rPr>
          <w:rFonts w:ascii="Constantia" w:hAnsi="Constantia"/>
          <w:lang w:val="sr-Latn-CS"/>
        </w:rPr>
      </w:pPr>
      <w:r w:rsidRPr="00903739">
        <w:rPr>
          <w:rFonts w:ascii="Constantia" w:hAnsi="Constantia"/>
          <w:lang w:val="sr-Latn-CS"/>
        </w:rPr>
        <w:t xml:space="preserve">Koncentacija </w:t>
      </w:r>
      <w:r w:rsidR="000760F7" w:rsidRPr="00903739">
        <w:rPr>
          <w:rFonts w:ascii="Constantia" w:hAnsi="Constantia"/>
        </w:rPr>
        <w:t>azot(IV)oksida (NO</w:t>
      </w:r>
      <w:r w:rsidR="000760F7" w:rsidRPr="00903739">
        <w:rPr>
          <w:rFonts w:ascii="Constantia" w:hAnsi="Constantia"/>
          <w:vertAlign w:val="subscript"/>
        </w:rPr>
        <w:t>2</w:t>
      </w:r>
      <w:r w:rsidR="000760F7" w:rsidRPr="00903739">
        <w:rPr>
          <w:rFonts w:ascii="Constantia" w:hAnsi="Constantia"/>
        </w:rPr>
        <w:t xml:space="preserve">) </w:t>
      </w:r>
      <w:r w:rsidRPr="00903739">
        <w:rPr>
          <w:rFonts w:ascii="Constantia" w:hAnsi="Constantia"/>
          <w:lang w:val="sr-Latn-CS"/>
        </w:rPr>
        <w:t xml:space="preserve">je na svim mjernim mjestima bila ispod graničnih vrijednosti. </w:t>
      </w:r>
    </w:p>
    <w:p w:rsidR="00F11F5F" w:rsidRPr="00563002" w:rsidRDefault="0012198D" w:rsidP="008652B3">
      <w:pPr>
        <w:pStyle w:val="ListParagraph"/>
        <w:numPr>
          <w:ilvl w:val="0"/>
          <w:numId w:val="5"/>
        </w:numPr>
        <w:spacing w:after="0"/>
        <w:rPr>
          <w:rFonts w:ascii="Constantia" w:hAnsi="Constantia"/>
        </w:rPr>
      </w:pPr>
      <w:r w:rsidRPr="00563002">
        <w:rPr>
          <w:rFonts w:ascii="Constantia" w:hAnsi="Constantia"/>
          <w:lang w:val="sr-Latn-CS"/>
        </w:rPr>
        <w:t xml:space="preserve">Na svim mjernim stanicama evidentiran je veći broj prekoračenja srednjih dnevnih koncentracija </w:t>
      </w:r>
      <w:r w:rsidR="000760F7" w:rsidRPr="00563002">
        <w:rPr>
          <w:rFonts w:ascii="Constantia" w:hAnsi="Constantia"/>
          <w:lang w:val="sr-Latn-CS"/>
        </w:rPr>
        <w:t>PM</w:t>
      </w:r>
      <w:r w:rsidR="000760F7" w:rsidRPr="00563002">
        <w:rPr>
          <w:rFonts w:ascii="Constantia" w:hAnsi="Constantia"/>
          <w:vertAlign w:val="subscript"/>
          <w:lang w:val="sr-Latn-CS"/>
        </w:rPr>
        <w:t>10</w:t>
      </w:r>
      <w:r w:rsidR="000760F7" w:rsidRPr="00563002">
        <w:rPr>
          <w:rFonts w:ascii="Constantia" w:hAnsi="Constantia"/>
          <w:lang w:val="sr-Latn-CS"/>
        </w:rPr>
        <w:t xml:space="preserve"> čestica </w:t>
      </w:r>
      <w:r w:rsidRPr="00563002">
        <w:rPr>
          <w:rFonts w:ascii="Constantia" w:hAnsi="Constantia"/>
          <w:lang w:val="sr-Latn-CS"/>
        </w:rPr>
        <w:t>od dozvoljenog broja (</w:t>
      </w:r>
      <w:r w:rsidR="005346C0" w:rsidRPr="00563002">
        <w:rPr>
          <w:rFonts w:ascii="Constantia" w:hAnsi="Constantia"/>
        </w:rPr>
        <w:t>najviše 35 tokom kalendarske godine</w:t>
      </w:r>
      <w:r w:rsidRPr="00563002">
        <w:rPr>
          <w:rFonts w:ascii="Constantia" w:hAnsi="Constantia"/>
          <w:lang w:val="sr-Latn-CS"/>
        </w:rPr>
        <w:t>). Broj prekoračenja se kretao od 50 u Baru do 177 u Pljevljima.</w:t>
      </w:r>
      <w:r w:rsidR="00563002" w:rsidRPr="00563002">
        <w:rPr>
          <w:rFonts w:ascii="Constantia" w:hAnsi="Constantia"/>
          <w:lang w:val="sr-Latn-CS"/>
        </w:rPr>
        <w:t xml:space="preserve"> </w:t>
      </w:r>
      <w:r w:rsidR="005346C0" w:rsidRPr="00563002">
        <w:rPr>
          <w:rFonts w:ascii="Constantia" w:hAnsi="Constantia"/>
        </w:rPr>
        <w:t>P</w:t>
      </w:r>
      <w:r w:rsidR="007178E6" w:rsidRPr="00563002">
        <w:rPr>
          <w:rFonts w:ascii="Constantia" w:hAnsi="Constantia"/>
        </w:rPr>
        <w:t xml:space="preserve">rekoračenja </w:t>
      </w:r>
      <w:r w:rsidR="005346C0" w:rsidRPr="00563002">
        <w:rPr>
          <w:rFonts w:ascii="Constantia" w:hAnsi="Constantia"/>
        </w:rPr>
        <w:t xml:space="preserve">veća </w:t>
      </w:r>
      <w:r w:rsidR="007178E6" w:rsidRPr="00563002">
        <w:rPr>
          <w:rFonts w:ascii="Constantia" w:hAnsi="Constantia"/>
        </w:rPr>
        <w:t>u odnosu na granicu tolerancije evidentiran</w:t>
      </w:r>
      <w:r w:rsidR="005346C0" w:rsidRPr="00563002">
        <w:rPr>
          <w:rFonts w:ascii="Constantia" w:hAnsi="Constantia"/>
        </w:rPr>
        <w:t>a</w:t>
      </w:r>
      <w:r w:rsidR="00563002" w:rsidRPr="00563002">
        <w:rPr>
          <w:rFonts w:ascii="Constantia" w:hAnsi="Constantia"/>
        </w:rPr>
        <w:t xml:space="preserve"> </w:t>
      </w:r>
      <w:r w:rsidR="005346C0" w:rsidRPr="00563002">
        <w:rPr>
          <w:rFonts w:ascii="Constantia" w:hAnsi="Constantia"/>
        </w:rPr>
        <w:t>su</w:t>
      </w:r>
      <w:r w:rsidR="007178E6" w:rsidRPr="00563002">
        <w:rPr>
          <w:rFonts w:ascii="Constantia" w:hAnsi="Constantia"/>
        </w:rPr>
        <w:t xml:space="preserve"> u Pljevljima</w:t>
      </w:r>
      <w:r w:rsidR="005346C0" w:rsidRPr="00563002">
        <w:rPr>
          <w:rFonts w:ascii="Constantia" w:hAnsi="Constantia"/>
        </w:rPr>
        <w:t xml:space="preserve"> (85)</w:t>
      </w:r>
      <w:r w:rsidR="00563002">
        <w:rPr>
          <w:rFonts w:ascii="Constantia" w:hAnsi="Constantia"/>
        </w:rPr>
        <w:t xml:space="preserve"> </w:t>
      </w:r>
      <w:r w:rsidR="00DC6C34" w:rsidRPr="00563002">
        <w:rPr>
          <w:rFonts w:ascii="Constantia" w:hAnsi="Constantia"/>
        </w:rPr>
        <w:t>i</w:t>
      </w:r>
      <w:r w:rsidR="007178E6" w:rsidRPr="00563002">
        <w:rPr>
          <w:rFonts w:ascii="Constantia" w:hAnsi="Constantia"/>
        </w:rPr>
        <w:t xml:space="preserve"> Nikšiću</w:t>
      </w:r>
      <w:r w:rsidR="005346C0" w:rsidRPr="00563002">
        <w:rPr>
          <w:rFonts w:ascii="Constantia" w:hAnsi="Constantia"/>
        </w:rPr>
        <w:t xml:space="preserve"> (42)</w:t>
      </w:r>
      <w:r w:rsidR="007178E6" w:rsidRPr="00563002">
        <w:rPr>
          <w:rFonts w:ascii="Constantia" w:hAnsi="Constantia"/>
        </w:rPr>
        <w:t>.</w:t>
      </w:r>
    </w:p>
    <w:p w:rsidR="00D42F7E" w:rsidRPr="00903739" w:rsidRDefault="003D1F16" w:rsidP="008652B3">
      <w:pPr>
        <w:spacing w:after="0"/>
        <w:ind w:left="720"/>
        <w:rPr>
          <w:rFonts w:ascii="Constantia" w:hAnsi="Constantia"/>
        </w:rPr>
      </w:pPr>
      <w:r>
        <w:rPr>
          <w:rFonts w:ascii="Constantia" w:hAnsi="Constantia"/>
        </w:rPr>
        <w:t>Najveć</w:t>
      </w:r>
      <w:r w:rsidR="00903739">
        <w:rPr>
          <w:rFonts w:ascii="Constantia" w:hAnsi="Constantia"/>
        </w:rPr>
        <w:t xml:space="preserve">i broj prekoračenja, </w:t>
      </w:r>
      <w:r w:rsidR="00D42F7E" w:rsidRPr="00903739">
        <w:rPr>
          <w:rFonts w:ascii="Constantia" w:hAnsi="Constantia"/>
        </w:rPr>
        <w:t>a ujedno i najveće koncentracije PM</w:t>
      </w:r>
      <w:r w:rsidR="00D42F7E" w:rsidRPr="00903739">
        <w:rPr>
          <w:rFonts w:ascii="Constantia" w:hAnsi="Constantia"/>
          <w:vertAlign w:val="subscript"/>
        </w:rPr>
        <w:t>10</w:t>
      </w:r>
      <w:r w:rsidR="00D42F7E" w:rsidRPr="00903739">
        <w:rPr>
          <w:rFonts w:ascii="Constantia" w:hAnsi="Constantia"/>
        </w:rPr>
        <w:t xml:space="preserve"> čestica</w:t>
      </w:r>
      <w:r w:rsidR="00903739">
        <w:rPr>
          <w:rFonts w:ascii="Constantia" w:hAnsi="Constantia"/>
        </w:rPr>
        <w:t>,</w:t>
      </w:r>
      <w:r w:rsidR="00D42F7E" w:rsidRPr="00903739">
        <w:rPr>
          <w:rFonts w:ascii="Constantia" w:hAnsi="Constantia"/>
        </w:rPr>
        <w:t xml:space="preserve"> izmjerene su tokom decembra. Osim emisija polutanata u vazduh, ovakvom stanju doprinijeli su</w:t>
      </w:r>
      <w:r w:rsidR="00ED3581" w:rsidRPr="00903739">
        <w:rPr>
          <w:rFonts w:ascii="Constantia" w:hAnsi="Constantia"/>
        </w:rPr>
        <w:t xml:space="preserve"> i</w:t>
      </w:r>
      <w:r w:rsidR="00D42F7E" w:rsidRPr="00903739">
        <w:rPr>
          <w:rFonts w:ascii="Constantia" w:hAnsi="Constantia"/>
        </w:rPr>
        <w:t xml:space="preserve"> meteorološki uslovi (stabilna atmosfera, pojava inverzija i visok atmosferski pritisak) koji su dominirali cijelim regionom. Tokom ovog mjeseca</w:t>
      </w:r>
      <w:r>
        <w:rPr>
          <w:rFonts w:ascii="Constantia" w:hAnsi="Constantia"/>
        </w:rPr>
        <w:t>,</w:t>
      </w:r>
      <w:r w:rsidR="00D42F7E" w:rsidRPr="00903739">
        <w:rPr>
          <w:rFonts w:ascii="Constantia" w:hAnsi="Constantia"/>
        </w:rPr>
        <w:t xml:space="preserve"> zabilježena su gotovo svakodnevna prekoračenja srednjih dnevnih koncentracija PM</w:t>
      </w:r>
      <w:r w:rsidR="00D42F7E" w:rsidRPr="00903739">
        <w:rPr>
          <w:rFonts w:ascii="Constantia" w:hAnsi="Constantia"/>
          <w:vertAlign w:val="subscript"/>
        </w:rPr>
        <w:t>10</w:t>
      </w:r>
      <w:r w:rsidR="00D42F7E" w:rsidRPr="00903739">
        <w:rPr>
          <w:rFonts w:ascii="Constantia" w:hAnsi="Constantia"/>
        </w:rPr>
        <w:t xml:space="preserve"> če</w:t>
      </w:r>
      <w:r>
        <w:rPr>
          <w:rFonts w:ascii="Constantia" w:hAnsi="Constantia"/>
        </w:rPr>
        <w:t>s</w:t>
      </w:r>
      <w:r w:rsidR="00D42F7E" w:rsidRPr="00903739">
        <w:rPr>
          <w:rFonts w:ascii="Constantia" w:hAnsi="Constantia"/>
        </w:rPr>
        <w:t>tica na svim mjernim mjestima.</w:t>
      </w:r>
    </w:p>
    <w:p w:rsidR="00ED3581" w:rsidRPr="00903739" w:rsidRDefault="00ED3581" w:rsidP="008652B3">
      <w:pPr>
        <w:spacing w:after="0"/>
        <w:ind w:left="720"/>
        <w:rPr>
          <w:rFonts w:ascii="Constantia" w:hAnsi="Constantia"/>
        </w:rPr>
      </w:pPr>
      <w:r w:rsidRPr="00903739">
        <w:rPr>
          <w:rFonts w:ascii="Constantia" w:hAnsi="Constantia"/>
        </w:rPr>
        <w:t>Evidentirane su niže srednje godišnje koncentracije ovog polutanta</w:t>
      </w:r>
      <w:r w:rsidR="003D1F16">
        <w:rPr>
          <w:rFonts w:ascii="Constantia" w:hAnsi="Constantia"/>
        </w:rPr>
        <w:t xml:space="preserve"> </w:t>
      </w:r>
      <w:r w:rsidR="00B94BA3" w:rsidRPr="00903739">
        <w:rPr>
          <w:rFonts w:ascii="Constantia" w:hAnsi="Constantia"/>
        </w:rPr>
        <w:t>u odnosu na prethodne godine</w:t>
      </w:r>
      <w:r w:rsidRPr="00903739">
        <w:rPr>
          <w:rFonts w:ascii="Constantia" w:hAnsi="Constantia"/>
        </w:rPr>
        <w:t>.</w:t>
      </w:r>
    </w:p>
    <w:p w:rsidR="006F255C" w:rsidRPr="006F255C" w:rsidRDefault="00BB51A7" w:rsidP="006F255C">
      <w:pPr>
        <w:pStyle w:val="ListParagraph"/>
        <w:rPr>
          <w:rFonts w:ascii="Constantia" w:hAnsi="Constantia"/>
          <w:lang w:val="sr-Latn-CS"/>
        </w:rPr>
      </w:pPr>
      <w:r w:rsidRPr="00903739">
        <w:rPr>
          <w:rFonts w:ascii="Constantia" w:hAnsi="Constantia"/>
          <w:lang w:val="sr-Latn-CS"/>
        </w:rPr>
        <w:t>Koncentracije teških metala u PM</w:t>
      </w:r>
      <w:r w:rsidRPr="00903739">
        <w:rPr>
          <w:rFonts w:ascii="Constantia" w:hAnsi="Constantia"/>
          <w:vertAlign w:val="subscript"/>
          <w:lang w:val="sr-Latn-CS"/>
        </w:rPr>
        <w:t>10</w:t>
      </w:r>
      <w:r w:rsidRPr="00903739">
        <w:rPr>
          <w:rFonts w:ascii="Constantia" w:hAnsi="Constantia"/>
          <w:lang w:val="sr-Latn-CS"/>
        </w:rPr>
        <w:t xml:space="preserve"> česticama bile su okviru propisanih normi.</w:t>
      </w:r>
    </w:p>
    <w:p w:rsidR="008652B3" w:rsidRPr="00903739" w:rsidRDefault="00ED3581" w:rsidP="00A50466">
      <w:pPr>
        <w:pStyle w:val="ListParagraph"/>
        <w:numPr>
          <w:ilvl w:val="0"/>
          <w:numId w:val="5"/>
        </w:numPr>
        <w:rPr>
          <w:rFonts w:ascii="Constantia" w:hAnsi="Constantia"/>
          <w:lang w:val="sr-Latn-CS"/>
        </w:rPr>
      </w:pPr>
      <w:r w:rsidRPr="00903739">
        <w:rPr>
          <w:rFonts w:ascii="Constantia" w:hAnsi="Constantia"/>
          <w:lang w:val="sr-Latn-CS"/>
        </w:rPr>
        <w:t xml:space="preserve">Srednja godišnja koncentracija </w:t>
      </w:r>
      <w:r w:rsidR="00903739">
        <w:rPr>
          <w:rFonts w:ascii="Constantia" w:hAnsi="Constantia"/>
          <w:lang w:val="sr-Latn-CS"/>
        </w:rPr>
        <w:t>benzo</w:t>
      </w:r>
      <w:r w:rsidR="00482B1C" w:rsidRPr="00903739">
        <w:rPr>
          <w:rFonts w:ascii="Constantia" w:hAnsi="Constantia"/>
          <w:lang w:val="sr-Latn-CS"/>
        </w:rPr>
        <w:t>(a)</w:t>
      </w:r>
      <w:r w:rsidR="00903739">
        <w:rPr>
          <w:rFonts w:ascii="Constantia" w:hAnsi="Constantia"/>
          <w:lang w:val="sr-Latn-CS"/>
        </w:rPr>
        <w:t>pirena</w:t>
      </w:r>
      <w:r w:rsidR="00E67FCE">
        <w:rPr>
          <w:rFonts w:ascii="Constantia" w:hAnsi="Constantia"/>
          <w:lang w:val="sr-Latn-CS"/>
        </w:rPr>
        <w:t xml:space="preserve"> </w:t>
      </w:r>
      <w:r w:rsidR="00EC4473" w:rsidRPr="00903739">
        <w:rPr>
          <w:rFonts w:ascii="Constantia" w:hAnsi="Constantia"/>
          <w:lang w:val="sr-Latn-CS"/>
        </w:rPr>
        <w:t>jedino u Baru nije bila iznad propisane ciljne vrijednost</w:t>
      </w:r>
      <w:r w:rsidR="00903739">
        <w:rPr>
          <w:rFonts w:ascii="Constantia" w:hAnsi="Constantia"/>
          <w:lang w:val="sr-Latn-CS"/>
        </w:rPr>
        <w:t xml:space="preserve">i. </w:t>
      </w:r>
      <w:r w:rsidR="00EC4473" w:rsidRPr="00903739">
        <w:rPr>
          <w:rFonts w:ascii="Constantia" w:hAnsi="Constantia"/>
          <w:lang w:val="sr-Latn-CS"/>
        </w:rPr>
        <w:t>U Pljevljima,</w:t>
      </w:r>
      <w:r w:rsidR="00482B1C" w:rsidRPr="00903739">
        <w:rPr>
          <w:rFonts w:ascii="Constantia" w:hAnsi="Constantia"/>
          <w:lang w:val="sr-Latn-CS"/>
        </w:rPr>
        <w:t xml:space="preserve"> Nikšiću</w:t>
      </w:r>
      <w:r w:rsidR="00FB1AA3" w:rsidRPr="00903739">
        <w:rPr>
          <w:rFonts w:ascii="Constantia" w:hAnsi="Constantia"/>
          <w:lang w:val="sr-Latn-CS"/>
        </w:rPr>
        <w:t xml:space="preserve"> i Podgorici</w:t>
      </w:r>
      <w:r w:rsidR="00E67FCE">
        <w:rPr>
          <w:rFonts w:ascii="Constantia" w:hAnsi="Constantia"/>
          <w:lang w:val="sr-Latn-CS"/>
        </w:rPr>
        <w:t xml:space="preserve"> </w:t>
      </w:r>
      <w:r w:rsidR="00EC4473" w:rsidRPr="00903739">
        <w:rPr>
          <w:rFonts w:ascii="Constantia" w:hAnsi="Constantia"/>
          <w:lang w:val="sr-Latn-CS"/>
        </w:rPr>
        <w:t xml:space="preserve">srednja godišnja koncentracija </w:t>
      </w:r>
      <w:r w:rsidR="00903739">
        <w:rPr>
          <w:rFonts w:ascii="Constantia" w:hAnsi="Constantia"/>
          <w:lang w:val="sr-Latn-CS"/>
        </w:rPr>
        <w:t>benzo</w:t>
      </w:r>
      <w:r w:rsidR="00EC4473" w:rsidRPr="00903739">
        <w:rPr>
          <w:rFonts w:ascii="Constantia" w:hAnsi="Constantia"/>
          <w:lang w:val="sr-Latn-CS"/>
        </w:rPr>
        <w:t xml:space="preserve">(a)pirena kretala se od </w:t>
      </w:r>
      <w:r w:rsidR="00EC4473" w:rsidRPr="00903739">
        <w:rPr>
          <w:rFonts w:ascii="Constantia" w:hAnsi="Constantia"/>
        </w:rPr>
        <w:t>1,18 ng/m</w:t>
      </w:r>
      <w:r w:rsidR="00EC4473" w:rsidRPr="00903739">
        <w:rPr>
          <w:rFonts w:ascii="Constantia" w:hAnsi="Constantia"/>
          <w:vertAlign w:val="superscript"/>
        </w:rPr>
        <w:t>3</w:t>
      </w:r>
      <w:r w:rsidR="00EC4473" w:rsidRPr="00903739">
        <w:rPr>
          <w:rFonts w:ascii="Constantia" w:hAnsi="Constantia"/>
        </w:rPr>
        <w:t xml:space="preserve"> u Podgorici do 4,1</w:t>
      </w:r>
      <w:r w:rsidR="00E67FCE">
        <w:rPr>
          <w:rFonts w:ascii="Constantia" w:hAnsi="Constantia"/>
        </w:rPr>
        <w:t xml:space="preserve"> </w:t>
      </w:r>
      <w:r w:rsidR="00EC4473" w:rsidRPr="00903739">
        <w:rPr>
          <w:rFonts w:ascii="Constantia" w:hAnsi="Constantia"/>
        </w:rPr>
        <w:t>ng/m</w:t>
      </w:r>
      <w:r w:rsidR="00EC4473" w:rsidRPr="00903739">
        <w:rPr>
          <w:rFonts w:ascii="Constantia" w:hAnsi="Constantia"/>
          <w:vertAlign w:val="superscript"/>
        </w:rPr>
        <w:t>3</w:t>
      </w:r>
      <w:r w:rsidR="00EC4473" w:rsidRPr="00903739">
        <w:rPr>
          <w:rFonts w:ascii="Constantia" w:hAnsi="Constantia"/>
        </w:rPr>
        <w:t xml:space="preserve"> u Nikšiću</w:t>
      </w:r>
      <w:r w:rsidR="00482B1C" w:rsidRPr="00903739">
        <w:rPr>
          <w:rFonts w:ascii="Constantia" w:hAnsi="Constantia"/>
          <w:lang w:val="sr-Latn-CS"/>
        </w:rPr>
        <w:t xml:space="preserve">. </w:t>
      </w:r>
    </w:p>
    <w:p w:rsidR="008652B3" w:rsidRPr="00903739" w:rsidRDefault="002E6154" w:rsidP="00A50466">
      <w:pPr>
        <w:pStyle w:val="ListParagraph"/>
        <w:numPr>
          <w:ilvl w:val="0"/>
          <w:numId w:val="5"/>
        </w:numPr>
        <w:spacing w:after="0"/>
        <w:rPr>
          <w:rFonts w:ascii="Constantia" w:hAnsi="Constantia"/>
          <w:lang w:val="sr-Latn-CS"/>
        </w:rPr>
      </w:pPr>
      <w:r w:rsidRPr="00903739">
        <w:rPr>
          <w:rFonts w:ascii="Constantia" w:hAnsi="Constantia"/>
          <w:lang w:val="sr-Latn-CS"/>
        </w:rPr>
        <w:t xml:space="preserve">U </w:t>
      </w:r>
      <w:r w:rsidR="009A052E" w:rsidRPr="00903739">
        <w:rPr>
          <w:rFonts w:ascii="Constantia" w:hAnsi="Constantia"/>
          <w:lang w:val="sr-Latn-CS"/>
        </w:rPr>
        <w:t>Pljevljima, Nikšiću, Baru i Tivtu</w:t>
      </w:r>
      <w:r w:rsidRPr="00903739">
        <w:rPr>
          <w:rFonts w:ascii="Constantia" w:hAnsi="Constantia"/>
          <w:lang w:val="sr-Latn-CS"/>
        </w:rPr>
        <w:t xml:space="preserve"> praćena je koncentracija PM</w:t>
      </w:r>
      <w:r w:rsidRPr="00903739">
        <w:rPr>
          <w:rFonts w:ascii="Constantia" w:hAnsi="Constantia"/>
          <w:vertAlign w:val="subscript"/>
          <w:lang w:val="sr-Latn-CS"/>
        </w:rPr>
        <w:t xml:space="preserve">2,5 </w:t>
      </w:r>
      <w:r w:rsidRPr="00903739">
        <w:rPr>
          <w:rFonts w:ascii="Constantia" w:hAnsi="Constantia"/>
          <w:lang w:val="sr-Latn-CS"/>
        </w:rPr>
        <w:t>čestica u vazduhu</w:t>
      </w:r>
      <w:r w:rsidR="009A052E" w:rsidRPr="00903739">
        <w:rPr>
          <w:rFonts w:ascii="Constantia" w:hAnsi="Constantia"/>
          <w:lang w:val="sr-Latn-CS"/>
        </w:rPr>
        <w:t>.</w:t>
      </w:r>
      <w:r w:rsidR="00F93E80" w:rsidRPr="00903739">
        <w:rPr>
          <w:rFonts w:ascii="Constantia" w:hAnsi="Constantia"/>
          <w:lang w:val="sr-Latn-CS"/>
        </w:rPr>
        <w:t xml:space="preserve"> U Pljevljima i Nikšiću je srednja godišnja koncentracija b</w:t>
      </w:r>
      <w:r w:rsidR="00605D2C" w:rsidRPr="00903739">
        <w:rPr>
          <w:rFonts w:ascii="Constantia" w:hAnsi="Constantia"/>
          <w:lang w:val="sr-Latn-CS"/>
        </w:rPr>
        <w:t>ila iznad granične vrijednosti, ali ispod</w:t>
      </w:r>
      <w:r w:rsidR="00F93E80" w:rsidRPr="00903739">
        <w:rPr>
          <w:rFonts w:ascii="Constantia" w:hAnsi="Constantia"/>
          <w:lang w:val="sr-Latn-CS"/>
        </w:rPr>
        <w:t xml:space="preserve"> granice tolerancije za</w:t>
      </w:r>
      <w:r w:rsidR="00DD4E03" w:rsidRPr="00903739">
        <w:rPr>
          <w:rFonts w:ascii="Constantia" w:hAnsi="Constantia"/>
          <w:lang w:val="sr-Latn-CS"/>
        </w:rPr>
        <w:t xml:space="preserve"> 2013</w:t>
      </w:r>
      <w:r w:rsidR="00F93E80" w:rsidRPr="00903739">
        <w:rPr>
          <w:rFonts w:ascii="Constantia" w:hAnsi="Constantia"/>
          <w:lang w:val="sr-Latn-CS"/>
        </w:rPr>
        <w:t xml:space="preserve">. </w:t>
      </w:r>
      <w:r w:rsidR="00194A1D" w:rsidRPr="00903739">
        <w:rPr>
          <w:rFonts w:ascii="Constantia" w:hAnsi="Constantia"/>
          <w:lang w:val="sr-Latn-CS"/>
        </w:rPr>
        <w:t>g</w:t>
      </w:r>
      <w:r w:rsidR="00F93E80" w:rsidRPr="00903739">
        <w:rPr>
          <w:rFonts w:ascii="Constantia" w:hAnsi="Constantia"/>
          <w:lang w:val="sr-Latn-CS"/>
        </w:rPr>
        <w:t>odinu.</w:t>
      </w:r>
    </w:p>
    <w:p w:rsidR="008652B3" w:rsidRPr="00903739" w:rsidRDefault="00F51129" w:rsidP="00A50466">
      <w:pPr>
        <w:pStyle w:val="ListParagraph"/>
        <w:numPr>
          <w:ilvl w:val="0"/>
          <w:numId w:val="5"/>
        </w:numPr>
        <w:spacing w:after="0"/>
        <w:rPr>
          <w:rFonts w:ascii="Constantia" w:hAnsi="Constantia"/>
          <w:lang w:val="sr-Latn-CS"/>
        </w:rPr>
      </w:pPr>
      <w:r w:rsidRPr="00903739">
        <w:rPr>
          <w:rFonts w:ascii="Constantia" w:hAnsi="Constantia"/>
          <w:lang w:val="sr-Latn-CS"/>
        </w:rPr>
        <w:t xml:space="preserve">Mjerenja </w:t>
      </w:r>
      <w:r w:rsidR="00F03641" w:rsidRPr="00903739">
        <w:rPr>
          <w:rFonts w:ascii="Constantia" w:hAnsi="Constantia"/>
          <w:lang w:val="sr-Latn-CS"/>
        </w:rPr>
        <w:t>koncentracije prizemnog ozona (O</w:t>
      </w:r>
      <w:r w:rsidR="00F03641" w:rsidRPr="00903739">
        <w:rPr>
          <w:rFonts w:ascii="Constantia" w:hAnsi="Constantia"/>
          <w:vertAlign w:val="subscript"/>
          <w:lang w:val="sr-Latn-CS"/>
        </w:rPr>
        <w:t>3</w:t>
      </w:r>
      <w:r w:rsidR="00F03641" w:rsidRPr="00903739">
        <w:rPr>
          <w:rFonts w:ascii="Constantia" w:hAnsi="Constantia"/>
          <w:lang w:val="sr-Latn-CS"/>
        </w:rPr>
        <w:t xml:space="preserve">) </w:t>
      </w:r>
      <w:r w:rsidRPr="00903739">
        <w:rPr>
          <w:rFonts w:ascii="Constantia" w:hAnsi="Constantia"/>
          <w:lang w:val="sr-Latn-CS"/>
        </w:rPr>
        <w:t xml:space="preserve">tokom prethodnih godina ukuzaju da </w:t>
      </w:r>
      <w:r w:rsidR="00D5234D" w:rsidRPr="00903739">
        <w:rPr>
          <w:rFonts w:ascii="Constantia" w:hAnsi="Constantia"/>
          <w:lang w:val="sr-Latn-CS"/>
        </w:rPr>
        <w:t>s</w:t>
      </w:r>
      <w:r w:rsidRPr="00903739">
        <w:rPr>
          <w:rFonts w:ascii="Constantia" w:hAnsi="Constantia"/>
          <w:lang w:val="sr-Latn-CS"/>
        </w:rPr>
        <w:t xml:space="preserve">e najveći broj prekoračenja </w:t>
      </w:r>
      <w:r w:rsidR="00D5234D" w:rsidRPr="00903739">
        <w:rPr>
          <w:rFonts w:ascii="Constantia" w:hAnsi="Constantia"/>
          <w:lang w:val="sr-Latn-CS"/>
        </w:rPr>
        <w:t xml:space="preserve">javlja </w:t>
      </w:r>
      <w:r w:rsidRPr="00903739">
        <w:rPr>
          <w:rFonts w:ascii="Constantia" w:hAnsi="Constantia"/>
          <w:lang w:val="sr-Latn-CS"/>
        </w:rPr>
        <w:t xml:space="preserve">tokom ljetnjih mjeseci (jul i avgust) u primorskoj oblasti. </w:t>
      </w:r>
      <w:r w:rsidR="006266EE" w:rsidRPr="00903739">
        <w:rPr>
          <w:rFonts w:ascii="Constantia" w:hAnsi="Constantia"/>
          <w:lang w:val="sr-Latn-CS"/>
        </w:rPr>
        <w:t>Tokom 2013. godine povećane koncentracije ovog polutanta evidentirane su i u Nikšiću.</w:t>
      </w:r>
    </w:p>
    <w:p w:rsidR="008652B3" w:rsidRPr="00903739" w:rsidRDefault="0000463C" w:rsidP="00A50466">
      <w:pPr>
        <w:pStyle w:val="ListParagraph"/>
        <w:numPr>
          <w:ilvl w:val="0"/>
          <w:numId w:val="5"/>
        </w:numPr>
        <w:rPr>
          <w:rFonts w:ascii="Constantia" w:hAnsi="Constantia"/>
          <w:lang w:val="sr-Latn-CS"/>
        </w:rPr>
      </w:pPr>
      <w:r w:rsidRPr="00903739">
        <w:rPr>
          <w:rFonts w:ascii="Constantia" w:hAnsi="Constantia"/>
          <w:lang w:val="sr-Latn-CS"/>
        </w:rPr>
        <w:t xml:space="preserve">Sve maksimalne osmočasovne srednje vrijednosti ugljen(II)oksida (CO), na svim mjernim mjestima su </w:t>
      </w:r>
      <w:r w:rsidR="006266EE" w:rsidRPr="00903739">
        <w:rPr>
          <w:rFonts w:ascii="Constantia" w:hAnsi="Constantia"/>
          <w:lang w:val="sr-Latn-CS"/>
        </w:rPr>
        <w:t>tokom 2013</w:t>
      </w:r>
      <w:r w:rsidRPr="00903739">
        <w:rPr>
          <w:rFonts w:ascii="Constantia" w:hAnsi="Constantia"/>
          <w:lang w:val="sr-Latn-CS"/>
        </w:rPr>
        <w:t>. godine bile ispod propisanih graničnih vrijednosti.</w:t>
      </w:r>
    </w:p>
    <w:p w:rsidR="008652B3" w:rsidRPr="00903739" w:rsidRDefault="008652B3" w:rsidP="008652B3">
      <w:pPr>
        <w:pStyle w:val="ListParagraph"/>
        <w:rPr>
          <w:rFonts w:ascii="Constantia" w:hAnsi="Constantia"/>
          <w:lang w:val="sr-Latn-CS"/>
        </w:rPr>
      </w:pPr>
    </w:p>
    <w:p w:rsidR="00041ED1" w:rsidRPr="00903739" w:rsidRDefault="002D3102" w:rsidP="002D3102">
      <w:pPr>
        <w:ind w:left="360"/>
        <w:rPr>
          <w:rFonts w:ascii="Constantia" w:hAnsi="Constantia"/>
          <w:szCs w:val="22"/>
        </w:rPr>
      </w:pPr>
      <w:r w:rsidRPr="00903739">
        <w:rPr>
          <w:rFonts w:ascii="Constantia" w:hAnsi="Constantia"/>
          <w:b/>
          <w:szCs w:val="22"/>
          <w:u w:val="single"/>
          <w:lang w:val="sr-Latn-CS"/>
        </w:rPr>
        <w:t>U Južnoj i Sjevernoj zoni</w:t>
      </w:r>
      <w:r w:rsidRPr="00903739">
        <w:rPr>
          <w:rFonts w:ascii="Constantia" w:hAnsi="Constantia"/>
          <w:szCs w:val="22"/>
          <w:lang w:val="sr-Latn-CS"/>
        </w:rPr>
        <w:t xml:space="preserve"> u kojima je, u skladu sa</w:t>
      </w:r>
      <w:r w:rsidRPr="00903739">
        <w:rPr>
          <w:rFonts w:ascii="Constantia" w:hAnsi="Constantia"/>
          <w:lang w:val="sr-Latn-CS"/>
        </w:rPr>
        <w:t xml:space="preserve"> Uredbom o uspostavljanju mreže mjernih mjesta za praćenje kvaliteta vazduha</w:t>
      </w:r>
      <w:r w:rsidR="00835E2E">
        <w:rPr>
          <w:rFonts w:ascii="Constantia" w:hAnsi="Constantia"/>
          <w:lang w:val="sr-Latn-CS"/>
        </w:rPr>
        <w:t xml:space="preserve">, </w:t>
      </w:r>
      <w:r w:rsidR="00835E2E">
        <w:rPr>
          <w:rFonts w:ascii="Constantia" w:hAnsi="Constantia"/>
          <w:szCs w:val="22"/>
          <w:lang w:val="sr-Latn-CS"/>
        </w:rPr>
        <w:t>neophodno unapr</w:t>
      </w:r>
      <w:r w:rsidRPr="00903739">
        <w:rPr>
          <w:rFonts w:ascii="Constantia" w:hAnsi="Constantia"/>
          <w:szCs w:val="22"/>
          <w:lang w:val="sr-Latn-CS"/>
        </w:rPr>
        <w:t>jeđenje kvaliteta vazduha, najve</w:t>
      </w:r>
      <w:r w:rsidRPr="00903739">
        <w:rPr>
          <w:rFonts w:ascii="Constantia" w:hAnsi="Constantia"/>
          <w:szCs w:val="22"/>
        </w:rPr>
        <w:t xml:space="preserve">ći uticaj </w:t>
      </w:r>
      <w:r w:rsidR="00041ED1" w:rsidRPr="00903739">
        <w:rPr>
          <w:rFonts w:ascii="Constantia" w:hAnsi="Constantia"/>
          <w:szCs w:val="22"/>
        </w:rPr>
        <w:t>na lošiji kvalitet vazduha i</w:t>
      </w:r>
      <w:r w:rsidRPr="00903739">
        <w:rPr>
          <w:rFonts w:ascii="Constantia" w:hAnsi="Constantia"/>
          <w:szCs w:val="22"/>
        </w:rPr>
        <w:t>maju praškaste materije PM</w:t>
      </w:r>
      <w:r w:rsidRPr="00903739">
        <w:rPr>
          <w:rFonts w:ascii="Constantia" w:hAnsi="Constantia"/>
          <w:szCs w:val="22"/>
          <w:vertAlign w:val="subscript"/>
        </w:rPr>
        <w:t>10</w:t>
      </w:r>
      <w:r w:rsidR="00D41E55" w:rsidRPr="00903739">
        <w:rPr>
          <w:rFonts w:ascii="Constantia" w:hAnsi="Constantia"/>
          <w:szCs w:val="22"/>
        </w:rPr>
        <w:t xml:space="preserve"> i PM</w:t>
      </w:r>
      <w:r w:rsidR="00D41E55" w:rsidRPr="00903739">
        <w:rPr>
          <w:rFonts w:ascii="Constantia" w:hAnsi="Constantia"/>
          <w:szCs w:val="22"/>
          <w:vertAlign w:val="subscript"/>
        </w:rPr>
        <w:t>2,5</w:t>
      </w:r>
      <w:r w:rsidR="001940E9" w:rsidRPr="00903739">
        <w:rPr>
          <w:rFonts w:ascii="Constantia" w:hAnsi="Constantia"/>
          <w:szCs w:val="22"/>
        </w:rPr>
        <w:t>, kao i sadržaj benzo(a)pirena u PM</w:t>
      </w:r>
      <w:r w:rsidR="001940E9" w:rsidRPr="00903739">
        <w:rPr>
          <w:rFonts w:ascii="Constantia" w:hAnsi="Constantia"/>
          <w:szCs w:val="22"/>
          <w:vertAlign w:val="subscript"/>
        </w:rPr>
        <w:t>10</w:t>
      </w:r>
      <w:r w:rsidR="001940E9" w:rsidRPr="00903739">
        <w:rPr>
          <w:rFonts w:ascii="Constantia" w:hAnsi="Constantia"/>
          <w:szCs w:val="22"/>
        </w:rPr>
        <w:t xml:space="preserve"> česticama</w:t>
      </w:r>
      <w:r w:rsidRPr="00903739">
        <w:rPr>
          <w:rFonts w:ascii="Constantia" w:hAnsi="Constantia"/>
          <w:szCs w:val="22"/>
        </w:rPr>
        <w:t xml:space="preserve">. </w:t>
      </w:r>
      <w:r w:rsidR="003B2A2F" w:rsidRPr="00903739">
        <w:rPr>
          <w:rFonts w:ascii="Constantia" w:hAnsi="Constantia"/>
          <w:szCs w:val="22"/>
        </w:rPr>
        <w:t xml:space="preserve">Ovim zonama pripadaju: </w:t>
      </w:r>
      <w:r w:rsidR="003B2A2F" w:rsidRPr="00903739">
        <w:rPr>
          <w:rFonts w:ascii="Constantia" w:hAnsi="Constantia"/>
          <w:szCs w:val="22"/>
          <w:lang w:val="sr-Latn-CS"/>
        </w:rPr>
        <w:t>Berane, Bijelo Polje i Pljevlja</w:t>
      </w:r>
      <w:r w:rsidR="001958E5" w:rsidRPr="00903739">
        <w:rPr>
          <w:rFonts w:ascii="Constantia" w:hAnsi="Constantia"/>
          <w:szCs w:val="22"/>
        </w:rPr>
        <w:t xml:space="preserve"> (S</w:t>
      </w:r>
      <w:r w:rsidR="003B2A2F" w:rsidRPr="00903739">
        <w:rPr>
          <w:rFonts w:ascii="Constantia" w:hAnsi="Constantia"/>
          <w:szCs w:val="22"/>
        </w:rPr>
        <w:t xml:space="preserve">jeverna zona) i </w:t>
      </w:r>
      <w:r w:rsidR="003B2A2F" w:rsidRPr="00903739">
        <w:rPr>
          <w:rFonts w:ascii="Constantia" w:hAnsi="Constantia"/>
          <w:szCs w:val="22"/>
          <w:lang w:val="sr-Latn-CS"/>
        </w:rPr>
        <w:t>Bar, Cetinje, Nikšić i Podgorica</w:t>
      </w:r>
      <w:r w:rsidR="00D24A12">
        <w:rPr>
          <w:rFonts w:ascii="Constantia" w:hAnsi="Constantia"/>
          <w:szCs w:val="22"/>
          <w:lang w:val="sr-Latn-CS"/>
        </w:rPr>
        <w:t xml:space="preserve"> </w:t>
      </w:r>
      <w:r w:rsidR="001958E5" w:rsidRPr="00903739">
        <w:rPr>
          <w:rFonts w:ascii="Constantia" w:hAnsi="Constantia"/>
          <w:szCs w:val="22"/>
        </w:rPr>
        <w:t>(J</w:t>
      </w:r>
      <w:r w:rsidR="00FF3A7C" w:rsidRPr="00903739">
        <w:rPr>
          <w:rFonts w:ascii="Constantia" w:hAnsi="Constantia"/>
          <w:szCs w:val="22"/>
        </w:rPr>
        <w:t xml:space="preserve">užna zona). </w:t>
      </w:r>
    </w:p>
    <w:p w:rsidR="002D3102" w:rsidRPr="00903739" w:rsidRDefault="00B13DCE" w:rsidP="002D3102">
      <w:pPr>
        <w:ind w:left="360"/>
        <w:rPr>
          <w:rFonts w:ascii="Constantia" w:hAnsi="Constantia"/>
          <w:szCs w:val="22"/>
        </w:rPr>
      </w:pPr>
      <w:r w:rsidRPr="00903739">
        <w:rPr>
          <w:rFonts w:ascii="Constantia" w:hAnsi="Constantia"/>
          <w:szCs w:val="22"/>
        </w:rPr>
        <w:t>U</w:t>
      </w:r>
      <w:r w:rsidR="00C9564E">
        <w:rPr>
          <w:rFonts w:ascii="Constantia" w:hAnsi="Constantia"/>
          <w:szCs w:val="22"/>
        </w:rPr>
        <w:t xml:space="preserve"> </w:t>
      </w:r>
      <w:r w:rsidR="002D3102" w:rsidRPr="00903739">
        <w:rPr>
          <w:rFonts w:ascii="Constantia" w:hAnsi="Constantia"/>
          <w:b/>
          <w:szCs w:val="22"/>
          <w:u w:val="single"/>
          <w:lang w:val="sr-Latn-CS"/>
        </w:rPr>
        <w:t>Zoni održavanja kvaliteta vazduha</w:t>
      </w:r>
      <w:r w:rsidR="002D3102" w:rsidRPr="00903739">
        <w:rPr>
          <w:rFonts w:ascii="Constantia" w:hAnsi="Constantia"/>
          <w:szCs w:val="22"/>
          <w:lang w:val="sr-Latn-CS"/>
        </w:rPr>
        <w:t xml:space="preserve"> kojoj pripadaju: Andrijevica, Budva, Danilovgrad, Herceg Novi, Kolašin, Kotor, Mojkovac, Plav, Plužine, Rožaje, Šavnik, Tivat, Ulcinj i Žabljak, kvalitet vazduha </w:t>
      </w:r>
      <w:r w:rsidR="00AF560B" w:rsidRPr="00903739">
        <w:rPr>
          <w:rFonts w:ascii="Constantia" w:hAnsi="Constantia"/>
          <w:szCs w:val="22"/>
          <w:lang w:val="sr-Latn-CS"/>
        </w:rPr>
        <w:t xml:space="preserve">se </w:t>
      </w:r>
      <w:r w:rsidR="002D3102" w:rsidRPr="00903739">
        <w:rPr>
          <w:rFonts w:ascii="Constantia" w:hAnsi="Constantia"/>
          <w:szCs w:val="22"/>
          <w:lang w:val="sr-Latn-CS"/>
        </w:rPr>
        <w:t xml:space="preserve">prati na EMEP stanici </w:t>
      </w:r>
      <w:r w:rsidR="00DF755D">
        <w:rPr>
          <w:rFonts w:ascii="Constantia" w:hAnsi="Constantia"/>
          <w:szCs w:val="22"/>
          <w:lang w:val="sr-Latn-CS"/>
        </w:rPr>
        <w:t>na</w:t>
      </w:r>
      <w:r w:rsidR="002D3102" w:rsidRPr="00903739">
        <w:rPr>
          <w:rFonts w:ascii="Constantia" w:hAnsi="Constantia"/>
          <w:szCs w:val="22"/>
          <w:lang w:val="sr-Latn-CS"/>
        </w:rPr>
        <w:t xml:space="preserve"> Žabljaku sa opremom za</w:t>
      </w:r>
      <w:r w:rsidRPr="00903739">
        <w:rPr>
          <w:rFonts w:ascii="Constantia" w:hAnsi="Constantia"/>
          <w:szCs w:val="22"/>
          <w:lang w:val="sr-Latn-CS"/>
        </w:rPr>
        <w:t xml:space="preserve"> tzv. </w:t>
      </w:r>
      <w:r w:rsidRPr="00903739">
        <w:rPr>
          <w:rFonts w:ascii="Constantia" w:hAnsi="Constantia"/>
          <w:szCs w:val="22"/>
          <w:lang w:val="sr-Latn-CS"/>
        </w:rPr>
        <w:lastRenderedPageBreak/>
        <w:t>poluautomatski monitoring i u Tivtu</w:t>
      </w:r>
      <w:r w:rsidR="000221DA" w:rsidRPr="00903739">
        <w:rPr>
          <w:rFonts w:ascii="Constantia" w:hAnsi="Constantia"/>
          <w:szCs w:val="22"/>
          <w:lang w:val="sr-Latn-CS"/>
        </w:rPr>
        <w:t xml:space="preserve">, u kojem je zbog kvara mjernih instumenata mjerena samo koncentracija </w:t>
      </w:r>
      <w:r w:rsidR="000221DA" w:rsidRPr="00903739">
        <w:rPr>
          <w:rFonts w:ascii="Constantia" w:hAnsi="Constantia"/>
          <w:szCs w:val="22"/>
        </w:rPr>
        <w:t>PM</w:t>
      </w:r>
      <w:r w:rsidR="000221DA" w:rsidRPr="00903739">
        <w:rPr>
          <w:rFonts w:ascii="Constantia" w:hAnsi="Constantia"/>
          <w:szCs w:val="22"/>
          <w:vertAlign w:val="subscript"/>
        </w:rPr>
        <w:t>2,5</w:t>
      </w:r>
      <w:r w:rsidR="000221DA" w:rsidRPr="00903739">
        <w:rPr>
          <w:rFonts w:ascii="Constantia" w:hAnsi="Constantia"/>
          <w:szCs w:val="22"/>
        </w:rPr>
        <w:t xml:space="preserve"> čestica</w:t>
      </w:r>
      <w:r w:rsidRPr="00903739">
        <w:rPr>
          <w:rFonts w:ascii="Constantia" w:hAnsi="Constantia"/>
          <w:szCs w:val="22"/>
          <w:lang w:val="sr-Latn-CS"/>
        </w:rPr>
        <w:t xml:space="preserve">. </w:t>
      </w:r>
      <w:r w:rsidR="000221DA" w:rsidRPr="00903739">
        <w:rPr>
          <w:rFonts w:ascii="Constantia" w:hAnsi="Constantia"/>
          <w:szCs w:val="22"/>
          <w:lang w:val="sr-Latn-CS"/>
        </w:rPr>
        <w:t>Na osnovu izmjerenih koncentracija</w:t>
      </w:r>
      <w:r w:rsidR="000974C2" w:rsidRPr="00903739">
        <w:rPr>
          <w:rFonts w:ascii="Constantia" w:hAnsi="Constantia"/>
          <w:szCs w:val="22"/>
          <w:lang w:val="sr-Latn-CS"/>
        </w:rPr>
        <w:t xml:space="preserve"> praćenih parametara</w:t>
      </w:r>
      <w:r w:rsidR="000221DA" w:rsidRPr="00903739">
        <w:rPr>
          <w:rFonts w:ascii="Constantia" w:hAnsi="Constantia"/>
          <w:szCs w:val="22"/>
          <w:lang w:val="sr-Latn-CS"/>
        </w:rPr>
        <w:t xml:space="preserve">, </w:t>
      </w:r>
      <w:r w:rsidR="00843FE6" w:rsidRPr="00903739">
        <w:rPr>
          <w:rFonts w:ascii="Constantia" w:hAnsi="Constantia"/>
          <w:szCs w:val="22"/>
          <w:lang w:val="sr-Latn-CS"/>
        </w:rPr>
        <w:t>kvalitet</w:t>
      </w:r>
      <w:r w:rsidR="000974C2" w:rsidRPr="00903739">
        <w:rPr>
          <w:rFonts w:ascii="Constantia" w:hAnsi="Constantia"/>
          <w:szCs w:val="22"/>
          <w:lang w:val="sr-Latn-CS"/>
        </w:rPr>
        <w:t xml:space="preserve"> vazduha </w:t>
      </w:r>
      <w:r w:rsidR="000221DA" w:rsidRPr="00903739">
        <w:rPr>
          <w:rFonts w:ascii="Constantia" w:hAnsi="Constantia"/>
          <w:szCs w:val="22"/>
          <w:lang w:val="sr-Latn-CS"/>
        </w:rPr>
        <w:t xml:space="preserve">u ovoj zoni </w:t>
      </w:r>
      <w:r w:rsidR="000974C2" w:rsidRPr="00903739">
        <w:rPr>
          <w:rFonts w:ascii="Constantia" w:hAnsi="Constantia"/>
          <w:szCs w:val="22"/>
          <w:lang w:val="sr-Latn-CS"/>
        </w:rPr>
        <w:t>je zadovoljavajuć</w:t>
      </w:r>
      <w:r w:rsidR="00843FE6" w:rsidRPr="00903739">
        <w:rPr>
          <w:rFonts w:ascii="Constantia" w:hAnsi="Constantia"/>
          <w:szCs w:val="22"/>
          <w:lang w:val="sr-Latn-CS"/>
        </w:rPr>
        <w:t>i</w:t>
      </w:r>
      <w:r w:rsidR="000221DA" w:rsidRPr="00903739">
        <w:rPr>
          <w:rFonts w:ascii="Constantia" w:hAnsi="Constantia"/>
          <w:szCs w:val="22"/>
          <w:lang w:val="sr-Latn-CS"/>
        </w:rPr>
        <w:t>.</w:t>
      </w:r>
    </w:p>
    <w:p w:rsidR="00605CA5" w:rsidRPr="0033172A" w:rsidRDefault="00605CA5" w:rsidP="00654F18">
      <w:pPr>
        <w:pStyle w:val="Heading2"/>
        <w:ind w:left="720"/>
        <w:rPr>
          <w:lang w:val="sr-Latn-CS"/>
        </w:rPr>
      </w:pPr>
      <w:bookmarkStart w:id="18" w:name="_Toc294541817"/>
      <w:bookmarkStart w:id="19" w:name="_Toc393897865"/>
      <w:r w:rsidRPr="007468D3">
        <w:t>Zaključak</w:t>
      </w:r>
      <w:bookmarkEnd w:id="18"/>
      <w:bookmarkEnd w:id="19"/>
    </w:p>
    <w:p w:rsidR="00AE64B6" w:rsidRPr="0033172A" w:rsidRDefault="00647BD2" w:rsidP="00605CA5">
      <w:pPr>
        <w:rPr>
          <w:rFonts w:ascii="Constantia" w:hAnsi="Constantia"/>
          <w:lang w:val="sr-Latn-CS"/>
        </w:rPr>
      </w:pPr>
      <w:r w:rsidRPr="0033172A">
        <w:rPr>
          <w:rFonts w:ascii="Constantia" w:hAnsi="Constantia"/>
          <w:lang w:val="sr-Latn-CS"/>
        </w:rPr>
        <w:t>Vazduh</w:t>
      </w:r>
      <w:r w:rsidR="00605CA5" w:rsidRPr="0033172A">
        <w:rPr>
          <w:rFonts w:ascii="Constantia" w:hAnsi="Constantia"/>
          <w:lang w:val="sr-Latn-CS"/>
        </w:rPr>
        <w:t xml:space="preserve"> u Crnoj Gori, ocjenjivan sa aspekta globalnog pokazatelja </w:t>
      </w:r>
      <w:r w:rsidR="001C74D8" w:rsidRPr="0033172A">
        <w:rPr>
          <w:rFonts w:ascii="Constantia" w:hAnsi="Constantia"/>
        </w:rPr>
        <w:t>sumpor(IV)oks</w:t>
      </w:r>
      <w:r w:rsidR="005D6163" w:rsidRPr="0033172A">
        <w:rPr>
          <w:rFonts w:ascii="Constantia" w:hAnsi="Constantia"/>
        </w:rPr>
        <w:t>i</w:t>
      </w:r>
      <w:r w:rsidR="001C74D8" w:rsidRPr="0033172A">
        <w:rPr>
          <w:rFonts w:ascii="Constantia" w:hAnsi="Constantia"/>
        </w:rPr>
        <w:t>da (SO</w:t>
      </w:r>
      <w:r w:rsidR="001C74D8" w:rsidRPr="0033172A">
        <w:rPr>
          <w:rFonts w:ascii="Constantia" w:hAnsi="Constantia"/>
          <w:vertAlign w:val="subscript"/>
        </w:rPr>
        <w:t>2</w:t>
      </w:r>
      <w:r w:rsidR="001C74D8" w:rsidRPr="0033172A">
        <w:rPr>
          <w:rFonts w:ascii="Constantia" w:hAnsi="Constantia"/>
        </w:rPr>
        <w:t>)</w:t>
      </w:r>
      <w:r w:rsidR="006853F8">
        <w:rPr>
          <w:rFonts w:ascii="Constantia" w:hAnsi="Constantia"/>
        </w:rPr>
        <w:t xml:space="preserve"> </w:t>
      </w:r>
      <w:r w:rsidR="00063CFC" w:rsidRPr="0033172A">
        <w:rPr>
          <w:rFonts w:ascii="Constantia" w:hAnsi="Constantia"/>
          <w:lang w:val="sr-Latn-CS"/>
        </w:rPr>
        <w:t xml:space="preserve">je </w:t>
      </w:r>
      <w:r w:rsidR="00605CA5" w:rsidRPr="0033172A">
        <w:rPr>
          <w:rFonts w:ascii="Constantia" w:hAnsi="Constantia"/>
          <w:lang w:val="sr-Latn-CS"/>
        </w:rPr>
        <w:t xml:space="preserve">dobrog kvaliteta. </w:t>
      </w:r>
      <w:r w:rsidR="00691779" w:rsidRPr="0033172A">
        <w:rPr>
          <w:rFonts w:ascii="Constantia" w:hAnsi="Constantia"/>
          <w:lang w:val="sr-Latn-CS"/>
        </w:rPr>
        <w:t xml:space="preserve">Koncentacija </w:t>
      </w:r>
      <w:r w:rsidR="001C74D8" w:rsidRPr="0033172A">
        <w:rPr>
          <w:rFonts w:ascii="Constantia" w:hAnsi="Constantia"/>
        </w:rPr>
        <w:t>azot(IV)oksida (NO</w:t>
      </w:r>
      <w:r w:rsidR="001C74D8" w:rsidRPr="0033172A">
        <w:rPr>
          <w:rFonts w:ascii="Constantia" w:hAnsi="Constantia"/>
          <w:vertAlign w:val="subscript"/>
        </w:rPr>
        <w:t>2</w:t>
      </w:r>
      <w:r w:rsidR="001C74D8" w:rsidRPr="0033172A">
        <w:rPr>
          <w:rFonts w:ascii="Constantia" w:hAnsi="Constantia"/>
        </w:rPr>
        <w:t xml:space="preserve">) </w:t>
      </w:r>
      <w:r w:rsidR="00691779" w:rsidRPr="0033172A">
        <w:rPr>
          <w:rFonts w:ascii="Constantia" w:hAnsi="Constantia"/>
          <w:lang w:val="sr-Latn-CS"/>
        </w:rPr>
        <w:t xml:space="preserve">je </w:t>
      </w:r>
      <w:r w:rsidR="00AE64B6" w:rsidRPr="0033172A">
        <w:rPr>
          <w:rFonts w:ascii="Constantia" w:hAnsi="Constantia"/>
          <w:lang w:val="sr-Latn-CS"/>
        </w:rPr>
        <w:t xml:space="preserve">na svim mjernim mjestima </w:t>
      </w:r>
      <w:r w:rsidR="00691779" w:rsidRPr="0033172A">
        <w:rPr>
          <w:rFonts w:ascii="Constantia" w:hAnsi="Constantia"/>
          <w:lang w:val="sr-Latn-CS"/>
        </w:rPr>
        <w:t xml:space="preserve">bila ispod </w:t>
      </w:r>
      <w:r w:rsidR="007E43B1" w:rsidRPr="0033172A">
        <w:rPr>
          <w:rFonts w:ascii="Constantia" w:hAnsi="Constantia"/>
          <w:lang w:val="sr-Latn-CS"/>
        </w:rPr>
        <w:t xml:space="preserve">propisanih </w:t>
      </w:r>
      <w:r w:rsidR="00691779" w:rsidRPr="0033172A">
        <w:rPr>
          <w:rFonts w:ascii="Constantia" w:hAnsi="Constantia"/>
          <w:lang w:val="sr-Latn-CS"/>
        </w:rPr>
        <w:t xml:space="preserve">graničnih vrijednosti. </w:t>
      </w:r>
      <w:r w:rsidR="00001722" w:rsidRPr="0033172A">
        <w:rPr>
          <w:rFonts w:ascii="Constantia" w:hAnsi="Constantia"/>
          <w:lang w:val="sr-Latn-CS"/>
        </w:rPr>
        <w:t>Evidentirane su povećane koncentracije prizemnog ozona i u primorskom</w:t>
      </w:r>
      <w:r w:rsidR="006853F8">
        <w:rPr>
          <w:rFonts w:ascii="Constantia" w:hAnsi="Constantia"/>
          <w:lang w:val="sr-Latn-CS"/>
        </w:rPr>
        <w:t xml:space="preserve"> </w:t>
      </w:r>
      <w:r w:rsidR="00001722" w:rsidRPr="0033172A">
        <w:rPr>
          <w:rFonts w:ascii="Constantia" w:hAnsi="Constantia"/>
          <w:lang w:val="sr-Latn-CS"/>
        </w:rPr>
        <w:t xml:space="preserve">i kontinentalnom dijelu. </w:t>
      </w:r>
      <w:r w:rsidR="001C74D8" w:rsidRPr="0033172A">
        <w:rPr>
          <w:rFonts w:ascii="Constantia" w:hAnsi="Constantia"/>
          <w:lang w:val="sr-Latn-CS"/>
        </w:rPr>
        <w:t>Dobra ocjena kvaliteta va</w:t>
      </w:r>
      <w:r w:rsidR="001C74D8" w:rsidRPr="0033172A">
        <w:rPr>
          <w:rFonts w:ascii="Constantia" w:hAnsi="Constantia"/>
        </w:rPr>
        <w:t>z</w:t>
      </w:r>
      <w:r w:rsidR="001C74D8" w:rsidRPr="0033172A">
        <w:rPr>
          <w:rFonts w:ascii="Constantia" w:hAnsi="Constantia"/>
          <w:lang w:val="sr-Latn-CS"/>
        </w:rPr>
        <w:t>duha odnosi se na koncentraciju ugljen(II)oksida (CO)</w:t>
      </w:r>
      <w:r w:rsidR="00001722" w:rsidRPr="0033172A">
        <w:rPr>
          <w:rFonts w:ascii="Constantia" w:hAnsi="Constantia"/>
          <w:lang w:val="sr-Latn-CS"/>
        </w:rPr>
        <w:t xml:space="preserve"> na svim mjernim mjestima</w:t>
      </w:r>
      <w:r w:rsidR="001C74D8" w:rsidRPr="0033172A">
        <w:rPr>
          <w:rFonts w:ascii="Constantia" w:hAnsi="Constantia"/>
          <w:lang w:val="sr-Latn-CS"/>
        </w:rPr>
        <w:t xml:space="preserve">.  </w:t>
      </w:r>
      <w:r w:rsidR="00995A7C" w:rsidRPr="0033172A">
        <w:rPr>
          <w:rFonts w:ascii="Constantia" w:hAnsi="Constantia"/>
          <w:lang w:val="sr-Latn-CS"/>
        </w:rPr>
        <w:t>Koncentracije teških metala u PM</w:t>
      </w:r>
      <w:r w:rsidR="00995A7C" w:rsidRPr="0033172A">
        <w:rPr>
          <w:rFonts w:ascii="Constantia" w:hAnsi="Constantia"/>
          <w:vertAlign w:val="subscript"/>
          <w:lang w:val="sr-Latn-CS"/>
        </w:rPr>
        <w:t>10</w:t>
      </w:r>
      <w:r w:rsidR="00995A7C" w:rsidRPr="0033172A">
        <w:rPr>
          <w:rFonts w:ascii="Constantia" w:hAnsi="Constantia"/>
          <w:lang w:val="sr-Latn-CS"/>
        </w:rPr>
        <w:t xml:space="preserve"> česticama bile su takođe </w:t>
      </w:r>
      <w:r w:rsidR="006853F8">
        <w:rPr>
          <w:rFonts w:ascii="Constantia" w:hAnsi="Constantia"/>
          <w:lang w:val="sr-Latn-CS"/>
        </w:rPr>
        <w:t xml:space="preserve">u </w:t>
      </w:r>
      <w:r w:rsidR="00995A7C" w:rsidRPr="0033172A">
        <w:rPr>
          <w:rFonts w:ascii="Constantia" w:hAnsi="Constantia"/>
          <w:lang w:val="sr-Latn-CS"/>
        </w:rPr>
        <w:t>okviru propisanih normi.</w:t>
      </w:r>
    </w:p>
    <w:p w:rsidR="00CD5D0D" w:rsidRPr="0033172A" w:rsidRDefault="00550CE8" w:rsidP="00605CA5">
      <w:pPr>
        <w:rPr>
          <w:rFonts w:ascii="Constantia" w:hAnsi="Constantia"/>
          <w:lang w:val="sr-Latn-CS"/>
        </w:rPr>
      </w:pPr>
      <w:r w:rsidRPr="0033172A">
        <w:rPr>
          <w:rFonts w:ascii="Constantia" w:hAnsi="Constantia"/>
          <w:lang w:val="sr-Latn-CS"/>
        </w:rPr>
        <w:t>Na lošiji kvalitet vazduha najviše su uticala p</w:t>
      </w:r>
      <w:r w:rsidR="00605CA5" w:rsidRPr="0033172A">
        <w:rPr>
          <w:rFonts w:ascii="Constantia" w:hAnsi="Constantia"/>
          <w:lang w:val="sr-Latn-CS"/>
        </w:rPr>
        <w:t>rekoračenja koncentracije praškastih</w:t>
      </w:r>
      <w:r w:rsidR="00162203" w:rsidRPr="0033172A">
        <w:rPr>
          <w:rFonts w:ascii="Constantia" w:hAnsi="Constantia"/>
          <w:lang w:val="sr-Latn-CS"/>
        </w:rPr>
        <w:t xml:space="preserve"> materija </w:t>
      </w:r>
      <w:r w:rsidR="00605CA5" w:rsidRPr="0033172A">
        <w:rPr>
          <w:rFonts w:ascii="Constantia" w:hAnsi="Constantia"/>
          <w:lang w:val="sr-Latn-CS"/>
        </w:rPr>
        <w:t>PM</w:t>
      </w:r>
      <w:r w:rsidR="00605CA5" w:rsidRPr="0033172A">
        <w:rPr>
          <w:rFonts w:ascii="Constantia" w:hAnsi="Constantia"/>
          <w:vertAlign w:val="subscript"/>
          <w:lang w:val="sr-Latn-CS"/>
        </w:rPr>
        <w:t>10</w:t>
      </w:r>
      <w:r w:rsidRPr="0033172A">
        <w:rPr>
          <w:rFonts w:ascii="Constantia" w:hAnsi="Constantia"/>
          <w:lang w:val="sr-Latn-CS"/>
        </w:rPr>
        <w:t xml:space="preserve"> i PM</w:t>
      </w:r>
      <w:r w:rsidRPr="0033172A">
        <w:rPr>
          <w:rFonts w:ascii="Constantia" w:hAnsi="Constantia"/>
          <w:vertAlign w:val="subscript"/>
          <w:lang w:val="sr-Latn-CS"/>
        </w:rPr>
        <w:t>2,5</w:t>
      </w:r>
      <w:r w:rsidR="00605CA5" w:rsidRPr="0033172A">
        <w:rPr>
          <w:rFonts w:ascii="Constantia" w:hAnsi="Constantia"/>
          <w:lang w:val="sr-Latn-CS"/>
        </w:rPr>
        <w:t xml:space="preserve">. </w:t>
      </w:r>
      <w:r w:rsidR="00A01369" w:rsidRPr="0033172A">
        <w:rPr>
          <w:rFonts w:ascii="Constantia" w:hAnsi="Constantia"/>
          <w:lang w:val="sr-Latn-CS"/>
        </w:rPr>
        <w:t>Ovaj problem najizraž</w:t>
      </w:r>
      <w:r w:rsidR="00D75897" w:rsidRPr="0033172A">
        <w:rPr>
          <w:rFonts w:ascii="Constantia" w:hAnsi="Constantia"/>
          <w:lang w:val="sr-Latn-CS"/>
        </w:rPr>
        <w:t>eniji je u Pljevljima i Nikšiću gdje su</w:t>
      </w:r>
      <w:r w:rsidR="00056CD4">
        <w:rPr>
          <w:rFonts w:ascii="Constantia" w:hAnsi="Constantia"/>
          <w:lang w:val="sr-Latn-CS"/>
        </w:rPr>
        <w:t>,</w:t>
      </w:r>
      <w:r w:rsidR="00D75897" w:rsidRPr="0033172A">
        <w:rPr>
          <w:rFonts w:ascii="Constantia" w:hAnsi="Constantia"/>
          <w:lang w:val="sr-Latn-CS"/>
        </w:rPr>
        <w:t xml:space="preserve"> osim velikog broja prekoračenja</w:t>
      </w:r>
      <w:r w:rsidR="00056CD4">
        <w:rPr>
          <w:rFonts w:ascii="Constantia" w:hAnsi="Constantia"/>
          <w:lang w:val="sr-Latn-CS"/>
        </w:rPr>
        <w:t>,</w:t>
      </w:r>
      <w:r w:rsidR="00D75897" w:rsidRPr="0033172A">
        <w:rPr>
          <w:rFonts w:ascii="Constantia" w:hAnsi="Constantia"/>
          <w:lang w:val="sr-Latn-CS"/>
        </w:rPr>
        <w:t xml:space="preserve"> evidentirane i visoke koncentracije na dnevnom nivou, kao i prekoračenje dozvoljene srednje godišnje koncentracije.</w:t>
      </w:r>
      <w:r w:rsidR="00056CD4">
        <w:rPr>
          <w:rFonts w:ascii="Constantia" w:hAnsi="Constantia"/>
          <w:lang w:val="sr-Latn-CS"/>
        </w:rPr>
        <w:t xml:space="preserve"> </w:t>
      </w:r>
      <w:r w:rsidR="00EC6C02" w:rsidRPr="0033172A">
        <w:rPr>
          <w:rFonts w:ascii="Constantia" w:hAnsi="Constantia"/>
          <w:lang w:val="sr-Latn-CS"/>
        </w:rPr>
        <w:t xml:space="preserve">Broj prekoračenja graničnih vrijednosti srednjih dnevnih koncentracija zabilježen je i u Podgorici i Baru. </w:t>
      </w:r>
      <w:r w:rsidR="00C16FAF" w:rsidRPr="0033172A">
        <w:rPr>
          <w:rFonts w:ascii="Constantia" w:hAnsi="Constantia"/>
          <w:lang w:val="sr-Latn-CS"/>
        </w:rPr>
        <w:t>Povećane</w:t>
      </w:r>
      <w:r w:rsidR="0042745B" w:rsidRPr="0033172A">
        <w:rPr>
          <w:rFonts w:ascii="Constantia" w:hAnsi="Constantia"/>
          <w:lang w:val="sr-Latn-CS"/>
        </w:rPr>
        <w:t xml:space="preserve"> koncentacije policikličnih aromatičnih ugljovodonika, markera benzo(a)</w:t>
      </w:r>
      <w:r w:rsidR="0033172A">
        <w:rPr>
          <w:rFonts w:ascii="Constantia" w:hAnsi="Constantia"/>
          <w:lang w:val="sr-Latn-CS"/>
        </w:rPr>
        <w:t>pirena i samog benzo</w:t>
      </w:r>
      <w:r w:rsidR="0042745B" w:rsidRPr="0033172A">
        <w:rPr>
          <w:rFonts w:ascii="Constantia" w:hAnsi="Constantia"/>
          <w:lang w:val="sr-Latn-CS"/>
        </w:rPr>
        <w:t>(a)pirena, čija srednja godišnja koncentracija u Nikšiću</w:t>
      </w:r>
      <w:r w:rsidR="00EC6C02" w:rsidRPr="0033172A">
        <w:rPr>
          <w:rFonts w:ascii="Constantia" w:hAnsi="Constantia"/>
          <w:lang w:val="sr-Latn-CS"/>
        </w:rPr>
        <w:t>, Pljevljima</w:t>
      </w:r>
      <w:r w:rsidR="0042745B" w:rsidRPr="0033172A">
        <w:rPr>
          <w:rFonts w:ascii="Constantia" w:hAnsi="Constantia"/>
          <w:lang w:val="sr-Latn-CS"/>
        </w:rPr>
        <w:t xml:space="preserve"> i Podgorici prel</w:t>
      </w:r>
      <w:r w:rsidR="00C62700" w:rsidRPr="0033172A">
        <w:rPr>
          <w:rFonts w:ascii="Constantia" w:hAnsi="Constantia"/>
          <w:lang w:val="sr-Latn-CS"/>
        </w:rPr>
        <w:t>azi propisanu ciljnu vrijednost, ukazuju na veliki uticaj sagorijevanja</w:t>
      </w:r>
      <w:r w:rsidR="00CF7DBD" w:rsidRPr="0033172A">
        <w:rPr>
          <w:rFonts w:ascii="Constantia" w:hAnsi="Constantia"/>
          <w:lang w:val="sr-Latn-CS"/>
        </w:rPr>
        <w:t xml:space="preserve"> goriva na kvalitet vazduha.</w:t>
      </w:r>
    </w:p>
    <w:p w:rsidR="00823CFC" w:rsidRPr="0033172A" w:rsidRDefault="00823CFC" w:rsidP="00605CA5">
      <w:pPr>
        <w:rPr>
          <w:rFonts w:ascii="Constantia" w:hAnsi="Constantia"/>
          <w:lang w:val="sr-Latn-CS"/>
        </w:rPr>
      </w:pPr>
    </w:p>
    <w:p w:rsidR="007637D8" w:rsidRPr="0033172A" w:rsidRDefault="00214D16" w:rsidP="00605CA5">
      <w:pPr>
        <w:rPr>
          <w:rFonts w:ascii="Constantia" w:hAnsi="Constantia"/>
          <w:b/>
          <w:lang w:val="sr-Latn-CS"/>
        </w:rPr>
      </w:pPr>
      <w:r w:rsidRPr="0033172A">
        <w:rPr>
          <w:rFonts w:ascii="Constantia" w:hAnsi="Constantia"/>
          <w:b/>
          <w:lang w:val="sr-Latn-CS"/>
        </w:rPr>
        <w:t>Na k</w:t>
      </w:r>
      <w:r w:rsidR="007637D8" w:rsidRPr="0033172A">
        <w:rPr>
          <w:rFonts w:ascii="Constantia" w:hAnsi="Constantia"/>
          <w:b/>
          <w:lang w:val="sr-Latn-CS"/>
        </w:rPr>
        <w:t xml:space="preserve">valitet vazduha najviše </w:t>
      </w:r>
      <w:r w:rsidRPr="0033172A">
        <w:rPr>
          <w:rFonts w:ascii="Constantia" w:hAnsi="Constantia"/>
          <w:b/>
          <w:lang w:val="sr-Latn-CS"/>
        </w:rPr>
        <w:t>su</w:t>
      </w:r>
      <w:r w:rsidR="004F20C6">
        <w:rPr>
          <w:rFonts w:ascii="Constantia" w:hAnsi="Constantia"/>
          <w:b/>
          <w:lang w:val="sr-Latn-CS"/>
        </w:rPr>
        <w:t xml:space="preserve"> </w:t>
      </w:r>
      <w:r w:rsidRPr="0033172A">
        <w:rPr>
          <w:rFonts w:ascii="Constantia" w:hAnsi="Constantia"/>
          <w:b/>
          <w:lang w:val="sr-Latn-CS"/>
        </w:rPr>
        <w:t>uticale</w:t>
      </w:r>
      <w:r w:rsidR="004F20C6">
        <w:rPr>
          <w:rFonts w:ascii="Constantia" w:hAnsi="Constantia"/>
          <w:b/>
          <w:lang w:val="sr-Latn-CS"/>
        </w:rPr>
        <w:t xml:space="preserve"> </w:t>
      </w:r>
      <w:r w:rsidRPr="0033172A">
        <w:rPr>
          <w:rFonts w:ascii="Constantia" w:hAnsi="Constantia"/>
          <w:b/>
          <w:lang w:val="sr-Latn-CS"/>
        </w:rPr>
        <w:t>emisije</w:t>
      </w:r>
      <w:r w:rsidR="007637D8" w:rsidRPr="0033172A">
        <w:rPr>
          <w:rFonts w:ascii="Constantia" w:hAnsi="Constantia"/>
          <w:b/>
          <w:lang w:val="sr-Latn-CS"/>
        </w:rPr>
        <w:t xml:space="preserve"> koje su rezultat sagorijevanja goriva u velikim i malim ložištima</w:t>
      </w:r>
      <w:r w:rsidR="004F20C6">
        <w:rPr>
          <w:rFonts w:ascii="Constantia" w:hAnsi="Constantia"/>
          <w:b/>
          <w:lang w:val="sr-Latn-CS"/>
        </w:rPr>
        <w:t xml:space="preserve"> </w:t>
      </w:r>
      <w:r w:rsidR="00D849E0" w:rsidRPr="0033172A">
        <w:rPr>
          <w:rFonts w:ascii="Constantia" w:hAnsi="Constantia"/>
          <w:b/>
          <w:lang w:val="sr-Latn-CS"/>
        </w:rPr>
        <w:t>i u motorima sa unutrašnjim sagorijevanjem, emisije iz industrije</w:t>
      </w:r>
      <w:r w:rsidR="00533590" w:rsidRPr="0033172A">
        <w:rPr>
          <w:rFonts w:ascii="Constantia" w:hAnsi="Constantia"/>
          <w:b/>
          <w:lang w:val="sr-Latn-CS"/>
        </w:rPr>
        <w:t>, kao i nepovoljni meteorološki uslovi i veoma česta pojava stabilne atmosfere, temperaturnih inverzija uz visoki atmosferski pritisak</w:t>
      </w:r>
      <w:r w:rsidR="007637D8" w:rsidRPr="0033172A">
        <w:rPr>
          <w:rFonts w:ascii="Constantia" w:hAnsi="Constantia"/>
          <w:b/>
          <w:lang w:val="sr-Latn-CS"/>
        </w:rPr>
        <w:t xml:space="preserve">. </w:t>
      </w:r>
    </w:p>
    <w:p w:rsidR="00884F5B" w:rsidRPr="0033172A" w:rsidRDefault="00B60DB3" w:rsidP="00605CA5">
      <w:pPr>
        <w:rPr>
          <w:rFonts w:ascii="Constantia" w:hAnsi="Constantia"/>
          <w:b/>
          <w:lang w:val="sr-Latn-CS"/>
        </w:rPr>
      </w:pPr>
      <w:r w:rsidRPr="0033172A">
        <w:rPr>
          <w:rFonts w:ascii="Constantia" w:hAnsi="Constantia"/>
          <w:b/>
          <w:lang w:val="sr-Latn-CS"/>
        </w:rPr>
        <w:t>Tokom 2013</w:t>
      </w:r>
      <w:r w:rsidR="00884F5B" w:rsidRPr="0033172A">
        <w:rPr>
          <w:rFonts w:ascii="Constantia" w:hAnsi="Constantia"/>
          <w:b/>
          <w:lang w:val="sr-Latn-CS"/>
        </w:rPr>
        <w:t>. godine prekoračenja koncentracije PM čestica u odnosu na propisane vrijednosti evidenti</w:t>
      </w:r>
      <w:r w:rsidRPr="0033172A">
        <w:rPr>
          <w:rFonts w:ascii="Constantia" w:hAnsi="Constantia"/>
          <w:b/>
          <w:lang w:val="sr-Latn-CS"/>
        </w:rPr>
        <w:t xml:space="preserve">rana su u Pljevljima, Nikšiću, </w:t>
      </w:r>
      <w:r w:rsidR="00884F5B" w:rsidRPr="0033172A">
        <w:rPr>
          <w:rFonts w:ascii="Constantia" w:hAnsi="Constantia"/>
          <w:b/>
          <w:lang w:val="sr-Latn-CS"/>
        </w:rPr>
        <w:t>Podgorici</w:t>
      </w:r>
      <w:r w:rsidRPr="0033172A">
        <w:rPr>
          <w:rFonts w:ascii="Constantia" w:hAnsi="Constantia"/>
          <w:b/>
          <w:lang w:val="sr-Latn-CS"/>
        </w:rPr>
        <w:t xml:space="preserve"> i Baru</w:t>
      </w:r>
      <w:r w:rsidR="00884F5B" w:rsidRPr="0033172A">
        <w:rPr>
          <w:rFonts w:ascii="Constantia" w:hAnsi="Constantia"/>
          <w:b/>
          <w:lang w:val="sr-Latn-CS"/>
        </w:rPr>
        <w:t>. Prisustvo ovih čestica u koncentracijama iznad propisanih sa aspekta zaštite zdravlja najveće je u Pljevljima. Prekoračenja se najčešće dešavaju tokom sezone grijanja</w:t>
      </w:r>
      <w:r w:rsidRPr="0033172A">
        <w:rPr>
          <w:rFonts w:ascii="Constantia" w:hAnsi="Constantia"/>
          <w:b/>
          <w:lang w:val="sr-Latn-CS"/>
        </w:rPr>
        <w:t>. Evidentirane su niže srednje godišnje koncentracije ovog polutanta u odnosu na prethodne godine</w:t>
      </w:r>
      <w:r w:rsidR="00DC3107" w:rsidRPr="0033172A">
        <w:rPr>
          <w:rFonts w:ascii="Constantia" w:hAnsi="Constantia"/>
          <w:b/>
          <w:lang w:val="sr-Latn-CS"/>
        </w:rPr>
        <w:t xml:space="preserve"> na svim mjernim mjestima</w:t>
      </w:r>
      <w:r w:rsidRPr="0033172A">
        <w:rPr>
          <w:rFonts w:ascii="Constantia" w:hAnsi="Constantia"/>
          <w:b/>
          <w:lang w:val="sr-Latn-CS"/>
        </w:rPr>
        <w:t>.</w:t>
      </w:r>
    </w:p>
    <w:p w:rsidR="009D55E0" w:rsidRDefault="009D55E0" w:rsidP="00F07E3D">
      <w:pPr>
        <w:rPr>
          <w:b/>
          <w:lang w:val="sr-Latn-CS"/>
        </w:rPr>
      </w:pPr>
    </w:p>
    <w:p w:rsidR="009D55E0" w:rsidRDefault="009D55E0" w:rsidP="00F07E3D">
      <w:pPr>
        <w:rPr>
          <w:b/>
          <w:lang w:val="sr-Latn-CS"/>
        </w:rPr>
      </w:pPr>
    </w:p>
    <w:p w:rsidR="00963F65" w:rsidRDefault="00963F65" w:rsidP="00963F65">
      <w:pPr>
        <w:pStyle w:val="ListParagraph"/>
        <w:spacing w:after="40"/>
        <w:ind w:left="0"/>
        <w:jc w:val="center"/>
        <w:rPr>
          <w:rFonts w:ascii="Constantia" w:hAnsi="Constantia"/>
          <w:sz w:val="24"/>
          <w:lang w:val="sr-Latn-CS"/>
        </w:rPr>
      </w:pPr>
      <w:r>
        <w:rPr>
          <w:rFonts w:ascii="Constantia" w:hAnsi="Constantia"/>
          <w:sz w:val="24"/>
          <w:lang w:val="sr-Latn-CS"/>
        </w:rPr>
        <w:t>*</w:t>
      </w:r>
      <w:r>
        <w:rPr>
          <w:rFonts w:ascii="Constantia" w:hAnsi="Constantia"/>
          <w:sz w:val="24"/>
          <w:lang w:val="sr-Latn-CS"/>
        </w:rPr>
        <w:tab/>
        <w:t>*</w:t>
      </w:r>
      <w:r>
        <w:rPr>
          <w:rFonts w:ascii="Constantia" w:hAnsi="Constantia"/>
          <w:sz w:val="24"/>
          <w:lang w:val="sr-Latn-CS"/>
        </w:rPr>
        <w:tab/>
        <w:t>*</w:t>
      </w:r>
    </w:p>
    <w:p w:rsidR="00CD26F2" w:rsidRDefault="00CD26F2" w:rsidP="00963F65">
      <w:pPr>
        <w:jc w:val="center"/>
        <w:rPr>
          <w:lang w:val="sr-Latn-CS"/>
        </w:rPr>
      </w:pPr>
    </w:p>
    <w:p w:rsidR="005A5E89" w:rsidRDefault="005A5E89" w:rsidP="00CD26F2">
      <w:pPr>
        <w:rPr>
          <w:lang w:val="sr-Latn-CS"/>
        </w:rPr>
      </w:pPr>
    </w:p>
    <w:p w:rsidR="005A5E89" w:rsidRDefault="005A5E89" w:rsidP="00CD26F2">
      <w:pPr>
        <w:rPr>
          <w:lang w:val="sr-Latn-CS"/>
        </w:rPr>
      </w:pPr>
    </w:p>
    <w:p w:rsidR="005A5E89" w:rsidRDefault="005A5E89" w:rsidP="00CD26F2">
      <w:pPr>
        <w:rPr>
          <w:lang w:val="sr-Latn-CS"/>
        </w:rPr>
      </w:pPr>
    </w:p>
    <w:p w:rsidR="000C51CE" w:rsidRPr="000C51CE" w:rsidRDefault="000C51CE" w:rsidP="00E25DE9">
      <w:pPr>
        <w:pStyle w:val="Heading1"/>
        <w:spacing w:before="0"/>
      </w:pPr>
      <w:bookmarkStart w:id="20" w:name="_Toc322000730"/>
      <w:bookmarkStart w:id="21" w:name="_Toc294541920"/>
      <w:bookmarkStart w:id="22" w:name="_Toc393897866"/>
      <w:r w:rsidRPr="000C51CE">
        <w:lastRenderedPageBreak/>
        <w:t>KLIMATSKE PROMJENE</w:t>
      </w:r>
      <w:bookmarkEnd w:id="20"/>
      <w:bookmarkEnd w:id="22"/>
    </w:p>
    <w:p w:rsidR="000C51CE" w:rsidRPr="000C51CE" w:rsidRDefault="000C51CE" w:rsidP="00654F18">
      <w:pPr>
        <w:pStyle w:val="Heading2"/>
        <w:ind w:left="720"/>
      </w:pPr>
      <w:bookmarkStart w:id="23" w:name="_Toc322000732"/>
      <w:bookmarkStart w:id="24" w:name="_Toc321212325"/>
      <w:bookmarkStart w:id="25" w:name="_Toc393897867"/>
      <w:r w:rsidRPr="000C51CE">
        <w:t xml:space="preserve">Nacionalni </w:t>
      </w:r>
      <w:r w:rsidRPr="007468D3">
        <w:t>Inventar</w:t>
      </w:r>
      <w:r w:rsidRPr="000C51CE">
        <w:t xml:space="preserve"> gasova staklene </w:t>
      </w:r>
      <w:r w:rsidR="005D5AEC">
        <w:t>bašte za period</w:t>
      </w:r>
      <w:r w:rsidR="00501DBD">
        <w:t xml:space="preserve"> </w:t>
      </w:r>
      <w:r w:rsidR="00ED1C66">
        <w:t>1</w:t>
      </w:r>
      <w:r w:rsidRPr="000C51CE">
        <w:t>990-2011</w:t>
      </w:r>
      <w:bookmarkEnd w:id="23"/>
      <w:bookmarkEnd w:id="24"/>
      <w:bookmarkEnd w:id="25"/>
    </w:p>
    <w:p w:rsidR="000C51CE" w:rsidRPr="000C51CE" w:rsidRDefault="000C51CE" w:rsidP="00826489">
      <w:pPr>
        <w:rPr>
          <w:rFonts w:ascii="Constantia" w:hAnsi="Constantia"/>
          <w:lang w:val="sr-Latn-CS"/>
        </w:rPr>
      </w:pPr>
      <w:r w:rsidRPr="000C51CE">
        <w:rPr>
          <w:rFonts w:ascii="Constantia" w:hAnsi="Constantia"/>
          <w:lang w:val="sr-Latn-CS"/>
        </w:rPr>
        <w:t xml:space="preserve">Nacionalni inventar gasova sa efekom staklene bašte </w:t>
      </w:r>
      <w:r w:rsidRPr="000C51CE">
        <w:rPr>
          <w:rFonts w:ascii="Constantia" w:hAnsi="Constantia"/>
        </w:rPr>
        <w:t>(GHG</w:t>
      </w:r>
      <w:r w:rsidR="002C2D12">
        <w:rPr>
          <w:rFonts w:ascii="Constantia" w:hAnsi="Constantia"/>
        </w:rPr>
        <w:t xml:space="preserve"> </w:t>
      </w:r>
      <w:r w:rsidRPr="000C51CE">
        <w:rPr>
          <w:rFonts w:ascii="Constantia" w:hAnsi="Constantia"/>
        </w:rPr>
        <w:t xml:space="preserve">- Green House Gases) urađen je u skladu sa </w:t>
      </w:r>
      <w:r w:rsidRPr="000C51CE">
        <w:rPr>
          <w:rFonts w:ascii="Constantia" w:hAnsi="Constantia"/>
          <w:lang w:val="sr-Latn-CS"/>
        </w:rPr>
        <w:t>Revid</w:t>
      </w:r>
      <w:r w:rsidR="007A6E43">
        <w:rPr>
          <w:rFonts w:ascii="Constantia" w:hAnsi="Constantia"/>
          <w:lang w:val="sr-Latn-CS"/>
        </w:rPr>
        <w:t>ir</w:t>
      </w:r>
      <w:r w:rsidRPr="000C51CE">
        <w:rPr>
          <w:rFonts w:ascii="Constantia" w:hAnsi="Constantia"/>
          <w:lang w:val="sr-Latn-CS"/>
        </w:rPr>
        <w:t xml:space="preserve">anim priručnikom Međuvladinog panela o klimatskim promjenama iz 1996. godine (IPCC Guidelines for National GHG Inventories, Revised 1996) i Međuvladinim uputstvom dobre prakse i uputstvom o upravljanju nesigurnošću iz 2000. godine (Good Practice Guidance and Uncertainty Management in National GHG Inventories, 2000). </w:t>
      </w:r>
    </w:p>
    <w:p w:rsidR="000C51CE" w:rsidRPr="000C51CE" w:rsidRDefault="000C51CE" w:rsidP="00826489">
      <w:pPr>
        <w:rPr>
          <w:rFonts w:ascii="Constantia" w:hAnsi="Constantia"/>
          <w:lang w:val="sr-Latn-CS"/>
        </w:rPr>
      </w:pPr>
      <w:r w:rsidRPr="000C51CE">
        <w:rPr>
          <w:rFonts w:ascii="Constantia" w:hAnsi="Constantia"/>
          <w:lang w:val="sr-Latn-CS"/>
        </w:rPr>
        <w:t>Inventar GHG emisija je obuhvatio proračun emisija sl</w:t>
      </w:r>
      <w:r w:rsidR="0033172A">
        <w:rPr>
          <w:rFonts w:ascii="Constantia" w:hAnsi="Constantia"/>
          <w:lang w:val="sr-Latn-CS"/>
        </w:rPr>
        <w:t>edećih direktnih GHG: ugljenik</w:t>
      </w:r>
      <w:r w:rsidR="002C2D12">
        <w:rPr>
          <w:rFonts w:ascii="Constantia" w:hAnsi="Constantia"/>
          <w:lang w:val="sr-Latn-CS"/>
        </w:rPr>
        <w:t xml:space="preserve">(IV)oksid (CO2), metan (CH4), </w:t>
      </w:r>
      <w:r w:rsidRPr="000C51CE">
        <w:rPr>
          <w:rFonts w:ascii="Constantia" w:hAnsi="Constantia"/>
          <w:lang w:val="sr-Latn-CS"/>
        </w:rPr>
        <w:t>az</w:t>
      </w:r>
      <w:r w:rsidR="007A6E43">
        <w:rPr>
          <w:rFonts w:ascii="Constantia" w:hAnsi="Constantia"/>
          <w:lang w:val="sr-Latn-CS"/>
        </w:rPr>
        <w:t>ot</w:t>
      </w:r>
      <w:r w:rsidRPr="000C51CE">
        <w:rPr>
          <w:rFonts w:ascii="Constantia" w:hAnsi="Constantia"/>
          <w:lang w:val="sr-Latn-CS"/>
        </w:rPr>
        <w:t>(I)oksid (N2O), sintetičke gasove (fluorisana ugljenikova</w:t>
      </w:r>
      <w:r w:rsidR="0033172A">
        <w:rPr>
          <w:rFonts w:ascii="Constantia" w:hAnsi="Constantia"/>
          <w:lang w:val="sr-Latn-CS"/>
        </w:rPr>
        <w:t xml:space="preserve"> jedinjenja – HFC, PFC i sumpor</w:t>
      </w:r>
      <w:r w:rsidRPr="000C51CE">
        <w:rPr>
          <w:rFonts w:ascii="Constantia" w:hAnsi="Constantia"/>
          <w:lang w:val="sr-Latn-CS"/>
        </w:rPr>
        <w:t>(VI)fluorid - SF</w:t>
      </w:r>
      <w:r w:rsidRPr="003252A2">
        <w:rPr>
          <w:rFonts w:ascii="Constantia" w:hAnsi="Constantia"/>
          <w:vertAlign w:val="subscript"/>
          <w:lang w:val="sr-Latn-CS"/>
        </w:rPr>
        <w:t>6</w:t>
      </w:r>
      <w:r w:rsidRPr="000C51CE">
        <w:rPr>
          <w:rFonts w:ascii="Constantia" w:hAnsi="Constantia"/>
          <w:lang w:val="sr-Latn-CS"/>
        </w:rPr>
        <w:t>).</w:t>
      </w:r>
    </w:p>
    <w:p w:rsidR="000C51CE" w:rsidRPr="000C51CE" w:rsidRDefault="000C51CE" w:rsidP="00826489">
      <w:pPr>
        <w:rPr>
          <w:rFonts w:ascii="Constantia" w:hAnsi="Constantia"/>
          <w:lang w:val="sr-Latn-CS"/>
        </w:rPr>
      </w:pPr>
      <w:r w:rsidRPr="000C51CE">
        <w:rPr>
          <w:rFonts w:ascii="Constantia" w:hAnsi="Constantia"/>
          <w:lang w:val="sr-Latn-CS"/>
        </w:rPr>
        <w:t>Izvori i ponori emisija direktnih GHG podijeljeni su u šest glavnih sektora:</w:t>
      </w:r>
    </w:p>
    <w:p w:rsidR="000C51CE" w:rsidRPr="000C51CE" w:rsidRDefault="000C51CE" w:rsidP="00826489">
      <w:pPr>
        <w:spacing w:after="0"/>
        <w:rPr>
          <w:rFonts w:ascii="Constantia" w:hAnsi="Constantia"/>
          <w:lang w:val="sr-Latn-CS"/>
        </w:rPr>
      </w:pPr>
      <w:r w:rsidRPr="000C51CE">
        <w:rPr>
          <w:rFonts w:ascii="Constantia" w:hAnsi="Constantia"/>
          <w:lang w:val="sr-Latn-CS"/>
        </w:rPr>
        <w:t>1.</w:t>
      </w:r>
      <w:r w:rsidRPr="000C51CE">
        <w:rPr>
          <w:rFonts w:ascii="Constantia" w:hAnsi="Constantia"/>
          <w:lang w:val="sr-Latn-CS"/>
        </w:rPr>
        <w:tab/>
        <w:t>Energetika</w:t>
      </w:r>
    </w:p>
    <w:p w:rsidR="000C51CE" w:rsidRPr="000C51CE" w:rsidRDefault="000C51CE" w:rsidP="00826489">
      <w:pPr>
        <w:spacing w:after="0"/>
        <w:rPr>
          <w:rFonts w:ascii="Constantia" w:hAnsi="Constantia"/>
          <w:lang w:val="sr-Latn-CS"/>
        </w:rPr>
      </w:pPr>
      <w:r w:rsidRPr="000C51CE">
        <w:rPr>
          <w:rFonts w:ascii="Constantia" w:hAnsi="Constantia"/>
          <w:lang w:val="sr-Latn-CS"/>
        </w:rPr>
        <w:t>2.</w:t>
      </w:r>
      <w:r w:rsidRPr="000C51CE">
        <w:rPr>
          <w:rFonts w:ascii="Constantia" w:hAnsi="Constantia"/>
          <w:lang w:val="sr-Latn-CS"/>
        </w:rPr>
        <w:tab/>
        <w:t>Industrijski procesi</w:t>
      </w:r>
    </w:p>
    <w:p w:rsidR="000C51CE" w:rsidRPr="000C51CE" w:rsidRDefault="000C51CE" w:rsidP="00826489">
      <w:pPr>
        <w:spacing w:after="0"/>
        <w:rPr>
          <w:rFonts w:ascii="Constantia" w:hAnsi="Constantia"/>
          <w:lang w:val="sr-Latn-CS"/>
        </w:rPr>
      </w:pPr>
      <w:r w:rsidRPr="000C51CE">
        <w:rPr>
          <w:rFonts w:ascii="Constantia" w:hAnsi="Constantia"/>
          <w:lang w:val="sr-Latn-CS"/>
        </w:rPr>
        <w:t>3.</w:t>
      </w:r>
      <w:r w:rsidRPr="000C51CE">
        <w:rPr>
          <w:rFonts w:ascii="Constantia" w:hAnsi="Constantia"/>
          <w:lang w:val="sr-Latn-CS"/>
        </w:rPr>
        <w:tab/>
        <w:t>Upotreba rastvarača</w:t>
      </w:r>
    </w:p>
    <w:p w:rsidR="000C51CE" w:rsidRPr="000C51CE" w:rsidRDefault="000C51CE" w:rsidP="00826489">
      <w:pPr>
        <w:spacing w:after="0"/>
        <w:rPr>
          <w:rFonts w:ascii="Constantia" w:hAnsi="Constantia"/>
          <w:lang w:val="sr-Latn-CS"/>
        </w:rPr>
      </w:pPr>
      <w:r w:rsidRPr="000C51CE">
        <w:rPr>
          <w:rFonts w:ascii="Constantia" w:hAnsi="Constantia"/>
          <w:lang w:val="sr-Latn-CS"/>
        </w:rPr>
        <w:t>4.</w:t>
      </w:r>
      <w:r w:rsidRPr="000C51CE">
        <w:rPr>
          <w:rFonts w:ascii="Constantia" w:hAnsi="Constantia"/>
          <w:lang w:val="sr-Latn-CS"/>
        </w:rPr>
        <w:tab/>
        <w:t>Poljoprivreda</w:t>
      </w:r>
    </w:p>
    <w:p w:rsidR="000C51CE" w:rsidRPr="000C51CE" w:rsidRDefault="007A6E43" w:rsidP="00826489">
      <w:pPr>
        <w:spacing w:after="0"/>
        <w:rPr>
          <w:rFonts w:ascii="Constantia" w:hAnsi="Constantia"/>
          <w:lang w:val="sr-Latn-CS"/>
        </w:rPr>
      </w:pPr>
      <w:r>
        <w:rPr>
          <w:rFonts w:ascii="Constantia" w:hAnsi="Constantia"/>
          <w:lang w:val="sr-Latn-CS"/>
        </w:rPr>
        <w:t>5.</w:t>
      </w:r>
      <w:r>
        <w:rPr>
          <w:rFonts w:ascii="Constantia" w:hAnsi="Constantia"/>
          <w:lang w:val="sr-Latn-CS"/>
        </w:rPr>
        <w:tab/>
        <w:t>Promjena korišćenja</w:t>
      </w:r>
      <w:r w:rsidR="000C51CE" w:rsidRPr="000C51CE">
        <w:rPr>
          <w:rFonts w:ascii="Constantia" w:hAnsi="Constantia"/>
          <w:lang w:val="sr-Latn-CS"/>
        </w:rPr>
        <w:t xml:space="preserve"> zemljišta i šumarstvo</w:t>
      </w:r>
    </w:p>
    <w:p w:rsidR="000C51CE" w:rsidRPr="000C51CE" w:rsidRDefault="000C51CE" w:rsidP="00826489">
      <w:pPr>
        <w:rPr>
          <w:rFonts w:ascii="Constantia" w:hAnsi="Constantia"/>
          <w:lang w:val="sr-Latn-CS"/>
        </w:rPr>
      </w:pPr>
      <w:r w:rsidRPr="000C51CE">
        <w:rPr>
          <w:rFonts w:ascii="Constantia" w:hAnsi="Constantia"/>
          <w:lang w:val="sr-Latn-CS"/>
        </w:rPr>
        <w:t>6.</w:t>
      </w:r>
      <w:r w:rsidRPr="000C51CE">
        <w:rPr>
          <w:rFonts w:ascii="Constantia" w:hAnsi="Constantia"/>
          <w:lang w:val="sr-Latn-CS"/>
        </w:rPr>
        <w:tab/>
        <w:t>Otpad</w:t>
      </w:r>
      <w:r w:rsidR="00B61973">
        <w:rPr>
          <w:rFonts w:ascii="Constantia" w:hAnsi="Constantia"/>
          <w:lang w:val="sr-Latn-CS"/>
        </w:rPr>
        <w:t>.</w:t>
      </w:r>
    </w:p>
    <w:p w:rsidR="000C51CE" w:rsidRPr="000C51CE" w:rsidRDefault="000C51CE" w:rsidP="00826489">
      <w:pPr>
        <w:rPr>
          <w:rFonts w:ascii="Constantia" w:hAnsi="Constantia"/>
          <w:lang w:val="sr-Latn-CS"/>
        </w:rPr>
      </w:pPr>
      <w:r w:rsidRPr="000C51CE">
        <w:rPr>
          <w:rFonts w:ascii="Constantia" w:hAnsi="Constantia"/>
          <w:lang w:val="sr-Latn-CS"/>
        </w:rPr>
        <w:t>Metodologija izrade Inventara odnosi se na obradu godišnjih podataka o emisijama gasova, a istraživani interval je 1990-2011. godine. Teritorijalni nivo je ukupna teritorija Crne Gore, što je i uslov kod izvještavanja prema Okvirnoj konvenciji Ujedinjenih nacija o klimatskim promjenama (UNFCCC).</w:t>
      </w:r>
    </w:p>
    <w:p w:rsidR="000C51CE" w:rsidRDefault="000C51CE" w:rsidP="00826489">
      <w:pPr>
        <w:rPr>
          <w:rFonts w:ascii="Constantia" w:hAnsi="Constantia"/>
        </w:rPr>
      </w:pPr>
      <w:r w:rsidRPr="000C51CE">
        <w:rPr>
          <w:rFonts w:ascii="Constantia" w:hAnsi="Constantia"/>
          <w:lang w:val="sr-Latn-CS"/>
        </w:rPr>
        <w:t xml:space="preserve">Na </w:t>
      </w:r>
      <w:r w:rsidR="00B65D23" w:rsidRPr="00393B71">
        <w:rPr>
          <w:rFonts w:ascii="Constantia" w:hAnsi="Constantia"/>
          <w:i/>
        </w:rPr>
        <w:t>G</w:t>
      </w:r>
      <w:r w:rsidRPr="00393B71">
        <w:rPr>
          <w:rFonts w:ascii="Constantia" w:hAnsi="Constantia"/>
          <w:i/>
        </w:rPr>
        <w:t>rafikonu 1</w:t>
      </w:r>
      <w:r w:rsidR="00B65D23" w:rsidRPr="00393B71">
        <w:rPr>
          <w:rFonts w:ascii="Constantia" w:hAnsi="Constantia"/>
          <w:i/>
        </w:rPr>
        <w:t>7.</w:t>
      </w:r>
      <w:r w:rsidR="00A6083F">
        <w:rPr>
          <w:rFonts w:ascii="Constantia" w:hAnsi="Constantia"/>
          <w:i/>
        </w:rPr>
        <w:t xml:space="preserve"> </w:t>
      </w:r>
      <w:r w:rsidRPr="000C51CE">
        <w:rPr>
          <w:rFonts w:ascii="Constantia" w:hAnsi="Constantia"/>
        </w:rPr>
        <w:t>prikazan je trend CO</w:t>
      </w:r>
      <w:r w:rsidRPr="000C51CE">
        <w:rPr>
          <w:rFonts w:ascii="Constantia" w:hAnsi="Constantia"/>
          <w:vertAlign w:val="subscript"/>
        </w:rPr>
        <w:t>2</w:t>
      </w:r>
      <w:r w:rsidRPr="000C51CE">
        <w:rPr>
          <w:rFonts w:ascii="Constantia" w:hAnsi="Constantia"/>
        </w:rPr>
        <w:t xml:space="preserve"> emisija po sektorima za period 1990-2011. Energetski sektor usled sagorijevanja goriva ima najveći udio u u</w:t>
      </w:r>
      <w:r w:rsidR="00007111">
        <w:rPr>
          <w:rFonts w:ascii="Constantia" w:hAnsi="Constantia"/>
        </w:rPr>
        <w:t>kupnim emisijama CO2 (85,5-96,7</w:t>
      </w:r>
      <w:r w:rsidRPr="000C51CE">
        <w:rPr>
          <w:rFonts w:ascii="Constantia" w:hAnsi="Constantia"/>
        </w:rPr>
        <w:t xml:space="preserve">%). Industrijski procesi i proizvodnja manjim dijelom utiču </w:t>
      </w:r>
      <w:r w:rsidR="00007111">
        <w:rPr>
          <w:rFonts w:ascii="Constantia" w:hAnsi="Constantia"/>
        </w:rPr>
        <w:t>na ukupne emisije CO2 (3,3-14,5</w:t>
      </w:r>
      <w:r w:rsidRPr="000C51CE">
        <w:rPr>
          <w:rFonts w:ascii="Constantia" w:hAnsi="Constantia"/>
        </w:rPr>
        <w:t>%), dok ostali sektori gotovo da nemaju doprinos.</w:t>
      </w:r>
    </w:p>
    <w:p w:rsidR="00826489" w:rsidRPr="000C51CE" w:rsidRDefault="00826489" w:rsidP="00826489">
      <w:pPr>
        <w:rPr>
          <w:rFonts w:ascii="Constantia" w:hAnsi="Constantia"/>
        </w:rPr>
      </w:pPr>
    </w:p>
    <w:p w:rsidR="000C51CE" w:rsidRPr="000C51CE" w:rsidRDefault="000C51CE" w:rsidP="00697C70">
      <w:pPr>
        <w:spacing w:after="0" w:line="276" w:lineRule="auto"/>
        <w:ind w:firstLine="720"/>
        <w:jc w:val="left"/>
        <w:rPr>
          <w:rFonts w:ascii="Constantia" w:hAnsi="Constantia"/>
        </w:rPr>
      </w:pPr>
      <w:r w:rsidRPr="000C51CE">
        <w:rPr>
          <w:noProof/>
        </w:rPr>
        <w:drawing>
          <wp:inline distT="0" distB="0" distL="0" distR="0" wp14:anchorId="5EAEB2BF" wp14:editId="6F0C36EE">
            <wp:extent cx="5041127" cy="1987826"/>
            <wp:effectExtent l="0" t="0" r="7620" b="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0C51CE" w:rsidRDefault="000C51CE" w:rsidP="00EA585C">
      <w:pPr>
        <w:pStyle w:val="Grafikon"/>
        <w:rPr>
          <w:rFonts w:ascii="Constantia" w:hAnsi="Constantia"/>
          <w:sz w:val="22"/>
          <w:szCs w:val="22"/>
        </w:rPr>
      </w:pPr>
      <w:r w:rsidRPr="00007111">
        <w:rPr>
          <w:rFonts w:ascii="Constantia" w:hAnsi="Constantia"/>
          <w:sz w:val="22"/>
          <w:szCs w:val="22"/>
        </w:rPr>
        <w:t>Emisije CO</w:t>
      </w:r>
      <w:r w:rsidRPr="00007111">
        <w:rPr>
          <w:rFonts w:ascii="Constantia" w:hAnsi="Constantia"/>
          <w:sz w:val="22"/>
          <w:szCs w:val="22"/>
          <w:vertAlign w:val="subscript"/>
        </w:rPr>
        <w:t>2</w:t>
      </w:r>
      <w:r w:rsidR="00697C70" w:rsidRPr="00007111">
        <w:rPr>
          <w:rFonts w:ascii="Constantia" w:hAnsi="Constantia"/>
          <w:sz w:val="22"/>
          <w:szCs w:val="22"/>
        </w:rPr>
        <w:t xml:space="preserve"> iz ekonomskih sektora, 1990-2011 </w:t>
      </w:r>
      <w:r w:rsidRPr="00007111">
        <w:rPr>
          <w:rFonts w:ascii="Constantia" w:hAnsi="Constantia"/>
          <w:sz w:val="22"/>
          <w:szCs w:val="22"/>
        </w:rPr>
        <w:t>(Gg)</w:t>
      </w:r>
    </w:p>
    <w:p w:rsidR="00826489" w:rsidRPr="00007111" w:rsidRDefault="00826489" w:rsidP="00826489">
      <w:pPr>
        <w:pStyle w:val="Grafikon"/>
        <w:numPr>
          <w:ilvl w:val="0"/>
          <w:numId w:val="0"/>
        </w:numPr>
        <w:ind w:left="360"/>
        <w:jc w:val="both"/>
        <w:rPr>
          <w:rFonts w:ascii="Constantia" w:hAnsi="Constantia"/>
          <w:sz w:val="22"/>
          <w:szCs w:val="22"/>
        </w:rPr>
      </w:pPr>
    </w:p>
    <w:p w:rsidR="000C51CE" w:rsidRDefault="00697C70" w:rsidP="00FC36EA">
      <w:pPr>
        <w:rPr>
          <w:rFonts w:ascii="Constantia" w:hAnsi="Constantia"/>
          <w:lang w:val="sr-Latn-CS"/>
        </w:rPr>
      </w:pPr>
      <w:r>
        <w:rPr>
          <w:rFonts w:ascii="Constantia" w:hAnsi="Constantia"/>
          <w:lang w:val="sr-Latn-CS"/>
        </w:rPr>
        <w:lastRenderedPageBreak/>
        <w:t xml:space="preserve">Na </w:t>
      </w:r>
      <w:r w:rsidRPr="00393B71">
        <w:rPr>
          <w:rFonts w:ascii="Constantia" w:hAnsi="Constantia"/>
          <w:i/>
          <w:lang w:val="sr-Latn-CS"/>
        </w:rPr>
        <w:t>G</w:t>
      </w:r>
      <w:r w:rsidR="000C51CE" w:rsidRPr="00393B71">
        <w:rPr>
          <w:rFonts w:ascii="Constantia" w:hAnsi="Constantia"/>
          <w:i/>
          <w:lang w:val="sr-Latn-CS"/>
        </w:rPr>
        <w:t>rafik</w:t>
      </w:r>
      <w:r w:rsidRPr="00393B71">
        <w:rPr>
          <w:rFonts w:ascii="Constantia" w:hAnsi="Constantia"/>
          <w:i/>
          <w:lang w:val="sr-Latn-CS"/>
        </w:rPr>
        <w:t>onu 18.</w:t>
      </w:r>
      <w:r w:rsidR="000C51CE" w:rsidRPr="000C51CE">
        <w:rPr>
          <w:rFonts w:ascii="Constantia" w:hAnsi="Constantia"/>
          <w:lang w:val="sr-Latn-CS"/>
        </w:rPr>
        <w:t xml:space="preserve"> prikazan je trend CH</w:t>
      </w:r>
      <w:r w:rsidR="000C51CE" w:rsidRPr="000C51CE">
        <w:rPr>
          <w:rFonts w:ascii="Constantia" w:hAnsi="Constantia"/>
          <w:vertAlign w:val="subscript"/>
          <w:lang w:val="sr-Latn-CS"/>
        </w:rPr>
        <w:t>4</w:t>
      </w:r>
      <w:r w:rsidR="000C51CE" w:rsidRPr="000C51CE">
        <w:rPr>
          <w:rFonts w:ascii="Constantia" w:hAnsi="Constantia"/>
          <w:lang w:val="sr-Latn-CS"/>
        </w:rPr>
        <w:t xml:space="preserve"> emisija po sektorima za period 1990-2011. Najveći udio u ukupnim emisijama CH</w:t>
      </w:r>
      <w:r w:rsidR="000C51CE" w:rsidRPr="000C51CE">
        <w:rPr>
          <w:rFonts w:ascii="Constantia" w:hAnsi="Constantia"/>
          <w:vertAlign w:val="subscript"/>
          <w:lang w:val="sr-Latn-CS"/>
        </w:rPr>
        <w:t xml:space="preserve">4 </w:t>
      </w:r>
      <w:r w:rsidR="000C51CE" w:rsidRPr="000C51CE">
        <w:rPr>
          <w:rFonts w:ascii="Constantia" w:hAnsi="Constantia"/>
          <w:lang w:val="sr-Latn-CS"/>
        </w:rPr>
        <w:t>ima poljoprivreda (53-70%), slijede sektori otpada (17-25%) i energetike (9-24%).</w:t>
      </w:r>
    </w:p>
    <w:p w:rsidR="00FC36EA" w:rsidRDefault="00FC36EA" w:rsidP="008B384D">
      <w:pPr>
        <w:spacing w:after="0"/>
        <w:rPr>
          <w:rFonts w:ascii="Constantia" w:hAnsi="Constantia"/>
          <w:lang w:val="sr-Latn-CS"/>
        </w:rPr>
      </w:pPr>
    </w:p>
    <w:p w:rsidR="000C51CE" w:rsidRPr="000C51CE" w:rsidRDefault="000C51CE" w:rsidP="000C51CE">
      <w:pPr>
        <w:jc w:val="center"/>
        <w:rPr>
          <w:rFonts w:ascii="Constantia" w:hAnsi="Constantia"/>
          <w:sz w:val="24"/>
          <w:lang w:val="sr-Latn-CS"/>
        </w:rPr>
      </w:pPr>
      <w:r w:rsidRPr="000C51CE">
        <w:rPr>
          <w:noProof/>
        </w:rPr>
        <w:drawing>
          <wp:inline distT="0" distB="0" distL="0" distR="0" wp14:anchorId="42A437BB" wp14:editId="30FAD0BC">
            <wp:extent cx="5038725" cy="1800225"/>
            <wp:effectExtent l="0" t="0" r="0" b="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0C51CE" w:rsidRPr="00007111" w:rsidRDefault="000C51CE" w:rsidP="00EA585C">
      <w:pPr>
        <w:pStyle w:val="Grafikon"/>
        <w:rPr>
          <w:rFonts w:ascii="Constantia" w:hAnsi="Constantia"/>
          <w:sz w:val="22"/>
          <w:szCs w:val="22"/>
        </w:rPr>
      </w:pPr>
      <w:r w:rsidRPr="00007111">
        <w:rPr>
          <w:rFonts w:ascii="Constantia" w:hAnsi="Constantia"/>
          <w:sz w:val="22"/>
          <w:szCs w:val="22"/>
        </w:rPr>
        <w:t xml:space="preserve">Emisije </w:t>
      </w:r>
      <w:r w:rsidR="00697C70" w:rsidRPr="00007111">
        <w:rPr>
          <w:rFonts w:ascii="Constantia" w:hAnsi="Constantia"/>
          <w:sz w:val="22"/>
          <w:szCs w:val="22"/>
        </w:rPr>
        <w:t>CH</w:t>
      </w:r>
      <w:r w:rsidR="00697C70" w:rsidRPr="00007111">
        <w:rPr>
          <w:rFonts w:ascii="Constantia" w:hAnsi="Constantia"/>
          <w:sz w:val="22"/>
          <w:szCs w:val="22"/>
          <w:vertAlign w:val="subscript"/>
        </w:rPr>
        <w:t>4</w:t>
      </w:r>
      <w:r w:rsidR="00697C70" w:rsidRPr="00007111">
        <w:rPr>
          <w:rFonts w:ascii="Constantia" w:hAnsi="Constantia"/>
          <w:sz w:val="22"/>
          <w:szCs w:val="22"/>
        </w:rPr>
        <w:t xml:space="preserve"> iz ekonomskih sektora, 1990</w:t>
      </w:r>
      <w:r w:rsidRPr="00007111">
        <w:rPr>
          <w:rFonts w:ascii="Constantia" w:hAnsi="Constantia"/>
          <w:sz w:val="22"/>
          <w:szCs w:val="22"/>
        </w:rPr>
        <w:t>-2011 (Gg)</w:t>
      </w:r>
    </w:p>
    <w:p w:rsidR="00393B71" w:rsidRPr="000C51CE" w:rsidRDefault="00393B71" w:rsidP="00393B71">
      <w:pPr>
        <w:pStyle w:val="Grafikon"/>
        <w:numPr>
          <w:ilvl w:val="0"/>
          <w:numId w:val="0"/>
        </w:numPr>
        <w:spacing w:after="0"/>
        <w:jc w:val="both"/>
      </w:pPr>
    </w:p>
    <w:p w:rsidR="00826489" w:rsidRDefault="00393B71" w:rsidP="00FC36EA">
      <w:pPr>
        <w:rPr>
          <w:rFonts w:ascii="Constantia" w:hAnsi="Constantia"/>
          <w:lang w:val="sr-Latn-CS"/>
        </w:rPr>
      </w:pPr>
      <w:r>
        <w:rPr>
          <w:rFonts w:ascii="Constantia" w:hAnsi="Constantia"/>
          <w:lang w:val="sr-Latn-CS"/>
        </w:rPr>
        <w:t xml:space="preserve">Na </w:t>
      </w:r>
      <w:r w:rsidRPr="00393B71">
        <w:rPr>
          <w:rFonts w:ascii="Constantia" w:hAnsi="Constantia"/>
          <w:i/>
          <w:lang w:val="sr-Latn-CS"/>
        </w:rPr>
        <w:t>Grafikonu 19.</w:t>
      </w:r>
      <w:r w:rsidR="000C51CE" w:rsidRPr="000C51CE">
        <w:rPr>
          <w:rFonts w:ascii="Constantia" w:hAnsi="Constantia"/>
          <w:lang w:val="sr-Latn-CS"/>
        </w:rPr>
        <w:t xml:space="preserve"> prikazan je trend N</w:t>
      </w:r>
      <w:r w:rsidR="000C51CE" w:rsidRPr="000C51CE">
        <w:rPr>
          <w:rFonts w:ascii="Constantia" w:hAnsi="Constantia"/>
          <w:vertAlign w:val="subscript"/>
          <w:lang w:val="sr-Latn-CS"/>
        </w:rPr>
        <w:t>2</w:t>
      </w:r>
      <w:r w:rsidR="000C51CE" w:rsidRPr="000C51CE">
        <w:rPr>
          <w:rFonts w:ascii="Constantia" w:hAnsi="Constantia"/>
          <w:lang w:val="sr-Latn-CS"/>
        </w:rPr>
        <w:t>O emisija po sektorima za period 1990-2011. Najveći udio u N2O emisija</w:t>
      </w:r>
      <w:r>
        <w:rPr>
          <w:rFonts w:ascii="Constantia" w:hAnsi="Constantia"/>
          <w:lang w:val="sr-Latn-CS"/>
        </w:rPr>
        <w:t>ma ima sektor poljoprivrede usl</w:t>
      </w:r>
      <w:r w:rsidR="000C51CE" w:rsidRPr="000C51CE">
        <w:rPr>
          <w:rFonts w:ascii="Constantia" w:hAnsi="Constantia"/>
          <w:lang w:val="sr-Latn-CS"/>
        </w:rPr>
        <w:t>ed potrošnje azotnih đubriva (83-97%), slijedi sektor energetike (3-17%)</w:t>
      </w:r>
      <w:r w:rsidR="008B384D">
        <w:rPr>
          <w:rFonts w:ascii="Constantia" w:hAnsi="Constantia"/>
          <w:lang w:val="sr-Latn-CS"/>
        </w:rPr>
        <w:t>,</w:t>
      </w:r>
      <w:r w:rsidR="000C51CE" w:rsidRPr="000C51CE">
        <w:rPr>
          <w:rFonts w:ascii="Constantia" w:hAnsi="Constantia"/>
          <w:lang w:val="sr-Latn-CS"/>
        </w:rPr>
        <w:t xml:space="preserve"> dok je doprinos ostalih sektora zanemarljiv.</w:t>
      </w:r>
    </w:p>
    <w:p w:rsidR="00FC36EA" w:rsidRPr="000C51CE" w:rsidRDefault="00FC36EA" w:rsidP="00E062AC">
      <w:pPr>
        <w:spacing w:after="0"/>
        <w:rPr>
          <w:rFonts w:ascii="Constantia" w:hAnsi="Constantia"/>
          <w:lang w:val="sr-Latn-CS"/>
        </w:rPr>
      </w:pPr>
    </w:p>
    <w:p w:rsidR="000C51CE" w:rsidRPr="000C51CE" w:rsidRDefault="000C51CE" w:rsidP="000C51CE">
      <w:pPr>
        <w:jc w:val="center"/>
        <w:rPr>
          <w:rFonts w:ascii="Constantia" w:hAnsi="Constantia"/>
          <w:sz w:val="24"/>
        </w:rPr>
      </w:pPr>
      <w:r w:rsidRPr="000C51CE">
        <w:rPr>
          <w:noProof/>
        </w:rPr>
        <w:drawing>
          <wp:inline distT="0" distB="0" distL="0" distR="0" wp14:anchorId="212680EF" wp14:editId="5D2D12FC">
            <wp:extent cx="5038725" cy="1762125"/>
            <wp:effectExtent l="0" t="0" r="0" b="0"/>
            <wp:docPr id="8192"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0C51CE" w:rsidRDefault="000C51CE" w:rsidP="00EA585C">
      <w:pPr>
        <w:pStyle w:val="Grafikon"/>
        <w:rPr>
          <w:rFonts w:ascii="Constantia" w:hAnsi="Constantia"/>
          <w:sz w:val="22"/>
          <w:szCs w:val="22"/>
        </w:rPr>
      </w:pPr>
      <w:r w:rsidRPr="002B46B5">
        <w:rPr>
          <w:rFonts w:ascii="Constantia" w:hAnsi="Constantia"/>
          <w:sz w:val="22"/>
          <w:szCs w:val="22"/>
        </w:rPr>
        <w:t>Emisije N</w:t>
      </w:r>
      <w:r w:rsidRPr="002B46B5">
        <w:rPr>
          <w:rFonts w:ascii="Constantia" w:hAnsi="Constantia"/>
          <w:sz w:val="22"/>
          <w:szCs w:val="22"/>
          <w:vertAlign w:val="subscript"/>
        </w:rPr>
        <w:t>2</w:t>
      </w:r>
      <w:r w:rsidR="00393B71" w:rsidRPr="002B46B5">
        <w:rPr>
          <w:rFonts w:ascii="Constantia" w:hAnsi="Constantia"/>
          <w:sz w:val="22"/>
          <w:szCs w:val="22"/>
        </w:rPr>
        <w:t>O iz ekonomskih sektora, 1990</w:t>
      </w:r>
      <w:r w:rsidRPr="002B46B5">
        <w:rPr>
          <w:rFonts w:ascii="Constantia" w:hAnsi="Constantia"/>
          <w:sz w:val="22"/>
          <w:szCs w:val="22"/>
        </w:rPr>
        <w:t>-2011 (Gg)</w:t>
      </w:r>
    </w:p>
    <w:p w:rsidR="00826489" w:rsidRPr="002B46B5" w:rsidRDefault="00826489" w:rsidP="00826489">
      <w:pPr>
        <w:pStyle w:val="Grafikon"/>
        <w:numPr>
          <w:ilvl w:val="0"/>
          <w:numId w:val="0"/>
        </w:numPr>
        <w:spacing w:after="0"/>
        <w:ind w:left="360"/>
        <w:jc w:val="both"/>
        <w:rPr>
          <w:rFonts w:ascii="Constantia" w:hAnsi="Constantia"/>
          <w:sz w:val="22"/>
          <w:szCs w:val="22"/>
        </w:rPr>
      </w:pPr>
    </w:p>
    <w:p w:rsidR="000C51CE" w:rsidRDefault="00F22849" w:rsidP="00FC36EA">
      <w:pPr>
        <w:rPr>
          <w:rFonts w:ascii="Constantia" w:hAnsi="Constantia"/>
        </w:rPr>
      </w:pPr>
      <w:r>
        <w:rPr>
          <w:rFonts w:ascii="Constantia" w:hAnsi="Constantia"/>
          <w:i/>
        </w:rPr>
        <w:t>Grafikonima 20.</w:t>
      </w:r>
      <w:r w:rsidR="00E062AC">
        <w:rPr>
          <w:rFonts w:ascii="Constantia" w:hAnsi="Constantia"/>
          <w:i/>
        </w:rPr>
        <w:t xml:space="preserve">i </w:t>
      </w:r>
      <w:r>
        <w:rPr>
          <w:rFonts w:ascii="Constantia" w:hAnsi="Constantia"/>
          <w:i/>
        </w:rPr>
        <w:t>21.</w:t>
      </w:r>
      <w:r w:rsidR="00E062AC">
        <w:rPr>
          <w:rFonts w:ascii="Constantia" w:hAnsi="Constantia"/>
          <w:i/>
        </w:rPr>
        <w:t xml:space="preserve"> </w:t>
      </w:r>
      <w:r w:rsidR="000C51CE" w:rsidRPr="000C51CE">
        <w:rPr>
          <w:rFonts w:ascii="Constantia" w:hAnsi="Constantia"/>
        </w:rPr>
        <w:t>prikazane su ukupne emisije sintetičkih gasova CF</w:t>
      </w:r>
      <w:r w:rsidR="000C51CE" w:rsidRPr="000C51CE">
        <w:rPr>
          <w:rFonts w:ascii="Constantia" w:hAnsi="Constantia"/>
          <w:vertAlign w:val="subscript"/>
        </w:rPr>
        <w:t>4</w:t>
      </w:r>
      <w:r w:rsidR="000C51CE" w:rsidRPr="000C51CE">
        <w:rPr>
          <w:rFonts w:ascii="Constantia" w:hAnsi="Constantia"/>
        </w:rPr>
        <w:t xml:space="preserve"> i C</w:t>
      </w:r>
      <w:r w:rsidR="000C51CE" w:rsidRPr="000C51CE">
        <w:rPr>
          <w:rFonts w:ascii="Constantia" w:hAnsi="Constantia"/>
          <w:vertAlign w:val="subscript"/>
        </w:rPr>
        <w:t>2</w:t>
      </w:r>
      <w:r w:rsidR="000C51CE" w:rsidRPr="000C51CE">
        <w:rPr>
          <w:rFonts w:ascii="Constantia" w:hAnsi="Constantia"/>
        </w:rPr>
        <w:t>F</w:t>
      </w:r>
      <w:r w:rsidR="000C51CE" w:rsidRPr="000C51CE">
        <w:rPr>
          <w:rFonts w:ascii="Constantia" w:hAnsi="Constantia"/>
          <w:vertAlign w:val="subscript"/>
        </w:rPr>
        <w:t>6</w:t>
      </w:r>
      <w:r w:rsidR="000C51CE" w:rsidRPr="000C51CE">
        <w:rPr>
          <w:rFonts w:ascii="Constantia" w:hAnsi="Constantia"/>
        </w:rPr>
        <w:t xml:space="preserve"> koji se u Crnoj Gori vezuju isključivo za proizvodnju aluminijuma u KAP-u. Nivo emisija ovih gasova zavisi od obima proizvodnje aluminijuma, broja i dužine trajanja anodnih efekata.</w:t>
      </w:r>
    </w:p>
    <w:p w:rsidR="00FC36EA" w:rsidRPr="000C51CE" w:rsidRDefault="00FC36EA" w:rsidP="00014A43">
      <w:pPr>
        <w:spacing w:after="0"/>
        <w:rPr>
          <w:rFonts w:ascii="Constantia" w:hAnsi="Constantia"/>
        </w:rPr>
      </w:pPr>
    </w:p>
    <w:p w:rsidR="000C51CE" w:rsidRPr="000C51CE" w:rsidRDefault="000C51CE" w:rsidP="000C51CE">
      <w:pPr>
        <w:jc w:val="center"/>
        <w:rPr>
          <w:rFonts w:ascii="Constantia" w:hAnsi="Constantia"/>
        </w:rPr>
      </w:pPr>
      <w:r w:rsidRPr="000C51CE">
        <w:rPr>
          <w:noProof/>
        </w:rPr>
        <w:drawing>
          <wp:inline distT="0" distB="0" distL="0" distR="0" wp14:anchorId="253E364C" wp14:editId="5EB5D8E6">
            <wp:extent cx="5041127" cy="1717481"/>
            <wp:effectExtent l="0" t="0" r="0" b="0"/>
            <wp:docPr id="8193"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0C51CE" w:rsidRPr="002B46B5" w:rsidRDefault="000C51CE" w:rsidP="00EA585C">
      <w:pPr>
        <w:pStyle w:val="Grafikon"/>
        <w:rPr>
          <w:rFonts w:ascii="Constantia" w:hAnsi="Constantia"/>
          <w:sz w:val="22"/>
          <w:szCs w:val="22"/>
        </w:rPr>
      </w:pPr>
      <w:r w:rsidRPr="002B46B5">
        <w:rPr>
          <w:rFonts w:ascii="Constantia" w:hAnsi="Constantia"/>
          <w:sz w:val="22"/>
          <w:szCs w:val="22"/>
        </w:rPr>
        <w:t>Emisije CF</w:t>
      </w:r>
      <w:r w:rsidRPr="002B46B5">
        <w:rPr>
          <w:rFonts w:ascii="Constantia" w:hAnsi="Constantia"/>
          <w:sz w:val="22"/>
          <w:szCs w:val="22"/>
          <w:vertAlign w:val="subscript"/>
        </w:rPr>
        <w:t>4</w:t>
      </w:r>
      <w:r w:rsidRPr="002B46B5">
        <w:rPr>
          <w:rFonts w:ascii="Constantia" w:hAnsi="Constantia"/>
          <w:sz w:val="22"/>
          <w:szCs w:val="22"/>
        </w:rPr>
        <w:t xml:space="preserve"> iz</w:t>
      </w:r>
      <w:r w:rsidR="00F22849" w:rsidRPr="002B46B5">
        <w:rPr>
          <w:rFonts w:ascii="Constantia" w:hAnsi="Constantia"/>
          <w:sz w:val="22"/>
          <w:szCs w:val="22"/>
        </w:rPr>
        <w:t xml:space="preserve"> ekonomskih sektora, 1990-2011</w:t>
      </w:r>
      <w:r w:rsidRPr="002B46B5">
        <w:rPr>
          <w:rFonts w:ascii="Constantia" w:hAnsi="Constantia"/>
          <w:sz w:val="22"/>
          <w:szCs w:val="22"/>
        </w:rPr>
        <w:t xml:space="preserve"> (Gg)</w:t>
      </w:r>
    </w:p>
    <w:p w:rsidR="000C51CE" w:rsidRPr="000C51CE" w:rsidRDefault="000C51CE" w:rsidP="004F4683">
      <w:pPr>
        <w:spacing w:after="0"/>
        <w:ind w:left="360"/>
        <w:jc w:val="center"/>
        <w:rPr>
          <w:i/>
          <w:sz w:val="20"/>
        </w:rPr>
      </w:pPr>
      <w:r w:rsidRPr="000C51CE">
        <w:rPr>
          <w:i/>
          <w:noProof/>
          <w:sz w:val="20"/>
        </w:rPr>
        <w:lastRenderedPageBreak/>
        <w:drawing>
          <wp:inline distT="0" distB="0" distL="0" distR="0" wp14:anchorId="014EE0DA" wp14:editId="4A14B0E2">
            <wp:extent cx="5041127" cy="1534602"/>
            <wp:effectExtent l="0" t="0" r="0" b="0"/>
            <wp:docPr id="8194" name="Chart 2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0C51CE" w:rsidRPr="002B46B5" w:rsidRDefault="000C51CE" w:rsidP="00EA585C">
      <w:pPr>
        <w:pStyle w:val="Grafikon"/>
        <w:rPr>
          <w:rFonts w:ascii="Constantia" w:hAnsi="Constantia"/>
          <w:sz w:val="22"/>
          <w:szCs w:val="22"/>
        </w:rPr>
      </w:pPr>
      <w:r w:rsidRPr="002B46B5">
        <w:rPr>
          <w:rFonts w:ascii="Constantia" w:hAnsi="Constantia"/>
          <w:sz w:val="22"/>
          <w:szCs w:val="22"/>
        </w:rPr>
        <w:t xml:space="preserve">Emisije C </w:t>
      </w:r>
      <w:r w:rsidRPr="002B46B5">
        <w:rPr>
          <w:rFonts w:ascii="Constantia" w:hAnsi="Constantia"/>
          <w:sz w:val="22"/>
          <w:szCs w:val="22"/>
          <w:vertAlign w:val="subscript"/>
        </w:rPr>
        <w:t>2</w:t>
      </w:r>
      <w:r w:rsidRPr="002B46B5">
        <w:rPr>
          <w:rFonts w:ascii="Constantia" w:hAnsi="Constantia"/>
          <w:sz w:val="22"/>
          <w:szCs w:val="22"/>
        </w:rPr>
        <w:t>F</w:t>
      </w:r>
      <w:r w:rsidRPr="002B46B5">
        <w:rPr>
          <w:rFonts w:ascii="Constantia" w:hAnsi="Constantia"/>
          <w:sz w:val="22"/>
          <w:szCs w:val="22"/>
          <w:vertAlign w:val="subscript"/>
        </w:rPr>
        <w:t>6</w:t>
      </w:r>
      <w:r w:rsidR="00032D8A" w:rsidRPr="002B46B5">
        <w:rPr>
          <w:rFonts w:ascii="Constantia" w:hAnsi="Constantia"/>
          <w:sz w:val="22"/>
          <w:szCs w:val="22"/>
        </w:rPr>
        <w:t xml:space="preserve"> iz ekonomskih sektora, 1990</w:t>
      </w:r>
      <w:r w:rsidRPr="002B46B5">
        <w:rPr>
          <w:rFonts w:ascii="Constantia" w:hAnsi="Constantia"/>
          <w:sz w:val="22"/>
          <w:szCs w:val="22"/>
        </w:rPr>
        <w:t>-2011 (Gg)</w:t>
      </w:r>
    </w:p>
    <w:p w:rsidR="00032D8A" w:rsidRPr="000C51CE" w:rsidRDefault="00032D8A" w:rsidP="00032D8A">
      <w:pPr>
        <w:pStyle w:val="Grafikon"/>
        <w:numPr>
          <w:ilvl w:val="0"/>
          <w:numId w:val="0"/>
        </w:numPr>
        <w:spacing w:after="0"/>
        <w:jc w:val="both"/>
      </w:pPr>
    </w:p>
    <w:p w:rsidR="000C51CE" w:rsidRPr="000C51CE" w:rsidRDefault="000C51CE" w:rsidP="00583F73">
      <w:pPr>
        <w:rPr>
          <w:rFonts w:ascii="Constantia" w:hAnsi="Constantia"/>
        </w:rPr>
      </w:pPr>
      <w:r w:rsidRPr="000C51CE">
        <w:rPr>
          <w:rFonts w:ascii="Constantia" w:hAnsi="Constantia"/>
        </w:rPr>
        <w:t>Nakon detaljne analize podataka koji su bili na raspolaganju od strane Elektroprivrede i Elektropr</w:t>
      </w:r>
      <w:r w:rsidR="000B48E4">
        <w:rPr>
          <w:rFonts w:ascii="Constantia" w:hAnsi="Constantia"/>
        </w:rPr>
        <w:t>enosnog sistema Crne Gore</w:t>
      </w:r>
      <w:r w:rsidRPr="000C51CE">
        <w:rPr>
          <w:rFonts w:ascii="Constantia" w:hAnsi="Constantia"/>
        </w:rPr>
        <w:t>, procijenjene su emisije SF</w:t>
      </w:r>
      <w:r w:rsidRPr="000C51CE">
        <w:rPr>
          <w:rFonts w:ascii="Constantia" w:hAnsi="Constantia"/>
          <w:vertAlign w:val="subscript"/>
        </w:rPr>
        <w:t>6</w:t>
      </w:r>
      <w:r w:rsidRPr="000C51CE">
        <w:rPr>
          <w:rFonts w:ascii="Constantia" w:hAnsi="Constantia"/>
        </w:rPr>
        <w:t xml:space="preserve"> samo za 2011. godinu. Nivo ovih emisija je iznosio 0,108 (Mg), a zbog visokog potencijala globalnog zagrijavanja taj nivo u CO</w:t>
      </w:r>
      <w:r w:rsidRPr="000C51CE">
        <w:rPr>
          <w:rFonts w:ascii="Constantia" w:hAnsi="Constantia"/>
          <w:vertAlign w:val="subscript"/>
        </w:rPr>
        <w:t>2ekv</w:t>
      </w:r>
      <w:r w:rsidRPr="000C51CE">
        <w:rPr>
          <w:rFonts w:ascii="Constantia" w:hAnsi="Constantia"/>
        </w:rPr>
        <w:t xml:space="preserve"> iznosi 2,581 Gg, što nije značajno uticalo na ukupni nivo emisija u 2011. godini.</w:t>
      </w:r>
    </w:p>
    <w:p w:rsidR="000C51CE" w:rsidRPr="000C51CE" w:rsidRDefault="000B48E4" w:rsidP="00583F73">
      <w:pPr>
        <w:rPr>
          <w:rFonts w:ascii="Constantia" w:hAnsi="Constantia"/>
        </w:rPr>
      </w:pPr>
      <w:r>
        <w:rPr>
          <w:rFonts w:ascii="Constantia" w:hAnsi="Constantia"/>
        </w:rPr>
        <w:t>Na osnovu baze podataka</w:t>
      </w:r>
      <w:r w:rsidR="00F52A72">
        <w:rPr>
          <w:rFonts w:ascii="Constantia" w:hAnsi="Constantia"/>
        </w:rPr>
        <w:t xml:space="preserve"> </w:t>
      </w:r>
      <w:r w:rsidR="000C51CE" w:rsidRPr="000C51CE">
        <w:rPr>
          <w:rFonts w:ascii="Constantia" w:hAnsi="Constantia"/>
        </w:rPr>
        <w:t>Agencije za zaštitu životne sredine</w:t>
      </w:r>
      <w:r>
        <w:rPr>
          <w:rFonts w:ascii="Constantia" w:hAnsi="Constantia"/>
        </w:rPr>
        <w:t>,</w:t>
      </w:r>
      <w:r w:rsidR="000C51CE" w:rsidRPr="000C51CE">
        <w:rPr>
          <w:rFonts w:ascii="Constantia" w:hAnsi="Constantia"/>
        </w:rPr>
        <w:t xml:space="preserve"> o izdatim dozvolama za korišćenje fluorougljenika (HFC)</w:t>
      </w:r>
      <w:r>
        <w:rPr>
          <w:rFonts w:ascii="Constantia" w:hAnsi="Constantia"/>
        </w:rPr>
        <w:t>,</w:t>
      </w:r>
      <w:r w:rsidR="000C51CE" w:rsidRPr="000C51CE">
        <w:rPr>
          <w:rFonts w:ascii="Constantia" w:hAnsi="Constantia"/>
        </w:rPr>
        <w:t xml:space="preserve"> urađena je procjena emisija ovih polutanata za 2011.</w:t>
      </w:r>
      <w:r w:rsidR="00F52A72">
        <w:rPr>
          <w:rFonts w:ascii="Constantia" w:hAnsi="Constantia"/>
        </w:rPr>
        <w:t xml:space="preserve"> </w:t>
      </w:r>
      <w:r w:rsidR="000C51CE" w:rsidRPr="000C51CE">
        <w:rPr>
          <w:rFonts w:ascii="Constantia" w:hAnsi="Constantia"/>
        </w:rPr>
        <w:t>godinu. Nivo emisija HFC u 2011.</w:t>
      </w:r>
      <w:r w:rsidR="00F52A72">
        <w:rPr>
          <w:rFonts w:ascii="Constantia" w:hAnsi="Constantia"/>
        </w:rPr>
        <w:t xml:space="preserve"> </w:t>
      </w:r>
      <w:r w:rsidR="000C51CE" w:rsidRPr="000C51CE">
        <w:rPr>
          <w:rFonts w:ascii="Constantia" w:hAnsi="Constantia"/>
        </w:rPr>
        <w:t>godini je iznosio 0,008 (Mg).</w:t>
      </w:r>
    </w:p>
    <w:p w:rsidR="00E43A60" w:rsidRDefault="00B66966" w:rsidP="00583F73">
      <w:pPr>
        <w:rPr>
          <w:rFonts w:ascii="Constantia" w:hAnsi="Constantia"/>
        </w:rPr>
      </w:pPr>
      <w:r>
        <w:rPr>
          <w:rFonts w:ascii="Constantia" w:hAnsi="Constantia"/>
          <w:i/>
        </w:rPr>
        <w:t>Grafikonima 22</w:t>
      </w:r>
      <w:r w:rsidR="000B48E4">
        <w:rPr>
          <w:rFonts w:ascii="Constantia" w:hAnsi="Constantia"/>
          <w:i/>
        </w:rPr>
        <w:t>.</w:t>
      </w:r>
      <w:r w:rsidR="00E60473">
        <w:rPr>
          <w:rFonts w:ascii="Constantia" w:hAnsi="Constantia"/>
          <w:i/>
        </w:rPr>
        <w:t xml:space="preserve"> i </w:t>
      </w:r>
      <w:r>
        <w:rPr>
          <w:rFonts w:ascii="Constantia" w:hAnsi="Constantia"/>
          <w:i/>
        </w:rPr>
        <w:t>23</w:t>
      </w:r>
      <w:r w:rsidR="000B48E4">
        <w:rPr>
          <w:rFonts w:ascii="Constantia" w:hAnsi="Constantia"/>
          <w:i/>
        </w:rPr>
        <w:t>.</w:t>
      </w:r>
      <w:r w:rsidR="00E60473">
        <w:rPr>
          <w:rFonts w:ascii="Constantia" w:hAnsi="Constantia"/>
          <w:i/>
        </w:rPr>
        <w:t xml:space="preserve"> </w:t>
      </w:r>
      <w:r w:rsidR="000C51CE" w:rsidRPr="000C51CE">
        <w:rPr>
          <w:rFonts w:ascii="Constantia" w:hAnsi="Constantia"/>
        </w:rPr>
        <w:t>prikazane su ukupne GHG emisije izražene u CO</w:t>
      </w:r>
      <w:r w:rsidR="000C51CE" w:rsidRPr="000C51CE">
        <w:rPr>
          <w:rFonts w:ascii="Constantia" w:hAnsi="Constantia"/>
          <w:vertAlign w:val="subscript"/>
        </w:rPr>
        <w:t>2ekv</w:t>
      </w:r>
      <w:r w:rsidR="000C51CE" w:rsidRPr="000C51CE">
        <w:rPr>
          <w:rFonts w:ascii="Constantia" w:hAnsi="Constantia"/>
        </w:rPr>
        <w:t>. Najveći doprinos u ukupnim CO</w:t>
      </w:r>
      <w:r w:rsidR="000C51CE" w:rsidRPr="000C51CE">
        <w:rPr>
          <w:rFonts w:ascii="Constantia" w:hAnsi="Constantia"/>
          <w:vertAlign w:val="subscript"/>
        </w:rPr>
        <w:t>2ekv</w:t>
      </w:r>
      <w:r w:rsidR="000C51CE" w:rsidRPr="000C51CE">
        <w:rPr>
          <w:rFonts w:ascii="Constantia" w:hAnsi="Constantia"/>
        </w:rPr>
        <w:t xml:space="preserve"> emisijama ima energetski sektor (32-69%), slijede industrijska proizvodnja (4,5-44%), poljoprivreda (10-48%) i sektor otpada (2-7%). Udjeli emisija gasova prikazanih u CO</w:t>
      </w:r>
      <w:r w:rsidR="000C51CE" w:rsidRPr="000C51CE">
        <w:rPr>
          <w:rFonts w:ascii="Constantia" w:hAnsi="Constantia"/>
          <w:vertAlign w:val="subscript"/>
        </w:rPr>
        <w:t>2ekv</w:t>
      </w:r>
      <w:r w:rsidR="000C51CE" w:rsidRPr="000C51CE">
        <w:rPr>
          <w:rFonts w:ascii="Constantia" w:hAnsi="Constantia"/>
        </w:rPr>
        <w:t xml:space="preserve"> u ukupnim CO</w:t>
      </w:r>
      <w:r w:rsidR="000C51CE" w:rsidRPr="000C51CE">
        <w:rPr>
          <w:rFonts w:ascii="Constantia" w:hAnsi="Constantia"/>
          <w:vertAlign w:val="subscript"/>
        </w:rPr>
        <w:t>2ekv</w:t>
      </w:r>
      <w:r w:rsidR="000B48E4">
        <w:rPr>
          <w:rFonts w:ascii="Constantia" w:hAnsi="Constantia"/>
        </w:rPr>
        <w:t xml:space="preserve"> emisijama dati su na</w:t>
      </w:r>
      <w:r w:rsidR="00E60473">
        <w:rPr>
          <w:rFonts w:ascii="Constantia" w:hAnsi="Constantia"/>
        </w:rPr>
        <w:t xml:space="preserve"> </w:t>
      </w:r>
      <w:r w:rsidR="000B48E4" w:rsidRPr="007224D6">
        <w:rPr>
          <w:rFonts w:ascii="Constantia" w:hAnsi="Constantia"/>
          <w:i/>
        </w:rPr>
        <w:t>G</w:t>
      </w:r>
      <w:r w:rsidR="000C51CE" w:rsidRPr="007224D6">
        <w:rPr>
          <w:rFonts w:ascii="Constantia" w:hAnsi="Constantia"/>
          <w:i/>
        </w:rPr>
        <w:t xml:space="preserve">rafikonu </w:t>
      </w:r>
      <w:r w:rsidR="004F4683">
        <w:rPr>
          <w:rFonts w:ascii="Constantia" w:hAnsi="Constantia"/>
          <w:i/>
        </w:rPr>
        <w:t>24</w:t>
      </w:r>
      <w:r w:rsidR="000B48E4" w:rsidRPr="007224D6">
        <w:rPr>
          <w:rFonts w:ascii="Constantia" w:hAnsi="Constantia"/>
          <w:i/>
        </w:rPr>
        <w:t>.</w:t>
      </w:r>
      <w:r w:rsidR="00E60473">
        <w:rPr>
          <w:rFonts w:ascii="Constantia" w:hAnsi="Constantia"/>
          <w:i/>
        </w:rPr>
        <w:t xml:space="preserve"> </w:t>
      </w:r>
      <w:r w:rsidR="000C51CE" w:rsidRPr="000C51CE">
        <w:rPr>
          <w:rFonts w:ascii="Constantia" w:hAnsi="Constantia"/>
        </w:rPr>
        <w:t>gdje se vidi da je udio CO</w:t>
      </w:r>
      <w:r w:rsidR="000C51CE" w:rsidRPr="000C51CE">
        <w:rPr>
          <w:rFonts w:ascii="Constantia" w:hAnsi="Constantia"/>
          <w:vertAlign w:val="subscript"/>
        </w:rPr>
        <w:t xml:space="preserve">2 </w:t>
      </w:r>
      <w:r w:rsidR="000C51CE" w:rsidRPr="000C51CE">
        <w:rPr>
          <w:rFonts w:ascii="Constantia" w:hAnsi="Constantia"/>
        </w:rPr>
        <w:t xml:space="preserve">najveći i kreće se </w:t>
      </w:r>
      <w:r w:rsidR="00F6056D">
        <w:rPr>
          <w:rFonts w:ascii="Constantia" w:hAnsi="Constantia"/>
        </w:rPr>
        <w:t xml:space="preserve">od </w:t>
      </w:r>
      <w:r w:rsidR="000C51CE" w:rsidRPr="000C51CE">
        <w:rPr>
          <w:rFonts w:ascii="Constantia" w:hAnsi="Constantia"/>
        </w:rPr>
        <w:t>31</w:t>
      </w:r>
      <w:r w:rsidR="00F6056D">
        <w:rPr>
          <w:rFonts w:ascii="Constantia" w:hAnsi="Constantia"/>
        </w:rPr>
        <w:t xml:space="preserve"> do </w:t>
      </w:r>
      <w:r w:rsidR="000C51CE" w:rsidRPr="000C51CE">
        <w:rPr>
          <w:rFonts w:ascii="Constantia" w:hAnsi="Constantia"/>
        </w:rPr>
        <w:t>69,5%</w:t>
      </w:r>
      <w:r w:rsidR="00F6056D">
        <w:rPr>
          <w:rFonts w:ascii="Constantia" w:hAnsi="Constantia"/>
        </w:rPr>
        <w:t>. S</w:t>
      </w:r>
      <w:r w:rsidR="000C51CE" w:rsidRPr="000C51CE">
        <w:rPr>
          <w:rFonts w:ascii="Constantia" w:hAnsi="Constantia"/>
        </w:rPr>
        <w:t>lijede CF</w:t>
      </w:r>
      <w:r w:rsidR="000C51CE" w:rsidRPr="000C51CE">
        <w:rPr>
          <w:rFonts w:ascii="Constantia" w:hAnsi="Constantia"/>
          <w:vertAlign w:val="subscript"/>
        </w:rPr>
        <w:t>4</w:t>
      </w:r>
      <w:r w:rsidR="000C51CE" w:rsidRPr="000C51CE">
        <w:rPr>
          <w:rFonts w:ascii="Constantia" w:hAnsi="Constantia"/>
        </w:rPr>
        <w:t xml:space="preserve"> (13-37%), CH</w:t>
      </w:r>
      <w:r w:rsidR="000C51CE" w:rsidRPr="000C51CE">
        <w:rPr>
          <w:rFonts w:ascii="Constantia" w:hAnsi="Constantia"/>
          <w:vertAlign w:val="subscript"/>
        </w:rPr>
        <w:t xml:space="preserve">4 </w:t>
      </w:r>
      <w:r w:rsidR="000C51CE" w:rsidRPr="000C51CE">
        <w:rPr>
          <w:rFonts w:ascii="Constantia" w:hAnsi="Constantia"/>
        </w:rPr>
        <w:t>(9-34%), N</w:t>
      </w:r>
      <w:r w:rsidR="000C51CE" w:rsidRPr="000C51CE">
        <w:rPr>
          <w:rFonts w:ascii="Constantia" w:hAnsi="Constantia"/>
          <w:vertAlign w:val="subscript"/>
        </w:rPr>
        <w:t>2</w:t>
      </w:r>
      <w:r w:rsidR="000C51CE" w:rsidRPr="000C51CE">
        <w:rPr>
          <w:rFonts w:ascii="Constantia" w:hAnsi="Constantia"/>
        </w:rPr>
        <w:t>O (5-22%) i C</w:t>
      </w:r>
      <w:r w:rsidR="000C51CE" w:rsidRPr="000C51CE">
        <w:rPr>
          <w:rFonts w:ascii="Constantia" w:hAnsi="Constantia"/>
          <w:vertAlign w:val="subscript"/>
        </w:rPr>
        <w:t>2</w:t>
      </w:r>
      <w:r w:rsidR="000C51CE" w:rsidRPr="000C51CE">
        <w:rPr>
          <w:rFonts w:ascii="Constantia" w:hAnsi="Constantia"/>
        </w:rPr>
        <w:t>F</w:t>
      </w:r>
      <w:r w:rsidR="000C51CE" w:rsidRPr="000C51CE">
        <w:rPr>
          <w:rFonts w:ascii="Constantia" w:hAnsi="Constantia"/>
          <w:vertAlign w:val="subscript"/>
        </w:rPr>
        <w:t>6</w:t>
      </w:r>
      <w:r w:rsidR="000B48E4">
        <w:rPr>
          <w:rFonts w:ascii="Constantia" w:hAnsi="Constantia"/>
        </w:rPr>
        <w:t>(</w:t>
      </w:r>
      <w:r w:rsidR="000C51CE" w:rsidRPr="000C51CE">
        <w:rPr>
          <w:rFonts w:ascii="Constantia" w:hAnsi="Constantia"/>
        </w:rPr>
        <w:t>do 6%).</w:t>
      </w:r>
    </w:p>
    <w:p w:rsidR="000C51CE" w:rsidRPr="000C51CE" w:rsidRDefault="000C51CE" w:rsidP="00E43A60">
      <w:pPr>
        <w:jc w:val="center"/>
        <w:rPr>
          <w:rFonts w:ascii="Constantia" w:hAnsi="Constantia"/>
        </w:rPr>
      </w:pPr>
      <w:r w:rsidRPr="000C51CE">
        <w:rPr>
          <w:noProof/>
        </w:rPr>
        <w:drawing>
          <wp:inline distT="0" distB="0" distL="0" distR="0" wp14:anchorId="16D2B5F5" wp14:editId="2C9B2D81">
            <wp:extent cx="5038725" cy="1800225"/>
            <wp:effectExtent l="0" t="0" r="0" b="0"/>
            <wp:docPr id="8195" name="Chart 1044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0C51CE" w:rsidRPr="002B46B5" w:rsidRDefault="000C51CE" w:rsidP="00EA585C">
      <w:pPr>
        <w:pStyle w:val="Grafikon"/>
        <w:rPr>
          <w:rFonts w:ascii="Constantia" w:hAnsi="Constantia"/>
          <w:sz w:val="22"/>
          <w:szCs w:val="22"/>
        </w:rPr>
      </w:pPr>
      <w:r w:rsidRPr="002B46B5">
        <w:rPr>
          <w:rFonts w:ascii="Constantia" w:hAnsi="Constantia"/>
          <w:sz w:val="22"/>
          <w:szCs w:val="22"/>
        </w:rPr>
        <w:t>Ukupne emisije CO</w:t>
      </w:r>
      <w:r w:rsidRPr="002B46B5">
        <w:rPr>
          <w:rFonts w:ascii="Constantia" w:hAnsi="Constantia"/>
          <w:sz w:val="22"/>
          <w:szCs w:val="22"/>
          <w:vertAlign w:val="subscript"/>
        </w:rPr>
        <w:t xml:space="preserve">2ekv </w:t>
      </w:r>
      <w:r w:rsidR="0097111A" w:rsidRPr="002B46B5">
        <w:rPr>
          <w:rFonts w:ascii="Constantia" w:hAnsi="Constantia"/>
          <w:sz w:val="22"/>
          <w:szCs w:val="22"/>
        </w:rPr>
        <w:t>bez ponora, 1990</w:t>
      </w:r>
      <w:r w:rsidRPr="002B46B5">
        <w:rPr>
          <w:rFonts w:ascii="Constantia" w:hAnsi="Constantia"/>
          <w:sz w:val="22"/>
          <w:szCs w:val="22"/>
        </w:rPr>
        <w:t>-2011 (Gg)</w:t>
      </w:r>
    </w:p>
    <w:p w:rsidR="0097111A" w:rsidRPr="000C51CE" w:rsidRDefault="0097111A" w:rsidP="0097111A">
      <w:pPr>
        <w:pStyle w:val="Grafikon"/>
        <w:numPr>
          <w:ilvl w:val="0"/>
          <w:numId w:val="0"/>
        </w:numPr>
        <w:spacing w:after="0"/>
        <w:jc w:val="both"/>
      </w:pPr>
    </w:p>
    <w:p w:rsidR="000C51CE" w:rsidRPr="000C51CE" w:rsidRDefault="000C51CE" w:rsidP="000C51CE">
      <w:pPr>
        <w:ind w:left="360"/>
        <w:rPr>
          <w:rFonts w:ascii="Constantia" w:hAnsi="Constantia"/>
          <w:i/>
          <w:szCs w:val="22"/>
        </w:rPr>
      </w:pPr>
      <w:r w:rsidRPr="000C51CE">
        <w:rPr>
          <w:i/>
          <w:noProof/>
          <w:sz w:val="20"/>
        </w:rPr>
        <w:drawing>
          <wp:inline distT="0" distB="0" distL="0" distR="0" wp14:anchorId="582D7BDD" wp14:editId="63F5AA7E">
            <wp:extent cx="4985468" cy="1796995"/>
            <wp:effectExtent l="0" t="0" r="0" b="0"/>
            <wp:docPr id="8196" name="Chart 1044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0C51CE" w:rsidRPr="002B46B5" w:rsidRDefault="000C51CE" w:rsidP="00EA585C">
      <w:pPr>
        <w:pStyle w:val="Grafikon"/>
        <w:rPr>
          <w:rFonts w:ascii="Constantia" w:hAnsi="Constantia"/>
          <w:sz w:val="22"/>
          <w:szCs w:val="22"/>
        </w:rPr>
      </w:pPr>
      <w:r w:rsidRPr="002B46B5">
        <w:rPr>
          <w:rFonts w:ascii="Constantia" w:hAnsi="Constantia"/>
          <w:sz w:val="22"/>
          <w:szCs w:val="22"/>
        </w:rPr>
        <w:t>Ukupne emisije CO</w:t>
      </w:r>
      <w:r w:rsidRPr="002B46B5">
        <w:rPr>
          <w:rFonts w:ascii="Constantia" w:hAnsi="Constantia"/>
          <w:sz w:val="22"/>
          <w:szCs w:val="22"/>
          <w:vertAlign w:val="subscript"/>
        </w:rPr>
        <w:t xml:space="preserve">2ekv  </w:t>
      </w:r>
      <w:r w:rsidRPr="002B46B5">
        <w:rPr>
          <w:rFonts w:ascii="Constantia" w:hAnsi="Constantia"/>
          <w:sz w:val="22"/>
          <w:szCs w:val="22"/>
        </w:rPr>
        <w:t>sa ponorima, 1990-2011 (Gg)</w:t>
      </w:r>
    </w:p>
    <w:p w:rsidR="000C51CE" w:rsidRPr="000C51CE" w:rsidRDefault="000C51CE" w:rsidP="000C51CE">
      <w:pPr>
        <w:jc w:val="center"/>
        <w:rPr>
          <w:i/>
          <w:sz w:val="20"/>
        </w:rPr>
      </w:pPr>
      <w:r w:rsidRPr="000C51CE">
        <w:rPr>
          <w:i/>
          <w:noProof/>
          <w:sz w:val="20"/>
        </w:rPr>
        <w:lastRenderedPageBreak/>
        <w:drawing>
          <wp:inline distT="0" distB="0" distL="0" distR="0" wp14:anchorId="629AA27A" wp14:editId="61580214">
            <wp:extent cx="5038725" cy="2638425"/>
            <wp:effectExtent l="0" t="0" r="0" b="0"/>
            <wp:docPr id="8197" name="Chart 1044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3174D0" w:rsidRPr="003174D0" w:rsidRDefault="000C51CE" w:rsidP="003174D0">
      <w:pPr>
        <w:pStyle w:val="Grafikon"/>
        <w:spacing w:after="0"/>
        <w:rPr>
          <w:rFonts w:ascii="Constantia" w:hAnsi="Constantia"/>
          <w:sz w:val="22"/>
          <w:szCs w:val="22"/>
        </w:rPr>
      </w:pPr>
      <w:r w:rsidRPr="002B46B5">
        <w:rPr>
          <w:rFonts w:ascii="Constantia" w:hAnsi="Constantia"/>
          <w:sz w:val="22"/>
          <w:szCs w:val="22"/>
        </w:rPr>
        <w:t>Udjeli GHG u ukupnim CO</w:t>
      </w:r>
      <w:r w:rsidRPr="002B46B5">
        <w:rPr>
          <w:rFonts w:ascii="Constantia" w:hAnsi="Constantia"/>
          <w:sz w:val="22"/>
          <w:szCs w:val="22"/>
          <w:vertAlign w:val="subscript"/>
        </w:rPr>
        <w:t>2ekv</w:t>
      </w:r>
      <w:r w:rsidRPr="002B46B5">
        <w:rPr>
          <w:rFonts w:ascii="Constantia" w:hAnsi="Constantia"/>
          <w:sz w:val="22"/>
          <w:szCs w:val="22"/>
        </w:rPr>
        <w:t>, 1990-2011 (%)</w:t>
      </w:r>
    </w:p>
    <w:p w:rsidR="000C51CE" w:rsidRPr="00E43A60" w:rsidRDefault="000C51CE" w:rsidP="00DC5255">
      <w:pPr>
        <w:pStyle w:val="Heading2"/>
        <w:ind w:left="720"/>
      </w:pPr>
      <w:bookmarkStart w:id="26" w:name="_Toc322000733"/>
      <w:bookmarkStart w:id="27" w:name="_Toc321212326"/>
      <w:bookmarkStart w:id="28" w:name="_Toc393897868"/>
      <w:r w:rsidRPr="00E43A60">
        <w:t xml:space="preserve">Supstance koje </w:t>
      </w:r>
      <w:r w:rsidRPr="007468D3">
        <w:t>oštećuju</w:t>
      </w:r>
      <w:r w:rsidRPr="00E43A60">
        <w:t xml:space="preserve"> ozonski omotač</w:t>
      </w:r>
      <w:bookmarkEnd w:id="26"/>
      <w:bookmarkEnd w:id="27"/>
      <w:bookmarkEnd w:id="28"/>
    </w:p>
    <w:p w:rsidR="000C51CE" w:rsidRPr="000C51CE" w:rsidRDefault="000C51CE" w:rsidP="00583F73">
      <w:pPr>
        <w:rPr>
          <w:rFonts w:ascii="Constantia" w:hAnsi="Constantia"/>
          <w:lang w:val="sr-Latn-CS"/>
        </w:rPr>
      </w:pPr>
      <w:r w:rsidRPr="000C51CE">
        <w:rPr>
          <w:rFonts w:ascii="Constantia" w:hAnsi="Constantia"/>
          <w:lang w:val="sr-Latn-CS"/>
        </w:rPr>
        <w:t xml:space="preserve">Zaštita ozonskog omotača je globalni problem koji traži globalno rješenje kroz koordinirane aktivnosti svih relevantnih faktora. </w:t>
      </w:r>
    </w:p>
    <w:p w:rsidR="000C51CE" w:rsidRPr="000C51CE" w:rsidRDefault="000C51CE" w:rsidP="00583F73">
      <w:pPr>
        <w:rPr>
          <w:rFonts w:ascii="Constantia" w:hAnsi="Constantia"/>
          <w:szCs w:val="22"/>
          <w:lang w:val="sr-Latn-CS"/>
        </w:rPr>
      </w:pPr>
      <w:r w:rsidRPr="000C51CE">
        <w:rPr>
          <w:rFonts w:ascii="Constantia" w:hAnsi="Constantia"/>
          <w:szCs w:val="22"/>
          <w:lang w:val="sr-Latn-CS"/>
        </w:rPr>
        <w:t>Crna Gora je 23. oktobra 2006. godine, putem sukcesije, postala strana potpisnica Bečke konvencije o zaštiti ozonskog omotača i Montrealskog protokola o supstancama koje oštećuju ozonski omotač, kao i četiri amandmana Montrealskog protokola. Kao nova država-članica Montrealskog protokola, Crna Gora je klasifikovana kao zemlja člana 5 Montrealskog protokola (zemlja u razv</w:t>
      </w:r>
      <w:r w:rsidR="00E62EF4">
        <w:rPr>
          <w:rFonts w:ascii="Constantia" w:hAnsi="Constantia"/>
          <w:szCs w:val="22"/>
          <w:lang w:val="sr-Latn-CS"/>
        </w:rPr>
        <w:t>oju i zemlja sa niskom potrošnjo</w:t>
      </w:r>
      <w:r w:rsidRPr="000C51CE">
        <w:rPr>
          <w:rFonts w:ascii="Constantia" w:hAnsi="Constantia"/>
          <w:szCs w:val="22"/>
          <w:lang w:val="sr-Latn-CS"/>
        </w:rPr>
        <w:t>m supstanci koje oštećuju ozonski omotač).</w:t>
      </w:r>
    </w:p>
    <w:p w:rsidR="000C51CE" w:rsidRPr="000C51CE" w:rsidRDefault="000C51CE" w:rsidP="00583F73">
      <w:pPr>
        <w:rPr>
          <w:rFonts w:ascii="Constantia" w:hAnsi="Constantia"/>
          <w:szCs w:val="22"/>
          <w:lang w:val="sr-Latn-CS"/>
        </w:rPr>
      </w:pPr>
      <w:r w:rsidRPr="000C51CE">
        <w:rPr>
          <w:rFonts w:ascii="Constantia" w:hAnsi="Constantia"/>
          <w:szCs w:val="22"/>
          <w:lang w:val="sr-Latn-CS"/>
        </w:rPr>
        <w:t>Kao konkretni koraci u implementaciji Montrealsko</w:t>
      </w:r>
      <w:r w:rsidR="00147003">
        <w:rPr>
          <w:rFonts w:ascii="Constantia" w:hAnsi="Constantia"/>
          <w:szCs w:val="22"/>
          <w:lang w:val="sr-Latn-CS"/>
        </w:rPr>
        <w:t>g protokola, 2007. godine</w:t>
      </w:r>
      <w:r w:rsidRPr="000C51CE">
        <w:rPr>
          <w:rFonts w:ascii="Constantia" w:hAnsi="Constantia"/>
          <w:szCs w:val="22"/>
          <w:lang w:val="sr-Latn-CS"/>
        </w:rPr>
        <w:t xml:space="preserve"> usvojeni su i odobreni Nacionalni Program za eliminaciju supstanci koje oštećuju ozonski omotač i Plan konačne eliminacije CFC supstanci. Implementacijom ovih projekata Crna Gora je ispoštovala rokove konačnog eliminisanja CFC supstanci koje oštećuju ozonski omotač, tj. zabranila je potrošnju, odnosno uvoz CFC supstanci od 1. januara 2010.</w:t>
      </w:r>
      <w:r w:rsidR="008A74B4">
        <w:rPr>
          <w:rFonts w:ascii="Constantia" w:hAnsi="Constantia"/>
          <w:szCs w:val="22"/>
          <w:lang w:val="sr-Latn-CS"/>
        </w:rPr>
        <w:t xml:space="preserve"> </w:t>
      </w:r>
      <w:r w:rsidRPr="000C51CE">
        <w:rPr>
          <w:rFonts w:ascii="Constantia" w:hAnsi="Constantia"/>
          <w:szCs w:val="22"/>
          <w:lang w:val="sr-Latn-CS"/>
        </w:rPr>
        <w:t>godine.</w:t>
      </w:r>
    </w:p>
    <w:p w:rsidR="000C51CE" w:rsidRPr="000C51CE" w:rsidRDefault="000C51CE" w:rsidP="00583F73">
      <w:pPr>
        <w:rPr>
          <w:rFonts w:ascii="Constantia" w:hAnsi="Constantia"/>
          <w:szCs w:val="22"/>
          <w:lang w:val="sr-Latn-CS"/>
        </w:rPr>
      </w:pPr>
      <w:r w:rsidRPr="000C51CE">
        <w:rPr>
          <w:rFonts w:ascii="Constantia" w:hAnsi="Constantia"/>
          <w:szCs w:val="22"/>
          <w:lang w:val="sr-Latn-CS"/>
        </w:rPr>
        <w:t>Plan eliminacije HCFC supstanci koje oštećuju ozonski omotač pripremila je Agencija za zaštitu životne sredine u saradnji sa UNID</w:t>
      </w:r>
      <w:r w:rsidR="008D48AE">
        <w:rPr>
          <w:rFonts w:ascii="Constantia" w:hAnsi="Constantia"/>
          <w:szCs w:val="22"/>
          <w:lang w:val="sr-Latn-CS"/>
        </w:rPr>
        <w:t>O-om, kao i</w:t>
      </w:r>
      <w:r w:rsidRPr="000C51CE">
        <w:rPr>
          <w:rFonts w:ascii="Constantia" w:hAnsi="Constantia"/>
          <w:szCs w:val="22"/>
          <w:lang w:val="sr-Latn-CS"/>
        </w:rPr>
        <w:t>mplementacionom agencijom. Nakon usvajanja od strane Vlade Crne Gore (</w:t>
      </w:r>
      <w:r w:rsidR="0037560A">
        <w:rPr>
          <w:rFonts w:ascii="Constantia" w:hAnsi="Constantia"/>
          <w:szCs w:val="22"/>
          <w:lang w:val="sr-Latn-CS"/>
        </w:rPr>
        <w:t xml:space="preserve">u </w:t>
      </w:r>
      <w:r w:rsidRPr="000C51CE">
        <w:rPr>
          <w:rFonts w:ascii="Constantia" w:hAnsi="Constantia"/>
          <w:szCs w:val="22"/>
          <w:lang w:val="sr-Latn-CS"/>
        </w:rPr>
        <w:t>oktobr</w:t>
      </w:r>
      <w:r w:rsidR="0037560A">
        <w:rPr>
          <w:rFonts w:ascii="Constantia" w:hAnsi="Constantia"/>
          <w:szCs w:val="22"/>
          <w:lang w:val="sr-Latn-CS"/>
        </w:rPr>
        <w:t>u</w:t>
      </w:r>
      <w:r w:rsidRPr="000C51CE">
        <w:rPr>
          <w:rFonts w:ascii="Constantia" w:hAnsi="Constantia"/>
          <w:szCs w:val="22"/>
          <w:lang w:val="sr-Latn-CS"/>
        </w:rPr>
        <w:t xml:space="preserve"> 2010</w:t>
      </w:r>
      <w:r w:rsidR="00E96199">
        <w:rPr>
          <w:rFonts w:ascii="Constantia" w:hAnsi="Constantia"/>
          <w:szCs w:val="22"/>
          <w:lang w:val="sr-Latn-CS"/>
        </w:rPr>
        <w:t>. godine</w:t>
      </w:r>
      <w:r w:rsidRPr="000C51CE">
        <w:rPr>
          <w:rFonts w:ascii="Constantia" w:hAnsi="Constantia"/>
          <w:szCs w:val="22"/>
          <w:lang w:val="sr-Latn-CS"/>
        </w:rPr>
        <w:t>), Plan odnosno sredstva za njegovu implementaciju odobrena su na 63. Sastanku Izvršnog komiteta Multilateralnog fonda za implementaciju Montrealskog protokola (</w:t>
      </w:r>
      <w:r w:rsidR="0037560A">
        <w:rPr>
          <w:rFonts w:ascii="Constantia" w:hAnsi="Constantia"/>
          <w:szCs w:val="22"/>
          <w:lang w:val="sr-Latn-CS"/>
        </w:rPr>
        <w:t xml:space="preserve">u </w:t>
      </w:r>
      <w:r w:rsidRPr="000C51CE">
        <w:rPr>
          <w:rFonts w:ascii="Constantia" w:hAnsi="Constantia"/>
          <w:szCs w:val="22"/>
          <w:lang w:val="sr-Latn-CS"/>
        </w:rPr>
        <w:t>april</w:t>
      </w:r>
      <w:r w:rsidR="0037560A">
        <w:rPr>
          <w:rFonts w:ascii="Constantia" w:hAnsi="Constantia"/>
          <w:szCs w:val="22"/>
          <w:lang w:val="sr-Latn-CS"/>
        </w:rPr>
        <w:t>u</w:t>
      </w:r>
      <w:r w:rsidRPr="000C51CE">
        <w:rPr>
          <w:rFonts w:ascii="Constantia" w:hAnsi="Constantia"/>
          <w:szCs w:val="22"/>
          <w:lang w:val="sr-Latn-CS"/>
        </w:rPr>
        <w:t xml:space="preserve"> 2011</w:t>
      </w:r>
      <w:r w:rsidR="00E96199">
        <w:rPr>
          <w:rFonts w:ascii="Constantia" w:hAnsi="Constantia"/>
          <w:szCs w:val="22"/>
          <w:lang w:val="sr-Latn-CS"/>
        </w:rPr>
        <w:t>. godine</w:t>
      </w:r>
      <w:r w:rsidRPr="000C51CE">
        <w:rPr>
          <w:rFonts w:ascii="Constantia" w:hAnsi="Constantia"/>
          <w:szCs w:val="22"/>
          <w:lang w:val="sr-Latn-CS"/>
        </w:rPr>
        <w:t>).</w:t>
      </w:r>
    </w:p>
    <w:p w:rsidR="000C51CE" w:rsidRPr="000C51CE" w:rsidRDefault="000C51CE" w:rsidP="00583F73">
      <w:pPr>
        <w:rPr>
          <w:rFonts w:ascii="Constantia" w:hAnsi="Constantia"/>
          <w:szCs w:val="22"/>
          <w:lang w:val="sr-Latn-CS"/>
        </w:rPr>
      </w:pPr>
      <w:r w:rsidRPr="000C51CE">
        <w:rPr>
          <w:rFonts w:ascii="Constantia" w:hAnsi="Constantia"/>
          <w:szCs w:val="22"/>
          <w:lang w:val="sr-Latn-CS"/>
        </w:rPr>
        <w:t xml:space="preserve">HCFC supstance (hidrohlorofluorougljovodonici) koje se koriste kao alternativa za CFC supstance, manje </w:t>
      </w:r>
      <w:r w:rsidR="00DB054A">
        <w:rPr>
          <w:rFonts w:ascii="Constantia" w:hAnsi="Constantia"/>
          <w:szCs w:val="22"/>
          <w:lang w:val="sr-Latn-CS"/>
        </w:rPr>
        <w:t xml:space="preserve">su </w:t>
      </w:r>
      <w:r w:rsidRPr="000C51CE">
        <w:rPr>
          <w:rFonts w:ascii="Constantia" w:hAnsi="Constantia"/>
          <w:szCs w:val="22"/>
          <w:lang w:val="sr-Latn-CS"/>
        </w:rPr>
        <w:t>štetn</w:t>
      </w:r>
      <w:r w:rsidR="00DB054A">
        <w:rPr>
          <w:rFonts w:ascii="Constantia" w:hAnsi="Constantia"/>
          <w:szCs w:val="22"/>
          <w:lang w:val="sr-Latn-CS"/>
        </w:rPr>
        <w:t>e</w:t>
      </w:r>
      <w:r w:rsidRPr="000C51CE">
        <w:rPr>
          <w:rFonts w:ascii="Constantia" w:hAnsi="Constantia"/>
          <w:szCs w:val="22"/>
          <w:lang w:val="sr-Latn-CS"/>
        </w:rPr>
        <w:t xml:space="preserve">, ali njihov udio u tanjenju ozonskog omotača nije zanemarljiv. Pripadaju Aneksu C grupi </w:t>
      </w:r>
      <w:r w:rsidR="000455E7">
        <w:rPr>
          <w:rFonts w:ascii="Constantia" w:hAnsi="Constantia"/>
          <w:szCs w:val="22"/>
          <w:lang w:val="sr-Latn-CS"/>
        </w:rPr>
        <w:t xml:space="preserve">I </w:t>
      </w:r>
      <w:r w:rsidRPr="000C51CE">
        <w:rPr>
          <w:rFonts w:ascii="Constantia" w:hAnsi="Constantia"/>
          <w:szCs w:val="22"/>
          <w:lang w:val="sr-Latn-CS"/>
        </w:rPr>
        <w:t>Montrealskog protokola i široko se ko</w:t>
      </w:r>
      <w:r w:rsidR="000455E7">
        <w:rPr>
          <w:rFonts w:ascii="Constantia" w:hAnsi="Constantia"/>
          <w:szCs w:val="22"/>
          <w:lang w:val="sr-Latn-CS"/>
        </w:rPr>
        <w:t>riste u nekoliko sektora, npr. r</w:t>
      </w:r>
      <w:r w:rsidRPr="000C51CE">
        <w:rPr>
          <w:rFonts w:ascii="Constantia" w:hAnsi="Constantia"/>
          <w:szCs w:val="22"/>
          <w:lang w:val="sr-Latn-CS"/>
        </w:rPr>
        <w:t>ashladni i klima sektor, sektor za isp</w:t>
      </w:r>
      <w:r w:rsidR="000455E7">
        <w:rPr>
          <w:rFonts w:ascii="Constantia" w:hAnsi="Constantia"/>
          <w:szCs w:val="22"/>
          <w:lang w:val="sr-Latn-CS"/>
        </w:rPr>
        <w:t>jenjavanje i sl. Aneks C grupa I</w:t>
      </w:r>
      <w:r w:rsidRPr="000C51CE">
        <w:rPr>
          <w:rFonts w:ascii="Constantia" w:hAnsi="Constantia"/>
          <w:szCs w:val="22"/>
          <w:lang w:val="sr-Latn-CS"/>
        </w:rPr>
        <w:t xml:space="preserve"> ima 40 supstanci, ali </w:t>
      </w:r>
      <w:r w:rsidR="000455E7">
        <w:rPr>
          <w:rFonts w:ascii="Constantia" w:hAnsi="Constantia"/>
          <w:szCs w:val="22"/>
          <w:lang w:val="sr-Latn-CS"/>
        </w:rPr>
        <w:t xml:space="preserve">se </w:t>
      </w:r>
      <w:r w:rsidRPr="000C51CE">
        <w:rPr>
          <w:rFonts w:ascii="Constantia" w:hAnsi="Constantia"/>
          <w:szCs w:val="22"/>
          <w:lang w:val="sr-Latn-CS"/>
        </w:rPr>
        <w:t>najčešće upotrebljavaju R-22, R-141b, R-142b,R-123, R-225. Tokom pripreme Plana utvrđeno je da se u Crnu Goru uvozi samo fr</w:t>
      </w:r>
      <w:r w:rsidR="007C125E">
        <w:rPr>
          <w:rFonts w:ascii="Constantia" w:hAnsi="Constantia"/>
          <w:szCs w:val="22"/>
          <w:lang w:val="sr-Latn-CS"/>
        </w:rPr>
        <w:t>eon R-</w:t>
      </w:r>
      <w:r w:rsidRPr="000C51CE">
        <w:rPr>
          <w:rFonts w:ascii="Constantia" w:hAnsi="Constantia"/>
          <w:szCs w:val="22"/>
          <w:lang w:val="sr-Latn-CS"/>
        </w:rPr>
        <w:t>22, koji se koristi za servisiranje rashladnih i klima uređaja.</w:t>
      </w:r>
    </w:p>
    <w:p w:rsidR="000C51CE" w:rsidRPr="000C51CE" w:rsidRDefault="000C51CE" w:rsidP="00583F73">
      <w:pPr>
        <w:rPr>
          <w:rFonts w:ascii="Constantia" w:hAnsi="Constantia"/>
          <w:szCs w:val="22"/>
          <w:lang w:val="sr-Latn-CS"/>
        </w:rPr>
      </w:pPr>
      <w:r w:rsidRPr="000C51CE">
        <w:rPr>
          <w:rFonts w:ascii="Constantia" w:hAnsi="Constantia"/>
          <w:szCs w:val="22"/>
          <w:lang w:val="sr-Latn-CS"/>
        </w:rPr>
        <w:t>Osnovna svrha donošenja Plana je da omogući Vladi Crne Gore da postepeno eliminiše potrošnju HCFC supstanci</w:t>
      </w:r>
      <w:r w:rsidR="00A140DD">
        <w:rPr>
          <w:rFonts w:ascii="Constantia" w:hAnsi="Constantia"/>
          <w:szCs w:val="22"/>
          <w:lang w:val="sr-Latn-CS"/>
        </w:rPr>
        <w:t>,</w:t>
      </w:r>
      <w:r w:rsidRPr="000C51CE">
        <w:rPr>
          <w:rFonts w:ascii="Constantia" w:hAnsi="Constantia"/>
          <w:szCs w:val="22"/>
          <w:lang w:val="sr-Latn-CS"/>
        </w:rPr>
        <w:t xml:space="preserve"> posebno u servisnom sektoru. Bez adekvatnih mjera za smanjenje </w:t>
      </w:r>
      <w:r w:rsidR="00A140DD">
        <w:rPr>
          <w:rFonts w:ascii="Constantia" w:hAnsi="Constantia"/>
          <w:szCs w:val="22"/>
          <w:lang w:val="sr-Latn-CS"/>
        </w:rPr>
        <w:t>po</w:t>
      </w:r>
      <w:r w:rsidRPr="000C51CE">
        <w:rPr>
          <w:rFonts w:ascii="Constantia" w:hAnsi="Constantia"/>
          <w:szCs w:val="22"/>
          <w:lang w:val="sr-Latn-CS"/>
        </w:rPr>
        <w:t>tražnje za HCFC supstancama, Crna Gora ne bi mogla da ispuni zahtjeve odredbi Montrealskog protokola, tj</w:t>
      </w:r>
      <w:r w:rsidR="00D62108">
        <w:rPr>
          <w:rFonts w:ascii="Constantia" w:hAnsi="Constantia"/>
          <w:szCs w:val="22"/>
          <w:lang w:val="sr-Latn-CS"/>
        </w:rPr>
        <w:t>.</w:t>
      </w:r>
      <w:r w:rsidRPr="000C51CE">
        <w:rPr>
          <w:rFonts w:ascii="Constantia" w:hAnsi="Constantia"/>
          <w:szCs w:val="22"/>
          <w:lang w:val="sr-Latn-CS"/>
        </w:rPr>
        <w:t xml:space="preserve"> rokove za eliminaciju ovih supstanci, i to:</w:t>
      </w:r>
    </w:p>
    <w:p w:rsidR="000C51CE" w:rsidRPr="000C51CE" w:rsidRDefault="009F0F31" w:rsidP="009F0F31">
      <w:pPr>
        <w:spacing w:after="0"/>
        <w:ind w:firstLine="720"/>
        <w:rPr>
          <w:rFonts w:ascii="Constantia" w:hAnsi="Constantia"/>
          <w:szCs w:val="22"/>
          <w:lang w:val="sr-Latn-CS"/>
        </w:rPr>
      </w:pPr>
      <w:r>
        <w:rPr>
          <w:rFonts w:ascii="Constantia" w:hAnsi="Constantia"/>
          <w:szCs w:val="22"/>
          <w:lang w:val="sr-Latn-CS"/>
        </w:rPr>
        <w:lastRenderedPageBreak/>
        <w:t>•</w:t>
      </w:r>
      <w:r>
        <w:rPr>
          <w:rFonts w:ascii="Constantia" w:hAnsi="Constantia"/>
          <w:szCs w:val="22"/>
          <w:lang w:val="sr-Latn-CS"/>
        </w:rPr>
        <w:tab/>
      </w:r>
      <w:r w:rsidR="002A138A">
        <w:rPr>
          <w:rFonts w:ascii="Constantia" w:hAnsi="Constantia"/>
          <w:szCs w:val="22"/>
          <w:lang w:val="sr-Latn-CS"/>
        </w:rPr>
        <w:t>Z</w:t>
      </w:r>
      <w:r w:rsidR="000C51CE" w:rsidRPr="000C51CE">
        <w:rPr>
          <w:rFonts w:ascii="Constantia" w:hAnsi="Constantia"/>
          <w:szCs w:val="22"/>
          <w:lang w:val="sr-Latn-CS"/>
        </w:rPr>
        <w:t>amrzavanje potrošnje na nivo baznog stanja – 2013. godine</w:t>
      </w:r>
      <w:r w:rsidR="000C51CE" w:rsidRPr="000C51CE">
        <w:rPr>
          <w:rFonts w:ascii="Constantia" w:hAnsi="Constantia"/>
          <w:szCs w:val="22"/>
          <w:vertAlign w:val="superscript"/>
        </w:rPr>
        <w:footnoteReference w:id="4"/>
      </w:r>
      <w:r w:rsidR="00D62108">
        <w:rPr>
          <w:rFonts w:ascii="Constantia" w:hAnsi="Constantia"/>
          <w:szCs w:val="22"/>
          <w:lang w:val="sr-Latn-CS"/>
        </w:rPr>
        <w:t>,</w:t>
      </w:r>
    </w:p>
    <w:p w:rsidR="000C51CE" w:rsidRPr="000C51CE" w:rsidRDefault="000C51CE" w:rsidP="009F0F31">
      <w:pPr>
        <w:spacing w:after="0"/>
        <w:ind w:firstLine="720"/>
        <w:rPr>
          <w:rFonts w:ascii="Constantia" w:hAnsi="Constantia"/>
          <w:szCs w:val="22"/>
          <w:lang w:val="sr-Latn-CS"/>
        </w:rPr>
      </w:pPr>
      <w:r w:rsidRPr="000C51CE">
        <w:rPr>
          <w:rFonts w:ascii="Constantia" w:hAnsi="Constantia"/>
          <w:szCs w:val="22"/>
          <w:lang w:val="sr-Latn-CS"/>
        </w:rPr>
        <w:t>•</w:t>
      </w:r>
      <w:r w:rsidRPr="000C51CE">
        <w:rPr>
          <w:rFonts w:ascii="Constantia" w:hAnsi="Constantia"/>
          <w:szCs w:val="22"/>
          <w:lang w:val="sr-Latn-CS"/>
        </w:rPr>
        <w:tab/>
        <w:t>10% sman</w:t>
      </w:r>
      <w:r w:rsidR="00D62108">
        <w:rPr>
          <w:rFonts w:ascii="Constantia" w:hAnsi="Constantia"/>
          <w:szCs w:val="22"/>
          <w:lang w:val="sr-Latn-CS"/>
        </w:rPr>
        <w:t>jenja mora biti do 2015. godine,</w:t>
      </w:r>
    </w:p>
    <w:p w:rsidR="000C51CE" w:rsidRPr="000C51CE" w:rsidRDefault="000C51CE" w:rsidP="009F0F31">
      <w:pPr>
        <w:spacing w:after="0"/>
        <w:ind w:firstLine="720"/>
        <w:rPr>
          <w:rFonts w:ascii="Constantia" w:hAnsi="Constantia"/>
          <w:szCs w:val="22"/>
          <w:lang w:val="sr-Latn-CS"/>
        </w:rPr>
      </w:pPr>
      <w:r w:rsidRPr="000C51CE">
        <w:rPr>
          <w:rFonts w:ascii="Constantia" w:hAnsi="Constantia"/>
          <w:szCs w:val="22"/>
          <w:lang w:val="sr-Latn-CS"/>
        </w:rPr>
        <w:t>•</w:t>
      </w:r>
      <w:r w:rsidRPr="000C51CE">
        <w:rPr>
          <w:rFonts w:ascii="Constantia" w:hAnsi="Constantia"/>
          <w:szCs w:val="22"/>
          <w:lang w:val="sr-Latn-CS"/>
        </w:rPr>
        <w:tab/>
        <w:t xml:space="preserve">35% smanjenja </w:t>
      </w:r>
      <w:r w:rsidR="00D62108">
        <w:rPr>
          <w:rFonts w:ascii="Constantia" w:hAnsi="Constantia"/>
          <w:szCs w:val="22"/>
          <w:lang w:val="sr-Latn-CS"/>
        </w:rPr>
        <w:t>do 2020. godine,</w:t>
      </w:r>
    </w:p>
    <w:p w:rsidR="000C51CE" w:rsidRPr="000C51CE" w:rsidRDefault="000C51CE" w:rsidP="009F0F31">
      <w:pPr>
        <w:spacing w:after="0"/>
        <w:ind w:firstLine="720"/>
        <w:rPr>
          <w:rFonts w:ascii="Constantia" w:hAnsi="Constantia"/>
          <w:szCs w:val="22"/>
          <w:lang w:val="sr-Latn-CS"/>
        </w:rPr>
      </w:pPr>
      <w:r w:rsidRPr="000C51CE">
        <w:rPr>
          <w:rFonts w:ascii="Constantia" w:hAnsi="Constantia"/>
          <w:szCs w:val="22"/>
          <w:lang w:val="sr-Latn-CS"/>
        </w:rPr>
        <w:t>•</w:t>
      </w:r>
      <w:r w:rsidRPr="000C51CE">
        <w:rPr>
          <w:rFonts w:ascii="Constantia" w:hAnsi="Constantia"/>
          <w:szCs w:val="22"/>
          <w:lang w:val="sr-Latn-CS"/>
        </w:rPr>
        <w:tab/>
      </w:r>
      <w:r w:rsidR="00D62108">
        <w:rPr>
          <w:rFonts w:ascii="Constantia" w:hAnsi="Constantia"/>
          <w:szCs w:val="22"/>
          <w:lang w:val="sr-Latn-CS"/>
        </w:rPr>
        <w:t>67,5% smanjenja do 2025. godine,</w:t>
      </w:r>
    </w:p>
    <w:p w:rsidR="000C51CE" w:rsidRPr="000C51CE" w:rsidRDefault="000C51CE" w:rsidP="009F0F31">
      <w:pPr>
        <w:spacing w:after="0"/>
        <w:ind w:firstLine="720"/>
        <w:rPr>
          <w:rFonts w:ascii="Constantia" w:hAnsi="Constantia"/>
          <w:szCs w:val="22"/>
          <w:lang w:val="sr-Latn-CS"/>
        </w:rPr>
      </w:pPr>
      <w:r w:rsidRPr="000C51CE">
        <w:rPr>
          <w:rFonts w:ascii="Constantia" w:hAnsi="Constantia"/>
          <w:szCs w:val="22"/>
          <w:lang w:val="sr-Latn-CS"/>
        </w:rPr>
        <w:t>•</w:t>
      </w:r>
      <w:r w:rsidRPr="000C51CE">
        <w:rPr>
          <w:rFonts w:ascii="Constantia" w:hAnsi="Constantia"/>
          <w:szCs w:val="22"/>
          <w:lang w:val="sr-Latn-CS"/>
        </w:rPr>
        <w:tab/>
      </w:r>
      <w:r w:rsidR="00D62108">
        <w:rPr>
          <w:rFonts w:ascii="Constantia" w:hAnsi="Constantia"/>
          <w:szCs w:val="22"/>
          <w:lang w:val="sr-Latn-CS"/>
        </w:rPr>
        <w:t>97,5% smanjenja do 2030. godine</w:t>
      </w:r>
      <w:r w:rsidRPr="000C51CE">
        <w:rPr>
          <w:rFonts w:ascii="Constantia" w:hAnsi="Constantia"/>
          <w:szCs w:val="22"/>
          <w:lang w:val="sr-Latn-CS"/>
        </w:rPr>
        <w:t xml:space="preserve"> i</w:t>
      </w:r>
    </w:p>
    <w:p w:rsidR="000C51CE" w:rsidRPr="000C51CE" w:rsidRDefault="000C51CE" w:rsidP="009F0F31">
      <w:pPr>
        <w:ind w:firstLine="720"/>
        <w:rPr>
          <w:rFonts w:ascii="Constantia" w:hAnsi="Constantia"/>
          <w:szCs w:val="22"/>
          <w:lang w:val="sr-Latn-CS"/>
        </w:rPr>
      </w:pPr>
      <w:r w:rsidRPr="000C51CE">
        <w:rPr>
          <w:rFonts w:ascii="Constantia" w:hAnsi="Constantia"/>
          <w:szCs w:val="22"/>
          <w:lang w:val="sr-Latn-CS"/>
        </w:rPr>
        <w:t>•</w:t>
      </w:r>
      <w:r w:rsidRPr="000C51CE">
        <w:rPr>
          <w:rFonts w:ascii="Constantia" w:hAnsi="Constantia"/>
          <w:szCs w:val="22"/>
          <w:lang w:val="sr-Latn-CS"/>
        </w:rPr>
        <w:tab/>
        <w:t>100% smanjenja do 2040. godine.</w:t>
      </w:r>
    </w:p>
    <w:p w:rsidR="000C51CE" w:rsidRPr="000C51CE" w:rsidRDefault="000C51CE" w:rsidP="00466FCA">
      <w:pPr>
        <w:spacing w:after="0"/>
        <w:rPr>
          <w:rFonts w:ascii="Constantia" w:hAnsi="Constantia"/>
          <w:szCs w:val="22"/>
          <w:lang w:val="sr-Latn-CS"/>
        </w:rPr>
      </w:pPr>
      <w:r w:rsidRPr="000C51CE">
        <w:rPr>
          <w:rFonts w:ascii="Constantia" w:hAnsi="Constantia"/>
          <w:szCs w:val="22"/>
          <w:lang w:val="sr-Latn-CS"/>
        </w:rPr>
        <w:t>Kao zemlja kandidat za pristupanje EU, Crna Gora će rokove za eliminaciju revidirati u skladu sa dinamikom procesa pristupanja EU za koju su ovi rokovi strožiji.</w:t>
      </w:r>
    </w:p>
    <w:p w:rsidR="000C51CE" w:rsidRPr="000C51CE" w:rsidRDefault="000C51CE" w:rsidP="00583F73">
      <w:pPr>
        <w:rPr>
          <w:rFonts w:ascii="Constantia" w:hAnsi="Constantia"/>
          <w:szCs w:val="22"/>
          <w:lang w:val="sr-Latn-CS"/>
        </w:rPr>
      </w:pPr>
      <w:r w:rsidRPr="000C51CE">
        <w:rPr>
          <w:rFonts w:ascii="Constantia" w:hAnsi="Constantia"/>
          <w:szCs w:val="22"/>
          <w:lang w:val="sr-Latn-CS"/>
        </w:rPr>
        <w:t>Tokom 2013. godine</w:t>
      </w:r>
      <w:r w:rsidR="007A6E43">
        <w:rPr>
          <w:rFonts w:ascii="Constantia" w:hAnsi="Constantia"/>
          <w:szCs w:val="22"/>
          <w:lang w:val="sr-Latn-CS"/>
        </w:rPr>
        <w:t>,</w:t>
      </w:r>
      <w:r w:rsidRPr="000C51CE">
        <w:rPr>
          <w:rFonts w:ascii="Constantia" w:hAnsi="Constantia"/>
          <w:szCs w:val="22"/>
          <w:lang w:val="sr-Latn-CS"/>
        </w:rPr>
        <w:t xml:space="preserve"> u</w:t>
      </w:r>
      <w:r w:rsidR="007A6E43">
        <w:rPr>
          <w:rFonts w:ascii="Constantia" w:hAnsi="Constantia"/>
          <w:szCs w:val="22"/>
          <w:lang w:val="sr-Latn-CS"/>
        </w:rPr>
        <w:t xml:space="preserve"> Crnu Goru je uvezeno ukupno 44,4 tone </w:t>
      </w:r>
      <w:r w:rsidRPr="000C51CE">
        <w:rPr>
          <w:rFonts w:ascii="Constantia" w:hAnsi="Constantia"/>
          <w:szCs w:val="22"/>
          <w:lang w:val="sr-Latn-CS"/>
        </w:rPr>
        <w:t>alternativnih supstanci</w:t>
      </w:r>
      <w:r w:rsidR="009F0F31">
        <w:rPr>
          <w:rFonts w:ascii="Constantia" w:hAnsi="Constantia"/>
          <w:szCs w:val="22"/>
          <w:lang w:val="sr-Latn-CS"/>
        </w:rPr>
        <w:t xml:space="preserve"> </w:t>
      </w:r>
      <w:r w:rsidRPr="000C51CE">
        <w:rPr>
          <w:rFonts w:ascii="Constantia" w:hAnsi="Constantia"/>
          <w:szCs w:val="22"/>
          <w:lang w:val="sr-Latn-CS"/>
        </w:rPr>
        <w:t>-</w:t>
      </w:r>
      <w:r w:rsidR="009F0F31">
        <w:rPr>
          <w:rFonts w:ascii="Constantia" w:hAnsi="Constantia"/>
          <w:szCs w:val="22"/>
          <w:lang w:val="sr-Latn-CS"/>
        </w:rPr>
        <w:t xml:space="preserve"> </w:t>
      </w:r>
      <w:r w:rsidRPr="000C51CE">
        <w:rPr>
          <w:rFonts w:ascii="Constantia" w:hAnsi="Constantia"/>
          <w:szCs w:val="22"/>
          <w:lang w:val="sr-Latn-CS"/>
        </w:rPr>
        <w:t>F gasova, čistih i u miješanom sastavu</w:t>
      </w:r>
      <w:r w:rsidRPr="000C51CE">
        <w:rPr>
          <w:rFonts w:ascii="Constantia" w:hAnsi="Constantia"/>
          <w:szCs w:val="22"/>
          <w:vertAlign w:val="superscript"/>
          <w:lang w:val="sr-Latn-CS"/>
        </w:rPr>
        <w:footnoteReference w:id="5"/>
      </w:r>
      <w:r w:rsidRPr="000C51CE">
        <w:rPr>
          <w:rFonts w:ascii="Constantia" w:hAnsi="Constantia"/>
          <w:szCs w:val="22"/>
          <w:lang w:val="sr-Latn-CS"/>
        </w:rPr>
        <w:t>.</w:t>
      </w:r>
    </w:p>
    <w:p w:rsidR="00E43A60" w:rsidRDefault="007A6E43" w:rsidP="00361B67">
      <w:pPr>
        <w:spacing w:after="0"/>
        <w:rPr>
          <w:rFonts w:ascii="Constantia" w:hAnsi="Constantia"/>
          <w:szCs w:val="22"/>
          <w:lang w:val="sr-Latn-CS"/>
        </w:rPr>
      </w:pPr>
      <w:r w:rsidRPr="00EE157E">
        <w:rPr>
          <w:rFonts w:ascii="Constantia" w:hAnsi="Constantia"/>
          <w:i/>
          <w:szCs w:val="22"/>
          <w:lang w:val="sr-Latn-CS"/>
        </w:rPr>
        <w:t xml:space="preserve">Tabelom </w:t>
      </w:r>
      <w:r w:rsidR="00EE157E" w:rsidRPr="00EE157E">
        <w:rPr>
          <w:rFonts w:ascii="Constantia" w:hAnsi="Constantia"/>
          <w:i/>
          <w:szCs w:val="22"/>
          <w:lang w:val="sr-Latn-CS"/>
        </w:rPr>
        <w:t>6</w:t>
      </w:r>
      <w:r w:rsidRPr="00EE157E">
        <w:rPr>
          <w:rFonts w:ascii="Constantia" w:hAnsi="Constantia"/>
          <w:i/>
          <w:szCs w:val="22"/>
          <w:lang w:val="sr-Latn-CS"/>
        </w:rPr>
        <w:t xml:space="preserve">. </w:t>
      </w:r>
      <w:r w:rsidRPr="00583F73">
        <w:rPr>
          <w:rFonts w:ascii="Constantia" w:hAnsi="Constantia"/>
          <w:szCs w:val="22"/>
          <w:lang w:val="sr-Latn-CS"/>
        </w:rPr>
        <w:t>i</w:t>
      </w:r>
      <w:r w:rsidRPr="00EE157E">
        <w:rPr>
          <w:rFonts w:ascii="Constantia" w:hAnsi="Constantia"/>
          <w:i/>
          <w:szCs w:val="22"/>
          <w:lang w:val="sr-Latn-CS"/>
        </w:rPr>
        <w:t xml:space="preserve"> G</w:t>
      </w:r>
      <w:r w:rsidR="00EE157E" w:rsidRPr="00EE157E">
        <w:rPr>
          <w:rFonts w:ascii="Constantia" w:hAnsi="Constantia"/>
          <w:i/>
          <w:szCs w:val="22"/>
          <w:lang w:val="sr-Latn-CS"/>
        </w:rPr>
        <w:t>rafikonom 25</w:t>
      </w:r>
      <w:r w:rsidRPr="00EE157E">
        <w:rPr>
          <w:rFonts w:ascii="Constantia" w:hAnsi="Constantia"/>
          <w:i/>
          <w:szCs w:val="22"/>
          <w:lang w:val="sr-Latn-CS"/>
        </w:rPr>
        <w:t>.</w:t>
      </w:r>
      <w:r w:rsidR="000C51CE" w:rsidRPr="000C51CE">
        <w:rPr>
          <w:rFonts w:ascii="Constantia" w:hAnsi="Constantia"/>
          <w:szCs w:val="22"/>
          <w:lang w:val="sr-Latn-CS"/>
        </w:rPr>
        <w:t xml:space="preserve"> prikazana je potrošnja supstanci koje oštećuju ozonski omotač</w:t>
      </w:r>
      <w:r w:rsidR="00EE157E">
        <w:rPr>
          <w:rFonts w:ascii="Constantia" w:hAnsi="Constantia"/>
          <w:szCs w:val="22"/>
          <w:lang w:val="sr-Latn-CS"/>
        </w:rPr>
        <w:t>.</w:t>
      </w:r>
    </w:p>
    <w:p w:rsidR="00361B67" w:rsidRPr="000C51CE" w:rsidRDefault="00361B67" w:rsidP="00361B67">
      <w:pPr>
        <w:spacing w:after="0"/>
        <w:rPr>
          <w:rFonts w:ascii="Constantia" w:hAnsi="Constantia"/>
          <w:szCs w:val="22"/>
          <w:lang w:val="sr-Latn-CS"/>
        </w:rPr>
      </w:pPr>
    </w:p>
    <w:tbl>
      <w:tblPr>
        <w:tblStyle w:val="MediumShading1-Accent5"/>
        <w:tblW w:w="8726" w:type="dxa"/>
        <w:jc w:val="center"/>
        <w:tblCellMar>
          <w:left w:w="28" w:type="dxa"/>
          <w:right w:w="28" w:type="dxa"/>
        </w:tblCellMar>
        <w:tblLook w:val="04A0" w:firstRow="1" w:lastRow="0" w:firstColumn="1" w:lastColumn="0" w:noHBand="0" w:noVBand="1"/>
      </w:tblPr>
      <w:tblGrid>
        <w:gridCol w:w="2956"/>
        <w:gridCol w:w="959"/>
        <w:gridCol w:w="1111"/>
        <w:gridCol w:w="1371"/>
        <w:gridCol w:w="360"/>
        <w:gridCol w:w="270"/>
        <w:gridCol w:w="1699"/>
      </w:tblGrid>
      <w:tr w:rsidR="003174D0" w:rsidRPr="000C51CE" w:rsidTr="002C44AB">
        <w:trPr>
          <w:cnfStyle w:val="100000000000" w:firstRow="1" w:lastRow="0" w:firstColumn="0" w:lastColumn="0" w:oddVBand="0" w:evenVBand="0" w:oddHBand="0" w:evenHBand="0" w:firstRowFirstColumn="0" w:firstRowLastColumn="0" w:lastRowFirstColumn="0" w:lastRowLastColumn="0"/>
          <w:trHeight w:val="542"/>
          <w:jc w:val="center"/>
        </w:trPr>
        <w:tc>
          <w:tcPr>
            <w:cnfStyle w:val="001000000000" w:firstRow="0" w:lastRow="0" w:firstColumn="1" w:lastColumn="0" w:oddVBand="0" w:evenVBand="0" w:oddHBand="0" w:evenHBand="0" w:firstRowFirstColumn="0" w:firstRowLastColumn="0" w:lastRowFirstColumn="0" w:lastRowLastColumn="0"/>
            <w:tcW w:w="2956" w:type="dxa"/>
            <w:vAlign w:val="center"/>
            <w:hideMark/>
          </w:tcPr>
          <w:p w:rsidR="000C51CE" w:rsidRPr="000C51CE" w:rsidRDefault="000C51CE" w:rsidP="000C51CE">
            <w:pPr>
              <w:spacing w:after="0"/>
              <w:jc w:val="left"/>
              <w:rPr>
                <w:rFonts w:ascii="Constantia" w:hAnsi="Constantia" w:cs="Arial"/>
                <w:sz w:val="20"/>
                <w:szCs w:val="20"/>
                <w:lang w:val="sr-Latn-CS"/>
              </w:rPr>
            </w:pPr>
            <w:r w:rsidRPr="000C51CE">
              <w:rPr>
                <w:rFonts w:ascii="Constantia" w:hAnsi="Constantia" w:cs="Arial"/>
                <w:sz w:val="20"/>
                <w:szCs w:val="20"/>
                <w:lang w:val="sr-Latn-CS"/>
              </w:rPr>
              <w:t>Period</w:t>
            </w:r>
          </w:p>
        </w:tc>
        <w:tc>
          <w:tcPr>
            <w:tcW w:w="959" w:type="dxa"/>
            <w:vAlign w:val="center"/>
            <w:hideMark/>
          </w:tcPr>
          <w:p w:rsidR="003174D0" w:rsidRDefault="000C51CE" w:rsidP="003174D0">
            <w:pPr>
              <w:spacing w:after="0"/>
              <w:jc w:val="center"/>
              <w:cnfStyle w:val="100000000000" w:firstRow="1" w:lastRow="0" w:firstColumn="0" w:lastColumn="0" w:oddVBand="0" w:evenVBand="0" w:oddHBand="0" w:evenHBand="0" w:firstRowFirstColumn="0" w:firstRowLastColumn="0" w:lastRowFirstColumn="0" w:lastRowLastColumn="0"/>
              <w:rPr>
                <w:rFonts w:ascii="Constantia" w:hAnsi="Constantia" w:cs="Arial"/>
                <w:sz w:val="20"/>
                <w:szCs w:val="20"/>
                <w:lang w:val="sr-Latn-CS"/>
              </w:rPr>
            </w:pPr>
            <w:r w:rsidRPr="000C51CE">
              <w:rPr>
                <w:rFonts w:ascii="Constantia" w:hAnsi="Constantia" w:cs="Arial"/>
                <w:sz w:val="20"/>
                <w:szCs w:val="20"/>
                <w:lang w:val="sr-Latn-CS"/>
              </w:rPr>
              <w:t>CFC</w:t>
            </w:r>
          </w:p>
          <w:p w:rsidR="000C51CE" w:rsidRPr="003174D0" w:rsidRDefault="000C51CE" w:rsidP="003174D0">
            <w:pPr>
              <w:spacing w:after="0"/>
              <w:jc w:val="center"/>
              <w:cnfStyle w:val="100000000000" w:firstRow="1" w:lastRow="0" w:firstColumn="0" w:lastColumn="0" w:oddVBand="0" w:evenVBand="0" w:oddHBand="0" w:evenHBand="0" w:firstRowFirstColumn="0" w:firstRowLastColumn="0" w:lastRowFirstColumn="0" w:lastRowLastColumn="0"/>
              <w:rPr>
                <w:rFonts w:ascii="Constantia" w:hAnsi="Constantia" w:cs="Arial"/>
                <w:sz w:val="20"/>
                <w:szCs w:val="20"/>
                <w:lang w:val="sr-Latn-CS"/>
              </w:rPr>
            </w:pPr>
            <w:r w:rsidRPr="000C51CE">
              <w:rPr>
                <w:rFonts w:ascii="Constantia" w:hAnsi="Constantia" w:cs="Arial"/>
                <w:sz w:val="20"/>
                <w:szCs w:val="20"/>
                <w:lang w:val="sr-Latn-CS"/>
              </w:rPr>
              <w:t>(t)</w:t>
            </w:r>
          </w:p>
        </w:tc>
        <w:tc>
          <w:tcPr>
            <w:tcW w:w="1111" w:type="dxa"/>
            <w:vAlign w:val="center"/>
            <w:hideMark/>
          </w:tcPr>
          <w:p w:rsidR="003174D0" w:rsidRDefault="000C51CE" w:rsidP="003174D0">
            <w:pPr>
              <w:spacing w:after="0"/>
              <w:jc w:val="center"/>
              <w:cnfStyle w:val="100000000000" w:firstRow="1" w:lastRow="0" w:firstColumn="0" w:lastColumn="0" w:oddVBand="0" w:evenVBand="0" w:oddHBand="0" w:evenHBand="0" w:firstRowFirstColumn="0" w:firstRowLastColumn="0" w:lastRowFirstColumn="0" w:lastRowLastColumn="0"/>
              <w:rPr>
                <w:rFonts w:ascii="Constantia" w:hAnsi="Constantia" w:cs="Arial"/>
                <w:sz w:val="20"/>
                <w:szCs w:val="20"/>
                <w:lang w:val="sr-Latn-CS"/>
              </w:rPr>
            </w:pPr>
            <w:r w:rsidRPr="000C51CE">
              <w:rPr>
                <w:rFonts w:ascii="Constantia" w:hAnsi="Constantia" w:cs="Arial"/>
                <w:sz w:val="20"/>
                <w:szCs w:val="20"/>
                <w:lang w:val="sr-Latn-CS"/>
              </w:rPr>
              <w:t>Haloni</w:t>
            </w:r>
          </w:p>
          <w:p w:rsidR="000C51CE" w:rsidRPr="003174D0" w:rsidRDefault="000C51CE" w:rsidP="003174D0">
            <w:pPr>
              <w:spacing w:after="0"/>
              <w:jc w:val="center"/>
              <w:cnfStyle w:val="100000000000" w:firstRow="1" w:lastRow="0" w:firstColumn="0" w:lastColumn="0" w:oddVBand="0" w:evenVBand="0" w:oddHBand="0" w:evenHBand="0" w:firstRowFirstColumn="0" w:firstRowLastColumn="0" w:lastRowFirstColumn="0" w:lastRowLastColumn="0"/>
              <w:rPr>
                <w:rFonts w:ascii="Constantia" w:hAnsi="Constantia" w:cs="Arial"/>
                <w:sz w:val="20"/>
                <w:szCs w:val="20"/>
                <w:lang w:val="sr-Latn-CS"/>
              </w:rPr>
            </w:pPr>
            <w:r w:rsidRPr="000C51CE">
              <w:rPr>
                <w:rFonts w:ascii="Constantia" w:hAnsi="Constantia" w:cs="Arial"/>
                <w:sz w:val="20"/>
                <w:szCs w:val="20"/>
                <w:lang w:val="sr-Latn-CS"/>
              </w:rPr>
              <w:t>(t)</w:t>
            </w:r>
          </w:p>
        </w:tc>
        <w:tc>
          <w:tcPr>
            <w:tcW w:w="1371" w:type="dxa"/>
            <w:vAlign w:val="center"/>
            <w:hideMark/>
          </w:tcPr>
          <w:p w:rsidR="000C51CE" w:rsidRPr="000C51CE" w:rsidRDefault="003174D0" w:rsidP="003174D0">
            <w:pPr>
              <w:spacing w:after="0"/>
              <w:jc w:val="center"/>
              <w:cnfStyle w:val="100000000000" w:firstRow="1" w:lastRow="0" w:firstColumn="0" w:lastColumn="0" w:oddVBand="0" w:evenVBand="0" w:oddHBand="0" w:evenHBand="0" w:firstRowFirstColumn="0" w:firstRowLastColumn="0" w:lastRowFirstColumn="0" w:lastRowLastColumn="0"/>
              <w:rPr>
                <w:rFonts w:ascii="Constantia" w:hAnsi="Constantia" w:cs="Arial"/>
                <w:sz w:val="20"/>
                <w:szCs w:val="20"/>
                <w:lang w:val="sr-Latn-CS"/>
              </w:rPr>
            </w:pPr>
            <w:r>
              <w:rPr>
                <w:rFonts w:ascii="Constantia" w:hAnsi="Constantia" w:cs="Arial"/>
                <w:sz w:val="20"/>
                <w:szCs w:val="20"/>
                <w:lang w:val="sr-Latn-CS"/>
              </w:rPr>
              <w:t xml:space="preserve">Ugljen </w:t>
            </w:r>
            <w:r w:rsidR="0024691B">
              <w:rPr>
                <w:rFonts w:ascii="Constantia" w:hAnsi="Constantia" w:cs="Arial"/>
                <w:sz w:val="20"/>
                <w:szCs w:val="20"/>
                <w:lang w:val="sr-Latn-CS"/>
              </w:rPr>
              <w:t>te</w:t>
            </w:r>
            <w:r w:rsidR="000C51CE" w:rsidRPr="000C51CE">
              <w:rPr>
                <w:rFonts w:ascii="Constantia" w:hAnsi="Constantia" w:cs="Arial"/>
                <w:sz w:val="20"/>
                <w:szCs w:val="20"/>
                <w:lang w:val="sr-Latn-CS"/>
              </w:rPr>
              <w:t>t</w:t>
            </w:r>
            <w:r w:rsidR="0024691B">
              <w:rPr>
                <w:rFonts w:ascii="Constantia" w:hAnsi="Constantia" w:cs="Arial"/>
                <w:sz w:val="20"/>
                <w:szCs w:val="20"/>
                <w:lang w:val="sr-Latn-CS"/>
              </w:rPr>
              <w:t>r</w:t>
            </w:r>
            <w:r w:rsidR="000C51CE" w:rsidRPr="000C51CE">
              <w:rPr>
                <w:rFonts w:ascii="Constantia" w:hAnsi="Constantia" w:cs="Arial"/>
                <w:sz w:val="20"/>
                <w:szCs w:val="20"/>
                <w:lang w:val="sr-Latn-CS"/>
              </w:rPr>
              <w:t>a hlorid(t)</w:t>
            </w:r>
          </w:p>
        </w:tc>
        <w:tc>
          <w:tcPr>
            <w:tcW w:w="630" w:type="dxa"/>
            <w:gridSpan w:val="2"/>
            <w:vAlign w:val="center"/>
            <w:hideMark/>
          </w:tcPr>
          <w:p w:rsidR="003174D0" w:rsidRDefault="000C51CE" w:rsidP="003174D0">
            <w:pPr>
              <w:spacing w:after="0"/>
              <w:jc w:val="center"/>
              <w:cnfStyle w:val="100000000000" w:firstRow="1" w:lastRow="0" w:firstColumn="0" w:lastColumn="0" w:oddVBand="0" w:evenVBand="0" w:oddHBand="0" w:evenHBand="0" w:firstRowFirstColumn="0" w:firstRowLastColumn="0" w:lastRowFirstColumn="0" w:lastRowLastColumn="0"/>
              <w:rPr>
                <w:rFonts w:ascii="Constantia" w:hAnsi="Constantia" w:cs="Arial"/>
                <w:sz w:val="20"/>
                <w:szCs w:val="20"/>
                <w:lang w:val="sr-Latn-CS"/>
              </w:rPr>
            </w:pPr>
            <w:r w:rsidRPr="000C51CE">
              <w:rPr>
                <w:rFonts w:ascii="Constantia" w:hAnsi="Constantia" w:cs="Arial"/>
                <w:sz w:val="20"/>
                <w:szCs w:val="20"/>
                <w:lang w:val="sr-Latn-CS"/>
              </w:rPr>
              <w:t>HCFC</w:t>
            </w:r>
          </w:p>
          <w:p w:rsidR="000C51CE" w:rsidRPr="003174D0" w:rsidRDefault="000C51CE" w:rsidP="003174D0">
            <w:pPr>
              <w:spacing w:after="0"/>
              <w:jc w:val="center"/>
              <w:cnfStyle w:val="100000000000" w:firstRow="1" w:lastRow="0" w:firstColumn="0" w:lastColumn="0" w:oddVBand="0" w:evenVBand="0" w:oddHBand="0" w:evenHBand="0" w:firstRowFirstColumn="0" w:firstRowLastColumn="0" w:lastRowFirstColumn="0" w:lastRowLastColumn="0"/>
              <w:rPr>
                <w:rFonts w:ascii="Constantia" w:hAnsi="Constantia" w:cs="Arial"/>
                <w:sz w:val="20"/>
                <w:szCs w:val="20"/>
                <w:lang w:val="sr-Latn-CS"/>
              </w:rPr>
            </w:pPr>
            <w:r w:rsidRPr="000C51CE">
              <w:rPr>
                <w:rFonts w:ascii="Constantia" w:hAnsi="Constantia" w:cs="Arial"/>
                <w:sz w:val="20"/>
                <w:szCs w:val="20"/>
              </w:rPr>
              <w:t>(t)</w:t>
            </w:r>
          </w:p>
        </w:tc>
        <w:tc>
          <w:tcPr>
            <w:tcW w:w="1699" w:type="dxa"/>
            <w:vAlign w:val="center"/>
          </w:tcPr>
          <w:p w:rsidR="003174D0" w:rsidRDefault="000C51CE" w:rsidP="003174D0">
            <w:pPr>
              <w:spacing w:after="0"/>
              <w:jc w:val="center"/>
              <w:cnfStyle w:val="100000000000" w:firstRow="1" w:lastRow="0" w:firstColumn="0" w:lastColumn="0" w:oddVBand="0" w:evenVBand="0" w:oddHBand="0" w:evenHBand="0" w:firstRowFirstColumn="0" w:firstRowLastColumn="0" w:lastRowFirstColumn="0" w:lastRowLastColumn="0"/>
              <w:rPr>
                <w:rFonts w:ascii="Constantia" w:hAnsi="Constantia" w:cs="Arial"/>
                <w:sz w:val="20"/>
                <w:szCs w:val="20"/>
                <w:lang w:val="sr-Latn-CS"/>
              </w:rPr>
            </w:pPr>
            <w:r w:rsidRPr="000C51CE">
              <w:rPr>
                <w:rFonts w:ascii="Constantia" w:hAnsi="Constantia" w:cs="Arial"/>
                <w:sz w:val="20"/>
                <w:szCs w:val="20"/>
                <w:lang w:val="sr-Latn-CS"/>
              </w:rPr>
              <w:t xml:space="preserve">Metil </w:t>
            </w:r>
          </w:p>
          <w:p w:rsidR="000C51CE" w:rsidRPr="000C51CE" w:rsidRDefault="000C51CE" w:rsidP="003174D0">
            <w:pPr>
              <w:spacing w:after="0"/>
              <w:jc w:val="center"/>
              <w:cnfStyle w:val="100000000000" w:firstRow="1" w:lastRow="0" w:firstColumn="0" w:lastColumn="0" w:oddVBand="0" w:evenVBand="0" w:oddHBand="0" w:evenHBand="0" w:firstRowFirstColumn="0" w:firstRowLastColumn="0" w:lastRowFirstColumn="0" w:lastRowLastColumn="0"/>
              <w:rPr>
                <w:rFonts w:ascii="Constantia" w:hAnsi="Constantia" w:cs="Arial"/>
                <w:sz w:val="20"/>
                <w:szCs w:val="20"/>
                <w:lang w:val="sr-Latn-CS"/>
              </w:rPr>
            </w:pPr>
            <w:r w:rsidRPr="000C51CE">
              <w:rPr>
                <w:rFonts w:ascii="Constantia" w:hAnsi="Constantia" w:cs="Arial"/>
                <w:sz w:val="20"/>
                <w:szCs w:val="20"/>
                <w:lang w:val="sr-Latn-CS"/>
              </w:rPr>
              <w:t>bromid (t)</w:t>
            </w:r>
          </w:p>
          <w:p w:rsidR="000C51CE" w:rsidRPr="000C51CE" w:rsidRDefault="000C51CE" w:rsidP="003174D0">
            <w:pPr>
              <w:spacing w:after="0"/>
              <w:jc w:val="center"/>
              <w:cnfStyle w:val="100000000000" w:firstRow="1" w:lastRow="0" w:firstColumn="0" w:lastColumn="0" w:oddVBand="0" w:evenVBand="0" w:oddHBand="0" w:evenHBand="0" w:firstRowFirstColumn="0" w:firstRowLastColumn="0" w:lastRowFirstColumn="0" w:lastRowLastColumn="0"/>
              <w:rPr>
                <w:rFonts w:ascii="Constantia" w:hAnsi="Constantia" w:cs="Arial"/>
                <w:sz w:val="20"/>
                <w:szCs w:val="20"/>
                <w:lang w:val="sr-Latn-CS"/>
              </w:rPr>
            </w:pPr>
          </w:p>
        </w:tc>
      </w:tr>
      <w:tr w:rsidR="003174D0" w:rsidRPr="000C51CE" w:rsidTr="002C44AB">
        <w:trPr>
          <w:cnfStyle w:val="000000100000" w:firstRow="0" w:lastRow="0" w:firstColumn="0" w:lastColumn="0" w:oddVBand="0" w:evenVBand="0" w:oddHBand="1" w:evenHBand="0" w:firstRowFirstColumn="0" w:firstRowLastColumn="0" w:lastRowFirstColumn="0" w:lastRowLastColumn="0"/>
          <w:trHeight w:val="166"/>
          <w:jc w:val="center"/>
        </w:trPr>
        <w:tc>
          <w:tcPr>
            <w:cnfStyle w:val="001000000000" w:firstRow="0" w:lastRow="0" w:firstColumn="1" w:lastColumn="0" w:oddVBand="0" w:evenVBand="0" w:oddHBand="0" w:evenHBand="0" w:firstRowFirstColumn="0" w:firstRowLastColumn="0" w:lastRowFirstColumn="0" w:lastRowLastColumn="0"/>
            <w:tcW w:w="2956" w:type="dxa"/>
            <w:tcBorders>
              <w:top w:val="single" w:sz="8" w:space="0" w:color="B3DE86" w:themeColor="accent5" w:themeTint="BF"/>
              <w:left w:val="single" w:sz="8" w:space="0" w:color="B3DE86" w:themeColor="accent5" w:themeTint="BF"/>
              <w:bottom w:val="single" w:sz="8" w:space="0" w:color="B3DE86" w:themeColor="accent5" w:themeTint="BF"/>
            </w:tcBorders>
            <w:vAlign w:val="center"/>
            <w:hideMark/>
          </w:tcPr>
          <w:p w:rsidR="000C51CE" w:rsidRPr="000C51CE" w:rsidRDefault="00361B67" w:rsidP="00361B67">
            <w:pPr>
              <w:spacing w:after="0"/>
              <w:jc w:val="left"/>
              <w:rPr>
                <w:rFonts w:ascii="Constantia" w:hAnsi="Constantia" w:cs="Arial"/>
                <w:sz w:val="20"/>
                <w:szCs w:val="20"/>
                <w:lang w:val="sr-Latn-CS"/>
              </w:rPr>
            </w:pPr>
            <w:r>
              <w:rPr>
                <w:rFonts w:ascii="Constantia" w:hAnsi="Constantia" w:cs="Arial"/>
                <w:sz w:val="20"/>
                <w:szCs w:val="20"/>
                <w:lang w:val="sr-Latn-CS"/>
              </w:rPr>
              <w:t>1995</w:t>
            </w:r>
            <w:r w:rsidR="000C51CE" w:rsidRPr="000C51CE">
              <w:rPr>
                <w:rFonts w:ascii="Constantia" w:hAnsi="Constantia" w:cs="Arial"/>
                <w:sz w:val="20"/>
                <w:szCs w:val="20"/>
                <w:lang w:val="sr-Latn-CS"/>
              </w:rPr>
              <w:t>-1996-1997. godina (bazni period)</w:t>
            </w:r>
          </w:p>
        </w:tc>
        <w:tc>
          <w:tcPr>
            <w:tcW w:w="959" w:type="dxa"/>
            <w:tcBorders>
              <w:top w:val="single" w:sz="8" w:space="0" w:color="B3DE86" w:themeColor="accent5" w:themeTint="BF"/>
              <w:bottom w:val="single" w:sz="8" w:space="0" w:color="B3DE86" w:themeColor="accent5" w:themeTint="BF"/>
            </w:tcBorders>
            <w:vAlign w:val="center"/>
            <w:hideMark/>
          </w:tcPr>
          <w:p w:rsidR="000C51CE" w:rsidRPr="000C51CE" w:rsidRDefault="000C51CE" w:rsidP="000C51CE">
            <w:pPr>
              <w:spacing w:after="0"/>
              <w:jc w:val="center"/>
              <w:cnfStyle w:val="000000100000" w:firstRow="0" w:lastRow="0" w:firstColumn="0" w:lastColumn="0" w:oddVBand="0" w:evenVBand="0" w:oddHBand="1" w:evenHBand="0" w:firstRowFirstColumn="0" w:firstRowLastColumn="0" w:lastRowFirstColumn="0" w:lastRowLastColumn="0"/>
              <w:rPr>
                <w:rFonts w:ascii="Constantia" w:hAnsi="Constantia" w:cs="Arial"/>
                <w:sz w:val="20"/>
                <w:szCs w:val="20"/>
                <w:lang w:val="sr-Latn-CS"/>
              </w:rPr>
            </w:pPr>
            <w:r w:rsidRPr="000C51CE">
              <w:rPr>
                <w:rFonts w:ascii="Constantia" w:hAnsi="Constantia" w:cs="Arial"/>
                <w:sz w:val="20"/>
                <w:szCs w:val="20"/>
                <w:lang w:val="sr-Latn-CS"/>
              </w:rPr>
              <w:t>105,2</w:t>
            </w:r>
          </w:p>
        </w:tc>
        <w:tc>
          <w:tcPr>
            <w:tcW w:w="1111" w:type="dxa"/>
            <w:tcBorders>
              <w:top w:val="single" w:sz="8" w:space="0" w:color="B3DE86" w:themeColor="accent5" w:themeTint="BF"/>
              <w:bottom w:val="single" w:sz="8" w:space="0" w:color="B3DE86" w:themeColor="accent5" w:themeTint="BF"/>
            </w:tcBorders>
            <w:vAlign w:val="center"/>
            <w:hideMark/>
          </w:tcPr>
          <w:p w:rsidR="000C51CE" w:rsidRPr="000C51CE" w:rsidRDefault="000C51CE" w:rsidP="000C51CE">
            <w:pPr>
              <w:spacing w:after="0"/>
              <w:jc w:val="center"/>
              <w:cnfStyle w:val="000000100000" w:firstRow="0" w:lastRow="0" w:firstColumn="0" w:lastColumn="0" w:oddVBand="0" w:evenVBand="0" w:oddHBand="1" w:evenHBand="0" w:firstRowFirstColumn="0" w:firstRowLastColumn="0" w:lastRowFirstColumn="0" w:lastRowLastColumn="0"/>
              <w:rPr>
                <w:rFonts w:ascii="Constantia" w:hAnsi="Constantia" w:cs="Arial"/>
                <w:sz w:val="20"/>
                <w:szCs w:val="20"/>
                <w:lang w:val="sr-Latn-CS"/>
              </w:rPr>
            </w:pPr>
            <w:r w:rsidRPr="000C51CE">
              <w:rPr>
                <w:rFonts w:ascii="Constantia" w:hAnsi="Constantia" w:cs="Arial"/>
                <w:sz w:val="20"/>
                <w:szCs w:val="20"/>
                <w:lang w:val="sr-Latn-CS"/>
              </w:rPr>
              <w:t>0,3</w:t>
            </w:r>
          </w:p>
        </w:tc>
        <w:tc>
          <w:tcPr>
            <w:tcW w:w="1371" w:type="dxa"/>
            <w:tcBorders>
              <w:top w:val="single" w:sz="8" w:space="0" w:color="B3DE86" w:themeColor="accent5" w:themeTint="BF"/>
              <w:bottom w:val="single" w:sz="8" w:space="0" w:color="B3DE86" w:themeColor="accent5" w:themeTint="BF"/>
            </w:tcBorders>
            <w:vAlign w:val="center"/>
            <w:hideMark/>
          </w:tcPr>
          <w:p w:rsidR="000C51CE" w:rsidRPr="000C51CE" w:rsidRDefault="000C51CE" w:rsidP="000C51CE">
            <w:pPr>
              <w:spacing w:after="0"/>
              <w:jc w:val="center"/>
              <w:cnfStyle w:val="000000100000" w:firstRow="0" w:lastRow="0" w:firstColumn="0" w:lastColumn="0" w:oddVBand="0" w:evenVBand="0" w:oddHBand="1" w:evenHBand="0" w:firstRowFirstColumn="0" w:firstRowLastColumn="0" w:lastRowFirstColumn="0" w:lastRowLastColumn="0"/>
              <w:rPr>
                <w:rFonts w:ascii="Constantia" w:hAnsi="Constantia" w:cs="Arial"/>
                <w:sz w:val="20"/>
                <w:szCs w:val="20"/>
                <w:lang w:val="sr-Latn-CS"/>
              </w:rPr>
            </w:pPr>
            <w:r w:rsidRPr="000C51CE">
              <w:rPr>
                <w:rFonts w:ascii="Constantia" w:hAnsi="Constantia" w:cs="Arial"/>
                <w:sz w:val="20"/>
                <w:szCs w:val="20"/>
                <w:lang w:val="sr-Latn-CS"/>
              </w:rPr>
              <w:t>-</w:t>
            </w:r>
          </w:p>
        </w:tc>
        <w:tc>
          <w:tcPr>
            <w:tcW w:w="630" w:type="dxa"/>
            <w:gridSpan w:val="2"/>
            <w:tcBorders>
              <w:top w:val="single" w:sz="8" w:space="0" w:color="B3DE86" w:themeColor="accent5" w:themeTint="BF"/>
              <w:bottom w:val="single" w:sz="8" w:space="0" w:color="B3DE86" w:themeColor="accent5" w:themeTint="BF"/>
            </w:tcBorders>
            <w:vAlign w:val="center"/>
            <w:hideMark/>
          </w:tcPr>
          <w:p w:rsidR="000C51CE" w:rsidRPr="000C51CE" w:rsidRDefault="000C51CE" w:rsidP="003174D0">
            <w:pPr>
              <w:spacing w:after="0"/>
              <w:jc w:val="center"/>
              <w:cnfStyle w:val="000000100000" w:firstRow="0" w:lastRow="0" w:firstColumn="0" w:lastColumn="0" w:oddVBand="0" w:evenVBand="0" w:oddHBand="1" w:evenHBand="0" w:firstRowFirstColumn="0" w:firstRowLastColumn="0" w:lastRowFirstColumn="0" w:lastRowLastColumn="0"/>
              <w:rPr>
                <w:rFonts w:ascii="Constantia" w:hAnsi="Constantia" w:cs="Arial"/>
                <w:sz w:val="20"/>
                <w:szCs w:val="20"/>
                <w:lang w:val="sr-Latn-CS"/>
              </w:rPr>
            </w:pPr>
            <w:r w:rsidRPr="000C51CE">
              <w:rPr>
                <w:rFonts w:ascii="Constantia" w:hAnsi="Constantia" w:cs="Arial"/>
                <w:sz w:val="20"/>
                <w:szCs w:val="20"/>
                <w:lang w:val="sr-Latn-CS"/>
              </w:rPr>
              <w:t>-</w:t>
            </w:r>
          </w:p>
        </w:tc>
        <w:tc>
          <w:tcPr>
            <w:tcW w:w="1699" w:type="dxa"/>
            <w:tcBorders>
              <w:top w:val="single" w:sz="8" w:space="0" w:color="B3DE86" w:themeColor="accent5" w:themeTint="BF"/>
              <w:bottom w:val="single" w:sz="8" w:space="0" w:color="B3DE86" w:themeColor="accent5" w:themeTint="BF"/>
              <w:right w:val="single" w:sz="8" w:space="0" w:color="B3DE86" w:themeColor="accent5" w:themeTint="BF"/>
            </w:tcBorders>
            <w:vAlign w:val="center"/>
            <w:hideMark/>
          </w:tcPr>
          <w:p w:rsidR="000C51CE" w:rsidRPr="000C51CE" w:rsidRDefault="000C51CE" w:rsidP="000C51CE">
            <w:pPr>
              <w:spacing w:after="0"/>
              <w:jc w:val="center"/>
              <w:cnfStyle w:val="000000100000" w:firstRow="0" w:lastRow="0" w:firstColumn="0" w:lastColumn="0" w:oddVBand="0" w:evenVBand="0" w:oddHBand="1" w:evenHBand="0" w:firstRowFirstColumn="0" w:firstRowLastColumn="0" w:lastRowFirstColumn="0" w:lastRowLastColumn="0"/>
              <w:rPr>
                <w:rFonts w:ascii="Constantia" w:hAnsi="Constantia" w:cs="Arial"/>
                <w:sz w:val="20"/>
                <w:szCs w:val="20"/>
                <w:lang w:val="sr-Latn-CS"/>
              </w:rPr>
            </w:pPr>
            <w:r w:rsidRPr="000C51CE">
              <w:rPr>
                <w:rFonts w:ascii="Constantia" w:hAnsi="Constantia" w:cs="Arial"/>
                <w:sz w:val="20"/>
                <w:szCs w:val="20"/>
                <w:lang w:val="sr-Latn-CS"/>
              </w:rPr>
              <w:t>-</w:t>
            </w:r>
          </w:p>
        </w:tc>
      </w:tr>
      <w:tr w:rsidR="003174D0" w:rsidRPr="000C51CE" w:rsidTr="002C44AB">
        <w:trPr>
          <w:cnfStyle w:val="000000010000" w:firstRow="0" w:lastRow="0" w:firstColumn="0" w:lastColumn="0" w:oddVBand="0" w:evenVBand="0" w:oddHBand="0" w:evenHBand="1" w:firstRowFirstColumn="0" w:firstRowLastColumn="0" w:lastRowFirstColumn="0" w:lastRowLastColumn="0"/>
          <w:trHeight w:val="166"/>
          <w:jc w:val="center"/>
        </w:trPr>
        <w:tc>
          <w:tcPr>
            <w:cnfStyle w:val="001000000000" w:firstRow="0" w:lastRow="0" w:firstColumn="1" w:lastColumn="0" w:oddVBand="0" w:evenVBand="0" w:oddHBand="0" w:evenHBand="0" w:firstRowFirstColumn="0" w:firstRowLastColumn="0" w:lastRowFirstColumn="0" w:lastRowLastColumn="0"/>
            <w:tcW w:w="2956" w:type="dxa"/>
            <w:tcBorders>
              <w:top w:val="single" w:sz="8" w:space="0" w:color="B3DE86" w:themeColor="accent5" w:themeTint="BF"/>
              <w:left w:val="single" w:sz="8" w:space="0" w:color="B3DE86" w:themeColor="accent5" w:themeTint="BF"/>
              <w:bottom w:val="single" w:sz="8" w:space="0" w:color="B3DE86" w:themeColor="accent5" w:themeTint="BF"/>
            </w:tcBorders>
            <w:vAlign w:val="center"/>
            <w:hideMark/>
          </w:tcPr>
          <w:p w:rsidR="000C51CE" w:rsidRPr="000C51CE" w:rsidRDefault="00361B67" w:rsidP="000C51CE">
            <w:pPr>
              <w:spacing w:after="0"/>
              <w:jc w:val="left"/>
              <w:rPr>
                <w:rFonts w:ascii="Constantia" w:hAnsi="Constantia" w:cs="Arial"/>
                <w:sz w:val="20"/>
                <w:szCs w:val="20"/>
                <w:lang w:val="sr-Latn-CS"/>
              </w:rPr>
            </w:pPr>
            <w:r>
              <w:rPr>
                <w:rFonts w:ascii="Constantia" w:hAnsi="Constantia" w:cs="Arial"/>
                <w:sz w:val="20"/>
                <w:szCs w:val="20"/>
                <w:lang w:val="sr-Latn-CS"/>
              </w:rPr>
              <w:t>1995-1996-199</w:t>
            </w:r>
            <w:r w:rsidR="000C51CE" w:rsidRPr="000C51CE">
              <w:rPr>
                <w:rFonts w:ascii="Constantia" w:hAnsi="Constantia" w:cs="Arial"/>
                <w:sz w:val="20"/>
                <w:szCs w:val="20"/>
                <w:lang w:val="sr-Latn-CS"/>
              </w:rPr>
              <w:t>.-1998. godina (bazni period)</w:t>
            </w:r>
          </w:p>
        </w:tc>
        <w:tc>
          <w:tcPr>
            <w:tcW w:w="959" w:type="dxa"/>
            <w:tcBorders>
              <w:top w:val="single" w:sz="8" w:space="0" w:color="B3DE86" w:themeColor="accent5" w:themeTint="BF"/>
              <w:bottom w:val="single" w:sz="8" w:space="0" w:color="B3DE86" w:themeColor="accent5" w:themeTint="BF"/>
            </w:tcBorders>
            <w:vAlign w:val="center"/>
            <w:hideMark/>
          </w:tcPr>
          <w:p w:rsidR="000C51CE" w:rsidRPr="000C51CE" w:rsidRDefault="000C51CE" w:rsidP="000C51CE">
            <w:pPr>
              <w:spacing w:after="0"/>
              <w:jc w:val="center"/>
              <w:cnfStyle w:val="000000010000" w:firstRow="0" w:lastRow="0" w:firstColumn="0" w:lastColumn="0" w:oddVBand="0" w:evenVBand="0" w:oddHBand="0" w:evenHBand="1" w:firstRowFirstColumn="0" w:firstRowLastColumn="0" w:lastRowFirstColumn="0" w:lastRowLastColumn="0"/>
              <w:rPr>
                <w:rFonts w:ascii="Constantia" w:hAnsi="Constantia" w:cs="Arial"/>
                <w:sz w:val="20"/>
                <w:szCs w:val="20"/>
                <w:lang w:val="sr-Latn-CS"/>
              </w:rPr>
            </w:pPr>
            <w:r w:rsidRPr="000C51CE">
              <w:rPr>
                <w:rFonts w:ascii="Constantia" w:hAnsi="Constantia" w:cs="Arial"/>
                <w:sz w:val="20"/>
                <w:szCs w:val="20"/>
                <w:lang w:val="sr-Latn-CS"/>
              </w:rPr>
              <w:t>-</w:t>
            </w:r>
          </w:p>
        </w:tc>
        <w:tc>
          <w:tcPr>
            <w:tcW w:w="1111" w:type="dxa"/>
            <w:tcBorders>
              <w:top w:val="single" w:sz="8" w:space="0" w:color="B3DE86" w:themeColor="accent5" w:themeTint="BF"/>
              <w:bottom w:val="single" w:sz="8" w:space="0" w:color="B3DE86" w:themeColor="accent5" w:themeTint="BF"/>
            </w:tcBorders>
            <w:vAlign w:val="center"/>
            <w:hideMark/>
          </w:tcPr>
          <w:p w:rsidR="000C51CE" w:rsidRPr="000C51CE" w:rsidRDefault="000C51CE" w:rsidP="000C51CE">
            <w:pPr>
              <w:spacing w:after="0"/>
              <w:jc w:val="center"/>
              <w:cnfStyle w:val="000000010000" w:firstRow="0" w:lastRow="0" w:firstColumn="0" w:lastColumn="0" w:oddVBand="0" w:evenVBand="0" w:oddHBand="0" w:evenHBand="1" w:firstRowFirstColumn="0" w:firstRowLastColumn="0" w:lastRowFirstColumn="0" w:lastRowLastColumn="0"/>
              <w:rPr>
                <w:rFonts w:ascii="Constantia" w:hAnsi="Constantia" w:cs="Arial"/>
                <w:sz w:val="20"/>
                <w:szCs w:val="20"/>
                <w:lang w:val="sr-Latn-CS"/>
              </w:rPr>
            </w:pPr>
            <w:r w:rsidRPr="000C51CE">
              <w:rPr>
                <w:rFonts w:ascii="Constantia" w:hAnsi="Constantia" w:cs="Arial"/>
                <w:sz w:val="20"/>
                <w:szCs w:val="20"/>
                <w:lang w:val="sr-Latn-CS"/>
              </w:rPr>
              <w:t>-</w:t>
            </w:r>
          </w:p>
        </w:tc>
        <w:tc>
          <w:tcPr>
            <w:tcW w:w="1731" w:type="dxa"/>
            <w:gridSpan w:val="2"/>
            <w:tcBorders>
              <w:top w:val="single" w:sz="8" w:space="0" w:color="B3DE86" w:themeColor="accent5" w:themeTint="BF"/>
              <w:bottom w:val="single" w:sz="8" w:space="0" w:color="B3DE86" w:themeColor="accent5" w:themeTint="BF"/>
            </w:tcBorders>
            <w:vAlign w:val="center"/>
            <w:hideMark/>
          </w:tcPr>
          <w:p w:rsidR="000C51CE" w:rsidRPr="000C51CE" w:rsidRDefault="000C51CE" w:rsidP="000C51CE">
            <w:pPr>
              <w:spacing w:after="0"/>
              <w:jc w:val="center"/>
              <w:cnfStyle w:val="000000010000" w:firstRow="0" w:lastRow="0" w:firstColumn="0" w:lastColumn="0" w:oddVBand="0" w:evenVBand="0" w:oddHBand="0" w:evenHBand="1" w:firstRowFirstColumn="0" w:firstRowLastColumn="0" w:lastRowFirstColumn="0" w:lastRowLastColumn="0"/>
              <w:rPr>
                <w:rFonts w:ascii="Constantia" w:hAnsi="Constantia" w:cs="Arial"/>
                <w:sz w:val="20"/>
                <w:szCs w:val="20"/>
                <w:lang w:val="sr-Latn-CS"/>
              </w:rPr>
            </w:pPr>
            <w:r w:rsidRPr="000C51CE">
              <w:rPr>
                <w:rFonts w:ascii="Constantia" w:hAnsi="Constantia" w:cs="Arial"/>
                <w:sz w:val="20"/>
                <w:szCs w:val="20"/>
                <w:lang w:val="sr-Latn-CS"/>
              </w:rPr>
              <w:t>-</w:t>
            </w:r>
          </w:p>
        </w:tc>
        <w:tc>
          <w:tcPr>
            <w:tcW w:w="270" w:type="dxa"/>
            <w:tcBorders>
              <w:top w:val="single" w:sz="8" w:space="0" w:color="B3DE86" w:themeColor="accent5" w:themeTint="BF"/>
              <w:bottom w:val="single" w:sz="8" w:space="0" w:color="B3DE86" w:themeColor="accent5" w:themeTint="BF"/>
            </w:tcBorders>
            <w:vAlign w:val="center"/>
            <w:hideMark/>
          </w:tcPr>
          <w:p w:rsidR="000C51CE" w:rsidRPr="000C51CE" w:rsidRDefault="000C51CE" w:rsidP="003174D0">
            <w:pPr>
              <w:spacing w:after="0"/>
              <w:jc w:val="center"/>
              <w:cnfStyle w:val="000000010000" w:firstRow="0" w:lastRow="0" w:firstColumn="0" w:lastColumn="0" w:oddVBand="0" w:evenVBand="0" w:oddHBand="0" w:evenHBand="1" w:firstRowFirstColumn="0" w:firstRowLastColumn="0" w:lastRowFirstColumn="0" w:lastRowLastColumn="0"/>
              <w:rPr>
                <w:rFonts w:ascii="Constantia" w:hAnsi="Constantia" w:cs="Arial"/>
                <w:sz w:val="20"/>
                <w:szCs w:val="20"/>
                <w:lang w:val="sr-Latn-CS"/>
              </w:rPr>
            </w:pPr>
            <w:r w:rsidRPr="000C51CE">
              <w:rPr>
                <w:rFonts w:ascii="Constantia" w:hAnsi="Constantia" w:cs="Arial"/>
                <w:sz w:val="20"/>
                <w:szCs w:val="20"/>
                <w:lang w:val="sr-Latn-CS"/>
              </w:rPr>
              <w:t>-</w:t>
            </w:r>
          </w:p>
        </w:tc>
        <w:tc>
          <w:tcPr>
            <w:tcW w:w="1699" w:type="dxa"/>
            <w:tcBorders>
              <w:top w:val="single" w:sz="8" w:space="0" w:color="B3DE86" w:themeColor="accent5" w:themeTint="BF"/>
              <w:bottom w:val="single" w:sz="8" w:space="0" w:color="B3DE86" w:themeColor="accent5" w:themeTint="BF"/>
              <w:right w:val="single" w:sz="8" w:space="0" w:color="B3DE86" w:themeColor="accent5" w:themeTint="BF"/>
            </w:tcBorders>
            <w:vAlign w:val="center"/>
            <w:hideMark/>
          </w:tcPr>
          <w:p w:rsidR="000C51CE" w:rsidRPr="000C51CE" w:rsidRDefault="000C51CE" w:rsidP="000C51CE">
            <w:pPr>
              <w:spacing w:after="0"/>
              <w:jc w:val="center"/>
              <w:cnfStyle w:val="000000010000" w:firstRow="0" w:lastRow="0" w:firstColumn="0" w:lastColumn="0" w:oddVBand="0" w:evenVBand="0" w:oddHBand="0" w:evenHBand="1" w:firstRowFirstColumn="0" w:firstRowLastColumn="0" w:lastRowFirstColumn="0" w:lastRowLastColumn="0"/>
              <w:rPr>
                <w:rFonts w:ascii="Constantia" w:hAnsi="Constantia" w:cs="Arial"/>
                <w:sz w:val="20"/>
                <w:szCs w:val="20"/>
                <w:lang w:val="sr-Latn-CS"/>
              </w:rPr>
            </w:pPr>
            <w:r w:rsidRPr="000C51CE">
              <w:rPr>
                <w:rFonts w:ascii="Constantia" w:hAnsi="Constantia" w:cs="Arial"/>
                <w:sz w:val="20"/>
                <w:szCs w:val="20"/>
                <w:lang w:val="sr-Latn-CS"/>
              </w:rPr>
              <w:t>0,025</w:t>
            </w:r>
          </w:p>
        </w:tc>
      </w:tr>
      <w:tr w:rsidR="003174D0" w:rsidRPr="000C51CE" w:rsidTr="002C44AB">
        <w:trPr>
          <w:cnfStyle w:val="000000100000" w:firstRow="0" w:lastRow="0" w:firstColumn="0" w:lastColumn="0" w:oddVBand="0" w:evenVBand="0" w:oddHBand="1" w:evenHBand="0" w:firstRowFirstColumn="0" w:firstRowLastColumn="0" w:lastRowFirstColumn="0" w:lastRowLastColumn="0"/>
          <w:trHeight w:val="154"/>
          <w:jc w:val="center"/>
        </w:trPr>
        <w:tc>
          <w:tcPr>
            <w:cnfStyle w:val="001000000000" w:firstRow="0" w:lastRow="0" w:firstColumn="1" w:lastColumn="0" w:oddVBand="0" w:evenVBand="0" w:oddHBand="0" w:evenHBand="0" w:firstRowFirstColumn="0" w:firstRowLastColumn="0" w:lastRowFirstColumn="0" w:lastRowLastColumn="0"/>
            <w:tcW w:w="2956" w:type="dxa"/>
            <w:tcBorders>
              <w:top w:val="single" w:sz="8" w:space="0" w:color="B3DE86" w:themeColor="accent5" w:themeTint="BF"/>
              <w:left w:val="single" w:sz="8" w:space="0" w:color="B3DE86" w:themeColor="accent5" w:themeTint="BF"/>
              <w:bottom w:val="single" w:sz="8" w:space="0" w:color="B3DE86" w:themeColor="accent5" w:themeTint="BF"/>
            </w:tcBorders>
            <w:vAlign w:val="center"/>
            <w:hideMark/>
          </w:tcPr>
          <w:p w:rsidR="000C51CE" w:rsidRPr="000C51CE" w:rsidRDefault="00361B67" w:rsidP="000C51CE">
            <w:pPr>
              <w:spacing w:after="0"/>
              <w:jc w:val="left"/>
              <w:rPr>
                <w:rFonts w:ascii="Constantia" w:hAnsi="Constantia" w:cs="Arial"/>
                <w:sz w:val="20"/>
                <w:szCs w:val="20"/>
                <w:lang w:val="sr-Latn-CS"/>
              </w:rPr>
            </w:pPr>
            <w:r>
              <w:rPr>
                <w:rFonts w:ascii="Constantia" w:hAnsi="Constantia" w:cs="Arial"/>
                <w:sz w:val="20"/>
                <w:szCs w:val="20"/>
                <w:lang w:val="sr-Latn-CS"/>
              </w:rPr>
              <w:t>1998-1999</w:t>
            </w:r>
            <w:r w:rsidR="000C51CE" w:rsidRPr="000C51CE">
              <w:rPr>
                <w:rFonts w:ascii="Constantia" w:hAnsi="Constantia" w:cs="Arial"/>
                <w:sz w:val="20"/>
                <w:szCs w:val="20"/>
                <w:lang w:val="sr-Latn-CS"/>
              </w:rPr>
              <w:t>-2000. godina (bazni period)</w:t>
            </w:r>
          </w:p>
        </w:tc>
        <w:tc>
          <w:tcPr>
            <w:tcW w:w="959" w:type="dxa"/>
            <w:tcBorders>
              <w:top w:val="single" w:sz="8" w:space="0" w:color="B3DE86" w:themeColor="accent5" w:themeTint="BF"/>
              <w:bottom w:val="single" w:sz="8" w:space="0" w:color="B3DE86" w:themeColor="accent5" w:themeTint="BF"/>
            </w:tcBorders>
            <w:vAlign w:val="center"/>
            <w:hideMark/>
          </w:tcPr>
          <w:p w:rsidR="000C51CE" w:rsidRPr="000C51CE" w:rsidRDefault="000C51CE" w:rsidP="000C51CE">
            <w:pPr>
              <w:spacing w:after="0"/>
              <w:jc w:val="center"/>
              <w:cnfStyle w:val="000000100000" w:firstRow="0" w:lastRow="0" w:firstColumn="0" w:lastColumn="0" w:oddVBand="0" w:evenVBand="0" w:oddHBand="1" w:evenHBand="0" w:firstRowFirstColumn="0" w:firstRowLastColumn="0" w:lastRowFirstColumn="0" w:lastRowLastColumn="0"/>
              <w:rPr>
                <w:rFonts w:ascii="Constantia" w:hAnsi="Constantia" w:cs="Arial"/>
                <w:sz w:val="20"/>
                <w:szCs w:val="20"/>
                <w:lang w:val="sr-Latn-CS"/>
              </w:rPr>
            </w:pPr>
            <w:r w:rsidRPr="000C51CE">
              <w:rPr>
                <w:rFonts w:ascii="Constantia" w:hAnsi="Constantia" w:cs="Arial"/>
                <w:sz w:val="20"/>
                <w:szCs w:val="20"/>
                <w:lang w:val="sr-Latn-CS"/>
              </w:rPr>
              <w:t>-</w:t>
            </w:r>
          </w:p>
        </w:tc>
        <w:tc>
          <w:tcPr>
            <w:tcW w:w="1111" w:type="dxa"/>
            <w:tcBorders>
              <w:top w:val="single" w:sz="8" w:space="0" w:color="B3DE86" w:themeColor="accent5" w:themeTint="BF"/>
              <w:bottom w:val="single" w:sz="8" w:space="0" w:color="B3DE86" w:themeColor="accent5" w:themeTint="BF"/>
            </w:tcBorders>
            <w:vAlign w:val="center"/>
            <w:hideMark/>
          </w:tcPr>
          <w:p w:rsidR="000C51CE" w:rsidRPr="000C51CE" w:rsidRDefault="000C51CE" w:rsidP="000C51CE">
            <w:pPr>
              <w:spacing w:after="0"/>
              <w:jc w:val="center"/>
              <w:cnfStyle w:val="000000100000" w:firstRow="0" w:lastRow="0" w:firstColumn="0" w:lastColumn="0" w:oddVBand="0" w:evenVBand="0" w:oddHBand="1" w:evenHBand="0" w:firstRowFirstColumn="0" w:firstRowLastColumn="0" w:lastRowFirstColumn="0" w:lastRowLastColumn="0"/>
              <w:rPr>
                <w:rFonts w:ascii="Constantia" w:hAnsi="Constantia" w:cs="Arial"/>
                <w:sz w:val="20"/>
                <w:szCs w:val="20"/>
                <w:lang w:val="sr-Latn-CS"/>
              </w:rPr>
            </w:pPr>
            <w:r w:rsidRPr="000C51CE">
              <w:rPr>
                <w:rFonts w:ascii="Constantia" w:hAnsi="Constantia" w:cs="Arial"/>
                <w:sz w:val="20"/>
                <w:szCs w:val="20"/>
                <w:lang w:val="sr-Latn-CS"/>
              </w:rPr>
              <w:t>-</w:t>
            </w:r>
          </w:p>
        </w:tc>
        <w:tc>
          <w:tcPr>
            <w:tcW w:w="1371" w:type="dxa"/>
            <w:tcBorders>
              <w:top w:val="single" w:sz="8" w:space="0" w:color="B3DE86" w:themeColor="accent5" w:themeTint="BF"/>
              <w:bottom w:val="single" w:sz="8" w:space="0" w:color="B3DE86" w:themeColor="accent5" w:themeTint="BF"/>
            </w:tcBorders>
            <w:vAlign w:val="center"/>
            <w:hideMark/>
          </w:tcPr>
          <w:p w:rsidR="000C51CE" w:rsidRPr="000C51CE" w:rsidRDefault="000C51CE" w:rsidP="000C51CE">
            <w:pPr>
              <w:spacing w:after="0"/>
              <w:jc w:val="center"/>
              <w:cnfStyle w:val="000000100000" w:firstRow="0" w:lastRow="0" w:firstColumn="0" w:lastColumn="0" w:oddVBand="0" w:evenVBand="0" w:oddHBand="1" w:evenHBand="0" w:firstRowFirstColumn="0" w:firstRowLastColumn="0" w:lastRowFirstColumn="0" w:lastRowLastColumn="0"/>
              <w:rPr>
                <w:rFonts w:ascii="Constantia" w:hAnsi="Constantia" w:cs="Arial"/>
                <w:sz w:val="20"/>
                <w:szCs w:val="20"/>
                <w:lang w:val="sr-Latn-CS"/>
              </w:rPr>
            </w:pPr>
            <w:r w:rsidRPr="000C51CE">
              <w:rPr>
                <w:rFonts w:ascii="Constantia" w:hAnsi="Constantia" w:cs="Arial"/>
                <w:sz w:val="20"/>
                <w:szCs w:val="20"/>
                <w:lang w:val="sr-Latn-CS"/>
              </w:rPr>
              <w:t>1</w:t>
            </w:r>
          </w:p>
        </w:tc>
        <w:tc>
          <w:tcPr>
            <w:tcW w:w="630" w:type="dxa"/>
            <w:gridSpan w:val="2"/>
            <w:tcBorders>
              <w:top w:val="single" w:sz="8" w:space="0" w:color="B3DE86" w:themeColor="accent5" w:themeTint="BF"/>
              <w:bottom w:val="single" w:sz="8" w:space="0" w:color="B3DE86" w:themeColor="accent5" w:themeTint="BF"/>
            </w:tcBorders>
            <w:vAlign w:val="center"/>
            <w:hideMark/>
          </w:tcPr>
          <w:p w:rsidR="000C51CE" w:rsidRPr="000C51CE" w:rsidRDefault="000C51CE" w:rsidP="003174D0">
            <w:pPr>
              <w:spacing w:after="0"/>
              <w:jc w:val="center"/>
              <w:cnfStyle w:val="000000100000" w:firstRow="0" w:lastRow="0" w:firstColumn="0" w:lastColumn="0" w:oddVBand="0" w:evenVBand="0" w:oddHBand="1" w:evenHBand="0" w:firstRowFirstColumn="0" w:firstRowLastColumn="0" w:lastRowFirstColumn="0" w:lastRowLastColumn="0"/>
              <w:rPr>
                <w:rFonts w:ascii="Constantia" w:hAnsi="Constantia" w:cs="Arial"/>
                <w:sz w:val="20"/>
                <w:szCs w:val="20"/>
                <w:lang w:val="sr-Latn-CS"/>
              </w:rPr>
            </w:pPr>
            <w:r w:rsidRPr="000C51CE">
              <w:rPr>
                <w:rFonts w:ascii="Constantia" w:hAnsi="Constantia" w:cs="Arial"/>
                <w:sz w:val="20"/>
                <w:szCs w:val="20"/>
                <w:lang w:val="sr-Latn-CS"/>
              </w:rPr>
              <w:t>-</w:t>
            </w:r>
          </w:p>
        </w:tc>
        <w:tc>
          <w:tcPr>
            <w:tcW w:w="1699" w:type="dxa"/>
            <w:tcBorders>
              <w:top w:val="single" w:sz="8" w:space="0" w:color="B3DE86" w:themeColor="accent5" w:themeTint="BF"/>
              <w:bottom w:val="single" w:sz="8" w:space="0" w:color="B3DE86" w:themeColor="accent5" w:themeTint="BF"/>
              <w:right w:val="single" w:sz="8" w:space="0" w:color="B3DE86" w:themeColor="accent5" w:themeTint="BF"/>
            </w:tcBorders>
            <w:vAlign w:val="center"/>
            <w:hideMark/>
          </w:tcPr>
          <w:p w:rsidR="000C51CE" w:rsidRPr="000C51CE" w:rsidRDefault="000C51CE" w:rsidP="000C51CE">
            <w:pPr>
              <w:spacing w:after="0"/>
              <w:jc w:val="center"/>
              <w:cnfStyle w:val="000000100000" w:firstRow="0" w:lastRow="0" w:firstColumn="0" w:lastColumn="0" w:oddVBand="0" w:evenVBand="0" w:oddHBand="1" w:evenHBand="0" w:firstRowFirstColumn="0" w:firstRowLastColumn="0" w:lastRowFirstColumn="0" w:lastRowLastColumn="0"/>
              <w:rPr>
                <w:rFonts w:ascii="Constantia" w:hAnsi="Constantia" w:cs="Arial"/>
                <w:sz w:val="20"/>
                <w:szCs w:val="20"/>
                <w:lang w:val="sr-Latn-CS"/>
              </w:rPr>
            </w:pPr>
            <w:r w:rsidRPr="000C51CE">
              <w:rPr>
                <w:rFonts w:ascii="Constantia" w:hAnsi="Constantia" w:cs="Arial"/>
                <w:sz w:val="20"/>
                <w:szCs w:val="20"/>
                <w:lang w:val="sr-Latn-CS"/>
              </w:rPr>
              <w:t>-</w:t>
            </w:r>
          </w:p>
        </w:tc>
      </w:tr>
      <w:tr w:rsidR="003174D0" w:rsidRPr="000C51CE" w:rsidTr="002C44AB">
        <w:trPr>
          <w:cnfStyle w:val="000000010000" w:firstRow="0" w:lastRow="0" w:firstColumn="0" w:lastColumn="0" w:oddVBand="0" w:evenVBand="0" w:oddHBand="0" w:evenHBand="1" w:firstRowFirstColumn="0" w:firstRowLastColumn="0" w:lastRowFirstColumn="0" w:lastRowLastColumn="0"/>
          <w:trHeight w:val="154"/>
          <w:jc w:val="center"/>
        </w:trPr>
        <w:tc>
          <w:tcPr>
            <w:cnfStyle w:val="001000000000" w:firstRow="0" w:lastRow="0" w:firstColumn="1" w:lastColumn="0" w:oddVBand="0" w:evenVBand="0" w:oddHBand="0" w:evenHBand="0" w:firstRowFirstColumn="0" w:firstRowLastColumn="0" w:lastRowFirstColumn="0" w:lastRowLastColumn="0"/>
            <w:tcW w:w="2956" w:type="dxa"/>
            <w:tcBorders>
              <w:top w:val="single" w:sz="8" w:space="0" w:color="B3DE86" w:themeColor="accent5" w:themeTint="BF"/>
              <w:left w:val="single" w:sz="8" w:space="0" w:color="B3DE86" w:themeColor="accent5" w:themeTint="BF"/>
              <w:bottom w:val="single" w:sz="8" w:space="0" w:color="B3DE86" w:themeColor="accent5" w:themeTint="BF"/>
            </w:tcBorders>
            <w:vAlign w:val="center"/>
            <w:hideMark/>
          </w:tcPr>
          <w:p w:rsidR="000C51CE" w:rsidRPr="000C51CE" w:rsidRDefault="000C51CE" w:rsidP="000C51CE">
            <w:pPr>
              <w:spacing w:after="0"/>
              <w:jc w:val="left"/>
              <w:rPr>
                <w:rFonts w:ascii="Constantia" w:hAnsi="Constantia" w:cs="Arial"/>
                <w:sz w:val="20"/>
                <w:szCs w:val="20"/>
                <w:lang w:val="sr-Latn-CS"/>
              </w:rPr>
            </w:pPr>
            <w:r w:rsidRPr="000C51CE">
              <w:rPr>
                <w:rFonts w:ascii="Constantia" w:hAnsi="Constantia" w:cs="Arial"/>
                <w:sz w:val="20"/>
                <w:szCs w:val="20"/>
                <w:lang w:val="sr-Latn-CS"/>
              </w:rPr>
              <w:t>2004. godina</w:t>
            </w:r>
          </w:p>
        </w:tc>
        <w:tc>
          <w:tcPr>
            <w:tcW w:w="959" w:type="dxa"/>
            <w:tcBorders>
              <w:top w:val="single" w:sz="8" w:space="0" w:color="B3DE86" w:themeColor="accent5" w:themeTint="BF"/>
              <w:bottom w:val="single" w:sz="8" w:space="0" w:color="B3DE86" w:themeColor="accent5" w:themeTint="BF"/>
            </w:tcBorders>
            <w:vAlign w:val="center"/>
            <w:hideMark/>
          </w:tcPr>
          <w:p w:rsidR="000C51CE" w:rsidRPr="000C51CE" w:rsidRDefault="000C51CE" w:rsidP="000C51CE">
            <w:pPr>
              <w:spacing w:after="0"/>
              <w:jc w:val="center"/>
              <w:cnfStyle w:val="000000010000" w:firstRow="0" w:lastRow="0" w:firstColumn="0" w:lastColumn="0" w:oddVBand="0" w:evenVBand="0" w:oddHBand="0" w:evenHBand="1" w:firstRowFirstColumn="0" w:firstRowLastColumn="0" w:lastRowFirstColumn="0" w:lastRowLastColumn="0"/>
              <w:rPr>
                <w:rFonts w:ascii="Constantia" w:hAnsi="Constantia" w:cs="Arial"/>
                <w:sz w:val="20"/>
                <w:szCs w:val="20"/>
                <w:lang w:val="sr-Latn-CS"/>
              </w:rPr>
            </w:pPr>
            <w:r w:rsidRPr="000C51CE">
              <w:rPr>
                <w:rFonts w:ascii="Constantia" w:hAnsi="Constantia" w:cs="Arial"/>
                <w:sz w:val="20"/>
                <w:szCs w:val="20"/>
                <w:lang w:val="sr-Latn-CS"/>
              </w:rPr>
              <w:t>0,89</w:t>
            </w:r>
          </w:p>
        </w:tc>
        <w:tc>
          <w:tcPr>
            <w:tcW w:w="1111" w:type="dxa"/>
            <w:tcBorders>
              <w:top w:val="single" w:sz="8" w:space="0" w:color="B3DE86" w:themeColor="accent5" w:themeTint="BF"/>
              <w:bottom w:val="single" w:sz="8" w:space="0" w:color="B3DE86" w:themeColor="accent5" w:themeTint="BF"/>
            </w:tcBorders>
            <w:vAlign w:val="center"/>
            <w:hideMark/>
          </w:tcPr>
          <w:p w:rsidR="000C51CE" w:rsidRPr="000C51CE" w:rsidRDefault="000C51CE" w:rsidP="000C51CE">
            <w:pPr>
              <w:spacing w:after="0"/>
              <w:jc w:val="center"/>
              <w:cnfStyle w:val="000000010000" w:firstRow="0" w:lastRow="0" w:firstColumn="0" w:lastColumn="0" w:oddVBand="0" w:evenVBand="0" w:oddHBand="0" w:evenHBand="1" w:firstRowFirstColumn="0" w:firstRowLastColumn="0" w:lastRowFirstColumn="0" w:lastRowLastColumn="0"/>
              <w:rPr>
                <w:rFonts w:ascii="Constantia" w:hAnsi="Constantia" w:cs="Arial"/>
                <w:sz w:val="20"/>
                <w:szCs w:val="20"/>
                <w:lang w:val="sr-Latn-CS"/>
              </w:rPr>
            </w:pPr>
            <w:r w:rsidRPr="000C51CE">
              <w:rPr>
                <w:rFonts w:ascii="Constantia" w:hAnsi="Constantia" w:cs="Arial"/>
                <w:sz w:val="20"/>
                <w:szCs w:val="20"/>
                <w:lang w:val="sr-Latn-CS"/>
              </w:rPr>
              <w:t>-</w:t>
            </w:r>
          </w:p>
        </w:tc>
        <w:tc>
          <w:tcPr>
            <w:tcW w:w="1371" w:type="dxa"/>
            <w:tcBorders>
              <w:top w:val="single" w:sz="8" w:space="0" w:color="B3DE86" w:themeColor="accent5" w:themeTint="BF"/>
              <w:bottom w:val="single" w:sz="8" w:space="0" w:color="B3DE86" w:themeColor="accent5" w:themeTint="BF"/>
            </w:tcBorders>
            <w:vAlign w:val="center"/>
            <w:hideMark/>
          </w:tcPr>
          <w:p w:rsidR="000C51CE" w:rsidRPr="000C51CE" w:rsidRDefault="000C51CE" w:rsidP="000C51CE">
            <w:pPr>
              <w:spacing w:after="0"/>
              <w:jc w:val="center"/>
              <w:cnfStyle w:val="000000010000" w:firstRow="0" w:lastRow="0" w:firstColumn="0" w:lastColumn="0" w:oddVBand="0" w:evenVBand="0" w:oddHBand="0" w:evenHBand="1" w:firstRowFirstColumn="0" w:firstRowLastColumn="0" w:lastRowFirstColumn="0" w:lastRowLastColumn="0"/>
              <w:rPr>
                <w:rFonts w:ascii="Constantia" w:hAnsi="Constantia" w:cs="Arial"/>
                <w:sz w:val="20"/>
                <w:szCs w:val="20"/>
                <w:lang w:val="sr-Latn-CS"/>
              </w:rPr>
            </w:pPr>
            <w:r w:rsidRPr="000C51CE">
              <w:rPr>
                <w:rFonts w:ascii="Constantia" w:hAnsi="Constantia" w:cs="Arial"/>
                <w:sz w:val="20"/>
                <w:szCs w:val="20"/>
                <w:lang w:val="sr-Latn-CS"/>
              </w:rPr>
              <w:t>0,02</w:t>
            </w:r>
          </w:p>
        </w:tc>
        <w:tc>
          <w:tcPr>
            <w:tcW w:w="630" w:type="dxa"/>
            <w:gridSpan w:val="2"/>
            <w:tcBorders>
              <w:top w:val="single" w:sz="8" w:space="0" w:color="B3DE86" w:themeColor="accent5" w:themeTint="BF"/>
              <w:bottom w:val="single" w:sz="8" w:space="0" w:color="B3DE86" w:themeColor="accent5" w:themeTint="BF"/>
            </w:tcBorders>
            <w:vAlign w:val="center"/>
            <w:hideMark/>
          </w:tcPr>
          <w:p w:rsidR="000C51CE" w:rsidRPr="000C51CE" w:rsidRDefault="000C51CE" w:rsidP="003174D0">
            <w:pPr>
              <w:spacing w:after="0"/>
              <w:jc w:val="center"/>
              <w:cnfStyle w:val="000000010000" w:firstRow="0" w:lastRow="0" w:firstColumn="0" w:lastColumn="0" w:oddVBand="0" w:evenVBand="0" w:oddHBand="0" w:evenHBand="1" w:firstRowFirstColumn="0" w:firstRowLastColumn="0" w:lastRowFirstColumn="0" w:lastRowLastColumn="0"/>
              <w:rPr>
                <w:rFonts w:ascii="Constantia" w:hAnsi="Constantia" w:cs="Arial"/>
                <w:sz w:val="20"/>
                <w:szCs w:val="20"/>
                <w:lang w:val="sr-Latn-CS"/>
              </w:rPr>
            </w:pPr>
            <w:r w:rsidRPr="000C51CE">
              <w:rPr>
                <w:rFonts w:ascii="Constantia" w:hAnsi="Constantia" w:cs="Arial"/>
                <w:sz w:val="20"/>
                <w:szCs w:val="20"/>
                <w:lang w:val="sr-Latn-CS"/>
              </w:rPr>
              <w:t>4,08</w:t>
            </w:r>
          </w:p>
        </w:tc>
        <w:tc>
          <w:tcPr>
            <w:tcW w:w="1699" w:type="dxa"/>
            <w:tcBorders>
              <w:top w:val="single" w:sz="8" w:space="0" w:color="B3DE86" w:themeColor="accent5" w:themeTint="BF"/>
              <w:bottom w:val="single" w:sz="8" w:space="0" w:color="B3DE86" w:themeColor="accent5" w:themeTint="BF"/>
              <w:right w:val="single" w:sz="8" w:space="0" w:color="B3DE86" w:themeColor="accent5" w:themeTint="BF"/>
            </w:tcBorders>
            <w:vAlign w:val="center"/>
            <w:hideMark/>
          </w:tcPr>
          <w:p w:rsidR="000C51CE" w:rsidRPr="000C51CE" w:rsidRDefault="000C51CE" w:rsidP="000C51CE">
            <w:pPr>
              <w:spacing w:after="0"/>
              <w:jc w:val="center"/>
              <w:cnfStyle w:val="000000010000" w:firstRow="0" w:lastRow="0" w:firstColumn="0" w:lastColumn="0" w:oddVBand="0" w:evenVBand="0" w:oddHBand="0" w:evenHBand="1" w:firstRowFirstColumn="0" w:firstRowLastColumn="0" w:lastRowFirstColumn="0" w:lastRowLastColumn="0"/>
              <w:rPr>
                <w:rFonts w:ascii="Constantia" w:hAnsi="Constantia" w:cs="Arial"/>
                <w:sz w:val="20"/>
                <w:szCs w:val="20"/>
                <w:lang w:val="sr-Latn-CS"/>
              </w:rPr>
            </w:pPr>
            <w:r w:rsidRPr="000C51CE">
              <w:rPr>
                <w:rFonts w:ascii="Constantia" w:hAnsi="Constantia" w:cs="Arial"/>
                <w:sz w:val="20"/>
                <w:szCs w:val="20"/>
                <w:lang w:val="sr-Latn-CS"/>
              </w:rPr>
              <w:t>-</w:t>
            </w:r>
          </w:p>
        </w:tc>
      </w:tr>
      <w:tr w:rsidR="003174D0" w:rsidRPr="000C51CE" w:rsidTr="002C44AB">
        <w:trPr>
          <w:cnfStyle w:val="000000100000" w:firstRow="0" w:lastRow="0" w:firstColumn="0" w:lastColumn="0" w:oddVBand="0" w:evenVBand="0" w:oddHBand="1" w:evenHBand="0" w:firstRowFirstColumn="0" w:firstRowLastColumn="0" w:lastRowFirstColumn="0" w:lastRowLastColumn="0"/>
          <w:trHeight w:val="154"/>
          <w:jc w:val="center"/>
        </w:trPr>
        <w:tc>
          <w:tcPr>
            <w:cnfStyle w:val="001000000000" w:firstRow="0" w:lastRow="0" w:firstColumn="1" w:lastColumn="0" w:oddVBand="0" w:evenVBand="0" w:oddHBand="0" w:evenHBand="0" w:firstRowFirstColumn="0" w:firstRowLastColumn="0" w:lastRowFirstColumn="0" w:lastRowLastColumn="0"/>
            <w:tcW w:w="2956" w:type="dxa"/>
            <w:tcBorders>
              <w:top w:val="single" w:sz="8" w:space="0" w:color="B3DE86" w:themeColor="accent5" w:themeTint="BF"/>
              <w:left w:val="single" w:sz="8" w:space="0" w:color="B3DE86" w:themeColor="accent5" w:themeTint="BF"/>
              <w:bottom w:val="single" w:sz="8" w:space="0" w:color="B3DE86" w:themeColor="accent5" w:themeTint="BF"/>
            </w:tcBorders>
            <w:vAlign w:val="center"/>
            <w:hideMark/>
          </w:tcPr>
          <w:p w:rsidR="000C51CE" w:rsidRPr="000C51CE" w:rsidRDefault="000C51CE" w:rsidP="000C51CE">
            <w:pPr>
              <w:spacing w:after="0"/>
              <w:jc w:val="left"/>
              <w:rPr>
                <w:rFonts w:ascii="Constantia" w:hAnsi="Constantia" w:cs="Arial"/>
                <w:sz w:val="20"/>
                <w:szCs w:val="20"/>
                <w:lang w:val="sr-Latn-CS"/>
              </w:rPr>
            </w:pPr>
            <w:r w:rsidRPr="000C51CE">
              <w:rPr>
                <w:rFonts w:ascii="Constantia" w:hAnsi="Constantia" w:cs="Arial"/>
                <w:sz w:val="20"/>
                <w:szCs w:val="20"/>
                <w:lang w:val="sr-Latn-CS"/>
              </w:rPr>
              <w:t>2005. godina</w:t>
            </w:r>
          </w:p>
        </w:tc>
        <w:tc>
          <w:tcPr>
            <w:tcW w:w="959" w:type="dxa"/>
            <w:tcBorders>
              <w:top w:val="single" w:sz="8" w:space="0" w:color="B3DE86" w:themeColor="accent5" w:themeTint="BF"/>
              <w:bottom w:val="single" w:sz="8" w:space="0" w:color="B3DE86" w:themeColor="accent5" w:themeTint="BF"/>
            </w:tcBorders>
            <w:vAlign w:val="center"/>
            <w:hideMark/>
          </w:tcPr>
          <w:p w:rsidR="000C51CE" w:rsidRPr="000C51CE" w:rsidRDefault="000C51CE" w:rsidP="000C51CE">
            <w:pPr>
              <w:spacing w:after="0"/>
              <w:jc w:val="center"/>
              <w:cnfStyle w:val="000000100000" w:firstRow="0" w:lastRow="0" w:firstColumn="0" w:lastColumn="0" w:oddVBand="0" w:evenVBand="0" w:oddHBand="1" w:evenHBand="0" w:firstRowFirstColumn="0" w:firstRowLastColumn="0" w:lastRowFirstColumn="0" w:lastRowLastColumn="0"/>
              <w:rPr>
                <w:rFonts w:ascii="Constantia" w:hAnsi="Constantia" w:cs="Arial"/>
                <w:sz w:val="20"/>
                <w:szCs w:val="20"/>
                <w:lang w:val="sr-Latn-CS"/>
              </w:rPr>
            </w:pPr>
            <w:r w:rsidRPr="000C51CE">
              <w:rPr>
                <w:rFonts w:ascii="Constantia" w:hAnsi="Constantia" w:cs="Arial"/>
                <w:sz w:val="20"/>
                <w:szCs w:val="20"/>
                <w:lang w:val="sr-Latn-CS"/>
              </w:rPr>
              <w:t>1,12</w:t>
            </w:r>
          </w:p>
        </w:tc>
        <w:tc>
          <w:tcPr>
            <w:tcW w:w="1111" w:type="dxa"/>
            <w:tcBorders>
              <w:top w:val="single" w:sz="8" w:space="0" w:color="B3DE86" w:themeColor="accent5" w:themeTint="BF"/>
              <w:bottom w:val="single" w:sz="8" w:space="0" w:color="B3DE86" w:themeColor="accent5" w:themeTint="BF"/>
            </w:tcBorders>
            <w:vAlign w:val="center"/>
            <w:hideMark/>
          </w:tcPr>
          <w:p w:rsidR="000C51CE" w:rsidRPr="000C51CE" w:rsidRDefault="000C51CE" w:rsidP="000C51CE">
            <w:pPr>
              <w:spacing w:after="0"/>
              <w:jc w:val="center"/>
              <w:cnfStyle w:val="000000100000" w:firstRow="0" w:lastRow="0" w:firstColumn="0" w:lastColumn="0" w:oddVBand="0" w:evenVBand="0" w:oddHBand="1" w:evenHBand="0" w:firstRowFirstColumn="0" w:firstRowLastColumn="0" w:lastRowFirstColumn="0" w:lastRowLastColumn="0"/>
              <w:rPr>
                <w:rFonts w:ascii="Constantia" w:hAnsi="Constantia" w:cs="Arial"/>
                <w:sz w:val="20"/>
                <w:szCs w:val="20"/>
                <w:lang w:val="sr-Latn-CS"/>
              </w:rPr>
            </w:pPr>
            <w:r w:rsidRPr="000C51CE">
              <w:rPr>
                <w:rFonts w:ascii="Constantia" w:hAnsi="Constantia" w:cs="Arial"/>
                <w:sz w:val="20"/>
                <w:szCs w:val="20"/>
                <w:lang w:val="sr-Latn-CS"/>
              </w:rPr>
              <w:t>-</w:t>
            </w:r>
          </w:p>
        </w:tc>
        <w:tc>
          <w:tcPr>
            <w:tcW w:w="1371" w:type="dxa"/>
            <w:tcBorders>
              <w:top w:val="single" w:sz="8" w:space="0" w:color="B3DE86" w:themeColor="accent5" w:themeTint="BF"/>
              <w:bottom w:val="single" w:sz="8" w:space="0" w:color="B3DE86" w:themeColor="accent5" w:themeTint="BF"/>
            </w:tcBorders>
            <w:vAlign w:val="center"/>
            <w:hideMark/>
          </w:tcPr>
          <w:p w:rsidR="000C51CE" w:rsidRPr="000C51CE" w:rsidRDefault="000C51CE" w:rsidP="000C51CE">
            <w:pPr>
              <w:spacing w:after="0"/>
              <w:jc w:val="center"/>
              <w:cnfStyle w:val="000000100000" w:firstRow="0" w:lastRow="0" w:firstColumn="0" w:lastColumn="0" w:oddVBand="0" w:evenVBand="0" w:oddHBand="1" w:evenHBand="0" w:firstRowFirstColumn="0" w:firstRowLastColumn="0" w:lastRowFirstColumn="0" w:lastRowLastColumn="0"/>
              <w:rPr>
                <w:rFonts w:ascii="Constantia" w:hAnsi="Constantia" w:cs="Arial"/>
                <w:sz w:val="20"/>
                <w:szCs w:val="20"/>
                <w:lang w:val="sr-Latn-CS"/>
              </w:rPr>
            </w:pPr>
            <w:r w:rsidRPr="000C51CE">
              <w:rPr>
                <w:rFonts w:ascii="Constantia" w:hAnsi="Constantia" w:cs="Arial"/>
                <w:sz w:val="20"/>
                <w:szCs w:val="20"/>
                <w:lang w:val="sr-Latn-CS"/>
              </w:rPr>
              <w:t>0,03</w:t>
            </w:r>
          </w:p>
        </w:tc>
        <w:tc>
          <w:tcPr>
            <w:tcW w:w="630" w:type="dxa"/>
            <w:gridSpan w:val="2"/>
            <w:tcBorders>
              <w:top w:val="single" w:sz="8" w:space="0" w:color="B3DE86" w:themeColor="accent5" w:themeTint="BF"/>
              <w:bottom w:val="single" w:sz="8" w:space="0" w:color="B3DE86" w:themeColor="accent5" w:themeTint="BF"/>
            </w:tcBorders>
            <w:vAlign w:val="center"/>
            <w:hideMark/>
          </w:tcPr>
          <w:p w:rsidR="000C51CE" w:rsidRPr="000C51CE" w:rsidRDefault="000C51CE" w:rsidP="003174D0">
            <w:pPr>
              <w:spacing w:after="0"/>
              <w:jc w:val="center"/>
              <w:cnfStyle w:val="000000100000" w:firstRow="0" w:lastRow="0" w:firstColumn="0" w:lastColumn="0" w:oddVBand="0" w:evenVBand="0" w:oddHBand="1" w:evenHBand="0" w:firstRowFirstColumn="0" w:firstRowLastColumn="0" w:lastRowFirstColumn="0" w:lastRowLastColumn="0"/>
              <w:rPr>
                <w:rFonts w:ascii="Constantia" w:hAnsi="Constantia" w:cs="Arial"/>
                <w:sz w:val="20"/>
                <w:szCs w:val="20"/>
                <w:lang w:val="sr-Latn-CS"/>
              </w:rPr>
            </w:pPr>
            <w:r w:rsidRPr="000C51CE">
              <w:rPr>
                <w:rFonts w:ascii="Constantia" w:hAnsi="Constantia" w:cs="Arial"/>
                <w:sz w:val="20"/>
                <w:szCs w:val="20"/>
                <w:lang w:val="sr-Latn-CS"/>
              </w:rPr>
              <w:t>12,53</w:t>
            </w:r>
          </w:p>
        </w:tc>
        <w:tc>
          <w:tcPr>
            <w:tcW w:w="1699" w:type="dxa"/>
            <w:tcBorders>
              <w:top w:val="single" w:sz="8" w:space="0" w:color="B3DE86" w:themeColor="accent5" w:themeTint="BF"/>
              <w:bottom w:val="single" w:sz="8" w:space="0" w:color="B3DE86" w:themeColor="accent5" w:themeTint="BF"/>
              <w:right w:val="single" w:sz="8" w:space="0" w:color="B3DE86" w:themeColor="accent5" w:themeTint="BF"/>
            </w:tcBorders>
            <w:vAlign w:val="center"/>
            <w:hideMark/>
          </w:tcPr>
          <w:p w:rsidR="000C51CE" w:rsidRPr="000C51CE" w:rsidRDefault="000C51CE" w:rsidP="000C51CE">
            <w:pPr>
              <w:spacing w:after="0"/>
              <w:jc w:val="center"/>
              <w:cnfStyle w:val="000000100000" w:firstRow="0" w:lastRow="0" w:firstColumn="0" w:lastColumn="0" w:oddVBand="0" w:evenVBand="0" w:oddHBand="1" w:evenHBand="0" w:firstRowFirstColumn="0" w:firstRowLastColumn="0" w:lastRowFirstColumn="0" w:lastRowLastColumn="0"/>
              <w:rPr>
                <w:rFonts w:ascii="Constantia" w:hAnsi="Constantia" w:cs="Arial"/>
                <w:sz w:val="20"/>
                <w:szCs w:val="20"/>
                <w:lang w:val="sr-Latn-CS"/>
              </w:rPr>
            </w:pPr>
            <w:r w:rsidRPr="000C51CE">
              <w:rPr>
                <w:rFonts w:ascii="Constantia" w:hAnsi="Constantia" w:cs="Arial"/>
                <w:sz w:val="20"/>
                <w:szCs w:val="20"/>
                <w:lang w:val="sr-Latn-CS"/>
              </w:rPr>
              <w:t>-</w:t>
            </w:r>
          </w:p>
        </w:tc>
      </w:tr>
      <w:tr w:rsidR="003174D0" w:rsidRPr="000C51CE" w:rsidTr="002C44AB">
        <w:trPr>
          <w:cnfStyle w:val="000000010000" w:firstRow="0" w:lastRow="0" w:firstColumn="0" w:lastColumn="0" w:oddVBand="0" w:evenVBand="0" w:oddHBand="0" w:evenHBand="1" w:firstRowFirstColumn="0" w:firstRowLastColumn="0" w:lastRowFirstColumn="0" w:lastRowLastColumn="0"/>
          <w:trHeight w:val="157"/>
          <w:jc w:val="center"/>
        </w:trPr>
        <w:tc>
          <w:tcPr>
            <w:cnfStyle w:val="001000000000" w:firstRow="0" w:lastRow="0" w:firstColumn="1" w:lastColumn="0" w:oddVBand="0" w:evenVBand="0" w:oddHBand="0" w:evenHBand="0" w:firstRowFirstColumn="0" w:firstRowLastColumn="0" w:lastRowFirstColumn="0" w:lastRowLastColumn="0"/>
            <w:tcW w:w="2956" w:type="dxa"/>
            <w:tcBorders>
              <w:top w:val="single" w:sz="8" w:space="0" w:color="B3DE86" w:themeColor="accent5" w:themeTint="BF"/>
              <w:left w:val="single" w:sz="8" w:space="0" w:color="B3DE86" w:themeColor="accent5" w:themeTint="BF"/>
              <w:bottom w:val="single" w:sz="8" w:space="0" w:color="B3DE86" w:themeColor="accent5" w:themeTint="BF"/>
            </w:tcBorders>
            <w:vAlign w:val="center"/>
            <w:hideMark/>
          </w:tcPr>
          <w:p w:rsidR="000C51CE" w:rsidRPr="000C51CE" w:rsidRDefault="000C51CE" w:rsidP="000C51CE">
            <w:pPr>
              <w:spacing w:after="0"/>
              <w:jc w:val="left"/>
              <w:rPr>
                <w:rFonts w:ascii="Constantia" w:hAnsi="Constantia" w:cs="Arial"/>
                <w:sz w:val="20"/>
                <w:szCs w:val="20"/>
                <w:lang w:val="sr-Latn-CS"/>
              </w:rPr>
            </w:pPr>
            <w:r w:rsidRPr="000C51CE">
              <w:rPr>
                <w:rFonts w:ascii="Constantia" w:hAnsi="Constantia" w:cs="Arial"/>
                <w:sz w:val="20"/>
                <w:szCs w:val="20"/>
                <w:lang w:val="sr-Latn-CS"/>
              </w:rPr>
              <w:t>2006. godina</w:t>
            </w:r>
          </w:p>
        </w:tc>
        <w:tc>
          <w:tcPr>
            <w:tcW w:w="959" w:type="dxa"/>
            <w:tcBorders>
              <w:top w:val="single" w:sz="8" w:space="0" w:color="B3DE86" w:themeColor="accent5" w:themeTint="BF"/>
              <w:bottom w:val="single" w:sz="8" w:space="0" w:color="B3DE86" w:themeColor="accent5" w:themeTint="BF"/>
            </w:tcBorders>
            <w:vAlign w:val="center"/>
            <w:hideMark/>
          </w:tcPr>
          <w:p w:rsidR="000C51CE" w:rsidRPr="000C51CE" w:rsidRDefault="000C51CE" w:rsidP="000C51CE">
            <w:pPr>
              <w:spacing w:after="0"/>
              <w:jc w:val="center"/>
              <w:cnfStyle w:val="000000010000" w:firstRow="0" w:lastRow="0" w:firstColumn="0" w:lastColumn="0" w:oddVBand="0" w:evenVBand="0" w:oddHBand="0" w:evenHBand="1" w:firstRowFirstColumn="0" w:firstRowLastColumn="0" w:lastRowFirstColumn="0" w:lastRowLastColumn="0"/>
              <w:rPr>
                <w:rFonts w:ascii="Constantia" w:hAnsi="Constantia" w:cs="Arial"/>
                <w:sz w:val="20"/>
                <w:szCs w:val="20"/>
                <w:lang w:val="sr-Latn-CS"/>
              </w:rPr>
            </w:pPr>
            <w:r w:rsidRPr="000C51CE">
              <w:rPr>
                <w:rFonts w:ascii="Constantia" w:hAnsi="Constantia" w:cs="Arial"/>
                <w:sz w:val="20"/>
                <w:szCs w:val="20"/>
                <w:lang w:val="sr-Latn-CS"/>
              </w:rPr>
              <w:t>14,13</w:t>
            </w:r>
          </w:p>
        </w:tc>
        <w:tc>
          <w:tcPr>
            <w:tcW w:w="1111" w:type="dxa"/>
            <w:tcBorders>
              <w:top w:val="single" w:sz="8" w:space="0" w:color="B3DE86" w:themeColor="accent5" w:themeTint="BF"/>
              <w:bottom w:val="single" w:sz="8" w:space="0" w:color="B3DE86" w:themeColor="accent5" w:themeTint="BF"/>
            </w:tcBorders>
            <w:vAlign w:val="center"/>
            <w:hideMark/>
          </w:tcPr>
          <w:p w:rsidR="000C51CE" w:rsidRPr="000C51CE" w:rsidRDefault="000C51CE" w:rsidP="000C51CE">
            <w:pPr>
              <w:spacing w:after="0"/>
              <w:jc w:val="center"/>
              <w:cnfStyle w:val="000000010000" w:firstRow="0" w:lastRow="0" w:firstColumn="0" w:lastColumn="0" w:oddVBand="0" w:evenVBand="0" w:oddHBand="0" w:evenHBand="1" w:firstRowFirstColumn="0" w:firstRowLastColumn="0" w:lastRowFirstColumn="0" w:lastRowLastColumn="0"/>
              <w:rPr>
                <w:rFonts w:ascii="Constantia" w:hAnsi="Constantia" w:cs="Arial"/>
                <w:sz w:val="20"/>
                <w:szCs w:val="20"/>
                <w:lang w:val="sr-Latn-CS"/>
              </w:rPr>
            </w:pPr>
            <w:r w:rsidRPr="000C51CE">
              <w:rPr>
                <w:rFonts w:ascii="Constantia" w:hAnsi="Constantia" w:cs="Arial"/>
                <w:sz w:val="20"/>
                <w:szCs w:val="20"/>
                <w:lang w:val="sr-Latn-CS"/>
              </w:rPr>
              <w:t>-</w:t>
            </w:r>
          </w:p>
        </w:tc>
        <w:tc>
          <w:tcPr>
            <w:tcW w:w="1371" w:type="dxa"/>
            <w:tcBorders>
              <w:top w:val="single" w:sz="8" w:space="0" w:color="B3DE86" w:themeColor="accent5" w:themeTint="BF"/>
              <w:bottom w:val="single" w:sz="8" w:space="0" w:color="B3DE86" w:themeColor="accent5" w:themeTint="BF"/>
            </w:tcBorders>
            <w:vAlign w:val="center"/>
            <w:hideMark/>
          </w:tcPr>
          <w:p w:rsidR="000C51CE" w:rsidRPr="000C51CE" w:rsidRDefault="000C51CE" w:rsidP="000C51CE">
            <w:pPr>
              <w:spacing w:after="0"/>
              <w:jc w:val="center"/>
              <w:cnfStyle w:val="000000010000" w:firstRow="0" w:lastRow="0" w:firstColumn="0" w:lastColumn="0" w:oddVBand="0" w:evenVBand="0" w:oddHBand="0" w:evenHBand="1" w:firstRowFirstColumn="0" w:firstRowLastColumn="0" w:lastRowFirstColumn="0" w:lastRowLastColumn="0"/>
              <w:rPr>
                <w:rFonts w:ascii="Constantia" w:hAnsi="Constantia" w:cs="Arial"/>
                <w:sz w:val="20"/>
                <w:szCs w:val="20"/>
                <w:lang w:val="sr-Latn-CS"/>
              </w:rPr>
            </w:pPr>
            <w:r w:rsidRPr="000C51CE">
              <w:rPr>
                <w:rFonts w:ascii="Constantia" w:hAnsi="Constantia" w:cs="Arial"/>
                <w:sz w:val="20"/>
                <w:szCs w:val="20"/>
                <w:lang w:val="sr-Latn-CS"/>
              </w:rPr>
              <w:t>0,05</w:t>
            </w:r>
          </w:p>
        </w:tc>
        <w:tc>
          <w:tcPr>
            <w:tcW w:w="630" w:type="dxa"/>
            <w:gridSpan w:val="2"/>
            <w:tcBorders>
              <w:top w:val="single" w:sz="8" w:space="0" w:color="B3DE86" w:themeColor="accent5" w:themeTint="BF"/>
              <w:bottom w:val="single" w:sz="8" w:space="0" w:color="B3DE86" w:themeColor="accent5" w:themeTint="BF"/>
            </w:tcBorders>
            <w:vAlign w:val="center"/>
            <w:hideMark/>
          </w:tcPr>
          <w:p w:rsidR="000C51CE" w:rsidRPr="000C51CE" w:rsidRDefault="000C51CE" w:rsidP="003174D0">
            <w:pPr>
              <w:spacing w:after="0"/>
              <w:jc w:val="center"/>
              <w:cnfStyle w:val="000000010000" w:firstRow="0" w:lastRow="0" w:firstColumn="0" w:lastColumn="0" w:oddVBand="0" w:evenVBand="0" w:oddHBand="0" w:evenHBand="1" w:firstRowFirstColumn="0" w:firstRowLastColumn="0" w:lastRowFirstColumn="0" w:lastRowLastColumn="0"/>
              <w:rPr>
                <w:rFonts w:ascii="Constantia" w:hAnsi="Constantia" w:cs="Arial"/>
                <w:sz w:val="20"/>
                <w:szCs w:val="20"/>
                <w:lang w:val="sr-Latn-CS"/>
              </w:rPr>
            </w:pPr>
            <w:r w:rsidRPr="000C51CE">
              <w:rPr>
                <w:rFonts w:ascii="Constantia" w:hAnsi="Constantia" w:cs="Arial"/>
                <w:sz w:val="20"/>
                <w:szCs w:val="20"/>
                <w:lang w:val="sr-Latn-CS"/>
              </w:rPr>
              <w:t>22,98</w:t>
            </w:r>
          </w:p>
        </w:tc>
        <w:tc>
          <w:tcPr>
            <w:tcW w:w="1699" w:type="dxa"/>
            <w:tcBorders>
              <w:top w:val="single" w:sz="8" w:space="0" w:color="B3DE86" w:themeColor="accent5" w:themeTint="BF"/>
              <w:bottom w:val="single" w:sz="8" w:space="0" w:color="B3DE86" w:themeColor="accent5" w:themeTint="BF"/>
              <w:right w:val="single" w:sz="8" w:space="0" w:color="B3DE86" w:themeColor="accent5" w:themeTint="BF"/>
            </w:tcBorders>
            <w:vAlign w:val="center"/>
            <w:hideMark/>
          </w:tcPr>
          <w:p w:rsidR="000C51CE" w:rsidRPr="000C51CE" w:rsidRDefault="000C51CE" w:rsidP="000C51CE">
            <w:pPr>
              <w:spacing w:after="0"/>
              <w:jc w:val="center"/>
              <w:cnfStyle w:val="000000010000" w:firstRow="0" w:lastRow="0" w:firstColumn="0" w:lastColumn="0" w:oddVBand="0" w:evenVBand="0" w:oddHBand="0" w:evenHBand="1" w:firstRowFirstColumn="0" w:firstRowLastColumn="0" w:lastRowFirstColumn="0" w:lastRowLastColumn="0"/>
              <w:rPr>
                <w:rFonts w:ascii="Constantia" w:hAnsi="Constantia" w:cs="Arial"/>
                <w:sz w:val="20"/>
                <w:szCs w:val="20"/>
                <w:lang w:val="sr-Latn-CS"/>
              </w:rPr>
            </w:pPr>
            <w:r w:rsidRPr="000C51CE">
              <w:rPr>
                <w:rFonts w:ascii="Constantia" w:hAnsi="Constantia" w:cs="Arial"/>
                <w:sz w:val="20"/>
                <w:szCs w:val="20"/>
                <w:lang w:val="sr-Latn-CS"/>
              </w:rPr>
              <w:t>-</w:t>
            </w:r>
          </w:p>
        </w:tc>
      </w:tr>
      <w:tr w:rsidR="003174D0" w:rsidRPr="000C51CE" w:rsidTr="002C44AB">
        <w:trPr>
          <w:cnfStyle w:val="000000100000" w:firstRow="0" w:lastRow="0" w:firstColumn="0" w:lastColumn="0" w:oddVBand="0" w:evenVBand="0" w:oddHBand="1" w:evenHBand="0" w:firstRowFirstColumn="0" w:firstRowLastColumn="0" w:lastRowFirstColumn="0" w:lastRowLastColumn="0"/>
          <w:trHeight w:val="154"/>
          <w:jc w:val="center"/>
        </w:trPr>
        <w:tc>
          <w:tcPr>
            <w:cnfStyle w:val="001000000000" w:firstRow="0" w:lastRow="0" w:firstColumn="1" w:lastColumn="0" w:oddVBand="0" w:evenVBand="0" w:oddHBand="0" w:evenHBand="0" w:firstRowFirstColumn="0" w:firstRowLastColumn="0" w:lastRowFirstColumn="0" w:lastRowLastColumn="0"/>
            <w:tcW w:w="2956" w:type="dxa"/>
            <w:tcBorders>
              <w:top w:val="single" w:sz="8" w:space="0" w:color="B3DE86" w:themeColor="accent5" w:themeTint="BF"/>
              <w:left w:val="single" w:sz="8" w:space="0" w:color="B3DE86" w:themeColor="accent5" w:themeTint="BF"/>
              <w:bottom w:val="single" w:sz="8" w:space="0" w:color="B3DE86" w:themeColor="accent5" w:themeTint="BF"/>
            </w:tcBorders>
            <w:vAlign w:val="center"/>
            <w:hideMark/>
          </w:tcPr>
          <w:p w:rsidR="000C51CE" w:rsidRPr="000C51CE" w:rsidRDefault="000C51CE" w:rsidP="000C51CE">
            <w:pPr>
              <w:spacing w:after="0"/>
              <w:jc w:val="left"/>
              <w:rPr>
                <w:rFonts w:ascii="Constantia" w:hAnsi="Constantia" w:cs="Arial"/>
                <w:sz w:val="20"/>
                <w:szCs w:val="20"/>
                <w:lang w:val="sr-Latn-CS"/>
              </w:rPr>
            </w:pPr>
            <w:r w:rsidRPr="000C51CE">
              <w:rPr>
                <w:rFonts w:ascii="Constantia" w:hAnsi="Constantia" w:cs="Arial"/>
                <w:sz w:val="20"/>
                <w:szCs w:val="20"/>
                <w:lang w:val="sr-Latn-CS"/>
              </w:rPr>
              <w:t>2007. godina</w:t>
            </w:r>
          </w:p>
        </w:tc>
        <w:tc>
          <w:tcPr>
            <w:tcW w:w="959" w:type="dxa"/>
            <w:tcBorders>
              <w:top w:val="single" w:sz="8" w:space="0" w:color="B3DE86" w:themeColor="accent5" w:themeTint="BF"/>
              <w:bottom w:val="single" w:sz="8" w:space="0" w:color="B3DE86" w:themeColor="accent5" w:themeTint="BF"/>
            </w:tcBorders>
            <w:vAlign w:val="center"/>
            <w:hideMark/>
          </w:tcPr>
          <w:p w:rsidR="000C51CE" w:rsidRPr="000C51CE" w:rsidRDefault="000C51CE" w:rsidP="000C51CE">
            <w:pPr>
              <w:spacing w:after="0"/>
              <w:jc w:val="center"/>
              <w:cnfStyle w:val="000000100000" w:firstRow="0" w:lastRow="0" w:firstColumn="0" w:lastColumn="0" w:oddVBand="0" w:evenVBand="0" w:oddHBand="1" w:evenHBand="0" w:firstRowFirstColumn="0" w:firstRowLastColumn="0" w:lastRowFirstColumn="0" w:lastRowLastColumn="0"/>
              <w:rPr>
                <w:rFonts w:ascii="Constantia" w:hAnsi="Constantia" w:cs="Arial"/>
                <w:sz w:val="20"/>
                <w:szCs w:val="20"/>
                <w:lang w:val="sr-Latn-CS"/>
              </w:rPr>
            </w:pPr>
            <w:r w:rsidRPr="000C51CE">
              <w:rPr>
                <w:rFonts w:ascii="Constantia" w:hAnsi="Constantia" w:cs="Arial"/>
                <w:sz w:val="20"/>
                <w:szCs w:val="20"/>
                <w:lang w:val="sr-Latn-CS"/>
              </w:rPr>
              <w:t>3,54</w:t>
            </w:r>
          </w:p>
        </w:tc>
        <w:tc>
          <w:tcPr>
            <w:tcW w:w="1111" w:type="dxa"/>
            <w:tcBorders>
              <w:top w:val="single" w:sz="8" w:space="0" w:color="B3DE86" w:themeColor="accent5" w:themeTint="BF"/>
              <w:bottom w:val="single" w:sz="8" w:space="0" w:color="B3DE86" w:themeColor="accent5" w:themeTint="BF"/>
            </w:tcBorders>
            <w:vAlign w:val="center"/>
            <w:hideMark/>
          </w:tcPr>
          <w:p w:rsidR="000C51CE" w:rsidRPr="000C51CE" w:rsidRDefault="000C51CE" w:rsidP="000C51CE">
            <w:pPr>
              <w:spacing w:after="0"/>
              <w:jc w:val="center"/>
              <w:cnfStyle w:val="000000100000" w:firstRow="0" w:lastRow="0" w:firstColumn="0" w:lastColumn="0" w:oddVBand="0" w:evenVBand="0" w:oddHBand="1" w:evenHBand="0" w:firstRowFirstColumn="0" w:firstRowLastColumn="0" w:lastRowFirstColumn="0" w:lastRowLastColumn="0"/>
              <w:rPr>
                <w:rFonts w:ascii="Constantia" w:hAnsi="Constantia" w:cs="Arial"/>
                <w:sz w:val="20"/>
                <w:szCs w:val="20"/>
                <w:lang w:val="sr-Latn-CS"/>
              </w:rPr>
            </w:pPr>
            <w:r w:rsidRPr="000C51CE">
              <w:rPr>
                <w:rFonts w:ascii="Constantia" w:hAnsi="Constantia" w:cs="Arial"/>
                <w:sz w:val="20"/>
                <w:szCs w:val="20"/>
                <w:lang w:val="sr-Latn-CS"/>
              </w:rPr>
              <w:t>-</w:t>
            </w:r>
          </w:p>
        </w:tc>
        <w:tc>
          <w:tcPr>
            <w:tcW w:w="1371" w:type="dxa"/>
            <w:tcBorders>
              <w:top w:val="single" w:sz="8" w:space="0" w:color="B3DE86" w:themeColor="accent5" w:themeTint="BF"/>
              <w:bottom w:val="single" w:sz="8" w:space="0" w:color="B3DE86" w:themeColor="accent5" w:themeTint="BF"/>
            </w:tcBorders>
            <w:vAlign w:val="center"/>
          </w:tcPr>
          <w:p w:rsidR="000C51CE" w:rsidRPr="000C51CE" w:rsidRDefault="000C51CE" w:rsidP="000C51CE">
            <w:pPr>
              <w:spacing w:after="0"/>
              <w:jc w:val="center"/>
              <w:cnfStyle w:val="000000100000" w:firstRow="0" w:lastRow="0" w:firstColumn="0" w:lastColumn="0" w:oddVBand="0" w:evenVBand="0" w:oddHBand="1" w:evenHBand="0" w:firstRowFirstColumn="0" w:firstRowLastColumn="0" w:lastRowFirstColumn="0" w:lastRowLastColumn="0"/>
              <w:rPr>
                <w:rFonts w:ascii="Constantia" w:hAnsi="Constantia" w:cs="Arial"/>
                <w:sz w:val="20"/>
                <w:szCs w:val="20"/>
                <w:lang w:val="sr-Latn-CS"/>
              </w:rPr>
            </w:pPr>
          </w:p>
        </w:tc>
        <w:tc>
          <w:tcPr>
            <w:tcW w:w="630" w:type="dxa"/>
            <w:gridSpan w:val="2"/>
            <w:tcBorders>
              <w:top w:val="single" w:sz="8" w:space="0" w:color="B3DE86" w:themeColor="accent5" w:themeTint="BF"/>
              <w:bottom w:val="single" w:sz="8" w:space="0" w:color="B3DE86" w:themeColor="accent5" w:themeTint="BF"/>
            </w:tcBorders>
            <w:vAlign w:val="center"/>
            <w:hideMark/>
          </w:tcPr>
          <w:p w:rsidR="000C51CE" w:rsidRPr="000C51CE" w:rsidRDefault="000C51CE" w:rsidP="003174D0">
            <w:pPr>
              <w:spacing w:after="0"/>
              <w:jc w:val="center"/>
              <w:cnfStyle w:val="000000100000" w:firstRow="0" w:lastRow="0" w:firstColumn="0" w:lastColumn="0" w:oddVBand="0" w:evenVBand="0" w:oddHBand="1" w:evenHBand="0" w:firstRowFirstColumn="0" w:firstRowLastColumn="0" w:lastRowFirstColumn="0" w:lastRowLastColumn="0"/>
              <w:rPr>
                <w:rFonts w:ascii="Constantia" w:hAnsi="Constantia" w:cs="Arial"/>
                <w:sz w:val="20"/>
                <w:szCs w:val="20"/>
                <w:lang w:val="sr-Latn-CS"/>
              </w:rPr>
            </w:pPr>
            <w:r w:rsidRPr="000C51CE">
              <w:rPr>
                <w:rFonts w:ascii="Constantia" w:hAnsi="Constantia" w:cs="Arial"/>
                <w:sz w:val="20"/>
                <w:szCs w:val="20"/>
                <w:lang w:val="sr-Latn-CS"/>
              </w:rPr>
              <w:t>13,46</w:t>
            </w:r>
          </w:p>
        </w:tc>
        <w:tc>
          <w:tcPr>
            <w:tcW w:w="1699" w:type="dxa"/>
            <w:tcBorders>
              <w:top w:val="single" w:sz="8" w:space="0" w:color="B3DE86" w:themeColor="accent5" w:themeTint="BF"/>
              <w:bottom w:val="single" w:sz="8" w:space="0" w:color="B3DE86" w:themeColor="accent5" w:themeTint="BF"/>
              <w:right w:val="single" w:sz="8" w:space="0" w:color="B3DE86" w:themeColor="accent5" w:themeTint="BF"/>
            </w:tcBorders>
            <w:vAlign w:val="center"/>
            <w:hideMark/>
          </w:tcPr>
          <w:p w:rsidR="000C51CE" w:rsidRPr="000C51CE" w:rsidRDefault="000C51CE" w:rsidP="000C51CE">
            <w:pPr>
              <w:spacing w:after="0"/>
              <w:jc w:val="center"/>
              <w:cnfStyle w:val="000000100000" w:firstRow="0" w:lastRow="0" w:firstColumn="0" w:lastColumn="0" w:oddVBand="0" w:evenVBand="0" w:oddHBand="1" w:evenHBand="0" w:firstRowFirstColumn="0" w:firstRowLastColumn="0" w:lastRowFirstColumn="0" w:lastRowLastColumn="0"/>
              <w:rPr>
                <w:rFonts w:ascii="Constantia" w:hAnsi="Constantia" w:cs="Arial"/>
                <w:sz w:val="20"/>
                <w:szCs w:val="20"/>
                <w:lang w:val="sr-Latn-CS"/>
              </w:rPr>
            </w:pPr>
            <w:r w:rsidRPr="000C51CE">
              <w:rPr>
                <w:rFonts w:ascii="Constantia" w:hAnsi="Constantia" w:cs="Arial"/>
                <w:sz w:val="20"/>
                <w:szCs w:val="20"/>
                <w:lang w:val="sr-Latn-CS"/>
              </w:rPr>
              <w:t>-</w:t>
            </w:r>
          </w:p>
        </w:tc>
      </w:tr>
      <w:tr w:rsidR="003174D0" w:rsidRPr="000C51CE" w:rsidTr="002C44AB">
        <w:trPr>
          <w:cnfStyle w:val="000000010000" w:firstRow="0" w:lastRow="0" w:firstColumn="0" w:lastColumn="0" w:oddVBand="0" w:evenVBand="0" w:oddHBand="0" w:evenHBand="1" w:firstRowFirstColumn="0" w:firstRowLastColumn="0" w:lastRowFirstColumn="0" w:lastRowLastColumn="0"/>
          <w:trHeight w:val="159"/>
          <w:jc w:val="center"/>
        </w:trPr>
        <w:tc>
          <w:tcPr>
            <w:cnfStyle w:val="001000000000" w:firstRow="0" w:lastRow="0" w:firstColumn="1" w:lastColumn="0" w:oddVBand="0" w:evenVBand="0" w:oddHBand="0" w:evenHBand="0" w:firstRowFirstColumn="0" w:firstRowLastColumn="0" w:lastRowFirstColumn="0" w:lastRowLastColumn="0"/>
            <w:tcW w:w="2956" w:type="dxa"/>
            <w:tcBorders>
              <w:top w:val="single" w:sz="8" w:space="0" w:color="B3DE86" w:themeColor="accent5" w:themeTint="BF"/>
              <w:left w:val="single" w:sz="8" w:space="0" w:color="B3DE86" w:themeColor="accent5" w:themeTint="BF"/>
              <w:bottom w:val="single" w:sz="8" w:space="0" w:color="B3DE86" w:themeColor="accent5" w:themeTint="BF"/>
            </w:tcBorders>
            <w:vAlign w:val="center"/>
            <w:hideMark/>
          </w:tcPr>
          <w:p w:rsidR="000C51CE" w:rsidRPr="000C51CE" w:rsidRDefault="000C51CE" w:rsidP="000C51CE">
            <w:pPr>
              <w:spacing w:after="0"/>
              <w:jc w:val="left"/>
              <w:rPr>
                <w:rFonts w:ascii="Constantia" w:hAnsi="Constantia" w:cs="Arial"/>
                <w:sz w:val="20"/>
                <w:szCs w:val="20"/>
                <w:lang w:val="sr-Latn-CS"/>
              </w:rPr>
            </w:pPr>
            <w:r w:rsidRPr="000C51CE">
              <w:rPr>
                <w:rFonts w:ascii="Constantia" w:hAnsi="Constantia" w:cs="Arial"/>
                <w:sz w:val="20"/>
                <w:szCs w:val="20"/>
                <w:lang w:val="sr-Latn-CS"/>
              </w:rPr>
              <w:t>2008. godina</w:t>
            </w:r>
          </w:p>
        </w:tc>
        <w:tc>
          <w:tcPr>
            <w:tcW w:w="959" w:type="dxa"/>
            <w:tcBorders>
              <w:top w:val="single" w:sz="8" w:space="0" w:color="B3DE86" w:themeColor="accent5" w:themeTint="BF"/>
              <w:bottom w:val="single" w:sz="8" w:space="0" w:color="B3DE86" w:themeColor="accent5" w:themeTint="BF"/>
            </w:tcBorders>
            <w:vAlign w:val="center"/>
            <w:hideMark/>
          </w:tcPr>
          <w:p w:rsidR="000C51CE" w:rsidRPr="000C51CE" w:rsidRDefault="000C51CE" w:rsidP="000C51CE">
            <w:pPr>
              <w:spacing w:after="0"/>
              <w:jc w:val="center"/>
              <w:cnfStyle w:val="000000010000" w:firstRow="0" w:lastRow="0" w:firstColumn="0" w:lastColumn="0" w:oddVBand="0" w:evenVBand="0" w:oddHBand="0" w:evenHBand="1" w:firstRowFirstColumn="0" w:firstRowLastColumn="0" w:lastRowFirstColumn="0" w:lastRowLastColumn="0"/>
              <w:rPr>
                <w:rFonts w:ascii="Constantia" w:hAnsi="Constantia" w:cs="Arial"/>
                <w:sz w:val="20"/>
                <w:szCs w:val="20"/>
                <w:lang w:val="sr-Latn-CS"/>
              </w:rPr>
            </w:pPr>
            <w:r w:rsidRPr="000C51CE">
              <w:rPr>
                <w:rFonts w:ascii="Constantia" w:hAnsi="Constantia" w:cs="Arial"/>
                <w:sz w:val="20"/>
                <w:szCs w:val="20"/>
                <w:lang w:val="sr-Latn-CS"/>
              </w:rPr>
              <w:t>0,08</w:t>
            </w:r>
          </w:p>
        </w:tc>
        <w:tc>
          <w:tcPr>
            <w:tcW w:w="1111" w:type="dxa"/>
            <w:tcBorders>
              <w:top w:val="single" w:sz="8" w:space="0" w:color="B3DE86" w:themeColor="accent5" w:themeTint="BF"/>
              <w:bottom w:val="single" w:sz="8" w:space="0" w:color="B3DE86" w:themeColor="accent5" w:themeTint="BF"/>
            </w:tcBorders>
            <w:vAlign w:val="center"/>
            <w:hideMark/>
          </w:tcPr>
          <w:p w:rsidR="000C51CE" w:rsidRPr="000C51CE" w:rsidRDefault="000C51CE" w:rsidP="000C51CE">
            <w:pPr>
              <w:spacing w:after="0"/>
              <w:jc w:val="center"/>
              <w:cnfStyle w:val="000000010000" w:firstRow="0" w:lastRow="0" w:firstColumn="0" w:lastColumn="0" w:oddVBand="0" w:evenVBand="0" w:oddHBand="0" w:evenHBand="1" w:firstRowFirstColumn="0" w:firstRowLastColumn="0" w:lastRowFirstColumn="0" w:lastRowLastColumn="0"/>
              <w:rPr>
                <w:rFonts w:ascii="Constantia" w:hAnsi="Constantia" w:cs="Arial"/>
                <w:sz w:val="20"/>
                <w:szCs w:val="20"/>
                <w:lang w:val="sr-Latn-CS"/>
              </w:rPr>
            </w:pPr>
            <w:r w:rsidRPr="000C51CE">
              <w:rPr>
                <w:rFonts w:ascii="Constantia" w:hAnsi="Constantia" w:cs="Arial"/>
                <w:sz w:val="20"/>
                <w:szCs w:val="20"/>
                <w:lang w:val="sr-Latn-CS"/>
              </w:rPr>
              <w:t>-</w:t>
            </w:r>
          </w:p>
        </w:tc>
        <w:tc>
          <w:tcPr>
            <w:tcW w:w="1371" w:type="dxa"/>
            <w:tcBorders>
              <w:top w:val="single" w:sz="8" w:space="0" w:color="B3DE86" w:themeColor="accent5" w:themeTint="BF"/>
              <w:bottom w:val="single" w:sz="8" w:space="0" w:color="B3DE86" w:themeColor="accent5" w:themeTint="BF"/>
            </w:tcBorders>
            <w:vAlign w:val="center"/>
            <w:hideMark/>
          </w:tcPr>
          <w:p w:rsidR="000C51CE" w:rsidRPr="000C51CE" w:rsidRDefault="000C51CE" w:rsidP="000C51CE">
            <w:pPr>
              <w:spacing w:after="0"/>
              <w:jc w:val="center"/>
              <w:cnfStyle w:val="000000010000" w:firstRow="0" w:lastRow="0" w:firstColumn="0" w:lastColumn="0" w:oddVBand="0" w:evenVBand="0" w:oddHBand="0" w:evenHBand="1" w:firstRowFirstColumn="0" w:firstRowLastColumn="0" w:lastRowFirstColumn="0" w:lastRowLastColumn="0"/>
              <w:rPr>
                <w:rFonts w:ascii="Constantia" w:hAnsi="Constantia" w:cs="Arial"/>
                <w:sz w:val="20"/>
                <w:szCs w:val="20"/>
                <w:lang w:val="sr-Latn-CS"/>
              </w:rPr>
            </w:pPr>
            <w:r w:rsidRPr="000C51CE">
              <w:rPr>
                <w:rFonts w:ascii="Constantia" w:hAnsi="Constantia" w:cs="Arial"/>
                <w:sz w:val="20"/>
                <w:szCs w:val="20"/>
                <w:lang w:val="sr-Latn-CS"/>
              </w:rPr>
              <w:t>0,02</w:t>
            </w:r>
          </w:p>
        </w:tc>
        <w:tc>
          <w:tcPr>
            <w:tcW w:w="630" w:type="dxa"/>
            <w:gridSpan w:val="2"/>
            <w:tcBorders>
              <w:top w:val="single" w:sz="8" w:space="0" w:color="B3DE86" w:themeColor="accent5" w:themeTint="BF"/>
              <w:bottom w:val="single" w:sz="8" w:space="0" w:color="B3DE86" w:themeColor="accent5" w:themeTint="BF"/>
            </w:tcBorders>
            <w:vAlign w:val="center"/>
            <w:hideMark/>
          </w:tcPr>
          <w:p w:rsidR="000C51CE" w:rsidRPr="000C51CE" w:rsidRDefault="000C51CE" w:rsidP="003174D0">
            <w:pPr>
              <w:spacing w:after="0"/>
              <w:jc w:val="center"/>
              <w:cnfStyle w:val="000000010000" w:firstRow="0" w:lastRow="0" w:firstColumn="0" w:lastColumn="0" w:oddVBand="0" w:evenVBand="0" w:oddHBand="0" w:evenHBand="1" w:firstRowFirstColumn="0" w:firstRowLastColumn="0" w:lastRowFirstColumn="0" w:lastRowLastColumn="0"/>
              <w:rPr>
                <w:rFonts w:ascii="Constantia" w:hAnsi="Constantia" w:cs="Arial"/>
                <w:sz w:val="20"/>
                <w:szCs w:val="20"/>
                <w:lang w:val="sr-Latn-CS"/>
              </w:rPr>
            </w:pPr>
            <w:r w:rsidRPr="000C51CE">
              <w:rPr>
                <w:rFonts w:ascii="Constantia" w:hAnsi="Constantia" w:cs="Arial"/>
                <w:sz w:val="20"/>
                <w:szCs w:val="20"/>
                <w:lang w:val="sr-Latn-CS"/>
              </w:rPr>
              <w:t>6,94</w:t>
            </w:r>
          </w:p>
        </w:tc>
        <w:tc>
          <w:tcPr>
            <w:tcW w:w="1699" w:type="dxa"/>
            <w:tcBorders>
              <w:top w:val="single" w:sz="8" w:space="0" w:color="B3DE86" w:themeColor="accent5" w:themeTint="BF"/>
              <w:bottom w:val="single" w:sz="8" w:space="0" w:color="B3DE86" w:themeColor="accent5" w:themeTint="BF"/>
              <w:right w:val="single" w:sz="8" w:space="0" w:color="B3DE86" w:themeColor="accent5" w:themeTint="BF"/>
            </w:tcBorders>
            <w:vAlign w:val="center"/>
            <w:hideMark/>
          </w:tcPr>
          <w:p w:rsidR="000C51CE" w:rsidRPr="000C51CE" w:rsidRDefault="000C51CE" w:rsidP="000C51CE">
            <w:pPr>
              <w:spacing w:after="0"/>
              <w:jc w:val="center"/>
              <w:cnfStyle w:val="000000010000" w:firstRow="0" w:lastRow="0" w:firstColumn="0" w:lastColumn="0" w:oddVBand="0" w:evenVBand="0" w:oddHBand="0" w:evenHBand="1" w:firstRowFirstColumn="0" w:firstRowLastColumn="0" w:lastRowFirstColumn="0" w:lastRowLastColumn="0"/>
              <w:rPr>
                <w:rFonts w:ascii="Constantia" w:hAnsi="Constantia" w:cs="Arial"/>
                <w:sz w:val="20"/>
                <w:szCs w:val="20"/>
                <w:lang w:val="sr-Latn-CS"/>
              </w:rPr>
            </w:pPr>
            <w:r w:rsidRPr="000C51CE">
              <w:rPr>
                <w:rFonts w:ascii="Constantia" w:hAnsi="Constantia" w:cs="Arial"/>
                <w:sz w:val="20"/>
                <w:szCs w:val="20"/>
                <w:lang w:val="sr-Latn-CS"/>
              </w:rPr>
              <w:t>-</w:t>
            </w:r>
          </w:p>
        </w:tc>
      </w:tr>
      <w:tr w:rsidR="003174D0" w:rsidRPr="000C51CE" w:rsidTr="002C44AB">
        <w:trPr>
          <w:cnfStyle w:val="000000100000" w:firstRow="0" w:lastRow="0" w:firstColumn="0" w:lastColumn="0" w:oddVBand="0" w:evenVBand="0" w:oddHBand="1" w:evenHBand="0" w:firstRowFirstColumn="0" w:firstRowLastColumn="0" w:lastRowFirstColumn="0" w:lastRowLastColumn="0"/>
          <w:trHeight w:val="154"/>
          <w:jc w:val="center"/>
        </w:trPr>
        <w:tc>
          <w:tcPr>
            <w:cnfStyle w:val="001000000000" w:firstRow="0" w:lastRow="0" w:firstColumn="1" w:lastColumn="0" w:oddVBand="0" w:evenVBand="0" w:oddHBand="0" w:evenHBand="0" w:firstRowFirstColumn="0" w:firstRowLastColumn="0" w:lastRowFirstColumn="0" w:lastRowLastColumn="0"/>
            <w:tcW w:w="2956" w:type="dxa"/>
            <w:tcBorders>
              <w:top w:val="single" w:sz="8" w:space="0" w:color="B3DE86" w:themeColor="accent5" w:themeTint="BF"/>
              <w:left w:val="single" w:sz="8" w:space="0" w:color="B3DE86" w:themeColor="accent5" w:themeTint="BF"/>
              <w:bottom w:val="single" w:sz="8" w:space="0" w:color="B3DE86" w:themeColor="accent5" w:themeTint="BF"/>
            </w:tcBorders>
            <w:vAlign w:val="center"/>
            <w:hideMark/>
          </w:tcPr>
          <w:p w:rsidR="000C51CE" w:rsidRPr="000C51CE" w:rsidRDefault="000C51CE" w:rsidP="000C51CE">
            <w:pPr>
              <w:spacing w:after="0"/>
              <w:jc w:val="left"/>
              <w:rPr>
                <w:rFonts w:ascii="Constantia" w:hAnsi="Constantia" w:cs="Arial"/>
                <w:sz w:val="20"/>
                <w:szCs w:val="20"/>
                <w:lang w:val="sr-Latn-CS"/>
              </w:rPr>
            </w:pPr>
            <w:r w:rsidRPr="000C51CE">
              <w:rPr>
                <w:rFonts w:ascii="Constantia" w:hAnsi="Constantia" w:cs="Arial"/>
                <w:sz w:val="20"/>
                <w:szCs w:val="20"/>
                <w:lang w:val="sr-Latn-CS"/>
              </w:rPr>
              <w:t>2009. godina</w:t>
            </w:r>
          </w:p>
        </w:tc>
        <w:tc>
          <w:tcPr>
            <w:tcW w:w="959" w:type="dxa"/>
            <w:tcBorders>
              <w:top w:val="single" w:sz="8" w:space="0" w:color="B3DE86" w:themeColor="accent5" w:themeTint="BF"/>
              <w:bottom w:val="single" w:sz="8" w:space="0" w:color="B3DE86" w:themeColor="accent5" w:themeTint="BF"/>
            </w:tcBorders>
            <w:vAlign w:val="center"/>
            <w:hideMark/>
          </w:tcPr>
          <w:p w:rsidR="000C51CE" w:rsidRPr="000C51CE" w:rsidRDefault="000C51CE" w:rsidP="000C51CE">
            <w:pPr>
              <w:spacing w:after="0"/>
              <w:jc w:val="center"/>
              <w:cnfStyle w:val="000000100000" w:firstRow="0" w:lastRow="0" w:firstColumn="0" w:lastColumn="0" w:oddVBand="0" w:evenVBand="0" w:oddHBand="1" w:evenHBand="0" w:firstRowFirstColumn="0" w:firstRowLastColumn="0" w:lastRowFirstColumn="0" w:lastRowLastColumn="0"/>
              <w:rPr>
                <w:rFonts w:ascii="Constantia" w:hAnsi="Constantia" w:cs="Arial"/>
                <w:sz w:val="20"/>
                <w:szCs w:val="20"/>
                <w:lang w:val="sr-Latn-CS"/>
              </w:rPr>
            </w:pPr>
            <w:r w:rsidRPr="000C51CE">
              <w:rPr>
                <w:rFonts w:ascii="Constantia" w:hAnsi="Constantia" w:cs="Arial"/>
                <w:sz w:val="20"/>
                <w:szCs w:val="20"/>
                <w:lang w:val="sr-Latn-CS"/>
              </w:rPr>
              <w:t>0</w:t>
            </w:r>
          </w:p>
        </w:tc>
        <w:tc>
          <w:tcPr>
            <w:tcW w:w="1111" w:type="dxa"/>
            <w:tcBorders>
              <w:top w:val="single" w:sz="8" w:space="0" w:color="B3DE86" w:themeColor="accent5" w:themeTint="BF"/>
              <w:bottom w:val="single" w:sz="8" w:space="0" w:color="B3DE86" w:themeColor="accent5" w:themeTint="BF"/>
            </w:tcBorders>
            <w:vAlign w:val="center"/>
            <w:hideMark/>
          </w:tcPr>
          <w:p w:rsidR="000C51CE" w:rsidRPr="000C51CE" w:rsidRDefault="000C51CE" w:rsidP="000C51CE">
            <w:pPr>
              <w:spacing w:after="0"/>
              <w:jc w:val="center"/>
              <w:cnfStyle w:val="000000100000" w:firstRow="0" w:lastRow="0" w:firstColumn="0" w:lastColumn="0" w:oddVBand="0" w:evenVBand="0" w:oddHBand="1" w:evenHBand="0" w:firstRowFirstColumn="0" w:firstRowLastColumn="0" w:lastRowFirstColumn="0" w:lastRowLastColumn="0"/>
              <w:rPr>
                <w:rFonts w:ascii="Constantia" w:hAnsi="Constantia" w:cs="Arial"/>
                <w:sz w:val="20"/>
                <w:szCs w:val="20"/>
                <w:lang w:val="sr-Latn-CS"/>
              </w:rPr>
            </w:pPr>
            <w:r w:rsidRPr="000C51CE">
              <w:rPr>
                <w:rFonts w:ascii="Constantia" w:hAnsi="Constantia" w:cs="Arial"/>
                <w:sz w:val="20"/>
                <w:szCs w:val="20"/>
                <w:lang w:val="sr-Latn-CS"/>
              </w:rPr>
              <w:t>-</w:t>
            </w:r>
          </w:p>
        </w:tc>
        <w:tc>
          <w:tcPr>
            <w:tcW w:w="1371" w:type="dxa"/>
            <w:tcBorders>
              <w:top w:val="single" w:sz="8" w:space="0" w:color="B3DE86" w:themeColor="accent5" w:themeTint="BF"/>
              <w:bottom w:val="single" w:sz="8" w:space="0" w:color="B3DE86" w:themeColor="accent5" w:themeTint="BF"/>
            </w:tcBorders>
            <w:vAlign w:val="center"/>
            <w:hideMark/>
          </w:tcPr>
          <w:p w:rsidR="000C51CE" w:rsidRPr="000C51CE" w:rsidRDefault="000C51CE" w:rsidP="000C51CE">
            <w:pPr>
              <w:spacing w:after="0"/>
              <w:jc w:val="center"/>
              <w:cnfStyle w:val="000000100000" w:firstRow="0" w:lastRow="0" w:firstColumn="0" w:lastColumn="0" w:oddVBand="0" w:evenVBand="0" w:oddHBand="1" w:evenHBand="0" w:firstRowFirstColumn="0" w:firstRowLastColumn="0" w:lastRowFirstColumn="0" w:lastRowLastColumn="0"/>
              <w:rPr>
                <w:rFonts w:ascii="Constantia" w:hAnsi="Constantia" w:cs="Arial"/>
                <w:sz w:val="20"/>
                <w:szCs w:val="20"/>
                <w:lang w:val="sr-Latn-CS"/>
              </w:rPr>
            </w:pPr>
            <w:r w:rsidRPr="000C51CE">
              <w:rPr>
                <w:rFonts w:ascii="Constantia" w:hAnsi="Constantia" w:cs="Arial"/>
                <w:sz w:val="20"/>
                <w:szCs w:val="20"/>
                <w:lang w:val="sr-Latn-CS"/>
              </w:rPr>
              <w:t>0</w:t>
            </w:r>
          </w:p>
        </w:tc>
        <w:tc>
          <w:tcPr>
            <w:tcW w:w="630" w:type="dxa"/>
            <w:gridSpan w:val="2"/>
            <w:tcBorders>
              <w:top w:val="single" w:sz="8" w:space="0" w:color="B3DE86" w:themeColor="accent5" w:themeTint="BF"/>
              <w:bottom w:val="single" w:sz="8" w:space="0" w:color="B3DE86" w:themeColor="accent5" w:themeTint="BF"/>
            </w:tcBorders>
            <w:vAlign w:val="center"/>
            <w:hideMark/>
          </w:tcPr>
          <w:p w:rsidR="000C51CE" w:rsidRPr="000C51CE" w:rsidRDefault="000C51CE" w:rsidP="003174D0">
            <w:pPr>
              <w:spacing w:after="0"/>
              <w:jc w:val="center"/>
              <w:cnfStyle w:val="000000100000" w:firstRow="0" w:lastRow="0" w:firstColumn="0" w:lastColumn="0" w:oddVBand="0" w:evenVBand="0" w:oddHBand="1" w:evenHBand="0" w:firstRowFirstColumn="0" w:firstRowLastColumn="0" w:lastRowFirstColumn="0" w:lastRowLastColumn="0"/>
              <w:rPr>
                <w:rFonts w:ascii="Constantia" w:hAnsi="Constantia" w:cs="Arial"/>
                <w:sz w:val="20"/>
                <w:szCs w:val="20"/>
                <w:lang w:val="sr-Latn-CS"/>
              </w:rPr>
            </w:pPr>
            <w:r w:rsidRPr="000C51CE">
              <w:rPr>
                <w:rFonts w:ascii="Constantia" w:hAnsi="Constantia" w:cs="Arial"/>
                <w:sz w:val="20"/>
                <w:szCs w:val="20"/>
                <w:lang w:val="sr-Latn-CS"/>
              </w:rPr>
              <w:t>17,14</w:t>
            </w:r>
          </w:p>
        </w:tc>
        <w:tc>
          <w:tcPr>
            <w:tcW w:w="1699" w:type="dxa"/>
            <w:tcBorders>
              <w:top w:val="single" w:sz="8" w:space="0" w:color="B3DE86" w:themeColor="accent5" w:themeTint="BF"/>
              <w:bottom w:val="single" w:sz="8" w:space="0" w:color="B3DE86" w:themeColor="accent5" w:themeTint="BF"/>
              <w:right w:val="single" w:sz="8" w:space="0" w:color="B3DE86" w:themeColor="accent5" w:themeTint="BF"/>
            </w:tcBorders>
            <w:vAlign w:val="center"/>
            <w:hideMark/>
          </w:tcPr>
          <w:p w:rsidR="000C51CE" w:rsidRPr="000C51CE" w:rsidRDefault="000C51CE" w:rsidP="000C51CE">
            <w:pPr>
              <w:spacing w:after="0"/>
              <w:jc w:val="center"/>
              <w:cnfStyle w:val="000000100000" w:firstRow="0" w:lastRow="0" w:firstColumn="0" w:lastColumn="0" w:oddVBand="0" w:evenVBand="0" w:oddHBand="1" w:evenHBand="0" w:firstRowFirstColumn="0" w:firstRowLastColumn="0" w:lastRowFirstColumn="0" w:lastRowLastColumn="0"/>
              <w:rPr>
                <w:rFonts w:ascii="Constantia" w:hAnsi="Constantia" w:cs="Arial"/>
                <w:sz w:val="20"/>
                <w:szCs w:val="20"/>
                <w:lang w:val="sr-Latn-CS"/>
              </w:rPr>
            </w:pPr>
            <w:r w:rsidRPr="000C51CE">
              <w:rPr>
                <w:rFonts w:ascii="Constantia" w:hAnsi="Constantia" w:cs="Arial"/>
                <w:sz w:val="20"/>
                <w:szCs w:val="20"/>
                <w:lang w:val="sr-Latn-CS"/>
              </w:rPr>
              <w:t>-</w:t>
            </w:r>
          </w:p>
        </w:tc>
      </w:tr>
      <w:tr w:rsidR="003174D0" w:rsidRPr="000C51CE" w:rsidTr="002C44AB">
        <w:trPr>
          <w:cnfStyle w:val="000000010000" w:firstRow="0" w:lastRow="0" w:firstColumn="0" w:lastColumn="0" w:oddVBand="0" w:evenVBand="0" w:oddHBand="0" w:evenHBand="1"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2956" w:type="dxa"/>
            <w:tcBorders>
              <w:top w:val="single" w:sz="8" w:space="0" w:color="B3DE86" w:themeColor="accent5" w:themeTint="BF"/>
              <w:left w:val="single" w:sz="8" w:space="0" w:color="B3DE86" w:themeColor="accent5" w:themeTint="BF"/>
              <w:bottom w:val="single" w:sz="8" w:space="0" w:color="B3DE86" w:themeColor="accent5" w:themeTint="BF"/>
            </w:tcBorders>
            <w:vAlign w:val="center"/>
            <w:hideMark/>
          </w:tcPr>
          <w:p w:rsidR="000C51CE" w:rsidRPr="000C51CE" w:rsidRDefault="000C51CE" w:rsidP="000C51CE">
            <w:pPr>
              <w:spacing w:after="0"/>
              <w:jc w:val="left"/>
              <w:rPr>
                <w:rFonts w:ascii="Constantia" w:hAnsi="Constantia" w:cs="Arial"/>
                <w:sz w:val="20"/>
                <w:szCs w:val="20"/>
                <w:lang w:val="sr-Latn-CS"/>
              </w:rPr>
            </w:pPr>
            <w:r w:rsidRPr="000C51CE">
              <w:rPr>
                <w:rFonts w:ascii="Constantia" w:hAnsi="Constantia" w:cs="Arial"/>
                <w:sz w:val="20"/>
                <w:szCs w:val="20"/>
                <w:lang w:val="sr-Latn-CS"/>
              </w:rPr>
              <w:t>2010. godina</w:t>
            </w:r>
          </w:p>
        </w:tc>
        <w:tc>
          <w:tcPr>
            <w:tcW w:w="959" w:type="dxa"/>
            <w:tcBorders>
              <w:top w:val="single" w:sz="8" w:space="0" w:color="B3DE86" w:themeColor="accent5" w:themeTint="BF"/>
              <w:bottom w:val="single" w:sz="8" w:space="0" w:color="B3DE86" w:themeColor="accent5" w:themeTint="BF"/>
            </w:tcBorders>
            <w:vAlign w:val="center"/>
            <w:hideMark/>
          </w:tcPr>
          <w:p w:rsidR="000C51CE" w:rsidRPr="000C51CE" w:rsidRDefault="000C51CE" w:rsidP="000C51CE">
            <w:pPr>
              <w:spacing w:after="0"/>
              <w:jc w:val="center"/>
              <w:cnfStyle w:val="000000010000" w:firstRow="0" w:lastRow="0" w:firstColumn="0" w:lastColumn="0" w:oddVBand="0" w:evenVBand="0" w:oddHBand="0" w:evenHBand="1" w:firstRowFirstColumn="0" w:firstRowLastColumn="0" w:lastRowFirstColumn="0" w:lastRowLastColumn="0"/>
              <w:rPr>
                <w:rFonts w:ascii="Constantia" w:hAnsi="Constantia" w:cs="Arial"/>
                <w:sz w:val="20"/>
                <w:szCs w:val="20"/>
                <w:lang w:val="sr-Latn-CS"/>
              </w:rPr>
            </w:pPr>
            <w:r w:rsidRPr="000C51CE">
              <w:rPr>
                <w:rFonts w:ascii="Constantia" w:hAnsi="Constantia" w:cs="Arial"/>
                <w:sz w:val="20"/>
                <w:szCs w:val="20"/>
                <w:lang w:val="sr-Latn-CS"/>
              </w:rPr>
              <w:t>0</w:t>
            </w:r>
          </w:p>
        </w:tc>
        <w:tc>
          <w:tcPr>
            <w:tcW w:w="1111" w:type="dxa"/>
            <w:tcBorders>
              <w:top w:val="single" w:sz="8" w:space="0" w:color="B3DE86" w:themeColor="accent5" w:themeTint="BF"/>
              <w:bottom w:val="single" w:sz="8" w:space="0" w:color="B3DE86" w:themeColor="accent5" w:themeTint="BF"/>
            </w:tcBorders>
            <w:vAlign w:val="center"/>
            <w:hideMark/>
          </w:tcPr>
          <w:p w:rsidR="000C51CE" w:rsidRPr="000C51CE" w:rsidRDefault="000C51CE" w:rsidP="000C51CE">
            <w:pPr>
              <w:spacing w:after="0"/>
              <w:jc w:val="center"/>
              <w:cnfStyle w:val="000000010000" w:firstRow="0" w:lastRow="0" w:firstColumn="0" w:lastColumn="0" w:oddVBand="0" w:evenVBand="0" w:oddHBand="0" w:evenHBand="1" w:firstRowFirstColumn="0" w:firstRowLastColumn="0" w:lastRowFirstColumn="0" w:lastRowLastColumn="0"/>
              <w:rPr>
                <w:rFonts w:ascii="Constantia" w:hAnsi="Constantia" w:cs="Arial"/>
                <w:sz w:val="20"/>
                <w:szCs w:val="20"/>
                <w:lang w:val="sr-Latn-CS"/>
              </w:rPr>
            </w:pPr>
            <w:r w:rsidRPr="000C51CE">
              <w:rPr>
                <w:rFonts w:ascii="Constantia" w:hAnsi="Constantia" w:cs="Arial"/>
                <w:sz w:val="20"/>
                <w:szCs w:val="20"/>
                <w:lang w:val="sr-Latn-CS"/>
              </w:rPr>
              <w:t>-</w:t>
            </w:r>
          </w:p>
        </w:tc>
        <w:tc>
          <w:tcPr>
            <w:tcW w:w="1371" w:type="dxa"/>
            <w:tcBorders>
              <w:top w:val="single" w:sz="8" w:space="0" w:color="B3DE86" w:themeColor="accent5" w:themeTint="BF"/>
              <w:bottom w:val="single" w:sz="8" w:space="0" w:color="B3DE86" w:themeColor="accent5" w:themeTint="BF"/>
            </w:tcBorders>
            <w:vAlign w:val="center"/>
            <w:hideMark/>
          </w:tcPr>
          <w:p w:rsidR="000C51CE" w:rsidRPr="000C51CE" w:rsidRDefault="000C51CE" w:rsidP="000C51CE">
            <w:pPr>
              <w:spacing w:after="0"/>
              <w:jc w:val="center"/>
              <w:cnfStyle w:val="000000010000" w:firstRow="0" w:lastRow="0" w:firstColumn="0" w:lastColumn="0" w:oddVBand="0" w:evenVBand="0" w:oddHBand="0" w:evenHBand="1" w:firstRowFirstColumn="0" w:firstRowLastColumn="0" w:lastRowFirstColumn="0" w:lastRowLastColumn="0"/>
              <w:rPr>
                <w:rFonts w:ascii="Constantia" w:hAnsi="Constantia" w:cs="Arial"/>
                <w:sz w:val="20"/>
                <w:szCs w:val="20"/>
                <w:lang w:val="sr-Latn-CS"/>
              </w:rPr>
            </w:pPr>
            <w:r w:rsidRPr="000C51CE">
              <w:rPr>
                <w:rFonts w:ascii="Constantia" w:hAnsi="Constantia" w:cs="Arial"/>
                <w:sz w:val="20"/>
                <w:szCs w:val="20"/>
                <w:lang w:val="sr-Latn-CS"/>
              </w:rPr>
              <w:t>0</w:t>
            </w:r>
          </w:p>
        </w:tc>
        <w:tc>
          <w:tcPr>
            <w:tcW w:w="630" w:type="dxa"/>
            <w:gridSpan w:val="2"/>
            <w:tcBorders>
              <w:top w:val="single" w:sz="8" w:space="0" w:color="B3DE86" w:themeColor="accent5" w:themeTint="BF"/>
              <w:bottom w:val="single" w:sz="8" w:space="0" w:color="B3DE86" w:themeColor="accent5" w:themeTint="BF"/>
            </w:tcBorders>
            <w:vAlign w:val="center"/>
            <w:hideMark/>
          </w:tcPr>
          <w:p w:rsidR="000C51CE" w:rsidRPr="000C51CE" w:rsidRDefault="000C51CE" w:rsidP="00361B67">
            <w:pPr>
              <w:spacing w:after="0"/>
              <w:jc w:val="center"/>
              <w:cnfStyle w:val="000000010000" w:firstRow="0" w:lastRow="0" w:firstColumn="0" w:lastColumn="0" w:oddVBand="0" w:evenVBand="0" w:oddHBand="0" w:evenHBand="1" w:firstRowFirstColumn="0" w:firstRowLastColumn="0" w:lastRowFirstColumn="0" w:lastRowLastColumn="0"/>
              <w:rPr>
                <w:rFonts w:ascii="Constantia" w:hAnsi="Constantia" w:cs="Arial"/>
                <w:sz w:val="20"/>
                <w:szCs w:val="20"/>
                <w:lang w:val="sr-Latn-CS"/>
              </w:rPr>
            </w:pPr>
            <w:r w:rsidRPr="000C51CE">
              <w:rPr>
                <w:rFonts w:ascii="Constantia" w:hAnsi="Constantia" w:cs="Arial"/>
                <w:sz w:val="20"/>
                <w:szCs w:val="20"/>
                <w:lang w:val="sr-Latn-CS"/>
              </w:rPr>
              <w:t>10</w:t>
            </w:r>
            <w:r w:rsidR="00361B67">
              <w:rPr>
                <w:rFonts w:ascii="Constantia" w:hAnsi="Constantia" w:cs="Arial"/>
                <w:sz w:val="20"/>
                <w:szCs w:val="20"/>
                <w:lang w:val="sr-Latn-CS"/>
              </w:rPr>
              <w:t>,</w:t>
            </w:r>
            <w:r w:rsidRPr="000C51CE">
              <w:rPr>
                <w:rFonts w:ascii="Constantia" w:hAnsi="Constantia" w:cs="Arial"/>
                <w:sz w:val="20"/>
                <w:szCs w:val="20"/>
                <w:lang w:val="sr-Latn-CS"/>
              </w:rPr>
              <w:t>61</w:t>
            </w:r>
          </w:p>
        </w:tc>
        <w:tc>
          <w:tcPr>
            <w:tcW w:w="1699" w:type="dxa"/>
            <w:tcBorders>
              <w:top w:val="single" w:sz="8" w:space="0" w:color="B3DE86" w:themeColor="accent5" w:themeTint="BF"/>
              <w:bottom w:val="single" w:sz="8" w:space="0" w:color="B3DE86" w:themeColor="accent5" w:themeTint="BF"/>
              <w:right w:val="single" w:sz="8" w:space="0" w:color="B3DE86" w:themeColor="accent5" w:themeTint="BF"/>
            </w:tcBorders>
            <w:vAlign w:val="center"/>
            <w:hideMark/>
          </w:tcPr>
          <w:p w:rsidR="000C51CE" w:rsidRPr="000C51CE" w:rsidRDefault="000C51CE" w:rsidP="000C51CE">
            <w:pPr>
              <w:spacing w:after="0"/>
              <w:jc w:val="center"/>
              <w:cnfStyle w:val="000000010000" w:firstRow="0" w:lastRow="0" w:firstColumn="0" w:lastColumn="0" w:oddVBand="0" w:evenVBand="0" w:oddHBand="0" w:evenHBand="1" w:firstRowFirstColumn="0" w:firstRowLastColumn="0" w:lastRowFirstColumn="0" w:lastRowLastColumn="0"/>
              <w:rPr>
                <w:rFonts w:ascii="Constantia" w:hAnsi="Constantia" w:cs="Arial"/>
                <w:sz w:val="20"/>
                <w:szCs w:val="20"/>
                <w:lang w:val="sr-Latn-CS"/>
              </w:rPr>
            </w:pPr>
            <w:r w:rsidRPr="000C51CE">
              <w:rPr>
                <w:rFonts w:ascii="Constantia" w:hAnsi="Constantia" w:cs="Arial"/>
                <w:sz w:val="20"/>
                <w:szCs w:val="20"/>
                <w:lang w:val="sr-Latn-CS"/>
              </w:rPr>
              <w:t>-</w:t>
            </w:r>
          </w:p>
        </w:tc>
      </w:tr>
      <w:tr w:rsidR="003174D0" w:rsidRPr="000C51CE" w:rsidTr="002C44AB">
        <w:trPr>
          <w:cnfStyle w:val="000000100000" w:firstRow="0" w:lastRow="0" w:firstColumn="0" w:lastColumn="0" w:oddVBand="0" w:evenVBand="0" w:oddHBand="1"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2956" w:type="dxa"/>
            <w:tcBorders>
              <w:top w:val="single" w:sz="8" w:space="0" w:color="B3DE86" w:themeColor="accent5" w:themeTint="BF"/>
              <w:left w:val="single" w:sz="8" w:space="0" w:color="B3DE86" w:themeColor="accent5" w:themeTint="BF"/>
              <w:bottom w:val="single" w:sz="8" w:space="0" w:color="B3DE86" w:themeColor="accent5" w:themeTint="BF"/>
            </w:tcBorders>
            <w:vAlign w:val="center"/>
            <w:hideMark/>
          </w:tcPr>
          <w:p w:rsidR="000C51CE" w:rsidRPr="000C51CE" w:rsidRDefault="000C51CE" w:rsidP="000C51CE">
            <w:pPr>
              <w:spacing w:after="0"/>
              <w:jc w:val="left"/>
              <w:rPr>
                <w:rFonts w:ascii="Constantia" w:hAnsi="Constantia" w:cs="Arial"/>
                <w:sz w:val="20"/>
                <w:szCs w:val="20"/>
                <w:lang w:val="sr-Latn-CS"/>
              </w:rPr>
            </w:pPr>
            <w:r w:rsidRPr="000C51CE">
              <w:rPr>
                <w:rFonts w:ascii="Constantia" w:hAnsi="Constantia" w:cs="Arial"/>
                <w:sz w:val="20"/>
                <w:szCs w:val="20"/>
                <w:lang w:val="sr-Latn-CS"/>
              </w:rPr>
              <w:t>2011. godina</w:t>
            </w:r>
          </w:p>
        </w:tc>
        <w:tc>
          <w:tcPr>
            <w:tcW w:w="959" w:type="dxa"/>
            <w:tcBorders>
              <w:top w:val="single" w:sz="8" w:space="0" w:color="B3DE86" w:themeColor="accent5" w:themeTint="BF"/>
              <w:bottom w:val="single" w:sz="8" w:space="0" w:color="B3DE86" w:themeColor="accent5" w:themeTint="BF"/>
            </w:tcBorders>
            <w:vAlign w:val="center"/>
            <w:hideMark/>
          </w:tcPr>
          <w:p w:rsidR="000C51CE" w:rsidRPr="000C51CE" w:rsidRDefault="000C51CE" w:rsidP="000C51CE">
            <w:pPr>
              <w:spacing w:after="0"/>
              <w:jc w:val="center"/>
              <w:cnfStyle w:val="000000100000" w:firstRow="0" w:lastRow="0" w:firstColumn="0" w:lastColumn="0" w:oddVBand="0" w:evenVBand="0" w:oddHBand="1" w:evenHBand="0" w:firstRowFirstColumn="0" w:firstRowLastColumn="0" w:lastRowFirstColumn="0" w:lastRowLastColumn="0"/>
              <w:rPr>
                <w:rFonts w:ascii="Constantia" w:hAnsi="Constantia" w:cs="Arial"/>
                <w:sz w:val="20"/>
                <w:szCs w:val="20"/>
                <w:lang w:val="sr-Latn-CS"/>
              </w:rPr>
            </w:pPr>
            <w:r w:rsidRPr="000C51CE">
              <w:rPr>
                <w:rFonts w:ascii="Constantia" w:hAnsi="Constantia" w:cs="Arial"/>
                <w:sz w:val="20"/>
                <w:szCs w:val="20"/>
                <w:lang w:val="sr-Latn-CS"/>
              </w:rPr>
              <w:t>0</w:t>
            </w:r>
          </w:p>
        </w:tc>
        <w:tc>
          <w:tcPr>
            <w:tcW w:w="1111" w:type="dxa"/>
            <w:tcBorders>
              <w:top w:val="single" w:sz="8" w:space="0" w:color="B3DE86" w:themeColor="accent5" w:themeTint="BF"/>
              <w:bottom w:val="single" w:sz="8" w:space="0" w:color="B3DE86" w:themeColor="accent5" w:themeTint="BF"/>
            </w:tcBorders>
            <w:vAlign w:val="center"/>
            <w:hideMark/>
          </w:tcPr>
          <w:p w:rsidR="000C51CE" w:rsidRPr="000C51CE" w:rsidRDefault="000C51CE" w:rsidP="000C51CE">
            <w:pPr>
              <w:spacing w:after="0"/>
              <w:jc w:val="center"/>
              <w:cnfStyle w:val="000000100000" w:firstRow="0" w:lastRow="0" w:firstColumn="0" w:lastColumn="0" w:oddVBand="0" w:evenVBand="0" w:oddHBand="1" w:evenHBand="0" w:firstRowFirstColumn="0" w:firstRowLastColumn="0" w:lastRowFirstColumn="0" w:lastRowLastColumn="0"/>
              <w:rPr>
                <w:rFonts w:ascii="Constantia" w:hAnsi="Constantia" w:cs="Arial"/>
                <w:sz w:val="20"/>
                <w:szCs w:val="20"/>
                <w:lang w:val="sr-Latn-CS"/>
              </w:rPr>
            </w:pPr>
            <w:r w:rsidRPr="000C51CE">
              <w:rPr>
                <w:rFonts w:ascii="Constantia" w:hAnsi="Constantia" w:cs="Arial"/>
                <w:sz w:val="20"/>
                <w:szCs w:val="20"/>
                <w:lang w:val="sr-Latn-CS"/>
              </w:rPr>
              <w:t>-</w:t>
            </w:r>
          </w:p>
        </w:tc>
        <w:tc>
          <w:tcPr>
            <w:tcW w:w="1371" w:type="dxa"/>
            <w:tcBorders>
              <w:top w:val="single" w:sz="8" w:space="0" w:color="B3DE86" w:themeColor="accent5" w:themeTint="BF"/>
              <w:bottom w:val="single" w:sz="8" w:space="0" w:color="B3DE86" w:themeColor="accent5" w:themeTint="BF"/>
            </w:tcBorders>
            <w:vAlign w:val="center"/>
            <w:hideMark/>
          </w:tcPr>
          <w:p w:rsidR="000C51CE" w:rsidRPr="000C51CE" w:rsidRDefault="000C51CE" w:rsidP="000C51CE">
            <w:pPr>
              <w:spacing w:after="0"/>
              <w:jc w:val="center"/>
              <w:cnfStyle w:val="000000100000" w:firstRow="0" w:lastRow="0" w:firstColumn="0" w:lastColumn="0" w:oddVBand="0" w:evenVBand="0" w:oddHBand="1" w:evenHBand="0" w:firstRowFirstColumn="0" w:firstRowLastColumn="0" w:lastRowFirstColumn="0" w:lastRowLastColumn="0"/>
              <w:rPr>
                <w:rFonts w:ascii="Constantia" w:hAnsi="Constantia" w:cs="Arial"/>
                <w:sz w:val="20"/>
                <w:szCs w:val="20"/>
                <w:lang w:val="sr-Latn-CS"/>
              </w:rPr>
            </w:pPr>
            <w:r w:rsidRPr="000C51CE">
              <w:rPr>
                <w:rFonts w:ascii="Constantia" w:hAnsi="Constantia" w:cs="Arial"/>
                <w:sz w:val="20"/>
                <w:szCs w:val="20"/>
                <w:lang w:val="sr-Latn-CS"/>
              </w:rPr>
              <w:t>0</w:t>
            </w:r>
          </w:p>
        </w:tc>
        <w:tc>
          <w:tcPr>
            <w:tcW w:w="630" w:type="dxa"/>
            <w:gridSpan w:val="2"/>
            <w:tcBorders>
              <w:top w:val="single" w:sz="8" w:space="0" w:color="B3DE86" w:themeColor="accent5" w:themeTint="BF"/>
              <w:bottom w:val="single" w:sz="8" w:space="0" w:color="B3DE86" w:themeColor="accent5" w:themeTint="BF"/>
            </w:tcBorders>
            <w:vAlign w:val="center"/>
            <w:hideMark/>
          </w:tcPr>
          <w:p w:rsidR="000C51CE" w:rsidRPr="000C51CE" w:rsidRDefault="00361B67" w:rsidP="003174D0">
            <w:pPr>
              <w:spacing w:after="0"/>
              <w:jc w:val="center"/>
              <w:cnfStyle w:val="000000100000" w:firstRow="0" w:lastRow="0" w:firstColumn="0" w:lastColumn="0" w:oddVBand="0" w:evenVBand="0" w:oddHBand="1" w:evenHBand="0" w:firstRowFirstColumn="0" w:firstRowLastColumn="0" w:lastRowFirstColumn="0" w:lastRowLastColumn="0"/>
              <w:rPr>
                <w:rFonts w:ascii="Constantia" w:hAnsi="Constantia" w:cs="Arial"/>
                <w:sz w:val="20"/>
                <w:szCs w:val="20"/>
                <w:lang w:val="sr-Latn-CS"/>
              </w:rPr>
            </w:pPr>
            <w:r>
              <w:rPr>
                <w:rFonts w:ascii="Constantia" w:hAnsi="Constantia" w:cs="Arial"/>
                <w:sz w:val="20"/>
                <w:szCs w:val="20"/>
                <w:lang w:val="sr-Latn-CS"/>
              </w:rPr>
              <w:t>13,</w:t>
            </w:r>
            <w:r w:rsidR="000C51CE" w:rsidRPr="000C51CE">
              <w:rPr>
                <w:rFonts w:ascii="Constantia" w:hAnsi="Constantia" w:cs="Arial"/>
                <w:sz w:val="20"/>
                <w:szCs w:val="20"/>
                <w:lang w:val="sr-Latn-CS"/>
              </w:rPr>
              <w:t>12</w:t>
            </w:r>
          </w:p>
        </w:tc>
        <w:tc>
          <w:tcPr>
            <w:tcW w:w="1699" w:type="dxa"/>
            <w:tcBorders>
              <w:top w:val="single" w:sz="8" w:space="0" w:color="B3DE86" w:themeColor="accent5" w:themeTint="BF"/>
              <w:bottom w:val="single" w:sz="8" w:space="0" w:color="B3DE86" w:themeColor="accent5" w:themeTint="BF"/>
              <w:right w:val="single" w:sz="8" w:space="0" w:color="B3DE86" w:themeColor="accent5" w:themeTint="BF"/>
            </w:tcBorders>
            <w:vAlign w:val="center"/>
            <w:hideMark/>
          </w:tcPr>
          <w:p w:rsidR="000C51CE" w:rsidRPr="000C51CE" w:rsidRDefault="000C51CE" w:rsidP="000C51CE">
            <w:pPr>
              <w:spacing w:after="0"/>
              <w:jc w:val="center"/>
              <w:cnfStyle w:val="000000100000" w:firstRow="0" w:lastRow="0" w:firstColumn="0" w:lastColumn="0" w:oddVBand="0" w:evenVBand="0" w:oddHBand="1" w:evenHBand="0" w:firstRowFirstColumn="0" w:firstRowLastColumn="0" w:lastRowFirstColumn="0" w:lastRowLastColumn="0"/>
              <w:rPr>
                <w:rFonts w:ascii="Constantia" w:hAnsi="Constantia" w:cs="Arial"/>
                <w:sz w:val="20"/>
                <w:szCs w:val="20"/>
                <w:lang w:val="sr-Latn-CS"/>
              </w:rPr>
            </w:pPr>
            <w:r w:rsidRPr="000C51CE">
              <w:rPr>
                <w:rFonts w:ascii="Constantia" w:hAnsi="Constantia" w:cs="Arial"/>
                <w:sz w:val="20"/>
                <w:szCs w:val="20"/>
                <w:lang w:val="sr-Latn-CS"/>
              </w:rPr>
              <w:t>-</w:t>
            </w:r>
          </w:p>
        </w:tc>
      </w:tr>
      <w:tr w:rsidR="003174D0" w:rsidRPr="000C51CE" w:rsidTr="002C44AB">
        <w:trPr>
          <w:cnfStyle w:val="000000010000" w:firstRow="0" w:lastRow="0" w:firstColumn="0" w:lastColumn="0" w:oddVBand="0" w:evenVBand="0" w:oddHBand="0" w:evenHBand="1"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2956" w:type="dxa"/>
            <w:tcBorders>
              <w:top w:val="single" w:sz="8" w:space="0" w:color="B3DE86" w:themeColor="accent5" w:themeTint="BF"/>
              <w:left w:val="single" w:sz="8" w:space="0" w:color="B3DE86" w:themeColor="accent5" w:themeTint="BF"/>
              <w:bottom w:val="single" w:sz="8" w:space="0" w:color="B3DE86" w:themeColor="accent5" w:themeTint="BF"/>
            </w:tcBorders>
            <w:vAlign w:val="center"/>
            <w:hideMark/>
          </w:tcPr>
          <w:p w:rsidR="000C51CE" w:rsidRPr="000C51CE" w:rsidRDefault="000C51CE" w:rsidP="000C51CE">
            <w:pPr>
              <w:spacing w:after="0"/>
              <w:jc w:val="left"/>
              <w:rPr>
                <w:rFonts w:ascii="Constantia" w:hAnsi="Constantia" w:cs="Arial"/>
                <w:sz w:val="20"/>
                <w:szCs w:val="20"/>
                <w:lang w:val="sr-Latn-CS"/>
              </w:rPr>
            </w:pPr>
            <w:r w:rsidRPr="000C51CE">
              <w:rPr>
                <w:rFonts w:ascii="Constantia" w:hAnsi="Constantia" w:cs="Arial"/>
                <w:sz w:val="20"/>
                <w:szCs w:val="20"/>
                <w:lang w:val="sr-Latn-CS"/>
              </w:rPr>
              <w:t>2012. godina</w:t>
            </w:r>
          </w:p>
        </w:tc>
        <w:tc>
          <w:tcPr>
            <w:tcW w:w="959" w:type="dxa"/>
            <w:tcBorders>
              <w:top w:val="single" w:sz="8" w:space="0" w:color="B3DE86" w:themeColor="accent5" w:themeTint="BF"/>
              <w:bottom w:val="single" w:sz="8" w:space="0" w:color="B3DE86" w:themeColor="accent5" w:themeTint="BF"/>
            </w:tcBorders>
            <w:vAlign w:val="center"/>
            <w:hideMark/>
          </w:tcPr>
          <w:p w:rsidR="000C51CE" w:rsidRPr="000C51CE" w:rsidRDefault="000C51CE" w:rsidP="000C51CE">
            <w:pPr>
              <w:spacing w:after="0"/>
              <w:jc w:val="center"/>
              <w:cnfStyle w:val="000000010000" w:firstRow="0" w:lastRow="0" w:firstColumn="0" w:lastColumn="0" w:oddVBand="0" w:evenVBand="0" w:oddHBand="0" w:evenHBand="1" w:firstRowFirstColumn="0" w:firstRowLastColumn="0" w:lastRowFirstColumn="0" w:lastRowLastColumn="0"/>
              <w:rPr>
                <w:rFonts w:ascii="Constantia" w:hAnsi="Constantia" w:cs="Arial"/>
                <w:sz w:val="20"/>
                <w:szCs w:val="20"/>
                <w:lang w:val="sr-Latn-CS"/>
              </w:rPr>
            </w:pPr>
            <w:r w:rsidRPr="000C51CE">
              <w:rPr>
                <w:rFonts w:ascii="Constantia" w:hAnsi="Constantia" w:cs="Arial"/>
                <w:sz w:val="20"/>
                <w:szCs w:val="20"/>
                <w:lang w:val="sr-Latn-CS"/>
              </w:rPr>
              <w:t>0</w:t>
            </w:r>
          </w:p>
        </w:tc>
        <w:tc>
          <w:tcPr>
            <w:tcW w:w="1111" w:type="dxa"/>
            <w:tcBorders>
              <w:top w:val="single" w:sz="8" w:space="0" w:color="B3DE86" w:themeColor="accent5" w:themeTint="BF"/>
              <w:bottom w:val="single" w:sz="8" w:space="0" w:color="B3DE86" w:themeColor="accent5" w:themeTint="BF"/>
            </w:tcBorders>
            <w:vAlign w:val="center"/>
          </w:tcPr>
          <w:p w:rsidR="000C51CE" w:rsidRPr="000C51CE" w:rsidRDefault="000C51CE" w:rsidP="000C51CE">
            <w:pPr>
              <w:spacing w:after="0"/>
              <w:jc w:val="center"/>
              <w:cnfStyle w:val="000000010000" w:firstRow="0" w:lastRow="0" w:firstColumn="0" w:lastColumn="0" w:oddVBand="0" w:evenVBand="0" w:oddHBand="0" w:evenHBand="1" w:firstRowFirstColumn="0" w:firstRowLastColumn="0" w:lastRowFirstColumn="0" w:lastRowLastColumn="0"/>
              <w:rPr>
                <w:rFonts w:ascii="Constantia" w:hAnsi="Constantia" w:cs="Arial"/>
                <w:sz w:val="20"/>
                <w:szCs w:val="20"/>
                <w:lang w:val="sr-Latn-CS"/>
              </w:rPr>
            </w:pPr>
          </w:p>
        </w:tc>
        <w:tc>
          <w:tcPr>
            <w:tcW w:w="1371" w:type="dxa"/>
            <w:tcBorders>
              <w:top w:val="single" w:sz="8" w:space="0" w:color="B3DE86" w:themeColor="accent5" w:themeTint="BF"/>
              <w:bottom w:val="single" w:sz="8" w:space="0" w:color="B3DE86" w:themeColor="accent5" w:themeTint="BF"/>
            </w:tcBorders>
            <w:vAlign w:val="center"/>
            <w:hideMark/>
          </w:tcPr>
          <w:p w:rsidR="000C51CE" w:rsidRPr="000C51CE" w:rsidRDefault="000C51CE" w:rsidP="000C51CE">
            <w:pPr>
              <w:spacing w:after="0"/>
              <w:jc w:val="center"/>
              <w:cnfStyle w:val="000000010000" w:firstRow="0" w:lastRow="0" w:firstColumn="0" w:lastColumn="0" w:oddVBand="0" w:evenVBand="0" w:oddHBand="0" w:evenHBand="1" w:firstRowFirstColumn="0" w:firstRowLastColumn="0" w:lastRowFirstColumn="0" w:lastRowLastColumn="0"/>
              <w:rPr>
                <w:rFonts w:ascii="Constantia" w:hAnsi="Constantia" w:cs="Arial"/>
                <w:sz w:val="20"/>
                <w:szCs w:val="20"/>
                <w:lang w:val="sr-Latn-CS"/>
              </w:rPr>
            </w:pPr>
            <w:r w:rsidRPr="000C51CE">
              <w:rPr>
                <w:rFonts w:ascii="Constantia" w:hAnsi="Constantia" w:cs="Arial"/>
                <w:sz w:val="20"/>
                <w:szCs w:val="20"/>
                <w:lang w:val="sr-Latn-CS"/>
              </w:rPr>
              <w:t>0</w:t>
            </w:r>
          </w:p>
        </w:tc>
        <w:tc>
          <w:tcPr>
            <w:tcW w:w="630" w:type="dxa"/>
            <w:gridSpan w:val="2"/>
            <w:tcBorders>
              <w:top w:val="single" w:sz="8" w:space="0" w:color="B3DE86" w:themeColor="accent5" w:themeTint="BF"/>
              <w:bottom w:val="single" w:sz="8" w:space="0" w:color="B3DE86" w:themeColor="accent5" w:themeTint="BF"/>
            </w:tcBorders>
            <w:vAlign w:val="center"/>
            <w:hideMark/>
          </w:tcPr>
          <w:p w:rsidR="000C51CE" w:rsidRPr="000C51CE" w:rsidRDefault="00361B67" w:rsidP="003174D0">
            <w:pPr>
              <w:spacing w:after="0"/>
              <w:jc w:val="center"/>
              <w:cnfStyle w:val="000000010000" w:firstRow="0" w:lastRow="0" w:firstColumn="0" w:lastColumn="0" w:oddVBand="0" w:evenVBand="0" w:oddHBand="0" w:evenHBand="1" w:firstRowFirstColumn="0" w:firstRowLastColumn="0" w:lastRowFirstColumn="0" w:lastRowLastColumn="0"/>
              <w:rPr>
                <w:rFonts w:ascii="Constantia" w:hAnsi="Constantia" w:cs="Arial"/>
                <w:sz w:val="20"/>
                <w:szCs w:val="20"/>
                <w:lang w:val="sr-Latn-CS"/>
              </w:rPr>
            </w:pPr>
            <w:r>
              <w:rPr>
                <w:rFonts w:ascii="Constantia" w:hAnsi="Constantia" w:cs="Arial"/>
                <w:sz w:val="20"/>
                <w:szCs w:val="20"/>
                <w:lang w:val="sr-Latn-CS"/>
              </w:rPr>
              <w:t>17,</w:t>
            </w:r>
            <w:r w:rsidR="000C51CE" w:rsidRPr="000C51CE">
              <w:rPr>
                <w:rFonts w:ascii="Constantia" w:hAnsi="Constantia" w:cs="Arial"/>
                <w:sz w:val="20"/>
                <w:szCs w:val="20"/>
                <w:lang w:val="sr-Latn-CS"/>
              </w:rPr>
              <w:t>1</w:t>
            </w:r>
          </w:p>
        </w:tc>
        <w:tc>
          <w:tcPr>
            <w:tcW w:w="1699" w:type="dxa"/>
            <w:tcBorders>
              <w:top w:val="single" w:sz="8" w:space="0" w:color="B3DE86" w:themeColor="accent5" w:themeTint="BF"/>
              <w:bottom w:val="single" w:sz="8" w:space="0" w:color="B3DE86" w:themeColor="accent5" w:themeTint="BF"/>
              <w:right w:val="single" w:sz="8" w:space="0" w:color="B3DE86" w:themeColor="accent5" w:themeTint="BF"/>
            </w:tcBorders>
            <w:vAlign w:val="center"/>
          </w:tcPr>
          <w:p w:rsidR="000C51CE" w:rsidRPr="000C51CE" w:rsidRDefault="000C51CE" w:rsidP="000C51CE">
            <w:pPr>
              <w:spacing w:after="0"/>
              <w:jc w:val="center"/>
              <w:cnfStyle w:val="000000010000" w:firstRow="0" w:lastRow="0" w:firstColumn="0" w:lastColumn="0" w:oddVBand="0" w:evenVBand="0" w:oddHBand="0" w:evenHBand="1" w:firstRowFirstColumn="0" w:firstRowLastColumn="0" w:lastRowFirstColumn="0" w:lastRowLastColumn="0"/>
              <w:rPr>
                <w:rFonts w:ascii="Constantia" w:hAnsi="Constantia" w:cs="Arial"/>
                <w:sz w:val="20"/>
                <w:szCs w:val="20"/>
                <w:lang w:val="sr-Latn-CS"/>
              </w:rPr>
            </w:pPr>
          </w:p>
        </w:tc>
      </w:tr>
      <w:tr w:rsidR="003174D0" w:rsidRPr="000C51CE" w:rsidTr="002C44AB">
        <w:trPr>
          <w:cnfStyle w:val="000000100000" w:firstRow="0" w:lastRow="0" w:firstColumn="0" w:lastColumn="0" w:oddVBand="0" w:evenVBand="0" w:oddHBand="1"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2956" w:type="dxa"/>
            <w:tcBorders>
              <w:top w:val="single" w:sz="8" w:space="0" w:color="B3DE86" w:themeColor="accent5" w:themeTint="BF"/>
              <w:left w:val="single" w:sz="8" w:space="0" w:color="B3DE86" w:themeColor="accent5" w:themeTint="BF"/>
              <w:bottom w:val="single" w:sz="8" w:space="0" w:color="B3DE86" w:themeColor="accent5" w:themeTint="BF"/>
            </w:tcBorders>
            <w:vAlign w:val="center"/>
            <w:hideMark/>
          </w:tcPr>
          <w:p w:rsidR="000C51CE" w:rsidRPr="000C51CE" w:rsidRDefault="000C51CE" w:rsidP="000C51CE">
            <w:pPr>
              <w:spacing w:after="0"/>
              <w:jc w:val="left"/>
              <w:rPr>
                <w:rFonts w:ascii="Constantia" w:hAnsi="Constantia" w:cs="Arial"/>
                <w:sz w:val="20"/>
                <w:szCs w:val="20"/>
                <w:lang w:val="sr-Latn-CS"/>
              </w:rPr>
            </w:pPr>
            <w:r w:rsidRPr="000C51CE">
              <w:rPr>
                <w:rFonts w:ascii="Constantia" w:hAnsi="Constantia" w:cs="Arial"/>
                <w:sz w:val="20"/>
                <w:szCs w:val="20"/>
                <w:lang w:val="sr-Latn-CS"/>
              </w:rPr>
              <w:t>2013. godina</w:t>
            </w:r>
          </w:p>
        </w:tc>
        <w:tc>
          <w:tcPr>
            <w:tcW w:w="959" w:type="dxa"/>
            <w:tcBorders>
              <w:top w:val="single" w:sz="8" w:space="0" w:color="B3DE86" w:themeColor="accent5" w:themeTint="BF"/>
              <w:bottom w:val="single" w:sz="8" w:space="0" w:color="B3DE86" w:themeColor="accent5" w:themeTint="BF"/>
            </w:tcBorders>
            <w:vAlign w:val="center"/>
            <w:hideMark/>
          </w:tcPr>
          <w:p w:rsidR="000C51CE" w:rsidRPr="000C51CE" w:rsidRDefault="000C51CE" w:rsidP="000C51CE">
            <w:pPr>
              <w:spacing w:after="0"/>
              <w:jc w:val="center"/>
              <w:cnfStyle w:val="000000100000" w:firstRow="0" w:lastRow="0" w:firstColumn="0" w:lastColumn="0" w:oddVBand="0" w:evenVBand="0" w:oddHBand="1" w:evenHBand="0" w:firstRowFirstColumn="0" w:firstRowLastColumn="0" w:lastRowFirstColumn="0" w:lastRowLastColumn="0"/>
              <w:rPr>
                <w:rFonts w:ascii="Constantia" w:hAnsi="Constantia" w:cs="Arial"/>
                <w:sz w:val="20"/>
                <w:szCs w:val="20"/>
                <w:lang w:val="sr-Latn-CS"/>
              </w:rPr>
            </w:pPr>
            <w:r w:rsidRPr="000C51CE">
              <w:rPr>
                <w:rFonts w:ascii="Constantia" w:hAnsi="Constantia" w:cs="Arial"/>
                <w:sz w:val="20"/>
                <w:szCs w:val="20"/>
                <w:lang w:val="sr-Latn-CS"/>
              </w:rPr>
              <w:t>0</w:t>
            </w:r>
          </w:p>
        </w:tc>
        <w:tc>
          <w:tcPr>
            <w:tcW w:w="1111" w:type="dxa"/>
            <w:tcBorders>
              <w:top w:val="single" w:sz="8" w:space="0" w:color="B3DE86" w:themeColor="accent5" w:themeTint="BF"/>
              <w:bottom w:val="single" w:sz="8" w:space="0" w:color="B3DE86" w:themeColor="accent5" w:themeTint="BF"/>
            </w:tcBorders>
            <w:vAlign w:val="center"/>
          </w:tcPr>
          <w:p w:rsidR="000C51CE" w:rsidRPr="000C51CE" w:rsidRDefault="000C51CE" w:rsidP="000C51CE">
            <w:pPr>
              <w:spacing w:after="0"/>
              <w:jc w:val="center"/>
              <w:cnfStyle w:val="000000100000" w:firstRow="0" w:lastRow="0" w:firstColumn="0" w:lastColumn="0" w:oddVBand="0" w:evenVBand="0" w:oddHBand="1" w:evenHBand="0" w:firstRowFirstColumn="0" w:firstRowLastColumn="0" w:lastRowFirstColumn="0" w:lastRowLastColumn="0"/>
              <w:rPr>
                <w:rFonts w:ascii="Constantia" w:hAnsi="Constantia" w:cs="Arial"/>
                <w:sz w:val="20"/>
                <w:szCs w:val="20"/>
                <w:lang w:val="sr-Latn-CS"/>
              </w:rPr>
            </w:pPr>
          </w:p>
        </w:tc>
        <w:tc>
          <w:tcPr>
            <w:tcW w:w="1371" w:type="dxa"/>
            <w:tcBorders>
              <w:top w:val="single" w:sz="8" w:space="0" w:color="B3DE86" w:themeColor="accent5" w:themeTint="BF"/>
              <w:bottom w:val="single" w:sz="8" w:space="0" w:color="B3DE86" w:themeColor="accent5" w:themeTint="BF"/>
            </w:tcBorders>
            <w:vAlign w:val="center"/>
            <w:hideMark/>
          </w:tcPr>
          <w:p w:rsidR="000C51CE" w:rsidRPr="000C51CE" w:rsidRDefault="000C51CE" w:rsidP="000C51CE">
            <w:pPr>
              <w:spacing w:after="0"/>
              <w:jc w:val="center"/>
              <w:cnfStyle w:val="000000100000" w:firstRow="0" w:lastRow="0" w:firstColumn="0" w:lastColumn="0" w:oddVBand="0" w:evenVBand="0" w:oddHBand="1" w:evenHBand="0" w:firstRowFirstColumn="0" w:firstRowLastColumn="0" w:lastRowFirstColumn="0" w:lastRowLastColumn="0"/>
              <w:rPr>
                <w:rFonts w:ascii="Constantia" w:hAnsi="Constantia" w:cs="Arial"/>
                <w:sz w:val="20"/>
                <w:szCs w:val="20"/>
                <w:lang w:val="sr-Latn-CS"/>
              </w:rPr>
            </w:pPr>
            <w:r w:rsidRPr="000C51CE">
              <w:rPr>
                <w:rFonts w:ascii="Constantia" w:hAnsi="Constantia" w:cs="Arial"/>
                <w:sz w:val="20"/>
                <w:szCs w:val="20"/>
                <w:lang w:val="sr-Latn-CS"/>
              </w:rPr>
              <w:t>0</w:t>
            </w:r>
          </w:p>
        </w:tc>
        <w:tc>
          <w:tcPr>
            <w:tcW w:w="630" w:type="dxa"/>
            <w:gridSpan w:val="2"/>
            <w:tcBorders>
              <w:top w:val="single" w:sz="8" w:space="0" w:color="B3DE86" w:themeColor="accent5" w:themeTint="BF"/>
              <w:bottom w:val="single" w:sz="8" w:space="0" w:color="B3DE86" w:themeColor="accent5" w:themeTint="BF"/>
            </w:tcBorders>
            <w:vAlign w:val="center"/>
            <w:hideMark/>
          </w:tcPr>
          <w:p w:rsidR="000C51CE" w:rsidRPr="000C51CE" w:rsidRDefault="00361B67" w:rsidP="003174D0">
            <w:pPr>
              <w:spacing w:after="0"/>
              <w:jc w:val="center"/>
              <w:cnfStyle w:val="000000100000" w:firstRow="0" w:lastRow="0" w:firstColumn="0" w:lastColumn="0" w:oddVBand="0" w:evenVBand="0" w:oddHBand="1" w:evenHBand="0" w:firstRowFirstColumn="0" w:firstRowLastColumn="0" w:lastRowFirstColumn="0" w:lastRowLastColumn="0"/>
              <w:rPr>
                <w:rFonts w:ascii="Constantia" w:hAnsi="Constantia" w:cs="Arial"/>
                <w:sz w:val="20"/>
                <w:szCs w:val="20"/>
                <w:lang w:val="sr-Latn-CS"/>
              </w:rPr>
            </w:pPr>
            <w:r>
              <w:rPr>
                <w:rFonts w:ascii="Constantia" w:hAnsi="Constantia" w:cs="Arial"/>
                <w:sz w:val="20"/>
                <w:szCs w:val="20"/>
                <w:lang w:val="sr-Latn-CS"/>
              </w:rPr>
              <w:t>13,</w:t>
            </w:r>
            <w:r w:rsidR="000C51CE" w:rsidRPr="000C51CE">
              <w:rPr>
                <w:rFonts w:ascii="Constantia" w:hAnsi="Constantia" w:cs="Arial"/>
                <w:sz w:val="20"/>
                <w:szCs w:val="20"/>
                <w:lang w:val="sr-Latn-CS"/>
              </w:rPr>
              <w:t>6</w:t>
            </w:r>
          </w:p>
        </w:tc>
        <w:tc>
          <w:tcPr>
            <w:tcW w:w="1699" w:type="dxa"/>
            <w:tcBorders>
              <w:top w:val="single" w:sz="8" w:space="0" w:color="B3DE86" w:themeColor="accent5" w:themeTint="BF"/>
              <w:bottom w:val="single" w:sz="8" w:space="0" w:color="B3DE86" w:themeColor="accent5" w:themeTint="BF"/>
              <w:right w:val="single" w:sz="8" w:space="0" w:color="B3DE86" w:themeColor="accent5" w:themeTint="BF"/>
            </w:tcBorders>
            <w:vAlign w:val="center"/>
          </w:tcPr>
          <w:p w:rsidR="000C51CE" w:rsidRPr="000C51CE" w:rsidRDefault="000C51CE" w:rsidP="000C51CE">
            <w:pPr>
              <w:spacing w:after="0"/>
              <w:jc w:val="center"/>
              <w:cnfStyle w:val="000000100000" w:firstRow="0" w:lastRow="0" w:firstColumn="0" w:lastColumn="0" w:oddVBand="0" w:evenVBand="0" w:oddHBand="1" w:evenHBand="0" w:firstRowFirstColumn="0" w:firstRowLastColumn="0" w:lastRowFirstColumn="0" w:lastRowLastColumn="0"/>
              <w:rPr>
                <w:rFonts w:ascii="Constantia" w:hAnsi="Constantia" w:cs="Arial"/>
                <w:sz w:val="20"/>
                <w:szCs w:val="20"/>
                <w:lang w:val="sr-Latn-CS"/>
              </w:rPr>
            </w:pPr>
          </w:p>
        </w:tc>
      </w:tr>
    </w:tbl>
    <w:p w:rsidR="000C51CE" w:rsidRDefault="000C51CE" w:rsidP="00E25DE9">
      <w:pPr>
        <w:pStyle w:val="Tabele"/>
        <w:ind w:left="0" w:firstLine="0"/>
        <w:rPr>
          <w:rFonts w:ascii="Constantia" w:hAnsi="Constantia"/>
          <w:sz w:val="22"/>
          <w:szCs w:val="22"/>
        </w:rPr>
      </w:pPr>
      <w:r w:rsidRPr="002B46B5">
        <w:rPr>
          <w:rFonts w:ascii="Constantia" w:hAnsi="Constantia"/>
          <w:sz w:val="22"/>
          <w:szCs w:val="22"/>
        </w:rPr>
        <w:t>Potrošnja supstanci koj</w:t>
      </w:r>
      <w:r w:rsidR="00EE157E" w:rsidRPr="002B46B5">
        <w:rPr>
          <w:rFonts w:ascii="Constantia" w:hAnsi="Constantia"/>
          <w:sz w:val="22"/>
          <w:szCs w:val="22"/>
        </w:rPr>
        <w:t>e oštećuju ozonski omotač, 1995</w:t>
      </w:r>
      <w:r w:rsidRPr="002B46B5">
        <w:rPr>
          <w:rFonts w:ascii="Constantia" w:hAnsi="Constantia"/>
          <w:sz w:val="22"/>
          <w:szCs w:val="22"/>
        </w:rPr>
        <w:t>-2013 (t)</w:t>
      </w:r>
    </w:p>
    <w:p w:rsidR="00F946AF" w:rsidRPr="003174D0" w:rsidRDefault="00F946AF" w:rsidP="00F946AF">
      <w:pPr>
        <w:pStyle w:val="Tabele"/>
        <w:numPr>
          <w:ilvl w:val="0"/>
          <w:numId w:val="0"/>
        </w:numPr>
        <w:spacing w:after="0"/>
        <w:ind w:left="630"/>
        <w:jc w:val="both"/>
        <w:rPr>
          <w:rFonts w:ascii="Constantia" w:hAnsi="Constantia"/>
          <w:sz w:val="22"/>
          <w:szCs w:val="22"/>
        </w:rPr>
      </w:pPr>
    </w:p>
    <w:p w:rsidR="000C51CE" w:rsidRPr="000C51CE" w:rsidRDefault="000C51CE" w:rsidP="000C51CE">
      <w:pPr>
        <w:jc w:val="center"/>
        <w:rPr>
          <w:rFonts w:ascii="Constantia" w:hAnsi="Constantia"/>
          <w:sz w:val="24"/>
          <w:lang w:val="sr-Latn-CS"/>
        </w:rPr>
      </w:pPr>
      <w:r w:rsidRPr="000C51CE">
        <w:rPr>
          <w:rFonts w:ascii="Constantia" w:hAnsi="Constantia"/>
          <w:noProof/>
          <w:sz w:val="24"/>
        </w:rPr>
        <w:drawing>
          <wp:inline distT="0" distB="0" distL="0" distR="0" wp14:anchorId="0854985A" wp14:editId="30657B6E">
            <wp:extent cx="4627659" cy="1590261"/>
            <wp:effectExtent l="0" t="0" r="0" b="0"/>
            <wp:docPr id="819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0C51CE" w:rsidRPr="002B46B5" w:rsidRDefault="000C51CE" w:rsidP="00EE157E">
      <w:pPr>
        <w:pStyle w:val="Grafikon"/>
        <w:rPr>
          <w:rFonts w:ascii="Constantia" w:hAnsi="Constantia"/>
          <w:sz w:val="22"/>
          <w:szCs w:val="22"/>
        </w:rPr>
      </w:pPr>
      <w:r w:rsidRPr="002B46B5">
        <w:rPr>
          <w:rFonts w:ascii="Constantia" w:hAnsi="Constantia"/>
          <w:sz w:val="22"/>
          <w:szCs w:val="22"/>
        </w:rPr>
        <w:t>Potrošnja supstanci koj</w:t>
      </w:r>
      <w:r w:rsidR="00EE157E" w:rsidRPr="002B46B5">
        <w:rPr>
          <w:rFonts w:ascii="Constantia" w:hAnsi="Constantia"/>
          <w:sz w:val="22"/>
          <w:szCs w:val="22"/>
        </w:rPr>
        <w:t>e oštećuju ozonski omotač, 1995</w:t>
      </w:r>
      <w:r w:rsidRPr="002B46B5">
        <w:rPr>
          <w:rFonts w:ascii="Constantia" w:hAnsi="Constantia"/>
          <w:sz w:val="22"/>
          <w:szCs w:val="22"/>
        </w:rPr>
        <w:t>-2013 (t)</w:t>
      </w:r>
    </w:p>
    <w:p w:rsidR="000C51CE" w:rsidRPr="000C51CE" w:rsidRDefault="000C51CE" w:rsidP="00DC5255">
      <w:pPr>
        <w:pStyle w:val="Heading2"/>
        <w:ind w:left="720"/>
        <w:rPr>
          <w:lang w:val="sr-Latn-CS"/>
        </w:rPr>
      </w:pPr>
      <w:bookmarkStart w:id="29" w:name="_Toc321212327"/>
      <w:bookmarkStart w:id="30" w:name="_Toc322000734"/>
      <w:bookmarkStart w:id="31" w:name="_Toc393897869"/>
      <w:r w:rsidRPr="000C51CE">
        <w:rPr>
          <w:lang w:val="sr-Latn-CS"/>
        </w:rPr>
        <w:lastRenderedPageBreak/>
        <w:t xml:space="preserve">Analiza </w:t>
      </w:r>
      <w:r w:rsidRPr="007468D3">
        <w:t>temperature</w:t>
      </w:r>
      <w:r w:rsidRPr="000C51CE">
        <w:rPr>
          <w:lang w:val="sr-Latn-CS"/>
        </w:rPr>
        <w:t xml:space="preserve"> vazduha i količine padavina za 2013.</w:t>
      </w:r>
      <w:r w:rsidR="007468D3">
        <w:rPr>
          <w:lang w:val="sr-Latn-CS"/>
        </w:rPr>
        <w:t xml:space="preserve"> </w:t>
      </w:r>
      <w:r w:rsidRPr="000C51CE">
        <w:rPr>
          <w:lang w:val="sr-Latn-CS"/>
        </w:rPr>
        <w:t>godinu</w:t>
      </w:r>
      <w:bookmarkEnd w:id="29"/>
      <w:r w:rsidRPr="000C51CE">
        <w:rPr>
          <w:vertAlign w:val="superscript"/>
          <w:lang w:val="sr-Latn-CS"/>
        </w:rPr>
        <w:footnoteReference w:id="6"/>
      </w:r>
      <w:bookmarkEnd w:id="30"/>
      <w:bookmarkEnd w:id="31"/>
    </w:p>
    <w:p w:rsidR="000C51CE" w:rsidRPr="000C51CE" w:rsidRDefault="000C51CE" w:rsidP="00F32066">
      <w:pPr>
        <w:shd w:val="clear" w:color="auto" w:fill="FFFFFF" w:themeFill="background1"/>
        <w:spacing w:before="240"/>
        <w:rPr>
          <w:rFonts w:ascii="Constantia" w:hAnsi="Constantia" w:cs="Arial"/>
          <w:sz w:val="24"/>
          <w:lang w:val="sr-Latn-CS"/>
        </w:rPr>
      </w:pPr>
      <w:r w:rsidRPr="000C51CE">
        <w:rPr>
          <w:rFonts w:ascii="Constantia" w:hAnsi="Constantia"/>
          <w:szCs w:val="22"/>
          <w:lang w:val="sr-Latn-CS"/>
        </w:rPr>
        <w:t xml:space="preserve">Tokom 2013. </w:t>
      </w:r>
      <w:r w:rsidR="002F61F0">
        <w:rPr>
          <w:rFonts w:ascii="Constantia" w:hAnsi="Constantia"/>
          <w:szCs w:val="22"/>
          <w:lang w:val="sr-Latn-CS"/>
        </w:rPr>
        <w:t xml:space="preserve">godine </w:t>
      </w:r>
      <w:r w:rsidRPr="000C51CE">
        <w:rPr>
          <w:rFonts w:ascii="Constantia" w:hAnsi="Constantia"/>
          <w:szCs w:val="22"/>
          <w:lang w:val="sr-Latn-CS"/>
        </w:rPr>
        <w:t>temperatura vazduha je bila iznad klimatske normale.</w:t>
      </w:r>
    </w:p>
    <w:p w:rsidR="000C51CE" w:rsidRPr="000C51CE" w:rsidRDefault="000C51CE" w:rsidP="003174D0">
      <w:pPr>
        <w:shd w:val="clear" w:color="auto" w:fill="FFFFFF" w:themeFill="background1"/>
        <w:rPr>
          <w:rFonts w:ascii="Constantia" w:hAnsi="Constantia"/>
          <w:szCs w:val="22"/>
          <w:lang w:val="sr-Latn-CS"/>
        </w:rPr>
      </w:pPr>
      <w:r w:rsidRPr="000C51CE">
        <w:rPr>
          <w:rFonts w:ascii="Constantia" w:hAnsi="Constantia"/>
          <w:szCs w:val="22"/>
          <w:lang w:val="sr-Latn-CS"/>
        </w:rPr>
        <w:t>Zabilje</w:t>
      </w:r>
      <w:r w:rsidRPr="000C51CE">
        <w:rPr>
          <w:rFonts w:ascii="Constantia" w:hAnsi="Constantia"/>
          <w:szCs w:val="22"/>
        </w:rPr>
        <w:t xml:space="preserve">žena je </w:t>
      </w:r>
      <w:r w:rsidRPr="000C51CE">
        <w:rPr>
          <w:rFonts w:ascii="Constantia" w:hAnsi="Constantia"/>
          <w:szCs w:val="22"/>
          <w:lang w:val="sr-Latn-CS"/>
        </w:rPr>
        <w:t>najtoplija godina na većem području Crne Gore, a prema raspodjeli percentila temperatura vazduha se kretala u kategoriji ekstremno toplo. Količina padavina se prema raspodjeli percentila kretala u kategorijama normalno, kišno, vrlo kišno i ekstremno kišno. Na području Podgorice i Ulcinja zabilježena je najkišnija godina.</w:t>
      </w:r>
    </w:p>
    <w:p w:rsidR="000C51CE" w:rsidRPr="000C51CE" w:rsidRDefault="000C51CE" w:rsidP="003174D0">
      <w:pPr>
        <w:shd w:val="clear" w:color="auto" w:fill="FFFFFF" w:themeFill="background1"/>
        <w:rPr>
          <w:rFonts w:ascii="Constantia" w:hAnsi="Constantia"/>
          <w:szCs w:val="22"/>
          <w:lang w:val="sr-Latn-CS"/>
        </w:rPr>
      </w:pPr>
      <w:r w:rsidRPr="000C51CE">
        <w:rPr>
          <w:rFonts w:ascii="Constantia" w:hAnsi="Constantia"/>
          <w:szCs w:val="22"/>
          <w:lang w:val="sr-Latn-CS"/>
        </w:rPr>
        <w:t xml:space="preserve">Tokom 2013. </w:t>
      </w:r>
      <w:r w:rsidR="00D22468">
        <w:rPr>
          <w:rFonts w:ascii="Constantia" w:hAnsi="Constantia"/>
          <w:szCs w:val="22"/>
          <w:lang w:val="sr-Latn-CS"/>
        </w:rPr>
        <w:t>g</w:t>
      </w:r>
      <w:r w:rsidRPr="000C51CE">
        <w:rPr>
          <w:rFonts w:ascii="Constantia" w:hAnsi="Constantia"/>
          <w:szCs w:val="22"/>
          <w:lang w:val="sr-Latn-CS"/>
        </w:rPr>
        <w:t>odine</w:t>
      </w:r>
      <w:r w:rsidR="00D22468">
        <w:rPr>
          <w:rFonts w:ascii="Constantia" w:hAnsi="Constantia"/>
          <w:szCs w:val="22"/>
          <w:lang w:val="sr-Latn-CS"/>
        </w:rPr>
        <w:t>,</w:t>
      </w:r>
      <w:r w:rsidRPr="000C51CE">
        <w:rPr>
          <w:rFonts w:ascii="Constantia" w:hAnsi="Constantia"/>
          <w:szCs w:val="22"/>
          <w:lang w:val="sr-Latn-CS"/>
        </w:rPr>
        <w:t xml:space="preserve"> srednja tempe</w:t>
      </w:r>
      <w:r w:rsidR="002B46B5">
        <w:rPr>
          <w:rFonts w:ascii="Constantia" w:hAnsi="Constantia"/>
          <w:szCs w:val="22"/>
          <w:lang w:val="sr-Latn-CS"/>
        </w:rPr>
        <w:t>ratura vazduha  se kretala od 7,</w:t>
      </w:r>
      <w:r w:rsidRPr="000C51CE">
        <w:rPr>
          <w:rFonts w:ascii="Constantia" w:hAnsi="Constantia"/>
          <w:szCs w:val="22"/>
          <w:lang w:val="sr-Latn-CS"/>
        </w:rPr>
        <w:t xml:space="preserve">3o°C </w:t>
      </w:r>
      <w:r w:rsidRPr="00B96E6B">
        <w:rPr>
          <w:rFonts w:ascii="Constantia" w:hAnsi="Constantia"/>
          <w:szCs w:val="22"/>
          <w:lang w:val="sr-Latn-CS"/>
        </w:rPr>
        <w:t>na</w:t>
      </w:r>
      <w:r w:rsidR="00D22468">
        <w:rPr>
          <w:rFonts w:ascii="Constantia" w:hAnsi="Constantia"/>
          <w:szCs w:val="22"/>
          <w:lang w:val="sr-Latn-CS"/>
        </w:rPr>
        <w:t xml:space="preserve"> </w:t>
      </w:r>
      <w:r w:rsidR="002B46B5">
        <w:rPr>
          <w:rFonts w:ascii="Constantia" w:hAnsi="Constantia"/>
          <w:szCs w:val="22"/>
          <w:lang w:val="sr-Latn-CS"/>
        </w:rPr>
        <w:t>Žabljaku do 18,2o°C u Budvi, u Podgorici 17,</w:t>
      </w:r>
      <w:r w:rsidRPr="000C51CE">
        <w:rPr>
          <w:rFonts w:ascii="Constantia" w:hAnsi="Constantia"/>
          <w:szCs w:val="22"/>
          <w:lang w:val="sr-Latn-CS"/>
        </w:rPr>
        <w:t>3o°C. Odstupanja srednje temperature vazduha su bila iznad vrijednosti klimatske normale (1961-1990</w:t>
      </w:r>
      <w:r w:rsidR="002B46B5">
        <w:rPr>
          <w:rFonts w:ascii="Constantia" w:hAnsi="Constantia"/>
          <w:szCs w:val="22"/>
          <w:lang w:val="sr-Latn-CS"/>
        </w:rPr>
        <w:t>) i kretala su se od 1,</w:t>
      </w:r>
      <w:r w:rsidRPr="000C51CE">
        <w:rPr>
          <w:rFonts w:ascii="Constantia" w:hAnsi="Constantia"/>
          <w:szCs w:val="22"/>
          <w:lang w:val="sr-Latn-CS"/>
        </w:rPr>
        <w:t xml:space="preserve">2o°C u Herceg Novom do 3o°C </w:t>
      </w:r>
      <w:r w:rsidR="002B46B5">
        <w:rPr>
          <w:rFonts w:ascii="Constantia" w:hAnsi="Constantia"/>
          <w:szCs w:val="22"/>
          <w:lang w:val="sr-Latn-CS"/>
        </w:rPr>
        <w:t xml:space="preserve">u Rožajama, </w:t>
      </w:r>
      <w:r w:rsidR="004756B4">
        <w:rPr>
          <w:rFonts w:ascii="Constantia" w:hAnsi="Constantia"/>
          <w:szCs w:val="22"/>
          <w:lang w:val="sr-Latn-CS"/>
        </w:rPr>
        <w:t xml:space="preserve">dok je </w:t>
      </w:r>
      <w:r w:rsidR="002B46B5">
        <w:rPr>
          <w:rFonts w:ascii="Constantia" w:hAnsi="Constantia"/>
          <w:szCs w:val="22"/>
          <w:lang w:val="sr-Latn-CS"/>
        </w:rPr>
        <w:t>u Podgorici za 1,</w:t>
      </w:r>
      <w:r w:rsidRPr="000C51CE">
        <w:rPr>
          <w:rFonts w:ascii="Constantia" w:hAnsi="Constantia"/>
          <w:szCs w:val="22"/>
          <w:lang w:val="sr-Latn-CS"/>
        </w:rPr>
        <w:t xml:space="preserve">7o°C bilo toplije od klimatske normale. </w:t>
      </w:r>
    </w:p>
    <w:p w:rsidR="000C51CE" w:rsidRPr="000C51CE" w:rsidRDefault="000C51CE" w:rsidP="003174D0">
      <w:pPr>
        <w:shd w:val="clear" w:color="auto" w:fill="FFFFFF" w:themeFill="background1"/>
        <w:rPr>
          <w:rFonts w:ascii="Constantia" w:hAnsi="Constantia"/>
          <w:szCs w:val="22"/>
          <w:lang w:val="sr-Latn-CS"/>
        </w:rPr>
      </w:pPr>
      <w:r w:rsidRPr="000C51CE">
        <w:rPr>
          <w:rFonts w:ascii="Constantia" w:hAnsi="Constantia"/>
          <w:szCs w:val="22"/>
          <w:lang w:val="sr-Latn-CS"/>
        </w:rPr>
        <w:t>Na području Bara, Ulcinja, Budve, Cetinja, Nikšića, Kolašina, Bijelog Polja, Rožaja, Žabljaka i Pljevalja</w:t>
      </w:r>
      <w:r w:rsidR="00D22468">
        <w:rPr>
          <w:rFonts w:ascii="Constantia" w:hAnsi="Constantia"/>
          <w:szCs w:val="22"/>
          <w:lang w:val="sr-Latn-CS"/>
        </w:rPr>
        <w:t>,</w:t>
      </w:r>
      <w:r w:rsidRPr="000C51CE">
        <w:rPr>
          <w:rFonts w:ascii="Constantia" w:hAnsi="Constantia"/>
          <w:szCs w:val="22"/>
          <w:lang w:val="sr-Latn-CS"/>
        </w:rPr>
        <w:t xml:space="preserve"> 2013. godina je registrovana kao najtoplija godina.</w:t>
      </w:r>
      <w:r w:rsidR="00DC5255">
        <w:rPr>
          <w:rFonts w:ascii="Constantia" w:hAnsi="Constantia"/>
          <w:szCs w:val="22"/>
          <w:lang w:val="sr-Latn-CS"/>
        </w:rPr>
        <w:t xml:space="preserve"> </w:t>
      </w:r>
    </w:p>
    <w:p w:rsidR="000C51CE" w:rsidRDefault="002B46B5" w:rsidP="003174D0">
      <w:pPr>
        <w:shd w:val="clear" w:color="auto" w:fill="FFFFFF" w:themeFill="background1"/>
        <w:rPr>
          <w:rFonts w:ascii="Constantia" w:hAnsi="Constantia"/>
          <w:szCs w:val="22"/>
          <w:lang w:val="sr-Latn-CS"/>
        </w:rPr>
      </w:pPr>
      <w:r>
        <w:rPr>
          <w:rFonts w:ascii="Constantia" w:hAnsi="Constantia"/>
          <w:szCs w:val="22"/>
          <w:lang w:val="sr-Latn-CS"/>
        </w:rPr>
        <w:t xml:space="preserve">U </w:t>
      </w:r>
      <w:r w:rsidRPr="002B46B5">
        <w:rPr>
          <w:rFonts w:ascii="Constantia" w:hAnsi="Constantia"/>
          <w:i/>
          <w:szCs w:val="22"/>
          <w:lang w:val="sr-Latn-CS"/>
        </w:rPr>
        <w:t>T</w:t>
      </w:r>
      <w:r w:rsidR="000C51CE" w:rsidRPr="002B46B5">
        <w:rPr>
          <w:rFonts w:ascii="Constantia" w:hAnsi="Constantia"/>
          <w:i/>
          <w:szCs w:val="22"/>
          <w:lang w:val="sr-Latn-CS"/>
        </w:rPr>
        <w:t xml:space="preserve">abeli </w:t>
      </w:r>
      <w:r w:rsidRPr="002B46B5">
        <w:rPr>
          <w:rFonts w:ascii="Constantia" w:hAnsi="Constantia"/>
          <w:i/>
          <w:szCs w:val="22"/>
          <w:lang w:val="sr-Latn-CS"/>
        </w:rPr>
        <w:t>7.</w:t>
      </w:r>
      <w:r w:rsidR="000C51CE" w:rsidRPr="000C51CE">
        <w:rPr>
          <w:rFonts w:ascii="Constantia" w:hAnsi="Constantia"/>
          <w:szCs w:val="22"/>
          <w:lang w:val="sr-Latn-CS"/>
        </w:rPr>
        <w:t xml:space="preserve"> su prikazane vrijednosti srednje temperature vazduha, dosadašnje najviše vrijednosti i godina kada su registrovane.</w:t>
      </w:r>
    </w:p>
    <w:p w:rsidR="00F32066" w:rsidRDefault="00F32066" w:rsidP="003174D0">
      <w:pPr>
        <w:shd w:val="clear" w:color="auto" w:fill="FFFFFF" w:themeFill="background1"/>
        <w:rPr>
          <w:rFonts w:ascii="Constantia" w:hAnsi="Constantia"/>
          <w:szCs w:val="22"/>
          <w:lang w:val="sr-Latn-CS"/>
        </w:rPr>
      </w:pPr>
    </w:p>
    <w:tbl>
      <w:tblPr>
        <w:tblStyle w:val="MediumGrid3-Accent2"/>
        <w:tblW w:w="0" w:type="auto"/>
        <w:jc w:val="center"/>
        <w:tblLook w:val="01E0" w:firstRow="1" w:lastRow="1" w:firstColumn="1" w:lastColumn="1" w:noHBand="0" w:noVBand="0"/>
      </w:tblPr>
      <w:tblGrid>
        <w:gridCol w:w="1415"/>
        <w:gridCol w:w="2373"/>
        <w:gridCol w:w="2793"/>
      </w:tblGrid>
      <w:tr w:rsidR="000C51CE" w:rsidRPr="00F32066" w:rsidTr="00F32066">
        <w:trPr>
          <w:cnfStyle w:val="100000000000" w:firstRow="1" w:lastRow="0" w:firstColumn="0" w:lastColumn="0" w:oddVBand="0" w:evenVBand="0" w:oddHBand="0" w:evenHBand="0" w:firstRowFirstColumn="0" w:firstRowLastColumn="0" w:lastRowFirstColumn="0" w:lastRowLastColumn="0"/>
          <w:trHeight w:val="775"/>
          <w:jc w:val="center"/>
        </w:trPr>
        <w:tc>
          <w:tcPr>
            <w:cnfStyle w:val="001000000000" w:firstRow="0" w:lastRow="0" w:firstColumn="1" w:lastColumn="0" w:oddVBand="0" w:evenVBand="0" w:oddHBand="0" w:evenHBand="0" w:firstRowFirstColumn="0" w:firstRowLastColumn="0" w:lastRowFirstColumn="0" w:lastRowLastColumn="0"/>
            <w:tcW w:w="1415" w:type="dxa"/>
            <w:hideMark/>
          </w:tcPr>
          <w:p w:rsidR="000C51CE" w:rsidRPr="00F32066" w:rsidRDefault="000C51CE" w:rsidP="000C51CE">
            <w:pPr>
              <w:rPr>
                <w:rFonts w:ascii="Constantia" w:hAnsi="Constantia" w:cs="Arial"/>
                <w:color w:val="000000"/>
                <w:szCs w:val="22"/>
                <w:lang w:val="sr-Latn-CS"/>
              </w:rPr>
            </w:pPr>
            <w:r w:rsidRPr="00F32066">
              <w:rPr>
                <w:rFonts w:ascii="Constantia" w:hAnsi="Constantia" w:cs="Arial"/>
                <w:color w:val="000000"/>
                <w:szCs w:val="22"/>
                <w:lang w:val="sr-Latn-CS"/>
              </w:rPr>
              <w:t>Mjerna stanica</w:t>
            </w:r>
          </w:p>
        </w:tc>
        <w:tc>
          <w:tcPr>
            <w:cnfStyle w:val="000010000000" w:firstRow="0" w:lastRow="0" w:firstColumn="0" w:lastColumn="0" w:oddVBand="1" w:evenVBand="0" w:oddHBand="0" w:evenHBand="0" w:firstRowFirstColumn="0" w:firstRowLastColumn="0" w:lastRowFirstColumn="0" w:lastRowLastColumn="0"/>
            <w:tcW w:w="2373" w:type="dxa"/>
            <w:hideMark/>
          </w:tcPr>
          <w:p w:rsidR="000C51CE" w:rsidRPr="00F32066" w:rsidRDefault="000C51CE" w:rsidP="00D13424">
            <w:pPr>
              <w:spacing w:after="0"/>
              <w:jc w:val="center"/>
              <w:rPr>
                <w:rFonts w:ascii="Constantia" w:hAnsi="Constantia"/>
                <w:szCs w:val="22"/>
                <w:highlight w:val="lightGray"/>
                <w:lang w:val="sr-Latn-CS"/>
              </w:rPr>
            </w:pPr>
            <w:r w:rsidRPr="00F32066">
              <w:rPr>
                <w:rFonts w:ascii="Constantia" w:hAnsi="Constantia"/>
                <w:szCs w:val="22"/>
                <w:lang w:val="sr-Latn-CS"/>
              </w:rPr>
              <w:t xml:space="preserve">Srednja temperatura vazduha 2013. godina </w:t>
            </w:r>
            <w:r w:rsidRPr="00F32066">
              <w:rPr>
                <w:rFonts w:ascii="Constantia" w:hAnsi="Constantia"/>
                <w:szCs w:val="22"/>
              </w:rPr>
              <w:t>(°C)</w:t>
            </w:r>
          </w:p>
        </w:tc>
        <w:tc>
          <w:tcPr>
            <w:cnfStyle w:val="000100000000" w:firstRow="0" w:lastRow="0" w:firstColumn="0" w:lastColumn="1" w:oddVBand="0" w:evenVBand="0" w:oddHBand="0" w:evenHBand="0" w:firstRowFirstColumn="0" w:firstRowLastColumn="0" w:lastRowFirstColumn="0" w:lastRowLastColumn="0"/>
            <w:tcW w:w="2793" w:type="dxa"/>
            <w:hideMark/>
          </w:tcPr>
          <w:p w:rsidR="000C51CE" w:rsidRPr="00F32066" w:rsidRDefault="000C51CE" w:rsidP="00D13424">
            <w:pPr>
              <w:spacing w:after="0"/>
              <w:jc w:val="left"/>
              <w:rPr>
                <w:rFonts w:ascii="Constantia" w:hAnsi="Constantia"/>
                <w:szCs w:val="22"/>
                <w:lang w:val="sr-Latn-CS"/>
              </w:rPr>
            </w:pPr>
            <w:r w:rsidRPr="00F32066">
              <w:rPr>
                <w:rFonts w:ascii="Constantia" w:hAnsi="Constantia"/>
                <w:szCs w:val="22"/>
                <w:lang w:val="sr-Latn-CS"/>
              </w:rPr>
              <w:t xml:space="preserve">Dosadašnji temperaturni maksimumi </w:t>
            </w:r>
            <w:r w:rsidRPr="00F32066">
              <w:rPr>
                <w:rFonts w:ascii="Constantia" w:hAnsi="Constantia"/>
                <w:szCs w:val="22"/>
              </w:rPr>
              <w:t>(°C)</w:t>
            </w:r>
          </w:p>
        </w:tc>
      </w:tr>
      <w:tr w:rsidR="000C51CE" w:rsidRPr="00F32066" w:rsidTr="00F32066">
        <w:trPr>
          <w:cnfStyle w:val="000000100000" w:firstRow="0" w:lastRow="0" w:firstColumn="0" w:lastColumn="0" w:oddVBand="0" w:evenVBand="0" w:oddHBand="1" w:evenHBand="0" w:firstRowFirstColumn="0" w:firstRowLastColumn="0" w:lastRowFirstColumn="0" w:lastRowLastColumn="0"/>
          <w:trHeight w:val="387"/>
          <w:jc w:val="center"/>
        </w:trPr>
        <w:tc>
          <w:tcPr>
            <w:cnfStyle w:val="001000000000" w:firstRow="0" w:lastRow="0" w:firstColumn="1" w:lastColumn="0" w:oddVBand="0" w:evenVBand="0" w:oddHBand="0" w:evenHBand="0" w:firstRowFirstColumn="0" w:firstRowLastColumn="0" w:lastRowFirstColumn="0" w:lastRowLastColumn="0"/>
            <w:tcW w:w="1415" w:type="dxa"/>
            <w:hideMark/>
          </w:tcPr>
          <w:p w:rsidR="000C51CE" w:rsidRPr="00F32066" w:rsidRDefault="000C51CE" w:rsidP="000C51CE">
            <w:pPr>
              <w:rPr>
                <w:rFonts w:ascii="Constantia" w:hAnsi="Constantia" w:cs="Arial"/>
                <w:color w:val="000000"/>
                <w:szCs w:val="22"/>
              </w:rPr>
            </w:pPr>
            <w:r w:rsidRPr="00F32066">
              <w:rPr>
                <w:rFonts w:ascii="Constantia" w:hAnsi="Constantia" w:cs="Arial"/>
                <w:color w:val="000000"/>
                <w:szCs w:val="22"/>
              </w:rPr>
              <w:t>Nikšić</w:t>
            </w:r>
          </w:p>
        </w:tc>
        <w:tc>
          <w:tcPr>
            <w:cnfStyle w:val="000010000000" w:firstRow="0" w:lastRow="0" w:firstColumn="0" w:lastColumn="0" w:oddVBand="1" w:evenVBand="0" w:oddHBand="0" w:evenHBand="0" w:firstRowFirstColumn="0" w:firstRowLastColumn="0" w:lastRowFirstColumn="0" w:lastRowLastColumn="0"/>
            <w:tcW w:w="2373" w:type="dxa"/>
            <w:hideMark/>
          </w:tcPr>
          <w:p w:rsidR="000C51CE" w:rsidRPr="00F32066" w:rsidRDefault="00C57588" w:rsidP="000C51CE">
            <w:pPr>
              <w:jc w:val="center"/>
              <w:rPr>
                <w:rFonts w:ascii="Constantia" w:hAnsi="Constantia"/>
                <w:b/>
                <w:bCs/>
                <w:color w:val="000000" w:themeColor="text1"/>
                <w:szCs w:val="22"/>
                <w:lang w:val="sr-Latn-CS"/>
              </w:rPr>
            </w:pPr>
            <w:r w:rsidRPr="00F32066">
              <w:rPr>
                <w:rFonts w:ascii="Constantia" w:hAnsi="Constantia"/>
                <w:b/>
                <w:bCs/>
                <w:color w:val="000000" w:themeColor="text1"/>
                <w:szCs w:val="22"/>
                <w:lang w:val="sr-Latn-CS"/>
              </w:rPr>
              <w:t>12,</w:t>
            </w:r>
            <w:r w:rsidR="000C51CE" w:rsidRPr="00F32066">
              <w:rPr>
                <w:rFonts w:ascii="Constantia" w:hAnsi="Constantia"/>
                <w:b/>
                <w:bCs/>
                <w:color w:val="000000" w:themeColor="text1"/>
                <w:szCs w:val="22"/>
                <w:lang w:val="sr-Latn-CS"/>
              </w:rPr>
              <w:t>5</w:t>
            </w:r>
          </w:p>
        </w:tc>
        <w:tc>
          <w:tcPr>
            <w:cnfStyle w:val="000100000000" w:firstRow="0" w:lastRow="0" w:firstColumn="0" w:lastColumn="1" w:oddVBand="0" w:evenVBand="0" w:oddHBand="0" w:evenHBand="0" w:firstRowFirstColumn="0" w:firstRowLastColumn="0" w:lastRowFirstColumn="0" w:lastRowLastColumn="0"/>
            <w:tcW w:w="2793" w:type="dxa"/>
            <w:hideMark/>
          </w:tcPr>
          <w:p w:rsidR="000C51CE" w:rsidRPr="00F32066" w:rsidRDefault="00C57588" w:rsidP="000C51CE">
            <w:pPr>
              <w:rPr>
                <w:rFonts w:ascii="Constantia" w:hAnsi="Constantia"/>
                <w:szCs w:val="22"/>
                <w:lang w:val="sr-Latn-CS"/>
              </w:rPr>
            </w:pPr>
            <w:r w:rsidRPr="00F32066">
              <w:rPr>
                <w:rFonts w:ascii="Constantia" w:hAnsi="Constantia"/>
                <w:szCs w:val="22"/>
                <w:lang w:val="sr-Latn-CS"/>
              </w:rPr>
              <w:t>12,</w:t>
            </w:r>
            <w:r w:rsidR="000C51CE" w:rsidRPr="00F32066">
              <w:rPr>
                <w:rFonts w:ascii="Constantia" w:hAnsi="Constantia"/>
                <w:szCs w:val="22"/>
                <w:lang w:val="sr-Latn-CS"/>
              </w:rPr>
              <w:t>4 (2004,</w:t>
            </w:r>
            <w:r w:rsidR="00CA4DA5" w:rsidRPr="00F32066">
              <w:rPr>
                <w:rFonts w:ascii="Constantia" w:hAnsi="Constantia"/>
                <w:szCs w:val="22"/>
                <w:lang w:val="sr-Latn-CS"/>
              </w:rPr>
              <w:t xml:space="preserve"> </w:t>
            </w:r>
            <w:r w:rsidR="000C51CE" w:rsidRPr="00F32066">
              <w:rPr>
                <w:rFonts w:ascii="Constantia" w:hAnsi="Constantia"/>
                <w:szCs w:val="22"/>
                <w:lang w:val="sr-Latn-CS"/>
              </w:rPr>
              <w:t>2011.g.)</w:t>
            </w:r>
          </w:p>
        </w:tc>
      </w:tr>
      <w:tr w:rsidR="000C51CE" w:rsidRPr="00F32066" w:rsidTr="00F32066">
        <w:trPr>
          <w:trHeight w:val="387"/>
          <w:jc w:val="center"/>
        </w:trPr>
        <w:tc>
          <w:tcPr>
            <w:cnfStyle w:val="001000000000" w:firstRow="0" w:lastRow="0" w:firstColumn="1" w:lastColumn="0" w:oddVBand="0" w:evenVBand="0" w:oddHBand="0" w:evenHBand="0" w:firstRowFirstColumn="0" w:firstRowLastColumn="0" w:lastRowFirstColumn="0" w:lastRowLastColumn="0"/>
            <w:tcW w:w="1415" w:type="dxa"/>
            <w:tcBorders>
              <w:top w:val="single" w:sz="6" w:space="0" w:color="FFFFFF" w:themeColor="background1"/>
            </w:tcBorders>
            <w:hideMark/>
          </w:tcPr>
          <w:p w:rsidR="000C51CE" w:rsidRPr="00F32066" w:rsidRDefault="000C51CE" w:rsidP="000C51CE">
            <w:pPr>
              <w:rPr>
                <w:rFonts w:ascii="Constantia" w:hAnsi="Constantia" w:cs="Arial"/>
                <w:color w:val="000000"/>
                <w:szCs w:val="22"/>
              </w:rPr>
            </w:pPr>
            <w:r w:rsidRPr="00F32066">
              <w:rPr>
                <w:rFonts w:ascii="Constantia" w:hAnsi="Constantia" w:cs="Arial"/>
                <w:color w:val="000000"/>
                <w:szCs w:val="22"/>
              </w:rPr>
              <w:t>Bar</w:t>
            </w:r>
          </w:p>
        </w:tc>
        <w:tc>
          <w:tcPr>
            <w:cnfStyle w:val="000010000000" w:firstRow="0" w:lastRow="0" w:firstColumn="0" w:lastColumn="0" w:oddVBand="1" w:evenVBand="0" w:oddHBand="0" w:evenHBand="0" w:firstRowFirstColumn="0" w:firstRowLastColumn="0" w:lastRowFirstColumn="0" w:lastRowLastColumn="0"/>
            <w:tcW w:w="2373" w:type="dxa"/>
            <w:tcBorders>
              <w:top w:val="single" w:sz="6" w:space="0" w:color="FFFFFF" w:themeColor="background1"/>
            </w:tcBorders>
            <w:hideMark/>
          </w:tcPr>
          <w:p w:rsidR="000C51CE" w:rsidRPr="00F32066" w:rsidRDefault="00C57588" w:rsidP="000C51CE">
            <w:pPr>
              <w:jc w:val="center"/>
              <w:rPr>
                <w:rFonts w:ascii="Constantia" w:hAnsi="Constantia"/>
                <w:b/>
                <w:bCs/>
                <w:color w:val="000000" w:themeColor="text1"/>
                <w:szCs w:val="22"/>
                <w:lang w:val="sr-Latn-CS"/>
              </w:rPr>
            </w:pPr>
            <w:r w:rsidRPr="00F32066">
              <w:rPr>
                <w:rFonts w:ascii="Constantia" w:hAnsi="Constantia"/>
                <w:b/>
                <w:bCs/>
                <w:color w:val="000000" w:themeColor="text1"/>
                <w:szCs w:val="22"/>
                <w:lang w:val="sr-Latn-CS"/>
              </w:rPr>
              <w:t>17,</w:t>
            </w:r>
            <w:r w:rsidR="000C51CE" w:rsidRPr="00F32066">
              <w:rPr>
                <w:rFonts w:ascii="Constantia" w:hAnsi="Constantia"/>
                <w:b/>
                <w:bCs/>
                <w:color w:val="000000" w:themeColor="text1"/>
                <w:szCs w:val="22"/>
                <w:lang w:val="sr-Latn-CS"/>
              </w:rPr>
              <w:t>9</w:t>
            </w:r>
          </w:p>
        </w:tc>
        <w:tc>
          <w:tcPr>
            <w:cnfStyle w:val="000100000000" w:firstRow="0" w:lastRow="0" w:firstColumn="0" w:lastColumn="1" w:oddVBand="0" w:evenVBand="0" w:oddHBand="0" w:evenHBand="0" w:firstRowFirstColumn="0" w:firstRowLastColumn="0" w:lastRowFirstColumn="0" w:lastRowLastColumn="0"/>
            <w:tcW w:w="2793" w:type="dxa"/>
            <w:tcBorders>
              <w:top w:val="single" w:sz="6" w:space="0" w:color="FFFFFF" w:themeColor="background1"/>
            </w:tcBorders>
            <w:hideMark/>
          </w:tcPr>
          <w:p w:rsidR="000C51CE" w:rsidRPr="00F32066" w:rsidRDefault="00C57588" w:rsidP="000C51CE">
            <w:pPr>
              <w:rPr>
                <w:rFonts w:ascii="Constantia" w:hAnsi="Constantia"/>
                <w:szCs w:val="22"/>
                <w:lang w:val="sr-Latn-CS"/>
              </w:rPr>
            </w:pPr>
            <w:r w:rsidRPr="00F32066">
              <w:rPr>
                <w:rFonts w:ascii="Constantia" w:hAnsi="Constantia"/>
                <w:szCs w:val="22"/>
                <w:lang w:val="sr-Latn-CS"/>
              </w:rPr>
              <w:t>17,</w:t>
            </w:r>
            <w:r w:rsidR="000C51CE" w:rsidRPr="00F32066">
              <w:rPr>
                <w:rFonts w:ascii="Constantia" w:hAnsi="Constantia"/>
                <w:szCs w:val="22"/>
                <w:lang w:val="sr-Latn-CS"/>
              </w:rPr>
              <w:t>6 (2011.g.)</w:t>
            </w:r>
          </w:p>
        </w:tc>
      </w:tr>
      <w:tr w:rsidR="000C51CE" w:rsidRPr="00F32066" w:rsidTr="00F32066">
        <w:trPr>
          <w:cnfStyle w:val="000000100000" w:firstRow="0" w:lastRow="0" w:firstColumn="0" w:lastColumn="0" w:oddVBand="0" w:evenVBand="0" w:oddHBand="1" w:evenHBand="0" w:firstRowFirstColumn="0" w:firstRowLastColumn="0" w:lastRowFirstColumn="0" w:lastRowLastColumn="0"/>
          <w:trHeight w:val="387"/>
          <w:jc w:val="center"/>
        </w:trPr>
        <w:tc>
          <w:tcPr>
            <w:cnfStyle w:val="001000000000" w:firstRow="0" w:lastRow="0" w:firstColumn="1" w:lastColumn="0" w:oddVBand="0" w:evenVBand="0" w:oddHBand="0" w:evenHBand="0" w:firstRowFirstColumn="0" w:firstRowLastColumn="0" w:lastRowFirstColumn="0" w:lastRowLastColumn="0"/>
            <w:tcW w:w="1415" w:type="dxa"/>
            <w:hideMark/>
          </w:tcPr>
          <w:p w:rsidR="000C51CE" w:rsidRPr="00F32066" w:rsidRDefault="000C51CE" w:rsidP="000C51CE">
            <w:pPr>
              <w:rPr>
                <w:rFonts w:ascii="Constantia" w:hAnsi="Constantia" w:cs="Arial"/>
                <w:color w:val="000000"/>
                <w:szCs w:val="22"/>
              </w:rPr>
            </w:pPr>
            <w:r w:rsidRPr="00F32066">
              <w:rPr>
                <w:rFonts w:ascii="Constantia" w:hAnsi="Constantia" w:cs="Arial"/>
                <w:color w:val="000000"/>
                <w:szCs w:val="22"/>
              </w:rPr>
              <w:t>Pljevlja</w:t>
            </w:r>
          </w:p>
        </w:tc>
        <w:tc>
          <w:tcPr>
            <w:cnfStyle w:val="000010000000" w:firstRow="0" w:lastRow="0" w:firstColumn="0" w:lastColumn="0" w:oddVBand="1" w:evenVBand="0" w:oddHBand="0" w:evenHBand="0" w:firstRowFirstColumn="0" w:firstRowLastColumn="0" w:lastRowFirstColumn="0" w:lastRowLastColumn="0"/>
            <w:tcW w:w="2373" w:type="dxa"/>
            <w:hideMark/>
          </w:tcPr>
          <w:p w:rsidR="000C51CE" w:rsidRPr="00F32066" w:rsidRDefault="00C57588" w:rsidP="000C51CE">
            <w:pPr>
              <w:jc w:val="center"/>
              <w:rPr>
                <w:rFonts w:ascii="Constantia" w:hAnsi="Constantia"/>
                <w:b/>
                <w:bCs/>
                <w:color w:val="000000" w:themeColor="text1"/>
                <w:szCs w:val="22"/>
                <w:lang w:val="sr-Latn-CS"/>
              </w:rPr>
            </w:pPr>
            <w:r w:rsidRPr="00F32066">
              <w:rPr>
                <w:rFonts w:ascii="Constantia" w:hAnsi="Constantia"/>
                <w:b/>
                <w:bCs/>
                <w:color w:val="000000" w:themeColor="text1"/>
                <w:szCs w:val="22"/>
                <w:lang w:val="sr-Latn-CS"/>
              </w:rPr>
              <w:t>10,</w:t>
            </w:r>
            <w:r w:rsidR="000C51CE" w:rsidRPr="00F32066">
              <w:rPr>
                <w:rFonts w:ascii="Constantia" w:hAnsi="Constantia"/>
                <w:b/>
                <w:bCs/>
                <w:color w:val="000000" w:themeColor="text1"/>
                <w:szCs w:val="22"/>
                <w:lang w:val="sr-Latn-CS"/>
              </w:rPr>
              <w:t>9</w:t>
            </w:r>
          </w:p>
        </w:tc>
        <w:tc>
          <w:tcPr>
            <w:cnfStyle w:val="000100000000" w:firstRow="0" w:lastRow="0" w:firstColumn="0" w:lastColumn="1" w:oddVBand="0" w:evenVBand="0" w:oddHBand="0" w:evenHBand="0" w:firstRowFirstColumn="0" w:firstRowLastColumn="0" w:lastRowFirstColumn="0" w:lastRowLastColumn="0"/>
            <w:tcW w:w="2793" w:type="dxa"/>
            <w:hideMark/>
          </w:tcPr>
          <w:p w:rsidR="000C51CE" w:rsidRPr="00F32066" w:rsidRDefault="00C57588" w:rsidP="000C51CE">
            <w:pPr>
              <w:rPr>
                <w:rFonts w:ascii="Constantia" w:hAnsi="Constantia"/>
                <w:szCs w:val="22"/>
                <w:lang w:val="sr-Latn-CS"/>
              </w:rPr>
            </w:pPr>
            <w:r w:rsidRPr="00F32066">
              <w:rPr>
                <w:rFonts w:ascii="Constantia" w:hAnsi="Constantia"/>
                <w:szCs w:val="22"/>
                <w:lang w:val="sr-Latn-CS"/>
              </w:rPr>
              <w:t>10,</w:t>
            </w:r>
            <w:r w:rsidR="000C51CE" w:rsidRPr="00F32066">
              <w:rPr>
                <w:rFonts w:ascii="Constantia" w:hAnsi="Constantia"/>
                <w:szCs w:val="22"/>
                <w:lang w:val="sr-Latn-CS"/>
              </w:rPr>
              <w:t>4 (1994,</w:t>
            </w:r>
            <w:r w:rsidR="00CA4DA5" w:rsidRPr="00F32066">
              <w:rPr>
                <w:rFonts w:ascii="Constantia" w:hAnsi="Constantia"/>
                <w:szCs w:val="22"/>
                <w:lang w:val="sr-Latn-CS"/>
              </w:rPr>
              <w:t xml:space="preserve"> </w:t>
            </w:r>
            <w:r w:rsidR="000C51CE" w:rsidRPr="00F32066">
              <w:rPr>
                <w:rFonts w:ascii="Constantia" w:hAnsi="Constantia"/>
                <w:szCs w:val="22"/>
                <w:lang w:val="sr-Latn-CS"/>
              </w:rPr>
              <w:t>2008.g.)</w:t>
            </w:r>
          </w:p>
        </w:tc>
      </w:tr>
      <w:tr w:rsidR="000C51CE" w:rsidRPr="00F32066" w:rsidTr="00F32066">
        <w:trPr>
          <w:trHeight w:val="387"/>
          <w:jc w:val="center"/>
        </w:trPr>
        <w:tc>
          <w:tcPr>
            <w:cnfStyle w:val="001000000000" w:firstRow="0" w:lastRow="0" w:firstColumn="1" w:lastColumn="0" w:oddVBand="0" w:evenVBand="0" w:oddHBand="0" w:evenHBand="0" w:firstRowFirstColumn="0" w:firstRowLastColumn="0" w:lastRowFirstColumn="0" w:lastRowLastColumn="0"/>
            <w:tcW w:w="1415" w:type="dxa"/>
            <w:tcBorders>
              <w:top w:val="single" w:sz="6" w:space="0" w:color="FFFFFF" w:themeColor="background1"/>
            </w:tcBorders>
            <w:hideMark/>
          </w:tcPr>
          <w:p w:rsidR="000C51CE" w:rsidRPr="00F32066" w:rsidRDefault="000C51CE" w:rsidP="000C51CE">
            <w:pPr>
              <w:rPr>
                <w:rFonts w:ascii="Constantia" w:hAnsi="Constantia" w:cs="Arial"/>
                <w:color w:val="000000"/>
                <w:szCs w:val="22"/>
              </w:rPr>
            </w:pPr>
            <w:r w:rsidRPr="00F32066">
              <w:rPr>
                <w:rFonts w:ascii="Constantia" w:hAnsi="Constantia" w:cs="Arial"/>
                <w:color w:val="000000"/>
                <w:szCs w:val="22"/>
              </w:rPr>
              <w:t>Ulcinj</w:t>
            </w:r>
          </w:p>
        </w:tc>
        <w:tc>
          <w:tcPr>
            <w:cnfStyle w:val="000010000000" w:firstRow="0" w:lastRow="0" w:firstColumn="0" w:lastColumn="0" w:oddVBand="1" w:evenVBand="0" w:oddHBand="0" w:evenHBand="0" w:firstRowFirstColumn="0" w:firstRowLastColumn="0" w:lastRowFirstColumn="0" w:lastRowLastColumn="0"/>
            <w:tcW w:w="2373" w:type="dxa"/>
            <w:tcBorders>
              <w:top w:val="single" w:sz="6" w:space="0" w:color="FFFFFF" w:themeColor="background1"/>
            </w:tcBorders>
            <w:hideMark/>
          </w:tcPr>
          <w:p w:rsidR="000C51CE" w:rsidRPr="00F32066" w:rsidRDefault="00C57588" w:rsidP="000C51CE">
            <w:pPr>
              <w:jc w:val="center"/>
              <w:rPr>
                <w:rFonts w:ascii="Constantia" w:hAnsi="Constantia"/>
                <w:b/>
                <w:bCs/>
                <w:color w:val="000000" w:themeColor="text1"/>
                <w:szCs w:val="22"/>
                <w:lang w:val="sr-Latn-CS"/>
              </w:rPr>
            </w:pPr>
            <w:r w:rsidRPr="00F32066">
              <w:rPr>
                <w:rFonts w:ascii="Constantia" w:hAnsi="Constantia"/>
                <w:b/>
                <w:bCs/>
                <w:color w:val="000000" w:themeColor="text1"/>
                <w:szCs w:val="22"/>
                <w:lang w:val="sr-Latn-CS"/>
              </w:rPr>
              <w:t>17,</w:t>
            </w:r>
            <w:r w:rsidR="000C51CE" w:rsidRPr="00F32066">
              <w:rPr>
                <w:rFonts w:ascii="Constantia" w:hAnsi="Constantia"/>
                <w:b/>
                <w:bCs/>
                <w:color w:val="000000" w:themeColor="text1"/>
                <w:szCs w:val="22"/>
                <w:lang w:val="sr-Latn-CS"/>
              </w:rPr>
              <w:t>2</w:t>
            </w:r>
          </w:p>
        </w:tc>
        <w:tc>
          <w:tcPr>
            <w:cnfStyle w:val="000100000000" w:firstRow="0" w:lastRow="0" w:firstColumn="0" w:lastColumn="1" w:oddVBand="0" w:evenVBand="0" w:oddHBand="0" w:evenHBand="0" w:firstRowFirstColumn="0" w:firstRowLastColumn="0" w:lastRowFirstColumn="0" w:lastRowLastColumn="0"/>
            <w:tcW w:w="2793" w:type="dxa"/>
            <w:tcBorders>
              <w:top w:val="single" w:sz="6" w:space="0" w:color="FFFFFF" w:themeColor="background1"/>
            </w:tcBorders>
            <w:hideMark/>
          </w:tcPr>
          <w:p w:rsidR="000C51CE" w:rsidRPr="00F32066" w:rsidRDefault="00C57588" w:rsidP="000C51CE">
            <w:pPr>
              <w:rPr>
                <w:rFonts w:ascii="Constantia" w:hAnsi="Constantia"/>
                <w:szCs w:val="22"/>
                <w:lang w:val="sr-Latn-CS"/>
              </w:rPr>
            </w:pPr>
            <w:r w:rsidRPr="00F32066">
              <w:rPr>
                <w:rFonts w:ascii="Constantia" w:hAnsi="Constantia"/>
                <w:szCs w:val="22"/>
                <w:lang w:val="sr-Latn-CS"/>
              </w:rPr>
              <w:t>17,</w:t>
            </w:r>
            <w:r w:rsidR="000C51CE" w:rsidRPr="00F32066">
              <w:rPr>
                <w:rFonts w:ascii="Constantia" w:hAnsi="Constantia"/>
                <w:szCs w:val="22"/>
                <w:lang w:val="sr-Latn-CS"/>
              </w:rPr>
              <w:t>1 (1999. g.)</w:t>
            </w:r>
          </w:p>
        </w:tc>
      </w:tr>
      <w:tr w:rsidR="000C51CE" w:rsidRPr="00F32066" w:rsidTr="00F32066">
        <w:trPr>
          <w:cnfStyle w:val="000000100000" w:firstRow="0" w:lastRow="0" w:firstColumn="0" w:lastColumn="0" w:oddVBand="0" w:evenVBand="0" w:oddHBand="1" w:evenHBand="0" w:firstRowFirstColumn="0" w:firstRowLastColumn="0" w:lastRowFirstColumn="0" w:lastRowLastColumn="0"/>
          <w:trHeight w:val="387"/>
          <w:jc w:val="center"/>
        </w:trPr>
        <w:tc>
          <w:tcPr>
            <w:cnfStyle w:val="001000000000" w:firstRow="0" w:lastRow="0" w:firstColumn="1" w:lastColumn="0" w:oddVBand="0" w:evenVBand="0" w:oddHBand="0" w:evenHBand="0" w:firstRowFirstColumn="0" w:firstRowLastColumn="0" w:lastRowFirstColumn="0" w:lastRowLastColumn="0"/>
            <w:tcW w:w="1415" w:type="dxa"/>
            <w:hideMark/>
          </w:tcPr>
          <w:p w:rsidR="000C51CE" w:rsidRPr="00F32066" w:rsidRDefault="000C51CE" w:rsidP="000C51CE">
            <w:pPr>
              <w:rPr>
                <w:rFonts w:ascii="Constantia" w:hAnsi="Constantia" w:cs="Arial"/>
                <w:color w:val="000000"/>
                <w:szCs w:val="22"/>
              </w:rPr>
            </w:pPr>
            <w:r w:rsidRPr="00F32066">
              <w:rPr>
                <w:rFonts w:ascii="Constantia" w:hAnsi="Constantia" w:cs="Arial"/>
                <w:color w:val="000000"/>
                <w:szCs w:val="22"/>
              </w:rPr>
              <w:t>Kolašin</w:t>
            </w:r>
          </w:p>
        </w:tc>
        <w:tc>
          <w:tcPr>
            <w:cnfStyle w:val="000010000000" w:firstRow="0" w:lastRow="0" w:firstColumn="0" w:lastColumn="0" w:oddVBand="1" w:evenVBand="0" w:oddHBand="0" w:evenHBand="0" w:firstRowFirstColumn="0" w:firstRowLastColumn="0" w:lastRowFirstColumn="0" w:lastRowLastColumn="0"/>
            <w:tcW w:w="2373" w:type="dxa"/>
            <w:hideMark/>
          </w:tcPr>
          <w:p w:rsidR="000C51CE" w:rsidRPr="00F32066" w:rsidRDefault="00C57588" w:rsidP="000C51CE">
            <w:pPr>
              <w:jc w:val="center"/>
              <w:rPr>
                <w:rFonts w:ascii="Constantia" w:hAnsi="Constantia"/>
                <w:b/>
                <w:bCs/>
                <w:color w:val="000000" w:themeColor="text1"/>
                <w:szCs w:val="22"/>
                <w:lang w:val="sr-Latn-CS"/>
              </w:rPr>
            </w:pPr>
            <w:r w:rsidRPr="00F32066">
              <w:rPr>
                <w:rFonts w:ascii="Constantia" w:hAnsi="Constantia"/>
                <w:b/>
                <w:bCs/>
                <w:color w:val="000000" w:themeColor="text1"/>
                <w:szCs w:val="22"/>
                <w:lang w:val="sr-Latn-CS"/>
              </w:rPr>
              <w:t>9,</w:t>
            </w:r>
            <w:r w:rsidR="000C51CE" w:rsidRPr="00F32066">
              <w:rPr>
                <w:rFonts w:ascii="Constantia" w:hAnsi="Constantia"/>
                <w:b/>
                <w:bCs/>
                <w:color w:val="000000" w:themeColor="text1"/>
                <w:szCs w:val="22"/>
                <w:lang w:val="sr-Latn-CS"/>
              </w:rPr>
              <w:t>7</w:t>
            </w:r>
          </w:p>
        </w:tc>
        <w:tc>
          <w:tcPr>
            <w:cnfStyle w:val="000100000000" w:firstRow="0" w:lastRow="0" w:firstColumn="0" w:lastColumn="1" w:oddVBand="0" w:evenVBand="0" w:oddHBand="0" w:evenHBand="0" w:firstRowFirstColumn="0" w:firstRowLastColumn="0" w:lastRowFirstColumn="0" w:lastRowLastColumn="0"/>
            <w:tcW w:w="2793" w:type="dxa"/>
            <w:hideMark/>
          </w:tcPr>
          <w:p w:rsidR="000C51CE" w:rsidRPr="00F32066" w:rsidRDefault="00C57588" w:rsidP="000C51CE">
            <w:pPr>
              <w:rPr>
                <w:rFonts w:ascii="Constantia" w:hAnsi="Constantia"/>
                <w:szCs w:val="22"/>
                <w:lang w:val="sr-Latn-CS"/>
              </w:rPr>
            </w:pPr>
            <w:r w:rsidRPr="00F32066">
              <w:rPr>
                <w:rFonts w:ascii="Constantia" w:hAnsi="Constantia"/>
                <w:szCs w:val="22"/>
                <w:lang w:val="sr-Latn-CS"/>
              </w:rPr>
              <w:t>9,</w:t>
            </w:r>
            <w:r w:rsidR="000C51CE" w:rsidRPr="00F32066">
              <w:rPr>
                <w:rFonts w:ascii="Constantia" w:hAnsi="Constantia"/>
                <w:szCs w:val="22"/>
                <w:lang w:val="sr-Latn-CS"/>
              </w:rPr>
              <w:t>1 (1994. g.)</w:t>
            </w:r>
          </w:p>
        </w:tc>
      </w:tr>
      <w:tr w:rsidR="000C51CE" w:rsidRPr="00F32066" w:rsidTr="00F32066">
        <w:trPr>
          <w:trHeight w:val="387"/>
          <w:jc w:val="center"/>
        </w:trPr>
        <w:tc>
          <w:tcPr>
            <w:cnfStyle w:val="001000000000" w:firstRow="0" w:lastRow="0" w:firstColumn="1" w:lastColumn="0" w:oddVBand="0" w:evenVBand="0" w:oddHBand="0" w:evenHBand="0" w:firstRowFirstColumn="0" w:firstRowLastColumn="0" w:lastRowFirstColumn="0" w:lastRowLastColumn="0"/>
            <w:tcW w:w="1415" w:type="dxa"/>
            <w:tcBorders>
              <w:top w:val="single" w:sz="6" w:space="0" w:color="FFFFFF" w:themeColor="background1"/>
            </w:tcBorders>
            <w:hideMark/>
          </w:tcPr>
          <w:p w:rsidR="000C51CE" w:rsidRPr="00F32066" w:rsidRDefault="000C51CE" w:rsidP="000C51CE">
            <w:pPr>
              <w:rPr>
                <w:rFonts w:ascii="Constantia" w:hAnsi="Constantia" w:cs="Arial"/>
                <w:color w:val="000000"/>
                <w:szCs w:val="22"/>
              </w:rPr>
            </w:pPr>
            <w:r w:rsidRPr="00F32066">
              <w:rPr>
                <w:rFonts w:ascii="Constantia" w:hAnsi="Constantia" w:cs="Arial"/>
                <w:color w:val="000000"/>
                <w:szCs w:val="22"/>
              </w:rPr>
              <w:t>Žabljak</w:t>
            </w:r>
          </w:p>
        </w:tc>
        <w:tc>
          <w:tcPr>
            <w:cnfStyle w:val="000010000000" w:firstRow="0" w:lastRow="0" w:firstColumn="0" w:lastColumn="0" w:oddVBand="1" w:evenVBand="0" w:oddHBand="0" w:evenHBand="0" w:firstRowFirstColumn="0" w:firstRowLastColumn="0" w:lastRowFirstColumn="0" w:lastRowLastColumn="0"/>
            <w:tcW w:w="2373" w:type="dxa"/>
            <w:tcBorders>
              <w:top w:val="single" w:sz="6" w:space="0" w:color="FFFFFF" w:themeColor="background1"/>
            </w:tcBorders>
            <w:hideMark/>
          </w:tcPr>
          <w:p w:rsidR="000C51CE" w:rsidRPr="00F32066" w:rsidRDefault="00C57588" w:rsidP="000C51CE">
            <w:pPr>
              <w:jc w:val="center"/>
              <w:rPr>
                <w:rFonts w:ascii="Constantia" w:hAnsi="Constantia"/>
                <w:b/>
                <w:bCs/>
                <w:color w:val="000000" w:themeColor="text1"/>
                <w:szCs w:val="22"/>
                <w:lang w:val="sr-Latn-CS"/>
              </w:rPr>
            </w:pPr>
            <w:r w:rsidRPr="00F32066">
              <w:rPr>
                <w:rFonts w:ascii="Constantia" w:hAnsi="Constantia"/>
                <w:b/>
                <w:bCs/>
                <w:color w:val="000000" w:themeColor="text1"/>
                <w:szCs w:val="22"/>
                <w:lang w:val="sr-Latn-CS"/>
              </w:rPr>
              <w:t>7,</w:t>
            </w:r>
            <w:r w:rsidR="000C51CE" w:rsidRPr="00F32066">
              <w:rPr>
                <w:rFonts w:ascii="Constantia" w:hAnsi="Constantia"/>
                <w:b/>
                <w:bCs/>
                <w:color w:val="000000" w:themeColor="text1"/>
                <w:szCs w:val="22"/>
                <w:lang w:val="sr-Latn-CS"/>
              </w:rPr>
              <w:t>3</w:t>
            </w:r>
          </w:p>
        </w:tc>
        <w:tc>
          <w:tcPr>
            <w:cnfStyle w:val="000100000000" w:firstRow="0" w:lastRow="0" w:firstColumn="0" w:lastColumn="1" w:oddVBand="0" w:evenVBand="0" w:oddHBand="0" w:evenHBand="0" w:firstRowFirstColumn="0" w:firstRowLastColumn="0" w:lastRowFirstColumn="0" w:lastRowLastColumn="0"/>
            <w:tcW w:w="2793" w:type="dxa"/>
            <w:tcBorders>
              <w:top w:val="single" w:sz="6" w:space="0" w:color="FFFFFF" w:themeColor="background1"/>
            </w:tcBorders>
            <w:hideMark/>
          </w:tcPr>
          <w:p w:rsidR="000C51CE" w:rsidRPr="00F32066" w:rsidRDefault="00C57588" w:rsidP="000C51CE">
            <w:pPr>
              <w:rPr>
                <w:rFonts w:ascii="Constantia" w:hAnsi="Constantia"/>
                <w:szCs w:val="22"/>
                <w:lang w:val="sr-Latn-CS"/>
              </w:rPr>
            </w:pPr>
            <w:r w:rsidRPr="00F32066">
              <w:rPr>
                <w:rFonts w:ascii="Constantia" w:hAnsi="Constantia"/>
                <w:szCs w:val="22"/>
                <w:lang w:val="sr-Latn-CS"/>
              </w:rPr>
              <w:t>7,</w:t>
            </w:r>
            <w:r w:rsidR="000C51CE" w:rsidRPr="00F32066">
              <w:rPr>
                <w:rFonts w:ascii="Constantia" w:hAnsi="Constantia"/>
                <w:szCs w:val="22"/>
                <w:lang w:val="sr-Latn-CS"/>
              </w:rPr>
              <w:t>1 (2003. g.)</w:t>
            </w:r>
          </w:p>
        </w:tc>
      </w:tr>
      <w:tr w:rsidR="000C51CE" w:rsidRPr="00F32066" w:rsidTr="00F32066">
        <w:trPr>
          <w:cnfStyle w:val="000000100000" w:firstRow="0" w:lastRow="0" w:firstColumn="0" w:lastColumn="0" w:oddVBand="0" w:evenVBand="0" w:oddHBand="1" w:evenHBand="0" w:firstRowFirstColumn="0" w:firstRowLastColumn="0" w:lastRowFirstColumn="0" w:lastRowLastColumn="0"/>
          <w:trHeight w:val="387"/>
          <w:jc w:val="center"/>
        </w:trPr>
        <w:tc>
          <w:tcPr>
            <w:cnfStyle w:val="001000000000" w:firstRow="0" w:lastRow="0" w:firstColumn="1" w:lastColumn="0" w:oddVBand="0" w:evenVBand="0" w:oddHBand="0" w:evenHBand="0" w:firstRowFirstColumn="0" w:firstRowLastColumn="0" w:lastRowFirstColumn="0" w:lastRowLastColumn="0"/>
            <w:tcW w:w="1415" w:type="dxa"/>
            <w:hideMark/>
          </w:tcPr>
          <w:p w:rsidR="000C51CE" w:rsidRPr="00F32066" w:rsidRDefault="000C51CE" w:rsidP="000C51CE">
            <w:pPr>
              <w:rPr>
                <w:rFonts w:ascii="Constantia" w:hAnsi="Constantia" w:cs="Arial"/>
                <w:color w:val="000000"/>
                <w:szCs w:val="22"/>
              </w:rPr>
            </w:pPr>
            <w:r w:rsidRPr="00F32066">
              <w:rPr>
                <w:rFonts w:ascii="Constantia" w:hAnsi="Constantia" w:cs="Arial"/>
                <w:color w:val="000000"/>
                <w:szCs w:val="22"/>
              </w:rPr>
              <w:t>Budva</w:t>
            </w:r>
          </w:p>
        </w:tc>
        <w:tc>
          <w:tcPr>
            <w:cnfStyle w:val="000010000000" w:firstRow="0" w:lastRow="0" w:firstColumn="0" w:lastColumn="0" w:oddVBand="1" w:evenVBand="0" w:oddHBand="0" w:evenHBand="0" w:firstRowFirstColumn="0" w:firstRowLastColumn="0" w:lastRowFirstColumn="0" w:lastRowLastColumn="0"/>
            <w:tcW w:w="2373" w:type="dxa"/>
            <w:hideMark/>
          </w:tcPr>
          <w:p w:rsidR="000C51CE" w:rsidRPr="00F32066" w:rsidRDefault="000C51CE" w:rsidP="00C57588">
            <w:pPr>
              <w:jc w:val="center"/>
              <w:rPr>
                <w:rFonts w:ascii="Constantia" w:hAnsi="Constantia"/>
                <w:b/>
                <w:bCs/>
                <w:color w:val="000000" w:themeColor="text1"/>
                <w:szCs w:val="22"/>
                <w:lang w:val="sr-Latn-CS"/>
              </w:rPr>
            </w:pPr>
            <w:r w:rsidRPr="00F32066">
              <w:rPr>
                <w:rFonts w:ascii="Constantia" w:hAnsi="Constantia"/>
                <w:b/>
                <w:bCs/>
                <w:color w:val="000000" w:themeColor="text1"/>
                <w:szCs w:val="22"/>
                <w:lang w:val="sr-Latn-CS"/>
              </w:rPr>
              <w:t>18</w:t>
            </w:r>
            <w:r w:rsidR="00C57588" w:rsidRPr="00F32066">
              <w:rPr>
                <w:rFonts w:ascii="Constantia" w:hAnsi="Constantia"/>
                <w:b/>
                <w:bCs/>
                <w:color w:val="000000" w:themeColor="text1"/>
                <w:szCs w:val="22"/>
                <w:lang w:val="sr-Latn-CS"/>
              </w:rPr>
              <w:t>,</w:t>
            </w:r>
            <w:r w:rsidRPr="00F32066">
              <w:rPr>
                <w:rFonts w:ascii="Constantia" w:hAnsi="Constantia"/>
                <w:b/>
                <w:bCs/>
                <w:color w:val="000000" w:themeColor="text1"/>
                <w:szCs w:val="22"/>
                <w:lang w:val="sr-Latn-CS"/>
              </w:rPr>
              <w:t>2</w:t>
            </w:r>
          </w:p>
        </w:tc>
        <w:tc>
          <w:tcPr>
            <w:cnfStyle w:val="000100000000" w:firstRow="0" w:lastRow="0" w:firstColumn="0" w:lastColumn="1" w:oddVBand="0" w:evenVBand="0" w:oddHBand="0" w:evenHBand="0" w:firstRowFirstColumn="0" w:firstRowLastColumn="0" w:lastRowFirstColumn="0" w:lastRowLastColumn="0"/>
            <w:tcW w:w="2793" w:type="dxa"/>
            <w:hideMark/>
          </w:tcPr>
          <w:p w:rsidR="000C51CE" w:rsidRPr="00F32066" w:rsidRDefault="000C51CE" w:rsidP="00C57588">
            <w:pPr>
              <w:rPr>
                <w:rFonts w:ascii="Constantia" w:hAnsi="Constantia"/>
                <w:szCs w:val="22"/>
                <w:lang w:val="sr-Latn-CS"/>
              </w:rPr>
            </w:pPr>
            <w:r w:rsidRPr="00F32066">
              <w:rPr>
                <w:rFonts w:ascii="Constantia" w:hAnsi="Constantia"/>
                <w:szCs w:val="22"/>
                <w:lang w:val="sr-Latn-CS"/>
              </w:rPr>
              <w:t>18</w:t>
            </w:r>
            <w:r w:rsidR="00C57588" w:rsidRPr="00F32066">
              <w:rPr>
                <w:rFonts w:ascii="Constantia" w:hAnsi="Constantia"/>
                <w:szCs w:val="22"/>
                <w:lang w:val="sr-Latn-CS"/>
              </w:rPr>
              <w:t>,</w:t>
            </w:r>
            <w:r w:rsidRPr="00F32066">
              <w:rPr>
                <w:rFonts w:ascii="Constantia" w:hAnsi="Constantia"/>
                <w:szCs w:val="22"/>
                <w:lang w:val="sr-Latn-CS"/>
              </w:rPr>
              <w:t>1 (2011. g.)</w:t>
            </w:r>
          </w:p>
        </w:tc>
      </w:tr>
      <w:tr w:rsidR="000C51CE" w:rsidRPr="00F32066" w:rsidTr="00F32066">
        <w:trPr>
          <w:trHeight w:val="387"/>
          <w:jc w:val="center"/>
        </w:trPr>
        <w:tc>
          <w:tcPr>
            <w:cnfStyle w:val="001000000000" w:firstRow="0" w:lastRow="0" w:firstColumn="1" w:lastColumn="0" w:oddVBand="0" w:evenVBand="0" w:oddHBand="0" w:evenHBand="0" w:firstRowFirstColumn="0" w:firstRowLastColumn="0" w:lastRowFirstColumn="0" w:lastRowLastColumn="0"/>
            <w:tcW w:w="1415" w:type="dxa"/>
            <w:tcBorders>
              <w:top w:val="single" w:sz="6" w:space="0" w:color="FFFFFF" w:themeColor="background1"/>
            </w:tcBorders>
            <w:hideMark/>
          </w:tcPr>
          <w:p w:rsidR="000C51CE" w:rsidRPr="00F32066" w:rsidRDefault="000C51CE" w:rsidP="000C51CE">
            <w:pPr>
              <w:rPr>
                <w:rFonts w:ascii="Constantia" w:hAnsi="Constantia" w:cs="Arial"/>
                <w:color w:val="000000"/>
                <w:szCs w:val="22"/>
              </w:rPr>
            </w:pPr>
            <w:r w:rsidRPr="00F32066">
              <w:rPr>
                <w:rFonts w:ascii="Constantia" w:hAnsi="Constantia" w:cs="Arial"/>
                <w:color w:val="000000"/>
                <w:szCs w:val="22"/>
              </w:rPr>
              <w:t>Cetinje</w:t>
            </w:r>
          </w:p>
        </w:tc>
        <w:tc>
          <w:tcPr>
            <w:cnfStyle w:val="000010000000" w:firstRow="0" w:lastRow="0" w:firstColumn="0" w:lastColumn="0" w:oddVBand="1" w:evenVBand="0" w:oddHBand="0" w:evenHBand="0" w:firstRowFirstColumn="0" w:firstRowLastColumn="0" w:lastRowFirstColumn="0" w:lastRowLastColumn="0"/>
            <w:tcW w:w="2373" w:type="dxa"/>
            <w:tcBorders>
              <w:top w:val="single" w:sz="6" w:space="0" w:color="FFFFFF" w:themeColor="background1"/>
            </w:tcBorders>
            <w:hideMark/>
          </w:tcPr>
          <w:p w:rsidR="000C51CE" w:rsidRPr="00F32066" w:rsidRDefault="00C57588" w:rsidP="000C51CE">
            <w:pPr>
              <w:jc w:val="center"/>
              <w:rPr>
                <w:rFonts w:ascii="Constantia" w:hAnsi="Constantia"/>
                <w:b/>
                <w:bCs/>
                <w:color w:val="000000" w:themeColor="text1"/>
                <w:szCs w:val="22"/>
                <w:lang w:val="sr-Latn-CS"/>
              </w:rPr>
            </w:pPr>
            <w:r w:rsidRPr="00F32066">
              <w:rPr>
                <w:rFonts w:ascii="Constantia" w:hAnsi="Constantia"/>
                <w:b/>
                <w:bCs/>
                <w:color w:val="000000" w:themeColor="text1"/>
                <w:szCs w:val="22"/>
                <w:lang w:val="sr-Latn-CS"/>
              </w:rPr>
              <w:t>11,</w:t>
            </w:r>
            <w:r w:rsidR="000C51CE" w:rsidRPr="00F32066">
              <w:rPr>
                <w:rFonts w:ascii="Constantia" w:hAnsi="Constantia"/>
                <w:b/>
                <w:bCs/>
                <w:color w:val="000000" w:themeColor="text1"/>
                <w:szCs w:val="22"/>
                <w:lang w:val="sr-Latn-CS"/>
              </w:rPr>
              <w:t>9</w:t>
            </w:r>
          </w:p>
        </w:tc>
        <w:tc>
          <w:tcPr>
            <w:cnfStyle w:val="000100000000" w:firstRow="0" w:lastRow="0" w:firstColumn="0" w:lastColumn="1" w:oddVBand="0" w:evenVBand="0" w:oddHBand="0" w:evenHBand="0" w:firstRowFirstColumn="0" w:firstRowLastColumn="0" w:lastRowFirstColumn="0" w:lastRowLastColumn="0"/>
            <w:tcW w:w="2793" w:type="dxa"/>
            <w:tcBorders>
              <w:top w:val="single" w:sz="6" w:space="0" w:color="FFFFFF" w:themeColor="background1"/>
            </w:tcBorders>
            <w:hideMark/>
          </w:tcPr>
          <w:p w:rsidR="000C51CE" w:rsidRPr="00F32066" w:rsidRDefault="00C57588" w:rsidP="000C51CE">
            <w:pPr>
              <w:rPr>
                <w:rFonts w:ascii="Constantia" w:hAnsi="Constantia"/>
                <w:szCs w:val="22"/>
                <w:lang w:val="sr-Latn-CS"/>
              </w:rPr>
            </w:pPr>
            <w:r w:rsidRPr="00F32066">
              <w:rPr>
                <w:rFonts w:ascii="Constantia" w:hAnsi="Constantia"/>
                <w:szCs w:val="22"/>
                <w:lang w:val="sr-Latn-CS"/>
              </w:rPr>
              <w:t>11,</w:t>
            </w:r>
            <w:r w:rsidR="000C51CE" w:rsidRPr="00F32066">
              <w:rPr>
                <w:rFonts w:ascii="Constantia" w:hAnsi="Constantia"/>
                <w:szCs w:val="22"/>
                <w:lang w:val="sr-Latn-CS"/>
              </w:rPr>
              <w:t>9 (2007,</w:t>
            </w:r>
            <w:r w:rsidR="00CA4DA5" w:rsidRPr="00F32066">
              <w:rPr>
                <w:rFonts w:ascii="Constantia" w:hAnsi="Constantia"/>
                <w:szCs w:val="22"/>
                <w:lang w:val="sr-Latn-CS"/>
              </w:rPr>
              <w:t xml:space="preserve"> </w:t>
            </w:r>
            <w:r w:rsidR="000C51CE" w:rsidRPr="00F32066">
              <w:rPr>
                <w:rFonts w:ascii="Constantia" w:hAnsi="Constantia"/>
                <w:szCs w:val="22"/>
                <w:lang w:val="sr-Latn-CS"/>
              </w:rPr>
              <w:t>2011,</w:t>
            </w:r>
            <w:r w:rsidR="00CA4DA5" w:rsidRPr="00F32066">
              <w:rPr>
                <w:rFonts w:ascii="Constantia" w:hAnsi="Constantia"/>
                <w:szCs w:val="22"/>
                <w:lang w:val="sr-Latn-CS"/>
              </w:rPr>
              <w:t xml:space="preserve"> </w:t>
            </w:r>
            <w:r w:rsidR="000C51CE" w:rsidRPr="00F32066">
              <w:rPr>
                <w:rFonts w:ascii="Constantia" w:hAnsi="Constantia"/>
                <w:szCs w:val="22"/>
                <w:lang w:val="sr-Latn-CS"/>
              </w:rPr>
              <w:t>2012. g.)</w:t>
            </w:r>
          </w:p>
        </w:tc>
      </w:tr>
      <w:tr w:rsidR="000C51CE" w:rsidRPr="00F32066" w:rsidTr="00F32066">
        <w:trPr>
          <w:cnfStyle w:val="000000100000" w:firstRow="0" w:lastRow="0" w:firstColumn="0" w:lastColumn="0" w:oddVBand="0" w:evenVBand="0" w:oddHBand="1" w:evenHBand="0" w:firstRowFirstColumn="0" w:firstRowLastColumn="0" w:lastRowFirstColumn="0" w:lastRowLastColumn="0"/>
          <w:trHeight w:val="387"/>
          <w:jc w:val="center"/>
        </w:trPr>
        <w:tc>
          <w:tcPr>
            <w:cnfStyle w:val="001000000000" w:firstRow="0" w:lastRow="0" w:firstColumn="1" w:lastColumn="0" w:oddVBand="0" w:evenVBand="0" w:oddHBand="0" w:evenHBand="0" w:firstRowFirstColumn="0" w:firstRowLastColumn="0" w:lastRowFirstColumn="0" w:lastRowLastColumn="0"/>
            <w:tcW w:w="1415" w:type="dxa"/>
            <w:hideMark/>
          </w:tcPr>
          <w:p w:rsidR="000C51CE" w:rsidRPr="00F32066" w:rsidRDefault="000C51CE" w:rsidP="000C51CE">
            <w:pPr>
              <w:rPr>
                <w:rFonts w:ascii="Constantia" w:hAnsi="Constantia" w:cs="Arial"/>
                <w:color w:val="000000"/>
                <w:szCs w:val="22"/>
              </w:rPr>
            </w:pPr>
            <w:r w:rsidRPr="00F32066">
              <w:rPr>
                <w:rFonts w:ascii="Constantia" w:hAnsi="Constantia" w:cs="Arial"/>
                <w:color w:val="000000"/>
                <w:szCs w:val="22"/>
              </w:rPr>
              <w:t>B.Polje</w:t>
            </w:r>
          </w:p>
        </w:tc>
        <w:tc>
          <w:tcPr>
            <w:cnfStyle w:val="000010000000" w:firstRow="0" w:lastRow="0" w:firstColumn="0" w:lastColumn="0" w:oddVBand="1" w:evenVBand="0" w:oddHBand="0" w:evenHBand="0" w:firstRowFirstColumn="0" w:firstRowLastColumn="0" w:lastRowFirstColumn="0" w:lastRowLastColumn="0"/>
            <w:tcW w:w="2373" w:type="dxa"/>
            <w:hideMark/>
          </w:tcPr>
          <w:p w:rsidR="000C51CE" w:rsidRPr="00F32066" w:rsidRDefault="00C57588" w:rsidP="000C51CE">
            <w:pPr>
              <w:jc w:val="center"/>
              <w:rPr>
                <w:rFonts w:ascii="Constantia" w:hAnsi="Constantia"/>
                <w:b/>
                <w:bCs/>
                <w:color w:val="000000" w:themeColor="text1"/>
                <w:szCs w:val="22"/>
                <w:lang w:val="sr-Latn-CS"/>
              </w:rPr>
            </w:pPr>
            <w:r w:rsidRPr="00F32066">
              <w:rPr>
                <w:rFonts w:ascii="Constantia" w:hAnsi="Constantia"/>
                <w:b/>
                <w:bCs/>
                <w:color w:val="000000" w:themeColor="text1"/>
                <w:szCs w:val="22"/>
                <w:lang w:val="sr-Latn-CS"/>
              </w:rPr>
              <w:t>12,</w:t>
            </w:r>
            <w:r w:rsidR="000C51CE" w:rsidRPr="00F32066">
              <w:rPr>
                <w:rFonts w:ascii="Constantia" w:hAnsi="Constantia"/>
                <w:b/>
                <w:bCs/>
                <w:color w:val="000000" w:themeColor="text1"/>
                <w:szCs w:val="22"/>
                <w:lang w:val="sr-Latn-CS"/>
              </w:rPr>
              <w:t>3</w:t>
            </w:r>
          </w:p>
        </w:tc>
        <w:tc>
          <w:tcPr>
            <w:cnfStyle w:val="000100000000" w:firstRow="0" w:lastRow="0" w:firstColumn="0" w:lastColumn="1" w:oddVBand="0" w:evenVBand="0" w:oddHBand="0" w:evenHBand="0" w:firstRowFirstColumn="0" w:firstRowLastColumn="0" w:lastRowFirstColumn="0" w:lastRowLastColumn="0"/>
            <w:tcW w:w="2793" w:type="dxa"/>
            <w:hideMark/>
          </w:tcPr>
          <w:p w:rsidR="000C51CE" w:rsidRPr="00F32066" w:rsidRDefault="00C57588" w:rsidP="000C51CE">
            <w:pPr>
              <w:rPr>
                <w:rFonts w:ascii="Constantia" w:hAnsi="Constantia"/>
                <w:szCs w:val="22"/>
                <w:lang w:val="sr-Latn-CS"/>
              </w:rPr>
            </w:pPr>
            <w:r w:rsidRPr="00F32066">
              <w:rPr>
                <w:rFonts w:ascii="Constantia" w:hAnsi="Constantia"/>
                <w:szCs w:val="22"/>
                <w:lang w:val="sr-Latn-CS"/>
              </w:rPr>
              <w:t>11,</w:t>
            </w:r>
            <w:r w:rsidR="000C51CE" w:rsidRPr="00F32066">
              <w:rPr>
                <w:rFonts w:ascii="Constantia" w:hAnsi="Constantia"/>
                <w:szCs w:val="22"/>
                <w:lang w:val="sr-Latn-CS"/>
              </w:rPr>
              <w:t>9 (2008,</w:t>
            </w:r>
            <w:r w:rsidR="00CA4DA5" w:rsidRPr="00F32066">
              <w:rPr>
                <w:rFonts w:ascii="Constantia" w:hAnsi="Constantia"/>
                <w:szCs w:val="22"/>
                <w:lang w:val="sr-Latn-CS"/>
              </w:rPr>
              <w:t xml:space="preserve"> </w:t>
            </w:r>
            <w:r w:rsidR="000C51CE" w:rsidRPr="00F32066">
              <w:rPr>
                <w:rFonts w:ascii="Constantia" w:hAnsi="Constantia"/>
                <w:szCs w:val="22"/>
                <w:lang w:val="sr-Latn-CS"/>
              </w:rPr>
              <w:t>2009. g.)</w:t>
            </w:r>
          </w:p>
        </w:tc>
      </w:tr>
      <w:tr w:rsidR="000C51CE" w:rsidRPr="00F32066" w:rsidTr="00F32066">
        <w:trPr>
          <w:cnfStyle w:val="010000000000" w:firstRow="0" w:lastRow="1" w:firstColumn="0" w:lastColumn="0" w:oddVBand="0" w:evenVBand="0" w:oddHBand="0" w:evenHBand="0" w:firstRowFirstColumn="0" w:firstRowLastColumn="0" w:lastRowFirstColumn="0" w:lastRowLastColumn="0"/>
          <w:trHeight w:val="25"/>
          <w:jc w:val="center"/>
        </w:trPr>
        <w:tc>
          <w:tcPr>
            <w:cnfStyle w:val="001000000000" w:firstRow="0" w:lastRow="0" w:firstColumn="1" w:lastColumn="0" w:oddVBand="0" w:evenVBand="0" w:oddHBand="0" w:evenHBand="0" w:firstRowFirstColumn="0" w:firstRowLastColumn="0" w:lastRowFirstColumn="0" w:lastRowLastColumn="0"/>
            <w:tcW w:w="1415" w:type="dxa"/>
            <w:hideMark/>
          </w:tcPr>
          <w:p w:rsidR="000C51CE" w:rsidRPr="00F32066" w:rsidRDefault="000C51CE" w:rsidP="000C51CE">
            <w:pPr>
              <w:rPr>
                <w:rFonts w:ascii="Constantia" w:hAnsi="Constantia" w:cs="Arial"/>
                <w:color w:val="000000"/>
                <w:szCs w:val="22"/>
              </w:rPr>
            </w:pPr>
            <w:r w:rsidRPr="00F32066">
              <w:rPr>
                <w:rFonts w:ascii="Constantia" w:hAnsi="Constantia" w:cs="Arial"/>
                <w:color w:val="000000"/>
                <w:szCs w:val="22"/>
              </w:rPr>
              <w:t>Rožaje</w:t>
            </w:r>
          </w:p>
        </w:tc>
        <w:tc>
          <w:tcPr>
            <w:cnfStyle w:val="000010000000" w:firstRow="0" w:lastRow="0" w:firstColumn="0" w:lastColumn="0" w:oddVBand="1" w:evenVBand="0" w:oddHBand="0" w:evenHBand="0" w:firstRowFirstColumn="0" w:firstRowLastColumn="0" w:lastRowFirstColumn="0" w:lastRowLastColumn="0"/>
            <w:tcW w:w="2373" w:type="dxa"/>
            <w:hideMark/>
          </w:tcPr>
          <w:p w:rsidR="000C51CE" w:rsidRPr="00F32066" w:rsidRDefault="00C57588" w:rsidP="000C51CE">
            <w:pPr>
              <w:jc w:val="center"/>
              <w:rPr>
                <w:rFonts w:ascii="Constantia" w:hAnsi="Constantia"/>
                <w:color w:val="000000" w:themeColor="text1"/>
                <w:szCs w:val="22"/>
                <w:lang w:val="sr-Latn-CS"/>
              </w:rPr>
            </w:pPr>
            <w:r w:rsidRPr="00F32066">
              <w:rPr>
                <w:rFonts w:ascii="Constantia" w:hAnsi="Constantia"/>
                <w:color w:val="000000" w:themeColor="text1"/>
                <w:szCs w:val="22"/>
                <w:lang w:val="sr-Latn-CS"/>
              </w:rPr>
              <w:t>9,</w:t>
            </w:r>
            <w:r w:rsidR="000C51CE" w:rsidRPr="00F32066">
              <w:rPr>
                <w:rFonts w:ascii="Constantia" w:hAnsi="Constantia"/>
                <w:color w:val="000000" w:themeColor="text1"/>
                <w:szCs w:val="22"/>
                <w:lang w:val="sr-Latn-CS"/>
              </w:rPr>
              <w:t>6</w:t>
            </w:r>
          </w:p>
        </w:tc>
        <w:tc>
          <w:tcPr>
            <w:cnfStyle w:val="000100000000" w:firstRow="0" w:lastRow="0" w:firstColumn="0" w:lastColumn="1" w:oddVBand="0" w:evenVBand="0" w:oddHBand="0" w:evenHBand="0" w:firstRowFirstColumn="0" w:firstRowLastColumn="0" w:lastRowFirstColumn="0" w:lastRowLastColumn="0"/>
            <w:tcW w:w="2793" w:type="dxa"/>
            <w:hideMark/>
          </w:tcPr>
          <w:p w:rsidR="000C51CE" w:rsidRPr="00F32066" w:rsidRDefault="00C57588" w:rsidP="000C51CE">
            <w:pPr>
              <w:rPr>
                <w:rFonts w:ascii="Constantia" w:hAnsi="Constantia"/>
                <w:szCs w:val="22"/>
                <w:lang w:val="sr-Latn-CS"/>
              </w:rPr>
            </w:pPr>
            <w:r w:rsidRPr="00F32066">
              <w:rPr>
                <w:rFonts w:ascii="Constantia" w:hAnsi="Constantia"/>
                <w:szCs w:val="22"/>
                <w:lang w:val="sr-Latn-CS"/>
              </w:rPr>
              <w:t>9,</w:t>
            </w:r>
            <w:r w:rsidR="000C51CE" w:rsidRPr="00F32066">
              <w:rPr>
                <w:rFonts w:ascii="Constantia" w:hAnsi="Constantia"/>
                <w:szCs w:val="22"/>
                <w:lang w:val="sr-Latn-CS"/>
              </w:rPr>
              <w:t>4 (2012. g.)</w:t>
            </w:r>
          </w:p>
        </w:tc>
      </w:tr>
    </w:tbl>
    <w:p w:rsidR="000C51CE" w:rsidRPr="002B46B5" w:rsidRDefault="000C51CE" w:rsidP="00E25DE9">
      <w:pPr>
        <w:pStyle w:val="Tabele"/>
        <w:ind w:left="0" w:firstLine="0"/>
        <w:rPr>
          <w:rFonts w:ascii="Constantia" w:hAnsi="Constantia"/>
          <w:sz w:val="22"/>
          <w:szCs w:val="22"/>
        </w:rPr>
      </w:pPr>
      <w:r w:rsidRPr="002B46B5">
        <w:rPr>
          <w:rFonts w:ascii="Constantia" w:hAnsi="Constantia"/>
          <w:sz w:val="22"/>
          <w:szCs w:val="22"/>
        </w:rPr>
        <w:t>Srednje i godišnje maksimalne temperature na mjernim stanicama</w:t>
      </w:r>
    </w:p>
    <w:p w:rsidR="000C51CE" w:rsidRPr="000C51CE" w:rsidRDefault="000C51CE" w:rsidP="000C51CE">
      <w:pPr>
        <w:shd w:val="clear" w:color="auto" w:fill="FFFFFF" w:themeFill="background1"/>
        <w:spacing w:line="276" w:lineRule="auto"/>
        <w:ind w:firstLine="720"/>
        <w:jc w:val="left"/>
        <w:rPr>
          <w:rFonts w:ascii="Constantia" w:hAnsi="Constantia"/>
          <w:szCs w:val="22"/>
          <w:lang w:val="sr-Latn-CS"/>
        </w:rPr>
      </w:pPr>
    </w:p>
    <w:p w:rsidR="000C51CE" w:rsidRPr="000C51CE" w:rsidRDefault="000C51CE" w:rsidP="000C51CE">
      <w:pPr>
        <w:shd w:val="clear" w:color="auto" w:fill="FFFFFF" w:themeFill="background1"/>
        <w:spacing w:line="276" w:lineRule="auto"/>
        <w:ind w:firstLine="720"/>
        <w:jc w:val="left"/>
        <w:rPr>
          <w:rFonts w:ascii="Constantia" w:hAnsi="Constantia"/>
          <w:szCs w:val="22"/>
          <w:lang w:val="sr-Latn-CS"/>
        </w:rPr>
      </w:pPr>
    </w:p>
    <w:p w:rsidR="000C51CE" w:rsidRPr="000C51CE" w:rsidRDefault="000C51CE" w:rsidP="000C51CE">
      <w:pPr>
        <w:shd w:val="clear" w:color="auto" w:fill="FFFFFF" w:themeFill="background1"/>
        <w:spacing w:line="276" w:lineRule="auto"/>
        <w:jc w:val="left"/>
        <w:rPr>
          <w:rFonts w:ascii="Constantia" w:hAnsi="Constantia"/>
          <w:szCs w:val="22"/>
          <w:lang w:val="sr-Latn-CS"/>
        </w:rPr>
      </w:pPr>
    </w:p>
    <w:p w:rsidR="000C51CE" w:rsidRPr="000C51CE" w:rsidRDefault="000C51CE" w:rsidP="00B96E6B">
      <w:pPr>
        <w:spacing w:line="276" w:lineRule="auto"/>
        <w:jc w:val="center"/>
      </w:pPr>
      <w:r w:rsidRPr="000C51CE">
        <w:rPr>
          <w:rFonts w:ascii="Verdana" w:hAnsi="Verdana"/>
          <w:noProof/>
          <w:sz w:val="20"/>
          <w:szCs w:val="20"/>
        </w:rPr>
        <w:lastRenderedPageBreak/>
        <w:drawing>
          <wp:inline distT="0" distB="0" distL="0" distR="0" wp14:anchorId="403CF06B" wp14:editId="7CE02151">
            <wp:extent cx="3458817" cy="2735249"/>
            <wp:effectExtent l="0" t="0" r="0" b="0"/>
            <wp:docPr id="819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457575" cy="2734267"/>
                    </a:xfrm>
                    <a:prstGeom prst="rect">
                      <a:avLst/>
                    </a:prstGeom>
                    <a:noFill/>
                    <a:ln>
                      <a:noFill/>
                    </a:ln>
                  </pic:spPr>
                </pic:pic>
              </a:graphicData>
            </a:graphic>
          </wp:inline>
        </w:drawing>
      </w:r>
    </w:p>
    <w:p w:rsidR="000C51CE" w:rsidRPr="000C51CE" w:rsidRDefault="000C51CE" w:rsidP="00E400F2">
      <w:pPr>
        <w:rPr>
          <w:rFonts w:ascii="Constantia" w:hAnsi="Constantia"/>
          <w:szCs w:val="22"/>
          <w:lang w:val="sr-Latn-CS"/>
        </w:rPr>
      </w:pPr>
      <w:r w:rsidRPr="000C51CE">
        <w:rPr>
          <w:rFonts w:ascii="Constantia" w:hAnsi="Constantia"/>
          <w:szCs w:val="22"/>
          <w:lang w:val="sr-Latn-CS"/>
        </w:rPr>
        <w:t>Količina padavina izmjerena u 2013. godini se kretala od 829 lit/m</w:t>
      </w:r>
      <w:r w:rsidRPr="000C51CE">
        <w:rPr>
          <w:rFonts w:ascii="Constantia" w:hAnsi="Constantia"/>
          <w:szCs w:val="22"/>
          <w:vertAlign w:val="superscript"/>
          <w:lang w:val="sr-Latn-CS"/>
        </w:rPr>
        <w:t>2</w:t>
      </w:r>
      <w:r w:rsidRPr="000C51CE">
        <w:rPr>
          <w:rFonts w:ascii="Constantia" w:hAnsi="Constantia"/>
          <w:szCs w:val="22"/>
          <w:lang w:val="sr-Latn-CS"/>
        </w:rPr>
        <w:t xml:space="preserve"> u Pljevljima do 4311 lit/m</w:t>
      </w:r>
      <w:r w:rsidRPr="000C51CE">
        <w:rPr>
          <w:rFonts w:ascii="Constantia" w:hAnsi="Constantia"/>
          <w:szCs w:val="22"/>
          <w:vertAlign w:val="superscript"/>
          <w:lang w:val="sr-Latn-CS"/>
        </w:rPr>
        <w:t xml:space="preserve">2 </w:t>
      </w:r>
      <w:r w:rsidRPr="000C51CE">
        <w:rPr>
          <w:rFonts w:ascii="Constantia" w:hAnsi="Constantia"/>
          <w:szCs w:val="22"/>
          <w:lang w:val="sr-Latn-CS"/>
        </w:rPr>
        <w:t>na Cetinju. U Podgorici je izmjereno 2427 lit/m</w:t>
      </w:r>
      <w:r w:rsidRPr="000C51CE">
        <w:rPr>
          <w:rFonts w:ascii="Constantia" w:hAnsi="Constantia"/>
          <w:szCs w:val="22"/>
          <w:vertAlign w:val="superscript"/>
          <w:lang w:val="sr-Latn-CS"/>
        </w:rPr>
        <w:t>2</w:t>
      </w:r>
      <w:r w:rsidR="005632EC">
        <w:rPr>
          <w:rFonts w:ascii="Constantia" w:hAnsi="Constantia"/>
          <w:szCs w:val="22"/>
          <w:lang w:val="sr-Latn-CS"/>
        </w:rPr>
        <w:t xml:space="preserve"> što je za 47</w:t>
      </w:r>
      <w:r w:rsidRPr="000C51CE">
        <w:rPr>
          <w:rFonts w:ascii="Constantia" w:hAnsi="Constantia"/>
          <w:szCs w:val="22"/>
          <w:lang w:val="sr-Latn-CS"/>
        </w:rPr>
        <w:t>% veća količina od klimatske normale i ujedno je najveća, do sad</w:t>
      </w:r>
      <w:r w:rsidR="007032F8">
        <w:rPr>
          <w:rFonts w:ascii="Constantia" w:hAnsi="Constantia"/>
          <w:szCs w:val="22"/>
          <w:lang w:val="sr-Latn-CS"/>
        </w:rPr>
        <w:t>a</w:t>
      </w:r>
      <w:r w:rsidRPr="000C51CE">
        <w:rPr>
          <w:rFonts w:ascii="Constantia" w:hAnsi="Constantia"/>
          <w:szCs w:val="22"/>
          <w:lang w:val="sr-Latn-CS"/>
        </w:rPr>
        <w:t xml:space="preserve"> izmjerena količina padavina (dosadašnji maksimum je registrovan 2010. godine od 2357 lit/m</w:t>
      </w:r>
      <w:r w:rsidRPr="000C51CE">
        <w:rPr>
          <w:rFonts w:ascii="Constantia" w:hAnsi="Constantia"/>
          <w:szCs w:val="22"/>
          <w:vertAlign w:val="superscript"/>
          <w:lang w:val="sr-Latn-CS"/>
        </w:rPr>
        <w:t>2</w:t>
      </w:r>
      <w:r w:rsidRPr="000C51CE">
        <w:rPr>
          <w:rFonts w:ascii="Constantia" w:hAnsi="Constantia"/>
          <w:szCs w:val="22"/>
          <w:lang w:val="sr-Latn-CS"/>
        </w:rPr>
        <w:t xml:space="preserve">). </w:t>
      </w:r>
      <w:r w:rsidR="009C7D9F">
        <w:rPr>
          <w:rFonts w:ascii="Constantia" w:hAnsi="Constantia"/>
          <w:szCs w:val="22"/>
          <w:lang w:val="sr-Latn-CS"/>
        </w:rPr>
        <w:t>I</w:t>
      </w:r>
      <w:r w:rsidRPr="000C51CE">
        <w:rPr>
          <w:rFonts w:ascii="Constantia" w:hAnsi="Constantia"/>
          <w:szCs w:val="22"/>
          <w:lang w:val="sr-Latn-CS"/>
        </w:rPr>
        <w:t xml:space="preserve"> u Ulcinju </w:t>
      </w:r>
      <w:r w:rsidR="009C7D9F">
        <w:rPr>
          <w:rFonts w:ascii="Constantia" w:hAnsi="Constantia"/>
          <w:szCs w:val="22"/>
          <w:lang w:val="sr-Latn-CS"/>
        </w:rPr>
        <w:t xml:space="preserve">je </w:t>
      </w:r>
      <w:r w:rsidRPr="000C51CE">
        <w:rPr>
          <w:rFonts w:ascii="Constantia" w:hAnsi="Constantia"/>
          <w:szCs w:val="22"/>
          <w:lang w:val="sr-Latn-CS"/>
        </w:rPr>
        <w:t>zabilježena maksimalna količina padavina od 1949 lit/m</w:t>
      </w:r>
      <w:r w:rsidRPr="000C51CE">
        <w:rPr>
          <w:rFonts w:ascii="Constantia" w:hAnsi="Constantia"/>
          <w:szCs w:val="22"/>
          <w:vertAlign w:val="superscript"/>
          <w:lang w:val="sr-Latn-CS"/>
        </w:rPr>
        <w:t>2</w:t>
      </w:r>
      <w:r w:rsidRPr="000C51CE">
        <w:rPr>
          <w:rFonts w:ascii="Constantia" w:hAnsi="Constantia"/>
          <w:szCs w:val="22"/>
          <w:lang w:val="sr-Latn-CS"/>
        </w:rPr>
        <w:t xml:space="preserve"> (dosadašnji maksimum od 1813 lit/m</w:t>
      </w:r>
      <w:r w:rsidRPr="000C51CE">
        <w:rPr>
          <w:rFonts w:ascii="Constantia" w:hAnsi="Constantia"/>
          <w:szCs w:val="22"/>
          <w:vertAlign w:val="superscript"/>
          <w:lang w:val="sr-Latn-CS"/>
        </w:rPr>
        <w:t>2</w:t>
      </w:r>
      <w:r w:rsidR="009C7D9F" w:rsidRPr="000C51CE">
        <w:rPr>
          <w:rFonts w:ascii="Constantia" w:hAnsi="Constantia"/>
          <w:szCs w:val="22"/>
          <w:lang w:val="sr-Latn-CS"/>
        </w:rPr>
        <w:t>je registrovan 2010. godine</w:t>
      </w:r>
      <w:r w:rsidRPr="000C51CE">
        <w:rPr>
          <w:rFonts w:ascii="Constantia" w:hAnsi="Constantia"/>
          <w:szCs w:val="22"/>
          <w:lang w:val="sr-Latn-CS"/>
        </w:rPr>
        <w:t>).</w:t>
      </w:r>
    </w:p>
    <w:p w:rsidR="000C51CE" w:rsidRPr="000C51CE" w:rsidRDefault="000C51CE" w:rsidP="00E400F2">
      <w:pPr>
        <w:rPr>
          <w:rFonts w:ascii="Constantia" w:hAnsi="Constantia"/>
          <w:szCs w:val="22"/>
          <w:lang w:val="sr-Latn-CS"/>
        </w:rPr>
      </w:pPr>
      <w:r w:rsidRPr="000C51CE">
        <w:rPr>
          <w:rFonts w:ascii="Constantia" w:hAnsi="Constantia"/>
          <w:szCs w:val="22"/>
          <w:lang w:val="sr-Latn-CS"/>
        </w:rPr>
        <w:t xml:space="preserve">Odstupanja količine padavina u odnosu na klimatsku normalu su bila pozitivna i kretala su se od 3% u Pljevljima do 55% u Ulcinju, osim u Bijelom Polju gdje je registrovano za 1% manje padavina od klimatske normale. </w:t>
      </w:r>
    </w:p>
    <w:p w:rsidR="000C51CE" w:rsidRDefault="000C51CE" w:rsidP="00E400F2">
      <w:pPr>
        <w:rPr>
          <w:rFonts w:ascii="Constantia" w:hAnsi="Constantia"/>
          <w:szCs w:val="22"/>
          <w:lang w:val="sr-Latn-CS"/>
        </w:rPr>
      </w:pPr>
      <w:r w:rsidRPr="000C51CE">
        <w:rPr>
          <w:rFonts w:ascii="Constantia" w:hAnsi="Constantia"/>
          <w:szCs w:val="22"/>
          <w:lang w:val="sr-Latn-CS"/>
        </w:rPr>
        <w:t>Maksimalna visina sniježnog pokrivača izmjerana je</w:t>
      </w:r>
      <w:r w:rsidR="007032F8">
        <w:rPr>
          <w:rFonts w:ascii="Constantia" w:hAnsi="Constantia"/>
          <w:szCs w:val="22"/>
          <w:lang w:val="sr-Latn-CS"/>
        </w:rPr>
        <w:t xml:space="preserve"> </w:t>
      </w:r>
      <w:r w:rsidR="007032F8" w:rsidRPr="000C51CE">
        <w:rPr>
          <w:rFonts w:ascii="Constantia" w:hAnsi="Constantia"/>
          <w:szCs w:val="22"/>
          <w:lang w:val="sr-Latn-CS"/>
        </w:rPr>
        <w:t xml:space="preserve">18. </w:t>
      </w:r>
      <w:r w:rsidR="007032F8">
        <w:rPr>
          <w:rFonts w:ascii="Constantia" w:hAnsi="Constantia"/>
          <w:szCs w:val="22"/>
          <w:lang w:val="sr-Latn-CS"/>
        </w:rPr>
        <w:t>j</w:t>
      </w:r>
      <w:r w:rsidR="007032F8" w:rsidRPr="000C51CE">
        <w:rPr>
          <w:rFonts w:ascii="Constantia" w:hAnsi="Constantia"/>
          <w:szCs w:val="22"/>
          <w:lang w:val="sr-Latn-CS"/>
        </w:rPr>
        <w:t>anuara</w:t>
      </w:r>
      <w:r w:rsidR="007032F8">
        <w:rPr>
          <w:rFonts w:ascii="Constantia" w:hAnsi="Constantia"/>
          <w:szCs w:val="22"/>
          <w:lang w:val="sr-Latn-CS"/>
        </w:rPr>
        <w:t xml:space="preserve"> 2013. godine</w:t>
      </w:r>
      <w:r w:rsidRPr="000C51CE">
        <w:rPr>
          <w:rFonts w:ascii="Constantia" w:hAnsi="Constantia"/>
          <w:szCs w:val="22"/>
          <w:lang w:val="sr-Latn-CS"/>
        </w:rPr>
        <w:t xml:space="preserve"> na Žabljaku </w:t>
      </w:r>
      <w:r w:rsidR="007032F8">
        <w:rPr>
          <w:rFonts w:ascii="Constantia" w:hAnsi="Constantia"/>
          <w:szCs w:val="22"/>
          <w:lang w:val="sr-Latn-CS"/>
        </w:rPr>
        <w:t xml:space="preserve">i to od </w:t>
      </w:r>
      <w:r w:rsidRPr="000C51CE">
        <w:rPr>
          <w:rFonts w:ascii="Constantia" w:hAnsi="Constantia"/>
          <w:szCs w:val="22"/>
          <w:lang w:val="sr-Latn-CS"/>
        </w:rPr>
        <w:t>148</w:t>
      </w:r>
      <w:r w:rsidR="007032F8">
        <w:rPr>
          <w:rFonts w:ascii="Constantia" w:hAnsi="Constantia"/>
          <w:szCs w:val="22"/>
          <w:lang w:val="sr-Latn-CS"/>
        </w:rPr>
        <w:t xml:space="preserve"> </w:t>
      </w:r>
      <w:r w:rsidRPr="000C51CE">
        <w:rPr>
          <w:rFonts w:ascii="Constantia" w:hAnsi="Constantia"/>
          <w:szCs w:val="22"/>
          <w:lang w:val="sr-Latn-CS"/>
        </w:rPr>
        <w:t>cm.</w:t>
      </w:r>
    </w:p>
    <w:p w:rsidR="00E400F2" w:rsidRPr="000C51CE" w:rsidRDefault="00E400F2" w:rsidP="00E400F2">
      <w:pPr>
        <w:rPr>
          <w:rFonts w:ascii="Constantia" w:hAnsi="Constantia"/>
          <w:szCs w:val="22"/>
          <w:lang w:val="sr-Latn-CS"/>
        </w:rPr>
      </w:pPr>
    </w:p>
    <w:p w:rsidR="000C51CE" w:rsidRPr="000C51CE" w:rsidRDefault="000C51CE" w:rsidP="00B96E6B">
      <w:pPr>
        <w:spacing w:line="276" w:lineRule="auto"/>
        <w:jc w:val="center"/>
        <w:rPr>
          <w:rFonts w:ascii="Constantia" w:hAnsi="Constantia"/>
          <w:sz w:val="24"/>
          <w:lang w:val="sr-Latn-CS"/>
        </w:rPr>
      </w:pPr>
      <w:r w:rsidRPr="000C51CE">
        <w:rPr>
          <w:rFonts w:ascii="Verdana" w:hAnsi="Verdana"/>
          <w:noProof/>
          <w:sz w:val="18"/>
          <w:szCs w:val="18"/>
        </w:rPr>
        <w:drawing>
          <wp:inline distT="0" distB="0" distL="0" distR="0" wp14:anchorId="3D6B2892" wp14:editId="53004487">
            <wp:extent cx="3418372" cy="3188473"/>
            <wp:effectExtent l="0" t="0" r="0" b="0"/>
            <wp:docPr id="820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419475" cy="3189502"/>
                    </a:xfrm>
                    <a:prstGeom prst="rect">
                      <a:avLst/>
                    </a:prstGeom>
                    <a:noFill/>
                    <a:ln>
                      <a:noFill/>
                    </a:ln>
                  </pic:spPr>
                </pic:pic>
              </a:graphicData>
            </a:graphic>
          </wp:inline>
        </w:drawing>
      </w:r>
    </w:p>
    <w:p w:rsidR="000C51CE" w:rsidRPr="000C51CE" w:rsidRDefault="000C51CE" w:rsidP="00BE109C">
      <w:pPr>
        <w:pStyle w:val="Heading2"/>
        <w:ind w:left="720"/>
      </w:pPr>
      <w:bookmarkStart w:id="32" w:name="_Toc322000731"/>
      <w:bookmarkStart w:id="33" w:name="_Toc321212324"/>
      <w:bookmarkStart w:id="34" w:name="_Toc393897870"/>
      <w:r w:rsidRPr="000C51CE">
        <w:lastRenderedPageBreak/>
        <w:t xml:space="preserve">COP19 </w:t>
      </w:r>
      <w:bookmarkEnd w:id="32"/>
      <w:bookmarkEnd w:id="33"/>
      <w:r w:rsidRPr="007468D3">
        <w:t>Varšava</w:t>
      </w:r>
      <w:r w:rsidRPr="000C51CE">
        <w:t>, Poljska</w:t>
      </w:r>
      <w:r w:rsidRPr="000C51CE">
        <w:rPr>
          <w:vertAlign w:val="superscript"/>
        </w:rPr>
        <w:footnoteReference w:id="7"/>
      </w:r>
      <w:bookmarkEnd w:id="34"/>
    </w:p>
    <w:p w:rsidR="000C51CE" w:rsidRPr="000C51CE" w:rsidRDefault="000C51CE" w:rsidP="00A340B4">
      <w:pPr>
        <w:rPr>
          <w:szCs w:val="22"/>
        </w:rPr>
      </w:pPr>
      <w:r w:rsidRPr="000C51CE">
        <w:rPr>
          <w:rFonts w:ascii="Constantia" w:hAnsi="Constantia"/>
          <w:szCs w:val="22"/>
        </w:rPr>
        <w:t xml:space="preserve">Osnovni cilj Konvencije UN o promjeni klime je da se smanje emisije gasova sa </w:t>
      </w:r>
      <w:r w:rsidR="008305A7">
        <w:rPr>
          <w:rFonts w:ascii="Constantia" w:hAnsi="Constantia"/>
          <w:szCs w:val="22"/>
        </w:rPr>
        <w:t>efektom staklene bašte kao posl</w:t>
      </w:r>
      <w:r w:rsidRPr="000C51CE">
        <w:rPr>
          <w:rFonts w:ascii="Constantia" w:hAnsi="Constantia"/>
          <w:szCs w:val="22"/>
        </w:rPr>
        <w:t>edica ljudskih aktivnosti, kak</w:t>
      </w:r>
      <w:r w:rsidR="008305A7">
        <w:rPr>
          <w:rFonts w:ascii="Constantia" w:hAnsi="Constantia"/>
          <w:szCs w:val="22"/>
        </w:rPr>
        <w:t>o bi se zaustavilo dalje zagrija</w:t>
      </w:r>
      <w:r w:rsidRPr="000C51CE">
        <w:rPr>
          <w:rFonts w:ascii="Constantia" w:hAnsi="Constantia"/>
          <w:szCs w:val="22"/>
        </w:rPr>
        <w:t>vanje atmosfere koje ima za posledicu globalnu promjenu klime.</w:t>
      </w:r>
    </w:p>
    <w:p w:rsidR="000C51CE" w:rsidRPr="000C51CE" w:rsidRDefault="000C51CE" w:rsidP="00A340B4">
      <w:pPr>
        <w:rPr>
          <w:rFonts w:ascii="Constantia" w:hAnsi="Constantia" w:cs="Arial"/>
          <w:bCs/>
          <w:szCs w:val="22"/>
          <w:lang w:val="sr-Latn-CS"/>
        </w:rPr>
      </w:pPr>
      <w:r w:rsidRPr="000C51CE">
        <w:rPr>
          <w:rFonts w:ascii="Constantia" w:hAnsi="Constantia" w:cs="Arial"/>
          <w:bCs/>
          <w:szCs w:val="22"/>
          <w:lang w:val="sr-Latn-CS"/>
        </w:rPr>
        <w:t xml:space="preserve">Konferencija država ugovornica Konvencije o klimatskim promjenama je najviši konstitutivni organ Konvencije, koju čine opunomoćene državne delegacije zemalja ugovornica. Na svojim redovnim godišnjim zasjedanjima COP razmatra sprovođenje Konvencije i ovlašćen je da donosi odgovarajuće odluke značajne za efikasniju implementaciju i ostvarivanje ciljeva Konvencije. Rad Konferencije odvija se u plenarnim sjednicama, sjednicama savjetodavnih organa, neformalnih i kontakt grupa. </w:t>
      </w:r>
    </w:p>
    <w:p w:rsidR="000C51CE" w:rsidRPr="000C51CE" w:rsidRDefault="000C51CE" w:rsidP="00A340B4">
      <w:pPr>
        <w:rPr>
          <w:rFonts w:ascii="Constantia" w:hAnsi="Constantia" w:cs="Arial"/>
          <w:bCs/>
          <w:szCs w:val="22"/>
          <w:lang w:val="sr-Latn-CS"/>
        </w:rPr>
      </w:pPr>
      <w:r w:rsidRPr="000C51CE">
        <w:rPr>
          <w:rFonts w:ascii="Constantia" w:hAnsi="Constantia" w:cs="Arial"/>
          <w:bCs/>
          <w:szCs w:val="22"/>
          <w:lang w:val="sr-Latn-CS"/>
        </w:rPr>
        <w:t>U okviru COP19 održano je:</w:t>
      </w:r>
    </w:p>
    <w:p w:rsidR="000C51CE" w:rsidRPr="000C51CE" w:rsidRDefault="000C51CE" w:rsidP="00A50466">
      <w:pPr>
        <w:numPr>
          <w:ilvl w:val="0"/>
          <w:numId w:val="6"/>
        </w:numPr>
        <w:contextualSpacing/>
        <w:rPr>
          <w:rFonts w:ascii="Constantia" w:hAnsi="Constantia" w:cs="Arial"/>
          <w:bCs/>
          <w:szCs w:val="22"/>
          <w:lang w:val="sr-Latn-CS"/>
        </w:rPr>
      </w:pPr>
      <w:r w:rsidRPr="000C51CE">
        <w:rPr>
          <w:rFonts w:ascii="Constantia" w:hAnsi="Constantia" w:cs="Arial"/>
          <w:bCs/>
          <w:szCs w:val="22"/>
          <w:lang w:val="sr-Latn-CS"/>
        </w:rPr>
        <w:t xml:space="preserve">19. zasijedanje Konferencije strana ugovornica (COP19) Okvirne konvencije UN o promjeni klime (UNFCCC), </w:t>
      </w:r>
    </w:p>
    <w:p w:rsidR="000C51CE" w:rsidRPr="000C51CE" w:rsidRDefault="000C51CE" w:rsidP="00A50466">
      <w:pPr>
        <w:numPr>
          <w:ilvl w:val="0"/>
          <w:numId w:val="6"/>
        </w:numPr>
        <w:contextualSpacing/>
        <w:rPr>
          <w:rFonts w:ascii="Constantia" w:hAnsi="Constantia" w:cs="Arial"/>
          <w:bCs/>
          <w:szCs w:val="22"/>
          <w:lang w:val="sr-Latn-CS"/>
        </w:rPr>
      </w:pPr>
      <w:r w:rsidRPr="000C51CE">
        <w:rPr>
          <w:rFonts w:ascii="Constantia" w:hAnsi="Constantia" w:cs="Arial"/>
          <w:bCs/>
          <w:szCs w:val="22"/>
          <w:lang w:val="sr-Latn-CS"/>
        </w:rPr>
        <w:t xml:space="preserve">9. zasijedanje strana </w:t>
      </w:r>
      <w:r w:rsidR="00AB6BDE">
        <w:rPr>
          <w:rFonts w:ascii="Constantia" w:hAnsi="Constantia" w:cs="Arial"/>
          <w:bCs/>
          <w:szCs w:val="22"/>
          <w:lang w:val="sr-Latn-CS"/>
        </w:rPr>
        <w:t>ugovornica Kjoto protokola (CMP</w:t>
      </w:r>
      <w:r w:rsidRPr="000C51CE">
        <w:rPr>
          <w:rFonts w:ascii="Constantia" w:hAnsi="Constantia" w:cs="Arial"/>
          <w:bCs/>
          <w:szCs w:val="22"/>
          <w:lang w:val="sr-Latn-CS"/>
        </w:rPr>
        <w:t xml:space="preserve">9), </w:t>
      </w:r>
    </w:p>
    <w:p w:rsidR="000C51CE" w:rsidRPr="000C51CE" w:rsidRDefault="000C51CE" w:rsidP="00A50466">
      <w:pPr>
        <w:numPr>
          <w:ilvl w:val="0"/>
          <w:numId w:val="6"/>
        </w:numPr>
        <w:contextualSpacing/>
        <w:rPr>
          <w:rFonts w:ascii="Constantia" w:hAnsi="Constantia" w:cs="Arial"/>
          <w:bCs/>
          <w:szCs w:val="22"/>
          <w:lang w:val="sr-Latn-CS"/>
        </w:rPr>
      </w:pPr>
      <w:r w:rsidRPr="000C51CE">
        <w:rPr>
          <w:rFonts w:ascii="Constantia" w:hAnsi="Constantia" w:cs="Arial"/>
          <w:bCs/>
          <w:szCs w:val="22"/>
          <w:lang w:val="sr-Latn-CS"/>
        </w:rPr>
        <w:t>Drugo zasijedanje, treći dio, Ad-hoc radne grupe Durbanska platfo</w:t>
      </w:r>
      <w:r w:rsidR="00AB6BDE">
        <w:rPr>
          <w:rFonts w:ascii="Constantia" w:hAnsi="Constantia" w:cs="Arial"/>
          <w:bCs/>
          <w:szCs w:val="22"/>
          <w:lang w:val="sr-Latn-CS"/>
        </w:rPr>
        <w:t>rma za unaprijeđenu akciju (ADP</w:t>
      </w:r>
      <w:r w:rsidRPr="000C51CE">
        <w:rPr>
          <w:rFonts w:ascii="Constantia" w:hAnsi="Constantia" w:cs="Arial"/>
          <w:bCs/>
          <w:szCs w:val="22"/>
          <w:lang w:val="sr-Latn-CS"/>
        </w:rPr>
        <w:t xml:space="preserve">2.3) </w:t>
      </w:r>
    </w:p>
    <w:p w:rsidR="000C51CE" w:rsidRPr="000C51CE" w:rsidRDefault="000C51CE" w:rsidP="00A50466">
      <w:pPr>
        <w:numPr>
          <w:ilvl w:val="0"/>
          <w:numId w:val="6"/>
        </w:numPr>
        <w:contextualSpacing/>
        <w:rPr>
          <w:rFonts w:ascii="Constantia" w:hAnsi="Constantia" w:cs="Arial"/>
          <w:bCs/>
          <w:szCs w:val="22"/>
          <w:lang w:val="sr-Latn-CS"/>
        </w:rPr>
      </w:pPr>
      <w:r w:rsidRPr="000C51CE">
        <w:rPr>
          <w:rFonts w:ascii="Constantia" w:hAnsi="Constantia" w:cs="Arial"/>
          <w:bCs/>
          <w:szCs w:val="22"/>
          <w:lang w:val="sr-Latn-CS"/>
        </w:rPr>
        <w:t>39. zasijedanje Pomoćnog organa Konvencij</w:t>
      </w:r>
      <w:r w:rsidR="00AB6BDE">
        <w:rPr>
          <w:rFonts w:ascii="Constantia" w:hAnsi="Constantia" w:cs="Arial"/>
          <w:bCs/>
          <w:szCs w:val="22"/>
          <w:lang w:val="sr-Latn-CS"/>
        </w:rPr>
        <w:t>e za nauku i tehnologiju (SBSTA</w:t>
      </w:r>
      <w:r w:rsidRPr="000C51CE">
        <w:rPr>
          <w:rFonts w:ascii="Constantia" w:hAnsi="Constantia" w:cs="Arial"/>
          <w:bCs/>
          <w:szCs w:val="22"/>
          <w:lang w:val="sr-Latn-CS"/>
        </w:rPr>
        <w:t xml:space="preserve">39), </w:t>
      </w:r>
    </w:p>
    <w:p w:rsidR="000C51CE" w:rsidRDefault="000C51CE" w:rsidP="00A50466">
      <w:pPr>
        <w:numPr>
          <w:ilvl w:val="0"/>
          <w:numId w:val="6"/>
        </w:numPr>
        <w:contextualSpacing/>
        <w:rPr>
          <w:rFonts w:ascii="Constantia" w:hAnsi="Constantia" w:cs="Arial"/>
          <w:bCs/>
          <w:szCs w:val="22"/>
          <w:lang w:val="sr-Latn-CS"/>
        </w:rPr>
      </w:pPr>
      <w:r w:rsidRPr="000C51CE">
        <w:rPr>
          <w:rFonts w:ascii="Constantia" w:hAnsi="Constantia" w:cs="Arial"/>
          <w:bCs/>
          <w:szCs w:val="22"/>
          <w:lang w:val="sr-Latn-CS"/>
        </w:rPr>
        <w:t>39. zasijedanje Pomoćnog organa Ko</w:t>
      </w:r>
      <w:r w:rsidR="00AB6BDE">
        <w:rPr>
          <w:rFonts w:ascii="Constantia" w:hAnsi="Constantia" w:cs="Arial"/>
          <w:bCs/>
          <w:szCs w:val="22"/>
          <w:lang w:val="sr-Latn-CS"/>
        </w:rPr>
        <w:t>nvencije za implementaciju (SBI</w:t>
      </w:r>
      <w:r w:rsidRPr="000C51CE">
        <w:rPr>
          <w:rFonts w:ascii="Constantia" w:hAnsi="Constantia" w:cs="Arial"/>
          <w:bCs/>
          <w:szCs w:val="22"/>
          <w:lang w:val="sr-Latn-CS"/>
        </w:rPr>
        <w:t>39).</w:t>
      </w:r>
    </w:p>
    <w:p w:rsidR="00C96F21" w:rsidRPr="000C51CE" w:rsidRDefault="00C96F21" w:rsidP="00A340B4">
      <w:pPr>
        <w:ind w:left="720"/>
        <w:contextualSpacing/>
        <w:rPr>
          <w:rFonts w:ascii="Constantia" w:hAnsi="Constantia" w:cs="Arial"/>
          <w:bCs/>
          <w:szCs w:val="22"/>
          <w:lang w:val="sr-Latn-CS"/>
        </w:rPr>
      </w:pPr>
    </w:p>
    <w:p w:rsidR="000C51CE" w:rsidRDefault="000C51CE" w:rsidP="00A340B4">
      <w:pPr>
        <w:rPr>
          <w:rFonts w:ascii="Constantia" w:hAnsi="Constantia" w:cs="Arial"/>
          <w:bCs/>
          <w:szCs w:val="22"/>
          <w:lang w:val="sr-Latn-CS"/>
        </w:rPr>
      </w:pPr>
      <w:r w:rsidRPr="000C51CE">
        <w:rPr>
          <w:rFonts w:ascii="Constantia" w:hAnsi="Constantia" w:cs="Arial"/>
          <w:bCs/>
          <w:szCs w:val="22"/>
          <w:lang w:val="sr-Latn-CS"/>
        </w:rPr>
        <w:t>Očekivanja od ovogodišnje Konferencije su bila velika, međutim rezultati postignuti u Varšavi predstavljaju umjeren progres u pregovorima koji je dovoljan da se održi dinamika procesa</w:t>
      </w:r>
      <w:r w:rsidR="00C96F21">
        <w:rPr>
          <w:rFonts w:ascii="Constantia" w:hAnsi="Constantia" w:cs="Arial"/>
          <w:bCs/>
          <w:szCs w:val="22"/>
          <w:lang w:val="sr-Latn-CS"/>
        </w:rPr>
        <w:t>,</w:t>
      </w:r>
      <w:r w:rsidRPr="000C51CE">
        <w:rPr>
          <w:rFonts w:ascii="Constantia" w:hAnsi="Constantia" w:cs="Arial"/>
          <w:bCs/>
          <w:szCs w:val="22"/>
          <w:lang w:val="sr-Latn-CS"/>
        </w:rPr>
        <w:t xml:space="preserve"> ali su nedovoljni da bi se postigao cilj Konvencije za očuvanje globalnog klimatskog sistema</w:t>
      </w:r>
      <w:r w:rsidR="00D94881">
        <w:rPr>
          <w:rFonts w:ascii="Constantia" w:hAnsi="Constantia" w:cs="Arial"/>
          <w:bCs/>
          <w:szCs w:val="22"/>
          <w:lang w:val="sr-Latn-CS"/>
        </w:rPr>
        <w:t>.</w:t>
      </w:r>
    </w:p>
    <w:p w:rsidR="00A340B4" w:rsidRPr="000C51CE" w:rsidRDefault="00A340B4" w:rsidP="00A340B4">
      <w:pPr>
        <w:rPr>
          <w:rFonts w:ascii="Constantia" w:hAnsi="Constantia" w:cs="Arial"/>
          <w:bCs/>
          <w:szCs w:val="22"/>
          <w:lang w:val="sr-Latn-CS"/>
        </w:rPr>
      </w:pPr>
    </w:p>
    <w:p w:rsidR="00A340B4" w:rsidRPr="00A340B4" w:rsidRDefault="0041496E" w:rsidP="0041496E">
      <w:pPr>
        <w:pStyle w:val="Heading3"/>
      </w:pPr>
      <w:bookmarkStart w:id="35" w:name="_Toc393897871"/>
      <w:r>
        <w:t xml:space="preserve">2.4.1    </w:t>
      </w:r>
      <w:r w:rsidR="006858A9" w:rsidRPr="00A340B4">
        <w:t>Zaključci COP</w:t>
      </w:r>
      <w:r w:rsidR="000C51CE" w:rsidRPr="00A340B4">
        <w:t>19</w:t>
      </w:r>
      <w:bookmarkEnd w:id="35"/>
    </w:p>
    <w:p w:rsidR="00A340B4" w:rsidRPr="00A340B4" w:rsidRDefault="000C51CE" w:rsidP="00A50466">
      <w:pPr>
        <w:numPr>
          <w:ilvl w:val="0"/>
          <w:numId w:val="7"/>
        </w:numPr>
        <w:spacing w:before="240" w:line="276" w:lineRule="auto"/>
        <w:contextualSpacing/>
        <w:rPr>
          <w:rFonts w:ascii="Constantia" w:hAnsi="Constantia"/>
          <w:b/>
          <w:szCs w:val="22"/>
          <w:lang w:val="sr-Latn-CS"/>
        </w:rPr>
      </w:pPr>
      <w:r w:rsidRPr="00A340B4">
        <w:rPr>
          <w:rFonts w:ascii="Constantia" w:hAnsi="Constantia"/>
          <w:b/>
          <w:szCs w:val="22"/>
          <w:lang w:val="sr-Latn-CS"/>
        </w:rPr>
        <w:t>Dogovor 2015</w:t>
      </w:r>
    </w:p>
    <w:p w:rsidR="00A340B4" w:rsidRPr="000C51CE" w:rsidRDefault="000C51CE" w:rsidP="00A340B4">
      <w:pPr>
        <w:spacing w:before="240"/>
        <w:rPr>
          <w:rFonts w:ascii="Constantia" w:hAnsi="Constantia"/>
          <w:szCs w:val="22"/>
          <w:lang w:val="sr-Latn-CS"/>
        </w:rPr>
      </w:pPr>
      <w:r w:rsidRPr="000C51CE">
        <w:rPr>
          <w:rFonts w:ascii="Constantia" w:hAnsi="Constantia"/>
          <w:szCs w:val="22"/>
          <w:lang w:val="sr-Latn-CS"/>
        </w:rPr>
        <w:t>Usaglašen</w:t>
      </w:r>
      <w:r w:rsidR="00773237">
        <w:rPr>
          <w:rFonts w:ascii="Constantia" w:hAnsi="Constantia"/>
          <w:szCs w:val="22"/>
          <w:lang w:val="sr-Latn-CS"/>
        </w:rPr>
        <w:t xml:space="preserve">i su </w:t>
      </w:r>
      <w:r w:rsidRPr="000C51CE">
        <w:rPr>
          <w:rFonts w:ascii="Constantia" w:hAnsi="Constantia"/>
          <w:szCs w:val="22"/>
          <w:lang w:val="sr-Latn-CS"/>
        </w:rPr>
        <w:t xml:space="preserve">plan i dinamika koje svaka zemlja članica treba </w:t>
      </w:r>
      <w:r w:rsidR="003D0313">
        <w:rPr>
          <w:rFonts w:ascii="Constantia" w:hAnsi="Constantia"/>
          <w:szCs w:val="22"/>
          <w:lang w:val="sr-Latn-CS"/>
        </w:rPr>
        <w:t>da is</w:t>
      </w:r>
      <w:r w:rsidRPr="000C51CE">
        <w:rPr>
          <w:rFonts w:ascii="Constantia" w:hAnsi="Constantia"/>
          <w:szCs w:val="22"/>
          <w:lang w:val="sr-Latn-CS"/>
        </w:rPr>
        <w:t>pošt</w:t>
      </w:r>
      <w:r w:rsidR="003D0313">
        <w:rPr>
          <w:rFonts w:ascii="Constantia" w:hAnsi="Constantia"/>
          <w:szCs w:val="22"/>
          <w:lang w:val="sr-Latn-CS"/>
        </w:rPr>
        <w:t>uju</w:t>
      </w:r>
      <w:r w:rsidRPr="000C51CE">
        <w:rPr>
          <w:rFonts w:ascii="Constantia" w:hAnsi="Constantia"/>
          <w:szCs w:val="22"/>
          <w:lang w:val="sr-Latn-CS"/>
        </w:rPr>
        <w:t xml:space="preserve"> kako bi se globalni pravno obavezujući klimatski dogovor mogao postići 2015.</w:t>
      </w:r>
      <w:r w:rsidR="00773237">
        <w:rPr>
          <w:rFonts w:ascii="Constantia" w:hAnsi="Constantia"/>
          <w:szCs w:val="22"/>
          <w:lang w:val="sr-Latn-CS"/>
        </w:rPr>
        <w:t xml:space="preserve"> </w:t>
      </w:r>
      <w:r w:rsidRPr="000C51CE">
        <w:rPr>
          <w:rFonts w:ascii="Constantia" w:hAnsi="Constantia"/>
          <w:szCs w:val="22"/>
          <w:lang w:val="sr-Latn-CS"/>
        </w:rPr>
        <w:t>godine u Parizu na COP21. Dogovor uključuje da sve zemlje dostave svoje namjere u vidu aktivnosti na smanjenju nacionalnih emisija GHG gasova</w:t>
      </w:r>
      <w:r w:rsidR="003D0313">
        <w:rPr>
          <w:rFonts w:ascii="Constantia" w:hAnsi="Constantia"/>
          <w:szCs w:val="22"/>
          <w:lang w:val="sr-Latn-CS"/>
        </w:rPr>
        <w:t>,</w:t>
      </w:r>
      <w:r w:rsidRPr="000C51CE">
        <w:rPr>
          <w:rFonts w:ascii="Constantia" w:hAnsi="Constantia"/>
          <w:szCs w:val="22"/>
          <w:lang w:val="sr-Latn-CS"/>
        </w:rPr>
        <w:t xml:space="preserve"> u vremenskom roku koji će obezbijediti dovoljno vremena da se one objedine, analiziraju i ocijeni njihova adekvatnost</w:t>
      </w:r>
      <w:r w:rsidR="003D0313">
        <w:rPr>
          <w:rFonts w:ascii="Constantia" w:hAnsi="Constantia"/>
          <w:szCs w:val="22"/>
          <w:lang w:val="sr-Latn-CS"/>
        </w:rPr>
        <w:t>,</w:t>
      </w:r>
      <w:r w:rsidRPr="000C51CE">
        <w:rPr>
          <w:rFonts w:ascii="Constantia" w:hAnsi="Constantia"/>
          <w:szCs w:val="22"/>
          <w:lang w:val="sr-Latn-CS"/>
        </w:rPr>
        <w:t xml:space="preserve"> u smislu postizanja cilja Konvencije. Krajnji rok za ovu aktivnost je prvi kvartal 2015.</w:t>
      </w:r>
      <w:r w:rsidR="008D0F63">
        <w:rPr>
          <w:rFonts w:ascii="Constantia" w:hAnsi="Constantia"/>
          <w:szCs w:val="22"/>
          <w:lang w:val="sr-Latn-CS"/>
        </w:rPr>
        <w:t xml:space="preserve"> </w:t>
      </w:r>
      <w:r w:rsidRPr="000C51CE">
        <w:rPr>
          <w:rFonts w:ascii="Constantia" w:hAnsi="Constantia"/>
          <w:szCs w:val="22"/>
          <w:lang w:val="sr-Latn-CS"/>
        </w:rPr>
        <w:t>godine, dok je EU recimo najavila da će ona svoje ciljeve u ovom kontekstu dostaviti do septembra 2014.</w:t>
      </w:r>
      <w:r w:rsidR="008D0F63">
        <w:rPr>
          <w:rFonts w:ascii="Constantia" w:hAnsi="Constantia"/>
          <w:szCs w:val="22"/>
          <w:lang w:val="sr-Latn-CS"/>
        </w:rPr>
        <w:t xml:space="preserve"> </w:t>
      </w:r>
      <w:r w:rsidRPr="000C51CE">
        <w:rPr>
          <w:rFonts w:ascii="Constantia" w:hAnsi="Constantia"/>
          <w:szCs w:val="22"/>
          <w:lang w:val="sr-Latn-CS"/>
        </w:rPr>
        <w:t xml:space="preserve">godine. </w:t>
      </w:r>
    </w:p>
    <w:p w:rsidR="00A340B4" w:rsidRPr="00A340B4" w:rsidRDefault="00A340B4" w:rsidP="00A340B4">
      <w:pPr>
        <w:spacing w:before="240" w:line="276" w:lineRule="auto"/>
        <w:ind w:left="720"/>
        <w:contextualSpacing/>
        <w:rPr>
          <w:rFonts w:ascii="Constantia" w:hAnsi="Constantia"/>
          <w:szCs w:val="22"/>
          <w:lang w:val="sr-Latn-CS"/>
        </w:rPr>
      </w:pPr>
    </w:p>
    <w:p w:rsidR="000C51CE" w:rsidRPr="000C51CE" w:rsidRDefault="000C51CE" w:rsidP="00A50466">
      <w:pPr>
        <w:numPr>
          <w:ilvl w:val="0"/>
          <w:numId w:val="7"/>
        </w:numPr>
        <w:spacing w:before="240" w:line="276" w:lineRule="auto"/>
        <w:contextualSpacing/>
        <w:rPr>
          <w:rFonts w:ascii="Constantia" w:hAnsi="Constantia"/>
          <w:szCs w:val="22"/>
          <w:lang w:val="sr-Latn-CS"/>
        </w:rPr>
      </w:pPr>
      <w:r w:rsidRPr="000C51CE">
        <w:rPr>
          <w:rFonts w:ascii="Constantia" w:hAnsi="Constantia"/>
          <w:b/>
          <w:szCs w:val="22"/>
          <w:lang w:val="sr-Latn-CS"/>
        </w:rPr>
        <w:t>Finansiranje u oblasti klimatskih promjena</w:t>
      </w:r>
    </w:p>
    <w:p w:rsidR="000C51CE" w:rsidRDefault="000C51CE" w:rsidP="00A340B4">
      <w:pPr>
        <w:spacing w:before="240"/>
        <w:rPr>
          <w:rFonts w:ascii="Constantia" w:hAnsi="Constantia"/>
          <w:szCs w:val="22"/>
          <w:lang w:val="sr-Latn-CS"/>
        </w:rPr>
      </w:pPr>
      <w:r w:rsidRPr="000C51CE">
        <w:rPr>
          <w:rFonts w:ascii="Constantia" w:hAnsi="Constantia"/>
          <w:szCs w:val="22"/>
          <w:lang w:val="sr-Latn-CS"/>
        </w:rPr>
        <w:t>Glavni problem se odnosi na segment obezbjeđivanja finansiranja u ovoj oblasti koje bi dovele do povećan</w:t>
      </w:r>
      <w:r w:rsidR="00E07633">
        <w:rPr>
          <w:rFonts w:ascii="Constantia" w:hAnsi="Constantia"/>
          <w:szCs w:val="22"/>
          <w:lang w:val="sr-Latn-CS"/>
        </w:rPr>
        <w:t>ja</w:t>
      </w:r>
      <w:r w:rsidRPr="000C51CE">
        <w:rPr>
          <w:rFonts w:ascii="Constantia" w:hAnsi="Constantia"/>
          <w:szCs w:val="22"/>
          <w:lang w:val="sr-Latn-CS"/>
        </w:rPr>
        <w:t xml:space="preserve"> ambicija za ublažavanje klimatskih promjena</w:t>
      </w:r>
      <w:r w:rsidR="00E07633">
        <w:rPr>
          <w:rFonts w:ascii="Constantia" w:hAnsi="Constantia"/>
          <w:szCs w:val="22"/>
          <w:lang w:val="sr-Latn-CS"/>
        </w:rPr>
        <w:t>,</w:t>
      </w:r>
      <w:r w:rsidRPr="000C51CE">
        <w:rPr>
          <w:rFonts w:ascii="Constantia" w:hAnsi="Constantia"/>
          <w:szCs w:val="22"/>
          <w:lang w:val="sr-Latn-CS"/>
        </w:rPr>
        <w:t xml:space="preserve"> prije svega zemalja u razvoju i nerazvijenih zemalja</w:t>
      </w:r>
      <w:r w:rsidR="00E07633">
        <w:rPr>
          <w:rFonts w:ascii="Constantia" w:hAnsi="Constantia"/>
          <w:szCs w:val="22"/>
          <w:lang w:val="sr-Latn-CS"/>
        </w:rPr>
        <w:t>,</w:t>
      </w:r>
      <w:r w:rsidRPr="000C51CE">
        <w:rPr>
          <w:rFonts w:ascii="Constantia" w:hAnsi="Constantia"/>
          <w:szCs w:val="22"/>
          <w:lang w:val="sr-Latn-CS"/>
        </w:rPr>
        <w:t xml:space="preserve"> ali i finansiranja neophodnih za adaptaciju na klimatske promjene</w:t>
      </w:r>
      <w:r w:rsidR="00B042C2">
        <w:rPr>
          <w:rFonts w:ascii="Constantia" w:hAnsi="Constantia"/>
          <w:szCs w:val="22"/>
          <w:lang w:val="sr-Latn-CS"/>
        </w:rPr>
        <w:t>,</w:t>
      </w:r>
      <w:r w:rsidRPr="000C51CE">
        <w:rPr>
          <w:rFonts w:ascii="Constantia" w:hAnsi="Constantia"/>
          <w:szCs w:val="22"/>
          <w:lang w:val="sr-Latn-CS"/>
        </w:rPr>
        <w:t xml:space="preserve"> prije svega za najugroženije zemlje. U ovom pogledu</w:t>
      </w:r>
      <w:r w:rsidR="00BB3672">
        <w:rPr>
          <w:rFonts w:ascii="Constantia" w:hAnsi="Constantia"/>
          <w:szCs w:val="22"/>
          <w:lang w:val="sr-Latn-CS"/>
        </w:rPr>
        <w:t>,</w:t>
      </w:r>
      <w:r w:rsidRPr="000C51CE">
        <w:rPr>
          <w:rFonts w:ascii="Constantia" w:hAnsi="Constantia"/>
          <w:szCs w:val="22"/>
          <w:lang w:val="sr-Latn-CS"/>
        </w:rPr>
        <w:t xml:space="preserve"> razvijene zemlje</w:t>
      </w:r>
      <w:r w:rsidR="00BB3672">
        <w:rPr>
          <w:rFonts w:ascii="Constantia" w:hAnsi="Constantia"/>
          <w:szCs w:val="22"/>
          <w:lang w:val="sr-Latn-CS"/>
        </w:rPr>
        <w:t xml:space="preserve"> su</w:t>
      </w:r>
      <w:r w:rsidRPr="000C51CE">
        <w:rPr>
          <w:rFonts w:ascii="Constantia" w:hAnsi="Constantia"/>
          <w:szCs w:val="22"/>
          <w:lang w:val="sr-Latn-CS"/>
        </w:rPr>
        <w:t xml:space="preserve"> obezbijedile 100 miliona USD koji će biti uplaćeni u Fond za Adaptaciju za potrebe zemalja u razvoju i dodatno je uspostavljen okvir koji definiše odnose između Zelenog klimatskog fonda i Konferencije zemalja članica (ova tema je u predhodnom periodu predstavljala problem)</w:t>
      </w:r>
      <w:r w:rsidR="00F9699C">
        <w:rPr>
          <w:rFonts w:ascii="Constantia" w:hAnsi="Constantia"/>
          <w:szCs w:val="22"/>
          <w:lang w:val="sr-Latn-CS"/>
        </w:rPr>
        <w:t>,</w:t>
      </w:r>
      <w:r w:rsidRPr="000C51CE">
        <w:rPr>
          <w:rFonts w:ascii="Constantia" w:hAnsi="Constantia"/>
          <w:szCs w:val="22"/>
          <w:lang w:val="sr-Latn-CS"/>
        </w:rPr>
        <w:t xml:space="preserve"> čime su se stvorili uslovi za početak rada ovog fonda. </w:t>
      </w:r>
    </w:p>
    <w:p w:rsidR="000C51CE" w:rsidRPr="000C51CE" w:rsidRDefault="000C51CE" w:rsidP="00A50466">
      <w:pPr>
        <w:numPr>
          <w:ilvl w:val="0"/>
          <w:numId w:val="7"/>
        </w:numPr>
        <w:contextualSpacing/>
        <w:rPr>
          <w:rFonts w:ascii="Constantia" w:hAnsi="Constantia"/>
          <w:b/>
          <w:szCs w:val="22"/>
          <w:lang w:val="sr-Latn-CS"/>
        </w:rPr>
      </w:pPr>
      <w:r w:rsidRPr="000C51CE">
        <w:rPr>
          <w:rFonts w:ascii="Constantia" w:hAnsi="Constantia"/>
          <w:b/>
          <w:szCs w:val="22"/>
          <w:lang w:val="sr-Latn-CS"/>
        </w:rPr>
        <w:lastRenderedPageBreak/>
        <w:t>Uspostavljanje međunarodnog mehanizma za pitanja koje su posledica nepovratnog negativnog uticaja klimatskih promjena</w:t>
      </w:r>
    </w:p>
    <w:p w:rsidR="000C51CE" w:rsidRDefault="000C51CE" w:rsidP="00A340B4">
      <w:pPr>
        <w:spacing w:before="240"/>
        <w:rPr>
          <w:rFonts w:ascii="Constantia" w:hAnsi="Constantia"/>
          <w:szCs w:val="22"/>
          <w:lang w:val="sr-Latn-CS"/>
        </w:rPr>
      </w:pPr>
      <w:r w:rsidRPr="000C51CE">
        <w:rPr>
          <w:rFonts w:ascii="Constantia" w:hAnsi="Constantia"/>
          <w:szCs w:val="22"/>
          <w:lang w:val="sr-Latn-CS"/>
        </w:rPr>
        <w:t>Uspostavljen je Varšavski internacionalni mehanizam koji će se u narednom periodu baviti pitanjima nepovratnog negativnog uticaja klimatskih promjena u najugroženijim zemljama u razvoju.</w:t>
      </w:r>
    </w:p>
    <w:p w:rsidR="00A340B4" w:rsidRDefault="00A340B4" w:rsidP="00A340B4">
      <w:pPr>
        <w:rPr>
          <w:rFonts w:ascii="Constantia" w:hAnsi="Constantia"/>
          <w:szCs w:val="22"/>
          <w:lang w:val="sr-Latn-CS"/>
        </w:rPr>
      </w:pPr>
    </w:p>
    <w:p w:rsidR="000C51CE" w:rsidRPr="000C51CE" w:rsidRDefault="000C51CE" w:rsidP="00A50466">
      <w:pPr>
        <w:numPr>
          <w:ilvl w:val="0"/>
          <w:numId w:val="7"/>
        </w:numPr>
        <w:spacing w:line="276" w:lineRule="auto"/>
        <w:contextualSpacing/>
        <w:rPr>
          <w:rFonts w:ascii="Constantia" w:hAnsi="Constantia"/>
          <w:b/>
          <w:szCs w:val="22"/>
          <w:lang w:val="sr-Latn-CS"/>
        </w:rPr>
      </w:pPr>
      <w:r w:rsidRPr="000C51CE">
        <w:rPr>
          <w:rFonts w:ascii="Constantia" w:hAnsi="Constantia"/>
          <w:b/>
          <w:szCs w:val="22"/>
          <w:lang w:val="sr-Latn-CS"/>
        </w:rPr>
        <w:t>Aktivnosti na smanjenju emisija iz defores</w:t>
      </w:r>
      <w:r w:rsidR="00F07EC1">
        <w:rPr>
          <w:rFonts w:ascii="Constantia" w:hAnsi="Constantia"/>
          <w:b/>
          <w:szCs w:val="22"/>
          <w:lang w:val="sr-Latn-CS"/>
        </w:rPr>
        <w:t>tacije i degradacije šuma (REDD</w:t>
      </w:r>
      <w:r w:rsidRPr="000C51CE">
        <w:rPr>
          <w:rFonts w:ascii="Constantia" w:hAnsi="Constantia"/>
          <w:b/>
          <w:szCs w:val="22"/>
          <w:lang w:val="sr-Latn-CS"/>
        </w:rPr>
        <w:t>+)</w:t>
      </w:r>
    </w:p>
    <w:p w:rsidR="000C51CE" w:rsidRDefault="000C51CE" w:rsidP="00A340B4">
      <w:pPr>
        <w:spacing w:before="240"/>
        <w:rPr>
          <w:rFonts w:ascii="Constantia" w:hAnsi="Constantia"/>
          <w:szCs w:val="22"/>
          <w:lang w:val="sr-Latn-CS"/>
        </w:rPr>
      </w:pPr>
      <w:r w:rsidRPr="000C51CE">
        <w:rPr>
          <w:rFonts w:ascii="Constantia" w:hAnsi="Constantia"/>
          <w:szCs w:val="22"/>
          <w:lang w:val="sr-Latn-CS"/>
        </w:rPr>
        <w:t>Ostavaren je napredak u obl</w:t>
      </w:r>
      <w:r w:rsidR="0018027E">
        <w:rPr>
          <w:rFonts w:ascii="Constantia" w:hAnsi="Constantia"/>
          <w:szCs w:val="22"/>
          <w:lang w:val="sr-Latn-CS"/>
        </w:rPr>
        <w:t>asti zaštite šuma i obezbjeđenja</w:t>
      </w:r>
      <w:r w:rsidRPr="000C51CE">
        <w:rPr>
          <w:rFonts w:ascii="Constantia" w:hAnsi="Constantia"/>
          <w:szCs w:val="22"/>
          <w:lang w:val="sr-Latn-CS"/>
        </w:rPr>
        <w:t xml:space="preserve"> finasiranja zaštite šuma u zemljama u razvoju.</w:t>
      </w:r>
    </w:p>
    <w:p w:rsidR="00A340B4" w:rsidRPr="000C51CE" w:rsidRDefault="00A340B4" w:rsidP="00A340B4">
      <w:pPr>
        <w:rPr>
          <w:rFonts w:ascii="Constantia" w:hAnsi="Constantia"/>
          <w:szCs w:val="22"/>
          <w:lang w:val="sr-Latn-CS"/>
        </w:rPr>
      </w:pPr>
    </w:p>
    <w:p w:rsidR="000C51CE" w:rsidRPr="000C51CE" w:rsidRDefault="000C51CE" w:rsidP="00A50466">
      <w:pPr>
        <w:numPr>
          <w:ilvl w:val="0"/>
          <w:numId w:val="7"/>
        </w:numPr>
        <w:spacing w:line="276" w:lineRule="auto"/>
        <w:contextualSpacing/>
        <w:rPr>
          <w:rFonts w:ascii="Constantia" w:hAnsi="Constantia"/>
          <w:b/>
          <w:szCs w:val="22"/>
          <w:lang w:val="sr-Latn-CS"/>
        </w:rPr>
      </w:pPr>
      <w:r w:rsidRPr="000C51CE">
        <w:rPr>
          <w:rFonts w:ascii="Constantia" w:hAnsi="Constantia"/>
          <w:b/>
          <w:szCs w:val="22"/>
          <w:lang w:val="sr-Latn-CS"/>
        </w:rPr>
        <w:t>Transparentnost u izvještavanju</w:t>
      </w:r>
    </w:p>
    <w:p w:rsidR="000C51CE" w:rsidRDefault="000C51CE" w:rsidP="00A340B4">
      <w:pPr>
        <w:spacing w:before="240"/>
        <w:rPr>
          <w:rFonts w:ascii="Constantia" w:hAnsi="Constantia"/>
          <w:szCs w:val="22"/>
          <w:lang w:val="sr-Latn-CS"/>
        </w:rPr>
      </w:pPr>
      <w:r w:rsidRPr="000C51CE">
        <w:rPr>
          <w:rFonts w:ascii="Constantia" w:hAnsi="Constantia"/>
          <w:szCs w:val="22"/>
          <w:lang w:val="sr-Latn-CS"/>
        </w:rPr>
        <w:t>Postigao se napredak u pogledu transparetnosti izvještavanja o nivou emisija zemalja u razvoju</w:t>
      </w:r>
      <w:r w:rsidR="00BB3672">
        <w:rPr>
          <w:rFonts w:ascii="Constantia" w:hAnsi="Constantia"/>
          <w:szCs w:val="22"/>
          <w:lang w:val="sr-Latn-CS"/>
        </w:rPr>
        <w:t>,</w:t>
      </w:r>
      <w:r w:rsidRPr="000C51CE">
        <w:rPr>
          <w:rFonts w:ascii="Constantia" w:hAnsi="Constantia"/>
          <w:szCs w:val="22"/>
          <w:lang w:val="sr-Latn-CS"/>
        </w:rPr>
        <w:t xml:space="preserve"> čime su se stvorili uslovi za provjeru podataka koje zemlje u razvoju dostavljaju Konvenicji. Tim eksperata će u nar</w:t>
      </w:r>
      <w:r w:rsidR="0018027E">
        <w:rPr>
          <w:rFonts w:ascii="Constantia" w:hAnsi="Constantia"/>
          <w:szCs w:val="22"/>
          <w:lang w:val="sr-Latn-CS"/>
        </w:rPr>
        <w:t>e</w:t>
      </w:r>
      <w:r w:rsidRPr="000C51CE">
        <w:rPr>
          <w:rFonts w:ascii="Constantia" w:hAnsi="Constantia"/>
          <w:szCs w:val="22"/>
          <w:lang w:val="sr-Latn-CS"/>
        </w:rPr>
        <w:t>dnom periodu provjeravati podatke koje su dostavljene od strane zemalja u razvoju</w:t>
      </w:r>
      <w:r w:rsidR="0018027E">
        <w:rPr>
          <w:rFonts w:ascii="Constantia" w:hAnsi="Constantia"/>
          <w:szCs w:val="22"/>
          <w:lang w:val="sr-Latn-CS"/>
        </w:rPr>
        <w:t>,</w:t>
      </w:r>
      <w:r w:rsidRPr="000C51CE">
        <w:rPr>
          <w:rFonts w:ascii="Constantia" w:hAnsi="Constantia"/>
          <w:szCs w:val="22"/>
          <w:lang w:val="sr-Latn-CS"/>
        </w:rPr>
        <w:t xml:space="preserve"> prije svega podatke u okviru nacionalnih inventara emisija GHG gasova.</w:t>
      </w:r>
    </w:p>
    <w:p w:rsidR="00444DD2" w:rsidRDefault="00444DD2" w:rsidP="000C51CE">
      <w:pPr>
        <w:spacing w:line="276" w:lineRule="auto"/>
        <w:rPr>
          <w:rFonts w:ascii="Constantia" w:hAnsi="Constantia"/>
          <w:szCs w:val="22"/>
          <w:lang w:val="sr-Latn-CS"/>
        </w:rPr>
      </w:pPr>
    </w:p>
    <w:p w:rsidR="00444DD2" w:rsidRPr="000C51CE" w:rsidRDefault="00444DD2" w:rsidP="000C51CE">
      <w:pPr>
        <w:spacing w:line="276" w:lineRule="auto"/>
        <w:rPr>
          <w:rFonts w:ascii="Constantia" w:hAnsi="Constantia"/>
          <w:szCs w:val="22"/>
        </w:rPr>
      </w:pPr>
    </w:p>
    <w:p w:rsidR="000C51CE" w:rsidRPr="000C51CE" w:rsidRDefault="000C51CE" w:rsidP="00650E4D">
      <w:pPr>
        <w:spacing w:after="0" w:line="276" w:lineRule="auto"/>
        <w:contextualSpacing/>
        <w:jc w:val="center"/>
        <w:rPr>
          <w:rFonts w:ascii="Constantia" w:hAnsi="Constantia"/>
        </w:rPr>
      </w:pPr>
      <w:r w:rsidRPr="000C51CE">
        <w:rPr>
          <w:rFonts w:ascii="Constantia" w:hAnsi="Constantia"/>
        </w:rPr>
        <w:t>*</w:t>
      </w:r>
      <w:r w:rsidRPr="000C51CE">
        <w:rPr>
          <w:rFonts w:ascii="Constantia" w:hAnsi="Constantia"/>
        </w:rPr>
        <w:tab/>
        <w:t>*</w:t>
      </w:r>
      <w:r w:rsidRPr="000C51CE">
        <w:rPr>
          <w:rFonts w:ascii="Constantia" w:hAnsi="Constantia"/>
        </w:rPr>
        <w:tab/>
        <w:t>*</w:t>
      </w:r>
    </w:p>
    <w:p w:rsidR="000C51CE" w:rsidRPr="000C51CE" w:rsidRDefault="000C51CE" w:rsidP="000C51CE">
      <w:pPr>
        <w:spacing w:after="0"/>
        <w:jc w:val="left"/>
        <w:rPr>
          <w:rFonts w:ascii="Constantia" w:hAnsi="Constantia"/>
        </w:rPr>
      </w:pPr>
    </w:p>
    <w:p w:rsidR="004F3444" w:rsidRDefault="004F3444" w:rsidP="00E25DE9">
      <w:pPr>
        <w:pStyle w:val="Heading1"/>
        <w:spacing w:before="0"/>
      </w:pPr>
      <w:bookmarkStart w:id="36" w:name="_Toc393897872"/>
      <w:r>
        <w:lastRenderedPageBreak/>
        <w:t>VODE</w:t>
      </w:r>
      <w:bookmarkEnd w:id="36"/>
    </w:p>
    <w:p w:rsidR="004F3444" w:rsidRPr="002A770A" w:rsidRDefault="004F3444" w:rsidP="00097E04">
      <w:pPr>
        <w:pStyle w:val="Heading3"/>
      </w:pPr>
      <w:bookmarkStart w:id="37" w:name="_Toc393897873"/>
      <w:r w:rsidRPr="00097E04">
        <w:t>Uvod</w:t>
      </w:r>
      <w:bookmarkEnd w:id="37"/>
    </w:p>
    <w:p w:rsidR="004F3444" w:rsidRPr="002A770A" w:rsidRDefault="004F3444" w:rsidP="002A770A">
      <w:pPr>
        <w:rPr>
          <w:rFonts w:ascii="Constantia" w:hAnsi="Constantia"/>
          <w:szCs w:val="22"/>
          <w:lang w:val="pl-PL"/>
        </w:rPr>
      </w:pPr>
      <w:r w:rsidRPr="002A770A">
        <w:rPr>
          <w:rFonts w:ascii="Constantia" w:hAnsi="Constantia"/>
          <w:szCs w:val="22"/>
          <w:lang w:val="pl-PL"/>
        </w:rPr>
        <w:t xml:space="preserve">Voda je esencijalna za sve vrste i forme </w:t>
      </w:r>
      <w:r w:rsidRPr="002A770A">
        <w:rPr>
          <w:rFonts w:ascii="Constantia" w:hAnsi="Constantia"/>
          <w:szCs w:val="22"/>
        </w:rPr>
        <w:t>života</w:t>
      </w:r>
      <w:r w:rsidR="002A770A">
        <w:rPr>
          <w:rFonts w:ascii="Constantia" w:hAnsi="Constantia"/>
          <w:szCs w:val="22"/>
        </w:rPr>
        <w:t>,</w:t>
      </w:r>
      <w:r w:rsidRPr="002A770A">
        <w:rPr>
          <w:rFonts w:ascii="Constantia" w:hAnsi="Constantia"/>
          <w:szCs w:val="22"/>
        </w:rPr>
        <w:t xml:space="preserve"> kao i za ekosisteme na zemlji. </w:t>
      </w:r>
      <w:r w:rsidRPr="002A770A">
        <w:rPr>
          <w:rFonts w:ascii="Constantia" w:hAnsi="Constantia"/>
          <w:szCs w:val="22"/>
          <w:lang w:val="pl-PL"/>
        </w:rPr>
        <w:t>Ona je jedna od osnovnih materija za održavanje života, ali i jedan od glavnih mediuma za odigravanje hemijskih i biohemijskih reakcija. Nedostatak i zagađenje vode negativno utiču na životnu sredinu</w:t>
      </w:r>
      <w:r w:rsidR="00435CA0">
        <w:rPr>
          <w:rFonts w:ascii="Constantia" w:hAnsi="Constantia"/>
          <w:szCs w:val="22"/>
          <w:lang w:val="pl-PL"/>
        </w:rPr>
        <w:t>,</w:t>
      </w:r>
      <w:r w:rsidRPr="002A770A">
        <w:rPr>
          <w:rFonts w:ascii="Constantia" w:hAnsi="Constantia"/>
          <w:szCs w:val="22"/>
          <w:lang w:val="pl-PL"/>
        </w:rPr>
        <w:t xml:space="preserve"> u smislu gubitka biodiverziteta i izmjene staništa, kao i na svakodnevni život stanovnika.</w:t>
      </w:r>
    </w:p>
    <w:p w:rsidR="004F3444" w:rsidRPr="002A770A" w:rsidRDefault="004F3444" w:rsidP="002A770A">
      <w:pPr>
        <w:rPr>
          <w:rFonts w:ascii="Constantia" w:hAnsi="Constantia" w:cs="Arial"/>
        </w:rPr>
      </w:pPr>
      <w:r w:rsidRPr="002A770A">
        <w:rPr>
          <w:rFonts w:ascii="Constantia" w:hAnsi="Constantia"/>
          <w:lang w:val="sr-Latn-CS"/>
        </w:rPr>
        <w:t xml:space="preserve">Vodni potencijali </w:t>
      </w:r>
      <w:r w:rsidRPr="002A770A">
        <w:rPr>
          <w:rFonts w:ascii="Constantia" w:hAnsi="Constantia"/>
        </w:rPr>
        <w:t>čine jedan od osnovnih razvojnih potencijala Crne Gore. Po vodnim bogatstvima</w:t>
      </w:r>
      <w:r w:rsidR="00435CA0">
        <w:rPr>
          <w:rFonts w:ascii="Constantia" w:hAnsi="Constantia"/>
        </w:rPr>
        <w:t>,</w:t>
      </w:r>
      <w:r w:rsidRPr="002A770A">
        <w:rPr>
          <w:rFonts w:ascii="Constantia" w:hAnsi="Constantia"/>
        </w:rPr>
        <w:t xml:space="preserve"> u odnosu na njenu površinu</w:t>
      </w:r>
      <w:r w:rsidR="00435CA0">
        <w:rPr>
          <w:rFonts w:ascii="Constantia" w:hAnsi="Constantia"/>
        </w:rPr>
        <w:t>, Crna Gora</w:t>
      </w:r>
      <w:r w:rsidRPr="002A770A">
        <w:rPr>
          <w:rFonts w:ascii="Constantia" w:hAnsi="Constantia"/>
        </w:rPr>
        <w:t xml:space="preserve"> spada u vodom najbogatija područja na svijetu. Ukupni oticaj je Q</w:t>
      </w:r>
      <w:r w:rsidRPr="002A770A">
        <w:rPr>
          <w:rFonts w:ascii="Constantia" w:hAnsi="Constantia"/>
          <w:vertAlign w:val="subscript"/>
        </w:rPr>
        <w:t>o</w:t>
      </w:r>
      <w:r w:rsidRPr="002A770A">
        <w:rPr>
          <w:rFonts w:ascii="Constantia" w:hAnsi="Constantia"/>
        </w:rPr>
        <w:t>= 604 m</w:t>
      </w:r>
      <w:r w:rsidRPr="002A770A">
        <w:rPr>
          <w:rFonts w:ascii="Constantia" w:hAnsi="Constantia"/>
          <w:vertAlign w:val="superscript"/>
        </w:rPr>
        <w:t>3</w:t>
      </w:r>
      <w:r w:rsidRPr="002A770A">
        <w:rPr>
          <w:rFonts w:ascii="Constantia" w:hAnsi="Constantia"/>
        </w:rPr>
        <w:t>/s, a prosječni 44 l/s/km</w:t>
      </w:r>
      <w:r w:rsidRPr="002A770A">
        <w:rPr>
          <w:rFonts w:ascii="Constantia" w:hAnsi="Constantia"/>
          <w:vertAlign w:val="superscript"/>
        </w:rPr>
        <w:t>2</w:t>
      </w:r>
      <w:r w:rsidR="002A138A">
        <w:rPr>
          <w:rFonts w:ascii="Constantia" w:hAnsi="Constantia"/>
          <w:vertAlign w:val="superscript"/>
        </w:rPr>
        <w:t xml:space="preserve"> </w:t>
      </w:r>
      <w:r w:rsidR="00E40053">
        <w:rPr>
          <w:rFonts w:ascii="Constantia" w:hAnsi="Constantia"/>
        </w:rPr>
        <w:t>(svjetski prosječni oticaj je 6,</w:t>
      </w:r>
      <w:r w:rsidRPr="002A770A">
        <w:rPr>
          <w:rFonts w:ascii="Constantia" w:hAnsi="Constantia"/>
        </w:rPr>
        <w:t>9 l/s/km</w:t>
      </w:r>
      <w:r w:rsidRPr="002A770A">
        <w:rPr>
          <w:rFonts w:ascii="Constantia" w:hAnsi="Constantia"/>
          <w:vertAlign w:val="superscript"/>
        </w:rPr>
        <w:t>2</w:t>
      </w:r>
      <w:r w:rsidRPr="002A770A">
        <w:rPr>
          <w:rFonts w:ascii="Constantia" w:hAnsi="Constantia"/>
        </w:rPr>
        <w:t>). Potencijali podzemnih voda su procijenjeni na oko 14 000 l/s.</w:t>
      </w:r>
      <w:r w:rsidRPr="002A770A">
        <w:rPr>
          <w:rFonts w:ascii="Constantia" w:hAnsi="Constantia" w:cs="Arial"/>
        </w:rPr>
        <w:t xml:space="preserve"> Na osnovu dosadašnjih istraživanja površinskih vodotoka u Crnoj Gori, može se govoriti o vrlo izraženoj vodnosti u odnosu na relativno malu površinu Crne Gore, a time i o raspoloživosti značajnog hidropotencijala za energetsko korišćenje. </w:t>
      </w:r>
    </w:p>
    <w:p w:rsidR="004F3444" w:rsidRPr="002A770A" w:rsidRDefault="004F3444" w:rsidP="002A770A">
      <w:pPr>
        <w:rPr>
          <w:rFonts w:ascii="Constantia" w:hAnsi="Constantia"/>
        </w:rPr>
      </w:pPr>
      <w:r w:rsidRPr="002A770A">
        <w:rPr>
          <w:rFonts w:ascii="Constantia" w:hAnsi="Constantia"/>
        </w:rPr>
        <w:t>Usvajanjem Direktive o vodama (Water Framework Directive 2000/60/EC-WFD), Evropska unija je u potpunosti obnovila svoju politiku u domenu voda.</w:t>
      </w:r>
      <w:r w:rsidR="002A138A">
        <w:rPr>
          <w:rFonts w:ascii="Constantia" w:hAnsi="Constantia"/>
        </w:rPr>
        <w:t xml:space="preserve"> </w:t>
      </w:r>
      <w:r w:rsidRPr="002A770A">
        <w:rPr>
          <w:rFonts w:ascii="Constantia" w:hAnsi="Constantia"/>
        </w:rPr>
        <w:t xml:space="preserve">U Direktivi su formulisani određeni uslovi koji treba da omoguće sprovođenje usvojene politike održivog korišćenja </w:t>
      </w:r>
      <w:r w:rsidR="0066636E">
        <w:rPr>
          <w:rFonts w:ascii="Constantia" w:hAnsi="Constantia"/>
        </w:rPr>
        <w:t xml:space="preserve">i </w:t>
      </w:r>
      <w:r w:rsidRPr="002A770A">
        <w:rPr>
          <w:rFonts w:ascii="Constantia" w:hAnsi="Constantia"/>
        </w:rPr>
        <w:t>zaštite voda.</w:t>
      </w:r>
    </w:p>
    <w:p w:rsidR="004F3444" w:rsidRPr="002A770A" w:rsidRDefault="004F3444" w:rsidP="002A770A">
      <w:pPr>
        <w:rPr>
          <w:rFonts w:ascii="Constantia" w:hAnsi="Constantia"/>
        </w:rPr>
      </w:pPr>
      <w:r w:rsidRPr="002A770A">
        <w:rPr>
          <w:rFonts w:ascii="Constantia" w:hAnsi="Constantia"/>
        </w:rPr>
        <w:t xml:space="preserve">Osnovni cilj ove Direktive odnosi </w:t>
      </w:r>
      <w:r w:rsidR="00AB48E3">
        <w:rPr>
          <w:rFonts w:ascii="Constantia" w:hAnsi="Constantia"/>
        </w:rPr>
        <w:t xml:space="preserve">se </w:t>
      </w:r>
      <w:r w:rsidRPr="002A770A">
        <w:rPr>
          <w:rFonts w:ascii="Constantia" w:hAnsi="Constantia"/>
        </w:rPr>
        <w:t>na dovođenje svih prirodnih v</w:t>
      </w:r>
      <w:r w:rsidR="00AB48E3">
        <w:rPr>
          <w:rFonts w:ascii="Constantia" w:hAnsi="Constantia"/>
        </w:rPr>
        <w:t>oda u „dobro stanje“, tj. obezbj</w:t>
      </w:r>
      <w:r w:rsidRPr="002A770A">
        <w:rPr>
          <w:rFonts w:ascii="Constantia" w:hAnsi="Constantia"/>
        </w:rPr>
        <w:t>eđ</w:t>
      </w:r>
      <w:r w:rsidR="00AB48E3">
        <w:rPr>
          <w:rFonts w:ascii="Constantia" w:hAnsi="Constantia"/>
        </w:rPr>
        <w:t>ivanje</w:t>
      </w:r>
      <w:r w:rsidRPr="002A770A">
        <w:rPr>
          <w:rFonts w:ascii="Constantia" w:hAnsi="Constantia"/>
        </w:rPr>
        <w:t xml:space="preserve"> dobrog hidrološkog, hemijskog i ekološkog statusa voda.</w:t>
      </w:r>
      <w:r w:rsidR="002A138A">
        <w:rPr>
          <w:rFonts w:ascii="Constantia" w:hAnsi="Constantia"/>
        </w:rPr>
        <w:t xml:space="preserve"> </w:t>
      </w:r>
      <w:r w:rsidRPr="002A770A">
        <w:rPr>
          <w:rFonts w:ascii="Constantia" w:hAnsi="Constantia"/>
        </w:rPr>
        <w:t>Namjena Direktive je da uspostavi okvire za zaštitu površinskih voda, ušća rijeka u more, morskih obalnih i podzemnih voda radi:</w:t>
      </w:r>
    </w:p>
    <w:p w:rsidR="004F3444" w:rsidRPr="002A770A" w:rsidRDefault="004F3444" w:rsidP="00A50466">
      <w:pPr>
        <w:pStyle w:val="ListParagraph"/>
        <w:numPr>
          <w:ilvl w:val="0"/>
          <w:numId w:val="8"/>
        </w:numPr>
        <w:rPr>
          <w:rFonts w:ascii="Constantia" w:hAnsi="Constantia"/>
        </w:rPr>
      </w:pPr>
      <w:r w:rsidRPr="002A770A">
        <w:rPr>
          <w:rFonts w:ascii="Constantia" w:hAnsi="Constantia"/>
        </w:rPr>
        <w:t>Spr</w:t>
      </w:r>
      <w:r w:rsidR="00AB48E3">
        <w:rPr>
          <w:rFonts w:ascii="Constantia" w:hAnsi="Constantia"/>
        </w:rPr>
        <w:t>j</w:t>
      </w:r>
      <w:r w:rsidRPr="002A770A">
        <w:rPr>
          <w:rFonts w:ascii="Constantia" w:hAnsi="Constantia"/>
        </w:rPr>
        <w:t>ečavanja dalje degradacije, zaštite i unapr</w:t>
      </w:r>
      <w:r w:rsidR="00AB48E3">
        <w:rPr>
          <w:rFonts w:ascii="Constantia" w:hAnsi="Constantia"/>
        </w:rPr>
        <w:t>j</w:t>
      </w:r>
      <w:r w:rsidRPr="002A770A">
        <w:rPr>
          <w:rFonts w:ascii="Constantia" w:hAnsi="Constantia"/>
        </w:rPr>
        <w:t>eđenja statusa akvatičnih ekosistema</w:t>
      </w:r>
      <w:r w:rsidR="001551E1">
        <w:rPr>
          <w:rFonts w:ascii="Constantia" w:hAnsi="Constantia"/>
        </w:rPr>
        <w:t>,</w:t>
      </w:r>
    </w:p>
    <w:p w:rsidR="004F3444" w:rsidRPr="002A770A" w:rsidRDefault="004F3444" w:rsidP="00A50466">
      <w:pPr>
        <w:pStyle w:val="ListParagraph"/>
        <w:numPr>
          <w:ilvl w:val="0"/>
          <w:numId w:val="8"/>
        </w:numPr>
        <w:rPr>
          <w:rFonts w:ascii="Constantia" w:hAnsi="Constantia"/>
        </w:rPr>
      </w:pPr>
      <w:r w:rsidRPr="002A770A">
        <w:rPr>
          <w:rFonts w:ascii="Constantia" w:hAnsi="Constantia"/>
        </w:rPr>
        <w:t>Promovisanja održivog korišćenja voda koje se bazira na dugoročnoj politici zašt</w:t>
      </w:r>
      <w:r w:rsidR="00AB48E3">
        <w:rPr>
          <w:rFonts w:ascii="Constantia" w:hAnsi="Constantia"/>
        </w:rPr>
        <w:t>ite raspoloživih vodnih resursa</w:t>
      </w:r>
      <w:r w:rsidR="001551E1">
        <w:rPr>
          <w:rFonts w:ascii="Constantia" w:hAnsi="Constantia"/>
        </w:rPr>
        <w:t>,</w:t>
      </w:r>
    </w:p>
    <w:p w:rsidR="004F3444" w:rsidRPr="002A770A" w:rsidRDefault="004F3444" w:rsidP="00A50466">
      <w:pPr>
        <w:pStyle w:val="ListParagraph"/>
        <w:numPr>
          <w:ilvl w:val="0"/>
          <w:numId w:val="8"/>
        </w:numPr>
        <w:rPr>
          <w:rFonts w:ascii="Constantia" w:hAnsi="Constantia"/>
        </w:rPr>
      </w:pPr>
      <w:r w:rsidRPr="002A770A">
        <w:rPr>
          <w:rFonts w:ascii="Constantia" w:hAnsi="Constantia"/>
        </w:rPr>
        <w:t>Progresivnog smanjenja zagađen</w:t>
      </w:r>
      <w:r w:rsidR="00AB48E3">
        <w:rPr>
          <w:rFonts w:ascii="Constantia" w:hAnsi="Constantia"/>
        </w:rPr>
        <w:t>ja površinskih i podzemnih voda</w:t>
      </w:r>
      <w:r w:rsidR="001551E1">
        <w:rPr>
          <w:rFonts w:ascii="Constantia" w:hAnsi="Constantia"/>
        </w:rPr>
        <w:t>,</w:t>
      </w:r>
    </w:p>
    <w:p w:rsidR="004F3444" w:rsidRPr="002A770A" w:rsidRDefault="00AB48E3" w:rsidP="00A50466">
      <w:pPr>
        <w:pStyle w:val="ListParagraph"/>
        <w:numPr>
          <w:ilvl w:val="0"/>
          <w:numId w:val="8"/>
        </w:numPr>
        <w:rPr>
          <w:rFonts w:ascii="Constantia" w:hAnsi="Constantia"/>
        </w:rPr>
      </w:pPr>
      <w:r>
        <w:rPr>
          <w:rFonts w:ascii="Constantia" w:hAnsi="Constantia"/>
        </w:rPr>
        <w:t>Smanjenja</w:t>
      </w:r>
      <w:r w:rsidR="004F3444" w:rsidRPr="002A770A">
        <w:rPr>
          <w:rFonts w:ascii="Constantia" w:hAnsi="Constantia"/>
        </w:rPr>
        <w:t xml:space="preserve"> efekata poplava i suša, itd.</w:t>
      </w:r>
    </w:p>
    <w:p w:rsidR="004F3444" w:rsidRPr="00F22042" w:rsidRDefault="004F3444" w:rsidP="00BE109C">
      <w:pPr>
        <w:pStyle w:val="Heading2"/>
        <w:ind w:left="720"/>
        <w:rPr>
          <w:lang w:val="pl-PL"/>
        </w:rPr>
      </w:pPr>
      <w:bookmarkStart w:id="38" w:name="_Toc393897874"/>
      <w:r w:rsidRPr="00F22042">
        <w:rPr>
          <w:lang w:val="pl-PL"/>
        </w:rPr>
        <w:t>Ocjena stanja</w:t>
      </w:r>
      <w:bookmarkEnd w:id="38"/>
    </w:p>
    <w:p w:rsidR="004F3444" w:rsidRPr="007C52A5" w:rsidRDefault="007C52A5" w:rsidP="007C52A5">
      <w:pPr>
        <w:rPr>
          <w:rFonts w:ascii="Constantia" w:hAnsi="Constantia"/>
          <w:lang w:val="sr-Latn-CS"/>
        </w:rPr>
      </w:pPr>
      <w:r w:rsidRPr="007C52A5">
        <w:rPr>
          <w:rFonts w:ascii="Constantia" w:hAnsi="Constantia"/>
          <w:lang w:val="sr-Latn-CS"/>
        </w:rPr>
        <w:t>Član</w:t>
      </w:r>
      <w:r>
        <w:rPr>
          <w:rFonts w:ascii="Constantia" w:hAnsi="Constantia"/>
          <w:lang w:val="sr-Latn-CS"/>
        </w:rPr>
        <w:t xml:space="preserve">ovi </w:t>
      </w:r>
      <w:r w:rsidRPr="007C52A5">
        <w:rPr>
          <w:rFonts w:ascii="Constantia" w:hAnsi="Constantia"/>
          <w:lang w:val="sr-Latn-CS"/>
        </w:rPr>
        <w:t xml:space="preserve">75 i 76 </w:t>
      </w:r>
      <w:r w:rsidR="004F3444" w:rsidRPr="007C52A5">
        <w:rPr>
          <w:rFonts w:ascii="Constantia" w:hAnsi="Constantia"/>
          <w:lang w:val="sr-Latn-CS"/>
        </w:rPr>
        <w:t>Zakon</w:t>
      </w:r>
      <w:r w:rsidRPr="007C52A5">
        <w:rPr>
          <w:rFonts w:ascii="Constantia" w:hAnsi="Constantia"/>
          <w:lang w:val="sr-Latn-CS"/>
        </w:rPr>
        <w:t>a</w:t>
      </w:r>
      <w:r w:rsidR="004F3444" w:rsidRPr="007C52A5">
        <w:rPr>
          <w:rFonts w:ascii="Constantia" w:hAnsi="Constantia"/>
          <w:lang w:val="sr-Latn-CS"/>
        </w:rPr>
        <w:t xml:space="preserve"> o voda</w:t>
      </w:r>
      <w:r w:rsidRPr="007C52A5">
        <w:rPr>
          <w:rFonts w:ascii="Constantia" w:hAnsi="Constantia"/>
          <w:lang w:val="sr-Latn-CS"/>
        </w:rPr>
        <w:t>ma (“Sl. list RCG“, br. 27/07)</w:t>
      </w:r>
      <w:r w:rsidR="004F3444" w:rsidRPr="007C52A5">
        <w:rPr>
          <w:rFonts w:ascii="Constantia" w:hAnsi="Constantia"/>
          <w:lang w:val="sr-Latn-CS"/>
        </w:rPr>
        <w:t xml:space="preserve"> predstavlja</w:t>
      </w:r>
      <w:r>
        <w:rPr>
          <w:rFonts w:ascii="Constantia" w:hAnsi="Constantia"/>
          <w:lang w:val="sr-Latn-CS"/>
        </w:rPr>
        <w:t>ju</w:t>
      </w:r>
      <w:r w:rsidR="004F3444" w:rsidRPr="007C52A5">
        <w:rPr>
          <w:rFonts w:ascii="Constantia" w:hAnsi="Constantia"/>
          <w:lang w:val="sr-Latn-CS"/>
        </w:rPr>
        <w:t xml:space="preserve"> zakonsku osnovu za zaštitu površinskih i podzemnih voda u Crnoj Gori, kojom se definiše kategorizacija i klasifikacija površinskih i podzemnih voda. Našim zakonskim propisima</w:t>
      </w:r>
      <w:r w:rsidR="002C39DA">
        <w:rPr>
          <w:rFonts w:ascii="Constantia" w:hAnsi="Constantia"/>
          <w:lang w:val="sr-Latn-CS"/>
        </w:rPr>
        <w:t>,</w:t>
      </w:r>
      <w:r w:rsidR="004F3444" w:rsidRPr="007C52A5">
        <w:rPr>
          <w:rFonts w:ascii="Constantia" w:hAnsi="Constantia"/>
          <w:lang w:val="sr-Latn-CS"/>
        </w:rPr>
        <w:t xml:space="preserve"> kao i Uredbom o klasifikaciji i kategorizaciji površinskih </w:t>
      </w:r>
      <w:r w:rsidR="005109F1">
        <w:rPr>
          <w:rFonts w:ascii="Constantia" w:hAnsi="Constantia"/>
          <w:lang w:val="sr-Latn-CS"/>
        </w:rPr>
        <w:t>i podzemnih voda (”Sl. list CG”</w:t>
      </w:r>
      <w:r w:rsidR="004F3444" w:rsidRPr="007C52A5">
        <w:rPr>
          <w:rFonts w:ascii="Constantia" w:hAnsi="Constantia"/>
          <w:lang w:val="sr-Latn-CS"/>
        </w:rPr>
        <w:t>, br. 2/07)</w:t>
      </w:r>
      <w:r w:rsidR="002C39DA">
        <w:rPr>
          <w:rFonts w:ascii="Constantia" w:hAnsi="Constantia"/>
          <w:lang w:val="sr-Latn-CS"/>
        </w:rPr>
        <w:t>,</w:t>
      </w:r>
      <w:r w:rsidR="004F3444" w:rsidRPr="007C52A5">
        <w:rPr>
          <w:rFonts w:ascii="Constantia" w:hAnsi="Constantia"/>
          <w:lang w:val="sr-Latn-CS"/>
        </w:rPr>
        <w:t xml:space="preserve"> izvršena je klasifikacija i kategorizacija površinskih i podzemnih voda na kopnu i priobalnih morskih voda u Crnoj Gori.</w:t>
      </w:r>
    </w:p>
    <w:p w:rsidR="004F3444" w:rsidRPr="007C52A5" w:rsidRDefault="004F3444" w:rsidP="007C52A5">
      <w:pPr>
        <w:rPr>
          <w:rFonts w:ascii="Constantia" w:hAnsi="Constantia"/>
          <w:lang w:val="sr-Latn-CS"/>
        </w:rPr>
      </w:pPr>
      <w:r w:rsidRPr="007C52A5">
        <w:rPr>
          <w:rFonts w:ascii="Constantia" w:hAnsi="Constantia"/>
          <w:lang w:val="sr-Latn-CS"/>
        </w:rPr>
        <w:t>Stalna kontrola kvaliteta površinskih voda u Crnoj Gori obavlja se radi procjene kvaliteta vode vodotoka, praćenja trenda zagađenja i očuvanja kvaliteta vodnih resursa. Ispitivanja kvaliteta vode na izvorištima služe za ocjenu ispravnosti voda za potrebe vodosnabdijevanja i rekreacije stanovništva</w:t>
      </w:r>
      <w:r w:rsidR="00CD2153">
        <w:rPr>
          <w:rFonts w:ascii="Constantia" w:hAnsi="Constantia"/>
          <w:lang w:val="sr-Latn-CS"/>
        </w:rPr>
        <w:t>,</w:t>
      </w:r>
      <w:r w:rsidRPr="007C52A5">
        <w:rPr>
          <w:rFonts w:ascii="Constantia" w:hAnsi="Constantia"/>
          <w:lang w:val="sr-Latn-CS"/>
        </w:rPr>
        <w:t xml:space="preserve"> u cilju zaštite izvorišta i zdravlja stanovništva. Prema namjeni vode se dijele na:</w:t>
      </w:r>
    </w:p>
    <w:p w:rsidR="00CD2153" w:rsidRPr="00B43D8B" w:rsidRDefault="004F3444" w:rsidP="00A50466">
      <w:pPr>
        <w:pStyle w:val="ListParagraph"/>
        <w:numPr>
          <w:ilvl w:val="0"/>
          <w:numId w:val="9"/>
        </w:numPr>
        <w:spacing w:before="240"/>
        <w:ind w:left="360"/>
        <w:rPr>
          <w:rFonts w:ascii="Constantia" w:hAnsi="Constantia"/>
          <w:lang w:val="sr-Latn-CS"/>
        </w:rPr>
      </w:pPr>
      <w:r w:rsidRPr="00CD2153">
        <w:rPr>
          <w:rFonts w:ascii="Constantia" w:hAnsi="Constantia"/>
          <w:b/>
          <w:lang w:val="sr-Latn-CS"/>
        </w:rPr>
        <w:t>Vode koje se mogu koristiti za piće i prehrambenu industriju</w:t>
      </w:r>
      <w:r w:rsidRPr="00CD2153">
        <w:rPr>
          <w:rFonts w:ascii="Constantia" w:hAnsi="Constantia"/>
          <w:lang w:val="sr-Latn-CS"/>
        </w:rPr>
        <w:t xml:space="preserve"> na osnovu graničnih vrijednosti 50 parametara i razvrstavaju se u četiri klase, i to: </w:t>
      </w:r>
    </w:p>
    <w:p w:rsidR="00CD2153" w:rsidRDefault="004F3444" w:rsidP="00A50466">
      <w:pPr>
        <w:pStyle w:val="ListParagraph"/>
        <w:numPr>
          <w:ilvl w:val="0"/>
          <w:numId w:val="10"/>
        </w:numPr>
        <w:spacing w:before="240"/>
        <w:ind w:left="1080"/>
        <w:rPr>
          <w:rFonts w:ascii="Constantia" w:hAnsi="Constantia"/>
          <w:lang w:val="sr-Latn-CS"/>
        </w:rPr>
      </w:pPr>
      <w:r w:rsidRPr="00CD2153">
        <w:rPr>
          <w:rFonts w:ascii="Constantia" w:hAnsi="Constantia"/>
          <w:lang w:val="sr-Latn-CS"/>
        </w:rPr>
        <w:t>Klasa A – vode koje se u prirodnom stanju, uz eventualnu dezinfekciju, mogu koristiti za piće;</w:t>
      </w:r>
    </w:p>
    <w:p w:rsidR="004F3444" w:rsidRDefault="004F3444" w:rsidP="00A50466">
      <w:pPr>
        <w:pStyle w:val="ListParagraph"/>
        <w:numPr>
          <w:ilvl w:val="0"/>
          <w:numId w:val="10"/>
        </w:numPr>
        <w:spacing w:before="240"/>
        <w:ind w:left="1080"/>
        <w:rPr>
          <w:rFonts w:ascii="Constantia" w:hAnsi="Constantia"/>
          <w:lang w:val="sr-Latn-CS"/>
        </w:rPr>
      </w:pPr>
      <w:r w:rsidRPr="00CD2153">
        <w:rPr>
          <w:rFonts w:ascii="Constantia" w:hAnsi="Constantia"/>
          <w:lang w:val="sr-Latn-CS"/>
        </w:rPr>
        <w:lastRenderedPageBreak/>
        <w:t>Klas</w:t>
      </w:r>
      <w:r w:rsidR="00CD2153">
        <w:rPr>
          <w:rFonts w:ascii="Constantia" w:hAnsi="Constantia"/>
          <w:lang w:val="sr-Latn-CS"/>
        </w:rPr>
        <w:t>a</w:t>
      </w:r>
      <w:r w:rsidRPr="00CD2153">
        <w:rPr>
          <w:rFonts w:ascii="Constantia" w:hAnsi="Constantia"/>
          <w:lang w:val="sr-Latn-CS"/>
        </w:rPr>
        <w:t xml:space="preserve"> A1 – vode koje se poslije jednostavnog fizičkog postupka prerade i dezinfekcije mogu koristiti za piće;</w:t>
      </w:r>
    </w:p>
    <w:p w:rsidR="004F3444" w:rsidRDefault="004F3444" w:rsidP="00A50466">
      <w:pPr>
        <w:pStyle w:val="ListParagraph"/>
        <w:numPr>
          <w:ilvl w:val="0"/>
          <w:numId w:val="10"/>
        </w:numPr>
        <w:spacing w:before="240"/>
        <w:ind w:left="1080"/>
        <w:rPr>
          <w:rFonts w:ascii="Constantia" w:hAnsi="Constantia"/>
          <w:lang w:val="sr-Latn-CS"/>
        </w:rPr>
      </w:pPr>
      <w:r w:rsidRPr="00CD2153">
        <w:rPr>
          <w:rFonts w:ascii="Constantia" w:hAnsi="Constantia"/>
          <w:lang w:val="sr-Latn-CS"/>
        </w:rPr>
        <w:t>Klas</w:t>
      </w:r>
      <w:r w:rsidR="00CD2153">
        <w:rPr>
          <w:rFonts w:ascii="Constantia" w:hAnsi="Constantia"/>
          <w:lang w:val="sr-Latn-CS"/>
        </w:rPr>
        <w:t>a</w:t>
      </w:r>
      <w:r w:rsidRPr="00CD2153">
        <w:rPr>
          <w:rFonts w:ascii="Constantia" w:hAnsi="Constantia"/>
          <w:lang w:val="sr-Latn-CS"/>
        </w:rPr>
        <w:t xml:space="preserve"> A2 – vode koje se mogu koristiti za piće nakon odgovarajućeg kondicioniranja (koagulacija, filtracija i dezinfekcija);</w:t>
      </w:r>
    </w:p>
    <w:p w:rsidR="001B0551" w:rsidRDefault="004F3444" w:rsidP="00A50466">
      <w:pPr>
        <w:pStyle w:val="ListParagraph"/>
        <w:numPr>
          <w:ilvl w:val="0"/>
          <w:numId w:val="10"/>
        </w:numPr>
        <w:spacing w:before="240"/>
        <w:ind w:left="1080"/>
        <w:rPr>
          <w:rFonts w:ascii="Constantia" w:hAnsi="Constantia"/>
          <w:lang w:val="sr-Latn-CS"/>
        </w:rPr>
      </w:pPr>
      <w:r w:rsidRPr="00CD2153">
        <w:rPr>
          <w:rFonts w:ascii="Constantia" w:hAnsi="Constantia"/>
          <w:lang w:val="sr-Latn-CS"/>
        </w:rPr>
        <w:t>Klas</w:t>
      </w:r>
      <w:r w:rsidR="00CD2153">
        <w:rPr>
          <w:rFonts w:ascii="Constantia" w:hAnsi="Constantia"/>
          <w:lang w:val="sr-Latn-CS"/>
        </w:rPr>
        <w:t>a</w:t>
      </w:r>
      <w:r w:rsidRPr="00CD2153">
        <w:rPr>
          <w:rFonts w:ascii="Constantia" w:hAnsi="Constantia"/>
          <w:lang w:val="sr-Latn-CS"/>
        </w:rPr>
        <w:t xml:space="preserve"> A3 – vode koje se mogu koristiti za piće nakon tretmana koji zahtijeva intenzivnu fizičk</w:t>
      </w:r>
      <w:r w:rsidR="00AF5C46">
        <w:rPr>
          <w:rFonts w:ascii="Constantia" w:hAnsi="Constantia"/>
          <w:lang w:val="sr-Latn-CS"/>
        </w:rPr>
        <w:t>u, hemijsku i biološku obradu s</w:t>
      </w:r>
      <w:r w:rsidRPr="00CD2153">
        <w:rPr>
          <w:rFonts w:ascii="Constantia" w:hAnsi="Constantia"/>
          <w:lang w:val="sr-Latn-CS"/>
        </w:rPr>
        <w:t xml:space="preserve"> produženom dezinfekcijom i hlorinacijom, odnosno koagulacij</w:t>
      </w:r>
      <w:r w:rsidR="008B6422">
        <w:rPr>
          <w:rFonts w:ascii="Constantia" w:hAnsi="Constantia"/>
          <w:lang w:val="sr-Latn-CS"/>
        </w:rPr>
        <w:t>om</w:t>
      </w:r>
      <w:r w:rsidRPr="00CD2153">
        <w:rPr>
          <w:rFonts w:ascii="Constantia" w:hAnsi="Constantia"/>
          <w:lang w:val="sr-Latn-CS"/>
        </w:rPr>
        <w:t>, flokulacij</w:t>
      </w:r>
      <w:r w:rsidR="008B6422">
        <w:rPr>
          <w:rFonts w:ascii="Constantia" w:hAnsi="Constantia"/>
          <w:lang w:val="sr-Latn-CS"/>
        </w:rPr>
        <w:t>om</w:t>
      </w:r>
      <w:r w:rsidRPr="00CD2153">
        <w:rPr>
          <w:rFonts w:ascii="Constantia" w:hAnsi="Constantia"/>
          <w:lang w:val="sr-Latn-CS"/>
        </w:rPr>
        <w:t>, dekantacij</w:t>
      </w:r>
      <w:r w:rsidR="008B6422">
        <w:rPr>
          <w:rFonts w:ascii="Constantia" w:hAnsi="Constantia"/>
          <w:lang w:val="sr-Latn-CS"/>
        </w:rPr>
        <w:t>om</w:t>
      </w:r>
      <w:r w:rsidRPr="00CD2153">
        <w:rPr>
          <w:rFonts w:ascii="Constantia" w:hAnsi="Constantia"/>
          <w:lang w:val="sr-Latn-CS"/>
        </w:rPr>
        <w:t>, filtracij</w:t>
      </w:r>
      <w:r w:rsidR="008B6422">
        <w:rPr>
          <w:rFonts w:ascii="Constantia" w:hAnsi="Constantia"/>
          <w:lang w:val="sr-Latn-CS"/>
        </w:rPr>
        <w:t>om</w:t>
      </w:r>
      <w:r w:rsidRPr="00CD2153">
        <w:rPr>
          <w:rFonts w:ascii="Constantia" w:hAnsi="Constantia"/>
          <w:lang w:val="sr-Latn-CS"/>
        </w:rPr>
        <w:t>, apsorbcij</w:t>
      </w:r>
      <w:r w:rsidR="008B6422">
        <w:rPr>
          <w:rFonts w:ascii="Constantia" w:hAnsi="Constantia"/>
          <w:lang w:val="sr-Latn-CS"/>
        </w:rPr>
        <w:t>om</w:t>
      </w:r>
      <w:r w:rsidRPr="00CD2153">
        <w:rPr>
          <w:rFonts w:ascii="Constantia" w:hAnsi="Constantia"/>
          <w:lang w:val="sr-Latn-CS"/>
        </w:rPr>
        <w:t xml:space="preserve"> na aktivnom uglju i dezinfekci</w:t>
      </w:r>
      <w:r w:rsidR="008B6422">
        <w:rPr>
          <w:rFonts w:ascii="Constantia" w:hAnsi="Constantia"/>
          <w:lang w:val="sr-Latn-CS"/>
        </w:rPr>
        <w:t>om</w:t>
      </w:r>
      <w:r w:rsidRPr="00CD2153">
        <w:rPr>
          <w:rFonts w:ascii="Constantia" w:hAnsi="Constantia"/>
          <w:lang w:val="sr-Latn-CS"/>
        </w:rPr>
        <w:t xml:space="preserve"> ozonom ili hlorom.</w:t>
      </w:r>
    </w:p>
    <w:p w:rsidR="00B43D8B" w:rsidRPr="00B43D8B" w:rsidRDefault="00B43D8B" w:rsidP="00B43D8B">
      <w:pPr>
        <w:pStyle w:val="ListParagraph"/>
        <w:spacing w:before="240"/>
        <w:ind w:left="1080"/>
        <w:rPr>
          <w:rFonts w:ascii="Constantia" w:hAnsi="Constantia"/>
          <w:lang w:val="sr-Latn-CS"/>
        </w:rPr>
      </w:pPr>
    </w:p>
    <w:p w:rsidR="00B43D8B" w:rsidRPr="00B43D8B" w:rsidRDefault="004F3444" w:rsidP="00A50466">
      <w:pPr>
        <w:pStyle w:val="ListParagraph"/>
        <w:numPr>
          <w:ilvl w:val="0"/>
          <w:numId w:val="9"/>
        </w:numPr>
        <w:spacing w:before="240"/>
        <w:ind w:left="360"/>
        <w:rPr>
          <w:rFonts w:ascii="Constantia" w:hAnsi="Constantia"/>
          <w:lang w:val="sr-Latn-CS"/>
        </w:rPr>
      </w:pPr>
      <w:r w:rsidRPr="001B0551">
        <w:rPr>
          <w:rFonts w:ascii="Constantia" w:hAnsi="Constantia"/>
          <w:b/>
          <w:lang w:val="sr-Latn-CS"/>
        </w:rPr>
        <w:t>Vode koje se mogu koristiti za ribarstvo i uzgoj školjki</w:t>
      </w:r>
      <w:r w:rsidR="001B0551">
        <w:rPr>
          <w:rFonts w:ascii="Constantia" w:hAnsi="Constantia"/>
          <w:lang w:val="sr-Latn-CS"/>
        </w:rPr>
        <w:t>, a</w:t>
      </w:r>
      <w:r w:rsidRPr="001B0551">
        <w:rPr>
          <w:rFonts w:ascii="Constantia" w:hAnsi="Constantia"/>
          <w:lang w:val="sr-Latn-CS"/>
        </w:rPr>
        <w:t xml:space="preserve"> klasifikuju se na osnovu 10 parametara u klase i to:</w:t>
      </w:r>
    </w:p>
    <w:p w:rsidR="004F3444" w:rsidRDefault="001B0551" w:rsidP="00A50466">
      <w:pPr>
        <w:pStyle w:val="ListParagraph"/>
        <w:numPr>
          <w:ilvl w:val="0"/>
          <w:numId w:val="11"/>
        </w:numPr>
        <w:ind w:left="1080"/>
        <w:rPr>
          <w:rFonts w:ascii="Constantia" w:hAnsi="Constantia"/>
          <w:lang w:val="sr-Latn-CS"/>
        </w:rPr>
      </w:pPr>
      <w:r w:rsidRPr="00B43D8B">
        <w:rPr>
          <w:rFonts w:ascii="Constantia" w:hAnsi="Constantia"/>
          <w:lang w:val="sr-Latn-CS"/>
        </w:rPr>
        <w:t>Klasa</w:t>
      </w:r>
      <w:r w:rsidR="004F3444" w:rsidRPr="00B43D8B">
        <w:rPr>
          <w:rFonts w:ascii="Constantia" w:hAnsi="Constantia"/>
          <w:lang w:val="sr-Latn-CS"/>
        </w:rPr>
        <w:t xml:space="preserve"> S – vode koje se mogu koristiti za uzgoj plemenitih vrsta ribe (salmonida);</w:t>
      </w:r>
    </w:p>
    <w:p w:rsidR="004F3444" w:rsidRDefault="004F3444" w:rsidP="00A50466">
      <w:pPr>
        <w:pStyle w:val="ListParagraph"/>
        <w:numPr>
          <w:ilvl w:val="0"/>
          <w:numId w:val="11"/>
        </w:numPr>
        <w:ind w:left="1080"/>
        <w:rPr>
          <w:rFonts w:ascii="Constantia" w:hAnsi="Constantia"/>
          <w:lang w:val="sr-Latn-CS"/>
        </w:rPr>
      </w:pPr>
      <w:r w:rsidRPr="00B43D8B">
        <w:rPr>
          <w:rFonts w:ascii="Constantia" w:hAnsi="Constantia"/>
          <w:lang w:val="sr-Latn-CS"/>
        </w:rPr>
        <w:t>Klas</w:t>
      </w:r>
      <w:r w:rsidR="001B0551" w:rsidRPr="00B43D8B">
        <w:rPr>
          <w:rFonts w:ascii="Constantia" w:hAnsi="Constantia"/>
          <w:lang w:val="sr-Latn-CS"/>
        </w:rPr>
        <w:t>a</w:t>
      </w:r>
      <w:r w:rsidRPr="00B43D8B">
        <w:rPr>
          <w:rFonts w:ascii="Constantia" w:hAnsi="Constantia"/>
          <w:lang w:val="sr-Latn-CS"/>
        </w:rPr>
        <w:t xml:space="preserve"> Š – vode koje se mogu koristiti za uzgoj školjki; </w:t>
      </w:r>
    </w:p>
    <w:p w:rsidR="00B43D8B" w:rsidRDefault="004F3444" w:rsidP="00A50466">
      <w:pPr>
        <w:pStyle w:val="ListParagraph"/>
        <w:numPr>
          <w:ilvl w:val="0"/>
          <w:numId w:val="11"/>
        </w:numPr>
        <w:ind w:left="1080"/>
        <w:rPr>
          <w:rFonts w:ascii="Constantia" w:hAnsi="Constantia"/>
          <w:lang w:val="sr-Latn-CS"/>
        </w:rPr>
      </w:pPr>
      <w:r w:rsidRPr="00B43D8B">
        <w:rPr>
          <w:rFonts w:ascii="Constantia" w:hAnsi="Constantia"/>
          <w:lang w:val="sr-Latn-CS"/>
        </w:rPr>
        <w:t>Klas</w:t>
      </w:r>
      <w:r w:rsidR="001B0551" w:rsidRPr="00B43D8B">
        <w:rPr>
          <w:rFonts w:ascii="Constantia" w:hAnsi="Constantia"/>
          <w:lang w:val="sr-Latn-CS"/>
        </w:rPr>
        <w:t>a</w:t>
      </w:r>
      <w:r w:rsidRPr="00B43D8B">
        <w:rPr>
          <w:rFonts w:ascii="Constantia" w:hAnsi="Constantia"/>
          <w:lang w:val="sr-Latn-CS"/>
        </w:rPr>
        <w:t xml:space="preserve"> C</w:t>
      </w:r>
      <w:r w:rsidR="001B0551" w:rsidRPr="00B43D8B">
        <w:rPr>
          <w:rFonts w:ascii="Constantia" w:hAnsi="Constantia"/>
          <w:lang w:val="sr-Latn-CS"/>
        </w:rPr>
        <w:t xml:space="preserve"> – </w:t>
      </w:r>
      <w:r w:rsidRPr="00B43D8B">
        <w:rPr>
          <w:rFonts w:ascii="Constantia" w:hAnsi="Constantia"/>
          <w:lang w:val="sr-Latn-CS"/>
        </w:rPr>
        <w:t>vode koje se mogu koristiti za uzgoj manje plemenitih vrsta riba (ciprinida).</w:t>
      </w:r>
    </w:p>
    <w:p w:rsidR="00B43D8B" w:rsidRPr="00B43D8B" w:rsidRDefault="00B43D8B" w:rsidP="00B43D8B">
      <w:pPr>
        <w:pStyle w:val="ListParagraph"/>
        <w:ind w:left="1080"/>
        <w:rPr>
          <w:rFonts w:ascii="Constantia" w:hAnsi="Constantia"/>
          <w:lang w:val="sr-Latn-CS"/>
        </w:rPr>
      </w:pPr>
    </w:p>
    <w:p w:rsidR="00B43D8B" w:rsidRPr="00B43D8B" w:rsidRDefault="004F3444" w:rsidP="00A50466">
      <w:pPr>
        <w:pStyle w:val="ListParagraph"/>
        <w:numPr>
          <w:ilvl w:val="0"/>
          <w:numId w:val="9"/>
        </w:numPr>
        <w:spacing w:after="0"/>
        <w:ind w:left="360"/>
        <w:rPr>
          <w:rFonts w:ascii="Constantia" w:hAnsi="Constantia"/>
          <w:lang w:val="sr-Latn-CS"/>
        </w:rPr>
      </w:pPr>
      <w:r w:rsidRPr="00B43D8B">
        <w:rPr>
          <w:rFonts w:ascii="Constantia" w:hAnsi="Constantia"/>
          <w:b/>
          <w:lang w:val="sr-Latn-CS"/>
        </w:rPr>
        <w:t>Vode koje se mogu koristiti za kupanje</w:t>
      </w:r>
      <w:r w:rsidR="00B43D8B" w:rsidRPr="00B43D8B">
        <w:rPr>
          <w:rFonts w:ascii="Constantia" w:hAnsi="Constantia"/>
          <w:lang w:val="sr-Latn-CS"/>
        </w:rPr>
        <w:t>, a razvrstavaju se u dvije klase</w:t>
      </w:r>
      <w:r w:rsidRPr="00B43D8B">
        <w:rPr>
          <w:rFonts w:ascii="Constantia" w:hAnsi="Constantia"/>
          <w:lang w:val="sr-Latn-CS"/>
        </w:rPr>
        <w:t xml:space="preserve"> i to:</w:t>
      </w:r>
    </w:p>
    <w:p w:rsidR="00B43D8B" w:rsidRDefault="004F3444" w:rsidP="00A50466">
      <w:pPr>
        <w:pStyle w:val="ListParagraph"/>
        <w:numPr>
          <w:ilvl w:val="0"/>
          <w:numId w:val="12"/>
        </w:numPr>
        <w:ind w:left="1080"/>
        <w:rPr>
          <w:rFonts w:ascii="Constantia" w:hAnsi="Constantia"/>
          <w:lang w:val="sr-Latn-CS"/>
        </w:rPr>
      </w:pPr>
      <w:r w:rsidRPr="00B43D8B">
        <w:rPr>
          <w:rFonts w:ascii="Constantia" w:hAnsi="Constantia"/>
          <w:lang w:val="sr-Latn-CS"/>
        </w:rPr>
        <w:t>Klasa K1 – odlične,</w:t>
      </w:r>
    </w:p>
    <w:p w:rsidR="004F3444" w:rsidRDefault="004F3444" w:rsidP="00A50466">
      <w:pPr>
        <w:pStyle w:val="ListParagraph"/>
        <w:numPr>
          <w:ilvl w:val="0"/>
          <w:numId w:val="12"/>
        </w:numPr>
        <w:ind w:left="1080"/>
        <w:rPr>
          <w:rFonts w:ascii="Constantia" w:hAnsi="Constantia"/>
          <w:lang w:val="sr-Latn-CS"/>
        </w:rPr>
      </w:pPr>
      <w:r w:rsidRPr="00B43D8B">
        <w:rPr>
          <w:rFonts w:ascii="Constantia" w:hAnsi="Constantia"/>
          <w:lang w:val="sr-Latn-CS"/>
        </w:rPr>
        <w:t>Klasa K2 – zadovoljavajuće.</w:t>
      </w:r>
    </w:p>
    <w:p w:rsidR="008B6EEA" w:rsidRPr="00B43D8B" w:rsidRDefault="008B6EEA" w:rsidP="008B6EEA">
      <w:pPr>
        <w:pStyle w:val="ListParagraph"/>
        <w:ind w:left="1080"/>
        <w:rPr>
          <w:rFonts w:ascii="Constantia" w:hAnsi="Constantia"/>
          <w:lang w:val="sr-Latn-CS"/>
        </w:rPr>
      </w:pPr>
    </w:p>
    <w:p w:rsidR="00926752" w:rsidRDefault="004F3444" w:rsidP="001D2068">
      <w:pPr>
        <w:rPr>
          <w:rFonts w:ascii="Constantia" w:hAnsi="Constantia"/>
          <w:lang w:val="sr-Latn-CS"/>
        </w:rPr>
      </w:pPr>
      <w:r w:rsidRPr="00CD2153">
        <w:rPr>
          <w:rFonts w:ascii="Constantia" w:hAnsi="Constantia"/>
          <w:lang w:val="sr-Latn-CS"/>
        </w:rPr>
        <w:t>Da bi se utvrdilo da li se površinske i podzemne vode na kopnu i priobalne morske vode nalaze u određenoj klasi</w:t>
      </w:r>
      <w:r w:rsidR="008B6EEA">
        <w:rPr>
          <w:rFonts w:ascii="Constantia" w:hAnsi="Constantia"/>
          <w:lang w:val="sr-Latn-CS"/>
        </w:rPr>
        <w:t>,</w:t>
      </w:r>
      <w:r w:rsidRPr="00CD2153">
        <w:rPr>
          <w:rFonts w:ascii="Constantia" w:hAnsi="Constantia"/>
          <w:lang w:val="sr-Latn-CS"/>
        </w:rPr>
        <w:t xml:space="preserve"> vrši se praćenje kvalitativnih i kvantitativnih parametara voda od strane organa državne uprave nadležnog za hidrometeorološke poslove (Zavod za hidrometeorologiju i seizmologiju</w:t>
      </w:r>
      <w:r w:rsidR="008B6EEA">
        <w:rPr>
          <w:rFonts w:ascii="Constantia" w:hAnsi="Constantia"/>
          <w:lang w:val="sr-Latn-CS"/>
        </w:rPr>
        <w:t xml:space="preserve"> Crne Gore</w:t>
      </w:r>
      <w:r w:rsidRPr="00CD2153">
        <w:rPr>
          <w:rFonts w:ascii="Constantia" w:hAnsi="Constantia"/>
          <w:lang w:val="sr-Latn-CS"/>
        </w:rPr>
        <w:t>), a prema godišnjem Programu sistematskog ispitivanja kvantiteta i kvalite</w:t>
      </w:r>
      <w:r w:rsidR="001D2068">
        <w:rPr>
          <w:rFonts w:ascii="Constantia" w:hAnsi="Constantia"/>
          <w:lang w:val="sr-Latn-CS"/>
        </w:rPr>
        <w:t>ta površinskih i podzemnih voda.</w:t>
      </w:r>
    </w:p>
    <w:p w:rsidR="006529B4" w:rsidRDefault="006529B4" w:rsidP="001D2068">
      <w:pPr>
        <w:rPr>
          <w:rFonts w:ascii="Constantia" w:hAnsi="Constantia"/>
          <w:lang w:val="sr-Latn-CS"/>
        </w:rPr>
      </w:pPr>
    </w:p>
    <w:p w:rsidR="004F3444" w:rsidRPr="008B6EEA" w:rsidRDefault="008B6EEA" w:rsidP="00DD2A8A">
      <w:pPr>
        <w:pStyle w:val="Heading3"/>
      </w:pPr>
      <w:bookmarkStart w:id="39" w:name="_Toc393897875"/>
      <w:r w:rsidRPr="008B6EEA">
        <w:t xml:space="preserve">3.1.1   </w:t>
      </w:r>
      <w:r w:rsidR="004F3444" w:rsidRPr="007468D3">
        <w:t>Kvalitet</w:t>
      </w:r>
      <w:r w:rsidR="004F3444" w:rsidRPr="008B6EEA">
        <w:t xml:space="preserve"> </w:t>
      </w:r>
      <w:r w:rsidR="004F3444" w:rsidRPr="00097E04">
        <w:t>voda</w:t>
      </w:r>
      <w:bookmarkEnd w:id="39"/>
    </w:p>
    <w:p w:rsidR="008B6EEA" w:rsidRDefault="004F3444" w:rsidP="004F3444">
      <w:pPr>
        <w:rPr>
          <w:rFonts w:ascii="Constantia" w:hAnsi="Constantia"/>
        </w:rPr>
      </w:pPr>
      <w:r w:rsidRPr="008B6EEA">
        <w:rPr>
          <w:rFonts w:ascii="Constantia" w:hAnsi="Constantia"/>
          <w:lang w:val="sr-Latn-CS"/>
        </w:rPr>
        <w:t>Mre</w:t>
      </w:r>
      <w:r w:rsidRPr="008B6EEA">
        <w:rPr>
          <w:rFonts w:ascii="Constantia" w:hAnsi="Constantia"/>
        </w:rPr>
        <w:t>ža stanica za ispitivanje kvaliteta površinskih voda u 2013. godini obuhvatila je 13 vo</w:t>
      </w:r>
      <w:r w:rsidR="008B6EEA">
        <w:rPr>
          <w:rFonts w:ascii="Constantia" w:hAnsi="Constantia"/>
        </w:rPr>
        <w:t>dotoka sa 36 mjernih profila, tri</w:t>
      </w:r>
      <w:r w:rsidRPr="008B6EEA">
        <w:rPr>
          <w:rFonts w:ascii="Constantia" w:hAnsi="Constantia"/>
        </w:rPr>
        <w:t xml:space="preserve"> prirodna jezera sa 11 mjernih profila i obalno more sa 16 mjernih mjesta. </w:t>
      </w:r>
    </w:p>
    <w:p w:rsidR="00B26882" w:rsidRDefault="004F3444" w:rsidP="004F3444">
      <w:pPr>
        <w:rPr>
          <w:rFonts w:ascii="Constantia" w:hAnsi="Constantia"/>
        </w:rPr>
      </w:pPr>
      <w:r w:rsidRPr="008B6EEA">
        <w:rPr>
          <w:rFonts w:ascii="Constantia" w:hAnsi="Constantia"/>
        </w:rPr>
        <w:t>Kada je u pitanju mreža stanica za ispitivanje kvaliteta podzemnih voda</w:t>
      </w:r>
      <w:r w:rsidR="008B6EEA">
        <w:rPr>
          <w:rFonts w:ascii="Constantia" w:hAnsi="Constantia"/>
        </w:rPr>
        <w:t>,</w:t>
      </w:r>
      <w:r w:rsidRPr="008B6EEA">
        <w:rPr>
          <w:rFonts w:ascii="Constantia" w:hAnsi="Constantia"/>
        </w:rPr>
        <w:t xml:space="preserve"> ona obuhvata podzemne vode prve izd</w:t>
      </w:r>
      <w:r w:rsidR="008B6EEA">
        <w:rPr>
          <w:rFonts w:ascii="Constantia" w:hAnsi="Constantia"/>
        </w:rPr>
        <w:t>ani Zetske ravnice. Mrežu čini devet</w:t>
      </w:r>
      <w:r w:rsidRPr="008B6EEA">
        <w:rPr>
          <w:rFonts w:ascii="Constantia" w:hAnsi="Constantia"/>
        </w:rPr>
        <w:t xml:space="preserve"> mjernih profila koji pokrivaju prostor čitave Zetske ravnice. Uzorkovanje se vrši na privatnim bunarima koji nisu pijezometarske bušotine.</w:t>
      </w:r>
    </w:p>
    <w:p w:rsidR="006529B4" w:rsidRDefault="006529B4" w:rsidP="004F3444">
      <w:pPr>
        <w:rPr>
          <w:rFonts w:ascii="Constantia" w:hAnsi="Constantia"/>
        </w:rPr>
      </w:pPr>
    </w:p>
    <w:p w:rsidR="004F3444" w:rsidRPr="008B6EEA" w:rsidRDefault="008B6EEA" w:rsidP="00097E04">
      <w:pPr>
        <w:pStyle w:val="Heading3"/>
      </w:pPr>
      <w:bookmarkStart w:id="40" w:name="_Toc322000739"/>
      <w:bookmarkStart w:id="41" w:name="_Toc393897876"/>
      <w:r w:rsidRPr="008B6EEA">
        <w:t xml:space="preserve">3.1.2  </w:t>
      </w:r>
      <w:r w:rsidR="004F3444" w:rsidRPr="008B6EEA">
        <w:t>BPK</w:t>
      </w:r>
      <w:r w:rsidR="004F3444" w:rsidRPr="008B6EEA">
        <w:rPr>
          <w:vertAlign w:val="subscript"/>
        </w:rPr>
        <w:t>5</w:t>
      </w:r>
      <w:r w:rsidR="00BA0227">
        <w:rPr>
          <w:vertAlign w:val="subscript"/>
        </w:rPr>
        <w:t xml:space="preserve"> </w:t>
      </w:r>
      <w:r>
        <w:t>–</w:t>
      </w:r>
      <w:r w:rsidR="004F3444" w:rsidRPr="008B6EEA">
        <w:t xml:space="preserve"> biološka potrošnja kiseonika</w:t>
      </w:r>
      <w:bookmarkEnd w:id="40"/>
      <w:bookmarkEnd w:id="41"/>
    </w:p>
    <w:p w:rsidR="008B6EEA" w:rsidRDefault="004F3444" w:rsidP="008B6EEA">
      <w:pPr>
        <w:keepNext/>
        <w:spacing w:after="60"/>
        <w:outlineLvl w:val="2"/>
        <w:rPr>
          <w:rFonts w:ascii="Constantia" w:hAnsi="Constantia" w:cs="Arial"/>
          <w:bCs/>
          <w:szCs w:val="22"/>
          <w:lang w:val="sr-Latn-CS"/>
        </w:rPr>
      </w:pPr>
      <w:r w:rsidRPr="008B6EEA">
        <w:rPr>
          <w:rFonts w:ascii="Constantia" w:hAnsi="Constantia" w:cs="Arial"/>
          <w:bCs/>
          <w:szCs w:val="22"/>
          <w:lang w:val="sr-Latn-CS"/>
        </w:rPr>
        <w:t xml:space="preserve">Biološka potrošnja kiseonika (BPK) je količina kiseonika koja </w:t>
      </w:r>
      <w:r w:rsidR="00DD2A8A">
        <w:rPr>
          <w:rFonts w:ascii="Constantia" w:hAnsi="Constantia" w:cs="Arial"/>
          <w:bCs/>
          <w:szCs w:val="22"/>
          <w:lang w:val="sr-Latn-CS"/>
        </w:rPr>
        <w:t xml:space="preserve">je </w:t>
      </w:r>
      <w:r w:rsidRPr="008B6EEA">
        <w:rPr>
          <w:rFonts w:ascii="Constantia" w:hAnsi="Constantia" w:cs="Arial"/>
          <w:bCs/>
          <w:szCs w:val="22"/>
          <w:lang w:val="sr-Latn-CS"/>
        </w:rPr>
        <w:t xml:space="preserve">potrebna da se izvrši biološka oksidacija prisutnih, biološki razgradljivih, sastojaka vode. </w:t>
      </w:r>
    </w:p>
    <w:p w:rsidR="004F3444" w:rsidRPr="008B6EEA" w:rsidRDefault="004F3444" w:rsidP="008B6EEA">
      <w:pPr>
        <w:keepNext/>
        <w:spacing w:after="60"/>
        <w:outlineLvl w:val="2"/>
        <w:rPr>
          <w:rFonts w:ascii="Constantia" w:hAnsi="Constantia" w:cs="Arial"/>
          <w:bCs/>
          <w:szCs w:val="22"/>
          <w:lang w:val="sr-Latn-CS"/>
        </w:rPr>
      </w:pPr>
      <w:r w:rsidRPr="008B6EEA">
        <w:rPr>
          <w:rFonts w:ascii="Constantia" w:hAnsi="Constantia" w:cs="Arial"/>
          <w:bCs/>
          <w:szCs w:val="22"/>
          <w:lang w:val="sr-Latn-CS"/>
        </w:rPr>
        <w:t>Stepen zagađenosti vode organskim jedinjenjima definisan, je pored ostalih, i ovim parametrom (BPK).</w:t>
      </w:r>
    </w:p>
    <w:p w:rsidR="004F3444" w:rsidRDefault="004F3444" w:rsidP="00B26882">
      <w:pPr>
        <w:pStyle w:val="Grafikon"/>
        <w:numPr>
          <w:ilvl w:val="0"/>
          <w:numId w:val="0"/>
        </w:numPr>
        <w:jc w:val="both"/>
        <w:rPr>
          <w:rFonts w:ascii="Arial" w:hAnsi="Arial" w:cs="Arial"/>
          <w:szCs w:val="22"/>
        </w:rPr>
      </w:pPr>
    </w:p>
    <w:p w:rsidR="004F3444" w:rsidRDefault="004F3444" w:rsidP="004F3444">
      <w:pPr>
        <w:pStyle w:val="Grafikon"/>
        <w:numPr>
          <w:ilvl w:val="0"/>
          <w:numId w:val="0"/>
        </w:numPr>
        <w:rPr>
          <w:rFonts w:ascii="Arial" w:hAnsi="Arial" w:cs="Arial"/>
          <w:szCs w:val="22"/>
        </w:rPr>
      </w:pPr>
      <w:r>
        <w:rPr>
          <w:noProof/>
          <w:lang w:val="en-US"/>
        </w:rPr>
        <w:lastRenderedPageBreak/>
        <w:drawing>
          <wp:inline distT="0" distB="0" distL="0" distR="0" wp14:anchorId="4C51C091" wp14:editId="77554620">
            <wp:extent cx="4937760" cy="1995778"/>
            <wp:effectExtent l="0" t="0" r="0" b="5080"/>
            <wp:docPr id="8216" name="Chart 82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4F3444" w:rsidRPr="009E109C" w:rsidRDefault="004F3444" w:rsidP="009E109C">
      <w:pPr>
        <w:pStyle w:val="Grafikon"/>
        <w:rPr>
          <w:rFonts w:ascii="Constantia" w:hAnsi="Constantia"/>
          <w:sz w:val="22"/>
          <w:szCs w:val="22"/>
        </w:rPr>
      </w:pPr>
      <w:r w:rsidRPr="009E109C">
        <w:rPr>
          <w:rFonts w:ascii="Constantia" w:hAnsi="Constantia"/>
          <w:sz w:val="22"/>
          <w:szCs w:val="22"/>
        </w:rPr>
        <w:t>BPK</w:t>
      </w:r>
      <w:r w:rsidRPr="009E109C">
        <w:rPr>
          <w:rFonts w:ascii="Constantia" w:hAnsi="Constantia"/>
          <w:sz w:val="22"/>
          <w:szCs w:val="22"/>
          <w:vertAlign w:val="subscript"/>
        </w:rPr>
        <w:t>5</w:t>
      </w:r>
      <w:r w:rsidRPr="009E109C">
        <w:rPr>
          <w:rFonts w:ascii="Constantia" w:hAnsi="Constantia"/>
          <w:sz w:val="22"/>
          <w:szCs w:val="22"/>
        </w:rPr>
        <w:t xml:space="preserve"> u rijeci Morači </w:t>
      </w:r>
      <w:r w:rsidR="009E109C">
        <w:rPr>
          <w:rFonts w:ascii="Constantia" w:hAnsi="Constantia"/>
          <w:sz w:val="22"/>
          <w:szCs w:val="22"/>
        </w:rPr>
        <w:t>(</w:t>
      </w:r>
      <w:r w:rsidRPr="009E109C">
        <w:rPr>
          <w:rFonts w:ascii="Constantia" w:hAnsi="Constantia"/>
          <w:sz w:val="22"/>
          <w:szCs w:val="22"/>
        </w:rPr>
        <w:t>mg/l</w:t>
      </w:r>
      <w:r w:rsidR="009E109C">
        <w:rPr>
          <w:rFonts w:ascii="Constantia" w:hAnsi="Constantia"/>
          <w:sz w:val="22"/>
          <w:szCs w:val="22"/>
        </w:rPr>
        <w:t>)</w:t>
      </w:r>
    </w:p>
    <w:p w:rsidR="007E4C5C" w:rsidRDefault="007E4C5C" w:rsidP="004F3444">
      <w:pPr>
        <w:pStyle w:val="Grafikon"/>
        <w:numPr>
          <w:ilvl w:val="0"/>
          <w:numId w:val="0"/>
        </w:numPr>
        <w:ind w:left="360"/>
      </w:pPr>
    </w:p>
    <w:p w:rsidR="007E4C5C" w:rsidRDefault="007E4C5C" w:rsidP="004F3444">
      <w:pPr>
        <w:pStyle w:val="Grafikon"/>
        <w:numPr>
          <w:ilvl w:val="0"/>
          <w:numId w:val="0"/>
        </w:numPr>
        <w:ind w:left="360"/>
      </w:pPr>
    </w:p>
    <w:p w:rsidR="004F3444" w:rsidRDefault="004F3444" w:rsidP="004F3444">
      <w:pPr>
        <w:pStyle w:val="Grafikon"/>
        <w:numPr>
          <w:ilvl w:val="0"/>
          <w:numId w:val="0"/>
        </w:numPr>
        <w:ind w:left="360"/>
        <w:rPr>
          <w:vertAlign w:val="subscript"/>
        </w:rPr>
      </w:pPr>
      <w:r>
        <w:rPr>
          <w:noProof/>
          <w:lang w:val="en-US"/>
        </w:rPr>
        <w:drawing>
          <wp:inline distT="0" distB="0" distL="0" distR="0" wp14:anchorId="1D703675" wp14:editId="74E5F181">
            <wp:extent cx="4810539" cy="1733384"/>
            <wp:effectExtent l="0" t="0" r="0" b="635"/>
            <wp:docPr id="8215" name="Chart 8215"/>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4F3444" w:rsidRDefault="004F3444" w:rsidP="00AC0909">
      <w:pPr>
        <w:pStyle w:val="Grafikon"/>
        <w:rPr>
          <w:rFonts w:ascii="Constantia" w:hAnsi="Constantia"/>
          <w:sz w:val="22"/>
          <w:szCs w:val="22"/>
        </w:rPr>
      </w:pPr>
      <w:r w:rsidRPr="00AC0909">
        <w:rPr>
          <w:rFonts w:ascii="Constantia" w:hAnsi="Constantia"/>
          <w:sz w:val="22"/>
          <w:szCs w:val="22"/>
        </w:rPr>
        <w:t>BPK</w:t>
      </w:r>
      <w:r w:rsidRPr="00AC0909">
        <w:rPr>
          <w:rFonts w:ascii="Constantia" w:hAnsi="Constantia"/>
          <w:sz w:val="22"/>
          <w:szCs w:val="22"/>
          <w:vertAlign w:val="subscript"/>
        </w:rPr>
        <w:t>5</w:t>
      </w:r>
      <w:r w:rsidRPr="00AC0909">
        <w:rPr>
          <w:rFonts w:ascii="Constantia" w:hAnsi="Constantia"/>
          <w:sz w:val="22"/>
          <w:szCs w:val="22"/>
        </w:rPr>
        <w:t xml:space="preserve"> u rijeci Zeti </w:t>
      </w:r>
      <w:r w:rsidR="00AC0909" w:rsidRPr="00AC0909">
        <w:rPr>
          <w:rFonts w:ascii="Constantia" w:hAnsi="Constantia"/>
          <w:sz w:val="22"/>
          <w:szCs w:val="22"/>
        </w:rPr>
        <w:t>(</w:t>
      </w:r>
      <w:r w:rsidRPr="00AC0909">
        <w:rPr>
          <w:rFonts w:ascii="Constantia" w:hAnsi="Constantia"/>
          <w:sz w:val="22"/>
          <w:szCs w:val="22"/>
        </w:rPr>
        <w:t>mg/l</w:t>
      </w:r>
      <w:r w:rsidR="00AC0909" w:rsidRPr="00AC0909">
        <w:rPr>
          <w:rFonts w:ascii="Constantia" w:hAnsi="Constantia"/>
          <w:sz w:val="22"/>
          <w:szCs w:val="22"/>
        </w:rPr>
        <w:t>)</w:t>
      </w:r>
    </w:p>
    <w:p w:rsidR="007E4C5C" w:rsidRDefault="007E4C5C" w:rsidP="007E4C5C">
      <w:pPr>
        <w:pStyle w:val="Grafikon"/>
        <w:numPr>
          <w:ilvl w:val="0"/>
          <w:numId w:val="0"/>
        </w:numPr>
        <w:ind w:left="360"/>
        <w:jc w:val="both"/>
        <w:rPr>
          <w:rFonts w:ascii="Constantia" w:hAnsi="Constantia"/>
          <w:sz w:val="22"/>
          <w:szCs w:val="22"/>
        </w:rPr>
      </w:pPr>
    </w:p>
    <w:p w:rsidR="007E4C5C" w:rsidRPr="00AC0909" w:rsidRDefault="007E4C5C" w:rsidP="007E4C5C">
      <w:pPr>
        <w:pStyle w:val="Grafikon"/>
        <w:numPr>
          <w:ilvl w:val="0"/>
          <w:numId w:val="0"/>
        </w:numPr>
        <w:ind w:left="360"/>
        <w:jc w:val="both"/>
        <w:rPr>
          <w:rFonts w:ascii="Constantia" w:hAnsi="Constantia"/>
          <w:sz w:val="22"/>
          <w:szCs w:val="22"/>
        </w:rPr>
      </w:pPr>
    </w:p>
    <w:p w:rsidR="004F3444" w:rsidRDefault="004F3444" w:rsidP="004F3444">
      <w:pPr>
        <w:pStyle w:val="Grafikon"/>
        <w:numPr>
          <w:ilvl w:val="0"/>
          <w:numId w:val="0"/>
        </w:numPr>
      </w:pPr>
      <w:r>
        <w:rPr>
          <w:noProof/>
          <w:lang w:val="en-US"/>
        </w:rPr>
        <w:drawing>
          <wp:inline distT="0" distB="0" distL="0" distR="0" wp14:anchorId="346EDB40" wp14:editId="1BDDE39E">
            <wp:extent cx="4691269" cy="2154803"/>
            <wp:effectExtent l="0" t="0" r="0" b="0"/>
            <wp:docPr id="8214" name="Chart 8214"/>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4F3444" w:rsidRPr="00AC0909" w:rsidRDefault="004F3444" w:rsidP="00AC0909">
      <w:pPr>
        <w:pStyle w:val="Grafikon"/>
        <w:rPr>
          <w:rFonts w:ascii="Constantia" w:hAnsi="Constantia"/>
          <w:sz w:val="22"/>
          <w:szCs w:val="22"/>
        </w:rPr>
      </w:pPr>
      <w:r w:rsidRPr="00AC0909">
        <w:rPr>
          <w:rFonts w:ascii="Constantia" w:hAnsi="Constantia"/>
          <w:sz w:val="22"/>
          <w:szCs w:val="22"/>
        </w:rPr>
        <w:t>BPK</w:t>
      </w:r>
      <w:r w:rsidRPr="00AC0909">
        <w:rPr>
          <w:rFonts w:ascii="Constantia" w:hAnsi="Constantia"/>
          <w:sz w:val="22"/>
          <w:szCs w:val="22"/>
          <w:vertAlign w:val="subscript"/>
        </w:rPr>
        <w:t>5</w:t>
      </w:r>
      <w:r w:rsidR="00AC0909" w:rsidRPr="00AC0909">
        <w:rPr>
          <w:rFonts w:ascii="Constantia" w:hAnsi="Constantia"/>
          <w:sz w:val="22"/>
          <w:szCs w:val="22"/>
        </w:rPr>
        <w:t xml:space="preserve"> u rijeci Lim (mg</w:t>
      </w:r>
      <w:r w:rsidRPr="00AC0909">
        <w:rPr>
          <w:rFonts w:ascii="Constantia" w:hAnsi="Constantia"/>
          <w:sz w:val="22"/>
          <w:szCs w:val="22"/>
        </w:rPr>
        <w:t>/l</w:t>
      </w:r>
      <w:r w:rsidR="00AC0909" w:rsidRPr="00AC0909">
        <w:rPr>
          <w:rFonts w:ascii="Constantia" w:hAnsi="Constantia"/>
          <w:sz w:val="22"/>
          <w:szCs w:val="22"/>
        </w:rPr>
        <w:t>)</w:t>
      </w:r>
    </w:p>
    <w:p w:rsidR="004F3444" w:rsidRDefault="004F3444" w:rsidP="004F3444">
      <w:pPr>
        <w:pStyle w:val="Grafikon"/>
        <w:numPr>
          <w:ilvl w:val="0"/>
          <w:numId w:val="0"/>
        </w:numPr>
      </w:pPr>
      <w:r>
        <w:rPr>
          <w:noProof/>
          <w:lang w:val="en-US"/>
        </w:rPr>
        <w:lastRenderedPageBreak/>
        <w:drawing>
          <wp:inline distT="0" distB="0" distL="0" distR="0" wp14:anchorId="2A71F52C" wp14:editId="70D76B7A">
            <wp:extent cx="4754880" cy="1828800"/>
            <wp:effectExtent l="0" t="0" r="7620" b="0"/>
            <wp:docPr id="8213" name="Chart 82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4F3444" w:rsidRPr="007E4C5C" w:rsidRDefault="004F3444" w:rsidP="007E4C5C">
      <w:pPr>
        <w:pStyle w:val="Grafikon"/>
        <w:rPr>
          <w:rFonts w:ascii="Constantia" w:hAnsi="Constantia"/>
          <w:sz w:val="22"/>
          <w:szCs w:val="22"/>
        </w:rPr>
      </w:pPr>
      <w:r w:rsidRPr="007E4C5C">
        <w:rPr>
          <w:rFonts w:ascii="Constantia" w:hAnsi="Constantia"/>
          <w:sz w:val="22"/>
          <w:szCs w:val="22"/>
        </w:rPr>
        <w:t>BPK</w:t>
      </w:r>
      <w:r w:rsidRPr="007E4C5C">
        <w:rPr>
          <w:rFonts w:ascii="Constantia" w:hAnsi="Constantia"/>
          <w:sz w:val="22"/>
          <w:szCs w:val="22"/>
          <w:vertAlign w:val="subscript"/>
        </w:rPr>
        <w:t>5</w:t>
      </w:r>
      <w:r w:rsidRPr="007E4C5C">
        <w:rPr>
          <w:rFonts w:ascii="Constantia" w:hAnsi="Constantia"/>
          <w:sz w:val="22"/>
          <w:szCs w:val="22"/>
        </w:rPr>
        <w:t xml:space="preserve"> u rijeci Tari </w:t>
      </w:r>
      <w:r w:rsidR="007E4C5C" w:rsidRPr="007E4C5C">
        <w:rPr>
          <w:rFonts w:ascii="Constantia" w:hAnsi="Constantia"/>
          <w:sz w:val="22"/>
          <w:szCs w:val="22"/>
        </w:rPr>
        <w:t>(</w:t>
      </w:r>
      <w:r w:rsidRPr="007E4C5C">
        <w:rPr>
          <w:rFonts w:ascii="Constantia" w:hAnsi="Constantia"/>
          <w:sz w:val="22"/>
          <w:szCs w:val="22"/>
        </w:rPr>
        <w:t>mg/</w:t>
      </w:r>
      <w:r w:rsidR="00664479">
        <w:rPr>
          <w:rFonts w:ascii="Constantia" w:hAnsi="Constantia"/>
          <w:sz w:val="22"/>
          <w:szCs w:val="22"/>
        </w:rPr>
        <w:t>l</w:t>
      </w:r>
      <w:r w:rsidR="007E4C5C" w:rsidRPr="007E4C5C">
        <w:rPr>
          <w:rFonts w:ascii="Constantia" w:hAnsi="Constantia"/>
          <w:sz w:val="22"/>
          <w:szCs w:val="22"/>
        </w:rPr>
        <w:t>)</w:t>
      </w:r>
    </w:p>
    <w:p w:rsidR="007E4C5C" w:rsidRDefault="007E4C5C" w:rsidP="004F3444">
      <w:pPr>
        <w:pStyle w:val="Grafikon"/>
        <w:numPr>
          <w:ilvl w:val="0"/>
          <w:numId w:val="0"/>
        </w:numPr>
        <w:ind w:left="360"/>
      </w:pPr>
    </w:p>
    <w:p w:rsidR="00F22042" w:rsidRDefault="00F22042" w:rsidP="004F3444">
      <w:pPr>
        <w:pStyle w:val="Grafikon"/>
        <w:numPr>
          <w:ilvl w:val="0"/>
          <w:numId w:val="0"/>
        </w:numPr>
        <w:ind w:left="360"/>
      </w:pPr>
    </w:p>
    <w:p w:rsidR="004F3444" w:rsidRDefault="004F3444" w:rsidP="004F3444">
      <w:pPr>
        <w:pStyle w:val="Grafikon"/>
        <w:numPr>
          <w:ilvl w:val="0"/>
          <w:numId w:val="0"/>
        </w:numPr>
      </w:pPr>
      <w:r>
        <w:rPr>
          <w:noProof/>
          <w:lang w:val="en-US"/>
        </w:rPr>
        <w:drawing>
          <wp:inline distT="0" distB="0" distL="0" distR="0" wp14:anchorId="13432700" wp14:editId="123BF243">
            <wp:extent cx="4508390" cy="1717482"/>
            <wp:effectExtent l="0" t="0" r="6985" b="0"/>
            <wp:docPr id="192" name="Chart 192"/>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4F3444" w:rsidRPr="007E4C5C" w:rsidRDefault="004F3444" w:rsidP="007E4C5C">
      <w:pPr>
        <w:pStyle w:val="Grafikon"/>
        <w:rPr>
          <w:rFonts w:ascii="Constantia" w:hAnsi="Constantia"/>
          <w:sz w:val="22"/>
          <w:szCs w:val="22"/>
        </w:rPr>
      </w:pPr>
      <w:r w:rsidRPr="007E4C5C">
        <w:rPr>
          <w:rFonts w:ascii="Constantia" w:hAnsi="Constantia"/>
          <w:sz w:val="22"/>
          <w:szCs w:val="22"/>
        </w:rPr>
        <w:t>BPK</w:t>
      </w:r>
      <w:r w:rsidRPr="007E4C5C">
        <w:rPr>
          <w:rFonts w:ascii="Constantia" w:hAnsi="Constantia"/>
          <w:sz w:val="22"/>
          <w:szCs w:val="22"/>
          <w:vertAlign w:val="subscript"/>
        </w:rPr>
        <w:t>5</w:t>
      </w:r>
      <w:r w:rsidRPr="007E4C5C">
        <w:rPr>
          <w:rFonts w:ascii="Constantia" w:hAnsi="Constantia"/>
          <w:sz w:val="22"/>
          <w:szCs w:val="22"/>
        </w:rPr>
        <w:t xml:space="preserve"> u rijeci Ćehotini </w:t>
      </w:r>
      <w:r w:rsidR="007E4C5C" w:rsidRPr="007E4C5C">
        <w:rPr>
          <w:rFonts w:ascii="Constantia" w:hAnsi="Constantia"/>
          <w:sz w:val="22"/>
          <w:szCs w:val="22"/>
        </w:rPr>
        <w:t>(</w:t>
      </w:r>
      <w:r w:rsidRPr="007E4C5C">
        <w:rPr>
          <w:rFonts w:ascii="Constantia" w:hAnsi="Constantia"/>
          <w:sz w:val="22"/>
          <w:szCs w:val="22"/>
        </w:rPr>
        <w:t>mg/l</w:t>
      </w:r>
      <w:r w:rsidR="007E4C5C" w:rsidRPr="007E4C5C">
        <w:rPr>
          <w:rFonts w:ascii="Constantia" w:hAnsi="Constantia"/>
          <w:sz w:val="22"/>
          <w:szCs w:val="22"/>
        </w:rPr>
        <w:t>)</w:t>
      </w:r>
    </w:p>
    <w:p w:rsidR="007E4C5C" w:rsidRDefault="007E4C5C" w:rsidP="007E4C5C">
      <w:pPr>
        <w:pStyle w:val="Grafikon"/>
        <w:numPr>
          <w:ilvl w:val="0"/>
          <w:numId w:val="0"/>
        </w:numPr>
        <w:ind w:left="360"/>
        <w:jc w:val="both"/>
      </w:pPr>
    </w:p>
    <w:p w:rsidR="00F22042" w:rsidRDefault="00F22042" w:rsidP="007E4C5C">
      <w:pPr>
        <w:pStyle w:val="Grafikon"/>
        <w:numPr>
          <w:ilvl w:val="0"/>
          <w:numId w:val="0"/>
        </w:numPr>
        <w:ind w:left="360"/>
        <w:jc w:val="both"/>
      </w:pPr>
    </w:p>
    <w:p w:rsidR="004F3444" w:rsidRDefault="004F3444" w:rsidP="004F3444">
      <w:pPr>
        <w:pStyle w:val="Grafikon"/>
        <w:numPr>
          <w:ilvl w:val="0"/>
          <w:numId w:val="0"/>
        </w:numPr>
        <w:ind w:left="360"/>
      </w:pPr>
      <w:r>
        <w:rPr>
          <w:noProof/>
          <w:lang w:val="en-US"/>
        </w:rPr>
        <w:drawing>
          <wp:inline distT="0" distB="0" distL="0" distR="0" wp14:anchorId="20C99DDA" wp14:editId="71B97FCC">
            <wp:extent cx="5057030" cy="1828800"/>
            <wp:effectExtent l="0" t="0" r="0" b="0"/>
            <wp:docPr id="193" name="Chart 193"/>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4F3444" w:rsidRPr="007E4C5C" w:rsidRDefault="004F3444" w:rsidP="007E4C5C">
      <w:pPr>
        <w:pStyle w:val="Grafikon"/>
        <w:rPr>
          <w:rFonts w:ascii="Constantia" w:hAnsi="Constantia"/>
          <w:sz w:val="22"/>
          <w:szCs w:val="22"/>
        </w:rPr>
      </w:pPr>
      <w:r w:rsidRPr="007E4C5C">
        <w:rPr>
          <w:rFonts w:ascii="Constantia" w:hAnsi="Constantia"/>
          <w:sz w:val="22"/>
          <w:szCs w:val="22"/>
        </w:rPr>
        <w:t>BPK</w:t>
      </w:r>
      <w:r w:rsidRPr="007E4C5C">
        <w:rPr>
          <w:rFonts w:ascii="Constantia" w:hAnsi="Constantia"/>
          <w:sz w:val="22"/>
          <w:szCs w:val="22"/>
          <w:vertAlign w:val="subscript"/>
        </w:rPr>
        <w:t>5</w:t>
      </w:r>
      <w:r w:rsidRPr="007E4C5C">
        <w:rPr>
          <w:rFonts w:ascii="Constantia" w:hAnsi="Constantia"/>
          <w:sz w:val="22"/>
          <w:szCs w:val="22"/>
        </w:rPr>
        <w:t xml:space="preserve"> u Skadarskom jezeru </w:t>
      </w:r>
      <w:r w:rsidR="007E4C5C" w:rsidRPr="007E4C5C">
        <w:rPr>
          <w:rFonts w:ascii="Constantia" w:hAnsi="Constantia"/>
          <w:sz w:val="22"/>
          <w:szCs w:val="22"/>
        </w:rPr>
        <w:t>(</w:t>
      </w:r>
      <w:r w:rsidRPr="007E4C5C">
        <w:rPr>
          <w:rFonts w:ascii="Constantia" w:hAnsi="Constantia"/>
          <w:sz w:val="22"/>
          <w:szCs w:val="22"/>
        </w:rPr>
        <w:t>mg/l</w:t>
      </w:r>
      <w:r w:rsidR="007E4C5C" w:rsidRPr="007E4C5C">
        <w:rPr>
          <w:rFonts w:ascii="Constantia" w:hAnsi="Constantia"/>
          <w:sz w:val="22"/>
          <w:szCs w:val="22"/>
        </w:rPr>
        <w:t>)</w:t>
      </w:r>
    </w:p>
    <w:p w:rsidR="007E4C5C" w:rsidRDefault="007E4C5C" w:rsidP="007E4C5C">
      <w:pPr>
        <w:pStyle w:val="Grafikon"/>
        <w:numPr>
          <w:ilvl w:val="0"/>
          <w:numId w:val="0"/>
        </w:numPr>
        <w:ind w:left="360"/>
        <w:jc w:val="both"/>
      </w:pPr>
    </w:p>
    <w:p w:rsidR="004F3444" w:rsidRPr="00434E9E" w:rsidRDefault="007E4C5C" w:rsidP="00097E04">
      <w:pPr>
        <w:pStyle w:val="Heading3"/>
      </w:pPr>
      <w:bookmarkStart w:id="42" w:name="_Toc393897877"/>
      <w:r w:rsidRPr="00434E9E">
        <w:t xml:space="preserve">3.1.3  </w:t>
      </w:r>
      <w:r w:rsidR="004F3444" w:rsidRPr="00097E04">
        <w:t>Sadržaj</w:t>
      </w:r>
      <w:r w:rsidR="004F3444" w:rsidRPr="00434E9E">
        <w:t xml:space="preserve"> fosfata</w:t>
      </w:r>
      <w:bookmarkEnd w:id="42"/>
    </w:p>
    <w:p w:rsidR="004F3444" w:rsidRPr="007A7A13" w:rsidRDefault="004F3444" w:rsidP="004F3444">
      <w:pPr>
        <w:rPr>
          <w:rFonts w:ascii="Constantia" w:hAnsi="Constantia"/>
          <w:lang w:val="sr-Latn-CS"/>
        </w:rPr>
      </w:pPr>
      <w:r w:rsidRPr="007A7A13">
        <w:rPr>
          <w:rFonts w:ascii="Constantia" w:hAnsi="Constantia"/>
          <w:lang w:val="sr-Latn-CS"/>
        </w:rPr>
        <w:t>Povećan sadržaj fosfata u vodama ukazuje na njihovo zagađenje</w:t>
      </w:r>
      <w:r w:rsidR="00416DBE">
        <w:rPr>
          <w:rFonts w:ascii="Constantia" w:hAnsi="Constantia"/>
          <w:lang w:val="sr-Latn-CS"/>
        </w:rPr>
        <w:t>,</w:t>
      </w:r>
      <w:r w:rsidRPr="007A7A13">
        <w:rPr>
          <w:rFonts w:ascii="Constantia" w:hAnsi="Constantia"/>
          <w:lang w:val="sr-Latn-CS"/>
        </w:rPr>
        <w:t xml:space="preserve"> jer jedinjenja fosfora nastaju kao rezultat raspadanja složenih organskih materija. Izvorišta mogu da posjeduju </w:t>
      </w:r>
      <w:r w:rsidR="00416DBE">
        <w:rPr>
          <w:rFonts w:ascii="Constantia" w:hAnsi="Constantia"/>
          <w:lang w:val="sr-Latn-CS"/>
        </w:rPr>
        <w:t>fosfate kao rezultat kontakta s</w:t>
      </w:r>
      <w:r w:rsidRPr="007A7A13">
        <w:rPr>
          <w:rFonts w:ascii="Constantia" w:hAnsi="Constantia"/>
          <w:lang w:val="sr-Latn-CS"/>
        </w:rPr>
        <w:t xml:space="preserve"> mineralima ili putem zagađenja od primjene vještačkih đubriva i otpadnih voda naselja.</w:t>
      </w:r>
    </w:p>
    <w:p w:rsidR="004F3444" w:rsidRPr="00E03AD5" w:rsidRDefault="004F3444" w:rsidP="00E03AD5">
      <w:pPr>
        <w:rPr>
          <w:rFonts w:ascii="Constantia" w:hAnsi="Constantia"/>
        </w:rPr>
      </w:pPr>
      <w:r w:rsidRPr="00E03AD5">
        <w:rPr>
          <w:rFonts w:ascii="Constantia" w:hAnsi="Constantia"/>
        </w:rPr>
        <w:t xml:space="preserve">Fosfati stimulišu rast planktona i vodenih biljaka koje ribe koriste za ishranu. Ovaj rast može dovesti do povećanja broja riba i popravljanja opšteg stanja voda, ali pretjerana količina fosfata </w:t>
      </w:r>
      <w:r w:rsidRPr="00E03AD5">
        <w:rPr>
          <w:rFonts w:ascii="Constantia" w:hAnsi="Constantia"/>
        </w:rPr>
        <w:lastRenderedPageBreak/>
        <w:t xml:space="preserve">u vodotocima izaziva nekontrolisano razmnožavanje algi i vodenih biljaka što povećava potrošnju kiseonika i dovodi do njegovog deficita. Sve navedeno dovodi do procesa eutrofikacije. Na većini lokacija, kao što se može vidjeti iz </w:t>
      </w:r>
      <w:r w:rsidR="00E03AD5">
        <w:rPr>
          <w:rFonts w:ascii="Constantia" w:hAnsi="Constantia"/>
        </w:rPr>
        <w:t xml:space="preserve">navedenih </w:t>
      </w:r>
      <w:r w:rsidRPr="00E03AD5">
        <w:rPr>
          <w:rFonts w:ascii="Constantia" w:hAnsi="Constantia"/>
        </w:rPr>
        <w:t>grafik</w:t>
      </w:r>
      <w:r w:rsidR="00E03AD5">
        <w:rPr>
          <w:rFonts w:ascii="Constantia" w:hAnsi="Constantia"/>
        </w:rPr>
        <w:t>on</w:t>
      </w:r>
      <w:r w:rsidRPr="00E03AD5">
        <w:rPr>
          <w:rFonts w:ascii="Constantia" w:hAnsi="Constantia"/>
        </w:rPr>
        <w:t>a, koncentracija fosfata je iznad graničnih vrijednosti.</w:t>
      </w:r>
    </w:p>
    <w:p w:rsidR="000C749A" w:rsidRDefault="000C749A" w:rsidP="004F3444">
      <w:pPr>
        <w:pStyle w:val="Grafikon"/>
        <w:numPr>
          <w:ilvl w:val="0"/>
          <w:numId w:val="0"/>
        </w:numPr>
      </w:pPr>
    </w:p>
    <w:p w:rsidR="004F3444" w:rsidRDefault="004F3444" w:rsidP="004F3444">
      <w:pPr>
        <w:pStyle w:val="Grafikon"/>
        <w:numPr>
          <w:ilvl w:val="0"/>
          <w:numId w:val="0"/>
        </w:numPr>
        <w:ind w:left="360"/>
      </w:pPr>
      <w:r>
        <w:rPr>
          <w:noProof/>
          <w:lang w:val="en-US"/>
        </w:rPr>
        <w:drawing>
          <wp:inline distT="0" distB="0" distL="0" distR="0" wp14:anchorId="74689983" wp14:editId="6BD61FB6">
            <wp:extent cx="5080883" cy="1860605"/>
            <wp:effectExtent l="0" t="0" r="5715" b="6350"/>
            <wp:docPr id="195" name="Chart 195"/>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4F3444" w:rsidRPr="00DC1A4D" w:rsidRDefault="004F3444" w:rsidP="00DC1A4D">
      <w:pPr>
        <w:pStyle w:val="Grafikon"/>
        <w:rPr>
          <w:rFonts w:ascii="Constantia" w:hAnsi="Constantia"/>
          <w:sz w:val="22"/>
          <w:szCs w:val="22"/>
        </w:rPr>
      </w:pPr>
      <w:r w:rsidRPr="00DC1A4D">
        <w:rPr>
          <w:rFonts w:ascii="Constantia" w:hAnsi="Constantia"/>
          <w:sz w:val="22"/>
          <w:szCs w:val="22"/>
        </w:rPr>
        <w:t xml:space="preserve">Sadržaj fosfata u rijeci Morači </w:t>
      </w:r>
      <w:r w:rsidR="00DC1A4D" w:rsidRPr="00DC1A4D">
        <w:rPr>
          <w:rFonts w:ascii="Constantia" w:hAnsi="Constantia"/>
          <w:sz w:val="22"/>
          <w:szCs w:val="22"/>
        </w:rPr>
        <w:t>(</w:t>
      </w:r>
      <w:r w:rsidRPr="00DC1A4D">
        <w:rPr>
          <w:rFonts w:ascii="Constantia" w:hAnsi="Constantia"/>
          <w:sz w:val="22"/>
          <w:szCs w:val="22"/>
        </w:rPr>
        <w:t>mg/l</w:t>
      </w:r>
      <w:r w:rsidR="00DC1A4D" w:rsidRPr="00DC1A4D">
        <w:rPr>
          <w:rFonts w:ascii="Constantia" w:hAnsi="Constantia"/>
          <w:sz w:val="22"/>
          <w:szCs w:val="22"/>
        </w:rPr>
        <w:t>)</w:t>
      </w:r>
    </w:p>
    <w:p w:rsidR="004F3444" w:rsidRDefault="004F3444" w:rsidP="004F3444">
      <w:pPr>
        <w:pStyle w:val="Grafikon"/>
        <w:numPr>
          <w:ilvl w:val="0"/>
          <w:numId w:val="0"/>
        </w:numPr>
        <w:ind w:left="360"/>
        <w:jc w:val="both"/>
      </w:pPr>
    </w:p>
    <w:p w:rsidR="004F3444" w:rsidRDefault="004F3444" w:rsidP="004F3444">
      <w:pPr>
        <w:pStyle w:val="Grafikon"/>
        <w:numPr>
          <w:ilvl w:val="0"/>
          <w:numId w:val="0"/>
        </w:numPr>
        <w:ind w:left="360"/>
        <w:jc w:val="both"/>
      </w:pPr>
    </w:p>
    <w:p w:rsidR="004F3444" w:rsidRDefault="004F3444" w:rsidP="004F3444">
      <w:pPr>
        <w:pStyle w:val="Grafikon"/>
        <w:numPr>
          <w:ilvl w:val="0"/>
          <w:numId w:val="0"/>
        </w:numPr>
        <w:ind w:left="360"/>
      </w:pPr>
      <w:r>
        <w:rPr>
          <w:noProof/>
          <w:lang w:val="en-US"/>
        </w:rPr>
        <w:drawing>
          <wp:inline distT="0" distB="0" distL="0" distR="0" wp14:anchorId="108B8354" wp14:editId="5339EAE2">
            <wp:extent cx="5112689" cy="1598212"/>
            <wp:effectExtent l="0" t="0" r="0" b="2540"/>
            <wp:docPr id="196" name="Chart 196"/>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4F3444" w:rsidRPr="000C749A" w:rsidRDefault="004F3444" w:rsidP="000C749A">
      <w:pPr>
        <w:pStyle w:val="Grafikon"/>
        <w:rPr>
          <w:rFonts w:ascii="Constantia" w:hAnsi="Constantia"/>
          <w:sz w:val="22"/>
          <w:szCs w:val="22"/>
        </w:rPr>
      </w:pPr>
      <w:r w:rsidRPr="000C749A">
        <w:rPr>
          <w:rFonts w:ascii="Constantia" w:hAnsi="Constantia"/>
          <w:sz w:val="22"/>
          <w:szCs w:val="22"/>
        </w:rPr>
        <w:t xml:space="preserve">Sadržaj fosfata u rijeci Tari </w:t>
      </w:r>
      <w:r w:rsidR="000C749A" w:rsidRPr="000C749A">
        <w:rPr>
          <w:rFonts w:ascii="Constantia" w:hAnsi="Constantia"/>
          <w:sz w:val="22"/>
          <w:szCs w:val="22"/>
        </w:rPr>
        <w:t>(</w:t>
      </w:r>
      <w:r w:rsidRPr="000C749A">
        <w:rPr>
          <w:rFonts w:ascii="Constantia" w:hAnsi="Constantia"/>
          <w:sz w:val="22"/>
          <w:szCs w:val="22"/>
        </w:rPr>
        <w:t>mg/l</w:t>
      </w:r>
      <w:r w:rsidR="000C749A" w:rsidRPr="000C749A">
        <w:rPr>
          <w:rFonts w:ascii="Constantia" w:hAnsi="Constantia"/>
          <w:sz w:val="22"/>
          <w:szCs w:val="22"/>
        </w:rPr>
        <w:t>)</w:t>
      </w:r>
    </w:p>
    <w:p w:rsidR="004F3444" w:rsidRDefault="004F3444" w:rsidP="004F3444">
      <w:pPr>
        <w:pStyle w:val="Grafikon"/>
        <w:numPr>
          <w:ilvl w:val="0"/>
          <w:numId w:val="0"/>
        </w:numPr>
        <w:ind w:left="360" w:hanging="360"/>
      </w:pPr>
    </w:p>
    <w:p w:rsidR="004F3444" w:rsidRDefault="004F3444" w:rsidP="004F3444">
      <w:pPr>
        <w:pStyle w:val="Grafikon"/>
        <w:numPr>
          <w:ilvl w:val="0"/>
          <w:numId w:val="0"/>
        </w:numPr>
        <w:ind w:left="360"/>
        <w:jc w:val="both"/>
      </w:pPr>
    </w:p>
    <w:p w:rsidR="004F3444" w:rsidRDefault="004F3444" w:rsidP="004F3444">
      <w:pPr>
        <w:pStyle w:val="Grafikon"/>
        <w:numPr>
          <w:ilvl w:val="0"/>
          <w:numId w:val="0"/>
        </w:numPr>
        <w:ind w:left="360"/>
      </w:pPr>
      <w:r>
        <w:rPr>
          <w:noProof/>
          <w:lang w:val="en-US"/>
        </w:rPr>
        <w:drawing>
          <wp:inline distT="0" distB="0" distL="0" distR="0" wp14:anchorId="6FF4B0DF" wp14:editId="193253E0">
            <wp:extent cx="5120640" cy="1956020"/>
            <wp:effectExtent l="0" t="0" r="3810" b="6350"/>
            <wp:docPr id="8212" name="Chart 8212"/>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4F3444" w:rsidRPr="000C749A" w:rsidRDefault="000C749A" w:rsidP="000C749A">
      <w:pPr>
        <w:pStyle w:val="Grafikon"/>
        <w:rPr>
          <w:rFonts w:ascii="Constantia" w:hAnsi="Constantia"/>
          <w:sz w:val="22"/>
          <w:szCs w:val="22"/>
        </w:rPr>
      </w:pPr>
      <w:r w:rsidRPr="000C749A">
        <w:rPr>
          <w:rFonts w:ascii="Constantia" w:hAnsi="Constantia"/>
          <w:sz w:val="22"/>
          <w:szCs w:val="22"/>
        </w:rPr>
        <w:t>Sadržaj fosfata u rijeci Zeti (</w:t>
      </w:r>
      <w:r w:rsidR="004F3444" w:rsidRPr="000C749A">
        <w:rPr>
          <w:rFonts w:ascii="Constantia" w:hAnsi="Constantia"/>
          <w:sz w:val="22"/>
          <w:szCs w:val="22"/>
        </w:rPr>
        <w:t>mg/l</w:t>
      </w:r>
      <w:r w:rsidRPr="000C749A">
        <w:rPr>
          <w:rFonts w:ascii="Constantia" w:hAnsi="Constantia"/>
          <w:sz w:val="22"/>
          <w:szCs w:val="22"/>
        </w:rPr>
        <w:t>)</w:t>
      </w:r>
    </w:p>
    <w:p w:rsidR="004F3444" w:rsidRDefault="004F3444" w:rsidP="004F3444">
      <w:pPr>
        <w:spacing w:after="0"/>
        <w:jc w:val="left"/>
        <w:rPr>
          <w:i/>
          <w:sz w:val="20"/>
          <w:lang w:val="sr-Latn-CS"/>
        </w:rPr>
      </w:pPr>
      <w:r>
        <w:br w:type="page"/>
      </w:r>
    </w:p>
    <w:p w:rsidR="004F3444" w:rsidRDefault="004F3444" w:rsidP="004F3444">
      <w:pPr>
        <w:pStyle w:val="Grafikon"/>
        <w:numPr>
          <w:ilvl w:val="0"/>
          <w:numId w:val="0"/>
        </w:numPr>
        <w:ind w:left="360"/>
      </w:pPr>
      <w:r>
        <w:rPr>
          <w:noProof/>
          <w:lang w:val="en-US"/>
        </w:rPr>
        <w:lastRenderedPageBreak/>
        <w:drawing>
          <wp:inline distT="0" distB="0" distL="0" distR="0" wp14:anchorId="3AC86B67" wp14:editId="35CD1CA5">
            <wp:extent cx="4810539" cy="1693628"/>
            <wp:effectExtent l="0" t="0" r="0" b="1905"/>
            <wp:docPr id="197" name="Chart 19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4F3444" w:rsidRPr="00B1284D" w:rsidRDefault="004F3444" w:rsidP="00B1284D">
      <w:pPr>
        <w:pStyle w:val="Grafikon"/>
        <w:rPr>
          <w:rFonts w:ascii="Constantia" w:hAnsi="Constantia"/>
          <w:sz w:val="22"/>
          <w:szCs w:val="22"/>
        </w:rPr>
      </w:pPr>
      <w:r w:rsidRPr="00B1284D">
        <w:rPr>
          <w:rFonts w:ascii="Constantia" w:hAnsi="Constantia"/>
          <w:sz w:val="22"/>
          <w:szCs w:val="22"/>
        </w:rPr>
        <w:t>Sadržaj fosfata u rijeci Ćehotini</w:t>
      </w:r>
      <w:r w:rsidR="00B1284D" w:rsidRPr="00B1284D">
        <w:rPr>
          <w:rFonts w:ascii="Constantia" w:hAnsi="Constantia"/>
          <w:sz w:val="22"/>
          <w:szCs w:val="22"/>
        </w:rPr>
        <w:t xml:space="preserve"> (</w:t>
      </w:r>
      <w:r w:rsidRPr="00B1284D">
        <w:rPr>
          <w:rFonts w:ascii="Constantia" w:hAnsi="Constantia"/>
          <w:sz w:val="22"/>
          <w:szCs w:val="22"/>
        </w:rPr>
        <w:t>mg/l</w:t>
      </w:r>
      <w:r w:rsidR="00B1284D" w:rsidRPr="00B1284D">
        <w:rPr>
          <w:rFonts w:ascii="Constantia" w:hAnsi="Constantia"/>
          <w:sz w:val="22"/>
          <w:szCs w:val="22"/>
        </w:rPr>
        <w:t>)</w:t>
      </w:r>
    </w:p>
    <w:p w:rsidR="004F3444" w:rsidRPr="00F970D5" w:rsidRDefault="004F3444" w:rsidP="004F3444">
      <w:pPr>
        <w:pStyle w:val="Grafikon"/>
        <w:numPr>
          <w:ilvl w:val="0"/>
          <w:numId w:val="0"/>
        </w:numPr>
        <w:ind w:left="360"/>
        <w:jc w:val="both"/>
        <w:rPr>
          <w:sz w:val="22"/>
          <w:szCs w:val="22"/>
        </w:rPr>
      </w:pPr>
    </w:p>
    <w:p w:rsidR="004F3444" w:rsidRDefault="004F3444" w:rsidP="004F3444">
      <w:pPr>
        <w:pStyle w:val="Grafikon"/>
        <w:numPr>
          <w:ilvl w:val="0"/>
          <w:numId w:val="0"/>
        </w:numPr>
        <w:ind w:left="360"/>
      </w:pPr>
      <w:r>
        <w:rPr>
          <w:noProof/>
          <w:lang w:val="en-US"/>
        </w:rPr>
        <w:drawing>
          <wp:inline distT="0" distB="0" distL="0" distR="0" wp14:anchorId="18D0B1B2" wp14:editId="193DC5A5">
            <wp:extent cx="5033175" cy="1979875"/>
            <wp:effectExtent l="0" t="0" r="0" b="1905"/>
            <wp:docPr id="199" name="Chart 199"/>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4F3444" w:rsidRPr="00621DD7" w:rsidRDefault="004F3444" w:rsidP="00B1284D">
      <w:pPr>
        <w:pStyle w:val="Grafikon"/>
        <w:rPr>
          <w:rFonts w:ascii="Constantia" w:hAnsi="Constantia"/>
          <w:sz w:val="22"/>
          <w:szCs w:val="22"/>
        </w:rPr>
      </w:pPr>
      <w:r w:rsidRPr="00621DD7">
        <w:rPr>
          <w:rFonts w:ascii="Constantia" w:hAnsi="Constantia"/>
          <w:sz w:val="22"/>
          <w:szCs w:val="22"/>
        </w:rPr>
        <w:t xml:space="preserve">Sadržaj fosfata u rijeci Lim </w:t>
      </w:r>
      <w:r w:rsidR="00621DD7" w:rsidRPr="00621DD7">
        <w:rPr>
          <w:rFonts w:ascii="Constantia" w:hAnsi="Constantia"/>
          <w:sz w:val="22"/>
          <w:szCs w:val="22"/>
        </w:rPr>
        <w:t>(</w:t>
      </w:r>
      <w:r w:rsidRPr="00621DD7">
        <w:rPr>
          <w:rFonts w:ascii="Constantia" w:hAnsi="Constantia"/>
          <w:sz w:val="22"/>
          <w:szCs w:val="22"/>
        </w:rPr>
        <w:t>mg/l</w:t>
      </w:r>
      <w:r w:rsidR="00621DD7" w:rsidRPr="00621DD7">
        <w:rPr>
          <w:rFonts w:ascii="Constantia" w:hAnsi="Constantia"/>
          <w:sz w:val="22"/>
          <w:szCs w:val="22"/>
        </w:rPr>
        <w:t>)</w:t>
      </w:r>
    </w:p>
    <w:p w:rsidR="004F3444" w:rsidRDefault="004F3444" w:rsidP="004F3444">
      <w:pPr>
        <w:pStyle w:val="Grafikon"/>
        <w:numPr>
          <w:ilvl w:val="0"/>
          <w:numId w:val="0"/>
        </w:numPr>
        <w:ind w:left="360"/>
        <w:jc w:val="both"/>
      </w:pPr>
    </w:p>
    <w:p w:rsidR="004F3444" w:rsidRDefault="004F3444" w:rsidP="004F3444">
      <w:pPr>
        <w:pStyle w:val="Grafikon"/>
        <w:numPr>
          <w:ilvl w:val="0"/>
          <w:numId w:val="0"/>
        </w:numPr>
        <w:ind w:left="360"/>
        <w:jc w:val="left"/>
      </w:pPr>
    </w:p>
    <w:p w:rsidR="004F3444" w:rsidRDefault="004F3444" w:rsidP="004F3444">
      <w:pPr>
        <w:pStyle w:val="Grafikon"/>
        <w:numPr>
          <w:ilvl w:val="0"/>
          <w:numId w:val="0"/>
        </w:numPr>
        <w:ind w:left="360"/>
      </w:pPr>
      <w:r>
        <w:rPr>
          <w:noProof/>
          <w:lang w:val="en-US"/>
        </w:rPr>
        <w:drawing>
          <wp:inline distT="0" distB="0" distL="0" distR="0" wp14:anchorId="71D40575" wp14:editId="6DE25462">
            <wp:extent cx="4587875" cy="1828800"/>
            <wp:effectExtent l="0" t="0" r="3175" b="0"/>
            <wp:docPr id="198" name="Chart 198"/>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4F3444" w:rsidRPr="00F970D5" w:rsidRDefault="004F3444" w:rsidP="00F970D5">
      <w:pPr>
        <w:pStyle w:val="Grafikon"/>
        <w:rPr>
          <w:rFonts w:ascii="Constantia" w:hAnsi="Constantia" w:cs="Arial"/>
          <w:sz w:val="22"/>
          <w:szCs w:val="22"/>
        </w:rPr>
      </w:pPr>
      <w:r w:rsidRPr="00F970D5">
        <w:rPr>
          <w:rFonts w:ascii="Constantia" w:hAnsi="Constantia" w:cs="Arial"/>
          <w:sz w:val="22"/>
          <w:szCs w:val="22"/>
        </w:rPr>
        <w:t xml:space="preserve">Sadržaj fosfata u Skadarskom jezeru </w:t>
      </w:r>
      <w:r w:rsidR="00F970D5" w:rsidRPr="00F970D5">
        <w:rPr>
          <w:rFonts w:ascii="Constantia" w:hAnsi="Constantia" w:cs="Arial"/>
          <w:sz w:val="22"/>
          <w:szCs w:val="22"/>
        </w:rPr>
        <w:t>(</w:t>
      </w:r>
      <w:r w:rsidRPr="00F970D5">
        <w:rPr>
          <w:rFonts w:ascii="Constantia" w:hAnsi="Constantia" w:cs="Arial"/>
          <w:sz w:val="22"/>
          <w:szCs w:val="22"/>
        </w:rPr>
        <w:t>mg/l</w:t>
      </w:r>
      <w:r w:rsidR="00F970D5" w:rsidRPr="00F970D5">
        <w:rPr>
          <w:rFonts w:ascii="Constantia" w:hAnsi="Constantia" w:cs="Arial"/>
          <w:sz w:val="22"/>
          <w:szCs w:val="22"/>
        </w:rPr>
        <w:t>)</w:t>
      </w:r>
    </w:p>
    <w:p w:rsidR="004F3444" w:rsidRDefault="004F3444" w:rsidP="004F3444">
      <w:pPr>
        <w:pStyle w:val="Grafikon"/>
        <w:numPr>
          <w:ilvl w:val="0"/>
          <w:numId w:val="0"/>
        </w:numPr>
        <w:ind w:left="360"/>
        <w:jc w:val="both"/>
      </w:pPr>
    </w:p>
    <w:p w:rsidR="004F3444" w:rsidRPr="009B3980" w:rsidRDefault="009B3980" w:rsidP="00097E04">
      <w:pPr>
        <w:pStyle w:val="Heading3"/>
      </w:pPr>
      <w:bookmarkStart w:id="43" w:name="_Toc393897878"/>
      <w:r w:rsidRPr="009B3980">
        <w:t xml:space="preserve">3.1.4  </w:t>
      </w:r>
      <w:r w:rsidR="004F3444" w:rsidRPr="00097E04">
        <w:t>Sadržaj</w:t>
      </w:r>
      <w:r w:rsidR="004F3444" w:rsidRPr="009B3980">
        <w:t xml:space="preserve"> nitrata</w:t>
      </w:r>
      <w:bookmarkEnd w:id="43"/>
    </w:p>
    <w:p w:rsidR="004F3444" w:rsidRPr="009B3980" w:rsidRDefault="004F3444" w:rsidP="004F3444">
      <w:pPr>
        <w:rPr>
          <w:rFonts w:ascii="Constantia" w:hAnsi="Constantia"/>
          <w:lang w:val="sr-Latn-CS"/>
        </w:rPr>
      </w:pPr>
      <w:r w:rsidRPr="009B3980">
        <w:rPr>
          <w:rFonts w:ascii="Constantia" w:hAnsi="Constantia"/>
          <w:lang w:val="sr-Latn-CS"/>
        </w:rPr>
        <w:t>Jedinjenja koja sadrže azot</w:t>
      </w:r>
      <w:r w:rsidR="00BD664F">
        <w:rPr>
          <w:rFonts w:ascii="Constantia" w:hAnsi="Constantia"/>
          <w:lang w:val="sr-Latn-CS"/>
        </w:rPr>
        <w:t xml:space="preserve"> </w:t>
      </w:r>
      <w:r w:rsidRPr="009B3980">
        <w:rPr>
          <w:rFonts w:ascii="Constantia" w:hAnsi="Constantia"/>
          <w:lang w:val="sr-Latn-CS"/>
        </w:rPr>
        <w:t xml:space="preserve">u vodi </w:t>
      </w:r>
      <w:r w:rsidR="009B3980">
        <w:rPr>
          <w:rFonts w:ascii="Constantia" w:hAnsi="Constantia"/>
          <w:lang w:val="sr-Latn-CS"/>
        </w:rPr>
        <w:t xml:space="preserve">se </w:t>
      </w:r>
      <w:r w:rsidRPr="009B3980">
        <w:rPr>
          <w:rFonts w:ascii="Constantia" w:hAnsi="Constantia"/>
          <w:lang w:val="sr-Latn-CS"/>
        </w:rPr>
        <w:t>ponašaju kao nutrijenti i izazivaju nedostatak kiseonika</w:t>
      </w:r>
      <w:r w:rsidR="009B3980">
        <w:rPr>
          <w:rFonts w:ascii="Constantia" w:hAnsi="Constantia"/>
          <w:lang w:val="sr-Latn-CS"/>
        </w:rPr>
        <w:t>, č</w:t>
      </w:r>
      <w:r w:rsidRPr="009B3980">
        <w:rPr>
          <w:rFonts w:ascii="Constantia" w:hAnsi="Constantia"/>
          <w:lang w:val="sr-Latn-CS"/>
        </w:rPr>
        <w:t>ime utiču na izumiranje živog svijeta. Glavni izvori zagađenja azotnim jedinjenjima su komunalne i industrijske otpadne vode,</w:t>
      </w:r>
      <w:r w:rsidR="00B7628A">
        <w:rPr>
          <w:rFonts w:ascii="Constantia" w:hAnsi="Constantia"/>
          <w:lang w:val="sr-Latn-CS"/>
        </w:rPr>
        <w:t xml:space="preserve"> </w:t>
      </w:r>
      <w:r w:rsidRPr="009B3980">
        <w:rPr>
          <w:rFonts w:ascii="Constantia" w:hAnsi="Constantia"/>
          <w:lang w:val="sr-Latn-CS"/>
        </w:rPr>
        <w:t xml:space="preserve">septičke jame, upotreba azotnih vještačkih đubriva u poljoprivredi i životinjski otpad. Bakterije u vodi veoma brzo prevode nitrate u nitrite. </w:t>
      </w:r>
    </w:p>
    <w:p w:rsidR="004F3444" w:rsidRPr="003B5373" w:rsidRDefault="004F3444" w:rsidP="004F3444">
      <w:pPr>
        <w:rPr>
          <w:rFonts w:ascii="Constantia" w:hAnsi="Constantia"/>
          <w:lang w:val="sr-Latn-CS"/>
        </w:rPr>
      </w:pPr>
      <w:r w:rsidRPr="003B5373">
        <w:rPr>
          <w:rFonts w:ascii="Constantia" w:hAnsi="Constantia"/>
          <w:lang w:val="sr-Latn-CS"/>
        </w:rPr>
        <w:lastRenderedPageBreak/>
        <w:t>Uticaj nitrita na zdravlje ljudi je veoma negativan, jer reaguju direktno sa hemoglobinom u krvi proizvodeći met-hemoglobin koji uništava sposobnost crvenih krvnih zrnaca da vezuju i prenose kiseonik.</w:t>
      </w:r>
    </w:p>
    <w:p w:rsidR="004F3444" w:rsidRDefault="004F3444" w:rsidP="004F3444">
      <w:pPr>
        <w:rPr>
          <w:rFonts w:ascii="Constantia" w:hAnsi="Constantia"/>
          <w:lang w:val="sr-Latn-CS"/>
        </w:rPr>
      </w:pPr>
      <w:r w:rsidRPr="003B5373">
        <w:rPr>
          <w:rFonts w:ascii="Constantia" w:hAnsi="Constantia"/>
          <w:lang w:val="sr-Latn-CS"/>
        </w:rPr>
        <w:t>Na osnovu rezultata ispitivanja kvaliteta površinskih voda može se zaključiti da su izmjerene vrijednosti za nitrate u granicama dozvoljenih koncentracija.</w:t>
      </w:r>
    </w:p>
    <w:p w:rsidR="00D160C2" w:rsidRPr="00673B98" w:rsidRDefault="00D160C2" w:rsidP="00D160C2">
      <w:pPr>
        <w:spacing w:after="0"/>
        <w:rPr>
          <w:rFonts w:ascii="Constantia" w:hAnsi="Constantia"/>
          <w:lang w:val="sr-Latn-CS"/>
        </w:rPr>
      </w:pPr>
    </w:p>
    <w:p w:rsidR="004F3444" w:rsidRDefault="004F3444" w:rsidP="004F3444">
      <w:pPr>
        <w:pStyle w:val="Grafikon"/>
        <w:numPr>
          <w:ilvl w:val="0"/>
          <w:numId w:val="0"/>
        </w:numPr>
        <w:ind w:left="360"/>
      </w:pPr>
      <w:r>
        <w:rPr>
          <w:noProof/>
          <w:lang w:val="en-US"/>
        </w:rPr>
        <w:drawing>
          <wp:inline distT="0" distB="0" distL="0" distR="0" wp14:anchorId="1ECC2F9C" wp14:editId="1A4B3ED4">
            <wp:extent cx="4572000" cy="2099144"/>
            <wp:effectExtent l="0" t="0" r="0" b="0"/>
            <wp:docPr id="8211" name="Chart 821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4F3444" w:rsidRPr="00673B98" w:rsidRDefault="004F3444" w:rsidP="00237B49">
      <w:pPr>
        <w:pStyle w:val="Grafikon"/>
        <w:rPr>
          <w:rFonts w:ascii="Constantia" w:hAnsi="Constantia"/>
          <w:sz w:val="22"/>
          <w:szCs w:val="22"/>
        </w:rPr>
      </w:pPr>
      <w:r w:rsidRPr="00673B98">
        <w:rPr>
          <w:rFonts w:ascii="Constantia" w:hAnsi="Constantia"/>
          <w:sz w:val="22"/>
          <w:szCs w:val="22"/>
        </w:rPr>
        <w:t xml:space="preserve">Sadržaj nitrata u rijeci Morači </w:t>
      </w:r>
      <w:r w:rsidR="00673B98" w:rsidRPr="00673B98">
        <w:rPr>
          <w:rFonts w:ascii="Constantia" w:hAnsi="Constantia"/>
          <w:sz w:val="22"/>
          <w:szCs w:val="22"/>
        </w:rPr>
        <w:t>(</w:t>
      </w:r>
      <w:r w:rsidRPr="00673B98">
        <w:rPr>
          <w:rFonts w:ascii="Constantia" w:hAnsi="Constantia"/>
          <w:sz w:val="22"/>
          <w:szCs w:val="22"/>
        </w:rPr>
        <w:t>mg/l</w:t>
      </w:r>
      <w:r w:rsidR="00673B98" w:rsidRPr="00673B98">
        <w:rPr>
          <w:rFonts w:ascii="Constantia" w:hAnsi="Constantia"/>
          <w:sz w:val="22"/>
          <w:szCs w:val="22"/>
        </w:rPr>
        <w:t>)</w:t>
      </w:r>
    </w:p>
    <w:p w:rsidR="004F3444" w:rsidRDefault="004F3444" w:rsidP="004F3444">
      <w:pPr>
        <w:pStyle w:val="Grafikon"/>
        <w:numPr>
          <w:ilvl w:val="0"/>
          <w:numId w:val="0"/>
        </w:numPr>
        <w:ind w:left="360"/>
        <w:jc w:val="both"/>
      </w:pPr>
    </w:p>
    <w:p w:rsidR="004F3444" w:rsidRDefault="004F3444" w:rsidP="004F3444">
      <w:pPr>
        <w:pStyle w:val="Grafikon"/>
        <w:numPr>
          <w:ilvl w:val="0"/>
          <w:numId w:val="0"/>
        </w:numPr>
        <w:ind w:left="360"/>
      </w:pPr>
      <w:r>
        <w:rPr>
          <w:noProof/>
          <w:lang w:val="en-US"/>
        </w:rPr>
        <w:drawing>
          <wp:inline distT="0" distB="0" distL="0" distR="0" wp14:anchorId="53B6059C" wp14:editId="09020D2A">
            <wp:extent cx="4683319" cy="1828800"/>
            <wp:effectExtent l="0" t="0" r="3175" b="0"/>
            <wp:docPr id="8210" name="Chart 8210"/>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4F3444" w:rsidRPr="00673B98" w:rsidRDefault="004F3444" w:rsidP="00673B98">
      <w:pPr>
        <w:pStyle w:val="Grafikon"/>
        <w:rPr>
          <w:rFonts w:ascii="Constantia" w:hAnsi="Constantia"/>
          <w:sz w:val="22"/>
          <w:szCs w:val="22"/>
        </w:rPr>
      </w:pPr>
      <w:r w:rsidRPr="00673B98">
        <w:rPr>
          <w:rFonts w:ascii="Constantia" w:hAnsi="Constantia"/>
          <w:sz w:val="22"/>
          <w:szCs w:val="22"/>
        </w:rPr>
        <w:t xml:space="preserve">Sadržaj nitrata u rijeci Zeti </w:t>
      </w:r>
      <w:r w:rsidR="00673B98" w:rsidRPr="00673B98">
        <w:rPr>
          <w:rFonts w:ascii="Constantia" w:hAnsi="Constantia"/>
          <w:sz w:val="22"/>
          <w:szCs w:val="22"/>
        </w:rPr>
        <w:t>(</w:t>
      </w:r>
      <w:r w:rsidRPr="00673B98">
        <w:rPr>
          <w:rFonts w:ascii="Constantia" w:hAnsi="Constantia"/>
          <w:sz w:val="22"/>
          <w:szCs w:val="22"/>
        </w:rPr>
        <w:t>mg/l</w:t>
      </w:r>
      <w:r w:rsidR="00673B98" w:rsidRPr="00673B98">
        <w:rPr>
          <w:rFonts w:ascii="Constantia" w:hAnsi="Constantia"/>
          <w:sz w:val="22"/>
          <w:szCs w:val="22"/>
        </w:rPr>
        <w:t>)</w:t>
      </w:r>
    </w:p>
    <w:p w:rsidR="00673B98" w:rsidRDefault="00673B98" w:rsidP="004F3444">
      <w:pPr>
        <w:pStyle w:val="Grafikon"/>
        <w:numPr>
          <w:ilvl w:val="0"/>
          <w:numId w:val="0"/>
        </w:numPr>
        <w:ind w:left="360"/>
        <w:jc w:val="both"/>
      </w:pPr>
    </w:p>
    <w:p w:rsidR="004F3444" w:rsidRDefault="004F3444" w:rsidP="004F3444">
      <w:pPr>
        <w:pStyle w:val="Grafikon"/>
        <w:numPr>
          <w:ilvl w:val="0"/>
          <w:numId w:val="0"/>
        </w:numPr>
        <w:ind w:left="360"/>
      </w:pPr>
      <w:r>
        <w:rPr>
          <w:noProof/>
          <w:lang w:val="en-US"/>
        </w:rPr>
        <w:drawing>
          <wp:inline distT="0" distB="0" distL="0" distR="0" wp14:anchorId="2EBFAF6B" wp14:editId="0AB96754">
            <wp:extent cx="4675367" cy="2091193"/>
            <wp:effectExtent l="0" t="0" r="0" b="4445"/>
            <wp:docPr id="8209" name="Chart 8209"/>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4F3444" w:rsidRPr="00673B98" w:rsidRDefault="004F3444" w:rsidP="00673B98">
      <w:pPr>
        <w:pStyle w:val="Grafikon"/>
        <w:rPr>
          <w:rFonts w:ascii="Constantia" w:hAnsi="Constantia"/>
          <w:sz w:val="22"/>
          <w:szCs w:val="22"/>
        </w:rPr>
      </w:pPr>
      <w:r w:rsidRPr="00673B98">
        <w:rPr>
          <w:rFonts w:ascii="Constantia" w:hAnsi="Constantia"/>
          <w:sz w:val="22"/>
          <w:szCs w:val="22"/>
        </w:rPr>
        <w:t xml:space="preserve">Sadržaj nitrata u rijeci Lim </w:t>
      </w:r>
      <w:r w:rsidR="00673B98" w:rsidRPr="00673B98">
        <w:rPr>
          <w:rFonts w:ascii="Constantia" w:hAnsi="Constantia"/>
          <w:sz w:val="22"/>
          <w:szCs w:val="22"/>
        </w:rPr>
        <w:t>(</w:t>
      </w:r>
      <w:r w:rsidRPr="00673B98">
        <w:rPr>
          <w:rFonts w:ascii="Constantia" w:hAnsi="Constantia"/>
          <w:sz w:val="22"/>
          <w:szCs w:val="22"/>
        </w:rPr>
        <w:t>mg/l</w:t>
      </w:r>
      <w:r w:rsidR="00673B98" w:rsidRPr="00673B98">
        <w:rPr>
          <w:rFonts w:ascii="Constantia" w:hAnsi="Constantia"/>
          <w:sz w:val="22"/>
          <w:szCs w:val="22"/>
        </w:rPr>
        <w:t>)</w:t>
      </w:r>
    </w:p>
    <w:p w:rsidR="004F3444" w:rsidRDefault="004F3444" w:rsidP="004F3444">
      <w:pPr>
        <w:pStyle w:val="Grafikon"/>
        <w:numPr>
          <w:ilvl w:val="0"/>
          <w:numId w:val="0"/>
        </w:numPr>
        <w:ind w:left="360"/>
        <w:jc w:val="both"/>
      </w:pPr>
    </w:p>
    <w:p w:rsidR="004F3444" w:rsidRDefault="004F3444" w:rsidP="004F3444">
      <w:pPr>
        <w:pStyle w:val="Grafikon"/>
        <w:numPr>
          <w:ilvl w:val="0"/>
          <w:numId w:val="0"/>
        </w:numPr>
        <w:ind w:left="360"/>
        <w:jc w:val="both"/>
      </w:pPr>
    </w:p>
    <w:p w:rsidR="004F3444" w:rsidRDefault="004F3444" w:rsidP="004F3444">
      <w:pPr>
        <w:pStyle w:val="Grafikon"/>
        <w:numPr>
          <w:ilvl w:val="0"/>
          <w:numId w:val="0"/>
        </w:numPr>
        <w:ind w:left="360"/>
      </w:pPr>
      <w:r>
        <w:rPr>
          <w:noProof/>
          <w:lang w:val="en-US"/>
        </w:rPr>
        <w:drawing>
          <wp:inline distT="0" distB="0" distL="0" distR="0" wp14:anchorId="05BDB1A0" wp14:editId="5953EBC4">
            <wp:extent cx="4675367" cy="2099144"/>
            <wp:effectExtent l="0" t="0" r="0" b="0"/>
            <wp:docPr id="8208" name="Chart 8208"/>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4F3444" w:rsidRPr="00673B98" w:rsidRDefault="004F3444" w:rsidP="00673B98">
      <w:pPr>
        <w:pStyle w:val="Grafikon"/>
        <w:rPr>
          <w:rFonts w:ascii="Constantia" w:hAnsi="Constantia"/>
          <w:sz w:val="22"/>
          <w:szCs w:val="22"/>
        </w:rPr>
      </w:pPr>
      <w:r w:rsidRPr="00673B98">
        <w:rPr>
          <w:rFonts w:ascii="Constantia" w:hAnsi="Constantia"/>
          <w:sz w:val="22"/>
          <w:szCs w:val="22"/>
        </w:rPr>
        <w:t xml:space="preserve">Sadržaj nitrata u rijeci Tari </w:t>
      </w:r>
      <w:r w:rsidR="00673B98" w:rsidRPr="00673B98">
        <w:rPr>
          <w:rFonts w:ascii="Constantia" w:hAnsi="Constantia"/>
          <w:sz w:val="22"/>
          <w:szCs w:val="22"/>
        </w:rPr>
        <w:t>(</w:t>
      </w:r>
      <w:r w:rsidRPr="00673B98">
        <w:rPr>
          <w:rFonts w:ascii="Constantia" w:hAnsi="Constantia"/>
          <w:sz w:val="22"/>
          <w:szCs w:val="22"/>
        </w:rPr>
        <w:t>mg/l</w:t>
      </w:r>
      <w:r w:rsidR="00673B98" w:rsidRPr="00673B98">
        <w:rPr>
          <w:rFonts w:ascii="Constantia" w:hAnsi="Constantia"/>
          <w:sz w:val="22"/>
          <w:szCs w:val="22"/>
        </w:rPr>
        <w:t>)</w:t>
      </w:r>
    </w:p>
    <w:p w:rsidR="004F3444" w:rsidRDefault="004F3444" w:rsidP="004F3444">
      <w:pPr>
        <w:pStyle w:val="Grafikon"/>
        <w:numPr>
          <w:ilvl w:val="0"/>
          <w:numId w:val="0"/>
        </w:numPr>
        <w:ind w:left="360"/>
        <w:jc w:val="both"/>
      </w:pPr>
    </w:p>
    <w:p w:rsidR="004F3444" w:rsidRDefault="004F3444" w:rsidP="004F3444">
      <w:pPr>
        <w:pStyle w:val="Grafikon"/>
        <w:numPr>
          <w:ilvl w:val="0"/>
          <w:numId w:val="0"/>
        </w:numPr>
        <w:ind w:left="360"/>
      </w:pPr>
      <w:r>
        <w:rPr>
          <w:noProof/>
          <w:lang w:val="en-US"/>
        </w:rPr>
        <w:drawing>
          <wp:inline distT="0" distB="0" distL="0" distR="0" wp14:anchorId="0388913A" wp14:editId="29381B70">
            <wp:extent cx="4850296" cy="2027583"/>
            <wp:effectExtent l="0" t="0" r="0" b="0"/>
            <wp:docPr id="8207" name="Chart 8207"/>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4F3444" w:rsidRPr="00863A03" w:rsidRDefault="004F3444" w:rsidP="00863A03">
      <w:pPr>
        <w:pStyle w:val="Grafikon"/>
        <w:rPr>
          <w:rFonts w:ascii="Constantia" w:hAnsi="Constantia"/>
          <w:sz w:val="22"/>
          <w:szCs w:val="22"/>
        </w:rPr>
      </w:pPr>
      <w:r w:rsidRPr="00863A03">
        <w:rPr>
          <w:rFonts w:ascii="Constantia" w:hAnsi="Constantia"/>
          <w:sz w:val="22"/>
          <w:szCs w:val="22"/>
        </w:rPr>
        <w:t>Sadržaj nitrata u rijeci Ćehotini</w:t>
      </w:r>
      <w:r w:rsidR="00863A03" w:rsidRPr="00863A03">
        <w:rPr>
          <w:rFonts w:ascii="Constantia" w:hAnsi="Constantia"/>
          <w:sz w:val="22"/>
          <w:szCs w:val="22"/>
        </w:rPr>
        <w:t xml:space="preserve"> (</w:t>
      </w:r>
      <w:r w:rsidRPr="00863A03">
        <w:rPr>
          <w:rFonts w:ascii="Constantia" w:hAnsi="Constantia"/>
          <w:sz w:val="22"/>
          <w:szCs w:val="22"/>
        </w:rPr>
        <w:t>mg/l</w:t>
      </w:r>
      <w:r w:rsidR="00863A03" w:rsidRPr="00863A03">
        <w:rPr>
          <w:rFonts w:ascii="Constantia" w:hAnsi="Constantia"/>
          <w:sz w:val="22"/>
          <w:szCs w:val="22"/>
        </w:rPr>
        <w:t>)</w:t>
      </w:r>
    </w:p>
    <w:p w:rsidR="004F3444" w:rsidRDefault="004F3444" w:rsidP="004F3444">
      <w:pPr>
        <w:pStyle w:val="Grafikon"/>
        <w:numPr>
          <w:ilvl w:val="0"/>
          <w:numId w:val="0"/>
        </w:numPr>
        <w:ind w:left="360"/>
        <w:jc w:val="both"/>
      </w:pPr>
    </w:p>
    <w:p w:rsidR="004F3444" w:rsidRDefault="004F3444" w:rsidP="004F3444">
      <w:pPr>
        <w:pStyle w:val="Grafikon"/>
        <w:numPr>
          <w:ilvl w:val="0"/>
          <w:numId w:val="0"/>
        </w:numPr>
        <w:ind w:left="360"/>
      </w:pPr>
      <w:r>
        <w:rPr>
          <w:noProof/>
          <w:lang w:val="en-US"/>
        </w:rPr>
        <w:drawing>
          <wp:inline distT="0" distB="0" distL="0" distR="0" wp14:anchorId="68816875" wp14:editId="4791495D">
            <wp:extent cx="5064981" cy="2480807"/>
            <wp:effectExtent l="0" t="0" r="0" b="0"/>
            <wp:docPr id="8206" name="Chart 8206"/>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F3444" w:rsidRPr="00863A03" w:rsidRDefault="004F3444" w:rsidP="00863A03">
      <w:pPr>
        <w:pStyle w:val="Grafikon"/>
        <w:rPr>
          <w:rFonts w:ascii="Constantia" w:hAnsi="Constantia"/>
          <w:sz w:val="22"/>
          <w:szCs w:val="22"/>
        </w:rPr>
      </w:pPr>
      <w:r w:rsidRPr="00863A03">
        <w:rPr>
          <w:rFonts w:ascii="Constantia" w:hAnsi="Constantia"/>
          <w:sz w:val="22"/>
          <w:szCs w:val="22"/>
        </w:rPr>
        <w:t xml:space="preserve">Sadržaj nitrata u Skadarskom jezeru </w:t>
      </w:r>
      <w:r w:rsidR="00863A03" w:rsidRPr="00863A03">
        <w:rPr>
          <w:rFonts w:ascii="Constantia" w:hAnsi="Constantia"/>
          <w:sz w:val="22"/>
          <w:szCs w:val="22"/>
        </w:rPr>
        <w:t>(</w:t>
      </w:r>
      <w:r w:rsidRPr="00863A03">
        <w:rPr>
          <w:rFonts w:ascii="Constantia" w:hAnsi="Constantia"/>
          <w:sz w:val="22"/>
          <w:szCs w:val="22"/>
        </w:rPr>
        <w:t>mg/l</w:t>
      </w:r>
      <w:r w:rsidR="00863A03" w:rsidRPr="00863A03">
        <w:rPr>
          <w:rFonts w:ascii="Constantia" w:hAnsi="Constantia"/>
          <w:sz w:val="22"/>
          <w:szCs w:val="22"/>
        </w:rPr>
        <w:t>)</w:t>
      </w:r>
    </w:p>
    <w:p w:rsidR="004F3444" w:rsidRPr="00F22042" w:rsidRDefault="004F3444" w:rsidP="00086185">
      <w:pPr>
        <w:pStyle w:val="Heading2"/>
        <w:ind w:left="720"/>
      </w:pPr>
      <w:bookmarkStart w:id="44" w:name="_Toc393897879"/>
      <w:r w:rsidRPr="00F22042">
        <w:lastRenderedPageBreak/>
        <w:t>Ocjena stanja površinskih voda</w:t>
      </w:r>
      <w:bookmarkEnd w:id="44"/>
    </w:p>
    <w:p w:rsidR="004F3444" w:rsidRPr="00A86937" w:rsidRDefault="004F3444" w:rsidP="004F3444">
      <w:pPr>
        <w:rPr>
          <w:rFonts w:ascii="Constantia" w:hAnsi="Constantia"/>
        </w:rPr>
      </w:pPr>
      <w:r w:rsidRPr="00172AD5">
        <w:rPr>
          <w:rFonts w:ascii="Constantia" w:hAnsi="Constantia"/>
        </w:rPr>
        <w:t>Situacija u pogledu vrste izvora zagađenja nije se promijenila u odnosu na raniji period. Kao i prethodnih godina</w:t>
      </w:r>
      <w:r w:rsidR="00D739A9">
        <w:rPr>
          <w:rFonts w:ascii="Constantia" w:hAnsi="Constantia"/>
        </w:rPr>
        <w:t>,</w:t>
      </w:r>
      <w:r w:rsidRPr="00172AD5">
        <w:rPr>
          <w:rFonts w:ascii="Constantia" w:hAnsi="Constantia"/>
        </w:rPr>
        <w:t xml:space="preserve"> najveći izvori zagađenja površinskih i podzemnih voda su komunalne otpadne vode, koje se najčešće u neprečišćenom obliku ispuštaju u recipijent, na koncentrisan ili difuzan način. Uočljiv je trend rasta uticaja industrije, prije svega prehrambene, kao i malih i</w:t>
      </w:r>
      <w:r w:rsidR="00926752">
        <w:rPr>
          <w:rFonts w:ascii="Constantia" w:hAnsi="Constantia"/>
        </w:rPr>
        <w:t xml:space="preserve"> </w:t>
      </w:r>
      <w:r w:rsidRPr="00A86937">
        <w:rPr>
          <w:rFonts w:ascii="Constantia" w:hAnsi="Constantia"/>
        </w:rPr>
        <w:t>srednjih preduzeća. Važno je pomenuti i sve veći uticaj saobraćajne infrastrukture i distribucije goriva na kvalitet površinskih voda.</w:t>
      </w:r>
    </w:p>
    <w:p w:rsidR="004F3444" w:rsidRPr="00A86937" w:rsidRDefault="004F3444" w:rsidP="004F3444">
      <w:pPr>
        <w:rPr>
          <w:rFonts w:ascii="Constantia" w:hAnsi="Constantia"/>
        </w:rPr>
      </w:pPr>
      <w:r w:rsidRPr="00A86937">
        <w:rPr>
          <w:rFonts w:ascii="Constantia" w:hAnsi="Constantia"/>
        </w:rPr>
        <w:t>Na sezonski, ali i dugoročni period (vremenski trend) na promjenu prirodnog sastava voda vodotoka ukazuju poremećaji prirodnog jonskog odnosa Ca/Mg, koji je često bio van propisanih granica. Kod ove grupe vodnih tijela bile su često povećane vrijednosti sadržaja amonijum jona, fosfata i deterdžentata.</w:t>
      </w:r>
      <w:r w:rsidR="00D739A9">
        <w:rPr>
          <w:rFonts w:ascii="Constantia" w:hAnsi="Constantia"/>
        </w:rPr>
        <w:t xml:space="preserve"> </w:t>
      </w:r>
      <w:r w:rsidRPr="00A86937">
        <w:rPr>
          <w:rFonts w:ascii="Constantia" w:hAnsi="Constantia"/>
        </w:rPr>
        <w:t>Često je postojala i povećana saturacija kiseonikom</w:t>
      </w:r>
      <w:r w:rsidR="00A86937">
        <w:rPr>
          <w:rFonts w:ascii="Constantia" w:hAnsi="Constantia"/>
        </w:rPr>
        <w:t>,</w:t>
      </w:r>
      <w:r w:rsidRPr="00A86937">
        <w:rPr>
          <w:rFonts w:ascii="Constantia" w:hAnsi="Constantia"/>
        </w:rPr>
        <w:t xml:space="preserve"> koju su uslovljavali i prirodni faktori, ni</w:t>
      </w:r>
      <w:r w:rsidR="00FB1F7D">
        <w:rPr>
          <w:rFonts w:ascii="Constantia" w:hAnsi="Constantia"/>
        </w:rPr>
        <w:t>zak</w:t>
      </w:r>
      <w:r w:rsidRPr="00A86937">
        <w:rPr>
          <w:rFonts w:ascii="Constantia" w:hAnsi="Constantia"/>
        </w:rPr>
        <w:t xml:space="preserve"> vodostaj i visoke temperature vazduha, odnosno vode.</w:t>
      </w:r>
    </w:p>
    <w:p w:rsidR="004F3444" w:rsidRPr="00A86937" w:rsidRDefault="00A86937" w:rsidP="00A86937">
      <w:pPr>
        <w:rPr>
          <w:rFonts w:ascii="Constantia" w:hAnsi="Constantia"/>
        </w:rPr>
      </w:pPr>
      <w:r>
        <w:rPr>
          <w:rFonts w:ascii="Constantia" w:hAnsi="Constantia"/>
        </w:rPr>
        <w:t>K</w:t>
      </w:r>
      <w:r w:rsidRPr="00A86937">
        <w:rPr>
          <w:rFonts w:ascii="Constantia" w:hAnsi="Constantia"/>
        </w:rPr>
        <w:t xml:space="preserve">ao i predhodnih godina, </w:t>
      </w:r>
      <w:r>
        <w:rPr>
          <w:rFonts w:ascii="Constantia" w:hAnsi="Constantia"/>
        </w:rPr>
        <w:t>n</w:t>
      </w:r>
      <w:r w:rsidR="004F3444" w:rsidRPr="00A86937">
        <w:rPr>
          <w:rFonts w:ascii="Constantia" w:hAnsi="Constantia"/>
        </w:rPr>
        <w:t>ajzagađeniji vodotoci su</w:t>
      </w:r>
      <w:r w:rsidR="00C85CD6">
        <w:rPr>
          <w:rFonts w:ascii="Constantia" w:hAnsi="Constantia"/>
        </w:rPr>
        <w:t xml:space="preserve"> </w:t>
      </w:r>
      <w:r w:rsidR="004F3444" w:rsidRPr="00A86937">
        <w:rPr>
          <w:rFonts w:ascii="Constantia" w:hAnsi="Constantia"/>
        </w:rPr>
        <w:t>bili Vezišnica i Ćehotina na području Pljevalja, Ibar kod Baća i Morača na području ispod uliva voda gradskog kolektora Podgorice. Umjeren</w:t>
      </w:r>
      <w:r w:rsidR="00116483">
        <w:rPr>
          <w:rFonts w:ascii="Constantia" w:hAnsi="Constantia"/>
        </w:rPr>
        <w:t>i</w:t>
      </w:r>
      <w:r w:rsidR="004F3444" w:rsidRPr="00A86937">
        <w:rPr>
          <w:rFonts w:ascii="Constantia" w:hAnsi="Constantia"/>
        </w:rPr>
        <w:t xml:space="preserve">ju zagađenost imaju vode Crnojevića </w:t>
      </w:r>
      <w:r w:rsidR="00C85CD6">
        <w:rPr>
          <w:rFonts w:ascii="Constantia" w:hAnsi="Constantia"/>
        </w:rPr>
        <w:t>r</w:t>
      </w:r>
      <w:r w:rsidR="004F3444" w:rsidRPr="00A86937">
        <w:rPr>
          <w:rFonts w:ascii="Constantia" w:hAnsi="Constantia"/>
        </w:rPr>
        <w:t>ijeke, Grnčar</w:t>
      </w:r>
      <w:r w:rsidR="00A22018">
        <w:rPr>
          <w:rFonts w:ascii="Constantia" w:hAnsi="Constantia"/>
        </w:rPr>
        <w:t>a i donji tok Cijevne, d</w:t>
      </w:r>
      <w:r w:rsidR="004F3444" w:rsidRPr="00A86937">
        <w:rPr>
          <w:rFonts w:ascii="Constantia" w:hAnsi="Constantia"/>
        </w:rPr>
        <w:t>obar status kvaliteta imali su Lim i Tara, veoma dobar Zeta i Bojana, a najbolji, može se reći odličan kvalitet Piva i Kutska rijeka. Rezultati mjerenja ukazuju na veliku osjetljivost ovih vodenih sistema, prije svega u režimu malovodnosti. Stanje kvaliteta voda ispitivanih vodotoka u 2013.</w:t>
      </w:r>
      <w:r w:rsidR="00C85CD6">
        <w:rPr>
          <w:rFonts w:ascii="Constantia" w:hAnsi="Constantia"/>
        </w:rPr>
        <w:t xml:space="preserve"> </w:t>
      </w:r>
      <w:r w:rsidR="004F3444" w:rsidRPr="00A86937">
        <w:rPr>
          <w:rFonts w:ascii="Constantia" w:hAnsi="Constantia"/>
        </w:rPr>
        <w:t>godini bio je bolji nego u 2012.</w:t>
      </w:r>
      <w:r w:rsidR="00C85CD6">
        <w:rPr>
          <w:rFonts w:ascii="Constantia" w:hAnsi="Constantia"/>
        </w:rPr>
        <w:t xml:space="preserve"> </w:t>
      </w:r>
      <w:r w:rsidR="004F3444" w:rsidRPr="00A86937">
        <w:rPr>
          <w:rFonts w:ascii="Constantia" w:hAnsi="Constantia"/>
        </w:rPr>
        <w:t xml:space="preserve">godini, što se </w:t>
      </w:r>
      <w:r w:rsidR="00A22018">
        <w:rPr>
          <w:rFonts w:ascii="Constantia" w:hAnsi="Constantia"/>
        </w:rPr>
        <w:t xml:space="preserve">može tumačiti povoljnijim meteorološkim </w:t>
      </w:r>
      <w:r w:rsidR="004F3444" w:rsidRPr="00A86937">
        <w:rPr>
          <w:rFonts w:ascii="Constantia" w:hAnsi="Constantia"/>
        </w:rPr>
        <w:t xml:space="preserve">uslovima i manjim </w:t>
      </w:r>
      <w:r w:rsidR="00496F38">
        <w:rPr>
          <w:rFonts w:ascii="Constantia" w:hAnsi="Constantia"/>
        </w:rPr>
        <w:t>pritisk</w:t>
      </w:r>
      <w:r w:rsidR="002B6EC7">
        <w:rPr>
          <w:rFonts w:ascii="Constantia" w:hAnsi="Constantia"/>
        </w:rPr>
        <w:t>om</w:t>
      </w:r>
      <w:r w:rsidR="00C85CD6">
        <w:rPr>
          <w:rFonts w:ascii="Constantia" w:hAnsi="Constantia"/>
        </w:rPr>
        <w:t xml:space="preserve"> </w:t>
      </w:r>
      <w:r w:rsidR="004F3444" w:rsidRPr="00A86937">
        <w:rPr>
          <w:rFonts w:ascii="Constantia" w:hAnsi="Constantia"/>
        </w:rPr>
        <w:t>ljudsk</w:t>
      </w:r>
      <w:r w:rsidR="00496F38">
        <w:rPr>
          <w:rFonts w:ascii="Constantia" w:hAnsi="Constantia"/>
        </w:rPr>
        <w:t>og faktora</w:t>
      </w:r>
      <w:r w:rsidR="004F3444" w:rsidRPr="00A86937">
        <w:rPr>
          <w:rFonts w:ascii="Constantia" w:hAnsi="Constantia"/>
        </w:rPr>
        <w:t xml:space="preserve">. </w:t>
      </w:r>
    </w:p>
    <w:p w:rsidR="004F3444" w:rsidRPr="00A86937" w:rsidRDefault="004F3444" w:rsidP="004F3444">
      <w:pPr>
        <w:rPr>
          <w:rFonts w:ascii="Constantia" w:hAnsi="Constantia"/>
        </w:rPr>
      </w:pPr>
      <w:r w:rsidRPr="00A86937">
        <w:rPr>
          <w:rFonts w:ascii="Constantia" w:hAnsi="Constantia"/>
        </w:rPr>
        <w:t>U nastavku je data analiza svakog vodotoka pojedinačno.</w:t>
      </w:r>
    </w:p>
    <w:p w:rsidR="004F3444" w:rsidRPr="00A86937" w:rsidRDefault="004F3444" w:rsidP="004F3444">
      <w:pPr>
        <w:rPr>
          <w:rFonts w:ascii="Constantia" w:hAnsi="Constantia"/>
        </w:rPr>
      </w:pPr>
      <w:r w:rsidRPr="00A86937">
        <w:rPr>
          <w:rFonts w:ascii="Constantia" w:hAnsi="Constantia"/>
          <w:b/>
          <w:i/>
        </w:rPr>
        <w:t>Morača</w:t>
      </w:r>
      <w:r w:rsidRPr="00A86937">
        <w:rPr>
          <w:rFonts w:ascii="Constantia" w:hAnsi="Constantia"/>
        </w:rPr>
        <w:t xml:space="preserve"> se uzorkuje na 6 mjesta i prema klasifikaciji njene vode treba da pripadaju A1,S,K1 klasi uzvodno od Duklje (Pernica i Zlatica) i nizvodno od Duklje do ušća u Skadarsko jezero A2,C,K2 klasi (gradska plaža Momišići, ispod uliva voda Gradskog kolektora, Grbavci i Vukovci).</w:t>
      </w:r>
    </w:p>
    <w:p w:rsidR="004F3444" w:rsidRPr="00A86937" w:rsidRDefault="004F3444" w:rsidP="004F3444">
      <w:pPr>
        <w:rPr>
          <w:rFonts w:ascii="Constantia" w:hAnsi="Constantia"/>
        </w:rPr>
      </w:pPr>
      <w:r w:rsidRPr="00A86937">
        <w:rPr>
          <w:rFonts w:ascii="Constantia" w:hAnsi="Constantia"/>
        </w:rPr>
        <w:t xml:space="preserve">U gornjem toku već je postojalo pomjeranje ravnoteže, ali nijedan parametar nije izašao van svih klasa (VK), već samo izvan svoje klase (A2, A3). Prekoračene vrijednosti imali su </w:t>
      </w:r>
      <w:r w:rsidR="00DD1584">
        <w:rPr>
          <w:rFonts w:ascii="Constantia" w:hAnsi="Constantia"/>
        </w:rPr>
        <w:t>sledeći</w:t>
      </w:r>
      <w:r w:rsidRPr="00A86937">
        <w:rPr>
          <w:rFonts w:ascii="Constantia" w:hAnsi="Constantia"/>
        </w:rPr>
        <w:t xml:space="preserve"> hemijski parametr</w:t>
      </w:r>
      <w:r w:rsidR="00DD1584">
        <w:rPr>
          <w:rFonts w:ascii="Constantia" w:hAnsi="Constantia"/>
        </w:rPr>
        <w:t>i</w:t>
      </w:r>
      <w:r w:rsidRPr="00A86937">
        <w:rPr>
          <w:rFonts w:ascii="Constantia" w:hAnsi="Constantia"/>
        </w:rPr>
        <w:t>: amonijak, jonski odnos Mg/Ca, temperatura i fosfati</w:t>
      </w:r>
      <w:r w:rsidR="001C2D33">
        <w:rPr>
          <w:rFonts w:ascii="Constantia" w:hAnsi="Constantia"/>
        </w:rPr>
        <w:t>,</w:t>
      </w:r>
      <w:r w:rsidRPr="00A86937">
        <w:rPr>
          <w:rFonts w:ascii="Constantia" w:hAnsi="Constantia"/>
        </w:rPr>
        <w:t xml:space="preserve"> a u nekim slučajevima HPK, nitriti, fenoli i deterdženti (Zlatica). Od određe</w:t>
      </w:r>
      <w:r w:rsidR="001C2D33">
        <w:rPr>
          <w:rFonts w:ascii="Constantia" w:hAnsi="Constantia"/>
        </w:rPr>
        <w:t>nih klasa</w:t>
      </w:r>
      <w:r w:rsidR="00910399">
        <w:rPr>
          <w:rFonts w:ascii="Constantia" w:hAnsi="Constantia"/>
        </w:rPr>
        <w:t>,</w:t>
      </w:r>
      <w:r w:rsidR="001C2D33">
        <w:rPr>
          <w:rFonts w:ascii="Constantia" w:hAnsi="Constantia"/>
        </w:rPr>
        <w:t xml:space="preserve"> na profilu Pernica 73,</w:t>
      </w:r>
      <w:r w:rsidRPr="00A86937">
        <w:rPr>
          <w:rFonts w:ascii="Constantia" w:hAnsi="Constantia"/>
        </w:rPr>
        <w:t>3% pripadalo je propisanoj</w:t>
      </w:r>
      <w:r w:rsidR="001C2D33">
        <w:rPr>
          <w:rFonts w:ascii="Constantia" w:hAnsi="Constantia"/>
        </w:rPr>
        <w:t xml:space="preserve"> klasi, a na profilu Zlatica 56,</w:t>
      </w:r>
      <w:r w:rsidRPr="00A86937">
        <w:rPr>
          <w:rFonts w:ascii="Constantia" w:hAnsi="Constantia"/>
        </w:rPr>
        <w:t xml:space="preserve">7% slučajeva. </w:t>
      </w:r>
    </w:p>
    <w:p w:rsidR="004F3444" w:rsidRPr="00A86937" w:rsidRDefault="004F3444" w:rsidP="004F3444">
      <w:pPr>
        <w:rPr>
          <w:rFonts w:ascii="Constantia" w:hAnsi="Constantia"/>
        </w:rPr>
      </w:pPr>
      <w:r w:rsidRPr="00A86937">
        <w:rPr>
          <w:rFonts w:ascii="Constantia" w:hAnsi="Constantia"/>
        </w:rPr>
        <w:t xml:space="preserve">Na prostoru </w:t>
      </w:r>
      <w:r w:rsidR="00164AE0">
        <w:rPr>
          <w:rFonts w:ascii="Constantia" w:hAnsi="Constantia"/>
        </w:rPr>
        <w:t xml:space="preserve">Glavnog </w:t>
      </w:r>
      <w:r w:rsidRPr="00A86937">
        <w:rPr>
          <w:rFonts w:ascii="Constantia" w:hAnsi="Constantia"/>
        </w:rPr>
        <w:t>grada, vode gradske plaže Momišići su se pokazale kao najbolje od svih mjernih mjesta, što je vjerovatno uticaj primanja voda Zete, koja je imala bolji kvalitet u ovoj godini. Od određen</w:t>
      </w:r>
      <w:r w:rsidR="00164AE0">
        <w:rPr>
          <w:rFonts w:ascii="Constantia" w:hAnsi="Constantia"/>
        </w:rPr>
        <w:t>ih klasa ovog mjernog mjesta 93,</w:t>
      </w:r>
      <w:r w:rsidRPr="00A86937">
        <w:rPr>
          <w:rFonts w:ascii="Constantia" w:hAnsi="Constantia"/>
        </w:rPr>
        <w:t>3% slučajeva pripalo je svojoj klasi</w:t>
      </w:r>
      <w:r w:rsidR="00164AE0">
        <w:rPr>
          <w:rFonts w:ascii="Constantia" w:hAnsi="Constantia"/>
        </w:rPr>
        <w:t>,</w:t>
      </w:r>
      <w:r w:rsidRPr="00A86937">
        <w:rPr>
          <w:rFonts w:ascii="Constantia" w:hAnsi="Constantia"/>
        </w:rPr>
        <w:t xml:space="preserve"> a nijedan parametar nije bio VK. </w:t>
      </w:r>
    </w:p>
    <w:p w:rsidR="004F3444" w:rsidRPr="00A86937" w:rsidRDefault="00C251C2" w:rsidP="004F3444">
      <w:pPr>
        <w:rPr>
          <w:rFonts w:ascii="Constantia" w:hAnsi="Constantia"/>
        </w:rPr>
      </w:pPr>
      <w:r>
        <w:rPr>
          <w:rFonts w:ascii="Constantia" w:hAnsi="Constantia"/>
        </w:rPr>
        <w:t xml:space="preserve">Kao </w:t>
      </w:r>
      <w:r w:rsidR="004F3444" w:rsidRPr="00A86937">
        <w:rPr>
          <w:rFonts w:ascii="Constantia" w:hAnsi="Constantia"/>
        </w:rPr>
        <w:t>što je i očekivano</w:t>
      </w:r>
      <w:r>
        <w:rPr>
          <w:rFonts w:ascii="Constantia" w:hAnsi="Constantia"/>
        </w:rPr>
        <w:t>,</w:t>
      </w:r>
      <w:r w:rsidR="004F3444" w:rsidRPr="00A86937">
        <w:rPr>
          <w:rFonts w:ascii="Constantia" w:hAnsi="Constantia"/>
        </w:rPr>
        <w:t xml:space="preserve"> najlošije stanje kvaliteta vode </w:t>
      </w:r>
      <w:r>
        <w:rPr>
          <w:rFonts w:ascii="Constantia" w:hAnsi="Constantia"/>
        </w:rPr>
        <w:t xml:space="preserve">rijeke </w:t>
      </w:r>
      <w:r w:rsidR="004F3444" w:rsidRPr="00A86937">
        <w:rPr>
          <w:rFonts w:ascii="Constantia" w:hAnsi="Constantia"/>
        </w:rPr>
        <w:t>Morače</w:t>
      </w:r>
      <w:r>
        <w:rPr>
          <w:rFonts w:ascii="Constantia" w:hAnsi="Constantia"/>
        </w:rPr>
        <w:t xml:space="preserve"> je registrovano i</w:t>
      </w:r>
      <w:r w:rsidRPr="00A86937">
        <w:rPr>
          <w:rFonts w:ascii="Constantia" w:hAnsi="Constantia"/>
        </w:rPr>
        <w:t>spod Gradskog kolektora</w:t>
      </w:r>
      <w:r w:rsidR="004F3444" w:rsidRPr="00A86937">
        <w:rPr>
          <w:rFonts w:ascii="Constantia" w:hAnsi="Constantia"/>
        </w:rPr>
        <w:t>.</w:t>
      </w:r>
      <w:r>
        <w:rPr>
          <w:rFonts w:ascii="Constantia" w:hAnsi="Constantia"/>
        </w:rPr>
        <w:t xml:space="preserve"> U svojoj klasi je bilo samo 46,</w:t>
      </w:r>
      <w:r w:rsidR="004F3444" w:rsidRPr="00A86937">
        <w:rPr>
          <w:rFonts w:ascii="Constantia" w:hAnsi="Constantia"/>
        </w:rPr>
        <w:t>7% s</w:t>
      </w:r>
      <w:r>
        <w:rPr>
          <w:rFonts w:ascii="Constantia" w:hAnsi="Constantia"/>
        </w:rPr>
        <w:t>lučajeva</w:t>
      </w:r>
      <w:r w:rsidR="007A45D9">
        <w:rPr>
          <w:rFonts w:ascii="Constantia" w:hAnsi="Constantia"/>
        </w:rPr>
        <w:t>, a</w:t>
      </w:r>
      <w:r>
        <w:rPr>
          <w:rFonts w:ascii="Constantia" w:hAnsi="Constantia"/>
        </w:rPr>
        <w:t xml:space="preserve"> van svih klasa 36,</w:t>
      </w:r>
      <w:r w:rsidR="004F3444" w:rsidRPr="00A86937">
        <w:rPr>
          <w:rFonts w:ascii="Constantia" w:hAnsi="Constantia"/>
        </w:rPr>
        <w:t xml:space="preserve">7% slučajeva i to sadržaj BPK5, amonijaka, fosfata, nitrita i mikrobioloških pokazatelja (u klasi kupanja), a u A3 </w:t>
      </w:r>
      <w:r>
        <w:rPr>
          <w:rFonts w:ascii="Constantia" w:hAnsi="Constantia"/>
        </w:rPr>
        <w:t>klasi su bili</w:t>
      </w:r>
      <w:r w:rsidR="004F3444" w:rsidRPr="00A86937">
        <w:rPr>
          <w:rFonts w:ascii="Constantia" w:hAnsi="Constantia"/>
        </w:rPr>
        <w:t xml:space="preserve"> jonski odnos Mg/Ca, HPK, deterdženti i broj koli i fekalnih bakterija.</w:t>
      </w:r>
    </w:p>
    <w:p w:rsidR="004F3444" w:rsidRPr="00A86937" w:rsidRDefault="004F3444" w:rsidP="004F3444">
      <w:pPr>
        <w:rPr>
          <w:rFonts w:ascii="Constantia" w:hAnsi="Constantia"/>
        </w:rPr>
      </w:pPr>
      <w:r w:rsidRPr="00A86937">
        <w:rPr>
          <w:rFonts w:ascii="Constantia" w:hAnsi="Constantia"/>
        </w:rPr>
        <w:t>Nizvodno od ovog „udarnog“</w:t>
      </w:r>
      <w:r w:rsidR="007A45D9">
        <w:rPr>
          <w:rFonts w:ascii="Constantia" w:hAnsi="Constantia"/>
        </w:rPr>
        <w:t xml:space="preserve"> </w:t>
      </w:r>
      <w:r w:rsidRPr="00A86937">
        <w:rPr>
          <w:rFonts w:ascii="Constantia" w:hAnsi="Constantia"/>
        </w:rPr>
        <w:t>zagađenja</w:t>
      </w:r>
      <w:r w:rsidR="007A45D9">
        <w:rPr>
          <w:rFonts w:ascii="Constantia" w:hAnsi="Constantia"/>
        </w:rPr>
        <w:t>,</w:t>
      </w:r>
      <w:r w:rsidRPr="00A86937">
        <w:rPr>
          <w:rFonts w:ascii="Constantia" w:hAnsi="Constantia"/>
        </w:rPr>
        <w:t xml:space="preserve"> stanje se znatno mijenja, zahvaljujući karakteristikama Morače - hladna voda, brz t</w:t>
      </w:r>
      <w:r w:rsidR="002D6B83">
        <w:rPr>
          <w:rFonts w:ascii="Constantia" w:hAnsi="Constantia"/>
        </w:rPr>
        <w:t>ok, pješčano dno i količina vode</w:t>
      </w:r>
      <w:r w:rsidRPr="00A86937">
        <w:rPr>
          <w:rFonts w:ascii="Constantia" w:hAnsi="Constantia"/>
        </w:rPr>
        <w:t>, kao i uticaj meteo</w:t>
      </w:r>
      <w:r w:rsidR="00691D48">
        <w:rPr>
          <w:rFonts w:ascii="Constantia" w:hAnsi="Constantia"/>
        </w:rPr>
        <w:t>roloških</w:t>
      </w:r>
      <w:r w:rsidRPr="00A86937">
        <w:rPr>
          <w:rFonts w:ascii="Constantia" w:hAnsi="Constantia"/>
        </w:rPr>
        <w:t xml:space="preserve"> uslova. I dalje</w:t>
      </w:r>
      <w:r w:rsidR="00B20178">
        <w:rPr>
          <w:rFonts w:ascii="Constantia" w:hAnsi="Constantia"/>
        </w:rPr>
        <w:t>,</w:t>
      </w:r>
      <w:r w:rsidRPr="00A86937">
        <w:rPr>
          <w:rFonts w:ascii="Constantia" w:hAnsi="Constantia"/>
        </w:rPr>
        <w:t xml:space="preserve"> po sadržaju</w:t>
      </w:r>
      <w:r w:rsidR="00AF1664">
        <w:rPr>
          <w:rFonts w:ascii="Constantia" w:hAnsi="Constantia"/>
        </w:rPr>
        <w:t>, VK postoje parametri u 16,7% na Grbavcima i 13,</w:t>
      </w:r>
      <w:r w:rsidRPr="00A86937">
        <w:rPr>
          <w:rFonts w:ascii="Constantia" w:hAnsi="Constantia"/>
        </w:rPr>
        <w:t>3% na Vukovcima i to sadržaj fo</w:t>
      </w:r>
      <w:r w:rsidR="00AF1664">
        <w:rPr>
          <w:rFonts w:ascii="Constantia" w:hAnsi="Constantia"/>
        </w:rPr>
        <w:t>sfata i nitrita, dok je bakteri</w:t>
      </w:r>
      <w:r w:rsidRPr="00A86937">
        <w:rPr>
          <w:rFonts w:ascii="Constantia" w:hAnsi="Constantia"/>
        </w:rPr>
        <w:t xml:space="preserve">ologija bila u svojoj klasi (A2). </w:t>
      </w:r>
    </w:p>
    <w:p w:rsidR="004F3444" w:rsidRPr="00A86937" w:rsidRDefault="004F3444" w:rsidP="004F3444">
      <w:pPr>
        <w:rPr>
          <w:rFonts w:ascii="Constantia" w:hAnsi="Constantia"/>
        </w:rPr>
      </w:pPr>
      <w:r w:rsidRPr="00A86937">
        <w:rPr>
          <w:rFonts w:ascii="Constantia" w:hAnsi="Constantia"/>
        </w:rPr>
        <w:lastRenderedPageBreak/>
        <w:t xml:space="preserve">Rijeka </w:t>
      </w:r>
      <w:r w:rsidRPr="00A86937">
        <w:rPr>
          <w:rFonts w:ascii="Constantia" w:hAnsi="Constantia"/>
          <w:b/>
          <w:i/>
        </w:rPr>
        <w:t>Zeta</w:t>
      </w:r>
      <w:r w:rsidRPr="00A86937">
        <w:rPr>
          <w:rFonts w:ascii="Constantia" w:hAnsi="Constantia"/>
        </w:rPr>
        <w:t xml:space="preserve"> se uzorkuje na 4 mjerna mjesta </w:t>
      </w:r>
      <w:r w:rsidR="00951612">
        <w:rPr>
          <w:rFonts w:ascii="Constantia" w:hAnsi="Constantia"/>
        </w:rPr>
        <w:t>I,</w:t>
      </w:r>
      <w:r w:rsidRPr="00A86937">
        <w:rPr>
          <w:rFonts w:ascii="Constantia" w:hAnsi="Constantia"/>
        </w:rPr>
        <w:t xml:space="preserve"> prema klasifikaciji</w:t>
      </w:r>
      <w:r w:rsidR="00951612">
        <w:rPr>
          <w:rFonts w:ascii="Constantia" w:hAnsi="Constantia"/>
        </w:rPr>
        <w:t>,</w:t>
      </w:r>
      <w:r w:rsidRPr="00A86937">
        <w:rPr>
          <w:rFonts w:ascii="Constantia" w:hAnsi="Constantia"/>
        </w:rPr>
        <w:t xml:space="preserve"> njene vode treba da pripadaju A1,S,K1 klasi uzvodno od Brezovika (Vidrovan), a nizvodno od Brezovika do ušća u Moraču A2,C,K2 klasi (Duklov most, Danilovgrad i Vranjske njive).</w:t>
      </w:r>
    </w:p>
    <w:p w:rsidR="004F3444" w:rsidRPr="00A86937" w:rsidRDefault="00FF5B65" w:rsidP="004F3444">
      <w:pPr>
        <w:rPr>
          <w:rFonts w:ascii="Constantia" w:hAnsi="Constantia"/>
        </w:rPr>
      </w:pPr>
      <w:r>
        <w:rPr>
          <w:rFonts w:ascii="Constantia" w:hAnsi="Constantia"/>
        </w:rPr>
        <w:t xml:space="preserve">Vode mjernog profila </w:t>
      </w:r>
      <w:r w:rsidR="004F3444" w:rsidRPr="00A86937">
        <w:rPr>
          <w:rFonts w:ascii="Constantia" w:hAnsi="Constantia"/>
        </w:rPr>
        <w:t>Vidrova</w:t>
      </w:r>
      <w:r w:rsidR="00951612">
        <w:rPr>
          <w:rFonts w:ascii="Constantia" w:hAnsi="Constantia"/>
        </w:rPr>
        <w:t>n su pokazale najbolji kvalitet</w:t>
      </w:r>
      <w:r w:rsidR="004F3444" w:rsidRPr="00A86937">
        <w:rPr>
          <w:rFonts w:ascii="Constantia" w:hAnsi="Constantia"/>
        </w:rPr>
        <w:t xml:space="preserve"> u odnosu na ostale, što je i očekivano i nijedan parametar nije bio VK, ali sadržaj amonijaka (A3), odnos Mg/Ca, fosfata, koli i fekalnih bakterija bio je u A2, odnosno van svoje propisane klase. Idući dalje</w:t>
      </w:r>
      <w:r>
        <w:rPr>
          <w:rFonts w:ascii="Constantia" w:hAnsi="Constantia"/>
        </w:rPr>
        <w:t>,</w:t>
      </w:r>
      <w:r w:rsidR="004F3444" w:rsidRPr="00A86937">
        <w:rPr>
          <w:rFonts w:ascii="Constantia" w:hAnsi="Constantia"/>
        </w:rPr>
        <w:t xml:space="preserve"> kvalitet vode </w:t>
      </w:r>
      <w:r>
        <w:rPr>
          <w:rFonts w:ascii="Constantia" w:hAnsi="Constantia"/>
        </w:rPr>
        <w:t xml:space="preserve">rijeke </w:t>
      </w:r>
      <w:r w:rsidR="004F3444" w:rsidRPr="00A86937">
        <w:rPr>
          <w:rFonts w:ascii="Constantia" w:hAnsi="Constantia"/>
        </w:rPr>
        <w:t>Zete se mijenja</w:t>
      </w:r>
      <w:r w:rsidR="00A9796F">
        <w:rPr>
          <w:rFonts w:ascii="Constantia" w:hAnsi="Constantia"/>
        </w:rPr>
        <w:t>, pa je</w:t>
      </w:r>
      <w:r w:rsidR="004F3444" w:rsidRPr="00A86937">
        <w:rPr>
          <w:rFonts w:ascii="Constantia" w:hAnsi="Constantia"/>
        </w:rPr>
        <w:t xml:space="preserve"> na profilu Du</w:t>
      </w:r>
      <w:r>
        <w:rPr>
          <w:rFonts w:ascii="Constantia" w:hAnsi="Constantia"/>
        </w:rPr>
        <w:t xml:space="preserve">klov most lošije stanje i </w:t>
      </w:r>
      <w:r w:rsidR="00A9796F">
        <w:rPr>
          <w:rFonts w:ascii="Constantia" w:hAnsi="Constantia"/>
        </w:rPr>
        <w:t xml:space="preserve">u </w:t>
      </w:r>
      <w:r>
        <w:rPr>
          <w:rFonts w:ascii="Constantia" w:hAnsi="Constantia"/>
        </w:rPr>
        <w:t>20</w:t>
      </w:r>
      <w:r w:rsidR="004F3444" w:rsidRPr="00A86937">
        <w:rPr>
          <w:rFonts w:ascii="Constantia" w:hAnsi="Constantia"/>
        </w:rPr>
        <w:t>% sl</w:t>
      </w:r>
      <w:r>
        <w:rPr>
          <w:rFonts w:ascii="Constantia" w:hAnsi="Constantia"/>
        </w:rPr>
        <w:t>učajeva je van propisane klase, a 6,</w:t>
      </w:r>
      <w:r w:rsidR="004F3444" w:rsidRPr="00A86937">
        <w:rPr>
          <w:rFonts w:ascii="Constantia" w:hAnsi="Constantia"/>
        </w:rPr>
        <w:t>7% VK - po saturaciji kis</w:t>
      </w:r>
      <w:r>
        <w:rPr>
          <w:rFonts w:ascii="Constantia" w:hAnsi="Constantia"/>
        </w:rPr>
        <w:t>e</w:t>
      </w:r>
      <w:r w:rsidR="004F3444" w:rsidRPr="00A86937">
        <w:rPr>
          <w:rFonts w:ascii="Constantia" w:hAnsi="Constantia"/>
        </w:rPr>
        <w:t xml:space="preserve">onikom i sadržajem fenola. U donjem toku Zete, posle njenog poniranja, kvalitet je bolji u odnosu na dio kod Nikšića (Duklov most). Sadržaj fosfata na oba mjerna mjesta je bio VK (Danilovgrad, Vranjske njive). Značajno je napomenuti da </w:t>
      </w:r>
      <w:r w:rsidR="00392446">
        <w:rPr>
          <w:rFonts w:ascii="Constantia" w:hAnsi="Constantia"/>
        </w:rPr>
        <w:t xml:space="preserve">su </w:t>
      </w:r>
      <w:r w:rsidR="004F3444" w:rsidRPr="00A86937">
        <w:rPr>
          <w:rFonts w:ascii="Constantia" w:hAnsi="Constantia"/>
        </w:rPr>
        <w:t>na potezu Duklov most - Vranjske njive mikrobiološki parame</w:t>
      </w:r>
      <w:r w:rsidR="00C6702C">
        <w:rPr>
          <w:rFonts w:ascii="Constantia" w:hAnsi="Constantia"/>
        </w:rPr>
        <w:t>tri bili u propisanoj klasi A2,</w:t>
      </w:r>
      <w:r w:rsidR="004F3444" w:rsidRPr="00A86937">
        <w:rPr>
          <w:rFonts w:ascii="Constantia" w:hAnsi="Constantia"/>
        </w:rPr>
        <w:t>K2.</w:t>
      </w:r>
    </w:p>
    <w:p w:rsidR="004F3444" w:rsidRPr="00DA1B66" w:rsidRDefault="00DA1B66" w:rsidP="004F3444">
      <w:pPr>
        <w:rPr>
          <w:rFonts w:ascii="Constantia" w:hAnsi="Constantia"/>
        </w:rPr>
      </w:pPr>
      <w:r w:rsidRPr="00DA1B66">
        <w:rPr>
          <w:rFonts w:ascii="Constantia" w:hAnsi="Constantia"/>
        </w:rPr>
        <w:t>Rijeka</w:t>
      </w:r>
      <w:r w:rsidR="002D63CB">
        <w:rPr>
          <w:rFonts w:ascii="Constantia" w:hAnsi="Constantia"/>
        </w:rPr>
        <w:t xml:space="preserve"> </w:t>
      </w:r>
      <w:r w:rsidR="004F3444" w:rsidRPr="00DA1B66">
        <w:rPr>
          <w:rFonts w:ascii="Constantia" w:hAnsi="Constantia"/>
          <w:b/>
          <w:i/>
        </w:rPr>
        <w:t>Cijevna</w:t>
      </w:r>
      <w:r w:rsidR="004F3444" w:rsidRPr="00DA1B66">
        <w:rPr>
          <w:rFonts w:ascii="Constantia" w:hAnsi="Constantia"/>
        </w:rPr>
        <w:t xml:space="preserve"> se uzorkuje na 2 mjesta i kao pritoka Morače, odnosno indirektna pritoka Skadarskog jezera, svrstava se u A1,S,K1 klasu. Za kvalitet vode na profilu Trgaju mo</w:t>
      </w:r>
      <w:r>
        <w:rPr>
          <w:rFonts w:ascii="Constantia" w:hAnsi="Constantia"/>
        </w:rPr>
        <w:t xml:space="preserve">že se reći da je dobar, jer </w:t>
      </w:r>
      <w:r w:rsidR="00E86D4E">
        <w:rPr>
          <w:rFonts w:ascii="Constantia" w:hAnsi="Constantia"/>
        </w:rPr>
        <w:t>s</w:t>
      </w:r>
      <w:r w:rsidR="0008459A">
        <w:rPr>
          <w:rFonts w:ascii="Constantia" w:hAnsi="Constantia"/>
        </w:rPr>
        <w:t xml:space="preserve">u </w:t>
      </w:r>
      <w:r>
        <w:rPr>
          <w:rFonts w:ascii="Constantia" w:hAnsi="Constantia"/>
        </w:rPr>
        <w:t>76,7</w:t>
      </w:r>
      <w:r w:rsidR="004F3444" w:rsidRPr="00DA1B66">
        <w:rPr>
          <w:rFonts w:ascii="Constantia" w:hAnsi="Constantia"/>
        </w:rPr>
        <w:t xml:space="preserve">% slučajeva </w:t>
      </w:r>
      <w:r w:rsidR="00E86D4E">
        <w:rPr>
          <w:rFonts w:ascii="Constantia" w:hAnsi="Constantia"/>
        </w:rPr>
        <w:t>klase bile</w:t>
      </w:r>
      <w:r w:rsidR="006062AE">
        <w:rPr>
          <w:rFonts w:ascii="Constantia" w:hAnsi="Constantia"/>
        </w:rPr>
        <w:t xml:space="preserve"> </w:t>
      </w:r>
      <w:r w:rsidR="00E86D4E">
        <w:rPr>
          <w:rFonts w:ascii="Constantia" w:hAnsi="Constantia"/>
        </w:rPr>
        <w:t xml:space="preserve">u </w:t>
      </w:r>
      <w:r w:rsidR="004F3444" w:rsidRPr="00DA1B66">
        <w:rPr>
          <w:rFonts w:ascii="Constantia" w:hAnsi="Constantia"/>
        </w:rPr>
        <w:t>propisanoj, a nijedan VK. Po mikrobiološkim parametrima</w:t>
      </w:r>
      <w:r>
        <w:rPr>
          <w:rFonts w:ascii="Constantia" w:hAnsi="Constantia"/>
        </w:rPr>
        <w:t>,</w:t>
      </w:r>
      <w:r w:rsidR="004F3444" w:rsidRPr="00DA1B66">
        <w:rPr>
          <w:rFonts w:ascii="Constantia" w:hAnsi="Constantia"/>
        </w:rPr>
        <w:t xml:space="preserve"> voda je bila u propisanoj klasi</w:t>
      </w:r>
      <w:r w:rsidR="000F0A55">
        <w:rPr>
          <w:rFonts w:ascii="Constantia" w:hAnsi="Constantia"/>
        </w:rPr>
        <w:t>. To</w:t>
      </w:r>
      <w:r w:rsidR="004F3444" w:rsidRPr="00DA1B66">
        <w:rPr>
          <w:rFonts w:ascii="Constantia" w:hAnsi="Constantia"/>
        </w:rPr>
        <w:t xml:space="preserve"> je </w:t>
      </w:r>
      <w:r w:rsidR="000F0A55">
        <w:rPr>
          <w:rFonts w:ascii="Constantia" w:hAnsi="Constantia"/>
        </w:rPr>
        <w:t>od velikog značaja</w:t>
      </w:r>
      <w:r>
        <w:rPr>
          <w:rFonts w:ascii="Constantia" w:hAnsi="Constantia"/>
        </w:rPr>
        <w:t>,</w:t>
      </w:r>
      <w:r w:rsidR="004F3444" w:rsidRPr="00DA1B66">
        <w:rPr>
          <w:rFonts w:ascii="Constantia" w:hAnsi="Constantia"/>
        </w:rPr>
        <w:t xml:space="preserve"> jer se uzorkovanje vrši </w:t>
      </w:r>
      <w:r w:rsidR="000F0A55">
        <w:rPr>
          <w:rFonts w:ascii="Constantia" w:hAnsi="Constantia"/>
        </w:rPr>
        <w:t xml:space="preserve">na mjestu </w:t>
      </w:r>
      <w:r w:rsidR="0008459A">
        <w:rPr>
          <w:rFonts w:ascii="Constantia" w:hAnsi="Constantia"/>
        </w:rPr>
        <w:t>gdje s</w:t>
      </w:r>
      <w:r w:rsidR="004F3444" w:rsidRPr="00DA1B66">
        <w:rPr>
          <w:rFonts w:ascii="Constantia" w:hAnsi="Constantia"/>
        </w:rPr>
        <w:t>e</w:t>
      </w:r>
      <w:r w:rsidR="0008459A">
        <w:rPr>
          <w:rFonts w:ascii="Constantia" w:hAnsi="Constantia"/>
        </w:rPr>
        <w:t xml:space="preserve"> nalazi</w:t>
      </w:r>
      <w:r w:rsidR="004F3444" w:rsidRPr="00DA1B66">
        <w:rPr>
          <w:rFonts w:ascii="Constantia" w:hAnsi="Constantia"/>
        </w:rPr>
        <w:t xml:space="preserve"> plaža (kod mosta). Drugi profil (iznad ušća)</w:t>
      </w:r>
      <w:r w:rsidR="006062AE">
        <w:rPr>
          <w:rFonts w:ascii="Constantia" w:hAnsi="Constantia"/>
        </w:rPr>
        <w:t xml:space="preserve"> </w:t>
      </w:r>
      <w:r w:rsidR="004F3444" w:rsidRPr="00DA1B66">
        <w:rPr>
          <w:rFonts w:ascii="Constantia" w:hAnsi="Constantia"/>
        </w:rPr>
        <w:t>je bio lošeg kvaliteta</w:t>
      </w:r>
      <w:r w:rsidR="00E86D4E">
        <w:rPr>
          <w:rFonts w:ascii="Constantia" w:hAnsi="Constantia"/>
        </w:rPr>
        <w:t xml:space="preserve">, što je i očekivano, jer voda na tom mjestu </w:t>
      </w:r>
      <w:r w:rsidR="004F3444" w:rsidRPr="00DA1B66">
        <w:rPr>
          <w:rFonts w:ascii="Constantia" w:hAnsi="Constantia"/>
        </w:rPr>
        <w:t>ima usporen tok i veliki antropološki uticaj. Parametar BPK5 bio je van propisane klase</w:t>
      </w:r>
      <w:r w:rsidR="00E86D4E">
        <w:rPr>
          <w:rFonts w:ascii="Constantia" w:hAnsi="Constantia"/>
        </w:rPr>
        <w:t>,</w:t>
      </w:r>
      <w:r w:rsidR="006062AE">
        <w:rPr>
          <w:rFonts w:ascii="Constantia" w:hAnsi="Constantia"/>
        </w:rPr>
        <w:t xml:space="preserve"> </w:t>
      </w:r>
      <w:r w:rsidR="00E86D4E">
        <w:rPr>
          <w:rFonts w:ascii="Constantia" w:hAnsi="Constantia"/>
        </w:rPr>
        <w:t>k</w:t>
      </w:r>
      <w:r w:rsidR="004F3444" w:rsidRPr="00DA1B66">
        <w:rPr>
          <w:rFonts w:ascii="Constantia" w:hAnsi="Constantia"/>
        </w:rPr>
        <w:t>a</w:t>
      </w:r>
      <w:r w:rsidR="00E86D4E">
        <w:rPr>
          <w:rFonts w:ascii="Constantia" w:hAnsi="Constantia"/>
        </w:rPr>
        <w:t>o i</w:t>
      </w:r>
      <w:r w:rsidR="004F3444" w:rsidRPr="00DA1B66">
        <w:rPr>
          <w:rFonts w:ascii="Constantia" w:hAnsi="Constantia"/>
        </w:rPr>
        <w:t xml:space="preserve"> sadržaj fekalnih bakterija. Na ovom mjestu 56</w:t>
      </w:r>
      <w:r w:rsidR="00E86D4E">
        <w:rPr>
          <w:rFonts w:ascii="Constantia" w:hAnsi="Constantia"/>
        </w:rPr>
        <w:t>,</w:t>
      </w:r>
      <w:r w:rsidR="004F3444" w:rsidRPr="00DA1B66">
        <w:rPr>
          <w:rFonts w:ascii="Constantia" w:hAnsi="Constantia"/>
        </w:rPr>
        <w:t>7% određenih klasa bilo je u svojoj klasi.</w:t>
      </w:r>
    </w:p>
    <w:p w:rsidR="004F3444" w:rsidRPr="00DA1B66" w:rsidRDefault="004F3444" w:rsidP="004F3444">
      <w:pPr>
        <w:rPr>
          <w:rFonts w:ascii="Constantia" w:hAnsi="Constantia"/>
        </w:rPr>
      </w:pPr>
      <w:r w:rsidRPr="00DA1B66">
        <w:rPr>
          <w:rFonts w:ascii="Constantia" w:hAnsi="Constantia"/>
          <w:b/>
          <w:i/>
        </w:rPr>
        <w:t>Crnojevića rijeka</w:t>
      </w:r>
      <w:r w:rsidRPr="00DA1B66">
        <w:rPr>
          <w:rFonts w:ascii="Constantia" w:hAnsi="Constantia"/>
        </w:rPr>
        <w:t xml:space="preserve"> se uzorkuje na 1 mjestu (Brodska njiva) i njene vode trebalo bi da pripadaju visokoj zahtijevanoj A1,S,K1 klasi. Ali</w:t>
      </w:r>
      <w:r w:rsidR="005D3DFB">
        <w:rPr>
          <w:rFonts w:ascii="Constantia" w:hAnsi="Constantia"/>
        </w:rPr>
        <w:t>,</w:t>
      </w:r>
      <w:r w:rsidRPr="00DA1B66">
        <w:rPr>
          <w:rFonts w:ascii="Constantia" w:hAnsi="Constantia"/>
        </w:rPr>
        <w:t xml:space="preserve"> kako na nju imaju uticaja vode Cetinja, njena hemijska ravnoteža je pomjerena kao </w:t>
      </w:r>
      <w:r w:rsidR="005D3DFB">
        <w:rPr>
          <w:rFonts w:ascii="Constantia" w:hAnsi="Constantia"/>
        </w:rPr>
        <w:t>i svake godine i samo 56,7</w:t>
      </w:r>
      <w:r w:rsidRPr="00DA1B66">
        <w:rPr>
          <w:rFonts w:ascii="Constantia" w:hAnsi="Constantia"/>
        </w:rPr>
        <w:t>% određenih klasa je u zahtijevanom bonitetu. Parametar koji posebno ugrožava njen kvalitet je sadržaj fosfata koji je VK. Ostali parametri van propisane klase su: jonski odnos Mg/Ca, temperatura, saturacija kiseonikom, BPK5, HPK, amonijak, nit</w:t>
      </w:r>
      <w:r w:rsidR="005D3DFB">
        <w:rPr>
          <w:rFonts w:ascii="Constantia" w:hAnsi="Constantia"/>
        </w:rPr>
        <w:t>r</w:t>
      </w:r>
      <w:r w:rsidRPr="00DA1B66">
        <w:rPr>
          <w:rFonts w:ascii="Constantia" w:hAnsi="Constantia"/>
        </w:rPr>
        <w:t>iti, fenoli, deterdženti</w:t>
      </w:r>
      <w:r w:rsidR="005D3DFB">
        <w:rPr>
          <w:rFonts w:ascii="Constantia" w:hAnsi="Constantia"/>
        </w:rPr>
        <w:t>,</w:t>
      </w:r>
      <w:r w:rsidRPr="00DA1B66">
        <w:rPr>
          <w:rFonts w:ascii="Constantia" w:hAnsi="Constantia"/>
        </w:rPr>
        <w:t xml:space="preserve"> kao i mikrobiološki parametri.</w:t>
      </w:r>
    </w:p>
    <w:p w:rsidR="004F3444" w:rsidRPr="00DA1B66" w:rsidRDefault="004F3444" w:rsidP="004F3444">
      <w:pPr>
        <w:rPr>
          <w:rFonts w:ascii="Constantia" w:hAnsi="Constantia"/>
        </w:rPr>
      </w:pPr>
      <w:r w:rsidRPr="00DA1B66">
        <w:rPr>
          <w:rFonts w:ascii="Constantia" w:hAnsi="Constantia"/>
          <w:b/>
          <w:i/>
        </w:rPr>
        <w:t>Bojana</w:t>
      </w:r>
      <w:r w:rsidRPr="00DA1B66">
        <w:rPr>
          <w:rFonts w:ascii="Constantia" w:hAnsi="Constantia"/>
        </w:rPr>
        <w:t xml:space="preserve"> se uzorkuje na 1 mjestu (Fraskanjel) i njene vode treba da pripadaju A2,C,K2. Njena voda je pokaza</w:t>
      </w:r>
      <w:r w:rsidR="007B05C3">
        <w:rPr>
          <w:rFonts w:ascii="Constantia" w:hAnsi="Constantia"/>
        </w:rPr>
        <w:t>la veoma dobar kvalitet, jer 86,</w:t>
      </w:r>
      <w:r w:rsidRPr="00DA1B66">
        <w:rPr>
          <w:rFonts w:ascii="Constantia" w:hAnsi="Constantia"/>
        </w:rPr>
        <w:t>7% određenih klasa pripada zahtijevanoj klasi. Samo po sadržaju fosfata je VK, a po sadžaju amonijaka i nitrita van zahtij</w:t>
      </w:r>
      <w:r w:rsidR="007B05C3">
        <w:rPr>
          <w:rFonts w:ascii="Constantia" w:hAnsi="Constantia"/>
        </w:rPr>
        <w:t>e</w:t>
      </w:r>
      <w:r w:rsidRPr="00DA1B66">
        <w:rPr>
          <w:rFonts w:ascii="Constantia" w:hAnsi="Constantia"/>
        </w:rPr>
        <w:t>vane klase, to jest oni su u A3 klasi.</w:t>
      </w:r>
      <w:r w:rsidR="00997CF1">
        <w:rPr>
          <w:rFonts w:ascii="Constantia" w:hAnsi="Constantia"/>
        </w:rPr>
        <w:t xml:space="preserve"> </w:t>
      </w:r>
      <w:r w:rsidRPr="00DA1B66">
        <w:rPr>
          <w:rFonts w:ascii="Constantia" w:hAnsi="Constantia"/>
        </w:rPr>
        <w:t>Mikrobiološki pokazatelji su u zahtijevanoj klasi.</w:t>
      </w:r>
    </w:p>
    <w:p w:rsidR="004F3444" w:rsidRPr="00DA1B66" w:rsidRDefault="004F3444" w:rsidP="004F3444">
      <w:pPr>
        <w:rPr>
          <w:rFonts w:ascii="Constantia" w:hAnsi="Constantia"/>
        </w:rPr>
      </w:pPr>
      <w:r w:rsidRPr="00DA1B66">
        <w:rPr>
          <w:rFonts w:ascii="Constantia" w:hAnsi="Constantia"/>
          <w:b/>
          <w:i/>
        </w:rPr>
        <w:t>Ćehotina</w:t>
      </w:r>
      <w:r w:rsidRPr="00DA1B66">
        <w:rPr>
          <w:rFonts w:ascii="Constantia" w:hAnsi="Constantia"/>
        </w:rPr>
        <w:t xml:space="preserve"> se uzorkuje na 4 mjesta i njene vode treba da pripadaju A1,S,K1 klasi uzvodno od Pljevalja (Rabitlja) i A2,C,K2 nizvodno od Pljevalja (ispod grada, ispod ušća Vezišnice i Gradac). Ovaj vodotok spada u najzagađenije i podaci iz 2013.</w:t>
      </w:r>
      <w:r w:rsidR="00997CF1">
        <w:rPr>
          <w:rFonts w:ascii="Constantia" w:hAnsi="Constantia"/>
        </w:rPr>
        <w:t xml:space="preserve"> g</w:t>
      </w:r>
      <w:r w:rsidRPr="00DA1B66">
        <w:rPr>
          <w:rFonts w:ascii="Constantia" w:hAnsi="Constantia"/>
        </w:rPr>
        <w:t>odine</w:t>
      </w:r>
      <w:r w:rsidR="00997CF1">
        <w:rPr>
          <w:rFonts w:ascii="Constantia" w:hAnsi="Constantia"/>
        </w:rPr>
        <w:t xml:space="preserve"> </w:t>
      </w:r>
      <w:r w:rsidR="00BB15AB">
        <w:rPr>
          <w:rFonts w:ascii="Constantia" w:hAnsi="Constantia"/>
        </w:rPr>
        <w:t xml:space="preserve">su </w:t>
      </w:r>
      <w:r w:rsidRPr="00DA1B66">
        <w:rPr>
          <w:rFonts w:ascii="Constantia" w:hAnsi="Constantia"/>
        </w:rPr>
        <w:t xml:space="preserve">to </w:t>
      </w:r>
      <w:r w:rsidR="00BB15AB">
        <w:rPr>
          <w:rFonts w:ascii="Constantia" w:hAnsi="Constantia"/>
        </w:rPr>
        <w:t>i</w:t>
      </w:r>
      <w:r w:rsidR="00FF6096">
        <w:rPr>
          <w:rFonts w:ascii="Constantia" w:hAnsi="Constantia"/>
        </w:rPr>
        <w:t xml:space="preserve"> potvrdili. Čak</w:t>
      </w:r>
      <w:r w:rsidRPr="00DA1B66">
        <w:rPr>
          <w:rFonts w:ascii="Constantia" w:hAnsi="Constantia"/>
        </w:rPr>
        <w:t xml:space="preserve"> i uzvodni dio toka iznad Pljevalja ima znatna zagađenja, ali u ovoj godini nešto manje, pa je samo sadržaj nitrita bio VK, ali dosta parametara bilo je van za</w:t>
      </w:r>
      <w:r w:rsidR="00FF6096">
        <w:rPr>
          <w:rFonts w:ascii="Constantia" w:hAnsi="Constantia"/>
        </w:rPr>
        <w:t>h</w:t>
      </w:r>
      <w:r w:rsidRPr="00DA1B66">
        <w:rPr>
          <w:rFonts w:ascii="Constantia" w:hAnsi="Constantia"/>
        </w:rPr>
        <w:t>tijevane klase, 40% određenih klasa. Na stanje kvaliteta utiču poljoprivre</w:t>
      </w:r>
      <w:r w:rsidR="002627E4">
        <w:rPr>
          <w:rFonts w:ascii="Constantia" w:hAnsi="Constantia"/>
        </w:rPr>
        <w:t>d</w:t>
      </w:r>
      <w:r w:rsidRPr="00DA1B66">
        <w:rPr>
          <w:rFonts w:ascii="Constantia" w:hAnsi="Constantia"/>
        </w:rPr>
        <w:t>ne aktivnosti, usporeni tok rijeke i uzvodna akumulacija. Najgore stanje bilo je na mjestima ispo</w:t>
      </w:r>
      <w:r w:rsidR="002627E4">
        <w:rPr>
          <w:rFonts w:ascii="Constantia" w:hAnsi="Constantia"/>
        </w:rPr>
        <w:t>d grada, gdje je preko polovine</w:t>
      </w:r>
      <w:r w:rsidRPr="00DA1B66">
        <w:rPr>
          <w:rFonts w:ascii="Constantia" w:hAnsi="Constantia"/>
        </w:rPr>
        <w:t xml:space="preserve"> određenih klasa VK: jonski odnos Mg/Ca, HPK, nu</w:t>
      </w:r>
      <w:r w:rsidR="002627E4">
        <w:rPr>
          <w:rFonts w:ascii="Constantia" w:hAnsi="Constantia"/>
        </w:rPr>
        <w:t xml:space="preserve">trijenti i veliko opterećenje </w:t>
      </w:r>
      <w:r w:rsidRPr="00DA1B66">
        <w:rPr>
          <w:rFonts w:ascii="Constantia" w:hAnsi="Constantia"/>
        </w:rPr>
        <w:t>koli i fekalnim bakterijama. Ovi podaci govore da je Ćehotina ugrožena kanalizacionim vodama grada i vodama Vezišnice. Nizvodno</w:t>
      </w:r>
      <w:r w:rsidR="00BB1846">
        <w:rPr>
          <w:rFonts w:ascii="Constantia" w:hAnsi="Constantia"/>
        </w:rPr>
        <w:t>,</w:t>
      </w:r>
      <w:r w:rsidRPr="00DA1B66">
        <w:rPr>
          <w:rFonts w:ascii="Constantia" w:hAnsi="Constantia"/>
        </w:rPr>
        <w:t xml:space="preserve"> kvalitet vode se popravlja</w:t>
      </w:r>
      <w:r w:rsidR="00BB1846">
        <w:rPr>
          <w:rFonts w:ascii="Constantia" w:hAnsi="Constantia"/>
        </w:rPr>
        <w:t>,</w:t>
      </w:r>
      <w:r w:rsidRPr="00DA1B66">
        <w:rPr>
          <w:rFonts w:ascii="Constantia" w:hAnsi="Constantia"/>
        </w:rPr>
        <w:t xml:space="preserve"> da bi na Gradcu VK bili samo fosf</w:t>
      </w:r>
      <w:r w:rsidR="00BB1846">
        <w:rPr>
          <w:rFonts w:ascii="Constantia" w:hAnsi="Constantia"/>
        </w:rPr>
        <w:t>ati i nitriti. Ipak, voda Ćehotine</w:t>
      </w:r>
      <w:r w:rsidRPr="00DA1B66">
        <w:rPr>
          <w:rFonts w:ascii="Constantia" w:hAnsi="Constantia"/>
        </w:rPr>
        <w:t xml:space="preserve"> i dalje ima loš izgled, osjeća se neprijatan miris i primjećuje se velika količina raznog otpada.</w:t>
      </w:r>
    </w:p>
    <w:p w:rsidR="004F3444" w:rsidRPr="00DA1B66" w:rsidRDefault="004F3444" w:rsidP="004F3444">
      <w:pPr>
        <w:rPr>
          <w:rFonts w:ascii="Constantia" w:hAnsi="Constantia"/>
        </w:rPr>
      </w:pPr>
      <w:r w:rsidRPr="00DA1B66">
        <w:rPr>
          <w:rFonts w:ascii="Constantia" w:hAnsi="Constantia"/>
          <w:b/>
          <w:i/>
        </w:rPr>
        <w:t>Vezišnica</w:t>
      </w:r>
      <w:r w:rsidRPr="00DA1B66">
        <w:rPr>
          <w:rFonts w:ascii="Constantia" w:hAnsi="Constantia"/>
        </w:rPr>
        <w:t xml:space="preserve"> se uzorkuje na 1 mjestu, iznad ušća u Ćehotinu i vode treba da joj pripadaju </w:t>
      </w:r>
      <w:r w:rsidR="00C6702C">
        <w:rPr>
          <w:rFonts w:ascii="Constantia" w:hAnsi="Constantia"/>
        </w:rPr>
        <w:t>A1,S,</w:t>
      </w:r>
      <w:r w:rsidRPr="00DA1B66">
        <w:rPr>
          <w:rFonts w:ascii="Constantia" w:hAnsi="Constantia"/>
        </w:rPr>
        <w:t>K1</w:t>
      </w:r>
      <w:r w:rsidR="00E02B0A">
        <w:rPr>
          <w:rFonts w:ascii="Constantia" w:hAnsi="Constantia"/>
        </w:rPr>
        <w:t xml:space="preserve"> klasi</w:t>
      </w:r>
      <w:r w:rsidRPr="00DA1B66">
        <w:rPr>
          <w:rFonts w:ascii="Constantia" w:hAnsi="Constantia"/>
        </w:rPr>
        <w:t xml:space="preserve">. Stanje kvaliteta </w:t>
      </w:r>
      <w:r w:rsidR="00E02B0A">
        <w:rPr>
          <w:rFonts w:ascii="Constantia" w:hAnsi="Constantia"/>
        </w:rPr>
        <w:t>je daleko od željenog i samo 13,</w:t>
      </w:r>
      <w:r w:rsidRPr="00DA1B66">
        <w:rPr>
          <w:rFonts w:ascii="Constantia" w:hAnsi="Constantia"/>
        </w:rPr>
        <w:t>3% određenih klasa je u propisanoj klasi</w:t>
      </w:r>
      <w:r w:rsidR="00E02B0A">
        <w:rPr>
          <w:rFonts w:ascii="Constantia" w:hAnsi="Constantia"/>
        </w:rPr>
        <w:t xml:space="preserve">, </w:t>
      </w:r>
      <w:r w:rsidRPr="00DA1B66">
        <w:rPr>
          <w:rFonts w:ascii="Constantia" w:hAnsi="Constantia"/>
        </w:rPr>
        <w:t>tako da je ovaj vodotok procijenjen za ovu godinu kao najzagađeniji. Na ovaj vodotok najviše utiču otpadne vode TE Pljevlja kao i ljudske aktivnosti duž njenog toka.</w:t>
      </w:r>
    </w:p>
    <w:p w:rsidR="004F3444" w:rsidRPr="00DA1B66" w:rsidRDefault="004F3444" w:rsidP="004F3444">
      <w:pPr>
        <w:rPr>
          <w:rFonts w:ascii="Constantia" w:hAnsi="Constantia"/>
        </w:rPr>
      </w:pPr>
      <w:r w:rsidRPr="00DA1B66">
        <w:rPr>
          <w:rFonts w:ascii="Constantia" w:hAnsi="Constantia"/>
          <w:b/>
          <w:i/>
        </w:rPr>
        <w:t>Lim</w:t>
      </w:r>
      <w:r w:rsidRPr="00DA1B66">
        <w:rPr>
          <w:rFonts w:ascii="Constantia" w:hAnsi="Constantia"/>
        </w:rPr>
        <w:t xml:space="preserve"> se uzorkuje na 6 mjesta i njegove vode uzvodno od Berana treba da pripadaju A1,</w:t>
      </w:r>
      <w:r w:rsidR="00C4345C">
        <w:rPr>
          <w:rFonts w:ascii="Constantia" w:hAnsi="Constantia"/>
        </w:rPr>
        <w:t>S,</w:t>
      </w:r>
      <w:r w:rsidRPr="00DA1B66">
        <w:rPr>
          <w:rFonts w:ascii="Constantia" w:hAnsi="Constantia"/>
        </w:rPr>
        <w:t>K1 klasi (Plav i Andrij</w:t>
      </w:r>
      <w:r w:rsidR="00C4345C">
        <w:rPr>
          <w:rFonts w:ascii="Constantia" w:hAnsi="Constantia"/>
        </w:rPr>
        <w:t>evica) i nizvodno od Berana A2,C,</w:t>
      </w:r>
      <w:r w:rsidRPr="00DA1B66">
        <w:rPr>
          <w:rFonts w:ascii="Constantia" w:hAnsi="Constantia"/>
        </w:rPr>
        <w:t xml:space="preserve">K2 klasi (Skakavac, Zaton, Bijelo Polje i </w:t>
      </w:r>
      <w:r w:rsidRPr="00DA1B66">
        <w:rPr>
          <w:rFonts w:ascii="Constantia" w:hAnsi="Constantia"/>
        </w:rPr>
        <w:lastRenderedPageBreak/>
        <w:t xml:space="preserve">Dobrakovo). Vode Lima u ovoj godini pokazale su bolji </w:t>
      </w:r>
      <w:r w:rsidR="009C5467">
        <w:rPr>
          <w:rFonts w:ascii="Constantia" w:hAnsi="Constantia"/>
        </w:rPr>
        <w:t>kvaliet u odnosu na prošlu i 76,</w:t>
      </w:r>
      <w:r w:rsidRPr="00DA1B66">
        <w:rPr>
          <w:rFonts w:ascii="Constantia" w:hAnsi="Constantia"/>
        </w:rPr>
        <w:t xml:space="preserve">1% određenih klasa pripalo je zahtijevanom bonitetu. </w:t>
      </w:r>
      <w:r w:rsidR="009C5467">
        <w:rPr>
          <w:rFonts w:ascii="Constantia" w:hAnsi="Constantia"/>
        </w:rPr>
        <w:t>Kako gornji dio Lima pripada zah</w:t>
      </w:r>
      <w:r w:rsidRPr="00DA1B66">
        <w:rPr>
          <w:rFonts w:ascii="Constantia" w:hAnsi="Constantia"/>
        </w:rPr>
        <w:t>tijevanoj klasi A1</w:t>
      </w:r>
      <w:r w:rsidR="00D34B9B">
        <w:rPr>
          <w:rFonts w:ascii="Constantia" w:hAnsi="Constantia"/>
        </w:rPr>
        <w:t>,</w:t>
      </w:r>
      <w:r w:rsidRPr="00DA1B66">
        <w:rPr>
          <w:rFonts w:ascii="Constantia" w:hAnsi="Constantia"/>
        </w:rPr>
        <w:t xml:space="preserve"> pomjeranje ravnoteže je veće i mnogi parametri prelaze u A2, dok srednji dio toka, kao i donji pripadaju A2 i većina parametara se nalaze u njoj, ali sadržaj nitrita i fosfata u ovim djelovima toka su VK. Važno je napomenuti da je mikrobiologija na ovom dijelu bila u zadovoljavajućoj klasi.</w:t>
      </w:r>
    </w:p>
    <w:p w:rsidR="004F3444" w:rsidRPr="00DA1B66" w:rsidRDefault="004F3444" w:rsidP="004F3444">
      <w:pPr>
        <w:rPr>
          <w:rFonts w:ascii="Constantia" w:hAnsi="Constantia"/>
        </w:rPr>
      </w:pPr>
      <w:r w:rsidRPr="00DA1B66">
        <w:rPr>
          <w:rFonts w:ascii="Constantia" w:hAnsi="Constantia"/>
          <w:b/>
          <w:i/>
        </w:rPr>
        <w:t>Grnčar</w:t>
      </w:r>
      <w:r w:rsidRPr="00DA1B66">
        <w:rPr>
          <w:rFonts w:ascii="Constantia" w:hAnsi="Constantia"/>
        </w:rPr>
        <w:t xml:space="preserve"> se uzorkuje na 1 mjestu u samom gradu Gusinju, iznad mosta</w:t>
      </w:r>
      <w:r w:rsidR="009C5467">
        <w:rPr>
          <w:rFonts w:ascii="Constantia" w:hAnsi="Constantia"/>
        </w:rPr>
        <w:t>,</w:t>
      </w:r>
      <w:r w:rsidRPr="00DA1B66">
        <w:rPr>
          <w:rFonts w:ascii="Constantia" w:hAnsi="Constantia"/>
        </w:rPr>
        <w:t xml:space="preserve"> i vode treba da pripadaju A1,S,K1</w:t>
      </w:r>
      <w:r w:rsidR="009C5467">
        <w:rPr>
          <w:rFonts w:ascii="Constantia" w:hAnsi="Constantia"/>
        </w:rPr>
        <w:t xml:space="preserve"> klasi</w:t>
      </w:r>
      <w:r w:rsidRPr="00DA1B66">
        <w:rPr>
          <w:rFonts w:ascii="Constantia" w:hAnsi="Constantia"/>
        </w:rPr>
        <w:t>. Dobar prirodni kvalitet ugrožen je u malovodnom režimu ljeti, pa je dosta parametara izašlo van A1: jonski odnos Mg/Ca, fosfati</w:t>
      </w:r>
      <w:r w:rsidR="009C5467">
        <w:rPr>
          <w:rFonts w:ascii="Constantia" w:hAnsi="Constantia"/>
        </w:rPr>
        <w:t>, deterdženti su bili u A3 klasi</w:t>
      </w:r>
      <w:r w:rsidRPr="00DA1B66">
        <w:rPr>
          <w:rFonts w:ascii="Constantia" w:hAnsi="Constantia"/>
        </w:rPr>
        <w:t>, a saturacija kiseonikom, fenoli i mikrobiologija u A2 klasi.</w:t>
      </w:r>
    </w:p>
    <w:p w:rsidR="004F3444" w:rsidRPr="00C32F9E" w:rsidRDefault="004F3444" w:rsidP="000873F7">
      <w:pPr>
        <w:rPr>
          <w:rFonts w:ascii="Constantia" w:hAnsi="Constantia"/>
        </w:rPr>
      </w:pPr>
      <w:r w:rsidRPr="00C32F9E">
        <w:rPr>
          <w:rFonts w:ascii="Constantia" w:hAnsi="Constantia"/>
          <w:b/>
          <w:i/>
        </w:rPr>
        <w:t>Kutska Rijeka</w:t>
      </w:r>
      <w:r w:rsidRPr="00C32F9E">
        <w:rPr>
          <w:rFonts w:ascii="Constantia" w:hAnsi="Constantia"/>
        </w:rPr>
        <w:t xml:space="preserve"> (Zlorečica) se uzorkuje na 1 mjestu ispod mosta u Andrijevici, odnosno iznad ušća u Lim, i vode treba da joj  pripada</w:t>
      </w:r>
      <w:r w:rsidR="00C32F9E" w:rsidRPr="00C32F9E">
        <w:rPr>
          <w:rFonts w:ascii="Constantia" w:hAnsi="Constantia"/>
        </w:rPr>
        <w:t>ju A1,S,K1. Ovo je vrlo hladna r</w:t>
      </w:r>
      <w:r w:rsidRPr="00C32F9E">
        <w:rPr>
          <w:rFonts w:ascii="Constantia" w:hAnsi="Constantia"/>
        </w:rPr>
        <w:t>ijeka, brzog toka i uglavnom se pokazuje kao v</w:t>
      </w:r>
      <w:r w:rsidR="001F02C8">
        <w:rPr>
          <w:rFonts w:ascii="Constantia" w:hAnsi="Constantia"/>
        </w:rPr>
        <w:t>eoma</w:t>
      </w:r>
      <w:r w:rsidRPr="00C32F9E">
        <w:rPr>
          <w:rFonts w:ascii="Constantia" w:hAnsi="Constantia"/>
        </w:rPr>
        <w:t xml:space="preserve"> čista.</w:t>
      </w:r>
      <w:r w:rsidR="00C32F9E" w:rsidRPr="00C32F9E">
        <w:rPr>
          <w:rFonts w:ascii="Constantia" w:hAnsi="Constantia"/>
        </w:rPr>
        <w:t xml:space="preserve"> </w:t>
      </w:r>
      <w:r w:rsidRPr="00C32F9E">
        <w:rPr>
          <w:rFonts w:ascii="Constantia" w:hAnsi="Constantia"/>
        </w:rPr>
        <w:t>Nijedan parameter nije izišao VK i u A3 klasu.</w:t>
      </w:r>
    </w:p>
    <w:p w:rsidR="004F3444" w:rsidRPr="000873F7" w:rsidRDefault="004F3444" w:rsidP="004F3444">
      <w:pPr>
        <w:rPr>
          <w:rFonts w:ascii="Constantia" w:hAnsi="Constantia"/>
        </w:rPr>
      </w:pPr>
      <w:r w:rsidRPr="000873F7">
        <w:rPr>
          <w:rFonts w:ascii="Constantia" w:hAnsi="Constantia"/>
          <w:b/>
          <w:i/>
        </w:rPr>
        <w:t xml:space="preserve">Ibar </w:t>
      </w:r>
      <w:r w:rsidR="000873F7" w:rsidRPr="000873F7">
        <w:rPr>
          <w:rFonts w:ascii="Constantia" w:hAnsi="Constantia"/>
        </w:rPr>
        <w:t>se uzorkuje na 2 mjesta</w:t>
      </w:r>
      <w:r w:rsidRPr="000873F7">
        <w:rPr>
          <w:rFonts w:ascii="Constantia" w:hAnsi="Constantia"/>
        </w:rPr>
        <w:t xml:space="preserve"> i vode izna</w:t>
      </w:r>
      <w:r w:rsidR="00C6702C">
        <w:rPr>
          <w:rFonts w:ascii="Constantia" w:hAnsi="Constantia"/>
        </w:rPr>
        <w:t>d Rožaja treba da pripadaju A1,S,</w:t>
      </w:r>
      <w:r w:rsidR="00697CE4">
        <w:rPr>
          <w:rFonts w:ascii="Constantia" w:hAnsi="Constantia"/>
        </w:rPr>
        <w:t>K1, dok ispod grada A2,C,</w:t>
      </w:r>
      <w:r w:rsidRPr="000873F7">
        <w:rPr>
          <w:rFonts w:ascii="Constantia" w:hAnsi="Constantia"/>
        </w:rPr>
        <w:t>K2 klasi (Bać). Ovaj vodotok je ugrožen od grada Rožaja i posle 20 km toka njegove vode pokazuju loš kvlitet. Često je mutan sa dosta otpada na profilu B</w:t>
      </w:r>
      <w:r w:rsidR="000873F7" w:rsidRPr="000873F7">
        <w:rPr>
          <w:rFonts w:ascii="Constantia" w:hAnsi="Constantia"/>
        </w:rPr>
        <w:t>ać i mnogi parametri su VK u 33,</w:t>
      </w:r>
      <w:r w:rsidRPr="000873F7">
        <w:rPr>
          <w:rFonts w:ascii="Constantia" w:hAnsi="Constantia"/>
        </w:rPr>
        <w:t>3% slučaja: suspendovane materije, fosfati, nitriti, fekalne i koli bakterije. Iznad grada ravnoteža je pomjerena, vjerovatno zbog mutnoće koju uzrokuju kiše</w:t>
      </w:r>
      <w:r w:rsidR="000873F7" w:rsidRPr="000873F7">
        <w:rPr>
          <w:rFonts w:ascii="Constantia" w:hAnsi="Constantia"/>
        </w:rPr>
        <w:t>,</w:t>
      </w:r>
      <w:r w:rsidRPr="000873F7">
        <w:rPr>
          <w:rFonts w:ascii="Constantia" w:hAnsi="Constantia"/>
        </w:rPr>
        <w:t xml:space="preserve"> jer je ovo područj</w:t>
      </w:r>
      <w:r w:rsidR="000873F7" w:rsidRPr="000873F7">
        <w:rPr>
          <w:rFonts w:ascii="Constantia" w:hAnsi="Constantia"/>
        </w:rPr>
        <w:t>e</w:t>
      </w:r>
      <w:r w:rsidRPr="000873F7">
        <w:rPr>
          <w:rFonts w:ascii="Constantia" w:hAnsi="Constantia"/>
        </w:rPr>
        <w:t xml:space="preserve"> podložno spiranju tla.</w:t>
      </w:r>
    </w:p>
    <w:p w:rsidR="004F3444" w:rsidRPr="00926752" w:rsidRDefault="004F3444" w:rsidP="004F3444">
      <w:pPr>
        <w:rPr>
          <w:rFonts w:ascii="Constantia" w:hAnsi="Constantia"/>
        </w:rPr>
      </w:pPr>
      <w:r w:rsidRPr="00926752">
        <w:rPr>
          <w:rFonts w:ascii="Constantia" w:hAnsi="Constantia"/>
          <w:b/>
          <w:i/>
        </w:rPr>
        <w:t>Tara</w:t>
      </w:r>
      <w:r w:rsidRPr="00926752">
        <w:rPr>
          <w:rFonts w:ascii="Constantia" w:hAnsi="Constantia"/>
        </w:rPr>
        <w:t xml:space="preserve"> se uzorkuje na 6 mjesta i na čitavom toku </w:t>
      </w:r>
      <w:r w:rsidR="00CA1F68">
        <w:rPr>
          <w:rFonts w:ascii="Constantia" w:hAnsi="Constantia"/>
        </w:rPr>
        <w:t xml:space="preserve">njene </w:t>
      </w:r>
      <w:r w:rsidRPr="00926752">
        <w:rPr>
          <w:rFonts w:ascii="Constantia" w:hAnsi="Constantia"/>
        </w:rPr>
        <w:t>vode tre</w:t>
      </w:r>
      <w:r w:rsidR="008B7EA5">
        <w:rPr>
          <w:rFonts w:ascii="Constantia" w:hAnsi="Constantia"/>
        </w:rPr>
        <w:t>ba da pripadaju A1,S,</w:t>
      </w:r>
      <w:r w:rsidR="00926752" w:rsidRPr="00926752">
        <w:rPr>
          <w:rFonts w:ascii="Constantia" w:hAnsi="Constantia"/>
        </w:rPr>
        <w:t>K1 klasi. Ipak,</w:t>
      </w:r>
      <w:r w:rsidRPr="00926752">
        <w:rPr>
          <w:rFonts w:ascii="Constantia" w:hAnsi="Constantia"/>
        </w:rPr>
        <w:t xml:space="preserve"> takva situacija se </w:t>
      </w:r>
      <w:r w:rsidR="00926752" w:rsidRPr="00926752">
        <w:rPr>
          <w:rFonts w:ascii="Constantia" w:hAnsi="Constantia"/>
        </w:rPr>
        <w:t xml:space="preserve">realno </w:t>
      </w:r>
      <w:r w:rsidRPr="00926752">
        <w:rPr>
          <w:rFonts w:ascii="Constantia" w:hAnsi="Constantia"/>
        </w:rPr>
        <w:t>teško može održati. Uzimajući ukupni vodotok</w:t>
      </w:r>
      <w:r w:rsidR="00926752" w:rsidRPr="00926752">
        <w:rPr>
          <w:rFonts w:ascii="Constantia" w:hAnsi="Constantia"/>
        </w:rPr>
        <w:t>,</w:t>
      </w:r>
      <w:r w:rsidRPr="00926752">
        <w:rPr>
          <w:rFonts w:ascii="Constantia" w:hAnsi="Constantia"/>
        </w:rPr>
        <w:t xml:space="preserve"> 33</w:t>
      </w:r>
      <w:r w:rsidR="00926752" w:rsidRPr="00926752">
        <w:rPr>
          <w:rFonts w:ascii="Constantia" w:hAnsi="Constantia"/>
        </w:rPr>
        <w:t>,</w:t>
      </w:r>
      <w:r w:rsidRPr="00926752">
        <w:rPr>
          <w:rFonts w:ascii="Constantia" w:hAnsi="Constantia"/>
        </w:rPr>
        <w:t>8% odeđenih klasa pomjereno je iz</w:t>
      </w:r>
      <w:r w:rsidR="00CA1F68">
        <w:rPr>
          <w:rFonts w:ascii="Constantia" w:hAnsi="Constantia"/>
        </w:rPr>
        <w:t xml:space="preserve"> </w:t>
      </w:r>
      <w:r w:rsidRPr="00926752">
        <w:rPr>
          <w:rFonts w:ascii="Constantia" w:hAnsi="Constantia"/>
        </w:rPr>
        <w:t>zahtijevanog boniteta, uglavnom u A2 klasu. Loše stanje je bilo po sadržaju fosfata koji su na svim lokalitetima bili u A3 klasi, a u Kolašinu čak i VK. Što se tiče mikrobioloških param</w:t>
      </w:r>
      <w:r w:rsidR="00926752" w:rsidRPr="00926752">
        <w:rPr>
          <w:rFonts w:ascii="Constantia" w:hAnsi="Constantia"/>
        </w:rPr>
        <w:t>e</w:t>
      </w:r>
      <w:r w:rsidRPr="00926752">
        <w:rPr>
          <w:rFonts w:ascii="Constantia" w:hAnsi="Constantia"/>
        </w:rPr>
        <w:t>tara</w:t>
      </w:r>
      <w:r w:rsidR="00926752" w:rsidRPr="00926752">
        <w:rPr>
          <w:rFonts w:ascii="Constantia" w:hAnsi="Constantia"/>
        </w:rPr>
        <w:t>,</w:t>
      </w:r>
      <w:r w:rsidRPr="00926752">
        <w:rPr>
          <w:rFonts w:ascii="Constantia" w:hAnsi="Constantia"/>
        </w:rPr>
        <w:t xml:space="preserve"> sadržaj fekalnih bakterija na svim mjernim mjestima bio je u A2 klasi, dok</w:t>
      </w:r>
      <w:r w:rsidR="00926752" w:rsidRPr="00926752">
        <w:rPr>
          <w:rFonts w:ascii="Constantia" w:hAnsi="Constantia"/>
        </w:rPr>
        <w:t xml:space="preserve"> je</w:t>
      </w:r>
      <w:r w:rsidRPr="00926752">
        <w:rPr>
          <w:rFonts w:ascii="Constantia" w:hAnsi="Constantia"/>
        </w:rPr>
        <w:t xml:space="preserve"> broj koli bakterija bio u odgovarajuć</w:t>
      </w:r>
      <w:r w:rsidR="00926752" w:rsidRPr="00926752">
        <w:rPr>
          <w:rFonts w:ascii="Constantia" w:hAnsi="Constantia"/>
        </w:rPr>
        <w:t>oj</w:t>
      </w:r>
      <w:r w:rsidRPr="00926752">
        <w:rPr>
          <w:rFonts w:ascii="Constantia" w:hAnsi="Constantia"/>
        </w:rPr>
        <w:t xml:space="preserve"> A1 klas</w:t>
      </w:r>
      <w:r w:rsidR="00926752" w:rsidRPr="00926752">
        <w:rPr>
          <w:rFonts w:ascii="Constantia" w:hAnsi="Constantia"/>
        </w:rPr>
        <w:t>i</w:t>
      </w:r>
      <w:r w:rsidRPr="00926752">
        <w:rPr>
          <w:rFonts w:ascii="Constantia" w:hAnsi="Constantia"/>
        </w:rPr>
        <w:t xml:space="preserve">. </w:t>
      </w:r>
    </w:p>
    <w:p w:rsidR="004F3444" w:rsidRPr="00AD0BE7" w:rsidRDefault="004F3444" w:rsidP="004F3444">
      <w:pPr>
        <w:rPr>
          <w:rFonts w:ascii="Constantia" w:hAnsi="Constantia"/>
        </w:rPr>
      </w:pPr>
      <w:r w:rsidRPr="00AD0BE7">
        <w:rPr>
          <w:rFonts w:ascii="Constantia" w:hAnsi="Constantia"/>
          <w:b/>
          <w:i/>
        </w:rPr>
        <w:t>Piva</w:t>
      </w:r>
      <w:r w:rsidRPr="00AD0BE7">
        <w:rPr>
          <w:rFonts w:ascii="Constantia" w:hAnsi="Constantia"/>
        </w:rPr>
        <w:t xml:space="preserve"> se uzorkuje na 1 mjestu (Šćepan polje) i njene vode, kao prelivne vode Pivskog jezera, treba da pripadaju </w:t>
      </w:r>
      <w:r w:rsidR="008B7EA5" w:rsidRPr="00AD0BE7">
        <w:rPr>
          <w:rFonts w:ascii="Constantia" w:hAnsi="Constantia"/>
        </w:rPr>
        <w:t>A2,C,</w:t>
      </w:r>
      <w:r w:rsidR="00AD0BE7" w:rsidRPr="00AD0BE7">
        <w:rPr>
          <w:rFonts w:ascii="Constantia" w:hAnsi="Constantia"/>
        </w:rPr>
        <w:t>K2 klasi. O</w:t>
      </w:r>
      <w:r w:rsidRPr="00AD0BE7">
        <w:rPr>
          <w:rFonts w:ascii="Constantia" w:hAnsi="Constantia"/>
        </w:rPr>
        <w:t xml:space="preserve">ne </w:t>
      </w:r>
      <w:r w:rsidR="00AD0BE7" w:rsidRPr="00AD0BE7">
        <w:rPr>
          <w:rFonts w:ascii="Constantia" w:hAnsi="Constantia"/>
        </w:rPr>
        <w:t>i jesu takve, jer u 96,6</w:t>
      </w:r>
      <w:r w:rsidRPr="00AD0BE7">
        <w:rPr>
          <w:rFonts w:ascii="Constantia" w:hAnsi="Constantia"/>
        </w:rPr>
        <w:t xml:space="preserve">% slučajeva odrađenih klasa </w:t>
      </w:r>
      <w:r w:rsidR="00AD0BE7" w:rsidRPr="00AD0BE7">
        <w:rPr>
          <w:rFonts w:ascii="Constantia" w:hAnsi="Constantia"/>
        </w:rPr>
        <w:t xml:space="preserve">pripadaju </w:t>
      </w:r>
      <w:r w:rsidRPr="00AD0BE7">
        <w:rPr>
          <w:rFonts w:ascii="Constantia" w:hAnsi="Constantia"/>
        </w:rPr>
        <w:t>svojoj, a čak i u dosta slučajeva A i A1 klasi. Voda u svim mjerenjima nije prelazila 10</w:t>
      </w:r>
      <w:r w:rsidRPr="00AD0BE7">
        <w:rPr>
          <w:rFonts w:ascii="Constantia" w:hAnsi="Constantia" w:cs="Calibri"/>
        </w:rPr>
        <w:t>°</w:t>
      </w:r>
      <w:r w:rsidRPr="00AD0BE7">
        <w:rPr>
          <w:rFonts w:ascii="Constantia" w:hAnsi="Constantia"/>
        </w:rPr>
        <w:t xml:space="preserve">C i može se tumačiti kao rijeka sa najboljim kvalitetom vode u ovoj godini.  </w:t>
      </w:r>
    </w:p>
    <w:p w:rsidR="004F3444" w:rsidRPr="00B83FCC" w:rsidRDefault="004F3444" w:rsidP="004F3444">
      <w:pPr>
        <w:rPr>
          <w:rFonts w:ascii="Constantia" w:hAnsi="Constantia"/>
        </w:rPr>
      </w:pPr>
      <w:r w:rsidRPr="006244D6">
        <w:rPr>
          <w:rFonts w:ascii="Constantia" w:hAnsi="Constantia"/>
          <w:b/>
          <w:i/>
        </w:rPr>
        <w:t>Skadarsko jezero</w:t>
      </w:r>
      <w:r w:rsidRPr="006244D6">
        <w:rPr>
          <w:rFonts w:ascii="Constantia" w:hAnsi="Constantia"/>
        </w:rPr>
        <w:t xml:space="preserve"> se uzorkuje na 9 mje</w:t>
      </w:r>
      <w:r w:rsidR="008B7EA5" w:rsidRPr="006244D6">
        <w:rPr>
          <w:rFonts w:ascii="Constantia" w:hAnsi="Constantia"/>
        </w:rPr>
        <w:t>sta i vode su mu svrstane u A2,C,</w:t>
      </w:r>
      <w:r w:rsidR="00CE4331" w:rsidRPr="006244D6">
        <w:rPr>
          <w:rFonts w:ascii="Constantia" w:hAnsi="Constantia"/>
        </w:rPr>
        <w:t>K2 klasu boniteta. Temperatur</w:t>
      </w:r>
      <w:r w:rsidR="005C60BE">
        <w:rPr>
          <w:rFonts w:ascii="Constantia" w:hAnsi="Constantia"/>
        </w:rPr>
        <w:t>a vode u površinskom sloju je</w:t>
      </w:r>
      <w:r w:rsidRPr="006244D6">
        <w:rPr>
          <w:rFonts w:ascii="Constantia" w:hAnsi="Constantia"/>
        </w:rPr>
        <w:t xml:space="preserve"> variral</w:t>
      </w:r>
      <w:r w:rsidR="005C60BE">
        <w:rPr>
          <w:rFonts w:ascii="Constantia" w:hAnsi="Constantia"/>
        </w:rPr>
        <w:t>a</w:t>
      </w:r>
      <w:r w:rsidRPr="006244D6">
        <w:rPr>
          <w:rFonts w:ascii="Constantia" w:hAnsi="Constantia"/>
        </w:rPr>
        <w:t xml:space="preserve"> tokom godine, zavisno od perioda uzo</w:t>
      </w:r>
      <w:r w:rsidR="00CE4331" w:rsidRPr="006244D6">
        <w:rPr>
          <w:rFonts w:ascii="Constantia" w:hAnsi="Constantia"/>
        </w:rPr>
        <w:t>rkovanja, a kretal</w:t>
      </w:r>
      <w:r w:rsidR="005C60BE">
        <w:rPr>
          <w:rFonts w:ascii="Constantia" w:hAnsi="Constantia"/>
        </w:rPr>
        <w:t>a</w:t>
      </w:r>
      <w:r w:rsidR="00CE4331" w:rsidRPr="006244D6">
        <w:rPr>
          <w:rFonts w:ascii="Constantia" w:hAnsi="Constantia"/>
        </w:rPr>
        <w:t xml:space="preserve"> se od 13,</w:t>
      </w:r>
      <w:r w:rsidRPr="006244D6">
        <w:rPr>
          <w:rFonts w:ascii="Constantia" w:hAnsi="Constantia"/>
        </w:rPr>
        <w:t>8</w:t>
      </w:r>
      <w:r w:rsidRPr="006244D6">
        <w:rPr>
          <w:rFonts w:ascii="Constantia" w:hAnsi="Constantia" w:cs="Calibri"/>
        </w:rPr>
        <w:t>°</w:t>
      </w:r>
      <w:r w:rsidR="00CE4331" w:rsidRPr="006244D6">
        <w:rPr>
          <w:rFonts w:ascii="Constantia" w:hAnsi="Constantia"/>
        </w:rPr>
        <w:t>C u oktobru (Virpazar) do 28,</w:t>
      </w:r>
      <w:r w:rsidRPr="006244D6">
        <w:rPr>
          <w:rFonts w:ascii="Constantia" w:hAnsi="Constantia"/>
        </w:rPr>
        <w:t>0</w:t>
      </w:r>
      <w:r w:rsidRPr="006244D6">
        <w:rPr>
          <w:rFonts w:ascii="Constantia" w:hAnsi="Constantia" w:cs="Calibri"/>
        </w:rPr>
        <w:t>°</w:t>
      </w:r>
      <w:r w:rsidRPr="006244D6">
        <w:rPr>
          <w:rFonts w:ascii="Constantia" w:hAnsi="Constantia"/>
        </w:rPr>
        <w:t>C u avgustu (Podhum i Ckla).</w:t>
      </w:r>
      <w:r>
        <w:t xml:space="preserve"> </w:t>
      </w:r>
      <w:r w:rsidRPr="00AC74A6">
        <w:rPr>
          <w:rFonts w:ascii="Constantia" w:hAnsi="Constantia"/>
        </w:rPr>
        <w:t xml:space="preserve">Providnost vode je bila </w:t>
      </w:r>
      <w:r w:rsidR="006244D6" w:rsidRPr="00AC74A6">
        <w:rPr>
          <w:rFonts w:ascii="Constantia" w:hAnsi="Constantia"/>
        </w:rPr>
        <w:t>najve</w:t>
      </w:r>
      <w:r w:rsidR="006244D6" w:rsidRPr="00AC74A6">
        <w:rPr>
          <w:rFonts w:ascii="Constantia" w:hAnsi="Constantia"/>
          <w:lang w:val="sr-Latn-CS"/>
        </w:rPr>
        <w:t xml:space="preserve">ća </w:t>
      </w:r>
      <w:r w:rsidRPr="00AC74A6">
        <w:rPr>
          <w:rFonts w:ascii="Constantia" w:hAnsi="Constantia"/>
        </w:rPr>
        <w:t>na početku i kraju mjernog perioda</w:t>
      </w:r>
      <w:r w:rsidR="005C60BE">
        <w:rPr>
          <w:rFonts w:ascii="Constantia" w:hAnsi="Constantia"/>
        </w:rPr>
        <w:t xml:space="preserve"> (u junu i oktobru)</w:t>
      </w:r>
      <w:r w:rsidRPr="00AC74A6">
        <w:rPr>
          <w:rFonts w:ascii="Constantia" w:hAnsi="Constantia"/>
        </w:rPr>
        <w:t xml:space="preserve"> i nije nigdje prelazila 4 m</w:t>
      </w:r>
      <w:r w:rsidR="00A639B2">
        <w:rPr>
          <w:rFonts w:ascii="Constantia" w:hAnsi="Constantia"/>
        </w:rPr>
        <w:t>, dok je n</w:t>
      </w:r>
      <w:r w:rsidRPr="00AC74A6">
        <w:rPr>
          <w:rFonts w:ascii="Constantia" w:hAnsi="Constantia"/>
        </w:rPr>
        <w:t>ajveća izmjerena</w:t>
      </w:r>
      <w:r w:rsidR="006244D6" w:rsidRPr="00AC74A6">
        <w:rPr>
          <w:rFonts w:ascii="Constantia" w:hAnsi="Constantia"/>
        </w:rPr>
        <w:t xml:space="preserve"> providnost bila 3,</w:t>
      </w:r>
      <w:r w:rsidRPr="00AC74A6">
        <w:rPr>
          <w:rFonts w:ascii="Constantia" w:hAnsi="Constantia"/>
        </w:rPr>
        <w:t>60 m u pelagijalu (</w:t>
      </w:r>
      <w:r w:rsidR="006244D6" w:rsidRPr="00AC74A6">
        <w:rPr>
          <w:rFonts w:ascii="Constantia" w:hAnsi="Constantia"/>
        </w:rPr>
        <w:t>s</w:t>
      </w:r>
      <w:r w:rsidRPr="00AC74A6">
        <w:rPr>
          <w:rFonts w:ascii="Constantia" w:hAnsi="Constantia"/>
        </w:rPr>
        <w:t>redina jezera).</w:t>
      </w:r>
      <w:r>
        <w:t xml:space="preserve"> </w:t>
      </w:r>
      <w:r w:rsidRPr="00B83FCC">
        <w:rPr>
          <w:rFonts w:ascii="Constantia" w:hAnsi="Constantia"/>
        </w:rPr>
        <w:t>U periodu između</w:t>
      </w:r>
      <w:r w:rsidR="00A639B2" w:rsidRPr="00B83FCC">
        <w:rPr>
          <w:rFonts w:ascii="Constantia" w:hAnsi="Constantia"/>
        </w:rPr>
        <w:t xml:space="preserve"> toga,</w:t>
      </w:r>
      <w:r w:rsidRPr="00B83FCC">
        <w:rPr>
          <w:rFonts w:ascii="Constantia" w:hAnsi="Constantia"/>
        </w:rPr>
        <w:t xml:space="preserve"> bila je manja i u pelagijalu i u litoralu i kretala se uglavnom 1</w:t>
      </w:r>
      <w:r w:rsidR="00A639B2" w:rsidRPr="00B83FCC">
        <w:rPr>
          <w:rFonts w:ascii="Constantia" w:hAnsi="Constantia"/>
        </w:rPr>
        <w:t>-</w:t>
      </w:r>
      <w:r w:rsidR="005C60BE">
        <w:rPr>
          <w:rFonts w:ascii="Constantia" w:hAnsi="Constantia"/>
        </w:rPr>
        <w:t>2</w:t>
      </w:r>
      <w:r w:rsidR="00A639B2" w:rsidRPr="00B83FCC">
        <w:rPr>
          <w:rFonts w:ascii="Constantia" w:hAnsi="Constantia"/>
        </w:rPr>
        <w:t>,5 m. Od određenih klasa 84,</w:t>
      </w:r>
      <w:r w:rsidRPr="00B83FCC">
        <w:rPr>
          <w:rFonts w:ascii="Constantia" w:hAnsi="Constantia"/>
        </w:rPr>
        <w:t xml:space="preserve">8% slučajeva bilo </w:t>
      </w:r>
      <w:r w:rsidR="00A639B2" w:rsidRPr="00B83FCC">
        <w:rPr>
          <w:rFonts w:ascii="Constantia" w:hAnsi="Constantia"/>
        </w:rPr>
        <w:t>je u propisanoj klasi, a samo 1,5</w:t>
      </w:r>
      <w:r w:rsidRPr="00B83FCC">
        <w:rPr>
          <w:rFonts w:ascii="Constantia" w:hAnsi="Constantia"/>
        </w:rPr>
        <w:t>% VK</w:t>
      </w:r>
      <w:r w:rsidR="00A639B2" w:rsidRPr="00B83FCC">
        <w:rPr>
          <w:rFonts w:ascii="Constantia" w:hAnsi="Constantia"/>
        </w:rPr>
        <w:t>, š</w:t>
      </w:r>
      <w:r w:rsidRPr="00B83FCC">
        <w:rPr>
          <w:rFonts w:ascii="Constantia" w:hAnsi="Constantia"/>
        </w:rPr>
        <w:t>to</w:t>
      </w:r>
      <w:r w:rsidR="00A639B2" w:rsidRPr="00B83FCC">
        <w:rPr>
          <w:rFonts w:ascii="Constantia" w:hAnsi="Constantia"/>
        </w:rPr>
        <w:t xml:space="preserve"> se odnosi na</w:t>
      </w:r>
      <w:r w:rsidRPr="00B83FCC">
        <w:rPr>
          <w:rFonts w:ascii="Constantia" w:hAnsi="Constantia"/>
        </w:rPr>
        <w:t xml:space="preserve"> saturacij</w:t>
      </w:r>
      <w:r w:rsidR="00A639B2" w:rsidRPr="00B83FCC">
        <w:rPr>
          <w:rFonts w:ascii="Constantia" w:hAnsi="Constantia"/>
        </w:rPr>
        <w:t>u</w:t>
      </w:r>
      <w:r w:rsidRPr="00B83FCC">
        <w:rPr>
          <w:rFonts w:ascii="Constantia" w:hAnsi="Constantia"/>
        </w:rPr>
        <w:t xml:space="preserve"> kiseonikom u gornjem dijelu jezera, koju prouzrokuju visoke temperature i pojava biljnog svjeta</w:t>
      </w:r>
      <w:r w:rsidR="00A639B2" w:rsidRPr="00B83FCC">
        <w:rPr>
          <w:rFonts w:ascii="Constantia" w:hAnsi="Constantia"/>
        </w:rPr>
        <w:t xml:space="preserve">, a koja je </w:t>
      </w:r>
      <w:r w:rsidRPr="00B83FCC">
        <w:rPr>
          <w:rFonts w:ascii="Constantia" w:hAnsi="Constantia"/>
        </w:rPr>
        <w:t xml:space="preserve">dostizala </w:t>
      </w:r>
      <w:r w:rsidR="00A639B2" w:rsidRPr="00B83FCC">
        <w:rPr>
          <w:rFonts w:ascii="Constantia" w:hAnsi="Constantia"/>
        </w:rPr>
        <w:t xml:space="preserve">i </w:t>
      </w:r>
      <w:r w:rsidRPr="00B83FCC">
        <w:rPr>
          <w:rFonts w:ascii="Constantia" w:hAnsi="Constantia"/>
        </w:rPr>
        <w:t xml:space="preserve">vrijednost </w:t>
      </w:r>
      <w:r w:rsidR="00A639B2" w:rsidRPr="00B83FCC">
        <w:rPr>
          <w:rFonts w:ascii="Constantia" w:hAnsi="Constantia"/>
        </w:rPr>
        <w:t xml:space="preserve">od </w:t>
      </w:r>
      <w:r w:rsidRPr="00B83FCC">
        <w:rPr>
          <w:rFonts w:ascii="Constantia" w:hAnsi="Constantia"/>
        </w:rPr>
        <w:t xml:space="preserve">147% (Plavnica). Pomjeranje ravnoteže, to jest prelazak u A3 klasu, uglavnom imaju </w:t>
      </w:r>
      <w:r w:rsidR="00B83FCC" w:rsidRPr="00B83FCC">
        <w:rPr>
          <w:rFonts w:ascii="Constantia" w:hAnsi="Constantia"/>
        </w:rPr>
        <w:t xml:space="preserve">sledeći </w:t>
      </w:r>
      <w:r w:rsidRPr="00B83FCC">
        <w:rPr>
          <w:rFonts w:ascii="Constantia" w:hAnsi="Constantia"/>
        </w:rPr>
        <w:t xml:space="preserve">parametri: jonski odnos Ca/Mg, saturacija kiseonikom, temperatura, amonijak, fosfati, nitriti i deterdženti, a što se tiče profila to su oni koji su pod uticajem dolaznih rijeka – Morače, Crnojevića </w:t>
      </w:r>
      <w:r w:rsidR="009E2E26">
        <w:rPr>
          <w:rFonts w:ascii="Constantia" w:hAnsi="Constantia"/>
        </w:rPr>
        <w:t>r</w:t>
      </w:r>
      <w:r w:rsidRPr="00B83FCC">
        <w:rPr>
          <w:rFonts w:ascii="Constantia" w:hAnsi="Constantia"/>
        </w:rPr>
        <w:t>ijeke, Plavšnice i Virpazarke rijeke (Vranjina, Kamenik, Virpazar, Plavnica i Moračnik). Jezerski sistem uspijeva da odoli pritiscima dospjelih organskih materija, pa su indikovani kis</w:t>
      </w:r>
      <w:r w:rsidR="00B83FCC" w:rsidRPr="00B83FCC">
        <w:rPr>
          <w:rFonts w:ascii="Constantia" w:hAnsi="Constantia"/>
        </w:rPr>
        <w:t>e</w:t>
      </w:r>
      <w:r w:rsidRPr="00B83FCC">
        <w:rPr>
          <w:rFonts w:ascii="Constantia" w:hAnsi="Constantia"/>
        </w:rPr>
        <w:t>onični parametri (HPK,</w:t>
      </w:r>
      <w:r w:rsidR="00B83FCC" w:rsidRPr="00B83FCC">
        <w:rPr>
          <w:rFonts w:ascii="Constantia" w:hAnsi="Constantia"/>
        </w:rPr>
        <w:t xml:space="preserve"> </w:t>
      </w:r>
      <w:r w:rsidRPr="00B83FCC">
        <w:rPr>
          <w:rFonts w:ascii="Constantia" w:hAnsi="Constantia"/>
        </w:rPr>
        <w:t>BPK5) bili u propisanoj klasi</w:t>
      </w:r>
      <w:r w:rsidR="00B83FCC" w:rsidRPr="00B83FCC">
        <w:rPr>
          <w:rFonts w:ascii="Constantia" w:hAnsi="Constantia"/>
        </w:rPr>
        <w:t>,</w:t>
      </w:r>
      <w:r w:rsidRPr="00B83FCC">
        <w:rPr>
          <w:rFonts w:ascii="Constantia" w:hAnsi="Constantia"/>
        </w:rPr>
        <w:t xml:space="preserve"> izuzev kod Kamenika gdje je BPK5 bila u A3 klasi. </w:t>
      </w:r>
    </w:p>
    <w:p w:rsidR="004F3444" w:rsidRPr="00B5093B" w:rsidRDefault="004F3444" w:rsidP="004F3444">
      <w:pPr>
        <w:rPr>
          <w:rFonts w:ascii="Constantia" w:hAnsi="Constantia"/>
        </w:rPr>
      </w:pPr>
      <w:r w:rsidRPr="00C60908">
        <w:rPr>
          <w:rFonts w:ascii="Constantia" w:hAnsi="Constantia"/>
        </w:rPr>
        <w:t>Što se tiče mikrobioloških parametara i klase vode za kupanje</w:t>
      </w:r>
      <w:r w:rsidR="00C60908" w:rsidRPr="00C60908">
        <w:rPr>
          <w:rFonts w:ascii="Constantia" w:hAnsi="Constantia"/>
        </w:rPr>
        <w:t>,</w:t>
      </w:r>
      <w:r w:rsidRPr="00C60908">
        <w:rPr>
          <w:rFonts w:ascii="Constantia" w:hAnsi="Constantia"/>
        </w:rPr>
        <w:t xml:space="preserve"> bili su </w:t>
      </w:r>
      <w:r w:rsidR="002106B4">
        <w:rPr>
          <w:rFonts w:ascii="Constantia" w:hAnsi="Constantia"/>
        </w:rPr>
        <w:t xml:space="preserve">u </w:t>
      </w:r>
      <w:r w:rsidRPr="00C60908">
        <w:rPr>
          <w:rFonts w:ascii="Constantia" w:hAnsi="Constantia"/>
        </w:rPr>
        <w:t xml:space="preserve">zahtijevanom bonitetu, a sadržaj koli bakterija bio je i u </w:t>
      </w:r>
      <w:r w:rsidR="002106B4">
        <w:rPr>
          <w:rFonts w:ascii="Constantia" w:hAnsi="Constantia"/>
        </w:rPr>
        <w:t xml:space="preserve">još </w:t>
      </w:r>
      <w:r w:rsidRPr="00C60908">
        <w:rPr>
          <w:rFonts w:ascii="Constantia" w:hAnsi="Constantia"/>
        </w:rPr>
        <w:t>boljem stanju od propisanog i sva mjerna mjesta pripadal</w:t>
      </w:r>
      <w:r w:rsidR="00C60908">
        <w:rPr>
          <w:rFonts w:ascii="Constantia" w:hAnsi="Constantia"/>
        </w:rPr>
        <w:t>a</w:t>
      </w:r>
      <w:r w:rsidRPr="00C60908">
        <w:rPr>
          <w:rFonts w:ascii="Constantia" w:hAnsi="Constantia"/>
        </w:rPr>
        <w:t xml:space="preserve"> su A ili A1 (S), odnosno K1 klasi.</w:t>
      </w:r>
      <w:r w:rsidR="00CE1EAA">
        <w:rPr>
          <w:rFonts w:ascii="Constantia" w:hAnsi="Constantia"/>
        </w:rPr>
        <w:t xml:space="preserve"> </w:t>
      </w:r>
      <w:r w:rsidRPr="00B5093B">
        <w:rPr>
          <w:rFonts w:ascii="Constantia" w:hAnsi="Constantia"/>
        </w:rPr>
        <w:t xml:space="preserve">Automatska stanica “Vranjina” prati kvalitet vode preko 5 parametra: temperatura, pH vrijednost, elektroprovodljvost, saturacija kiseonika i hlorofil A. </w:t>
      </w:r>
    </w:p>
    <w:p w:rsidR="004F3444" w:rsidRPr="00CE1EAA" w:rsidRDefault="004F3444" w:rsidP="004F3444">
      <w:pPr>
        <w:rPr>
          <w:rFonts w:ascii="Constantia" w:hAnsi="Constantia"/>
        </w:rPr>
      </w:pPr>
      <w:r w:rsidRPr="00B5093B">
        <w:rPr>
          <w:rFonts w:ascii="Constantia" w:hAnsi="Constantia"/>
        </w:rPr>
        <w:lastRenderedPageBreak/>
        <w:t>T</w:t>
      </w:r>
      <w:r w:rsidR="00281AEC" w:rsidRPr="00B5093B">
        <w:rPr>
          <w:rFonts w:ascii="Constantia" w:hAnsi="Constantia"/>
        </w:rPr>
        <w:t>emperatura vode se kretala od 6,</w:t>
      </w:r>
      <w:r w:rsidRPr="00B5093B">
        <w:rPr>
          <w:rFonts w:ascii="Constantia" w:hAnsi="Constantia"/>
        </w:rPr>
        <w:t>1</w:t>
      </w:r>
      <w:r w:rsidRPr="00B5093B">
        <w:rPr>
          <w:rFonts w:ascii="Constantia" w:hAnsi="Constantia" w:cs="Calibri"/>
        </w:rPr>
        <w:t>°</w:t>
      </w:r>
      <w:r w:rsidRPr="00B5093B">
        <w:rPr>
          <w:rFonts w:ascii="Constantia" w:hAnsi="Constantia"/>
        </w:rPr>
        <w:t xml:space="preserve">C kao </w:t>
      </w:r>
      <w:r w:rsidR="00281AEC" w:rsidRPr="00B5093B">
        <w:rPr>
          <w:rFonts w:ascii="Constantia" w:hAnsi="Constantia"/>
        </w:rPr>
        <w:t>minimalna vrijednost, odnosno 7,</w:t>
      </w:r>
      <w:r w:rsidRPr="00B5093B">
        <w:rPr>
          <w:rFonts w:ascii="Constantia" w:hAnsi="Constantia"/>
        </w:rPr>
        <w:t>2</w:t>
      </w:r>
      <w:r w:rsidRPr="00B5093B">
        <w:rPr>
          <w:rFonts w:ascii="Constantia" w:hAnsi="Constantia" w:cs="Calibri"/>
        </w:rPr>
        <w:t>°</w:t>
      </w:r>
      <w:r w:rsidRPr="00B5093B">
        <w:rPr>
          <w:rFonts w:ascii="Constantia" w:hAnsi="Constantia"/>
        </w:rPr>
        <w:t>C kao minimalni 95 -</w:t>
      </w:r>
      <w:r w:rsidR="00281AEC" w:rsidRPr="00B5093B">
        <w:rPr>
          <w:rFonts w:ascii="Constantia" w:hAnsi="Constantia"/>
        </w:rPr>
        <w:t xml:space="preserve"> percentil, do 29,</w:t>
      </w:r>
      <w:r w:rsidRPr="00B5093B">
        <w:rPr>
          <w:rFonts w:ascii="Constantia" w:hAnsi="Constantia"/>
        </w:rPr>
        <w:t xml:space="preserve">2 </w:t>
      </w:r>
      <w:r w:rsidRPr="00B5093B">
        <w:rPr>
          <w:rFonts w:ascii="Constantia" w:hAnsi="Constantia" w:cs="Calibri"/>
        </w:rPr>
        <w:t>°</w:t>
      </w:r>
      <w:r w:rsidRPr="00B5093B">
        <w:rPr>
          <w:rFonts w:ascii="Constantia" w:hAnsi="Constantia"/>
        </w:rPr>
        <w:t>C kao maksimalni 95 - percentil. Vrijedn</w:t>
      </w:r>
      <w:r w:rsidR="0060652D" w:rsidRPr="00B5093B">
        <w:rPr>
          <w:rFonts w:ascii="Constantia" w:hAnsi="Constantia"/>
        </w:rPr>
        <w:t xml:space="preserve">osti se odnose na period od 01. januara do 18. jula i od 11-31. </w:t>
      </w:r>
      <w:r w:rsidR="009848E2" w:rsidRPr="00B5093B">
        <w:rPr>
          <w:rFonts w:ascii="Constantia" w:hAnsi="Constantia"/>
        </w:rPr>
        <w:t>D</w:t>
      </w:r>
      <w:r w:rsidR="0060652D" w:rsidRPr="00B5093B">
        <w:rPr>
          <w:rFonts w:ascii="Constantia" w:hAnsi="Constantia"/>
        </w:rPr>
        <w:t>ecembra</w:t>
      </w:r>
      <w:r w:rsidR="009848E2">
        <w:rPr>
          <w:rFonts w:ascii="Constantia" w:hAnsi="Constantia"/>
        </w:rPr>
        <w:t xml:space="preserve"> 2013. godine</w:t>
      </w:r>
      <w:r w:rsidRPr="00B5093B">
        <w:rPr>
          <w:rFonts w:ascii="Constantia" w:hAnsi="Constantia"/>
        </w:rPr>
        <w:t>.</w:t>
      </w:r>
      <w:r w:rsidR="00CE1EAA">
        <w:rPr>
          <w:rFonts w:ascii="Constantia" w:hAnsi="Constantia"/>
        </w:rPr>
        <w:t xml:space="preserve"> </w:t>
      </w:r>
      <w:r w:rsidR="00C00F53" w:rsidRPr="00B5093B">
        <w:rPr>
          <w:rFonts w:ascii="Constantia" w:hAnsi="Constantia"/>
        </w:rPr>
        <w:t>Vrijednosti pH su se kretale 7,</w:t>
      </w:r>
      <w:r w:rsidRPr="00B5093B">
        <w:rPr>
          <w:rFonts w:ascii="Constantia" w:hAnsi="Constantia"/>
        </w:rPr>
        <w:t>4</w:t>
      </w:r>
      <w:r w:rsidR="00C00F53" w:rsidRPr="00B5093B">
        <w:rPr>
          <w:rFonts w:ascii="Constantia" w:hAnsi="Constantia"/>
        </w:rPr>
        <w:t>-9,</w:t>
      </w:r>
      <w:r w:rsidRPr="00B5093B">
        <w:rPr>
          <w:rFonts w:ascii="Constantia" w:hAnsi="Constantia"/>
        </w:rPr>
        <w:t>2  kao min i max 95 - percentil. Maksimalnu vrijednos</w:t>
      </w:r>
      <w:r w:rsidR="00C00F53" w:rsidRPr="00B5093B">
        <w:rPr>
          <w:rFonts w:ascii="Constantia" w:hAnsi="Constantia"/>
        </w:rPr>
        <w:t xml:space="preserve">t treba uzeti s </w:t>
      </w:r>
      <w:r w:rsidRPr="00B5093B">
        <w:rPr>
          <w:rFonts w:ascii="Constantia" w:hAnsi="Constantia"/>
        </w:rPr>
        <w:t xml:space="preserve">rezervom, jer </w:t>
      </w:r>
      <w:r w:rsidR="00C00F53" w:rsidRPr="00B5093B">
        <w:rPr>
          <w:rFonts w:ascii="Constantia" w:hAnsi="Constantia"/>
        </w:rPr>
        <w:t xml:space="preserve">je </w:t>
      </w:r>
      <w:r w:rsidRPr="00B5093B">
        <w:rPr>
          <w:rFonts w:ascii="Constantia" w:hAnsi="Constantia"/>
        </w:rPr>
        <w:t>elektroda inst</w:t>
      </w:r>
      <w:r w:rsidR="00C00F53" w:rsidRPr="00B5093B">
        <w:rPr>
          <w:rFonts w:ascii="Constantia" w:hAnsi="Constantia"/>
        </w:rPr>
        <w:t xml:space="preserve">rumenta često </w:t>
      </w:r>
      <w:r w:rsidRPr="00B5093B">
        <w:rPr>
          <w:rFonts w:ascii="Constantia" w:hAnsi="Constantia"/>
        </w:rPr>
        <w:t>imala tehničk</w:t>
      </w:r>
      <w:r w:rsidR="00CE1EAA">
        <w:rPr>
          <w:rFonts w:ascii="Constantia" w:hAnsi="Constantia"/>
        </w:rPr>
        <w:t>ih</w:t>
      </w:r>
      <w:r w:rsidRPr="00B5093B">
        <w:rPr>
          <w:rFonts w:ascii="Constantia" w:hAnsi="Constantia"/>
        </w:rPr>
        <w:t xml:space="preserve"> problem</w:t>
      </w:r>
      <w:r w:rsidR="00CE1EAA">
        <w:rPr>
          <w:rFonts w:ascii="Constantia" w:hAnsi="Constantia"/>
        </w:rPr>
        <w:t>a</w:t>
      </w:r>
      <w:r w:rsidRPr="00B5093B">
        <w:rPr>
          <w:rFonts w:ascii="Constantia" w:hAnsi="Constantia"/>
        </w:rPr>
        <w:t xml:space="preserve"> (zaprljanost).</w:t>
      </w:r>
      <w:r w:rsidR="00CE1EAA">
        <w:rPr>
          <w:rFonts w:ascii="Constantia" w:hAnsi="Constantia"/>
        </w:rPr>
        <w:t xml:space="preserve"> </w:t>
      </w:r>
      <w:r w:rsidRPr="00B5093B">
        <w:rPr>
          <w:rFonts w:ascii="Constantia" w:hAnsi="Constantia"/>
        </w:rPr>
        <w:t>Elektroprovodljivost vode se kretala od 219-296 µS/cm.</w:t>
      </w:r>
      <w:r w:rsidR="00CE1EAA">
        <w:rPr>
          <w:rFonts w:ascii="Constantia" w:hAnsi="Constantia"/>
        </w:rPr>
        <w:t xml:space="preserve"> </w:t>
      </w:r>
      <w:r w:rsidRPr="00CE1EAA">
        <w:rPr>
          <w:rFonts w:ascii="Constantia" w:hAnsi="Constantia"/>
        </w:rPr>
        <w:t>Zas</w:t>
      </w:r>
      <w:r w:rsidR="00C40EFD" w:rsidRPr="00CE1EAA">
        <w:rPr>
          <w:rFonts w:ascii="Constantia" w:hAnsi="Constantia"/>
        </w:rPr>
        <w:t>ićenje kiseonikom se kretalo 78</w:t>
      </w:r>
      <w:r w:rsidRPr="00CE1EAA">
        <w:rPr>
          <w:rFonts w:ascii="Constantia" w:hAnsi="Constantia"/>
        </w:rPr>
        <w:t>-101% kao minimalni i maksimalni 95 - percentili, a vrijednosti sad</w:t>
      </w:r>
      <w:r w:rsidR="00CE1EAA" w:rsidRPr="00CE1EAA">
        <w:rPr>
          <w:rFonts w:ascii="Constantia" w:hAnsi="Constantia"/>
        </w:rPr>
        <w:t>ržaja samog kiseonika su bile 7,5-10,</w:t>
      </w:r>
      <w:r w:rsidRPr="00CE1EAA">
        <w:rPr>
          <w:rFonts w:ascii="Constantia" w:hAnsi="Constantia"/>
        </w:rPr>
        <w:t>7 mg/l.</w:t>
      </w:r>
      <w:r w:rsidR="00CE1EAA">
        <w:rPr>
          <w:rFonts w:ascii="Constantia" w:hAnsi="Constantia"/>
        </w:rPr>
        <w:t xml:space="preserve"> </w:t>
      </w:r>
      <w:r w:rsidR="00CE1EAA" w:rsidRPr="00CE1EAA">
        <w:rPr>
          <w:rFonts w:ascii="Constantia" w:hAnsi="Constantia"/>
        </w:rPr>
        <w:t>Rezultati za hlorofil</w:t>
      </w:r>
      <w:r w:rsidR="00CE1EAA">
        <w:rPr>
          <w:rFonts w:ascii="Constantia" w:hAnsi="Constantia"/>
        </w:rPr>
        <w:t xml:space="preserve"> A</w:t>
      </w:r>
      <w:r w:rsidR="00CE1EAA" w:rsidRPr="00CE1EAA">
        <w:rPr>
          <w:rFonts w:ascii="Constantia" w:hAnsi="Constantia"/>
        </w:rPr>
        <w:t xml:space="preserve"> su se kretali od 0,27–10,</w:t>
      </w:r>
      <w:r w:rsidRPr="00CE1EAA">
        <w:rPr>
          <w:rFonts w:ascii="Constantia" w:hAnsi="Constantia"/>
        </w:rPr>
        <w:t>1 µg/l.</w:t>
      </w:r>
    </w:p>
    <w:p w:rsidR="004F3444" w:rsidRPr="00AB620A" w:rsidRDefault="004F3444" w:rsidP="004F3444">
      <w:pPr>
        <w:rPr>
          <w:rFonts w:ascii="Constantia" w:hAnsi="Constantia"/>
        </w:rPr>
      </w:pPr>
      <w:r w:rsidRPr="00AB620A">
        <w:rPr>
          <w:rFonts w:ascii="Constantia" w:hAnsi="Constantia"/>
          <w:b/>
          <w:i/>
        </w:rPr>
        <w:t>Plavsko jezero</w:t>
      </w:r>
      <w:r w:rsidRPr="00AB620A">
        <w:rPr>
          <w:rFonts w:ascii="Constantia" w:hAnsi="Constantia"/>
        </w:rPr>
        <w:t xml:space="preserve"> se uzorkuje na 1 mjestu (kod splava)</w:t>
      </w:r>
      <w:r w:rsidR="00AB620A" w:rsidRPr="00AB620A">
        <w:rPr>
          <w:rFonts w:ascii="Constantia" w:hAnsi="Constantia"/>
        </w:rPr>
        <w:t xml:space="preserve"> i voda treba da mu pripada A1,S,</w:t>
      </w:r>
      <w:r w:rsidRPr="00AB620A">
        <w:rPr>
          <w:rFonts w:ascii="Constantia" w:hAnsi="Constantia"/>
        </w:rPr>
        <w:t>K1 klasi. Temperatura vode u</w:t>
      </w:r>
      <w:r w:rsidR="00AB620A" w:rsidRPr="00AB620A">
        <w:rPr>
          <w:rFonts w:ascii="Constantia" w:hAnsi="Constantia"/>
        </w:rPr>
        <w:t xml:space="preserve"> površinkom sloju kretala se 10,4-15,</w:t>
      </w:r>
      <w:r w:rsidRPr="00AB620A">
        <w:rPr>
          <w:rFonts w:ascii="Constantia" w:hAnsi="Constantia"/>
        </w:rPr>
        <w:t>4</w:t>
      </w:r>
      <w:r w:rsidRPr="00AB620A">
        <w:rPr>
          <w:rFonts w:ascii="Constantia" w:hAnsi="Constantia" w:cs="Calibri"/>
        </w:rPr>
        <w:t>°</w:t>
      </w:r>
      <w:r w:rsidRPr="00AB620A">
        <w:rPr>
          <w:rFonts w:ascii="Constantia" w:hAnsi="Constantia"/>
        </w:rPr>
        <w:t>C. Providnost je bila dobra i kreta</w:t>
      </w:r>
      <w:r w:rsidR="00AB620A" w:rsidRPr="00AB620A">
        <w:rPr>
          <w:rFonts w:ascii="Constantia" w:hAnsi="Constantia"/>
        </w:rPr>
        <w:t>la se između 3-</w:t>
      </w:r>
      <w:r w:rsidRPr="00AB620A">
        <w:rPr>
          <w:rFonts w:ascii="Constantia" w:hAnsi="Constantia"/>
        </w:rPr>
        <w:t>5 m (do dna), što ukazuje na malu produkciju biomase. Voda sa hemijskog aspekta nije odgovarala po sadržaju fosfata koji su bili VK, a sadržaj amonijaka, nitrita i jonski odnos Ca/Mg bio je u A2 klasi.</w:t>
      </w:r>
      <w:r w:rsidR="00AB620A" w:rsidRPr="00AB620A">
        <w:rPr>
          <w:rFonts w:ascii="Constantia" w:hAnsi="Constantia"/>
        </w:rPr>
        <w:t xml:space="preserve"> </w:t>
      </w:r>
      <w:r w:rsidRPr="00AB620A">
        <w:rPr>
          <w:rFonts w:ascii="Constantia" w:hAnsi="Constantia"/>
        </w:rPr>
        <w:t>Mikrobiološki pokazatelji su bili u propisanoj klasi i voda je bila sanitarno ispravna za kupanje.</w:t>
      </w:r>
    </w:p>
    <w:p w:rsidR="004F3444" w:rsidRPr="008716A3" w:rsidRDefault="004F3444" w:rsidP="004F3444">
      <w:pPr>
        <w:rPr>
          <w:rFonts w:ascii="Constantia" w:hAnsi="Constantia"/>
        </w:rPr>
      </w:pPr>
      <w:r w:rsidRPr="008716A3">
        <w:rPr>
          <w:rFonts w:ascii="Constantia" w:hAnsi="Constantia"/>
          <w:b/>
          <w:i/>
        </w:rPr>
        <w:t>Crno jezero</w:t>
      </w:r>
      <w:r w:rsidRPr="008716A3">
        <w:rPr>
          <w:rFonts w:ascii="Constantia" w:hAnsi="Constantia"/>
        </w:rPr>
        <w:t xml:space="preserve"> se uzorkuje na 1 mjestu (kod splava)</w:t>
      </w:r>
      <w:r w:rsidR="00AB620A" w:rsidRPr="008716A3">
        <w:rPr>
          <w:rFonts w:ascii="Constantia" w:hAnsi="Constantia"/>
        </w:rPr>
        <w:t xml:space="preserve"> i voda treba da mu pripada A1,S,</w:t>
      </w:r>
      <w:r w:rsidRPr="008716A3">
        <w:rPr>
          <w:rFonts w:ascii="Constantia" w:hAnsi="Constantia"/>
        </w:rPr>
        <w:t>K1 klasi. Temperatura vode u</w:t>
      </w:r>
      <w:r w:rsidR="00B521CB" w:rsidRPr="008716A3">
        <w:rPr>
          <w:rFonts w:ascii="Constantia" w:hAnsi="Constantia"/>
        </w:rPr>
        <w:t xml:space="preserve"> površinkom sloju se kretala 12,2-18,</w:t>
      </w:r>
      <w:r w:rsidRPr="008716A3">
        <w:rPr>
          <w:rFonts w:ascii="Constantia" w:hAnsi="Constantia"/>
        </w:rPr>
        <w:t>0</w:t>
      </w:r>
      <w:r w:rsidRPr="008716A3">
        <w:rPr>
          <w:rFonts w:ascii="Constantia" w:hAnsi="Constantia" w:cs="Calibri"/>
        </w:rPr>
        <w:t>°</w:t>
      </w:r>
      <w:r w:rsidRPr="008716A3">
        <w:rPr>
          <w:rFonts w:ascii="Constantia" w:hAnsi="Constantia"/>
        </w:rPr>
        <w:t>C i providnost je bila dobra.</w:t>
      </w:r>
      <w:r w:rsidR="00B521CB" w:rsidRPr="008716A3">
        <w:rPr>
          <w:rFonts w:ascii="Constantia" w:hAnsi="Constantia"/>
        </w:rPr>
        <w:t xml:space="preserve"> </w:t>
      </w:r>
      <w:r w:rsidRPr="008716A3">
        <w:rPr>
          <w:rFonts w:ascii="Constantia" w:hAnsi="Constantia"/>
        </w:rPr>
        <w:t>Parametri kvaliteta su imali pomjeranje iz propisane klase, pos</w:t>
      </w:r>
      <w:r w:rsidR="008716A3" w:rsidRPr="008716A3">
        <w:rPr>
          <w:rFonts w:ascii="Constantia" w:hAnsi="Constantia"/>
        </w:rPr>
        <w:t>e</w:t>
      </w:r>
      <w:r w:rsidRPr="008716A3">
        <w:rPr>
          <w:rFonts w:ascii="Constantia" w:hAnsi="Constantia"/>
        </w:rPr>
        <w:t xml:space="preserve">bno sadržaj fosfata i amonijaka u </w:t>
      </w:r>
      <w:r w:rsidR="008716A3" w:rsidRPr="008716A3">
        <w:rPr>
          <w:rFonts w:ascii="Constantia" w:hAnsi="Constantia"/>
        </w:rPr>
        <w:t>A3 klasu, što je najvjerovatnije</w:t>
      </w:r>
      <w:r w:rsidRPr="008716A3">
        <w:rPr>
          <w:rFonts w:ascii="Constantia" w:hAnsi="Constantia"/>
        </w:rPr>
        <w:t xml:space="preserve"> razlog uzimanja uzorka iz plitkog dijela</w:t>
      </w:r>
      <w:r w:rsidR="008716A3" w:rsidRPr="008716A3">
        <w:rPr>
          <w:rFonts w:ascii="Constantia" w:hAnsi="Constantia"/>
        </w:rPr>
        <w:t xml:space="preserve"> jezera</w:t>
      </w:r>
      <w:r w:rsidRPr="008716A3">
        <w:rPr>
          <w:rFonts w:ascii="Constantia" w:hAnsi="Constantia"/>
        </w:rPr>
        <w:t>, koji je često obrastao travom.</w:t>
      </w:r>
      <w:r w:rsidR="008716A3" w:rsidRPr="008716A3">
        <w:rPr>
          <w:rFonts w:ascii="Constantia" w:hAnsi="Constantia"/>
        </w:rPr>
        <w:t xml:space="preserve"> </w:t>
      </w:r>
      <w:r w:rsidRPr="008716A3">
        <w:rPr>
          <w:rFonts w:ascii="Constantia" w:hAnsi="Constantia"/>
        </w:rPr>
        <w:t>Mikrobiološki pokazatelji su bili u A klasi i voda je bila sa ovog aspekta veoma čista.</w:t>
      </w:r>
    </w:p>
    <w:p w:rsidR="004F3444" w:rsidRPr="007A3F92" w:rsidRDefault="004F3444" w:rsidP="008D1A70">
      <w:pPr>
        <w:pStyle w:val="Heading2"/>
        <w:ind w:left="720"/>
      </w:pPr>
      <w:bookmarkStart w:id="45" w:name="_Toc393897880"/>
      <w:r w:rsidRPr="007A3F92">
        <w:t xml:space="preserve">Ocjena </w:t>
      </w:r>
      <w:r w:rsidRPr="00097E04">
        <w:t>kvaliteta</w:t>
      </w:r>
      <w:r w:rsidRPr="007A3F92">
        <w:t xml:space="preserve"> podzemnih voda</w:t>
      </w:r>
      <w:bookmarkEnd w:id="45"/>
    </w:p>
    <w:p w:rsidR="004F3444" w:rsidRPr="009D2824" w:rsidRDefault="004F3444" w:rsidP="004F3444">
      <w:pPr>
        <w:rPr>
          <w:rFonts w:ascii="Constantia" w:hAnsi="Constantia"/>
        </w:rPr>
      </w:pPr>
      <w:r w:rsidRPr="009D2824">
        <w:rPr>
          <w:rFonts w:ascii="Constantia" w:hAnsi="Constantia"/>
        </w:rPr>
        <w:t>Podzemne vode u Crnoj Gori obezbjeđuju oko 92% ukupnih količina voda za snabdijevanje naselja.</w:t>
      </w:r>
      <w:r w:rsidR="00845916" w:rsidRPr="009D2824">
        <w:rPr>
          <w:rFonts w:ascii="Constantia" w:hAnsi="Constantia"/>
        </w:rPr>
        <w:t xml:space="preserve"> </w:t>
      </w:r>
      <w:r w:rsidRPr="009D2824">
        <w:rPr>
          <w:rFonts w:ascii="Constantia" w:hAnsi="Constantia"/>
        </w:rPr>
        <w:t>Generalno, kvalitet podzemnih voda u Crnoj Gori u prirodnim uslovima u najvećem dijelu godine (izuzimajući primorske izdani koje su pod uticajem mora) odgovara prvoj klasi.</w:t>
      </w:r>
    </w:p>
    <w:p w:rsidR="004F3444" w:rsidRPr="009D2824" w:rsidRDefault="004F3444" w:rsidP="004F3444">
      <w:pPr>
        <w:rPr>
          <w:rFonts w:ascii="Constantia" w:hAnsi="Constantia"/>
        </w:rPr>
      </w:pPr>
      <w:r w:rsidRPr="009D2824">
        <w:rPr>
          <w:rFonts w:ascii="Constantia" w:hAnsi="Constantia"/>
        </w:rPr>
        <w:t>U primorskom dijelu</w:t>
      </w:r>
      <w:r w:rsidR="009D2824">
        <w:rPr>
          <w:rFonts w:ascii="Constantia" w:hAnsi="Constantia"/>
        </w:rPr>
        <w:t>,</w:t>
      </w:r>
      <w:r w:rsidRPr="009D2824">
        <w:rPr>
          <w:rFonts w:ascii="Constantia" w:hAnsi="Constantia"/>
        </w:rPr>
        <w:t xml:space="preserve"> osnovni prirodni negativni faktor kvaliteta podzemnih voda je uticaj slane morske vode na niske karstne izdani u priobalju. Brojne pojave podzemnih voda u ovoj zoni su ili zasoljene, ili u toku eksploatacije bivaju izložene uticaju morske vode do neupotrebljivosti za piće. </w:t>
      </w:r>
    </w:p>
    <w:p w:rsidR="004F3444" w:rsidRPr="009D2824" w:rsidRDefault="004F3444" w:rsidP="004F3444">
      <w:pPr>
        <w:rPr>
          <w:rFonts w:ascii="Constantia" w:hAnsi="Constantia"/>
        </w:rPr>
      </w:pPr>
      <w:r w:rsidRPr="009D2824">
        <w:rPr>
          <w:rFonts w:ascii="Constantia" w:hAnsi="Constantia"/>
        </w:rPr>
        <w:t>U kontinentalnom dijelu</w:t>
      </w:r>
      <w:r w:rsidR="0080107B">
        <w:rPr>
          <w:rFonts w:ascii="Constantia" w:hAnsi="Constantia"/>
        </w:rPr>
        <w:t>,</w:t>
      </w:r>
      <w:r w:rsidRPr="009D2824">
        <w:rPr>
          <w:rFonts w:ascii="Constantia" w:hAnsi="Constantia"/>
        </w:rPr>
        <w:t xml:space="preserve"> prirodni kvalitet voda </w:t>
      </w:r>
      <w:r w:rsidR="00757861">
        <w:rPr>
          <w:rFonts w:ascii="Constantia" w:hAnsi="Constantia"/>
        </w:rPr>
        <w:t xml:space="preserve">na </w:t>
      </w:r>
      <w:r w:rsidRPr="009D2824">
        <w:rPr>
          <w:rFonts w:ascii="Constantia" w:hAnsi="Constantia"/>
        </w:rPr>
        <w:t>skoro svim izvorištima podzemnih voda pogoršan je dominantno antropogenim uticajima i rezultat je neadekvatne sanitarne zaštite i neodgovarajuće sanitacije slivnog područija.</w:t>
      </w:r>
    </w:p>
    <w:p w:rsidR="004F3444" w:rsidRPr="009D2824" w:rsidRDefault="004F3444" w:rsidP="004F3444">
      <w:pPr>
        <w:rPr>
          <w:rFonts w:ascii="Constantia" w:hAnsi="Constantia"/>
        </w:rPr>
      </w:pPr>
      <w:r w:rsidRPr="009D2824">
        <w:rPr>
          <w:rFonts w:ascii="Constantia" w:hAnsi="Constantia"/>
        </w:rPr>
        <w:t>Vode i izdani Zetske ravnice uzorkuj</w:t>
      </w:r>
      <w:r w:rsidR="00E02B9E">
        <w:rPr>
          <w:rFonts w:ascii="Constantia" w:hAnsi="Constantia"/>
        </w:rPr>
        <w:t>u</w:t>
      </w:r>
      <w:r w:rsidR="00BC6949">
        <w:rPr>
          <w:rFonts w:ascii="Constantia" w:hAnsi="Constantia"/>
        </w:rPr>
        <w:t xml:space="preserve"> se n</w:t>
      </w:r>
      <w:r w:rsidRPr="009D2824">
        <w:rPr>
          <w:rFonts w:ascii="Constantia" w:hAnsi="Constantia"/>
        </w:rPr>
        <w:t xml:space="preserve">a 6 mjesta i svrstane su u najbolju A klasu, </w:t>
      </w:r>
      <w:r w:rsidR="00BC6949">
        <w:rPr>
          <w:rFonts w:ascii="Constantia" w:hAnsi="Constantia"/>
        </w:rPr>
        <w:t>a</w:t>
      </w:r>
      <w:r w:rsidR="00E02B9E">
        <w:rPr>
          <w:rFonts w:ascii="Constantia" w:hAnsi="Constantia"/>
        </w:rPr>
        <w:t xml:space="preserve"> </w:t>
      </w:r>
      <w:r w:rsidRPr="009D2824">
        <w:rPr>
          <w:rFonts w:ascii="Constantia" w:hAnsi="Constantia"/>
        </w:rPr>
        <w:t xml:space="preserve">voda nekih bunara </w:t>
      </w:r>
      <w:r w:rsidR="00E02B9E">
        <w:rPr>
          <w:rFonts w:ascii="Constantia" w:hAnsi="Constantia"/>
        </w:rPr>
        <w:t xml:space="preserve">se </w:t>
      </w:r>
      <w:r w:rsidRPr="009D2824">
        <w:rPr>
          <w:rFonts w:ascii="Constantia" w:hAnsi="Constantia"/>
        </w:rPr>
        <w:t>koristi i danas za piće bez ikakvog tretmana.</w:t>
      </w:r>
      <w:r w:rsidR="00E02B9E">
        <w:rPr>
          <w:rFonts w:ascii="Constantia" w:hAnsi="Constantia"/>
        </w:rPr>
        <w:t xml:space="preserve"> </w:t>
      </w:r>
      <w:r w:rsidR="0038757D">
        <w:rPr>
          <w:rFonts w:ascii="Constantia" w:hAnsi="Constantia"/>
        </w:rPr>
        <w:t>U</w:t>
      </w:r>
      <w:r w:rsidRPr="009D2824">
        <w:rPr>
          <w:rFonts w:ascii="Constantia" w:hAnsi="Constantia"/>
        </w:rPr>
        <w:t xml:space="preserve"> dosta sluč</w:t>
      </w:r>
      <w:r w:rsidR="0038757D">
        <w:rPr>
          <w:rFonts w:ascii="Constantia" w:hAnsi="Constantia"/>
        </w:rPr>
        <w:t>ajeva, voda je bila van propisane klase 57,</w:t>
      </w:r>
      <w:r w:rsidR="004914B5">
        <w:rPr>
          <w:rFonts w:ascii="Constantia" w:hAnsi="Constantia"/>
        </w:rPr>
        <w:t>4%, a od toga</w:t>
      </w:r>
      <w:r w:rsidR="0038757D">
        <w:rPr>
          <w:rFonts w:ascii="Constantia" w:hAnsi="Constantia"/>
        </w:rPr>
        <w:t xml:space="preserve"> 8,</w:t>
      </w:r>
      <w:r w:rsidRPr="009D2824">
        <w:rPr>
          <w:rFonts w:ascii="Constantia" w:hAnsi="Constantia"/>
        </w:rPr>
        <w:t>3% VK po sadržaju jonskog odnosa Ca/Mg, fosfata, nitrata i sulfata. Zagađenje, parametri, njihov sadržaj i prostorni r</w:t>
      </w:r>
      <w:r w:rsidR="00BC6949">
        <w:rPr>
          <w:rFonts w:ascii="Constantia" w:hAnsi="Constantia"/>
        </w:rPr>
        <w:t>aspored uglavnom je isti iz pret</w:t>
      </w:r>
      <w:r w:rsidRPr="009D2824">
        <w:rPr>
          <w:rFonts w:ascii="Constantia" w:hAnsi="Constantia"/>
        </w:rPr>
        <w:t xml:space="preserve">hodnih godina.  Kao najzagađeniji bunari pokazuju se </w:t>
      </w:r>
      <w:r w:rsidR="0097460C">
        <w:rPr>
          <w:rFonts w:ascii="Constantia" w:hAnsi="Constantia"/>
        </w:rPr>
        <w:t>oni u Vranju i Drešaju, a s</w:t>
      </w:r>
      <w:r w:rsidRPr="009D2824">
        <w:rPr>
          <w:rFonts w:ascii="Constantia" w:hAnsi="Constantia"/>
        </w:rPr>
        <w:t xml:space="preserve"> najboljim stanjem </w:t>
      </w:r>
      <w:r w:rsidR="0097460C">
        <w:rPr>
          <w:rFonts w:ascii="Constantia" w:hAnsi="Constantia"/>
        </w:rPr>
        <w:t>pokazali su se</w:t>
      </w:r>
      <w:r w:rsidRPr="009D2824">
        <w:rPr>
          <w:rFonts w:ascii="Constantia" w:hAnsi="Constantia"/>
        </w:rPr>
        <w:t xml:space="preserve"> bunari u Mitrovićima (kod Cijevne) i Farmacima.</w:t>
      </w:r>
    </w:p>
    <w:p w:rsidR="004F3444" w:rsidRPr="009D2824" w:rsidRDefault="007C17D0" w:rsidP="004F3444">
      <w:pPr>
        <w:rPr>
          <w:rFonts w:ascii="Constantia" w:hAnsi="Constantia"/>
        </w:rPr>
      </w:pPr>
      <w:r>
        <w:rPr>
          <w:rFonts w:ascii="Constantia" w:hAnsi="Constantia"/>
        </w:rPr>
        <w:t>Temperatura vode se kretala 11,8-18,</w:t>
      </w:r>
      <w:r w:rsidR="004F3444" w:rsidRPr="009D2824">
        <w:rPr>
          <w:rFonts w:ascii="Constantia" w:hAnsi="Constantia"/>
        </w:rPr>
        <w:t>2</w:t>
      </w:r>
      <w:r w:rsidR="004F3444" w:rsidRPr="009D2824">
        <w:rPr>
          <w:rFonts w:ascii="Constantia" w:hAnsi="Constantia" w:cs="Calibri"/>
        </w:rPr>
        <w:t>°</w:t>
      </w:r>
      <w:r>
        <w:rPr>
          <w:rFonts w:ascii="Constantia" w:hAnsi="Constantia"/>
        </w:rPr>
        <w:t>C u mjernom periodu jun-</w:t>
      </w:r>
      <w:r w:rsidR="004F3444" w:rsidRPr="009D2824">
        <w:rPr>
          <w:rFonts w:ascii="Constantia" w:hAnsi="Constantia"/>
        </w:rPr>
        <w:t>decembar. Najujednačen</w:t>
      </w:r>
      <w:r w:rsidR="00682C28">
        <w:rPr>
          <w:rFonts w:ascii="Constantia" w:hAnsi="Constantia"/>
        </w:rPr>
        <w:t>iju</w:t>
      </w:r>
      <w:r w:rsidR="004F3444" w:rsidRPr="009D2824">
        <w:rPr>
          <w:rFonts w:ascii="Constantia" w:hAnsi="Constantia"/>
        </w:rPr>
        <w:t xml:space="preserve"> temperatur</w:t>
      </w:r>
      <w:r w:rsidR="00682C28">
        <w:rPr>
          <w:rFonts w:ascii="Constantia" w:hAnsi="Constantia"/>
        </w:rPr>
        <w:t>u</w:t>
      </w:r>
      <w:r w:rsidR="004F3444" w:rsidRPr="009D2824">
        <w:rPr>
          <w:rFonts w:ascii="Constantia" w:hAnsi="Constantia"/>
        </w:rPr>
        <w:t xml:space="preserve"> v</w:t>
      </w:r>
      <w:r>
        <w:rPr>
          <w:rFonts w:ascii="Constantia" w:hAnsi="Constantia"/>
        </w:rPr>
        <w:t>oda je imala kod bunara Cijevna i to 0,</w:t>
      </w:r>
      <w:r w:rsidR="004F3444" w:rsidRPr="009D2824">
        <w:rPr>
          <w:rFonts w:ascii="Constantia" w:hAnsi="Constantia"/>
        </w:rPr>
        <w:t>2</w:t>
      </w:r>
      <w:r w:rsidR="004F3444" w:rsidRPr="009D2824">
        <w:rPr>
          <w:rFonts w:ascii="Constantia" w:hAnsi="Constantia" w:cs="Calibri"/>
        </w:rPr>
        <w:t>°</w:t>
      </w:r>
      <w:r w:rsidR="004F3444" w:rsidRPr="009D2824">
        <w:rPr>
          <w:rFonts w:ascii="Constantia" w:hAnsi="Constantia"/>
        </w:rPr>
        <w:t>C, a najviša variran</w:t>
      </w:r>
      <w:r>
        <w:rPr>
          <w:rFonts w:ascii="Constantia" w:hAnsi="Constantia"/>
        </w:rPr>
        <w:t>ja bila su kod bunara Gostilj 3,</w:t>
      </w:r>
      <w:r w:rsidR="004F3444" w:rsidRPr="009D2824">
        <w:rPr>
          <w:rFonts w:ascii="Constantia" w:hAnsi="Constantia"/>
        </w:rPr>
        <w:t>6</w:t>
      </w:r>
      <w:r w:rsidR="004F3444" w:rsidRPr="009D2824">
        <w:rPr>
          <w:rFonts w:ascii="Constantia" w:hAnsi="Constantia" w:cs="Calibri"/>
        </w:rPr>
        <w:t>°</w:t>
      </w:r>
      <w:r w:rsidR="004F3444" w:rsidRPr="009D2824">
        <w:rPr>
          <w:rFonts w:ascii="Constantia" w:hAnsi="Constantia"/>
        </w:rPr>
        <w:t>C.</w:t>
      </w:r>
      <w:r>
        <w:rPr>
          <w:rFonts w:ascii="Constantia" w:hAnsi="Constantia"/>
        </w:rPr>
        <w:t xml:space="preserve"> </w:t>
      </w:r>
      <w:r w:rsidR="004F3444" w:rsidRPr="009D2824">
        <w:rPr>
          <w:rFonts w:ascii="Constantia" w:hAnsi="Constantia"/>
        </w:rPr>
        <w:t>Vode su imale zadovoljavajuće</w:t>
      </w:r>
      <w:r w:rsidR="00682C28">
        <w:rPr>
          <w:rFonts w:ascii="Constantia" w:hAnsi="Constantia"/>
        </w:rPr>
        <w:t xml:space="preserve"> </w:t>
      </w:r>
      <w:r w:rsidR="004F3444" w:rsidRPr="009D2824">
        <w:rPr>
          <w:rFonts w:ascii="Constantia" w:hAnsi="Constantia"/>
        </w:rPr>
        <w:t>organoleptičke osobine - bez boje i bez karakterističnog mirisa.</w:t>
      </w:r>
    </w:p>
    <w:p w:rsidR="004F3444" w:rsidRPr="009D2824" w:rsidRDefault="004F3444" w:rsidP="004F3444">
      <w:pPr>
        <w:rPr>
          <w:rFonts w:ascii="Constantia" w:hAnsi="Constantia"/>
        </w:rPr>
      </w:pPr>
      <w:r w:rsidRPr="009D2824">
        <w:rPr>
          <w:rFonts w:ascii="Constantia" w:hAnsi="Constantia"/>
        </w:rPr>
        <w:t>Posebno je zabrinjavajući sadržaj nitrata kod bunara Vranj, gdje njihov sadržaj konstanto ima visoke vrijednosti i dostižu i do 80 mg/l. Ovdje se radi o uticaju vještačkih đubriva – šalitre, jer</w:t>
      </w:r>
      <w:r w:rsidR="0074220F">
        <w:rPr>
          <w:rFonts w:ascii="Constantia" w:hAnsi="Constantia"/>
        </w:rPr>
        <w:t xml:space="preserve"> je</w:t>
      </w:r>
      <w:r w:rsidRPr="009D2824">
        <w:rPr>
          <w:rFonts w:ascii="Constantia" w:hAnsi="Constantia"/>
        </w:rPr>
        <w:t xml:space="preserve"> i sadržaj kalijuma visok i kreće se do 30 mg/l.</w:t>
      </w:r>
    </w:p>
    <w:p w:rsidR="004F3444" w:rsidRPr="009D2824" w:rsidRDefault="004F3444" w:rsidP="004F3444">
      <w:pPr>
        <w:rPr>
          <w:rFonts w:ascii="Constantia" w:hAnsi="Constantia"/>
        </w:rPr>
      </w:pPr>
      <w:r w:rsidRPr="009D2824">
        <w:rPr>
          <w:rFonts w:ascii="Constantia" w:hAnsi="Constantia"/>
        </w:rPr>
        <w:lastRenderedPageBreak/>
        <w:t xml:space="preserve">Mikrobiološki pokazatalji su imali pomjeranja iz svoje klase, </w:t>
      </w:r>
      <w:r w:rsidR="00DA64F0">
        <w:rPr>
          <w:rFonts w:ascii="Constantia" w:hAnsi="Constantia"/>
        </w:rPr>
        <w:t xml:space="preserve">što se </w:t>
      </w:r>
      <w:r w:rsidRPr="009D2824">
        <w:rPr>
          <w:rFonts w:ascii="Constantia" w:hAnsi="Constantia"/>
        </w:rPr>
        <w:t xml:space="preserve">posebno </w:t>
      </w:r>
      <w:r w:rsidR="00DA64F0">
        <w:rPr>
          <w:rFonts w:ascii="Constantia" w:hAnsi="Constantia"/>
        </w:rPr>
        <w:t xml:space="preserve">odnosi na </w:t>
      </w:r>
      <w:r w:rsidRPr="009D2824">
        <w:rPr>
          <w:rFonts w:ascii="Constantia" w:hAnsi="Constantia"/>
        </w:rPr>
        <w:t>sadržaj fekalnih bakterija u A2 klasu, kod bunara u Gostilju, Vranju i Drešaju. I sa ovog aspekta, najčistiji bunari su bili Farmaci i Cijevna.</w:t>
      </w:r>
    </w:p>
    <w:p w:rsidR="004F3444" w:rsidRDefault="004F3444" w:rsidP="004F3444"/>
    <w:p w:rsidR="004F3444" w:rsidRDefault="004F3444" w:rsidP="004F3444">
      <w:pPr>
        <w:jc w:val="center"/>
      </w:pPr>
      <w:r>
        <w:rPr>
          <w:noProof/>
        </w:rPr>
        <w:drawing>
          <wp:inline distT="0" distB="0" distL="0" distR="0" wp14:anchorId="2BB84E1A" wp14:editId="589902B3">
            <wp:extent cx="4118776" cy="1979875"/>
            <wp:effectExtent l="0" t="0" r="0" b="0"/>
            <wp:docPr id="8205" name="Chart 8205"/>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4F3444" w:rsidRPr="00071E2B" w:rsidRDefault="004F3444" w:rsidP="00071E2B">
      <w:pPr>
        <w:pStyle w:val="Grafikon"/>
        <w:rPr>
          <w:rFonts w:ascii="Constantia" w:hAnsi="Constantia"/>
          <w:sz w:val="22"/>
          <w:szCs w:val="22"/>
        </w:rPr>
      </w:pPr>
      <w:r w:rsidRPr="00071E2B">
        <w:rPr>
          <w:rFonts w:ascii="Constantia" w:hAnsi="Constantia"/>
          <w:sz w:val="22"/>
          <w:szCs w:val="22"/>
        </w:rPr>
        <w:t xml:space="preserve">BPK5 u podzemnim vodama i izdanima Zetske ravnice </w:t>
      </w:r>
      <w:r w:rsidR="0060299B">
        <w:rPr>
          <w:rFonts w:ascii="Constantia" w:hAnsi="Constantia"/>
          <w:sz w:val="22"/>
          <w:szCs w:val="22"/>
        </w:rPr>
        <w:t>(</w:t>
      </w:r>
      <w:r w:rsidRPr="00071E2B">
        <w:rPr>
          <w:rFonts w:ascii="Constantia" w:hAnsi="Constantia"/>
          <w:sz w:val="22"/>
          <w:szCs w:val="22"/>
        </w:rPr>
        <w:t>mg/l</w:t>
      </w:r>
      <w:r w:rsidR="0060299B">
        <w:rPr>
          <w:rFonts w:ascii="Constantia" w:hAnsi="Constantia"/>
          <w:sz w:val="22"/>
          <w:szCs w:val="22"/>
        </w:rPr>
        <w:t>)</w:t>
      </w:r>
    </w:p>
    <w:p w:rsidR="004F3444" w:rsidRDefault="004F3444" w:rsidP="004F3444"/>
    <w:p w:rsidR="004F3444" w:rsidRDefault="004F3444" w:rsidP="0060299B">
      <w:pPr>
        <w:spacing w:after="0"/>
        <w:jc w:val="center"/>
      </w:pPr>
      <w:r>
        <w:rPr>
          <w:noProof/>
        </w:rPr>
        <w:drawing>
          <wp:inline distT="0" distB="0" distL="0" distR="0" wp14:anchorId="01098345" wp14:editId="64FD934E">
            <wp:extent cx="4118610" cy="2075180"/>
            <wp:effectExtent l="0" t="0" r="0" b="1270"/>
            <wp:docPr id="8203" name="Chart 8203"/>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4F3444" w:rsidRPr="00071E2B" w:rsidRDefault="004F3444" w:rsidP="00071E2B">
      <w:pPr>
        <w:pStyle w:val="Grafikon"/>
        <w:rPr>
          <w:rFonts w:ascii="Constantia" w:hAnsi="Constantia"/>
          <w:sz w:val="22"/>
          <w:szCs w:val="22"/>
        </w:rPr>
      </w:pPr>
      <w:r w:rsidRPr="00071E2B">
        <w:rPr>
          <w:rFonts w:ascii="Constantia" w:hAnsi="Constantia"/>
          <w:sz w:val="22"/>
          <w:szCs w:val="22"/>
        </w:rPr>
        <w:t>PO</w:t>
      </w:r>
      <w:r w:rsidRPr="00071E2B">
        <w:rPr>
          <w:rFonts w:ascii="Constantia" w:hAnsi="Constantia"/>
          <w:sz w:val="22"/>
          <w:szCs w:val="22"/>
          <w:vertAlign w:val="subscript"/>
        </w:rPr>
        <w:t>4</w:t>
      </w:r>
      <w:r w:rsidRPr="00071E2B">
        <w:rPr>
          <w:rFonts w:ascii="Constantia" w:hAnsi="Constantia"/>
          <w:sz w:val="22"/>
          <w:szCs w:val="22"/>
          <w:vertAlign w:val="superscript"/>
        </w:rPr>
        <w:t>3-</w:t>
      </w:r>
      <w:r w:rsidRPr="00071E2B">
        <w:rPr>
          <w:rFonts w:ascii="Constantia" w:hAnsi="Constantia"/>
          <w:sz w:val="22"/>
          <w:szCs w:val="22"/>
        </w:rPr>
        <w:t xml:space="preserve"> u podzemnim vodama i izdanima Zetske ravnice </w:t>
      </w:r>
      <w:r w:rsidR="0060299B">
        <w:rPr>
          <w:rFonts w:ascii="Constantia" w:hAnsi="Constantia"/>
          <w:sz w:val="22"/>
          <w:szCs w:val="22"/>
        </w:rPr>
        <w:t>(</w:t>
      </w:r>
      <w:r w:rsidRPr="00071E2B">
        <w:rPr>
          <w:rFonts w:ascii="Constantia" w:hAnsi="Constantia"/>
          <w:sz w:val="22"/>
          <w:szCs w:val="22"/>
        </w:rPr>
        <w:t>mg/l</w:t>
      </w:r>
      <w:r w:rsidR="0060299B">
        <w:rPr>
          <w:rFonts w:ascii="Constantia" w:hAnsi="Constantia"/>
          <w:sz w:val="22"/>
          <w:szCs w:val="22"/>
        </w:rPr>
        <w:t>)</w:t>
      </w:r>
    </w:p>
    <w:p w:rsidR="004F3444" w:rsidRDefault="004F3444" w:rsidP="004F3444">
      <w:pPr>
        <w:pStyle w:val="Grafikon"/>
        <w:numPr>
          <w:ilvl w:val="0"/>
          <w:numId w:val="0"/>
        </w:numPr>
        <w:ind w:left="360"/>
        <w:jc w:val="both"/>
      </w:pPr>
    </w:p>
    <w:p w:rsidR="004F3444" w:rsidRDefault="004F3444" w:rsidP="004F3444"/>
    <w:p w:rsidR="004F3444" w:rsidRDefault="004F3444" w:rsidP="0060299B">
      <w:pPr>
        <w:spacing w:after="0"/>
        <w:jc w:val="center"/>
      </w:pPr>
      <w:r>
        <w:rPr>
          <w:noProof/>
        </w:rPr>
        <w:drawing>
          <wp:inline distT="0" distB="0" distL="0" distR="0" wp14:anchorId="6F08FBBD" wp14:editId="46AE7640">
            <wp:extent cx="4118610" cy="1828800"/>
            <wp:effectExtent l="0" t="0" r="0" b="0"/>
            <wp:docPr id="8202" name="Chart 8202"/>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4F3444" w:rsidRDefault="004F3444" w:rsidP="00071E2B">
      <w:pPr>
        <w:pStyle w:val="Grafikon"/>
      </w:pPr>
      <w:r w:rsidRPr="00071E2B">
        <w:rPr>
          <w:rFonts w:ascii="Constantia" w:hAnsi="Constantia"/>
          <w:sz w:val="22"/>
          <w:szCs w:val="22"/>
        </w:rPr>
        <w:t>NO</w:t>
      </w:r>
      <w:r w:rsidRPr="00071E2B">
        <w:rPr>
          <w:rFonts w:ascii="Constantia" w:hAnsi="Constantia"/>
          <w:sz w:val="22"/>
          <w:szCs w:val="22"/>
          <w:vertAlign w:val="superscript"/>
        </w:rPr>
        <w:t>3-</w:t>
      </w:r>
      <w:r w:rsidRPr="00071E2B">
        <w:rPr>
          <w:rFonts w:ascii="Constantia" w:hAnsi="Constantia"/>
          <w:sz w:val="22"/>
          <w:szCs w:val="22"/>
        </w:rPr>
        <w:t xml:space="preserve"> u podzemnim vodama i izdanima Zetske ravnice </w:t>
      </w:r>
      <w:r w:rsidR="0060299B">
        <w:rPr>
          <w:rFonts w:ascii="Constantia" w:hAnsi="Constantia"/>
          <w:sz w:val="22"/>
          <w:szCs w:val="22"/>
        </w:rPr>
        <w:t>(</w:t>
      </w:r>
      <w:r w:rsidRPr="00071E2B">
        <w:rPr>
          <w:rFonts w:ascii="Constantia" w:hAnsi="Constantia"/>
          <w:sz w:val="22"/>
          <w:szCs w:val="22"/>
        </w:rPr>
        <w:t>mg/l</w:t>
      </w:r>
      <w:r w:rsidR="0060299B">
        <w:rPr>
          <w:rFonts w:ascii="Constantia" w:hAnsi="Constantia"/>
          <w:sz w:val="22"/>
          <w:szCs w:val="22"/>
        </w:rPr>
        <w:t>)</w:t>
      </w:r>
    </w:p>
    <w:p w:rsidR="004F3444" w:rsidRDefault="004F3444" w:rsidP="004F3444">
      <w:pPr>
        <w:pStyle w:val="Grafikon"/>
        <w:numPr>
          <w:ilvl w:val="0"/>
          <w:numId w:val="0"/>
        </w:numPr>
        <w:jc w:val="both"/>
      </w:pPr>
    </w:p>
    <w:p w:rsidR="004F3444" w:rsidRPr="000502BC" w:rsidRDefault="004F3444" w:rsidP="004C68A6">
      <w:pPr>
        <w:pStyle w:val="Heading2"/>
        <w:ind w:left="720"/>
      </w:pPr>
      <w:bookmarkStart w:id="46" w:name="_Toc393897881"/>
      <w:r w:rsidRPr="000502BC">
        <w:lastRenderedPageBreak/>
        <w:t xml:space="preserve">Indeks </w:t>
      </w:r>
      <w:r w:rsidRPr="00097E04">
        <w:t>kvaliteta</w:t>
      </w:r>
      <w:r w:rsidRPr="000502BC">
        <w:t xml:space="preserve"> voda - Water Quality Index</w:t>
      </w:r>
      <w:bookmarkEnd w:id="46"/>
    </w:p>
    <w:p w:rsidR="004F3444" w:rsidRPr="000502BC" w:rsidRDefault="004F3444" w:rsidP="004F3444">
      <w:pPr>
        <w:rPr>
          <w:rFonts w:ascii="Constantia" w:hAnsi="Constantia"/>
        </w:rPr>
      </w:pPr>
      <w:r w:rsidRPr="000502BC">
        <w:rPr>
          <w:rFonts w:ascii="Constantia" w:hAnsi="Constantia"/>
        </w:rPr>
        <w:t>Zbog porasta količine i raspoloživosti podataka o vodama potrebno je u kreiranju odgovarajuće politike zaštite voda unijeti smisao u sve parametre koji daju informaciju o kvalitetu voda</w:t>
      </w:r>
      <w:r w:rsidR="000502BC">
        <w:rPr>
          <w:rFonts w:ascii="Constantia" w:hAnsi="Constantia"/>
        </w:rPr>
        <w:t>,</w:t>
      </w:r>
      <w:r w:rsidRPr="000502BC">
        <w:rPr>
          <w:rFonts w:ascii="Constantia" w:hAnsi="Constantia"/>
        </w:rPr>
        <w:t xml:space="preserve"> kako bi se u procesu odlučivanja omogućilo donošenje najboljih mogućih odluka o korišćenju i zaštiti voda dotičnog sliva.</w:t>
      </w:r>
      <w:r w:rsidR="000502BC">
        <w:rPr>
          <w:rFonts w:ascii="Constantia" w:hAnsi="Constantia"/>
        </w:rPr>
        <w:t xml:space="preserve"> </w:t>
      </w:r>
      <w:r w:rsidRPr="000502BC">
        <w:rPr>
          <w:rFonts w:ascii="Constantia" w:hAnsi="Constantia"/>
        </w:rPr>
        <w:t>Uobičajen način da se izbjegne mnoštvo podataka je upotreba indeksa i indikatora kao sredst</w:t>
      </w:r>
      <w:r w:rsidR="001510D3">
        <w:rPr>
          <w:rFonts w:ascii="Constantia" w:hAnsi="Constantia"/>
        </w:rPr>
        <w:t>a</w:t>
      </w:r>
      <w:r w:rsidRPr="000502BC">
        <w:rPr>
          <w:rFonts w:ascii="Constantia" w:hAnsi="Constantia"/>
        </w:rPr>
        <w:t>v</w:t>
      </w:r>
      <w:r w:rsidR="001510D3">
        <w:rPr>
          <w:rFonts w:ascii="Constantia" w:hAnsi="Constantia"/>
        </w:rPr>
        <w:t>a</w:t>
      </w:r>
      <w:r w:rsidRPr="000502BC">
        <w:rPr>
          <w:rFonts w:ascii="Constantia" w:hAnsi="Constantia"/>
        </w:rPr>
        <w:t xml:space="preserve"> za dobijanje informacija. </w:t>
      </w:r>
      <w:r w:rsidR="000502BC">
        <w:rPr>
          <w:rFonts w:ascii="Constantia" w:hAnsi="Constantia"/>
        </w:rPr>
        <w:t>Na taj način,</w:t>
      </w:r>
      <w:r w:rsidRPr="000502BC">
        <w:rPr>
          <w:rFonts w:ascii="Constantia" w:hAnsi="Constantia"/>
        </w:rPr>
        <w:t xml:space="preserve"> indeksi i indikatori </w:t>
      </w:r>
      <w:r w:rsidR="000502BC">
        <w:rPr>
          <w:rFonts w:ascii="Constantia" w:hAnsi="Constantia"/>
        </w:rPr>
        <w:t xml:space="preserve">predstavljaju </w:t>
      </w:r>
      <w:r w:rsidR="00342D7C">
        <w:rPr>
          <w:rFonts w:ascii="Constantia" w:hAnsi="Constantia"/>
        </w:rPr>
        <w:t>sredstva predviđena d</w:t>
      </w:r>
      <w:r w:rsidRPr="000502BC">
        <w:rPr>
          <w:rFonts w:ascii="Constantia" w:hAnsi="Constantia"/>
        </w:rPr>
        <w:t>a smanje velik</w:t>
      </w:r>
      <w:r w:rsidR="00342D7C">
        <w:rPr>
          <w:rFonts w:ascii="Constantia" w:hAnsi="Constantia"/>
        </w:rPr>
        <w:t>e</w:t>
      </w:r>
      <w:r w:rsidRPr="000502BC">
        <w:rPr>
          <w:rFonts w:ascii="Constantia" w:hAnsi="Constantia"/>
        </w:rPr>
        <w:t xml:space="preserve"> količin</w:t>
      </w:r>
      <w:r w:rsidR="00342D7C">
        <w:rPr>
          <w:rFonts w:ascii="Constantia" w:hAnsi="Constantia"/>
        </w:rPr>
        <w:t>e</w:t>
      </w:r>
      <w:r w:rsidRPr="000502BC">
        <w:rPr>
          <w:rFonts w:ascii="Constantia" w:hAnsi="Constantia"/>
        </w:rPr>
        <w:t xml:space="preserve"> podataka na razumljivu mjeru, zadržavajući suštinsko značenje o pitanjima koja karakterišu date podatke. </w:t>
      </w:r>
    </w:p>
    <w:p w:rsidR="004F3444" w:rsidRPr="000502BC" w:rsidRDefault="004F3444" w:rsidP="004F3444">
      <w:pPr>
        <w:rPr>
          <w:rFonts w:ascii="Constantia" w:hAnsi="Constantia"/>
        </w:rPr>
      </w:pPr>
      <w:r w:rsidRPr="000502BC">
        <w:rPr>
          <w:rFonts w:ascii="Constantia" w:hAnsi="Constantia"/>
        </w:rPr>
        <w:t xml:space="preserve">Svojstva indikatora treba da se podudaraju s potrebama njihovih korisnika i </w:t>
      </w:r>
      <w:r w:rsidR="00ED5B9E">
        <w:rPr>
          <w:rFonts w:ascii="Constantia" w:hAnsi="Constantia"/>
        </w:rPr>
        <w:t xml:space="preserve">da </w:t>
      </w:r>
      <w:r w:rsidR="006F39AB">
        <w:rPr>
          <w:rFonts w:ascii="Constantia" w:hAnsi="Constantia"/>
        </w:rPr>
        <w:t xml:space="preserve">imaju lako razumljive ciljeve. </w:t>
      </w:r>
      <w:r w:rsidRPr="000502BC">
        <w:rPr>
          <w:rFonts w:ascii="Constantia" w:hAnsi="Constantia"/>
        </w:rPr>
        <w:t>Zato indikator životne sredine namijenjen javnosti treba da bude opisan, jasan</w:t>
      </w:r>
      <w:r w:rsidR="006F39AB">
        <w:rPr>
          <w:rFonts w:ascii="Constantia" w:hAnsi="Constantia"/>
        </w:rPr>
        <w:t xml:space="preserve"> i</w:t>
      </w:r>
      <w:r w:rsidRPr="000502BC">
        <w:rPr>
          <w:rFonts w:ascii="Constantia" w:hAnsi="Constantia"/>
        </w:rPr>
        <w:t xml:space="preserve"> lak za razumijevanje, tako da pospješuje aktivnost ciljne grupe u očuvanju životne sredine.</w:t>
      </w:r>
      <w:r w:rsidR="006F39AB">
        <w:rPr>
          <w:rFonts w:ascii="Constantia" w:hAnsi="Constantia"/>
        </w:rPr>
        <w:t xml:space="preserve"> </w:t>
      </w:r>
      <w:r w:rsidRPr="000502BC">
        <w:rPr>
          <w:rFonts w:ascii="Constantia" w:hAnsi="Constantia"/>
        </w:rPr>
        <w:t xml:space="preserve">Važno je napomenuti </w:t>
      </w:r>
      <w:r w:rsidR="006F39AB">
        <w:rPr>
          <w:rFonts w:ascii="Constantia" w:hAnsi="Constantia"/>
        </w:rPr>
        <w:t xml:space="preserve">i to </w:t>
      </w:r>
      <w:r w:rsidRPr="000502BC">
        <w:rPr>
          <w:rFonts w:ascii="Constantia" w:hAnsi="Constantia"/>
        </w:rPr>
        <w:t>da se pri kreiranju opisnih indikatora uvijek žrtvuje izvjesna preciznost izvornog numeričkog indikatora životne sredine.</w:t>
      </w:r>
    </w:p>
    <w:p w:rsidR="004F3444" w:rsidRPr="000502BC" w:rsidRDefault="004F3444" w:rsidP="004F3444">
      <w:pPr>
        <w:rPr>
          <w:rFonts w:ascii="Constantia" w:hAnsi="Constantia"/>
        </w:rPr>
      </w:pPr>
      <w:r w:rsidRPr="000502BC">
        <w:rPr>
          <w:rFonts w:ascii="Constantia" w:hAnsi="Constantia"/>
        </w:rPr>
        <w:t xml:space="preserve">U Agenciji za zaštitu životne sredine razvijen je indikator </w:t>
      </w:r>
      <w:r w:rsidRPr="0069147A">
        <w:rPr>
          <w:rFonts w:ascii="Constantia" w:hAnsi="Constantia"/>
          <w:i/>
        </w:rPr>
        <w:t>Water Quality Index</w:t>
      </w:r>
      <w:r w:rsidRPr="000502BC">
        <w:rPr>
          <w:rFonts w:ascii="Constantia" w:hAnsi="Constantia"/>
        </w:rPr>
        <w:t xml:space="preserve"> koji je namijenjen izvještavanju javnosti. Indikator se zasniva na metodi </w:t>
      </w:r>
      <w:r w:rsidRPr="0069147A">
        <w:rPr>
          <w:rFonts w:ascii="Constantia" w:hAnsi="Constantia"/>
          <w:i/>
        </w:rPr>
        <w:t>Water Quality Index</w:t>
      </w:r>
      <w:r w:rsidRPr="000502BC">
        <w:rPr>
          <w:rFonts w:ascii="Constantia" w:hAnsi="Constantia"/>
        </w:rPr>
        <w:t xml:space="preserve"> prema kojoj se deset parametara fizičko-hemijskog i mikrobiološkog kvaliteta (zasićenost kiseonikom, BPK5, amonijum jon, pH vrijednost, ukupni oksidi azota, ortofosfati, suspendovane materije, temperatura, elektroprovodljivost i koliformne bakterije) agregiraju u kompozitni indikator kvaliteta površinskih voda. Udio svakog od deset parametara na ukupni kvalitet vode nema isti relativni značaj, zato je svaki od njih dobio svoju težinu (wi) i broj bodova prema udijelu u ugrožavanju kvaliteta. Sumiranjem proizvoda (qi x wi) dobija se indeks 100 kao idealan zbir udijela kvaliteta svih parametara. Broj i vrsta parametara, kao i njihovi težinski koeficijenti mogu biti modifikovani prema lokalnim uslovima i potrebama.</w:t>
      </w:r>
    </w:p>
    <w:p w:rsidR="004F3444" w:rsidRPr="000502BC" w:rsidRDefault="004F3444" w:rsidP="004F3444">
      <w:pPr>
        <w:rPr>
          <w:rFonts w:ascii="Constantia" w:hAnsi="Constantia"/>
        </w:rPr>
      </w:pPr>
      <w:r w:rsidRPr="000502BC">
        <w:rPr>
          <w:rFonts w:ascii="Constantia" w:hAnsi="Constantia"/>
        </w:rPr>
        <w:t xml:space="preserve">Usvojene su vrijednosti za opisni indikator kvaliteta WQI = 0-38 veoma loš, WQI = 39-71 loš, WQI = 72-83 dobar, WQI </w:t>
      </w:r>
      <w:r w:rsidR="0069147A">
        <w:rPr>
          <w:rFonts w:ascii="Constantia" w:hAnsi="Constantia"/>
        </w:rPr>
        <w:t>= 84-89 veoma dobar</w:t>
      </w:r>
      <w:r w:rsidRPr="000502BC">
        <w:rPr>
          <w:rFonts w:ascii="Constantia" w:hAnsi="Constantia"/>
        </w:rPr>
        <w:t xml:space="preserve"> i WQI = 90-100 odličan.</w:t>
      </w:r>
    </w:p>
    <w:p w:rsidR="004F3444" w:rsidRPr="000502BC" w:rsidRDefault="004F3444" w:rsidP="004F3444">
      <w:pPr>
        <w:rPr>
          <w:rFonts w:ascii="Constantia" w:hAnsi="Constantia"/>
        </w:rPr>
      </w:pPr>
      <w:r w:rsidRPr="000502BC">
        <w:rPr>
          <w:rFonts w:ascii="Constantia" w:hAnsi="Constantia"/>
        </w:rPr>
        <w:t>Indikatori kvaliteta površinskih voda su razvrstani uz kompatibilnost postojeće klasifikacije prema njihovoj namjeni i stepenu čistoće:</w:t>
      </w:r>
    </w:p>
    <w:p w:rsidR="004F3444" w:rsidRPr="000502BC" w:rsidRDefault="004F3444" w:rsidP="004F3444">
      <w:pPr>
        <w:rPr>
          <w:rFonts w:ascii="Constantia" w:hAnsi="Constantia"/>
        </w:rPr>
      </w:pPr>
      <w:r w:rsidRPr="00D56340">
        <w:rPr>
          <w:rFonts w:ascii="Constantia" w:hAnsi="Constantia"/>
          <w:b/>
        </w:rPr>
        <w:t>Odličan</w:t>
      </w:r>
      <w:r w:rsidRPr="000502BC">
        <w:rPr>
          <w:rFonts w:ascii="Constantia" w:hAnsi="Constantia"/>
        </w:rPr>
        <w:t xml:space="preserve"> – vode koje se u prirodnom stanju</w:t>
      </w:r>
      <w:r w:rsidR="00331544">
        <w:rPr>
          <w:rFonts w:ascii="Constantia" w:hAnsi="Constantia"/>
        </w:rPr>
        <w:t>,</w:t>
      </w:r>
      <w:r w:rsidRPr="000502BC">
        <w:rPr>
          <w:rFonts w:ascii="Constantia" w:hAnsi="Constantia"/>
        </w:rPr>
        <w:t xml:space="preserve"> uz filtraciju i dezinfekciju, mogu upotrebljavati za snabdijevanje naselja vodom i u prehrambenoj industriji, a površinske i za gajenje pl</w:t>
      </w:r>
      <w:r w:rsidR="00D56340">
        <w:rPr>
          <w:rFonts w:ascii="Constantia" w:hAnsi="Constantia"/>
        </w:rPr>
        <w:t xml:space="preserve">emenitih vrsta riba – </w:t>
      </w:r>
      <w:r w:rsidR="00D56340" w:rsidRPr="00D56340">
        <w:rPr>
          <w:rFonts w:ascii="Constantia" w:hAnsi="Constantia"/>
          <w:i/>
        </w:rPr>
        <w:t>S</w:t>
      </w:r>
      <w:r w:rsidR="008213E3" w:rsidRPr="00D56340">
        <w:rPr>
          <w:rFonts w:ascii="Constantia" w:hAnsi="Constantia"/>
          <w:i/>
        </w:rPr>
        <w:t>almonide</w:t>
      </w:r>
      <w:r w:rsidR="008213E3">
        <w:rPr>
          <w:rFonts w:ascii="Constantia" w:hAnsi="Constantia"/>
        </w:rPr>
        <w:t>;</w:t>
      </w:r>
    </w:p>
    <w:p w:rsidR="004F3444" w:rsidRPr="000502BC" w:rsidRDefault="004F3444" w:rsidP="004F3444">
      <w:pPr>
        <w:rPr>
          <w:rFonts w:ascii="Constantia" w:hAnsi="Constantia"/>
        </w:rPr>
      </w:pPr>
      <w:r w:rsidRPr="00D56340">
        <w:rPr>
          <w:rFonts w:ascii="Constantia" w:hAnsi="Constantia"/>
          <w:b/>
        </w:rPr>
        <w:t>Veoma dobar i dobar</w:t>
      </w:r>
      <w:r w:rsidRPr="000502BC">
        <w:rPr>
          <w:rFonts w:ascii="Constantia" w:hAnsi="Constantia"/>
        </w:rPr>
        <w:t xml:space="preserve"> – vode koje se u prirodnom stanju mogu upotrebljavati za kupanje i rekreaciju građana, za sportove na vodi, za gajenje drugih vr</w:t>
      </w:r>
      <w:r w:rsidR="00D56340">
        <w:rPr>
          <w:rFonts w:ascii="Constantia" w:hAnsi="Constantia"/>
        </w:rPr>
        <w:t>sta riba (</w:t>
      </w:r>
      <w:r w:rsidR="00D56340" w:rsidRPr="00D56340">
        <w:rPr>
          <w:rFonts w:ascii="Constantia" w:hAnsi="Constantia"/>
          <w:i/>
        </w:rPr>
        <w:t>C</w:t>
      </w:r>
      <w:r w:rsidRPr="00D56340">
        <w:rPr>
          <w:rFonts w:ascii="Constantia" w:hAnsi="Constantia"/>
          <w:i/>
        </w:rPr>
        <w:t>iprinide</w:t>
      </w:r>
      <w:r w:rsidRPr="000502BC">
        <w:rPr>
          <w:rFonts w:ascii="Constantia" w:hAnsi="Constantia"/>
        </w:rPr>
        <w:t>), ili koje se uz savremene metode prečišćavanja mogu upotrebljavati za snabdijevanje naselja vodom za p</w:t>
      </w:r>
      <w:r w:rsidR="008213E3">
        <w:rPr>
          <w:rFonts w:ascii="Constantia" w:hAnsi="Constantia"/>
        </w:rPr>
        <w:t>iće i u prehrambenoj industriji;</w:t>
      </w:r>
    </w:p>
    <w:p w:rsidR="004F3444" w:rsidRPr="000502BC" w:rsidRDefault="004F3444" w:rsidP="004F3444">
      <w:pPr>
        <w:rPr>
          <w:rFonts w:ascii="Constantia" w:hAnsi="Constantia"/>
        </w:rPr>
      </w:pPr>
      <w:r w:rsidRPr="00D56340">
        <w:rPr>
          <w:rFonts w:ascii="Constantia" w:hAnsi="Constantia"/>
          <w:b/>
        </w:rPr>
        <w:t>Loš</w:t>
      </w:r>
      <w:r w:rsidRPr="000502BC">
        <w:rPr>
          <w:rFonts w:ascii="Constantia" w:hAnsi="Constantia"/>
        </w:rPr>
        <w:t xml:space="preserve"> – vode koje se mogu upotrebljavati za navodnjavanje, a posle savremenih metoda prečišćavanja i u industriji, osim u prehrambenoj</w:t>
      </w:r>
      <w:r w:rsidR="008213E3">
        <w:rPr>
          <w:rFonts w:ascii="Constantia" w:hAnsi="Constantia"/>
        </w:rPr>
        <w:t>;</w:t>
      </w:r>
    </w:p>
    <w:p w:rsidR="004F3444" w:rsidRPr="000502BC" w:rsidRDefault="004F3444" w:rsidP="00D56340">
      <w:pPr>
        <w:rPr>
          <w:rFonts w:ascii="Constantia" w:hAnsi="Constantia"/>
        </w:rPr>
      </w:pPr>
      <w:r w:rsidRPr="00D56340">
        <w:rPr>
          <w:rFonts w:ascii="Constantia" w:hAnsi="Constantia"/>
          <w:b/>
        </w:rPr>
        <w:t>Veoma loš</w:t>
      </w:r>
      <w:r w:rsidRPr="000502BC">
        <w:rPr>
          <w:rFonts w:ascii="Constantia" w:hAnsi="Constantia"/>
        </w:rPr>
        <w:t xml:space="preserve"> – vode koje svojim kvalitetom nepovo</w:t>
      </w:r>
      <w:r w:rsidR="008213E3">
        <w:rPr>
          <w:rFonts w:ascii="Constantia" w:hAnsi="Constantia"/>
        </w:rPr>
        <w:t>ljno djeluju na životnu sredinu</w:t>
      </w:r>
      <w:r w:rsidRPr="000502BC">
        <w:rPr>
          <w:rFonts w:ascii="Constantia" w:hAnsi="Constantia"/>
        </w:rPr>
        <w:t xml:space="preserve"> i mogu se upotrebljavati samo posle primjene posebnih metoda prečišćavanja.</w:t>
      </w:r>
    </w:p>
    <w:p w:rsidR="004F3444" w:rsidRDefault="004F3444" w:rsidP="00D56340">
      <w:pPr>
        <w:spacing w:after="0"/>
      </w:pPr>
    </w:p>
    <w:tbl>
      <w:tblPr>
        <w:tblStyle w:val="MediumGrid3-Accent4"/>
        <w:tblW w:w="0" w:type="auto"/>
        <w:jc w:val="center"/>
        <w:tblInd w:w="-555" w:type="dxa"/>
        <w:tblLook w:val="04A0" w:firstRow="1" w:lastRow="0" w:firstColumn="1" w:lastColumn="0" w:noHBand="0" w:noVBand="1"/>
      </w:tblPr>
      <w:tblGrid>
        <w:gridCol w:w="1882"/>
        <w:gridCol w:w="1327"/>
        <w:gridCol w:w="1327"/>
        <w:gridCol w:w="1327"/>
        <w:gridCol w:w="1327"/>
        <w:gridCol w:w="1327"/>
      </w:tblGrid>
      <w:tr w:rsidR="004F3444" w:rsidTr="00D56340">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882" w:type="dxa"/>
            <w:vMerge w:val="restart"/>
            <w:tcBorders>
              <w:bottom w:val="nil"/>
            </w:tcBorders>
            <w:vAlign w:val="center"/>
            <w:hideMark/>
          </w:tcPr>
          <w:p w:rsidR="004F3444" w:rsidRDefault="004F3444">
            <w:pPr>
              <w:spacing w:after="0"/>
              <w:jc w:val="center"/>
              <w:rPr>
                <w:color w:val="auto"/>
                <w:sz w:val="16"/>
                <w:szCs w:val="16"/>
                <w:lang w:val="sr-Latn-CS"/>
              </w:rPr>
            </w:pPr>
            <w:r>
              <w:rPr>
                <w:color w:val="auto"/>
                <w:sz w:val="16"/>
                <w:szCs w:val="16"/>
                <w:lang w:val="sr-Latn-CS"/>
              </w:rPr>
              <w:t>Indeks kvaliteta voda (WQI)</w:t>
            </w:r>
          </w:p>
        </w:tc>
        <w:tc>
          <w:tcPr>
            <w:tcW w:w="2654" w:type="dxa"/>
            <w:gridSpan w:val="2"/>
            <w:vAlign w:val="center"/>
            <w:hideMark/>
          </w:tcPr>
          <w:p w:rsidR="004F3444" w:rsidRDefault="004F3444">
            <w:pPr>
              <w:spacing w:after="0"/>
              <w:jc w:val="center"/>
              <w:cnfStyle w:val="100000000000" w:firstRow="1" w:lastRow="0" w:firstColumn="0" w:lastColumn="0" w:oddVBand="0" w:evenVBand="0" w:oddHBand="0" w:evenHBand="0" w:firstRowFirstColumn="0" w:firstRowLastColumn="0" w:lastRowFirstColumn="0" w:lastRowLastColumn="0"/>
              <w:rPr>
                <w:sz w:val="16"/>
                <w:szCs w:val="16"/>
                <w:lang w:val="sr-Latn-CS"/>
              </w:rPr>
            </w:pPr>
            <w:r>
              <w:rPr>
                <w:sz w:val="16"/>
                <w:szCs w:val="16"/>
                <w:lang w:val="sr-Latn-CS"/>
              </w:rPr>
              <w:t>WQI – MDK</w:t>
            </w:r>
          </w:p>
        </w:tc>
        <w:tc>
          <w:tcPr>
            <w:tcW w:w="1327" w:type="dxa"/>
            <w:vAlign w:val="center"/>
            <w:hideMark/>
          </w:tcPr>
          <w:p w:rsidR="004F3444" w:rsidRDefault="004F3444">
            <w:pPr>
              <w:spacing w:after="0"/>
              <w:jc w:val="center"/>
              <w:cnfStyle w:val="100000000000" w:firstRow="1" w:lastRow="0" w:firstColumn="0" w:lastColumn="0" w:oddVBand="0" w:evenVBand="0" w:oddHBand="0" w:evenHBand="0" w:firstRowFirstColumn="0" w:firstRowLastColumn="0" w:lastRowFirstColumn="0" w:lastRowLastColumn="0"/>
              <w:rPr>
                <w:sz w:val="16"/>
                <w:szCs w:val="16"/>
                <w:lang w:val="sr-Latn-CS"/>
              </w:rPr>
            </w:pPr>
            <w:r>
              <w:rPr>
                <w:sz w:val="16"/>
                <w:szCs w:val="16"/>
                <w:lang w:val="sr-Latn-CS"/>
              </w:rPr>
              <w:t>WQI – MDK</w:t>
            </w:r>
          </w:p>
        </w:tc>
        <w:tc>
          <w:tcPr>
            <w:tcW w:w="1327" w:type="dxa"/>
            <w:vAlign w:val="center"/>
            <w:hideMark/>
          </w:tcPr>
          <w:p w:rsidR="004F3444" w:rsidRDefault="004F3444">
            <w:pPr>
              <w:spacing w:after="0"/>
              <w:jc w:val="center"/>
              <w:cnfStyle w:val="100000000000" w:firstRow="1" w:lastRow="0" w:firstColumn="0" w:lastColumn="0" w:oddVBand="0" w:evenVBand="0" w:oddHBand="0" w:evenHBand="0" w:firstRowFirstColumn="0" w:firstRowLastColumn="0" w:lastRowFirstColumn="0" w:lastRowLastColumn="0"/>
              <w:rPr>
                <w:sz w:val="16"/>
                <w:szCs w:val="16"/>
                <w:lang w:val="sr-Latn-CS"/>
              </w:rPr>
            </w:pPr>
            <w:r>
              <w:rPr>
                <w:sz w:val="16"/>
                <w:szCs w:val="16"/>
                <w:lang w:val="sr-Latn-CS"/>
              </w:rPr>
              <w:t>WQI- MDK</w:t>
            </w:r>
          </w:p>
        </w:tc>
        <w:tc>
          <w:tcPr>
            <w:tcW w:w="1327" w:type="dxa"/>
            <w:vAlign w:val="center"/>
            <w:hideMark/>
          </w:tcPr>
          <w:p w:rsidR="004F3444" w:rsidRDefault="004F3444">
            <w:pPr>
              <w:spacing w:after="0"/>
              <w:jc w:val="center"/>
              <w:cnfStyle w:val="100000000000" w:firstRow="1" w:lastRow="0" w:firstColumn="0" w:lastColumn="0" w:oddVBand="0" w:evenVBand="0" w:oddHBand="0" w:evenHBand="0" w:firstRowFirstColumn="0" w:firstRowLastColumn="0" w:lastRowFirstColumn="0" w:lastRowLastColumn="0"/>
              <w:rPr>
                <w:sz w:val="16"/>
                <w:szCs w:val="16"/>
                <w:lang w:val="sr-Latn-CS"/>
              </w:rPr>
            </w:pPr>
            <w:r>
              <w:rPr>
                <w:sz w:val="16"/>
                <w:szCs w:val="16"/>
                <w:lang w:val="sr-Latn-CS"/>
              </w:rPr>
              <w:t>WQI – MDK</w:t>
            </w:r>
          </w:p>
        </w:tc>
      </w:tr>
      <w:tr w:rsidR="004F3444" w:rsidTr="00D5634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882" w:type="dxa"/>
            <w:vMerge/>
            <w:tcBorders>
              <w:right w:val="single" w:sz="8" w:space="0" w:color="FFFFFF" w:themeColor="background1"/>
            </w:tcBorders>
            <w:vAlign w:val="center"/>
            <w:hideMark/>
          </w:tcPr>
          <w:p w:rsidR="004F3444" w:rsidRDefault="004F3444">
            <w:pPr>
              <w:spacing w:after="0"/>
              <w:jc w:val="left"/>
              <w:rPr>
                <w:sz w:val="16"/>
                <w:szCs w:val="16"/>
                <w:lang w:val="sr-Latn-CS"/>
              </w:rPr>
            </w:pPr>
          </w:p>
        </w:tc>
        <w:tc>
          <w:tcPr>
            <w:tcW w:w="2654" w:type="dxa"/>
            <w:gridSpan w:val="2"/>
            <w:vAlign w:val="center"/>
            <w:hideMark/>
          </w:tcPr>
          <w:p w:rsidR="004F3444" w:rsidRDefault="004F3444">
            <w:pPr>
              <w:spacing w:after="0"/>
              <w:jc w:val="center"/>
              <w:cnfStyle w:val="000000100000" w:firstRow="0" w:lastRow="0" w:firstColumn="0" w:lastColumn="0" w:oddVBand="0" w:evenVBand="0" w:oddHBand="1" w:evenHBand="0" w:firstRowFirstColumn="0" w:firstRowLastColumn="0" w:lastRowFirstColumn="0" w:lastRowLastColumn="0"/>
              <w:rPr>
                <w:sz w:val="16"/>
                <w:szCs w:val="16"/>
                <w:lang w:val="sr-Latn-CS"/>
              </w:rPr>
            </w:pPr>
            <w:r>
              <w:rPr>
                <w:sz w:val="16"/>
                <w:szCs w:val="16"/>
                <w:lang w:val="sr-Latn-CS"/>
              </w:rPr>
              <w:t>85-84</w:t>
            </w:r>
          </w:p>
        </w:tc>
        <w:tc>
          <w:tcPr>
            <w:tcW w:w="1327" w:type="dxa"/>
            <w:vAlign w:val="center"/>
            <w:hideMark/>
          </w:tcPr>
          <w:p w:rsidR="004F3444" w:rsidRDefault="004F3444">
            <w:pPr>
              <w:spacing w:after="0"/>
              <w:jc w:val="center"/>
              <w:cnfStyle w:val="000000100000" w:firstRow="0" w:lastRow="0" w:firstColumn="0" w:lastColumn="0" w:oddVBand="0" w:evenVBand="0" w:oddHBand="1" w:evenHBand="0" w:firstRowFirstColumn="0" w:firstRowLastColumn="0" w:lastRowFirstColumn="0" w:lastRowLastColumn="0"/>
              <w:rPr>
                <w:sz w:val="16"/>
                <w:szCs w:val="16"/>
                <w:lang w:val="sr-Latn-CS"/>
              </w:rPr>
            </w:pPr>
            <w:r>
              <w:rPr>
                <w:sz w:val="16"/>
                <w:szCs w:val="16"/>
                <w:lang w:val="sr-Latn-CS"/>
              </w:rPr>
              <w:t>78- 72</w:t>
            </w:r>
          </w:p>
        </w:tc>
        <w:tc>
          <w:tcPr>
            <w:tcW w:w="1327" w:type="dxa"/>
            <w:vAlign w:val="center"/>
            <w:hideMark/>
          </w:tcPr>
          <w:p w:rsidR="004F3444" w:rsidRDefault="004F3444">
            <w:pPr>
              <w:spacing w:after="0"/>
              <w:jc w:val="center"/>
              <w:cnfStyle w:val="000000100000" w:firstRow="0" w:lastRow="0" w:firstColumn="0" w:lastColumn="0" w:oddVBand="0" w:evenVBand="0" w:oddHBand="1" w:evenHBand="0" w:firstRowFirstColumn="0" w:firstRowLastColumn="0" w:lastRowFirstColumn="0" w:lastRowLastColumn="0"/>
              <w:rPr>
                <w:sz w:val="16"/>
                <w:szCs w:val="16"/>
                <w:lang w:val="sr-Latn-CS"/>
              </w:rPr>
            </w:pPr>
            <w:r>
              <w:rPr>
                <w:sz w:val="16"/>
                <w:szCs w:val="16"/>
                <w:lang w:val="sr-Latn-CS"/>
              </w:rPr>
              <w:t>63-48</w:t>
            </w:r>
          </w:p>
        </w:tc>
        <w:tc>
          <w:tcPr>
            <w:tcW w:w="1327" w:type="dxa"/>
            <w:vAlign w:val="center"/>
            <w:hideMark/>
          </w:tcPr>
          <w:p w:rsidR="004F3444" w:rsidRDefault="004F3444">
            <w:pPr>
              <w:spacing w:after="0"/>
              <w:jc w:val="center"/>
              <w:cnfStyle w:val="000000100000" w:firstRow="0" w:lastRow="0" w:firstColumn="0" w:lastColumn="0" w:oddVBand="0" w:evenVBand="0" w:oddHBand="1" w:evenHBand="0" w:firstRowFirstColumn="0" w:firstRowLastColumn="0" w:lastRowFirstColumn="0" w:lastRowLastColumn="0"/>
              <w:rPr>
                <w:sz w:val="16"/>
                <w:szCs w:val="16"/>
                <w:lang w:val="sr-Latn-CS"/>
              </w:rPr>
            </w:pPr>
            <w:r>
              <w:rPr>
                <w:sz w:val="16"/>
                <w:szCs w:val="16"/>
                <w:lang w:val="sr-Latn-CS"/>
              </w:rPr>
              <w:t>38- 37</w:t>
            </w:r>
          </w:p>
        </w:tc>
      </w:tr>
      <w:tr w:rsidR="004F3444" w:rsidTr="00D56340">
        <w:trPr>
          <w:trHeight w:val="20"/>
          <w:jc w:val="center"/>
        </w:trPr>
        <w:tc>
          <w:tcPr>
            <w:cnfStyle w:val="001000000000" w:firstRow="0" w:lastRow="0" w:firstColumn="1" w:lastColumn="0" w:oddVBand="0" w:evenVBand="0" w:oddHBand="0" w:evenHBand="0" w:firstRowFirstColumn="0" w:firstRowLastColumn="0" w:lastRowFirstColumn="0" w:lastRowLastColumn="0"/>
            <w:tcW w:w="1882" w:type="dxa"/>
            <w:tcBorders>
              <w:top w:val="single" w:sz="6" w:space="0" w:color="FFFFFF" w:themeColor="background1"/>
            </w:tcBorders>
            <w:vAlign w:val="center"/>
            <w:hideMark/>
          </w:tcPr>
          <w:p w:rsidR="004F3444" w:rsidRDefault="004F3444">
            <w:pPr>
              <w:spacing w:after="0"/>
              <w:jc w:val="center"/>
              <w:rPr>
                <w:sz w:val="16"/>
                <w:szCs w:val="16"/>
                <w:lang w:val="sr-Latn-CS"/>
              </w:rPr>
            </w:pPr>
            <w:r>
              <w:rPr>
                <w:sz w:val="16"/>
                <w:szCs w:val="16"/>
                <w:lang w:val="sr-Latn-CS"/>
              </w:rPr>
              <w:t>Numerički indikator</w:t>
            </w:r>
          </w:p>
        </w:tc>
        <w:tc>
          <w:tcPr>
            <w:tcW w:w="132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vAlign w:val="center"/>
            <w:hideMark/>
          </w:tcPr>
          <w:p w:rsidR="004F3444" w:rsidRDefault="004F3444">
            <w:pPr>
              <w:spacing w:after="0"/>
              <w:jc w:val="center"/>
              <w:cnfStyle w:val="000000000000" w:firstRow="0" w:lastRow="0" w:firstColumn="0" w:lastColumn="0" w:oddVBand="0" w:evenVBand="0" w:oddHBand="0" w:evenHBand="0" w:firstRowFirstColumn="0" w:firstRowLastColumn="0" w:lastRowFirstColumn="0" w:lastRowLastColumn="0"/>
              <w:rPr>
                <w:sz w:val="16"/>
                <w:szCs w:val="16"/>
                <w:lang w:val="sr-Latn-CS"/>
              </w:rPr>
            </w:pPr>
            <w:r>
              <w:rPr>
                <w:sz w:val="16"/>
                <w:szCs w:val="16"/>
                <w:lang w:val="sr-Latn-CS"/>
              </w:rPr>
              <w:t>100-90</w:t>
            </w:r>
          </w:p>
        </w:tc>
        <w:tc>
          <w:tcPr>
            <w:tcW w:w="132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vAlign w:val="center"/>
            <w:hideMark/>
          </w:tcPr>
          <w:p w:rsidR="004F3444" w:rsidRDefault="004F3444">
            <w:pPr>
              <w:spacing w:after="0"/>
              <w:jc w:val="center"/>
              <w:cnfStyle w:val="000000000000" w:firstRow="0" w:lastRow="0" w:firstColumn="0" w:lastColumn="0" w:oddVBand="0" w:evenVBand="0" w:oddHBand="0" w:evenHBand="0" w:firstRowFirstColumn="0" w:firstRowLastColumn="0" w:lastRowFirstColumn="0" w:lastRowLastColumn="0"/>
              <w:rPr>
                <w:sz w:val="16"/>
                <w:szCs w:val="16"/>
                <w:lang w:val="sr-Latn-CS"/>
              </w:rPr>
            </w:pPr>
            <w:r>
              <w:rPr>
                <w:sz w:val="16"/>
                <w:szCs w:val="16"/>
                <w:lang w:val="sr-Latn-CS"/>
              </w:rPr>
              <w:t>89 -94</w:t>
            </w:r>
          </w:p>
        </w:tc>
        <w:tc>
          <w:tcPr>
            <w:tcW w:w="132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vAlign w:val="center"/>
            <w:hideMark/>
          </w:tcPr>
          <w:p w:rsidR="004F3444" w:rsidRDefault="004F3444">
            <w:pPr>
              <w:spacing w:after="0"/>
              <w:jc w:val="center"/>
              <w:cnfStyle w:val="000000000000" w:firstRow="0" w:lastRow="0" w:firstColumn="0" w:lastColumn="0" w:oddVBand="0" w:evenVBand="0" w:oddHBand="0" w:evenHBand="0" w:firstRowFirstColumn="0" w:firstRowLastColumn="0" w:lastRowFirstColumn="0" w:lastRowLastColumn="0"/>
              <w:rPr>
                <w:sz w:val="16"/>
                <w:szCs w:val="16"/>
                <w:lang w:val="sr-Latn-CS"/>
              </w:rPr>
            </w:pPr>
            <w:r>
              <w:rPr>
                <w:sz w:val="16"/>
                <w:szCs w:val="16"/>
                <w:lang w:val="sr-Latn-CS"/>
              </w:rPr>
              <w:t>83-72</w:t>
            </w:r>
          </w:p>
        </w:tc>
        <w:tc>
          <w:tcPr>
            <w:tcW w:w="132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vAlign w:val="center"/>
            <w:hideMark/>
          </w:tcPr>
          <w:p w:rsidR="004F3444" w:rsidRDefault="004F3444">
            <w:pPr>
              <w:spacing w:after="0"/>
              <w:jc w:val="center"/>
              <w:cnfStyle w:val="000000000000" w:firstRow="0" w:lastRow="0" w:firstColumn="0" w:lastColumn="0" w:oddVBand="0" w:evenVBand="0" w:oddHBand="0" w:evenHBand="0" w:firstRowFirstColumn="0" w:firstRowLastColumn="0" w:lastRowFirstColumn="0" w:lastRowLastColumn="0"/>
              <w:rPr>
                <w:sz w:val="16"/>
                <w:szCs w:val="16"/>
                <w:lang w:val="sr-Latn-CS"/>
              </w:rPr>
            </w:pPr>
            <w:r>
              <w:rPr>
                <w:sz w:val="16"/>
                <w:szCs w:val="16"/>
                <w:lang w:val="sr-Latn-CS"/>
              </w:rPr>
              <w:t>71- 39</w:t>
            </w:r>
          </w:p>
        </w:tc>
        <w:tc>
          <w:tcPr>
            <w:tcW w:w="1327" w:type="dxa"/>
            <w:tcBorders>
              <w:top w:val="single" w:sz="6" w:space="0" w:color="FFFFFF" w:themeColor="background1"/>
              <w:left w:val="single" w:sz="6" w:space="0" w:color="FFFFFF" w:themeColor="background1"/>
              <w:bottom w:val="single" w:sz="6" w:space="0" w:color="FFFFFF" w:themeColor="background1"/>
              <w:right w:val="single" w:sz="8" w:space="0" w:color="FFFFFF" w:themeColor="background1"/>
            </w:tcBorders>
            <w:vAlign w:val="center"/>
            <w:hideMark/>
          </w:tcPr>
          <w:p w:rsidR="004F3444" w:rsidRDefault="004F3444">
            <w:pPr>
              <w:spacing w:after="0"/>
              <w:jc w:val="center"/>
              <w:cnfStyle w:val="000000000000" w:firstRow="0" w:lastRow="0" w:firstColumn="0" w:lastColumn="0" w:oddVBand="0" w:evenVBand="0" w:oddHBand="0" w:evenHBand="0" w:firstRowFirstColumn="0" w:firstRowLastColumn="0" w:lastRowFirstColumn="0" w:lastRowLastColumn="0"/>
              <w:rPr>
                <w:sz w:val="16"/>
                <w:szCs w:val="16"/>
                <w:lang w:val="sr-Latn-CS"/>
              </w:rPr>
            </w:pPr>
            <w:r>
              <w:rPr>
                <w:sz w:val="16"/>
                <w:szCs w:val="16"/>
                <w:lang w:val="sr-Latn-CS"/>
              </w:rPr>
              <w:t>38-0</w:t>
            </w:r>
          </w:p>
        </w:tc>
      </w:tr>
      <w:tr w:rsidR="004F3444" w:rsidTr="00D5634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882" w:type="dxa"/>
            <w:vAlign w:val="center"/>
            <w:hideMark/>
          </w:tcPr>
          <w:p w:rsidR="004F3444" w:rsidRDefault="004F3444">
            <w:pPr>
              <w:spacing w:after="0"/>
              <w:jc w:val="center"/>
              <w:rPr>
                <w:sz w:val="16"/>
                <w:szCs w:val="16"/>
                <w:lang w:val="sr-Latn-CS"/>
              </w:rPr>
            </w:pPr>
            <w:r>
              <w:rPr>
                <w:sz w:val="16"/>
                <w:szCs w:val="16"/>
                <w:lang w:val="sr-Latn-CS"/>
              </w:rPr>
              <w:t>Opisni indikator</w:t>
            </w:r>
          </w:p>
        </w:tc>
        <w:tc>
          <w:tcPr>
            <w:tcW w:w="1327" w:type="dxa"/>
            <w:vAlign w:val="center"/>
            <w:hideMark/>
          </w:tcPr>
          <w:p w:rsidR="004F3444" w:rsidRDefault="004F3444">
            <w:pPr>
              <w:spacing w:after="0"/>
              <w:jc w:val="center"/>
              <w:cnfStyle w:val="000000100000" w:firstRow="0" w:lastRow="0" w:firstColumn="0" w:lastColumn="0" w:oddVBand="0" w:evenVBand="0" w:oddHBand="1" w:evenHBand="0" w:firstRowFirstColumn="0" w:firstRowLastColumn="0" w:lastRowFirstColumn="0" w:lastRowLastColumn="0"/>
              <w:rPr>
                <w:sz w:val="16"/>
                <w:szCs w:val="16"/>
                <w:lang w:val="sr-Latn-CS"/>
              </w:rPr>
            </w:pPr>
            <w:r>
              <w:rPr>
                <w:sz w:val="16"/>
                <w:szCs w:val="16"/>
                <w:lang w:val="sr-Latn-CS"/>
              </w:rPr>
              <w:t>odličan</w:t>
            </w:r>
          </w:p>
        </w:tc>
        <w:tc>
          <w:tcPr>
            <w:tcW w:w="1327" w:type="dxa"/>
            <w:vAlign w:val="center"/>
            <w:hideMark/>
          </w:tcPr>
          <w:p w:rsidR="004F3444" w:rsidRDefault="004F3444">
            <w:pPr>
              <w:spacing w:after="0"/>
              <w:jc w:val="center"/>
              <w:cnfStyle w:val="000000100000" w:firstRow="0" w:lastRow="0" w:firstColumn="0" w:lastColumn="0" w:oddVBand="0" w:evenVBand="0" w:oddHBand="1" w:evenHBand="0" w:firstRowFirstColumn="0" w:firstRowLastColumn="0" w:lastRowFirstColumn="0" w:lastRowLastColumn="0"/>
              <w:rPr>
                <w:sz w:val="16"/>
                <w:szCs w:val="16"/>
                <w:lang w:val="sr-Latn-CS"/>
              </w:rPr>
            </w:pPr>
            <w:r>
              <w:rPr>
                <w:sz w:val="16"/>
                <w:szCs w:val="16"/>
                <w:lang w:val="sr-Latn-CS"/>
              </w:rPr>
              <w:t>veoma dobar</w:t>
            </w:r>
          </w:p>
        </w:tc>
        <w:tc>
          <w:tcPr>
            <w:tcW w:w="1327" w:type="dxa"/>
            <w:vAlign w:val="center"/>
            <w:hideMark/>
          </w:tcPr>
          <w:p w:rsidR="004F3444" w:rsidRDefault="004F3444">
            <w:pPr>
              <w:spacing w:after="0"/>
              <w:jc w:val="center"/>
              <w:cnfStyle w:val="000000100000" w:firstRow="0" w:lastRow="0" w:firstColumn="0" w:lastColumn="0" w:oddVBand="0" w:evenVBand="0" w:oddHBand="1" w:evenHBand="0" w:firstRowFirstColumn="0" w:firstRowLastColumn="0" w:lastRowFirstColumn="0" w:lastRowLastColumn="0"/>
              <w:rPr>
                <w:sz w:val="16"/>
                <w:szCs w:val="16"/>
                <w:lang w:val="sr-Latn-CS"/>
              </w:rPr>
            </w:pPr>
            <w:r>
              <w:rPr>
                <w:sz w:val="16"/>
                <w:szCs w:val="16"/>
                <w:lang w:val="sr-Latn-CS"/>
              </w:rPr>
              <w:t>dobar</w:t>
            </w:r>
          </w:p>
        </w:tc>
        <w:tc>
          <w:tcPr>
            <w:tcW w:w="1327" w:type="dxa"/>
            <w:vAlign w:val="center"/>
            <w:hideMark/>
          </w:tcPr>
          <w:p w:rsidR="004F3444" w:rsidRDefault="004F3444">
            <w:pPr>
              <w:spacing w:after="0"/>
              <w:jc w:val="center"/>
              <w:cnfStyle w:val="000000100000" w:firstRow="0" w:lastRow="0" w:firstColumn="0" w:lastColumn="0" w:oddVBand="0" w:evenVBand="0" w:oddHBand="1" w:evenHBand="0" w:firstRowFirstColumn="0" w:firstRowLastColumn="0" w:lastRowFirstColumn="0" w:lastRowLastColumn="0"/>
              <w:rPr>
                <w:sz w:val="16"/>
                <w:szCs w:val="16"/>
                <w:lang w:val="sr-Latn-CS"/>
              </w:rPr>
            </w:pPr>
            <w:r>
              <w:rPr>
                <w:sz w:val="16"/>
                <w:szCs w:val="16"/>
                <w:lang w:val="sr-Latn-CS"/>
              </w:rPr>
              <w:t>loš</w:t>
            </w:r>
          </w:p>
        </w:tc>
        <w:tc>
          <w:tcPr>
            <w:tcW w:w="1327" w:type="dxa"/>
            <w:vAlign w:val="center"/>
            <w:hideMark/>
          </w:tcPr>
          <w:p w:rsidR="004F3444" w:rsidRDefault="004F3444">
            <w:pPr>
              <w:spacing w:after="0"/>
              <w:jc w:val="center"/>
              <w:cnfStyle w:val="000000100000" w:firstRow="0" w:lastRow="0" w:firstColumn="0" w:lastColumn="0" w:oddVBand="0" w:evenVBand="0" w:oddHBand="1" w:evenHBand="0" w:firstRowFirstColumn="0" w:firstRowLastColumn="0" w:lastRowFirstColumn="0" w:lastRowLastColumn="0"/>
              <w:rPr>
                <w:sz w:val="16"/>
                <w:szCs w:val="16"/>
                <w:lang w:val="sr-Latn-CS"/>
              </w:rPr>
            </w:pPr>
            <w:r>
              <w:rPr>
                <w:sz w:val="16"/>
                <w:szCs w:val="16"/>
                <w:lang w:val="sr-Latn-CS"/>
              </w:rPr>
              <w:t>Veoma loš</w:t>
            </w:r>
          </w:p>
        </w:tc>
      </w:tr>
      <w:tr w:rsidR="004F3444" w:rsidTr="00D56340">
        <w:trPr>
          <w:trHeight w:val="173"/>
          <w:jc w:val="center"/>
        </w:trPr>
        <w:tc>
          <w:tcPr>
            <w:cnfStyle w:val="001000000000" w:firstRow="0" w:lastRow="0" w:firstColumn="1" w:lastColumn="0" w:oddVBand="0" w:evenVBand="0" w:oddHBand="0" w:evenHBand="0" w:firstRowFirstColumn="0" w:firstRowLastColumn="0" w:lastRowFirstColumn="0" w:lastRowLastColumn="0"/>
            <w:tcW w:w="1882" w:type="dxa"/>
            <w:tcBorders>
              <w:top w:val="single" w:sz="6" w:space="0" w:color="FFFFFF" w:themeColor="background1"/>
              <w:bottom w:val="single" w:sz="8" w:space="0" w:color="FFFFFF" w:themeColor="background1"/>
            </w:tcBorders>
            <w:vAlign w:val="center"/>
            <w:hideMark/>
          </w:tcPr>
          <w:p w:rsidR="004F3444" w:rsidRDefault="004F3444">
            <w:pPr>
              <w:spacing w:after="0"/>
              <w:jc w:val="center"/>
              <w:rPr>
                <w:sz w:val="16"/>
                <w:szCs w:val="16"/>
                <w:lang w:val="sr-Latn-CS"/>
              </w:rPr>
            </w:pPr>
            <w:r>
              <w:rPr>
                <w:sz w:val="16"/>
                <w:szCs w:val="16"/>
                <w:lang w:val="sr-Latn-CS"/>
              </w:rPr>
              <w:t>Boja na karti</w:t>
            </w:r>
          </w:p>
        </w:tc>
        <w:tc>
          <w:tcPr>
            <w:tcW w:w="1327" w:type="dxa"/>
            <w:tcBorders>
              <w:top w:val="single" w:sz="6" w:space="0" w:color="FFFFFF" w:themeColor="background1"/>
              <w:left w:val="single" w:sz="6" w:space="0" w:color="FFFFFF" w:themeColor="background1"/>
              <w:bottom w:val="single" w:sz="8" w:space="0" w:color="FFFFFF" w:themeColor="background1"/>
              <w:right w:val="single" w:sz="6" w:space="0" w:color="FFFFFF" w:themeColor="background1"/>
            </w:tcBorders>
            <w:vAlign w:val="center"/>
            <w:hideMark/>
          </w:tcPr>
          <w:p w:rsidR="004F3444" w:rsidRDefault="004F3444">
            <w:pPr>
              <w:spacing w:after="0"/>
              <w:jc w:val="center"/>
              <w:cnfStyle w:val="000000000000" w:firstRow="0" w:lastRow="0" w:firstColumn="0" w:lastColumn="0" w:oddVBand="0" w:evenVBand="0" w:oddHBand="0" w:evenHBand="0" w:firstRowFirstColumn="0" w:firstRowLastColumn="0" w:lastRowFirstColumn="0" w:lastRowLastColumn="0"/>
              <w:rPr>
                <w:color w:val="0000CC" w:themeColor="accent4" w:themeShade="80"/>
                <w:sz w:val="16"/>
                <w:szCs w:val="16"/>
                <w:lang w:val="sr-Latn-CS"/>
              </w:rPr>
            </w:pPr>
            <w:r>
              <w:rPr>
                <w:color w:val="0000CC" w:themeColor="accent4" w:themeShade="80"/>
                <w:sz w:val="24"/>
                <w:szCs w:val="16"/>
                <w:lang w:val="sr-Latn-CS"/>
              </w:rPr>
              <w:sym w:font="Wingdings 2" w:char="F098"/>
            </w:r>
          </w:p>
        </w:tc>
        <w:tc>
          <w:tcPr>
            <w:tcW w:w="1327" w:type="dxa"/>
            <w:tcBorders>
              <w:top w:val="single" w:sz="6" w:space="0" w:color="FFFFFF" w:themeColor="background1"/>
              <w:left w:val="single" w:sz="6" w:space="0" w:color="FFFFFF" w:themeColor="background1"/>
              <w:bottom w:val="single" w:sz="8" w:space="0" w:color="FFFFFF" w:themeColor="background1"/>
              <w:right w:val="single" w:sz="6" w:space="0" w:color="FFFFFF" w:themeColor="background1"/>
            </w:tcBorders>
            <w:vAlign w:val="center"/>
            <w:hideMark/>
          </w:tcPr>
          <w:p w:rsidR="004F3444" w:rsidRDefault="004F3444">
            <w:pPr>
              <w:spacing w:after="0"/>
              <w:jc w:val="center"/>
              <w:cnfStyle w:val="000000000000" w:firstRow="0" w:lastRow="0" w:firstColumn="0" w:lastColumn="0" w:oddVBand="0" w:evenVBand="0" w:oddHBand="0" w:evenHBand="0" w:firstRowFirstColumn="0" w:firstRowLastColumn="0" w:lastRowFirstColumn="0" w:lastRowLastColumn="0"/>
              <w:rPr>
                <w:color w:val="00B0F0"/>
                <w:sz w:val="16"/>
                <w:szCs w:val="16"/>
                <w:lang w:val="sr-Latn-CS"/>
              </w:rPr>
            </w:pPr>
            <w:r>
              <w:rPr>
                <w:color w:val="00B0F0"/>
                <w:sz w:val="24"/>
                <w:szCs w:val="16"/>
                <w:lang w:val="sr-Latn-CS"/>
              </w:rPr>
              <w:sym w:font="Wingdings 2" w:char="F098"/>
            </w:r>
          </w:p>
        </w:tc>
        <w:tc>
          <w:tcPr>
            <w:tcW w:w="1327" w:type="dxa"/>
            <w:tcBorders>
              <w:top w:val="single" w:sz="6" w:space="0" w:color="FFFFFF" w:themeColor="background1"/>
              <w:left w:val="single" w:sz="6" w:space="0" w:color="FFFFFF" w:themeColor="background1"/>
              <w:bottom w:val="single" w:sz="8" w:space="0" w:color="FFFFFF" w:themeColor="background1"/>
              <w:right w:val="single" w:sz="6" w:space="0" w:color="FFFFFF" w:themeColor="background1"/>
            </w:tcBorders>
            <w:vAlign w:val="center"/>
            <w:hideMark/>
          </w:tcPr>
          <w:p w:rsidR="004F3444" w:rsidRDefault="004F3444">
            <w:pPr>
              <w:spacing w:after="0"/>
              <w:jc w:val="center"/>
              <w:cnfStyle w:val="000000000000" w:firstRow="0" w:lastRow="0" w:firstColumn="0" w:lastColumn="0" w:oddVBand="0" w:evenVBand="0" w:oddHBand="0" w:evenHBand="0" w:firstRowFirstColumn="0" w:firstRowLastColumn="0" w:lastRowFirstColumn="0" w:lastRowLastColumn="0"/>
              <w:rPr>
                <w:color w:val="74B430" w:themeColor="accent5" w:themeShade="BF"/>
                <w:sz w:val="16"/>
                <w:szCs w:val="16"/>
                <w:lang w:val="sr-Latn-CS"/>
              </w:rPr>
            </w:pPr>
            <w:r>
              <w:rPr>
                <w:color w:val="74B430" w:themeColor="accent5" w:themeShade="BF"/>
                <w:sz w:val="24"/>
                <w:szCs w:val="16"/>
                <w:lang w:val="sr-Latn-CS"/>
              </w:rPr>
              <w:sym w:font="Wingdings 2" w:char="F098"/>
            </w:r>
          </w:p>
        </w:tc>
        <w:tc>
          <w:tcPr>
            <w:tcW w:w="1327" w:type="dxa"/>
            <w:tcBorders>
              <w:top w:val="single" w:sz="6" w:space="0" w:color="FFFFFF" w:themeColor="background1"/>
              <w:left w:val="single" w:sz="6" w:space="0" w:color="FFFFFF" w:themeColor="background1"/>
              <w:bottom w:val="single" w:sz="8" w:space="0" w:color="FFFFFF" w:themeColor="background1"/>
              <w:right w:val="single" w:sz="6" w:space="0" w:color="FFFFFF" w:themeColor="background1"/>
            </w:tcBorders>
            <w:vAlign w:val="center"/>
            <w:hideMark/>
          </w:tcPr>
          <w:p w:rsidR="004F3444" w:rsidRDefault="004F3444">
            <w:pPr>
              <w:spacing w:after="0"/>
              <w:jc w:val="center"/>
              <w:cnfStyle w:val="000000000000" w:firstRow="0" w:lastRow="0" w:firstColumn="0" w:lastColumn="0" w:oddVBand="0" w:evenVBand="0" w:oddHBand="0" w:evenHBand="0" w:firstRowFirstColumn="0" w:firstRowLastColumn="0" w:lastRowFirstColumn="0" w:lastRowLastColumn="0"/>
              <w:rPr>
                <w:color w:val="FFFF00"/>
                <w:sz w:val="16"/>
                <w:szCs w:val="16"/>
                <w:lang w:val="sr-Latn-CS"/>
              </w:rPr>
            </w:pPr>
            <w:r>
              <w:rPr>
                <w:color w:val="FFFF00"/>
                <w:sz w:val="24"/>
                <w:szCs w:val="16"/>
                <w:lang w:val="sr-Latn-CS"/>
              </w:rPr>
              <w:sym w:font="Wingdings 2" w:char="F098"/>
            </w:r>
          </w:p>
        </w:tc>
        <w:tc>
          <w:tcPr>
            <w:tcW w:w="1327" w:type="dxa"/>
            <w:tcBorders>
              <w:top w:val="single" w:sz="6" w:space="0" w:color="FFFFFF" w:themeColor="background1"/>
              <w:left w:val="single" w:sz="6" w:space="0" w:color="FFFFFF" w:themeColor="background1"/>
              <w:bottom w:val="single" w:sz="8" w:space="0" w:color="FFFFFF" w:themeColor="background1"/>
              <w:right w:val="single" w:sz="8" w:space="0" w:color="FFFFFF" w:themeColor="background1"/>
            </w:tcBorders>
            <w:vAlign w:val="center"/>
            <w:hideMark/>
          </w:tcPr>
          <w:p w:rsidR="004F3444" w:rsidRDefault="004F3444">
            <w:pPr>
              <w:spacing w:after="0"/>
              <w:jc w:val="center"/>
              <w:cnfStyle w:val="000000000000" w:firstRow="0" w:lastRow="0" w:firstColumn="0" w:lastColumn="0" w:oddVBand="0" w:evenVBand="0" w:oddHBand="0" w:evenHBand="0" w:firstRowFirstColumn="0" w:firstRowLastColumn="0" w:lastRowFirstColumn="0" w:lastRowLastColumn="0"/>
              <w:rPr>
                <w:color w:val="FF0000"/>
                <w:sz w:val="16"/>
                <w:szCs w:val="16"/>
                <w:lang w:val="sr-Latn-CS"/>
              </w:rPr>
            </w:pPr>
            <w:r>
              <w:rPr>
                <w:color w:val="FF0000"/>
                <w:sz w:val="24"/>
                <w:szCs w:val="16"/>
                <w:lang w:val="sr-Latn-CS"/>
              </w:rPr>
              <w:sym w:font="Wingdings 2" w:char="F098"/>
            </w:r>
          </w:p>
        </w:tc>
      </w:tr>
    </w:tbl>
    <w:p w:rsidR="004F3444" w:rsidRPr="003C12B8" w:rsidRDefault="004F3444" w:rsidP="006529B4">
      <w:pPr>
        <w:pStyle w:val="Tabele"/>
        <w:ind w:left="0" w:firstLine="0"/>
        <w:rPr>
          <w:rFonts w:ascii="Constantia" w:hAnsi="Constantia"/>
          <w:sz w:val="22"/>
          <w:szCs w:val="22"/>
        </w:rPr>
      </w:pPr>
      <w:r w:rsidRPr="003C12B8">
        <w:rPr>
          <w:rFonts w:ascii="Constantia" w:hAnsi="Constantia"/>
          <w:sz w:val="22"/>
          <w:szCs w:val="22"/>
        </w:rPr>
        <w:t>Klasifikacija površinskih voda metodom Water Quality Index (WQI)</w:t>
      </w:r>
    </w:p>
    <w:tbl>
      <w:tblPr>
        <w:tblStyle w:val="MediumGrid3-Accent4"/>
        <w:tblW w:w="0" w:type="auto"/>
        <w:jc w:val="center"/>
        <w:tblInd w:w="-390" w:type="dxa"/>
        <w:tblLook w:val="04A0" w:firstRow="1" w:lastRow="0" w:firstColumn="1" w:lastColumn="0" w:noHBand="0" w:noVBand="1"/>
      </w:tblPr>
      <w:tblGrid>
        <w:gridCol w:w="1540"/>
        <w:gridCol w:w="1476"/>
        <w:gridCol w:w="1313"/>
        <w:gridCol w:w="1313"/>
      </w:tblGrid>
      <w:tr w:rsidR="004F3444" w:rsidTr="00D56340">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40" w:type="dxa"/>
            <w:vAlign w:val="center"/>
            <w:hideMark/>
          </w:tcPr>
          <w:p w:rsidR="004F3444" w:rsidRDefault="004F3444">
            <w:pPr>
              <w:spacing w:after="0"/>
              <w:jc w:val="center"/>
              <w:rPr>
                <w:color w:val="000000" w:themeColor="text1"/>
                <w:sz w:val="16"/>
                <w:szCs w:val="16"/>
                <w:lang w:val="sr-Latn-CS"/>
              </w:rPr>
            </w:pPr>
            <w:r>
              <w:rPr>
                <w:color w:val="000000" w:themeColor="text1"/>
                <w:sz w:val="16"/>
                <w:szCs w:val="16"/>
                <w:lang w:val="sr-Latn-CS"/>
              </w:rPr>
              <w:lastRenderedPageBreak/>
              <w:t>Pozicija</w:t>
            </w:r>
          </w:p>
        </w:tc>
        <w:tc>
          <w:tcPr>
            <w:tcW w:w="1476" w:type="dxa"/>
            <w:vAlign w:val="center"/>
            <w:hideMark/>
          </w:tcPr>
          <w:p w:rsidR="004F3444" w:rsidRDefault="004F3444">
            <w:pPr>
              <w:spacing w:after="0"/>
              <w:jc w:val="center"/>
              <w:cnfStyle w:val="100000000000" w:firstRow="1" w:lastRow="0" w:firstColumn="0" w:lastColumn="0" w:oddVBand="0" w:evenVBand="0" w:oddHBand="0" w:evenHBand="0" w:firstRowFirstColumn="0" w:firstRowLastColumn="0" w:lastRowFirstColumn="0" w:lastRowLastColumn="0"/>
              <w:rPr>
                <w:color w:val="auto"/>
                <w:sz w:val="16"/>
                <w:szCs w:val="16"/>
                <w:lang w:val="sr-Latn-CS"/>
              </w:rPr>
            </w:pPr>
            <w:r>
              <w:rPr>
                <w:color w:val="auto"/>
                <w:sz w:val="16"/>
                <w:szCs w:val="16"/>
                <w:lang w:val="sr-Latn-CS"/>
              </w:rPr>
              <w:t>Opisni indikator</w:t>
            </w:r>
          </w:p>
        </w:tc>
        <w:tc>
          <w:tcPr>
            <w:tcW w:w="1313" w:type="dxa"/>
            <w:vAlign w:val="center"/>
            <w:hideMark/>
          </w:tcPr>
          <w:p w:rsidR="004F3444" w:rsidRDefault="004F3444">
            <w:pPr>
              <w:spacing w:after="0"/>
              <w:jc w:val="center"/>
              <w:cnfStyle w:val="100000000000" w:firstRow="1" w:lastRow="0" w:firstColumn="0" w:lastColumn="0" w:oddVBand="0" w:evenVBand="0" w:oddHBand="0" w:evenHBand="0" w:firstRowFirstColumn="0" w:firstRowLastColumn="0" w:lastRowFirstColumn="0" w:lastRowLastColumn="0"/>
              <w:rPr>
                <w:color w:val="000000" w:themeColor="text1"/>
                <w:sz w:val="16"/>
                <w:szCs w:val="16"/>
                <w:lang w:val="sr-Latn-CS"/>
              </w:rPr>
            </w:pPr>
            <w:r>
              <w:rPr>
                <w:color w:val="auto"/>
                <w:sz w:val="16"/>
                <w:szCs w:val="16"/>
                <w:lang w:val="sr-Latn-CS"/>
              </w:rPr>
              <w:t>Indeks kvaliteta voda (WQI)</w:t>
            </w:r>
          </w:p>
        </w:tc>
        <w:tc>
          <w:tcPr>
            <w:tcW w:w="1313" w:type="dxa"/>
            <w:vAlign w:val="center"/>
            <w:hideMark/>
          </w:tcPr>
          <w:p w:rsidR="004F3444" w:rsidRDefault="004F3444">
            <w:pPr>
              <w:spacing w:after="0"/>
              <w:jc w:val="center"/>
              <w:cnfStyle w:val="100000000000" w:firstRow="1" w:lastRow="0" w:firstColumn="0" w:lastColumn="0" w:oddVBand="0" w:evenVBand="0" w:oddHBand="0" w:evenHBand="0" w:firstRowFirstColumn="0" w:firstRowLastColumn="0" w:lastRowFirstColumn="0" w:lastRowLastColumn="0"/>
              <w:rPr>
                <w:color w:val="000000" w:themeColor="text1"/>
                <w:sz w:val="16"/>
                <w:szCs w:val="16"/>
                <w:lang w:val="sr-Latn-CS"/>
              </w:rPr>
            </w:pPr>
            <w:r>
              <w:rPr>
                <w:color w:val="auto"/>
                <w:sz w:val="16"/>
                <w:szCs w:val="16"/>
                <w:lang w:val="sr-Latn-CS"/>
              </w:rPr>
              <w:t>Boja na karti</w:t>
            </w:r>
          </w:p>
        </w:tc>
      </w:tr>
      <w:tr w:rsidR="004F3444" w:rsidTr="00D5634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40" w:type="dxa"/>
            <w:vAlign w:val="center"/>
            <w:hideMark/>
          </w:tcPr>
          <w:p w:rsidR="004F3444" w:rsidRDefault="004F3444">
            <w:pPr>
              <w:spacing w:after="0"/>
              <w:jc w:val="center"/>
              <w:rPr>
                <w:color w:val="auto"/>
                <w:sz w:val="16"/>
                <w:szCs w:val="16"/>
                <w:lang w:val="sr-Latn-CS"/>
              </w:rPr>
            </w:pPr>
            <w:r>
              <w:rPr>
                <w:color w:val="auto"/>
                <w:sz w:val="16"/>
                <w:szCs w:val="16"/>
                <w:lang w:val="sr-Latn-CS"/>
              </w:rPr>
              <w:t>Morača</w:t>
            </w:r>
          </w:p>
        </w:tc>
        <w:tc>
          <w:tcPr>
            <w:tcW w:w="1476" w:type="dxa"/>
            <w:vAlign w:val="center"/>
            <w:hideMark/>
          </w:tcPr>
          <w:p w:rsidR="004F3444" w:rsidRDefault="004F3444">
            <w:pPr>
              <w:spacing w:after="0"/>
              <w:jc w:val="center"/>
              <w:cnfStyle w:val="000000100000" w:firstRow="0" w:lastRow="0" w:firstColumn="0" w:lastColumn="0" w:oddVBand="0" w:evenVBand="0" w:oddHBand="1" w:evenHBand="0" w:firstRowFirstColumn="0" w:firstRowLastColumn="0" w:lastRowFirstColumn="0" w:lastRowLastColumn="0"/>
              <w:rPr>
                <w:sz w:val="16"/>
                <w:szCs w:val="16"/>
                <w:lang w:val="sr-Latn-CS"/>
              </w:rPr>
            </w:pPr>
            <w:r>
              <w:rPr>
                <w:sz w:val="16"/>
                <w:szCs w:val="16"/>
                <w:lang w:val="sr-Latn-CS"/>
              </w:rPr>
              <w:t>dobar</w:t>
            </w:r>
          </w:p>
        </w:tc>
        <w:tc>
          <w:tcPr>
            <w:tcW w:w="1313" w:type="dxa"/>
            <w:vAlign w:val="center"/>
            <w:hideMark/>
          </w:tcPr>
          <w:p w:rsidR="004F3444" w:rsidRDefault="004F3444">
            <w:pPr>
              <w:spacing w:after="0"/>
              <w:jc w:val="center"/>
              <w:cnfStyle w:val="000000100000" w:firstRow="0" w:lastRow="0" w:firstColumn="0" w:lastColumn="0" w:oddVBand="0" w:evenVBand="0" w:oddHBand="1" w:evenHBand="0" w:firstRowFirstColumn="0" w:firstRowLastColumn="0" w:lastRowFirstColumn="0" w:lastRowLastColumn="0"/>
              <w:rPr>
                <w:sz w:val="16"/>
                <w:szCs w:val="16"/>
                <w:lang w:val="sr-Latn-CS"/>
              </w:rPr>
            </w:pPr>
            <w:r>
              <w:rPr>
                <w:sz w:val="16"/>
                <w:szCs w:val="16"/>
                <w:lang w:val="sr-Latn-CS"/>
              </w:rPr>
              <w:t>81</w:t>
            </w:r>
          </w:p>
        </w:tc>
        <w:tc>
          <w:tcPr>
            <w:tcW w:w="1313" w:type="dxa"/>
            <w:vAlign w:val="center"/>
            <w:hideMark/>
          </w:tcPr>
          <w:p w:rsidR="004F3444" w:rsidRDefault="004F3444">
            <w:pPr>
              <w:spacing w:after="0"/>
              <w:jc w:val="center"/>
              <w:cnfStyle w:val="000000100000" w:firstRow="0" w:lastRow="0" w:firstColumn="0" w:lastColumn="0" w:oddVBand="0" w:evenVBand="0" w:oddHBand="1" w:evenHBand="0" w:firstRowFirstColumn="0" w:firstRowLastColumn="0" w:lastRowFirstColumn="0" w:lastRowLastColumn="0"/>
              <w:rPr>
                <w:sz w:val="16"/>
                <w:szCs w:val="16"/>
                <w:lang w:val="sr-Latn-CS"/>
              </w:rPr>
            </w:pPr>
            <w:r>
              <w:rPr>
                <w:color w:val="00B050"/>
                <w:sz w:val="24"/>
                <w:szCs w:val="16"/>
                <w:lang w:val="sr-Latn-CS"/>
              </w:rPr>
              <w:sym w:font="Wingdings 2" w:char="F098"/>
            </w:r>
          </w:p>
        </w:tc>
      </w:tr>
      <w:tr w:rsidR="004F3444" w:rsidTr="00D56340">
        <w:trPr>
          <w:trHeight w:val="20"/>
          <w:jc w:val="center"/>
        </w:trPr>
        <w:tc>
          <w:tcPr>
            <w:cnfStyle w:val="001000000000" w:firstRow="0" w:lastRow="0" w:firstColumn="1" w:lastColumn="0" w:oddVBand="0" w:evenVBand="0" w:oddHBand="0" w:evenHBand="0" w:firstRowFirstColumn="0" w:firstRowLastColumn="0" w:lastRowFirstColumn="0" w:lastRowLastColumn="0"/>
            <w:tcW w:w="1540" w:type="dxa"/>
            <w:tcBorders>
              <w:top w:val="single" w:sz="6" w:space="0" w:color="FFFFFF" w:themeColor="background1"/>
            </w:tcBorders>
            <w:vAlign w:val="center"/>
            <w:hideMark/>
          </w:tcPr>
          <w:p w:rsidR="004F3444" w:rsidRDefault="004F3444">
            <w:pPr>
              <w:spacing w:after="0"/>
              <w:jc w:val="center"/>
              <w:rPr>
                <w:color w:val="auto"/>
                <w:sz w:val="16"/>
                <w:szCs w:val="16"/>
                <w:lang w:val="sr-Latn-CS"/>
              </w:rPr>
            </w:pPr>
            <w:r>
              <w:rPr>
                <w:color w:val="auto"/>
                <w:sz w:val="16"/>
                <w:szCs w:val="16"/>
                <w:lang w:val="sr-Latn-CS"/>
              </w:rPr>
              <w:t>Zeta</w:t>
            </w:r>
          </w:p>
        </w:tc>
        <w:tc>
          <w:tcPr>
            <w:tcW w:w="14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vAlign w:val="center"/>
            <w:hideMark/>
          </w:tcPr>
          <w:p w:rsidR="004F3444" w:rsidRDefault="004F3444">
            <w:pPr>
              <w:spacing w:after="0"/>
              <w:jc w:val="center"/>
              <w:cnfStyle w:val="000000000000" w:firstRow="0" w:lastRow="0" w:firstColumn="0" w:lastColumn="0" w:oddVBand="0" w:evenVBand="0" w:oddHBand="0" w:evenHBand="0" w:firstRowFirstColumn="0" w:firstRowLastColumn="0" w:lastRowFirstColumn="0" w:lastRowLastColumn="0"/>
              <w:rPr>
                <w:sz w:val="16"/>
                <w:szCs w:val="16"/>
                <w:lang w:val="sr-Latn-CS"/>
              </w:rPr>
            </w:pPr>
            <w:r>
              <w:rPr>
                <w:sz w:val="16"/>
                <w:szCs w:val="16"/>
                <w:lang w:val="sr-Latn-CS"/>
              </w:rPr>
              <w:t xml:space="preserve"> veoma dobar</w:t>
            </w:r>
          </w:p>
        </w:tc>
        <w:tc>
          <w:tcPr>
            <w:tcW w:w="131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vAlign w:val="center"/>
            <w:hideMark/>
          </w:tcPr>
          <w:p w:rsidR="004F3444" w:rsidRDefault="004F3444">
            <w:pPr>
              <w:spacing w:after="0"/>
              <w:jc w:val="center"/>
              <w:cnfStyle w:val="000000000000" w:firstRow="0" w:lastRow="0" w:firstColumn="0" w:lastColumn="0" w:oddVBand="0" w:evenVBand="0" w:oddHBand="0" w:evenHBand="0" w:firstRowFirstColumn="0" w:firstRowLastColumn="0" w:lastRowFirstColumn="0" w:lastRowLastColumn="0"/>
              <w:rPr>
                <w:sz w:val="16"/>
                <w:szCs w:val="16"/>
                <w:lang w:val="sr-Latn-CS"/>
              </w:rPr>
            </w:pPr>
            <w:r>
              <w:rPr>
                <w:sz w:val="16"/>
                <w:szCs w:val="16"/>
                <w:lang w:val="sr-Latn-CS"/>
              </w:rPr>
              <w:t>86</w:t>
            </w:r>
          </w:p>
        </w:tc>
        <w:tc>
          <w:tcPr>
            <w:tcW w:w="1313" w:type="dxa"/>
            <w:tcBorders>
              <w:top w:val="single" w:sz="6" w:space="0" w:color="FFFFFF" w:themeColor="background1"/>
              <w:left w:val="single" w:sz="6" w:space="0" w:color="FFFFFF" w:themeColor="background1"/>
              <w:bottom w:val="single" w:sz="6" w:space="0" w:color="FFFFFF" w:themeColor="background1"/>
              <w:right w:val="single" w:sz="8" w:space="0" w:color="FFFFFF" w:themeColor="background1"/>
            </w:tcBorders>
            <w:vAlign w:val="center"/>
            <w:hideMark/>
          </w:tcPr>
          <w:p w:rsidR="004F3444" w:rsidRDefault="004F3444">
            <w:pPr>
              <w:spacing w:after="0"/>
              <w:jc w:val="center"/>
              <w:cnfStyle w:val="000000000000" w:firstRow="0" w:lastRow="0" w:firstColumn="0" w:lastColumn="0" w:oddVBand="0" w:evenVBand="0" w:oddHBand="0" w:evenHBand="0" w:firstRowFirstColumn="0" w:firstRowLastColumn="0" w:lastRowFirstColumn="0" w:lastRowLastColumn="0"/>
              <w:rPr>
                <w:sz w:val="16"/>
                <w:szCs w:val="16"/>
                <w:lang w:val="sr-Latn-CS"/>
              </w:rPr>
            </w:pPr>
            <w:r>
              <w:rPr>
                <w:color w:val="00B0F0"/>
                <w:sz w:val="24"/>
                <w:szCs w:val="16"/>
                <w:lang w:val="sr-Latn-CS"/>
              </w:rPr>
              <w:sym w:font="Wingdings 2" w:char="F098"/>
            </w:r>
          </w:p>
        </w:tc>
      </w:tr>
      <w:tr w:rsidR="004F3444" w:rsidTr="00D5634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40" w:type="dxa"/>
            <w:vAlign w:val="center"/>
            <w:hideMark/>
          </w:tcPr>
          <w:p w:rsidR="004F3444" w:rsidRDefault="004F3444">
            <w:pPr>
              <w:spacing w:after="0"/>
              <w:jc w:val="center"/>
              <w:rPr>
                <w:color w:val="auto"/>
                <w:sz w:val="16"/>
                <w:szCs w:val="16"/>
                <w:lang w:val="sr-Latn-CS"/>
              </w:rPr>
            </w:pPr>
            <w:r>
              <w:rPr>
                <w:color w:val="auto"/>
                <w:sz w:val="16"/>
                <w:szCs w:val="16"/>
                <w:lang w:val="sr-Latn-CS"/>
              </w:rPr>
              <w:t>Cijevna</w:t>
            </w:r>
          </w:p>
        </w:tc>
        <w:tc>
          <w:tcPr>
            <w:tcW w:w="1476" w:type="dxa"/>
            <w:vAlign w:val="center"/>
            <w:hideMark/>
          </w:tcPr>
          <w:p w:rsidR="004F3444" w:rsidRDefault="004F3444">
            <w:pPr>
              <w:spacing w:after="0"/>
              <w:jc w:val="center"/>
              <w:cnfStyle w:val="000000100000" w:firstRow="0" w:lastRow="0" w:firstColumn="0" w:lastColumn="0" w:oddVBand="0" w:evenVBand="0" w:oddHBand="1" w:evenHBand="0" w:firstRowFirstColumn="0" w:firstRowLastColumn="0" w:lastRowFirstColumn="0" w:lastRowLastColumn="0"/>
              <w:rPr>
                <w:sz w:val="16"/>
                <w:szCs w:val="16"/>
                <w:lang w:val="sr-Latn-CS"/>
              </w:rPr>
            </w:pPr>
            <w:r>
              <w:rPr>
                <w:sz w:val="16"/>
                <w:szCs w:val="16"/>
                <w:lang w:val="sr-Latn-CS"/>
              </w:rPr>
              <w:t>veoma dobar</w:t>
            </w:r>
          </w:p>
        </w:tc>
        <w:tc>
          <w:tcPr>
            <w:tcW w:w="1313" w:type="dxa"/>
            <w:vAlign w:val="center"/>
            <w:hideMark/>
          </w:tcPr>
          <w:p w:rsidR="004F3444" w:rsidRDefault="004F3444">
            <w:pPr>
              <w:spacing w:after="0"/>
              <w:jc w:val="center"/>
              <w:cnfStyle w:val="000000100000" w:firstRow="0" w:lastRow="0" w:firstColumn="0" w:lastColumn="0" w:oddVBand="0" w:evenVBand="0" w:oddHBand="1" w:evenHBand="0" w:firstRowFirstColumn="0" w:firstRowLastColumn="0" w:lastRowFirstColumn="0" w:lastRowLastColumn="0"/>
              <w:rPr>
                <w:sz w:val="16"/>
                <w:szCs w:val="16"/>
                <w:lang w:val="sr-Latn-CS"/>
              </w:rPr>
            </w:pPr>
            <w:r>
              <w:rPr>
                <w:sz w:val="16"/>
                <w:szCs w:val="16"/>
                <w:lang w:val="sr-Latn-CS"/>
              </w:rPr>
              <w:t>85</w:t>
            </w:r>
          </w:p>
        </w:tc>
        <w:tc>
          <w:tcPr>
            <w:tcW w:w="1313" w:type="dxa"/>
            <w:vAlign w:val="center"/>
            <w:hideMark/>
          </w:tcPr>
          <w:p w:rsidR="004F3444" w:rsidRDefault="004F3444">
            <w:pPr>
              <w:spacing w:after="0"/>
              <w:jc w:val="center"/>
              <w:cnfStyle w:val="000000100000" w:firstRow="0" w:lastRow="0" w:firstColumn="0" w:lastColumn="0" w:oddVBand="0" w:evenVBand="0" w:oddHBand="1" w:evenHBand="0" w:firstRowFirstColumn="0" w:firstRowLastColumn="0" w:lastRowFirstColumn="0" w:lastRowLastColumn="0"/>
              <w:rPr>
                <w:sz w:val="16"/>
                <w:szCs w:val="16"/>
                <w:lang w:val="sr-Latn-CS"/>
              </w:rPr>
            </w:pPr>
            <w:r>
              <w:rPr>
                <w:color w:val="00B0F0"/>
                <w:sz w:val="24"/>
                <w:szCs w:val="16"/>
                <w:lang w:val="sr-Latn-CS"/>
              </w:rPr>
              <w:sym w:font="Wingdings 2" w:char="F098"/>
            </w:r>
          </w:p>
        </w:tc>
      </w:tr>
      <w:tr w:rsidR="004F3444" w:rsidTr="00D56340">
        <w:trPr>
          <w:trHeight w:val="20"/>
          <w:jc w:val="center"/>
        </w:trPr>
        <w:tc>
          <w:tcPr>
            <w:cnfStyle w:val="001000000000" w:firstRow="0" w:lastRow="0" w:firstColumn="1" w:lastColumn="0" w:oddVBand="0" w:evenVBand="0" w:oddHBand="0" w:evenHBand="0" w:firstRowFirstColumn="0" w:firstRowLastColumn="0" w:lastRowFirstColumn="0" w:lastRowLastColumn="0"/>
            <w:tcW w:w="1540" w:type="dxa"/>
            <w:tcBorders>
              <w:top w:val="single" w:sz="6" w:space="0" w:color="FFFFFF" w:themeColor="background1"/>
            </w:tcBorders>
            <w:vAlign w:val="center"/>
            <w:hideMark/>
          </w:tcPr>
          <w:p w:rsidR="004F3444" w:rsidRDefault="004F3444">
            <w:pPr>
              <w:spacing w:after="0"/>
              <w:jc w:val="center"/>
              <w:rPr>
                <w:color w:val="000000" w:themeColor="text1"/>
                <w:sz w:val="16"/>
                <w:szCs w:val="16"/>
                <w:lang w:val="sr-Latn-CS"/>
              </w:rPr>
            </w:pPr>
            <w:r>
              <w:rPr>
                <w:color w:val="000000" w:themeColor="text1"/>
                <w:sz w:val="16"/>
                <w:szCs w:val="16"/>
                <w:lang w:val="sr-Latn-CS"/>
              </w:rPr>
              <w:t>Bojana</w:t>
            </w:r>
          </w:p>
        </w:tc>
        <w:tc>
          <w:tcPr>
            <w:tcW w:w="14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vAlign w:val="center"/>
            <w:hideMark/>
          </w:tcPr>
          <w:p w:rsidR="004F3444" w:rsidRDefault="004F3444">
            <w:pPr>
              <w:spacing w:after="0"/>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sr-Latn-CS"/>
              </w:rPr>
            </w:pPr>
            <w:r>
              <w:rPr>
                <w:color w:val="000000" w:themeColor="text1"/>
                <w:sz w:val="16"/>
                <w:szCs w:val="16"/>
                <w:lang w:val="sr-Latn-CS"/>
              </w:rPr>
              <w:t>veoma dobar</w:t>
            </w:r>
          </w:p>
        </w:tc>
        <w:tc>
          <w:tcPr>
            <w:tcW w:w="131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vAlign w:val="center"/>
            <w:hideMark/>
          </w:tcPr>
          <w:p w:rsidR="004F3444" w:rsidRDefault="004F3444">
            <w:pPr>
              <w:spacing w:after="0"/>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sr-Latn-CS"/>
              </w:rPr>
            </w:pPr>
            <w:r>
              <w:rPr>
                <w:color w:val="000000" w:themeColor="text1"/>
                <w:sz w:val="16"/>
                <w:szCs w:val="16"/>
                <w:lang w:val="sr-Latn-CS"/>
              </w:rPr>
              <w:t>89</w:t>
            </w:r>
          </w:p>
        </w:tc>
        <w:tc>
          <w:tcPr>
            <w:tcW w:w="1313" w:type="dxa"/>
            <w:tcBorders>
              <w:top w:val="single" w:sz="6" w:space="0" w:color="FFFFFF" w:themeColor="background1"/>
              <w:left w:val="single" w:sz="6" w:space="0" w:color="FFFFFF" w:themeColor="background1"/>
              <w:bottom w:val="single" w:sz="6" w:space="0" w:color="FFFFFF" w:themeColor="background1"/>
              <w:right w:val="single" w:sz="8" w:space="0" w:color="FFFFFF" w:themeColor="background1"/>
            </w:tcBorders>
            <w:vAlign w:val="center"/>
            <w:hideMark/>
          </w:tcPr>
          <w:p w:rsidR="004F3444" w:rsidRDefault="004F3444">
            <w:pPr>
              <w:spacing w:after="0"/>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sr-Latn-CS"/>
              </w:rPr>
            </w:pPr>
            <w:r>
              <w:rPr>
                <w:color w:val="00B0F0"/>
                <w:sz w:val="24"/>
                <w:szCs w:val="16"/>
                <w:lang w:val="sr-Latn-CS"/>
              </w:rPr>
              <w:sym w:font="Wingdings 2" w:char="F098"/>
            </w:r>
          </w:p>
        </w:tc>
      </w:tr>
      <w:tr w:rsidR="004F3444" w:rsidTr="00D5634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40" w:type="dxa"/>
            <w:vAlign w:val="center"/>
            <w:hideMark/>
          </w:tcPr>
          <w:p w:rsidR="004F3444" w:rsidRDefault="004F3444">
            <w:pPr>
              <w:spacing w:after="0"/>
              <w:jc w:val="center"/>
              <w:rPr>
                <w:color w:val="000000" w:themeColor="text1"/>
                <w:sz w:val="16"/>
                <w:szCs w:val="16"/>
                <w:lang w:val="sr-Latn-CS"/>
              </w:rPr>
            </w:pPr>
            <w:r>
              <w:rPr>
                <w:color w:val="000000" w:themeColor="text1"/>
                <w:sz w:val="16"/>
                <w:szCs w:val="16"/>
                <w:lang w:val="sr-Latn-CS"/>
              </w:rPr>
              <w:t>Rijeka Crnojevića</w:t>
            </w:r>
          </w:p>
        </w:tc>
        <w:tc>
          <w:tcPr>
            <w:tcW w:w="1476" w:type="dxa"/>
            <w:vAlign w:val="center"/>
            <w:hideMark/>
          </w:tcPr>
          <w:p w:rsidR="004F3444" w:rsidRDefault="004F3444">
            <w:pPr>
              <w:spacing w:after="0"/>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sr-Latn-CS"/>
              </w:rPr>
            </w:pPr>
            <w:r>
              <w:rPr>
                <w:color w:val="000000" w:themeColor="text1"/>
                <w:sz w:val="16"/>
                <w:szCs w:val="16"/>
                <w:lang w:val="sr-Latn-CS"/>
              </w:rPr>
              <w:t>dobar</w:t>
            </w:r>
          </w:p>
        </w:tc>
        <w:tc>
          <w:tcPr>
            <w:tcW w:w="1313" w:type="dxa"/>
            <w:vAlign w:val="center"/>
            <w:hideMark/>
          </w:tcPr>
          <w:p w:rsidR="004F3444" w:rsidRDefault="004F3444">
            <w:pPr>
              <w:spacing w:after="0"/>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sr-Latn-CS"/>
              </w:rPr>
            </w:pPr>
            <w:r>
              <w:rPr>
                <w:color w:val="000000" w:themeColor="text1"/>
                <w:sz w:val="16"/>
                <w:szCs w:val="16"/>
                <w:lang w:val="sr-Latn-CS"/>
              </w:rPr>
              <w:t>80</w:t>
            </w:r>
          </w:p>
        </w:tc>
        <w:tc>
          <w:tcPr>
            <w:tcW w:w="1313" w:type="dxa"/>
            <w:vAlign w:val="center"/>
            <w:hideMark/>
          </w:tcPr>
          <w:p w:rsidR="004F3444" w:rsidRDefault="004F3444">
            <w:pPr>
              <w:spacing w:after="0"/>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sr-Latn-CS"/>
              </w:rPr>
            </w:pPr>
            <w:r>
              <w:rPr>
                <w:color w:val="00B050"/>
                <w:sz w:val="24"/>
                <w:szCs w:val="16"/>
                <w:lang w:val="sr-Latn-CS"/>
              </w:rPr>
              <w:sym w:font="Wingdings 2" w:char="F098"/>
            </w:r>
          </w:p>
        </w:tc>
      </w:tr>
      <w:tr w:rsidR="004F3444" w:rsidTr="00D56340">
        <w:trPr>
          <w:trHeight w:val="20"/>
          <w:jc w:val="center"/>
        </w:trPr>
        <w:tc>
          <w:tcPr>
            <w:cnfStyle w:val="001000000000" w:firstRow="0" w:lastRow="0" w:firstColumn="1" w:lastColumn="0" w:oddVBand="0" w:evenVBand="0" w:oddHBand="0" w:evenHBand="0" w:firstRowFirstColumn="0" w:firstRowLastColumn="0" w:lastRowFirstColumn="0" w:lastRowLastColumn="0"/>
            <w:tcW w:w="1540" w:type="dxa"/>
            <w:tcBorders>
              <w:top w:val="single" w:sz="6" w:space="0" w:color="FFFFFF" w:themeColor="background1"/>
            </w:tcBorders>
            <w:vAlign w:val="center"/>
            <w:hideMark/>
          </w:tcPr>
          <w:p w:rsidR="004F3444" w:rsidRDefault="004F3444">
            <w:pPr>
              <w:spacing w:after="0"/>
              <w:jc w:val="center"/>
              <w:rPr>
                <w:color w:val="000000" w:themeColor="text1"/>
                <w:sz w:val="16"/>
                <w:szCs w:val="16"/>
                <w:lang w:val="sr-Latn-CS"/>
              </w:rPr>
            </w:pPr>
            <w:r>
              <w:rPr>
                <w:color w:val="000000" w:themeColor="text1"/>
                <w:sz w:val="16"/>
                <w:szCs w:val="16"/>
                <w:lang w:val="sr-Latn-CS"/>
              </w:rPr>
              <w:t>Lim</w:t>
            </w:r>
          </w:p>
        </w:tc>
        <w:tc>
          <w:tcPr>
            <w:tcW w:w="14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vAlign w:val="center"/>
            <w:hideMark/>
          </w:tcPr>
          <w:p w:rsidR="004F3444" w:rsidRDefault="004F3444">
            <w:pPr>
              <w:spacing w:after="0"/>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Pr>
                <w:color w:val="000000" w:themeColor="text1"/>
                <w:sz w:val="16"/>
                <w:szCs w:val="16"/>
                <w:lang w:val="sr-Latn-CS"/>
              </w:rPr>
              <w:t>odli</w:t>
            </w:r>
            <w:r>
              <w:rPr>
                <w:color w:val="000000" w:themeColor="text1"/>
                <w:sz w:val="16"/>
                <w:szCs w:val="16"/>
              </w:rPr>
              <w:t>čan</w:t>
            </w:r>
          </w:p>
        </w:tc>
        <w:tc>
          <w:tcPr>
            <w:tcW w:w="131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vAlign w:val="center"/>
            <w:hideMark/>
          </w:tcPr>
          <w:p w:rsidR="004F3444" w:rsidRDefault="004F3444">
            <w:pPr>
              <w:spacing w:after="0"/>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sr-Latn-CS"/>
              </w:rPr>
            </w:pPr>
            <w:r>
              <w:rPr>
                <w:color w:val="000000" w:themeColor="text1"/>
                <w:sz w:val="16"/>
                <w:szCs w:val="16"/>
                <w:lang w:val="sr-Latn-CS"/>
              </w:rPr>
              <w:t>92</w:t>
            </w:r>
          </w:p>
        </w:tc>
        <w:tc>
          <w:tcPr>
            <w:tcW w:w="1313" w:type="dxa"/>
            <w:tcBorders>
              <w:top w:val="single" w:sz="6" w:space="0" w:color="FFFFFF" w:themeColor="background1"/>
              <w:left w:val="single" w:sz="6" w:space="0" w:color="FFFFFF" w:themeColor="background1"/>
              <w:bottom w:val="single" w:sz="6" w:space="0" w:color="FFFFFF" w:themeColor="background1"/>
              <w:right w:val="single" w:sz="8" w:space="0" w:color="FFFFFF" w:themeColor="background1"/>
            </w:tcBorders>
            <w:vAlign w:val="center"/>
            <w:hideMark/>
          </w:tcPr>
          <w:p w:rsidR="004F3444" w:rsidRDefault="004F3444">
            <w:pPr>
              <w:spacing w:after="0"/>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sr-Latn-CS"/>
              </w:rPr>
            </w:pPr>
            <w:r>
              <w:rPr>
                <w:color w:val="002060"/>
                <w:sz w:val="24"/>
                <w:szCs w:val="16"/>
                <w:lang w:val="sr-Latn-CS"/>
              </w:rPr>
              <w:sym w:font="Wingdings 2" w:char="F098"/>
            </w:r>
          </w:p>
        </w:tc>
      </w:tr>
      <w:tr w:rsidR="004F3444" w:rsidTr="00D5634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40" w:type="dxa"/>
            <w:vAlign w:val="center"/>
            <w:hideMark/>
          </w:tcPr>
          <w:p w:rsidR="004F3444" w:rsidRDefault="004F3444">
            <w:pPr>
              <w:spacing w:after="0"/>
              <w:jc w:val="center"/>
              <w:rPr>
                <w:color w:val="000000" w:themeColor="text1"/>
                <w:sz w:val="16"/>
                <w:szCs w:val="16"/>
                <w:lang w:val="sr-Latn-CS"/>
              </w:rPr>
            </w:pPr>
            <w:r>
              <w:rPr>
                <w:color w:val="000000" w:themeColor="text1"/>
                <w:sz w:val="16"/>
                <w:szCs w:val="16"/>
                <w:lang w:val="sr-Latn-CS"/>
              </w:rPr>
              <w:t>Grnčar</w:t>
            </w:r>
          </w:p>
        </w:tc>
        <w:tc>
          <w:tcPr>
            <w:tcW w:w="1476" w:type="dxa"/>
            <w:vAlign w:val="center"/>
            <w:hideMark/>
          </w:tcPr>
          <w:p w:rsidR="004F3444" w:rsidRDefault="004F3444">
            <w:pPr>
              <w:spacing w:after="0"/>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sr-Latn-CS"/>
              </w:rPr>
            </w:pPr>
            <w:r>
              <w:rPr>
                <w:color w:val="000000" w:themeColor="text1"/>
                <w:sz w:val="16"/>
                <w:szCs w:val="16"/>
                <w:lang w:val="sr-Latn-CS"/>
              </w:rPr>
              <w:t>odličan</w:t>
            </w:r>
          </w:p>
        </w:tc>
        <w:tc>
          <w:tcPr>
            <w:tcW w:w="1313" w:type="dxa"/>
            <w:vAlign w:val="center"/>
            <w:hideMark/>
          </w:tcPr>
          <w:p w:rsidR="004F3444" w:rsidRDefault="004F3444">
            <w:pPr>
              <w:spacing w:after="0"/>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sr-Latn-CS"/>
              </w:rPr>
            </w:pPr>
            <w:r>
              <w:rPr>
                <w:color w:val="000000" w:themeColor="text1"/>
                <w:sz w:val="16"/>
                <w:szCs w:val="16"/>
                <w:lang w:val="sr-Latn-CS"/>
              </w:rPr>
              <w:t>92</w:t>
            </w:r>
          </w:p>
        </w:tc>
        <w:tc>
          <w:tcPr>
            <w:tcW w:w="1313" w:type="dxa"/>
            <w:vAlign w:val="center"/>
            <w:hideMark/>
          </w:tcPr>
          <w:p w:rsidR="004F3444" w:rsidRDefault="004F3444">
            <w:pPr>
              <w:spacing w:after="0"/>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sr-Latn-CS"/>
              </w:rPr>
            </w:pPr>
            <w:r>
              <w:rPr>
                <w:color w:val="002060"/>
                <w:sz w:val="24"/>
                <w:szCs w:val="16"/>
                <w:lang w:val="sr-Latn-CS"/>
              </w:rPr>
              <w:sym w:font="Wingdings 2" w:char="F098"/>
            </w:r>
          </w:p>
        </w:tc>
      </w:tr>
      <w:tr w:rsidR="004F3444" w:rsidTr="00D56340">
        <w:trPr>
          <w:trHeight w:val="20"/>
          <w:jc w:val="center"/>
        </w:trPr>
        <w:tc>
          <w:tcPr>
            <w:cnfStyle w:val="001000000000" w:firstRow="0" w:lastRow="0" w:firstColumn="1" w:lastColumn="0" w:oddVBand="0" w:evenVBand="0" w:oddHBand="0" w:evenHBand="0" w:firstRowFirstColumn="0" w:firstRowLastColumn="0" w:lastRowFirstColumn="0" w:lastRowLastColumn="0"/>
            <w:tcW w:w="1540" w:type="dxa"/>
            <w:tcBorders>
              <w:top w:val="single" w:sz="6" w:space="0" w:color="FFFFFF" w:themeColor="background1"/>
            </w:tcBorders>
            <w:vAlign w:val="center"/>
            <w:hideMark/>
          </w:tcPr>
          <w:p w:rsidR="004F3444" w:rsidRDefault="004F3444">
            <w:pPr>
              <w:spacing w:after="0"/>
              <w:jc w:val="center"/>
              <w:rPr>
                <w:color w:val="000000" w:themeColor="text1"/>
                <w:sz w:val="16"/>
                <w:szCs w:val="16"/>
                <w:lang w:val="sr-Latn-CS"/>
              </w:rPr>
            </w:pPr>
            <w:r>
              <w:rPr>
                <w:color w:val="000000" w:themeColor="text1"/>
                <w:sz w:val="16"/>
                <w:szCs w:val="16"/>
                <w:lang w:val="sr-Latn-CS"/>
              </w:rPr>
              <w:t>Kutska rijeka</w:t>
            </w:r>
          </w:p>
        </w:tc>
        <w:tc>
          <w:tcPr>
            <w:tcW w:w="14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vAlign w:val="center"/>
            <w:hideMark/>
          </w:tcPr>
          <w:p w:rsidR="004F3444" w:rsidRDefault="004F3444">
            <w:pPr>
              <w:spacing w:after="0"/>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sr-Latn-CS"/>
              </w:rPr>
            </w:pPr>
            <w:r>
              <w:rPr>
                <w:color w:val="000000" w:themeColor="text1"/>
                <w:sz w:val="16"/>
                <w:szCs w:val="16"/>
                <w:lang w:val="sr-Latn-CS"/>
              </w:rPr>
              <w:t>odličan</w:t>
            </w:r>
          </w:p>
        </w:tc>
        <w:tc>
          <w:tcPr>
            <w:tcW w:w="131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vAlign w:val="center"/>
            <w:hideMark/>
          </w:tcPr>
          <w:p w:rsidR="004F3444" w:rsidRDefault="004F3444">
            <w:pPr>
              <w:spacing w:after="0"/>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sr-Latn-CS"/>
              </w:rPr>
            </w:pPr>
            <w:r>
              <w:rPr>
                <w:color w:val="000000" w:themeColor="text1"/>
                <w:sz w:val="16"/>
                <w:szCs w:val="16"/>
                <w:lang w:val="sr-Latn-CS"/>
              </w:rPr>
              <w:t>95</w:t>
            </w:r>
          </w:p>
        </w:tc>
        <w:tc>
          <w:tcPr>
            <w:tcW w:w="1313" w:type="dxa"/>
            <w:tcBorders>
              <w:top w:val="single" w:sz="6" w:space="0" w:color="FFFFFF" w:themeColor="background1"/>
              <w:left w:val="single" w:sz="6" w:space="0" w:color="FFFFFF" w:themeColor="background1"/>
              <w:bottom w:val="single" w:sz="6" w:space="0" w:color="FFFFFF" w:themeColor="background1"/>
              <w:right w:val="single" w:sz="8" w:space="0" w:color="FFFFFF" w:themeColor="background1"/>
            </w:tcBorders>
            <w:vAlign w:val="center"/>
            <w:hideMark/>
          </w:tcPr>
          <w:p w:rsidR="004F3444" w:rsidRDefault="004F3444">
            <w:pPr>
              <w:spacing w:after="0"/>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sr-Latn-CS"/>
              </w:rPr>
            </w:pPr>
            <w:r>
              <w:rPr>
                <w:color w:val="002060"/>
                <w:sz w:val="24"/>
                <w:szCs w:val="16"/>
                <w:lang w:val="sr-Latn-CS"/>
              </w:rPr>
              <w:sym w:font="Wingdings 2" w:char="F098"/>
            </w:r>
          </w:p>
        </w:tc>
      </w:tr>
      <w:tr w:rsidR="004F3444" w:rsidTr="00D5634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40" w:type="dxa"/>
            <w:vAlign w:val="center"/>
            <w:hideMark/>
          </w:tcPr>
          <w:p w:rsidR="004F3444" w:rsidRDefault="004F3444">
            <w:pPr>
              <w:spacing w:after="0"/>
              <w:jc w:val="center"/>
              <w:rPr>
                <w:color w:val="000000" w:themeColor="text1"/>
                <w:sz w:val="16"/>
                <w:szCs w:val="16"/>
                <w:lang w:val="sr-Latn-CS"/>
              </w:rPr>
            </w:pPr>
            <w:r>
              <w:rPr>
                <w:color w:val="000000" w:themeColor="text1"/>
                <w:sz w:val="16"/>
                <w:szCs w:val="16"/>
                <w:lang w:val="sr-Latn-CS"/>
              </w:rPr>
              <w:t>Ibar</w:t>
            </w:r>
          </w:p>
        </w:tc>
        <w:tc>
          <w:tcPr>
            <w:tcW w:w="1476" w:type="dxa"/>
            <w:vAlign w:val="center"/>
            <w:hideMark/>
          </w:tcPr>
          <w:p w:rsidR="004F3444" w:rsidRDefault="004F3444">
            <w:pPr>
              <w:spacing w:after="0"/>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sr-Latn-CS"/>
              </w:rPr>
            </w:pPr>
            <w:r>
              <w:rPr>
                <w:color w:val="000000" w:themeColor="text1"/>
                <w:sz w:val="16"/>
                <w:szCs w:val="16"/>
                <w:lang w:val="sr-Latn-CS"/>
              </w:rPr>
              <w:t>loš</w:t>
            </w:r>
          </w:p>
        </w:tc>
        <w:tc>
          <w:tcPr>
            <w:tcW w:w="1313" w:type="dxa"/>
            <w:vAlign w:val="center"/>
            <w:hideMark/>
          </w:tcPr>
          <w:p w:rsidR="004F3444" w:rsidRDefault="004F3444">
            <w:pPr>
              <w:spacing w:after="0"/>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sr-Latn-CS"/>
              </w:rPr>
            </w:pPr>
            <w:r>
              <w:rPr>
                <w:color w:val="000000" w:themeColor="text1"/>
                <w:sz w:val="16"/>
                <w:szCs w:val="16"/>
                <w:lang w:val="sr-Latn-CS"/>
              </w:rPr>
              <w:t>70</w:t>
            </w:r>
          </w:p>
        </w:tc>
        <w:tc>
          <w:tcPr>
            <w:tcW w:w="1313" w:type="dxa"/>
            <w:vAlign w:val="center"/>
            <w:hideMark/>
          </w:tcPr>
          <w:p w:rsidR="004F3444" w:rsidRDefault="004F3444">
            <w:pPr>
              <w:spacing w:after="0"/>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sr-Latn-CS"/>
              </w:rPr>
            </w:pPr>
            <w:r>
              <w:rPr>
                <w:color w:val="FFFF00"/>
                <w:sz w:val="24"/>
                <w:szCs w:val="16"/>
                <w:lang w:val="sr-Latn-CS"/>
              </w:rPr>
              <w:sym w:font="Wingdings 2" w:char="F098"/>
            </w:r>
          </w:p>
        </w:tc>
      </w:tr>
      <w:tr w:rsidR="004F3444" w:rsidTr="00D56340">
        <w:trPr>
          <w:trHeight w:val="20"/>
          <w:jc w:val="center"/>
        </w:trPr>
        <w:tc>
          <w:tcPr>
            <w:cnfStyle w:val="001000000000" w:firstRow="0" w:lastRow="0" w:firstColumn="1" w:lastColumn="0" w:oddVBand="0" w:evenVBand="0" w:oddHBand="0" w:evenHBand="0" w:firstRowFirstColumn="0" w:firstRowLastColumn="0" w:lastRowFirstColumn="0" w:lastRowLastColumn="0"/>
            <w:tcW w:w="1540" w:type="dxa"/>
            <w:tcBorders>
              <w:top w:val="single" w:sz="6" w:space="0" w:color="FFFFFF" w:themeColor="background1"/>
            </w:tcBorders>
            <w:vAlign w:val="center"/>
            <w:hideMark/>
          </w:tcPr>
          <w:p w:rsidR="004F3444" w:rsidRDefault="004F3444">
            <w:pPr>
              <w:spacing w:after="0"/>
              <w:jc w:val="center"/>
              <w:rPr>
                <w:color w:val="000000" w:themeColor="text1"/>
                <w:sz w:val="16"/>
                <w:szCs w:val="16"/>
                <w:lang w:val="sr-Latn-CS"/>
              </w:rPr>
            </w:pPr>
            <w:r>
              <w:rPr>
                <w:color w:val="000000" w:themeColor="text1"/>
                <w:sz w:val="16"/>
                <w:szCs w:val="16"/>
                <w:lang w:val="sr-Latn-CS"/>
              </w:rPr>
              <w:t>Tara</w:t>
            </w:r>
          </w:p>
        </w:tc>
        <w:tc>
          <w:tcPr>
            <w:tcW w:w="14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vAlign w:val="center"/>
            <w:hideMark/>
          </w:tcPr>
          <w:p w:rsidR="004F3444" w:rsidRDefault="004F3444">
            <w:pPr>
              <w:spacing w:after="0"/>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sr-Latn-CS"/>
              </w:rPr>
            </w:pPr>
            <w:r>
              <w:rPr>
                <w:color w:val="000000" w:themeColor="text1"/>
                <w:sz w:val="16"/>
                <w:szCs w:val="16"/>
                <w:lang w:val="sr-Latn-CS"/>
              </w:rPr>
              <w:t xml:space="preserve">        odličan</w:t>
            </w:r>
          </w:p>
        </w:tc>
        <w:tc>
          <w:tcPr>
            <w:tcW w:w="131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vAlign w:val="center"/>
            <w:hideMark/>
          </w:tcPr>
          <w:p w:rsidR="004F3444" w:rsidRDefault="004F3444">
            <w:pPr>
              <w:spacing w:after="0"/>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sr-Latn-CS"/>
              </w:rPr>
            </w:pPr>
            <w:r>
              <w:rPr>
                <w:color w:val="000000" w:themeColor="text1"/>
                <w:sz w:val="16"/>
                <w:szCs w:val="16"/>
                <w:lang w:val="sr-Latn-CS"/>
              </w:rPr>
              <w:t>93</w:t>
            </w:r>
          </w:p>
        </w:tc>
        <w:tc>
          <w:tcPr>
            <w:tcW w:w="1313" w:type="dxa"/>
            <w:tcBorders>
              <w:top w:val="single" w:sz="6" w:space="0" w:color="FFFFFF" w:themeColor="background1"/>
              <w:left w:val="single" w:sz="6" w:space="0" w:color="FFFFFF" w:themeColor="background1"/>
              <w:bottom w:val="single" w:sz="6" w:space="0" w:color="FFFFFF" w:themeColor="background1"/>
              <w:right w:val="single" w:sz="8" w:space="0" w:color="FFFFFF" w:themeColor="background1"/>
            </w:tcBorders>
            <w:vAlign w:val="center"/>
            <w:hideMark/>
          </w:tcPr>
          <w:p w:rsidR="004F3444" w:rsidRDefault="004F3444">
            <w:pPr>
              <w:spacing w:after="0"/>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sr-Latn-CS"/>
              </w:rPr>
            </w:pPr>
            <w:r>
              <w:rPr>
                <w:color w:val="002060"/>
                <w:sz w:val="24"/>
                <w:szCs w:val="16"/>
                <w:lang w:val="sr-Latn-CS"/>
              </w:rPr>
              <w:sym w:font="Wingdings 2" w:char="F098"/>
            </w:r>
          </w:p>
        </w:tc>
      </w:tr>
      <w:tr w:rsidR="004F3444" w:rsidTr="00D5634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40" w:type="dxa"/>
            <w:vAlign w:val="center"/>
            <w:hideMark/>
          </w:tcPr>
          <w:p w:rsidR="004F3444" w:rsidRDefault="004F3444">
            <w:pPr>
              <w:spacing w:after="0"/>
              <w:jc w:val="center"/>
              <w:rPr>
                <w:color w:val="000000" w:themeColor="text1"/>
                <w:sz w:val="16"/>
                <w:szCs w:val="16"/>
                <w:lang w:val="sr-Latn-CS"/>
              </w:rPr>
            </w:pPr>
            <w:r>
              <w:rPr>
                <w:color w:val="000000" w:themeColor="text1"/>
                <w:sz w:val="16"/>
                <w:szCs w:val="16"/>
                <w:lang w:val="sr-Latn-CS"/>
              </w:rPr>
              <w:t>Piva</w:t>
            </w:r>
          </w:p>
        </w:tc>
        <w:tc>
          <w:tcPr>
            <w:tcW w:w="1476" w:type="dxa"/>
            <w:vAlign w:val="center"/>
            <w:hideMark/>
          </w:tcPr>
          <w:p w:rsidR="004F3444" w:rsidRDefault="004F3444">
            <w:pPr>
              <w:spacing w:after="0"/>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sr-Latn-CS"/>
              </w:rPr>
            </w:pPr>
            <w:r>
              <w:rPr>
                <w:color w:val="000000" w:themeColor="text1"/>
                <w:sz w:val="16"/>
                <w:szCs w:val="16"/>
                <w:lang w:val="sr-Latn-CS"/>
              </w:rPr>
              <w:t>odličan</w:t>
            </w:r>
          </w:p>
        </w:tc>
        <w:tc>
          <w:tcPr>
            <w:tcW w:w="1313" w:type="dxa"/>
            <w:vAlign w:val="center"/>
            <w:hideMark/>
          </w:tcPr>
          <w:p w:rsidR="004F3444" w:rsidRDefault="004F3444">
            <w:pPr>
              <w:spacing w:after="0"/>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sr-Latn-CS"/>
              </w:rPr>
            </w:pPr>
            <w:r>
              <w:rPr>
                <w:color w:val="000000" w:themeColor="text1"/>
                <w:sz w:val="16"/>
                <w:szCs w:val="16"/>
                <w:lang w:val="sr-Latn-CS"/>
              </w:rPr>
              <w:t>91</w:t>
            </w:r>
          </w:p>
        </w:tc>
        <w:tc>
          <w:tcPr>
            <w:tcW w:w="1313" w:type="dxa"/>
            <w:vAlign w:val="center"/>
            <w:hideMark/>
          </w:tcPr>
          <w:p w:rsidR="004F3444" w:rsidRDefault="004F3444">
            <w:pPr>
              <w:spacing w:after="0"/>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sr-Latn-CS"/>
              </w:rPr>
            </w:pPr>
            <w:r>
              <w:rPr>
                <w:color w:val="002060"/>
                <w:sz w:val="24"/>
                <w:szCs w:val="16"/>
                <w:lang w:val="sr-Latn-CS"/>
              </w:rPr>
              <w:sym w:font="Wingdings 2" w:char="F098"/>
            </w:r>
          </w:p>
        </w:tc>
      </w:tr>
      <w:tr w:rsidR="004F3444" w:rsidTr="00D56340">
        <w:trPr>
          <w:trHeight w:val="20"/>
          <w:jc w:val="center"/>
        </w:trPr>
        <w:tc>
          <w:tcPr>
            <w:cnfStyle w:val="001000000000" w:firstRow="0" w:lastRow="0" w:firstColumn="1" w:lastColumn="0" w:oddVBand="0" w:evenVBand="0" w:oddHBand="0" w:evenHBand="0" w:firstRowFirstColumn="0" w:firstRowLastColumn="0" w:lastRowFirstColumn="0" w:lastRowLastColumn="0"/>
            <w:tcW w:w="1540" w:type="dxa"/>
            <w:tcBorders>
              <w:top w:val="single" w:sz="6" w:space="0" w:color="FFFFFF" w:themeColor="background1"/>
            </w:tcBorders>
            <w:vAlign w:val="center"/>
            <w:hideMark/>
          </w:tcPr>
          <w:p w:rsidR="004F3444" w:rsidRDefault="004F3444">
            <w:pPr>
              <w:spacing w:after="0"/>
              <w:jc w:val="center"/>
              <w:rPr>
                <w:color w:val="000000" w:themeColor="text1"/>
                <w:sz w:val="16"/>
                <w:szCs w:val="16"/>
                <w:lang w:val="sr-Latn-CS"/>
              </w:rPr>
            </w:pPr>
            <w:r>
              <w:rPr>
                <w:color w:val="000000" w:themeColor="text1"/>
                <w:sz w:val="16"/>
                <w:szCs w:val="16"/>
                <w:lang w:val="sr-Latn-CS"/>
              </w:rPr>
              <w:t>Ćehotina</w:t>
            </w:r>
          </w:p>
        </w:tc>
        <w:tc>
          <w:tcPr>
            <w:tcW w:w="14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vAlign w:val="center"/>
            <w:hideMark/>
          </w:tcPr>
          <w:p w:rsidR="004F3444" w:rsidRDefault="004F3444">
            <w:pPr>
              <w:spacing w:after="0"/>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sr-Latn-CS"/>
              </w:rPr>
            </w:pPr>
            <w:r>
              <w:rPr>
                <w:color w:val="000000" w:themeColor="text1"/>
                <w:sz w:val="16"/>
                <w:szCs w:val="16"/>
                <w:lang w:val="sr-Latn-CS"/>
              </w:rPr>
              <w:t>loš</w:t>
            </w:r>
          </w:p>
        </w:tc>
        <w:tc>
          <w:tcPr>
            <w:tcW w:w="131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vAlign w:val="center"/>
            <w:hideMark/>
          </w:tcPr>
          <w:p w:rsidR="004F3444" w:rsidRDefault="004F3444">
            <w:pPr>
              <w:spacing w:after="0"/>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sr-Latn-CS"/>
              </w:rPr>
            </w:pPr>
            <w:r>
              <w:rPr>
                <w:color w:val="000000" w:themeColor="text1"/>
                <w:sz w:val="16"/>
                <w:szCs w:val="16"/>
                <w:lang w:val="sr-Latn-CS"/>
              </w:rPr>
              <w:t>69</w:t>
            </w:r>
          </w:p>
        </w:tc>
        <w:tc>
          <w:tcPr>
            <w:tcW w:w="1313" w:type="dxa"/>
            <w:tcBorders>
              <w:top w:val="single" w:sz="6" w:space="0" w:color="FFFFFF" w:themeColor="background1"/>
              <w:left w:val="single" w:sz="6" w:space="0" w:color="FFFFFF" w:themeColor="background1"/>
              <w:bottom w:val="single" w:sz="6" w:space="0" w:color="FFFFFF" w:themeColor="background1"/>
              <w:right w:val="single" w:sz="8" w:space="0" w:color="FFFFFF" w:themeColor="background1"/>
            </w:tcBorders>
            <w:vAlign w:val="center"/>
            <w:hideMark/>
          </w:tcPr>
          <w:p w:rsidR="004F3444" w:rsidRDefault="004F3444">
            <w:pPr>
              <w:spacing w:after="0"/>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sr-Latn-CS"/>
              </w:rPr>
            </w:pPr>
            <w:r>
              <w:rPr>
                <w:color w:val="FFFF00"/>
                <w:sz w:val="24"/>
                <w:szCs w:val="16"/>
                <w:lang w:val="sr-Latn-CS"/>
              </w:rPr>
              <w:sym w:font="Wingdings 2" w:char="F098"/>
            </w:r>
          </w:p>
        </w:tc>
      </w:tr>
      <w:tr w:rsidR="004F3444" w:rsidTr="00D5634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40" w:type="dxa"/>
            <w:vAlign w:val="center"/>
            <w:hideMark/>
          </w:tcPr>
          <w:p w:rsidR="004F3444" w:rsidRDefault="004F3444">
            <w:pPr>
              <w:spacing w:after="0"/>
              <w:jc w:val="center"/>
              <w:rPr>
                <w:color w:val="000000" w:themeColor="text1"/>
                <w:sz w:val="16"/>
                <w:szCs w:val="16"/>
                <w:lang w:val="sr-Latn-CS"/>
              </w:rPr>
            </w:pPr>
            <w:r>
              <w:rPr>
                <w:color w:val="000000" w:themeColor="text1"/>
                <w:sz w:val="16"/>
                <w:szCs w:val="16"/>
                <w:lang w:val="sr-Latn-CS"/>
              </w:rPr>
              <w:t>Vezišnica</w:t>
            </w:r>
          </w:p>
        </w:tc>
        <w:tc>
          <w:tcPr>
            <w:tcW w:w="1476" w:type="dxa"/>
            <w:vAlign w:val="center"/>
            <w:hideMark/>
          </w:tcPr>
          <w:p w:rsidR="004F3444" w:rsidRDefault="004F3444">
            <w:pPr>
              <w:spacing w:after="0"/>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sr-Latn-CS"/>
              </w:rPr>
            </w:pPr>
            <w:r>
              <w:rPr>
                <w:color w:val="000000" w:themeColor="text1"/>
                <w:sz w:val="16"/>
                <w:szCs w:val="16"/>
                <w:lang w:val="sr-Latn-CS"/>
              </w:rPr>
              <w:t>loš</w:t>
            </w:r>
          </w:p>
        </w:tc>
        <w:tc>
          <w:tcPr>
            <w:tcW w:w="1313" w:type="dxa"/>
            <w:vAlign w:val="center"/>
            <w:hideMark/>
          </w:tcPr>
          <w:p w:rsidR="004F3444" w:rsidRDefault="004F3444">
            <w:pPr>
              <w:spacing w:after="0"/>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sr-Latn-CS"/>
              </w:rPr>
            </w:pPr>
            <w:r>
              <w:rPr>
                <w:color w:val="000000" w:themeColor="text1"/>
                <w:sz w:val="16"/>
                <w:szCs w:val="16"/>
                <w:lang w:val="sr-Latn-CS"/>
              </w:rPr>
              <w:t>65</w:t>
            </w:r>
          </w:p>
        </w:tc>
        <w:tc>
          <w:tcPr>
            <w:tcW w:w="1313" w:type="dxa"/>
            <w:vAlign w:val="center"/>
            <w:hideMark/>
          </w:tcPr>
          <w:p w:rsidR="004F3444" w:rsidRDefault="004F3444">
            <w:pPr>
              <w:spacing w:after="0"/>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sr-Latn-CS"/>
              </w:rPr>
            </w:pPr>
            <w:r>
              <w:rPr>
                <w:color w:val="FFFF00"/>
                <w:sz w:val="24"/>
                <w:szCs w:val="16"/>
                <w:lang w:val="sr-Latn-CS"/>
              </w:rPr>
              <w:sym w:font="Wingdings 2" w:char="F098"/>
            </w:r>
          </w:p>
        </w:tc>
      </w:tr>
    </w:tbl>
    <w:p w:rsidR="004F3444" w:rsidRPr="003C12B8" w:rsidRDefault="004F3444" w:rsidP="006529B4">
      <w:pPr>
        <w:pStyle w:val="Tabele"/>
        <w:ind w:left="0" w:firstLine="0"/>
        <w:rPr>
          <w:rFonts w:ascii="Constantia" w:hAnsi="Constantia"/>
          <w:sz w:val="22"/>
          <w:szCs w:val="22"/>
        </w:rPr>
      </w:pPr>
      <w:r w:rsidRPr="003C12B8">
        <w:rPr>
          <w:rFonts w:ascii="Constantia" w:hAnsi="Constantia"/>
          <w:sz w:val="22"/>
          <w:szCs w:val="22"/>
        </w:rPr>
        <w:t xml:space="preserve">WQI po slivovima za 2013. godinu </w:t>
      </w:r>
    </w:p>
    <w:p w:rsidR="004F3444" w:rsidRPr="00A2332A" w:rsidRDefault="004F3444" w:rsidP="00DB7C9F">
      <w:pPr>
        <w:pStyle w:val="Heading2"/>
        <w:ind w:left="720"/>
      </w:pPr>
      <w:bookmarkStart w:id="47" w:name="_Toc393897882"/>
      <w:r w:rsidRPr="00A2332A">
        <w:t xml:space="preserve">Ocjena </w:t>
      </w:r>
      <w:r w:rsidRPr="00097E04">
        <w:t>kvaliteta</w:t>
      </w:r>
      <w:r w:rsidRPr="00A2332A">
        <w:t xml:space="preserve"> vode za piće</w:t>
      </w:r>
      <w:bookmarkEnd w:id="47"/>
    </w:p>
    <w:p w:rsidR="004F3444" w:rsidRPr="00A2332A" w:rsidRDefault="004F3444" w:rsidP="00542806">
      <w:pPr>
        <w:rPr>
          <w:rFonts w:ascii="Constantia" w:hAnsi="Constantia"/>
        </w:rPr>
      </w:pPr>
      <w:r w:rsidRPr="00A2332A">
        <w:rPr>
          <w:rFonts w:ascii="Constantia" w:hAnsi="Constantia"/>
        </w:rPr>
        <w:t>Analizu kvaliteta voda za piće vrši Institut za javno zdravlje.</w:t>
      </w:r>
    </w:p>
    <w:p w:rsidR="004F3444" w:rsidRPr="00A2332A" w:rsidRDefault="004F3444" w:rsidP="00542806">
      <w:pPr>
        <w:rPr>
          <w:rFonts w:ascii="Constantia" w:hAnsi="Constantia"/>
        </w:rPr>
      </w:pPr>
      <w:r w:rsidRPr="00A2332A">
        <w:rPr>
          <w:rFonts w:ascii="Constantia" w:hAnsi="Constantia"/>
        </w:rPr>
        <w:t>Svjetska zdravstvena organizacija (WHO) je kvalitet vode za piće svrstala u dvanaest osnovnih pokazatelja zdravstvenog stanja stanovništva jedne zemlje što potvrđuje njenu značajnu ulogu u zaštiti i unapređenju zdravlja. Voda koja se koristi za piće, pripremanje hrane i održavanje lične i opšte higijene mora zadovoljiti osnovne zdravstvene i hig</w:t>
      </w:r>
      <w:r w:rsidR="009D779C">
        <w:rPr>
          <w:rFonts w:ascii="Constantia" w:hAnsi="Constantia"/>
        </w:rPr>
        <w:t>i</w:t>
      </w:r>
      <w:r w:rsidRPr="00A2332A">
        <w:rPr>
          <w:rFonts w:ascii="Constantia" w:hAnsi="Constantia"/>
        </w:rPr>
        <w:t>jenske zahtjeve: mo</w:t>
      </w:r>
      <w:r w:rsidR="00034F4E">
        <w:rPr>
          <w:rFonts w:ascii="Constantia" w:hAnsi="Constantia"/>
        </w:rPr>
        <w:t>ra je biti u dovoljnoj količini,</w:t>
      </w:r>
      <w:r w:rsidRPr="00A2332A">
        <w:rPr>
          <w:rFonts w:ascii="Constantia" w:hAnsi="Constantia"/>
        </w:rPr>
        <w:t xml:space="preserve"> ne smije </w:t>
      </w:r>
      <w:r w:rsidR="00034F4E">
        <w:rPr>
          <w:rFonts w:ascii="Constantia" w:hAnsi="Constantia"/>
        </w:rPr>
        <w:t>da utiče nepovoljno na zdravlje</w:t>
      </w:r>
      <w:r w:rsidRPr="00A2332A">
        <w:rPr>
          <w:rFonts w:ascii="Constantia" w:hAnsi="Constantia"/>
        </w:rPr>
        <w:t xml:space="preserve"> tj. da sadrži toksične i karcinogene supstance, kao ni patogene mikroorganizme i parazite.</w:t>
      </w:r>
    </w:p>
    <w:p w:rsidR="004F3444" w:rsidRPr="00A2332A" w:rsidRDefault="004F3444" w:rsidP="00542806">
      <w:pPr>
        <w:rPr>
          <w:rFonts w:ascii="Constantia" w:hAnsi="Constantia"/>
        </w:rPr>
      </w:pPr>
      <w:r w:rsidRPr="00A2332A">
        <w:rPr>
          <w:rFonts w:ascii="Constantia" w:hAnsi="Constantia"/>
        </w:rPr>
        <w:t>Voda ima veliki fiziološki, higijen</w:t>
      </w:r>
      <w:r w:rsidR="005907E7">
        <w:rPr>
          <w:rFonts w:ascii="Constantia" w:hAnsi="Constantia"/>
        </w:rPr>
        <w:t>ski, epidemiološki i tehnološko</w:t>
      </w:r>
      <w:r w:rsidRPr="00A2332A">
        <w:rPr>
          <w:rFonts w:ascii="Constantia" w:hAnsi="Constantia"/>
        </w:rPr>
        <w:t>–ekonomski</w:t>
      </w:r>
      <w:r w:rsidR="005907E7">
        <w:rPr>
          <w:rFonts w:ascii="Constantia" w:hAnsi="Constantia"/>
        </w:rPr>
        <w:t xml:space="preserve"> značaj. Higijensko-</w:t>
      </w:r>
      <w:r w:rsidRPr="00A2332A">
        <w:rPr>
          <w:rFonts w:ascii="Constantia" w:hAnsi="Constantia"/>
        </w:rPr>
        <w:t>epidemiološki značaj vode zavisi od njenih fizičkih, hemijskih i bioloških osobina. Ove osobine uslovljene su kruženjem vode u prirodi, sposobnošću vode i zemljišta da se samoprečišćavaju, kao i od zagađivanja voda i zemljišta tečnim i čvrstim otpadom iz domaćinstava, industrije, sa javnih i obradivih površina.</w:t>
      </w:r>
    </w:p>
    <w:p w:rsidR="004F3444" w:rsidRPr="00A2332A" w:rsidRDefault="004F3444" w:rsidP="00542806">
      <w:pPr>
        <w:rPr>
          <w:rFonts w:ascii="Constantia" w:hAnsi="Constantia"/>
        </w:rPr>
      </w:pPr>
      <w:r w:rsidRPr="00A2332A">
        <w:rPr>
          <w:rFonts w:ascii="Constantia" w:hAnsi="Constantia"/>
        </w:rPr>
        <w:t>Nedovoljna snadbjevenost vodom i higijenski neispravna voda mogu dovesti do širenja brojnih zaraznih i nezaraznih oboljenja.</w:t>
      </w:r>
    </w:p>
    <w:p w:rsidR="004F3444" w:rsidRPr="00A2332A" w:rsidRDefault="004F3444" w:rsidP="00542806">
      <w:pPr>
        <w:rPr>
          <w:rFonts w:ascii="Constantia" w:hAnsi="Constantia"/>
        </w:rPr>
      </w:pPr>
      <w:r w:rsidRPr="00A2332A">
        <w:rPr>
          <w:rFonts w:ascii="Constantia" w:hAnsi="Constantia"/>
        </w:rPr>
        <w:t>Pravilnikom o higij</w:t>
      </w:r>
      <w:r w:rsidR="00DD28F0" w:rsidRPr="00A2332A">
        <w:rPr>
          <w:rFonts w:ascii="Constantia" w:hAnsi="Constantia"/>
        </w:rPr>
        <w:t>enskoj ispravnosti vode za piće</w:t>
      </w:r>
      <w:r w:rsidRPr="00A2332A">
        <w:rPr>
          <w:rFonts w:ascii="Constantia" w:hAnsi="Constantia"/>
        </w:rPr>
        <w:t xml:space="preserve"> (</w:t>
      </w:r>
      <w:r w:rsidR="00DD28F0" w:rsidRPr="00A2332A">
        <w:rPr>
          <w:rFonts w:ascii="Constantia" w:hAnsi="Constantia"/>
        </w:rPr>
        <w:t>“</w:t>
      </w:r>
      <w:r w:rsidRPr="00A2332A">
        <w:rPr>
          <w:rFonts w:ascii="Constantia" w:hAnsi="Constantia"/>
        </w:rPr>
        <w:t>Sl.</w:t>
      </w:r>
      <w:r w:rsidR="00DD28F0" w:rsidRPr="00A2332A">
        <w:rPr>
          <w:rFonts w:ascii="Constantia" w:hAnsi="Constantia"/>
        </w:rPr>
        <w:t xml:space="preserve"> </w:t>
      </w:r>
      <w:r w:rsidRPr="00A2332A">
        <w:rPr>
          <w:rFonts w:ascii="Constantia" w:hAnsi="Constantia"/>
        </w:rPr>
        <w:t>list SRJ</w:t>
      </w:r>
      <w:r w:rsidR="00A2332A">
        <w:rPr>
          <w:rFonts w:ascii="Constantia" w:hAnsi="Constantia"/>
        </w:rPr>
        <w:t>”,</w:t>
      </w:r>
      <w:r w:rsidRPr="00A2332A">
        <w:rPr>
          <w:rFonts w:ascii="Constantia" w:hAnsi="Constantia"/>
        </w:rPr>
        <w:t xml:space="preserve"> br.</w:t>
      </w:r>
      <w:r w:rsidR="00DD28F0" w:rsidRPr="00A2332A">
        <w:rPr>
          <w:rFonts w:ascii="Constantia" w:hAnsi="Constantia"/>
        </w:rPr>
        <w:t xml:space="preserve"> </w:t>
      </w:r>
      <w:r w:rsidRPr="00A2332A">
        <w:rPr>
          <w:rFonts w:ascii="Constantia" w:hAnsi="Constantia"/>
        </w:rPr>
        <w:t>42/98)</w:t>
      </w:r>
      <w:r w:rsidR="00DD28F0" w:rsidRPr="00A2332A">
        <w:rPr>
          <w:rFonts w:ascii="Constantia" w:hAnsi="Constantia"/>
        </w:rPr>
        <w:t>,</w:t>
      </w:r>
      <w:r w:rsidRPr="00A2332A">
        <w:rPr>
          <w:rFonts w:ascii="Constantia" w:hAnsi="Constantia"/>
        </w:rPr>
        <w:t xml:space="preserve"> predviđena su sledeća ispitivanja: osnovni, periodični pregled, pregled vode iz novih zahvata i pregled na osnovu higijensko-epidemioloških indikacija. Pregledi obuhvataju mikrobiološke, biološke, fizičke, fizičko-hemijske i hemijske pokazatelje ispravnosti.</w:t>
      </w:r>
    </w:p>
    <w:p w:rsidR="004F3444" w:rsidRPr="00A2332A" w:rsidRDefault="004F3444" w:rsidP="00542806">
      <w:pPr>
        <w:rPr>
          <w:rFonts w:ascii="Constantia" w:hAnsi="Constantia"/>
        </w:rPr>
      </w:pPr>
      <w:r w:rsidRPr="00A2332A">
        <w:rPr>
          <w:rFonts w:ascii="Constantia" w:hAnsi="Constantia"/>
        </w:rPr>
        <w:t>Na osnovu rezultata ispitivanja higijenske ispra</w:t>
      </w:r>
      <w:r w:rsidR="009D779C">
        <w:rPr>
          <w:rFonts w:ascii="Constantia" w:hAnsi="Constantia"/>
        </w:rPr>
        <w:t>vnosti vode za piće i sanitarno-</w:t>
      </w:r>
      <w:r w:rsidRPr="00A2332A">
        <w:rPr>
          <w:rFonts w:ascii="Constantia" w:hAnsi="Constantia"/>
        </w:rPr>
        <w:t>higijenskog stanja vodovodnih objekata može se zaključiti</w:t>
      </w:r>
      <w:r w:rsidR="009D779C">
        <w:rPr>
          <w:rFonts w:ascii="Constantia" w:hAnsi="Constantia"/>
        </w:rPr>
        <w:t xml:space="preserve"> sledeće</w:t>
      </w:r>
      <w:r w:rsidRPr="00A2332A">
        <w:rPr>
          <w:rFonts w:ascii="Constantia" w:hAnsi="Constantia"/>
        </w:rPr>
        <w:t>:</w:t>
      </w:r>
    </w:p>
    <w:p w:rsidR="004F3444" w:rsidRPr="00A2332A" w:rsidRDefault="004F3444" w:rsidP="00542806">
      <w:pPr>
        <w:rPr>
          <w:rFonts w:ascii="Constantia" w:hAnsi="Constantia"/>
        </w:rPr>
      </w:pPr>
      <w:r w:rsidRPr="00A2332A">
        <w:rPr>
          <w:rFonts w:ascii="Constantia" w:hAnsi="Constantia"/>
        </w:rPr>
        <w:t>U 2</w:t>
      </w:r>
      <w:r w:rsidR="00616B68" w:rsidRPr="00A2332A">
        <w:rPr>
          <w:rFonts w:ascii="Constantia" w:hAnsi="Constantia"/>
        </w:rPr>
        <w:t>013</w:t>
      </w:r>
      <w:r w:rsidRPr="00A2332A">
        <w:rPr>
          <w:rFonts w:ascii="Constantia" w:hAnsi="Constantia"/>
        </w:rPr>
        <w:t>.</w:t>
      </w:r>
      <w:r w:rsidR="00616B68" w:rsidRPr="00A2332A">
        <w:rPr>
          <w:rFonts w:ascii="Constantia" w:hAnsi="Constantia"/>
        </w:rPr>
        <w:t xml:space="preserve"> </w:t>
      </w:r>
      <w:r w:rsidRPr="00A2332A">
        <w:rPr>
          <w:rFonts w:ascii="Constantia" w:hAnsi="Constantia"/>
        </w:rPr>
        <w:t>godini na teritoriji Crne Gore ukupno je analizirano 1</w:t>
      </w:r>
      <w:r w:rsidR="002E7F1A" w:rsidRPr="00A2332A">
        <w:rPr>
          <w:rFonts w:ascii="Constantia" w:hAnsi="Constantia"/>
        </w:rPr>
        <w:t>3</w:t>
      </w:r>
      <w:r w:rsidRPr="00A2332A">
        <w:rPr>
          <w:rFonts w:ascii="Constantia" w:hAnsi="Constantia"/>
        </w:rPr>
        <w:t xml:space="preserve"> </w:t>
      </w:r>
      <w:r w:rsidR="002E7F1A" w:rsidRPr="00A2332A">
        <w:rPr>
          <w:rFonts w:ascii="Constantia" w:hAnsi="Constantia"/>
        </w:rPr>
        <w:t>697</w:t>
      </w:r>
      <w:r w:rsidRPr="00A2332A">
        <w:rPr>
          <w:rFonts w:ascii="Constantia" w:hAnsi="Constantia"/>
        </w:rPr>
        <w:t xml:space="preserve"> uzoraka voda za piće sa gradskih vodovoda i drugih javnih objekata vodosnadbije</w:t>
      </w:r>
      <w:r w:rsidR="002E7F1A" w:rsidRPr="00A2332A">
        <w:rPr>
          <w:rFonts w:ascii="Constantia" w:hAnsi="Constantia"/>
        </w:rPr>
        <w:t>vanja. Od navedenog broja kod 6</w:t>
      </w:r>
      <w:r w:rsidRPr="00A2332A">
        <w:rPr>
          <w:rFonts w:ascii="Constantia" w:hAnsi="Constantia"/>
        </w:rPr>
        <w:t>8</w:t>
      </w:r>
      <w:r w:rsidR="002E7F1A" w:rsidRPr="00A2332A">
        <w:rPr>
          <w:rFonts w:ascii="Constantia" w:hAnsi="Constantia"/>
        </w:rPr>
        <w:t>07</w:t>
      </w:r>
      <w:r w:rsidRPr="00A2332A">
        <w:rPr>
          <w:rFonts w:ascii="Constantia" w:hAnsi="Constantia"/>
        </w:rPr>
        <w:t xml:space="preserve"> uzoraka vršena je</w:t>
      </w:r>
      <w:r w:rsidR="002E7F1A" w:rsidRPr="00A2332A">
        <w:rPr>
          <w:rFonts w:ascii="Constantia" w:hAnsi="Constantia"/>
        </w:rPr>
        <w:t xml:space="preserve"> mikrobiološka analiza, a kod 68</w:t>
      </w:r>
      <w:r w:rsidRPr="00A2332A">
        <w:rPr>
          <w:rFonts w:ascii="Constantia" w:hAnsi="Constantia"/>
        </w:rPr>
        <w:t>9</w:t>
      </w:r>
      <w:r w:rsidR="002E7F1A" w:rsidRPr="00A2332A">
        <w:rPr>
          <w:rFonts w:ascii="Constantia" w:hAnsi="Constantia"/>
        </w:rPr>
        <w:t>0</w:t>
      </w:r>
      <w:r w:rsidRPr="00A2332A">
        <w:rPr>
          <w:rFonts w:ascii="Constantia" w:hAnsi="Constantia"/>
        </w:rPr>
        <w:t xml:space="preserve"> vršeno je fizičko-hemijsko ispitivanje.</w:t>
      </w:r>
    </w:p>
    <w:p w:rsidR="004F3444" w:rsidRPr="00542806" w:rsidRDefault="004F3444" w:rsidP="00542806">
      <w:pPr>
        <w:rPr>
          <w:rFonts w:ascii="Constantia" w:hAnsi="Constantia"/>
        </w:rPr>
      </w:pPr>
      <w:r w:rsidRPr="00542806">
        <w:rPr>
          <w:rFonts w:ascii="Constantia" w:hAnsi="Constantia"/>
        </w:rPr>
        <w:t>Prema rezultatim</w:t>
      </w:r>
      <w:r w:rsidR="00D3057F" w:rsidRPr="00542806">
        <w:rPr>
          <w:rFonts w:ascii="Constantia" w:hAnsi="Constantia"/>
        </w:rPr>
        <w:t>a mikrobioloških ispitivanja 9,9</w:t>
      </w:r>
      <w:r w:rsidRPr="00542806">
        <w:rPr>
          <w:rFonts w:ascii="Constantia" w:hAnsi="Constantia"/>
        </w:rPr>
        <w:t>8% ispitanih uzoraka hlorisanih voda ne zadovoljava propisane norme higijenske ispravnosti, najčešće zbog povećanog ukupnog broja bakterija i identifikovanja fekalnih indikatora.</w:t>
      </w:r>
    </w:p>
    <w:p w:rsidR="004F3444" w:rsidRPr="00542806" w:rsidRDefault="004F3444" w:rsidP="00542806">
      <w:pPr>
        <w:rPr>
          <w:rFonts w:ascii="Constantia" w:hAnsi="Constantia"/>
        </w:rPr>
      </w:pPr>
      <w:r w:rsidRPr="00542806">
        <w:rPr>
          <w:rFonts w:ascii="Constantia" w:hAnsi="Constantia"/>
        </w:rPr>
        <w:lastRenderedPageBreak/>
        <w:t>Na osnovu rezultata</w:t>
      </w:r>
      <w:r w:rsidR="00A66475" w:rsidRPr="00542806">
        <w:rPr>
          <w:rFonts w:ascii="Constantia" w:hAnsi="Constantia"/>
        </w:rPr>
        <w:t xml:space="preserve"> fizičko-hemijskih ispitivanja 11,46</w:t>
      </w:r>
      <w:r w:rsidRPr="00542806">
        <w:rPr>
          <w:rFonts w:ascii="Constantia" w:hAnsi="Constantia"/>
        </w:rPr>
        <w:t>% ispitanih uzoraka hlorisanih voda nije odgovaralo propisanim kriterijumima.</w:t>
      </w:r>
    </w:p>
    <w:p w:rsidR="004F3444" w:rsidRPr="00542806" w:rsidRDefault="004F3444" w:rsidP="00542806">
      <w:pPr>
        <w:rPr>
          <w:rFonts w:ascii="Constantia" w:hAnsi="Constantia"/>
        </w:rPr>
      </w:pPr>
      <w:r w:rsidRPr="00542806">
        <w:rPr>
          <w:rFonts w:ascii="Constantia" w:hAnsi="Constantia"/>
        </w:rPr>
        <w:t>Pregledom sanitarno-higijenskog stanja konstatovano je da nisu uspostavljene sve zakonom propisane zone sanitarne zaštite, jer većina vodozahvata posjeduje samo neposrednu zonu zaštite.</w:t>
      </w:r>
    </w:p>
    <w:p w:rsidR="004F3444" w:rsidRPr="00542806" w:rsidRDefault="004F3444" w:rsidP="00542806">
      <w:pPr>
        <w:rPr>
          <w:rFonts w:ascii="Constantia" w:hAnsi="Constantia"/>
        </w:rPr>
      </w:pPr>
      <w:r w:rsidRPr="00542806">
        <w:rPr>
          <w:rFonts w:ascii="Constantia" w:hAnsi="Constantia"/>
        </w:rPr>
        <w:t>Rezervoari koji postoje na nekoliko gradskih vodovoda nisu na adekvatan način sanitarno zaštićeni.</w:t>
      </w:r>
    </w:p>
    <w:p w:rsidR="004F3444" w:rsidRPr="00542806" w:rsidRDefault="004F3444" w:rsidP="00542806">
      <w:pPr>
        <w:rPr>
          <w:rFonts w:ascii="Constantia" w:hAnsi="Constantia"/>
        </w:rPr>
      </w:pPr>
      <w:r w:rsidRPr="00542806">
        <w:rPr>
          <w:rFonts w:ascii="Constantia" w:hAnsi="Constantia"/>
        </w:rPr>
        <w:t>Razvodna mreža većine gradskih vodovoda je dosta stara i iz tog razloga su česti kvarovi, kao i značajni gubici na mreži što, pored ostalog, predstavlja i epidemiološki rizik.</w:t>
      </w:r>
    </w:p>
    <w:p w:rsidR="004F3444" w:rsidRPr="00542806" w:rsidRDefault="004F3444" w:rsidP="00542806">
      <w:pPr>
        <w:rPr>
          <w:rFonts w:ascii="Constantia" w:hAnsi="Constantia"/>
        </w:rPr>
      </w:pPr>
      <w:r w:rsidRPr="00542806">
        <w:rPr>
          <w:rFonts w:ascii="Constantia" w:hAnsi="Constantia"/>
        </w:rPr>
        <w:t>Dezinfekcija vode se ne sprovodi kontinuirano na svim gradskim vodovodima (posebno oni koji imaju manji broj ekvivalent stanovnika). Sa izuzetkom nekoliko velikih gradskih vodovoda, ne postoji automatsko doziranje i registracija nivoa rezidualnog hlora.</w:t>
      </w:r>
    </w:p>
    <w:p w:rsidR="004F3444" w:rsidRDefault="004F3444" w:rsidP="00542806">
      <w:pPr>
        <w:rPr>
          <w:rFonts w:ascii="Constantia" w:hAnsi="Constantia"/>
        </w:rPr>
      </w:pPr>
      <w:r w:rsidRPr="00542806">
        <w:rPr>
          <w:rFonts w:ascii="Constantia" w:hAnsi="Constantia"/>
        </w:rPr>
        <w:t>U skladu s</w:t>
      </w:r>
      <w:r w:rsidR="00C6444E">
        <w:rPr>
          <w:rFonts w:ascii="Constantia" w:hAnsi="Constantia"/>
        </w:rPr>
        <w:t>a</w:t>
      </w:r>
      <w:r w:rsidRPr="00542806">
        <w:rPr>
          <w:rFonts w:ascii="Constantia" w:hAnsi="Constantia"/>
        </w:rPr>
        <w:t xml:space="preserve"> važećim propisima higijenske ispravnosti</w:t>
      </w:r>
      <w:r w:rsidR="00F526D9" w:rsidRPr="00542806">
        <w:rPr>
          <w:rFonts w:ascii="Constantia" w:hAnsi="Constantia"/>
        </w:rPr>
        <w:t>,</w:t>
      </w:r>
      <w:r w:rsidRPr="00542806">
        <w:rPr>
          <w:rFonts w:ascii="Constantia" w:hAnsi="Constantia"/>
        </w:rPr>
        <w:t xml:space="preserve"> voda za piće se kontroliše kroz osnovna i periodična ispitivanja, a pr</w:t>
      </w:r>
      <w:r w:rsidR="00C6444E">
        <w:rPr>
          <w:rFonts w:ascii="Constantia" w:hAnsi="Constantia"/>
        </w:rPr>
        <w:t>ema broju ekvivalent stanovnika. K</w:t>
      </w:r>
      <w:r w:rsidRPr="00542806">
        <w:rPr>
          <w:rFonts w:ascii="Constantia" w:hAnsi="Constantia"/>
        </w:rPr>
        <w:t>ompletna ispitivanja bezbijednosti vode se ne rade n</w:t>
      </w:r>
      <w:r w:rsidR="00C6444E">
        <w:rPr>
          <w:rFonts w:ascii="Constantia" w:hAnsi="Constantia"/>
        </w:rPr>
        <w:t>a većini vodovoda, i</w:t>
      </w:r>
      <w:r w:rsidRPr="00542806">
        <w:rPr>
          <w:rFonts w:ascii="Constantia" w:hAnsi="Constantia"/>
        </w:rPr>
        <w:t>ako ih na to obavezuje važeći Pravilnik o higijenskoj ispravnosti vode za piće.</w:t>
      </w:r>
    </w:p>
    <w:p w:rsidR="00542806" w:rsidRPr="00542806" w:rsidRDefault="00542806" w:rsidP="00542806">
      <w:pPr>
        <w:rPr>
          <w:rFonts w:ascii="Constantia" w:hAnsi="Constantia"/>
        </w:rPr>
      </w:pPr>
      <w:r w:rsidRPr="00542806">
        <w:rPr>
          <w:rFonts w:ascii="Constantia" w:hAnsi="Constantia"/>
          <w:i/>
        </w:rPr>
        <w:t>Grafikon</w:t>
      </w:r>
      <w:r w:rsidR="00A531C3">
        <w:rPr>
          <w:rFonts w:ascii="Constantia" w:hAnsi="Constantia"/>
          <w:i/>
        </w:rPr>
        <w:t>om</w:t>
      </w:r>
      <w:r w:rsidRPr="00542806">
        <w:rPr>
          <w:rFonts w:ascii="Constantia" w:hAnsi="Constantia"/>
          <w:i/>
        </w:rPr>
        <w:t xml:space="preserve"> </w:t>
      </w:r>
      <w:r w:rsidR="00CF25FC">
        <w:rPr>
          <w:rFonts w:ascii="Constantia" w:hAnsi="Constantia"/>
          <w:i/>
        </w:rPr>
        <w:t>47</w:t>
      </w:r>
      <w:r w:rsidRPr="00542806">
        <w:rPr>
          <w:rFonts w:ascii="Constantia" w:hAnsi="Constantia"/>
          <w:i/>
        </w:rPr>
        <w:t>.</w:t>
      </w:r>
      <w:r w:rsidRPr="00542806">
        <w:rPr>
          <w:rFonts w:ascii="Constantia" w:hAnsi="Constantia"/>
        </w:rPr>
        <w:t xml:space="preserve"> prikazani su rezultati fizičko-hemijskih analiza uzoraka hlorisanih voda za piće po opštinama, s procentim</w:t>
      </w:r>
      <w:r w:rsidR="00AC0948">
        <w:rPr>
          <w:rFonts w:ascii="Constantia" w:hAnsi="Constantia"/>
        </w:rPr>
        <w:t>a koliko je uzoraka odgovaralo p</w:t>
      </w:r>
      <w:r w:rsidRPr="00542806">
        <w:rPr>
          <w:rFonts w:ascii="Constantia" w:hAnsi="Constantia"/>
        </w:rPr>
        <w:t xml:space="preserve">ropisima, a koliko ne.  </w:t>
      </w:r>
    </w:p>
    <w:p w:rsidR="00542806" w:rsidRPr="00911A53" w:rsidRDefault="00542806" w:rsidP="00542806">
      <w:pPr>
        <w:rPr>
          <w:lang w:val="sr-Latn-CS"/>
        </w:rPr>
      </w:pPr>
    </w:p>
    <w:p w:rsidR="00542806" w:rsidRPr="00E763E1" w:rsidRDefault="00542806" w:rsidP="00542806">
      <w:pPr>
        <w:jc w:val="center"/>
        <w:rPr>
          <w:highlight w:val="yellow"/>
        </w:rPr>
      </w:pPr>
      <w:r>
        <w:rPr>
          <w:noProof/>
        </w:rPr>
        <w:drawing>
          <wp:inline distT="0" distB="0" distL="0" distR="0" wp14:anchorId="2DFB4101" wp14:editId="1AF98F58">
            <wp:extent cx="4269740" cy="1725295"/>
            <wp:effectExtent l="0" t="0" r="0" b="0"/>
            <wp:docPr id="22" name="Objec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542806" w:rsidRPr="00A531C3" w:rsidRDefault="00542806" w:rsidP="00CF25FC">
      <w:pPr>
        <w:pStyle w:val="Grafikon"/>
        <w:rPr>
          <w:rFonts w:ascii="Constantia" w:hAnsi="Constantia"/>
          <w:sz w:val="22"/>
          <w:szCs w:val="22"/>
        </w:rPr>
      </w:pPr>
      <w:r w:rsidRPr="00A531C3">
        <w:rPr>
          <w:rFonts w:ascii="Constantia" w:hAnsi="Constantia"/>
          <w:sz w:val="22"/>
          <w:szCs w:val="22"/>
        </w:rPr>
        <w:t>Rezultati fizičko-hemijskih ispitivanja uzoraka hlorisane vode za piće</w:t>
      </w:r>
    </w:p>
    <w:p w:rsidR="00542806" w:rsidRDefault="00542806" w:rsidP="00542806"/>
    <w:p w:rsidR="00542806" w:rsidRDefault="00525C6F" w:rsidP="00542806">
      <w:pPr>
        <w:rPr>
          <w:rFonts w:ascii="Constantia" w:hAnsi="Constantia"/>
        </w:rPr>
      </w:pPr>
      <w:r w:rsidRPr="00525C6F">
        <w:rPr>
          <w:rFonts w:ascii="Constantia" w:hAnsi="Constantia"/>
          <w:i/>
        </w:rPr>
        <w:t>Grafikonom</w:t>
      </w:r>
      <w:r w:rsidR="00542806" w:rsidRPr="00525C6F">
        <w:rPr>
          <w:rFonts w:ascii="Constantia" w:hAnsi="Constantia"/>
          <w:i/>
        </w:rPr>
        <w:t xml:space="preserve"> </w:t>
      </w:r>
      <w:r w:rsidRPr="00525C6F">
        <w:rPr>
          <w:rFonts w:ascii="Constantia" w:hAnsi="Constantia"/>
          <w:i/>
        </w:rPr>
        <w:t>48</w:t>
      </w:r>
      <w:r w:rsidR="00542806" w:rsidRPr="00525C6F">
        <w:rPr>
          <w:rFonts w:ascii="Constantia" w:hAnsi="Constantia"/>
          <w:i/>
        </w:rPr>
        <w:t xml:space="preserve">. </w:t>
      </w:r>
      <w:r w:rsidR="00542806" w:rsidRPr="00525C6F">
        <w:rPr>
          <w:rFonts w:ascii="Constantia" w:hAnsi="Constantia"/>
        </w:rPr>
        <w:t>predstavljeni su rezultati mikrobioloških analiza hlorisane vode za piće, odnos mikrobioloških ispravnih uzoraka i neispravnih uzoraka, po opštinama.</w:t>
      </w:r>
    </w:p>
    <w:p w:rsidR="009C7EB5" w:rsidRPr="00525C6F" w:rsidRDefault="009C7EB5" w:rsidP="009C7EB5">
      <w:pPr>
        <w:spacing w:after="0"/>
        <w:rPr>
          <w:rFonts w:ascii="Constantia" w:hAnsi="Constantia"/>
        </w:rPr>
      </w:pPr>
    </w:p>
    <w:p w:rsidR="00542806" w:rsidRPr="00E763E1" w:rsidRDefault="00542806" w:rsidP="00542806">
      <w:pPr>
        <w:pStyle w:val="Grafikon"/>
        <w:numPr>
          <w:ilvl w:val="0"/>
          <w:numId w:val="0"/>
        </w:numPr>
        <w:ind w:left="360"/>
        <w:rPr>
          <w:highlight w:val="yellow"/>
        </w:rPr>
      </w:pPr>
      <w:r>
        <w:rPr>
          <w:noProof/>
          <w:lang w:val="en-US"/>
        </w:rPr>
        <w:drawing>
          <wp:inline distT="0" distB="0" distL="0" distR="0" wp14:anchorId="72FCDD7C" wp14:editId="69C9D8ED">
            <wp:extent cx="4190365" cy="1725295"/>
            <wp:effectExtent l="0" t="0" r="0" b="0"/>
            <wp:docPr id="21" name="Objec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542806" w:rsidRPr="00525C6F" w:rsidRDefault="00542806" w:rsidP="00525C6F">
      <w:pPr>
        <w:pStyle w:val="Grafikon"/>
        <w:rPr>
          <w:rFonts w:ascii="Constantia" w:hAnsi="Constantia"/>
          <w:sz w:val="22"/>
          <w:szCs w:val="22"/>
        </w:rPr>
      </w:pPr>
      <w:r w:rsidRPr="00525C6F">
        <w:rPr>
          <w:rFonts w:ascii="Constantia" w:hAnsi="Constantia"/>
          <w:sz w:val="22"/>
          <w:szCs w:val="22"/>
        </w:rPr>
        <w:t>Rezultati mikrobioloških ispitivanja uzoraka hlorisane vode za piće</w:t>
      </w:r>
    </w:p>
    <w:p w:rsidR="00B80B3F" w:rsidRDefault="00525C6F" w:rsidP="00525C6F">
      <w:pPr>
        <w:rPr>
          <w:rFonts w:ascii="Constantia" w:hAnsi="Constantia"/>
        </w:rPr>
      </w:pPr>
      <w:r w:rsidRPr="00525C6F">
        <w:rPr>
          <w:rFonts w:ascii="Constantia" w:hAnsi="Constantia"/>
          <w:i/>
          <w:lang w:val="sr-Latn-CS"/>
        </w:rPr>
        <w:lastRenderedPageBreak/>
        <w:t>G</w:t>
      </w:r>
      <w:r w:rsidR="00542806" w:rsidRPr="00525C6F">
        <w:rPr>
          <w:rFonts w:ascii="Constantia" w:hAnsi="Constantia"/>
          <w:i/>
          <w:lang w:val="sr-Latn-CS"/>
        </w:rPr>
        <w:t>rafikon</w:t>
      </w:r>
      <w:r w:rsidRPr="00525C6F">
        <w:rPr>
          <w:rFonts w:ascii="Constantia" w:hAnsi="Constantia"/>
          <w:i/>
          <w:lang w:val="sr-Latn-CS"/>
        </w:rPr>
        <w:t>om</w:t>
      </w:r>
      <w:r w:rsidR="00542806" w:rsidRPr="00525C6F">
        <w:rPr>
          <w:rFonts w:ascii="Constantia" w:hAnsi="Constantia"/>
          <w:i/>
          <w:lang w:val="sr-Latn-CS"/>
        </w:rPr>
        <w:t xml:space="preserve"> 4</w:t>
      </w:r>
      <w:r w:rsidRPr="00525C6F">
        <w:rPr>
          <w:rFonts w:ascii="Constantia" w:hAnsi="Constantia"/>
          <w:i/>
          <w:lang w:val="sr-Latn-CS"/>
        </w:rPr>
        <w:t>9</w:t>
      </w:r>
      <w:r w:rsidR="00542806" w:rsidRPr="00525C6F">
        <w:rPr>
          <w:rFonts w:ascii="Constantia" w:hAnsi="Constantia"/>
          <w:i/>
          <w:lang w:val="sr-Latn-CS"/>
        </w:rPr>
        <w:t>.</w:t>
      </w:r>
      <w:r w:rsidR="00542806" w:rsidRPr="00525C6F">
        <w:rPr>
          <w:rFonts w:ascii="Constantia" w:hAnsi="Constantia"/>
          <w:lang w:val="sr-Latn-CS"/>
        </w:rPr>
        <w:t xml:space="preserve"> prika</w:t>
      </w:r>
      <w:r w:rsidR="00542806" w:rsidRPr="00525C6F">
        <w:rPr>
          <w:rFonts w:ascii="Constantia" w:hAnsi="Constantia"/>
        </w:rPr>
        <w:t>zani su rezultati fizičko-hemijskih analiza uzoraka nehlorisa</w:t>
      </w:r>
      <w:r>
        <w:rPr>
          <w:rFonts w:ascii="Constantia" w:hAnsi="Constantia"/>
        </w:rPr>
        <w:t>ne vode za piće po opštinama, s</w:t>
      </w:r>
      <w:r w:rsidR="00542806" w:rsidRPr="00525C6F">
        <w:rPr>
          <w:rFonts w:ascii="Constantia" w:hAnsi="Constantia"/>
        </w:rPr>
        <w:t xml:space="preserve"> procentima koliko je uzoraka odgovaralo propisanim fizičko-hemijskim normama kvaliteta, a koliko ne.</w:t>
      </w:r>
    </w:p>
    <w:p w:rsidR="00B80B3F" w:rsidRDefault="00542806" w:rsidP="00093EEE">
      <w:pPr>
        <w:spacing w:after="0"/>
        <w:rPr>
          <w:rFonts w:ascii="Constantia" w:hAnsi="Constantia"/>
        </w:rPr>
      </w:pPr>
      <w:r w:rsidRPr="00525C6F">
        <w:rPr>
          <w:rFonts w:ascii="Constantia" w:hAnsi="Constantia"/>
        </w:rPr>
        <w:t xml:space="preserve"> </w:t>
      </w:r>
    </w:p>
    <w:p w:rsidR="00B80B3F" w:rsidRPr="00E763E1" w:rsidRDefault="00B80B3F" w:rsidP="00093EEE">
      <w:pPr>
        <w:tabs>
          <w:tab w:val="left" w:pos="5685"/>
        </w:tabs>
        <w:spacing w:after="0"/>
        <w:jc w:val="center"/>
        <w:rPr>
          <w:highlight w:val="yellow"/>
        </w:rPr>
      </w:pPr>
      <w:r>
        <w:rPr>
          <w:noProof/>
        </w:rPr>
        <w:drawing>
          <wp:inline distT="0" distB="0" distL="0" distR="0" wp14:anchorId="7F93F81A" wp14:editId="6AA1EEE2">
            <wp:extent cx="4174490" cy="1725295"/>
            <wp:effectExtent l="0" t="0" r="0" b="0"/>
            <wp:docPr id="28" name="Objec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B80B3F" w:rsidRPr="00B80B3F" w:rsidRDefault="00B80B3F" w:rsidP="00B80B3F">
      <w:pPr>
        <w:pStyle w:val="Grafikon"/>
        <w:rPr>
          <w:rFonts w:ascii="Constantia" w:hAnsi="Constantia"/>
          <w:sz w:val="22"/>
          <w:szCs w:val="22"/>
        </w:rPr>
      </w:pPr>
      <w:r w:rsidRPr="00B80B3F">
        <w:rPr>
          <w:rFonts w:ascii="Constantia" w:hAnsi="Constantia"/>
          <w:sz w:val="22"/>
          <w:szCs w:val="22"/>
        </w:rPr>
        <w:t>Rezultati fizičko-hemijskih ispitivanja uzoraka nehlorisane vode za piće</w:t>
      </w:r>
    </w:p>
    <w:p w:rsidR="00B80B3F" w:rsidRDefault="00B80B3F" w:rsidP="00B80B3F">
      <w:pPr>
        <w:pStyle w:val="Grafikon"/>
        <w:numPr>
          <w:ilvl w:val="0"/>
          <w:numId w:val="0"/>
        </w:numPr>
        <w:ind w:left="360"/>
        <w:jc w:val="both"/>
        <w:rPr>
          <w:highlight w:val="yellow"/>
        </w:rPr>
      </w:pPr>
    </w:p>
    <w:p w:rsidR="00B80B3F" w:rsidRPr="00786BC4" w:rsidRDefault="00786BC4" w:rsidP="00B80B3F">
      <w:pPr>
        <w:rPr>
          <w:rFonts w:ascii="Constantia" w:hAnsi="Constantia"/>
          <w:lang w:val="sr-Latn-CS"/>
        </w:rPr>
      </w:pPr>
      <w:r w:rsidRPr="00786BC4">
        <w:rPr>
          <w:rFonts w:ascii="Constantia" w:hAnsi="Constantia"/>
          <w:i/>
          <w:lang w:val="sr-Latn-CS"/>
        </w:rPr>
        <w:t>G</w:t>
      </w:r>
      <w:r w:rsidR="00B80B3F" w:rsidRPr="00786BC4">
        <w:rPr>
          <w:rFonts w:ascii="Constantia" w:hAnsi="Constantia"/>
          <w:i/>
          <w:lang w:val="sr-Latn-CS"/>
        </w:rPr>
        <w:t>rafikon</w:t>
      </w:r>
      <w:r w:rsidR="009647FD">
        <w:rPr>
          <w:rFonts w:ascii="Constantia" w:hAnsi="Constantia"/>
          <w:i/>
          <w:lang w:val="sr-Latn-CS"/>
        </w:rPr>
        <w:t>om</w:t>
      </w:r>
      <w:r w:rsidR="00B80B3F" w:rsidRPr="00786BC4">
        <w:rPr>
          <w:rFonts w:ascii="Constantia" w:hAnsi="Constantia"/>
          <w:i/>
          <w:lang w:val="sr-Latn-CS"/>
        </w:rPr>
        <w:t xml:space="preserve"> 5</w:t>
      </w:r>
      <w:r w:rsidRPr="00786BC4">
        <w:rPr>
          <w:rFonts w:ascii="Constantia" w:hAnsi="Constantia"/>
          <w:i/>
          <w:lang w:val="sr-Latn-CS"/>
        </w:rPr>
        <w:t>0</w:t>
      </w:r>
      <w:r w:rsidR="00B80B3F" w:rsidRPr="00786BC4">
        <w:rPr>
          <w:rFonts w:ascii="Constantia" w:hAnsi="Constantia"/>
          <w:i/>
          <w:lang w:val="sr-Latn-CS"/>
        </w:rPr>
        <w:t>.</w:t>
      </w:r>
      <w:r w:rsidR="00B80B3F" w:rsidRPr="00786BC4">
        <w:rPr>
          <w:rFonts w:ascii="Constantia" w:hAnsi="Constantia"/>
          <w:lang w:val="sr-Latn-CS"/>
        </w:rPr>
        <w:t xml:space="preserve"> predstavljeni su rezultati mikrobioloških analiza nehlorisane vode za piće, procentualni odnos mikrobioloških ispravnih uzoraka i mikrobiološki neispravnih uzoraka, po opštinama.</w:t>
      </w:r>
    </w:p>
    <w:p w:rsidR="00B80B3F" w:rsidRPr="0046178E" w:rsidRDefault="00B80B3F" w:rsidP="00093EEE">
      <w:pPr>
        <w:pStyle w:val="Grafikon"/>
        <w:numPr>
          <w:ilvl w:val="0"/>
          <w:numId w:val="0"/>
        </w:numPr>
        <w:spacing w:after="0"/>
        <w:ind w:left="360"/>
        <w:jc w:val="both"/>
        <w:rPr>
          <w:i w:val="0"/>
          <w:highlight w:val="yellow"/>
        </w:rPr>
      </w:pPr>
    </w:p>
    <w:p w:rsidR="00B80B3F" w:rsidRPr="00E763E1" w:rsidRDefault="00B80B3F" w:rsidP="00093EEE">
      <w:pPr>
        <w:pStyle w:val="Grafikon"/>
        <w:numPr>
          <w:ilvl w:val="0"/>
          <w:numId w:val="0"/>
        </w:numPr>
        <w:spacing w:after="0"/>
        <w:ind w:left="360"/>
        <w:rPr>
          <w:highlight w:val="yellow"/>
        </w:rPr>
      </w:pPr>
      <w:r>
        <w:rPr>
          <w:noProof/>
          <w:lang w:val="en-US"/>
        </w:rPr>
        <w:drawing>
          <wp:inline distT="0" distB="0" distL="0" distR="0" wp14:anchorId="61565474" wp14:editId="47F2C5C0">
            <wp:extent cx="4190365" cy="1725295"/>
            <wp:effectExtent l="0" t="0" r="0" b="0"/>
            <wp:docPr id="27" name="Object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B80B3F" w:rsidRPr="00786BC4" w:rsidRDefault="00B80B3F" w:rsidP="00786BC4">
      <w:pPr>
        <w:pStyle w:val="Grafikon"/>
        <w:rPr>
          <w:rFonts w:ascii="Constantia" w:hAnsi="Constantia"/>
          <w:sz w:val="22"/>
          <w:szCs w:val="22"/>
        </w:rPr>
      </w:pPr>
      <w:r w:rsidRPr="00786BC4">
        <w:rPr>
          <w:rFonts w:ascii="Constantia" w:hAnsi="Constantia"/>
          <w:sz w:val="22"/>
          <w:szCs w:val="22"/>
        </w:rPr>
        <w:t>Rezultati mikrobioloških ispitivanja uzoraka nehlorisane vode za piće</w:t>
      </w:r>
    </w:p>
    <w:p w:rsidR="00B80B3F" w:rsidRDefault="00B80B3F" w:rsidP="00B80B3F">
      <w:pPr>
        <w:pStyle w:val="Grafikon"/>
        <w:numPr>
          <w:ilvl w:val="0"/>
          <w:numId w:val="0"/>
        </w:numPr>
        <w:jc w:val="both"/>
      </w:pPr>
    </w:p>
    <w:p w:rsidR="00B80B3F" w:rsidRPr="00B3053D" w:rsidRDefault="00B3053D" w:rsidP="00B3053D">
      <w:pPr>
        <w:pStyle w:val="Grafikon"/>
        <w:numPr>
          <w:ilvl w:val="0"/>
          <w:numId w:val="0"/>
        </w:numPr>
        <w:jc w:val="both"/>
        <w:rPr>
          <w:rFonts w:ascii="Constantia" w:hAnsi="Constantia"/>
          <w:i w:val="0"/>
          <w:sz w:val="22"/>
        </w:rPr>
      </w:pPr>
      <w:r w:rsidRPr="00B3053D">
        <w:rPr>
          <w:rFonts w:ascii="Constantia" w:hAnsi="Constantia"/>
          <w:sz w:val="22"/>
        </w:rPr>
        <w:t>G</w:t>
      </w:r>
      <w:r w:rsidR="00B80B3F" w:rsidRPr="00B3053D">
        <w:rPr>
          <w:rFonts w:ascii="Constantia" w:hAnsi="Constantia"/>
          <w:sz w:val="22"/>
        </w:rPr>
        <w:t>rafikon</w:t>
      </w:r>
      <w:r w:rsidRPr="00B3053D">
        <w:rPr>
          <w:rFonts w:ascii="Constantia" w:hAnsi="Constantia"/>
          <w:sz w:val="22"/>
        </w:rPr>
        <w:t>om</w:t>
      </w:r>
      <w:r w:rsidR="00B80B3F" w:rsidRPr="00B3053D">
        <w:rPr>
          <w:rFonts w:ascii="Constantia" w:hAnsi="Constantia"/>
          <w:sz w:val="22"/>
        </w:rPr>
        <w:t xml:space="preserve"> </w:t>
      </w:r>
      <w:r w:rsidRPr="00B3053D">
        <w:rPr>
          <w:rFonts w:ascii="Constantia" w:hAnsi="Constantia"/>
          <w:sz w:val="22"/>
        </w:rPr>
        <w:t>51</w:t>
      </w:r>
      <w:r w:rsidR="00B80B3F" w:rsidRPr="00B3053D">
        <w:rPr>
          <w:rFonts w:ascii="Constantia" w:hAnsi="Constantia"/>
          <w:sz w:val="22"/>
        </w:rPr>
        <w:t>.</w:t>
      </w:r>
      <w:r w:rsidR="00B80B3F" w:rsidRPr="00B3053D">
        <w:rPr>
          <w:rFonts w:ascii="Constantia" w:hAnsi="Constantia"/>
          <w:i w:val="0"/>
          <w:sz w:val="22"/>
        </w:rPr>
        <w:t xml:space="preserve"> predstavljeni su rezulatati ispitivanja ukupnih uzoraka vode za piće u 2013.</w:t>
      </w:r>
      <w:r w:rsidRPr="00B3053D">
        <w:rPr>
          <w:rFonts w:ascii="Constantia" w:hAnsi="Constantia"/>
          <w:i w:val="0"/>
          <w:sz w:val="22"/>
        </w:rPr>
        <w:t xml:space="preserve"> </w:t>
      </w:r>
      <w:r w:rsidR="00B80B3F" w:rsidRPr="00B3053D">
        <w:rPr>
          <w:rFonts w:ascii="Constantia" w:hAnsi="Constantia"/>
          <w:i w:val="0"/>
          <w:sz w:val="22"/>
        </w:rPr>
        <w:t>godini po opštinama, procentualni odnos uzoraka koji s</w:t>
      </w:r>
      <w:r w:rsidRPr="00B3053D">
        <w:rPr>
          <w:rFonts w:ascii="Constantia" w:hAnsi="Constantia"/>
          <w:i w:val="0"/>
          <w:sz w:val="22"/>
        </w:rPr>
        <w:t>u odgovarali i nisu odgovarali p</w:t>
      </w:r>
      <w:r w:rsidR="00B80B3F" w:rsidRPr="00B3053D">
        <w:rPr>
          <w:rFonts w:ascii="Constantia" w:hAnsi="Constantia"/>
          <w:i w:val="0"/>
          <w:sz w:val="22"/>
        </w:rPr>
        <w:t>ropisima.</w:t>
      </w:r>
    </w:p>
    <w:p w:rsidR="00B80B3F" w:rsidRDefault="00B80B3F" w:rsidP="00093EEE">
      <w:pPr>
        <w:pStyle w:val="Grafikon"/>
        <w:numPr>
          <w:ilvl w:val="0"/>
          <w:numId w:val="0"/>
        </w:numPr>
        <w:spacing w:after="0"/>
        <w:ind w:left="360"/>
      </w:pPr>
      <w:r>
        <w:rPr>
          <w:noProof/>
          <w:lang w:val="en-US"/>
        </w:rPr>
        <w:drawing>
          <wp:inline distT="0" distB="0" distL="0" distR="0" wp14:anchorId="479927E6" wp14:editId="599C7187">
            <wp:extent cx="4190365" cy="1916430"/>
            <wp:effectExtent l="0" t="0" r="0" b="0"/>
            <wp:docPr id="23" name="Object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E21D6C" w:rsidRPr="00786BC4" w:rsidRDefault="00E21D6C" w:rsidP="00E21D6C">
      <w:pPr>
        <w:pStyle w:val="Grafikon"/>
        <w:rPr>
          <w:rFonts w:ascii="Constantia" w:hAnsi="Constantia"/>
          <w:sz w:val="22"/>
          <w:szCs w:val="22"/>
        </w:rPr>
      </w:pPr>
      <w:r w:rsidRPr="00786BC4">
        <w:rPr>
          <w:rFonts w:ascii="Constantia" w:hAnsi="Constantia"/>
          <w:sz w:val="22"/>
          <w:szCs w:val="22"/>
        </w:rPr>
        <w:t xml:space="preserve">Rezultati ispitivanja </w:t>
      </w:r>
      <w:r>
        <w:rPr>
          <w:rFonts w:ascii="Constantia" w:hAnsi="Constantia"/>
          <w:sz w:val="22"/>
          <w:szCs w:val="22"/>
        </w:rPr>
        <w:t xml:space="preserve">ukupnih </w:t>
      </w:r>
      <w:r w:rsidRPr="00786BC4">
        <w:rPr>
          <w:rFonts w:ascii="Constantia" w:hAnsi="Constantia"/>
          <w:sz w:val="22"/>
          <w:szCs w:val="22"/>
        </w:rPr>
        <w:t>uzoraka vode za piće</w:t>
      </w:r>
    </w:p>
    <w:p w:rsidR="00E21D6C" w:rsidRDefault="00E21D6C" w:rsidP="00B80B3F">
      <w:pPr>
        <w:pStyle w:val="Grafikon"/>
        <w:numPr>
          <w:ilvl w:val="0"/>
          <w:numId w:val="0"/>
        </w:numPr>
        <w:ind w:left="360"/>
      </w:pPr>
    </w:p>
    <w:p w:rsidR="004F3444" w:rsidRPr="00F64F62" w:rsidRDefault="004F3444" w:rsidP="00C67E20">
      <w:pPr>
        <w:pStyle w:val="Heading2"/>
        <w:ind w:left="720"/>
      </w:pPr>
      <w:bookmarkStart w:id="48" w:name="_Toc393897883"/>
      <w:r w:rsidRPr="00F64F62">
        <w:lastRenderedPageBreak/>
        <w:t xml:space="preserve">Kvalitet </w:t>
      </w:r>
      <w:r w:rsidRPr="00097E04">
        <w:t>morske</w:t>
      </w:r>
      <w:r w:rsidRPr="00F64F62">
        <w:t xml:space="preserve"> vode u sezoni 2013.</w:t>
      </w:r>
      <w:r w:rsidR="00B03E0B">
        <w:t xml:space="preserve"> </w:t>
      </w:r>
      <w:r w:rsidRPr="00F64F62">
        <w:t>godine</w:t>
      </w:r>
      <w:bookmarkEnd w:id="48"/>
    </w:p>
    <w:p w:rsidR="004F3444" w:rsidRPr="00BA3507" w:rsidRDefault="004F3444" w:rsidP="004F3444">
      <w:pPr>
        <w:rPr>
          <w:rFonts w:ascii="Constantia" w:hAnsi="Constantia"/>
        </w:rPr>
      </w:pPr>
      <w:r w:rsidRPr="00BA3507">
        <w:rPr>
          <w:rFonts w:ascii="Constantia" w:hAnsi="Constantia"/>
        </w:rPr>
        <w:t>Program praćenja sanitarnog kvaliteta morske vode na javnim kupalištima tokom ljetnje turističke sezone 2013. godine, realizovan je u skladu sa Uredbom o klasifikaciji i kategorizaciji voda (</w:t>
      </w:r>
      <w:r w:rsidR="00B03E0B" w:rsidRPr="00BA3507">
        <w:rPr>
          <w:rFonts w:ascii="Constantia" w:hAnsi="Constantia"/>
        </w:rPr>
        <w:t>“</w:t>
      </w:r>
      <w:r w:rsidRPr="00BA3507">
        <w:rPr>
          <w:rFonts w:ascii="Constantia" w:hAnsi="Constantia"/>
        </w:rPr>
        <w:t xml:space="preserve">Sl. </w:t>
      </w:r>
      <w:r w:rsidR="00B03E0B" w:rsidRPr="00BA3507">
        <w:rPr>
          <w:rFonts w:ascii="Constantia" w:hAnsi="Constantia"/>
        </w:rPr>
        <w:t>l</w:t>
      </w:r>
      <w:r w:rsidRPr="00BA3507">
        <w:rPr>
          <w:rFonts w:ascii="Constantia" w:hAnsi="Constantia"/>
        </w:rPr>
        <w:t>ist RCG</w:t>
      </w:r>
      <w:r w:rsidR="00B03E0B" w:rsidRPr="00BA3507">
        <w:rPr>
          <w:rFonts w:ascii="Constantia" w:hAnsi="Constantia"/>
        </w:rPr>
        <w:t xml:space="preserve">”, </w:t>
      </w:r>
      <w:r w:rsidRPr="00BA3507">
        <w:rPr>
          <w:rFonts w:ascii="Constantia" w:hAnsi="Constantia"/>
        </w:rPr>
        <w:t xml:space="preserve">02/07), kao i uskladu sa ostalim nacionalnim i međunarodnim propisima iz oblasti zaštite životne sredine, voda i mora. Takođe, Program je u najvećoj mjeri usklađen sa zahtjevima EU Directive o kvalitetu vode za kupanje (Directive 2006/7/EEC), kao i </w:t>
      </w:r>
      <w:r w:rsidR="001A4699">
        <w:rPr>
          <w:rFonts w:ascii="Constantia" w:hAnsi="Constantia"/>
        </w:rPr>
        <w:t xml:space="preserve">sa </w:t>
      </w:r>
      <w:r w:rsidRPr="00BA3507">
        <w:rPr>
          <w:rFonts w:ascii="Constantia" w:hAnsi="Constantia"/>
        </w:rPr>
        <w:t>zahtjev</w:t>
      </w:r>
      <w:r w:rsidR="00B759EA" w:rsidRPr="00BA3507">
        <w:rPr>
          <w:rFonts w:ascii="Constantia" w:hAnsi="Constantia"/>
        </w:rPr>
        <w:t>im</w:t>
      </w:r>
      <w:r w:rsidRPr="00BA3507">
        <w:rPr>
          <w:rFonts w:ascii="Constantia" w:hAnsi="Constantia"/>
        </w:rPr>
        <w:t xml:space="preserve">a Međunarodnog programa Plava Zastavica. </w:t>
      </w:r>
    </w:p>
    <w:p w:rsidR="004F3444" w:rsidRDefault="004F3444" w:rsidP="004F3444">
      <w:r w:rsidRPr="009A31A9">
        <w:rPr>
          <w:rFonts w:ascii="Constantia" w:hAnsi="Constantia"/>
        </w:rPr>
        <w:t>Ovogodišnjim Programom praćenja sanitarnog kvaliteta morske vode obuhvaćeno je 85 lokacija na</w:t>
      </w:r>
      <w:r w:rsidR="00D64035" w:rsidRPr="009A31A9">
        <w:rPr>
          <w:rFonts w:ascii="Constantia" w:hAnsi="Constantia"/>
        </w:rPr>
        <w:t xml:space="preserve"> </w:t>
      </w:r>
      <w:r w:rsidRPr="009A31A9">
        <w:rPr>
          <w:rFonts w:ascii="Constantia" w:hAnsi="Constantia"/>
        </w:rPr>
        <w:t>javnim kupalištima</w:t>
      </w:r>
      <w:r w:rsidR="009A31A9" w:rsidRPr="009A31A9">
        <w:rPr>
          <w:rFonts w:ascii="Constantia" w:hAnsi="Constantia"/>
        </w:rPr>
        <w:t>.</w:t>
      </w:r>
      <w:r w:rsidR="009A31A9">
        <w:t xml:space="preserve"> </w:t>
      </w:r>
      <w:r w:rsidR="009A31A9" w:rsidRPr="009A31A9">
        <w:rPr>
          <w:rFonts w:ascii="Constantia" w:hAnsi="Constantia"/>
        </w:rPr>
        <w:t>Program je</w:t>
      </w:r>
      <w:r w:rsidRPr="009A31A9">
        <w:rPr>
          <w:rFonts w:ascii="Constantia" w:hAnsi="Constantia"/>
        </w:rPr>
        <w:t xml:space="preserve"> realizovan u period</w:t>
      </w:r>
      <w:r w:rsidR="00D64035" w:rsidRPr="009A31A9">
        <w:rPr>
          <w:rFonts w:ascii="Constantia" w:hAnsi="Constantia"/>
        </w:rPr>
        <w:t>u</w:t>
      </w:r>
      <w:r w:rsidRPr="009A31A9">
        <w:rPr>
          <w:rFonts w:ascii="Constantia" w:hAnsi="Constantia"/>
        </w:rPr>
        <w:t xml:space="preserve"> od kraja aprila do kraja oktobra 2013. godine, </w:t>
      </w:r>
      <w:r w:rsidR="009A31A9" w:rsidRPr="009A31A9">
        <w:rPr>
          <w:rFonts w:ascii="Constantia" w:hAnsi="Constantia"/>
        </w:rPr>
        <w:t>a</w:t>
      </w:r>
      <w:r w:rsidRPr="009A31A9">
        <w:rPr>
          <w:rFonts w:ascii="Constantia" w:hAnsi="Constantia"/>
        </w:rPr>
        <w:t xml:space="preserve"> podaci u toku turističke sezone objavljivani </w:t>
      </w:r>
      <w:r w:rsidR="009A31A9" w:rsidRPr="009A31A9">
        <w:rPr>
          <w:rFonts w:ascii="Constantia" w:hAnsi="Constantia"/>
        </w:rPr>
        <w:t xml:space="preserve">su </w:t>
      </w:r>
      <w:r w:rsidRPr="009A31A9">
        <w:rPr>
          <w:rFonts w:ascii="Constantia" w:hAnsi="Constantia"/>
        </w:rPr>
        <w:t>na sajtu</w:t>
      </w:r>
      <w:r w:rsidR="009A31A9" w:rsidRPr="009A31A9">
        <w:rPr>
          <w:rFonts w:ascii="Constantia" w:hAnsi="Constantia"/>
        </w:rPr>
        <w:t xml:space="preserve"> JP “M</w:t>
      </w:r>
      <w:r w:rsidRPr="009A31A9">
        <w:rPr>
          <w:rFonts w:ascii="Constantia" w:hAnsi="Constantia"/>
        </w:rPr>
        <w:t>orsko dobr</w:t>
      </w:r>
      <w:r w:rsidR="009A31A9" w:rsidRPr="009A31A9">
        <w:rPr>
          <w:rFonts w:ascii="Constantia" w:hAnsi="Constantia"/>
        </w:rPr>
        <w:t>o”</w:t>
      </w:r>
      <w:r w:rsidRPr="009A31A9">
        <w:rPr>
          <w:rFonts w:ascii="Constantia" w:hAnsi="Constantia"/>
        </w:rPr>
        <w:t xml:space="preserve">. </w:t>
      </w:r>
      <w:r w:rsidRPr="001423B9">
        <w:rPr>
          <w:rFonts w:ascii="Constantia" w:hAnsi="Constantia"/>
        </w:rPr>
        <w:t>Za realizaciju Programa angažovan je Zavod za hidrometeorologiju i seizmologiju Crne Gore, koji je na javnom tenderu izabran kao najpovoljniji ponuđač.</w:t>
      </w:r>
    </w:p>
    <w:p w:rsidR="004F3444" w:rsidRPr="003C33F6" w:rsidRDefault="004F3444" w:rsidP="004F3444">
      <w:pPr>
        <w:rPr>
          <w:rFonts w:ascii="Constantia" w:hAnsi="Constantia"/>
        </w:rPr>
      </w:pPr>
      <w:r w:rsidRPr="003C33F6">
        <w:rPr>
          <w:rFonts w:ascii="Constantia" w:hAnsi="Constantia"/>
        </w:rPr>
        <w:t>Radi praćenja sanitarne ispravnosti morske vode na javnim kupalištima i njenog ukupnog kvaliteta, ovim Pr</w:t>
      </w:r>
      <w:r w:rsidR="00B91DE8" w:rsidRPr="003C33F6">
        <w:rPr>
          <w:rFonts w:ascii="Constantia" w:hAnsi="Constantia"/>
        </w:rPr>
        <w:t>ogramom obuhvaćeno je mjerenje dva</w:t>
      </w:r>
      <w:r w:rsidRPr="003C33F6">
        <w:rPr>
          <w:rFonts w:ascii="Constantia" w:hAnsi="Constantia"/>
        </w:rPr>
        <w:t xml:space="preserve"> obavezna mirkobiološka parametra (</w:t>
      </w:r>
      <w:r w:rsidRPr="003C33F6">
        <w:rPr>
          <w:rFonts w:ascii="Constantia" w:hAnsi="Constantia"/>
          <w:i/>
        </w:rPr>
        <w:t>Esherichia coli</w:t>
      </w:r>
      <w:r w:rsidRPr="003C33F6">
        <w:rPr>
          <w:rFonts w:ascii="Constantia" w:hAnsi="Constantia"/>
        </w:rPr>
        <w:t xml:space="preserve"> i </w:t>
      </w:r>
      <w:r w:rsidRPr="003C33F6">
        <w:rPr>
          <w:rFonts w:ascii="Constantia" w:hAnsi="Constantia"/>
          <w:i/>
        </w:rPr>
        <w:t>Intenstinal enterococci</w:t>
      </w:r>
      <w:r w:rsidRPr="003C33F6">
        <w:rPr>
          <w:rFonts w:ascii="Constantia" w:hAnsi="Constantia"/>
        </w:rPr>
        <w:t>), kao i praćenje fiz</w:t>
      </w:r>
      <w:r w:rsidR="00B91DE8" w:rsidRPr="003C33F6">
        <w:rPr>
          <w:rFonts w:ascii="Constantia" w:hAnsi="Constantia"/>
        </w:rPr>
        <w:t xml:space="preserve">ičko-hemijskih parametara (temperatura vazduha, temperatura </w:t>
      </w:r>
      <w:r w:rsidRPr="003C33F6">
        <w:rPr>
          <w:rFonts w:ascii="Constantia" w:hAnsi="Constantia"/>
        </w:rPr>
        <w:t>vode, salinitet, pH, boja, zasićenost kiseonikom, amonijak, plivajuće otpadne materije, boja i providnost).</w:t>
      </w:r>
    </w:p>
    <w:p w:rsidR="004F3444" w:rsidRPr="002A3053" w:rsidRDefault="003C33F6" w:rsidP="004F3444">
      <w:pPr>
        <w:rPr>
          <w:rFonts w:ascii="Constantia" w:hAnsi="Constantia"/>
        </w:rPr>
      </w:pPr>
      <w:r w:rsidRPr="002A3053">
        <w:rPr>
          <w:rFonts w:ascii="Constantia" w:hAnsi="Constantia"/>
        </w:rPr>
        <w:t>Shodno članu 13</w:t>
      </w:r>
      <w:r w:rsidR="004F3444" w:rsidRPr="002A3053">
        <w:rPr>
          <w:rFonts w:ascii="Constantia" w:hAnsi="Constantia"/>
        </w:rPr>
        <w:t xml:space="preserve"> Uredbe o klasifikaciji i kategorizaciji površinskih i podzemnih voda, morske vode koje se koriste za kupanje i rekreaciju, na osnovu mirkobioloških parametara, razvrstavaju se u dvije klase i to: klasa K1</w:t>
      </w:r>
      <w:r w:rsidR="005B0109" w:rsidRPr="002A3053">
        <w:rPr>
          <w:rFonts w:ascii="Constantia" w:hAnsi="Constantia"/>
        </w:rPr>
        <w:t xml:space="preserve"> </w:t>
      </w:r>
      <w:r w:rsidR="004F3444" w:rsidRPr="002A3053">
        <w:rPr>
          <w:rFonts w:ascii="Constantia" w:hAnsi="Constantia"/>
        </w:rPr>
        <w:t>-</w:t>
      </w:r>
      <w:r w:rsidR="005B0109" w:rsidRPr="002A3053">
        <w:rPr>
          <w:rFonts w:ascii="Constantia" w:hAnsi="Constantia"/>
        </w:rPr>
        <w:t xml:space="preserve"> </w:t>
      </w:r>
      <w:r w:rsidR="004F3444" w:rsidRPr="002A3053">
        <w:rPr>
          <w:rFonts w:ascii="Constantia" w:hAnsi="Constantia"/>
        </w:rPr>
        <w:t>odlične</w:t>
      </w:r>
      <w:r w:rsidR="005B0109" w:rsidRPr="002A3053">
        <w:rPr>
          <w:rFonts w:ascii="Constantia" w:hAnsi="Constantia"/>
        </w:rPr>
        <w:t xml:space="preserve"> i</w:t>
      </w:r>
      <w:r w:rsidR="004F3444" w:rsidRPr="002A3053">
        <w:rPr>
          <w:rFonts w:ascii="Constantia" w:hAnsi="Constantia"/>
        </w:rPr>
        <w:t xml:space="preserve"> klasa K2</w:t>
      </w:r>
      <w:r w:rsidR="005B0109" w:rsidRPr="002A3053">
        <w:rPr>
          <w:rFonts w:ascii="Constantia" w:hAnsi="Constantia"/>
        </w:rPr>
        <w:t xml:space="preserve"> </w:t>
      </w:r>
      <w:r w:rsidR="004F3444" w:rsidRPr="002A3053">
        <w:rPr>
          <w:rFonts w:ascii="Constantia" w:hAnsi="Constantia"/>
        </w:rPr>
        <w:t>-</w:t>
      </w:r>
      <w:r w:rsidR="005B0109" w:rsidRPr="002A3053">
        <w:rPr>
          <w:rFonts w:ascii="Constantia" w:hAnsi="Constantia"/>
        </w:rPr>
        <w:t xml:space="preserve"> </w:t>
      </w:r>
      <w:r w:rsidR="004F3444" w:rsidRPr="002A3053">
        <w:rPr>
          <w:rFonts w:ascii="Constantia" w:hAnsi="Constantia"/>
        </w:rPr>
        <w:t xml:space="preserve">zadovoljavajuće, dok </w:t>
      </w:r>
      <w:r w:rsidR="005B0109" w:rsidRPr="002A3053">
        <w:rPr>
          <w:rFonts w:ascii="Constantia" w:hAnsi="Constantia"/>
        </w:rPr>
        <w:t xml:space="preserve">se </w:t>
      </w:r>
      <w:r w:rsidR="004F3444" w:rsidRPr="002A3053">
        <w:rPr>
          <w:rFonts w:ascii="Constantia" w:hAnsi="Constantia"/>
        </w:rPr>
        <w:t>uzorci čije vrijednosti prelaze propisane granice za ove dvije klase svrstavaju u grupu V</w:t>
      </w:r>
      <w:r w:rsidR="005B0109" w:rsidRPr="002A3053">
        <w:rPr>
          <w:rFonts w:ascii="Constantia" w:hAnsi="Constantia"/>
        </w:rPr>
        <w:t>K - v</w:t>
      </w:r>
      <w:r w:rsidR="004F3444" w:rsidRPr="002A3053">
        <w:rPr>
          <w:rFonts w:ascii="Constantia" w:hAnsi="Constantia"/>
        </w:rPr>
        <w:t>an klase.</w:t>
      </w:r>
    </w:p>
    <w:p w:rsidR="004F3444" w:rsidRDefault="004F3444" w:rsidP="004F3444">
      <w:pPr>
        <w:rPr>
          <w:rFonts w:ascii="Constantia" w:hAnsi="Constantia"/>
        </w:rPr>
      </w:pPr>
      <w:r w:rsidRPr="00ED14AE">
        <w:rPr>
          <w:rFonts w:ascii="Constantia" w:hAnsi="Constantia"/>
        </w:rPr>
        <w:t>Od ukupnog broja uzoraka sa 85 kupališta, iz svih šest primorskih opština</w:t>
      </w:r>
      <w:r w:rsidR="00BE7913">
        <w:rPr>
          <w:rFonts w:ascii="Constantia" w:hAnsi="Constantia"/>
        </w:rPr>
        <w:t>,</w:t>
      </w:r>
      <w:r w:rsidRPr="00ED14AE">
        <w:rPr>
          <w:rFonts w:ascii="Constantia" w:hAnsi="Constantia"/>
        </w:rPr>
        <w:t xml:space="preserve"> na kojima je rađeno petnaestodnevno uzorkovanje tokom turističke sezone, kvalitet morske vode je ko</w:t>
      </w:r>
      <w:r w:rsidR="00ED14AE" w:rsidRPr="00ED14AE">
        <w:rPr>
          <w:rFonts w:ascii="Constantia" w:hAnsi="Constantia"/>
        </w:rPr>
        <w:t>d 94,1% bio klase K1, kod 5,0% klase K2, dok je kod 0,</w:t>
      </w:r>
      <w:r w:rsidRPr="00ED14AE">
        <w:rPr>
          <w:rFonts w:ascii="Constantia" w:hAnsi="Constantia"/>
        </w:rPr>
        <w:t>9% ukupnog broja uzoraka voda bila van klase. Na svim lokacijama na kojima je kvalitet vode prelazio granice propisanih kategorija, nakon ponovnog uzorkovanja kvalitet je bio u granicama dozvoljenim za kupanje i rekreaciju.</w:t>
      </w:r>
    </w:p>
    <w:p w:rsidR="00BE7913" w:rsidRDefault="00BE7913" w:rsidP="004F3444">
      <w:pPr>
        <w:rPr>
          <w:rFonts w:ascii="Constantia" w:hAnsi="Constantia"/>
        </w:rPr>
      </w:pPr>
    </w:p>
    <w:p w:rsidR="004F3444" w:rsidRDefault="004F3444" w:rsidP="00BE7913">
      <w:pPr>
        <w:spacing w:after="0"/>
        <w:jc w:val="center"/>
      </w:pPr>
      <w:r>
        <w:rPr>
          <w:noProof/>
        </w:rPr>
        <w:drawing>
          <wp:inline distT="0" distB="0" distL="0" distR="0" wp14:anchorId="61BC331D" wp14:editId="0C01CF08">
            <wp:extent cx="5486400" cy="2297927"/>
            <wp:effectExtent l="0" t="0" r="0" b="0"/>
            <wp:docPr id="8201" name="Chart 8201"/>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4F3444" w:rsidRPr="009E25CE" w:rsidRDefault="004F3444" w:rsidP="009E25CE">
      <w:pPr>
        <w:pStyle w:val="Grafikon"/>
        <w:rPr>
          <w:rFonts w:ascii="Constantia" w:hAnsi="Constantia"/>
          <w:sz w:val="22"/>
          <w:szCs w:val="22"/>
        </w:rPr>
      </w:pPr>
      <w:r w:rsidRPr="009E25CE">
        <w:rPr>
          <w:rFonts w:ascii="Constantia" w:hAnsi="Constantia"/>
          <w:sz w:val="22"/>
          <w:szCs w:val="22"/>
        </w:rPr>
        <w:t>Uporedni prikaz kvaliteta morske vode u 2013. godini po opštinama</w:t>
      </w:r>
    </w:p>
    <w:p w:rsidR="004F3444" w:rsidRDefault="004F3444" w:rsidP="004F3444">
      <w:pPr>
        <w:pStyle w:val="Grafikon"/>
        <w:numPr>
          <w:ilvl w:val="0"/>
          <w:numId w:val="0"/>
        </w:numPr>
        <w:ind w:left="360"/>
        <w:jc w:val="both"/>
      </w:pPr>
    </w:p>
    <w:p w:rsidR="004F3444" w:rsidRPr="00807773" w:rsidRDefault="004F3444" w:rsidP="00807773">
      <w:pPr>
        <w:rPr>
          <w:rFonts w:ascii="Constantia" w:hAnsi="Constantia"/>
        </w:rPr>
      </w:pPr>
      <w:r w:rsidRPr="00807773">
        <w:rPr>
          <w:rFonts w:ascii="Constantia" w:hAnsi="Constantia"/>
        </w:rPr>
        <w:t>Upoređujući podatke po opštinama, može se vidjeti da je u sezoni 2013.</w:t>
      </w:r>
      <w:r w:rsidR="00807773">
        <w:rPr>
          <w:rFonts w:ascii="Constantia" w:hAnsi="Constantia"/>
        </w:rPr>
        <w:t xml:space="preserve"> </w:t>
      </w:r>
      <w:r w:rsidRPr="00807773">
        <w:rPr>
          <w:rFonts w:ascii="Constantia" w:hAnsi="Constantia"/>
        </w:rPr>
        <w:t>godine najbolji kvalitet morske vode bio u opštini Budva, gdje imamo veoma visok procenat broj</w:t>
      </w:r>
      <w:r w:rsidR="00BE7913">
        <w:rPr>
          <w:rFonts w:ascii="Constantia" w:hAnsi="Constantia"/>
        </w:rPr>
        <w:t>a uzoraka sa kvalitetom vode K1</w:t>
      </w:r>
      <w:r w:rsidRPr="00807773">
        <w:rPr>
          <w:rFonts w:ascii="Constantia" w:hAnsi="Constantia"/>
        </w:rPr>
        <w:t xml:space="preserve"> i gdje nije bilo uzoraka koji su odstupali od propisanih granica. Najčešća odstupanja od dozvoljenih parametara zabilježena su u opštinama Ulcinj, Kotor i Herceg Novi.</w:t>
      </w:r>
    </w:p>
    <w:p w:rsidR="004F3444" w:rsidRPr="00807773" w:rsidRDefault="004F3444" w:rsidP="00807773">
      <w:pPr>
        <w:rPr>
          <w:rFonts w:ascii="Constantia" w:hAnsi="Constantia"/>
        </w:rPr>
      </w:pPr>
      <w:r w:rsidRPr="00807773">
        <w:rPr>
          <w:rFonts w:ascii="Constantia" w:hAnsi="Constantia"/>
        </w:rPr>
        <w:lastRenderedPageBreak/>
        <w:t>Generalno se može zaključiti da je kvali</w:t>
      </w:r>
      <w:r w:rsidR="00F20063">
        <w:rPr>
          <w:rFonts w:ascii="Constantia" w:hAnsi="Constantia"/>
        </w:rPr>
        <w:t>t</w:t>
      </w:r>
      <w:r w:rsidRPr="00807773">
        <w:rPr>
          <w:rFonts w:ascii="Constantia" w:hAnsi="Constantia"/>
        </w:rPr>
        <w:t>et morske vode na javnim kupalištima tokom sezone 2013.</w:t>
      </w:r>
      <w:r w:rsidR="00807773">
        <w:rPr>
          <w:rFonts w:ascii="Constantia" w:hAnsi="Constantia"/>
        </w:rPr>
        <w:t xml:space="preserve"> </w:t>
      </w:r>
      <w:r w:rsidRPr="00807773">
        <w:rPr>
          <w:rFonts w:ascii="Constantia" w:hAnsi="Constantia"/>
        </w:rPr>
        <w:t xml:space="preserve">godine bio veoma zadovoljavajući. Sporadično </w:t>
      </w:r>
      <w:r w:rsidR="00807773">
        <w:rPr>
          <w:rFonts w:ascii="Constantia" w:hAnsi="Constantia"/>
        </w:rPr>
        <w:t>javljanje uzoraka morske vode s</w:t>
      </w:r>
      <w:r w:rsidR="00BE7913">
        <w:rPr>
          <w:rFonts w:ascii="Constantia" w:hAnsi="Constantia"/>
        </w:rPr>
        <w:t>a</w:t>
      </w:r>
      <w:r w:rsidRPr="00807773">
        <w:rPr>
          <w:rFonts w:ascii="Constantia" w:hAnsi="Constantia"/>
        </w:rPr>
        <w:t xml:space="preserve"> kvalitetom koji prelazi dozvoljene granice bilo je zastupljeno u nekim opštinama, međutim, ponovljene analize za iste lokacije pokazale su zadovoljavajući kvalitet.</w:t>
      </w:r>
    </w:p>
    <w:p w:rsidR="004F3444" w:rsidRPr="00065059" w:rsidRDefault="004F3444" w:rsidP="00F90CB5">
      <w:pPr>
        <w:pStyle w:val="Heading2"/>
        <w:ind w:left="720"/>
      </w:pPr>
      <w:bookmarkStart w:id="49" w:name="_Toc393897884"/>
      <w:r w:rsidRPr="00097E04">
        <w:t>Zaključak</w:t>
      </w:r>
      <w:bookmarkEnd w:id="49"/>
    </w:p>
    <w:p w:rsidR="00BE7913" w:rsidRDefault="004F3444" w:rsidP="004F3444">
      <w:pPr>
        <w:rPr>
          <w:rFonts w:ascii="Constantia" w:hAnsi="Constantia"/>
        </w:rPr>
      </w:pPr>
      <w:r w:rsidRPr="00065059">
        <w:rPr>
          <w:rFonts w:ascii="Constantia" w:hAnsi="Constantia"/>
        </w:rPr>
        <w:t xml:space="preserve">Iako se ispuštanje kako komunalnih tako i industrijskih otpadnih voda u prirodne prijemnike vrši gotovo bez ikakvog prečišćavanja (izuzetak su neka industrijska postrojenja i dio komunalnih otpadnih voda u Podgorici i Mojkovcu), Crna Gora </w:t>
      </w:r>
      <w:r w:rsidR="00065059">
        <w:rPr>
          <w:rFonts w:ascii="Constantia" w:hAnsi="Constantia"/>
        </w:rPr>
        <w:t>raspolaže kvalitetnim i obilnim</w:t>
      </w:r>
      <w:r w:rsidRPr="00065059">
        <w:rPr>
          <w:rFonts w:ascii="Constantia" w:hAnsi="Constantia"/>
        </w:rPr>
        <w:t xml:space="preserve"> podzemnim i površinskim vodama.</w:t>
      </w:r>
      <w:r w:rsidR="00065059">
        <w:rPr>
          <w:rFonts w:ascii="Constantia" w:hAnsi="Constantia"/>
        </w:rPr>
        <w:t xml:space="preserve"> </w:t>
      </w:r>
      <w:r w:rsidRPr="00065059">
        <w:rPr>
          <w:rFonts w:ascii="Constantia" w:hAnsi="Constantia"/>
        </w:rPr>
        <w:t xml:space="preserve">Dodatni problem predstavlja i nedostatak pred-tretmana industrijskih otpadnih voda koje se ispuštaju u javne kanalizacione sisteme. </w:t>
      </w:r>
    </w:p>
    <w:p w:rsidR="0028154A" w:rsidRDefault="004F3444" w:rsidP="004F3444">
      <w:pPr>
        <w:rPr>
          <w:rFonts w:ascii="Constantia" w:hAnsi="Constantia"/>
        </w:rPr>
      </w:pPr>
      <w:r w:rsidRPr="00065059">
        <w:rPr>
          <w:rFonts w:ascii="Constantia" w:hAnsi="Constantia"/>
        </w:rPr>
        <w:t>Najzagađeniji vodotoci su, kao i prethodnih godina</w:t>
      </w:r>
      <w:r w:rsidR="00065059">
        <w:rPr>
          <w:rFonts w:ascii="Constantia" w:hAnsi="Constantia"/>
        </w:rPr>
        <w:t>,</w:t>
      </w:r>
      <w:r w:rsidRPr="00065059">
        <w:rPr>
          <w:rFonts w:ascii="Constantia" w:hAnsi="Constantia"/>
        </w:rPr>
        <w:t xml:space="preserve"> bili oko većih naselja: Vezišnica, Ćehotina na području Pljevalja, Morača na području Podgorice, Ibar kod Baća</w:t>
      </w:r>
      <w:r w:rsidR="00065059">
        <w:rPr>
          <w:rFonts w:ascii="Constantia" w:hAnsi="Constantia"/>
        </w:rPr>
        <w:t xml:space="preserve"> i</w:t>
      </w:r>
      <w:r w:rsidRPr="00065059">
        <w:rPr>
          <w:rFonts w:ascii="Constantia" w:hAnsi="Constantia"/>
        </w:rPr>
        <w:t xml:space="preserve"> Lim kod Bijelog Polja. Rezultati mjerenja indiciraju na veliku osjetljivost ovih akvatičnih ekosistema, prije svega u malovodnom režimu, kao i porast ljudskih aktivnosti na njihovim obalama. </w:t>
      </w:r>
    </w:p>
    <w:p w:rsidR="00BE7913" w:rsidRDefault="004F3444" w:rsidP="004F3444">
      <w:pPr>
        <w:rPr>
          <w:rFonts w:ascii="Constantia" w:hAnsi="Constantia"/>
        </w:rPr>
      </w:pPr>
      <w:r w:rsidRPr="00065059">
        <w:rPr>
          <w:rFonts w:ascii="Constantia" w:hAnsi="Constantia"/>
        </w:rPr>
        <w:t>Program praćenja kvaliteta voda uglavnom se zasniva na fizičko-hemijskim parametrima. Međutim, u skladu sa Okvirnom direktivom o vodama, kvalitet vode je jednako definisan biološkim i hidromorfološkim indikatorima. Važna stvar za Crnu Goru je i uspostavljanje vodnih tijela, kako kopnenih tako i tranzicionih (bočatnih) i obalnih voda, jer je zahtjev Evropske Agencije za životnu sredinu (EEA) slanje izvještaja po principu definisanih vodnih tijela.</w:t>
      </w:r>
      <w:r w:rsidR="003A1B59">
        <w:rPr>
          <w:rFonts w:ascii="Constantia" w:hAnsi="Constantia"/>
        </w:rPr>
        <w:t xml:space="preserve"> </w:t>
      </w:r>
      <w:r w:rsidRPr="00065059">
        <w:rPr>
          <w:rFonts w:ascii="Constantia" w:hAnsi="Constantia"/>
        </w:rPr>
        <w:t>Značaj Okvirne direktive o vodama za Crnu Goru je u tome što su zahtjevi za prikupljanje podataka i upravljanje informacijama za izradu efikasnih planova upravljanja slivnim područjem veoma značajni, a zakonodavni okvir i nacionalne ekološke mreže monitoringa moraju biti izuzetno mjerodavne</w:t>
      </w:r>
      <w:r w:rsidR="003A1B59">
        <w:rPr>
          <w:rFonts w:ascii="Constantia" w:hAnsi="Constantia"/>
        </w:rPr>
        <w:t>,</w:t>
      </w:r>
      <w:r w:rsidRPr="00065059">
        <w:rPr>
          <w:rFonts w:ascii="Constantia" w:hAnsi="Constantia"/>
        </w:rPr>
        <w:t xml:space="preserve"> kako bi se ispunili svi zahtjevi pomenute direktive. </w:t>
      </w:r>
    </w:p>
    <w:p w:rsidR="004F3444" w:rsidRDefault="004F3444" w:rsidP="004F3444">
      <w:pPr>
        <w:rPr>
          <w:rFonts w:ascii="Constantia" w:hAnsi="Constantia"/>
        </w:rPr>
      </w:pPr>
      <w:r w:rsidRPr="00065059">
        <w:rPr>
          <w:rFonts w:ascii="Constantia" w:hAnsi="Constantia"/>
        </w:rPr>
        <w:t>Katastar izvora zagađivača, kao osnovni instrument u politici donošenja mjera i planova spr</w:t>
      </w:r>
      <w:r w:rsidR="003A1B59">
        <w:rPr>
          <w:rFonts w:ascii="Constantia" w:hAnsi="Constantia"/>
        </w:rPr>
        <w:t>j</w:t>
      </w:r>
      <w:r w:rsidRPr="00065059">
        <w:rPr>
          <w:rFonts w:ascii="Constantia" w:hAnsi="Constantia"/>
        </w:rPr>
        <w:t xml:space="preserve">ečavanja i/ili </w:t>
      </w:r>
      <w:r w:rsidR="00BE7913">
        <w:rPr>
          <w:rFonts w:ascii="Constantia" w:hAnsi="Constantia"/>
        </w:rPr>
        <w:t>smanjenja zagađenja, još uvijek</w:t>
      </w:r>
      <w:r w:rsidRPr="00065059">
        <w:rPr>
          <w:rFonts w:ascii="Constantia" w:hAnsi="Constantia"/>
        </w:rPr>
        <w:t xml:space="preserve"> ne postoji, tako da je neophodno što hitnije raditi na njegovom uspostavljanju.</w:t>
      </w:r>
      <w:r w:rsidR="00BE7913">
        <w:rPr>
          <w:rFonts w:ascii="Constantia" w:hAnsi="Constantia"/>
        </w:rPr>
        <w:t xml:space="preserve"> </w:t>
      </w:r>
    </w:p>
    <w:p w:rsidR="00BE7913" w:rsidRDefault="00BE7913" w:rsidP="004F3444">
      <w:pPr>
        <w:rPr>
          <w:rFonts w:ascii="Constantia" w:hAnsi="Constantia"/>
        </w:rPr>
      </w:pPr>
    </w:p>
    <w:p w:rsidR="00BE7913" w:rsidRDefault="00BE7913" w:rsidP="004F3444">
      <w:pPr>
        <w:rPr>
          <w:rFonts w:ascii="Constantia" w:hAnsi="Constantia"/>
        </w:rPr>
      </w:pPr>
    </w:p>
    <w:p w:rsidR="00BE7913" w:rsidRPr="000C51CE" w:rsidRDefault="00BE7913" w:rsidP="00BE7913">
      <w:pPr>
        <w:spacing w:after="0" w:line="276" w:lineRule="auto"/>
        <w:contextualSpacing/>
        <w:jc w:val="center"/>
        <w:rPr>
          <w:rFonts w:ascii="Constantia" w:hAnsi="Constantia"/>
        </w:rPr>
      </w:pPr>
      <w:r w:rsidRPr="000C51CE">
        <w:rPr>
          <w:rFonts w:ascii="Constantia" w:hAnsi="Constantia"/>
        </w:rPr>
        <w:t>*</w:t>
      </w:r>
      <w:r w:rsidRPr="000C51CE">
        <w:rPr>
          <w:rFonts w:ascii="Constantia" w:hAnsi="Constantia"/>
        </w:rPr>
        <w:tab/>
        <w:t>*</w:t>
      </w:r>
      <w:r w:rsidRPr="000C51CE">
        <w:rPr>
          <w:rFonts w:ascii="Constantia" w:hAnsi="Constantia"/>
        </w:rPr>
        <w:tab/>
        <w:t>*</w:t>
      </w:r>
    </w:p>
    <w:p w:rsidR="00BE7913" w:rsidRPr="00065059" w:rsidRDefault="00BE7913" w:rsidP="00BE7913">
      <w:pPr>
        <w:jc w:val="center"/>
        <w:rPr>
          <w:rFonts w:ascii="Constantia" w:hAnsi="Constantia"/>
        </w:rPr>
      </w:pPr>
    </w:p>
    <w:p w:rsidR="00E7780B" w:rsidRDefault="00E7780B" w:rsidP="006529B4">
      <w:pPr>
        <w:pStyle w:val="Heading1"/>
        <w:spacing w:before="0"/>
      </w:pPr>
      <w:bookmarkStart w:id="50" w:name="_Toc318278299"/>
      <w:bookmarkStart w:id="51" w:name="_Toc362938315"/>
      <w:bookmarkStart w:id="52" w:name="_Toc393897885"/>
      <w:r w:rsidRPr="00687233">
        <w:lastRenderedPageBreak/>
        <w:t>ZEMLJI</w:t>
      </w:r>
      <w:bookmarkEnd w:id="50"/>
      <w:bookmarkEnd w:id="51"/>
      <w:r w:rsidRPr="00687233">
        <w:t>ŠTE</w:t>
      </w:r>
      <w:bookmarkEnd w:id="52"/>
    </w:p>
    <w:p w:rsidR="00E7780B" w:rsidRPr="006B57BC" w:rsidRDefault="00E7780B" w:rsidP="00687233">
      <w:pPr>
        <w:pStyle w:val="Heading3"/>
      </w:pPr>
      <w:bookmarkStart w:id="53" w:name="_Toc362938316"/>
      <w:bookmarkStart w:id="54" w:name="_Toc393897886"/>
      <w:r w:rsidRPr="00687233">
        <w:t>U</w:t>
      </w:r>
      <w:r w:rsidR="00687233">
        <w:t>vod</w:t>
      </w:r>
      <w:bookmarkEnd w:id="53"/>
      <w:bookmarkEnd w:id="54"/>
    </w:p>
    <w:p w:rsidR="00E7780B" w:rsidRPr="005E4028" w:rsidRDefault="00E7780B" w:rsidP="00DE6B70">
      <w:pPr>
        <w:rPr>
          <w:rFonts w:ascii="Constantia" w:hAnsi="Constantia"/>
          <w:lang w:val="sr-Latn-CS"/>
        </w:rPr>
      </w:pPr>
      <w:r w:rsidRPr="00897A69">
        <w:rPr>
          <w:rFonts w:ascii="Constantia" w:hAnsi="Constantia"/>
          <w:lang w:val="sr-Latn-CS"/>
        </w:rPr>
        <w:t>Pod zemljištem se podrazumijeva površinski sloj zemljine kore. Korišćenjem zemljišta često dolazi do poremećaja ravnoteže pojedinih sastojaka, što neminovno dovodi do njegovog oštećenja. Zemljište bi trebalo posmatrati kao multifunkcionalni sistem, a ne kao skup fizičkih i hemijskih svo</w:t>
      </w:r>
      <w:r>
        <w:rPr>
          <w:rFonts w:ascii="Constantia" w:hAnsi="Constantia"/>
          <w:lang w:val="sr-Latn-CS"/>
        </w:rPr>
        <w:t>jstava. Osim što je izvor hrane i</w:t>
      </w:r>
      <w:r w:rsidRPr="00897A69">
        <w:rPr>
          <w:rFonts w:ascii="Constantia" w:hAnsi="Constantia"/>
          <w:lang w:val="sr-Latn-CS"/>
        </w:rPr>
        <w:t xml:space="preserve"> vode, ono </w:t>
      </w:r>
      <w:r>
        <w:rPr>
          <w:rFonts w:ascii="Constantia" w:hAnsi="Constantia"/>
          <w:lang w:val="sr-Latn-CS"/>
        </w:rPr>
        <w:t>predstavlja i izvor biodiverziteta i životnu sredinu</w:t>
      </w:r>
      <w:r w:rsidRPr="00897A69">
        <w:rPr>
          <w:rFonts w:ascii="Constantia" w:hAnsi="Constantia"/>
          <w:lang w:val="sr-Latn-CS"/>
        </w:rPr>
        <w:t xml:space="preserve"> za ljudska bića. Stoga</w:t>
      </w:r>
      <w:r>
        <w:rPr>
          <w:rFonts w:ascii="Constantia" w:hAnsi="Constantia"/>
          <w:lang w:val="sr-Latn-CS"/>
        </w:rPr>
        <w:t xml:space="preserve">, </w:t>
      </w:r>
      <w:r w:rsidRPr="00897A69">
        <w:rPr>
          <w:rFonts w:ascii="Constantia" w:hAnsi="Constantia"/>
          <w:lang w:val="sr-Latn-CS"/>
        </w:rPr>
        <w:t>sprovođenje monitoringa zemljišta</w:t>
      </w:r>
      <w:r>
        <w:rPr>
          <w:rFonts w:ascii="Constantia" w:hAnsi="Constantia"/>
          <w:lang w:val="sr-Latn-CS"/>
        </w:rPr>
        <w:t>, kao jedne</w:t>
      </w:r>
      <w:r w:rsidRPr="00897A69">
        <w:rPr>
          <w:rFonts w:ascii="Constantia" w:hAnsi="Constantia"/>
          <w:lang w:val="sr-Latn-CS"/>
        </w:rPr>
        <w:t xml:space="preserve"> od mjera zaštite i očuvanja zemljišta</w:t>
      </w:r>
      <w:r>
        <w:rPr>
          <w:rFonts w:ascii="Constantia" w:hAnsi="Constantia"/>
          <w:lang w:val="sr-Latn-CS"/>
        </w:rPr>
        <w:t>,</w:t>
      </w:r>
      <w:r w:rsidRPr="00897A69">
        <w:rPr>
          <w:rFonts w:ascii="Constantia" w:hAnsi="Constantia"/>
          <w:lang w:val="sr-Latn-CS"/>
        </w:rPr>
        <w:t xml:space="preserve"> predstavlja preduslov očuvanja kvalitetnog života</w:t>
      </w:r>
      <w:r>
        <w:rPr>
          <w:rFonts w:ascii="Constantia" w:hAnsi="Constantia"/>
          <w:lang w:val="sr-Latn-CS"/>
        </w:rPr>
        <w:t>,</w:t>
      </w:r>
      <w:r w:rsidRPr="00897A69">
        <w:rPr>
          <w:rFonts w:ascii="Constantia" w:hAnsi="Constantia"/>
          <w:lang w:val="sr-Latn-CS"/>
        </w:rPr>
        <w:t xml:space="preserve"> ali i opstanka živog svijeta.</w:t>
      </w:r>
      <w:r>
        <w:rPr>
          <w:rFonts w:ascii="Constantia" w:hAnsi="Constantia"/>
          <w:lang w:val="sr-Latn-CS"/>
        </w:rPr>
        <w:t xml:space="preserve"> </w:t>
      </w:r>
      <w:r w:rsidRPr="00897A69">
        <w:rPr>
          <w:rFonts w:ascii="Constantia" w:hAnsi="Constantia"/>
          <w:lang w:val="sr-Latn-CS"/>
        </w:rPr>
        <w:t xml:space="preserve">U slučaju trajnog isključenja zemljišta, </w:t>
      </w:r>
      <w:r>
        <w:rPr>
          <w:rFonts w:ascii="Constantia" w:hAnsi="Constantia"/>
          <w:lang w:val="sr-Latn-CS"/>
        </w:rPr>
        <w:t>ono</w:t>
      </w:r>
      <w:r w:rsidRPr="00897A69">
        <w:rPr>
          <w:rFonts w:ascii="Constantia" w:hAnsi="Constantia"/>
          <w:lang w:val="sr-Latn-CS"/>
        </w:rPr>
        <w:t xml:space="preserve"> se više ne može dovesti u prvobitno stanje. Uzroci t</w:t>
      </w:r>
      <w:r>
        <w:rPr>
          <w:rFonts w:ascii="Constantia" w:hAnsi="Constantia"/>
          <w:lang w:val="sr-Latn-CS"/>
        </w:rPr>
        <w:t>rajnog isključenja zemljišta su</w:t>
      </w:r>
      <w:r w:rsidRPr="00897A69">
        <w:rPr>
          <w:rFonts w:ascii="Constantia" w:hAnsi="Constantia"/>
          <w:lang w:val="sr-Latn-CS"/>
        </w:rPr>
        <w:t xml:space="preserve"> izgradnja saobraćajnica, stambenih naselja, industrijskih i energetskih objekata.</w:t>
      </w:r>
    </w:p>
    <w:p w:rsidR="00E7780B" w:rsidRPr="005E4028" w:rsidRDefault="00E7780B" w:rsidP="00DE6B70">
      <w:pPr>
        <w:rPr>
          <w:rFonts w:ascii="Constantia" w:hAnsi="Constantia"/>
          <w:lang w:val="sr-Latn-CS"/>
        </w:rPr>
      </w:pPr>
      <w:r>
        <w:rPr>
          <w:rFonts w:ascii="Constantia" w:hAnsi="Constantia"/>
          <w:lang w:val="sr-Latn-CS"/>
        </w:rPr>
        <w:t>U određenim količinama, t</w:t>
      </w:r>
      <w:r w:rsidRPr="00897A69">
        <w:rPr>
          <w:rFonts w:ascii="Constantia" w:hAnsi="Constantia"/>
          <w:lang w:val="sr-Latn-CS"/>
        </w:rPr>
        <w:t xml:space="preserve">eški metali se prirodno nalaze u zemljištu i vode porijeklo od matične stijene, odnosno supstrata na kojem je zemljište nastalo. U površinskim </w:t>
      </w:r>
      <w:r>
        <w:rPr>
          <w:rFonts w:ascii="Constantia" w:hAnsi="Constantia"/>
          <w:lang w:val="sr-Latn-CS"/>
        </w:rPr>
        <w:t>slojevima</w:t>
      </w:r>
      <w:r w:rsidRPr="00897A69">
        <w:rPr>
          <w:rFonts w:ascii="Constantia" w:hAnsi="Constantia"/>
          <w:lang w:val="sr-Latn-CS"/>
        </w:rPr>
        <w:t xml:space="preserve"> zemljišta često se mogu naći i teški metali koji nisu geohemijskog već antropogenog porijekla, odnosno, d</w:t>
      </w:r>
      <w:r w:rsidR="00551EBA">
        <w:rPr>
          <w:rFonts w:ascii="Constantia" w:hAnsi="Constantia"/>
          <w:lang w:val="sr-Latn-CS"/>
        </w:rPr>
        <w:t>ospjeli su u zemljište kao posl</w:t>
      </w:r>
      <w:r w:rsidRPr="00897A69">
        <w:rPr>
          <w:rFonts w:ascii="Constantia" w:hAnsi="Constantia"/>
          <w:lang w:val="sr-Latn-CS"/>
        </w:rPr>
        <w:t>edica različitih ljudskih aktivnosti (industrija, sagorijevanje fosilnih goriva, primjena agrohemikalija, atmosferska depozicija...).</w:t>
      </w:r>
    </w:p>
    <w:p w:rsidR="00E7780B" w:rsidRPr="005E4028" w:rsidRDefault="00E7780B" w:rsidP="00DE6B70">
      <w:pPr>
        <w:rPr>
          <w:rFonts w:ascii="Constantia" w:hAnsi="Constantia"/>
          <w:lang w:val="sr-Latn-CS"/>
        </w:rPr>
      </w:pPr>
      <w:r w:rsidRPr="00897A69">
        <w:rPr>
          <w:rFonts w:ascii="Constantia" w:hAnsi="Constantia"/>
          <w:lang w:val="sr-Latn-CS"/>
        </w:rPr>
        <w:t>Pored neorganskih zagađujućih materija</w:t>
      </w:r>
      <w:r>
        <w:rPr>
          <w:rFonts w:ascii="Constantia" w:hAnsi="Constantia"/>
          <w:lang w:val="sr-Latn-CS"/>
        </w:rPr>
        <w:t>,</w:t>
      </w:r>
      <w:r w:rsidRPr="00897A69">
        <w:rPr>
          <w:rFonts w:ascii="Constantia" w:hAnsi="Constantia"/>
          <w:lang w:val="sr-Latn-CS"/>
        </w:rPr>
        <w:t xml:space="preserve"> u zemljištu su često prisutne i brojne organske zagađujuće materije koje zbog niske biodegradabilnosti naziva</w:t>
      </w:r>
      <w:r>
        <w:rPr>
          <w:rFonts w:ascii="Constantia" w:hAnsi="Constantia"/>
          <w:lang w:val="sr-Latn-CS"/>
        </w:rPr>
        <w:t xml:space="preserve">ju </w:t>
      </w:r>
      <w:r w:rsidRPr="00897A69">
        <w:rPr>
          <w:rFonts w:ascii="Constantia" w:hAnsi="Constantia"/>
          <w:lang w:val="sr-Latn-CS"/>
        </w:rPr>
        <w:t>perzistentnim (perzistentni organski polutanti tzv. POPs) u koje spadaju policiklični aromatični ugljovodonici (PAH), polihlorovani bifenili (PCB) i ostaci pesticida i njihovih metabolita.</w:t>
      </w:r>
    </w:p>
    <w:p w:rsidR="00E7780B" w:rsidRPr="005E4028" w:rsidRDefault="00E7780B" w:rsidP="00DE6B70">
      <w:pPr>
        <w:rPr>
          <w:rFonts w:ascii="Constantia" w:hAnsi="Constantia"/>
          <w:lang w:val="sr-Latn-CS"/>
        </w:rPr>
      </w:pPr>
      <w:r w:rsidRPr="00897A69">
        <w:rPr>
          <w:rFonts w:ascii="Constantia" w:hAnsi="Constantia"/>
          <w:lang w:val="sr-Latn-CS"/>
        </w:rPr>
        <w:t>U</w:t>
      </w:r>
      <w:r>
        <w:rPr>
          <w:rFonts w:ascii="Constantia" w:hAnsi="Constantia"/>
          <w:lang w:val="sr-Latn-CS"/>
        </w:rPr>
        <w:t xml:space="preserve"> odnosu na ruralna, u</w:t>
      </w:r>
      <w:r w:rsidRPr="00897A69">
        <w:rPr>
          <w:rFonts w:ascii="Constantia" w:hAnsi="Constantia"/>
          <w:lang w:val="sr-Latn-CS"/>
        </w:rPr>
        <w:t xml:space="preserve">rbana zemljišta su </w:t>
      </w:r>
      <w:r>
        <w:rPr>
          <w:rFonts w:ascii="Constantia" w:hAnsi="Constantia"/>
          <w:lang w:val="sr-Latn-CS"/>
        </w:rPr>
        <w:t xml:space="preserve">često </w:t>
      </w:r>
      <w:r w:rsidRPr="00897A69">
        <w:rPr>
          <w:rFonts w:ascii="Constantia" w:hAnsi="Constantia"/>
          <w:lang w:val="sr-Latn-CS"/>
        </w:rPr>
        <w:t>više izložena antropogenom uticaju zbog veće gustine naseljenosti, inte</w:t>
      </w:r>
      <w:r>
        <w:rPr>
          <w:rFonts w:ascii="Constantia" w:hAnsi="Constantia"/>
          <w:lang w:val="sr-Latn-CS"/>
        </w:rPr>
        <w:t>n</w:t>
      </w:r>
      <w:r w:rsidRPr="00897A69">
        <w:rPr>
          <w:rFonts w:ascii="Constantia" w:hAnsi="Constantia"/>
          <w:lang w:val="sr-Latn-CS"/>
        </w:rPr>
        <w:t>ziteta saobraćaja, blizine industrije itd. Dugotrajno unošenje zagađujućih materija u zemljište može dovesti do smanjenja njegovog pufersko</w:t>
      </w:r>
      <w:r w:rsidR="003F0094">
        <w:rPr>
          <w:rFonts w:ascii="Constantia" w:hAnsi="Constantia"/>
          <w:lang w:val="sr-Latn-CS"/>
        </w:rPr>
        <w:t>g kapaciteta što kao posl</w:t>
      </w:r>
      <w:r w:rsidRPr="00897A69">
        <w:rPr>
          <w:rFonts w:ascii="Constantia" w:hAnsi="Constantia"/>
          <w:lang w:val="sr-Latn-CS"/>
        </w:rPr>
        <w:t>edicu može imati trajnu kontaminaciju zemljišta i podzemn</w:t>
      </w:r>
      <w:r>
        <w:rPr>
          <w:rFonts w:ascii="Constantia" w:hAnsi="Constantia"/>
          <w:lang w:val="sr-Latn-CS"/>
        </w:rPr>
        <w:t>ih voda</w:t>
      </w:r>
      <w:r w:rsidRPr="00897A69">
        <w:rPr>
          <w:rFonts w:ascii="Constantia" w:hAnsi="Constantia"/>
          <w:lang w:val="sr-Latn-CS"/>
        </w:rPr>
        <w:t xml:space="preserve"> (</w:t>
      </w:r>
      <w:r w:rsidRPr="003F0094">
        <w:rPr>
          <w:rFonts w:ascii="Constantia" w:hAnsi="Constantia"/>
          <w:lang w:val="sr-Latn-CS"/>
        </w:rPr>
        <w:t>Thornton, 1991</w:t>
      </w:r>
      <w:r w:rsidRPr="00897A69">
        <w:rPr>
          <w:rFonts w:ascii="Constantia" w:hAnsi="Constantia"/>
          <w:lang w:val="sr-Latn-CS"/>
        </w:rPr>
        <w:t>).</w:t>
      </w:r>
    </w:p>
    <w:p w:rsidR="00E7780B" w:rsidRPr="005E4028" w:rsidRDefault="00E7780B" w:rsidP="00DE6B70">
      <w:pPr>
        <w:rPr>
          <w:rFonts w:ascii="Constantia" w:hAnsi="Constantia"/>
          <w:lang w:val="sr-Latn-CS"/>
        </w:rPr>
      </w:pPr>
      <w:r w:rsidRPr="00897A69">
        <w:rPr>
          <w:rFonts w:ascii="Constantia" w:hAnsi="Constantia"/>
          <w:lang w:val="sr-Latn-CS"/>
        </w:rPr>
        <w:t xml:space="preserve">Postoji nekoliko </w:t>
      </w:r>
      <w:r>
        <w:rPr>
          <w:rFonts w:ascii="Constantia" w:hAnsi="Constantia"/>
          <w:lang w:val="sr-Latn-CS"/>
        </w:rPr>
        <w:t xml:space="preserve">načina </w:t>
      </w:r>
      <w:r w:rsidRPr="00897A69">
        <w:rPr>
          <w:rFonts w:ascii="Constantia" w:hAnsi="Constantia"/>
          <w:lang w:val="sr-Latn-CS"/>
        </w:rPr>
        <w:t xml:space="preserve">kojima </w:t>
      </w:r>
      <w:r w:rsidR="00F708FB">
        <w:rPr>
          <w:rFonts w:ascii="Constantia" w:hAnsi="Constantia"/>
          <w:lang w:val="sr-Latn-CS"/>
        </w:rPr>
        <w:t>zagađujuće supstance iz</w:t>
      </w:r>
      <w:r>
        <w:rPr>
          <w:rFonts w:ascii="Constantia" w:hAnsi="Constantia"/>
          <w:lang w:val="sr-Latn-CS"/>
        </w:rPr>
        <w:t xml:space="preserve"> </w:t>
      </w:r>
      <w:r w:rsidRPr="00897A69">
        <w:rPr>
          <w:rFonts w:ascii="Constantia" w:hAnsi="Constantia"/>
          <w:lang w:val="sr-Latn-CS"/>
        </w:rPr>
        <w:t>zemljišta mogu dospjeti u ljudski organizam. Najvažnij</w:t>
      </w:r>
      <w:r>
        <w:rPr>
          <w:rFonts w:ascii="Constantia" w:hAnsi="Constantia"/>
          <w:lang w:val="sr-Latn-CS"/>
        </w:rPr>
        <w:t>i</w:t>
      </w:r>
      <w:r w:rsidRPr="00897A69">
        <w:rPr>
          <w:rFonts w:ascii="Constantia" w:hAnsi="Constantia"/>
          <w:lang w:val="sr-Latn-CS"/>
        </w:rPr>
        <w:t xml:space="preserve"> od njih je </w:t>
      </w:r>
      <w:r>
        <w:rPr>
          <w:rFonts w:ascii="Constantia" w:hAnsi="Constantia"/>
          <w:lang w:val="sr-Latn-CS"/>
        </w:rPr>
        <w:t xml:space="preserve">povezanost </w:t>
      </w:r>
      <w:r w:rsidRPr="00897A69">
        <w:rPr>
          <w:rFonts w:ascii="Constantia" w:hAnsi="Constantia"/>
          <w:lang w:val="sr-Latn-CS"/>
        </w:rPr>
        <w:t>zemljišt</w:t>
      </w:r>
      <w:r>
        <w:rPr>
          <w:rFonts w:ascii="Constantia" w:hAnsi="Constantia"/>
          <w:lang w:val="sr-Latn-CS"/>
        </w:rPr>
        <w:t xml:space="preserve">a sa </w:t>
      </w:r>
      <w:r w:rsidRPr="00897A69">
        <w:rPr>
          <w:rFonts w:ascii="Constantia" w:hAnsi="Constantia"/>
          <w:lang w:val="sr-Latn-CS"/>
        </w:rPr>
        <w:t>uobičajen</w:t>
      </w:r>
      <w:r>
        <w:rPr>
          <w:rFonts w:ascii="Constantia" w:hAnsi="Constantia"/>
          <w:lang w:val="sr-Latn-CS"/>
        </w:rPr>
        <w:t>im ljudskim</w:t>
      </w:r>
      <w:r w:rsidRPr="00897A69">
        <w:rPr>
          <w:rFonts w:ascii="Constantia" w:hAnsi="Constantia"/>
          <w:lang w:val="sr-Latn-CS"/>
        </w:rPr>
        <w:t xml:space="preserve"> aktivnosti</w:t>
      </w:r>
      <w:r>
        <w:rPr>
          <w:rFonts w:ascii="Constantia" w:hAnsi="Constantia"/>
          <w:lang w:val="sr-Latn-CS"/>
        </w:rPr>
        <w:t>ma</w:t>
      </w:r>
      <w:r w:rsidRPr="00897A69">
        <w:rPr>
          <w:rFonts w:ascii="Constantia" w:hAnsi="Constantia"/>
          <w:lang w:val="sr-Latn-CS"/>
        </w:rPr>
        <w:t>, k</w:t>
      </w:r>
      <w:r>
        <w:rPr>
          <w:rFonts w:ascii="Constantia" w:hAnsi="Constantia"/>
          <w:lang w:val="sr-Latn-CS"/>
        </w:rPr>
        <w:t>ojima</w:t>
      </w:r>
      <w:r w:rsidRPr="00897A69">
        <w:rPr>
          <w:rFonts w:ascii="Constantia" w:hAnsi="Constantia"/>
          <w:lang w:val="sr-Latn-CS"/>
        </w:rPr>
        <w:t xml:space="preserve"> čovjek dolazi u kontakt sa zemljištem boraveći u parkovima, na igralištima, stambenim zonama, industrijskim, komercijalnim i drugim objektima. Drug</w:t>
      </w:r>
      <w:r>
        <w:rPr>
          <w:rFonts w:ascii="Constantia" w:hAnsi="Constantia"/>
          <w:lang w:val="sr-Latn-CS"/>
        </w:rPr>
        <w:t xml:space="preserve">i način </w:t>
      </w:r>
      <w:r w:rsidRPr="00897A69">
        <w:rPr>
          <w:rFonts w:ascii="Constantia" w:hAnsi="Constantia"/>
          <w:lang w:val="sr-Latn-CS"/>
        </w:rPr>
        <w:t xml:space="preserve">po značaju je </w:t>
      </w:r>
      <w:r>
        <w:rPr>
          <w:rFonts w:ascii="Constantia" w:hAnsi="Constantia"/>
          <w:lang w:val="sr-Latn-CS"/>
        </w:rPr>
        <w:t>odnos</w:t>
      </w:r>
      <w:r w:rsidRPr="00897A69">
        <w:rPr>
          <w:rFonts w:ascii="Constantia" w:hAnsi="Constantia"/>
          <w:lang w:val="sr-Latn-CS"/>
        </w:rPr>
        <w:t xml:space="preserve"> zemljište </w:t>
      </w:r>
      <w:r>
        <w:rPr>
          <w:rFonts w:ascii="Constantia" w:hAnsi="Constantia"/>
          <w:lang w:val="sr-Latn-CS"/>
        </w:rPr>
        <w:t xml:space="preserve">– </w:t>
      </w:r>
      <w:r w:rsidRPr="00897A69">
        <w:rPr>
          <w:rFonts w:ascii="Constantia" w:hAnsi="Constantia"/>
          <w:lang w:val="sr-Latn-CS"/>
        </w:rPr>
        <w:t>korisne biljke – čovje</w:t>
      </w:r>
      <w:r>
        <w:rPr>
          <w:rFonts w:ascii="Constantia" w:hAnsi="Constantia"/>
          <w:lang w:val="sr-Latn-CS"/>
        </w:rPr>
        <w:t>k, kada čovjek dolazi u dodir s</w:t>
      </w:r>
      <w:r w:rsidR="00F708FB">
        <w:rPr>
          <w:rFonts w:ascii="Constantia" w:hAnsi="Constantia"/>
          <w:lang w:val="sr-Latn-CS"/>
        </w:rPr>
        <w:t>a zagađujućim supstancama</w:t>
      </w:r>
      <w:r w:rsidRPr="00897A69">
        <w:rPr>
          <w:rFonts w:ascii="Constantia" w:hAnsi="Constantia"/>
          <w:lang w:val="sr-Latn-CS"/>
        </w:rPr>
        <w:t xml:space="preserve"> posredno, preko biljaka koje </w:t>
      </w:r>
      <w:r>
        <w:rPr>
          <w:rFonts w:ascii="Constantia" w:hAnsi="Constantia"/>
          <w:lang w:val="sr-Latn-CS"/>
        </w:rPr>
        <w:t>uzgaja</w:t>
      </w:r>
      <w:r w:rsidRPr="00897A69">
        <w:rPr>
          <w:rFonts w:ascii="Constantia" w:hAnsi="Constantia"/>
          <w:lang w:val="sr-Latn-CS"/>
        </w:rPr>
        <w:t xml:space="preserve"> na zagađenim zemljištima.</w:t>
      </w:r>
    </w:p>
    <w:p w:rsidR="00E7780B" w:rsidRPr="005E4028" w:rsidRDefault="00E7780B" w:rsidP="00DE6B70">
      <w:pPr>
        <w:rPr>
          <w:rFonts w:ascii="Constantia" w:hAnsi="Constantia"/>
          <w:lang w:val="sr-Latn-CS"/>
        </w:rPr>
      </w:pPr>
      <w:r w:rsidRPr="00897A69">
        <w:rPr>
          <w:rFonts w:ascii="Constantia" w:hAnsi="Constantia"/>
          <w:lang w:val="sr-Latn-CS"/>
        </w:rPr>
        <w:t>U cilju određivanja kvaliteta zemljišta, odnosno utvrđivanja sadržaja opasnih i štetnih materija u zemljištu u toku 201</w:t>
      </w:r>
      <w:r>
        <w:rPr>
          <w:rFonts w:ascii="Constantia" w:hAnsi="Constantia"/>
          <w:lang w:val="sr-Latn-CS"/>
        </w:rPr>
        <w:t>3.</w:t>
      </w:r>
      <w:r w:rsidRPr="00897A69">
        <w:rPr>
          <w:rFonts w:ascii="Constantia" w:hAnsi="Constantia"/>
          <w:lang w:val="sr-Latn-CS"/>
        </w:rPr>
        <w:t xml:space="preserve"> godine, izvršeno je uzorkovanje i analiza zemljišta u 10 gradskih naselja u Crnoj Gori, od toga na dječijim igralištima u </w:t>
      </w:r>
      <w:r>
        <w:rPr>
          <w:rFonts w:ascii="Constantia" w:hAnsi="Constantia"/>
          <w:lang w:val="sr-Latn-CS"/>
        </w:rPr>
        <w:t xml:space="preserve">4 </w:t>
      </w:r>
      <w:r w:rsidRPr="006D654B">
        <w:rPr>
          <w:rFonts w:ascii="Constantia" w:hAnsi="Constantia"/>
          <w:lang w:val="sr-Latn-CS"/>
        </w:rPr>
        <w:t>o</w:t>
      </w:r>
      <w:r w:rsidRPr="00897A69">
        <w:rPr>
          <w:rFonts w:ascii="Constantia" w:hAnsi="Constantia"/>
          <w:lang w:val="sr-Latn-CS"/>
        </w:rPr>
        <w:t>pštine. U ovim uzorcima je izvršena analiza na moguće prisustvo neorganskih materija (kadmijum, olovo, živa, arsen, hrom, nikal, fluor, bakar, molibden, bor, cink i kobalt) i organskih materija (policiklični aromatični ugljovodonici, polihlorovani bifenili, PCB kongeneri, organokalajna jedinjenja, triazini, ditiokarbamati, karbamati, hlorfenoksi i organohlorni pesticidi). Uzorci zemljišta u blizini trafostanica ispitivani su na mogući sadržaj PCB</w:t>
      </w:r>
      <w:r w:rsidRPr="006D654B">
        <w:rPr>
          <w:rFonts w:ascii="Constantia" w:hAnsi="Constantia"/>
          <w:lang w:val="sr-Latn-CS"/>
        </w:rPr>
        <w:t xml:space="preserve"> i na određenim lokacijama dioksina i furana. Rezulta</w:t>
      </w:r>
      <w:r>
        <w:rPr>
          <w:rFonts w:ascii="Constantia" w:hAnsi="Constantia"/>
          <w:lang w:val="sr-Latn-CS"/>
        </w:rPr>
        <w:t>ti ispitivanja su upoređivani s</w:t>
      </w:r>
      <w:r w:rsidR="00484138">
        <w:rPr>
          <w:rFonts w:ascii="Constantia" w:hAnsi="Constantia"/>
          <w:lang w:val="sr-Latn-CS"/>
        </w:rPr>
        <w:t>a</w:t>
      </w:r>
      <w:r w:rsidRPr="006D654B">
        <w:rPr>
          <w:rFonts w:ascii="Constantia" w:hAnsi="Constantia"/>
          <w:lang w:val="sr-Latn-CS"/>
        </w:rPr>
        <w:t xml:space="preserve"> maksimalno dozvoljenim koncentarcijama (u daljem tekstu</w:t>
      </w:r>
      <w:r>
        <w:rPr>
          <w:rFonts w:ascii="Constantia" w:hAnsi="Constantia"/>
          <w:lang w:val="sr-Latn-CS"/>
        </w:rPr>
        <w:t>:</w:t>
      </w:r>
      <w:r w:rsidRPr="006D654B">
        <w:rPr>
          <w:rFonts w:ascii="Constantia" w:hAnsi="Constantia"/>
          <w:lang w:val="sr-Latn-CS"/>
        </w:rPr>
        <w:t xml:space="preserve"> MDK) normiranim Pravilnikom o dozvoljenim količinama opasnih i štetnih materija u zemljištu i metodama za njihovo ispitivanje (</w:t>
      </w:r>
      <w:r>
        <w:rPr>
          <w:rFonts w:ascii="Constantia" w:hAnsi="Constantia"/>
          <w:lang w:val="sr-Latn-CS"/>
        </w:rPr>
        <w:t>„</w:t>
      </w:r>
      <w:r w:rsidRPr="006D654B">
        <w:rPr>
          <w:rFonts w:ascii="Constantia" w:hAnsi="Constantia"/>
          <w:lang w:val="sr-Latn-CS"/>
        </w:rPr>
        <w:t>Sl.</w:t>
      </w:r>
      <w:r>
        <w:rPr>
          <w:rFonts w:ascii="Constantia" w:hAnsi="Constantia"/>
          <w:lang w:val="sr-Latn-CS"/>
        </w:rPr>
        <w:t xml:space="preserve"> </w:t>
      </w:r>
      <w:r w:rsidRPr="006D654B">
        <w:rPr>
          <w:rFonts w:ascii="Constantia" w:hAnsi="Constantia"/>
          <w:lang w:val="sr-Latn-CS"/>
        </w:rPr>
        <w:t>list RCG</w:t>
      </w:r>
      <w:r>
        <w:rPr>
          <w:rFonts w:ascii="Constantia" w:hAnsi="Constantia"/>
          <w:lang w:val="sr-Latn-CS"/>
        </w:rPr>
        <w:t>“</w:t>
      </w:r>
      <w:r w:rsidRPr="006D654B">
        <w:rPr>
          <w:rFonts w:ascii="Constantia" w:hAnsi="Constantia"/>
          <w:lang w:val="sr-Latn-CS"/>
        </w:rPr>
        <w:t xml:space="preserve">, </w:t>
      </w:r>
      <w:r>
        <w:rPr>
          <w:rFonts w:ascii="Constantia" w:hAnsi="Constantia"/>
          <w:lang w:val="sr-Latn-CS"/>
        </w:rPr>
        <w:t xml:space="preserve">br. </w:t>
      </w:r>
      <w:r w:rsidRPr="006D654B">
        <w:rPr>
          <w:rFonts w:ascii="Constantia" w:hAnsi="Constantia"/>
          <w:lang w:val="sr-Latn-CS"/>
        </w:rPr>
        <w:t>18/97)</w:t>
      </w:r>
      <w:r>
        <w:rPr>
          <w:rFonts w:ascii="Constantia" w:hAnsi="Constantia"/>
          <w:lang w:val="sr-Latn-CS"/>
        </w:rPr>
        <w:t>, (</w:t>
      </w:r>
      <w:r w:rsidRPr="006D654B">
        <w:rPr>
          <w:rFonts w:ascii="Constantia" w:hAnsi="Constantia"/>
          <w:lang w:val="sr-Latn-CS"/>
        </w:rPr>
        <w:t>u daljem tekstu</w:t>
      </w:r>
      <w:r>
        <w:rPr>
          <w:rFonts w:ascii="Constantia" w:hAnsi="Constantia"/>
          <w:lang w:val="sr-Latn-CS"/>
        </w:rPr>
        <w:t>: Pravilnik</w:t>
      </w:r>
      <w:r w:rsidRPr="006D654B">
        <w:rPr>
          <w:rFonts w:ascii="Constantia" w:hAnsi="Constantia"/>
          <w:lang w:val="sr-Latn-CS"/>
        </w:rPr>
        <w:t>).</w:t>
      </w:r>
    </w:p>
    <w:p w:rsidR="00E7780B" w:rsidRDefault="00E7780B" w:rsidP="00DE6B70">
      <w:pPr>
        <w:rPr>
          <w:rFonts w:ascii="Constantia" w:hAnsi="Constantia"/>
          <w:lang w:val="sr-Latn-CS"/>
        </w:rPr>
      </w:pPr>
      <w:r w:rsidRPr="006D654B">
        <w:rPr>
          <w:rFonts w:ascii="Constantia" w:hAnsi="Constantia"/>
          <w:lang w:val="sr-Latn-CS"/>
        </w:rPr>
        <w:t>Zahvaljujući svom najvažnijem svojstvu</w:t>
      </w:r>
      <w:r>
        <w:rPr>
          <w:rFonts w:ascii="Constantia" w:hAnsi="Constantia"/>
          <w:lang w:val="sr-Latn-CS"/>
        </w:rPr>
        <w:t xml:space="preserve"> – </w:t>
      </w:r>
      <w:r w:rsidRPr="006D654B">
        <w:rPr>
          <w:rFonts w:ascii="Constantia" w:hAnsi="Constantia"/>
          <w:lang w:val="sr-Latn-CS"/>
        </w:rPr>
        <w:t xml:space="preserve">plodnosti, tj. sposobnosti da pruža uslove za rast biljaka, </w:t>
      </w:r>
      <w:r>
        <w:rPr>
          <w:rFonts w:ascii="Constantia" w:hAnsi="Constantia"/>
          <w:lang w:val="sr-Latn-CS"/>
        </w:rPr>
        <w:t>zemljište je prije svega</w:t>
      </w:r>
      <w:r w:rsidRPr="006D654B">
        <w:rPr>
          <w:rFonts w:ascii="Constantia" w:hAnsi="Constantia"/>
          <w:lang w:val="sr-Latn-CS"/>
        </w:rPr>
        <w:t xml:space="preserve"> neophodan uslov opstanka kopnenih biljaka, koje iz njega usvajaju vodu, mineralne materije i kiseonik. Kako su biljke osnovni izvor hrane za životinje i čovjeka, to je zemljište neophodan uslov za opstanak ljudske populacije.</w:t>
      </w:r>
    </w:p>
    <w:p w:rsidR="00DE6B70" w:rsidRPr="005E4028" w:rsidRDefault="00DE6B70" w:rsidP="00484138">
      <w:pPr>
        <w:spacing w:after="0"/>
        <w:rPr>
          <w:rFonts w:ascii="Constantia" w:hAnsi="Constantia"/>
          <w:lang w:val="sr-Latn-CS"/>
        </w:rPr>
      </w:pPr>
    </w:p>
    <w:tbl>
      <w:tblPr>
        <w:tblStyle w:val="LightGrid-Accent5"/>
        <w:tblW w:w="0" w:type="auto"/>
        <w:jc w:val="center"/>
        <w:tblInd w:w="108" w:type="dxa"/>
        <w:tblLook w:val="04A0" w:firstRow="1" w:lastRow="0" w:firstColumn="1" w:lastColumn="0" w:noHBand="0" w:noVBand="1"/>
      </w:tblPr>
      <w:tblGrid>
        <w:gridCol w:w="5558"/>
        <w:gridCol w:w="1957"/>
      </w:tblGrid>
      <w:tr w:rsidR="00E7780B" w:rsidRPr="00DF7FBF" w:rsidTr="004E680E">
        <w:trPr>
          <w:cnfStyle w:val="100000000000" w:firstRow="1" w:lastRow="0" w:firstColumn="0" w:lastColumn="0" w:oddVBand="0" w:evenVBand="0" w:oddHBand="0" w:evenHBand="0" w:firstRowFirstColumn="0" w:firstRowLastColumn="0" w:lastRowFirstColumn="0" w:lastRowLastColumn="0"/>
          <w:trHeight w:val="273"/>
          <w:jc w:val="center"/>
        </w:trPr>
        <w:tc>
          <w:tcPr>
            <w:cnfStyle w:val="001000000000" w:firstRow="0" w:lastRow="0" w:firstColumn="1" w:lastColumn="0" w:oddVBand="0" w:evenVBand="0" w:oddHBand="0" w:evenHBand="0" w:firstRowFirstColumn="0" w:firstRowLastColumn="0" w:lastRowFirstColumn="0" w:lastRowLastColumn="0"/>
            <w:tcW w:w="5558" w:type="dxa"/>
          </w:tcPr>
          <w:p w:rsidR="00E7780B" w:rsidRPr="00DF7FBF" w:rsidRDefault="00E7780B" w:rsidP="004E680E">
            <w:pPr>
              <w:spacing w:after="0"/>
              <w:rPr>
                <w:rFonts w:ascii="Constantia" w:hAnsi="Constantia"/>
                <w:szCs w:val="16"/>
                <w:lang w:val="sr-Latn-CS"/>
              </w:rPr>
            </w:pPr>
          </w:p>
        </w:tc>
        <w:tc>
          <w:tcPr>
            <w:tcW w:w="1957" w:type="dxa"/>
          </w:tcPr>
          <w:p w:rsidR="00E7780B" w:rsidRPr="00DF7FBF" w:rsidRDefault="00E7780B" w:rsidP="004E680E">
            <w:pPr>
              <w:spacing w:after="0"/>
              <w:jc w:val="center"/>
              <w:cnfStyle w:val="100000000000" w:firstRow="1" w:lastRow="0" w:firstColumn="0" w:lastColumn="0" w:oddVBand="0" w:evenVBand="0" w:oddHBand="0" w:evenHBand="0" w:firstRowFirstColumn="0" w:firstRowLastColumn="0" w:lastRowFirstColumn="0" w:lastRowLastColumn="0"/>
              <w:rPr>
                <w:rFonts w:ascii="Constantia" w:hAnsi="Constantia"/>
                <w:szCs w:val="16"/>
                <w:vertAlign w:val="superscript"/>
                <w:lang w:val="sr-Latn-CS"/>
              </w:rPr>
            </w:pPr>
            <w:r>
              <w:rPr>
                <w:rFonts w:ascii="Constantia" w:hAnsi="Constantia"/>
                <w:szCs w:val="16"/>
                <w:lang w:val="sr-Latn-CS"/>
              </w:rPr>
              <w:t>k</w:t>
            </w:r>
            <w:r w:rsidRPr="00897A69">
              <w:rPr>
                <w:rFonts w:ascii="Constantia" w:hAnsi="Constantia"/>
                <w:szCs w:val="16"/>
                <w:lang w:val="sr-Latn-CS"/>
              </w:rPr>
              <w:t>m</w:t>
            </w:r>
            <w:r w:rsidRPr="00897A69">
              <w:rPr>
                <w:rFonts w:ascii="Constantia" w:hAnsi="Constantia"/>
                <w:szCs w:val="16"/>
                <w:vertAlign w:val="superscript"/>
                <w:lang w:val="sr-Latn-CS"/>
              </w:rPr>
              <w:t>2</w:t>
            </w:r>
          </w:p>
        </w:tc>
      </w:tr>
      <w:tr w:rsidR="00E7780B" w:rsidRPr="00DF7FBF" w:rsidTr="004E680E">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5558" w:type="dxa"/>
          </w:tcPr>
          <w:p w:rsidR="00E7780B" w:rsidRPr="00DF7FBF" w:rsidRDefault="00E7780B" w:rsidP="004E680E">
            <w:pPr>
              <w:spacing w:after="0"/>
              <w:jc w:val="left"/>
              <w:rPr>
                <w:rFonts w:ascii="Constantia" w:hAnsi="Constantia"/>
                <w:szCs w:val="16"/>
                <w:vertAlign w:val="superscript"/>
                <w:lang w:val="sr-Latn-CS"/>
              </w:rPr>
            </w:pPr>
            <w:r w:rsidRPr="00897A69">
              <w:rPr>
                <w:rFonts w:ascii="Constantia" w:hAnsi="Constantia"/>
                <w:szCs w:val="16"/>
                <w:lang w:val="sr-Latn-CS"/>
              </w:rPr>
              <w:t>Ukupna površina Crne Gore</w:t>
            </w:r>
          </w:p>
        </w:tc>
        <w:tc>
          <w:tcPr>
            <w:tcW w:w="1957" w:type="dxa"/>
          </w:tcPr>
          <w:p w:rsidR="00E7780B" w:rsidRPr="00C32E49" w:rsidRDefault="00E7780B" w:rsidP="004E680E">
            <w:pPr>
              <w:spacing w:after="0"/>
              <w:jc w:val="center"/>
              <w:cnfStyle w:val="000000100000" w:firstRow="0" w:lastRow="0" w:firstColumn="0" w:lastColumn="0" w:oddVBand="0" w:evenVBand="0" w:oddHBand="1" w:evenHBand="0" w:firstRowFirstColumn="0" w:firstRowLastColumn="0" w:lastRowFirstColumn="0" w:lastRowLastColumn="0"/>
              <w:rPr>
                <w:rFonts w:ascii="Constantia" w:hAnsi="Constantia"/>
                <w:szCs w:val="22"/>
                <w:lang w:val="sr-Latn-CS"/>
              </w:rPr>
            </w:pPr>
            <w:r w:rsidRPr="00C32E49">
              <w:rPr>
                <w:rFonts w:ascii="Constantia" w:hAnsi="Constantia"/>
                <w:szCs w:val="22"/>
                <w:lang w:val="sr-Latn-CS"/>
              </w:rPr>
              <w:t>13</w:t>
            </w:r>
            <w:r>
              <w:rPr>
                <w:rFonts w:ascii="Constantia" w:hAnsi="Constantia"/>
                <w:szCs w:val="22"/>
                <w:lang w:val="sr-Latn-CS"/>
              </w:rPr>
              <w:t xml:space="preserve"> </w:t>
            </w:r>
            <w:r w:rsidRPr="00C32E49">
              <w:rPr>
                <w:rFonts w:ascii="Constantia" w:hAnsi="Constantia"/>
                <w:szCs w:val="22"/>
                <w:lang w:val="sr-Latn-CS"/>
              </w:rPr>
              <w:t>812</w:t>
            </w:r>
          </w:p>
        </w:tc>
      </w:tr>
      <w:tr w:rsidR="00E7780B" w:rsidRPr="00DF7FBF" w:rsidTr="004E680E">
        <w:trPr>
          <w:cnfStyle w:val="000000010000" w:firstRow="0" w:lastRow="0" w:firstColumn="0" w:lastColumn="0" w:oddVBand="0" w:evenVBand="0" w:oddHBand="0" w:evenHBand="1" w:firstRowFirstColumn="0" w:firstRowLastColumn="0" w:lastRowFirstColumn="0" w:lastRowLastColumn="0"/>
          <w:trHeight w:val="273"/>
          <w:jc w:val="center"/>
        </w:trPr>
        <w:tc>
          <w:tcPr>
            <w:cnfStyle w:val="001000000000" w:firstRow="0" w:lastRow="0" w:firstColumn="1" w:lastColumn="0" w:oddVBand="0" w:evenVBand="0" w:oddHBand="0" w:evenHBand="0" w:firstRowFirstColumn="0" w:firstRowLastColumn="0" w:lastRowFirstColumn="0" w:lastRowLastColumn="0"/>
            <w:tcW w:w="5558" w:type="dxa"/>
          </w:tcPr>
          <w:p w:rsidR="00E7780B" w:rsidRPr="00DF7FBF" w:rsidRDefault="00E7780B" w:rsidP="004E680E">
            <w:pPr>
              <w:spacing w:after="0"/>
              <w:jc w:val="left"/>
              <w:rPr>
                <w:rFonts w:ascii="Constantia" w:hAnsi="Constantia"/>
                <w:szCs w:val="16"/>
                <w:lang w:val="sr-Latn-CS"/>
              </w:rPr>
            </w:pPr>
            <w:r w:rsidRPr="00897A69">
              <w:rPr>
                <w:rFonts w:ascii="Constantia" w:hAnsi="Constantia"/>
                <w:szCs w:val="16"/>
                <w:lang w:val="sr-Latn-CS"/>
              </w:rPr>
              <w:t>Ukupna površina poljoprivrednog zemljišta</w:t>
            </w:r>
          </w:p>
        </w:tc>
        <w:tc>
          <w:tcPr>
            <w:tcW w:w="1957" w:type="dxa"/>
          </w:tcPr>
          <w:p w:rsidR="00E7780B" w:rsidRPr="005F549A" w:rsidRDefault="00E7780B" w:rsidP="004E680E">
            <w:pPr>
              <w:spacing w:after="0"/>
              <w:jc w:val="center"/>
              <w:cnfStyle w:val="000000010000" w:firstRow="0" w:lastRow="0" w:firstColumn="0" w:lastColumn="0" w:oddVBand="0" w:evenVBand="0" w:oddHBand="0" w:evenHBand="1" w:firstRowFirstColumn="0" w:firstRowLastColumn="0" w:lastRowFirstColumn="0" w:lastRowLastColumn="0"/>
              <w:rPr>
                <w:rFonts w:ascii="Constantia" w:hAnsi="Constantia"/>
                <w:szCs w:val="22"/>
                <w:lang w:val="sr-Latn-CS"/>
              </w:rPr>
            </w:pPr>
            <w:r w:rsidRPr="005F549A">
              <w:rPr>
                <w:rFonts w:ascii="Constantia" w:hAnsi="Constantia"/>
                <w:szCs w:val="22"/>
                <w:lang w:val="sr-Latn-CS"/>
              </w:rPr>
              <w:t xml:space="preserve">2 213  </w:t>
            </w:r>
          </w:p>
        </w:tc>
      </w:tr>
      <w:tr w:rsidR="00E7780B" w:rsidRPr="00DF7FBF" w:rsidTr="004E680E">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5558" w:type="dxa"/>
          </w:tcPr>
          <w:p w:rsidR="00E7780B" w:rsidRPr="00DF7FBF" w:rsidRDefault="00E7780B" w:rsidP="004E680E">
            <w:pPr>
              <w:spacing w:after="0"/>
              <w:jc w:val="left"/>
              <w:rPr>
                <w:rFonts w:ascii="Constantia" w:hAnsi="Constantia"/>
                <w:szCs w:val="16"/>
                <w:lang w:val="sr-Latn-CS"/>
              </w:rPr>
            </w:pPr>
            <w:r w:rsidRPr="00897A69">
              <w:rPr>
                <w:rFonts w:ascii="Constantia" w:hAnsi="Constantia"/>
                <w:szCs w:val="16"/>
                <w:lang w:val="sr-Latn-CS"/>
              </w:rPr>
              <w:t>Površina obradivog zemljišta</w:t>
            </w:r>
          </w:p>
        </w:tc>
        <w:tc>
          <w:tcPr>
            <w:tcW w:w="1957" w:type="dxa"/>
          </w:tcPr>
          <w:p w:rsidR="00E7780B" w:rsidRPr="005F549A" w:rsidRDefault="00E7780B" w:rsidP="004E680E">
            <w:pPr>
              <w:spacing w:after="0"/>
              <w:jc w:val="center"/>
              <w:cnfStyle w:val="000000100000" w:firstRow="0" w:lastRow="0" w:firstColumn="0" w:lastColumn="0" w:oddVBand="0" w:evenVBand="0" w:oddHBand="1" w:evenHBand="0" w:firstRowFirstColumn="0" w:firstRowLastColumn="0" w:lastRowFirstColumn="0" w:lastRowLastColumn="0"/>
              <w:rPr>
                <w:rFonts w:ascii="Constantia" w:hAnsi="Constantia"/>
                <w:szCs w:val="22"/>
                <w:lang w:val="sr-Latn-CS"/>
              </w:rPr>
            </w:pPr>
            <w:r>
              <w:rPr>
                <w:rFonts w:ascii="Constantia" w:hAnsi="Constantia"/>
                <w:szCs w:val="22"/>
                <w:lang w:val="sr-Latn-CS"/>
              </w:rPr>
              <w:t>111</w:t>
            </w:r>
            <w:r w:rsidRPr="005F549A">
              <w:rPr>
                <w:rFonts w:ascii="Constantia" w:hAnsi="Constantia"/>
                <w:szCs w:val="22"/>
                <w:lang w:val="sr-Latn-CS"/>
              </w:rPr>
              <w:t>,</w:t>
            </w:r>
            <w:r>
              <w:rPr>
                <w:rFonts w:ascii="Constantia" w:hAnsi="Constantia"/>
                <w:szCs w:val="22"/>
                <w:lang w:val="sr-Latn-CS"/>
              </w:rPr>
              <w:t>2</w:t>
            </w:r>
          </w:p>
        </w:tc>
      </w:tr>
    </w:tbl>
    <w:p w:rsidR="00E7780B" w:rsidRPr="00DF7FBF" w:rsidRDefault="00E43014" w:rsidP="00E7780B">
      <w:pPr>
        <w:pStyle w:val="Tabele"/>
        <w:spacing w:before="60" w:after="240"/>
        <w:ind w:left="720"/>
        <w:rPr>
          <w:rFonts w:ascii="Constantia" w:hAnsi="Constantia"/>
          <w:sz w:val="22"/>
        </w:rPr>
      </w:pPr>
      <w:r>
        <w:rPr>
          <w:rFonts w:ascii="Constantia" w:hAnsi="Constantia"/>
          <w:sz w:val="22"/>
        </w:rPr>
        <w:t xml:space="preserve"> </w:t>
      </w:r>
      <w:r w:rsidR="00E7780B">
        <w:rPr>
          <w:rFonts w:ascii="Constantia" w:hAnsi="Constantia"/>
          <w:sz w:val="22"/>
        </w:rPr>
        <w:t>U</w:t>
      </w:r>
      <w:r w:rsidR="00E7780B" w:rsidRPr="00897A69">
        <w:rPr>
          <w:rFonts w:ascii="Constantia" w:hAnsi="Constantia"/>
          <w:sz w:val="22"/>
        </w:rPr>
        <w:t>kupn</w:t>
      </w:r>
      <w:r w:rsidR="00E7780B">
        <w:rPr>
          <w:rFonts w:ascii="Constantia" w:hAnsi="Constantia"/>
          <w:sz w:val="22"/>
        </w:rPr>
        <w:t>a</w:t>
      </w:r>
      <w:r w:rsidR="00E7780B" w:rsidRPr="00897A69">
        <w:rPr>
          <w:rFonts w:ascii="Constantia" w:hAnsi="Constantia"/>
          <w:sz w:val="22"/>
        </w:rPr>
        <w:t xml:space="preserve"> površin</w:t>
      </w:r>
      <w:r w:rsidR="00E7780B">
        <w:rPr>
          <w:rFonts w:ascii="Constantia" w:hAnsi="Constantia"/>
          <w:sz w:val="22"/>
        </w:rPr>
        <w:t>a</w:t>
      </w:r>
      <w:r w:rsidR="00E7780B" w:rsidRPr="00897A69">
        <w:rPr>
          <w:rFonts w:ascii="Constantia" w:hAnsi="Constantia"/>
          <w:sz w:val="22"/>
        </w:rPr>
        <w:t xml:space="preserve"> Crne Gore i površine </w:t>
      </w:r>
      <w:r w:rsidR="00E7780B">
        <w:rPr>
          <w:rFonts w:ascii="Constantia" w:hAnsi="Constantia"/>
          <w:sz w:val="22"/>
        </w:rPr>
        <w:t xml:space="preserve">njenog </w:t>
      </w:r>
      <w:r w:rsidR="00E7780B" w:rsidRPr="00897A69">
        <w:rPr>
          <w:rFonts w:ascii="Constantia" w:hAnsi="Constantia"/>
          <w:sz w:val="22"/>
        </w:rPr>
        <w:t xml:space="preserve">poljoprivrednog </w:t>
      </w:r>
      <w:r w:rsidR="00E7780B">
        <w:rPr>
          <w:rFonts w:ascii="Constantia" w:hAnsi="Constantia"/>
          <w:sz w:val="22"/>
        </w:rPr>
        <w:t>i obradivog zemljišta</w:t>
      </w:r>
    </w:p>
    <w:p w:rsidR="00E7780B" w:rsidRPr="00BA1CA9" w:rsidRDefault="00E7780B" w:rsidP="00DE6B70">
      <w:pPr>
        <w:rPr>
          <w:rFonts w:ascii="Constantia" w:hAnsi="Constantia"/>
          <w:color w:val="FF0000"/>
          <w:lang w:val="sr-Latn-CS"/>
        </w:rPr>
      </w:pPr>
      <w:r w:rsidRPr="00C32E49">
        <w:rPr>
          <w:rFonts w:ascii="Constantia" w:hAnsi="Constantia"/>
          <w:lang w:val="sr-Latn-CS"/>
        </w:rPr>
        <w:t>Na osnovu Popisa poljoprivrede iz 2010. godine</w:t>
      </w:r>
      <w:r>
        <w:rPr>
          <w:rStyle w:val="FootnoteReference"/>
          <w:rFonts w:ascii="Constantia" w:hAnsi="Constantia"/>
          <w:lang w:val="sr-Latn-CS"/>
        </w:rPr>
        <w:footnoteReference w:id="8"/>
      </w:r>
      <w:r w:rsidRPr="00C32E49">
        <w:rPr>
          <w:rFonts w:ascii="Constantia" w:hAnsi="Constantia"/>
          <w:lang w:val="sr-Latn-CS"/>
        </w:rPr>
        <w:t>,</w:t>
      </w:r>
      <w:r>
        <w:rPr>
          <w:rFonts w:ascii="Constantia" w:hAnsi="Constantia"/>
          <w:lang w:val="sr-Latn-CS"/>
        </w:rPr>
        <w:t xml:space="preserve"> ukupna površina </w:t>
      </w:r>
      <w:r w:rsidRPr="00023380">
        <w:rPr>
          <w:rFonts w:ascii="Constantia" w:hAnsi="Constantia"/>
          <w:lang w:val="sr-Latn-CS"/>
        </w:rPr>
        <w:t>poljoprivrednog zemljišnog prostora u Crnoj Gori</w:t>
      </w:r>
      <w:r>
        <w:rPr>
          <w:rFonts w:ascii="Constantia" w:hAnsi="Constantia"/>
          <w:lang w:val="sr-Latn-CS"/>
        </w:rPr>
        <w:t xml:space="preserve"> iznosi 2 213 km</w:t>
      </w:r>
      <w:r>
        <w:rPr>
          <w:rFonts w:ascii="Constantia" w:hAnsi="Constantia"/>
          <w:vertAlign w:val="superscript"/>
          <w:lang w:val="sr-Latn-CS"/>
        </w:rPr>
        <w:t xml:space="preserve">2 </w:t>
      </w:r>
      <w:r>
        <w:rPr>
          <w:rFonts w:ascii="Constantia" w:hAnsi="Constantia"/>
          <w:lang w:val="sr-Latn-CS"/>
        </w:rPr>
        <w:t>(što je nešto više od 16% njene ukupne površine), dok površina obradivog zemljišta iznosi svega 111,2 km</w:t>
      </w:r>
      <w:r>
        <w:rPr>
          <w:rFonts w:ascii="Constantia" w:hAnsi="Constantia"/>
          <w:vertAlign w:val="superscript"/>
          <w:lang w:val="sr-Latn-CS"/>
        </w:rPr>
        <w:t>2</w:t>
      </w:r>
      <w:r>
        <w:rPr>
          <w:rFonts w:ascii="Constantia" w:hAnsi="Constantia"/>
          <w:lang w:val="sr-Latn-CS"/>
        </w:rPr>
        <w:t xml:space="preserve"> (odnosno svega 0,8% ukupne površine CG). </w:t>
      </w:r>
      <w:r w:rsidRPr="005F549A">
        <w:rPr>
          <w:rFonts w:ascii="Constantia" w:hAnsi="Constantia"/>
          <w:lang w:val="sr-Latn-CS"/>
        </w:rPr>
        <w:t xml:space="preserve">Poslednjih godina, uočavaju se značajne promjene u strukturi korišćenja poljoprivrednog zemljišta. Prisutan je </w:t>
      </w:r>
      <w:r>
        <w:rPr>
          <w:rFonts w:ascii="Constantia" w:hAnsi="Constantia"/>
          <w:lang w:val="sr-Latn-CS"/>
        </w:rPr>
        <w:t xml:space="preserve">izražen </w:t>
      </w:r>
      <w:r w:rsidRPr="005F549A">
        <w:rPr>
          <w:rFonts w:ascii="Constantia" w:hAnsi="Constantia"/>
          <w:lang w:val="sr-Latn-CS"/>
        </w:rPr>
        <w:t>trend smanjenja obradivih površina</w:t>
      </w:r>
      <w:r>
        <w:rPr>
          <w:rFonts w:ascii="Constantia" w:hAnsi="Constantia"/>
          <w:lang w:val="sr-Latn-CS"/>
        </w:rPr>
        <w:t>, kao</w:t>
      </w:r>
      <w:r w:rsidRPr="005F549A">
        <w:rPr>
          <w:rFonts w:ascii="Constantia" w:hAnsi="Constantia"/>
          <w:lang w:val="sr-Latn-CS"/>
        </w:rPr>
        <w:t xml:space="preserve"> i višegodišnjih zasada</w:t>
      </w:r>
      <w:r>
        <w:rPr>
          <w:rFonts w:ascii="Constantia" w:hAnsi="Constantia"/>
          <w:lang w:val="sr-Latn-CS"/>
        </w:rPr>
        <w:t>. Isti</w:t>
      </w:r>
      <w:r w:rsidRPr="005F549A">
        <w:rPr>
          <w:rFonts w:ascii="Constantia" w:hAnsi="Constantia"/>
          <w:lang w:val="sr-Latn-CS"/>
        </w:rPr>
        <w:t xml:space="preserve"> </w:t>
      </w:r>
      <w:r>
        <w:rPr>
          <w:rFonts w:ascii="Constantia" w:hAnsi="Constantia"/>
          <w:lang w:val="sr-Latn-CS"/>
        </w:rPr>
        <w:t>je praćen</w:t>
      </w:r>
      <w:r w:rsidRPr="005F549A">
        <w:rPr>
          <w:rFonts w:ascii="Constantia" w:hAnsi="Constantia"/>
          <w:lang w:val="sr-Latn-CS"/>
        </w:rPr>
        <w:t xml:space="preserve"> </w:t>
      </w:r>
      <w:r w:rsidR="0028154A">
        <w:rPr>
          <w:rFonts w:ascii="Constantia" w:hAnsi="Constantia"/>
          <w:lang w:val="sr-Latn-CS"/>
        </w:rPr>
        <w:t xml:space="preserve">trendom </w:t>
      </w:r>
      <w:r w:rsidRPr="005F549A">
        <w:rPr>
          <w:rFonts w:ascii="Constantia" w:hAnsi="Constantia"/>
          <w:lang w:val="sr-Latn-CS"/>
        </w:rPr>
        <w:t>rast</w:t>
      </w:r>
      <w:r w:rsidR="0028154A">
        <w:rPr>
          <w:rFonts w:ascii="Constantia" w:hAnsi="Constantia"/>
          <w:lang w:val="sr-Latn-CS"/>
        </w:rPr>
        <w:t>a</w:t>
      </w:r>
      <w:r w:rsidRPr="005F549A">
        <w:rPr>
          <w:rFonts w:ascii="Constantia" w:hAnsi="Constantia"/>
          <w:lang w:val="sr-Latn-CS"/>
        </w:rPr>
        <w:t xml:space="preserve"> površina pod livadama i pašnjacima</w:t>
      </w:r>
      <w:r>
        <w:rPr>
          <w:rFonts w:ascii="Constantia" w:hAnsi="Constantia"/>
          <w:lang w:val="sr-Latn-CS"/>
        </w:rPr>
        <w:t xml:space="preserve"> koje, prema poslednjim podacima M</w:t>
      </w:r>
      <w:r w:rsidR="006F1185">
        <w:rPr>
          <w:rFonts w:ascii="Constantia" w:hAnsi="Constantia"/>
          <w:lang w:val="sr-Latn-CS"/>
        </w:rPr>
        <w:t>ONSTAT</w:t>
      </w:r>
      <w:r>
        <w:rPr>
          <w:rFonts w:ascii="Constantia" w:hAnsi="Constantia"/>
          <w:lang w:val="sr-Latn-CS"/>
        </w:rPr>
        <w:t>-a, čine 95% od ukupne površine poljoprivrednog zemljišta u Crnoj Gori</w:t>
      </w:r>
      <w:r w:rsidRPr="005F549A">
        <w:rPr>
          <w:rFonts w:ascii="Constantia" w:hAnsi="Constantia"/>
          <w:lang w:val="sr-Latn-CS"/>
        </w:rPr>
        <w:t xml:space="preserve">. </w:t>
      </w:r>
      <w:r>
        <w:rPr>
          <w:rFonts w:ascii="Constantia" w:hAnsi="Constantia"/>
          <w:lang w:val="sr-Latn-CS"/>
        </w:rPr>
        <w:t>U svakom pogledu,</w:t>
      </w:r>
      <w:r w:rsidRPr="005F549A">
        <w:rPr>
          <w:rFonts w:ascii="Constantia" w:hAnsi="Constantia"/>
          <w:lang w:val="sr-Latn-CS"/>
        </w:rPr>
        <w:t xml:space="preserve"> </w:t>
      </w:r>
      <w:r>
        <w:rPr>
          <w:rFonts w:ascii="Constantia" w:hAnsi="Constantia"/>
          <w:lang w:val="sr-Latn-CS"/>
        </w:rPr>
        <w:t xml:space="preserve">to je </w:t>
      </w:r>
      <w:r w:rsidRPr="005F549A">
        <w:rPr>
          <w:rFonts w:ascii="Constantia" w:hAnsi="Constantia"/>
          <w:lang w:val="sr-Latn-CS"/>
        </w:rPr>
        <w:t xml:space="preserve">nepovoljan trend, </w:t>
      </w:r>
      <w:r>
        <w:rPr>
          <w:rFonts w:ascii="Constantia" w:hAnsi="Constantia"/>
          <w:lang w:val="sr-Latn-CS"/>
        </w:rPr>
        <w:t xml:space="preserve">naročito </w:t>
      </w:r>
      <w:r w:rsidRPr="005F549A">
        <w:rPr>
          <w:rFonts w:ascii="Constantia" w:hAnsi="Constantia"/>
          <w:lang w:val="sr-Latn-CS"/>
        </w:rPr>
        <w:t>ako se uzme u obzir nizak udio površina u strukturi korišćenja zemljišta Crne Gore.</w:t>
      </w:r>
    </w:p>
    <w:p w:rsidR="00E7780B" w:rsidRPr="005E4028" w:rsidRDefault="00E7780B" w:rsidP="00F946B9">
      <w:pPr>
        <w:pStyle w:val="Heading2"/>
        <w:spacing w:line="276" w:lineRule="auto"/>
        <w:ind w:left="720"/>
        <w:rPr>
          <w:lang w:val="sr-Latn-CS"/>
        </w:rPr>
      </w:pPr>
      <w:bookmarkStart w:id="55" w:name="_Toc318278301"/>
      <w:bookmarkStart w:id="56" w:name="_Toc362938317"/>
      <w:bookmarkStart w:id="57" w:name="_Toc393897887"/>
      <w:r w:rsidRPr="00E43014">
        <w:t>Rezultati</w:t>
      </w:r>
      <w:r w:rsidRPr="00897A69">
        <w:rPr>
          <w:lang w:val="sr-Latn-CS"/>
        </w:rPr>
        <w:t xml:space="preserve"> ispitivanja opasnih i štetnih materija u zemljištu na području opštine Berane</w:t>
      </w:r>
      <w:bookmarkEnd w:id="55"/>
      <w:bookmarkEnd w:id="56"/>
      <w:bookmarkEnd w:id="57"/>
    </w:p>
    <w:p w:rsidR="00E7780B" w:rsidRDefault="00E7780B" w:rsidP="00A13D82">
      <w:pPr>
        <w:rPr>
          <w:rFonts w:ascii="Constantia" w:eastAsiaTheme="minorHAnsi" w:hAnsi="Constantia"/>
          <w:lang w:val="sr-Latn-CS"/>
        </w:rPr>
      </w:pPr>
      <w:r w:rsidRPr="00897A69">
        <w:rPr>
          <w:rFonts w:ascii="Constantia" w:eastAsiaTheme="minorHAnsi" w:hAnsi="Constantia"/>
          <w:lang w:val="sr-Latn-CS"/>
        </w:rPr>
        <w:t>Na području opštine Berane uzorkovanje</w:t>
      </w:r>
      <w:r>
        <w:rPr>
          <w:rFonts w:ascii="Constantia" w:eastAsiaTheme="minorHAnsi" w:hAnsi="Constantia"/>
          <w:lang w:val="sr-Latn-CS"/>
        </w:rPr>
        <w:t xml:space="preserve"> je izvršeno na 4</w:t>
      </w:r>
      <w:r w:rsidRPr="00897A69">
        <w:rPr>
          <w:rFonts w:ascii="Constantia" w:eastAsiaTheme="minorHAnsi" w:hAnsi="Constantia"/>
          <w:lang w:val="sr-Latn-CS"/>
        </w:rPr>
        <w:t xml:space="preserve"> lokacije. </w:t>
      </w:r>
      <w:r>
        <w:rPr>
          <w:rFonts w:ascii="Constantia" w:eastAsiaTheme="minorHAnsi" w:hAnsi="Constantia"/>
          <w:lang w:val="sr-Latn-CS"/>
        </w:rPr>
        <w:t xml:space="preserve">Iste se odnose na zemljišta pored saobraćajnica, uz industrijsku zonu i u blizini trafostanica. </w:t>
      </w:r>
      <w:r w:rsidRPr="00897A69">
        <w:rPr>
          <w:rFonts w:ascii="Constantia" w:eastAsiaTheme="minorHAnsi" w:hAnsi="Constantia"/>
          <w:lang w:val="sr-Latn-CS"/>
        </w:rPr>
        <w:t>Rezultati ispitivanja zagađenosti zemljišta na teritoriji Ber</w:t>
      </w:r>
      <w:r>
        <w:rPr>
          <w:rFonts w:ascii="Constantia" w:eastAsiaTheme="minorHAnsi" w:hAnsi="Constantia"/>
          <w:lang w:val="sr-Latn-CS"/>
        </w:rPr>
        <w:t xml:space="preserve">ana u 2013. godini pokazuju da </w:t>
      </w:r>
      <w:r w:rsidRPr="00897A69">
        <w:rPr>
          <w:rFonts w:ascii="Constantia" w:eastAsiaTheme="minorHAnsi" w:hAnsi="Constantia"/>
          <w:lang w:val="sr-Latn-CS"/>
        </w:rPr>
        <w:t>u ispitivanim uzorcima</w:t>
      </w:r>
      <w:r>
        <w:rPr>
          <w:rFonts w:ascii="Constantia" w:eastAsiaTheme="minorHAnsi" w:hAnsi="Constantia"/>
          <w:lang w:val="sr-Latn-CS"/>
        </w:rPr>
        <w:t xml:space="preserve"> (osim fluora) </w:t>
      </w:r>
      <w:r w:rsidRPr="007A4DFC">
        <w:rPr>
          <w:rFonts w:ascii="Constantia" w:eastAsiaTheme="minorHAnsi" w:hAnsi="Constantia"/>
          <w:lang w:val="sr-Latn-CS"/>
        </w:rPr>
        <w:t>nijedan</w:t>
      </w:r>
      <w:r w:rsidRPr="00897A69">
        <w:rPr>
          <w:rFonts w:ascii="Constantia" w:eastAsiaTheme="minorHAnsi" w:hAnsi="Constantia"/>
          <w:lang w:val="sr-Latn-CS"/>
        </w:rPr>
        <w:t xml:space="preserve"> od analiziranih </w:t>
      </w:r>
      <w:r>
        <w:rPr>
          <w:rFonts w:ascii="Constantia" w:eastAsiaTheme="minorHAnsi" w:hAnsi="Constantia"/>
          <w:lang w:val="sr-Latn-CS"/>
        </w:rPr>
        <w:t>neorganskih parametara</w:t>
      </w:r>
      <w:r w:rsidRPr="00897A69">
        <w:rPr>
          <w:rFonts w:ascii="Constantia" w:eastAsiaTheme="minorHAnsi" w:hAnsi="Constantia"/>
          <w:lang w:val="sr-Latn-CS"/>
        </w:rPr>
        <w:t xml:space="preserve"> ne prelazi maksimalno dozvoljene koncentracije normirane Pravilnikom.</w:t>
      </w:r>
      <w:r>
        <w:rPr>
          <w:rFonts w:ascii="Constantia" w:eastAsiaTheme="minorHAnsi" w:hAnsi="Constantia"/>
          <w:lang w:val="sr-Latn-CS"/>
        </w:rPr>
        <w:t xml:space="preserve"> Isto se odnosi i na ispitivane organske </w:t>
      </w:r>
      <w:r w:rsidR="00484138">
        <w:rPr>
          <w:rFonts w:ascii="Constantia" w:eastAsiaTheme="minorHAnsi" w:hAnsi="Constantia"/>
          <w:lang w:val="sr-Latn-CS"/>
        </w:rPr>
        <w:t>polutante</w:t>
      </w:r>
      <w:r>
        <w:rPr>
          <w:rFonts w:ascii="Constantia" w:eastAsiaTheme="minorHAnsi" w:hAnsi="Constantia"/>
          <w:lang w:val="sr-Latn-CS"/>
        </w:rPr>
        <w:t>, osim jednog uzorka zemljišta u blizini trafo</w:t>
      </w:r>
      <w:r w:rsidR="00484138">
        <w:rPr>
          <w:rFonts w:ascii="Constantia" w:eastAsiaTheme="minorHAnsi" w:hAnsi="Constantia"/>
          <w:lang w:val="sr-Latn-CS"/>
        </w:rPr>
        <w:t>stanice u kojem je evidentirano</w:t>
      </w:r>
      <w:r>
        <w:rPr>
          <w:rFonts w:ascii="Constantia" w:eastAsiaTheme="minorHAnsi" w:hAnsi="Constantia"/>
          <w:lang w:val="sr-Latn-CS"/>
        </w:rPr>
        <w:t xml:space="preserve"> </w:t>
      </w:r>
      <w:r w:rsidRPr="00DF6560">
        <w:rPr>
          <w:rFonts w:ascii="Constantia" w:eastAsiaTheme="minorHAnsi" w:hAnsi="Constantia"/>
          <w:lang w:val="sr-Latn-CS"/>
        </w:rPr>
        <w:t>prisustvo dva PCB kongenera.</w:t>
      </w:r>
    </w:p>
    <w:p w:rsidR="004C5FC6" w:rsidRPr="00DF6560" w:rsidRDefault="004C5FC6" w:rsidP="00484138">
      <w:pPr>
        <w:spacing w:after="0"/>
        <w:rPr>
          <w:rFonts w:ascii="Constantia" w:eastAsiaTheme="minorHAnsi" w:hAnsi="Constantia"/>
          <w:lang w:val="sr-Latn-CS"/>
        </w:rPr>
      </w:pPr>
    </w:p>
    <w:p w:rsidR="00E7780B" w:rsidRPr="005E4028" w:rsidRDefault="00E7780B" w:rsidP="00E7780B">
      <w:pPr>
        <w:spacing w:line="276" w:lineRule="auto"/>
        <w:jc w:val="center"/>
        <w:rPr>
          <w:rFonts w:ascii="Constantia" w:eastAsiaTheme="minorHAnsi" w:hAnsi="Constantia" w:cs="Arial"/>
          <w:lang w:val="sr-Latn-CS"/>
        </w:rPr>
      </w:pPr>
      <w:r>
        <w:rPr>
          <w:rFonts w:ascii="Constantia" w:hAnsi="Constantia"/>
          <w:noProof/>
        </w:rPr>
        <w:drawing>
          <wp:inline distT="0" distB="0" distL="0" distR="0" wp14:anchorId="3C70242C" wp14:editId="352883A7">
            <wp:extent cx="3810000" cy="1837266"/>
            <wp:effectExtent l="0" t="0" r="0" b="0"/>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7780B" w:rsidRPr="00787A71" w:rsidRDefault="00E7780B" w:rsidP="00E7780B">
      <w:pPr>
        <w:pStyle w:val="Grafikon"/>
        <w:spacing w:line="276" w:lineRule="auto"/>
        <w:rPr>
          <w:rFonts w:ascii="Constantia" w:eastAsiaTheme="minorHAnsi" w:hAnsi="Constantia"/>
        </w:rPr>
      </w:pPr>
      <w:r>
        <w:rPr>
          <w:rFonts w:ascii="Constantia" w:eastAsiaTheme="minorHAnsi" w:hAnsi="Constantia"/>
          <w:sz w:val="22"/>
        </w:rPr>
        <w:t xml:space="preserve">Sadržaj </w:t>
      </w:r>
      <w:r w:rsidRPr="00897A69">
        <w:rPr>
          <w:rFonts w:ascii="Constantia" w:eastAsiaTheme="minorHAnsi" w:hAnsi="Constantia"/>
          <w:sz w:val="22"/>
        </w:rPr>
        <w:t>arsena (As) u</w:t>
      </w:r>
      <w:r>
        <w:rPr>
          <w:rFonts w:ascii="Constantia" w:eastAsiaTheme="minorHAnsi" w:hAnsi="Constantia"/>
          <w:sz w:val="22"/>
        </w:rPr>
        <w:t xml:space="preserve"> uzorku zemljišta uzorkovanom na lokaciji u blizini industrijske zone, </w:t>
      </w:r>
      <w:r w:rsidRPr="00897A69">
        <w:rPr>
          <w:rFonts w:ascii="Constantia" w:eastAsiaTheme="minorHAnsi" w:hAnsi="Constantia"/>
          <w:sz w:val="22"/>
        </w:rPr>
        <w:t>2009</w:t>
      </w:r>
      <w:r>
        <w:rPr>
          <w:rFonts w:ascii="Constantia" w:eastAsiaTheme="minorHAnsi" w:hAnsi="Constantia"/>
          <w:sz w:val="22"/>
        </w:rPr>
        <w:t>-</w:t>
      </w:r>
      <w:r w:rsidRPr="00897A69">
        <w:rPr>
          <w:rFonts w:ascii="Constantia" w:eastAsiaTheme="minorHAnsi" w:hAnsi="Constantia"/>
          <w:sz w:val="22"/>
        </w:rPr>
        <w:t>201</w:t>
      </w:r>
      <w:r>
        <w:rPr>
          <w:rFonts w:ascii="Constantia" w:eastAsiaTheme="minorHAnsi" w:hAnsi="Constantia"/>
          <w:sz w:val="22"/>
        </w:rPr>
        <w:t>3</w:t>
      </w:r>
    </w:p>
    <w:p w:rsidR="00E7780B" w:rsidRPr="005E4028" w:rsidRDefault="00E7780B" w:rsidP="00E7780B">
      <w:pPr>
        <w:spacing w:line="276" w:lineRule="auto"/>
        <w:jc w:val="center"/>
        <w:rPr>
          <w:rFonts w:ascii="Constantia" w:eastAsiaTheme="minorHAnsi" w:hAnsi="Constantia" w:cs="Arial"/>
          <w:lang w:val="sr-Latn-CS"/>
        </w:rPr>
      </w:pPr>
      <w:r>
        <w:rPr>
          <w:rFonts w:ascii="Constantia" w:hAnsi="Constantia"/>
          <w:noProof/>
        </w:rPr>
        <w:lastRenderedPageBreak/>
        <w:drawing>
          <wp:inline distT="0" distB="0" distL="0" distR="0" wp14:anchorId="6E4F6512" wp14:editId="76E567B6">
            <wp:extent cx="3810000" cy="1752600"/>
            <wp:effectExtent l="0" t="0" r="0" b="0"/>
            <wp:docPr id="2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E7780B" w:rsidRPr="00787A71" w:rsidRDefault="00E7780B" w:rsidP="00E7780B">
      <w:pPr>
        <w:pStyle w:val="Grafikon"/>
        <w:rPr>
          <w:rFonts w:ascii="Constantia" w:eastAsiaTheme="minorHAnsi" w:hAnsi="Constantia"/>
          <w:sz w:val="22"/>
          <w:szCs w:val="22"/>
        </w:rPr>
      </w:pPr>
      <w:r w:rsidRPr="00787A71">
        <w:rPr>
          <w:rFonts w:ascii="Constantia" w:eastAsiaTheme="minorHAnsi" w:hAnsi="Constantia"/>
          <w:sz w:val="22"/>
          <w:szCs w:val="22"/>
        </w:rPr>
        <w:t xml:space="preserve">Sadržaj </w:t>
      </w:r>
      <w:r>
        <w:rPr>
          <w:rFonts w:ascii="Constantia" w:eastAsiaTheme="minorHAnsi" w:hAnsi="Constantia"/>
          <w:sz w:val="22"/>
          <w:szCs w:val="22"/>
        </w:rPr>
        <w:t>nikl</w:t>
      </w:r>
      <w:r w:rsidRPr="00787A71">
        <w:rPr>
          <w:rFonts w:ascii="Constantia" w:eastAsiaTheme="minorHAnsi" w:hAnsi="Constantia"/>
          <w:sz w:val="22"/>
          <w:szCs w:val="22"/>
        </w:rPr>
        <w:t>a (</w:t>
      </w:r>
      <w:r>
        <w:rPr>
          <w:rFonts w:ascii="Constantia" w:eastAsiaTheme="minorHAnsi" w:hAnsi="Constantia"/>
          <w:sz w:val="22"/>
          <w:szCs w:val="22"/>
        </w:rPr>
        <w:t>Ni</w:t>
      </w:r>
      <w:r w:rsidRPr="00787A71">
        <w:rPr>
          <w:rFonts w:ascii="Constantia" w:eastAsiaTheme="minorHAnsi" w:hAnsi="Constantia"/>
          <w:sz w:val="22"/>
          <w:szCs w:val="22"/>
        </w:rPr>
        <w:t>) u uzorku zemljišta uzorkovanom na lokaciji u blizini industrijske zone, 2009-2013</w:t>
      </w:r>
    </w:p>
    <w:p w:rsidR="00E7780B" w:rsidRPr="005E4028" w:rsidRDefault="00E7780B" w:rsidP="00DE711E">
      <w:pPr>
        <w:pStyle w:val="Grafikon"/>
        <w:numPr>
          <w:ilvl w:val="0"/>
          <w:numId w:val="0"/>
        </w:numPr>
        <w:spacing w:after="0" w:line="276" w:lineRule="auto"/>
        <w:ind w:left="360"/>
        <w:jc w:val="both"/>
        <w:rPr>
          <w:rFonts w:ascii="Constantia" w:eastAsiaTheme="minorHAnsi" w:hAnsi="Constantia"/>
        </w:rPr>
      </w:pPr>
    </w:p>
    <w:p w:rsidR="00E7780B" w:rsidRPr="005E4028" w:rsidRDefault="00E7780B" w:rsidP="00F946B9">
      <w:pPr>
        <w:pStyle w:val="Heading2"/>
        <w:spacing w:after="0" w:line="276" w:lineRule="auto"/>
        <w:ind w:left="720"/>
        <w:rPr>
          <w:lang w:val="sr-Latn-CS"/>
        </w:rPr>
      </w:pPr>
      <w:bookmarkStart w:id="58" w:name="_Toc318278302"/>
      <w:bookmarkStart w:id="59" w:name="_Toc362938318"/>
      <w:bookmarkStart w:id="60" w:name="_Toc393897888"/>
      <w:r w:rsidRPr="00897A69">
        <w:rPr>
          <w:lang w:val="sr-Latn-CS"/>
        </w:rPr>
        <w:t>Rezultati ispitivanja opasnih i štetnih materija u zemljištu na području opštine Bijelo Polje</w:t>
      </w:r>
      <w:bookmarkEnd w:id="58"/>
      <w:bookmarkEnd w:id="59"/>
      <w:bookmarkEnd w:id="60"/>
    </w:p>
    <w:p w:rsidR="004C5FC6" w:rsidRPr="00DE711E" w:rsidRDefault="00E7780B" w:rsidP="00DE711E">
      <w:pPr>
        <w:spacing w:before="240"/>
        <w:rPr>
          <w:rFonts w:ascii="Constantia" w:eastAsiaTheme="minorHAnsi" w:hAnsi="Constantia"/>
          <w:lang w:val="sr-Latn-CS"/>
        </w:rPr>
      </w:pPr>
      <w:r>
        <w:rPr>
          <w:rFonts w:ascii="Constantia" w:eastAsiaTheme="minorHAnsi" w:hAnsi="Constantia"/>
          <w:lang w:val="sr-Latn-CS"/>
        </w:rPr>
        <w:t>U 2013</w:t>
      </w:r>
      <w:r w:rsidRPr="00897A69">
        <w:rPr>
          <w:rFonts w:ascii="Constantia" w:eastAsiaTheme="minorHAnsi" w:hAnsi="Constantia"/>
          <w:lang w:val="sr-Latn-CS"/>
        </w:rPr>
        <w:t>.</w:t>
      </w:r>
      <w:r>
        <w:rPr>
          <w:rFonts w:ascii="Constantia" w:eastAsiaTheme="minorHAnsi" w:hAnsi="Constantia"/>
          <w:lang w:val="sr-Latn-CS"/>
        </w:rPr>
        <w:t xml:space="preserve"> </w:t>
      </w:r>
      <w:r w:rsidRPr="00897A69">
        <w:rPr>
          <w:rFonts w:ascii="Constantia" w:eastAsiaTheme="minorHAnsi" w:hAnsi="Constantia"/>
          <w:lang w:val="sr-Latn-CS"/>
        </w:rPr>
        <w:t>godini</w:t>
      </w:r>
      <w:r>
        <w:rPr>
          <w:rFonts w:ascii="Constantia" w:eastAsiaTheme="minorHAnsi" w:hAnsi="Constantia"/>
          <w:lang w:val="sr-Latn-CS"/>
        </w:rPr>
        <w:t>,</w:t>
      </w:r>
      <w:r w:rsidRPr="00897A69">
        <w:rPr>
          <w:rFonts w:ascii="Constantia" w:eastAsiaTheme="minorHAnsi" w:hAnsi="Constantia"/>
          <w:lang w:val="sr-Latn-CS"/>
        </w:rPr>
        <w:t xml:space="preserve"> na području opštine Bijelo Polje u</w:t>
      </w:r>
      <w:r>
        <w:rPr>
          <w:rFonts w:ascii="Constantia" w:eastAsiaTheme="minorHAnsi" w:hAnsi="Constantia"/>
          <w:lang w:val="sr-Latn-CS"/>
        </w:rPr>
        <w:t>zorkovanje je izvršeno na 1</w:t>
      </w:r>
      <w:r w:rsidRPr="00897A69">
        <w:rPr>
          <w:rFonts w:ascii="Constantia" w:eastAsiaTheme="minorHAnsi" w:hAnsi="Constantia"/>
          <w:lang w:val="sr-Latn-CS"/>
        </w:rPr>
        <w:t xml:space="preserve"> lokacij</w:t>
      </w:r>
      <w:r>
        <w:rPr>
          <w:rFonts w:ascii="Constantia" w:eastAsiaTheme="minorHAnsi" w:hAnsi="Constantia"/>
          <w:lang w:val="sr-Latn-CS"/>
        </w:rPr>
        <w:t>i</w:t>
      </w:r>
      <w:r w:rsidRPr="00897A69">
        <w:rPr>
          <w:rFonts w:ascii="Constantia" w:eastAsiaTheme="minorHAnsi" w:hAnsi="Constantia"/>
          <w:lang w:val="sr-Latn-CS"/>
        </w:rPr>
        <w:t>. Rezultati analize uzorka zemljišta uzorkovanog n</w:t>
      </w:r>
      <w:r>
        <w:rPr>
          <w:rFonts w:ascii="Constantia" w:eastAsiaTheme="minorHAnsi" w:hAnsi="Constantia"/>
          <w:lang w:val="sr-Latn-CS"/>
        </w:rPr>
        <w:t xml:space="preserve">a lokaciji u blizini deponije </w:t>
      </w:r>
      <w:r w:rsidRPr="00897A69">
        <w:rPr>
          <w:rFonts w:ascii="Constantia" w:eastAsiaTheme="minorHAnsi" w:hAnsi="Constantia"/>
          <w:lang w:val="sr-Latn-CS"/>
        </w:rPr>
        <w:t xml:space="preserve">ukazuju da je sadržaj fluora </w:t>
      </w:r>
      <w:r>
        <w:rPr>
          <w:rFonts w:ascii="Constantia" w:eastAsiaTheme="minorHAnsi" w:hAnsi="Constantia"/>
          <w:lang w:val="sr-Latn-CS"/>
        </w:rPr>
        <w:t xml:space="preserve">i PAH </w:t>
      </w:r>
      <w:r w:rsidRPr="00897A69">
        <w:rPr>
          <w:rFonts w:ascii="Constantia" w:eastAsiaTheme="minorHAnsi" w:hAnsi="Constantia"/>
          <w:lang w:val="sr-Latn-CS"/>
        </w:rPr>
        <w:t xml:space="preserve">iznad maksimalno dozvoljene koncentracije, dok je sadržaj svih ostalih </w:t>
      </w:r>
      <w:r>
        <w:rPr>
          <w:rFonts w:ascii="Constantia" w:eastAsiaTheme="minorHAnsi" w:hAnsi="Constantia"/>
          <w:lang w:val="sr-Latn-CS"/>
        </w:rPr>
        <w:t xml:space="preserve">neorganskih i organskih </w:t>
      </w:r>
      <w:r w:rsidRPr="00897A69">
        <w:rPr>
          <w:rFonts w:ascii="Constantia" w:eastAsiaTheme="minorHAnsi" w:hAnsi="Constantia"/>
          <w:lang w:val="sr-Latn-CS"/>
        </w:rPr>
        <w:t>supstanci ispod vrijednosti normiranih Pravilnikom.</w:t>
      </w:r>
    </w:p>
    <w:p w:rsidR="00E7780B" w:rsidRPr="005E4028" w:rsidRDefault="00E7780B" w:rsidP="00DE711E">
      <w:pPr>
        <w:spacing w:before="240" w:after="0" w:line="276" w:lineRule="auto"/>
        <w:jc w:val="center"/>
        <w:rPr>
          <w:rFonts w:ascii="Constantia" w:eastAsiaTheme="minorHAnsi" w:hAnsi="Constantia" w:cs="Arial"/>
          <w:lang w:val="sr-Latn-CS"/>
        </w:rPr>
      </w:pPr>
      <w:r>
        <w:rPr>
          <w:rFonts w:ascii="Constantia" w:hAnsi="Constantia"/>
          <w:noProof/>
        </w:rPr>
        <w:drawing>
          <wp:inline distT="0" distB="0" distL="0" distR="0" wp14:anchorId="59C89AD7" wp14:editId="7FE90F54">
            <wp:extent cx="3781425" cy="1666875"/>
            <wp:effectExtent l="0" t="0" r="0" b="0"/>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E7780B" w:rsidRPr="00AB771C" w:rsidRDefault="00E7780B" w:rsidP="00E7780B">
      <w:pPr>
        <w:pStyle w:val="Grafikon"/>
        <w:spacing w:line="276" w:lineRule="auto"/>
        <w:rPr>
          <w:rFonts w:ascii="Constantia" w:eastAsiaTheme="minorHAnsi" w:hAnsi="Constantia"/>
          <w:sz w:val="22"/>
        </w:rPr>
      </w:pPr>
      <w:r>
        <w:rPr>
          <w:rFonts w:ascii="Constantia" w:eastAsiaTheme="minorHAnsi" w:hAnsi="Constantia"/>
          <w:sz w:val="22"/>
        </w:rPr>
        <w:t>Sadržaj olova (Pb)</w:t>
      </w:r>
      <w:r w:rsidRPr="00897A69">
        <w:rPr>
          <w:rFonts w:ascii="Constantia" w:eastAsiaTheme="minorHAnsi" w:hAnsi="Constantia"/>
          <w:sz w:val="22"/>
        </w:rPr>
        <w:t xml:space="preserve"> u</w:t>
      </w:r>
      <w:r>
        <w:rPr>
          <w:rFonts w:ascii="Constantia" w:eastAsiaTheme="minorHAnsi" w:hAnsi="Constantia"/>
          <w:sz w:val="22"/>
        </w:rPr>
        <w:t xml:space="preserve"> uzorku zemljišta uzorkovanom na lokacijiu blizini gradske deponije, 2009-</w:t>
      </w:r>
      <w:r w:rsidRPr="00897A69">
        <w:rPr>
          <w:rFonts w:ascii="Constantia" w:eastAsiaTheme="minorHAnsi" w:hAnsi="Constantia"/>
          <w:sz w:val="22"/>
        </w:rPr>
        <w:t>2</w:t>
      </w:r>
      <w:r>
        <w:rPr>
          <w:rFonts w:ascii="Constantia" w:eastAsiaTheme="minorHAnsi" w:hAnsi="Constantia"/>
          <w:sz w:val="22"/>
        </w:rPr>
        <w:t>013</w:t>
      </w:r>
    </w:p>
    <w:p w:rsidR="00E7780B" w:rsidRPr="005E4028" w:rsidRDefault="00E7780B" w:rsidP="00E7780B">
      <w:pPr>
        <w:spacing w:line="276" w:lineRule="auto"/>
        <w:jc w:val="left"/>
        <w:rPr>
          <w:rFonts w:ascii="Constantia" w:eastAsiaTheme="minorHAnsi" w:hAnsi="Constantia"/>
          <w:lang w:val="sr-Latn-CS"/>
        </w:rPr>
      </w:pPr>
      <w:r>
        <w:rPr>
          <w:rFonts w:ascii="Constantia" w:hAnsi="Constantia"/>
          <w:noProof/>
        </w:rPr>
        <w:drawing>
          <wp:anchor distT="0" distB="0" distL="114300" distR="114300" simplePos="0" relativeHeight="251695104" behindDoc="0" locked="0" layoutInCell="1" allowOverlap="1" wp14:anchorId="2AFE18EE" wp14:editId="710F2F43">
            <wp:simplePos x="0" y="0"/>
            <wp:positionH relativeFrom="column">
              <wp:posOffset>1033145</wp:posOffset>
            </wp:positionH>
            <wp:positionV relativeFrom="paragraph">
              <wp:posOffset>19050</wp:posOffset>
            </wp:positionV>
            <wp:extent cx="3848100" cy="1771650"/>
            <wp:effectExtent l="0" t="0" r="0" b="0"/>
            <wp:wrapSquare wrapText="bothSides"/>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14:sizeRelH relativeFrom="margin">
              <wp14:pctWidth>0</wp14:pctWidth>
            </wp14:sizeRelH>
          </wp:anchor>
        </w:drawing>
      </w:r>
    </w:p>
    <w:p w:rsidR="00E7780B" w:rsidRPr="00AB771C" w:rsidRDefault="00E7780B" w:rsidP="00E7780B">
      <w:pPr>
        <w:pStyle w:val="Grafikon"/>
        <w:spacing w:line="276" w:lineRule="auto"/>
        <w:rPr>
          <w:rFonts w:ascii="Constantia" w:eastAsiaTheme="minorHAnsi" w:hAnsi="Constantia"/>
          <w:sz w:val="22"/>
        </w:rPr>
      </w:pPr>
      <w:r>
        <w:rPr>
          <w:rFonts w:ascii="Constantia" w:eastAsiaTheme="minorHAnsi" w:hAnsi="Constantia"/>
          <w:sz w:val="22"/>
        </w:rPr>
        <w:t>Sadržaj bakra (Cu)</w:t>
      </w:r>
      <w:r w:rsidRPr="00897A69">
        <w:rPr>
          <w:rFonts w:ascii="Constantia" w:eastAsiaTheme="minorHAnsi" w:hAnsi="Constantia"/>
          <w:sz w:val="22"/>
        </w:rPr>
        <w:t xml:space="preserve"> u</w:t>
      </w:r>
      <w:r>
        <w:rPr>
          <w:rFonts w:ascii="Constantia" w:eastAsiaTheme="minorHAnsi" w:hAnsi="Constantia"/>
          <w:sz w:val="22"/>
        </w:rPr>
        <w:t xml:space="preserve"> uzorku zemljišta uzorkovanom na lokaciji u blizini gradske deponije, 2009-</w:t>
      </w:r>
      <w:r w:rsidRPr="00897A69">
        <w:rPr>
          <w:rFonts w:ascii="Constantia" w:eastAsiaTheme="minorHAnsi" w:hAnsi="Constantia"/>
          <w:sz w:val="22"/>
        </w:rPr>
        <w:t>2</w:t>
      </w:r>
      <w:r>
        <w:rPr>
          <w:rFonts w:ascii="Constantia" w:eastAsiaTheme="minorHAnsi" w:hAnsi="Constantia"/>
          <w:sz w:val="22"/>
        </w:rPr>
        <w:t xml:space="preserve">013 </w:t>
      </w:r>
    </w:p>
    <w:p w:rsidR="00E7780B" w:rsidRPr="005E4028" w:rsidRDefault="00E7780B" w:rsidP="00E7780B">
      <w:pPr>
        <w:spacing w:line="276" w:lineRule="auto"/>
        <w:jc w:val="center"/>
        <w:rPr>
          <w:rFonts w:ascii="Constantia" w:eastAsiaTheme="minorHAnsi" w:hAnsi="Constantia" w:cs="Arial"/>
          <w:lang w:val="sr-Latn-CS"/>
        </w:rPr>
      </w:pPr>
      <w:r>
        <w:rPr>
          <w:rFonts w:ascii="Constantia" w:hAnsi="Constantia"/>
          <w:noProof/>
        </w:rPr>
        <w:lastRenderedPageBreak/>
        <w:drawing>
          <wp:inline distT="0" distB="0" distL="0" distR="0" wp14:anchorId="6E94FE25" wp14:editId="64E6C55B">
            <wp:extent cx="3705225" cy="1714500"/>
            <wp:effectExtent l="0" t="0" r="9525" b="19050"/>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C5FC6" w:rsidRDefault="00E7780B" w:rsidP="00DE711E">
      <w:pPr>
        <w:pStyle w:val="Grafikon"/>
        <w:spacing w:after="0" w:line="276" w:lineRule="auto"/>
        <w:rPr>
          <w:rFonts w:ascii="Constantia" w:eastAsiaTheme="minorHAnsi" w:hAnsi="Constantia"/>
          <w:sz w:val="22"/>
        </w:rPr>
      </w:pPr>
      <w:r>
        <w:rPr>
          <w:rFonts w:ascii="Constantia" w:eastAsiaTheme="minorHAnsi" w:hAnsi="Constantia"/>
          <w:sz w:val="22"/>
        </w:rPr>
        <w:t>Sadržaj cinka (Zn)</w:t>
      </w:r>
      <w:r w:rsidRPr="00897A69">
        <w:rPr>
          <w:rFonts w:ascii="Constantia" w:eastAsiaTheme="minorHAnsi" w:hAnsi="Constantia"/>
          <w:sz w:val="22"/>
        </w:rPr>
        <w:t xml:space="preserve"> u</w:t>
      </w:r>
      <w:r>
        <w:rPr>
          <w:rFonts w:ascii="Constantia" w:eastAsiaTheme="minorHAnsi" w:hAnsi="Constantia"/>
          <w:sz w:val="22"/>
        </w:rPr>
        <w:t xml:space="preserve"> uzorku zemljišta uzorkovanom na lokaciji u blizini gradske deponije, 2009-</w:t>
      </w:r>
      <w:r w:rsidRPr="00897A69">
        <w:rPr>
          <w:rFonts w:ascii="Constantia" w:eastAsiaTheme="minorHAnsi" w:hAnsi="Constantia"/>
          <w:sz w:val="22"/>
        </w:rPr>
        <w:t>2</w:t>
      </w:r>
      <w:r>
        <w:rPr>
          <w:rFonts w:ascii="Constantia" w:eastAsiaTheme="minorHAnsi" w:hAnsi="Constantia"/>
          <w:sz w:val="22"/>
        </w:rPr>
        <w:t>013</w:t>
      </w:r>
    </w:p>
    <w:p w:rsidR="00E7780B" w:rsidRPr="004C5FC6" w:rsidRDefault="00E7780B" w:rsidP="00DE711E">
      <w:pPr>
        <w:pStyle w:val="Grafikon"/>
        <w:numPr>
          <w:ilvl w:val="0"/>
          <w:numId w:val="0"/>
        </w:numPr>
        <w:spacing w:after="0"/>
        <w:jc w:val="both"/>
        <w:rPr>
          <w:rFonts w:ascii="Constantia" w:eastAsiaTheme="minorHAnsi" w:hAnsi="Constantia"/>
          <w:i w:val="0"/>
          <w:sz w:val="22"/>
        </w:rPr>
      </w:pPr>
      <w:r>
        <w:rPr>
          <w:rFonts w:ascii="Constantia" w:eastAsiaTheme="minorHAnsi" w:hAnsi="Constantia"/>
          <w:sz w:val="22"/>
        </w:rPr>
        <w:t xml:space="preserve"> </w:t>
      </w:r>
    </w:p>
    <w:p w:rsidR="00E7780B" w:rsidRPr="005E4028" w:rsidRDefault="00E7780B" w:rsidP="00F946B9">
      <w:pPr>
        <w:pStyle w:val="Heading2"/>
        <w:spacing w:line="276" w:lineRule="auto"/>
        <w:ind w:left="720"/>
        <w:rPr>
          <w:lang w:val="sr-Latn-CS"/>
        </w:rPr>
      </w:pPr>
      <w:bookmarkStart w:id="61" w:name="_Toc318278303"/>
      <w:bookmarkStart w:id="62" w:name="_Toc362938319"/>
      <w:bookmarkStart w:id="63" w:name="_Toc393897889"/>
      <w:r w:rsidRPr="00897A69">
        <w:rPr>
          <w:lang w:val="sr-Latn-CS"/>
        </w:rPr>
        <w:t>Rezultati ispitivanja opasnih i štetnih materija u zemljištu na području opštine Žabljak</w:t>
      </w:r>
      <w:bookmarkEnd w:id="61"/>
      <w:bookmarkEnd w:id="62"/>
      <w:bookmarkEnd w:id="63"/>
    </w:p>
    <w:p w:rsidR="00E7780B" w:rsidRDefault="00E7780B" w:rsidP="003E6ABB">
      <w:pPr>
        <w:rPr>
          <w:rFonts w:ascii="Constantia" w:eastAsiaTheme="minorHAnsi" w:hAnsi="Constantia"/>
          <w:lang w:val="sr-Latn-CS"/>
        </w:rPr>
      </w:pPr>
      <w:r w:rsidRPr="00897A69">
        <w:rPr>
          <w:rFonts w:ascii="Constantia" w:eastAsiaTheme="minorHAnsi" w:hAnsi="Constantia"/>
          <w:lang w:val="sr-Latn-CS"/>
        </w:rPr>
        <w:t xml:space="preserve">Na području opštine Žabljak uzorkovanje je izvršeno na </w:t>
      </w:r>
      <w:r>
        <w:rPr>
          <w:rFonts w:ascii="Constantia" w:eastAsiaTheme="minorHAnsi" w:hAnsi="Constantia"/>
          <w:lang w:val="sr-Latn-CS"/>
        </w:rPr>
        <w:t xml:space="preserve">3 </w:t>
      </w:r>
      <w:r w:rsidRPr="00897A69">
        <w:rPr>
          <w:rFonts w:ascii="Constantia" w:eastAsiaTheme="minorHAnsi" w:hAnsi="Constantia"/>
          <w:lang w:val="sr-Latn-CS"/>
        </w:rPr>
        <w:t xml:space="preserve">lokacije. </w:t>
      </w:r>
      <w:r>
        <w:rPr>
          <w:rFonts w:ascii="Constantia" w:eastAsiaTheme="minorHAnsi" w:hAnsi="Constantia"/>
          <w:lang w:val="sr-Latn-CS"/>
        </w:rPr>
        <w:t xml:space="preserve">Iste se odnose na zemljišta u blizini gradske deponije i saobraćajnice prema Đurđevića Tari, kao i na obalu Crnog jezera. </w:t>
      </w:r>
      <w:r w:rsidRPr="00897A69">
        <w:rPr>
          <w:rFonts w:ascii="Constantia" w:eastAsiaTheme="minorHAnsi" w:hAnsi="Constantia"/>
          <w:lang w:val="sr-Latn-CS"/>
        </w:rPr>
        <w:t>Rezultati ispitivanja zagađenosti zemljiš</w:t>
      </w:r>
      <w:r>
        <w:rPr>
          <w:rFonts w:ascii="Constantia" w:eastAsiaTheme="minorHAnsi" w:hAnsi="Constantia"/>
          <w:lang w:val="sr-Latn-CS"/>
        </w:rPr>
        <w:t>ta na teritoriji Žabljaka u 2013</w:t>
      </w:r>
      <w:r w:rsidRPr="00897A69">
        <w:rPr>
          <w:rFonts w:ascii="Constantia" w:eastAsiaTheme="minorHAnsi" w:hAnsi="Constantia"/>
          <w:lang w:val="sr-Latn-CS"/>
        </w:rPr>
        <w:t xml:space="preserve">. godini ukazuju da, u pogledu sadržaja neorganskih polutanata, </w:t>
      </w:r>
      <w:r>
        <w:rPr>
          <w:rFonts w:ascii="Constantia" w:eastAsiaTheme="minorHAnsi" w:hAnsi="Constantia"/>
          <w:lang w:val="sr-Latn-CS"/>
        </w:rPr>
        <w:t>odstupanja od normi propisanih P</w:t>
      </w:r>
      <w:r w:rsidRPr="00897A69">
        <w:rPr>
          <w:rFonts w:ascii="Constantia" w:eastAsiaTheme="minorHAnsi" w:hAnsi="Constantia"/>
          <w:lang w:val="sr-Latn-CS"/>
        </w:rPr>
        <w:t>ravilnikom</w:t>
      </w:r>
      <w:r>
        <w:rPr>
          <w:rFonts w:ascii="Constantia" w:eastAsiaTheme="minorHAnsi" w:hAnsi="Constantia"/>
          <w:lang w:val="sr-Latn-CS"/>
        </w:rPr>
        <w:t xml:space="preserve"> postoje samo na lokaciji u blizini gradske deponije, a odnose se na sadržaj kadmijuma, hroma i fluora</w:t>
      </w:r>
      <w:r w:rsidRPr="00897A69">
        <w:rPr>
          <w:rFonts w:ascii="Constantia" w:eastAsiaTheme="minorHAnsi" w:hAnsi="Constantia"/>
          <w:lang w:val="sr-Latn-CS"/>
        </w:rPr>
        <w:t>.</w:t>
      </w:r>
      <w:r>
        <w:rPr>
          <w:rFonts w:ascii="Constantia" w:eastAsiaTheme="minorHAnsi" w:hAnsi="Constantia"/>
          <w:lang w:val="sr-Latn-CS"/>
        </w:rPr>
        <w:t xml:space="preserve"> Na svim ispitivanim lokacijama, sadržaj ostalih neorganskih i svih ispitivanih organskih polutanata ne prevazilazi Pravilnikom propisane MDK.</w:t>
      </w:r>
    </w:p>
    <w:p w:rsidR="00E7780B" w:rsidRPr="005E4028" w:rsidRDefault="00E7780B" w:rsidP="003E6ABB">
      <w:pPr>
        <w:spacing w:before="240" w:after="0" w:line="276" w:lineRule="auto"/>
        <w:jc w:val="center"/>
        <w:rPr>
          <w:rFonts w:ascii="Constantia" w:eastAsiaTheme="minorHAnsi" w:hAnsi="Constantia" w:cs="Arial"/>
          <w:lang w:val="sr-Latn-CS"/>
        </w:rPr>
      </w:pPr>
      <w:r>
        <w:rPr>
          <w:rFonts w:ascii="Constantia" w:hAnsi="Constantia"/>
          <w:noProof/>
        </w:rPr>
        <w:drawing>
          <wp:inline distT="0" distB="0" distL="0" distR="0" wp14:anchorId="042E0DE7" wp14:editId="75D80239">
            <wp:extent cx="3724275" cy="1504950"/>
            <wp:effectExtent l="0" t="0" r="9525" b="19050"/>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E7780B" w:rsidRDefault="00E7780B" w:rsidP="00E7780B">
      <w:pPr>
        <w:pStyle w:val="Grafikon"/>
        <w:spacing w:after="0"/>
        <w:rPr>
          <w:rFonts w:ascii="Constantia" w:eastAsiaTheme="minorHAnsi" w:hAnsi="Constantia"/>
          <w:sz w:val="22"/>
        </w:rPr>
      </w:pPr>
      <w:r>
        <w:rPr>
          <w:rFonts w:ascii="Constantia" w:eastAsiaTheme="minorHAnsi" w:hAnsi="Constantia"/>
          <w:sz w:val="22"/>
        </w:rPr>
        <w:t>Sadržaj olova (Pb)</w:t>
      </w:r>
      <w:r w:rsidRPr="00897A69">
        <w:rPr>
          <w:rFonts w:ascii="Constantia" w:eastAsiaTheme="minorHAnsi" w:hAnsi="Constantia"/>
          <w:sz w:val="22"/>
        </w:rPr>
        <w:t xml:space="preserve"> u</w:t>
      </w:r>
      <w:r>
        <w:rPr>
          <w:rFonts w:ascii="Constantia" w:eastAsiaTheme="minorHAnsi" w:hAnsi="Constantia"/>
          <w:sz w:val="22"/>
        </w:rPr>
        <w:t xml:space="preserve"> uzorku zemljišta uzorkovanom na obali Crnog jezera, </w:t>
      </w:r>
      <w:r w:rsidRPr="005D7D46">
        <w:rPr>
          <w:rFonts w:ascii="Constantia" w:eastAsiaTheme="minorHAnsi" w:hAnsi="Constantia"/>
          <w:sz w:val="22"/>
        </w:rPr>
        <w:t>2009-2013</w:t>
      </w:r>
    </w:p>
    <w:p w:rsidR="00E7780B" w:rsidRDefault="00E7780B" w:rsidP="003E6ABB">
      <w:pPr>
        <w:spacing w:after="0" w:line="276" w:lineRule="auto"/>
        <w:jc w:val="center"/>
        <w:rPr>
          <w:rFonts w:ascii="Constantia" w:eastAsiaTheme="minorHAnsi" w:hAnsi="Constantia" w:cs="Arial"/>
          <w:lang w:val="sr-Latn-CS"/>
        </w:rPr>
      </w:pPr>
    </w:p>
    <w:p w:rsidR="00E7780B" w:rsidRPr="005E4028" w:rsidRDefault="00E7780B" w:rsidP="003E6ABB">
      <w:pPr>
        <w:spacing w:after="0" w:line="276" w:lineRule="auto"/>
        <w:jc w:val="center"/>
        <w:rPr>
          <w:rFonts w:ascii="Constantia" w:eastAsiaTheme="minorHAnsi" w:hAnsi="Constantia" w:cs="Arial"/>
          <w:lang w:val="sr-Latn-CS"/>
        </w:rPr>
      </w:pPr>
      <w:r>
        <w:rPr>
          <w:rFonts w:ascii="Constantia" w:hAnsi="Constantia"/>
          <w:noProof/>
        </w:rPr>
        <w:drawing>
          <wp:inline distT="0" distB="0" distL="0" distR="0" wp14:anchorId="7ADA4475" wp14:editId="2281312B">
            <wp:extent cx="3781425" cy="1447800"/>
            <wp:effectExtent l="0" t="0" r="9525" b="19050"/>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E7780B" w:rsidRPr="00E827A1" w:rsidRDefault="00E7780B" w:rsidP="00E7780B">
      <w:pPr>
        <w:pStyle w:val="Grafikon"/>
        <w:spacing w:line="276" w:lineRule="auto"/>
        <w:rPr>
          <w:rFonts w:ascii="Constantia" w:eastAsiaTheme="minorHAnsi" w:hAnsi="Constantia"/>
          <w:sz w:val="22"/>
        </w:rPr>
      </w:pPr>
      <w:r>
        <w:rPr>
          <w:rFonts w:ascii="Constantia" w:eastAsiaTheme="minorHAnsi" w:hAnsi="Constantia"/>
          <w:sz w:val="22"/>
        </w:rPr>
        <w:t>Sadržaj nikla (Ni)</w:t>
      </w:r>
      <w:r w:rsidRPr="00897A69">
        <w:rPr>
          <w:rFonts w:ascii="Constantia" w:eastAsiaTheme="minorHAnsi" w:hAnsi="Constantia"/>
          <w:sz w:val="22"/>
        </w:rPr>
        <w:t xml:space="preserve"> u</w:t>
      </w:r>
      <w:r>
        <w:rPr>
          <w:rFonts w:ascii="Constantia" w:eastAsiaTheme="minorHAnsi" w:hAnsi="Constantia"/>
          <w:sz w:val="22"/>
        </w:rPr>
        <w:t xml:space="preserve"> uzorku zemljišta uzorkovanom na obali Crnog jezera, </w:t>
      </w:r>
      <w:r w:rsidRPr="00E827A1">
        <w:rPr>
          <w:rFonts w:ascii="Constantia" w:eastAsiaTheme="minorHAnsi" w:hAnsi="Constantia"/>
          <w:sz w:val="22"/>
        </w:rPr>
        <w:t xml:space="preserve">2009-2013 </w:t>
      </w:r>
    </w:p>
    <w:p w:rsidR="00E7780B" w:rsidRDefault="00E7780B" w:rsidP="00E7780B">
      <w:pPr>
        <w:spacing w:line="276" w:lineRule="auto"/>
        <w:jc w:val="center"/>
        <w:rPr>
          <w:rFonts w:ascii="Constantia" w:eastAsiaTheme="minorHAnsi" w:hAnsi="Constantia" w:cs="Arial"/>
          <w:lang w:val="sr-Latn-CS"/>
        </w:rPr>
      </w:pPr>
      <w:r>
        <w:rPr>
          <w:rFonts w:ascii="Constantia" w:hAnsi="Constantia"/>
          <w:noProof/>
        </w:rPr>
        <w:lastRenderedPageBreak/>
        <w:drawing>
          <wp:inline distT="0" distB="0" distL="0" distR="0" wp14:anchorId="5148116B" wp14:editId="54D104B2">
            <wp:extent cx="3743325" cy="1552575"/>
            <wp:effectExtent l="0" t="0" r="0" b="0"/>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E7780B" w:rsidRDefault="00E7780B" w:rsidP="00E7780B">
      <w:pPr>
        <w:pStyle w:val="Grafikon"/>
        <w:spacing w:after="0"/>
        <w:rPr>
          <w:rFonts w:ascii="Constantia" w:eastAsiaTheme="minorHAnsi" w:hAnsi="Constantia"/>
          <w:sz w:val="22"/>
        </w:rPr>
      </w:pPr>
      <w:r>
        <w:rPr>
          <w:rFonts w:ascii="Constantia" w:eastAsiaTheme="minorHAnsi" w:hAnsi="Constantia"/>
          <w:sz w:val="22"/>
        </w:rPr>
        <w:t>Sadržaj cinka (Zn)</w:t>
      </w:r>
      <w:r w:rsidRPr="00897A69">
        <w:rPr>
          <w:rFonts w:ascii="Constantia" w:eastAsiaTheme="minorHAnsi" w:hAnsi="Constantia"/>
          <w:sz w:val="22"/>
        </w:rPr>
        <w:t xml:space="preserve"> u</w:t>
      </w:r>
      <w:r>
        <w:rPr>
          <w:rFonts w:ascii="Constantia" w:eastAsiaTheme="minorHAnsi" w:hAnsi="Constantia"/>
          <w:sz w:val="22"/>
        </w:rPr>
        <w:t xml:space="preserve"> uzorku zemljišta uzorkovanom na obali Crnog jezera, </w:t>
      </w:r>
    </w:p>
    <w:p w:rsidR="00E7780B" w:rsidRDefault="00E7780B" w:rsidP="003E6ABB">
      <w:pPr>
        <w:pStyle w:val="Grafikon"/>
        <w:numPr>
          <w:ilvl w:val="0"/>
          <w:numId w:val="0"/>
        </w:numPr>
        <w:ind w:left="360"/>
        <w:rPr>
          <w:rFonts w:ascii="Constantia" w:eastAsiaTheme="minorHAnsi" w:hAnsi="Constantia"/>
          <w:sz w:val="22"/>
        </w:rPr>
      </w:pPr>
      <w:r w:rsidRPr="00E827A1">
        <w:rPr>
          <w:rFonts w:ascii="Constantia" w:eastAsiaTheme="minorHAnsi" w:hAnsi="Constantia"/>
          <w:sz w:val="22"/>
        </w:rPr>
        <w:t>2009-2013</w:t>
      </w:r>
    </w:p>
    <w:p w:rsidR="003E6ABB" w:rsidRPr="00E827A1" w:rsidRDefault="003E6ABB" w:rsidP="003E6ABB">
      <w:pPr>
        <w:pStyle w:val="Grafikon"/>
        <w:numPr>
          <w:ilvl w:val="0"/>
          <w:numId w:val="0"/>
        </w:numPr>
        <w:spacing w:after="0"/>
        <w:ind w:left="360" w:hanging="360"/>
        <w:jc w:val="both"/>
        <w:rPr>
          <w:rFonts w:ascii="Constantia" w:eastAsiaTheme="minorHAnsi" w:hAnsi="Constantia"/>
          <w:sz w:val="22"/>
        </w:rPr>
      </w:pPr>
    </w:p>
    <w:p w:rsidR="00E7780B" w:rsidRPr="005E4028" w:rsidRDefault="00E7780B" w:rsidP="000B3AF7">
      <w:pPr>
        <w:pStyle w:val="Heading2"/>
        <w:spacing w:line="276" w:lineRule="auto"/>
        <w:ind w:left="720"/>
        <w:rPr>
          <w:lang w:val="sr-Latn-CS"/>
        </w:rPr>
      </w:pPr>
      <w:bookmarkStart w:id="64" w:name="_Toc318278304"/>
      <w:bookmarkStart w:id="65" w:name="_Toc362938320"/>
      <w:bookmarkStart w:id="66" w:name="_Toc393897890"/>
      <w:r w:rsidRPr="00897A69">
        <w:rPr>
          <w:lang w:val="sr-Latn-CS"/>
        </w:rPr>
        <w:t xml:space="preserve">Rezultati </w:t>
      </w:r>
      <w:r w:rsidRPr="00B265ED">
        <w:t>ispitivanja</w:t>
      </w:r>
      <w:r w:rsidRPr="00897A69">
        <w:rPr>
          <w:lang w:val="sr-Latn-CS"/>
        </w:rPr>
        <w:t xml:space="preserve"> opasnih i štetnih materija u zemljištu na području opštine Kolašin</w:t>
      </w:r>
      <w:bookmarkEnd w:id="64"/>
      <w:bookmarkEnd w:id="65"/>
      <w:bookmarkEnd w:id="66"/>
    </w:p>
    <w:p w:rsidR="00E7780B" w:rsidRDefault="00E7780B" w:rsidP="00B265ED">
      <w:pPr>
        <w:rPr>
          <w:rFonts w:ascii="Constantia" w:eastAsiaTheme="minorHAnsi" w:hAnsi="Constantia"/>
          <w:lang w:val="sr-Latn-CS"/>
        </w:rPr>
      </w:pPr>
      <w:r w:rsidRPr="00897A69">
        <w:rPr>
          <w:rFonts w:ascii="Constantia" w:eastAsiaTheme="minorHAnsi" w:hAnsi="Constantia"/>
          <w:lang w:val="sr-Latn-CS"/>
        </w:rPr>
        <w:t>Na području opštine Kolašin uzorkovanje je izvršeno na lokaciji Trebaljevo</w:t>
      </w:r>
      <w:r w:rsidR="00B265ED">
        <w:rPr>
          <w:rFonts w:ascii="Constantia" w:eastAsiaTheme="minorHAnsi" w:hAnsi="Constantia"/>
          <w:lang w:val="sr-Latn-CS"/>
        </w:rPr>
        <w:t xml:space="preserve"> </w:t>
      </w:r>
      <w:r w:rsidRPr="00897A69">
        <w:rPr>
          <w:rFonts w:ascii="Constantia" w:eastAsiaTheme="minorHAnsi" w:hAnsi="Constantia"/>
          <w:lang w:val="sr-Latn-CS"/>
        </w:rPr>
        <w:t>-</w:t>
      </w:r>
      <w:r w:rsidR="00B265ED">
        <w:rPr>
          <w:rFonts w:ascii="Constantia" w:eastAsiaTheme="minorHAnsi" w:hAnsi="Constantia"/>
          <w:lang w:val="sr-Latn-CS"/>
        </w:rPr>
        <w:t xml:space="preserve"> </w:t>
      </w:r>
      <w:r w:rsidRPr="00897A69">
        <w:rPr>
          <w:rFonts w:ascii="Constantia" w:eastAsiaTheme="minorHAnsi" w:hAnsi="Constantia"/>
          <w:lang w:val="sr-Latn-CS"/>
        </w:rPr>
        <w:t>pored saobraćajnice.</w:t>
      </w:r>
      <w:r w:rsidR="00B265ED">
        <w:rPr>
          <w:rFonts w:ascii="Constantia" w:eastAsiaTheme="minorHAnsi" w:hAnsi="Constantia"/>
          <w:lang w:val="sr-Latn-CS"/>
        </w:rPr>
        <w:t xml:space="preserve"> </w:t>
      </w:r>
      <w:r w:rsidRPr="00897A69">
        <w:rPr>
          <w:rFonts w:ascii="Constantia" w:eastAsiaTheme="minorHAnsi" w:hAnsi="Constantia"/>
          <w:lang w:val="sr-Latn-CS"/>
        </w:rPr>
        <w:t>Uzorak zemljišta je analiziran na sadržaj opasnih i štetnih materija</w:t>
      </w:r>
      <w:r>
        <w:rPr>
          <w:rFonts w:ascii="Constantia" w:eastAsiaTheme="minorHAnsi" w:hAnsi="Constantia"/>
          <w:lang w:val="sr-Latn-CS"/>
        </w:rPr>
        <w:t>, kao i toksičnih i kance</w:t>
      </w:r>
      <w:r w:rsidRPr="00897A69">
        <w:rPr>
          <w:rFonts w:ascii="Constantia" w:eastAsiaTheme="minorHAnsi" w:hAnsi="Constantia"/>
          <w:lang w:val="sr-Latn-CS"/>
        </w:rPr>
        <w:t>rogenih supstanci.</w:t>
      </w:r>
    </w:p>
    <w:p w:rsidR="00E7780B" w:rsidRDefault="00E7780B" w:rsidP="00B265ED">
      <w:pPr>
        <w:rPr>
          <w:rFonts w:ascii="Constantia" w:eastAsiaTheme="minorHAnsi" w:hAnsi="Constantia"/>
          <w:lang w:val="sr-Latn-CS"/>
        </w:rPr>
      </w:pPr>
      <w:r w:rsidRPr="00897A69">
        <w:rPr>
          <w:rFonts w:ascii="Constantia" w:eastAsiaTheme="minorHAnsi" w:hAnsi="Constantia"/>
          <w:lang w:val="sr-Latn-CS"/>
        </w:rPr>
        <w:t>Rezultati ispitivanja zagađenosti zemljiš</w:t>
      </w:r>
      <w:r>
        <w:rPr>
          <w:rFonts w:ascii="Constantia" w:eastAsiaTheme="minorHAnsi" w:hAnsi="Constantia"/>
          <w:lang w:val="sr-Latn-CS"/>
        </w:rPr>
        <w:t xml:space="preserve">ta na </w:t>
      </w:r>
      <w:r w:rsidR="003E6ABB">
        <w:rPr>
          <w:rFonts w:ascii="Constantia" w:eastAsiaTheme="minorHAnsi" w:hAnsi="Constantia"/>
          <w:lang w:val="sr-Latn-CS"/>
        </w:rPr>
        <w:t xml:space="preserve">lokacilji Trebaljevo </w:t>
      </w:r>
      <w:r>
        <w:rPr>
          <w:rFonts w:ascii="Constantia" w:eastAsiaTheme="minorHAnsi" w:hAnsi="Constantia"/>
          <w:lang w:val="sr-Latn-CS"/>
        </w:rPr>
        <w:t>u 2013</w:t>
      </w:r>
      <w:r w:rsidRPr="00897A69">
        <w:rPr>
          <w:rFonts w:ascii="Constantia" w:eastAsiaTheme="minorHAnsi" w:hAnsi="Constantia"/>
          <w:lang w:val="sr-Latn-CS"/>
        </w:rPr>
        <w:t>. god</w:t>
      </w:r>
      <w:r>
        <w:rPr>
          <w:rFonts w:ascii="Constantia" w:eastAsiaTheme="minorHAnsi" w:hAnsi="Constantia"/>
          <w:lang w:val="sr-Latn-CS"/>
        </w:rPr>
        <w:t>ini ukazuju da sadržaj neorganskih polutanata (sa izuzetkom fluora), kao i svih organskih polutanata, ne prevazilazi Pravilnikom normirane MDK. Isti rezultati pokazuju i da je n</w:t>
      </w:r>
      <w:r w:rsidRPr="00897A69">
        <w:rPr>
          <w:rFonts w:ascii="Constantia" w:eastAsiaTheme="minorHAnsi" w:hAnsi="Constantia"/>
          <w:lang w:val="sr-Latn-CS"/>
        </w:rPr>
        <w:t>a ispitivan</w:t>
      </w:r>
      <w:r>
        <w:rPr>
          <w:rFonts w:ascii="Constantia" w:eastAsiaTheme="minorHAnsi" w:hAnsi="Constantia"/>
          <w:lang w:val="sr-Latn-CS"/>
        </w:rPr>
        <w:t>oj</w:t>
      </w:r>
      <w:r w:rsidRPr="00897A69">
        <w:rPr>
          <w:rFonts w:ascii="Constantia" w:eastAsiaTheme="minorHAnsi" w:hAnsi="Constantia"/>
          <w:lang w:val="sr-Latn-CS"/>
        </w:rPr>
        <w:t xml:space="preserve"> lokacij</w:t>
      </w:r>
      <w:r>
        <w:rPr>
          <w:rFonts w:ascii="Constantia" w:eastAsiaTheme="minorHAnsi" w:hAnsi="Constantia"/>
          <w:lang w:val="sr-Latn-CS"/>
        </w:rPr>
        <w:t xml:space="preserve">i u Trebaljevu </w:t>
      </w:r>
      <w:r w:rsidRPr="00897A69">
        <w:rPr>
          <w:rFonts w:ascii="Constantia" w:eastAsiaTheme="minorHAnsi" w:hAnsi="Constantia"/>
          <w:lang w:val="sr-Latn-CS"/>
        </w:rPr>
        <w:t xml:space="preserve">došlo do </w:t>
      </w:r>
      <w:r>
        <w:rPr>
          <w:rFonts w:ascii="Constantia" w:eastAsiaTheme="minorHAnsi" w:hAnsi="Constantia"/>
          <w:lang w:val="sr-Latn-CS"/>
        </w:rPr>
        <w:t>značajnog smanjenja koncentracija</w:t>
      </w:r>
      <w:r w:rsidRPr="00F73A22">
        <w:rPr>
          <w:rFonts w:ascii="Constantia" w:eastAsiaTheme="minorHAnsi" w:hAnsi="Constantia"/>
          <w:lang w:val="sr-Latn-CS"/>
        </w:rPr>
        <w:t xml:space="preserve"> neorganskih polutanata nikla (Ni) i hroma (Cr) u odnosu na prethodnu godinu</w:t>
      </w:r>
      <w:r>
        <w:rPr>
          <w:rFonts w:ascii="Constantia" w:eastAsiaTheme="minorHAnsi" w:hAnsi="Constantia"/>
          <w:lang w:val="sr-Latn-CS"/>
        </w:rPr>
        <w:t>.</w:t>
      </w:r>
    </w:p>
    <w:p w:rsidR="00E7780B" w:rsidRPr="005E4028" w:rsidRDefault="00E7780B" w:rsidP="00E408EB">
      <w:pPr>
        <w:spacing w:before="240" w:after="0" w:line="276" w:lineRule="auto"/>
        <w:jc w:val="center"/>
        <w:rPr>
          <w:rFonts w:ascii="Constantia" w:eastAsiaTheme="minorHAnsi" w:hAnsi="Constantia" w:cs="Arial"/>
          <w:lang w:val="sr-Latn-CS"/>
        </w:rPr>
      </w:pPr>
      <w:r>
        <w:rPr>
          <w:rFonts w:ascii="Constantia" w:hAnsi="Constantia"/>
          <w:noProof/>
        </w:rPr>
        <w:drawing>
          <wp:inline distT="0" distB="0" distL="0" distR="0" wp14:anchorId="71ADFDCC" wp14:editId="3AEE72D8">
            <wp:extent cx="3733800" cy="1609725"/>
            <wp:effectExtent l="0" t="0" r="19050" b="9525"/>
            <wp:docPr id="5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rsidR="00E7780B" w:rsidRDefault="00E7780B" w:rsidP="00E7780B">
      <w:pPr>
        <w:pStyle w:val="Grafikon"/>
        <w:spacing w:after="0"/>
        <w:rPr>
          <w:rFonts w:ascii="Constantia" w:eastAsiaTheme="minorHAnsi" w:hAnsi="Constantia"/>
          <w:sz w:val="22"/>
        </w:rPr>
      </w:pPr>
      <w:r>
        <w:rPr>
          <w:rFonts w:ascii="Constantia" w:eastAsiaTheme="minorHAnsi" w:hAnsi="Constantia"/>
          <w:sz w:val="22"/>
        </w:rPr>
        <w:t>Sadržaj olova (Pb)</w:t>
      </w:r>
      <w:r w:rsidRPr="00897A69">
        <w:rPr>
          <w:rFonts w:ascii="Constantia" w:eastAsiaTheme="minorHAnsi" w:hAnsi="Constantia"/>
          <w:sz w:val="22"/>
        </w:rPr>
        <w:t xml:space="preserve"> u</w:t>
      </w:r>
      <w:r>
        <w:rPr>
          <w:rFonts w:ascii="Constantia" w:eastAsiaTheme="minorHAnsi" w:hAnsi="Constantia"/>
          <w:sz w:val="22"/>
        </w:rPr>
        <w:t xml:space="preserve"> uzorku zemljišta uzorkovanom u Trebaljevu, </w:t>
      </w:r>
      <w:r w:rsidRPr="004F3201">
        <w:rPr>
          <w:rFonts w:ascii="Constantia" w:eastAsiaTheme="minorHAnsi" w:hAnsi="Constantia"/>
          <w:sz w:val="22"/>
        </w:rPr>
        <w:t>2009-2013</w:t>
      </w:r>
    </w:p>
    <w:p w:rsidR="00E7780B" w:rsidRPr="004F3201" w:rsidRDefault="00E7780B" w:rsidP="00E408EB">
      <w:pPr>
        <w:pStyle w:val="Grafikon"/>
        <w:numPr>
          <w:ilvl w:val="0"/>
          <w:numId w:val="0"/>
        </w:numPr>
        <w:spacing w:after="0"/>
        <w:ind w:left="360"/>
        <w:jc w:val="both"/>
        <w:rPr>
          <w:rFonts w:ascii="Constantia" w:eastAsiaTheme="minorHAnsi" w:hAnsi="Constantia"/>
          <w:sz w:val="22"/>
        </w:rPr>
      </w:pPr>
    </w:p>
    <w:p w:rsidR="00E7780B" w:rsidRPr="005E4028" w:rsidRDefault="00E7780B" w:rsidP="00E408EB">
      <w:pPr>
        <w:pStyle w:val="Grafikon"/>
        <w:numPr>
          <w:ilvl w:val="0"/>
          <w:numId w:val="0"/>
        </w:numPr>
        <w:spacing w:before="240" w:after="0" w:line="276" w:lineRule="auto"/>
        <w:ind w:left="144"/>
        <w:rPr>
          <w:rFonts w:ascii="Constantia" w:eastAsiaTheme="minorHAnsi" w:hAnsi="Constantia"/>
        </w:rPr>
      </w:pPr>
      <w:r>
        <w:rPr>
          <w:rFonts w:ascii="Constantia" w:hAnsi="Constantia"/>
          <w:noProof/>
          <w:lang w:val="en-US"/>
        </w:rPr>
        <w:drawing>
          <wp:inline distT="0" distB="0" distL="0" distR="0" wp14:anchorId="68B8AC59" wp14:editId="0FB8B10B">
            <wp:extent cx="3771900" cy="1571625"/>
            <wp:effectExtent l="0" t="0" r="0" b="0"/>
            <wp:docPr id="5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rsidR="00E7780B" w:rsidRDefault="00E7780B" w:rsidP="00E7780B">
      <w:pPr>
        <w:pStyle w:val="Grafikon"/>
        <w:spacing w:after="0" w:line="276" w:lineRule="auto"/>
        <w:rPr>
          <w:rFonts w:ascii="Constantia" w:eastAsiaTheme="minorHAnsi" w:hAnsi="Constantia"/>
          <w:sz w:val="22"/>
        </w:rPr>
      </w:pPr>
      <w:r>
        <w:rPr>
          <w:rFonts w:ascii="Constantia" w:eastAsiaTheme="minorHAnsi" w:hAnsi="Constantia"/>
          <w:sz w:val="22"/>
        </w:rPr>
        <w:t>Sadržaj nikla (Ni)</w:t>
      </w:r>
      <w:r w:rsidRPr="00897A69">
        <w:rPr>
          <w:rFonts w:ascii="Constantia" w:eastAsiaTheme="minorHAnsi" w:hAnsi="Constantia"/>
          <w:sz w:val="22"/>
        </w:rPr>
        <w:t xml:space="preserve"> u</w:t>
      </w:r>
      <w:r>
        <w:rPr>
          <w:rFonts w:ascii="Constantia" w:eastAsiaTheme="minorHAnsi" w:hAnsi="Constantia"/>
          <w:sz w:val="22"/>
        </w:rPr>
        <w:t xml:space="preserve"> uzorku zemljišta uzorkovanomu Trebaljevu, </w:t>
      </w:r>
      <w:r w:rsidRPr="00E827A1">
        <w:rPr>
          <w:rFonts w:ascii="Constantia" w:eastAsiaTheme="minorHAnsi" w:hAnsi="Constantia"/>
          <w:sz w:val="22"/>
        </w:rPr>
        <w:t xml:space="preserve">2009-2013 </w:t>
      </w:r>
    </w:p>
    <w:p w:rsidR="00E7780B" w:rsidRPr="005E4028" w:rsidRDefault="00E7780B" w:rsidP="00E7780B">
      <w:pPr>
        <w:pStyle w:val="Grafikon"/>
        <w:numPr>
          <w:ilvl w:val="0"/>
          <w:numId w:val="0"/>
        </w:numPr>
        <w:spacing w:after="0" w:line="276" w:lineRule="auto"/>
        <w:ind w:left="144" w:hanging="144"/>
        <w:rPr>
          <w:rFonts w:ascii="Constantia" w:eastAsiaTheme="minorHAnsi" w:hAnsi="Constantia"/>
        </w:rPr>
      </w:pPr>
      <w:r>
        <w:rPr>
          <w:rFonts w:ascii="Constantia" w:hAnsi="Constantia"/>
          <w:noProof/>
          <w:lang w:val="en-US"/>
        </w:rPr>
        <w:lastRenderedPageBreak/>
        <w:drawing>
          <wp:inline distT="0" distB="0" distL="0" distR="0" wp14:anchorId="3B6CBD40" wp14:editId="55A51A50">
            <wp:extent cx="3819525" cy="1695450"/>
            <wp:effectExtent l="0" t="0" r="0" b="0"/>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rsidR="00E7780B" w:rsidRDefault="00E7780B" w:rsidP="00E7780B">
      <w:pPr>
        <w:pStyle w:val="Grafikon"/>
        <w:spacing w:after="0" w:line="276" w:lineRule="auto"/>
        <w:rPr>
          <w:rFonts w:ascii="Constantia" w:eastAsiaTheme="minorHAnsi" w:hAnsi="Constantia"/>
          <w:sz w:val="22"/>
        </w:rPr>
      </w:pPr>
      <w:r>
        <w:rPr>
          <w:rFonts w:ascii="Constantia" w:eastAsiaTheme="minorHAnsi" w:hAnsi="Constantia"/>
          <w:sz w:val="22"/>
        </w:rPr>
        <w:t>Sadržaj hroma (Cr)</w:t>
      </w:r>
      <w:r w:rsidRPr="00897A69">
        <w:rPr>
          <w:rFonts w:ascii="Constantia" w:eastAsiaTheme="minorHAnsi" w:hAnsi="Constantia"/>
          <w:sz w:val="22"/>
        </w:rPr>
        <w:t xml:space="preserve"> u</w:t>
      </w:r>
      <w:r>
        <w:rPr>
          <w:rFonts w:ascii="Constantia" w:eastAsiaTheme="minorHAnsi" w:hAnsi="Constantia"/>
          <w:sz w:val="22"/>
        </w:rPr>
        <w:t xml:space="preserve"> uzorku zemljišta uzorkovanom u Trebaljevu, </w:t>
      </w:r>
      <w:r w:rsidRPr="00E827A1">
        <w:rPr>
          <w:rFonts w:ascii="Constantia" w:eastAsiaTheme="minorHAnsi" w:hAnsi="Constantia"/>
          <w:sz w:val="22"/>
        </w:rPr>
        <w:t xml:space="preserve">2009-2013 </w:t>
      </w:r>
    </w:p>
    <w:p w:rsidR="00E7780B" w:rsidRPr="00A10B9F" w:rsidRDefault="00E7780B" w:rsidP="00E7780B">
      <w:pPr>
        <w:pStyle w:val="Grafikon"/>
        <w:numPr>
          <w:ilvl w:val="0"/>
          <w:numId w:val="0"/>
        </w:numPr>
        <w:spacing w:after="0" w:line="276" w:lineRule="auto"/>
        <w:jc w:val="both"/>
        <w:rPr>
          <w:rFonts w:ascii="Constantia" w:eastAsiaTheme="minorHAnsi" w:hAnsi="Constantia"/>
          <w:i w:val="0"/>
          <w:sz w:val="22"/>
        </w:rPr>
      </w:pPr>
    </w:p>
    <w:p w:rsidR="00E7780B" w:rsidRPr="005E4028" w:rsidRDefault="00E7780B" w:rsidP="000B3AF7">
      <w:pPr>
        <w:pStyle w:val="Heading2"/>
        <w:spacing w:line="276" w:lineRule="auto"/>
        <w:ind w:left="720"/>
        <w:rPr>
          <w:lang w:val="sr-Latn-CS"/>
        </w:rPr>
      </w:pPr>
      <w:bookmarkStart w:id="67" w:name="_Toc318278305"/>
      <w:bookmarkStart w:id="68" w:name="_Toc362938321"/>
      <w:bookmarkStart w:id="69" w:name="_Toc393897891"/>
      <w:r w:rsidRPr="00897A69">
        <w:rPr>
          <w:lang w:val="sr-Latn-CS"/>
        </w:rPr>
        <w:t xml:space="preserve">Rezultati </w:t>
      </w:r>
      <w:r w:rsidRPr="00B265ED">
        <w:t>ispitivanja</w:t>
      </w:r>
      <w:r w:rsidRPr="00897A69">
        <w:rPr>
          <w:lang w:val="sr-Latn-CS"/>
        </w:rPr>
        <w:t xml:space="preserve"> opasnih i štetnih materija u zemljištu na području opštine </w:t>
      </w:r>
      <w:r w:rsidRPr="005B63F4">
        <w:rPr>
          <w:color w:val="auto"/>
          <w:lang w:val="sr-Latn-CS"/>
        </w:rPr>
        <w:t>Nikšić</w:t>
      </w:r>
      <w:bookmarkEnd w:id="67"/>
      <w:bookmarkEnd w:id="68"/>
      <w:bookmarkEnd w:id="69"/>
    </w:p>
    <w:p w:rsidR="00E7780B" w:rsidRPr="005E4028" w:rsidRDefault="00E7780B" w:rsidP="005978C4">
      <w:pPr>
        <w:rPr>
          <w:rFonts w:ascii="Constantia" w:eastAsiaTheme="minorHAnsi" w:hAnsi="Constantia"/>
          <w:lang w:val="sr-Latn-CS"/>
        </w:rPr>
      </w:pPr>
      <w:r w:rsidRPr="00897A69">
        <w:rPr>
          <w:rFonts w:ascii="Constantia" w:eastAsiaTheme="minorHAnsi" w:hAnsi="Constantia"/>
          <w:lang w:val="sr-Latn-CS"/>
        </w:rPr>
        <w:t>Na području opštine Nikši</w:t>
      </w:r>
      <w:r>
        <w:rPr>
          <w:rFonts w:ascii="Constantia" w:eastAsiaTheme="minorHAnsi" w:hAnsi="Constantia"/>
          <w:lang w:val="sr-Latn-CS"/>
        </w:rPr>
        <w:t>ć uzorkovanje je izvršeno na 6 sl</w:t>
      </w:r>
      <w:r w:rsidRPr="00897A69">
        <w:rPr>
          <w:rFonts w:ascii="Constantia" w:eastAsiaTheme="minorHAnsi" w:hAnsi="Constantia"/>
          <w:lang w:val="sr-Latn-CS"/>
        </w:rPr>
        <w:t>edeći</w:t>
      </w:r>
      <w:r>
        <w:rPr>
          <w:rFonts w:ascii="Constantia" w:eastAsiaTheme="minorHAnsi" w:hAnsi="Constantia"/>
          <w:lang w:val="sr-Latn-CS"/>
        </w:rPr>
        <w:t>h</w:t>
      </w:r>
      <w:r w:rsidRPr="00897A69">
        <w:rPr>
          <w:rFonts w:ascii="Constantia" w:eastAsiaTheme="minorHAnsi" w:hAnsi="Constantia"/>
          <w:lang w:val="sr-Latn-CS"/>
        </w:rPr>
        <w:t xml:space="preserve"> lokacija:</w:t>
      </w:r>
    </w:p>
    <w:p w:rsidR="00E7780B" w:rsidRDefault="00E7780B" w:rsidP="00A50466">
      <w:pPr>
        <w:pStyle w:val="ListParagraph"/>
        <w:numPr>
          <w:ilvl w:val="0"/>
          <w:numId w:val="16"/>
        </w:numPr>
        <w:rPr>
          <w:rFonts w:ascii="Constantia" w:eastAsiaTheme="minorHAnsi" w:hAnsi="Constantia"/>
          <w:lang w:val="sr-Latn-CS"/>
        </w:rPr>
      </w:pPr>
      <w:r w:rsidRPr="00897A69">
        <w:rPr>
          <w:rFonts w:ascii="Constantia" w:eastAsiaTheme="minorHAnsi" w:hAnsi="Constantia"/>
          <w:lang w:val="sr-Latn-CS"/>
        </w:rPr>
        <w:t>Deponija Željezare</w:t>
      </w:r>
      <w:r>
        <w:rPr>
          <w:rFonts w:ascii="Constantia" w:eastAsiaTheme="minorHAnsi" w:hAnsi="Constantia"/>
          <w:lang w:val="sr-Latn-CS"/>
        </w:rPr>
        <w:t xml:space="preserve"> 1,</w:t>
      </w:r>
    </w:p>
    <w:p w:rsidR="00E7780B" w:rsidRDefault="00E7780B" w:rsidP="00A50466">
      <w:pPr>
        <w:pStyle w:val="ListParagraph"/>
        <w:numPr>
          <w:ilvl w:val="0"/>
          <w:numId w:val="16"/>
        </w:numPr>
        <w:rPr>
          <w:rFonts w:ascii="Constantia" w:eastAsiaTheme="minorHAnsi" w:hAnsi="Constantia"/>
          <w:lang w:val="sr-Latn-CS"/>
        </w:rPr>
      </w:pPr>
      <w:r w:rsidRPr="00897A69">
        <w:rPr>
          <w:rFonts w:ascii="Constantia" w:eastAsiaTheme="minorHAnsi" w:hAnsi="Constantia"/>
          <w:lang w:val="sr-Latn-CS"/>
        </w:rPr>
        <w:t>Deponija Željezare</w:t>
      </w:r>
      <w:r>
        <w:rPr>
          <w:rFonts w:ascii="Constantia" w:eastAsiaTheme="minorHAnsi" w:hAnsi="Constantia"/>
          <w:lang w:val="sr-Latn-CS"/>
        </w:rPr>
        <w:t>2 - z</w:t>
      </w:r>
      <w:r w:rsidRPr="002320D6">
        <w:rPr>
          <w:rFonts w:ascii="Constantia" w:eastAsiaTheme="minorHAnsi" w:hAnsi="Constantia"/>
          <w:lang w:val="sr-Latn-CS"/>
        </w:rPr>
        <w:t xml:space="preserve">emljište uzorkovano na udaljenosti </w:t>
      </w:r>
      <w:r>
        <w:rPr>
          <w:rFonts w:ascii="Constantia" w:eastAsiaTheme="minorHAnsi" w:hAnsi="Constantia"/>
          <w:lang w:val="sr-Latn-CS"/>
        </w:rPr>
        <w:t>3</w:t>
      </w:r>
      <w:r w:rsidRPr="002320D6">
        <w:rPr>
          <w:rFonts w:ascii="Constantia" w:eastAsiaTheme="minorHAnsi" w:hAnsi="Constantia"/>
          <w:lang w:val="sr-Latn-CS"/>
        </w:rPr>
        <w:t>00</w:t>
      </w:r>
      <w:r w:rsidR="00E408EB">
        <w:rPr>
          <w:rFonts w:ascii="Constantia" w:eastAsiaTheme="minorHAnsi" w:hAnsi="Constantia"/>
          <w:lang w:val="sr-Latn-CS"/>
        </w:rPr>
        <w:t xml:space="preserve"> </w:t>
      </w:r>
      <w:r w:rsidRPr="002320D6">
        <w:rPr>
          <w:rFonts w:ascii="Constantia" w:eastAsiaTheme="minorHAnsi" w:hAnsi="Constantia"/>
          <w:lang w:val="sr-Latn-CS"/>
        </w:rPr>
        <w:t>m od deponije,</w:t>
      </w:r>
    </w:p>
    <w:p w:rsidR="00E7780B" w:rsidRDefault="00E7780B" w:rsidP="00A50466">
      <w:pPr>
        <w:pStyle w:val="ListParagraph"/>
        <w:numPr>
          <w:ilvl w:val="0"/>
          <w:numId w:val="16"/>
        </w:numPr>
        <w:rPr>
          <w:rFonts w:ascii="Constantia" w:eastAsiaTheme="minorHAnsi" w:hAnsi="Constantia"/>
          <w:lang w:val="sr-Latn-CS"/>
        </w:rPr>
      </w:pPr>
      <w:r w:rsidRPr="00897A69">
        <w:rPr>
          <w:rFonts w:ascii="Constantia" w:eastAsiaTheme="minorHAnsi" w:hAnsi="Constantia"/>
          <w:lang w:val="sr-Latn-CS"/>
        </w:rPr>
        <w:t>Rubeža -</w:t>
      </w:r>
      <w:r w:rsidR="00E408EB">
        <w:rPr>
          <w:rFonts w:ascii="Constantia" w:eastAsiaTheme="minorHAnsi" w:hAnsi="Constantia"/>
          <w:lang w:val="sr-Latn-CS"/>
        </w:rPr>
        <w:t xml:space="preserve"> </w:t>
      </w:r>
      <w:r w:rsidRPr="00897A69">
        <w:rPr>
          <w:rFonts w:ascii="Constantia" w:eastAsiaTheme="minorHAnsi" w:hAnsi="Constantia"/>
          <w:lang w:val="sr-Latn-CS"/>
        </w:rPr>
        <w:t>zemljište uzorkovano uz saobraćajnicu ka Župi</w:t>
      </w:r>
      <w:r>
        <w:rPr>
          <w:rFonts w:ascii="Constantia" w:eastAsiaTheme="minorHAnsi" w:hAnsi="Constantia"/>
          <w:lang w:val="sr-Latn-CS"/>
        </w:rPr>
        <w:t>,</w:t>
      </w:r>
    </w:p>
    <w:p w:rsidR="00E7780B" w:rsidRPr="002320D6" w:rsidRDefault="00E7780B" w:rsidP="00A50466">
      <w:pPr>
        <w:pStyle w:val="ListParagraph"/>
        <w:numPr>
          <w:ilvl w:val="0"/>
          <w:numId w:val="16"/>
        </w:numPr>
        <w:rPr>
          <w:rFonts w:ascii="Constantia" w:eastAsiaTheme="minorHAnsi" w:hAnsi="Constantia"/>
          <w:lang w:val="sr-Latn-CS"/>
        </w:rPr>
      </w:pPr>
      <w:r>
        <w:rPr>
          <w:rFonts w:ascii="Constantia" w:eastAsiaTheme="minorHAnsi" w:hAnsi="Constantia"/>
          <w:lang w:val="sr-Latn-CS"/>
        </w:rPr>
        <w:t>Dječije igralište,</w:t>
      </w:r>
    </w:p>
    <w:p w:rsidR="00E7780B" w:rsidRPr="003A5067" w:rsidRDefault="00E7780B" w:rsidP="00A50466">
      <w:pPr>
        <w:pStyle w:val="ListParagraph"/>
        <w:numPr>
          <w:ilvl w:val="0"/>
          <w:numId w:val="16"/>
        </w:numPr>
        <w:rPr>
          <w:rFonts w:ascii="Constantia" w:eastAsiaTheme="minorHAnsi" w:hAnsi="Constantia"/>
          <w:lang w:val="sr-Latn-CS"/>
        </w:rPr>
      </w:pPr>
      <w:r>
        <w:rPr>
          <w:rFonts w:ascii="Constantia" w:eastAsiaTheme="minorHAnsi" w:hAnsi="Constantia"/>
          <w:lang w:val="sr-Latn-CS"/>
        </w:rPr>
        <w:t>Z</w:t>
      </w:r>
      <w:r w:rsidRPr="00897A69">
        <w:rPr>
          <w:rFonts w:ascii="Constantia" w:eastAsiaTheme="minorHAnsi" w:hAnsi="Constantia"/>
          <w:lang w:val="sr-Latn-CS"/>
        </w:rPr>
        <w:t>emljište uzorkovano uz saobraćajnicu Nikšić-Podgorica,</w:t>
      </w:r>
    </w:p>
    <w:p w:rsidR="00E7780B" w:rsidRDefault="00E7780B" w:rsidP="00A50466">
      <w:pPr>
        <w:pStyle w:val="ListParagraph"/>
        <w:numPr>
          <w:ilvl w:val="0"/>
          <w:numId w:val="16"/>
        </w:numPr>
        <w:rPr>
          <w:rFonts w:ascii="Constantia" w:eastAsiaTheme="minorHAnsi" w:hAnsi="Constantia"/>
          <w:lang w:val="sr-Latn-CS"/>
        </w:rPr>
      </w:pPr>
      <w:r w:rsidRPr="00897A69">
        <w:rPr>
          <w:rFonts w:ascii="Constantia" w:eastAsiaTheme="minorHAnsi" w:hAnsi="Constantia"/>
          <w:lang w:val="sr-Latn-CS"/>
        </w:rPr>
        <w:t>Golija</w:t>
      </w:r>
      <w:r w:rsidR="00E408EB">
        <w:rPr>
          <w:rFonts w:ascii="Constantia" w:eastAsiaTheme="minorHAnsi" w:hAnsi="Constantia"/>
          <w:lang w:val="sr-Latn-CS"/>
        </w:rPr>
        <w:t xml:space="preserve"> </w:t>
      </w:r>
      <w:r w:rsidRPr="00897A69">
        <w:rPr>
          <w:rFonts w:ascii="Constantia" w:eastAsiaTheme="minorHAnsi" w:hAnsi="Constantia"/>
          <w:lang w:val="sr-Latn-CS"/>
        </w:rPr>
        <w:t>-</w:t>
      </w:r>
      <w:r w:rsidR="00E408EB">
        <w:rPr>
          <w:rFonts w:ascii="Constantia" w:eastAsiaTheme="minorHAnsi" w:hAnsi="Constantia"/>
          <w:lang w:val="sr-Latn-CS"/>
        </w:rPr>
        <w:t xml:space="preserve"> </w:t>
      </w:r>
      <w:r>
        <w:rPr>
          <w:rFonts w:ascii="Constantia" w:eastAsiaTheme="minorHAnsi" w:hAnsi="Constantia"/>
          <w:lang w:val="sr-Latn-CS"/>
        </w:rPr>
        <w:t>k</w:t>
      </w:r>
      <w:r w:rsidRPr="00897A69">
        <w:rPr>
          <w:rFonts w:ascii="Constantia" w:eastAsiaTheme="minorHAnsi" w:hAnsi="Constantia"/>
          <w:lang w:val="sr-Latn-CS"/>
        </w:rPr>
        <w:t>atun Latično</w:t>
      </w:r>
      <w:r>
        <w:rPr>
          <w:rFonts w:ascii="Constantia" w:eastAsiaTheme="minorHAnsi" w:hAnsi="Constantia"/>
          <w:lang w:val="sr-Latn-CS"/>
        </w:rPr>
        <w:t>.</w:t>
      </w:r>
    </w:p>
    <w:p w:rsidR="00E7780B" w:rsidRDefault="00E7780B" w:rsidP="005978C4">
      <w:pPr>
        <w:rPr>
          <w:rFonts w:ascii="Constantia" w:hAnsi="Constantia"/>
          <w:lang w:val="sl-SI"/>
        </w:rPr>
      </w:pPr>
      <w:r w:rsidRPr="006F7026">
        <w:rPr>
          <w:rFonts w:ascii="Constantia" w:hAnsi="Constantia"/>
          <w:color w:val="000000"/>
          <w:lang w:val="sl-SI"/>
        </w:rPr>
        <w:t xml:space="preserve">Rezultati analize uzoraka zemljišta na lokaciji </w:t>
      </w:r>
      <w:r>
        <w:rPr>
          <w:rFonts w:ascii="Constantia" w:hAnsi="Constantia"/>
          <w:lang w:val="sl-SI"/>
        </w:rPr>
        <w:t>D</w:t>
      </w:r>
      <w:r w:rsidRPr="006F7026">
        <w:rPr>
          <w:rFonts w:ascii="Constantia" w:hAnsi="Constantia"/>
          <w:lang w:val="sl-SI"/>
        </w:rPr>
        <w:t>eponija Željezare</w:t>
      </w:r>
      <w:r>
        <w:rPr>
          <w:rFonts w:ascii="Constantia" w:hAnsi="Constantia"/>
          <w:lang w:val="sl-SI"/>
        </w:rPr>
        <w:t xml:space="preserve"> 2</w:t>
      </w:r>
      <w:r w:rsidRPr="006F7026">
        <w:rPr>
          <w:rFonts w:ascii="Constantia" w:hAnsi="Constantia"/>
          <w:lang w:val="sl-SI"/>
        </w:rPr>
        <w:t xml:space="preserve"> (obr</w:t>
      </w:r>
      <w:r>
        <w:rPr>
          <w:rFonts w:ascii="Constantia" w:hAnsi="Constantia"/>
          <w:lang w:val="sl-SI"/>
        </w:rPr>
        <w:t>adivo zemljište na udaljenosti 3</w:t>
      </w:r>
      <w:r w:rsidR="00E82536">
        <w:rPr>
          <w:rFonts w:ascii="Constantia" w:hAnsi="Constantia"/>
          <w:lang w:val="sl-SI"/>
        </w:rPr>
        <w:t xml:space="preserve">00 </w:t>
      </w:r>
      <w:r w:rsidRPr="006F7026">
        <w:rPr>
          <w:rFonts w:ascii="Constantia" w:hAnsi="Constantia"/>
          <w:lang w:val="sl-SI"/>
        </w:rPr>
        <w:t>m</w:t>
      </w:r>
      <w:r>
        <w:rPr>
          <w:rFonts w:ascii="Constantia" w:hAnsi="Constantia"/>
          <w:lang w:val="sl-SI"/>
        </w:rPr>
        <w:t xml:space="preserve"> od deponije</w:t>
      </w:r>
      <w:r w:rsidRPr="006F7026">
        <w:rPr>
          <w:rFonts w:ascii="Constantia" w:hAnsi="Constantia"/>
          <w:lang w:val="sl-SI"/>
        </w:rPr>
        <w:t xml:space="preserve">) pokazuju povećan sadržaj hroma i nikla u odnosu na vrijednosti normirane Pravilnikom, ali u znatnom padu u odnosu na </w:t>
      </w:r>
      <w:r>
        <w:rPr>
          <w:rFonts w:ascii="Constantia" w:hAnsi="Constantia"/>
          <w:lang w:val="sl-SI"/>
        </w:rPr>
        <w:t>prethodne godine, što se posebno odnosi na sadržaj nikla koji je doveden na samu granicu propisane maksimalne vrijednosti</w:t>
      </w:r>
      <w:r w:rsidRPr="006F7026">
        <w:rPr>
          <w:rFonts w:ascii="Constantia" w:hAnsi="Constantia"/>
          <w:lang w:val="sl-SI"/>
        </w:rPr>
        <w:t xml:space="preserve">. Sadržaj svih ostalih analiziranih supstanci je ispod maksimalno dozvoljenih koncentracija. </w:t>
      </w:r>
    </w:p>
    <w:p w:rsidR="00E7780B" w:rsidRPr="006F7026" w:rsidRDefault="00E7780B" w:rsidP="00E7780B">
      <w:pPr>
        <w:spacing w:after="0"/>
        <w:ind w:firstLine="360"/>
        <w:rPr>
          <w:rFonts w:ascii="Constantia" w:hAnsi="Constantia"/>
          <w:lang w:val="sl-SI"/>
        </w:rPr>
      </w:pPr>
    </w:p>
    <w:p w:rsidR="00E7780B" w:rsidRPr="005E4028" w:rsidRDefault="00E7780B" w:rsidP="00E7780B">
      <w:pPr>
        <w:spacing w:line="276" w:lineRule="auto"/>
        <w:jc w:val="center"/>
        <w:rPr>
          <w:rFonts w:ascii="Constantia" w:eastAsiaTheme="minorHAnsi" w:hAnsi="Constantia"/>
          <w:lang w:val="sr-Latn-CS"/>
        </w:rPr>
      </w:pPr>
      <w:r>
        <w:rPr>
          <w:rFonts w:ascii="Constantia" w:hAnsi="Constantia"/>
          <w:noProof/>
        </w:rPr>
        <w:drawing>
          <wp:inline distT="0" distB="0" distL="0" distR="0" wp14:anchorId="39EF55A4" wp14:editId="2DB5419B">
            <wp:extent cx="3819525" cy="1600200"/>
            <wp:effectExtent l="0" t="0" r="0" b="0"/>
            <wp:docPr id="3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rsidR="00E7780B" w:rsidRDefault="00E7780B" w:rsidP="00E7780B">
      <w:pPr>
        <w:pStyle w:val="Grafikon"/>
        <w:spacing w:after="0" w:line="276" w:lineRule="auto"/>
        <w:rPr>
          <w:rFonts w:ascii="Constantia" w:eastAsiaTheme="minorHAnsi" w:hAnsi="Constantia"/>
          <w:sz w:val="22"/>
        </w:rPr>
      </w:pPr>
      <w:r>
        <w:rPr>
          <w:rFonts w:ascii="Constantia" w:eastAsiaTheme="minorHAnsi" w:hAnsi="Constantia"/>
          <w:sz w:val="22"/>
        </w:rPr>
        <w:t>Sadržaj hroma (Cr)</w:t>
      </w:r>
      <w:r w:rsidRPr="00897A69">
        <w:rPr>
          <w:rFonts w:ascii="Constantia" w:eastAsiaTheme="minorHAnsi" w:hAnsi="Constantia"/>
          <w:sz w:val="22"/>
        </w:rPr>
        <w:t xml:space="preserve"> u</w:t>
      </w:r>
      <w:r>
        <w:rPr>
          <w:rFonts w:ascii="Constantia" w:eastAsiaTheme="minorHAnsi" w:hAnsi="Constantia"/>
          <w:sz w:val="22"/>
        </w:rPr>
        <w:t xml:space="preserve"> uzorku zemljišta uzorkovanom na lokaciji deponija Željezare 2, </w:t>
      </w:r>
      <w:r w:rsidRPr="00E827A1">
        <w:rPr>
          <w:rFonts w:ascii="Constantia" w:eastAsiaTheme="minorHAnsi" w:hAnsi="Constantia"/>
          <w:sz w:val="22"/>
        </w:rPr>
        <w:t xml:space="preserve">2009-2013 </w:t>
      </w:r>
    </w:p>
    <w:p w:rsidR="00E7780B" w:rsidRPr="00F61FA8" w:rsidRDefault="00E7780B" w:rsidP="00E7780B">
      <w:pPr>
        <w:pStyle w:val="Grafikon"/>
        <w:numPr>
          <w:ilvl w:val="0"/>
          <w:numId w:val="0"/>
        </w:numPr>
        <w:jc w:val="both"/>
        <w:rPr>
          <w:rFonts w:eastAsiaTheme="minorHAnsi"/>
        </w:rPr>
      </w:pPr>
    </w:p>
    <w:p w:rsidR="00E7780B" w:rsidRPr="005E4028" w:rsidRDefault="00E7780B" w:rsidP="00E82536">
      <w:pPr>
        <w:spacing w:after="0" w:line="276" w:lineRule="auto"/>
        <w:jc w:val="center"/>
        <w:rPr>
          <w:rFonts w:ascii="Constantia" w:eastAsiaTheme="minorHAnsi" w:hAnsi="Constantia" w:cs="Arial"/>
          <w:lang w:val="sr-Latn-CS"/>
        </w:rPr>
      </w:pPr>
      <w:r>
        <w:rPr>
          <w:rFonts w:ascii="Constantia" w:hAnsi="Constantia"/>
          <w:noProof/>
        </w:rPr>
        <w:lastRenderedPageBreak/>
        <w:drawing>
          <wp:inline distT="0" distB="0" distL="0" distR="0" wp14:anchorId="1DA2A6A9" wp14:editId="03E06296">
            <wp:extent cx="3771900" cy="1657350"/>
            <wp:effectExtent l="0" t="0" r="0" b="0"/>
            <wp:docPr id="33"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rsidR="00E7780B" w:rsidRDefault="00E7780B" w:rsidP="00E7780B">
      <w:pPr>
        <w:pStyle w:val="Grafikon"/>
        <w:spacing w:after="0" w:line="276" w:lineRule="auto"/>
        <w:rPr>
          <w:rFonts w:ascii="Constantia" w:eastAsiaTheme="minorHAnsi" w:hAnsi="Constantia"/>
          <w:sz w:val="22"/>
        </w:rPr>
      </w:pPr>
      <w:r>
        <w:rPr>
          <w:rFonts w:ascii="Constantia" w:eastAsiaTheme="minorHAnsi" w:hAnsi="Constantia"/>
          <w:sz w:val="22"/>
        </w:rPr>
        <w:t>Sadržaj nikla (Ni)</w:t>
      </w:r>
      <w:r w:rsidRPr="00897A69">
        <w:rPr>
          <w:rFonts w:ascii="Constantia" w:eastAsiaTheme="minorHAnsi" w:hAnsi="Constantia"/>
          <w:sz w:val="22"/>
        </w:rPr>
        <w:t xml:space="preserve"> u</w:t>
      </w:r>
      <w:r>
        <w:rPr>
          <w:rFonts w:ascii="Constantia" w:eastAsiaTheme="minorHAnsi" w:hAnsi="Constantia"/>
          <w:sz w:val="22"/>
        </w:rPr>
        <w:t xml:space="preserve"> uzorku zem</w:t>
      </w:r>
      <w:r w:rsidR="00E82536">
        <w:rPr>
          <w:rFonts w:ascii="Constantia" w:eastAsiaTheme="minorHAnsi" w:hAnsi="Constantia"/>
          <w:sz w:val="22"/>
        </w:rPr>
        <w:t>ljišta uzorkovanom na lokaciji d</w:t>
      </w:r>
      <w:r>
        <w:rPr>
          <w:rFonts w:ascii="Constantia" w:eastAsiaTheme="minorHAnsi" w:hAnsi="Constantia"/>
          <w:sz w:val="22"/>
        </w:rPr>
        <w:t xml:space="preserve">eponija Željezare 2, </w:t>
      </w:r>
      <w:r w:rsidRPr="00E827A1">
        <w:rPr>
          <w:rFonts w:ascii="Constantia" w:eastAsiaTheme="minorHAnsi" w:hAnsi="Constantia"/>
          <w:sz w:val="22"/>
        </w:rPr>
        <w:t xml:space="preserve">2009-2013 </w:t>
      </w:r>
    </w:p>
    <w:p w:rsidR="00E7780B" w:rsidRPr="005E4028" w:rsidRDefault="00E7780B" w:rsidP="00E82536">
      <w:pPr>
        <w:spacing w:before="240" w:after="0" w:line="276" w:lineRule="auto"/>
        <w:jc w:val="center"/>
        <w:rPr>
          <w:rFonts w:ascii="Constantia" w:eastAsiaTheme="minorHAnsi" w:hAnsi="Constantia" w:cs="Arial"/>
          <w:lang w:val="sr-Latn-CS"/>
        </w:rPr>
      </w:pPr>
      <w:r>
        <w:rPr>
          <w:rFonts w:ascii="Constantia" w:hAnsi="Constantia"/>
          <w:noProof/>
        </w:rPr>
        <w:drawing>
          <wp:inline distT="0" distB="0" distL="0" distR="0" wp14:anchorId="5232C904" wp14:editId="015684F6">
            <wp:extent cx="3819525" cy="1619250"/>
            <wp:effectExtent l="0" t="0" r="0" b="0"/>
            <wp:docPr id="3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rsidR="00E7780B" w:rsidRDefault="00E7780B" w:rsidP="00E7780B">
      <w:pPr>
        <w:pStyle w:val="Grafikon"/>
        <w:spacing w:after="0" w:line="276" w:lineRule="auto"/>
        <w:rPr>
          <w:rFonts w:ascii="Constantia" w:eastAsiaTheme="minorHAnsi" w:hAnsi="Constantia"/>
          <w:sz w:val="22"/>
        </w:rPr>
      </w:pPr>
      <w:r>
        <w:rPr>
          <w:rFonts w:ascii="Constantia" w:eastAsiaTheme="minorHAnsi" w:hAnsi="Constantia"/>
          <w:sz w:val="22"/>
        </w:rPr>
        <w:t>Sadržaj bakra (Cu)</w:t>
      </w:r>
      <w:r w:rsidRPr="00897A69">
        <w:rPr>
          <w:rFonts w:ascii="Constantia" w:eastAsiaTheme="minorHAnsi" w:hAnsi="Constantia"/>
          <w:sz w:val="22"/>
        </w:rPr>
        <w:t xml:space="preserve"> u</w:t>
      </w:r>
      <w:r>
        <w:rPr>
          <w:rFonts w:ascii="Constantia" w:eastAsiaTheme="minorHAnsi" w:hAnsi="Constantia"/>
          <w:sz w:val="22"/>
        </w:rPr>
        <w:t xml:space="preserve"> uzorku zemljišta uzorkovanom na lokaciji deponija Željezare 2, </w:t>
      </w:r>
      <w:r w:rsidRPr="00E827A1">
        <w:rPr>
          <w:rFonts w:ascii="Constantia" w:eastAsiaTheme="minorHAnsi" w:hAnsi="Constantia"/>
          <w:sz w:val="22"/>
        </w:rPr>
        <w:t xml:space="preserve">2009-2013 </w:t>
      </w:r>
    </w:p>
    <w:p w:rsidR="00E7780B" w:rsidRDefault="00E7780B" w:rsidP="00E7780B">
      <w:pPr>
        <w:spacing w:after="0"/>
        <w:rPr>
          <w:rFonts w:ascii="Constantia" w:eastAsiaTheme="minorHAnsi" w:hAnsi="Constantia" w:cs="Arial"/>
          <w:lang w:val="sr-Latn-CS"/>
        </w:rPr>
      </w:pPr>
    </w:p>
    <w:p w:rsidR="00E7780B" w:rsidRPr="005E4028" w:rsidRDefault="00E7780B" w:rsidP="00E82536">
      <w:pPr>
        <w:spacing w:after="0" w:line="276" w:lineRule="auto"/>
        <w:jc w:val="center"/>
        <w:rPr>
          <w:rFonts w:ascii="Constantia" w:eastAsiaTheme="minorHAnsi" w:hAnsi="Constantia" w:cs="Arial"/>
          <w:lang w:val="sr-Latn-CS"/>
        </w:rPr>
      </w:pPr>
      <w:r>
        <w:rPr>
          <w:rFonts w:ascii="Constantia" w:hAnsi="Constantia"/>
          <w:noProof/>
        </w:rPr>
        <w:drawing>
          <wp:inline distT="0" distB="0" distL="0" distR="0" wp14:anchorId="6F37710F" wp14:editId="3CF94649">
            <wp:extent cx="3819525" cy="1647825"/>
            <wp:effectExtent l="0" t="0" r="0" b="0"/>
            <wp:docPr id="3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rsidR="00E7780B" w:rsidRDefault="00E7780B" w:rsidP="00E7780B">
      <w:pPr>
        <w:pStyle w:val="Grafikon"/>
        <w:spacing w:after="0" w:line="276" w:lineRule="auto"/>
        <w:rPr>
          <w:rFonts w:ascii="Constantia" w:eastAsiaTheme="minorHAnsi" w:hAnsi="Constantia"/>
          <w:sz w:val="22"/>
        </w:rPr>
      </w:pPr>
      <w:r>
        <w:rPr>
          <w:rFonts w:ascii="Constantia" w:eastAsiaTheme="minorHAnsi" w:hAnsi="Constantia"/>
          <w:sz w:val="22"/>
        </w:rPr>
        <w:t>Sadržaj cinka (Zn)</w:t>
      </w:r>
      <w:r w:rsidRPr="00897A69">
        <w:rPr>
          <w:rFonts w:ascii="Constantia" w:eastAsiaTheme="minorHAnsi" w:hAnsi="Constantia"/>
          <w:sz w:val="22"/>
        </w:rPr>
        <w:t xml:space="preserve"> u</w:t>
      </w:r>
      <w:r>
        <w:rPr>
          <w:rFonts w:ascii="Constantia" w:eastAsiaTheme="minorHAnsi" w:hAnsi="Constantia"/>
          <w:sz w:val="22"/>
        </w:rPr>
        <w:t xml:space="preserve"> uzorku zemljišta uzorkovanom na lokaciji deponija Željezare 2, </w:t>
      </w:r>
      <w:r w:rsidRPr="00E827A1">
        <w:rPr>
          <w:rFonts w:ascii="Constantia" w:eastAsiaTheme="minorHAnsi" w:hAnsi="Constantia"/>
          <w:sz w:val="22"/>
        </w:rPr>
        <w:t xml:space="preserve">2009-2013 </w:t>
      </w:r>
    </w:p>
    <w:p w:rsidR="00E7780B" w:rsidRDefault="00E7780B" w:rsidP="00E7780B">
      <w:pPr>
        <w:spacing w:after="0"/>
        <w:jc w:val="center"/>
        <w:rPr>
          <w:rFonts w:ascii="Constantia" w:eastAsiaTheme="minorHAnsi" w:hAnsi="Constantia" w:cs="Arial"/>
          <w:lang w:val="sr-Latn-CS"/>
        </w:rPr>
      </w:pPr>
    </w:p>
    <w:p w:rsidR="00E7780B" w:rsidRPr="005E4028" w:rsidRDefault="00E7780B" w:rsidP="00E82536">
      <w:pPr>
        <w:spacing w:after="0" w:line="276" w:lineRule="auto"/>
        <w:jc w:val="center"/>
        <w:rPr>
          <w:rFonts w:ascii="Constantia" w:eastAsiaTheme="minorHAnsi" w:hAnsi="Constantia" w:cs="Arial"/>
          <w:lang w:val="sr-Latn-CS"/>
        </w:rPr>
      </w:pPr>
      <w:r>
        <w:rPr>
          <w:rFonts w:ascii="Constantia" w:hAnsi="Constantia"/>
          <w:noProof/>
        </w:rPr>
        <w:drawing>
          <wp:inline distT="0" distB="0" distL="0" distR="0" wp14:anchorId="420A2ADF" wp14:editId="1B1B8A60">
            <wp:extent cx="3819525" cy="1657350"/>
            <wp:effectExtent l="0" t="0" r="0" b="0"/>
            <wp:docPr id="36"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rsidR="00E7780B" w:rsidRDefault="00E7780B" w:rsidP="00E7780B">
      <w:pPr>
        <w:pStyle w:val="Grafikon"/>
        <w:spacing w:after="0" w:line="276" w:lineRule="auto"/>
        <w:rPr>
          <w:rFonts w:ascii="Constantia" w:eastAsiaTheme="minorHAnsi" w:hAnsi="Constantia"/>
          <w:sz w:val="22"/>
        </w:rPr>
      </w:pPr>
      <w:r>
        <w:rPr>
          <w:rFonts w:ascii="Constantia" w:eastAsiaTheme="minorHAnsi" w:hAnsi="Constantia"/>
          <w:sz w:val="22"/>
        </w:rPr>
        <w:t>Sadržaj kadmijuma (Cd)</w:t>
      </w:r>
      <w:r w:rsidRPr="00897A69">
        <w:rPr>
          <w:rFonts w:ascii="Constantia" w:eastAsiaTheme="minorHAnsi" w:hAnsi="Constantia"/>
          <w:sz w:val="22"/>
        </w:rPr>
        <w:t xml:space="preserve"> u</w:t>
      </w:r>
      <w:r>
        <w:rPr>
          <w:rFonts w:ascii="Constantia" w:eastAsiaTheme="minorHAnsi" w:hAnsi="Constantia"/>
          <w:sz w:val="22"/>
        </w:rPr>
        <w:t xml:space="preserve"> uzorku zemljišta uzorkovanom na lokaciji deponija Željezare 2, </w:t>
      </w:r>
      <w:r w:rsidRPr="00E827A1">
        <w:rPr>
          <w:rFonts w:ascii="Constantia" w:eastAsiaTheme="minorHAnsi" w:hAnsi="Constantia"/>
          <w:sz w:val="22"/>
        </w:rPr>
        <w:t xml:space="preserve">2009-2013 </w:t>
      </w:r>
    </w:p>
    <w:p w:rsidR="00E7780B" w:rsidRPr="005E4028" w:rsidRDefault="00E7780B" w:rsidP="00E7780B">
      <w:pPr>
        <w:spacing w:line="276" w:lineRule="auto"/>
        <w:jc w:val="center"/>
        <w:rPr>
          <w:rFonts w:ascii="Constantia" w:eastAsiaTheme="minorHAnsi" w:hAnsi="Constantia" w:cs="Arial"/>
          <w:lang w:val="sr-Latn-CS"/>
        </w:rPr>
      </w:pPr>
      <w:r>
        <w:rPr>
          <w:rFonts w:ascii="Constantia" w:hAnsi="Constantia"/>
          <w:noProof/>
        </w:rPr>
        <w:lastRenderedPageBreak/>
        <w:drawing>
          <wp:inline distT="0" distB="0" distL="0" distR="0" wp14:anchorId="0A9844CB" wp14:editId="0E93D0E7">
            <wp:extent cx="3819525" cy="1704975"/>
            <wp:effectExtent l="0" t="0" r="0" b="0"/>
            <wp:docPr id="3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rsidR="00E7780B" w:rsidRDefault="00E7780B" w:rsidP="00E7780B">
      <w:pPr>
        <w:pStyle w:val="Grafikon"/>
        <w:spacing w:after="0" w:line="276" w:lineRule="auto"/>
        <w:rPr>
          <w:rFonts w:ascii="Constantia" w:eastAsiaTheme="minorHAnsi" w:hAnsi="Constantia"/>
          <w:sz w:val="22"/>
        </w:rPr>
      </w:pPr>
      <w:r>
        <w:rPr>
          <w:rFonts w:ascii="Constantia" w:eastAsiaTheme="minorHAnsi" w:hAnsi="Constantia"/>
          <w:sz w:val="22"/>
        </w:rPr>
        <w:t>Sadržaj olova (Pb)</w:t>
      </w:r>
      <w:r w:rsidRPr="00897A69">
        <w:rPr>
          <w:rFonts w:ascii="Constantia" w:eastAsiaTheme="minorHAnsi" w:hAnsi="Constantia"/>
          <w:sz w:val="22"/>
        </w:rPr>
        <w:t xml:space="preserve"> u</w:t>
      </w:r>
      <w:r>
        <w:rPr>
          <w:rFonts w:ascii="Constantia" w:eastAsiaTheme="minorHAnsi" w:hAnsi="Constantia"/>
          <w:sz w:val="22"/>
        </w:rPr>
        <w:t xml:space="preserve"> uzorku zemljišta uzorkovanom na lokaciji deponija Željezare 2, </w:t>
      </w:r>
      <w:r w:rsidRPr="00E827A1">
        <w:rPr>
          <w:rFonts w:ascii="Constantia" w:eastAsiaTheme="minorHAnsi" w:hAnsi="Constantia"/>
          <w:sz w:val="22"/>
        </w:rPr>
        <w:t xml:space="preserve">2009-2013 </w:t>
      </w:r>
    </w:p>
    <w:p w:rsidR="00E7780B" w:rsidRPr="002E0248" w:rsidRDefault="00E7780B" w:rsidP="00E7780B">
      <w:pPr>
        <w:pStyle w:val="Grafikon"/>
        <w:numPr>
          <w:ilvl w:val="0"/>
          <w:numId w:val="0"/>
        </w:numPr>
        <w:spacing w:after="0" w:line="276" w:lineRule="auto"/>
        <w:jc w:val="both"/>
        <w:rPr>
          <w:rFonts w:ascii="Constantia" w:eastAsiaTheme="minorHAnsi" w:hAnsi="Constantia"/>
          <w:i w:val="0"/>
          <w:sz w:val="22"/>
        </w:rPr>
      </w:pPr>
    </w:p>
    <w:p w:rsidR="00E7780B" w:rsidRDefault="00E7780B" w:rsidP="00882419">
      <w:pPr>
        <w:pStyle w:val="Grafikon"/>
        <w:numPr>
          <w:ilvl w:val="0"/>
          <w:numId w:val="0"/>
        </w:numPr>
        <w:ind w:left="144"/>
        <w:jc w:val="both"/>
        <w:rPr>
          <w:rFonts w:ascii="Constantia" w:eastAsiaTheme="minorHAnsi" w:hAnsi="Constantia"/>
          <w:i w:val="0"/>
          <w:sz w:val="22"/>
          <w:szCs w:val="22"/>
        </w:rPr>
      </w:pPr>
      <w:r>
        <w:rPr>
          <w:rFonts w:ascii="Constantia" w:eastAsiaTheme="minorHAnsi" w:hAnsi="Constantia"/>
          <w:i w:val="0"/>
          <w:sz w:val="22"/>
          <w:szCs w:val="22"/>
        </w:rPr>
        <w:t xml:space="preserve">Analizom uzorka zemljišta uzorkovanog na lokaciji Rubeža evidentirano je da sadržaj neorganskih polutanata olova, hroma, nikla, fluora i cinka prevazilazi vrijednosti normirane Pravilnikom. Od organskih toksikanata, sadržaj poliaromatskih ugljovodonika i četiri PBC kongenera je blago povećan u odnosu na Pravilnikom propisane vrijednosti. </w:t>
      </w:r>
    </w:p>
    <w:p w:rsidR="00E7780B" w:rsidRDefault="00E7780B" w:rsidP="00882419">
      <w:pPr>
        <w:pStyle w:val="Grafikon"/>
        <w:numPr>
          <w:ilvl w:val="0"/>
          <w:numId w:val="0"/>
        </w:numPr>
        <w:ind w:left="144"/>
        <w:jc w:val="both"/>
        <w:rPr>
          <w:rFonts w:ascii="Constantia" w:hAnsi="Constantia"/>
          <w:i w:val="0"/>
          <w:sz w:val="22"/>
          <w:szCs w:val="22"/>
          <w:lang w:val="sl-SI"/>
        </w:rPr>
      </w:pPr>
      <w:r>
        <w:rPr>
          <w:rFonts w:ascii="Constantia" w:eastAsiaTheme="minorHAnsi" w:hAnsi="Constantia"/>
          <w:i w:val="0"/>
          <w:sz w:val="22"/>
          <w:szCs w:val="22"/>
        </w:rPr>
        <w:t xml:space="preserve">U uzorku zemljišta uzorkovanom pored saobraćajnice Nikšić-Podgorica evidentirane su koncentracije organskih polutanata (poliaromatskih ugljovodonika i PBC kongenera) koje prevazilaze MDK propisane Pravilnikom, </w:t>
      </w:r>
      <w:r w:rsidRPr="007A0C89">
        <w:rPr>
          <w:rFonts w:ascii="Constantia" w:eastAsiaTheme="minorHAnsi" w:hAnsi="Constantia"/>
          <w:i w:val="0"/>
          <w:sz w:val="22"/>
          <w:szCs w:val="22"/>
        </w:rPr>
        <w:t xml:space="preserve">dok </w:t>
      </w:r>
      <w:r>
        <w:rPr>
          <w:rFonts w:ascii="Constantia" w:eastAsiaTheme="minorHAnsi" w:hAnsi="Constantia"/>
          <w:i w:val="0"/>
          <w:sz w:val="22"/>
          <w:szCs w:val="22"/>
        </w:rPr>
        <w:t>je s</w:t>
      </w:r>
      <w:r w:rsidRPr="007A0C89">
        <w:rPr>
          <w:rFonts w:ascii="Constantia" w:hAnsi="Constantia"/>
          <w:i w:val="0"/>
          <w:sz w:val="22"/>
          <w:szCs w:val="22"/>
          <w:lang w:val="sl-SI"/>
        </w:rPr>
        <w:t xml:space="preserve">adržaj svih ostalih analiziranih </w:t>
      </w:r>
      <w:r>
        <w:rPr>
          <w:rFonts w:ascii="Constantia" w:hAnsi="Constantia"/>
          <w:i w:val="0"/>
          <w:sz w:val="22"/>
          <w:szCs w:val="22"/>
          <w:lang w:val="sl-SI"/>
        </w:rPr>
        <w:t xml:space="preserve">organskih i neorganskih </w:t>
      </w:r>
      <w:r w:rsidRPr="007A0C89">
        <w:rPr>
          <w:rFonts w:ascii="Constantia" w:hAnsi="Constantia"/>
          <w:i w:val="0"/>
          <w:sz w:val="22"/>
          <w:szCs w:val="22"/>
          <w:lang w:val="sl-SI"/>
        </w:rPr>
        <w:t xml:space="preserve">supstanci ispod </w:t>
      </w:r>
      <w:r>
        <w:rPr>
          <w:rFonts w:ascii="Constantia" w:hAnsi="Constantia"/>
          <w:i w:val="0"/>
          <w:sz w:val="22"/>
          <w:szCs w:val="22"/>
          <w:lang w:val="sl-SI"/>
        </w:rPr>
        <w:t xml:space="preserve">vrijednosti normiranih Pravilnikom. </w:t>
      </w:r>
    </w:p>
    <w:p w:rsidR="00E7780B" w:rsidRPr="00D846FD" w:rsidRDefault="00E7780B" w:rsidP="00882419">
      <w:pPr>
        <w:pStyle w:val="Grafikon"/>
        <w:numPr>
          <w:ilvl w:val="0"/>
          <w:numId w:val="0"/>
        </w:numPr>
        <w:ind w:left="144"/>
        <w:jc w:val="both"/>
        <w:rPr>
          <w:rFonts w:ascii="Constantia" w:eastAsiaTheme="minorHAnsi" w:hAnsi="Constantia"/>
          <w:i w:val="0"/>
          <w:sz w:val="22"/>
          <w:szCs w:val="22"/>
        </w:rPr>
      </w:pPr>
      <w:r w:rsidRPr="00D846FD">
        <w:rPr>
          <w:rFonts w:ascii="Constantia" w:eastAsiaTheme="minorHAnsi" w:hAnsi="Constantia"/>
          <w:i w:val="0"/>
          <w:sz w:val="22"/>
          <w:szCs w:val="22"/>
        </w:rPr>
        <w:t xml:space="preserve">U uzorcima zemljišta </w:t>
      </w:r>
      <w:r>
        <w:rPr>
          <w:rFonts w:ascii="Constantia" w:eastAsiaTheme="minorHAnsi" w:hAnsi="Constantia"/>
          <w:i w:val="0"/>
          <w:sz w:val="22"/>
          <w:szCs w:val="22"/>
        </w:rPr>
        <w:t xml:space="preserve">sa lokacija Golija (katun Latično) i Dječije igralište </w:t>
      </w:r>
      <w:r w:rsidRPr="00D846FD">
        <w:rPr>
          <w:rFonts w:ascii="Constantia" w:eastAsiaTheme="minorHAnsi" w:hAnsi="Constantia"/>
          <w:i w:val="0"/>
          <w:sz w:val="22"/>
          <w:szCs w:val="22"/>
        </w:rPr>
        <w:t xml:space="preserve">sadržaj svih analiziranih supstanci </w:t>
      </w:r>
      <w:r>
        <w:rPr>
          <w:rFonts w:ascii="Constantia" w:eastAsiaTheme="minorHAnsi" w:hAnsi="Constantia"/>
          <w:i w:val="0"/>
          <w:sz w:val="22"/>
          <w:szCs w:val="22"/>
        </w:rPr>
        <w:t>je ispod normiranih vrijednosti</w:t>
      </w:r>
      <w:r w:rsidRPr="00D846FD">
        <w:rPr>
          <w:rFonts w:ascii="Constantia" w:eastAsiaTheme="minorHAnsi" w:hAnsi="Constantia"/>
          <w:i w:val="0"/>
          <w:sz w:val="22"/>
          <w:szCs w:val="22"/>
        </w:rPr>
        <w:t>.</w:t>
      </w:r>
    </w:p>
    <w:p w:rsidR="00E7780B" w:rsidRPr="00D846FD" w:rsidRDefault="00E7780B" w:rsidP="00E7780B">
      <w:pPr>
        <w:pStyle w:val="Grafikon"/>
        <w:numPr>
          <w:ilvl w:val="0"/>
          <w:numId w:val="0"/>
        </w:numPr>
        <w:spacing w:line="276" w:lineRule="auto"/>
        <w:ind w:left="144" w:hanging="144"/>
        <w:jc w:val="both"/>
        <w:rPr>
          <w:rFonts w:ascii="Constantia" w:eastAsiaTheme="minorHAnsi" w:hAnsi="Constantia"/>
          <w:i w:val="0"/>
          <w:sz w:val="22"/>
          <w:szCs w:val="22"/>
        </w:rPr>
      </w:pPr>
    </w:p>
    <w:p w:rsidR="00E7780B" w:rsidRPr="007B55F3" w:rsidRDefault="00E7780B" w:rsidP="00EE37CB">
      <w:pPr>
        <w:pStyle w:val="Heading2"/>
        <w:spacing w:line="276" w:lineRule="auto"/>
        <w:ind w:left="720"/>
        <w:rPr>
          <w:color w:val="00B050"/>
          <w:lang w:val="sr-Latn-CS"/>
        </w:rPr>
      </w:pPr>
      <w:bookmarkStart w:id="70" w:name="_Toc318278306"/>
      <w:bookmarkStart w:id="71" w:name="_Toc362938322"/>
      <w:bookmarkStart w:id="72" w:name="_Toc393897892"/>
      <w:r w:rsidRPr="00B265ED">
        <w:t>Rezultati</w:t>
      </w:r>
      <w:r w:rsidRPr="00897A69">
        <w:rPr>
          <w:lang w:val="sr-Latn-CS"/>
        </w:rPr>
        <w:t xml:space="preserve"> ispitivanja opasnih i štetnih materija u zemljištu na području </w:t>
      </w:r>
      <w:r>
        <w:rPr>
          <w:lang w:val="sr-Latn-CS"/>
        </w:rPr>
        <w:t xml:space="preserve">Glavnog grada </w:t>
      </w:r>
      <w:r w:rsidRPr="006317D1">
        <w:rPr>
          <w:color w:val="auto"/>
          <w:lang w:val="sr-Latn-CS"/>
        </w:rPr>
        <w:t>Podgorica</w:t>
      </w:r>
      <w:bookmarkEnd w:id="70"/>
      <w:bookmarkEnd w:id="71"/>
      <w:bookmarkEnd w:id="72"/>
    </w:p>
    <w:p w:rsidR="00E7780B" w:rsidRPr="005E4028" w:rsidRDefault="00E7780B" w:rsidP="0081135F">
      <w:pPr>
        <w:rPr>
          <w:rFonts w:ascii="Constantia" w:eastAsiaTheme="minorHAnsi" w:hAnsi="Constantia"/>
          <w:lang w:val="sr-Latn-CS"/>
        </w:rPr>
      </w:pPr>
      <w:r w:rsidRPr="00897A69">
        <w:rPr>
          <w:rFonts w:ascii="Constantia" w:eastAsiaTheme="minorHAnsi" w:hAnsi="Constantia"/>
          <w:lang w:val="sr-Latn-CS"/>
        </w:rPr>
        <w:t xml:space="preserve">Na području </w:t>
      </w:r>
      <w:r>
        <w:rPr>
          <w:rFonts w:ascii="Constantia" w:eastAsiaTheme="minorHAnsi" w:hAnsi="Constantia"/>
          <w:lang w:val="sr-Latn-CS"/>
        </w:rPr>
        <w:t xml:space="preserve">Glavnog grada </w:t>
      </w:r>
      <w:r w:rsidRPr="00897A69">
        <w:rPr>
          <w:rFonts w:ascii="Constantia" w:eastAsiaTheme="minorHAnsi" w:hAnsi="Constantia"/>
          <w:lang w:val="sr-Latn-CS"/>
        </w:rPr>
        <w:t xml:space="preserve">Podgorica uzorkovanje je izvršeno na </w:t>
      </w:r>
      <w:r>
        <w:rPr>
          <w:rFonts w:ascii="Constantia" w:eastAsiaTheme="minorHAnsi" w:hAnsi="Constantia"/>
          <w:lang w:val="sr-Latn-CS"/>
        </w:rPr>
        <w:t>6</w:t>
      </w:r>
      <w:r w:rsidRPr="00897A69">
        <w:rPr>
          <w:rFonts w:ascii="Constantia" w:eastAsiaTheme="minorHAnsi" w:hAnsi="Constantia"/>
          <w:lang w:val="sr-Latn-CS"/>
        </w:rPr>
        <w:t xml:space="preserve"> lokacija. Na osnovu rezultata ispitivanja zagađenosti zemljišt</w:t>
      </w:r>
      <w:r>
        <w:rPr>
          <w:rFonts w:ascii="Constantia" w:eastAsiaTheme="minorHAnsi" w:hAnsi="Constantia"/>
          <w:lang w:val="sr-Latn-CS"/>
        </w:rPr>
        <w:t>a na teritoriji Podgorice u 2013</w:t>
      </w:r>
      <w:r w:rsidRPr="00897A69">
        <w:rPr>
          <w:rFonts w:ascii="Constantia" w:eastAsiaTheme="minorHAnsi" w:hAnsi="Constantia"/>
          <w:lang w:val="sr-Latn-CS"/>
        </w:rPr>
        <w:t>.</w:t>
      </w:r>
      <w:r>
        <w:rPr>
          <w:rFonts w:ascii="Constantia" w:eastAsiaTheme="minorHAnsi" w:hAnsi="Constantia"/>
          <w:lang w:val="sr-Latn-CS"/>
        </w:rPr>
        <w:t xml:space="preserve"> godini može se konstatovati sl</w:t>
      </w:r>
      <w:r w:rsidRPr="00897A69">
        <w:rPr>
          <w:rFonts w:ascii="Constantia" w:eastAsiaTheme="minorHAnsi" w:hAnsi="Constantia"/>
          <w:lang w:val="sr-Latn-CS"/>
        </w:rPr>
        <w:t>edeće:</w:t>
      </w:r>
    </w:p>
    <w:p w:rsidR="00E7780B" w:rsidRDefault="00E7780B" w:rsidP="00E82536">
      <w:pPr>
        <w:pStyle w:val="ListParagraph"/>
        <w:numPr>
          <w:ilvl w:val="0"/>
          <w:numId w:val="17"/>
        </w:numPr>
        <w:tabs>
          <w:tab w:val="left" w:pos="426"/>
        </w:tabs>
        <w:ind w:left="0" w:firstLine="0"/>
        <w:rPr>
          <w:rFonts w:ascii="Constantia" w:hAnsi="Constantia"/>
          <w:lang w:val="sl-SI"/>
        </w:rPr>
      </w:pPr>
      <w:r w:rsidRPr="00897A69">
        <w:rPr>
          <w:rFonts w:ascii="Constantia" w:hAnsi="Constantia"/>
          <w:lang w:val="sl-SI"/>
        </w:rPr>
        <w:t>Od opasnih i štetnih materija analiziranih u uzorcima zemljišta na lokacijama Donja Gorica</w:t>
      </w:r>
      <w:r w:rsidRPr="00897A69">
        <w:rPr>
          <w:rFonts w:ascii="Constantia" w:hAnsi="Constantia"/>
          <w:lang w:val="sr-Latn-CS"/>
        </w:rPr>
        <w:t>,</w:t>
      </w:r>
      <w:r w:rsidR="00E82536">
        <w:rPr>
          <w:rFonts w:ascii="Constantia" w:hAnsi="Constantia"/>
          <w:lang w:val="sr-Latn-CS"/>
        </w:rPr>
        <w:t xml:space="preserve"> </w:t>
      </w:r>
      <w:r>
        <w:rPr>
          <w:rFonts w:ascii="Constantia" w:hAnsi="Constantia"/>
          <w:lang w:val="sl-SI"/>
        </w:rPr>
        <w:t>Ćemovsko polje i</w:t>
      </w:r>
      <w:r w:rsidRPr="00897A69">
        <w:rPr>
          <w:rFonts w:ascii="Constantia" w:hAnsi="Constantia"/>
          <w:lang w:val="sl-SI"/>
        </w:rPr>
        <w:t xml:space="preserve"> Srpska, analizom je utvrđeno da je sadržaj fluora, hroma i nikla</w:t>
      </w:r>
      <w:r w:rsidR="00E82536">
        <w:rPr>
          <w:rFonts w:ascii="Constantia" w:hAnsi="Constantia"/>
          <w:lang w:val="sl-SI"/>
        </w:rPr>
        <w:t xml:space="preserve"> </w:t>
      </w:r>
      <w:r w:rsidRPr="00897A69">
        <w:rPr>
          <w:rFonts w:ascii="Constantia" w:hAnsi="Constantia"/>
          <w:lang w:val="sl-SI"/>
        </w:rPr>
        <w:t>iznad maksimalno d</w:t>
      </w:r>
      <w:r>
        <w:rPr>
          <w:rFonts w:ascii="Constantia" w:hAnsi="Constantia"/>
          <w:lang w:val="sl-SI"/>
        </w:rPr>
        <w:t>ozvoljenih koncentracija u uzorku zemljišta uzorkovano</w:t>
      </w:r>
      <w:r w:rsidRPr="00897A69">
        <w:rPr>
          <w:rFonts w:ascii="Constantia" w:hAnsi="Constantia"/>
          <w:lang w:val="sl-SI"/>
        </w:rPr>
        <w:t>m na lokacij</w:t>
      </w:r>
      <w:r>
        <w:rPr>
          <w:rFonts w:ascii="Constantia" w:hAnsi="Constantia"/>
          <w:lang w:val="sl-SI"/>
        </w:rPr>
        <w:t>i</w:t>
      </w:r>
      <w:r w:rsidRPr="00897A69">
        <w:rPr>
          <w:rFonts w:ascii="Constantia" w:hAnsi="Constantia"/>
          <w:lang w:val="sl-SI"/>
        </w:rPr>
        <w:t xml:space="preserve"> Donja Gorica,</w:t>
      </w:r>
      <w:r>
        <w:rPr>
          <w:rFonts w:ascii="Constantia" w:hAnsi="Constantia"/>
          <w:lang w:val="sl-SI"/>
        </w:rPr>
        <w:t xml:space="preserve"> dok je na lokacijama</w:t>
      </w:r>
      <w:r w:rsidRPr="00897A69">
        <w:rPr>
          <w:rFonts w:ascii="Constantia" w:hAnsi="Constantia"/>
          <w:lang w:val="sl-SI"/>
        </w:rPr>
        <w:t xml:space="preserve"> Ćemovsko polje i Srpska</w:t>
      </w:r>
      <w:r>
        <w:rPr>
          <w:rFonts w:ascii="Constantia" w:hAnsi="Constantia"/>
          <w:lang w:val="sl-SI"/>
        </w:rPr>
        <w:t xml:space="preserve"> evidentiran samo povećan sadržaj fluora i nikla</w:t>
      </w:r>
      <w:r w:rsidRPr="00897A69">
        <w:rPr>
          <w:rFonts w:ascii="Constantia" w:hAnsi="Constantia"/>
          <w:lang w:val="sl-SI"/>
        </w:rPr>
        <w:t>.</w:t>
      </w:r>
      <w:r w:rsidR="0081135F">
        <w:rPr>
          <w:rFonts w:ascii="Constantia" w:hAnsi="Constantia"/>
          <w:lang w:val="sl-SI"/>
        </w:rPr>
        <w:t xml:space="preserve"> </w:t>
      </w:r>
      <w:r w:rsidRPr="00897A69">
        <w:rPr>
          <w:rFonts w:ascii="Constantia" w:hAnsi="Constantia"/>
          <w:lang w:val="sl-SI"/>
        </w:rPr>
        <w:t xml:space="preserve">Sadržaj svih ostalih opasnih i štetnih materija je ispod normiranih vrijednosti na svim lokacijama. </w:t>
      </w:r>
    </w:p>
    <w:p w:rsidR="00E82536" w:rsidRPr="005E4028" w:rsidRDefault="00E82536" w:rsidP="00E82536">
      <w:pPr>
        <w:pStyle w:val="ListParagraph"/>
        <w:tabs>
          <w:tab w:val="left" w:pos="426"/>
        </w:tabs>
        <w:spacing w:after="0"/>
        <w:ind w:left="0"/>
        <w:rPr>
          <w:rFonts w:ascii="Constantia" w:hAnsi="Constantia"/>
          <w:lang w:val="sl-SI"/>
        </w:rPr>
      </w:pPr>
    </w:p>
    <w:p w:rsidR="00E7780B" w:rsidRDefault="00E7780B" w:rsidP="00E82536">
      <w:pPr>
        <w:pStyle w:val="ListParagraph"/>
        <w:numPr>
          <w:ilvl w:val="0"/>
          <w:numId w:val="17"/>
        </w:numPr>
        <w:tabs>
          <w:tab w:val="left" w:pos="426"/>
        </w:tabs>
        <w:spacing w:before="240"/>
        <w:ind w:left="0" w:firstLine="0"/>
        <w:rPr>
          <w:rFonts w:ascii="Constantia" w:hAnsi="Constantia"/>
          <w:lang w:val="sl-SI"/>
        </w:rPr>
      </w:pPr>
      <w:r>
        <w:rPr>
          <w:rFonts w:ascii="Constantia" w:hAnsi="Constantia"/>
          <w:lang w:val="sl-SI"/>
        </w:rPr>
        <w:t>Samo u</w:t>
      </w:r>
      <w:r w:rsidRPr="00897A69">
        <w:rPr>
          <w:rFonts w:ascii="Constantia" w:hAnsi="Constantia"/>
          <w:lang w:val="sl-SI"/>
        </w:rPr>
        <w:t xml:space="preserve"> uzor</w:t>
      </w:r>
      <w:r>
        <w:rPr>
          <w:rFonts w:ascii="Constantia" w:hAnsi="Constantia"/>
          <w:lang w:val="sl-SI"/>
        </w:rPr>
        <w:t>ku zemljišta uzorkovano</w:t>
      </w:r>
      <w:r w:rsidRPr="00897A69">
        <w:rPr>
          <w:rFonts w:ascii="Constantia" w:hAnsi="Constantia"/>
          <w:lang w:val="sl-SI"/>
        </w:rPr>
        <w:t>m na lokacij</w:t>
      </w:r>
      <w:r>
        <w:rPr>
          <w:rFonts w:ascii="Constantia" w:hAnsi="Constantia"/>
          <w:lang w:val="sl-SI"/>
        </w:rPr>
        <w:t>i</w:t>
      </w:r>
      <w:r w:rsidRPr="00897A69">
        <w:rPr>
          <w:rFonts w:ascii="Constantia" w:hAnsi="Constantia"/>
          <w:lang w:val="sl-SI"/>
        </w:rPr>
        <w:t xml:space="preserve"> Srpska sadržaj poliaromatskih ugljovodonika prevazilazi </w:t>
      </w:r>
      <w:r>
        <w:rPr>
          <w:rFonts w:ascii="Constantia" w:hAnsi="Constantia"/>
          <w:lang w:val="sl-SI"/>
        </w:rPr>
        <w:t>MDK</w:t>
      </w:r>
      <w:r w:rsidRPr="00897A69">
        <w:rPr>
          <w:rFonts w:ascii="Constantia" w:hAnsi="Constantia"/>
          <w:lang w:val="sl-SI"/>
        </w:rPr>
        <w:t xml:space="preserve"> normiranu Pravilnikom. Sadržaj svih ostalih toksičnih i kancerogenih materija je ispod normiranih vrijedn</w:t>
      </w:r>
      <w:r>
        <w:rPr>
          <w:rFonts w:ascii="Constantia" w:hAnsi="Constantia"/>
          <w:lang w:val="sl-SI"/>
        </w:rPr>
        <w:t>o</w:t>
      </w:r>
      <w:r w:rsidRPr="00897A69">
        <w:rPr>
          <w:rFonts w:ascii="Constantia" w:hAnsi="Constantia"/>
          <w:lang w:val="sl-SI"/>
        </w:rPr>
        <w:t>sti u svim</w:t>
      </w:r>
      <w:r w:rsidR="00E82536">
        <w:rPr>
          <w:rFonts w:ascii="Constantia" w:hAnsi="Constantia"/>
          <w:lang w:val="sl-SI"/>
        </w:rPr>
        <w:t xml:space="preserve"> </w:t>
      </w:r>
      <w:r w:rsidRPr="00897A69">
        <w:rPr>
          <w:rFonts w:ascii="Constantia" w:hAnsi="Constantia"/>
          <w:lang w:val="sl-SI"/>
        </w:rPr>
        <w:t xml:space="preserve">uzorcima. </w:t>
      </w:r>
    </w:p>
    <w:p w:rsidR="00E82536" w:rsidRPr="005E4028" w:rsidRDefault="00E82536" w:rsidP="00E82536">
      <w:pPr>
        <w:pStyle w:val="ListParagraph"/>
        <w:tabs>
          <w:tab w:val="left" w:pos="426"/>
        </w:tabs>
        <w:spacing w:after="0"/>
        <w:ind w:left="0"/>
        <w:rPr>
          <w:rFonts w:ascii="Constantia" w:hAnsi="Constantia"/>
          <w:lang w:val="sl-SI"/>
        </w:rPr>
      </w:pPr>
    </w:p>
    <w:p w:rsidR="00E7780B" w:rsidRDefault="00E7780B" w:rsidP="00A50466">
      <w:pPr>
        <w:pStyle w:val="ListParagraph"/>
        <w:numPr>
          <w:ilvl w:val="0"/>
          <w:numId w:val="17"/>
        </w:numPr>
        <w:tabs>
          <w:tab w:val="left" w:pos="426"/>
        </w:tabs>
        <w:ind w:left="0" w:firstLine="0"/>
        <w:rPr>
          <w:rFonts w:ascii="Constantia" w:hAnsi="Constantia"/>
          <w:lang w:val="sl-SI"/>
        </w:rPr>
      </w:pPr>
      <w:r w:rsidRPr="00897A69">
        <w:rPr>
          <w:rFonts w:ascii="Constantia" w:hAnsi="Constantia"/>
          <w:lang w:val="sl-SI"/>
        </w:rPr>
        <w:t>U uzorcima zemljišta uzorkovanim na lokacijama pored trafostanica sadržaj PCB je ispod</w:t>
      </w:r>
      <w:r>
        <w:rPr>
          <w:rFonts w:ascii="Constantia" w:hAnsi="Constantia"/>
          <w:lang w:val="sl-SI"/>
        </w:rPr>
        <w:t xml:space="preserve"> granice detekcije instrumenta, </w:t>
      </w:r>
      <w:r w:rsidRPr="00897A69">
        <w:rPr>
          <w:rFonts w:ascii="Constantia" w:hAnsi="Constantia"/>
          <w:lang w:val="sl-SI"/>
        </w:rPr>
        <w:t>kao i sadržaj dioksina i furana.</w:t>
      </w:r>
    </w:p>
    <w:p w:rsidR="00E7780B" w:rsidRPr="005E4028" w:rsidRDefault="00E7780B" w:rsidP="00E7780B">
      <w:pPr>
        <w:pStyle w:val="ListParagraph"/>
        <w:tabs>
          <w:tab w:val="left" w:pos="426"/>
        </w:tabs>
        <w:spacing w:after="0" w:line="276" w:lineRule="auto"/>
        <w:ind w:left="0"/>
        <w:rPr>
          <w:rFonts w:ascii="Constantia" w:hAnsi="Constantia"/>
          <w:lang w:val="sl-SI"/>
        </w:rPr>
      </w:pPr>
    </w:p>
    <w:p w:rsidR="00E7780B" w:rsidRPr="005E4028" w:rsidRDefault="00E7780B" w:rsidP="004453D5">
      <w:pPr>
        <w:spacing w:line="276" w:lineRule="auto"/>
        <w:jc w:val="center"/>
        <w:rPr>
          <w:rFonts w:ascii="Constantia" w:eastAsiaTheme="minorHAnsi" w:hAnsi="Constantia" w:cs="Arial"/>
          <w:lang w:val="sr-Latn-CS"/>
        </w:rPr>
      </w:pPr>
      <w:r>
        <w:rPr>
          <w:rFonts w:ascii="Constantia" w:hAnsi="Constantia"/>
          <w:noProof/>
        </w:rPr>
        <w:lastRenderedPageBreak/>
        <w:drawing>
          <wp:inline distT="0" distB="0" distL="0" distR="0" wp14:anchorId="57C1E763" wp14:editId="44D6A704">
            <wp:extent cx="4171950" cy="1724025"/>
            <wp:effectExtent l="0" t="0" r="0" b="0"/>
            <wp:docPr id="38"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rsidR="00E7780B" w:rsidRDefault="00E7780B" w:rsidP="00E7780B">
      <w:pPr>
        <w:pStyle w:val="Grafikon"/>
        <w:spacing w:line="276" w:lineRule="auto"/>
        <w:rPr>
          <w:rFonts w:ascii="Constantia" w:eastAsiaTheme="minorHAnsi" w:hAnsi="Constantia"/>
          <w:sz w:val="22"/>
        </w:rPr>
      </w:pPr>
      <w:r>
        <w:rPr>
          <w:rFonts w:ascii="Constantia" w:eastAsiaTheme="minorHAnsi" w:hAnsi="Constantia"/>
          <w:sz w:val="22"/>
        </w:rPr>
        <w:t>Sadržaj hroma (Cr)</w:t>
      </w:r>
      <w:r w:rsidRPr="00897A69">
        <w:rPr>
          <w:rFonts w:ascii="Constantia" w:eastAsiaTheme="minorHAnsi" w:hAnsi="Constantia"/>
          <w:sz w:val="22"/>
        </w:rPr>
        <w:t xml:space="preserve"> u</w:t>
      </w:r>
      <w:r>
        <w:rPr>
          <w:rFonts w:ascii="Constantia" w:eastAsiaTheme="minorHAnsi" w:hAnsi="Constantia"/>
          <w:sz w:val="22"/>
        </w:rPr>
        <w:t xml:space="preserve"> uzorku zemljišta uzorkovanom u Donjoj Gorici, </w:t>
      </w:r>
      <w:r w:rsidRPr="00897A69">
        <w:rPr>
          <w:rFonts w:ascii="Constantia" w:eastAsiaTheme="minorHAnsi" w:hAnsi="Constantia"/>
          <w:sz w:val="22"/>
        </w:rPr>
        <w:t>2009</w:t>
      </w:r>
      <w:r>
        <w:rPr>
          <w:rFonts w:ascii="Constantia" w:eastAsiaTheme="minorHAnsi" w:hAnsi="Constantia"/>
          <w:sz w:val="22"/>
        </w:rPr>
        <w:t>-2013</w:t>
      </w:r>
    </w:p>
    <w:p w:rsidR="00E7780B" w:rsidRPr="00F61FA8" w:rsidRDefault="00E7780B" w:rsidP="00E7780B">
      <w:pPr>
        <w:pStyle w:val="Grafikon"/>
        <w:numPr>
          <w:ilvl w:val="0"/>
          <w:numId w:val="0"/>
        </w:numPr>
        <w:spacing w:line="276" w:lineRule="auto"/>
        <w:ind w:left="360"/>
        <w:jc w:val="both"/>
        <w:rPr>
          <w:rFonts w:ascii="Constantia" w:eastAsiaTheme="minorHAnsi" w:hAnsi="Constantia"/>
          <w:sz w:val="22"/>
        </w:rPr>
      </w:pPr>
    </w:p>
    <w:p w:rsidR="00E7780B" w:rsidRPr="005E4028" w:rsidRDefault="00E7780B" w:rsidP="00E7780B">
      <w:pPr>
        <w:spacing w:line="276" w:lineRule="auto"/>
        <w:jc w:val="center"/>
        <w:rPr>
          <w:rFonts w:ascii="Constantia" w:eastAsiaTheme="minorHAnsi" w:hAnsi="Constantia" w:cs="Arial"/>
          <w:b/>
          <w:i/>
          <w:lang w:val="sr-Latn-CS"/>
        </w:rPr>
      </w:pPr>
      <w:r w:rsidRPr="003F5210">
        <w:rPr>
          <w:rFonts w:ascii="Constantia" w:eastAsiaTheme="minorHAnsi" w:hAnsi="Constantia" w:cs="Arial"/>
          <w:b/>
          <w:i/>
          <w:noProof/>
        </w:rPr>
        <w:drawing>
          <wp:inline distT="0" distB="0" distL="0" distR="0" wp14:anchorId="79D22D6D" wp14:editId="0F259ACC">
            <wp:extent cx="4943475" cy="1924050"/>
            <wp:effectExtent l="0" t="0" r="0" b="0"/>
            <wp:docPr id="3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rsidR="00E7780B" w:rsidRPr="00E37376" w:rsidRDefault="00E7780B" w:rsidP="00E7780B">
      <w:pPr>
        <w:pStyle w:val="Grafikon"/>
        <w:spacing w:line="276" w:lineRule="auto"/>
        <w:rPr>
          <w:rFonts w:ascii="Constantia" w:eastAsiaTheme="minorHAnsi" w:hAnsi="Constantia"/>
          <w:color w:val="FF0000"/>
          <w:sz w:val="22"/>
        </w:rPr>
      </w:pPr>
      <w:r w:rsidRPr="00897A69">
        <w:rPr>
          <w:rFonts w:ascii="Constantia" w:eastAsiaTheme="minorHAnsi" w:hAnsi="Constantia"/>
          <w:sz w:val="22"/>
        </w:rPr>
        <w:t xml:space="preserve">Odnos </w:t>
      </w:r>
      <w:r w:rsidRPr="003F5210">
        <w:rPr>
          <w:rFonts w:ascii="Constantia" w:eastAsiaTheme="minorHAnsi" w:hAnsi="Constantia"/>
          <w:sz w:val="22"/>
        </w:rPr>
        <w:t>evidentiranih koncentracija nikla (Ni) u mg/kg na pojedinim lokacijama u Podgorici, 2009-2013</w:t>
      </w:r>
    </w:p>
    <w:p w:rsidR="00E7780B" w:rsidRDefault="00E7780B" w:rsidP="004453D5">
      <w:pPr>
        <w:spacing w:line="276" w:lineRule="auto"/>
        <w:rPr>
          <w:rFonts w:ascii="Constantia" w:eastAsiaTheme="minorHAnsi" w:hAnsi="Constantia" w:cs="Arial"/>
          <w:lang w:val="sr-Latn-CS"/>
        </w:rPr>
      </w:pPr>
    </w:p>
    <w:p w:rsidR="00E7780B" w:rsidRPr="005E4028" w:rsidRDefault="00E7780B" w:rsidP="00E7780B">
      <w:pPr>
        <w:spacing w:line="276" w:lineRule="auto"/>
        <w:jc w:val="center"/>
        <w:rPr>
          <w:rFonts w:ascii="Constantia" w:eastAsiaTheme="minorHAnsi" w:hAnsi="Constantia" w:cs="Arial"/>
          <w:lang w:val="sr-Latn-CS"/>
        </w:rPr>
      </w:pPr>
      <w:r w:rsidRPr="0027329B">
        <w:rPr>
          <w:rFonts w:ascii="Constantia" w:eastAsiaTheme="minorHAnsi" w:hAnsi="Constantia" w:cs="Arial"/>
          <w:noProof/>
        </w:rPr>
        <w:drawing>
          <wp:inline distT="0" distB="0" distL="0" distR="0" wp14:anchorId="30B042AD" wp14:editId="74FAB405">
            <wp:extent cx="4857750" cy="2009775"/>
            <wp:effectExtent l="0" t="0" r="0" b="0"/>
            <wp:docPr id="40"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rsidR="00E7780B" w:rsidRPr="0027329B" w:rsidRDefault="00E7780B" w:rsidP="00E7780B">
      <w:pPr>
        <w:pStyle w:val="Grafikon"/>
        <w:spacing w:line="276" w:lineRule="auto"/>
        <w:rPr>
          <w:rFonts w:ascii="Constantia" w:eastAsiaTheme="minorHAnsi" w:hAnsi="Constantia"/>
          <w:sz w:val="22"/>
        </w:rPr>
      </w:pPr>
      <w:r w:rsidRPr="00897A69">
        <w:rPr>
          <w:rFonts w:ascii="Constantia" w:eastAsiaTheme="minorHAnsi" w:hAnsi="Constantia"/>
          <w:sz w:val="22"/>
        </w:rPr>
        <w:t xml:space="preserve">Odnos </w:t>
      </w:r>
      <w:r w:rsidRPr="0027329B">
        <w:rPr>
          <w:rFonts w:ascii="Constantia" w:eastAsiaTheme="minorHAnsi" w:hAnsi="Constantia"/>
          <w:sz w:val="22"/>
        </w:rPr>
        <w:t>evidentiranih koncentracija olova (Pb) u mg/kg na pojedinim lokacijama u Podgorici, 2009-2013</w:t>
      </w:r>
    </w:p>
    <w:p w:rsidR="00E7780B" w:rsidRPr="00407A29" w:rsidRDefault="00E7780B" w:rsidP="00E7780B">
      <w:pPr>
        <w:pStyle w:val="Grafikon"/>
        <w:numPr>
          <w:ilvl w:val="0"/>
          <w:numId w:val="0"/>
        </w:numPr>
        <w:spacing w:line="276" w:lineRule="auto"/>
        <w:ind w:left="360"/>
        <w:jc w:val="both"/>
        <w:rPr>
          <w:rFonts w:ascii="Constantia" w:eastAsiaTheme="minorHAnsi" w:hAnsi="Constantia"/>
          <w:i w:val="0"/>
          <w:sz w:val="22"/>
        </w:rPr>
      </w:pPr>
    </w:p>
    <w:p w:rsidR="00E7780B" w:rsidRPr="00313DA0" w:rsidRDefault="00E7780B" w:rsidP="00EE37CB">
      <w:pPr>
        <w:pStyle w:val="Heading2"/>
        <w:spacing w:line="276" w:lineRule="auto"/>
        <w:ind w:left="720"/>
        <w:rPr>
          <w:color w:val="auto"/>
          <w:lang w:val="sr-Latn-CS"/>
        </w:rPr>
      </w:pPr>
      <w:bookmarkStart w:id="73" w:name="_Toc318278307"/>
      <w:bookmarkStart w:id="74" w:name="_Toc362938323"/>
      <w:bookmarkStart w:id="75" w:name="_Toc393897893"/>
      <w:r w:rsidRPr="00897A69">
        <w:rPr>
          <w:lang w:val="sr-Latn-CS"/>
        </w:rPr>
        <w:lastRenderedPageBreak/>
        <w:t xml:space="preserve">Rezultati </w:t>
      </w:r>
      <w:r w:rsidRPr="0081135F">
        <w:t>ispitivanja</w:t>
      </w:r>
      <w:r w:rsidRPr="00897A69">
        <w:rPr>
          <w:lang w:val="sr-Latn-CS"/>
        </w:rPr>
        <w:t xml:space="preserve"> opasnih i štetnih materija u zemljištu na području opštine </w:t>
      </w:r>
      <w:r w:rsidRPr="00313DA0">
        <w:rPr>
          <w:color w:val="auto"/>
          <w:lang w:val="sr-Latn-CS"/>
        </w:rPr>
        <w:t>Pljevlja</w:t>
      </w:r>
      <w:bookmarkEnd w:id="73"/>
      <w:bookmarkEnd w:id="74"/>
      <w:bookmarkEnd w:id="75"/>
    </w:p>
    <w:p w:rsidR="00E7780B" w:rsidRPr="00FC2FE3" w:rsidRDefault="00E7780B" w:rsidP="0081135F">
      <w:pPr>
        <w:tabs>
          <w:tab w:val="left" w:pos="360"/>
        </w:tabs>
        <w:rPr>
          <w:rFonts w:ascii="Constantia" w:eastAsiaTheme="minorHAnsi" w:hAnsi="Constantia"/>
          <w:lang w:val="sr-Latn-CS"/>
        </w:rPr>
      </w:pPr>
      <w:r w:rsidRPr="00FC2FE3">
        <w:rPr>
          <w:rFonts w:ascii="Constantia" w:eastAsiaTheme="minorHAnsi" w:hAnsi="Constantia"/>
          <w:lang w:val="sr-Latn-CS"/>
        </w:rPr>
        <w:t>Na području o</w:t>
      </w:r>
      <w:r w:rsidR="004453D5">
        <w:rPr>
          <w:rFonts w:ascii="Constantia" w:eastAsiaTheme="minorHAnsi" w:hAnsi="Constantia"/>
          <w:lang w:val="sr-Latn-CS"/>
        </w:rPr>
        <w:t>pštine Pljevlja, u 2013. godini</w:t>
      </w:r>
      <w:r w:rsidRPr="00FC2FE3">
        <w:rPr>
          <w:rFonts w:ascii="Constantia" w:eastAsiaTheme="minorHAnsi" w:hAnsi="Constantia"/>
          <w:lang w:val="sr-Latn-CS"/>
        </w:rPr>
        <w:t xml:space="preserve"> uzorkovanje </w:t>
      </w:r>
      <w:r w:rsidRPr="00FC2FE3">
        <w:rPr>
          <w:rFonts w:ascii="Constantia" w:hAnsi="Constantia"/>
          <w:lang w:val="sr-Latn-CS"/>
        </w:rPr>
        <w:t xml:space="preserve">zemljišta je </w:t>
      </w:r>
      <w:r w:rsidRPr="00FC2FE3">
        <w:rPr>
          <w:rFonts w:ascii="Constantia" w:eastAsiaTheme="minorHAnsi" w:hAnsi="Constantia"/>
          <w:lang w:val="sr-Latn-CS"/>
        </w:rPr>
        <w:t xml:space="preserve">izvršeno na 8 lokacija. </w:t>
      </w:r>
    </w:p>
    <w:p w:rsidR="00E7780B" w:rsidRDefault="00E7780B" w:rsidP="0081135F">
      <w:pPr>
        <w:tabs>
          <w:tab w:val="left" w:pos="360"/>
        </w:tabs>
        <w:rPr>
          <w:rFonts w:ascii="Constantia" w:hAnsi="Constantia"/>
          <w:lang w:val="sr-Latn-CS"/>
        </w:rPr>
      </w:pPr>
      <w:r>
        <w:rPr>
          <w:rFonts w:ascii="Constantia" w:hAnsi="Constantia"/>
          <w:lang w:val="sr-Latn-CS"/>
        </w:rPr>
        <w:t>Analizom uzoraka utvrđeno je da s</w:t>
      </w:r>
      <w:r w:rsidRPr="00897A69">
        <w:rPr>
          <w:rFonts w:ascii="Constantia" w:hAnsi="Constantia"/>
          <w:lang w:val="sr-Latn-CS"/>
        </w:rPr>
        <w:t xml:space="preserve">adržaj svih opasnih i </w:t>
      </w:r>
      <w:r>
        <w:rPr>
          <w:rFonts w:ascii="Constantia" w:hAnsi="Constantia"/>
          <w:lang w:val="sr-Latn-CS"/>
        </w:rPr>
        <w:t xml:space="preserve">štetnih materija, kao i toksičnih i </w:t>
      </w:r>
      <w:r w:rsidRPr="00897A69">
        <w:rPr>
          <w:rFonts w:ascii="Constantia" w:hAnsi="Constantia"/>
          <w:lang w:val="sr-Latn-CS"/>
        </w:rPr>
        <w:t>kancerogenih materija</w:t>
      </w:r>
      <w:r>
        <w:rPr>
          <w:rFonts w:ascii="Constantia" w:hAnsi="Constantia"/>
          <w:lang w:val="sr-Latn-CS"/>
        </w:rPr>
        <w:t>,</w:t>
      </w:r>
      <w:r w:rsidRPr="00897A69">
        <w:rPr>
          <w:rFonts w:ascii="Constantia" w:hAnsi="Constantia"/>
          <w:lang w:val="sr-Latn-CS"/>
        </w:rPr>
        <w:t xml:space="preserve"> u uzorcima zemljišta uzorkovanim na </w:t>
      </w:r>
      <w:r>
        <w:rPr>
          <w:rFonts w:ascii="Constantia" w:hAnsi="Constantia"/>
          <w:lang w:val="sr-Latn-CS"/>
        </w:rPr>
        <w:t xml:space="preserve">skoro svim </w:t>
      </w:r>
      <w:r w:rsidRPr="00897A69">
        <w:rPr>
          <w:rFonts w:ascii="Constantia" w:hAnsi="Constantia"/>
          <w:lang w:val="sr-Latn-CS"/>
        </w:rPr>
        <w:t xml:space="preserve">lokacijama u Pljevljima </w:t>
      </w:r>
      <w:r>
        <w:rPr>
          <w:rFonts w:ascii="Constantia" w:hAnsi="Constantia"/>
          <w:lang w:val="sr-Latn-CS"/>
        </w:rPr>
        <w:t>n</w:t>
      </w:r>
      <w:r w:rsidRPr="00897A69">
        <w:rPr>
          <w:rFonts w:ascii="Constantia" w:hAnsi="Constantia"/>
          <w:lang w:val="sr-Latn-CS"/>
        </w:rPr>
        <w:t>e</w:t>
      </w:r>
      <w:r w:rsidR="004453D5">
        <w:rPr>
          <w:rFonts w:ascii="Constantia" w:hAnsi="Constantia"/>
          <w:lang w:val="sr-Latn-CS"/>
        </w:rPr>
        <w:t xml:space="preserve"> </w:t>
      </w:r>
      <w:r>
        <w:rPr>
          <w:rFonts w:ascii="Constantia" w:hAnsi="Constantia"/>
          <w:lang w:val="sr-Latn-CS"/>
        </w:rPr>
        <w:t>prelaze vrijednosti maks</w:t>
      </w:r>
      <w:r w:rsidRPr="00897A69">
        <w:rPr>
          <w:rFonts w:ascii="Constantia" w:hAnsi="Constantia"/>
          <w:lang w:val="sr-Latn-CS"/>
        </w:rPr>
        <w:t>imalno dozvoljenih koncentracija normiranih Pravilnikom.</w:t>
      </w:r>
      <w:r>
        <w:rPr>
          <w:rFonts w:ascii="Constantia" w:hAnsi="Constantia"/>
          <w:lang w:val="sr-Latn-CS"/>
        </w:rPr>
        <w:t xml:space="preserve"> Navedeno se odnosi na lokaciju Dječije igralište, poljoprivredno zemljište pored puta na lokaciji Komini, poljoprivredno zemljište na lokaciji pored jalovišta TE Pljevlja, kao i na poljoprivredno zemljište na lokaciji Vilići, pored saobraćajnice prema Đurđevića Tari.</w:t>
      </w:r>
    </w:p>
    <w:p w:rsidR="00E7780B" w:rsidRPr="005E4028" w:rsidRDefault="00E7780B" w:rsidP="0081135F">
      <w:pPr>
        <w:tabs>
          <w:tab w:val="left" w:pos="360"/>
        </w:tabs>
        <w:rPr>
          <w:rFonts w:ascii="Constantia" w:hAnsi="Constantia"/>
          <w:lang w:val="sr-Latn-CS"/>
        </w:rPr>
      </w:pPr>
      <w:r>
        <w:rPr>
          <w:rFonts w:ascii="Constantia" w:hAnsi="Constantia"/>
          <w:lang w:val="sr-Latn-CS"/>
        </w:rPr>
        <w:t>Odstupanje od Pravilnikom propisanih koncentracija evidentirano je samo analizom uzorka zemljišta uzorkovanog na lokaciji Gradac, a odnosi se na povećan sadržaj neorganskih toksikanata kadmijuma, olova, arsena, fluora, bakra i cinka. Sadržaj ostalih ispitan</w:t>
      </w:r>
      <w:r w:rsidR="004453D5">
        <w:rPr>
          <w:rFonts w:ascii="Constantia" w:hAnsi="Constantia"/>
          <w:lang w:val="sr-Latn-CS"/>
        </w:rPr>
        <w:t>ih neorganskih, kao i organskih</w:t>
      </w:r>
      <w:r>
        <w:rPr>
          <w:rFonts w:ascii="Constantia" w:hAnsi="Constantia"/>
          <w:lang w:val="sr-Latn-CS"/>
        </w:rPr>
        <w:t xml:space="preserve"> supstanci na ovoj lokaciji ne prevazilazi MDK normirane Pravilnikom.   </w:t>
      </w:r>
      <w:r w:rsidRPr="00897A69">
        <w:rPr>
          <w:rFonts w:ascii="Constantia" w:hAnsi="Constantia"/>
          <w:lang w:val="sr-Latn-CS"/>
        </w:rPr>
        <w:t xml:space="preserve"> </w:t>
      </w:r>
    </w:p>
    <w:p w:rsidR="00E7780B" w:rsidRDefault="00E7780B" w:rsidP="0081135F">
      <w:pPr>
        <w:tabs>
          <w:tab w:val="left" w:pos="360"/>
        </w:tabs>
        <w:spacing w:after="0"/>
        <w:rPr>
          <w:rFonts w:ascii="Constantia" w:hAnsi="Constantia"/>
          <w:lang w:val="sl-SI"/>
        </w:rPr>
      </w:pPr>
      <w:r w:rsidRPr="00FC2FE3">
        <w:rPr>
          <w:rFonts w:ascii="Constantia" w:hAnsi="Constantia"/>
          <w:lang w:val="sl-SI"/>
        </w:rPr>
        <w:t>U uzorcima zemljišta uzorkovanim pored trafostanica, s</w:t>
      </w:r>
      <w:r w:rsidRPr="00FC2FE3">
        <w:rPr>
          <w:rFonts w:ascii="Constantia" w:hAnsi="Constantia"/>
          <w:lang w:val="sr-Latn-CS"/>
        </w:rPr>
        <w:t xml:space="preserve">adržaj toksičnih i kancerogenih materija i </w:t>
      </w:r>
      <w:r w:rsidRPr="00FC2FE3">
        <w:rPr>
          <w:rFonts w:ascii="Constantia" w:hAnsi="Constantia"/>
          <w:lang w:val="sl-SI"/>
        </w:rPr>
        <w:t xml:space="preserve">dioksina i furana ne prevazilazi maksimalno dozvoljene koncentracije </w:t>
      </w:r>
      <w:r>
        <w:rPr>
          <w:rFonts w:ascii="Constantia" w:hAnsi="Constantia"/>
          <w:lang w:val="sl-SI"/>
        </w:rPr>
        <w:t>propisane</w:t>
      </w:r>
      <w:r w:rsidRPr="00FC2FE3">
        <w:rPr>
          <w:rFonts w:ascii="Constantia" w:hAnsi="Constantia"/>
          <w:lang w:val="sl-SI"/>
        </w:rPr>
        <w:t xml:space="preserve"> Pravilnikom.</w:t>
      </w:r>
    </w:p>
    <w:p w:rsidR="00E7780B" w:rsidRDefault="00E7780B" w:rsidP="004453D5">
      <w:pPr>
        <w:tabs>
          <w:tab w:val="left" w:pos="360"/>
        </w:tabs>
        <w:rPr>
          <w:rFonts w:ascii="Constantia" w:hAnsi="Constantia"/>
          <w:lang w:val="sl-SI"/>
        </w:rPr>
      </w:pPr>
    </w:p>
    <w:p w:rsidR="00E7780B" w:rsidRPr="005E4028" w:rsidRDefault="00E7780B" w:rsidP="004453D5">
      <w:pPr>
        <w:spacing w:line="276" w:lineRule="auto"/>
        <w:jc w:val="center"/>
        <w:rPr>
          <w:rFonts w:ascii="Constantia" w:eastAsiaTheme="minorHAnsi" w:hAnsi="Constantia" w:cs="Arial"/>
          <w:lang w:val="sr-Latn-CS"/>
        </w:rPr>
      </w:pPr>
      <w:r w:rsidRPr="00AD16F0">
        <w:rPr>
          <w:rFonts w:ascii="Constantia" w:eastAsiaTheme="minorHAnsi" w:hAnsi="Constantia" w:cs="Arial"/>
          <w:noProof/>
        </w:rPr>
        <w:drawing>
          <wp:inline distT="0" distB="0" distL="0" distR="0" wp14:anchorId="50D92777" wp14:editId="35CBDF9D">
            <wp:extent cx="4791075" cy="1857375"/>
            <wp:effectExtent l="0" t="0" r="0" b="0"/>
            <wp:docPr id="41"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rsidR="00E7780B" w:rsidRPr="00E37376" w:rsidRDefault="00E7780B" w:rsidP="00E7780B">
      <w:pPr>
        <w:pStyle w:val="Grafikon"/>
        <w:spacing w:line="276" w:lineRule="auto"/>
        <w:rPr>
          <w:rFonts w:ascii="Constantia" w:eastAsiaTheme="minorHAnsi" w:hAnsi="Constantia"/>
          <w:color w:val="FF0000"/>
          <w:sz w:val="22"/>
        </w:rPr>
      </w:pPr>
      <w:r w:rsidRPr="00897A69">
        <w:rPr>
          <w:rFonts w:ascii="Constantia" w:eastAsiaTheme="minorHAnsi" w:hAnsi="Constantia"/>
          <w:sz w:val="22"/>
        </w:rPr>
        <w:t xml:space="preserve">Odnos </w:t>
      </w:r>
      <w:r w:rsidRPr="003F5210">
        <w:rPr>
          <w:rFonts w:ascii="Constantia" w:eastAsiaTheme="minorHAnsi" w:hAnsi="Constantia"/>
          <w:sz w:val="22"/>
        </w:rPr>
        <w:t>evidentiranih koncentracija nikla (Ni) u mg/kg na pojedinim lokacijama u P</w:t>
      </w:r>
      <w:r>
        <w:rPr>
          <w:rFonts w:ascii="Constantia" w:eastAsiaTheme="minorHAnsi" w:hAnsi="Constantia"/>
          <w:sz w:val="22"/>
        </w:rPr>
        <w:t>ljevljima</w:t>
      </w:r>
      <w:r w:rsidRPr="003F5210">
        <w:rPr>
          <w:rFonts w:ascii="Constantia" w:eastAsiaTheme="minorHAnsi" w:hAnsi="Constantia"/>
          <w:sz w:val="22"/>
        </w:rPr>
        <w:t>, 2009-2013</w:t>
      </w:r>
    </w:p>
    <w:p w:rsidR="00E7780B" w:rsidRDefault="00E7780B" w:rsidP="004453D5">
      <w:pPr>
        <w:spacing w:after="0"/>
        <w:jc w:val="center"/>
        <w:rPr>
          <w:rFonts w:ascii="Constantia" w:eastAsiaTheme="minorHAnsi" w:hAnsi="Constantia" w:cs="Arial"/>
          <w:lang w:val="sr-Latn-CS"/>
        </w:rPr>
      </w:pPr>
    </w:p>
    <w:p w:rsidR="00E7780B" w:rsidRPr="005E4028" w:rsidRDefault="00E7780B" w:rsidP="004453D5">
      <w:pPr>
        <w:spacing w:line="276" w:lineRule="auto"/>
        <w:jc w:val="center"/>
        <w:rPr>
          <w:rFonts w:ascii="Constantia" w:eastAsiaTheme="minorHAnsi" w:hAnsi="Constantia" w:cs="Arial"/>
          <w:lang w:val="sr-Latn-CS"/>
        </w:rPr>
      </w:pPr>
      <w:r w:rsidRPr="00341201">
        <w:rPr>
          <w:rFonts w:ascii="Constantia" w:eastAsiaTheme="minorHAnsi" w:hAnsi="Constantia" w:cs="Arial"/>
          <w:noProof/>
        </w:rPr>
        <w:drawing>
          <wp:inline distT="0" distB="0" distL="0" distR="0" wp14:anchorId="694E6CA3" wp14:editId="00AAAAEB">
            <wp:extent cx="4781550" cy="1828800"/>
            <wp:effectExtent l="0" t="0" r="0" b="0"/>
            <wp:docPr id="42"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rsidR="00E7780B" w:rsidRPr="00E37376" w:rsidRDefault="00E7780B" w:rsidP="00E7780B">
      <w:pPr>
        <w:pStyle w:val="Grafikon"/>
        <w:spacing w:line="276" w:lineRule="auto"/>
        <w:rPr>
          <w:rFonts w:ascii="Constantia" w:eastAsiaTheme="minorHAnsi" w:hAnsi="Constantia"/>
          <w:color w:val="FF0000"/>
          <w:sz w:val="22"/>
        </w:rPr>
      </w:pPr>
      <w:r w:rsidRPr="00897A69">
        <w:rPr>
          <w:rFonts w:ascii="Constantia" w:eastAsiaTheme="minorHAnsi" w:hAnsi="Constantia"/>
          <w:sz w:val="22"/>
        </w:rPr>
        <w:t xml:space="preserve">Odnos evidentiranih koncentracija arsena (As) u </w:t>
      </w:r>
      <w:r w:rsidRPr="003F5210">
        <w:rPr>
          <w:rFonts w:ascii="Constantia" w:eastAsiaTheme="minorHAnsi" w:hAnsi="Constantia"/>
          <w:sz w:val="22"/>
        </w:rPr>
        <w:t>mg/kg na pojedinim lokacijama u P</w:t>
      </w:r>
      <w:r>
        <w:rPr>
          <w:rFonts w:ascii="Constantia" w:eastAsiaTheme="minorHAnsi" w:hAnsi="Constantia"/>
          <w:sz w:val="22"/>
        </w:rPr>
        <w:t>ljevljima</w:t>
      </w:r>
      <w:r w:rsidRPr="003F5210">
        <w:rPr>
          <w:rFonts w:ascii="Constantia" w:eastAsiaTheme="minorHAnsi" w:hAnsi="Constantia"/>
          <w:sz w:val="22"/>
        </w:rPr>
        <w:t>, 2009-2013</w:t>
      </w:r>
    </w:p>
    <w:p w:rsidR="00E7780B" w:rsidRPr="005E4028" w:rsidRDefault="00E7780B" w:rsidP="004453D5">
      <w:pPr>
        <w:spacing w:line="276" w:lineRule="auto"/>
        <w:jc w:val="center"/>
        <w:rPr>
          <w:rFonts w:ascii="Constantia" w:eastAsiaTheme="minorHAnsi" w:hAnsi="Constantia" w:cs="Arial"/>
          <w:lang w:val="sr-Latn-CS"/>
        </w:rPr>
      </w:pPr>
      <w:r w:rsidRPr="00313DA0">
        <w:rPr>
          <w:rFonts w:ascii="Constantia" w:eastAsiaTheme="minorHAnsi" w:hAnsi="Constantia" w:cs="Arial"/>
          <w:noProof/>
        </w:rPr>
        <w:lastRenderedPageBreak/>
        <w:drawing>
          <wp:inline distT="0" distB="0" distL="0" distR="0" wp14:anchorId="2E6BBCF5" wp14:editId="763CD6B2">
            <wp:extent cx="4791075" cy="1905000"/>
            <wp:effectExtent l="0" t="0" r="0" b="0"/>
            <wp:docPr id="49"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rsidR="00E7780B" w:rsidRPr="00E91E74" w:rsidRDefault="00E7780B" w:rsidP="00E7780B">
      <w:pPr>
        <w:pStyle w:val="Grafikon"/>
        <w:spacing w:line="276" w:lineRule="auto"/>
        <w:rPr>
          <w:rFonts w:ascii="Constantia" w:eastAsiaTheme="minorHAnsi" w:hAnsi="Constantia"/>
          <w:color w:val="FF0000"/>
          <w:sz w:val="22"/>
        </w:rPr>
      </w:pPr>
      <w:r w:rsidRPr="00897A69">
        <w:rPr>
          <w:rFonts w:ascii="Constantia" w:eastAsiaTheme="minorHAnsi" w:hAnsi="Constantia"/>
          <w:sz w:val="22"/>
        </w:rPr>
        <w:t>Odnos evidentiranih koncentracija olova (Pb) u</w:t>
      </w:r>
      <w:r w:rsidRPr="00AD16F0">
        <w:rPr>
          <w:rFonts w:ascii="Constantia" w:eastAsiaTheme="minorHAnsi" w:hAnsi="Constantia"/>
          <w:sz w:val="22"/>
        </w:rPr>
        <w:t xml:space="preserve"> </w:t>
      </w:r>
      <w:r w:rsidRPr="003F5210">
        <w:rPr>
          <w:rFonts w:ascii="Constantia" w:eastAsiaTheme="minorHAnsi" w:hAnsi="Constantia"/>
          <w:sz w:val="22"/>
        </w:rPr>
        <w:t>mg/kg na pojedinim lokacijama u P</w:t>
      </w:r>
      <w:r>
        <w:rPr>
          <w:rFonts w:ascii="Constantia" w:eastAsiaTheme="minorHAnsi" w:hAnsi="Constantia"/>
          <w:sz w:val="22"/>
        </w:rPr>
        <w:t>ljevljima</w:t>
      </w:r>
      <w:r w:rsidRPr="003F5210">
        <w:rPr>
          <w:rFonts w:ascii="Constantia" w:eastAsiaTheme="minorHAnsi" w:hAnsi="Constantia"/>
          <w:sz w:val="22"/>
        </w:rPr>
        <w:t>, 2009-2013</w:t>
      </w:r>
    </w:p>
    <w:p w:rsidR="00E7780B" w:rsidRPr="00E91E74" w:rsidRDefault="00E7780B" w:rsidP="00E7780B">
      <w:pPr>
        <w:pStyle w:val="Grafikon"/>
        <w:numPr>
          <w:ilvl w:val="0"/>
          <w:numId w:val="0"/>
        </w:numPr>
        <w:spacing w:line="276" w:lineRule="auto"/>
        <w:jc w:val="both"/>
        <w:rPr>
          <w:rFonts w:ascii="Constantia" w:eastAsiaTheme="minorHAnsi" w:hAnsi="Constantia"/>
          <w:i w:val="0"/>
          <w:color w:val="FF0000"/>
          <w:sz w:val="22"/>
        </w:rPr>
      </w:pPr>
    </w:p>
    <w:p w:rsidR="00E7780B" w:rsidRPr="005B2F0F" w:rsidRDefault="00E7780B" w:rsidP="00931EC6">
      <w:pPr>
        <w:pStyle w:val="Heading2"/>
        <w:spacing w:line="276" w:lineRule="auto"/>
        <w:ind w:left="720"/>
        <w:rPr>
          <w:color w:val="00B050"/>
          <w:lang w:val="sr-Latn-CS"/>
        </w:rPr>
      </w:pPr>
      <w:bookmarkStart w:id="76" w:name="_Toc318278308"/>
      <w:bookmarkStart w:id="77" w:name="_Toc362938324"/>
      <w:bookmarkStart w:id="78" w:name="_Toc393897894"/>
      <w:r w:rsidRPr="00897A69">
        <w:rPr>
          <w:lang w:val="sr-Latn-CS"/>
        </w:rPr>
        <w:t xml:space="preserve">Rezultati </w:t>
      </w:r>
      <w:r w:rsidRPr="00694576">
        <w:t>ispitivanja</w:t>
      </w:r>
      <w:r w:rsidRPr="00897A69">
        <w:rPr>
          <w:lang w:val="sr-Latn-CS"/>
        </w:rPr>
        <w:t xml:space="preserve"> opasnih i štetnih materija u zemljištu na području opštine </w:t>
      </w:r>
      <w:r w:rsidRPr="00193766">
        <w:rPr>
          <w:color w:val="auto"/>
          <w:lang w:val="sr-Latn-CS"/>
        </w:rPr>
        <w:t>Tivat</w:t>
      </w:r>
      <w:bookmarkEnd w:id="76"/>
      <w:bookmarkEnd w:id="77"/>
      <w:bookmarkEnd w:id="78"/>
    </w:p>
    <w:p w:rsidR="00D73850" w:rsidRDefault="00E7780B" w:rsidP="00694576">
      <w:pPr>
        <w:rPr>
          <w:rFonts w:ascii="Constantia" w:eastAsiaTheme="minorHAnsi" w:hAnsi="Constantia"/>
          <w:lang w:val="sr-Latn-CS"/>
        </w:rPr>
      </w:pPr>
      <w:r w:rsidRPr="00897A69">
        <w:rPr>
          <w:rFonts w:ascii="Constantia" w:eastAsiaTheme="minorHAnsi" w:hAnsi="Constantia"/>
          <w:lang w:val="sr-Latn-CS"/>
        </w:rPr>
        <w:t xml:space="preserve">Na području opštine Tivat uzorkovanje je izvršeno na </w:t>
      </w:r>
      <w:r>
        <w:rPr>
          <w:rFonts w:ascii="Constantia" w:eastAsiaTheme="minorHAnsi" w:hAnsi="Constantia"/>
          <w:lang w:val="sr-Latn-CS"/>
        </w:rPr>
        <w:t xml:space="preserve">4 </w:t>
      </w:r>
      <w:r w:rsidRPr="00897A69">
        <w:rPr>
          <w:rFonts w:ascii="Constantia" w:eastAsiaTheme="minorHAnsi" w:hAnsi="Constantia"/>
          <w:lang w:val="sr-Latn-CS"/>
        </w:rPr>
        <w:t xml:space="preserve">lokacije. </w:t>
      </w:r>
    </w:p>
    <w:p w:rsidR="00E7780B" w:rsidRDefault="00E7780B" w:rsidP="00694576">
      <w:pPr>
        <w:rPr>
          <w:rFonts w:ascii="Constantia" w:eastAsiaTheme="minorHAnsi" w:hAnsi="Constantia"/>
          <w:lang w:val="sr-Latn-CS"/>
        </w:rPr>
      </w:pPr>
      <w:r w:rsidRPr="00897A69">
        <w:rPr>
          <w:rFonts w:ascii="Constantia" w:eastAsiaTheme="minorHAnsi" w:hAnsi="Constantia"/>
          <w:lang w:val="sr-Latn-CS"/>
        </w:rPr>
        <w:t>Rezultati ispitivanja zagađenosti zeml</w:t>
      </w:r>
      <w:r>
        <w:rPr>
          <w:rFonts w:ascii="Constantia" w:eastAsiaTheme="minorHAnsi" w:hAnsi="Constantia"/>
          <w:lang w:val="sr-Latn-CS"/>
        </w:rPr>
        <w:t>jišta na teritoriji Tivta u 2013</w:t>
      </w:r>
      <w:r w:rsidRPr="00897A69">
        <w:rPr>
          <w:rFonts w:ascii="Constantia" w:eastAsiaTheme="minorHAnsi" w:hAnsi="Constantia"/>
          <w:lang w:val="sr-Latn-CS"/>
        </w:rPr>
        <w:t>. godini ukazuju da na pojedinim lokacijama postoji odstupanje od norme propisane Pravilnikom u pogledu s</w:t>
      </w:r>
      <w:r>
        <w:rPr>
          <w:rFonts w:ascii="Constantia" w:eastAsiaTheme="minorHAnsi" w:hAnsi="Constantia"/>
          <w:lang w:val="sr-Latn-CS"/>
        </w:rPr>
        <w:t xml:space="preserve">adržaja neorganskog polutanta </w:t>
      </w:r>
      <w:r w:rsidRPr="00897A69">
        <w:rPr>
          <w:rFonts w:ascii="Constantia" w:eastAsiaTheme="minorHAnsi" w:hAnsi="Constantia"/>
          <w:lang w:val="sr-Latn-CS"/>
        </w:rPr>
        <w:t>nikla</w:t>
      </w:r>
      <w:r>
        <w:rPr>
          <w:rFonts w:ascii="Constantia" w:eastAsiaTheme="minorHAnsi" w:hAnsi="Constantia"/>
          <w:lang w:val="sr-Latn-CS"/>
        </w:rPr>
        <w:t>. Isti je značajno smanjen u odnosu na prethodne godine, ali i dalje iznad propisanih vrijednosti,</w:t>
      </w:r>
      <w:r w:rsidR="00D73850">
        <w:rPr>
          <w:rFonts w:ascii="Constantia" w:eastAsiaTheme="minorHAnsi" w:hAnsi="Constantia"/>
          <w:lang w:val="sr-Latn-CS"/>
        </w:rPr>
        <w:t xml:space="preserve"> </w:t>
      </w:r>
      <w:r w:rsidRPr="00897A69">
        <w:rPr>
          <w:rFonts w:ascii="Constantia" w:eastAsiaTheme="minorHAnsi" w:hAnsi="Constantia"/>
          <w:lang w:val="sr-Latn-CS"/>
        </w:rPr>
        <w:t xml:space="preserve">dok je sadržaj ostalih neorganskih i organskih polutanata ispod MDK normiranih </w:t>
      </w:r>
      <w:r w:rsidRPr="006D654B">
        <w:rPr>
          <w:rFonts w:ascii="Constantia" w:eastAsiaTheme="minorHAnsi" w:hAnsi="Constantia"/>
          <w:lang w:val="sr-Latn-CS"/>
        </w:rPr>
        <w:t>P</w:t>
      </w:r>
      <w:r w:rsidRPr="00897A69">
        <w:rPr>
          <w:rFonts w:ascii="Constantia" w:eastAsiaTheme="minorHAnsi" w:hAnsi="Constantia"/>
          <w:lang w:val="sr-Latn-CS"/>
        </w:rPr>
        <w:t>ravilnikom.</w:t>
      </w:r>
      <w:r w:rsidR="00D73850">
        <w:rPr>
          <w:rFonts w:ascii="Constantia" w:eastAsiaTheme="minorHAnsi" w:hAnsi="Constantia"/>
          <w:lang w:val="sr-Latn-CS"/>
        </w:rPr>
        <w:t xml:space="preserve"> </w:t>
      </w:r>
      <w:r>
        <w:rPr>
          <w:rFonts w:ascii="Constantia" w:eastAsiaTheme="minorHAnsi" w:hAnsi="Constantia"/>
          <w:lang w:val="sr-Latn-CS"/>
        </w:rPr>
        <w:t xml:space="preserve">U odnosu na prethodne, ove godine je evidentirano i značajno smanjenje sadržaja neorganskog polutanta hroma, koji je sveden na granicu </w:t>
      </w:r>
      <w:r w:rsidR="00D73850" w:rsidRPr="00FC2FE3">
        <w:rPr>
          <w:rFonts w:ascii="Constantia" w:hAnsi="Constantia"/>
          <w:lang w:val="sl-SI"/>
        </w:rPr>
        <w:t xml:space="preserve">maksimalno dozvoljene koncentracije </w:t>
      </w:r>
      <w:r>
        <w:rPr>
          <w:rFonts w:ascii="Constantia" w:eastAsiaTheme="minorHAnsi" w:hAnsi="Constantia"/>
          <w:lang w:val="sr-Latn-CS"/>
        </w:rPr>
        <w:t>propisan</w:t>
      </w:r>
      <w:r w:rsidR="00D73850">
        <w:rPr>
          <w:rFonts w:ascii="Constantia" w:eastAsiaTheme="minorHAnsi" w:hAnsi="Constantia"/>
          <w:lang w:val="sr-Latn-CS"/>
        </w:rPr>
        <w:t>e</w:t>
      </w:r>
      <w:r>
        <w:rPr>
          <w:rFonts w:ascii="Constantia" w:eastAsiaTheme="minorHAnsi" w:hAnsi="Constantia"/>
          <w:lang w:val="sr-Latn-CS"/>
        </w:rPr>
        <w:t xml:space="preserve"> Pravilnikom.  </w:t>
      </w:r>
    </w:p>
    <w:p w:rsidR="00E7780B" w:rsidRPr="001F4F52" w:rsidRDefault="00E7780B" w:rsidP="00694576">
      <w:pPr>
        <w:spacing w:line="276" w:lineRule="auto"/>
        <w:ind w:firstLine="720"/>
        <w:rPr>
          <w:rFonts w:ascii="Constantia" w:eastAsiaTheme="minorHAnsi" w:hAnsi="Constantia"/>
          <w:lang w:val="sr-Latn-CS"/>
        </w:rPr>
      </w:pPr>
    </w:p>
    <w:p w:rsidR="00E7780B" w:rsidRPr="005E4028" w:rsidRDefault="00E7780B" w:rsidP="00E7780B">
      <w:pPr>
        <w:spacing w:line="276" w:lineRule="auto"/>
        <w:jc w:val="center"/>
        <w:rPr>
          <w:rFonts w:ascii="Constantia" w:eastAsiaTheme="minorHAnsi" w:hAnsi="Constantia" w:cs="Arial"/>
          <w:lang w:val="sr-Latn-CS"/>
        </w:rPr>
      </w:pPr>
      <w:r>
        <w:rPr>
          <w:rFonts w:ascii="Constantia" w:hAnsi="Constantia"/>
          <w:noProof/>
        </w:rPr>
        <w:drawing>
          <wp:inline distT="0" distB="0" distL="0" distR="0" wp14:anchorId="17057240" wp14:editId="46FCBB9E">
            <wp:extent cx="4229100" cy="1828800"/>
            <wp:effectExtent l="0" t="0" r="0" b="0"/>
            <wp:docPr id="51"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rsidR="00E7780B" w:rsidRDefault="00E7780B" w:rsidP="00E7780B">
      <w:pPr>
        <w:pStyle w:val="Grafikon"/>
        <w:spacing w:line="276" w:lineRule="auto"/>
        <w:rPr>
          <w:rFonts w:ascii="Constantia" w:eastAsiaTheme="minorHAnsi" w:hAnsi="Constantia"/>
          <w:sz w:val="22"/>
        </w:rPr>
      </w:pPr>
      <w:r>
        <w:rPr>
          <w:rFonts w:ascii="Constantia" w:eastAsiaTheme="minorHAnsi" w:hAnsi="Constantia"/>
          <w:sz w:val="22"/>
        </w:rPr>
        <w:t>Sadržaj hroma (Cr)</w:t>
      </w:r>
      <w:r w:rsidRPr="00897A69">
        <w:rPr>
          <w:rFonts w:ascii="Constantia" w:eastAsiaTheme="minorHAnsi" w:hAnsi="Constantia"/>
          <w:sz w:val="22"/>
        </w:rPr>
        <w:t xml:space="preserve"> u</w:t>
      </w:r>
      <w:r>
        <w:rPr>
          <w:rFonts w:ascii="Constantia" w:eastAsiaTheme="minorHAnsi" w:hAnsi="Constantia"/>
          <w:sz w:val="22"/>
        </w:rPr>
        <w:t xml:space="preserve"> uzorku zemljišta uzorkovanom na Tivatskom polju, </w:t>
      </w:r>
      <w:r w:rsidRPr="00E827A1">
        <w:rPr>
          <w:rFonts w:ascii="Constantia" w:eastAsiaTheme="minorHAnsi" w:hAnsi="Constantia"/>
          <w:sz w:val="22"/>
        </w:rPr>
        <w:t xml:space="preserve">2009-2013 </w:t>
      </w:r>
    </w:p>
    <w:p w:rsidR="00E7780B" w:rsidRDefault="00E7780B" w:rsidP="00E7780B">
      <w:pPr>
        <w:spacing w:line="276" w:lineRule="auto"/>
        <w:rPr>
          <w:rFonts w:ascii="Constantia" w:eastAsiaTheme="minorHAnsi" w:hAnsi="Constantia" w:cs="Arial"/>
          <w:lang w:val="sr-Latn-CS"/>
        </w:rPr>
      </w:pPr>
    </w:p>
    <w:p w:rsidR="00E7780B" w:rsidRPr="005E4028" w:rsidRDefault="00E7780B" w:rsidP="00E7780B">
      <w:pPr>
        <w:spacing w:line="276" w:lineRule="auto"/>
        <w:jc w:val="center"/>
        <w:rPr>
          <w:rFonts w:ascii="Constantia" w:eastAsiaTheme="minorHAnsi" w:hAnsi="Constantia" w:cs="Arial"/>
          <w:lang w:val="sr-Latn-CS"/>
        </w:rPr>
      </w:pPr>
      <w:r>
        <w:rPr>
          <w:rFonts w:ascii="Constantia" w:hAnsi="Constantia"/>
          <w:noProof/>
        </w:rPr>
        <w:lastRenderedPageBreak/>
        <w:drawing>
          <wp:inline distT="0" distB="0" distL="0" distR="0" wp14:anchorId="68B68958" wp14:editId="3DBFD2DB">
            <wp:extent cx="4133850" cy="1647825"/>
            <wp:effectExtent l="0" t="0" r="0" b="0"/>
            <wp:docPr id="55"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rsidR="00E7780B" w:rsidRDefault="00E7780B" w:rsidP="00E7780B">
      <w:pPr>
        <w:pStyle w:val="Grafikon"/>
        <w:spacing w:line="276" w:lineRule="auto"/>
        <w:rPr>
          <w:rFonts w:ascii="Constantia" w:eastAsiaTheme="minorHAnsi" w:hAnsi="Constantia"/>
          <w:sz w:val="22"/>
        </w:rPr>
      </w:pPr>
      <w:r>
        <w:rPr>
          <w:rFonts w:ascii="Constantia" w:eastAsiaTheme="minorHAnsi" w:hAnsi="Constantia"/>
          <w:sz w:val="22"/>
        </w:rPr>
        <w:t xml:space="preserve">Sadržaj nikla (Ni) u uzorku zemljišta uzorkovanom na Tivatskom polju, </w:t>
      </w:r>
      <w:r w:rsidRPr="00897A69">
        <w:rPr>
          <w:rFonts w:ascii="Constantia" w:eastAsiaTheme="minorHAnsi" w:hAnsi="Constantia"/>
          <w:sz w:val="22"/>
        </w:rPr>
        <w:t>2009</w:t>
      </w:r>
      <w:r>
        <w:rPr>
          <w:rFonts w:ascii="Constantia" w:eastAsiaTheme="minorHAnsi" w:hAnsi="Constantia"/>
          <w:sz w:val="22"/>
        </w:rPr>
        <w:t>-</w:t>
      </w:r>
      <w:r w:rsidRPr="00897A69">
        <w:rPr>
          <w:rFonts w:ascii="Constantia" w:eastAsiaTheme="minorHAnsi" w:hAnsi="Constantia"/>
          <w:sz w:val="22"/>
        </w:rPr>
        <w:t>201</w:t>
      </w:r>
      <w:r>
        <w:rPr>
          <w:rFonts w:ascii="Constantia" w:eastAsiaTheme="minorHAnsi" w:hAnsi="Constantia"/>
          <w:sz w:val="22"/>
        </w:rPr>
        <w:t>3</w:t>
      </w:r>
    </w:p>
    <w:p w:rsidR="00E7780B" w:rsidRPr="008D60AD" w:rsidRDefault="00E7780B" w:rsidP="00840D27">
      <w:pPr>
        <w:pStyle w:val="Grafikon"/>
        <w:numPr>
          <w:ilvl w:val="0"/>
          <w:numId w:val="0"/>
        </w:numPr>
        <w:spacing w:line="276" w:lineRule="auto"/>
        <w:ind w:left="360"/>
        <w:jc w:val="both"/>
        <w:rPr>
          <w:rFonts w:ascii="Constantia" w:eastAsiaTheme="minorHAnsi" w:hAnsi="Constantia"/>
          <w:sz w:val="22"/>
        </w:rPr>
      </w:pPr>
    </w:p>
    <w:p w:rsidR="00E7780B" w:rsidRPr="005E4028" w:rsidRDefault="00E7780B" w:rsidP="00931EC6">
      <w:pPr>
        <w:pStyle w:val="Heading2"/>
        <w:spacing w:line="276" w:lineRule="auto"/>
        <w:ind w:left="720"/>
        <w:rPr>
          <w:lang w:val="sr-Latn-CS"/>
        </w:rPr>
      </w:pPr>
      <w:bookmarkStart w:id="79" w:name="_Toc318278309"/>
      <w:bookmarkStart w:id="80" w:name="_Toc362938325"/>
      <w:bookmarkStart w:id="81" w:name="_Toc393897895"/>
      <w:r w:rsidRPr="00897A69">
        <w:rPr>
          <w:lang w:val="sr-Latn-CS"/>
        </w:rPr>
        <w:t xml:space="preserve">Rezultati </w:t>
      </w:r>
      <w:r w:rsidRPr="00694576">
        <w:t>ispitivanja</w:t>
      </w:r>
      <w:r w:rsidRPr="00897A69">
        <w:rPr>
          <w:lang w:val="sr-Latn-CS"/>
        </w:rPr>
        <w:t xml:space="preserve"> opasnih i štetnih materija u zemljištu na području opštine </w:t>
      </w:r>
      <w:r w:rsidRPr="008271A8">
        <w:rPr>
          <w:color w:val="auto"/>
          <w:lang w:val="sr-Latn-CS"/>
        </w:rPr>
        <w:t>Ulcinj</w:t>
      </w:r>
      <w:bookmarkEnd w:id="79"/>
      <w:bookmarkEnd w:id="80"/>
      <w:bookmarkEnd w:id="81"/>
    </w:p>
    <w:p w:rsidR="00E7780B" w:rsidRDefault="00E7780B" w:rsidP="00694576">
      <w:pPr>
        <w:rPr>
          <w:rFonts w:ascii="Constantia" w:eastAsiaTheme="minorHAnsi" w:hAnsi="Constantia"/>
          <w:lang w:val="sr-Latn-CS"/>
        </w:rPr>
      </w:pPr>
      <w:r w:rsidRPr="00897A69">
        <w:rPr>
          <w:rFonts w:ascii="Constantia" w:eastAsiaTheme="minorHAnsi" w:hAnsi="Constantia"/>
          <w:lang w:val="sr-Latn-CS"/>
        </w:rPr>
        <w:t xml:space="preserve">Na području opštine Ulcinj uzorkovanje je izvršeno na </w:t>
      </w:r>
      <w:r>
        <w:rPr>
          <w:rFonts w:ascii="Constantia" w:eastAsiaTheme="minorHAnsi" w:hAnsi="Constantia"/>
          <w:lang w:val="sr-Latn-CS"/>
        </w:rPr>
        <w:t xml:space="preserve">3 </w:t>
      </w:r>
      <w:r w:rsidRPr="00897A69">
        <w:rPr>
          <w:rFonts w:ascii="Constantia" w:eastAsiaTheme="minorHAnsi" w:hAnsi="Constantia"/>
          <w:lang w:val="sr-Latn-CS"/>
        </w:rPr>
        <w:t>lokacije. Rezultati ispitivanja zagađenosti zemlji</w:t>
      </w:r>
      <w:r>
        <w:rPr>
          <w:rFonts w:ascii="Constantia" w:eastAsiaTheme="minorHAnsi" w:hAnsi="Constantia"/>
          <w:lang w:val="sr-Latn-CS"/>
        </w:rPr>
        <w:t>šta na teritoriji Ulcinja u 2013. godini po</w:t>
      </w:r>
      <w:r w:rsidRPr="00897A69">
        <w:rPr>
          <w:rFonts w:ascii="Constantia" w:eastAsiaTheme="minorHAnsi" w:hAnsi="Constantia"/>
          <w:lang w:val="sr-Latn-CS"/>
        </w:rPr>
        <w:t>kazuju da na jedn</w:t>
      </w:r>
      <w:r>
        <w:rPr>
          <w:rFonts w:ascii="Constantia" w:eastAsiaTheme="minorHAnsi" w:hAnsi="Constantia"/>
          <w:lang w:val="sr-Latn-CS"/>
        </w:rPr>
        <w:t>oj</w:t>
      </w:r>
      <w:r w:rsidRPr="00897A69">
        <w:rPr>
          <w:rFonts w:ascii="Constantia" w:eastAsiaTheme="minorHAnsi" w:hAnsi="Constantia"/>
          <w:lang w:val="sr-Latn-CS"/>
        </w:rPr>
        <w:t xml:space="preserve"> lokacij</w:t>
      </w:r>
      <w:r>
        <w:rPr>
          <w:rFonts w:ascii="Constantia" w:eastAsiaTheme="minorHAnsi" w:hAnsi="Constantia"/>
          <w:lang w:val="sr-Latn-CS"/>
        </w:rPr>
        <w:t>i</w:t>
      </w:r>
      <w:r w:rsidRPr="00897A69">
        <w:rPr>
          <w:rFonts w:ascii="Constantia" w:eastAsiaTheme="minorHAnsi" w:hAnsi="Constantia"/>
          <w:lang w:val="sr-Latn-CS"/>
        </w:rPr>
        <w:t xml:space="preserve"> postoji odstupanje od norme propisane </w:t>
      </w:r>
      <w:r w:rsidRPr="006D654B">
        <w:rPr>
          <w:rFonts w:ascii="Constantia" w:eastAsiaTheme="minorHAnsi" w:hAnsi="Constantia"/>
          <w:lang w:val="sr-Latn-CS"/>
        </w:rPr>
        <w:t>P</w:t>
      </w:r>
      <w:r w:rsidRPr="00897A69">
        <w:rPr>
          <w:rFonts w:ascii="Constantia" w:eastAsiaTheme="minorHAnsi" w:hAnsi="Constantia"/>
          <w:lang w:val="sr-Latn-CS"/>
        </w:rPr>
        <w:t>ravilnikom u pogledu sadržaja neorgan</w:t>
      </w:r>
      <w:r>
        <w:rPr>
          <w:rFonts w:ascii="Constantia" w:eastAsiaTheme="minorHAnsi" w:hAnsi="Constantia"/>
          <w:lang w:val="sr-Latn-CS"/>
        </w:rPr>
        <w:t>skih polutanata nikla i hroma (koje su ipak smanjene u odnosu na prethodnu godinu),</w:t>
      </w:r>
      <w:r w:rsidRPr="00897A69">
        <w:rPr>
          <w:rFonts w:ascii="Constantia" w:eastAsiaTheme="minorHAnsi" w:hAnsi="Constantia"/>
          <w:lang w:val="sr-Latn-CS"/>
        </w:rPr>
        <w:t xml:space="preserve"> dok je sadržaj </w:t>
      </w:r>
      <w:r>
        <w:rPr>
          <w:rFonts w:ascii="Constantia" w:eastAsiaTheme="minorHAnsi" w:hAnsi="Constantia"/>
          <w:lang w:val="sr-Latn-CS"/>
        </w:rPr>
        <w:t>ostalih neorganskih</w:t>
      </w:r>
      <w:r w:rsidRPr="00897A69">
        <w:rPr>
          <w:rFonts w:ascii="Constantia" w:eastAsiaTheme="minorHAnsi" w:hAnsi="Constantia"/>
          <w:lang w:val="sr-Latn-CS"/>
        </w:rPr>
        <w:t xml:space="preserve"> kao i organskih polutanata ispod MDK normiranih Pravilnikom.</w:t>
      </w:r>
    </w:p>
    <w:p w:rsidR="00E7780B" w:rsidRDefault="00E7780B" w:rsidP="00840D27">
      <w:pPr>
        <w:spacing w:after="0"/>
        <w:ind w:firstLine="720"/>
        <w:rPr>
          <w:rFonts w:ascii="Constantia" w:eastAsiaTheme="minorHAnsi" w:hAnsi="Constantia"/>
          <w:lang w:val="sr-Latn-CS"/>
        </w:rPr>
      </w:pPr>
    </w:p>
    <w:p w:rsidR="00E7780B" w:rsidRPr="001D2A5A" w:rsidRDefault="00E7780B" w:rsidP="00840D27">
      <w:pPr>
        <w:spacing w:after="0" w:line="276" w:lineRule="auto"/>
        <w:jc w:val="center"/>
        <w:rPr>
          <w:rFonts w:ascii="Constantia" w:eastAsiaTheme="minorHAnsi" w:hAnsi="Constantia"/>
          <w:lang w:val="sr-Latn-CS"/>
        </w:rPr>
      </w:pPr>
      <w:r>
        <w:rPr>
          <w:rFonts w:ascii="Constantia" w:hAnsi="Constantia"/>
          <w:noProof/>
        </w:rPr>
        <w:drawing>
          <wp:inline distT="0" distB="0" distL="0" distR="0" wp14:anchorId="0308E5E4" wp14:editId="07681680">
            <wp:extent cx="4133850" cy="1552575"/>
            <wp:effectExtent l="19050" t="0" r="19050" b="0"/>
            <wp:docPr id="5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rsidR="00E7780B" w:rsidRDefault="00E7780B" w:rsidP="00E7780B">
      <w:pPr>
        <w:pStyle w:val="Grafikon"/>
        <w:spacing w:line="276" w:lineRule="auto"/>
        <w:rPr>
          <w:rFonts w:ascii="Constantia" w:eastAsiaTheme="minorHAnsi" w:hAnsi="Constantia"/>
          <w:sz w:val="22"/>
        </w:rPr>
      </w:pPr>
      <w:r>
        <w:rPr>
          <w:rFonts w:ascii="Constantia" w:eastAsiaTheme="minorHAnsi" w:hAnsi="Constantia"/>
          <w:sz w:val="22"/>
        </w:rPr>
        <w:t xml:space="preserve">Sadržaj nikla (Ni) u uzorku zemljišta uzorkovanom na Ulcinjskom polju, </w:t>
      </w:r>
      <w:r w:rsidRPr="00897A69">
        <w:rPr>
          <w:rFonts w:ascii="Constantia" w:eastAsiaTheme="minorHAnsi" w:hAnsi="Constantia"/>
          <w:sz w:val="22"/>
        </w:rPr>
        <w:t>2009</w:t>
      </w:r>
      <w:r>
        <w:rPr>
          <w:rFonts w:ascii="Constantia" w:eastAsiaTheme="minorHAnsi" w:hAnsi="Constantia"/>
          <w:sz w:val="22"/>
        </w:rPr>
        <w:t>-</w:t>
      </w:r>
      <w:r w:rsidRPr="00897A69">
        <w:rPr>
          <w:rFonts w:ascii="Constantia" w:eastAsiaTheme="minorHAnsi" w:hAnsi="Constantia"/>
          <w:sz w:val="22"/>
        </w:rPr>
        <w:t>201</w:t>
      </w:r>
      <w:r>
        <w:rPr>
          <w:rFonts w:ascii="Constantia" w:eastAsiaTheme="minorHAnsi" w:hAnsi="Constantia"/>
          <w:sz w:val="22"/>
        </w:rPr>
        <w:t>3</w:t>
      </w:r>
    </w:p>
    <w:p w:rsidR="00E7780B" w:rsidRDefault="00E7780B" w:rsidP="00840D27">
      <w:pPr>
        <w:pStyle w:val="Grafikon"/>
        <w:numPr>
          <w:ilvl w:val="0"/>
          <w:numId w:val="0"/>
        </w:numPr>
        <w:spacing w:after="0"/>
        <w:rPr>
          <w:rFonts w:ascii="Constantia" w:eastAsiaTheme="minorHAnsi" w:hAnsi="Constantia"/>
        </w:rPr>
      </w:pPr>
    </w:p>
    <w:p w:rsidR="00E7780B" w:rsidRPr="00256B5D" w:rsidRDefault="00E7780B" w:rsidP="00840D27">
      <w:pPr>
        <w:pStyle w:val="Grafikon"/>
        <w:numPr>
          <w:ilvl w:val="0"/>
          <w:numId w:val="0"/>
        </w:numPr>
        <w:spacing w:after="0" w:line="276" w:lineRule="auto"/>
        <w:rPr>
          <w:rFonts w:ascii="Constantia" w:eastAsiaTheme="minorHAnsi" w:hAnsi="Constantia"/>
        </w:rPr>
      </w:pPr>
      <w:r>
        <w:rPr>
          <w:rFonts w:ascii="Constantia" w:hAnsi="Constantia"/>
          <w:noProof/>
          <w:lang w:val="en-US"/>
        </w:rPr>
        <w:drawing>
          <wp:inline distT="0" distB="0" distL="0" distR="0" wp14:anchorId="3F33E898" wp14:editId="456EF39D">
            <wp:extent cx="4229100" cy="1552575"/>
            <wp:effectExtent l="19050" t="0" r="19050" b="0"/>
            <wp:docPr id="5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rsidR="00E7780B" w:rsidRDefault="00E7780B" w:rsidP="00E7780B">
      <w:pPr>
        <w:pStyle w:val="Grafikon"/>
        <w:spacing w:after="0" w:line="276" w:lineRule="auto"/>
        <w:rPr>
          <w:rFonts w:ascii="Constantia" w:eastAsiaTheme="minorHAnsi" w:hAnsi="Constantia"/>
          <w:sz w:val="22"/>
        </w:rPr>
      </w:pPr>
      <w:r>
        <w:rPr>
          <w:rFonts w:ascii="Constantia" w:eastAsiaTheme="minorHAnsi" w:hAnsi="Constantia"/>
          <w:sz w:val="22"/>
        </w:rPr>
        <w:t>Sadržaj hroma (Cr)</w:t>
      </w:r>
      <w:r w:rsidRPr="00897A69">
        <w:rPr>
          <w:rFonts w:ascii="Constantia" w:eastAsiaTheme="minorHAnsi" w:hAnsi="Constantia"/>
          <w:sz w:val="22"/>
        </w:rPr>
        <w:t xml:space="preserve"> u</w:t>
      </w:r>
      <w:r>
        <w:rPr>
          <w:rFonts w:ascii="Constantia" w:eastAsiaTheme="minorHAnsi" w:hAnsi="Constantia"/>
          <w:sz w:val="22"/>
        </w:rPr>
        <w:t xml:space="preserve"> uzorku zemljišta uzorkovanom na Ulcinjskom polju, </w:t>
      </w:r>
      <w:r w:rsidRPr="00E827A1">
        <w:rPr>
          <w:rFonts w:ascii="Constantia" w:eastAsiaTheme="minorHAnsi" w:hAnsi="Constantia"/>
          <w:sz w:val="22"/>
        </w:rPr>
        <w:t xml:space="preserve">2009-2013 </w:t>
      </w:r>
    </w:p>
    <w:p w:rsidR="00E7780B" w:rsidRPr="00C04D02" w:rsidRDefault="00E7780B" w:rsidP="00114F9C">
      <w:pPr>
        <w:pStyle w:val="Heading2"/>
        <w:spacing w:line="276" w:lineRule="auto"/>
        <w:ind w:left="720"/>
        <w:rPr>
          <w:rFonts w:eastAsiaTheme="minorHAnsi"/>
          <w:color w:val="FF0000"/>
        </w:rPr>
      </w:pPr>
      <w:bookmarkStart w:id="82" w:name="_Toc362938326"/>
      <w:bookmarkStart w:id="83" w:name="_Toc393897896"/>
      <w:r w:rsidRPr="00897A69">
        <w:rPr>
          <w:rFonts w:eastAsiaTheme="minorHAnsi"/>
        </w:rPr>
        <w:lastRenderedPageBreak/>
        <w:t>Rezultati</w:t>
      </w:r>
      <w:r>
        <w:rPr>
          <w:rFonts w:eastAsiaTheme="minorHAnsi"/>
        </w:rPr>
        <w:t xml:space="preserve"> </w:t>
      </w:r>
      <w:r w:rsidRPr="00694576">
        <w:rPr>
          <w:rFonts w:eastAsiaTheme="minorHAnsi"/>
        </w:rPr>
        <w:t>ispitivanja</w:t>
      </w:r>
      <w:r>
        <w:rPr>
          <w:rFonts w:eastAsiaTheme="minorHAnsi"/>
        </w:rPr>
        <w:t xml:space="preserve"> </w:t>
      </w:r>
      <w:r w:rsidRPr="00897A69">
        <w:rPr>
          <w:rFonts w:eastAsiaTheme="minorHAnsi"/>
        </w:rPr>
        <w:t>opasnih i štetnih</w:t>
      </w:r>
      <w:r>
        <w:rPr>
          <w:rFonts w:eastAsiaTheme="minorHAnsi"/>
        </w:rPr>
        <w:t xml:space="preserve"> </w:t>
      </w:r>
      <w:r w:rsidRPr="00897A69">
        <w:rPr>
          <w:rFonts w:eastAsiaTheme="minorHAnsi"/>
        </w:rPr>
        <w:t>materija u zemljištu</w:t>
      </w:r>
      <w:r>
        <w:rPr>
          <w:rFonts w:eastAsiaTheme="minorHAnsi"/>
        </w:rPr>
        <w:t xml:space="preserve"> </w:t>
      </w:r>
      <w:r w:rsidRPr="00897A69">
        <w:rPr>
          <w:rFonts w:eastAsiaTheme="minorHAnsi"/>
        </w:rPr>
        <w:t>na</w:t>
      </w:r>
      <w:r>
        <w:rPr>
          <w:rFonts w:eastAsiaTheme="minorHAnsi"/>
        </w:rPr>
        <w:t xml:space="preserve"> </w:t>
      </w:r>
      <w:r w:rsidRPr="00897A69">
        <w:rPr>
          <w:rFonts w:eastAsiaTheme="minorHAnsi"/>
        </w:rPr>
        <w:t>području</w:t>
      </w:r>
      <w:r>
        <w:rPr>
          <w:rFonts w:eastAsiaTheme="minorHAnsi"/>
        </w:rPr>
        <w:t xml:space="preserve"> </w:t>
      </w:r>
      <w:r w:rsidRPr="00897A69">
        <w:rPr>
          <w:rFonts w:eastAsiaTheme="minorHAnsi"/>
        </w:rPr>
        <w:t>opštine</w:t>
      </w:r>
      <w:r>
        <w:rPr>
          <w:rFonts w:eastAsiaTheme="minorHAnsi"/>
        </w:rPr>
        <w:t xml:space="preserve"> </w:t>
      </w:r>
      <w:r w:rsidRPr="007560CF">
        <w:rPr>
          <w:rFonts w:eastAsiaTheme="minorHAnsi"/>
          <w:color w:val="auto"/>
        </w:rPr>
        <w:t>Mojkovac</w:t>
      </w:r>
      <w:bookmarkEnd w:id="82"/>
      <w:bookmarkEnd w:id="83"/>
    </w:p>
    <w:p w:rsidR="00E7780B" w:rsidRPr="005E4028" w:rsidRDefault="00E7780B" w:rsidP="00694576">
      <w:pPr>
        <w:rPr>
          <w:rFonts w:ascii="Constantia" w:eastAsiaTheme="minorHAnsi" w:hAnsi="Constantia"/>
          <w:lang w:val="sr-Latn-CS"/>
        </w:rPr>
      </w:pPr>
      <w:r w:rsidRPr="00897A69">
        <w:rPr>
          <w:rFonts w:ascii="Constantia" w:eastAsiaTheme="minorHAnsi" w:hAnsi="Constantia"/>
          <w:lang w:val="sr-Latn-CS"/>
        </w:rPr>
        <w:t xml:space="preserve">Na području opštine Mojkovac uzorkovanje je izvršeno na </w:t>
      </w:r>
      <w:r>
        <w:rPr>
          <w:rFonts w:ascii="Constantia" w:eastAsiaTheme="minorHAnsi" w:hAnsi="Constantia"/>
          <w:lang w:val="sr-Latn-CS"/>
        </w:rPr>
        <w:t>2</w:t>
      </w:r>
      <w:r w:rsidRPr="00897A69">
        <w:rPr>
          <w:rFonts w:ascii="Constantia" w:eastAsiaTheme="minorHAnsi" w:hAnsi="Constantia"/>
          <w:lang w:val="sr-Latn-CS"/>
        </w:rPr>
        <w:t xml:space="preserve"> loka</w:t>
      </w:r>
      <w:r>
        <w:rPr>
          <w:rFonts w:ascii="Constantia" w:eastAsiaTheme="minorHAnsi" w:hAnsi="Constantia"/>
          <w:lang w:val="sr-Latn-CS"/>
        </w:rPr>
        <w:t>cije: kod površinskog kopa rudnika Brskovo i u neposrednoj blizini njegove flotacije (na udaljenosti od 300</w:t>
      </w:r>
      <w:r w:rsidR="006E775B">
        <w:rPr>
          <w:rFonts w:ascii="Constantia" w:eastAsiaTheme="minorHAnsi" w:hAnsi="Constantia"/>
          <w:lang w:val="sr-Latn-CS"/>
        </w:rPr>
        <w:t xml:space="preserve"> </w:t>
      </w:r>
      <w:r>
        <w:rPr>
          <w:rFonts w:ascii="Constantia" w:eastAsiaTheme="minorHAnsi" w:hAnsi="Constantia"/>
          <w:lang w:val="sr-Latn-CS"/>
        </w:rPr>
        <w:t xml:space="preserve">m). </w:t>
      </w:r>
      <w:r w:rsidRPr="00897A69">
        <w:rPr>
          <w:rFonts w:ascii="Constantia" w:eastAsiaTheme="minorHAnsi" w:hAnsi="Constantia"/>
          <w:lang w:val="sr-Latn-CS"/>
        </w:rPr>
        <w:t>Analizom su obuhvaćena ispitivanja opasnih i štetnih materija, toksičnih i kancerogenih</w:t>
      </w:r>
      <w:r>
        <w:rPr>
          <w:rFonts w:ascii="Constantia" w:eastAsiaTheme="minorHAnsi" w:hAnsi="Constantia"/>
          <w:lang w:val="sr-Latn-CS"/>
        </w:rPr>
        <w:t xml:space="preserve"> materija</w:t>
      </w:r>
      <w:r w:rsidRPr="00897A69">
        <w:rPr>
          <w:rFonts w:ascii="Constantia" w:eastAsiaTheme="minorHAnsi" w:hAnsi="Constantia"/>
          <w:lang w:val="sr-Latn-CS"/>
        </w:rPr>
        <w:t xml:space="preserve"> i dioksina i furana. </w:t>
      </w:r>
    </w:p>
    <w:p w:rsidR="00E7780B" w:rsidRDefault="00E7780B" w:rsidP="00694576">
      <w:pPr>
        <w:rPr>
          <w:rFonts w:ascii="Constantia" w:hAnsi="Constantia"/>
          <w:color w:val="000000"/>
          <w:lang w:val="sr-Latn-CS"/>
        </w:rPr>
      </w:pPr>
      <w:r w:rsidRPr="00897A69">
        <w:rPr>
          <w:rFonts w:ascii="Constantia" w:hAnsi="Constantia"/>
          <w:color w:val="000000"/>
          <w:lang w:val="sr-Latn-CS"/>
        </w:rPr>
        <w:t xml:space="preserve">Rezultati analize uzorka zemljišta uzorkovanog na lokaciji neposredno uz rudnik pokazuju povećan sadržaj olova, </w:t>
      </w:r>
      <w:r>
        <w:rPr>
          <w:rFonts w:ascii="Constantia" w:hAnsi="Constantia"/>
          <w:color w:val="000000"/>
          <w:lang w:val="sr-Latn-CS"/>
        </w:rPr>
        <w:t xml:space="preserve">kadmijuma, </w:t>
      </w:r>
      <w:r w:rsidRPr="00897A69">
        <w:rPr>
          <w:rFonts w:ascii="Constantia" w:hAnsi="Constantia"/>
          <w:color w:val="000000"/>
          <w:lang w:val="sr-Latn-CS"/>
        </w:rPr>
        <w:t>žive, arsena</w:t>
      </w:r>
      <w:r>
        <w:rPr>
          <w:rFonts w:ascii="Constantia" w:hAnsi="Constantia"/>
          <w:color w:val="000000"/>
          <w:lang w:val="sr-Latn-CS"/>
        </w:rPr>
        <w:t>, bakra</w:t>
      </w:r>
      <w:r w:rsidRPr="00897A69">
        <w:rPr>
          <w:rFonts w:ascii="Constantia" w:hAnsi="Constantia"/>
          <w:color w:val="000000"/>
          <w:lang w:val="sr-Latn-CS"/>
        </w:rPr>
        <w:t xml:space="preserve"> i cinka</w:t>
      </w:r>
      <w:r>
        <w:rPr>
          <w:rFonts w:ascii="Constantia" w:hAnsi="Constantia"/>
          <w:color w:val="000000"/>
          <w:lang w:val="sr-Latn-CS"/>
        </w:rPr>
        <w:t>,</w:t>
      </w:r>
      <w:r w:rsidRPr="00897A69">
        <w:rPr>
          <w:rFonts w:ascii="Constantia" w:hAnsi="Constantia"/>
          <w:color w:val="000000"/>
          <w:lang w:val="sr-Latn-CS"/>
        </w:rPr>
        <w:t xml:space="preserve"> dok je sadržaj ostalih analiziranih supstanci ispod maksimalno dozvoljenih koncentracija utvrđenih Pravilnikom.</w:t>
      </w:r>
    </w:p>
    <w:p w:rsidR="00E7780B" w:rsidRPr="005E4028" w:rsidRDefault="00E7780B" w:rsidP="00E7780B">
      <w:pPr>
        <w:spacing w:line="276" w:lineRule="auto"/>
        <w:ind w:firstLine="720"/>
        <w:rPr>
          <w:rFonts w:ascii="Constantia" w:hAnsi="Constantia"/>
          <w:color w:val="000000"/>
          <w:lang w:val="sr-Latn-CS"/>
        </w:rPr>
      </w:pPr>
    </w:p>
    <w:p w:rsidR="00E7780B" w:rsidRPr="005E4028" w:rsidRDefault="00E7780B" w:rsidP="00114F9C">
      <w:pPr>
        <w:pStyle w:val="Heading2"/>
        <w:ind w:left="630"/>
        <w:rPr>
          <w:rFonts w:eastAsiaTheme="minorHAnsi"/>
        </w:rPr>
      </w:pPr>
      <w:bookmarkStart w:id="84" w:name="_Toc362938327"/>
      <w:bookmarkStart w:id="85" w:name="_Toc393897897"/>
      <w:r>
        <w:rPr>
          <w:rFonts w:eastAsiaTheme="minorHAnsi"/>
        </w:rPr>
        <w:t>Dječi</w:t>
      </w:r>
      <w:r w:rsidRPr="00897A69">
        <w:rPr>
          <w:rFonts w:eastAsiaTheme="minorHAnsi"/>
        </w:rPr>
        <w:t>ja</w:t>
      </w:r>
      <w:r>
        <w:rPr>
          <w:rFonts w:eastAsiaTheme="minorHAnsi"/>
        </w:rPr>
        <w:t xml:space="preserve"> </w:t>
      </w:r>
      <w:r w:rsidRPr="00694576">
        <w:rPr>
          <w:rFonts w:eastAsiaTheme="minorHAnsi"/>
        </w:rPr>
        <w:t>igrališta</w:t>
      </w:r>
      <w:bookmarkEnd w:id="84"/>
      <w:bookmarkEnd w:id="85"/>
    </w:p>
    <w:p w:rsidR="00E7780B" w:rsidRPr="005E4028" w:rsidRDefault="00E7780B" w:rsidP="00694576">
      <w:pPr>
        <w:rPr>
          <w:rFonts w:ascii="Constantia" w:hAnsi="Constantia"/>
          <w:lang w:val="sr-Latn-CS"/>
        </w:rPr>
      </w:pPr>
      <w:r>
        <w:rPr>
          <w:rFonts w:ascii="Constantia" w:hAnsi="Constantia"/>
          <w:lang w:val="sr-Latn-CS"/>
        </w:rPr>
        <w:t xml:space="preserve">U </w:t>
      </w:r>
      <w:r w:rsidRPr="00897A69">
        <w:rPr>
          <w:rFonts w:ascii="Constantia" w:hAnsi="Constantia"/>
          <w:lang w:val="sr-Latn-CS"/>
        </w:rPr>
        <w:t>većin</w:t>
      </w:r>
      <w:r>
        <w:rPr>
          <w:rFonts w:ascii="Constantia" w:hAnsi="Constantia"/>
          <w:lang w:val="sr-Latn-CS"/>
        </w:rPr>
        <w:t>i slučajeva, djeca su</w:t>
      </w:r>
      <w:r w:rsidRPr="00897A69">
        <w:rPr>
          <w:rFonts w:ascii="Constantia" w:hAnsi="Constantia"/>
          <w:lang w:val="sr-Latn-CS"/>
        </w:rPr>
        <w:t xml:space="preserve"> više </w:t>
      </w:r>
      <w:r w:rsidR="006E775B">
        <w:rPr>
          <w:rFonts w:ascii="Constantia" w:hAnsi="Constantia"/>
          <w:lang w:val="sr-Latn-CS"/>
        </w:rPr>
        <w:t xml:space="preserve">od odraslih ljudi </w:t>
      </w:r>
      <w:r w:rsidRPr="00897A69">
        <w:rPr>
          <w:rFonts w:ascii="Constantia" w:hAnsi="Constantia"/>
          <w:lang w:val="sr-Latn-CS"/>
        </w:rPr>
        <w:t xml:space="preserve">izložena uticaju </w:t>
      </w:r>
      <w:r w:rsidR="006E775B">
        <w:rPr>
          <w:rFonts w:ascii="Constantia" w:hAnsi="Constantia"/>
          <w:lang w:val="sr-Latn-CS"/>
        </w:rPr>
        <w:t xml:space="preserve">zagađujućih supstanci </w:t>
      </w:r>
      <w:r w:rsidRPr="00897A69">
        <w:rPr>
          <w:rFonts w:ascii="Constantia" w:hAnsi="Constantia"/>
          <w:lang w:val="sr-Latn-CS"/>
        </w:rPr>
        <w:t>iz zemljišta</w:t>
      </w:r>
      <w:r>
        <w:rPr>
          <w:rFonts w:ascii="Constantia" w:hAnsi="Constantia"/>
          <w:lang w:val="sr-Latn-CS"/>
        </w:rPr>
        <w:t>. Jedna studija j</w:t>
      </w:r>
      <w:r w:rsidRPr="00897A69">
        <w:rPr>
          <w:rFonts w:ascii="Constantia" w:hAnsi="Constantia"/>
          <w:lang w:val="sr-Latn-CS"/>
        </w:rPr>
        <w:t>e precizira</w:t>
      </w:r>
      <w:r>
        <w:rPr>
          <w:rFonts w:ascii="Constantia" w:hAnsi="Constantia"/>
          <w:lang w:val="sr-Latn-CS"/>
        </w:rPr>
        <w:t>la</w:t>
      </w:r>
      <w:r w:rsidRPr="00897A69">
        <w:rPr>
          <w:rFonts w:ascii="Constantia" w:hAnsi="Constantia"/>
          <w:lang w:val="sr-Latn-CS"/>
        </w:rPr>
        <w:t xml:space="preserve"> da djeca težine 10 kg</w:t>
      </w:r>
      <w:r>
        <w:rPr>
          <w:rFonts w:ascii="Constantia" w:hAnsi="Constantia"/>
          <w:lang w:val="sr-Latn-CS"/>
        </w:rPr>
        <w:t>,</w:t>
      </w:r>
      <w:r w:rsidRPr="00897A69">
        <w:rPr>
          <w:rFonts w:ascii="Constantia" w:hAnsi="Constantia"/>
          <w:lang w:val="sr-Latn-CS"/>
        </w:rPr>
        <w:t xml:space="preserve"> koja borave u vrtiću 8 sati dnevno/250 dana godišnje</w:t>
      </w:r>
      <w:r>
        <w:rPr>
          <w:rFonts w:ascii="Constantia" w:hAnsi="Constantia"/>
          <w:lang w:val="sr-Latn-CS"/>
        </w:rPr>
        <w:t>,</w:t>
      </w:r>
      <w:r w:rsidRPr="00897A69">
        <w:rPr>
          <w:rFonts w:ascii="Constantia" w:hAnsi="Constantia"/>
          <w:lang w:val="sr-Latn-CS"/>
        </w:rPr>
        <w:t xml:space="preserve"> u prosjeku dnevno un</w:t>
      </w:r>
      <w:r>
        <w:rPr>
          <w:rFonts w:ascii="Constantia" w:hAnsi="Constantia"/>
          <w:lang w:val="sr-Latn-CS"/>
        </w:rPr>
        <w:t xml:space="preserve">esu u digestivni sistem oko 0,2 </w:t>
      </w:r>
      <w:r w:rsidRPr="00897A69">
        <w:rPr>
          <w:rFonts w:ascii="Constantia" w:hAnsi="Constantia"/>
          <w:lang w:val="sr-Latn-CS"/>
        </w:rPr>
        <w:t>g</w:t>
      </w:r>
      <w:r>
        <w:rPr>
          <w:rFonts w:ascii="Constantia" w:hAnsi="Constantia"/>
          <w:lang w:val="sr-Latn-CS"/>
        </w:rPr>
        <w:t>rama</w:t>
      </w:r>
      <w:r w:rsidRPr="00897A69">
        <w:rPr>
          <w:rFonts w:ascii="Constantia" w:hAnsi="Constantia"/>
          <w:lang w:val="sr-Latn-CS"/>
        </w:rPr>
        <w:t xml:space="preserve"> zemljišta dok je za maksimal</w:t>
      </w:r>
      <w:r>
        <w:rPr>
          <w:rFonts w:ascii="Constantia" w:hAnsi="Constantia"/>
          <w:lang w:val="sr-Latn-CS"/>
        </w:rPr>
        <w:t>a</w:t>
      </w:r>
      <w:r w:rsidRPr="00897A69">
        <w:rPr>
          <w:rFonts w:ascii="Constantia" w:hAnsi="Constantia"/>
          <w:lang w:val="sr-Latn-CS"/>
        </w:rPr>
        <w:t>n iznos data vrijednost od 3 g</w:t>
      </w:r>
      <w:r>
        <w:rPr>
          <w:rFonts w:ascii="Constantia" w:hAnsi="Constantia"/>
          <w:lang w:val="sr-Latn-CS"/>
        </w:rPr>
        <w:t>rama</w:t>
      </w:r>
      <w:r w:rsidRPr="00897A69">
        <w:rPr>
          <w:rFonts w:ascii="Constantia" w:hAnsi="Constantia"/>
          <w:lang w:val="sr-Latn-CS"/>
        </w:rPr>
        <w:t xml:space="preserve"> zemlje na dan (</w:t>
      </w:r>
      <w:r w:rsidRPr="006E775B">
        <w:rPr>
          <w:rFonts w:ascii="Constantia" w:hAnsi="Constantia"/>
          <w:lang w:val="sr-Latn-CS"/>
        </w:rPr>
        <w:t>Danish Standards Association, 1995)</w:t>
      </w:r>
      <w:r>
        <w:rPr>
          <w:rFonts w:ascii="Constantia" w:hAnsi="Constantia"/>
          <w:lang w:val="sr-Latn-CS"/>
        </w:rPr>
        <w:t xml:space="preserve">. S druge strane, </w:t>
      </w:r>
      <w:r w:rsidRPr="00897A69">
        <w:rPr>
          <w:rFonts w:ascii="Constantia" w:hAnsi="Constantia"/>
          <w:lang w:val="sr-Latn-CS"/>
        </w:rPr>
        <w:t>za odrasle ljude prosječan unos zemljiš</w:t>
      </w:r>
      <w:r>
        <w:rPr>
          <w:rFonts w:ascii="Constantia" w:hAnsi="Constantia"/>
          <w:lang w:val="sr-Latn-CS"/>
        </w:rPr>
        <w:t>ta u organizam procijenjen je na 0,</w:t>
      </w:r>
      <w:r w:rsidRPr="00897A69">
        <w:rPr>
          <w:rFonts w:ascii="Constantia" w:hAnsi="Constantia"/>
          <w:lang w:val="sr-Latn-CS"/>
        </w:rPr>
        <w:t>1</w:t>
      </w:r>
      <w:r w:rsidR="006E775B">
        <w:rPr>
          <w:rFonts w:ascii="Constantia" w:hAnsi="Constantia"/>
          <w:lang w:val="sr-Latn-CS"/>
        </w:rPr>
        <w:t xml:space="preserve"> </w:t>
      </w:r>
      <w:r w:rsidRPr="00897A69">
        <w:rPr>
          <w:rFonts w:ascii="Constantia" w:hAnsi="Constantia"/>
          <w:lang w:val="sr-Latn-CS"/>
        </w:rPr>
        <w:t>g</w:t>
      </w:r>
      <w:r>
        <w:rPr>
          <w:rFonts w:ascii="Constantia" w:hAnsi="Constantia"/>
          <w:lang w:val="sr-Latn-CS"/>
        </w:rPr>
        <w:t>ram</w:t>
      </w:r>
      <w:r w:rsidRPr="00897A69">
        <w:rPr>
          <w:rFonts w:ascii="Constantia" w:hAnsi="Constantia"/>
          <w:lang w:val="sr-Latn-CS"/>
        </w:rPr>
        <w:t>/dan (</w:t>
      </w:r>
      <w:r w:rsidRPr="006E775B">
        <w:rPr>
          <w:rFonts w:ascii="Constantia" w:hAnsi="Constantia"/>
          <w:lang w:val="sr-Latn-CS"/>
        </w:rPr>
        <w:t>N &amp; R Consult, 1990).</w:t>
      </w:r>
      <w:r>
        <w:rPr>
          <w:rFonts w:ascii="Constantia" w:hAnsi="Constantia"/>
          <w:lang w:val="sr-Latn-CS"/>
        </w:rPr>
        <w:t xml:space="preserve"> Isto tako</w:t>
      </w:r>
      <w:r w:rsidRPr="00897A69">
        <w:rPr>
          <w:rFonts w:ascii="Constantia" w:hAnsi="Constantia"/>
          <w:lang w:val="sr-Latn-CS"/>
        </w:rPr>
        <w:t>, u odnosu na odrasle</w:t>
      </w:r>
      <w:r>
        <w:rPr>
          <w:rFonts w:ascii="Constantia" w:hAnsi="Constantia"/>
          <w:lang w:val="sr-Latn-CS"/>
        </w:rPr>
        <w:t>, djeca su</w:t>
      </w:r>
      <w:r w:rsidRPr="00897A69">
        <w:rPr>
          <w:rFonts w:ascii="Constantia" w:hAnsi="Constantia"/>
          <w:lang w:val="sr-Latn-CS"/>
        </w:rPr>
        <w:t xml:space="preserve"> mnogo os</w:t>
      </w:r>
      <w:r w:rsidR="006E775B">
        <w:rPr>
          <w:rFonts w:ascii="Constantia" w:hAnsi="Constantia"/>
          <w:lang w:val="sr-Latn-CS"/>
        </w:rPr>
        <w:t>jetljivija na negativne uticaje polut</w:t>
      </w:r>
      <w:r w:rsidRPr="00897A69">
        <w:rPr>
          <w:rFonts w:ascii="Constantia" w:hAnsi="Constantia"/>
          <w:lang w:val="sr-Latn-CS"/>
        </w:rPr>
        <w:t>anata u organizmu. Prije svega</w:t>
      </w:r>
      <w:r>
        <w:rPr>
          <w:rFonts w:ascii="Constantia" w:hAnsi="Constantia"/>
          <w:lang w:val="sr-Latn-CS"/>
        </w:rPr>
        <w:t>,</w:t>
      </w:r>
      <w:r w:rsidRPr="00897A69">
        <w:rPr>
          <w:rFonts w:ascii="Constantia" w:hAnsi="Constantia"/>
          <w:lang w:val="sr-Latn-CS"/>
        </w:rPr>
        <w:t xml:space="preserve"> djeca imaju malu tjelesnu masu</w:t>
      </w:r>
      <w:r>
        <w:rPr>
          <w:rFonts w:ascii="Constantia" w:hAnsi="Constantia"/>
          <w:lang w:val="sr-Latn-CS"/>
        </w:rPr>
        <w:t>,</w:t>
      </w:r>
      <w:r w:rsidRPr="00897A69">
        <w:rPr>
          <w:rFonts w:ascii="Constantia" w:hAnsi="Constantia"/>
          <w:lang w:val="sr-Latn-CS"/>
        </w:rPr>
        <w:t xml:space="preserve"> što uvećava njihovu relativnu izloženost </w:t>
      </w:r>
      <w:r w:rsidR="006E775B">
        <w:rPr>
          <w:rFonts w:ascii="Constantia" w:hAnsi="Constantia"/>
          <w:lang w:val="sr-Latn-CS"/>
        </w:rPr>
        <w:t>zagađenoj supstanci</w:t>
      </w:r>
      <w:r w:rsidRPr="00897A69">
        <w:rPr>
          <w:rFonts w:ascii="Constantia" w:hAnsi="Constantia"/>
          <w:lang w:val="sr-Latn-CS"/>
        </w:rPr>
        <w:t xml:space="preserve"> (koja s</w:t>
      </w:r>
      <w:r>
        <w:rPr>
          <w:rFonts w:ascii="Constantia" w:hAnsi="Constantia"/>
          <w:lang w:val="sr-Latn-CS"/>
        </w:rPr>
        <w:t>e izražava po kg tjelesne mase),</w:t>
      </w:r>
      <w:r w:rsidRPr="00897A69">
        <w:rPr>
          <w:rFonts w:ascii="Constantia" w:hAnsi="Constantia"/>
          <w:lang w:val="sr-Latn-CS"/>
        </w:rPr>
        <w:t xml:space="preserve"> imaju mnogo veću gastrointestinalnu apsorbciju teških metala </w:t>
      </w:r>
      <w:r w:rsidRPr="006E775B">
        <w:rPr>
          <w:rFonts w:ascii="Constantia" w:hAnsi="Constantia"/>
          <w:lang w:val="sr-Latn-CS"/>
        </w:rPr>
        <w:t>(Schutz et al., 1997)</w:t>
      </w:r>
      <w:r w:rsidRPr="00897A69">
        <w:rPr>
          <w:rFonts w:ascii="Constantia" w:hAnsi="Constantia"/>
          <w:lang w:val="sr-Latn-CS"/>
        </w:rPr>
        <w:t xml:space="preserve"> i na kraju, ali podjednako značajno, njihov nervni sistem nije u potpunos</w:t>
      </w:r>
      <w:r>
        <w:rPr>
          <w:rFonts w:ascii="Constantia" w:hAnsi="Constantia"/>
          <w:lang w:val="sr-Latn-CS"/>
        </w:rPr>
        <w:t>ti razvijen, pa su mnogo osjetlji</w:t>
      </w:r>
      <w:r w:rsidRPr="00897A69">
        <w:rPr>
          <w:rFonts w:ascii="Constantia" w:hAnsi="Constantia"/>
          <w:lang w:val="sr-Latn-CS"/>
        </w:rPr>
        <w:t>viji na neurotoksične</w:t>
      </w:r>
      <w:r>
        <w:rPr>
          <w:rFonts w:ascii="Constantia" w:hAnsi="Constantia"/>
          <w:lang w:val="sr-Latn-CS"/>
        </w:rPr>
        <w:t xml:space="preserve"> metale kao što su olovo i živa </w:t>
      </w:r>
      <w:r w:rsidRPr="006E775B">
        <w:rPr>
          <w:rFonts w:ascii="Constantia" w:hAnsi="Constantia"/>
          <w:lang w:val="sr-Latn-CS"/>
        </w:rPr>
        <w:t>(Klaassen, 1996).</w:t>
      </w:r>
      <w:r w:rsidRPr="00897A69">
        <w:rPr>
          <w:rFonts w:ascii="Constantia" w:hAnsi="Constantia"/>
          <w:lang w:val="sr-Latn-CS"/>
        </w:rPr>
        <w:t xml:space="preserve"> </w:t>
      </w:r>
      <w:r>
        <w:rPr>
          <w:rFonts w:ascii="Constantia" w:hAnsi="Constantia"/>
          <w:lang w:val="sr-Latn-CS"/>
        </w:rPr>
        <w:t>Na primjer, p</w:t>
      </w:r>
      <w:r w:rsidRPr="00897A69">
        <w:rPr>
          <w:rFonts w:ascii="Constantia" w:hAnsi="Constantia"/>
          <w:lang w:val="sr-Latn-CS"/>
        </w:rPr>
        <w:t xml:space="preserve">oznato je da predškolska djeca mogu imati značajne neurološke smetnje ako koncentracija olova u njihovoj krvi </w:t>
      </w:r>
      <w:r>
        <w:rPr>
          <w:rFonts w:ascii="Constantia" w:hAnsi="Constantia"/>
          <w:lang w:val="sr-Latn-CS"/>
        </w:rPr>
        <w:t xml:space="preserve">prevazilazi određene </w:t>
      </w:r>
      <w:r w:rsidRPr="00897A69">
        <w:rPr>
          <w:rFonts w:ascii="Constantia" w:hAnsi="Constantia"/>
          <w:lang w:val="sr-Latn-CS"/>
        </w:rPr>
        <w:t>v</w:t>
      </w:r>
      <w:r>
        <w:rPr>
          <w:rFonts w:ascii="Constantia" w:hAnsi="Constantia"/>
          <w:lang w:val="sr-Latn-CS"/>
        </w:rPr>
        <w:t>rijednosti,</w:t>
      </w:r>
      <w:r w:rsidRPr="00897A69">
        <w:rPr>
          <w:rFonts w:ascii="Constantia" w:hAnsi="Constantia"/>
          <w:lang w:val="sr-Latn-CS"/>
        </w:rPr>
        <w:t xml:space="preserve"> pa se zbog toga u mnogim zemljama danas izrađuju posebne studije u kojima se procjenjuju maksimalno dozvoljene konce</w:t>
      </w:r>
      <w:r>
        <w:rPr>
          <w:rFonts w:ascii="Constantia" w:hAnsi="Constantia"/>
          <w:lang w:val="sr-Latn-CS"/>
        </w:rPr>
        <w:t>n</w:t>
      </w:r>
      <w:r w:rsidRPr="00897A69">
        <w:rPr>
          <w:rFonts w:ascii="Constantia" w:hAnsi="Constantia"/>
          <w:lang w:val="sr-Latn-CS"/>
        </w:rPr>
        <w:t>tracije ovog elementa u različitim medijumima (voda, zemljište, vazduh itd.)</w:t>
      </w:r>
      <w:r w:rsidR="006E775B">
        <w:rPr>
          <w:rFonts w:ascii="Constantia" w:hAnsi="Constantia"/>
          <w:lang w:val="sr-Latn-CS"/>
        </w:rPr>
        <w:t>, kao</w:t>
      </w:r>
      <w:r w:rsidRPr="00897A69">
        <w:rPr>
          <w:rFonts w:ascii="Constantia" w:hAnsi="Constantia"/>
          <w:lang w:val="sr-Latn-CS"/>
        </w:rPr>
        <w:t xml:space="preserve"> i njihov uticaj na sadržaj olova u krvi (</w:t>
      </w:r>
      <w:r w:rsidRPr="006E775B">
        <w:rPr>
          <w:rFonts w:ascii="Constantia" w:hAnsi="Constantia"/>
          <w:lang w:val="sr-Latn-CS"/>
        </w:rPr>
        <w:t>Defra and Environment Agency, 2002</w:t>
      </w:r>
      <w:r w:rsidRPr="00897A69">
        <w:rPr>
          <w:rFonts w:ascii="Constantia" w:hAnsi="Constantia"/>
          <w:lang w:val="sr-Latn-CS"/>
        </w:rPr>
        <w:t>).</w:t>
      </w:r>
    </w:p>
    <w:p w:rsidR="00E7780B" w:rsidRPr="005E4028" w:rsidRDefault="00E7780B" w:rsidP="00694576">
      <w:pPr>
        <w:pStyle w:val="Grafikon"/>
        <w:numPr>
          <w:ilvl w:val="0"/>
          <w:numId w:val="0"/>
        </w:numPr>
        <w:jc w:val="both"/>
        <w:rPr>
          <w:rFonts w:ascii="Constantia" w:eastAsia="Calibri" w:hAnsi="Constantia"/>
          <w:i w:val="0"/>
          <w:sz w:val="22"/>
          <w:szCs w:val="22"/>
        </w:rPr>
      </w:pPr>
      <w:r w:rsidRPr="00897A69">
        <w:rPr>
          <w:rFonts w:ascii="Constantia" w:eastAsia="Calibri" w:hAnsi="Constantia"/>
          <w:i w:val="0"/>
          <w:sz w:val="22"/>
          <w:szCs w:val="22"/>
        </w:rPr>
        <w:t>Monito</w:t>
      </w:r>
      <w:r>
        <w:rPr>
          <w:rFonts w:ascii="Constantia" w:eastAsia="Calibri" w:hAnsi="Constantia"/>
          <w:i w:val="0"/>
          <w:sz w:val="22"/>
          <w:szCs w:val="22"/>
        </w:rPr>
        <w:t>ring kavaliteta zemljišta dječi</w:t>
      </w:r>
      <w:r w:rsidRPr="00897A69">
        <w:rPr>
          <w:rFonts w:ascii="Constantia" w:eastAsia="Calibri" w:hAnsi="Constantia"/>
          <w:i w:val="0"/>
          <w:sz w:val="22"/>
          <w:szCs w:val="22"/>
        </w:rPr>
        <w:t xml:space="preserve">jih igrališta </w:t>
      </w:r>
      <w:r>
        <w:rPr>
          <w:rFonts w:ascii="Constantia" w:eastAsia="Calibri" w:hAnsi="Constantia"/>
          <w:i w:val="0"/>
          <w:sz w:val="22"/>
          <w:szCs w:val="22"/>
        </w:rPr>
        <w:t xml:space="preserve">u 2013. godini </w:t>
      </w:r>
      <w:r w:rsidRPr="00897A69">
        <w:rPr>
          <w:rFonts w:ascii="Constantia" w:eastAsia="Calibri" w:hAnsi="Constantia"/>
          <w:i w:val="0"/>
          <w:sz w:val="22"/>
          <w:szCs w:val="22"/>
        </w:rPr>
        <w:t xml:space="preserve">rađen je u </w:t>
      </w:r>
      <w:r>
        <w:rPr>
          <w:rFonts w:ascii="Constantia" w:eastAsia="Calibri" w:hAnsi="Constantia"/>
          <w:i w:val="0"/>
          <w:sz w:val="22"/>
          <w:szCs w:val="22"/>
        </w:rPr>
        <w:t xml:space="preserve">4 </w:t>
      </w:r>
      <w:r w:rsidRPr="00897A69">
        <w:rPr>
          <w:rFonts w:ascii="Constantia" w:eastAsia="Calibri" w:hAnsi="Constantia"/>
          <w:i w:val="0"/>
          <w:sz w:val="22"/>
          <w:szCs w:val="22"/>
        </w:rPr>
        <w:t>opštine. Analiz</w:t>
      </w:r>
      <w:r>
        <w:rPr>
          <w:rFonts w:ascii="Constantia" w:eastAsia="Calibri" w:hAnsi="Constantia"/>
          <w:i w:val="0"/>
          <w:sz w:val="22"/>
          <w:szCs w:val="22"/>
        </w:rPr>
        <w:t>irana su zemljišta uzorkovana na</w:t>
      </w:r>
      <w:r w:rsidR="00C66898">
        <w:rPr>
          <w:rFonts w:ascii="Constantia" w:eastAsia="Calibri" w:hAnsi="Constantia"/>
          <w:i w:val="0"/>
          <w:sz w:val="22"/>
          <w:szCs w:val="22"/>
        </w:rPr>
        <w:t xml:space="preserve"> </w:t>
      </w:r>
      <w:r>
        <w:rPr>
          <w:rFonts w:ascii="Constantia" w:eastAsia="Calibri" w:hAnsi="Constantia"/>
          <w:i w:val="0"/>
          <w:sz w:val="22"/>
          <w:szCs w:val="22"/>
        </w:rPr>
        <w:t xml:space="preserve">sledeća 4 </w:t>
      </w:r>
      <w:r w:rsidRPr="00897A69">
        <w:rPr>
          <w:rFonts w:ascii="Constantia" w:eastAsia="Calibri" w:hAnsi="Constantia"/>
          <w:i w:val="0"/>
          <w:sz w:val="22"/>
          <w:szCs w:val="22"/>
        </w:rPr>
        <w:t xml:space="preserve">dječija igrališta: </w:t>
      </w:r>
    </w:p>
    <w:p w:rsidR="00E7780B" w:rsidRPr="005E4028" w:rsidRDefault="00E7780B" w:rsidP="00A50466">
      <w:pPr>
        <w:pStyle w:val="Grafikon"/>
        <w:numPr>
          <w:ilvl w:val="0"/>
          <w:numId w:val="14"/>
        </w:numPr>
        <w:spacing w:after="0"/>
        <w:ind w:left="0" w:firstLine="0"/>
        <w:jc w:val="both"/>
        <w:rPr>
          <w:rFonts w:ascii="Constantia" w:eastAsia="Calibri" w:hAnsi="Constantia"/>
          <w:i w:val="0"/>
          <w:sz w:val="22"/>
          <w:szCs w:val="22"/>
        </w:rPr>
      </w:pPr>
      <w:r>
        <w:rPr>
          <w:rFonts w:ascii="Constantia" w:eastAsia="Calibri" w:hAnsi="Constantia"/>
          <w:i w:val="0"/>
          <w:sz w:val="22"/>
          <w:szCs w:val="22"/>
        </w:rPr>
        <w:t>Dječi</w:t>
      </w:r>
      <w:r w:rsidRPr="00897A69">
        <w:rPr>
          <w:rFonts w:ascii="Constantia" w:eastAsia="Calibri" w:hAnsi="Constantia"/>
          <w:i w:val="0"/>
          <w:sz w:val="22"/>
          <w:szCs w:val="22"/>
        </w:rPr>
        <w:t>je igralište u Tivtu</w:t>
      </w:r>
      <w:r>
        <w:rPr>
          <w:rFonts w:ascii="Constantia" w:eastAsia="Calibri" w:hAnsi="Constantia"/>
          <w:i w:val="0"/>
          <w:sz w:val="22"/>
          <w:szCs w:val="22"/>
        </w:rPr>
        <w:t>;</w:t>
      </w:r>
    </w:p>
    <w:p w:rsidR="00E7780B" w:rsidRPr="005E4028" w:rsidRDefault="00E7780B" w:rsidP="00A50466">
      <w:pPr>
        <w:pStyle w:val="Grafikon"/>
        <w:numPr>
          <w:ilvl w:val="0"/>
          <w:numId w:val="14"/>
        </w:numPr>
        <w:spacing w:after="0"/>
        <w:ind w:left="0" w:firstLine="0"/>
        <w:jc w:val="both"/>
        <w:rPr>
          <w:rFonts w:ascii="Constantia" w:eastAsia="Calibri" w:hAnsi="Constantia"/>
          <w:i w:val="0"/>
          <w:sz w:val="22"/>
          <w:szCs w:val="22"/>
        </w:rPr>
      </w:pPr>
      <w:r>
        <w:rPr>
          <w:rFonts w:ascii="Constantia" w:eastAsia="Calibri" w:hAnsi="Constantia"/>
          <w:i w:val="0"/>
          <w:sz w:val="22"/>
          <w:szCs w:val="22"/>
        </w:rPr>
        <w:t>Dječi</w:t>
      </w:r>
      <w:r w:rsidRPr="00897A69">
        <w:rPr>
          <w:rFonts w:ascii="Constantia" w:eastAsia="Calibri" w:hAnsi="Constantia"/>
          <w:i w:val="0"/>
          <w:sz w:val="22"/>
          <w:szCs w:val="22"/>
        </w:rPr>
        <w:t>je igralište (Njegošev park) u Podgorici</w:t>
      </w:r>
      <w:r>
        <w:rPr>
          <w:rFonts w:ascii="Constantia" w:eastAsia="Calibri" w:hAnsi="Constantia"/>
          <w:i w:val="0"/>
          <w:sz w:val="22"/>
          <w:szCs w:val="22"/>
        </w:rPr>
        <w:t>;</w:t>
      </w:r>
    </w:p>
    <w:p w:rsidR="00E7780B" w:rsidRPr="005E4028" w:rsidRDefault="00E7780B" w:rsidP="00A50466">
      <w:pPr>
        <w:pStyle w:val="Grafikon"/>
        <w:numPr>
          <w:ilvl w:val="0"/>
          <w:numId w:val="14"/>
        </w:numPr>
        <w:spacing w:after="0"/>
        <w:ind w:left="0" w:firstLine="0"/>
        <w:jc w:val="both"/>
        <w:rPr>
          <w:rFonts w:ascii="Constantia" w:eastAsia="Calibri" w:hAnsi="Constantia"/>
          <w:i w:val="0"/>
          <w:sz w:val="22"/>
          <w:szCs w:val="22"/>
        </w:rPr>
      </w:pPr>
      <w:r>
        <w:rPr>
          <w:rFonts w:ascii="Constantia" w:eastAsia="Calibri" w:hAnsi="Constantia"/>
          <w:i w:val="0"/>
          <w:sz w:val="22"/>
          <w:szCs w:val="22"/>
        </w:rPr>
        <w:t>Dječi</w:t>
      </w:r>
      <w:r w:rsidRPr="00897A69">
        <w:rPr>
          <w:rFonts w:ascii="Constantia" w:eastAsia="Calibri" w:hAnsi="Constantia"/>
          <w:i w:val="0"/>
          <w:sz w:val="22"/>
          <w:szCs w:val="22"/>
        </w:rPr>
        <w:t>je igralište u Nikšiću</w:t>
      </w:r>
      <w:r>
        <w:rPr>
          <w:rFonts w:ascii="Constantia" w:eastAsia="Calibri" w:hAnsi="Constantia"/>
          <w:i w:val="0"/>
          <w:sz w:val="22"/>
          <w:szCs w:val="22"/>
        </w:rPr>
        <w:t>;</w:t>
      </w:r>
    </w:p>
    <w:p w:rsidR="00E7780B" w:rsidRDefault="00E7780B" w:rsidP="00A50466">
      <w:pPr>
        <w:pStyle w:val="Grafikon"/>
        <w:numPr>
          <w:ilvl w:val="0"/>
          <w:numId w:val="14"/>
        </w:numPr>
        <w:spacing w:after="0"/>
        <w:ind w:left="0" w:firstLine="0"/>
        <w:jc w:val="both"/>
        <w:rPr>
          <w:rFonts w:ascii="Constantia" w:eastAsia="Calibri" w:hAnsi="Constantia"/>
          <w:i w:val="0"/>
          <w:sz w:val="22"/>
          <w:szCs w:val="22"/>
        </w:rPr>
      </w:pPr>
      <w:r>
        <w:rPr>
          <w:rFonts w:ascii="Constantia" w:eastAsia="Calibri" w:hAnsi="Constantia"/>
          <w:i w:val="0"/>
          <w:sz w:val="22"/>
          <w:szCs w:val="22"/>
        </w:rPr>
        <w:t>Dječi</w:t>
      </w:r>
      <w:r w:rsidRPr="00897A69">
        <w:rPr>
          <w:rFonts w:ascii="Constantia" w:eastAsia="Calibri" w:hAnsi="Constantia"/>
          <w:i w:val="0"/>
          <w:sz w:val="22"/>
          <w:szCs w:val="22"/>
        </w:rPr>
        <w:t>je igralište u Pljevljima</w:t>
      </w:r>
      <w:r>
        <w:rPr>
          <w:rFonts w:ascii="Constantia" w:eastAsia="Calibri" w:hAnsi="Constantia"/>
          <w:i w:val="0"/>
          <w:sz w:val="22"/>
          <w:szCs w:val="22"/>
        </w:rPr>
        <w:t>.</w:t>
      </w:r>
    </w:p>
    <w:p w:rsidR="00E7780B" w:rsidRDefault="00E7780B" w:rsidP="00A278C7">
      <w:pPr>
        <w:pStyle w:val="Grafikon"/>
        <w:numPr>
          <w:ilvl w:val="0"/>
          <w:numId w:val="0"/>
        </w:numPr>
        <w:spacing w:after="0" w:line="276" w:lineRule="auto"/>
        <w:jc w:val="both"/>
        <w:rPr>
          <w:rFonts w:ascii="Constantia" w:eastAsia="Calibri" w:hAnsi="Constantia"/>
          <w:i w:val="0"/>
          <w:szCs w:val="22"/>
        </w:rPr>
      </w:pPr>
    </w:p>
    <w:p w:rsidR="00E7780B" w:rsidRDefault="00E7780B" w:rsidP="00694576">
      <w:pPr>
        <w:pStyle w:val="Grafikon"/>
        <w:numPr>
          <w:ilvl w:val="0"/>
          <w:numId w:val="0"/>
        </w:numPr>
        <w:jc w:val="both"/>
        <w:rPr>
          <w:rFonts w:ascii="Constantia" w:eastAsia="Calibri" w:hAnsi="Constantia"/>
          <w:i w:val="0"/>
          <w:sz w:val="22"/>
          <w:szCs w:val="22"/>
        </w:rPr>
      </w:pPr>
      <w:r w:rsidRPr="00897A69">
        <w:rPr>
          <w:rFonts w:ascii="Constantia" w:eastAsia="Calibri" w:hAnsi="Constantia"/>
          <w:i w:val="0"/>
          <w:sz w:val="22"/>
          <w:szCs w:val="22"/>
        </w:rPr>
        <w:t>U uzorcima zemljišta</w:t>
      </w:r>
      <w:r>
        <w:rPr>
          <w:rFonts w:ascii="Constantia" w:eastAsia="Calibri" w:hAnsi="Constantia"/>
          <w:i w:val="0"/>
          <w:sz w:val="22"/>
          <w:szCs w:val="22"/>
        </w:rPr>
        <w:t xml:space="preserve"> uzorkovanim na lokacijama dječi</w:t>
      </w:r>
      <w:r w:rsidRPr="00897A69">
        <w:rPr>
          <w:rFonts w:ascii="Constantia" w:eastAsia="Calibri" w:hAnsi="Constantia"/>
          <w:i w:val="0"/>
          <w:sz w:val="22"/>
          <w:szCs w:val="22"/>
        </w:rPr>
        <w:t>jih igrališta u naveden</w:t>
      </w:r>
      <w:r>
        <w:rPr>
          <w:rFonts w:ascii="Constantia" w:eastAsia="Calibri" w:hAnsi="Constantia"/>
          <w:i w:val="0"/>
          <w:sz w:val="22"/>
          <w:szCs w:val="22"/>
        </w:rPr>
        <w:t>im opštinama konstatovano je sl</w:t>
      </w:r>
      <w:r w:rsidRPr="00897A69">
        <w:rPr>
          <w:rFonts w:ascii="Constantia" w:eastAsia="Calibri" w:hAnsi="Constantia"/>
          <w:i w:val="0"/>
          <w:sz w:val="22"/>
          <w:szCs w:val="22"/>
        </w:rPr>
        <w:t>edeće:</w:t>
      </w:r>
    </w:p>
    <w:p w:rsidR="00E7780B" w:rsidRPr="00585CA7" w:rsidRDefault="00E7780B" w:rsidP="00A50466">
      <w:pPr>
        <w:pStyle w:val="Grafikon"/>
        <w:numPr>
          <w:ilvl w:val="0"/>
          <w:numId w:val="15"/>
        </w:numPr>
        <w:tabs>
          <w:tab w:val="left" w:pos="720"/>
        </w:tabs>
        <w:ind w:left="0" w:firstLine="0"/>
        <w:jc w:val="both"/>
        <w:rPr>
          <w:rFonts w:ascii="Constantia" w:eastAsia="Calibri" w:hAnsi="Constantia"/>
          <w:i w:val="0"/>
          <w:sz w:val="22"/>
          <w:szCs w:val="22"/>
        </w:rPr>
      </w:pPr>
      <w:r>
        <w:rPr>
          <w:rFonts w:ascii="Constantia" w:eastAsia="Calibri" w:hAnsi="Constantia"/>
          <w:i w:val="0"/>
          <w:sz w:val="22"/>
          <w:szCs w:val="22"/>
        </w:rPr>
        <w:t>U toku 2012. godine, na dječi</w:t>
      </w:r>
      <w:r w:rsidRPr="00897A69">
        <w:rPr>
          <w:rFonts w:ascii="Constantia" w:eastAsia="Calibri" w:hAnsi="Constantia"/>
          <w:i w:val="0"/>
          <w:sz w:val="22"/>
          <w:szCs w:val="22"/>
        </w:rPr>
        <w:t xml:space="preserve">jem igralištu u Tivtu </w:t>
      </w:r>
      <w:r>
        <w:rPr>
          <w:rFonts w:ascii="Constantia" w:eastAsia="Calibri" w:hAnsi="Constantia"/>
          <w:i w:val="0"/>
          <w:sz w:val="22"/>
          <w:szCs w:val="22"/>
        </w:rPr>
        <w:t>(</w:t>
      </w:r>
      <w:r w:rsidRPr="00897A69">
        <w:rPr>
          <w:rFonts w:ascii="Constantia" w:eastAsia="Calibri" w:hAnsi="Constantia"/>
          <w:i w:val="0"/>
          <w:sz w:val="22"/>
          <w:szCs w:val="22"/>
        </w:rPr>
        <w:t>na Trgu Dara Petkovića</w:t>
      </w:r>
      <w:r>
        <w:rPr>
          <w:rFonts w:ascii="Constantia" w:eastAsia="Calibri" w:hAnsi="Constantia"/>
          <w:i w:val="0"/>
          <w:sz w:val="22"/>
          <w:szCs w:val="22"/>
        </w:rPr>
        <w:t>),</w:t>
      </w:r>
      <w:r w:rsidRPr="00897A69">
        <w:rPr>
          <w:rFonts w:ascii="Constantia" w:eastAsia="Calibri" w:hAnsi="Constantia"/>
          <w:i w:val="0"/>
          <w:sz w:val="22"/>
          <w:szCs w:val="22"/>
        </w:rPr>
        <w:t xml:space="preserve"> nakon rezultata dobijenih monitoringom 2011. </w:t>
      </w:r>
      <w:r w:rsidRPr="006D654B">
        <w:rPr>
          <w:rFonts w:ascii="Constantia" w:eastAsia="Calibri" w:hAnsi="Constantia"/>
          <w:i w:val="0"/>
          <w:sz w:val="22"/>
          <w:szCs w:val="22"/>
        </w:rPr>
        <w:t>g</w:t>
      </w:r>
      <w:r w:rsidRPr="00897A69">
        <w:rPr>
          <w:rFonts w:ascii="Constantia" w:eastAsia="Calibri" w:hAnsi="Constantia"/>
          <w:i w:val="0"/>
          <w:sz w:val="22"/>
          <w:szCs w:val="22"/>
        </w:rPr>
        <w:t>odine</w:t>
      </w:r>
      <w:r>
        <w:rPr>
          <w:rFonts w:ascii="Constantia" w:eastAsia="Calibri" w:hAnsi="Constantia"/>
          <w:i w:val="0"/>
          <w:sz w:val="22"/>
          <w:szCs w:val="22"/>
        </w:rPr>
        <w:t>,</w:t>
      </w:r>
      <w:r w:rsidRPr="00897A69">
        <w:rPr>
          <w:rFonts w:ascii="Constantia" w:eastAsia="Calibri" w:hAnsi="Constantia"/>
          <w:i w:val="0"/>
          <w:sz w:val="22"/>
          <w:szCs w:val="22"/>
        </w:rPr>
        <w:t xml:space="preserve"> izvršen je postupak dekontaminacije zemljišta putem bioremedijacije u </w:t>
      </w:r>
      <w:r>
        <w:rPr>
          <w:rFonts w:ascii="Constantia" w:eastAsia="Calibri" w:hAnsi="Constantia"/>
          <w:i w:val="0"/>
          <w:sz w:val="22"/>
          <w:szCs w:val="22"/>
        </w:rPr>
        <w:t xml:space="preserve">četiri </w:t>
      </w:r>
      <w:r w:rsidRPr="00897A69">
        <w:rPr>
          <w:rFonts w:ascii="Constantia" w:eastAsia="Calibri" w:hAnsi="Constantia"/>
          <w:i w:val="0"/>
          <w:sz w:val="22"/>
          <w:szCs w:val="22"/>
        </w:rPr>
        <w:t>faze.</w:t>
      </w:r>
      <w:r>
        <w:rPr>
          <w:rFonts w:ascii="Constantia" w:eastAsia="Calibri" w:hAnsi="Constantia"/>
          <w:i w:val="0"/>
          <w:sz w:val="22"/>
          <w:szCs w:val="22"/>
        </w:rPr>
        <w:t xml:space="preserve"> Tokom svake od pomenute 4 </w:t>
      </w:r>
      <w:r w:rsidRPr="00897A69">
        <w:rPr>
          <w:rFonts w:ascii="Constantia" w:eastAsia="Calibri" w:hAnsi="Constantia"/>
          <w:i w:val="0"/>
          <w:sz w:val="22"/>
          <w:szCs w:val="22"/>
        </w:rPr>
        <w:t>faze, kao i redovnim monitoringom z</w:t>
      </w:r>
      <w:r>
        <w:rPr>
          <w:rFonts w:ascii="Constantia" w:eastAsia="Calibri" w:hAnsi="Constantia"/>
          <w:i w:val="0"/>
          <w:sz w:val="22"/>
          <w:szCs w:val="22"/>
        </w:rPr>
        <w:t xml:space="preserve">emljišta, vršeno je uzorkovanje </w:t>
      </w:r>
      <w:r w:rsidRPr="00897A69">
        <w:rPr>
          <w:rFonts w:ascii="Constantia" w:eastAsia="Calibri" w:hAnsi="Constantia"/>
          <w:i w:val="0"/>
          <w:sz w:val="22"/>
          <w:szCs w:val="22"/>
        </w:rPr>
        <w:t>na</w:t>
      </w:r>
      <w:r>
        <w:rPr>
          <w:rFonts w:ascii="Constantia" w:eastAsia="Calibri" w:hAnsi="Constantia"/>
          <w:i w:val="0"/>
          <w:sz w:val="22"/>
          <w:szCs w:val="22"/>
        </w:rPr>
        <w:t xml:space="preserve"> pomenutoj lokaciji. Rezultati </w:t>
      </w:r>
      <w:r w:rsidRPr="00897A69">
        <w:rPr>
          <w:rFonts w:ascii="Constantia" w:eastAsia="Calibri" w:hAnsi="Constantia"/>
          <w:i w:val="0"/>
          <w:sz w:val="22"/>
          <w:szCs w:val="22"/>
        </w:rPr>
        <w:t xml:space="preserve">analiza </w:t>
      </w:r>
      <w:r>
        <w:rPr>
          <w:rFonts w:ascii="Constantia" w:eastAsia="Calibri" w:hAnsi="Constantia"/>
          <w:i w:val="0"/>
          <w:sz w:val="22"/>
          <w:szCs w:val="22"/>
        </w:rPr>
        <w:t xml:space="preserve">u 2013. godini </w:t>
      </w:r>
      <w:r w:rsidRPr="00897A69">
        <w:rPr>
          <w:rFonts w:ascii="Constantia" w:eastAsia="Calibri" w:hAnsi="Constantia"/>
          <w:i w:val="0"/>
          <w:sz w:val="22"/>
          <w:szCs w:val="22"/>
        </w:rPr>
        <w:t xml:space="preserve">ukazuju da je koncentracija poliaromatičnih ugljovodonika </w:t>
      </w:r>
      <w:r>
        <w:rPr>
          <w:rFonts w:ascii="Constantia" w:eastAsia="Calibri" w:hAnsi="Constantia"/>
          <w:i w:val="0"/>
          <w:sz w:val="22"/>
          <w:szCs w:val="22"/>
        </w:rPr>
        <w:t xml:space="preserve">(PAH) </w:t>
      </w:r>
      <w:r w:rsidRPr="00897A69">
        <w:rPr>
          <w:rFonts w:ascii="Constantia" w:eastAsia="Calibri" w:hAnsi="Constantia"/>
          <w:i w:val="0"/>
          <w:sz w:val="22"/>
          <w:szCs w:val="22"/>
        </w:rPr>
        <w:t>u konstantnom padu, ali da je ista još uvijek nešto iznad MDK utvrđen</w:t>
      </w:r>
      <w:r>
        <w:rPr>
          <w:rFonts w:ascii="Constantia" w:eastAsia="Calibri" w:hAnsi="Constantia"/>
          <w:i w:val="0"/>
          <w:sz w:val="22"/>
          <w:szCs w:val="22"/>
        </w:rPr>
        <w:t>e</w:t>
      </w:r>
      <w:r w:rsidRPr="00897A69">
        <w:rPr>
          <w:rFonts w:ascii="Constantia" w:eastAsia="Calibri" w:hAnsi="Constantia"/>
          <w:i w:val="0"/>
          <w:sz w:val="22"/>
          <w:szCs w:val="22"/>
        </w:rPr>
        <w:t xml:space="preserve"> Pravilnikom, </w:t>
      </w:r>
      <w:r w:rsidRPr="00897A69">
        <w:rPr>
          <w:rFonts w:ascii="Constantia" w:eastAsiaTheme="minorHAnsi" w:hAnsi="Constantia"/>
          <w:i w:val="0"/>
          <w:sz w:val="22"/>
          <w:szCs w:val="22"/>
        </w:rPr>
        <w:t xml:space="preserve">dok je sadržaj </w:t>
      </w:r>
      <w:r>
        <w:rPr>
          <w:rFonts w:ascii="Constantia" w:eastAsiaTheme="minorHAnsi" w:hAnsi="Constantia"/>
          <w:i w:val="0"/>
          <w:sz w:val="22"/>
          <w:szCs w:val="22"/>
        </w:rPr>
        <w:t xml:space="preserve">svih </w:t>
      </w:r>
      <w:r w:rsidRPr="00897A69">
        <w:rPr>
          <w:rFonts w:ascii="Constantia" w:eastAsiaTheme="minorHAnsi" w:hAnsi="Constantia"/>
          <w:i w:val="0"/>
          <w:sz w:val="22"/>
          <w:szCs w:val="22"/>
        </w:rPr>
        <w:t xml:space="preserve">ostalih neorganskih i organskih polutanata ispod MDK normiranih </w:t>
      </w:r>
      <w:r w:rsidRPr="006D654B">
        <w:rPr>
          <w:rFonts w:ascii="Constantia" w:eastAsiaTheme="minorHAnsi" w:hAnsi="Constantia"/>
          <w:i w:val="0"/>
          <w:sz w:val="22"/>
          <w:szCs w:val="22"/>
        </w:rPr>
        <w:t>P</w:t>
      </w:r>
      <w:r w:rsidRPr="00897A69">
        <w:rPr>
          <w:rFonts w:ascii="Constantia" w:eastAsiaTheme="minorHAnsi" w:hAnsi="Constantia"/>
          <w:i w:val="0"/>
          <w:sz w:val="22"/>
          <w:szCs w:val="22"/>
        </w:rPr>
        <w:t>ravilnikom.</w:t>
      </w:r>
    </w:p>
    <w:p w:rsidR="00585CA7" w:rsidRPr="00CC4819" w:rsidRDefault="00585CA7" w:rsidP="00585CA7">
      <w:pPr>
        <w:pStyle w:val="Grafikon"/>
        <w:numPr>
          <w:ilvl w:val="0"/>
          <w:numId w:val="0"/>
        </w:numPr>
        <w:tabs>
          <w:tab w:val="left" w:pos="720"/>
        </w:tabs>
        <w:jc w:val="both"/>
        <w:rPr>
          <w:rFonts w:ascii="Constantia" w:eastAsia="Calibri" w:hAnsi="Constantia"/>
          <w:i w:val="0"/>
          <w:sz w:val="22"/>
          <w:szCs w:val="22"/>
        </w:rPr>
      </w:pPr>
    </w:p>
    <w:p w:rsidR="00E7780B" w:rsidRPr="005E4028" w:rsidRDefault="00E7780B" w:rsidP="00E7780B">
      <w:pPr>
        <w:pStyle w:val="Grafikon"/>
        <w:numPr>
          <w:ilvl w:val="0"/>
          <w:numId w:val="0"/>
        </w:numPr>
        <w:spacing w:line="276" w:lineRule="auto"/>
        <w:ind w:left="144" w:hanging="144"/>
        <w:rPr>
          <w:rFonts w:ascii="Constantia" w:eastAsia="Calibri" w:hAnsi="Constantia"/>
          <w:i w:val="0"/>
          <w:sz w:val="22"/>
          <w:szCs w:val="22"/>
        </w:rPr>
      </w:pPr>
      <w:r>
        <w:rPr>
          <w:rFonts w:ascii="Constantia" w:eastAsia="Calibri" w:hAnsi="Constantia"/>
          <w:i w:val="0"/>
          <w:noProof/>
          <w:sz w:val="22"/>
          <w:szCs w:val="22"/>
          <w:lang w:val="en-US"/>
        </w:rPr>
        <w:drawing>
          <wp:inline distT="0" distB="0" distL="0" distR="0" wp14:anchorId="4C84A7E0" wp14:editId="18290E0D">
            <wp:extent cx="3733800" cy="1609725"/>
            <wp:effectExtent l="0" t="0" r="0" b="0"/>
            <wp:docPr id="5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733800" cy="1609725"/>
                    </a:xfrm>
                    <a:prstGeom prst="rect">
                      <a:avLst/>
                    </a:prstGeom>
                    <a:noFill/>
                    <a:ln>
                      <a:noFill/>
                    </a:ln>
                  </pic:spPr>
                </pic:pic>
              </a:graphicData>
            </a:graphic>
          </wp:inline>
        </w:drawing>
      </w:r>
    </w:p>
    <w:p w:rsidR="00E7780B" w:rsidRDefault="00E7780B" w:rsidP="00E7780B">
      <w:pPr>
        <w:pStyle w:val="Slika"/>
        <w:tabs>
          <w:tab w:val="left" w:pos="0"/>
          <w:tab w:val="left" w:pos="1080"/>
        </w:tabs>
        <w:spacing w:line="276" w:lineRule="auto"/>
        <w:ind w:left="0" w:firstLine="0"/>
        <w:rPr>
          <w:rFonts w:ascii="Constantia" w:eastAsia="Calibri" w:hAnsi="Constantia"/>
        </w:rPr>
      </w:pPr>
      <w:r>
        <w:rPr>
          <w:rFonts w:ascii="Constantia" w:eastAsia="Calibri" w:hAnsi="Constantia"/>
        </w:rPr>
        <w:t>Dječi</w:t>
      </w:r>
      <w:r w:rsidRPr="00897A69">
        <w:rPr>
          <w:rFonts w:ascii="Constantia" w:eastAsia="Calibri" w:hAnsi="Constantia"/>
        </w:rPr>
        <w:t>je</w:t>
      </w:r>
      <w:r>
        <w:rPr>
          <w:rFonts w:ascii="Constantia" w:eastAsia="Calibri" w:hAnsi="Constantia"/>
        </w:rPr>
        <w:t xml:space="preserve"> </w:t>
      </w:r>
      <w:r w:rsidRPr="00897A69">
        <w:rPr>
          <w:rFonts w:ascii="Constantia" w:eastAsia="Calibri" w:hAnsi="Constantia"/>
        </w:rPr>
        <w:t>igralište u Tivtu</w:t>
      </w:r>
    </w:p>
    <w:p w:rsidR="00E7780B" w:rsidRPr="00CC4819" w:rsidRDefault="00E7780B" w:rsidP="00585CA7">
      <w:pPr>
        <w:pStyle w:val="Slika"/>
        <w:numPr>
          <w:ilvl w:val="0"/>
          <w:numId w:val="0"/>
        </w:numPr>
        <w:spacing w:after="0" w:line="276" w:lineRule="auto"/>
        <w:jc w:val="both"/>
        <w:rPr>
          <w:rFonts w:ascii="Constantia" w:eastAsia="Calibri" w:hAnsi="Constantia"/>
        </w:rPr>
      </w:pPr>
    </w:p>
    <w:p w:rsidR="00E7780B" w:rsidRDefault="00E7780B" w:rsidP="00A50466">
      <w:pPr>
        <w:pStyle w:val="Slika"/>
        <w:numPr>
          <w:ilvl w:val="0"/>
          <w:numId w:val="15"/>
        </w:numPr>
        <w:ind w:left="0" w:firstLine="0"/>
        <w:jc w:val="both"/>
        <w:rPr>
          <w:rFonts w:ascii="Constantia" w:eastAsia="Calibri" w:hAnsi="Constantia"/>
          <w:i w:val="0"/>
        </w:rPr>
      </w:pPr>
      <w:r w:rsidRPr="00CC4819">
        <w:rPr>
          <w:rFonts w:ascii="Constantia" w:eastAsia="Calibri" w:hAnsi="Constantia"/>
          <w:i w:val="0"/>
        </w:rPr>
        <w:t>Rezultati</w:t>
      </w:r>
      <w:r>
        <w:rPr>
          <w:rFonts w:ascii="Constantia" w:eastAsia="Calibri" w:hAnsi="Constantia"/>
          <w:i w:val="0"/>
        </w:rPr>
        <w:t xml:space="preserve"> </w:t>
      </w:r>
      <w:r w:rsidRPr="00CC4819">
        <w:rPr>
          <w:rFonts w:ascii="Constantia" w:eastAsia="Calibri" w:hAnsi="Constantia"/>
          <w:i w:val="0"/>
        </w:rPr>
        <w:t>analize</w:t>
      </w:r>
      <w:r>
        <w:rPr>
          <w:rFonts w:ascii="Constantia" w:eastAsia="Calibri" w:hAnsi="Constantia"/>
          <w:i w:val="0"/>
        </w:rPr>
        <w:t xml:space="preserve"> </w:t>
      </w:r>
      <w:r w:rsidRPr="00CC4819">
        <w:rPr>
          <w:rFonts w:ascii="Constantia" w:eastAsia="Calibri" w:hAnsi="Constantia"/>
          <w:i w:val="0"/>
        </w:rPr>
        <w:t>zemljišta</w:t>
      </w:r>
      <w:r>
        <w:rPr>
          <w:rFonts w:ascii="Constantia" w:eastAsia="Calibri" w:hAnsi="Constantia"/>
          <w:i w:val="0"/>
        </w:rPr>
        <w:t xml:space="preserve"> </w:t>
      </w:r>
      <w:r w:rsidRPr="00CC4819">
        <w:rPr>
          <w:rFonts w:ascii="Constantia" w:eastAsia="Calibri" w:hAnsi="Constantia"/>
          <w:i w:val="0"/>
        </w:rPr>
        <w:t>uzorkovanog</w:t>
      </w:r>
      <w:r>
        <w:rPr>
          <w:rFonts w:ascii="Constantia" w:eastAsia="Calibri" w:hAnsi="Constantia"/>
          <w:i w:val="0"/>
        </w:rPr>
        <w:t xml:space="preserve"> </w:t>
      </w:r>
      <w:r w:rsidRPr="00CC4819">
        <w:rPr>
          <w:rFonts w:ascii="Constantia" w:eastAsia="Calibri" w:hAnsi="Constantia"/>
          <w:i w:val="0"/>
        </w:rPr>
        <w:t>na</w:t>
      </w:r>
      <w:r>
        <w:rPr>
          <w:rFonts w:ascii="Constantia" w:eastAsia="Calibri" w:hAnsi="Constantia"/>
          <w:i w:val="0"/>
        </w:rPr>
        <w:t xml:space="preserve"> </w:t>
      </w:r>
      <w:r w:rsidRPr="00CC4819">
        <w:rPr>
          <w:rFonts w:ascii="Constantia" w:eastAsia="Calibri" w:hAnsi="Constantia"/>
          <w:i w:val="0"/>
        </w:rPr>
        <w:t>dječijem</w:t>
      </w:r>
      <w:r>
        <w:rPr>
          <w:rFonts w:ascii="Constantia" w:eastAsia="Calibri" w:hAnsi="Constantia"/>
          <w:i w:val="0"/>
        </w:rPr>
        <w:t xml:space="preserve"> </w:t>
      </w:r>
      <w:r w:rsidRPr="00CC4819">
        <w:rPr>
          <w:rFonts w:ascii="Constantia" w:eastAsia="Calibri" w:hAnsi="Constantia"/>
          <w:i w:val="0"/>
        </w:rPr>
        <w:t>igralištu u Podgorici</w:t>
      </w:r>
      <w:r>
        <w:rPr>
          <w:rFonts w:ascii="Constantia" w:eastAsia="Calibri" w:hAnsi="Constantia"/>
          <w:i w:val="0"/>
        </w:rPr>
        <w:t xml:space="preserve"> </w:t>
      </w:r>
      <w:r w:rsidRPr="00CC4819">
        <w:rPr>
          <w:rFonts w:ascii="Constantia" w:eastAsia="Calibri" w:hAnsi="Constantia"/>
          <w:i w:val="0"/>
        </w:rPr>
        <w:t>pokazali</w:t>
      </w:r>
      <w:r>
        <w:rPr>
          <w:rFonts w:ascii="Constantia" w:eastAsia="Calibri" w:hAnsi="Constantia"/>
          <w:i w:val="0"/>
        </w:rPr>
        <w:t xml:space="preserve"> </w:t>
      </w:r>
      <w:r w:rsidRPr="00CC4819">
        <w:rPr>
          <w:rFonts w:ascii="Constantia" w:eastAsia="Calibri" w:hAnsi="Constantia"/>
          <w:i w:val="0"/>
        </w:rPr>
        <w:t>su</w:t>
      </w:r>
      <w:r>
        <w:rPr>
          <w:rFonts w:ascii="Constantia" w:eastAsia="Calibri" w:hAnsi="Constantia"/>
          <w:i w:val="0"/>
        </w:rPr>
        <w:t xml:space="preserve"> </w:t>
      </w:r>
      <w:r w:rsidRPr="00CC4819">
        <w:rPr>
          <w:rFonts w:ascii="Constantia" w:eastAsia="Calibri" w:hAnsi="Constantia"/>
          <w:i w:val="0"/>
        </w:rPr>
        <w:t>povećanje</w:t>
      </w:r>
      <w:r>
        <w:rPr>
          <w:rFonts w:ascii="Constantia" w:eastAsia="Calibri" w:hAnsi="Constantia"/>
          <w:i w:val="0"/>
        </w:rPr>
        <w:t xml:space="preserve"> </w:t>
      </w:r>
      <w:r w:rsidRPr="00CC4819">
        <w:rPr>
          <w:rFonts w:ascii="Constantia" w:eastAsia="Calibri" w:hAnsi="Constantia"/>
          <w:i w:val="0"/>
        </w:rPr>
        <w:t>koncentracija</w:t>
      </w:r>
      <w:r>
        <w:rPr>
          <w:rFonts w:ascii="Constantia" w:eastAsia="Calibri" w:hAnsi="Constantia"/>
          <w:i w:val="0"/>
        </w:rPr>
        <w:t xml:space="preserve"> </w:t>
      </w:r>
      <w:r w:rsidRPr="00CC4819">
        <w:rPr>
          <w:rFonts w:ascii="Constantia" w:eastAsia="Calibri" w:hAnsi="Constantia"/>
          <w:i w:val="0"/>
        </w:rPr>
        <w:t>hroma i nikla, dok je sadržaj</w:t>
      </w:r>
      <w:r>
        <w:rPr>
          <w:rFonts w:ascii="Constantia" w:eastAsia="Calibri" w:hAnsi="Constantia"/>
          <w:i w:val="0"/>
        </w:rPr>
        <w:t xml:space="preserve"> </w:t>
      </w:r>
      <w:r w:rsidRPr="00CC4819">
        <w:rPr>
          <w:rFonts w:ascii="Constantia" w:eastAsia="Calibri" w:hAnsi="Constantia"/>
          <w:i w:val="0"/>
        </w:rPr>
        <w:t>svih</w:t>
      </w:r>
      <w:r>
        <w:rPr>
          <w:rFonts w:ascii="Constantia" w:eastAsia="Calibri" w:hAnsi="Constantia"/>
          <w:i w:val="0"/>
        </w:rPr>
        <w:t xml:space="preserve"> </w:t>
      </w:r>
      <w:r w:rsidRPr="00CC4819">
        <w:rPr>
          <w:rFonts w:ascii="Constantia" w:eastAsia="Calibri" w:hAnsi="Constantia"/>
          <w:i w:val="0"/>
        </w:rPr>
        <w:t>ostalih</w:t>
      </w:r>
      <w:r>
        <w:rPr>
          <w:rFonts w:ascii="Constantia" w:eastAsia="Calibri" w:hAnsi="Constantia"/>
          <w:i w:val="0"/>
        </w:rPr>
        <w:t xml:space="preserve"> </w:t>
      </w:r>
      <w:r w:rsidRPr="00CC4819">
        <w:rPr>
          <w:rFonts w:ascii="Constantia" w:eastAsia="Calibri" w:hAnsi="Constantia"/>
          <w:i w:val="0"/>
        </w:rPr>
        <w:t>neorganskih i organskih</w:t>
      </w:r>
      <w:r>
        <w:rPr>
          <w:rFonts w:ascii="Constantia" w:eastAsia="Calibri" w:hAnsi="Constantia"/>
          <w:i w:val="0"/>
        </w:rPr>
        <w:t xml:space="preserve"> </w:t>
      </w:r>
      <w:r w:rsidRPr="00CC4819">
        <w:rPr>
          <w:rFonts w:ascii="Constantia" w:eastAsia="Calibri" w:hAnsi="Constantia"/>
          <w:i w:val="0"/>
        </w:rPr>
        <w:t>parametara</w:t>
      </w:r>
      <w:r>
        <w:rPr>
          <w:rFonts w:ascii="Constantia" w:eastAsia="Calibri" w:hAnsi="Constantia"/>
          <w:i w:val="0"/>
        </w:rPr>
        <w:t xml:space="preserve"> </w:t>
      </w:r>
      <w:r w:rsidRPr="00CC4819">
        <w:rPr>
          <w:rFonts w:ascii="Constantia" w:eastAsia="Calibri" w:hAnsi="Constantia"/>
          <w:i w:val="0"/>
        </w:rPr>
        <w:t>ispod</w:t>
      </w:r>
      <w:r>
        <w:rPr>
          <w:rFonts w:ascii="Constantia" w:eastAsia="Calibri" w:hAnsi="Constantia"/>
          <w:i w:val="0"/>
        </w:rPr>
        <w:t xml:space="preserve"> </w:t>
      </w:r>
      <w:r w:rsidRPr="00CC4819">
        <w:rPr>
          <w:rFonts w:ascii="Constantia" w:eastAsia="Calibri" w:hAnsi="Constantia"/>
          <w:i w:val="0"/>
        </w:rPr>
        <w:t>vrijednosti</w:t>
      </w:r>
      <w:r>
        <w:rPr>
          <w:rFonts w:ascii="Constantia" w:eastAsia="Calibri" w:hAnsi="Constantia"/>
          <w:i w:val="0"/>
        </w:rPr>
        <w:t xml:space="preserve"> </w:t>
      </w:r>
      <w:r w:rsidRPr="00CC4819">
        <w:rPr>
          <w:rFonts w:ascii="Constantia" w:eastAsia="Calibri" w:hAnsi="Constantia"/>
          <w:i w:val="0"/>
        </w:rPr>
        <w:t>normiranih</w:t>
      </w:r>
      <w:r>
        <w:rPr>
          <w:rFonts w:ascii="Constantia" w:eastAsia="Calibri" w:hAnsi="Constantia"/>
          <w:i w:val="0"/>
        </w:rPr>
        <w:t xml:space="preserve"> </w:t>
      </w:r>
      <w:r w:rsidRPr="00CC4819">
        <w:rPr>
          <w:rFonts w:ascii="Constantia" w:eastAsia="Calibri" w:hAnsi="Constantia"/>
          <w:i w:val="0"/>
        </w:rPr>
        <w:t>Pravilnikom.</w:t>
      </w:r>
    </w:p>
    <w:p w:rsidR="00E7780B" w:rsidRPr="00CC4819" w:rsidRDefault="00E7780B" w:rsidP="00585CA7">
      <w:pPr>
        <w:pStyle w:val="Slika"/>
        <w:numPr>
          <w:ilvl w:val="0"/>
          <w:numId w:val="0"/>
        </w:numPr>
        <w:jc w:val="both"/>
        <w:rPr>
          <w:rFonts w:ascii="Constantia" w:eastAsia="Calibri" w:hAnsi="Constantia"/>
          <w:i w:val="0"/>
        </w:rPr>
      </w:pPr>
    </w:p>
    <w:p w:rsidR="00E7780B" w:rsidRPr="005E4028" w:rsidRDefault="00E7780B" w:rsidP="00E7780B">
      <w:pPr>
        <w:pStyle w:val="Grafikon"/>
        <w:numPr>
          <w:ilvl w:val="0"/>
          <w:numId w:val="0"/>
        </w:numPr>
        <w:spacing w:line="276" w:lineRule="auto"/>
        <w:ind w:left="144" w:hanging="144"/>
        <w:rPr>
          <w:rFonts w:ascii="Constantia" w:eastAsia="Calibri" w:hAnsi="Constantia"/>
          <w:i w:val="0"/>
          <w:sz w:val="22"/>
          <w:szCs w:val="22"/>
        </w:rPr>
      </w:pPr>
      <w:r>
        <w:rPr>
          <w:rFonts w:ascii="Constantia" w:eastAsia="Calibri" w:hAnsi="Constantia"/>
          <w:i w:val="0"/>
          <w:noProof/>
          <w:sz w:val="22"/>
          <w:szCs w:val="22"/>
          <w:lang w:val="en-US"/>
        </w:rPr>
        <w:drawing>
          <wp:inline distT="0" distB="0" distL="0" distR="0" wp14:anchorId="7A0CBBBF" wp14:editId="558B82F9">
            <wp:extent cx="3790950" cy="1638300"/>
            <wp:effectExtent l="0" t="0" r="0" b="0"/>
            <wp:docPr id="5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3790950" cy="1638300"/>
                    </a:xfrm>
                    <a:prstGeom prst="rect">
                      <a:avLst/>
                    </a:prstGeom>
                    <a:noFill/>
                    <a:ln>
                      <a:noFill/>
                    </a:ln>
                  </pic:spPr>
                </pic:pic>
              </a:graphicData>
            </a:graphic>
          </wp:inline>
        </w:drawing>
      </w:r>
    </w:p>
    <w:p w:rsidR="00E7780B" w:rsidRPr="00443AF6" w:rsidRDefault="00E7780B" w:rsidP="00E7780B">
      <w:pPr>
        <w:pStyle w:val="Slika"/>
        <w:tabs>
          <w:tab w:val="left" w:pos="990"/>
        </w:tabs>
        <w:spacing w:line="276" w:lineRule="auto"/>
        <w:ind w:left="0" w:firstLine="0"/>
        <w:rPr>
          <w:rFonts w:ascii="Constantia" w:eastAsia="Calibri" w:hAnsi="Constantia"/>
        </w:rPr>
      </w:pPr>
      <w:r>
        <w:rPr>
          <w:rFonts w:ascii="Constantia" w:eastAsia="Calibri" w:hAnsi="Constantia"/>
        </w:rPr>
        <w:t>Dječi</w:t>
      </w:r>
      <w:r w:rsidRPr="00897A69">
        <w:rPr>
          <w:rFonts w:ascii="Constantia" w:eastAsia="Calibri" w:hAnsi="Constantia"/>
        </w:rPr>
        <w:t>je</w:t>
      </w:r>
      <w:r>
        <w:rPr>
          <w:rFonts w:ascii="Constantia" w:eastAsia="Calibri" w:hAnsi="Constantia"/>
        </w:rPr>
        <w:t xml:space="preserve"> </w:t>
      </w:r>
      <w:r w:rsidRPr="00897A69">
        <w:rPr>
          <w:rFonts w:ascii="Constantia" w:eastAsia="Calibri" w:hAnsi="Constantia"/>
        </w:rPr>
        <w:t>igralište u Podgorici</w:t>
      </w:r>
      <w:r>
        <w:rPr>
          <w:rFonts w:ascii="Constantia" w:eastAsia="Calibri" w:hAnsi="Constantia"/>
        </w:rPr>
        <w:t xml:space="preserve"> (Njego</w:t>
      </w:r>
      <w:r>
        <w:rPr>
          <w:rFonts w:ascii="Constantia" w:eastAsia="Calibri" w:hAnsi="Constantia"/>
          <w:lang w:val="sr-Latn-CS"/>
        </w:rPr>
        <w:t>šev park)</w:t>
      </w:r>
    </w:p>
    <w:p w:rsidR="00E7780B" w:rsidRPr="00CC4819" w:rsidRDefault="00E7780B" w:rsidP="00E7780B">
      <w:pPr>
        <w:pStyle w:val="Slika"/>
        <w:numPr>
          <w:ilvl w:val="0"/>
          <w:numId w:val="0"/>
        </w:numPr>
        <w:spacing w:after="0" w:line="276" w:lineRule="auto"/>
        <w:jc w:val="both"/>
        <w:rPr>
          <w:rFonts w:ascii="Constantia" w:eastAsia="Calibri" w:hAnsi="Constantia"/>
        </w:rPr>
      </w:pPr>
    </w:p>
    <w:p w:rsidR="00E7780B" w:rsidRPr="00CC4819" w:rsidRDefault="00E7780B" w:rsidP="00A50466">
      <w:pPr>
        <w:pStyle w:val="Slika"/>
        <w:numPr>
          <w:ilvl w:val="0"/>
          <w:numId w:val="15"/>
        </w:numPr>
        <w:ind w:left="0" w:firstLine="0"/>
        <w:jc w:val="both"/>
        <w:rPr>
          <w:rFonts w:ascii="Constantia" w:eastAsia="Calibri" w:hAnsi="Constantia"/>
          <w:i w:val="0"/>
        </w:rPr>
      </w:pPr>
      <w:r w:rsidRPr="00CC4819">
        <w:rPr>
          <w:rFonts w:ascii="Constantia" w:eastAsia="Calibri" w:hAnsi="Constantia"/>
          <w:i w:val="0"/>
        </w:rPr>
        <w:t>Sadržaj</w:t>
      </w:r>
      <w:r>
        <w:rPr>
          <w:rFonts w:ascii="Constantia" w:eastAsia="Calibri" w:hAnsi="Constantia"/>
          <w:i w:val="0"/>
        </w:rPr>
        <w:t xml:space="preserve"> </w:t>
      </w:r>
      <w:r w:rsidRPr="00CC4819">
        <w:rPr>
          <w:rFonts w:ascii="Constantia" w:eastAsia="Calibri" w:hAnsi="Constantia"/>
          <w:i w:val="0"/>
        </w:rPr>
        <w:t>svih</w:t>
      </w:r>
      <w:r>
        <w:rPr>
          <w:rFonts w:ascii="Constantia" w:eastAsia="Calibri" w:hAnsi="Constantia"/>
          <w:i w:val="0"/>
        </w:rPr>
        <w:t xml:space="preserve"> </w:t>
      </w:r>
      <w:r w:rsidRPr="00CC4819">
        <w:rPr>
          <w:rFonts w:ascii="Constantia" w:eastAsia="Calibri" w:hAnsi="Constantia"/>
          <w:i w:val="0"/>
        </w:rPr>
        <w:t>opasnih i štetnih</w:t>
      </w:r>
      <w:r>
        <w:rPr>
          <w:rFonts w:ascii="Constantia" w:eastAsia="Calibri" w:hAnsi="Constantia"/>
          <w:i w:val="0"/>
        </w:rPr>
        <w:t xml:space="preserve"> </w:t>
      </w:r>
      <w:r w:rsidRPr="00CC4819">
        <w:rPr>
          <w:rFonts w:ascii="Constantia" w:eastAsia="Calibri" w:hAnsi="Constantia"/>
          <w:i w:val="0"/>
        </w:rPr>
        <w:t>m</w:t>
      </w:r>
      <w:r>
        <w:rPr>
          <w:rFonts w:ascii="Constantia" w:eastAsia="Calibri" w:hAnsi="Constantia"/>
          <w:i w:val="0"/>
        </w:rPr>
        <w:t>aterija, kao i toksičnih i kance</w:t>
      </w:r>
      <w:r w:rsidRPr="00CC4819">
        <w:rPr>
          <w:rFonts w:ascii="Constantia" w:eastAsia="Calibri" w:hAnsi="Constantia"/>
          <w:i w:val="0"/>
        </w:rPr>
        <w:t>rogenih</w:t>
      </w:r>
      <w:r>
        <w:rPr>
          <w:rFonts w:ascii="Constantia" w:eastAsia="Calibri" w:hAnsi="Constantia"/>
          <w:i w:val="0"/>
        </w:rPr>
        <w:t xml:space="preserve"> </w:t>
      </w:r>
      <w:r w:rsidRPr="00CC4819">
        <w:rPr>
          <w:rFonts w:ascii="Constantia" w:eastAsia="Calibri" w:hAnsi="Constantia"/>
          <w:i w:val="0"/>
        </w:rPr>
        <w:t>materija, u uzorcima</w:t>
      </w:r>
      <w:r>
        <w:rPr>
          <w:rFonts w:ascii="Constantia" w:eastAsia="Calibri" w:hAnsi="Constantia"/>
          <w:i w:val="0"/>
        </w:rPr>
        <w:t xml:space="preserve"> </w:t>
      </w:r>
      <w:r w:rsidRPr="00CC4819">
        <w:rPr>
          <w:rFonts w:ascii="Constantia" w:eastAsia="Calibri" w:hAnsi="Constantia"/>
          <w:i w:val="0"/>
        </w:rPr>
        <w:t>zemljišta</w:t>
      </w:r>
      <w:r>
        <w:rPr>
          <w:rFonts w:ascii="Constantia" w:eastAsia="Calibri" w:hAnsi="Constantia"/>
          <w:i w:val="0"/>
        </w:rPr>
        <w:t xml:space="preserve"> </w:t>
      </w:r>
      <w:r w:rsidRPr="00CC4819">
        <w:rPr>
          <w:rFonts w:ascii="Constantia" w:eastAsia="Calibri" w:hAnsi="Constantia"/>
          <w:i w:val="0"/>
        </w:rPr>
        <w:t>uzorkovanih</w:t>
      </w:r>
      <w:r>
        <w:rPr>
          <w:rFonts w:ascii="Constantia" w:eastAsia="Calibri" w:hAnsi="Constantia"/>
          <w:i w:val="0"/>
        </w:rPr>
        <w:t xml:space="preserve"> </w:t>
      </w:r>
      <w:r w:rsidRPr="00CC4819">
        <w:rPr>
          <w:rFonts w:ascii="Constantia" w:eastAsia="Calibri" w:hAnsi="Constantia"/>
          <w:i w:val="0"/>
        </w:rPr>
        <w:t>na</w:t>
      </w:r>
      <w:r>
        <w:rPr>
          <w:rFonts w:ascii="Constantia" w:eastAsia="Calibri" w:hAnsi="Constantia"/>
          <w:i w:val="0"/>
        </w:rPr>
        <w:t xml:space="preserve"> </w:t>
      </w:r>
      <w:r w:rsidRPr="00CC4819">
        <w:rPr>
          <w:rFonts w:ascii="Constantia" w:eastAsia="Calibri" w:hAnsi="Constantia"/>
          <w:i w:val="0"/>
        </w:rPr>
        <w:t>lokacijama</w:t>
      </w:r>
      <w:r>
        <w:rPr>
          <w:rFonts w:ascii="Constantia" w:eastAsia="Calibri" w:hAnsi="Constantia"/>
          <w:i w:val="0"/>
        </w:rPr>
        <w:t xml:space="preserve"> </w:t>
      </w:r>
      <w:r w:rsidRPr="00CC4819">
        <w:rPr>
          <w:rFonts w:ascii="Constantia" w:eastAsia="Calibri" w:hAnsi="Constantia"/>
          <w:i w:val="0"/>
        </w:rPr>
        <w:t>dječija</w:t>
      </w:r>
      <w:r>
        <w:rPr>
          <w:rFonts w:ascii="Constantia" w:eastAsia="Calibri" w:hAnsi="Constantia"/>
          <w:i w:val="0"/>
        </w:rPr>
        <w:t xml:space="preserve"> </w:t>
      </w:r>
      <w:r w:rsidRPr="00CC4819">
        <w:rPr>
          <w:rFonts w:ascii="Constantia" w:eastAsia="Calibri" w:hAnsi="Constantia"/>
          <w:i w:val="0"/>
        </w:rPr>
        <w:t>igrališta u Nikšiću i Pljevljima</w:t>
      </w:r>
      <w:r>
        <w:rPr>
          <w:rFonts w:ascii="Constantia" w:eastAsia="Calibri" w:hAnsi="Constantia"/>
          <w:i w:val="0"/>
        </w:rPr>
        <w:t xml:space="preserve"> je </w:t>
      </w:r>
      <w:r w:rsidRPr="00CC4819">
        <w:rPr>
          <w:rFonts w:ascii="Constantia" w:eastAsia="Calibri" w:hAnsi="Constantia"/>
          <w:i w:val="0"/>
        </w:rPr>
        <w:t>ispod MDK normiranih</w:t>
      </w:r>
      <w:r>
        <w:rPr>
          <w:rFonts w:ascii="Constantia" w:eastAsia="Calibri" w:hAnsi="Constantia"/>
          <w:i w:val="0"/>
        </w:rPr>
        <w:t xml:space="preserve"> </w:t>
      </w:r>
      <w:r w:rsidRPr="00CC4819">
        <w:rPr>
          <w:rFonts w:ascii="Constantia" w:eastAsia="Calibri" w:hAnsi="Constantia"/>
          <w:i w:val="0"/>
        </w:rPr>
        <w:t>Pravilnikom.</w:t>
      </w:r>
    </w:p>
    <w:p w:rsidR="00E7780B" w:rsidRPr="00CC4819" w:rsidRDefault="00E7780B" w:rsidP="00E7780B">
      <w:pPr>
        <w:pStyle w:val="Slika"/>
        <w:numPr>
          <w:ilvl w:val="0"/>
          <w:numId w:val="0"/>
        </w:numPr>
        <w:spacing w:after="0" w:line="276" w:lineRule="auto"/>
        <w:jc w:val="both"/>
        <w:rPr>
          <w:rFonts w:ascii="Constantia" w:eastAsia="Calibri" w:hAnsi="Constantia"/>
          <w:i w:val="0"/>
        </w:rPr>
      </w:pPr>
    </w:p>
    <w:p w:rsidR="00E7780B" w:rsidRPr="005E4028" w:rsidRDefault="00E7780B" w:rsidP="00E7780B">
      <w:pPr>
        <w:pStyle w:val="Grafikon"/>
        <w:numPr>
          <w:ilvl w:val="0"/>
          <w:numId w:val="0"/>
        </w:numPr>
        <w:spacing w:line="276" w:lineRule="auto"/>
        <w:ind w:left="144" w:hanging="144"/>
        <w:rPr>
          <w:rFonts w:ascii="Constantia" w:eastAsia="Calibri" w:hAnsi="Constantia"/>
          <w:i w:val="0"/>
          <w:sz w:val="22"/>
          <w:szCs w:val="22"/>
        </w:rPr>
      </w:pPr>
      <w:r>
        <w:rPr>
          <w:rFonts w:ascii="Constantia" w:eastAsia="Calibri" w:hAnsi="Constantia"/>
          <w:i w:val="0"/>
          <w:noProof/>
          <w:sz w:val="22"/>
          <w:szCs w:val="22"/>
          <w:lang w:val="en-US"/>
        </w:rPr>
        <w:drawing>
          <wp:inline distT="0" distB="0" distL="0" distR="0" wp14:anchorId="642C7C92" wp14:editId="19B3DF62">
            <wp:extent cx="3762375" cy="1514475"/>
            <wp:effectExtent l="0" t="0" r="0" b="0"/>
            <wp:docPr id="6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3762375" cy="1514475"/>
                    </a:xfrm>
                    <a:prstGeom prst="rect">
                      <a:avLst/>
                    </a:prstGeom>
                    <a:noFill/>
                    <a:ln>
                      <a:noFill/>
                    </a:ln>
                  </pic:spPr>
                </pic:pic>
              </a:graphicData>
            </a:graphic>
          </wp:inline>
        </w:drawing>
      </w:r>
    </w:p>
    <w:p w:rsidR="00E7780B" w:rsidRDefault="00E7780B" w:rsidP="00E7780B">
      <w:pPr>
        <w:pStyle w:val="Slika"/>
        <w:tabs>
          <w:tab w:val="left" w:pos="990"/>
        </w:tabs>
        <w:spacing w:line="276" w:lineRule="auto"/>
        <w:ind w:left="0" w:firstLine="0"/>
        <w:rPr>
          <w:rFonts w:ascii="Constantia" w:eastAsia="Calibri" w:hAnsi="Constantia"/>
        </w:rPr>
      </w:pPr>
      <w:r>
        <w:rPr>
          <w:rFonts w:ascii="Constantia" w:eastAsia="Calibri" w:hAnsi="Constantia"/>
        </w:rPr>
        <w:t>Dječi</w:t>
      </w:r>
      <w:r w:rsidRPr="00897A69">
        <w:rPr>
          <w:rFonts w:ascii="Constantia" w:eastAsia="Calibri" w:hAnsi="Constantia"/>
        </w:rPr>
        <w:t>je</w:t>
      </w:r>
      <w:r>
        <w:rPr>
          <w:rFonts w:ascii="Constantia" w:eastAsia="Calibri" w:hAnsi="Constantia"/>
        </w:rPr>
        <w:t xml:space="preserve"> </w:t>
      </w:r>
      <w:r w:rsidRPr="00897A69">
        <w:rPr>
          <w:rFonts w:ascii="Constantia" w:eastAsia="Calibri" w:hAnsi="Constantia"/>
        </w:rPr>
        <w:t>igra</w:t>
      </w:r>
      <w:r>
        <w:rPr>
          <w:rFonts w:ascii="Constantia" w:eastAsia="Calibri" w:hAnsi="Constantia"/>
        </w:rPr>
        <w:t>l</w:t>
      </w:r>
      <w:r w:rsidRPr="00897A69">
        <w:rPr>
          <w:rFonts w:ascii="Constantia" w:eastAsia="Calibri" w:hAnsi="Constantia"/>
        </w:rPr>
        <w:t>ište u Nikšiću</w:t>
      </w:r>
    </w:p>
    <w:p w:rsidR="00E7780B" w:rsidRDefault="00E7780B" w:rsidP="00E7780B">
      <w:pPr>
        <w:pStyle w:val="Slika"/>
        <w:numPr>
          <w:ilvl w:val="0"/>
          <w:numId w:val="0"/>
        </w:numPr>
        <w:spacing w:line="276" w:lineRule="auto"/>
        <w:rPr>
          <w:rFonts w:ascii="Constantia" w:eastAsia="Calibri" w:hAnsi="Constantia"/>
        </w:rPr>
      </w:pPr>
      <w:r>
        <w:rPr>
          <w:noProof/>
        </w:rPr>
        <w:lastRenderedPageBreak/>
        <w:drawing>
          <wp:inline distT="0" distB="0" distL="0" distR="0" wp14:anchorId="248D6D1F" wp14:editId="60A012C7">
            <wp:extent cx="3667125" cy="1743075"/>
            <wp:effectExtent l="19050" t="0" r="9525" b="0"/>
            <wp:docPr id="6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3"/>
                    <a:stretch>
                      <a:fillRect/>
                    </a:stretch>
                  </pic:blipFill>
                  <pic:spPr>
                    <a:xfrm>
                      <a:off x="0" y="0"/>
                      <a:ext cx="3667125" cy="1743075"/>
                    </a:xfrm>
                    <a:prstGeom prst="rect">
                      <a:avLst/>
                    </a:prstGeom>
                  </pic:spPr>
                </pic:pic>
              </a:graphicData>
            </a:graphic>
          </wp:inline>
        </w:drawing>
      </w:r>
    </w:p>
    <w:p w:rsidR="00E7780B" w:rsidRPr="005E4028" w:rsidRDefault="00E7780B" w:rsidP="00E7780B">
      <w:pPr>
        <w:pStyle w:val="Slika"/>
        <w:tabs>
          <w:tab w:val="left" w:pos="1080"/>
        </w:tabs>
        <w:spacing w:line="276" w:lineRule="auto"/>
        <w:ind w:left="0" w:firstLine="0"/>
        <w:rPr>
          <w:rFonts w:ascii="Constantia" w:eastAsia="Calibri" w:hAnsi="Constantia"/>
        </w:rPr>
      </w:pPr>
      <w:r>
        <w:rPr>
          <w:rFonts w:ascii="Constantia" w:eastAsia="Calibri" w:hAnsi="Constantia"/>
        </w:rPr>
        <w:t>Dječi</w:t>
      </w:r>
      <w:r w:rsidRPr="00897A69">
        <w:rPr>
          <w:rFonts w:ascii="Constantia" w:eastAsia="Calibri" w:hAnsi="Constantia"/>
        </w:rPr>
        <w:t>je</w:t>
      </w:r>
      <w:r>
        <w:rPr>
          <w:rFonts w:ascii="Constantia" w:eastAsia="Calibri" w:hAnsi="Constantia"/>
        </w:rPr>
        <w:t xml:space="preserve"> </w:t>
      </w:r>
      <w:r w:rsidRPr="00897A69">
        <w:rPr>
          <w:rFonts w:ascii="Constantia" w:eastAsia="Calibri" w:hAnsi="Constantia"/>
        </w:rPr>
        <w:t>igra</w:t>
      </w:r>
      <w:r>
        <w:rPr>
          <w:rFonts w:ascii="Constantia" w:eastAsia="Calibri" w:hAnsi="Constantia"/>
        </w:rPr>
        <w:t>l</w:t>
      </w:r>
      <w:r w:rsidRPr="00897A69">
        <w:rPr>
          <w:rFonts w:ascii="Constantia" w:eastAsia="Calibri" w:hAnsi="Constantia"/>
        </w:rPr>
        <w:t>ište u</w:t>
      </w:r>
      <w:r>
        <w:rPr>
          <w:rFonts w:ascii="Constantia" w:eastAsia="Calibri" w:hAnsi="Constantia"/>
        </w:rPr>
        <w:t xml:space="preserve"> Pljevljima</w:t>
      </w:r>
    </w:p>
    <w:p w:rsidR="00E7780B" w:rsidRPr="005E4028" w:rsidRDefault="00E7780B" w:rsidP="00E7780B">
      <w:pPr>
        <w:pStyle w:val="Grafikon"/>
        <w:numPr>
          <w:ilvl w:val="0"/>
          <w:numId w:val="0"/>
        </w:numPr>
        <w:spacing w:line="276" w:lineRule="auto"/>
        <w:jc w:val="both"/>
        <w:rPr>
          <w:rFonts w:ascii="Constantia" w:eastAsia="Calibri" w:hAnsi="Constantia"/>
          <w:i w:val="0"/>
          <w:sz w:val="22"/>
          <w:szCs w:val="22"/>
        </w:rPr>
      </w:pPr>
    </w:p>
    <w:p w:rsidR="00E7780B" w:rsidRPr="005535ED" w:rsidRDefault="00585CA7" w:rsidP="00156524">
      <w:pPr>
        <w:pStyle w:val="Heading2"/>
        <w:ind w:left="720"/>
        <w:rPr>
          <w:lang w:val="sr-Latn-CS"/>
        </w:rPr>
      </w:pPr>
      <w:bookmarkStart w:id="86" w:name="_Toc318278310"/>
      <w:bookmarkStart w:id="87" w:name="_Toc362938328"/>
      <w:r>
        <w:t xml:space="preserve"> </w:t>
      </w:r>
      <w:bookmarkStart w:id="88" w:name="_Toc393897898"/>
      <w:r w:rsidR="00E7780B" w:rsidRPr="00694576">
        <w:t>Zaključak</w:t>
      </w:r>
      <w:bookmarkEnd w:id="86"/>
      <w:bookmarkEnd w:id="87"/>
      <w:bookmarkEnd w:id="88"/>
    </w:p>
    <w:p w:rsidR="00E7780B" w:rsidRPr="005E4028" w:rsidRDefault="00E7780B" w:rsidP="00694576">
      <w:pPr>
        <w:rPr>
          <w:rFonts w:ascii="Constantia" w:hAnsi="Constantia"/>
          <w:color w:val="000000"/>
          <w:lang w:val="sr-Latn-CS"/>
        </w:rPr>
      </w:pPr>
      <w:r w:rsidRPr="00897A69">
        <w:rPr>
          <w:rStyle w:val="hps"/>
          <w:rFonts w:ascii="Constantia" w:hAnsi="Constantia"/>
          <w:color w:val="000000"/>
          <w:lang w:val="sr-Latn-CS"/>
        </w:rPr>
        <w:t>Sprovođenje monitoringa</w:t>
      </w:r>
      <w:r>
        <w:rPr>
          <w:rStyle w:val="hps"/>
          <w:rFonts w:ascii="Constantia" w:hAnsi="Constantia"/>
          <w:color w:val="000000"/>
          <w:lang w:val="sr-Latn-CS"/>
        </w:rPr>
        <w:t xml:space="preserve">, </w:t>
      </w:r>
      <w:r w:rsidRPr="00897A69">
        <w:rPr>
          <w:rFonts w:ascii="Constantia" w:hAnsi="Constantia"/>
          <w:color w:val="000000"/>
          <w:lang w:val="sr-Latn-CS"/>
        </w:rPr>
        <w:t>tj</w:t>
      </w:r>
      <w:r>
        <w:rPr>
          <w:rFonts w:ascii="Constantia" w:hAnsi="Constantia"/>
          <w:color w:val="000000"/>
          <w:lang w:val="sr-Latn-CS"/>
        </w:rPr>
        <w:t xml:space="preserve">. </w:t>
      </w:r>
      <w:r w:rsidRPr="00897A69">
        <w:rPr>
          <w:rFonts w:ascii="Constantia" w:hAnsi="Constantia"/>
          <w:color w:val="000000"/>
          <w:lang w:val="sr-Latn-CS"/>
        </w:rPr>
        <w:t xml:space="preserve">kontinuirano praćenje stanja promjena u zemljištu, poljoprivrednom i nepoljoprivrednom, jedna je od najznačajnijih mjera zaštite i očuvanja zemljišta, </w:t>
      </w:r>
      <w:r>
        <w:rPr>
          <w:rFonts w:ascii="Constantia" w:hAnsi="Constantia"/>
          <w:color w:val="000000"/>
          <w:lang w:val="sr-Latn-CS"/>
        </w:rPr>
        <w:t xml:space="preserve">kao </w:t>
      </w:r>
      <w:r w:rsidRPr="00897A69">
        <w:rPr>
          <w:rFonts w:ascii="Constantia" w:hAnsi="Constantia"/>
          <w:color w:val="000000"/>
          <w:lang w:val="sr-Latn-CS"/>
        </w:rPr>
        <w:t>jednog od najvažnijih prirodnih resursa.</w:t>
      </w:r>
    </w:p>
    <w:p w:rsidR="00E7780B" w:rsidRPr="005E4028" w:rsidRDefault="00E7780B" w:rsidP="00694576">
      <w:pPr>
        <w:rPr>
          <w:rFonts w:ascii="Constantia" w:hAnsi="Constantia"/>
          <w:lang w:val="sr-Latn-CS"/>
        </w:rPr>
      </w:pPr>
      <w:r w:rsidRPr="00897A69">
        <w:rPr>
          <w:rFonts w:ascii="Constantia" w:hAnsi="Constantia"/>
          <w:lang w:val="sr-Latn-CS"/>
        </w:rPr>
        <w:t xml:space="preserve">Rezultati ispitivanja uzoraka zemljišta </w:t>
      </w:r>
      <w:r>
        <w:rPr>
          <w:rFonts w:ascii="Constantia" w:hAnsi="Constantia"/>
          <w:lang w:val="sr-Latn-CS"/>
        </w:rPr>
        <w:t>iz Programom</w:t>
      </w:r>
      <w:r w:rsidRPr="00897A69">
        <w:rPr>
          <w:rFonts w:ascii="Constantia" w:hAnsi="Constantia"/>
          <w:lang w:val="sr-Latn-CS"/>
        </w:rPr>
        <w:t xml:space="preserve"> ispitivanja štetnih mater</w:t>
      </w:r>
      <w:r>
        <w:rPr>
          <w:rFonts w:ascii="Constantia" w:hAnsi="Constantia"/>
          <w:lang w:val="sr-Latn-CS"/>
        </w:rPr>
        <w:t>ija u zemljištu Crne Gore u 2013. godini utvrđenim lokacijama</w:t>
      </w:r>
      <w:r w:rsidRPr="00897A69">
        <w:rPr>
          <w:rFonts w:ascii="Constantia" w:hAnsi="Constantia"/>
          <w:lang w:val="sr-Latn-CS"/>
        </w:rPr>
        <w:t xml:space="preserve"> pokazuju više nego zadovoljavajuće rezu</w:t>
      </w:r>
      <w:r>
        <w:rPr>
          <w:rFonts w:ascii="Constantia" w:hAnsi="Constantia"/>
          <w:lang w:val="sr-Latn-CS"/>
        </w:rPr>
        <w:t>ltate kad je u pitanju sadržaj</w:t>
      </w:r>
      <w:r w:rsidRPr="00897A69">
        <w:rPr>
          <w:rFonts w:ascii="Constantia" w:hAnsi="Constantia"/>
          <w:lang w:val="sr-Latn-CS"/>
        </w:rPr>
        <w:t>:</w:t>
      </w:r>
    </w:p>
    <w:p w:rsidR="00E7780B" w:rsidRPr="005E4028" w:rsidRDefault="00E7780B" w:rsidP="00A50466">
      <w:pPr>
        <w:numPr>
          <w:ilvl w:val="0"/>
          <w:numId w:val="18"/>
        </w:numPr>
        <w:spacing w:after="0"/>
        <w:jc w:val="left"/>
        <w:rPr>
          <w:rFonts w:ascii="Constantia" w:hAnsi="Constantia"/>
          <w:color w:val="000000"/>
          <w:lang w:val="sr-Latn-CS"/>
        </w:rPr>
      </w:pPr>
      <w:r w:rsidRPr="00897A69">
        <w:rPr>
          <w:rFonts w:ascii="Constantia" w:hAnsi="Constantia"/>
          <w:color w:val="000000"/>
          <w:lang w:val="sr-Latn-CS"/>
        </w:rPr>
        <w:t>opasnih i štetnih materija,</w:t>
      </w:r>
    </w:p>
    <w:p w:rsidR="00E7780B" w:rsidRPr="005E4028" w:rsidRDefault="00E7780B" w:rsidP="00A50466">
      <w:pPr>
        <w:numPr>
          <w:ilvl w:val="0"/>
          <w:numId w:val="18"/>
        </w:numPr>
        <w:spacing w:after="0"/>
        <w:jc w:val="left"/>
        <w:rPr>
          <w:rFonts w:ascii="Constantia" w:hAnsi="Constantia"/>
          <w:color w:val="000000"/>
          <w:lang w:val="sr-Latn-CS"/>
        </w:rPr>
      </w:pPr>
      <w:r>
        <w:rPr>
          <w:rFonts w:ascii="Constantia" w:hAnsi="Constantia"/>
          <w:color w:val="000000"/>
          <w:lang w:val="sr-Latn-CS"/>
        </w:rPr>
        <w:t>toksičnih i kancerogenih materija,</w:t>
      </w:r>
      <w:r w:rsidRPr="00897A69">
        <w:rPr>
          <w:rFonts w:ascii="Constantia" w:hAnsi="Constantia"/>
          <w:color w:val="000000"/>
          <w:lang w:val="sr-Latn-CS"/>
        </w:rPr>
        <w:t xml:space="preserve"> </w:t>
      </w:r>
    </w:p>
    <w:p w:rsidR="00E7780B" w:rsidRPr="005E4028" w:rsidRDefault="00E7780B" w:rsidP="00A50466">
      <w:pPr>
        <w:numPr>
          <w:ilvl w:val="0"/>
          <w:numId w:val="18"/>
        </w:numPr>
        <w:jc w:val="left"/>
        <w:rPr>
          <w:rFonts w:ascii="Constantia" w:hAnsi="Constantia"/>
          <w:color w:val="000000"/>
          <w:lang w:val="sr-Latn-CS"/>
        </w:rPr>
      </w:pPr>
      <w:r w:rsidRPr="00897A69">
        <w:rPr>
          <w:rFonts w:ascii="Constantia" w:hAnsi="Constantia"/>
          <w:color w:val="000000"/>
          <w:lang w:val="sr-Latn-CS"/>
        </w:rPr>
        <w:t>dioksina i furana.</w:t>
      </w:r>
    </w:p>
    <w:p w:rsidR="00E7780B" w:rsidRPr="005E4028" w:rsidRDefault="00E7780B" w:rsidP="00A278C7">
      <w:pPr>
        <w:spacing w:before="240"/>
        <w:rPr>
          <w:rFonts w:ascii="Constantia" w:hAnsi="Constantia"/>
          <w:lang w:val="sr-Latn-CS"/>
        </w:rPr>
      </w:pPr>
      <w:r w:rsidRPr="00742630">
        <w:rPr>
          <w:rStyle w:val="hps"/>
          <w:rFonts w:ascii="Constantia" w:hAnsi="Constantia"/>
          <w:b/>
          <w:color w:val="000000"/>
          <w:lang w:val="sr-Latn-CS"/>
        </w:rPr>
        <w:t>Zagađenje zemljišta porijeklom iz atmosfere</w:t>
      </w:r>
      <w:r>
        <w:rPr>
          <w:rStyle w:val="hps"/>
          <w:rFonts w:ascii="Constantia" w:hAnsi="Constantia"/>
          <w:color w:val="000000"/>
          <w:lang w:val="sr-Latn-CS"/>
        </w:rPr>
        <w:t xml:space="preserve"> (emisije</w:t>
      </w:r>
      <w:r w:rsidRPr="00897A69">
        <w:rPr>
          <w:rStyle w:val="hps"/>
          <w:rFonts w:ascii="Constantia" w:hAnsi="Constantia"/>
          <w:color w:val="000000"/>
          <w:lang w:val="sr-Latn-CS"/>
        </w:rPr>
        <w:t xml:space="preserve"> iz različitih industrijskih t</w:t>
      </w:r>
      <w:r>
        <w:rPr>
          <w:rStyle w:val="hps"/>
          <w:rFonts w:ascii="Constantia" w:hAnsi="Constantia"/>
          <w:color w:val="000000"/>
          <w:lang w:val="sr-Latn-CS"/>
        </w:rPr>
        <w:t>ehnoloških procesa, emisija usl</w:t>
      </w:r>
      <w:r w:rsidRPr="006D654B">
        <w:rPr>
          <w:rStyle w:val="hps"/>
          <w:rFonts w:ascii="Constantia" w:hAnsi="Constantia"/>
          <w:color w:val="000000"/>
          <w:lang w:val="sr-Latn-CS"/>
        </w:rPr>
        <w:t>ed sagorijevanja fosilnih goriva u industriji, individualnih i lokalnih kotlarnica, emisija prilikom sagorijevanja različitih organskih materija</w:t>
      </w:r>
      <w:r>
        <w:rPr>
          <w:rStyle w:val="hps"/>
          <w:rFonts w:ascii="Constantia" w:hAnsi="Constantia"/>
          <w:color w:val="000000"/>
          <w:lang w:val="sr-Latn-CS"/>
        </w:rPr>
        <w:t xml:space="preserve"> </w:t>
      </w:r>
      <w:r w:rsidRPr="006D654B">
        <w:rPr>
          <w:rStyle w:val="hps"/>
          <w:rFonts w:ascii="Constantia" w:hAnsi="Constantia"/>
          <w:color w:val="000000"/>
          <w:lang w:val="sr-Latn-CS"/>
        </w:rPr>
        <w:t>- biomase i sl</w:t>
      </w:r>
      <w:r>
        <w:rPr>
          <w:rStyle w:val="hps"/>
          <w:rFonts w:ascii="Constantia" w:hAnsi="Constantia"/>
          <w:color w:val="000000"/>
          <w:lang w:val="sr-Latn-CS"/>
        </w:rPr>
        <w:t>.</w:t>
      </w:r>
      <w:r w:rsidRPr="006D654B">
        <w:rPr>
          <w:rStyle w:val="hps"/>
          <w:rFonts w:ascii="Constantia" w:hAnsi="Constantia"/>
          <w:color w:val="000000"/>
          <w:lang w:val="sr-Latn-CS"/>
        </w:rPr>
        <w:t>) predstavlja jedan od najznačajnih izvora zagađenja.</w:t>
      </w:r>
      <w:r>
        <w:rPr>
          <w:rFonts w:ascii="Constantia" w:hAnsi="Constantia"/>
          <w:lang w:val="sr-Latn-CS"/>
        </w:rPr>
        <w:t xml:space="preserve"> U svrhu praćenja istog, i Programom za 2013. godinu</w:t>
      </w:r>
      <w:r w:rsidRPr="006D654B">
        <w:rPr>
          <w:rFonts w:ascii="Constantia" w:hAnsi="Constantia"/>
          <w:lang w:val="sr-Latn-CS"/>
        </w:rPr>
        <w:t xml:space="preserve"> obuhvaćene su lokacije u </w:t>
      </w:r>
      <w:r w:rsidRPr="006D654B">
        <w:rPr>
          <w:rFonts w:ascii="Constantia" w:hAnsi="Constantia"/>
          <w:b/>
          <w:lang w:val="sr-Latn-CS"/>
        </w:rPr>
        <w:t>Podgorici, Nikšiću i Pljevljima</w:t>
      </w:r>
      <w:r w:rsidRPr="006D654B">
        <w:rPr>
          <w:rFonts w:ascii="Constantia" w:hAnsi="Constantia"/>
          <w:lang w:val="sr-Latn-CS"/>
        </w:rPr>
        <w:t xml:space="preserve"> u kojima se nalaze tri industrijske crne tačke</w:t>
      </w:r>
      <w:r>
        <w:rPr>
          <w:rFonts w:ascii="Constantia" w:hAnsi="Constantia"/>
          <w:lang w:val="sr-Latn-CS"/>
        </w:rPr>
        <w:t>,</w:t>
      </w:r>
      <w:r w:rsidRPr="006D654B">
        <w:rPr>
          <w:rFonts w:ascii="Constantia" w:hAnsi="Constantia"/>
          <w:lang w:val="sr-Latn-CS"/>
        </w:rPr>
        <w:t xml:space="preserve"> kao i lokacija </w:t>
      </w:r>
      <w:r>
        <w:rPr>
          <w:rFonts w:ascii="Constantia" w:hAnsi="Constantia"/>
          <w:lang w:val="sr-Latn-CS"/>
        </w:rPr>
        <w:t xml:space="preserve">na </w:t>
      </w:r>
      <w:r w:rsidRPr="006D654B">
        <w:rPr>
          <w:rFonts w:ascii="Constantia" w:hAnsi="Constantia"/>
          <w:lang w:val="sr-Latn-CS"/>
        </w:rPr>
        <w:t xml:space="preserve">kojoj </w:t>
      </w:r>
      <w:r>
        <w:rPr>
          <w:rFonts w:ascii="Constantia" w:hAnsi="Constantia"/>
          <w:lang w:val="sr-Latn-CS"/>
        </w:rPr>
        <w:t xml:space="preserve">je </w:t>
      </w:r>
      <w:r w:rsidRPr="006D654B">
        <w:rPr>
          <w:rFonts w:ascii="Constantia" w:hAnsi="Constantia"/>
          <w:lang w:val="sr-Latn-CS"/>
        </w:rPr>
        <w:t>realizova</w:t>
      </w:r>
      <w:r>
        <w:rPr>
          <w:rFonts w:ascii="Constantia" w:hAnsi="Constantia"/>
          <w:lang w:val="sr-Latn-CS"/>
        </w:rPr>
        <w:t xml:space="preserve">no </w:t>
      </w:r>
      <w:r w:rsidRPr="006D654B">
        <w:rPr>
          <w:rFonts w:ascii="Constantia" w:hAnsi="Constantia"/>
          <w:lang w:val="sr-Latn-CS"/>
        </w:rPr>
        <w:t>uništ</w:t>
      </w:r>
      <w:r>
        <w:rPr>
          <w:rFonts w:ascii="Constantia" w:hAnsi="Constantia"/>
          <w:lang w:val="sr-Latn-CS"/>
        </w:rPr>
        <w:t>ava</w:t>
      </w:r>
      <w:r w:rsidRPr="006D654B">
        <w:rPr>
          <w:rFonts w:ascii="Constantia" w:hAnsi="Constantia"/>
          <w:lang w:val="sr-Latn-CS"/>
        </w:rPr>
        <w:t>nje municije</w:t>
      </w:r>
      <w:r>
        <w:rPr>
          <w:rFonts w:ascii="Constantia" w:hAnsi="Constantia"/>
          <w:lang w:val="sr-Latn-CS"/>
        </w:rPr>
        <w:t xml:space="preserve"> </w:t>
      </w:r>
      <w:r w:rsidRPr="006D654B">
        <w:rPr>
          <w:rFonts w:ascii="Constantia" w:hAnsi="Constantia"/>
          <w:lang w:val="sr-Latn-CS"/>
        </w:rPr>
        <w:t>-</w:t>
      </w:r>
      <w:r>
        <w:rPr>
          <w:rFonts w:ascii="Constantia" w:hAnsi="Constantia"/>
          <w:lang w:val="sr-Latn-CS"/>
        </w:rPr>
        <w:t xml:space="preserve"> </w:t>
      </w:r>
      <w:r w:rsidRPr="006D654B">
        <w:rPr>
          <w:rFonts w:ascii="Constantia" w:hAnsi="Constantia"/>
          <w:b/>
          <w:lang w:val="sr-Latn-CS"/>
        </w:rPr>
        <w:t>Golija</w:t>
      </w:r>
      <w:r>
        <w:rPr>
          <w:rFonts w:ascii="Constantia" w:hAnsi="Constantia"/>
          <w:lang w:val="sr-Latn-CS"/>
        </w:rPr>
        <w:t>. N</w:t>
      </w:r>
      <w:r w:rsidRPr="006D654B">
        <w:rPr>
          <w:rFonts w:ascii="Constantia" w:hAnsi="Constantia"/>
          <w:lang w:val="sr-Latn-CS"/>
        </w:rPr>
        <w:t>a lokacijama koje bi primarno reprezentovale zagađenje iz naved</w:t>
      </w:r>
      <w:r>
        <w:rPr>
          <w:rFonts w:ascii="Constantia" w:hAnsi="Constantia"/>
          <w:lang w:val="sr-Latn-CS"/>
        </w:rPr>
        <w:t>enih industrijskih postrojenja uzorkovano je ukupno 4 uzor</w:t>
      </w:r>
      <w:r w:rsidRPr="006D654B">
        <w:rPr>
          <w:rFonts w:ascii="Constantia" w:hAnsi="Constantia"/>
          <w:lang w:val="sr-Latn-CS"/>
        </w:rPr>
        <w:t>ka zemljišta i to u naseljima:</w:t>
      </w:r>
      <w:r>
        <w:rPr>
          <w:rFonts w:ascii="Constantia" w:hAnsi="Constantia"/>
          <w:lang w:val="sr-Latn-CS"/>
        </w:rPr>
        <w:t xml:space="preserve"> </w:t>
      </w:r>
      <w:r w:rsidRPr="00C810FA">
        <w:rPr>
          <w:rFonts w:ascii="Constantia" w:hAnsi="Constantia"/>
          <w:lang w:val="sr-Latn-CS"/>
        </w:rPr>
        <w:t>Srpska (okolina KAP-a), Rubeža (okolina Željezare Nikšić), Komini (okolina TE Pljevlja) i Golija (uniš</w:t>
      </w:r>
      <w:r w:rsidRPr="006D654B">
        <w:rPr>
          <w:rFonts w:ascii="Constantia" w:hAnsi="Constantia"/>
          <w:lang w:val="sr-Latn-CS"/>
        </w:rPr>
        <w:t>tavanje municije</w:t>
      </w:r>
      <w:r>
        <w:rPr>
          <w:rFonts w:ascii="Constantia" w:hAnsi="Constantia"/>
          <w:lang w:val="sr-Latn-CS"/>
        </w:rPr>
        <w:t>)</w:t>
      </w:r>
      <w:r w:rsidRPr="006D654B">
        <w:rPr>
          <w:rFonts w:ascii="Constantia" w:hAnsi="Constantia"/>
          <w:lang w:val="sr-Latn-CS"/>
        </w:rPr>
        <w:t>.</w:t>
      </w:r>
    </w:p>
    <w:p w:rsidR="00E7780B" w:rsidRPr="005E4028" w:rsidRDefault="00E7780B" w:rsidP="00694576">
      <w:pPr>
        <w:rPr>
          <w:rStyle w:val="hps"/>
          <w:rFonts w:ascii="Constantia" w:hAnsi="Constantia"/>
          <w:color w:val="000000"/>
          <w:lang w:val="sr-Latn-CS"/>
        </w:rPr>
      </w:pPr>
      <w:r w:rsidRPr="006D654B">
        <w:rPr>
          <w:rStyle w:val="hps"/>
          <w:rFonts w:ascii="Constantia" w:hAnsi="Constantia"/>
          <w:color w:val="000000"/>
          <w:lang w:val="sr-Latn-CS"/>
        </w:rPr>
        <w:t xml:space="preserve">Povećan sadržaj poliaromatskih ugljovodonika u zemljištu uzorkovanim u naselju </w:t>
      </w:r>
      <w:r w:rsidRPr="00C810FA">
        <w:rPr>
          <w:rStyle w:val="hps"/>
          <w:rFonts w:ascii="Constantia" w:hAnsi="Constantia"/>
          <w:color w:val="000000"/>
          <w:lang w:val="sr-Latn-CS"/>
        </w:rPr>
        <w:t>Srpska</w:t>
      </w:r>
      <w:r w:rsidRPr="006D654B">
        <w:rPr>
          <w:rStyle w:val="hps"/>
          <w:rFonts w:ascii="Constantia" w:hAnsi="Constantia"/>
          <w:color w:val="000000"/>
          <w:lang w:val="sr-Latn-CS"/>
        </w:rPr>
        <w:t xml:space="preserve"> (u</w:t>
      </w:r>
      <w:r>
        <w:rPr>
          <w:rStyle w:val="hps"/>
          <w:rFonts w:ascii="Constantia" w:hAnsi="Constantia"/>
          <w:color w:val="000000"/>
          <w:lang w:val="sr-Latn-CS"/>
        </w:rPr>
        <w:t xml:space="preserve"> blizini </w:t>
      </w:r>
      <w:r w:rsidRPr="006D654B">
        <w:rPr>
          <w:rStyle w:val="hps"/>
          <w:rFonts w:ascii="Constantia" w:hAnsi="Constantia"/>
          <w:color w:val="000000"/>
          <w:lang w:val="sr-Latn-CS"/>
        </w:rPr>
        <w:t>saobraćajnic</w:t>
      </w:r>
      <w:r>
        <w:rPr>
          <w:rStyle w:val="hps"/>
          <w:rFonts w:ascii="Constantia" w:hAnsi="Constantia"/>
          <w:color w:val="000000"/>
          <w:lang w:val="sr-Latn-CS"/>
        </w:rPr>
        <w:t>e</w:t>
      </w:r>
      <w:r w:rsidRPr="006D654B">
        <w:rPr>
          <w:rStyle w:val="hps"/>
          <w:rFonts w:ascii="Constantia" w:hAnsi="Constantia"/>
          <w:color w:val="000000"/>
          <w:lang w:val="sr-Latn-CS"/>
        </w:rPr>
        <w:t>)</w:t>
      </w:r>
      <w:r w:rsidR="007A6FCD">
        <w:rPr>
          <w:rStyle w:val="hps"/>
          <w:rFonts w:ascii="Constantia" w:hAnsi="Constantia"/>
          <w:color w:val="000000"/>
          <w:lang w:val="sr-Latn-CS"/>
        </w:rPr>
        <w:t xml:space="preserve"> </w:t>
      </w:r>
      <w:r w:rsidRPr="006D654B">
        <w:rPr>
          <w:rStyle w:val="hps"/>
          <w:rFonts w:ascii="Constantia" w:hAnsi="Constantia"/>
          <w:color w:val="000000"/>
          <w:lang w:val="sr-Latn-CS"/>
        </w:rPr>
        <w:t>posl</w:t>
      </w:r>
      <w:r>
        <w:rPr>
          <w:rStyle w:val="hps"/>
          <w:rFonts w:ascii="Constantia" w:hAnsi="Constantia"/>
          <w:color w:val="000000"/>
          <w:lang w:val="sr-Latn-CS"/>
        </w:rPr>
        <w:t xml:space="preserve">edica je </w:t>
      </w:r>
      <w:r w:rsidRPr="006D654B">
        <w:rPr>
          <w:rStyle w:val="hps"/>
          <w:rFonts w:ascii="Constantia" w:hAnsi="Constantia"/>
          <w:color w:val="000000"/>
          <w:lang w:val="sr-Latn-CS"/>
        </w:rPr>
        <w:t>emisije iz KAP-a, asfaltne baze</w:t>
      </w:r>
      <w:r>
        <w:rPr>
          <w:rStyle w:val="hps"/>
          <w:rFonts w:ascii="Constantia" w:hAnsi="Constantia"/>
          <w:color w:val="000000"/>
          <w:lang w:val="sr-Latn-CS"/>
        </w:rPr>
        <w:t>,</w:t>
      </w:r>
      <w:r w:rsidRPr="006D654B">
        <w:rPr>
          <w:rStyle w:val="hps"/>
          <w:rFonts w:ascii="Constantia" w:hAnsi="Constantia"/>
          <w:color w:val="000000"/>
          <w:lang w:val="sr-Latn-CS"/>
        </w:rPr>
        <w:t xml:space="preserve"> a djelimično i saobraćaja. Povećan sadržaj fluorida </w:t>
      </w:r>
      <w:r>
        <w:rPr>
          <w:rStyle w:val="hps"/>
          <w:rFonts w:ascii="Constantia" w:hAnsi="Constantia"/>
          <w:color w:val="000000"/>
          <w:lang w:val="sr-Latn-CS"/>
        </w:rPr>
        <w:t xml:space="preserve">pripisuje se </w:t>
      </w:r>
      <w:r w:rsidRPr="006D654B">
        <w:rPr>
          <w:rStyle w:val="hps"/>
          <w:rFonts w:ascii="Constantia" w:hAnsi="Constantia"/>
          <w:color w:val="000000"/>
          <w:lang w:val="sr-Latn-CS"/>
        </w:rPr>
        <w:t>rad</w:t>
      </w:r>
      <w:r>
        <w:rPr>
          <w:rStyle w:val="hps"/>
          <w:rFonts w:ascii="Constantia" w:hAnsi="Constantia"/>
          <w:color w:val="000000"/>
          <w:lang w:val="sr-Latn-CS"/>
        </w:rPr>
        <w:t>u</w:t>
      </w:r>
      <w:r w:rsidRPr="006D654B">
        <w:rPr>
          <w:rStyle w:val="hps"/>
          <w:rFonts w:ascii="Constantia" w:hAnsi="Constantia"/>
          <w:color w:val="000000"/>
          <w:lang w:val="sr-Latn-CS"/>
        </w:rPr>
        <w:t xml:space="preserve"> elektrolize.</w:t>
      </w:r>
    </w:p>
    <w:p w:rsidR="00E7780B" w:rsidRDefault="00E7780B" w:rsidP="00694576">
      <w:pPr>
        <w:rPr>
          <w:rFonts w:ascii="Constantia" w:hAnsi="Constantia"/>
          <w:lang w:val="sr-Latn-CS"/>
        </w:rPr>
      </w:pPr>
      <w:r w:rsidRPr="006D654B">
        <w:rPr>
          <w:rFonts w:ascii="Constantia" w:hAnsi="Constantia"/>
          <w:lang w:val="sr-Latn-CS"/>
        </w:rPr>
        <w:t xml:space="preserve">U naselju </w:t>
      </w:r>
      <w:r w:rsidRPr="00C810FA">
        <w:rPr>
          <w:rFonts w:ascii="Constantia" w:hAnsi="Constantia"/>
          <w:lang w:val="sr-Latn-CS"/>
        </w:rPr>
        <w:t xml:space="preserve">Rubeža </w:t>
      </w:r>
      <w:r>
        <w:rPr>
          <w:rFonts w:ascii="Constantia" w:hAnsi="Constantia"/>
          <w:lang w:val="sr-Latn-CS"/>
        </w:rPr>
        <w:t xml:space="preserve">evidentirano je povećanje sadržaja olova, hroma, nikla, fluora i cinka, kao i poliaromatskih </w:t>
      </w:r>
      <w:r w:rsidRPr="006D654B">
        <w:rPr>
          <w:rStyle w:val="hps"/>
          <w:rFonts w:ascii="Constantia" w:hAnsi="Constantia"/>
          <w:color w:val="000000"/>
          <w:lang w:val="sr-Latn-CS"/>
        </w:rPr>
        <w:t xml:space="preserve">ugljovodonika </w:t>
      </w:r>
      <w:r>
        <w:rPr>
          <w:rStyle w:val="hps"/>
          <w:rFonts w:ascii="Constantia" w:hAnsi="Constantia"/>
          <w:color w:val="000000"/>
          <w:lang w:val="sr-Latn-CS"/>
        </w:rPr>
        <w:t xml:space="preserve">i četiri PCB kongenera, </w:t>
      </w:r>
      <w:r w:rsidRPr="006D654B">
        <w:rPr>
          <w:rStyle w:val="hps"/>
          <w:rFonts w:ascii="Constantia" w:hAnsi="Constantia"/>
          <w:color w:val="000000"/>
          <w:lang w:val="sr-Latn-CS"/>
        </w:rPr>
        <w:t xml:space="preserve">u </w:t>
      </w:r>
      <w:r>
        <w:rPr>
          <w:rStyle w:val="hps"/>
          <w:rFonts w:ascii="Constantia" w:hAnsi="Constantia"/>
          <w:color w:val="000000"/>
          <w:lang w:val="sr-Latn-CS"/>
        </w:rPr>
        <w:t>odnosu na</w:t>
      </w:r>
      <w:r>
        <w:rPr>
          <w:rFonts w:ascii="Constantia" w:hAnsi="Constantia"/>
          <w:lang w:val="sr-Latn-CS"/>
        </w:rPr>
        <w:t xml:space="preserve"> </w:t>
      </w:r>
      <w:r w:rsidRPr="006D654B">
        <w:rPr>
          <w:rFonts w:ascii="Constantia" w:hAnsi="Constantia"/>
          <w:lang w:val="sr-Latn-CS"/>
        </w:rPr>
        <w:t>normiran</w:t>
      </w:r>
      <w:r>
        <w:rPr>
          <w:rFonts w:ascii="Constantia" w:hAnsi="Constantia"/>
          <w:lang w:val="sr-Latn-CS"/>
        </w:rPr>
        <w:t>e</w:t>
      </w:r>
      <w:r w:rsidRPr="006D654B">
        <w:rPr>
          <w:rFonts w:ascii="Constantia" w:hAnsi="Constantia"/>
          <w:lang w:val="sr-Latn-CS"/>
        </w:rPr>
        <w:t xml:space="preserve"> vrij</w:t>
      </w:r>
      <w:r>
        <w:rPr>
          <w:rFonts w:ascii="Constantia" w:hAnsi="Constantia"/>
          <w:lang w:val="sr-Latn-CS"/>
        </w:rPr>
        <w:t>ednosti.</w:t>
      </w:r>
    </w:p>
    <w:p w:rsidR="00E7780B" w:rsidRPr="005E4028" w:rsidRDefault="00E7780B" w:rsidP="00694576">
      <w:pPr>
        <w:rPr>
          <w:rFonts w:ascii="Constantia" w:hAnsi="Constantia"/>
          <w:lang w:val="sr-Latn-CS"/>
        </w:rPr>
      </w:pPr>
      <w:r>
        <w:rPr>
          <w:rFonts w:ascii="Constantia" w:hAnsi="Constantia"/>
          <w:lang w:val="sr-Latn-CS"/>
        </w:rPr>
        <w:t xml:space="preserve">Rezultati analize pokazuju da </w:t>
      </w:r>
      <w:r w:rsidRPr="006D654B">
        <w:rPr>
          <w:rFonts w:ascii="Constantia" w:hAnsi="Constantia"/>
          <w:lang w:val="sr-Latn-CS"/>
        </w:rPr>
        <w:t>nema povećanog sadržaja opasnih i štetnih materija u uzorku zem</w:t>
      </w:r>
      <w:r>
        <w:rPr>
          <w:rFonts w:ascii="Constantia" w:hAnsi="Constantia"/>
          <w:lang w:val="sr-Latn-CS"/>
        </w:rPr>
        <w:t xml:space="preserve">ljišta na lokaciji </w:t>
      </w:r>
      <w:r w:rsidRPr="00C810FA">
        <w:rPr>
          <w:rFonts w:ascii="Constantia" w:hAnsi="Constantia"/>
          <w:lang w:val="sr-Latn-CS"/>
        </w:rPr>
        <w:t xml:space="preserve">Komini, </w:t>
      </w:r>
      <w:r w:rsidRPr="006D654B">
        <w:rPr>
          <w:rFonts w:ascii="Constantia" w:hAnsi="Constantia"/>
          <w:lang w:val="sr-Latn-CS"/>
        </w:rPr>
        <w:t>koji</w:t>
      </w:r>
      <w:r>
        <w:rPr>
          <w:rFonts w:ascii="Constantia" w:hAnsi="Constantia"/>
          <w:lang w:val="sr-Latn-CS"/>
        </w:rPr>
        <w:t xml:space="preserve"> bi mogao biti uzrokovan radom </w:t>
      </w:r>
      <w:r w:rsidRPr="006D654B">
        <w:rPr>
          <w:rFonts w:ascii="Constantia" w:hAnsi="Constantia"/>
          <w:lang w:val="sr-Latn-CS"/>
        </w:rPr>
        <w:t>TE Pljevlja.</w:t>
      </w:r>
      <w:r>
        <w:rPr>
          <w:rFonts w:ascii="Constantia" w:hAnsi="Constantia"/>
          <w:lang w:val="sr-Latn-CS"/>
        </w:rPr>
        <w:t xml:space="preserve"> </w:t>
      </w:r>
    </w:p>
    <w:p w:rsidR="00E7780B" w:rsidRPr="005E4028" w:rsidRDefault="00E7780B" w:rsidP="00694576">
      <w:pPr>
        <w:rPr>
          <w:rFonts w:ascii="Constantia" w:hAnsi="Constantia"/>
          <w:lang w:val="sr-Latn-CS"/>
        </w:rPr>
      </w:pPr>
      <w:r>
        <w:rPr>
          <w:rFonts w:ascii="Constantia" w:hAnsi="Constantia"/>
          <w:lang w:val="sr-Latn-CS"/>
        </w:rPr>
        <w:t xml:space="preserve">U uzorku zemljišta uzorkovanom na </w:t>
      </w:r>
      <w:r w:rsidRPr="00C810FA">
        <w:rPr>
          <w:rFonts w:ascii="Constantia" w:hAnsi="Constantia"/>
          <w:lang w:val="sr-Latn-CS"/>
        </w:rPr>
        <w:t>Goliji</w:t>
      </w:r>
      <w:r>
        <w:rPr>
          <w:rFonts w:ascii="Constantia" w:hAnsi="Constantia"/>
          <w:lang w:val="sr-Latn-CS"/>
        </w:rPr>
        <w:t xml:space="preserve">, sadržaj svih ispitivanih parametara je u okvirima normiranih vrijednosti. </w:t>
      </w:r>
    </w:p>
    <w:p w:rsidR="00E7780B" w:rsidRPr="005E4028" w:rsidRDefault="00E7780B" w:rsidP="00A278C7">
      <w:pPr>
        <w:rPr>
          <w:rStyle w:val="hps"/>
          <w:rFonts w:ascii="Constantia" w:hAnsi="Constantia"/>
          <w:lang w:val="sr-Latn-CS"/>
        </w:rPr>
      </w:pPr>
      <w:r w:rsidRPr="006D654B">
        <w:rPr>
          <w:rStyle w:val="hps"/>
          <w:rFonts w:ascii="Constantia" w:hAnsi="Constantia"/>
          <w:color w:val="000000"/>
          <w:lang w:val="sr-Latn-CS"/>
        </w:rPr>
        <w:t xml:space="preserve">Uticaj </w:t>
      </w:r>
      <w:r>
        <w:rPr>
          <w:rStyle w:val="hps"/>
          <w:rFonts w:ascii="Constantia" w:hAnsi="Constantia"/>
          <w:b/>
          <w:color w:val="000000"/>
          <w:lang w:val="sr-Latn-CS"/>
        </w:rPr>
        <w:t>emisije</w:t>
      </w:r>
      <w:r w:rsidRPr="006D654B">
        <w:rPr>
          <w:rStyle w:val="hps"/>
          <w:rFonts w:ascii="Constantia" w:hAnsi="Constantia"/>
          <w:b/>
          <w:color w:val="000000"/>
          <w:lang w:val="sr-Latn-CS"/>
        </w:rPr>
        <w:t xml:space="preserve"> od motornih vozila koji koriste naftu i derivate</w:t>
      </w:r>
      <w:r>
        <w:rPr>
          <w:rStyle w:val="hps"/>
          <w:rFonts w:ascii="Constantia" w:hAnsi="Constantia"/>
          <w:color w:val="000000"/>
          <w:lang w:val="sr-Latn-CS"/>
        </w:rPr>
        <w:t xml:space="preserve"> sagledan je  kroz analize 9</w:t>
      </w:r>
      <w:r w:rsidRPr="006D654B">
        <w:rPr>
          <w:rStyle w:val="hps"/>
          <w:rFonts w:ascii="Constantia" w:hAnsi="Constantia"/>
          <w:color w:val="000000"/>
          <w:lang w:val="sr-Latn-CS"/>
        </w:rPr>
        <w:t xml:space="preserve"> uzoraka zemljišta pored saobraćajnica. </w:t>
      </w:r>
      <w:r>
        <w:rPr>
          <w:rStyle w:val="hps"/>
          <w:rFonts w:ascii="Constantia" w:hAnsi="Constantia"/>
          <w:color w:val="000000"/>
          <w:lang w:val="sr-Latn-CS"/>
        </w:rPr>
        <w:t>Olovo (od neorganskih</w:t>
      </w:r>
      <w:r w:rsidR="007A6FCD">
        <w:rPr>
          <w:rStyle w:val="hps"/>
          <w:rFonts w:ascii="Constantia" w:hAnsi="Constantia"/>
          <w:color w:val="000000"/>
          <w:lang w:val="sr-Latn-CS"/>
        </w:rPr>
        <w:t xml:space="preserve"> materija</w:t>
      </w:r>
      <w:r>
        <w:rPr>
          <w:rStyle w:val="hps"/>
          <w:rFonts w:ascii="Constantia" w:hAnsi="Constantia"/>
          <w:color w:val="000000"/>
          <w:lang w:val="sr-Latn-CS"/>
        </w:rPr>
        <w:t xml:space="preserve">) i poliaromatični </w:t>
      </w:r>
      <w:r>
        <w:rPr>
          <w:rStyle w:val="hps"/>
          <w:rFonts w:ascii="Constantia" w:hAnsi="Constantia"/>
          <w:color w:val="000000"/>
          <w:lang w:val="sr-Latn-CS"/>
        </w:rPr>
        <w:lastRenderedPageBreak/>
        <w:t xml:space="preserve">ugljovodonici (od organskih materija) predstavljaju tipične indikatore zagađenja koje potiče od izduvnih gasova motornih vozila. </w:t>
      </w:r>
      <w:r w:rsidRPr="006D654B">
        <w:rPr>
          <w:rStyle w:val="hps"/>
          <w:rFonts w:ascii="Constantia" w:hAnsi="Constantia"/>
          <w:color w:val="000000"/>
          <w:lang w:val="sr-Latn-CS"/>
        </w:rPr>
        <w:t>Rezultat</w:t>
      </w:r>
      <w:r>
        <w:rPr>
          <w:rStyle w:val="hps"/>
          <w:rFonts w:ascii="Constantia" w:hAnsi="Constantia"/>
          <w:color w:val="000000"/>
          <w:lang w:val="sr-Latn-CS"/>
        </w:rPr>
        <w:t>i analize i ove, kao i prethodnih godina</w:t>
      </w:r>
      <w:r w:rsidRPr="006D654B">
        <w:rPr>
          <w:rStyle w:val="hps"/>
          <w:rFonts w:ascii="Constantia" w:hAnsi="Constantia"/>
          <w:color w:val="000000"/>
          <w:lang w:val="sr-Latn-CS"/>
        </w:rPr>
        <w:t>, pokazuju nepostojanje povećanog sadržaja olova u uzorkovanom zemljištu. U</w:t>
      </w:r>
      <w:r>
        <w:rPr>
          <w:rStyle w:val="hps"/>
          <w:rFonts w:ascii="Constantia" w:hAnsi="Constantia"/>
          <w:color w:val="000000"/>
          <w:lang w:val="sr-Latn-CS"/>
        </w:rPr>
        <w:t xml:space="preserve"> slučaju organskih indikatora, </w:t>
      </w:r>
      <w:r w:rsidRPr="006D654B">
        <w:rPr>
          <w:rStyle w:val="hps"/>
          <w:rFonts w:ascii="Constantia" w:hAnsi="Constantia"/>
          <w:color w:val="000000"/>
          <w:lang w:val="sr-Latn-CS"/>
        </w:rPr>
        <w:t xml:space="preserve">od </w:t>
      </w:r>
      <w:r>
        <w:rPr>
          <w:rStyle w:val="hps"/>
          <w:rFonts w:ascii="Constantia" w:hAnsi="Constantia"/>
          <w:color w:val="000000"/>
          <w:lang w:val="sr-Latn-CS"/>
        </w:rPr>
        <w:t xml:space="preserve">9 </w:t>
      </w:r>
      <w:r w:rsidRPr="006D654B">
        <w:rPr>
          <w:rStyle w:val="hps"/>
          <w:rFonts w:ascii="Constantia" w:hAnsi="Constantia"/>
          <w:color w:val="000000"/>
          <w:lang w:val="sr-Latn-CS"/>
        </w:rPr>
        <w:t xml:space="preserve">uzoraka zemljišta </w:t>
      </w:r>
      <w:r>
        <w:rPr>
          <w:rStyle w:val="hps"/>
          <w:rFonts w:ascii="Constantia" w:hAnsi="Constantia"/>
          <w:color w:val="000000"/>
          <w:lang w:val="sr-Latn-CS"/>
        </w:rPr>
        <w:t xml:space="preserve">uzorkovanih pored saobraćajnica, ove godine je samo u jednom (na lokaciji pored saobraćajnice NK-PG u opštini Nikšić) </w:t>
      </w:r>
      <w:r w:rsidRPr="006D654B">
        <w:rPr>
          <w:rStyle w:val="hps"/>
          <w:rFonts w:ascii="Constantia" w:hAnsi="Constantia"/>
          <w:color w:val="000000"/>
          <w:lang w:val="sr-Latn-CS"/>
        </w:rPr>
        <w:t xml:space="preserve">utvrđeno prisustvo </w:t>
      </w:r>
      <w:r>
        <w:rPr>
          <w:rStyle w:val="hps"/>
          <w:rFonts w:ascii="Constantia" w:hAnsi="Constantia"/>
          <w:color w:val="000000"/>
          <w:lang w:val="sr-Latn-CS"/>
        </w:rPr>
        <w:t>poliaromatičnih ugljovodonika</w:t>
      </w:r>
      <w:r w:rsidRPr="006D654B">
        <w:rPr>
          <w:rStyle w:val="hps"/>
          <w:rFonts w:ascii="Constantia" w:hAnsi="Constantia"/>
          <w:color w:val="000000"/>
          <w:lang w:val="sr-Latn-CS"/>
        </w:rPr>
        <w:t xml:space="preserve">. </w:t>
      </w:r>
      <w:r>
        <w:rPr>
          <w:rStyle w:val="hps"/>
          <w:rFonts w:ascii="Constantia" w:hAnsi="Constantia"/>
          <w:color w:val="000000"/>
          <w:lang w:val="sr-Latn-CS"/>
        </w:rPr>
        <w:t>Ovako dobri r</w:t>
      </w:r>
      <w:r w:rsidRPr="006D654B">
        <w:rPr>
          <w:rStyle w:val="hps"/>
          <w:rFonts w:ascii="Constantia" w:hAnsi="Constantia"/>
          <w:color w:val="000000"/>
          <w:lang w:val="sr-Latn-CS"/>
        </w:rPr>
        <w:t>ezultati se mogu povezati sa sve već</w:t>
      </w:r>
      <w:r>
        <w:rPr>
          <w:rStyle w:val="hps"/>
          <w:rFonts w:ascii="Constantia" w:hAnsi="Constantia"/>
          <w:color w:val="000000"/>
          <w:lang w:val="sr-Latn-CS"/>
        </w:rPr>
        <w:t>o</w:t>
      </w:r>
      <w:r w:rsidRPr="006D654B">
        <w:rPr>
          <w:rStyle w:val="hps"/>
          <w:rFonts w:ascii="Constantia" w:hAnsi="Constantia"/>
          <w:color w:val="000000"/>
          <w:lang w:val="sr-Latn-CS"/>
        </w:rPr>
        <w:t>m</w:t>
      </w:r>
      <w:r>
        <w:rPr>
          <w:rStyle w:val="hps"/>
          <w:rFonts w:ascii="Constantia" w:hAnsi="Constantia"/>
          <w:color w:val="000000"/>
          <w:lang w:val="sr-Latn-CS"/>
        </w:rPr>
        <w:t xml:space="preserve"> upotrebom</w:t>
      </w:r>
      <w:r w:rsidRPr="006D654B">
        <w:rPr>
          <w:rStyle w:val="hps"/>
          <w:rFonts w:ascii="Constantia" w:hAnsi="Constantia"/>
          <w:color w:val="000000"/>
          <w:lang w:val="sr-Latn-CS"/>
        </w:rPr>
        <w:t xml:space="preserve"> bezolovnog goriva.</w:t>
      </w:r>
    </w:p>
    <w:p w:rsidR="00E7780B" w:rsidRPr="005E4028" w:rsidRDefault="00E7780B" w:rsidP="00694576">
      <w:pPr>
        <w:rPr>
          <w:rStyle w:val="hps"/>
          <w:rFonts w:ascii="Constantia" w:hAnsi="Constantia"/>
          <w:color w:val="000000"/>
          <w:lang w:val="sr-Latn-CS"/>
        </w:rPr>
      </w:pPr>
      <w:r w:rsidRPr="006D654B">
        <w:rPr>
          <w:rFonts w:ascii="Constantia" w:hAnsi="Constantia"/>
          <w:lang w:val="sr-Latn-CS"/>
        </w:rPr>
        <w:t>Potencijalno z</w:t>
      </w:r>
      <w:r w:rsidRPr="006D654B">
        <w:rPr>
          <w:rStyle w:val="hps"/>
          <w:rFonts w:ascii="Constantia" w:hAnsi="Constantia"/>
          <w:color w:val="000000"/>
          <w:lang w:val="sr-Latn-CS"/>
        </w:rPr>
        <w:t xml:space="preserve">agađenje zemljišta zbog </w:t>
      </w:r>
      <w:r w:rsidRPr="006D654B">
        <w:rPr>
          <w:rStyle w:val="hps"/>
          <w:rFonts w:ascii="Constantia" w:hAnsi="Constantia"/>
          <w:b/>
          <w:color w:val="000000"/>
          <w:lang w:val="sr-Latn-CS"/>
        </w:rPr>
        <w:t>neselektovanog i nepropisno odloženog industrijskog ili komunalnog otpada</w:t>
      </w:r>
      <w:r>
        <w:rPr>
          <w:rStyle w:val="hps"/>
          <w:rFonts w:ascii="Constantia" w:hAnsi="Constantia"/>
          <w:color w:val="000000"/>
          <w:lang w:val="sr-Latn-CS"/>
        </w:rPr>
        <w:t xml:space="preserve"> sagledano je kroz fizičko-</w:t>
      </w:r>
      <w:r w:rsidRPr="006D654B">
        <w:rPr>
          <w:rStyle w:val="hps"/>
          <w:rFonts w:ascii="Constantia" w:hAnsi="Constantia"/>
          <w:color w:val="000000"/>
          <w:lang w:val="sr-Latn-CS"/>
        </w:rPr>
        <w:t xml:space="preserve">hemijsku analizu zemljišta uzorkovanog u blizini deponija komunalnog otpada </w:t>
      </w:r>
      <w:r>
        <w:rPr>
          <w:rStyle w:val="hps"/>
          <w:rFonts w:ascii="Constantia" w:hAnsi="Constantia"/>
          <w:color w:val="000000"/>
          <w:lang w:val="sr-Latn-CS"/>
        </w:rPr>
        <w:t>na</w:t>
      </w:r>
      <w:r w:rsidRPr="006D654B">
        <w:rPr>
          <w:rStyle w:val="hps"/>
          <w:rFonts w:ascii="Constantia" w:hAnsi="Constantia"/>
          <w:color w:val="000000"/>
          <w:lang w:val="sr-Latn-CS"/>
        </w:rPr>
        <w:t xml:space="preserve"> Žabljaku i </w:t>
      </w:r>
      <w:r>
        <w:rPr>
          <w:rStyle w:val="hps"/>
          <w:rFonts w:ascii="Constantia" w:hAnsi="Constantia"/>
          <w:color w:val="000000"/>
          <w:lang w:val="sr-Latn-CS"/>
        </w:rPr>
        <w:t xml:space="preserve">u Bijelom Polju, u blizini </w:t>
      </w:r>
      <w:r w:rsidRPr="006D654B">
        <w:rPr>
          <w:rStyle w:val="hps"/>
          <w:rFonts w:ascii="Constantia" w:hAnsi="Constantia"/>
          <w:color w:val="000000"/>
          <w:lang w:val="sr-Latn-CS"/>
        </w:rPr>
        <w:t>deponije industrijsk</w:t>
      </w:r>
      <w:r>
        <w:rPr>
          <w:rStyle w:val="hps"/>
          <w:rFonts w:ascii="Constantia" w:hAnsi="Constantia"/>
          <w:color w:val="000000"/>
          <w:lang w:val="sr-Latn-CS"/>
        </w:rPr>
        <w:t>og otpada Željezare u Nikšiću, r</w:t>
      </w:r>
      <w:r w:rsidRPr="006D654B">
        <w:rPr>
          <w:rStyle w:val="hps"/>
          <w:rFonts w:ascii="Constantia" w:hAnsi="Constantia"/>
          <w:color w:val="000000"/>
          <w:lang w:val="sr-Latn-CS"/>
        </w:rPr>
        <w:t xml:space="preserve">udnika Brskovo u Mojkovcu, kao i </w:t>
      </w:r>
      <w:r>
        <w:rPr>
          <w:rStyle w:val="hps"/>
          <w:rFonts w:ascii="Constantia" w:hAnsi="Constantia"/>
          <w:color w:val="000000"/>
          <w:lang w:val="sr-Latn-CS"/>
        </w:rPr>
        <w:t xml:space="preserve">u blizini </w:t>
      </w:r>
      <w:r w:rsidRPr="006D654B">
        <w:rPr>
          <w:rStyle w:val="hps"/>
          <w:rFonts w:ascii="Constantia" w:hAnsi="Constantia"/>
          <w:color w:val="000000"/>
          <w:lang w:val="sr-Latn-CS"/>
        </w:rPr>
        <w:t>Jalovišta i Gradca u Pljevljima.</w:t>
      </w:r>
    </w:p>
    <w:p w:rsidR="00E7780B" w:rsidRDefault="00E7780B" w:rsidP="00694576">
      <w:pPr>
        <w:rPr>
          <w:rFonts w:ascii="Constantia" w:hAnsi="Constantia"/>
          <w:lang w:val="sr-Latn-CS"/>
        </w:rPr>
      </w:pPr>
      <w:r>
        <w:rPr>
          <w:rFonts w:ascii="Constantia" w:hAnsi="Constantia"/>
          <w:lang w:val="sr-Latn-CS"/>
        </w:rPr>
        <w:t xml:space="preserve">Uticaj deponije komunalnog otpada na sadržaj polutanata u zemljištu uzorkovanom u neposrednoj blizini gradske deponije na Žabljaku očitovan je kroz povećanje koncetracije neorganskog polutanta kadmijuma. </w:t>
      </w:r>
    </w:p>
    <w:p w:rsidR="00E7780B" w:rsidRPr="005E4028" w:rsidRDefault="00E7780B" w:rsidP="00694576">
      <w:pPr>
        <w:rPr>
          <w:rFonts w:ascii="Constantia" w:hAnsi="Constantia"/>
          <w:lang w:val="sr-Latn-CS"/>
        </w:rPr>
      </w:pPr>
      <w:r w:rsidRPr="006D654B">
        <w:rPr>
          <w:rFonts w:ascii="Constantia" w:hAnsi="Constantia"/>
          <w:lang w:val="sr-Latn-CS"/>
        </w:rPr>
        <w:t>Ove godine</w:t>
      </w:r>
      <w:r>
        <w:rPr>
          <w:rFonts w:ascii="Constantia" w:hAnsi="Constantia"/>
          <w:lang w:val="sr-Latn-CS"/>
        </w:rPr>
        <w:t>,</w:t>
      </w:r>
      <w:r w:rsidRPr="006D654B">
        <w:rPr>
          <w:rFonts w:ascii="Constantia" w:hAnsi="Constantia"/>
          <w:lang w:val="sr-Latn-CS"/>
        </w:rPr>
        <w:t xml:space="preserve"> u uzorku neobradivog zemljišta uzorkovanom </w:t>
      </w:r>
      <w:r>
        <w:rPr>
          <w:rFonts w:ascii="Constantia" w:hAnsi="Constantia"/>
          <w:lang w:val="sr-Latn-CS"/>
        </w:rPr>
        <w:t>oko 200</w:t>
      </w:r>
      <w:r w:rsidR="001B700F">
        <w:rPr>
          <w:rFonts w:ascii="Constantia" w:hAnsi="Constantia"/>
          <w:lang w:val="sr-Latn-CS"/>
        </w:rPr>
        <w:t xml:space="preserve"> </w:t>
      </w:r>
      <w:r>
        <w:rPr>
          <w:rFonts w:ascii="Constantia" w:hAnsi="Constantia"/>
          <w:lang w:val="sr-Latn-CS"/>
        </w:rPr>
        <w:t xml:space="preserve">m </w:t>
      </w:r>
      <w:r w:rsidRPr="006D654B">
        <w:rPr>
          <w:rFonts w:ascii="Constantia" w:hAnsi="Constantia"/>
          <w:lang w:val="sr-Latn-CS"/>
        </w:rPr>
        <w:t>od deponije</w:t>
      </w:r>
      <w:r>
        <w:rPr>
          <w:rFonts w:ascii="Constantia" w:hAnsi="Constantia"/>
          <w:lang w:val="sr-Latn-CS"/>
        </w:rPr>
        <w:t xml:space="preserve"> Željezare</w:t>
      </w:r>
      <w:r w:rsidRPr="006D654B">
        <w:rPr>
          <w:rFonts w:ascii="Constantia" w:hAnsi="Constantia"/>
          <w:lang w:val="sr-Latn-CS"/>
        </w:rPr>
        <w:t xml:space="preserve"> </w:t>
      </w:r>
      <w:r>
        <w:rPr>
          <w:rFonts w:ascii="Constantia" w:hAnsi="Constantia"/>
          <w:lang w:val="sr-Latn-CS"/>
        </w:rPr>
        <w:t>skoro svi</w:t>
      </w:r>
      <w:r w:rsidRPr="006D654B">
        <w:rPr>
          <w:rFonts w:ascii="Constantia" w:hAnsi="Constantia"/>
          <w:lang w:val="sr-Latn-CS"/>
        </w:rPr>
        <w:t xml:space="preserve"> analizirani parametr</w:t>
      </w:r>
      <w:r>
        <w:rPr>
          <w:rFonts w:ascii="Constantia" w:hAnsi="Constantia"/>
          <w:lang w:val="sr-Latn-CS"/>
        </w:rPr>
        <w:t>i ne prevazilaze</w:t>
      </w:r>
      <w:r w:rsidRPr="006D654B">
        <w:rPr>
          <w:rFonts w:ascii="Constantia" w:hAnsi="Constantia"/>
          <w:lang w:val="sr-Latn-CS"/>
        </w:rPr>
        <w:t xml:space="preserve"> MDK normirane Pravilnikom.</w:t>
      </w:r>
      <w:r>
        <w:rPr>
          <w:rFonts w:ascii="Constantia" w:hAnsi="Constantia"/>
          <w:lang w:val="sr-Latn-CS"/>
        </w:rPr>
        <w:t xml:space="preserve"> Izuzetak je povećanje sadržaja nikla i hroma, koje se ne pripisuje uticaju deponije.</w:t>
      </w:r>
    </w:p>
    <w:p w:rsidR="00E7780B" w:rsidRPr="005E4028" w:rsidRDefault="00E7780B" w:rsidP="00694576">
      <w:pPr>
        <w:rPr>
          <w:rFonts w:ascii="Constantia" w:hAnsi="Constantia"/>
          <w:lang w:val="sr-Latn-CS"/>
        </w:rPr>
      </w:pPr>
      <w:r w:rsidRPr="006D654B">
        <w:rPr>
          <w:rFonts w:ascii="Constantia" w:hAnsi="Constantia"/>
          <w:lang w:val="sr-Latn-CS"/>
        </w:rPr>
        <w:t xml:space="preserve">Rezultati analize zemljišta u blizini </w:t>
      </w:r>
      <w:r>
        <w:rPr>
          <w:rFonts w:ascii="Constantia" w:hAnsi="Constantia"/>
          <w:lang w:val="sr-Latn-CS"/>
        </w:rPr>
        <w:t>r</w:t>
      </w:r>
      <w:r w:rsidRPr="006D654B">
        <w:rPr>
          <w:rFonts w:ascii="Constantia" w:hAnsi="Constantia"/>
          <w:lang w:val="sr-Latn-CS"/>
        </w:rPr>
        <w:t xml:space="preserve">udnika </w:t>
      </w:r>
      <w:r w:rsidRPr="00767F14">
        <w:rPr>
          <w:rFonts w:ascii="Constantia" w:hAnsi="Constantia"/>
          <w:lang w:val="sr-Latn-CS"/>
        </w:rPr>
        <w:t xml:space="preserve">Brskovo </w:t>
      </w:r>
      <w:r w:rsidRPr="006D654B">
        <w:rPr>
          <w:rFonts w:ascii="Constantia" w:hAnsi="Constantia"/>
          <w:lang w:val="sr-Latn-CS"/>
        </w:rPr>
        <w:t xml:space="preserve">pokazuju povećan sadržaj </w:t>
      </w:r>
      <w:r w:rsidRPr="006D654B">
        <w:rPr>
          <w:rFonts w:ascii="Constantia" w:hAnsi="Constantia"/>
          <w:color w:val="000000"/>
          <w:lang w:val="sr-Latn-CS"/>
        </w:rPr>
        <w:t xml:space="preserve">olova, žive, </w:t>
      </w:r>
      <w:r>
        <w:rPr>
          <w:rFonts w:ascii="Constantia" w:hAnsi="Constantia"/>
          <w:color w:val="000000"/>
          <w:lang w:val="sr-Latn-CS"/>
        </w:rPr>
        <w:t xml:space="preserve">kadmijuma, </w:t>
      </w:r>
      <w:r w:rsidRPr="006D654B">
        <w:rPr>
          <w:rFonts w:ascii="Constantia" w:hAnsi="Constantia"/>
          <w:color w:val="000000"/>
          <w:lang w:val="sr-Latn-CS"/>
        </w:rPr>
        <w:t>arsena</w:t>
      </w:r>
      <w:r>
        <w:rPr>
          <w:rFonts w:ascii="Constantia" w:hAnsi="Constantia"/>
          <w:color w:val="000000"/>
          <w:lang w:val="sr-Latn-CS"/>
        </w:rPr>
        <w:t>, bakra</w:t>
      </w:r>
      <w:r w:rsidRPr="006D654B">
        <w:rPr>
          <w:rFonts w:ascii="Constantia" w:hAnsi="Constantia"/>
          <w:color w:val="000000"/>
          <w:lang w:val="sr-Latn-CS"/>
        </w:rPr>
        <w:t xml:space="preserve"> i cinka </w:t>
      </w:r>
      <w:r w:rsidRPr="006D654B">
        <w:rPr>
          <w:rFonts w:ascii="Constantia" w:hAnsi="Constantia"/>
          <w:lang w:val="sr-Latn-CS"/>
        </w:rPr>
        <w:t xml:space="preserve">u odnosu na normirane vrijednosti. </w:t>
      </w:r>
      <w:r>
        <w:rPr>
          <w:rFonts w:ascii="Constantia" w:hAnsi="Constantia"/>
          <w:lang w:val="sr-Latn-CS"/>
        </w:rPr>
        <w:t xml:space="preserve">Ipak, mora se naglasiti da je za cijelo to područje karakterističan visok sadržaj navedenih metala geohemijskog porijekla. Sadržaj svih ostalih ispitivanih parametara je u okvirima propisanih vrijednosti. </w:t>
      </w:r>
    </w:p>
    <w:p w:rsidR="00E7780B" w:rsidRDefault="00E7780B" w:rsidP="00694576">
      <w:pPr>
        <w:tabs>
          <w:tab w:val="left" w:pos="360"/>
        </w:tabs>
        <w:rPr>
          <w:rStyle w:val="hps"/>
          <w:rFonts w:ascii="Constantia" w:hAnsi="Constantia"/>
          <w:color w:val="000000"/>
          <w:lang w:val="sr-Latn-CS"/>
        </w:rPr>
      </w:pPr>
      <w:r>
        <w:rPr>
          <w:rStyle w:val="hps"/>
          <w:rFonts w:ascii="Constantia" w:hAnsi="Constantia"/>
          <w:lang w:val="sr-Latn-CS"/>
        </w:rPr>
        <w:t>N</w:t>
      </w:r>
      <w:r w:rsidRPr="00331F89">
        <w:rPr>
          <w:rStyle w:val="hps"/>
          <w:rFonts w:ascii="Constantia" w:hAnsi="Constantia"/>
          <w:lang w:val="sr-Latn-CS"/>
        </w:rPr>
        <w:t>a lokaciji Grad</w:t>
      </w:r>
      <w:r>
        <w:rPr>
          <w:rStyle w:val="hps"/>
          <w:rFonts w:ascii="Constantia" w:hAnsi="Constantia"/>
          <w:lang w:val="sr-Latn-CS"/>
        </w:rPr>
        <w:t>ac</w:t>
      </w:r>
      <w:r w:rsidRPr="00331F89">
        <w:rPr>
          <w:rStyle w:val="hps"/>
          <w:rFonts w:ascii="Constantia" w:hAnsi="Constantia"/>
          <w:lang w:val="sr-Latn-CS"/>
        </w:rPr>
        <w:t xml:space="preserve"> evidentirano je povećanje sadržaja</w:t>
      </w:r>
      <w:r>
        <w:rPr>
          <w:rStyle w:val="hps"/>
          <w:rFonts w:ascii="Constantia" w:hAnsi="Constantia"/>
          <w:color w:val="FF0000"/>
          <w:lang w:val="sr-Latn-CS"/>
        </w:rPr>
        <w:t xml:space="preserve"> </w:t>
      </w:r>
      <w:r w:rsidRPr="006D654B">
        <w:rPr>
          <w:rFonts w:ascii="Constantia" w:hAnsi="Constantia"/>
          <w:color w:val="000000"/>
          <w:lang w:val="sr-Latn-CS"/>
        </w:rPr>
        <w:t xml:space="preserve">olova, </w:t>
      </w:r>
      <w:r>
        <w:rPr>
          <w:rFonts w:ascii="Constantia" w:hAnsi="Constantia"/>
          <w:color w:val="000000"/>
          <w:lang w:val="sr-Latn-CS"/>
        </w:rPr>
        <w:t xml:space="preserve">kadmijuma, </w:t>
      </w:r>
      <w:r w:rsidRPr="006D654B">
        <w:rPr>
          <w:rFonts w:ascii="Constantia" w:hAnsi="Constantia"/>
          <w:color w:val="000000"/>
          <w:lang w:val="sr-Latn-CS"/>
        </w:rPr>
        <w:t>arsena</w:t>
      </w:r>
      <w:r>
        <w:rPr>
          <w:rFonts w:ascii="Constantia" w:hAnsi="Constantia"/>
          <w:color w:val="000000"/>
          <w:lang w:val="sr-Latn-CS"/>
        </w:rPr>
        <w:t>, fluora, bakra</w:t>
      </w:r>
      <w:r w:rsidRPr="006D654B">
        <w:rPr>
          <w:rFonts w:ascii="Constantia" w:hAnsi="Constantia"/>
          <w:color w:val="000000"/>
          <w:lang w:val="sr-Latn-CS"/>
        </w:rPr>
        <w:t xml:space="preserve"> i cinka </w:t>
      </w:r>
      <w:r w:rsidRPr="006D654B">
        <w:rPr>
          <w:rFonts w:ascii="Constantia" w:hAnsi="Constantia"/>
          <w:lang w:val="sr-Latn-CS"/>
        </w:rPr>
        <w:t xml:space="preserve">u </w:t>
      </w:r>
      <w:r>
        <w:rPr>
          <w:rFonts w:ascii="Constantia" w:hAnsi="Constantia"/>
          <w:lang w:val="sr-Latn-CS"/>
        </w:rPr>
        <w:t>odnosu na normirane vrijednosti, dok je u</w:t>
      </w:r>
      <w:r>
        <w:rPr>
          <w:rStyle w:val="hps"/>
          <w:rFonts w:ascii="Constantia" w:hAnsi="Constantia"/>
          <w:color w:val="000000"/>
          <w:lang w:val="sr-Latn-CS"/>
        </w:rPr>
        <w:t xml:space="preserve"> uzorku zemljišta uzorkovanim u blizini </w:t>
      </w:r>
      <w:r w:rsidRPr="00975C46">
        <w:rPr>
          <w:rStyle w:val="hps"/>
          <w:rFonts w:ascii="Constantia" w:hAnsi="Constantia"/>
          <w:lang w:val="sr-Latn-CS"/>
        </w:rPr>
        <w:t>Jalovišta</w:t>
      </w:r>
      <w:r>
        <w:rPr>
          <w:rStyle w:val="hps"/>
          <w:rFonts w:ascii="Constantia" w:hAnsi="Constantia"/>
          <w:lang w:val="sr-Latn-CS"/>
        </w:rPr>
        <w:t xml:space="preserve"> TE Pljevlja </w:t>
      </w:r>
      <w:r>
        <w:rPr>
          <w:rFonts w:ascii="Constantia" w:hAnsi="Constantia"/>
          <w:lang w:val="sr-Latn-CS"/>
        </w:rPr>
        <w:t>s</w:t>
      </w:r>
      <w:r w:rsidRPr="006D654B">
        <w:rPr>
          <w:rFonts w:ascii="Constantia" w:hAnsi="Constantia"/>
          <w:lang w:val="sr-Latn-CS"/>
        </w:rPr>
        <w:t xml:space="preserve">adržaj svih </w:t>
      </w:r>
      <w:r>
        <w:rPr>
          <w:rFonts w:ascii="Constantia" w:hAnsi="Constantia"/>
          <w:lang w:val="sr-Latn-CS"/>
        </w:rPr>
        <w:t xml:space="preserve">ispitivanih parametara </w:t>
      </w:r>
      <w:r w:rsidRPr="006D654B">
        <w:rPr>
          <w:rStyle w:val="hps"/>
          <w:rFonts w:ascii="Constantia" w:hAnsi="Constantia"/>
          <w:color w:val="000000"/>
          <w:lang w:val="sr-Latn-CS"/>
        </w:rPr>
        <w:t xml:space="preserve">ispod </w:t>
      </w:r>
      <w:r>
        <w:rPr>
          <w:rStyle w:val="hps"/>
          <w:rFonts w:ascii="Constantia" w:hAnsi="Constantia"/>
          <w:color w:val="000000"/>
          <w:lang w:val="sr-Latn-CS"/>
        </w:rPr>
        <w:t>propisanih MDK</w:t>
      </w:r>
      <w:r w:rsidRPr="006D654B">
        <w:rPr>
          <w:rStyle w:val="hps"/>
          <w:rFonts w:ascii="Constantia" w:hAnsi="Constantia"/>
          <w:color w:val="000000"/>
          <w:lang w:val="sr-Latn-CS"/>
        </w:rPr>
        <w:t>.</w:t>
      </w:r>
    </w:p>
    <w:p w:rsidR="00E7780B" w:rsidRPr="005E4028" w:rsidRDefault="00E7780B" w:rsidP="00694576">
      <w:pPr>
        <w:tabs>
          <w:tab w:val="left" w:pos="360"/>
        </w:tabs>
        <w:rPr>
          <w:rStyle w:val="hps"/>
          <w:rFonts w:ascii="Constantia" w:hAnsi="Constantia"/>
          <w:color w:val="000000"/>
          <w:lang w:val="sr-Latn-CS"/>
        </w:rPr>
      </w:pPr>
      <w:r>
        <w:rPr>
          <w:rStyle w:val="hps"/>
          <w:rFonts w:ascii="Constantia" w:hAnsi="Constantia"/>
          <w:color w:val="000000"/>
          <w:lang w:val="sr-Latn-CS"/>
        </w:rPr>
        <w:t>Kroz fizičko-</w:t>
      </w:r>
      <w:r w:rsidRPr="006D654B">
        <w:rPr>
          <w:rStyle w:val="hps"/>
          <w:rFonts w:ascii="Constantia" w:hAnsi="Constantia"/>
          <w:color w:val="000000"/>
          <w:lang w:val="sr-Latn-CS"/>
        </w:rPr>
        <w:t>hemijsku analizu triazina, ditiokarbamata, karbamata, hlorfen</w:t>
      </w:r>
      <w:r>
        <w:rPr>
          <w:rStyle w:val="hps"/>
          <w:rFonts w:ascii="Constantia" w:hAnsi="Constantia"/>
          <w:color w:val="000000"/>
          <w:lang w:val="sr-Latn-CS"/>
        </w:rPr>
        <w:t xml:space="preserve">oksi i organohlornih pesticida </w:t>
      </w:r>
      <w:r w:rsidRPr="006D654B">
        <w:rPr>
          <w:rStyle w:val="hps"/>
          <w:rFonts w:ascii="Constantia" w:hAnsi="Constantia"/>
          <w:color w:val="000000"/>
          <w:lang w:val="sr-Latn-CS"/>
        </w:rPr>
        <w:t xml:space="preserve">uzoraka </w:t>
      </w:r>
      <w:r w:rsidRPr="00263EBA">
        <w:rPr>
          <w:rStyle w:val="hps"/>
          <w:rFonts w:ascii="Constantia" w:hAnsi="Constantia"/>
          <w:b/>
          <w:color w:val="000000"/>
          <w:lang w:val="sr-Latn-CS"/>
        </w:rPr>
        <w:t>poljoprivrednog zemljišta</w:t>
      </w:r>
      <w:r>
        <w:rPr>
          <w:rStyle w:val="hps"/>
          <w:rFonts w:ascii="Constantia" w:hAnsi="Constantia"/>
          <w:color w:val="000000"/>
          <w:lang w:val="sr-Latn-CS"/>
        </w:rPr>
        <w:t xml:space="preserve"> sagledano j</w:t>
      </w:r>
      <w:r w:rsidRPr="006D654B">
        <w:rPr>
          <w:rStyle w:val="hps"/>
          <w:rFonts w:ascii="Constantia" w:hAnsi="Constantia"/>
          <w:color w:val="000000"/>
          <w:lang w:val="sr-Latn-CS"/>
        </w:rPr>
        <w:t xml:space="preserve">e moguće zagađenje zemljišta uzrokovano neadekvatnom </w:t>
      </w:r>
      <w:r w:rsidRPr="00244BB4">
        <w:rPr>
          <w:rStyle w:val="hps"/>
          <w:rFonts w:ascii="Constantia" w:hAnsi="Constantia"/>
          <w:color w:val="000000"/>
          <w:lang w:val="sr-Latn-CS"/>
        </w:rPr>
        <w:t>upotrebom</w:t>
      </w:r>
      <w:r w:rsidRPr="00244BB4">
        <w:rPr>
          <w:rStyle w:val="hps"/>
          <w:rFonts w:ascii="Constantia" w:hAnsi="Constantia"/>
          <w:b/>
          <w:color w:val="000000"/>
          <w:lang w:val="sr-Latn-CS"/>
        </w:rPr>
        <w:t xml:space="preserve"> sredstava za zaštitu bilja</w:t>
      </w:r>
      <w:r w:rsidRPr="006D654B">
        <w:rPr>
          <w:rStyle w:val="hps"/>
          <w:rFonts w:ascii="Constantia" w:hAnsi="Constantia"/>
          <w:color w:val="000000"/>
          <w:lang w:val="sr-Latn-CS"/>
        </w:rPr>
        <w:t>. U nijednom od analiziranih uzoraka prisustvo navedenih grupa hemikalija nije prelazilo limite detekcije za ovu vrstu uzorka.</w:t>
      </w:r>
    </w:p>
    <w:p w:rsidR="00E7780B" w:rsidRPr="005E4028" w:rsidRDefault="00E7780B" w:rsidP="00694576">
      <w:pPr>
        <w:rPr>
          <w:rStyle w:val="hps"/>
          <w:rFonts w:ascii="Constantia" w:hAnsi="Constantia"/>
          <w:color w:val="000000"/>
          <w:lang w:val="sr-Latn-CS"/>
        </w:rPr>
      </w:pPr>
      <w:r w:rsidRPr="006D654B">
        <w:rPr>
          <w:rStyle w:val="hps"/>
          <w:rFonts w:ascii="Constantia" w:hAnsi="Constantia"/>
          <w:color w:val="000000"/>
          <w:lang w:val="sr-Latn-CS"/>
        </w:rPr>
        <w:t xml:space="preserve">Programom monitoringa obuhvaćeno je </w:t>
      </w:r>
      <w:r>
        <w:rPr>
          <w:rStyle w:val="hps"/>
          <w:rFonts w:ascii="Constantia" w:hAnsi="Constantia"/>
          <w:color w:val="000000"/>
          <w:lang w:val="sr-Latn-CS"/>
        </w:rPr>
        <w:t xml:space="preserve">i </w:t>
      </w:r>
      <w:r w:rsidRPr="006D654B">
        <w:rPr>
          <w:rStyle w:val="hps"/>
          <w:rFonts w:ascii="Constantia" w:hAnsi="Constantia"/>
          <w:color w:val="000000"/>
          <w:lang w:val="sr-Latn-CS"/>
        </w:rPr>
        <w:t xml:space="preserve">ispitivanje 10 uzoraka </w:t>
      </w:r>
      <w:r w:rsidRPr="006D654B">
        <w:rPr>
          <w:rStyle w:val="hps"/>
          <w:rFonts w:ascii="Constantia" w:hAnsi="Constantia"/>
          <w:b/>
          <w:color w:val="000000"/>
          <w:lang w:val="sr-Latn-CS"/>
        </w:rPr>
        <w:t>zemljišta pored trafostanica</w:t>
      </w:r>
      <w:r w:rsidRPr="006D654B">
        <w:rPr>
          <w:rStyle w:val="hps"/>
          <w:rFonts w:ascii="Constantia" w:hAnsi="Constantia"/>
          <w:color w:val="000000"/>
          <w:lang w:val="sr-Latn-CS"/>
        </w:rPr>
        <w:t xml:space="preserve"> u </w:t>
      </w:r>
      <w:r>
        <w:rPr>
          <w:rStyle w:val="hps"/>
          <w:rFonts w:ascii="Constantia" w:hAnsi="Constantia"/>
          <w:color w:val="000000"/>
          <w:lang w:val="sr-Latn-CS"/>
        </w:rPr>
        <w:t>grado</w:t>
      </w:r>
      <w:r w:rsidRPr="006D654B">
        <w:rPr>
          <w:rStyle w:val="hps"/>
          <w:rFonts w:ascii="Constantia" w:hAnsi="Constantia"/>
          <w:color w:val="000000"/>
          <w:lang w:val="sr-Latn-CS"/>
        </w:rPr>
        <w:t>vima Podgorica, Berane,</w:t>
      </w:r>
      <w:r>
        <w:rPr>
          <w:rStyle w:val="hps"/>
          <w:rFonts w:ascii="Constantia" w:hAnsi="Constantia"/>
          <w:color w:val="000000"/>
          <w:lang w:val="sr-Latn-CS"/>
        </w:rPr>
        <w:t xml:space="preserve"> </w:t>
      </w:r>
      <w:r w:rsidRPr="006D654B">
        <w:rPr>
          <w:rStyle w:val="hps"/>
          <w:rFonts w:ascii="Constantia" w:hAnsi="Constantia"/>
          <w:color w:val="000000"/>
          <w:lang w:val="sr-Latn-CS"/>
        </w:rPr>
        <w:t xml:space="preserve">Pljevlja, Tivat i Ulcinj. </w:t>
      </w:r>
      <w:r>
        <w:rPr>
          <w:rStyle w:val="hps"/>
          <w:rFonts w:ascii="Constantia" w:hAnsi="Constantia"/>
          <w:color w:val="000000"/>
          <w:lang w:val="sr-Latn-CS"/>
        </w:rPr>
        <w:t>Ove godine, p</w:t>
      </w:r>
      <w:r w:rsidRPr="006D654B">
        <w:rPr>
          <w:rStyle w:val="hps"/>
          <w:rFonts w:ascii="Constantia" w:hAnsi="Constantia"/>
          <w:color w:val="000000"/>
          <w:lang w:val="sr-Latn-CS"/>
        </w:rPr>
        <w:t xml:space="preserve">risustvo PCB kongenera u koncentraciji iznad MDK je utvrđeno </w:t>
      </w:r>
      <w:r>
        <w:rPr>
          <w:rStyle w:val="hps"/>
          <w:rFonts w:ascii="Constantia" w:hAnsi="Constantia"/>
          <w:color w:val="000000"/>
          <w:lang w:val="sr-Latn-CS"/>
        </w:rPr>
        <w:t xml:space="preserve">samo </w:t>
      </w:r>
      <w:r w:rsidRPr="006D654B">
        <w:rPr>
          <w:rStyle w:val="hps"/>
          <w:rFonts w:ascii="Constantia" w:hAnsi="Constantia"/>
          <w:color w:val="000000"/>
          <w:lang w:val="sr-Latn-CS"/>
        </w:rPr>
        <w:t>u uzorku</w:t>
      </w:r>
      <w:r>
        <w:rPr>
          <w:rStyle w:val="hps"/>
          <w:rFonts w:ascii="Constantia" w:hAnsi="Constantia"/>
          <w:color w:val="000000"/>
          <w:lang w:val="sr-Latn-CS"/>
        </w:rPr>
        <w:t xml:space="preserve"> zemljišta uzorkovanom na lokaciji jedne od beranskih trafostanica</w:t>
      </w:r>
      <w:r w:rsidRPr="006D654B">
        <w:rPr>
          <w:rStyle w:val="hps"/>
          <w:rFonts w:ascii="Constantia" w:hAnsi="Constantia"/>
          <w:color w:val="000000"/>
          <w:lang w:val="sr-Latn-CS"/>
        </w:rPr>
        <w:t>.</w:t>
      </w:r>
      <w:r>
        <w:rPr>
          <w:rStyle w:val="hps"/>
          <w:rFonts w:ascii="Constantia" w:hAnsi="Constantia"/>
          <w:color w:val="000000"/>
          <w:lang w:val="sr-Latn-CS"/>
        </w:rPr>
        <w:t xml:space="preserve"> U svim ostalim slučajevima, vrijednosti navedenih parametara ne prelaze Pravilnikom propisane koncentracije.  </w:t>
      </w:r>
    </w:p>
    <w:p w:rsidR="00E7780B" w:rsidRPr="00F01A14" w:rsidRDefault="00E7780B" w:rsidP="00694576">
      <w:pPr>
        <w:rPr>
          <w:rStyle w:val="hps"/>
          <w:rFonts w:ascii="Constantia" w:hAnsi="Constantia"/>
          <w:lang w:val="sr-Latn-CS"/>
        </w:rPr>
      </w:pPr>
      <w:r w:rsidRPr="00F01A14">
        <w:rPr>
          <w:rStyle w:val="hps"/>
          <w:rFonts w:ascii="Constantia" w:hAnsi="Constantia"/>
          <w:lang w:val="sr-Latn-CS"/>
        </w:rPr>
        <w:t>Prisustvo dioksina i furana, kao i bilo kojeg od analiziranih polutanata sa liste POPs-ova (</w:t>
      </w:r>
      <w:r w:rsidRPr="00F01A14">
        <w:rPr>
          <w:rStyle w:val="apple-style-span"/>
          <w:rFonts w:ascii="Constantia" w:hAnsi="Constantia"/>
          <w:lang w:val="sr-Latn-CS"/>
        </w:rPr>
        <w:t>aldrin, d</w:t>
      </w:r>
      <w:r w:rsidRPr="00F01A14">
        <w:rPr>
          <w:rStyle w:val="apple-converted-space"/>
          <w:rFonts w:ascii="Constantia" w:hAnsi="Constantia"/>
          <w:lang w:val="sr-Latn-CS"/>
        </w:rPr>
        <w:t xml:space="preserve">ieldrin, endrin, hlordan, </w:t>
      </w:r>
      <w:r w:rsidRPr="00F01A14">
        <w:rPr>
          <w:rStyle w:val="apple-style-span"/>
          <w:rFonts w:ascii="Constantia" w:hAnsi="Constantia"/>
          <w:lang w:val="sr-Latn-CS"/>
        </w:rPr>
        <w:t>heptahlor, mireks, heksahlorobenzen</w:t>
      </w:r>
      <w:r>
        <w:rPr>
          <w:rStyle w:val="apple-style-span"/>
          <w:rFonts w:ascii="Constantia" w:hAnsi="Constantia"/>
          <w:lang w:val="sr-Latn-CS"/>
        </w:rPr>
        <w:t xml:space="preserve">, </w:t>
      </w:r>
      <w:r w:rsidRPr="00F01A14">
        <w:rPr>
          <w:rStyle w:val="apple-style-span"/>
          <w:rFonts w:ascii="Constantia" w:hAnsi="Constantia"/>
          <w:lang w:val="sr-Latn-CS"/>
        </w:rPr>
        <w:t>alfa</w:t>
      </w:r>
      <w:r>
        <w:rPr>
          <w:rStyle w:val="apple-style-span"/>
          <w:rFonts w:ascii="Constantia" w:hAnsi="Constantia"/>
          <w:lang w:val="sr-Latn-CS"/>
        </w:rPr>
        <w:t>-</w:t>
      </w:r>
      <w:r w:rsidRPr="00F01A14">
        <w:rPr>
          <w:rStyle w:val="apple-style-span"/>
          <w:rFonts w:ascii="Constantia" w:hAnsi="Constantia"/>
          <w:lang w:val="sr-Latn-CS"/>
        </w:rPr>
        <w:t>heksahlorocikloheks</w:t>
      </w:r>
      <w:r w:rsidRPr="00F01A14">
        <w:rPr>
          <w:rFonts w:ascii="Constantia" w:hAnsi="Constantia"/>
        </w:rPr>
        <w:t>an, beta-heksahlorocikloheksan, lindan</w:t>
      </w:r>
      <w:r w:rsidRPr="00F01A14">
        <w:rPr>
          <w:rStyle w:val="hps"/>
          <w:rFonts w:ascii="Constantia" w:hAnsi="Constantia"/>
          <w:lang w:val="sr-Latn-CS"/>
        </w:rPr>
        <w:t>), nije utvrđeno.</w:t>
      </w:r>
    </w:p>
    <w:p w:rsidR="00E7780B" w:rsidRPr="005E4028" w:rsidRDefault="00E7780B" w:rsidP="00694576">
      <w:pPr>
        <w:pStyle w:val="Grafikon"/>
        <w:numPr>
          <w:ilvl w:val="0"/>
          <w:numId w:val="0"/>
        </w:numPr>
        <w:jc w:val="both"/>
        <w:rPr>
          <w:rFonts w:ascii="Constantia" w:eastAsia="Calibri" w:hAnsi="Constantia"/>
          <w:i w:val="0"/>
          <w:sz w:val="22"/>
          <w:szCs w:val="22"/>
        </w:rPr>
      </w:pPr>
      <w:r>
        <w:rPr>
          <w:rStyle w:val="hps"/>
          <w:rFonts w:ascii="Constantia" w:hAnsi="Constantia"/>
          <w:i w:val="0"/>
          <w:color w:val="000000"/>
          <w:sz w:val="22"/>
          <w:szCs w:val="22"/>
        </w:rPr>
        <w:t>I o</w:t>
      </w:r>
      <w:r w:rsidRPr="006D654B">
        <w:rPr>
          <w:rStyle w:val="hps"/>
          <w:rFonts w:ascii="Constantia" w:hAnsi="Constantia"/>
          <w:i w:val="0"/>
          <w:color w:val="000000"/>
          <w:sz w:val="22"/>
          <w:szCs w:val="22"/>
        </w:rPr>
        <w:t>ve godine</w:t>
      </w:r>
      <w:r>
        <w:rPr>
          <w:rStyle w:val="hps"/>
          <w:rFonts w:ascii="Constantia" w:hAnsi="Constantia"/>
          <w:i w:val="0"/>
          <w:color w:val="000000"/>
          <w:sz w:val="22"/>
          <w:szCs w:val="22"/>
        </w:rPr>
        <w:t>,</w:t>
      </w:r>
      <w:r w:rsidRPr="006D654B">
        <w:rPr>
          <w:rStyle w:val="hps"/>
          <w:rFonts w:ascii="Constantia" w:hAnsi="Constantia"/>
          <w:i w:val="0"/>
          <w:color w:val="000000"/>
          <w:sz w:val="22"/>
          <w:szCs w:val="22"/>
        </w:rPr>
        <w:t xml:space="preserve"> Programom su obuhvaćene odabrane lokacije </w:t>
      </w:r>
      <w:r w:rsidRPr="006D654B">
        <w:rPr>
          <w:rStyle w:val="hps"/>
          <w:rFonts w:ascii="Constantia" w:hAnsi="Constantia"/>
          <w:b/>
          <w:i w:val="0"/>
          <w:color w:val="000000"/>
          <w:sz w:val="22"/>
          <w:szCs w:val="22"/>
        </w:rPr>
        <w:t>d</w:t>
      </w:r>
      <w:r>
        <w:rPr>
          <w:rStyle w:val="hps"/>
          <w:rFonts w:ascii="Constantia" w:hAnsi="Constantia"/>
          <w:b/>
          <w:i w:val="0"/>
          <w:color w:val="000000"/>
          <w:sz w:val="22"/>
          <w:szCs w:val="22"/>
        </w:rPr>
        <w:t>ječi</w:t>
      </w:r>
      <w:r w:rsidRPr="006D654B">
        <w:rPr>
          <w:rStyle w:val="hps"/>
          <w:rFonts w:ascii="Constantia" w:hAnsi="Constantia"/>
          <w:b/>
          <w:i w:val="0"/>
          <w:color w:val="000000"/>
          <w:sz w:val="22"/>
          <w:szCs w:val="22"/>
        </w:rPr>
        <w:t>jih igrališta</w:t>
      </w:r>
      <w:r w:rsidRPr="006D654B">
        <w:rPr>
          <w:rStyle w:val="hps"/>
          <w:rFonts w:ascii="Constantia" w:hAnsi="Constantia"/>
          <w:i w:val="0"/>
          <w:color w:val="000000"/>
          <w:sz w:val="22"/>
          <w:szCs w:val="22"/>
        </w:rPr>
        <w:t xml:space="preserve"> u Podgorici, Nikšiću, Tivtu i Pljevljima. Rezultati analize uz</w:t>
      </w:r>
      <w:r w:rsidR="005B16E4">
        <w:rPr>
          <w:rStyle w:val="hps"/>
          <w:rFonts w:ascii="Constantia" w:hAnsi="Constantia"/>
          <w:i w:val="0"/>
          <w:color w:val="000000"/>
          <w:sz w:val="22"/>
          <w:szCs w:val="22"/>
        </w:rPr>
        <w:t>oraka zemljišta uzorkovanih n</w:t>
      </w:r>
      <w:r>
        <w:rPr>
          <w:rStyle w:val="hps"/>
          <w:rFonts w:ascii="Constantia" w:hAnsi="Constantia"/>
          <w:i w:val="0"/>
          <w:color w:val="000000"/>
          <w:sz w:val="22"/>
          <w:szCs w:val="22"/>
        </w:rPr>
        <w:t xml:space="preserve">a </w:t>
      </w:r>
      <w:r w:rsidRPr="006D654B">
        <w:rPr>
          <w:rStyle w:val="hps"/>
          <w:rFonts w:ascii="Constantia" w:hAnsi="Constantia"/>
          <w:i w:val="0"/>
          <w:color w:val="000000"/>
          <w:sz w:val="22"/>
          <w:szCs w:val="22"/>
        </w:rPr>
        <w:t>dje</w:t>
      </w:r>
      <w:r>
        <w:rPr>
          <w:rStyle w:val="hps"/>
          <w:rFonts w:ascii="Constantia" w:hAnsi="Constantia"/>
          <w:i w:val="0"/>
          <w:color w:val="000000"/>
          <w:sz w:val="22"/>
          <w:szCs w:val="22"/>
        </w:rPr>
        <w:t>či</w:t>
      </w:r>
      <w:r w:rsidR="005B16E4">
        <w:rPr>
          <w:rStyle w:val="hps"/>
          <w:rFonts w:ascii="Constantia" w:hAnsi="Constantia"/>
          <w:i w:val="0"/>
          <w:color w:val="000000"/>
          <w:sz w:val="22"/>
          <w:szCs w:val="22"/>
        </w:rPr>
        <w:t>jim</w:t>
      </w:r>
      <w:r w:rsidRPr="006D654B">
        <w:rPr>
          <w:rStyle w:val="hps"/>
          <w:rFonts w:ascii="Constantia" w:hAnsi="Constantia"/>
          <w:i w:val="0"/>
          <w:color w:val="000000"/>
          <w:sz w:val="22"/>
          <w:szCs w:val="22"/>
        </w:rPr>
        <w:t xml:space="preserve"> igrališt</w:t>
      </w:r>
      <w:r w:rsidR="005B16E4">
        <w:rPr>
          <w:rStyle w:val="hps"/>
          <w:rFonts w:ascii="Constantia" w:hAnsi="Constantia"/>
          <w:i w:val="0"/>
          <w:color w:val="000000"/>
          <w:sz w:val="22"/>
          <w:szCs w:val="22"/>
        </w:rPr>
        <w:t>im</w:t>
      </w:r>
      <w:r w:rsidRPr="006D654B">
        <w:rPr>
          <w:rStyle w:val="hps"/>
          <w:rFonts w:ascii="Constantia" w:hAnsi="Constantia"/>
          <w:i w:val="0"/>
          <w:color w:val="000000"/>
          <w:sz w:val="22"/>
          <w:szCs w:val="22"/>
        </w:rPr>
        <w:t>a su više nego zadovoljavajući.</w:t>
      </w:r>
      <w:r>
        <w:rPr>
          <w:rStyle w:val="hps"/>
          <w:rFonts w:ascii="Constantia" w:hAnsi="Constantia"/>
          <w:i w:val="0"/>
          <w:color w:val="000000"/>
          <w:sz w:val="22"/>
          <w:szCs w:val="22"/>
        </w:rPr>
        <w:t xml:space="preserve"> </w:t>
      </w:r>
      <w:r w:rsidRPr="006D654B">
        <w:rPr>
          <w:rFonts w:ascii="Constantia" w:eastAsia="Calibri" w:hAnsi="Constantia"/>
          <w:i w:val="0"/>
          <w:sz w:val="22"/>
          <w:szCs w:val="22"/>
        </w:rPr>
        <w:t>Sadržaj svih opasnih i štetnih materija</w:t>
      </w:r>
      <w:r>
        <w:rPr>
          <w:rFonts w:ascii="Constantia" w:eastAsia="Calibri" w:hAnsi="Constantia"/>
          <w:i w:val="0"/>
          <w:sz w:val="22"/>
          <w:szCs w:val="22"/>
        </w:rPr>
        <w:t>,</w:t>
      </w:r>
      <w:r w:rsidRPr="006D654B">
        <w:rPr>
          <w:rFonts w:ascii="Constantia" w:eastAsia="Calibri" w:hAnsi="Constantia"/>
          <w:i w:val="0"/>
          <w:sz w:val="22"/>
          <w:szCs w:val="22"/>
        </w:rPr>
        <w:t xml:space="preserve"> kao i toksičnih i kanc</w:t>
      </w:r>
      <w:r>
        <w:rPr>
          <w:rFonts w:ascii="Constantia" w:eastAsia="Calibri" w:hAnsi="Constantia"/>
          <w:i w:val="0"/>
          <w:sz w:val="22"/>
          <w:szCs w:val="22"/>
        </w:rPr>
        <w:t>e</w:t>
      </w:r>
      <w:r w:rsidRPr="006D654B">
        <w:rPr>
          <w:rFonts w:ascii="Constantia" w:eastAsia="Calibri" w:hAnsi="Constantia"/>
          <w:i w:val="0"/>
          <w:sz w:val="22"/>
          <w:szCs w:val="22"/>
        </w:rPr>
        <w:t>rogenih materija</w:t>
      </w:r>
      <w:r>
        <w:rPr>
          <w:rFonts w:ascii="Constantia" w:eastAsia="Calibri" w:hAnsi="Constantia"/>
          <w:i w:val="0"/>
          <w:sz w:val="22"/>
          <w:szCs w:val="22"/>
        </w:rPr>
        <w:t>,</w:t>
      </w:r>
      <w:r w:rsidRPr="006D654B">
        <w:rPr>
          <w:rFonts w:ascii="Constantia" w:eastAsia="Calibri" w:hAnsi="Constantia"/>
          <w:i w:val="0"/>
          <w:sz w:val="22"/>
          <w:szCs w:val="22"/>
        </w:rPr>
        <w:t xml:space="preserve"> u uzorcima zemljišta uzorkovanih na lokacija</w:t>
      </w:r>
      <w:r>
        <w:rPr>
          <w:rFonts w:ascii="Constantia" w:eastAsia="Calibri" w:hAnsi="Constantia"/>
          <w:i w:val="0"/>
          <w:sz w:val="22"/>
          <w:szCs w:val="22"/>
        </w:rPr>
        <w:t xml:space="preserve">ma dječija igrališta u </w:t>
      </w:r>
      <w:r w:rsidRPr="006D654B">
        <w:rPr>
          <w:rFonts w:ascii="Constantia" w:eastAsia="Calibri" w:hAnsi="Constantia"/>
          <w:i w:val="0"/>
          <w:sz w:val="22"/>
          <w:szCs w:val="22"/>
        </w:rPr>
        <w:t xml:space="preserve">Nikšiću i Pljevljima </w:t>
      </w:r>
      <w:r>
        <w:rPr>
          <w:rFonts w:ascii="Constantia" w:eastAsia="Calibri" w:hAnsi="Constantia"/>
          <w:i w:val="0"/>
          <w:sz w:val="22"/>
          <w:szCs w:val="22"/>
        </w:rPr>
        <w:t xml:space="preserve">je </w:t>
      </w:r>
      <w:r w:rsidRPr="006D654B">
        <w:rPr>
          <w:rFonts w:ascii="Constantia" w:eastAsia="Calibri" w:hAnsi="Constantia"/>
          <w:i w:val="0"/>
          <w:sz w:val="22"/>
          <w:szCs w:val="22"/>
        </w:rPr>
        <w:t>ispod</w:t>
      </w:r>
      <w:r>
        <w:rPr>
          <w:rFonts w:ascii="Constantia" w:eastAsia="Calibri" w:hAnsi="Constantia"/>
          <w:i w:val="0"/>
          <w:sz w:val="22"/>
          <w:szCs w:val="22"/>
        </w:rPr>
        <w:t xml:space="preserve"> </w:t>
      </w:r>
      <w:r w:rsidRPr="006D654B">
        <w:rPr>
          <w:rFonts w:ascii="Constantia" w:eastAsia="Calibri" w:hAnsi="Constantia"/>
          <w:i w:val="0"/>
          <w:sz w:val="22"/>
          <w:szCs w:val="22"/>
        </w:rPr>
        <w:t>maksimalno dozvoljenih koncentracija normiranih Pravilnikom.</w:t>
      </w:r>
      <w:r>
        <w:rPr>
          <w:rFonts w:ascii="Constantia" w:eastAsia="Calibri" w:hAnsi="Constantia"/>
          <w:i w:val="0"/>
          <w:sz w:val="22"/>
          <w:szCs w:val="22"/>
        </w:rPr>
        <w:t xml:space="preserve"> Na lokaciji dječijeg igrališta u Podgorici, jedino odstupanje od propisanih vrijednosti ispitivanih parametara evidentirano je u slučaju sadržaja hroma i nikla. Sadržaj svih ostalih parametara odgovara okvirima Pravilnikom propisanih MDK. </w:t>
      </w:r>
    </w:p>
    <w:p w:rsidR="00E7780B" w:rsidRPr="005E4028" w:rsidRDefault="00E7780B" w:rsidP="00694576">
      <w:pPr>
        <w:pStyle w:val="Grafikon"/>
        <w:numPr>
          <w:ilvl w:val="0"/>
          <w:numId w:val="0"/>
        </w:numPr>
        <w:jc w:val="both"/>
        <w:rPr>
          <w:rFonts w:ascii="Constantia" w:eastAsiaTheme="minorHAnsi" w:hAnsi="Constantia"/>
          <w:i w:val="0"/>
          <w:sz w:val="22"/>
          <w:szCs w:val="22"/>
        </w:rPr>
      </w:pPr>
      <w:r>
        <w:rPr>
          <w:rFonts w:ascii="Constantia" w:eastAsia="Calibri" w:hAnsi="Constantia"/>
          <w:i w:val="0"/>
          <w:sz w:val="22"/>
          <w:szCs w:val="22"/>
        </w:rPr>
        <w:lastRenderedPageBreak/>
        <w:t>Na dječi</w:t>
      </w:r>
      <w:r w:rsidRPr="006D654B">
        <w:rPr>
          <w:rFonts w:ascii="Constantia" w:eastAsia="Calibri" w:hAnsi="Constantia"/>
          <w:i w:val="0"/>
          <w:sz w:val="22"/>
          <w:szCs w:val="22"/>
        </w:rPr>
        <w:t>jem igralištu u Tivtu</w:t>
      </w:r>
      <w:r>
        <w:rPr>
          <w:rFonts w:ascii="Constantia" w:eastAsia="Calibri" w:hAnsi="Constantia"/>
          <w:i w:val="0"/>
          <w:sz w:val="22"/>
          <w:szCs w:val="22"/>
        </w:rPr>
        <w:t>,</w:t>
      </w:r>
      <w:r w:rsidRPr="006D654B">
        <w:rPr>
          <w:rFonts w:ascii="Constantia" w:eastAsia="Calibri" w:hAnsi="Constantia"/>
          <w:i w:val="0"/>
          <w:sz w:val="22"/>
          <w:szCs w:val="22"/>
        </w:rPr>
        <w:t xml:space="preserve"> na Trgu Dara Petkovića je</w:t>
      </w:r>
      <w:r>
        <w:rPr>
          <w:rFonts w:ascii="Constantia" w:eastAsia="Calibri" w:hAnsi="Constantia"/>
          <w:i w:val="0"/>
          <w:sz w:val="22"/>
          <w:szCs w:val="22"/>
        </w:rPr>
        <w:t xml:space="preserve"> (</w:t>
      </w:r>
      <w:r w:rsidRPr="006D654B">
        <w:rPr>
          <w:rFonts w:ascii="Constantia" w:eastAsia="Calibri" w:hAnsi="Constantia"/>
          <w:i w:val="0"/>
          <w:sz w:val="22"/>
          <w:szCs w:val="22"/>
        </w:rPr>
        <w:t>nakon rezultata dobijenih monitoringom 2011. godine</w:t>
      </w:r>
      <w:r>
        <w:rPr>
          <w:rFonts w:ascii="Constantia" w:eastAsia="Calibri" w:hAnsi="Constantia"/>
          <w:i w:val="0"/>
          <w:sz w:val="22"/>
          <w:szCs w:val="22"/>
        </w:rPr>
        <w:t xml:space="preserve">) </w:t>
      </w:r>
      <w:r w:rsidRPr="006D654B">
        <w:rPr>
          <w:rFonts w:ascii="Constantia" w:eastAsia="Calibri" w:hAnsi="Constantia"/>
          <w:i w:val="0"/>
          <w:sz w:val="22"/>
          <w:szCs w:val="22"/>
        </w:rPr>
        <w:t>izvršen</w:t>
      </w:r>
      <w:r>
        <w:rPr>
          <w:rFonts w:ascii="Constantia" w:eastAsia="Calibri" w:hAnsi="Constantia"/>
          <w:i w:val="0"/>
          <w:sz w:val="22"/>
          <w:szCs w:val="22"/>
        </w:rPr>
        <w:t xml:space="preserve"> </w:t>
      </w:r>
      <w:r w:rsidRPr="006D654B">
        <w:rPr>
          <w:rFonts w:ascii="Constantia" w:eastAsia="Calibri" w:hAnsi="Constantia"/>
          <w:i w:val="0"/>
          <w:sz w:val="22"/>
          <w:szCs w:val="22"/>
        </w:rPr>
        <w:t xml:space="preserve">postupak </w:t>
      </w:r>
      <w:r>
        <w:rPr>
          <w:rFonts w:ascii="Constantia" w:eastAsia="Calibri" w:hAnsi="Constantia"/>
          <w:i w:val="0"/>
          <w:sz w:val="22"/>
          <w:szCs w:val="22"/>
        </w:rPr>
        <w:t xml:space="preserve">od 4 faze </w:t>
      </w:r>
      <w:r w:rsidRPr="006D654B">
        <w:rPr>
          <w:rFonts w:ascii="Constantia" w:eastAsia="Calibri" w:hAnsi="Constantia"/>
          <w:i w:val="0"/>
          <w:sz w:val="22"/>
          <w:szCs w:val="22"/>
        </w:rPr>
        <w:t>dekontaminacije zemljišta putem bioremedijacije.</w:t>
      </w:r>
      <w:r>
        <w:rPr>
          <w:rFonts w:ascii="Constantia" w:eastAsia="Calibri" w:hAnsi="Constantia"/>
          <w:i w:val="0"/>
          <w:sz w:val="22"/>
          <w:szCs w:val="22"/>
        </w:rPr>
        <w:t xml:space="preserve"> </w:t>
      </w:r>
      <w:r w:rsidRPr="006D654B">
        <w:rPr>
          <w:rFonts w:ascii="Constantia" w:eastAsia="Calibri" w:hAnsi="Constantia"/>
          <w:i w:val="0"/>
          <w:sz w:val="22"/>
          <w:szCs w:val="22"/>
        </w:rPr>
        <w:t xml:space="preserve">Tokom sve </w:t>
      </w:r>
      <w:r>
        <w:rPr>
          <w:rFonts w:ascii="Constantia" w:eastAsia="Calibri" w:hAnsi="Constantia"/>
          <w:i w:val="0"/>
          <w:sz w:val="22"/>
          <w:szCs w:val="22"/>
        </w:rPr>
        <w:t xml:space="preserve">4 </w:t>
      </w:r>
      <w:r w:rsidRPr="006D654B">
        <w:rPr>
          <w:rFonts w:ascii="Constantia" w:eastAsia="Calibri" w:hAnsi="Constantia"/>
          <w:i w:val="0"/>
          <w:sz w:val="22"/>
          <w:szCs w:val="22"/>
        </w:rPr>
        <w:t>faze, kao i redovnim monitoringom z</w:t>
      </w:r>
      <w:r>
        <w:rPr>
          <w:rFonts w:ascii="Constantia" w:eastAsia="Calibri" w:hAnsi="Constantia"/>
          <w:i w:val="0"/>
          <w:sz w:val="22"/>
          <w:szCs w:val="22"/>
        </w:rPr>
        <w:t xml:space="preserve">emljišta, vršeno je uzorkovanje </w:t>
      </w:r>
      <w:r w:rsidRPr="006D654B">
        <w:rPr>
          <w:rFonts w:ascii="Constantia" w:eastAsia="Calibri" w:hAnsi="Constantia"/>
          <w:i w:val="0"/>
          <w:sz w:val="22"/>
          <w:szCs w:val="22"/>
        </w:rPr>
        <w:t>na</w:t>
      </w:r>
      <w:r>
        <w:rPr>
          <w:rFonts w:ascii="Constantia" w:eastAsia="Calibri" w:hAnsi="Constantia"/>
          <w:i w:val="0"/>
          <w:sz w:val="22"/>
          <w:szCs w:val="22"/>
        </w:rPr>
        <w:t xml:space="preserve"> pomenutoj lokaciji. Rezultati </w:t>
      </w:r>
      <w:r w:rsidRPr="006D654B">
        <w:rPr>
          <w:rFonts w:ascii="Constantia" w:eastAsia="Calibri" w:hAnsi="Constantia"/>
          <w:i w:val="0"/>
          <w:sz w:val="22"/>
          <w:szCs w:val="22"/>
        </w:rPr>
        <w:t>analiza ukazuju da je koncentracija poliaromatičnih ugljovodonika u konstantnom padu, ali da je ista još uv</w:t>
      </w:r>
      <w:r>
        <w:rPr>
          <w:rFonts w:ascii="Constantia" w:eastAsia="Calibri" w:hAnsi="Constantia"/>
          <w:i w:val="0"/>
          <w:sz w:val="22"/>
          <w:szCs w:val="22"/>
        </w:rPr>
        <w:t>i</w:t>
      </w:r>
      <w:r w:rsidRPr="006D654B">
        <w:rPr>
          <w:rFonts w:ascii="Constantia" w:eastAsia="Calibri" w:hAnsi="Constantia"/>
          <w:i w:val="0"/>
          <w:sz w:val="22"/>
          <w:szCs w:val="22"/>
        </w:rPr>
        <w:t xml:space="preserve">jek nešto iznad MDK utvrđenih Pravilnikom, </w:t>
      </w:r>
      <w:r w:rsidRPr="006D654B">
        <w:rPr>
          <w:rFonts w:ascii="Constantia" w:eastAsiaTheme="minorHAnsi" w:hAnsi="Constantia"/>
          <w:i w:val="0"/>
          <w:sz w:val="22"/>
          <w:szCs w:val="22"/>
        </w:rPr>
        <w:t xml:space="preserve">dok je sadržaj </w:t>
      </w:r>
      <w:r>
        <w:rPr>
          <w:rFonts w:ascii="Constantia" w:eastAsiaTheme="minorHAnsi" w:hAnsi="Constantia"/>
          <w:i w:val="0"/>
          <w:sz w:val="22"/>
          <w:szCs w:val="22"/>
        </w:rPr>
        <w:t xml:space="preserve">svih </w:t>
      </w:r>
      <w:r w:rsidRPr="006D654B">
        <w:rPr>
          <w:rFonts w:ascii="Constantia" w:eastAsiaTheme="minorHAnsi" w:hAnsi="Constantia"/>
          <w:i w:val="0"/>
          <w:sz w:val="22"/>
          <w:szCs w:val="22"/>
        </w:rPr>
        <w:t>ostalih neorganskih i organskih polutanata ispod MDK normiranih Pravilnikom.</w:t>
      </w:r>
    </w:p>
    <w:p w:rsidR="00E7780B" w:rsidRDefault="00E7780B" w:rsidP="00694576">
      <w:pPr>
        <w:pStyle w:val="Grafikon"/>
        <w:numPr>
          <w:ilvl w:val="0"/>
          <w:numId w:val="0"/>
        </w:numPr>
        <w:jc w:val="both"/>
        <w:rPr>
          <w:rFonts w:ascii="Constantia" w:eastAsia="Calibri" w:hAnsi="Constantia"/>
          <w:i w:val="0"/>
          <w:sz w:val="22"/>
          <w:szCs w:val="22"/>
        </w:rPr>
      </w:pPr>
      <w:r>
        <w:rPr>
          <w:rFonts w:ascii="Constantia" w:eastAsia="Calibri" w:hAnsi="Constantia"/>
          <w:i w:val="0"/>
          <w:sz w:val="22"/>
          <w:szCs w:val="22"/>
        </w:rPr>
        <w:t>Dječi</w:t>
      </w:r>
      <w:r w:rsidRPr="006D654B">
        <w:rPr>
          <w:rFonts w:ascii="Constantia" w:eastAsia="Calibri" w:hAnsi="Constantia"/>
          <w:i w:val="0"/>
          <w:sz w:val="22"/>
          <w:szCs w:val="22"/>
        </w:rPr>
        <w:t>ja igrališta su jedan od niza pozitivnih primjera kako planiranje kvalitetanog programa monitoringa</w:t>
      </w:r>
      <w:r>
        <w:rPr>
          <w:rFonts w:ascii="Constantia" w:eastAsia="Calibri" w:hAnsi="Constantia"/>
          <w:i w:val="0"/>
          <w:sz w:val="22"/>
          <w:szCs w:val="22"/>
        </w:rPr>
        <w:t xml:space="preserve">, kao i </w:t>
      </w:r>
      <w:r w:rsidRPr="006D654B">
        <w:rPr>
          <w:rFonts w:ascii="Constantia" w:eastAsia="Calibri" w:hAnsi="Constantia"/>
          <w:i w:val="0"/>
          <w:sz w:val="22"/>
          <w:szCs w:val="22"/>
        </w:rPr>
        <w:t>t</w:t>
      </w:r>
      <w:r>
        <w:rPr>
          <w:rFonts w:ascii="Constantia" w:eastAsia="Calibri" w:hAnsi="Constantia"/>
          <w:i w:val="0"/>
          <w:sz w:val="22"/>
          <w:szCs w:val="22"/>
        </w:rPr>
        <w:t xml:space="preserve">umačenje rezultata monitoringa, </w:t>
      </w:r>
      <w:r w:rsidRPr="006D654B">
        <w:rPr>
          <w:rFonts w:ascii="Constantia" w:eastAsia="Calibri" w:hAnsi="Constantia"/>
          <w:i w:val="0"/>
          <w:sz w:val="22"/>
          <w:szCs w:val="22"/>
        </w:rPr>
        <w:t>upućuju na davanje kvalitetnih pr</w:t>
      </w:r>
      <w:r>
        <w:rPr>
          <w:rFonts w:ascii="Constantia" w:eastAsia="Calibri" w:hAnsi="Constantia"/>
          <w:i w:val="0"/>
          <w:sz w:val="22"/>
          <w:szCs w:val="22"/>
        </w:rPr>
        <w:t>ij</w:t>
      </w:r>
      <w:r w:rsidRPr="006D654B">
        <w:rPr>
          <w:rFonts w:ascii="Constantia" w:eastAsia="Calibri" w:hAnsi="Constantia"/>
          <w:i w:val="0"/>
          <w:sz w:val="22"/>
          <w:szCs w:val="22"/>
        </w:rPr>
        <w:t>edloga mjera za poboljšanje kavaliteta stanja životne sredine.</w:t>
      </w:r>
    </w:p>
    <w:p w:rsidR="00694576" w:rsidRDefault="00694576" w:rsidP="00694576">
      <w:pPr>
        <w:pStyle w:val="Grafikon"/>
        <w:numPr>
          <w:ilvl w:val="0"/>
          <w:numId w:val="0"/>
        </w:numPr>
        <w:jc w:val="both"/>
        <w:rPr>
          <w:rFonts w:ascii="Constantia" w:eastAsia="Calibri" w:hAnsi="Constantia"/>
          <w:i w:val="0"/>
          <w:sz w:val="22"/>
          <w:szCs w:val="22"/>
        </w:rPr>
      </w:pPr>
    </w:p>
    <w:p w:rsidR="00A278C7" w:rsidRDefault="00A278C7" w:rsidP="00694576">
      <w:pPr>
        <w:pStyle w:val="Grafikon"/>
        <w:numPr>
          <w:ilvl w:val="0"/>
          <w:numId w:val="0"/>
        </w:numPr>
        <w:jc w:val="both"/>
        <w:rPr>
          <w:rFonts w:ascii="Constantia" w:eastAsia="Calibri" w:hAnsi="Constantia"/>
          <w:i w:val="0"/>
          <w:sz w:val="22"/>
          <w:szCs w:val="22"/>
        </w:rPr>
      </w:pPr>
    </w:p>
    <w:p w:rsidR="00E7780B" w:rsidRPr="005E4028" w:rsidRDefault="00E7780B" w:rsidP="00A278C7">
      <w:pPr>
        <w:pStyle w:val="Grafikon"/>
        <w:numPr>
          <w:ilvl w:val="0"/>
          <w:numId w:val="0"/>
        </w:numPr>
        <w:spacing w:line="276" w:lineRule="auto"/>
        <w:rPr>
          <w:rFonts w:ascii="Constantia" w:eastAsia="Calibri" w:hAnsi="Constantia"/>
          <w:i w:val="0"/>
          <w:sz w:val="22"/>
          <w:szCs w:val="22"/>
        </w:rPr>
      </w:pPr>
      <w:r>
        <w:rPr>
          <w:rFonts w:ascii="Constantia" w:eastAsia="Calibri" w:hAnsi="Constantia"/>
          <w:i w:val="0"/>
          <w:sz w:val="22"/>
          <w:szCs w:val="22"/>
        </w:rPr>
        <w:t>*</w:t>
      </w:r>
      <w:r>
        <w:rPr>
          <w:rFonts w:ascii="Constantia" w:eastAsia="Calibri" w:hAnsi="Constantia"/>
          <w:i w:val="0"/>
          <w:sz w:val="22"/>
          <w:szCs w:val="22"/>
        </w:rPr>
        <w:tab/>
        <w:t>*           *</w:t>
      </w:r>
    </w:p>
    <w:p w:rsidR="00E7780B" w:rsidRDefault="00E7780B" w:rsidP="006529B4">
      <w:pPr>
        <w:pStyle w:val="Heading1"/>
        <w:spacing w:before="0"/>
      </w:pPr>
      <w:bookmarkStart w:id="89" w:name="_Toc318278311"/>
      <w:bookmarkStart w:id="90" w:name="_Toc362938329"/>
      <w:bookmarkStart w:id="91" w:name="_Toc393897899"/>
      <w:r w:rsidRPr="005E4028">
        <w:lastRenderedPageBreak/>
        <w:t>U</w:t>
      </w:r>
      <w:r w:rsidR="00EA17A8">
        <w:t xml:space="preserve">PRAVLJANJE </w:t>
      </w:r>
      <w:bookmarkEnd w:id="89"/>
      <w:bookmarkEnd w:id="90"/>
      <w:r w:rsidR="00EA17A8">
        <w:t>OTPADOM</w:t>
      </w:r>
      <w:bookmarkEnd w:id="91"/>
    </w:p>
    <w:p w:rsidR="00E7780B" w:rsidRPr="00200A86" w:rsidRDefault="00E7780B" w:rsidP="002B1379">
      <w:pPr>
        <w:pStyle w:val="Heading3"/>
      </w:pPr>
      <w:bookmarkStart w:id="92" w:name="_Toc362938330"/>
      <w:bookmarkStart w:id="93" w:name="_Toc393897900"/>
      <w:r w:rsidRPr="002B1379">
        <w:t>U</w:t>
      </w:r>
      <w:r w:rsidR="002B1379">
        <w:t>vod</w:t>
      </w:r>
      <w:bookmarkEnd w:id="92"/>
      <w:bookmarkEnd w:id="93"/>
    </w:p>
    <w:p w:rsidR="00E7780B" w:rsidRPr="00200A86" w:rsidRDefault="00E7780B" w:rsidP="00F43A26">
      <w:pPr>
        <w:rPr>
          <w:rFonts w:ascii="Constantia" w:hAnsi="Constantia"/>
          <w:lang w:val="sr-Latn-CS"/>
        </w:rPr>
      </w:pPr>
      <w:r w:rsidRPr="00897A69">
        <w:rPr>
          <w:rFonts w:ascii="Constantia" w:hAnsi="Constantia"/>
          <w:lang w:val="sr-Latn-CS"/>
        </w:rPr>
        <w:t>Osnovni pravni okvir za upravljanje otpadom u Crnoj Gori je Zakon o upravljan</w:t>
      </w:r>
      <w:r>
        <w:rPr>
          <w:rFonts w:ascii="Constantia" w:hAnsi="Constantia"/>
          <w:lang w:val="sr-Latn-CS"/>
        </w:rPr>
        <w:t>j</w:t>
      </w:r>
      <w:r w:rsidRPr="00897A69">
        <w:rPr>
          <w:rFonts w:ascii="Constantia" w:hAnsi="Constantia"/>
          <w:lang w:val="sr-Latn-CS"/>
        </w:rPr>
        <w:t>u otpadom</w:t>
      </w:r>
      <w:r>
        <w:rPr>
          <w:rFonts w:ascii="Constantia" w:hAnsi="Constantia"/>
          <w:lang w:val="sr-Latn-CS"/>
        </w:rPr>
        <w:t xml:space="preserve"> („Sl. list CG“, br. 64</w:t>
      </w:r>
      <w:r w:rsidR="00591AA6">
        <w:rPr>
          <w:rFonts w:ascii="Constantia" w:hAnsi="Constantia"/>
          <w:lang w:val="sr-Latn-CS"/>
        </w:rPr>
        <w:t>/</w:t>
      </w:r>
      <w:r w:rsidRPr="00897A69">
        <w:rPr>
          <w:rFonts w:ascii="Constantia" w:hAnsi="Constantia"/>
          <w:lang w:val="sr-Latn-CS"/>
        </w:rPr>
        <w:t>11), kojim se uređuju vrste i klasifikacija otpada, kao i planiranje i način upravljanja otpadom.</w:t>
      </w:r>
    </w:p>
    <w:p w:rsidR="00E7780B" w:rsidRPr="00200A86" w:rsidRDefault="00E7780B" w:rsidP="00F43A26">
      <w:pPr>
        <w:autoSpaceDE w:val="0"/>
        <w:autoSpaceDN w:val="0"/>
        <w:adjustRightInd w:val="0"/>
        <w:rPr>
          <w:rFonts w:ascii="Constantia" w:hAnsi="Constantia"/>
          <w:lang w:val="sr-Latn-CS"/>
        </w:rPr>
      </w:pPr>
      <w:r w:rsidRPr="00897A69">
        <w:rPr>
          <w:rFonts w:ascii="Constantia" w:hAnsi="Constantia"/>
          <w:lang w:val="sr-Latn-CS"/>
        </w:rPr>
        <w:t>Pod otpadom se podrazumijeva svaka materija ili predmet koju je imalac odbacio, namjerava da odbaci ili je dužan da odbaci u skladu sa zakonom.</w:t>
      </w:r>
    </w:p>
    <w:p w:rsidR="00E7780B" w:rsidRPr="00200A86" w:rsidRDefault="00E7780B" w:rsidP="00F43A26">
      <w:pPr>
        <w:rPr>
          <w:rFonts w:ascii="Constantia" w:hAnsi="Constantia"/>
          <w:lang w:val="sr-Latn-CS"/>
        </w:rPr>
      </w:pPr>
      <w:r w:rsidRPr="00897A69">
        <w:rPr>
          <w:rFonts w:ascii="Constantia" w:hAnsi="Constantia"/>
          <w:lang w:val="sr-Latn-CS"/>
        </w:rPr>
        <w:t>Emisije toksičnih komponenti u životnu sredinu danas predstavljaju vodeći problem na globalnom nivou, a jedan od bitnih činilaca, koji doprinosi njihovom povećanju</w:t>
      </w:r>
      <w:r>
        <w:rPr>
          <w:rFonts w:ascii="Constantia" w:hAnsi="Constantia"/>
          <w:lang w:val="sr-Latn-CS"/>
        </w:rPr>
        <w:t>,</w:t>
      </w:r>
      <w:r w:rsidRPr="00897A69">
        <w:rPr>
          <w:rFonts w:ascii="Constantia" w:hAnsi="Constantia"/>
          <w:lang w:val="sr-Latn-CS"/>
        </w:rPr>
        <w:t xml:space="preserve"> odnosno smanjenju jeste i otpad, t</w:t>
      </w:r>
      <w:r>
        <w:rPr>
          <w:rFonts w:ascii="Constantia" w:hAnsi="Constantia"/>
          <w:lang w:val="sr-Latn-CS"/>
        </w:rPr>
        <w:t xml:space="preserve">j. </w:t>
      </w:r>
      <w:r w:rsidRPr="00897A69">
        <w:rPr>
          <w:rFonts w:ascii="Constantia" w:hAnsi="Constantia"/>
          <w:lang w:val="sr-Latn-CS"/>
        </w:rPr>
        <w:t>način upravljanja otpadom.</w:t>
      </w:r>
    </w:p>
    <w:p w:rsidR="00E7780B" w:rsidRDefault="00E7780B" w:rsidP="00F43A26">
      <w:pPr>
        <w:rPr>
          <w:rFonts w:ascii="Constantia" w:hAnsi="Constantia"/>
          <w:lang w:val="sr-Latn-CS"/>
        </w:rPr>
      </w:pPr>
      <w:r w:rsidRPr="00897A69">
        <w:rPr>
          <w:rFonts w:ascii="Constantia" w:hAnsi="Constantia"/>
          <w:lang w:val="sr-Latn-CS"/>
        </w:rPr>
        <w:t xml:space="preserve">Upravljanje otpadom podrazumijeva sprječavanje nastanka, smanjenje količina otpada ili ponovnu upotrebu otpada i sakupljanje, transport, preradu i odstranjivanje otpada, nadzor nad tim postupcima i naknadno održavanje deponija, uključujući i aktivnosti trgovca i posrednika otpadom. U Crnoj Gori, upravljanje otpadom se vrši u skladu sa </w:t>
      </w:r>
      <w:r w:rsidRPr="00200A86">
        <w:rPr>
          <w:rFonts w:ascii="Constantia" w:hAnsi="Constantia"/>
          <w:lang w:val="sr-Latn-CS"/>
        </w:rPr>
        <w:t>D</w:t>
      </w:r>
      <w:r w:rsidRPr="00897A69">
        <w:rPr>
          <w:rFonts w:ascii="Constantia" w:hAnsi="Constantia"/>
          <w:lang w:val="sr-Latn-CS"/>
        </w:rPr>
        <w:t xml:space="preserve">ržavnim planom upravljanja otpada i </w:t>
      </w:r>
      <w:r w:rsidRPr="00200A86">
        <w:rPr>
          <w:rFonts w:ascii="Constantia" w:hAnsi="Constantia"/>
          <w:lang w:val="sr-Latn-CS"/>
        </w:rPr>
        <w:t>L</w:t>
      </w:r>
      <w:r w:rsidRPr="00897A69">
        <w:rPr>
          <w:rFonts w:ascii="Constantia" w:hAnsi="Constantia"/>
          <w:lang w:val="sr-Latn-CS"/>
        </w:rPr>
        <w:t>okalnim planovima upravljanja komunalnim otpadom.</w:t>
      </w:r>
    </w:p>
    <w:p w:rsidR="00E7780B" w:rsidRPr="0052236F" w:rsidRDefault="00E7780B" w:rsidP="00E7780B">
      <w:pPr>
        <w:spacing w:line="276" w:lineRule="auto"/>
        <w:ind w:firstLine="720"/>
        <w:rPr>
          <w:rFonts w:ascii="Constantia" w:hAnsi="Constantia"/>
          <w:sz w:val="20"/>
          <w:lang w:val="sr-Latn-CS"/>
        </w:rPr>
      </w:pPr>
    </w:p>
    <w:p w:rsidR="00E7780B" w:rsidRPr="00200A86" w:rsidRDefault="00E7780B" w:rsidP="00156524">
      <w:pPr>
        <w:pStyle w:val="Heading2"/>
        <w:spacing w:before="0" w:line="276" w:lineRule="auto"/>
        <w:ind w:left="720"/>
      </w:pPr>
      <w:bookmarkStart w:id="94" w:name="_Toc318278313"/>
      <w:bookmarkStart w:id="95" w:name="_Toc362938331"/>
      <w:bookmarkStart w:id="96" w:name="_Toc393897901"/>
      <w:r w:rsidRPr="00F43A26">
        <w:t>Podjela</w:t>
      </w:r>
      <w:r>
        <w:t xml:space="preserve"> </w:t>
      </w:r>
      <w:r w:rsidRPr="00897A69">
        <w:t>otpada</w:t>
      </w:r>
      <w:bookmarkEnd w:id="94"/>
      <w:bookmarkEnd w:id="95"/>
      <w:bookmarkEnd w:id="96"/>
    </w:p>
    <w:p w:rsidR="00E7780B" w:rsidRPr="00200A86" w:rsidRDefault="00E7780B" w:rsidP="00F43A26">
      <w:pPr>
        <w:spacing w:before="240"/>
        <w:ind w:firstLine="360"/>
        <w:rPr>
          <w:rFonts w:ascii="Constantia" w:hAnsi="Constantia"/>
          <w:lang w:val="sr-Latn-CS"/>
        </w:rPr>
      </w:pPr>
      <w:r w:rsidRPr="00897A69">
        <w:rPr>
          <w:rFonts w:ascii="Constantia" w:hAnsi="Constantia"/>
          <w:lang w:val="sr-Latn-CS"/>
        </w:rPr>
        <w:t>Otpad se dijeli na više načina:</w:t>
      </w:r>
    </w:p>
    <w:p w:rsidR="00E7780B" w:rsidRPr="00200A86" w:rsidRDefault="00E7780B" w:rsidP="00A50466">
      <w:pPr>
        <w:pStyle w:val="ListParagraph"/>
        <w:numPr>
          <w:ilvl w:val="0"/>
          <w:numId w:val="19"/>
        </w:numPr>
        <w:rPr>
          <w:rFonts w:ascii="Constantia" w:hAnsi="Constantia"/>
          <w:lang w:val="sr-Latn-CS"/>
        </w:rPr>
      </w:pPr>
      <w:r w:rsidRPr="00897A69">
        <w:rPr>
          <w:rFonts w:ascii="Constantia" w:hAnsi="Constantia"/>
          <w:lang w:val="sr-Latn-CS"/>
        </w:rPr>
        <w:t>prema opasnim svojstvima,</w:t>
      </w:r>
    </w:p>
    <w:p w:rsidR="00E7780B" w:rsidRPr="00200A86" w:rsidRDefault="00E7780B" w:rsidP="00A50466">
      <w:pPr>
        <w:pStyle w:val="ListParagraph"/>
        <w:numPr>
          <w:ilvl w:val="0"/>
          <w:numId w:val="19"/>
        </w:numPr>
        <w:rPr>
          <w:rFonts w:ascii="Constantia" w:hAnsi="Constantia"/>
          <w:lang w:val="sr-Latn-CS"/>
        </w:rPr>
      </w:pPr>
      <w:r w:rsidRPr="00897A69">
        <w:rPr>
          <w:rFonts w:ascii="Constantia" w:hAnsi="Constantia"/>
          <w:lang w:val="sr-Latn-CS"/>
        </w:rPr>
        <w:t>prema načinu nastanka (djelatnostima u okviru kojih otpad nastaje)</w:t>
      </w:r>
      <w:r>
        <w:rPr>
          <w:rFonts w:ascii="Constantia" w:hAnsi="Constantia"/>
          <w:lang w:val="sr-Latn-CS"/>
        </w:rPr>
        <w:t>,</w:t>
      </w:r>
      <w:r w:rsidRPr="00897A69">
        <w:rPr>
          <w:rFonts w:ascii="Constantia" w:hAnsi="Constantia"/>
          <w:lang w:val="sr-Latn-CS"/>
        </w:rPr>
        <w:t xml:space="preserve"> </w:t>
      </w:r>
    </w:p>
    <w:p w:rsidR="00E7780B" w:rsidRDefault="00E7780B" w:rsidP="00A50466">
      <w:pPr>
        <w:pStyle w:val="ListParagraph"/>
        <w:numPr>
          <w:ilvl w:val="0"/>
          <w:numId w:val="19"/>
        </w:numPr>
        <w:spacing w:after="0"/>
        <w:rPr>
          <w:rFonts w:ascii="Constantia" w:hAnsi="Constantia"/>
          <w:lang w:val="sr-Latn-CS"/>
        </w:rPr>
      </w:pPr>
      <w:r w:rsidRPr="00897A69">
        <w:rPr>
          <w:rFonts w:ascii="Constantia" w:hAnsi="Constantia"/>
          <w:lang w:val="sr-Latn-CS"/>
        </w:rPr>
        <w:t>prema sastavu.</w:t>
      </w:r>
    </w:p>
    <w:p w:rsidR="00F43A26" w:rsidRDefault="00F43A26" w:rsidP="00F43A26">
      <w:pPr>
        <w:pStyle w:val="ListParagraph"/>
        <w:spacing w:after="0"/>
        <w:rPr>
          <w:rFonts w:ascii="Constantia" w:hAnsi="Constantia"/>
          <w:lang w:val="sr-Latn-CS"/>
        </w:rPr>
      </w:pPr>
    </w:p>
    <w:p w:rsidR="00E7780B" w:rsidRPr="00200A86" w:rsidRDefault="00E7780B" w:rsidP="00E7780B">
      <w:pPr>
        <w:spacing w:line="276" w:lineRule="auto"/>
        <w:jc w:val="center"/>
        <w:rPr>
          <w:rFonts w:ascii="Constantia" w:hAnsi="Constantia"/>
          <w:lang w:val="sr-Latn-CS"/>
        </w:rPr>
      </w:pPr>
      <w:r>
        <w:rPr>
          <w:rFonts w:ascii="Constantia" w:hAnsi="Constantia"/>
          <w:noProof/>
        </w:rPr>
        <w:drawing>
          <wp:inline distT="0" distB="0" distL="0" distR="0" wp14:anchorId="77FD584C" wp14:editId="4D314D0D">
            <wp:extent cx="4721821" cy="3181350"/>
            <wp:effectExtent l="0" t="0" r="0" b="0"/>
            <wp:docPr id="237" name="Picture 237" descr="shema otp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ema otpad"/>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730290" cy="3187056"/>
                    </a:xfrm>
                    <a:prstGeom prst="rect">
                      <a:avLst/>
                    </a:prstGeom>
                    <a:noFill/>
                    <a:ln>
                      <a:noFill/>
                    </a:ln>
                  </pic:spPr>
                </pic:pic>
              </a:graphicData>
            </a:graphic>
          </wp:inline>
        </w:drawing>
      </w:r>
    </w:p>
    <w:p w:rsidR="00E7780B" w:rsidRPr="00ED2DEA" w:rsidRDefault="007D46E6" w:rsidP="00EA22A8">
      <w:pPr>
        <w:pStyle w:val="Slika"/>
        <w:tabs>
          <w:tab w:val="left" w:pos="360"/>
          <w:tab w:val="left" w:pos="990"/>
        </w:tabs>
        <w:spacing w:line="276" w:lineRule="auto"/>
        <w:ind w:left="0" w:firstLine="0"/>
        <w:rPr>
          <w:rFonts w:ascii="Constantia" w:hAnsi="Constantia"/>
          <w:szCs w:val="20"/>
          <w:lang w:val="sr-Latn-CS"/>
        </w:rPr>
      </w:pPr>
      <w:r>
        <w:rPr>
          <w:rFonts w:ascii="Constantia" w:hAnsi="Constantia"/>
          <w:szCs w:val="20"/>
          <w:lang w:val="sr-Latn-CS"/>
        </w:rPr>
        <w:t xml:space="preserve"> </w:t>
      </w:r>
      <w:r w:rsidR="00E7780B" w:rsidRPr="00897A69">
        <w:rPr>
          <w:rFonts w:ascii="Constantia" w:hAnsi="Constantia"/>
          <w:szCs w:val="20"/>
          <w:lang w:val="sr-Latn-CS"/>
        </w:rPr>
        <w:t>Šematski prikaz različitih vrsta otpada prema podjelama</w:t>
      </w:r>
    </w:p>
    <w:p w:rsidR="00E7780B" w:rsidRPr="00200A86" w:rsidRDefault="00855840" w:rsidP="00F43A26">
      <w:pPr>
        <w:pStyle w:val="Heading3"/>
      </w:pPr>
      <w:bookmarkStart w:id="97" w:name="_Toc362938332"/>
      <w:bookmarkStart w:id="98" w:name="_Toc393897902"/>
      <w:r>
        <w:lastRenderedPageBreak/>
        <w:t>5</w:t>
      </w:r>
      <w:r w:rsidR="00E7780B">
        <w:t>.1.1</w:t>
      </w:r>
      <w:r w:rsidR="00E7780B">
        <w:tab/>
      </w:r>
      <w:r w:rsidR="00E7780B" w:rsidRPr="00F43A26">
        <w:t>Opasni</w:t>
      </w:r>
      <w:r w:rsidR="00E7780B" w:rsidRPr="00897A69">
        <w:t xml:space="preserve"> otpad</w:t>
      </w:r>
      <w:bookmarkEnd w:id="97"/>
      <w:bookmarkEnd w:id="98"/>
    </w:p>
    <w:p w:rsidR="00E7780B" w:rsidRPr="00200A86" w:rsidRDefault="00E7780B" w:rsidP="00F43A26">
      <w:pPr>
        <w:rPr>
          <w:rFonts w:ascii="Constantia" w:hAnsi="Constantia"/>
          <w:lang w:val="sr-Latn-CS"/>
        </w:rPr>
      </w:pPr>
      <w:r w:rsidRPr="00897A69">
        <w:rPr>
          <w:rFonts w:ascii="Constantia" w:hAnsi="Constantia"/>
          <w:lang w:val="sr-Latn-CS"/>
        </w:rPr>
        <w:t>Otpad koji sadrži elemente ili jedinjenja koja imaju jedno ili više od sledećih opasnih svojstava: eksplozivnost, reaktivnost, zapaljivost, nadražljivost, štetnost, toksičnost, infektivnost, kancerogenost, korozivnost, mutagenost, teratogenost, ekotoksičnost, svojstvo nagrizanja i svojstvo otpuštanja otrovnih gasova hemijskom ili biološkom reakcijom i osjetljivost/razdražljivost, kao i otpad iz kojeg, nakon odlaganja, može nastati druga materija koja ima neko od opasnih svojstava.</w:t>
      </w:r>
    </w:p>
    <w:p w:rsidR="00E7780B" w:rsidRPr="00200A86" w:rsidRDefault="00855840" w:rsidP="00F43A26">
      <w:pPr>
        <w:pStyle w:val="Heading3"/>
      </w:pPr>
      <w:bookmarkStart w:id="99" w:name="_Toc362938333"/>
      <w:bookmarkStart w:id="100" w:name="_Toc393897903"/>
      <w:r>
        <w:t>5</w:t>
      </w:r>
      <w:r w:rsidR="00E7780B">
        <w:t>.1.2</w:t>
      </w:r>
      <w:r w:rsidR="00E7780B">
        <w:tab/>
      </w:r>
      <w:r w:rsidR="00E7780B" w:rsidRPr="00F43A26">
        <w:t>Neopasni</w:t>
      </w:r>
      <w:r w:rsidR="00E7780B" w:rsidRPr="00897A69">
        <w:t xml:space="preserve"> otpad</w:t>
      </w:r>
      <w:bookmarkEnd w:id="99"/>
      <w:bookmarkEnd w:id="100"/>
    </w:p>
    <w:p w:rsidR="00E7780B" w:rsidRPr="00200A86" w:rsidRDefault="00E7780B" w:rsidP="00F43A26">
      <w:pPr>
        <w:spacing w:line="276" w:lineRule="auto"/>
        <w:rPr>
          <w:rFonts w:ascii="Constantia" w:hAnsi="Constantia"/>
          <w:lang w:val="sr-Latn-CS"/>
        </w:rPr>
      </w:pPr>
      <w:r w:rsidRPr="00897A69">
        <w:rPr>
          <w:rFonts w:ascii="Constantia" w:hAnsi="Constantia"/>
          <w:lang w:val="sr-Latn-CS"/>
        </w:rPr>
        <w:t>Otpad koji po sastavu i svojstvima nema neku od karakteristika opasnog otpada.</w:t>
      </w:r>
    </w:p>
    <w:p w:rsidR="00E7780B" w:rsidRPr="00200A86" w:rsidRDefault="00855840" w:rsidP="00F43A26">
      <w:pPr>
        <w:pStyle w:val="Heading3"/>
      </w:pPr>
      <w:bookmarkStart w:id="101" w:name="_Toc362938334"/>
      <w:bookmarkStart w:id="102" w:name="_Toc393897904"/>
      <w:r>
        <w:t>5</w:t>
      </w:r>
      <w:r w:rsidR="00E7780B">
        <w:t>.1.3</w:t>
      </w:r>
      <w:r w:rsidR="00E7780B">
        <w:tab/>
      </w:r>
      <w:r w:rsidR="00E7780B" w:rsidRPr="00F43A26">
        <w:t>Inertni</w:t>
      </w:r>
      <w:r w:rsidR="00E7780B" w:rsidRPr="00897A69">
        <w:t xml:space="preserve"> otpad</w:t>
      </w:r>
      <w:bookmarkEnd w:id="101"/>
      <w:bookmarkEnd w:id="102"/>
    </w:p>
    <w:p w:rsidR="00E7780B" w:rsidRPr="00200A86" w:rsidRDefault="00E7780B" w:rsidP="00F43A26">
      <w:pPr>
        <w:rPr>
          <w:rFonts w:ascii="Constantia" w:hAnsi="Constantia"/>
          <w:lang w:val="sr-Latn-CS"/>
        </w:rPr>
      </w:pPr>
      <w:r w:rsidRPr="00897A69">
        <w:rPr>
          <w:rFonts w:ascii="Constantia" w:hAnsi="Constantia"/>
          <w:lang w:val="sr-Latn-CS"/>
        </w:rPr>
        <w:t>Neopasan otpad kod kojeg nije moguće izazvati značajnu fizičku, hemijsku ili biološku promjenu, ne rastvara se, ne sagorijeva, nije biorazgradiv, ne zagađuje životnu sredinu, ne ugrožava zdravlje ljudi i čije ocjedne vode u kontaktu sa drugim materijama ne izazivaju reakcije i ekotoksično ne ugrožavaju kvalitet površinske ili podzemne vode.</w:t>
      </w:r>
    </w:p>
    <w:p w:rsidR="00E7780B" w:rsidRPr="00200A86" w:rsidRDefault="00855840" w:rsidP="00F43A26">
      <w:pPr>
        <w:pStyle w:val="Heading3"/>
      </w:pPr>
      <w:bookmarkStart w:id="103" w:name="_Toc362938335"/>
      <w:bookmarkStart w:id="104" w:name="_Toc393897905"/>
      <w:r>
        <w:t>5</w:t>
      </w:r>
      <w:r w:rsidR="00E7780B">
        <w:t>.1.4</w:t>
      </w:r>
      <w:r w:rsidR="00E7780B">
        <w:tab/>
      </w:r>
      <w:r w:rsidR="00E7780B" w:rsidRPr="00F43A26">
        <w:t>Komunalni</w:t>
      </w:r>
      <w:r w:rsidR="00E7780B" w:rsidRPr="00897A69">
        <w:t xml:space="preserve"> otpad</w:t>
      </w:r>
      <w:bookmarkEnd w:id="103"/>
      <w:bookmarkEnd w:id="104"/>
    </w:p>
    <w:p w:rsidR="00E7780B" w:rsidRPr="00200A86" w:rsidRDefault="00E7780B" w:rsidP="00F43A26">
      <w:pPr>
        <w:rPr>
          <w:rFonts w:ascii="Constantia" w:hAnsi="Constantia"/>
          <w:szCs w:val="22"/>
          <w:lang w:val="sr-Latn-CS"/>
        </w:rPr>
      </w:pPr>
      <w:r w:rsidRPr="00897A69">
        <w:rPr>
          <w:rFonts w:ascii="Constantia" w:hAnsi="Constantia"/>
          <w:szCs w:val="22"/>
          <w:lang w:val="sr-Latn-CS"/>
        </w:rPr>
        <w:t>Otpad koji nastaje u domaćinstvima ili prilikom obavljanja djelatnosti, a koji je po svojstvima sličan otpadu nastalom u domaćinstvu.</w:t>
      </w:r>
    </w:p>
    <w:p w:rsidR="00E7780B" w:rsidRPr="00200A86" w:rsidRDefault="00855840" w:rsidP="00F43A26">
      <w:pPr>
        <w:pStyle w:val="Heading3"/>
      </w:pPr>
      <w:bookmarkStart w:id="105" w:name="_Toc362938336"/>
      <w:bookmarkStart w:id="106" w:name="_Toc393897906"/>
      <w:r>
        <w:t>5</w:t>
      </w:r>
      <w:r w:rsidR="00E7780B">
        <w:t>.1.5</w:t>
      </w:r>
      <w:r w:rsidR="00E7780B">
        <w:tab/>
      </w:r>
      <w:r w:rsidR="00E7780B" w:rsidRPr="00F43A26">
        <w:t>Industrijski</w:t>
      </w:r>
      <w:r w:rsidR="00E7780B" w:rsidRPr="00897A69">
        <w:t xml:space="preserve"> otpad</w:t>
      </w:r>
      <w:bookmarkEnd w:id="105"/>
      <w:bookmarkEnd w:id="106"/>
    </w:p>
    <w:p w:rsidR="00E7780B" w:rsidRPr="00200A86" w:rsidRDefault="00E7780B" w:rsidP="00F43A26">
      <w:pPr>
        <w:rPr>
          <w:rFonts w:ascii="Constantia" w:hAnsi="Constantia"/>
          <w:lang w:val="sr-Latn-CS"/>
        </w:rPr>
      </w:pPr>
      <w:r w:rsidRPr="00897A69">
        <w:rPr>
          <w:rFonts w:ascii="Constantia" w:hAnsi="Constantia"/>
          <w:lang w:val="sr-Latn-CS"/>
        </w:rPr>
        <w:t>Otpad koji nastaje u proizvodnim procesima u industriji i zanatstvu, a razlikuje se od komunalnog otpada po svom sastavu i karakteristikama.</w:t>
      </w:r>
    </w:p>
    <w:p w:rsidR="00E7780B" w:rsidRPr="00200A86" w:rsidRDefault="00855840" w:rsidP="00F43A26">
      <w:pPr>
        <w:pStyle w:val="Heading3"/>
      </w:pPr>
      <w:bookmarkStart w:id="107" w:name="_Toc362938337"/>
      <w:bookmarkStart w:id="108" w:name="_Toc393897907"/>
      <w:r>
        <w:t>5</w:t>
      </w:r>
      <w:r w:rsidR="00E7780B">
        <w:t>.1.6</w:t>
      </w:r>
      <w:r w:rsidR="00E7780B">
        <w:tab/>
      </w:r>
      <w:r w:rsidR="00E7780B" w:rsidRPr="00F43A26">
        <w:t>Ambalažni</w:t>
      </w:r>
      <w:r w:rsidR="00E7780B" w:rsidRPr="00897A69">
        <w:t xml:space="preserve"> otpad</w:t>
      </w:r>
      <w:bookmarkEnd w:id="107"/>
      <w:bookmarkEnd w:id="108"/>
    </w:p>
    <w:p w:rsidR="00E7780B" w:rsidRPr="00200A86" w:rsidRDefault="00E7780B" w:rsidP="00F43A26">
      <w:pPr>
        <w:rPr>
          <w:rFonts w:ascii="Constantia" w:hAnsi="Constantia"/>
          <w:szCs w:val="22"/>
          <w:lang w:val="sr-Latn-CS"/>
        </w:rPr>
      </w:pPr>
      <w:r w:rsidRPr="00897A69">
        <w:rPr>
          <w:rFonts w:ascii="Constantia" w:hAnsi="Constantia"/>
          <w:szCs w:val="22"/>
          <w:lang w:val="sr-Latn-CS"/>
        </w:rPr>
        <w:t>Svaka ambalaža ili ambalažni materijal koji su otpad, osim ostataka materijala koji nastaju prilikom izrade ambalaže.</w:t>
      </w:r>
    </w:p>
    <w:p w:rsidR="00E7780B" w:rsidRPr="00200A86" w:rsidRDefault="00855840" w:rsidP="00F43A26">
      <w:pPr>
        <w:pStyle w:val="Heading3"/>
      </w:pPr>
      <w:bookmarkStart w:id="109" w:name="_Toc362938338"/>
      <w:bookmarkStart w:id="110" w:name="_Toc393897908"/>
      <w:r>
        <w:t>5</w:t>
      </w:r>
      <w:r w:rsidR="00E7780B">
        <w:t>.1.7</w:t>
      </w:r>
      <w:r w:rsidR="00E7780B">
        <w:tab/>
      </w:r>
      <w:r w:rsidR="00E7780B" w:rsidRPr="00F43A26">
        <w:t>Građevinski</w:t>
      </w:r>
      <w:r w:rsidR="00E7780B" w:rsidRPr="00897A69">
        <w:t xml:space="preserve"> otpad</w:t>
      </w:r>
      <w:bookmarkEnd w:id="109"/>
      <w:bookmarkEnd w:id="110"/>
    </w:p>
    <w:p w:rsidR="00E7780B" w:rsidRDefault="00E7780B" w:rsidP="00F43A26">
      <w:pPr>
        <w:spacing w:after="0" w:line="276" w:lineRule="auto"/>
        <w:rPr>
          <w:rFonts w:ascii="Constantia" w:hAnsi="Constantia"/>
          <w:szCs w:val="22"/>
          <w:lang w:val="sr-Latn-CS"/>
        </w:rPr>
      </w:pPr>
      <w:r w:rsidRPr="00897A69">
        <w:rPr>
          <w:rFonts w:ascii="Constantia" w:hAnsi="Constantia"/>
          <w:szCs w:val="22"/>
          <w:lang w:val="sr-Latn-CS"/>
        </w:rPr>
        <w:t>Otpad koji nastaje prilikom izgradnje, održavanja i rušenja građevinskih objekata.</w:t>
      </w:r>
    </w:p>
    <w:p w:rsidR="00855840" w:rsidRPr="00200A86" w:rsidRDefault="00855840" w:rsidP="00F43A26">
      <w:pPr>
        <w:spacing w:after="0" w:line="276" w:lineRule="auto"/>
        <w:rPr>
          <w:rFonts w:ascii="Constantia" w:hAnsi="Constantia"/>
          <w:szCs w:val="22"/>
          <w:lang w:val="sr-Latn-CS"/>
        </w:rPr>
      </w:pPr>
    </w:p>
    <w:p w:rsidR="00E7780B" w:rsidRPr="00CC72F0" w:rsidRDefault="00E7780B" w:rsidP="00156524">
      <w:pPr>
        <w:pStyle w:val="Heading2"/>
        <w:spacing w:line="276" w:lineRule="auto"/>
        <w:ind w:left="720"/>
        <w:rPr>
          <w:b/>
        </w:rPr>
      </w:pPr>
      <w:bookmarkStart w:id="111" w:name="_Toc362938339"/>
      <w:bookmarkStart w:id="112" w:name="_Toc393897909"/>
      <w:r w:rsidRPr="00897A69">
        <w:t>Uticaj</w:t>
      </w:r>
      <w:r>
        <w:t xml:space="preserve"> </w:t>
      </w:r>
      <w:r w:rsidRPr="00897A69">
        <w:t>neadekvatnog</w:t>
      </w:r>
      <w:r>
        <w:t xml:space="preserve"> </w:t>
      </w:r>
      <w:r w:rsidRPr="00897A69">
        <w:t>odlaganja</w:t>
      </w:r>
      <w:r>
        <w:t xml:space="preserve"> </w:t>
      </w:r>
      <w:r w:rsidRPr="00897A69">
        <w:t>otpada</w:t>
      </w:r>
      <w:r>
        <w:t xml:space="preserve"> </w:t>
      </w:r>
      <w:r w:rsidRPr="00897A69">
        <w:t>na</w:t>
      </w:r>
      <w:r>
        <w:t xml:space="preserve"> </w:t>
      </w:r>
      <w:r w:rsidRPr="00897A69">
        <w:t>životnu</w:t>
      </w:r>
      <w:r>
        <w:t xml:space="preserve"> </w:t>
      </w:r>
      <w:r w:rsidRPr="00897A69">
        <w:t>sredinu</w:t>
      </w:r>
      <w:bookmarkEnd w:id="111"/>
      <w:bookmarkEnd w:id="112"/>
    </w:p>
    <w:p w:rsidR="00E7780B" w:rsidRPr="00200A86" w:rsidRDefault="00E7780B" w:rsidP="00855840">
      <w:pPr>
        <w:rPr>
          <w:rFonts w:ascii="Constantia" w:hAnsi="Constantia"/>
          <w:lang w:val="sr-Latn-CS"/>
        </w:rPr>
      </w:pPr>
      <w:r w:rsidRPr="00897A69">
        <w:rPr>
          <w:rFonts w:ascii="Constantia" w:hAnsi="Constantia"/>
          <w:lang w:val="sr-Latn-CS"/>
        </w:rPr>
        <w:t>Neadekvatno odlaganje otpada na nesanitarnim deponijama, smetlištima i neuređenim odlagalištima otpada neposredno ima značajan negativan uticaj na sve segmente životne sredine (vazduh, podzemne i površinske vode, zemljište, floru i faunu).</w:t>
      </w:r>
    </w:p>
    <w:p w:rsidR="00E7780B" w:rsidRPr="00200A86" w:rsidRDefault="00E7780B" w:rsidP="00855840">
      <w:pPr>
        <w:rPr>
          <w:rFonts w:ascii="Constantia" w:hAnsi="Constantia"/>
          <w:lang w:val="sr-Latn-CS"/>
        </w:rPr>
      </w:pPr>
      <w:r w:rsidRPr="00897A69">
        <w:rPr>
          <w:rFonts w:ascii="Constantia" w:hAnsi="Constantia"/>
          <w:lang w:val="sr-Latn-CS"/>
        </w:rPr>
        <w:t>U materije koje u najvećoj mjeri zagađ</w:t>
      </w:r>
      <w:r>
        <w:rPr>
          <w:rFonts w:ascii="Constantia" w:hAnsi="Constantia"/>
          <w:lang w:val="sr-Latn-CS"/>
        </w:rPr>
        <w:t>uju vazduh, a koje se emituju sa</w:t>
      </w:r>
      <w:r w:rsidRPr="00897A69">
        <w:rPr>
          <w:rFonts w:ascii="Constantia" w:hAnsi="Constantia"/>
          <w:lang w:val="sr-Latn-CS"/>
        </w:rPr>
        <w:t xml:space="preserve"> deponija, ubrajaju se azotni i sumporni oksidi, prašina i teški metali, kao</w:t>
      </w:r>
      <w:r w:rsidR="0073596F">
        <w:rPr>
          <w:rFonts w:ascii="Constantia" w:hAnsi="Constantia"/>
          <w:lang w:val="sr-Latn-CS"/>
        </w:rPr>
        <w:t xml:space="preserve"> i deponijski gas koji, kao nus</w:t>
      </w:r>
      <w:r w:rsidRPr="00897A69">
        <w:rPr>
          <w:rFonts w:ascii="Constantia" w:hAnsi="Constantia"/>
          <w:lang w:val="sr-Latn-CS"/>
        </w:rPr>
        <w:t xml:space="preserve">produkt procesa razgradnje deponovanog otpada, sadrži oko 50% metana. Emituju se i neprijatni mirisi koji utiču na kvalitet života u okolini nesanitarnih deponija. </w:t>
      </w:r>
    </w:p>
    <w:p w:rsidR="00E7780B" w:rsidRPr="00200A86" w:rsidRDefault="00E7780B" w:rsidP="00855840">
      <w:pPr>
        <w:rPr>
          <w:rFonts w:ascii="Constantia" w:hAnsi="Constantia"/>
          <w:lang w:val="sr-Latn-CS"/>
        </w:rPr>
      </w:pPr>
      <w:r w:rsidRPr="00897A69">
        <w:rPr>
          <w:rFonts w:ascii="Constantia" w:hAnsi="Constantia"/>
          <w:lang w:val="sr-Latn-CS"/>
        </w:rPr>
        <w:t>Padavine se filtriraju kroz masu deponovanog otpada i rastvaraju štetne materije, čime se povećava rizik zagađenja zemljišta i podzemnih voda.</w:t>
      </w:r>
    </w:p>
    <w:p w:rsidR="00E7780B" w:rsidRPr="00CC72F0" w:rsidRDefault="00E7780B" w:rsidP="006721BD">
      <w:pPr>
        <w:pStyle w:val="Heading2"/>
        <w:spacing w:line="276" w:lineRule="auto"/>
        <w:ind w:left="720"/>
        <w:rPr>
          <w:b/>
        </w:rPr>
      </w:pPr>
      <w:bookmarkStart w:id="113" w:name="_Toc362938340"/>
      <w:bookmarkStart w:id="114" w:name="_Toc393897910"/>
      <w:r w:rsidRPr="00897A69">
        <w:lastRenderedPageBreak/>
        <w:t>Uticaj</w:t>
      </w:r>
      <w:r>
        <w:t xml:space="preserve"> </w:t>
      </w:r>
      <w:r w:rsidRPr="00897A69">
        <w:t>neadekvatnog</w:t>
      </w:r>
      <w:r>
        <w:t xml:space="preserve"> </w:t>
      </w:r>
      <w:r w:rsidRPr="00897A69">
        <w:t>odlaganja</w:t>
      </w:r>
      <w:r>
        <w:t xml:space="preserve"> </w:t>
      </w:r>
      <w:r w:rsidRPr="00897A69">
        <w:t>otpada</w:t>
      </w:r>
      <w:r>
        <w:t xml:space="preserve"> </w:t>
      </w:r>
      <w:r w:rsidRPr="00897A69">
        <w:t>na</w:t>
      </w:r>
      <w:r>
        <w:t xml:space="preserve"> </w:t>
      </w:r>
      <w:r w:rsidRPr="00897A69">
        <w:t>zdravlje</w:t>
      </w:r>
      <w:r>
        <w:t xml:space="preserve"> </w:t>
      </w:r>
      <w:r w:rsidRPr="00897A69">
        <w:t>ljudi</w:t>
      </w:r>
      <w:bookmarkEnd w:id="113"/>
      <w:bookmarkEnd w:id="114"/>
    </w:p>
    <w:p w:rsidR="00E7780B" w:rsidRPr="00200A86" w:rsidRDefault="00E7780B" w:rsidP="00855840">
      <w:pPr>
        <w:rPr>
          <w:rFonts w:ascii="Constantia" w:hAnsi="Constantia"/>
          <w:lang w:val="sr-Latn-CS"/>
        </w:rPr>
      </w:pPr>
      <w:r w:rsidRPr="00897A69">
        <w:rPr>
          <w:rFonts w:ascii="Constantia" w:hAnsi="Constantia"/>
          <w:lang w:val="sr-Latn-CS"/>
        </w:rPr>
        <w:t>U principu, ne postoji direktan i trenutan uticaj neadekvatno deponovanog otpada na ljudsko zdravlje, ali se ono može ugroziti indirektnim putevima kao što su:</w:t>
      </w:r>
    </w:p>
    <w:p w:rsidR="00E7780B" w:rsidRPr="00200A86" w:rsidRDefault="00E7780B" w:rsidP="00A50466">
      <w:pPr>
        <w:numPr>
          <w:ilvl w:val="0"/>
          <w:numId w:val="20"/>
        </w:numPr>
        <w:spacing w:after="0"/>
        <w:rPr>
          <w:rFonts w:ascii="Constantia" w:hAnsi="Constantia"/>
          <w:lang w:val="sr-Latn-CS"/>
        </w:rPr>
      </w:pPr>
      <w:r w:rsidRPr="00897A69">
        <w:rPr>
          <w:rFonts w:ascii="Constantia" w:hAnsi="Constantia"/>
          <w:lang w:val="sr-Latn-CS"/>
        </w:rPr>
        <w:t>raznošenje otpadnog materijala vjetrom ili od strane životinja,</w:t>
      </w:r>
    </w:p>
    <w:p w:rsidR="00E7780B" w:rsidRPr="00200A86" w:rsidRDefault="00E7780B" w:rsidP="00A50466">
      <w:pPr>
        <w:numPr>
          <w:ilvl w:val="0"/>
          <w:numId w:val="20"/>
        </w:numPr>
        <w:spacing w:after="0"/>
        <w:rPr>
          <w:rFonts w:ascii="Constantia" w:hAnsi="Constantia"/>
          <w:lang w:val="sr-Latn-CS"/>
        </w:rPr>
      </w:pPr>
      <w:r w:rsidRPr="00897A69">
        <w:rPr>
          <w:rFonts w:ascii="Constantia" w:hAnsi="Constantia"/>
          <w:lang w:val="sr-Latn-CS"/>
        </w:rPr>
        <w:t>nekontrolisano izdvajanje zagađujućih gasova,</w:t>
      </w:r>
    </w:p>
    <w:p w:rsidR="00E7780B" w:rsidRPr="00200A86" w:rsidRDefault="00E7780B" w:rsidP="00A50466">
      <w:pPr>
        <w:numPr>
          <w:ilvl w:val="0"/>
          <w:numId w:val="20"/>
        </w:numPr>
        <w:spacing w:after="0"/>
        <w:rPr>
          <w:rFonts w:ascii="Constantia" w:hAnsi="Constantia"/>
          <w:lang w:val="sr-Latn-CS"/>
        </w:rPr>
      </w:pPr>
      <w:r w:rsidRPr="00897A69">
        <w:rPr>
          <w:rFonts w:ascii="Constantia" w:hAnsi="Constantia"/>
          <w:lang w:val="sr-Latn-CS"/>
        </w:rPr>
        <w:t>širenje neprijatnih mirisa,</w:t>
      </w:r>
    </w:p>
    <w:p w:rsidR="00E7780B" w:rsidRPr="00200A86" w:rsidRDefault="00E7780B" w:rsidP="00A50466">
      <w:pPr>
        <w:numPr>
          <w:ilvl w:val="0"/>
          <w:numId w:val="20"/>
        </w:numPr>
        <w:spacing w:after="0"/>
        <w:rPr>
          <w:rFonts w:ascii="Constantia" w:hAnsi="Constantia"/>
          <w:lang w:val="sr-Latn-CS"/>
        </w:rPr>
      </w:pPr>
      <w:r w:rsidRPr="00897A69">
        <w:rPr>
          <w:rFonts w:ascii="Constantia" w:hAnsi="Constantia"/>
          <w:lang w:val="sr-Latn-CS"/>
        </w:rPr>
        <w:t>paljenje otpada i emisija produkata sagorijevanja i</w:t>
      </w:r>
    </w:p>
    <w:p w:rsidR="00E7780B" w:rsidRPr="00200A86" w:rsidRDefault="00E7780B" w:rsidP="00A50466">
      <w:pPr>
        <w:numPr>
          <w:ilvl w:val="0"/>
          <w:numId w:val="20"/>
        </w:numPr>
        <w:spacing w:after="0"/>
        <w:rPr>
          <w:rFonts w:ascii="Constantia" w:hAnsi="Constantia"/>
          <w:lang w:val="sr-Latn-CS"/>
        </w:rPr>
      </w:pPr>
      <w:r w:rsidRPr="00897A69">
        <w:rPr>
          <w:rFonts w:ascii="Constantia" w:hAnsi="Constantia"/>
          <w:lang w:val="sr-Latn-CS"/>
        </w:rPr>
        <w:t>nekontrolisano prodiranje voda zagađenih na neuređenim deponijama i ugrožavanje ispravnosti bunara i vodotoka u okolini.</w:t>
      </w:r>
    </w:p>
    <w:p w:rsidR="00E7780B" w:rsidRPr="00CC72F0" w:rsidRDefault="00E7780B" w:rsidP="006721BD">
      <w:pPr>
        <w:pStyle w:val="Heading2"/>
        <w:ind w:left="720"/>
        <w:rPr>
          <w:b/>
        </w:rPr>
      </w:pPr>
      <w:bookmarkStart w:id="115" w:name="_Toc362938341"/>
      <w:bookmarkStart w:id="116" w:name="_Toc393897911"/>
      <w:r w:rsidRPr="00897A69">
        <w:t>Održivo</w:t>
      </w:r>
      <w:r>
        <w:t xml:space="preserve"> </w:t>
      </w:r>
      <w:r w:rsidRPr="00897A69">
        <w:t>upravljanje</w:t>
      </w:r>
      <w:r>
        <w:t xml:space="preserve"> </w:t>
      </w:r>
      <w:r w:rsidRPr="00897A69">
        <w:t>otpadom</w:t>
      </w:r>
      <w:bookmarkEnd w:id="115"/>
      <w:bookmarkEnd w:id="116"/>
    </w:p>
    <w:p w:rsidR="00E7780B" w:rsidRPr="00200A86" w:rsidRDefault="00E7780B" w:rsidP="00F05780">
      <w:pPr>
        <w:rPr>
          <w:rFonts w:ascii="Constantia" w:hAnsi="Constantia"/>
          <w:lang w:val="sr-Latn-CS"/>
        </w:rPr>
      </w:pPr>
      <w:r w:rsidRPr="00897A69">
        <w:rPr>
          <w:rFonts w:ascii="Constantia" w:hAnsi="Constantia"/>
          <w:lang w:val="sr-Latn-CS"/>
        </w:rPr>
        <w:t>Čak i ako se propisno sakuplja i odlaže, otpad koji se nekontrolisano proizvodi, ponovo ne upotrebljava i ne reciklira, ne doprinosi zaštiti životne sredine, već joj šteti.</w:t>
      </w:r>
    </w:p>
    <w:p w:rsidR="00E7780B" w:rsidRPr="00200A86" w:rsidRDefault="00E7780B" w:rsidP="00F05780">
      <w:pPr>
        <w:rPr>
          <w:rFonts w:ascii="Constantia" w:hAnsi="Constantia"/>
          <w:szCs w:val="22"/>
        </w:rPr>
      </w:pPr>
      <w:r w:rsidRPr="00897A69">
        <w:rPr>
          <w:rFonts w:ascii="Constantia" w:hAnsi="Constantia"/>
          <w:szCs w:val="22"/>
        </w:rPr>
        <w:t>Urbanizacija i industrijalizacija</w:t>
      </w:r>
      <w:r>
        <w:rPr>
          <w:rFonts w:ascii="Constantia" w:hAnsi="Constantia"/>
          <w:szCs w:val="22"/>
        </w:rPr>
        <w:t xml:space="preserve"> </w:t>
      </w:r>
      <w:r w:rsidRPr="00897A69">
        <w:rPr>
          <w:rFonts w:ascii="Constantia" w:hAnsi="Constantia"/>
          <w:szCs w:val="22"/>
        </w:rPr>
        <w:t>su</w:t>
      </w:r>
      <w:r>
        <w:rPr>
          <w:rFonts w:ascii="Constantia" w:hAnsi="Constantia"/>
          <w:szCs w:val="22"/>
        </w:rPr>
        <w:t xml:space="preserve"> </w:t>
      </w:r>
      <w:r w:rsidRPr="00897A69">
        <w:rPr>
          <w:rFonts w:ascii="Constantia" w:hAnsi="Constantia"/>
          <w:szCs w:val="22"/>
        </w:rPr>
        <w:t>doprinijele</w:t>
      </w:r>
      <w:r>
        <w:rPr>
          <w:rFonts w:ascii="Constantia" w:hAnsi="Constantia"/>
          <w:szCs w:val="22"/>
        </w:rPr>
        <w:t xml:space="preserve"> </w:t>
      </w:r>
      <w:r w:rsidRPr="00897A69">
        <w:rPr>
          <w:rFonts w:ascii="Constantia" w:hAnsi="Constantia"/>
          <w:szCs w:val="22"/>
        </w:rPr>
        <w:t>povećanju</w:t>
      </w:r>
      <w:r>
        <w:rPr>
          <w:rFonts w:ascii="Constantia" w:hAnsi="Constantia"/>
          <w:szCs w:val="22"/>
        </w:rPr>
        <w:t xml:space="preserve"> </w:t>
      </w:r>
      <w:r w:rsidRPr="00897A69">
        <w:rPr>
          <w:rFonts w:ascii="Constantia" w:hAnsi="Constantia"/>
          <w:szCs w:val="22"/>
        </w:rPr>
        <w:t>količina</w:t>
      </w:r>
      <w:r>
        <w:rPr>
          <w:rFonts w:ascii="Constantia" w:hAnsi="Constantia"/>
          <w:szCs w:val="22"/>
        </w:rPr>
        <w:t xml:space="preserve"> </w:t>
      </w:r>
      <w:r w:rsidRPr="00897A69">
        <w:rPr>
          <w:rFonts w:ascii="Constantia" w:hAnsi="Constantia"/>
          <w:szCs w:val="22"/>
        </w:rPr>
        <w:t>generisanog</w:t>
      </w:r>
      <w:r>
        <w:rPr>
          <w:rFonts w:ascii="Constantia" w:hAnsi="Constantia"/>
          <w:szCs w:val="22"/>
        </w:rPr>
        <w:t xml:space="preserve"> </w:t>
      </w:r>
      <w:r w:rsidRPr="00897A69">
        <w:rPr>
          <w:rFonts w:ascii="Constantia" w:hAnsi="Constantia"/>
          <w:szCs w:val="22"/>
        </w:rPr>
        <w:t>otpada, koji</w:t>
      </w:r>
      <w:r>
        <w:rPr>
          <w:rFonts w:ascii="Constantia" w:hAnsi="Constantia"/>
          <w:szCs w:val="22"/>
        </w:rPr>
        <w:t xml:space="preserve"> </w:t>
      </w:r>
      <w:r w:rsidRPr="00897A69">
        <w:rPr>
          <w:rFonts w:ascii="Constantia" w:hAnsi="Constantia"/>
          <w:szCs w:val="22"/>
        </w:rPr>
        <w:t>postaje problem svjetskih</w:t>
      </w:r>
      <w:r>
        <w:rPr>
          <w:rFonts w:ascii="Constantia" w:hAnsi="Constantia"/>
          <w:szCs w:val="22"/>
        </w:rPr>
        <w:t xml:space="preserve"> </w:t>
      </w:r>
      <w:r w:rsidRPr="00897A69">
        <w:rPr>
          <w:rFonts w:ascii="Constantia" w:hAnsi="Constantia"/>
          <w:szCs w:val="22"/>
        </w:rPr>
        <w:t>razmjera i jedan</w:t>
      </w:r>
      <w:r>
        <w:rPr>
          <w:rFonts w:ascii="Constantia" w:hAnsi="Constantia"/>
          <w:szCs w:val="22"/>
        </w:rPr>
        <w:t xml:space="preserve"> </w:t>
      </w:r>
      <w:r w:rsidRPr="00897A69">
        <w:rPr>
          <w:rFonts w:ascii="Constantia" w:hAnsi="Constantia"/>
          <w:szCs w:val="22"/>
        </w:rPr>
        <w:t>od</w:t>
      </w:r>
      <w:r>
        <w:rPr>
          <w:rFonts w:ascii="Constantia" w:hAnsi="Constantia"/>
          <w:szCs w:val="22"/>
        </w:rPr>
        <w:t xml:space="preserve"> </w:t>
      </w:r>
      <w:r w:rsidRPr="00897A69">
        <w:rPr>
          <w:rFonts w:ascii="Constantia" w:hAnsi="Constantia"/>
          <w:szCs w:val="22"/>
        </w:rPr>
        <w:t>prioriteta</w:t>
      </w:r>
      <w:r>
        <w:rPr>
          <w:rFonts w:ascii="Constantia" w:hAnsi="Constantia"/>
          <w:szCs w:val="22"/>
        </w:rPr>
        <w:t xml:space="preserve"> </w:t>
      </w:r>
      <w:r w:rsidRPr="00897A69">
        <w:rPr>
          <w:rFonts w:ascii="Constantia" w:hAnsi="Constantia"/>
          <w:szCs w:val="22"/>
        </w:rPr>
        <w:t>za</w:t>
      </w:r>
      <w:r>
        <w:rPr>
          <w:rFonts w:ascii="Constantia" w:hAnsi="Constantia"/>
          <w:szCs w:val="22"/>
        </w:rPr>
        <w:t xml:space="preserve"> </w:t>
      </w:r>
      <w:r w:rsidRPr="00897A69">
        <w:rPr>
          <w:rFonts w:ascii="Constantia" w:hAnsi="Constantia"/>
          <w:szCs w:val="22"/>
        </w:rPr>
        <w:t>rješavanje.</w:t>
      </w:r>
      <w:r>
        <w:rPr>
          <w:rFonts w:ascii="Constantia" w:hAnsi="Constantia"/>
          <w:szCs w:val="22"/>
        </w:rPr>
        <w:t xml:space="preserve"> </w:t>
      </w:r>
      <w:r w:rsidRPr="00897A69">
        <w:rPr>
          <w:rFonts w:ascii="Constantia" w:hAnsi="Constantia"/>
          <w:szCs w:val="22"/>
        </w:rPr>
        <w:t>Povećanje</w:t>
      </w:r>
      <w:r>
        <w:rPr>
          <w:rFonts w:ascii="Constantia" w:hAnsi="Constantia"/>
          <w:szCs w:val="22"/>
        </w:rPr>
        <w:t xml:space="preserve"> </w:t>
      </w:r>
      <w:r w:rsidRPr="00897A69">
        <w:rPr>
          <w:rFonts w:ascii="Constantia" w:hAnsi="Constantia"/>
          <w:szCs w:val="22"/>
        </w:rPr>
        <w:t>broja</w:t>
      </w:r>
      <w:r>
        <w:rPr>
          <w:rFonts w:ascii="Constantia" w:hAnsi="Constantia"/>
          <w:szCs w:val="22"/>
        </w:rPr>
        <w:t xml:space="preserve"> </w:t>
      </w:r>
      <w:r w:rsidRPr="00897A69">
        <w:rPr>
          <w:rFonts w:ascii="Constantia" w:hAnsi="Constantia"/>
          <w:szCs w:val="22"/>
        </w:rPr>
        <w:t>stanovnika, ali i standarda</w:t>
      </w:r>
      <w:r>
        <w:rPr>
          <w:rFonts w:ascii="Constantia" w:hAnsi="Constantia"/>
          <w:szCs w:val="22"/>
        </w:rPr>
        <w:t xml:space="preserve"> </w:t>
      </w:r>
      <w:r w:rsidRPr="00897A69">
        <w:rPr>
          <w:rFonts w:ascii="Constantia" w:hAnsi="Constantia"/>
          <w:szCs w:val="22"/>
        </w:rPr>
        <w:t>života, rezultiralo je i povećanjem</w:t>
      </w:r>
      <w:r>
        <w:rPr>
          <w:rFonts w:ascii="Constantia" w:hAnsi="Constantia"/>
          <w:szCs w:val="22"/>
        </w:rPr>
        <w:t xml:space="preserve"> </w:t>
      </w:r>
      <w:r w:rsidRPr="00897A69">
        <w:rPr>
          <w:rFonts w:ascii="Constantia" w:hAnsi="Constantia"/>
          <w:szCs w:val="22"/>
        </w:rPr>
        <w:t>količina</w:t>
      </w:r>
      <w:r>
        <w:rPr>
          <w:rFonts w:ascii="Constantia" w:hAnsi="Constantia"/>
          <w:szCs w:val="22"/>
        </w:rPr>
        <w:t xml:space="preserve"> </w:t>
      </w:r>
      <w:r w:rsidRPr="00897A69">
        <w:rPr>
          <w:rFonts w:ascii="Constantia" w:hAnsi="Constantia"/>
          <w:szCs w:val="22"/>
        </w:rPr>
        <w:t>otpada, koji se sve</w:t>
      </w:r>
      <w:r>
        <w:rPr>
          <w:rFonts w:ascii="Constantia" w:hAnsi="Constantia"/>
          <w:szCs w:val="22"/>
        </w:rPr>
        <w:t xml:space="preserve"> </w:t>
      </w:r>
      <w:r w:rsidRPr="00897A69">
        <w:rPr>
          <w:rFonts w:ascii="Constantia" w:hAnsi="Constantia"/>
          <w:szCs w:val="22"/>
        </w:rPr>
        <w:t>više</w:t>
      </w:r>
      <w:r>
        <w:rPr>
          <w:rFonts w:ascii="Constantia" w:hAnsi="Constantia"/>
          <w:szCs w:val="22"/>
        </w:rPr>
        <w:t xml:space="preserve"> </w:t>
      </w:r>
      <w:r w:rsidRPr="00897A69">
        <w:rPr>
          <w:rFonts w:ascii="Constantia" w:hAnsi="Constantia"/>
          <w:szCs w:val="22"/>
        </w:rPr>
        <w:t>smatra</w:t>
      </w:r>
      <w:r>
        <w:rPr>
          <w:rFonts w:ascii="Constantia" w:hAnsi="Constantia"/>
          <w:szCs w:val="22"/>
        </w:rPr>
        <w:t xml:space="preserve"> </w:t>
      </w:r>
      <w:r w:rsidRPr="00897A69">
        <w:rPr>
          <w:rFonts w:ascii="Constantia" w:hAnsi="Constantia"/>
          <w:szCs w:val="22"/>
        </w:rPr>
        <w:t>resursom.</w:t>
      </w:r>
    </w:p>
    <w:p w:rsidR="00E7780B" w:rsidRPr="00200A86" w:rsidRDefault="00E7780B" w:rsidP="00F05780">
      <w:pPr>
        <w:rPr>
          <w:rFonts w:ascii="Constantia" w:hAnsi="Constantia"/>
          <w:lang w:val="sr-Latn-CS"/>
        </w:rPr>
      </w:pPr>
      <w:r w:rsidRPr="00897A69">
        <w:rPr>
          <w:rFonts w:ascii="Constantia" w:hAnsi="Constantia"/>
          <w:lang w:val="sr-Latn-CS"/>
        </w:rPr>
        <w:t xml:space="preserve">Kako bi se postojeći resursi koristili racionalno i na održiv način potrebno je, najprije, vršiti prevenciju nastanka otpada, odnosno smanjiti količine proizvedenog otpada na izvoru (ne stvarati otpad nepotrebno). Neophodno je podsticati ponovnu upotrebu i reciklažu, a tek kao poslednju opciju planirati pravilno odlaganje otpada. Takav mehanizam upravljanja ne dozvoljava nekontrolisano jednokratno korišćenje resursa, već podstiče njihovu racionalnu upotrebu. </w:t>
      </w:r>
    </w:p>
    <w:p w:rsidR="00E7780B" w:rsidRPr="00200A86" w:rsidRDefault="00E7780B" w:rsidP="00E7780B">
      <w:pPr>
        <w:spacing w:after="0" w:line="276" w:lineRule="auto"/>
        <w:jc w:val="center"/>
        <w:rPr>
          <w:rFonts w:ascii="Constantia" w:hAnsi="Constantia"/>
          <w:lang w:val="sr-Latn-CS"/>
        </w:rPr>
      </w:pPr>
      <w:r>
        <w:rPr>
          <w:rFonts w:ascii="Constantia" w:hAnsi="Constantia"/>
          <w:noProof/>
        </w:rPr>
        <w:drawing>
          <wp:inline distT="0" distB="0" distL="0" distR="0" wp14:anchorId="7765C5B5" wp14:editId="165EB6BB">
            <wp:extent cx="2971800" cy="2111065"/>
            <wp:effectExtent l="0" t="0" r="0" b="0"/>
            <wp:docPr id="236" name="Picture 236" descr="PIRAMIDA 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RAMIDA FOTO"/>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971800" cy="2111065"/>
                    </a:xfrm>
                    <a:prstGeom prst="rect">
                      <a:avLst/>
                    </a:prstGeom>
                    <a:noFill/>
                    <a:ln>
                      <a:noFill/>
                    </a:ln>
                  </pic:spPr>
                </pic:pic>
              </a:graphicData>
            </a:graphic>
          </wp:inline>
        </w:drawing>
      </w:r>
    </w:p>
    <w:p w:rsidR="00E7780B" w:rsidRPr="001C3859" w:rsidRDefault="00E7780B" w:rsidP="00F40B10">
      <w:pPr>
        <w:pStyle w:val="Slika"/>
        <w:tabs>
          <w:tab w:val="left" w:pos="1620"/>
        </w:tabs>
        <w:spacing w:line="276" w:lineRule="auto"/>
        <w:ind w:left="720" w:firstLine="0"/>
        <w:rPr>
          <w:rFonts w:ascii="Constantia" w:hAnsi="Constantia"/>
          <w:szCs w:val="20"/>
          <w:lang w:val="sr-Latn-CS"/>
        </w:rPr>
      </w:pPr>
      <w:r w:rsidRPr="00897A69">
        <w:rPr>
          <w:rFonts w:ascii="Constantia" w:hAnsi="Constantia"/>
          <w:szCs w:val="20"/>
          <w:lang w:val="sr-Latn-CS"/>
        </w:rPr>
        <w:t>Strukturalna piramida efikasnog sistema upravljanja otpadom</w:t>
      </w:r>
    </w:p>
    <w:p w:rsidR="00E7780B" w:rsidRPr="001C3859" w:rsidRDefault="00E7780B" w:rsidP="00E7780B">
      <w:pPr>
        <w:pStyle w:val="Slika"/>
        <w:numPr>
          <w:ilvl w:val="0"/>
          <w:numId w:val="0"/>
        </w:numPr>
        <w:spacing w:after="0" w:line="276" w:lineRule="auto"/>
        <w:jc w:val="both"/>
        <w:rPr>
          <w:rFonts w:ascii="Constantia" w:hAnsi="Constantia"/>
          <w:i w:val="0"/>
          <w:sz w:val="20"/>
          <w:lang w:val="sr-Latn-CS"/>
        </w:rPr>
      </w:pPr>
    </w:p>
    <w:p w:rsidR="00E7780B" w:rsidRPr="00200A86" w:rsidRDefault="00E7780B" w:rsidP="00F05780">
      <w:pPr>
        <w:pStyle w:val="Slika"/>
        <w:numPr>
          <w:ilvl w:val="0"/>
          <w:numId w:val="0"/>
        </w:numPr>
        <w:jc w:val="both"/>
        <w:rPr>
          <w:rFonts w:ascii="Constantia" w:hAnsi="Constantia"/>
          <w:i w:val="0"/>
          <w:lang w:val="sr-Latn-CS"/>
        </w:rPr>
      </w:pPr>
      <w:r w:rsidRPr="00897A69">
        <w:rPr>
          <w:rFonts w:ascii="Constantia" w:hAnsi="Constantia"/>
          <w:i w:val="0"/>
          <w:lang w:val="sr-Latn-CS"/>
        </w:rPr>
        <w:t>Upravljanje otpadom treba vrši</w:t>
      </w:r>
      <w:r>
        <w:rPr>
          <w:rFonts w:ascii="Constantia" w:hAnsi="Constantia"/>
          <w:i w:val="0"/>
          <w:lang w:val="sr-Latn-CS"/>
        </w:rPr>
        <w:t>ti</w:t>
      </w:r>
      <w:r w:rsidRPr="00897A69">
        <w:rPr>
          <w:rFonts w:ascii="Constantia" w:hAnsi="Constantia"/>
          <w:i w:val="0"/>
          <w:lang w:val="sr-Latn-CS"/>
        </w:rPr>
        <w:t xml:space="preserve"> na način kojim se obezbjeđuje najmanji rizik po ugrožavanje zdravlja ljudi i životne sredine, kontrolom i mjerama smanjenja:</w:t>
      </w:r>
    </w:p>
    <w:p w:rsidR="00E7780B" w:rsidRPr="00200A86" w:rsidRDefault="00E7780B" w:rsidP="00A50466">
      <w:pPr>
        <w:pStyle w:val="Slika"/>
        <w:numPr>
          <w:ilvl w:val="0"/>
          <w:numId w:val="21"/>
        </w:numPr>
        <w:spacing w:after="0"/>
        <w:jc w:val="both"/>
        <w:rPr>
          <w:rFonts w:ascii="Constantia" w:hAnsi="Constantia"/>
          <w:i w:val="0"/>
          <w:szCs w:val="22"/>
          <w:lang w:val="sr-Latn-CS"/>
        </w:rPr>
      </w:pPr>
      <w:r w:rsidRPr="00897A69">
        <w:rPr>
          <w:rFonts w:ascii="Constantia" w:hAnsi="Constantia"/>
          <w:i w:val="0"/>
          <w:szCs w:val="22"/>
          <w:lang w:val="sr-Latn-CS"/>
        </w:rPr>
        <w:t>zagađenja voda, vazduha i zemljišta;</w:t>
      </w:r>
    </w:p>
    <w:p w:rsidR="00E7780B" w:rsidRPr="00200A86" w:rsidRDefault="00E7780B" w:rsidP="00A50466">
      <w:pPr>
        <w:pStyle w:val="Slika"/>
        <w:numPr>
          <w:ilvl w:val="0"/>
          <w:numId w:val="21"/>
        </w:numPr>
        <w:spacing w:after="0"/>
        <w:jc w:val="both"/>
        <w:rPr>
          <w:rFonts w:ascii="Constantia" w:hAnsi="Constantia"/>
          <w:i w:val="0"/>
          <w:szCs w:val="22"/>
          <w:lang w:val="sr-Latn-CS"/>
        </w:rPr>
      </w:pPr>
      <w:r w:rsidRPr="00897A69">
        <w:rPr>
          <w:rFonts w:ascii="Constantia" w:hAnsi="Constantia"/>
          <w:i w:val="0"/>
          <w:szCs w:val="22"/>
          <w:lang w:val="sr-Latn-CS"/>
        </w:rPr>
        <w:t>opasnosti po biljni i životinjski svijet;</w:t>
      </w:r>
    </w:p>
    <w:p w:rsidR="00E7780B" w:rsidRPr="00200A86" w:rsidRDefault="00E7780B" w:rsidP="00A50466">
      <w:pPr>
        <w:pStyle w:val="Slika"/>
        <w:numPr>
          <w:ilvl w:val="0"/>
          <w:numId w:val="21"/>
        </w:numPr>
        <w:spacing w:after="0"/>
        <w:jc w:val="both"/>
        <w:rPr>
          <w:rFonts w:ascii="Constantia" w:hAnsi="Constantia"/>
          <w:i w:val="0"/>
          <w:szCs w:val="22"/>
          <w:lang w:val="sr-Latn-CS"/>
        </w:rPr>
      </w:pPr>
      <w:r w:rsidRPr="00897A69">
        <w:rPr>
          <w:rFonts w:ascii="Constantia" w:hAnsi="Constantia"/>
          <w:i w:val="0"/>
          <w:szCs w:val="22"/>
          <w:lang w:val="sr-Latn-CS"/>
        </w:rPr>
        <w:t>opasnosti od nastajanja udesa, eksplozija ili požara;</w:t>
      </w:r>
    </w:p>
    <w:p w:rsidR="00E7780B" w:rsidRPr="00200A86" w:rsidRDefault="00E7780B" w:rsidP="00A50466">
      <w:pPr>
        <w:pStyle w:val="Slika"/>
        <w:numPr>
          <w:ilvl w:val="0"/>
          <w:numId w:val="21"/>
        </w:numPr>
        <w:spacing w:after="0"/>
        <w:jc w:val="both"/>
        <w:rPr>
          <w:rFonts w:ascii="Constantia" w:hAnsi="Constantia"/>
          <w:i w:val="0"/>
          <w:szCs w:val="22"/>
          <w:lang w:val="sr-Latn-CS"/>
        </w:rPr>
      </w:pPr>
      <w:r w:rsidRPr="00897A69">
        <w:rPr>
          <w:rFonts w:ascii="Constantia" w:hAnsi="Constantia"/>
          <w:i w:val="0"/>
          <w:szCs w:val="22"/>
          <w:lang w:val="sr-Latn-CS"/>
        </w:rPr>
        <w:lastRenderedPageBreak/>
        <w:t>negativnih uticaja na predjele i prirodna dobra od posebne vrijednosti (uključujući i negativan pejzažni efekat);</w:t>
      </w:r>
    </w:p>
    <w:p w:rsidR="00E7780B" w:rsidRPr="00200A86" w:rsidRDefault="00E7780B" w:rsidP="00A50466">
      <w:pPr>
        <w:pStyle w:val="Slika"/>
        <w:numPr>
          <w:ilvl w:val="0"/>
          <w:numId w:val="21"/>
        </w:numPr>
        <w:spacing w:after="0"/>
        <w:jc w:val="both"/>
        <w:rPr>
          <w:rFonts w:ascii="Constantia" w:hAnsi="Constantia"/>
          <w:i w:val="0"/>
          <w:szCs w:val="22"/>
          <w:lang w:val="sr-Latn-CS"/>
        </w:rPr>
      </w:pPr>
      <w:r w:rsidRPr="00897A69">
        <w:rPr>
          <w:rFonts w:ascii="Constantia" w:hAnsi="Constantia"/>
          <w:i w:val="0"/>
          <w:szCs w:val="22"/>
          <w:lang w:val="sr-Latn-CS"/>
        </w:rPr>
        <w:t>nivoa buke i neprijatnih mirisa.</w:t>
      </w:r>
    </w:p>
    <w:p w:rsidR="00E7780B" w:rsidRPr="00200A86" w:rsidRDefault="00E7780B" w:rsidP="006721BD">
      <w:pPr>
        <w:pStyle w:val="Heading2"/>
        <w:spacing w:line="276" w:lineRule="auto"/>
        <w:ind w:left="720"/>
        <w:rPr>
          <w:lang w:val="sr-Latn-CS"/>
        </w:rPr>
      </w:pPr>
      <w:bookmarkStart w:id="117" w:name="_Toc318278314"/>
      <w:bookmarkStart w:id="118" w:name="_Toc362938342"/>
      <w:bookmarkStart w:id="119" w:name="_Toc393897912"/>
      <w:r w:rsidRPr="00897A69">
        <w:rPr>
          <w:lang w:val="sr-Latn-CS"/>
        </w:rPr>
        <w:t xml:space="preserve">Postojeće </w:t>
      </w:r>
      <w:r w:rsidRPr="00F40B10">
        <w:t>stanje</w:t>
      </w:r>
      <w:r w:rsidRPr="00897A69">
        <w:rPr>
          <w:lang w:val="sr-Latn-CS"/>
        </w:rPr>
        <w:t xml:space="preserve"> u Crnoj Gori</w:t>
      </w:r>
      <w:bookmarkEnd w:id="117"/>
      <w:bookmarkEnd w:id="118"/>
      <w:bookmarkEnd w:id="119"/>
    </w:p>
    <w:p w:rsidR="00E7780B" w:rsidRPr="00200A86" w:rsidRDefault="00F40B10" w:rsidP="00F40B10">
      <w:pPr>
        <w:pStyle w:val="Heading3"/>
      </w:pPr>
      <w:bookmarkStart w:id="120" w:name="_Toc318278315"/>
      <w:bookmarkStart w:id="121" w:name="_Toc362938343"/>
      <w:bookmarkStart w:id="122" w:name="_Toc393897913"/>
      <w:r>
        <w:t>5</w:t>
      </w:r>
      <w:r w:rsidR="00E7780B">
        <w:t>.5.1</w:t>
      </w:r>
      <w:r w:rsidR="00E7780B">
        <w:tab/>
      </w:r>
      <w:r w:rsidR="00E7780B" w:rsidRPr="00F40B10">
        <w:t>Komunalni</w:t>
      </w:r>
      <w:r w:rsidR="00E7780B" w:rsidRPr="00897A69">
        <w:t xml:space="preserve"> otpad</w:t>
      </w:r>
      <w:bookmarkEnd w:id="120"/>
      <w:bookmarkEnd w:id="121"/>
      <w:bookmarkEnd w:id="122"/>
    </w:p>
    <w:p w:rsidR="00E7780B" w:rsidRPr="00200A86" w:rsidRDefault="00E7780B" w:rsidP="000D561E">
      <w:pPr>
        <w:rPr>
          <w:rFonts w:ascii="Constantia" w:hAnsi="Constantia"/>
          <w:lang w:val="sr-Latn-CS"/>
        </w:rPr>
      </w:pPr>
      <w:r w:rsidRPr="00897A69">
        <w:rPr>
          <w:rFonts w:ascii="Constantia" w:hAnsi="Constantia"/>
          <w:lang w:val="sr-Latn-CS"/>
        </w:rPr>
        <w:t>U</w:t>
      </w:r>
      <w:r>
        <w:rPr>
          <w:rFonts w:ascii="Constantia" w:hAnsi="Constantia"/>
          <w:lang w:val="sr-Latn-CS"/>
        </w:rPr>
        <w:t xml:space="preserve"> današnjem modernom društvu, u</w:t>
      </w:r>
      <w:r w:rsidRPr="00897A69">
        <w:rPr>
          <w:rFonts w:ascii="Constantia" w:hAnsi="Constantia"/>
          <w:lang w:val="sr-Latn-CS"/>
        </w:rPr>
        <w:t xml:space="preserve">pravljanje komunalnim otpadom je </w:t>
      </w:r>
      <w:r>
        <w:rPr>
          <w:rFonts w:ascii="Constantia" w:hAnsi="Constantia"/>
          <w:lang w:val="sr-Latn-CS"/>
        </w:rPr>
        <w:t>postalo jednom od gorućih tema,</w:t>
      </w:r>
      <w:r w:rsidRPr="00897A69">
        <w:rPr>
          <w:rFonts w:ascii="Constantia" w:hAnsi="Constantia"/>
          <w:lang w:val="sr-Latn-CS"/>
        </w:rPr>
        <w:t xml:space="preserve"> kako u svijetu tako i u našoj zemlji. </w:t>
      </w:r>
    </w:p>
    <w:p w:rsidR="00E7780B" w:rsidRPr="00200A86" w:rsidRDefault="00E7780B" w:rsidP="000D561E">
      <w:pPr>
        <w:rPr>
          <w:rFonts w:ascii="Constantia" w:hAnsi="Constantia"/>
          <w:lang w:val="sr-Latn-CS"/>
        </w:rPr>
      </w:pPr>
      <w:r w:rsidRPr="00897A69">
        <w:rPr>
          <w:rFonts w:ascii="Constantia" w:hAnsi="Constantia"/>
          <w:lang w:val="sr-Latn-CS"/>
        </w:rPr>
        <w:t xml:space="preserve">Nepostojanje valjanih evidencija je i dalje glavni razlog za nedostatak podataka o kvalitativnoj i kvantitativnoj analizi otpada, što svakako otežava procjenu ukupne količine komunalnog otpada u Crnoj Gori. </w:t>
      </w:r>
    </w:p>
    <w:p w:rsidR="00E7780B" w:rsidRPr="000413CF" w:rsidRDefault="00E7780B" w:rsidP="000D561E">
      <w:pPr>
        <w:rPr>
          <w:rFonts w:ascii="Constantia" w:hAnsi="Constantia"/>
          <w:lang w:val="sr-Latn-CS"/>
        </w:rPr>
      </w:pPr>
      <w:r w:rsidRPr="00897A69">
        <w:rPr>
          <w:rFonts w:ascii="Constantia" w:hAnsi="Constantia"/>
          <w:lang w:val="sr-Latn-CS"/>
        </w:rPr>
        <w:t xml:space="preserve">U okviru kategorije komunalnog otpada, razlikuju se neopasni i opasni. </w:t>
      </w:r>
      <w:r w:rsidRPr="00E76D21">
        <w:rPr>
          <w:rFonts w:ascii="Constantia" w:hAnsi="Constantia"/>
          <w:lang w:val="sr-Latn-CS"/>
        </w:rPr>
        <w:t xml:space="preserve">Opasni komunalni otpad </w:t>
      </w:r>
      <w:r w:rsidRPr="00897A69">
        <w:rPr>
          <w:rFonts w:ascii="Constantia" w:hAnsi="Constantia"/>
          <w:lang w:val="sr-Latn-CS"/>
        </w:rPr>
        <w:t xml:space="preserve">nastaje kao rezultat aktivnosti u domaćinstvima i institucijama. S obzirom da </w:t>
      </w:r>
      <w:r>
        <w:rPr>
          <w:rFonts w:ascii="Constantia" w:hAnsi="Constantia"/>
          <w:lang w:val="sr-Latn-CS"/>
        </w:rPr>
        <w:t xml:space="preserve">još uvijek </w:t>
      </w:r>
      <w:r w:rsidRPr="00897A69">
        <w:rPr>
          <w:rFonts w:ascii="Constantia" w:hAnsi="Constantia"/>
          <w:lang w:val="sr-Latn-CS"/>
        </w:rPr>
        <w:t>ne postoje posebni mehanizmi za praće</w:t>
      </w:r>
      <w:r>
        <w:rPr>
          <w:rFonts w:ascii="Constantia" w:hAnsi="Constantia"/>
          <w:lang w:val="sr-Latn-CS"/>
        </w:rPr>
        <w:t>nje produkcije ove vrste otpada</w:t>
      </w:r>
      <w:r w:rsidRPr="00897A69">
        <w:rPr>
          <w:rFonts w:ascii="Constantia" w:hAnsi="Constantia"/>
          <w:lang w:val="sr-Latn-CS"/>
        </w:rPr>
        <w:t xml:space="preserve"> i da se ona posmatra u sklopu ukupno proizvedenog komunalnog otpada, ne postoje podaci o njegovom generisanju na godišnjem nivou. </w:t>
      </w:r>
      <w:r w:rsidRPr="000413CF">
        <w:rPr>
          <w:rFonts w:ascii="Constantia" w:hAnsi="Constantia"/>
          <w:lang w:val="sr-Latn-CS"/>
        </w:rPr>
        <w:t>Na osnovu pokazatelja u zemljama sličnog ekonomskog razvoja, Strateški master plan je procijenio da se godišnja proizvodnja opasnog otpada iz domaćinstava kreće oko 950 t.</w:t>
      </w:r>
    </w:p>
    <w:p w:rsidR="00E7780B" w:rsidRDefault="00E7780B" w:rsidP="000D561E">
      <w:pPr>
        <w:rPr>
          <w:rFonts w:ascii="Constantia" w:hAnsi="Constantia"/>
          <w:lang w:val="sr-Latn-CS"/>
        </w:rPr>
      </w:pPr>
      <w:r w:rsidRPr="00897A69">
        <w:rPr>
          <w:rFonts w:ascii="Constantia" w:hAnsi="Constantia"/>
          <w:lang w:val="sr-Latn-CS"/>
        </w:rPr>
        <w:t>Količine proizvedenog</w:t>
      </w:r>
      <w:r>
        <w:rPr>
          <w:rFonts w:ascii="Constantia" w:hAnsi="Constantia"/>
          <w:lang w:val="sr-Latn-CS"/>
        </w:rPr>
        <w:t xml:space="preserve"> (generisanog)</w:t>
      </w:r>
      <w:r w:rsidRPr="00897A69">
        <w:rPr>
          <w:rFonts w:ascii="Constantia" w:hAnsi="Constantia"/>
          <w:lang w:val="sr-Latn-CS"/>
        </w:rPr>
        <w:t xml:space="preserve"> otpada se znatno razlikuju od količina sakupljenog, prerađenog i deponovanog otpada. Iako se otpad svakodnevno generiše na teritoriji cijele Crne Gore, uslugom sakupljanja i odvoženja nisu obuhvaćeni svi proizvođači otpada. Prema podacima dobijenim iz crnogorskih opština, sakupljanje otpada je obezbijeđeno uglavnom u centrima (gradovima, tj. urbanim cjelinama) jedinica lokalne samouprave, dok se otpad koji se stvara u ruralnim sredinama, odnosno selima i manjim naseljima, uglavnom ne sakuplja. </w:t>
      </w:r>
    </w:p>
    <w:p w:rsidR="00E7780B" w:rsidRDefault="00E7780B" w:rsidP="000D561E">
      <w:pPr>
        <w:spacing w:after="0"/>
        <w:rPr>
          <w:rFonts w:ascii="Constantia" w:hAnsi="Constantia"/>
          <w:lang w:val="sr-Latn-CS"/>
        </w:rPr>
      </w:pPr>
      <w:r w:rsidRPr="00897A69">
        <w:rPr>
          <w:rFonts w:ascii="Constantia" w:hAnsi="Constantia"/>
          <w:lang w:val="sr-Latn-CS"/>
        </w:rPr>
        <w:t>Pr</w:t>
      </w:r>
      <w:r>
        <w:rPr>
          <w:rFonts w:ascii="Constantia" w:hAnsi="Constantia"/>
          <w:lang w:val="sr-Latn-CS"/>
        </w:rPr>
        <w:t xml:space="preserve">ema podacima MONSTAT-a, u 2013. godini u Crnoj Gori je sakupljeno 286 378 tona komunalnog otpada, odnosno 1,26 kg po glavi stanovnika dnevno, što je 2,4% više u odnosu na 2012. godinu.  </w:t>
      </w:r>
    </w:p>
    <w:p w:rsidR="00E7780B" w:rsidRDefault="00E7780B" w:rsidP="000D561E">
      <w:pPr>
        <w:spacing w:after="0"/>
        <w:ind w:firstLine="360"/>
        <w:rPr>
          <w:rFonts w:ascii="Constantia" w:hAnsi="Constantia"/>
          <w:lang w:val="sr-Latn-CS"/>
        </w:rPr>
      </w:pPr>
      <w:r>
        <w:rPr>
          <w:rFonts w:ascii="Constantia" w:hAnsi="Constantia"/>
          <w:lang w:val="sr-Latn-CS"/>
        </w:rPr>
        <w:t xml:space="preserve"> </w:t>
      </w:r>
    </w:p>
    <w:p w:rsidR="00E7780B" w:rsidRDefault="00E7780B" w:rsidP="00E7780B">
      <w:pPr>
        <w:spacing w:line="276" w:lineRule="auto"/>
        <w:ind w:firstLine="360"/>
        <w:jc w:val="center"/>
        <w:rPr>
          <w:rFonts w:ascii="Constantia" w:hAnsi="Constantia"/>
          <w:lang w:val="sr-Latn-CS"/>
        </w:rPr>
      </w:pPr>
      <w:r w:rsidRPr="009F4D64">
        <w:rPr>
          <w:rFonts w:ascii="Constantia" w:hAnsi="Constantia"/>
          <w:noProof/>
        </w:rPr>
        <w:drawing>
          <wp:inline distT="0" distB="0" distL="0" distR="0" wp14:anchorId="4A94CEB8" wp14:editId="49CB37D1">
            <wp:extent cx="4229100" cy="1619250"/>
            <wp:effectExtent l="0" t="0" r="0" b="0"/>
            <wp:docPr id="62"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rsidR="00E7780B" w:rsidRDefault="00E7780B" w:rsidP="00E7780B">
      <w:pPr>
        <w:pStyle w:val="Grafikon"/>
        <w:spacing w:line="276" w:lineRule="auto"/>
      </w:pPr>
      <w:r>
        <w:rPr>
          <w:rFonts w:ascii="Constantia" w:hAnsi="Constantia"/>
          <w:sz w:val="22"/>
          <w:szCs w:val="22"/>
        </w:rPr>
        <w:t>Količine sakupljenog otpada u Crnoj Gori, 2009-2013</w:t>
      </w:r>
    </w:p>
    <w:p w:rsidR="00E7780B" w:rsidRDefault="00E7780B" w:rsidP="00E7780B">
      <w:pPr>
        <w:spacing w:after="0"/>
        <w:ind w:firstLine="360"/>
        <w:rPr>
          <w:rFonts w:ascii="Constantia" w:hAnsi="Constantia"/>
          <w:lang w:val="sr-Latn-CS"/>
        </w:rPr>
      </w:pPr>
    </w:p>
    <w:p w:rsidR="00E7780B" w:rsidRDefault="00E7780B" w:rsidP="000D561E">
      <w:pPr>
        <w:rPr>
          <w:rFonts w:ascii="Constantia" w:hAnsi="Constantia"/>
          <w:lang w:val="sr-Latn-CS"/>
        </w:rPr>
      </w:pPr>
      <w:r w:rsidRPr="002665DE">
        <w:rPr>
          <w:rFonts w:ascii="Constantia" w:hAnsi="Constantia"/>
          <w:i/>
          <w:lang w:val="sr-Latn-CS"/>
        </w:rPr>
        <w:t xml:space="preserve">Tabela </w:t>
      </w:r>
      <w:r w:rsidR="00F72352" w:rsidRPr="002665DE">
        <w:rPr>
          <w:rFonts w:ascii="Constantia" w:hAnsi="Constantia"/>
          <w:i/>
          <w:lang w:val="sr-Latn-CS"/>
        </w:rPr>
        <w:t>11</w:t>
      </w:r>
      <w:r w:rsidRPr="002665DE">
        <w:rPr>
          <w:rFonts w:ascii="Constantia" w:hAnsi="Constantia"/>
          <w:i/>
          <w:lang w:val="sr-Latn-CS"/>
        </w:rPr>
        <w:t>.</w:t>
      </w:r>
      <w:r>
        <w:rPr>
          <w:rFonts w:ascii="Constantia" w:hAnsi="Constantia"/>
          <w:lang w:val="sr-Latn-CS"/>
        </w:rPr>
        <w:t xml:space="preserve"> prikazuje podatke o količinama sakupljenog otpada u Crnoj Gori, dnevnoj količini generisanog otpada po glavi stanovnika, pokrivenost stanovnišva uslugom sakupljanja otpada, kao i prosječan broj dana u godini u kojima se otpad sakupljao, u poslednjih 5 godina</w:t>
      </w:r>
      <w:r w:rsidR="002665DE">
        <w:rPr>
          <w:rFonts w:ascii="Constantia" w:hAnsi="Constantia"/>
          <w:lang w:val="sr-Latn-CS"/>
        </w:rPr>
        <w:t xml:space="preserve"> (izvor:</w:t>
      </w:r>
      <w:r w:rsidR="002665DE" w:rsidRPr="002665DE">
        <w:rPr>
          <w:rFonts w:ascii="Constantia" w:hAnsi="Constantia"/>
          <w:lang w:val="sr-Latn-CS"/>
        </w:rPr>
        <w:t xml:space="preserve"> </w:t>
      </w:r>
      <w:r w:rsidR="002665DE">
        <w:rPr>
          <w:rFonts w:ascii="Constantia" w:hAnsi="Constantia"/>
          <w:lang w:val="sr-Latn-CS"/>
        </w:rPr>
        <w:t>MONSTAT)</w:t>
      </w:r>
      <w:r>
        <w:rPr>
          <w:rFonts w:ascii="Constantia" w:hAnsi="Constantia"/>
          <w:lang w:val="sr-Latn-CS"/>
        </w:rPr>
        <w:t xml:space="preserve">.  </w:t>
      </w:r>
    </w:p>
    <w:p w:rsidR="00E7780B" w:rsidRDefault="00E7780B" w:rsidP="00E7780B">
      <w:pPr>
        <w:ind w:firstLine="360"/>
        <w:rPr>
          <w:rFonts w:ascii="Constantia" w:hAnsi="Constantia"/>
          <w:lang w:val="sr-Latn-CS"/>
        </w:rPr>
      </w:pPr>
    </w:p>
    <w:tbl>
      <w:tblPr>
        <w:tblW w:w="0" w:type="auto"/>
        <w:jc w:val="center"/>
        <w:tblInd w:w="-875"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Pr>
      <w:tblGrid>
        <w:gridCol w:w="3568"/>
        <w:gridCol w:w="1075"/>
        <w:gridCol w:w="1170"/>
        <w:gridCol w:w="1080"/>
        <w:gridCol w:w="1115"/>
        <w:gridCol w:w="1170"/>
      </w:tblGrid>
      <w:tr w:rsidR="00E7780B" w:rsidRPr="00F0140B" w:rsidTr="00F0140B">
        <w:trPr>
          <w:trHeight w:val="100"/>
          <w:jc w:val="center"/>
        </w:trPr>
        <w:tc>
          <w:tcPr>
            <w:tcW w:w="3568" w:type="dxa"/>
            <w:tcBorders>
              <w:top w:val="single" w:sz="8" w:space="0" w:color="FFFFFF"/>
              <w:left w:val="single" w:sz="8" w:space="0" w:color="FFFFFF"/>
              <w:bottom w:val="single" w:sz="24" w:space="0" w:color="FFFFFF"/>
              <w:right w:val="single" w:sz="8" w:space="0" w:color="FFFFFF"/>
            </w:tcBorders>
            <w:shd w:val="clear" w:color="auto" w:fill="BF83D7"/>
          </w:tcPr>
          <w:p w:rsidR="00E7780B" w:rsidRPr="00E67DBE" w:rsidRDefault="00E7780B" w:rsidP="004E680E">
            <w:pPr>
              <w:jc w:val="left"/>
              <w:rPr>
                <w:rFonts w:ascii="Constantia" w:hAnsi="Constantia"/>
                <w:bCs/>
                <w:color w:val="000000" w:themeColor="text1"/>
                <w:szCs w:val="22"/>
                <w:lang w:val="sr-Latn-CS"/>
              </w:rPr>
            </w:pPr>
            <w:r w:rsidRPr="00E67DBE">
              <w:rPr>
                <w:rFonts w:ascii="Constantia" w:hAnsi="Constantia"/>
                <w:bCs/>
                <w:color w:val="000000" w:themeColor="text1"/>
                <w:szCs w:val="22"/>
                <w:lang w:val="sr-Latn-CS"/>
              </w:rPr>
              <w:lastRenderedPageBreak/>
              <w:t>CG</w:t>
            </w:r>
          </w:p>
        </w:tc>
        <w:tc>
          <w:tcPr>
            <w:tcW w:w="1075" w:type="dxa"/>
            <w:tcBorders>
              <w:top w:val="single" w:sz="8" w:space="0" w:color="FFFFFF"/>
              <w:left w:val="single" w:sz="8" w:space="0" w:color="FFFFFF"/>
              <w:bottom w:val="single" w:sz="24" w:space="0" w:color="FFFFFF"/>
              <w:right w:val="single" w:sz="8" w:space="0" w:color="FFFFFF"/>
            </w:tcBorders>
            <w:shd w:val="clear" w:color="auto" w:fill="BF83D7"/>
          </w:tcPr>
          <w:p w:rsidR="00E7780B" w:rsidRPr="00E67DBE" w:rsidRDefault="00E7780B" w:rsidP="004E680E">
            <w:pPr>
              <w:jc w:val="center"/>
              <w:rPr>
                <w:rFonts w:ascii="Constantia" w:hAnsi="Constantia"/>
                <w:b/>
                <w:bCs/>
                <w:color w:val="000000" w:themeColor="text1"/>
                <w:szCs w:val="22"/>
                <w:lang w:val="sr-Latn-CS"/>
              </w:rPr>
            </w:pPr>
            <w:r w:rsidRPr="00E67DBE">
              <w:rPr>
                <w:rFonts w:ascii="Constantia" w:hAnsi="Constantia"/>
                <w:b/>
                <w:bCs/>
                <w:color w:val="000000" w:themeColor="text1"/>
                <w:szCs w:val="22"/>
                <w:lang w:val="sr-Latn-CS"/>
              </w:rPr>
              <w:t>2009</w:t>
            </w:r>
          </w:p>
        </w:tc>
        <w:tc>
          <w:tcPr>
            <w:tcW w:w="1170" w:type="dxa"/>
            <w:tcBorders>
              <w:top w:val="single" w:sz="8" w:space="0" w:color="FFFFFF"/>
              <w:left w:val="single" w:sz="8" w:space="0" w:color="FFFFFF"/>
              <w:bottom w:val="single" w:sz="24" w:space="0" w:color="FFFFFF"/>
              <w:right w:val="single" w:sz="8" w:space="0" w:color="FFFFFF"/>
            </w:tcBorders>
            <w:shd w:val="clear" w:color="auto" w:fill="BF83D7"/>
          </w:tcPr>
          <w:p w:rsidR="00E7780B" w:rsidRPr="00E67DBE" w:rsidRDefault="00E7780B" w:rsidP="004E680E">
            <w:pPr>
              <w:jc w:val="center"/>
              <w:rPr>
                <w:rFonts w:ascii="Constantia" w:hAnsi="Constantia"/>
                <w:b/>
                <w:bCs/>
                <w:color w:val="000000" w:themeColor="text1"/>
                <w:szCs w:val="22"/>
                <w:lang w:val="sr-Latn-CS"/>
              </w:rPr>
            </w:pPr>
            <w:r w:rsidRPr="00E67DBE">
              <w:rPr>
                <w:rFonts w:ascii="Constantia" w:hAnsi="Constantia"/>
                <w:b/>
                <w:bCs/>
                <w:color w:val="000000" w:themeColor="text1"/>
                <w:szCs w:val="22"/>
                <w:lang w:val="sr-Latn-CS"/>
              </w:rPr>
              <w:t>2010</w:t>
            </w:r>
          </w:p>
        </w:tc>
        <w:tc>
          <w:tcPr>
            <w:tcW w:w="1080" w:type="dxa"/>
            <w:tcBorders>
              <w:top w:val="single" w:sz="8" w:space="0" w:color="FFFFFF"/>
              <w:left w:val="single" w:sz="8" w:space="0" w:color="FFFFFF"/>
              <w:bottom w:val="single" w:sz="24" w:space="0" w:color="FFFFFF"/>
              <w:right w:val="single" w:sz="8" w:space="0" w:color="FFFFFF"/>
            </w:tcBorders>
            <w:shd w:val="clear" w:color="auto" w:fill="BF83D7"/>
          </w:tcPr>
          <w:p w:rsidR="00E7780B" w:rsidRPr="00E67DBE" w:rsidRDefault="00E7780B" w:rsidP="004E680E">
            <w:pPr>
              <w:jc w:val="center"/>
              <w:rPr>
                <w:rFonts w:ascii="Constantia" w:hAnsi="Constantia"/>
                <w:b/>
                <w:bCs/>
                <w:color w:val="000000" w:themeColor="text1"/>
                <w:szCs w:val="22"/>
                <w:lang w:val="sr-Latn-CS"/>
              </w:rPr>
            </w:pPr>
            <w:r w:rsidRPr="00E67DBE">
              <w:rPr>
                <w:rFonts w:ascii="Constantia" w:hAnsi="Constantia"/>
                <w:b/>
                <w:bCs/>
                <w:color w:val="000000" w:themeColor="text1"/>
                <w:szCs w:val="22"/>
                <w:lang w:val="sr-Latn-CS"/>
              </w:rPr>
              <w:t>2011</w:t>
            </w:r>
          </w:p>
        </w:tc>
        <w:tc>
          <w:tcPr>
            <w:tcW w:w="1115" w:type="dxa"/>
            <w:tcBorders>
              <w:top w:val="single" w:sz="8" w:space="0" w:color="FFFFFF"/>
              <w:left w:val="single" w:sz="8" w:space="0" w:color="FFFFFF"/>
              <w:bottom w:val="single" w:sz="24" w:space="0" w:color="FFFFFF"/>
              <w:right w:val="single" w:sz="8" w:space="0" w:color="FFFFFF"/>
            </w:tcBorders>
            <w:shd w:val="clear" w:color="auto" w:fill="BF83D7"/>
          </w:tcPr>
          <w:p w:rsidR="00E7780B" w:rsidRPr="00E67DBE" w:rsidRDefault="00E7780B" w:rsidP="004E680E">
            <w:pPr>
              <w:jc w:val="center"/>
              <w:rPr>
                <w:rFonts w:ascii="Constantia" w:hAnsi="Constantia"/>
                <w:b/>
                <w:bCs/>
                <w:color w:val="000000" w:themeColor="text1"/>
                <w:szCs w:val="22"/>
                <w:lang w:val="sr-Latn-CS"/>
              </w:rPr>
            </w:pPr>
            <w:r w:rsidRPr="00E67DBE">
              <w:rPr>
                <w:rFonts w:ascii="Constantia" w:hAnsi="Constantia"/>
                <w:b/>
                <w:bCs/>
                <w:color w:val="000000" w:themeColor="text1"/>
                <w:szCs w:val="22"/>
                <w:lang w:val="sr-Latn-CS"/>
              </w:rPr>
              <w:t>2012</w:t>
            </w:r>
          </w:p>
        </w:tc>
        <w:tc>
          <w:tcPr>
            <w:tcW w:w="1170" w:type="dxa"/>
            <w:tcBorders>
              <w:top w:val="single" w:sz="8" w:space="0" w:color="FFFFFF"/>
              <w:left w:val="single" w:sz="8" w:space="0" w:color="FFFFFF"/>
              <w:bottom w:val="single" w:sz="24" w:space="0" w:color="FFFFFF"/>
              <w:right w:val="single" w:sz="8" w:space="0" w:color="FFFFFF"/>
            </w:tcBorders>
            <w:shd w:val="clear" w:color="auto" w:fill="BF83D7"/>
          </w:tcPr>
          <w:p w:rsidR="00E7780B" w:rsidRPr="00E67DBE" w:rsidRDefault="00E7780B" w:rsidP="004E680E">
            <w:pPr>
              <w:jc w:val="center"/>
              <w:rPr>
                <w:rFonts w:ascii="Constantia" w:hAnsi="Constantia"/>
                <w:b/>
                <w:bCs/>
                <w:color w:val="000000" w:themeColor="text1"/>
                <w:szCs w:val="22"/>
                <w:lang w:val="sr-Latn-CS"/>
              </w:rPr>
            </w:pPr>
            <w:r w:rsidRPr="00E67DBE">
              <w:rPr>
                <w:rFonts w:ascii="Constantia" w:hAnsi="Constantia"/>
                <w:b/>
                <w:bCs/>
                <w:color w:val="000000" w:themeColor="text1"/>
                <w:szCs w:val="22"/>
                <w:lang w:val="sr-Latn-CS"/>
              </w:rPr>
              <w:t>2013</w:t>
            </w:r>
          </w:p>
        </w:tc>
      </w:tr>
      <w:tr w:rsidR="00E7780B" w:rsidRPr="00F0140B" w:rsidTr="00F0140B">
        <w:trPr>
          <w:trHeight w:val="87"/>
          <w:jc w:val="center"/>
        </w:trPr>
        <w:tc>
          <w:tcPr>
            <w:tcW w:w="3568" w:type="dxa"/>
            <w:tcBorders>
              <w:top w:val="single" w:sz="8" w:space="0" w:color="FFFFFF"/>
              <w:left w:val="single" w:sz="8" w:space="0" w:color="FFFFFF"/>
              <w:bottom w:val="nil"/>
              <w:right w:val="single" w:sz="24" w:space="0" w:color="FFFFFF"/>
            </w:tcBorders>
            <w:shd w:val="clear" w:color="auto" w:fill="BF83D7"/>
          </w:tcPr>
          <w:p w:rsidR="00E7780B" w:rsidRPr="00E67DBE" w:rsidRDefault="00E7780B" w:rsidP="004E680E">
            <w:pPr>
              <w:spacing w:after="0"/>
              <w:jc w:val="left"/>
              <w:rPr>
                <w:rFonts w:ascii="Constantia" w:hAnsi="Constantia"/>
                <w:bCs/>
                <w:color w:val="000000" w:themeColor="text1"/>
                <w:szCs w:val="22"/>
                <w:lang w:val="sr-Latn-CS"/>
              </w:rPr>
            </w:pPr>
            <w:r w:rsidRPr="00E67DBE">
              <w:rPr>
                <w:rFonts w:ascii="Constantia" w:hAnsi="Constantia"/>
                <w:bCs/>
                <w:color w:val="000000" w:themeColor="text1"/>
                <w:szCs w:val="22"/>
                <w:lang w:val="sr-Latn-CS"/>
              </w:rPr>
              <w:t>Ukupna količina sakupljenog otpada (t)</w:t>
            </w:r>
          </w:p>
        </w:tc>
        <w:tc>
          <w:tcPr>
            <w:tcW w:w="1075" w:type="dxa"/>
            <w:tcBorders>
              <w:top w:val="single" w:sz="8" w:space="0" w:color="FFFFFF"/>
              <w:left w:val="single" w:sz="8" w:space="0" w:color="FFFFFF"/>
              <w:bottom w:val="single" w:sz="8" w:space="0" w:color="FFFFFF"/>
              <w:right w:val="single" w:sz="8" w:space="0" w:color="FFFFFF"/>
            </w:tcBorders>
            <w:shd w:val="clear" w:color="auto" w:fill="DEC1EB"/>
          </w:tcPr>
          <w:p w:rsidR="00E7780B" w:rsidRPr="00E67DBE" w:rsidRDefault="00E7780B" w:rsidP="004E680E">
            <w:pPr>
              <w:jc w:val="center"/>
              <w:rPr>
                <w:rFonts w:ascii="Constantia" w:hAnsi="Constantia"/>
                <w:b/>
                <w:color w:val="000000" w:themeColor="text1"/>
                <w:szCs w:val="22"/>
                <w:lang w:val="sr-Latn-CS"/>
              </w:rPr>
            </w:pPr>
            <w:r w:rsidRPr="00E67DBE">
              <w:rPr>
                <w:rFonts w:ascii="Constantia" w:hAnsi="Constantia"/>
                <w:b/>
                <w:color w:val="000000" w:themeColor="text1"/>
                <w:szCs w:val="22"/>
                <w:lang w:val="sr-Latn-CS"/>
              </w:rPr>
              <w:t>464 617</w:t>
            </w:r>
          </w:p>
        </w:tc>
        <w:tc>
          <w:tcPr>
            <w:tcW w:w="1170" w:type="dxa"/>
            <w:tcBorders>
              <w:top w:val="single" w:sz="8" w:space="0" w:color="FFFFFF"/>
              <w:left w:val="single" w:sz="8" w:space="0" w:color="FFFFFF"/>
              <w:bottom w:val="single" w:sz="8" w:space="0" w:color="FFFFFF"/>
              <w:right w:val="single" w:sz="8" w:space="0" w:color="FFFFFF"/>
            </w:tcBorders>
            <w:shd w:val="clear" w:color="auto" w:fill="DEC1EB"/>
          </w:tcPr>
          <w:p w:rsidR="00E7780B" w:rsidRPr="00E67DBE" w:rsidRDefault="00E7780B" w:rsidP="004E680E">
            <w:pPr>
              <w:jc w:val="center"/>
              <w:rPr>
                <w:rFonts w:ascii="Constantia" w:hAnsi="Constantia"/>
                <w:b/>
                <w:color w:val="000000" w:themeColor="text1"/>
                <w:szCs w:val="22"/>
                <w:lang w:val="sr-Latn-CS"/>
              </w:rPr>
            </w:pPr>
            <w:r w:rsidRPr="00E67DBE">
              <w:rPr>
                <w:rFonts w:ascii="Constantia" w:hAnsi="Constantia"/>
                <w:b/>
                <w:color w:val="000000" w:themeColor="text1"/>
                <w:szCs w:val="22"/>
                <w:lang w:val="sr-Latn-CS"/>
              </w:rPr>
              <w:t>329 610</w:t>
            </w:r>
          </w:p>
        </w:tc>
        <w:tc>
          <w:tcPr>
            <w:tcW w:w="1080" w:type="dxa"/>
            <w:tcBorders>
              <w:top w:val="single" w:sz="8" w:space="0" w:color="FFFFFF"/>
              <w:left w:val="single" w:sz="8" w:space="0" w:color="FFFFFF"/>
              <w:bottom w:val="single" w:sz="8" w:space="0" w:color="FFFFFF"/>
              <w:right w:val="single" w:sz="8" w:space="0" w:color="FFFFFF"/>
            </w:tcBorders>
            <w:shd w:val="clear" w:color="auto" w:fill="DEC1EB"/>
          </w:tcPr>
          <w:p w:rsidR="00E7780B" w:rsidRPr="00E67DBE" w:rsidRDefault="00E7780B" w:rsidP="004E680E">
            <w:pPr>
              <w:jc w:val="center"/>
              <w:rPr>
                <w:rFonts w:ascii="Constantia" w:hAnsi="Constantia"/>
                <w:b/>
                <w:color w:val="000000" w:themeColor="text1"/>
                <w:szCs w:val="22"/>
                <w:lang w:val="sr-Latn-CS"/>
              </w:rPr>
            </w:pPr>
            <w:r w:rsidRPr="00E67DBE">
              <w:rPr>
                <w:rFonts w:ascii="Constantia" w:hAnsi="Constantia"/>
                <w:b/>
                <w:color w:val="000000" w:themeColor="text1"/>
                <w:szCs w:val="22"/>
                <w:lang w:val="sr-Latn-CS"/>
              </w:rPr>
              <w:t>297 428</w:t>
            </w:r>
          </w:p>
        </w:tc>
        <w:tc>
          <w:tcPr>
            <w:tcW w:w="1115" w:type="dxa"/>
            <w:tcBorders>
              <w:top w:val="single" w:sz="8" w:space="0" w:color="FFFFFF"/>
              <w:left w:val="single" w:sz="8" w:space="0" w:color="FFFFFF"/>
              <w:bottom w:val="single" w:sz="8" w:space="0" w:color="FFFFFF"/>
              <w:right w:val="single" w:sz="8" w:space="0" w:color="FFFFFF"/>
            </w:tcBorders>
            <w:shd w:val="clear" w:color="auto" w:fill="DEC1EB"/>
          </w:tcPr>
          <w:p w:rsidR="00E7780B" w:rsidRPr="00E67DBE" w:rsidRDefault="00E7780B" w:rsidP="004E680E">
            <w:pPr>
              <w:jc w:val="center"/>
              <w:rPr>
                <w:rFonts w:ascii="Constantia" w:hAnsi="Constantia"/>
                <w:b/>
                <w:color w:val="000000" w:themeColor="text1"/>
                <w:szCs w:val="22"/>
                <w:lang w:val="sr-Latn-CS"/>
              </w:rPr>
            </w:pPr>
            <w:r w:rsidRPr="00E67DBE">
              <w:rPr>
                <w:rFonts w:ascii="Constantia" w:hAnsi="Constantia"/>
                <w:b/>
                <w:color w:val="000000" w:themeColor="text1"/>
                <w:szCs w:val="22"/>
                <w:lang w:val="sr-Latn-CS"/>
              </w:rPr>
              <w:t>279 667</w:t>
            </w:r>
          </w:p>
        </w:tc>
        <w:tc>
          <w:tcPr>
            <w:tcW w:w="1170" w:type="dxa"/>
            <w:tcBorders>
              <w:top w:val="single" w:sz="8" w:space="0" w:color="FFFFFF"/>
              <w:left w:val="single" w:sz="8" w:space="0" w:color="FFFFFF"/>
              <w:bottom w:val="single" w:sz="8" w:space="0" w:color="FFFFFF"/>
              <w:right w:val="single" w:sz="8" w:space="0" w:color="FFFFFF"/>
            </w:tcBorders>
            <w:shd w:val="clear" w:color="auto" w:fill="DEC1EB"/>
          </w:tcPr>
          <w:p w:rsidR="00E7780B" w:rsidRPr="00E67DBE" w:rsidRDefault="00E7780B" w:rsidP="004E680E">
            <w:pPr>
              <w:jc w:val="center"/>
              <w:rPr>
                <w:rFonts w:ascii="Constantia" w:hAnsi="Constantia"/>
                <w:b/>
                <w:color w:val="000000" w:themeColor="text1"/>
                <w:szCs w:val="22"/>
                <w:lang w:val="sr-Latn-CS"/>
              </w:rPr>
            </w:pPr>
            <w:r w:rsidRPr="00E67DBE">
              <w:rPr>
                <w:rFonts w:ascii="Constantia" w:hAnsi="Constantia"/>
                <w:b/>
                <w:color w:val="000000" w:themeColor="text1"/>
                <w:szCs w:val="22"/>
                <w:lang w:val="sr-Latn-CS"/>
              </w:rPr>
              <w:t>286 378</w:t>
            </w:r>
          </w:p>
        </w:tc>
      </w:tr>
      <w:tr w:rsidR="00E7780B" w:rsidRPr="00F0140B" w:rsidTr="00F0140B">
        <w:trPr>
          <w:trHeight w:val="538"/>
          <w:jc w:val="center"/>
        </w:trPr>
        <w:tc>
          <w:tcPr>
            <w:tcW w:w="3568" w:type="dxa"/>
            <w:tcBorders>
              <w:left w:val="single" w:sz="8" w:space="0" w:color="FFFFFF"/>
              <w:bottom w:val="nil"/>
              <w:right w:val="single" w:sz="24" w:space="0" w:color="FFFFFF"/>
            </w:tcBorders>
            <w:shd w:val="clear" w:color="auto" w:fill="BF83D7"/>
          </w:tcPr>
          <w:p w:rsidR="00E7780B" w:rsidRPr="00E67DBE" w:rsidRDefault="00E7780B" w:rsidP="004E680E">
            <w:pPr>
              <w:spacing w:after="0"/>
              <w:jc w:val="left"/>
              <w:rPr>
                <w:rFonts w:ascii="Constantia" w:hAnsi="Constantia"/>
                <w:bCs/>
                <w:color w:val="000000" w:themeColor="text1"/>
                <w:szCs w:val="22"/>
                <w:lang w:val="sr-Latn-CS"/>
              </w:rPr>
            </w:pPr>
            <w:r w:rsidRPr="00E67DBE">
              <w:rPr>
                <w:rFonts w:ascii="Constantia" w:hAnsi="Constantia"/>
                <w:bCs/>
                <w:color w:val="000000" w:themeColor="text1"/>
                <w:szCs w:val="22"/>
                <w:lang w:val="sr-Latn-CS"/>
              </w:rPr>
              <w:t>Količina po glavi stanovnika (kg/dan)</w:t>
            </w:r>
          </w:p>
        </w:tc>
        <w:tc>
          <w:tcPr>
            <w:tcW w:w="1075" w:type="dxa"/>
            <w:shd w:val="clear" w:color="auto" w:fill="EFE0F5"/>
          </w:tcPr>
          <w:p w:rsidR="00E7780B" w:rsidRPr="00E67DBE" w:rsidRDefault="00E7780B" w:rsidP="004E680E">
            <w:pPr>
              <w:jc w:val="center"/>
              <w:rPr>
                <w:rFonts w:ascii="Constantia" w:hAnsi="Constantia"/>
                <w:b/>
                <w:color w:val="000000" w:themeColor="text1"/>
                <w:szCs w:val="22"/>
                <w:lang w:val="sr-Latn-CS"/>
              </w:rPr>
            </w:pPr>
            <w:r w:rsidRPr="00E67DBE">
              <w:rPr>
                <w:rFonts w:ascii="Constantia" w:hAnsi="Constantia"/>
                <w:b/>
                <w:color w:val="000000" w:themeColor="text1"/>
                <w:szCs w:val="22"/>
                <w:lang w:val="sr-Latn-CS"/>
              </w:rPr>
              <w:t>2,05</w:t>
            </w:r>
          </w:p>
        </w:tc>
        <w:tc>
          <w:tcPr>
            <w:tcW w:w="1170" w:type="dxa"/>
            <w:shd w:val="clear" w:color="auto" w:fill="EFE0F5"/>
          </w:tcPr>
          <w:p w:rsidR="00E7780B" w:rsidRPr="00E67DBE" w:rsidRDefault="00E7780B" w:rsidP="004E680E">
            <w:pPr>
              <w:jc w:val="center"/>
              <w:rPr>
                <w:rFonts w:ascii="Constantia" w:hAnsi="Constantia"/>
                <w:b/>
                <w:color w:val="000000" w:themeColor="text1"/>
                <w:szCs w:val="22"/>
                <w:lang w:val="sr-Latn-CS"/>
              </w:rPr>
            </w:pPr>
            <w:r w:rsidRPr="00E67DBE">
              <w:rPr>
                <w:rFonts w:ascii="Constantia" w:hAnsi="Constantia"/>
                <w:b/>
                <w:color w:val="000000" w:themeColor="text1"/>
                <w:szCs w:val="22"/>
                <w:lang w:val="sr-Latn-CS"/>
              </w:rPr>
              <w:t>1,45</w:t>
            </w:r>
          </w:p>
        </w:tc>
        <w:tc>
          <w:tcPr>
            <w:tcW w:w="1080" w:type="dxa"/>
            <w:shd w:val="clear" w:color="auto" w:fill="EFE0F5"/>
          </w:tcPr>
          <w:p w:rsidR="00E7780B" w:rsidRPr="00E67DBE" w:rsidRDefault="00E7780B" w:rsidP="004E680E">
            <w:pPr>
              <w:jc w:val="center"/>
              <w:rPr>
                <w:rFonts w:ascii="Constantia" w:hAnsi="Constantia"/>
                <w:b/>
                <w:color w:val="000000" w:themeColor="text1"/>
                <w:szCs w:val="22"/>
                <w:lang w:val="sr-Latn-CS"/>
              </w:rPr>
            </w:pPr>
            <w:r w:rsidRPr="00E67DBE">
              <w:rPr>
                <w:rFonts w:ascii="Constantia" w:hAnsi="Constantia"/>
                <w:b/>
                <w:color w:val="000000" w:themeColor="text1"/>
                <w:szCs w:val="22"/>
                <w:lang w:val="sr-Latn-CS"/>
              </w:rPr>
              <w:t>1,31</w:t>
            </w:r>
          </w:p>
        </w:tc>
        <w:tc>
          <w:tcPr>
            <w:tcW w:w="1115" w:type="dxa"/>
            <w:shd w:val="clear" w:color="auto" w:fill="EFE0F5"/>
          </w:tcPr>
          <w:p w:rsidR="00E7780B" w:rsidRPr="00E67DBE" w:rsidRDefault="00E7780B" w:rsidP="004E680E">
            <w:pPr>
              <w:jc w:val="center"/>
              <w:rPr>
                <w:rFonts w:ascii="Constantia" w:hAnsi="Constantia"/>
                <w:b/>
                <w:color w:val="000000" w:themeColor="text1"/>
                <w:szCs w:val="22"/>
                <w:lang w:val="sr-Latn-CS"/>
              </w:rPr>
            </w:pPr>
            <w:r w:rsidRPr="00E67DBE">
              <w:rPr>
                <w:rFonts w:ascii="Constantia" w:hAnsi="Constantia"/>
                <w:b/>
                <w:color w:val="000000" w:themeColor="text1"/>
                <w:szCs w:val="22"/>
                <w:lang w:val="sr-Latn-CS"/>
              </w:rPr>
              <w:t>1,23</w:t>
            </w:r>
          </w:p>
        </w:tc>
        <w:tc>
          <w:tcPr>
            <w:tcW w:w="1170" w:type="dxa"/>
            <w:shd w:val="clear" w:color="auto" w:fill="EFE0F5"/>
          </w:tcPr>
          <w:p w:rsidR="00E7780B" w:rsidRPr="00E67DBE" w:rsidRDefault="00E7780B" w:rsidP="004E680E">
            <w:pPr>
              <w:jc w:val="center"/>
              <w:rPr>
                <w:rFonts w:ascii="Constantia" w:hAnsi="Constantia"/>
                <w:b/>
                <w:color w:val="000000" w:themeColor="text1"/>
                <w:szCs w:val="22"/>
                <w:lang w:val="sr-Latn-CS"/>
              </w:rPr>
            </w:pPr>
            <w:r w:rsidRPr="00E67DBE">
              <w:rPr>
                <w:rFonts w:ascii="Constantia" w:hAnsi="Constantia"/>
                <w:b/>
                <w:color w:val="000000" w:themeColor="text1"/>
                <w:szCs w:val="22"/>
                <w:lang w:val="sr-Latn-CS"/>
              </w:rPr>
              <w:t>1,26</w:t>
            </w:r>
          </w:p>
        </w:tc>
      </w:tr>
      <w:tr w:rsidR="00E7780B" w:rsidRPr="00F0140B" w:rsidTr="00F0140B">
        <w:trPr>
          <w:trHeight w:val="87"/>
          <w:jc w:val="center"/>
        </w:trPr>
        <w:tc>
          <w:tcPr>
            <w:tcW w:w="3568" w:type="dxa"/>
            <w:tcBorders>
              <w:top w:val="single" w:sz="8" w:space="0" w:color="FFFFFF"/>
              <w:left w:val="single" w:sz="8" w:space="0" w:color="FFFFFF"/>
              <w:bottom w:val="nil"/>
              <w:right w:val="single" w:sz="24" w:space="0" w:color="FFFFFF"/>
            </w:tcBorders>
            <w:shd w:val="clear" w:color="auto" w:fill="BF83D7"/>
          </w:tcPr>
          <w:p w:rsidR="00E7780B" w:rsidRPr="00E67DBE" w:rsidRDefault="00E7780B" w:rsidP="004E680E">
            <w:pPr>
              <w:spacing w:after="0"/>
              <w:jc w:val="left"/>
              <w:rPr>
                <w:rFonts w:ascii="Constantia" w:hAnsi="Constantia"/>
                <w:bCs/>
                <w:color w:val="000000" w:themeColor="text1"/>
                <w:szCs w:val="22"/>
                <w:lang w:val="sr-Latn-CS"/>
              </w:rPr>
            </w:pPr>
            <w:r w:rsidRPr="00E67DBE">
              <w:rPr>
                <w:rFonts w:ascii="Constantia" w:hAnsi="Constantia"/>
                <w:bCs/>
                <w:color w:val="000000" w:themeColor="text1"/>
                <w:szCs w:val="22"/>
                <w:lang w:val="sr-Latn-CS"/>
              </w:rPr>
              <w:t>Pokrivenost stanovništva uslugom sakupljanja otpada (%)</w:t>
            </w:r>
          </w:p>
        </w:tc>
        <w:tc>
          <w:tcPr>
            <w:tcW w:w="1075" w:type="dxa"/>
            <w:tcBorders>
              <w:top w:val="single" w:sz="8" w:space="0" w:color="FFFFFF"/>
              <w:left w:val="single" w:sz="8" w:space="0" w:color="FFFFFF"/>
              <w:bottom w:val="single" w:sz="8" w:space="0" w:color="FFFFFF"/>
              <w:right w:val="single" w:sz="8" w:space="0" w:color="FFFFFF"/>
            </w:tcBorders>
            <w:shd w:val="clear" w:color="auto" w:fill="DEC1EB"/>
          </w:tcPr>
          <w:p w:rsidR="00E7780B" w:rsidRPr="00E67DBE" w:rsidRDefault="00E7780B" w:rsidP="004E680E">
            <w:pPr>
              <w:jc w:val="center"/>
              <w:rPr>
                <w:rFonts w:ascii="Constantia" w:hAnsi="Constantia"/>
                <w:b/>
                <w:color w:val="000000" w:themeColor="text1"/>
                <w:szCs w:val="22"/>
                <w:lang w:val="sr-Latn-CS"/>
              </w:rPr>
            </w:pPr>
            <w:r w:rsidRPr="00E67DBE">
              <w:rPr>
                <w:rFonts w:ascii="Constantia" w:hAnsi="Constantia"/>
                <w:b/>
                <w:color w:val="000000" w:themeColor="text1"/>
                <w:szCs w:val="22"/>
                <w:lang w:val="sr-Latn-CS"/>
              </w:rPr>
              <w:t>---</w:t>
            </w:r>
          </w:p>
        </w:tc>
        <w:tc>
          <w:tcPr>
            <w:tcW w:w="1170" w:type="dxa"/>
            <w:tcBorders>
              <w:top w:val="single" w:sz="8" w:space="0" w:color="FFFFFF"/>
              <w:left w:val="single" w:sz="8" w:space="0" w:color="FFFFFF"/>
              <w:bottom w:val="single" w:sz="8" w:space="0" w:color="FFFFFF"/>
              <w:right w:val="single" w:sz="8" w:space="0" w:color="FFFFFF"/>
            </w:tcBorders>
            <w:shd w:val="clear" w:color="auto" w:fill="DEC1EB"/>
          </w:tcPr>
          <w:p w:rsidR="00E7780B" w:rsidRPr="00E67DBE" w:rsidRDefault="00E7780B" w:rsidP="004E680E">
            <w:pPr>
              <w:jc w:val="center"/>
              <w:rPr>
                <w:rFonts w:ascii="Constantia" w:hAnsi="Constantia"/>
                <w:b/>
                <w:color w:val="000000" w:themeColor="text1"/>
                <w:szCs w:val="22"/>
                <w:lang w:val="sr-Latn-CS"/>
              </w:rPr>
            </w:pPr>
            <w:r w:rsidRPr="00E67DBE">
              <w:rPr>
                <w:rFonts w:ascii="Constantia" w:hAnsi="Constantia"/>
                <w:b/>
                <w:color w:val="000000" w:themeColor="text1"/>
                <w:szCs w:val="22"/>
                <w:lang w:val="sr-Latn-CS"/>
              </w:rPr>
              <w:t>---</w:t>
            </w:r>
          </w:p>
        </w:tc>
        <w:tc>
          <w:tcPr>
            <w:tcW w:w="1080" w:type="dxa"/>
            <w:tcBorders>
              <w:top w:val="single" w:sz="8" w:space="0" w:color="FFFFFF"/>
              <w:left w:val="single" w:sz="8" w:space="0" w:color="FFFFFF"/>
              <w:bottom w:val="single" w:sz="8" w:space="0" w:color="FFFFFF"/>
              <w:right w:val="single" w:sz="8" w:space="0" w:color="FFFFFF"/>
            </w:tcBorders>
            <w:shd w:val="clear" w:color="auto" w:fill="DEC1EB"/>
          </w:tcPr>
          <w:p w:rsidR="00E7780B" w:rsidRPr="00E67DBE" w:rsidRDefault="00E7780B" w:rsidP="004E680E">
            <w:pPr>
              <w:jc w:val="center"/>
              <w:rPr>
                <w:rFonts w:ascii="Constantia" w:hAnsi="Constantia"/>
                <w:b/>
                <w:color w:val="000000" w:themeColor="text1"/>
                <w:szCs w:val="22"/>
                <w:lang w:val="sr-Latn-CS"/>
              </w:rPr>
            </w:pPr>
            <w:r w:rsidRPr="00E67DBE">
              <w:rPr>
                <w:rFonts w:ascii="Constantia" w:hAnsi="Constantia"/>
                <w:b/>
                <w:color w:val="000000" w:themeColor="text1"/>
                <w:szCs w:val="22"/>
                <w:lang w:val="sr-Latn-CS"/>
              </w:rPr>
              <w:t>---</w:t>
            </w:r>
          </w:p>
        </w:tc>
        <w:tc>
          <w:tcPr>
            <w:tcW w:w="1115" w:type="dxa"/>
            <w:tcBorders>
              <w:top w:val="single" w:sz="8" w:space="0" w:color="FFFFFF"/>
              <w:left w:val="single" w:sz="8" w:space="0" w:color="FFFFFF"/>
              <w:bottom w:val="single" w:sz="8" w:space="0" w:color="FFFFFF"/>
              <w:right w:val="single" w:sz="8" w:space="0" w:color="FFFFFF"/>
            </w:tcBorders>
            <w:shd w:val="clear" w:color="auto" w:fill="DEC1EB"/>
          </w:tcPr>
          <w:p w:rsidR="00E7780B" w:rsidRPr="00E67DBE" w:rsidRDefault="00E7780B" w:rsidP="004E680E">
            <w:pPr>
              <w:jc w:val="center"/>
              <w:rPr>
                <w:rFonts w:ascii="Constantia" w:hAnsi="Constantia"/>
                <w:b/>
                <w:color w:val="000000" w:themeColor="text1"/>
                <w:szCs w:val="22"/>
                <w:lang w:val="sr-Latn-CS"/>
              </w:rPr>
            </w:pPr>
            <w:r w:rsidRPr="00E67DBE">
              <w:rPr>
                <w:rFonts w:ascii="Constantia" w:hAnsi="Constantia"/>
                <w:b/>
                <w:color w:val="000000" w:themeColor="text1"/>
                <w:szCs w:val="22"/>
                <w:lang w:val="sr-Latn-CS"/>
              </w:rPr>
              <w:t>74,04</w:t>
            </w:r>
          </w:p>
        </w:tc>
        <w:tc>
          <w:tcPr>
            <w:tcW w:w="1170" w:type="dxa"/>
            <w:tcBorders>
              <w:top w:val="single" w:sz="8" w:space="0" w:color="FFFFFF"/>
              <w:left w:val="single" w:sz="8" w:space="0" w:color="FFFFFF"/>
              <w:bottom w:val="single" w:sz="8" w:space="0" w:color="FFFFFF"/>
              <w:right w:val="single" w:sz="8" w:space="0" w:color="FFFFFF"/>
            </w:tcBorders>
            <w:shd w:val="clear" w:color="auto" w:fill="DEC1EB"/>
          </w:tcPr>
          <w:p w:rsidR="00E7780B" w:rsidRPr="00E67DBE" w:rsidRDefault="00E7780B" w:rsidP="004E680E">
            <w:pPr>
              <w:jc w:val="center"/>
              <w:rPr>
                <w:rFonts w:ascii="Constantia" w:hAnsi="Constantia"/>
                <w:b/>
                <w:color w:val="000000" w:themeColor="text1"/>
                <w:szCs w:val="22"/>
                <w:lang w:val="sr-Latn-CS"/>
              </w:rPr>
            </w:pPr>
            <w:r w:rsidRPr="00E67DBE">
              <w:rPr>
                <w:rFonts w:ascii="Constantia" w:hAnsi="Constantia"/>
                <w:b/>
                <w:color w:val="000000" w:themeColor="text1"/>
                <w:szCs w:val="22"/>
                <w:lang w:val="sr-Latn-CS"/>
              </w:rPr>
              <w:t>77,3</w:t>
            </w:r>
          </w:p>
        </w:tc>
      </w:tr>
      <w:tr w:rsidR="00E7780B" w:rsidRPr="00F0140B" w:rsidTr="00F0140B">
        <w:trPr>
          <w:trHeight w:val="610"/>
          <w:jc w:val="center"/>
        </w:trPr>
        <w:tc>
          <w:tcPr>
            <w:tcW w:w="3568" w:type="dxa"/>
            <w:tcBorders>
              <w:left w:val="single" w:sz="8" w:space="0" w:color="FFFFFF"/>
              <w:right w:val="single" w:sz="24" w:space="0" w:color="FFFFFF"/>
            </w:tcBorders>
            <w:shd w:val="clear" w:color="auto" w:fill="BF83D7"/>
          </w:tcPr>
          <w:p w:rsidR="00E7780B" w:rsidRPr="00E67DBE" w:rsidRDefault="00E7780B" w:rsidP="004E680E">
            <w:pPr>
              <w:spacing w:after="0"/>
              <w:jc w:val="left"/>
              <w:rPr>
                <w:rFonts w:ascii="Constantia" w:hAnsi="Constantia"/>
                <w:bCs/>
                <w:color w:val="000000" w:themeColor="text1"/>
                <w:szCs w:val="22"/>
                <w:lang w:val="sr-Latn-CS"/>
              </w:rPr>
            </w:pPr>
            <w:r w:rsidRPr="00E67DBE">
              <w:rPr>
                <w:rFonts w:ascii="Constantia" w:hAnsi="Constantia"/>
                <w:bCs/>
                <w:color w:val="000000" w:themeColor="text1"/>
                <w:szCs w:val="22"/>
                <w:lang w:val="sr-Latn-CS"/>
              </w:rPr>
              <w:t xml:space="preserve">Prosječan broj dana u godini u kojima je sakupljan otpad </w:t>
            </w:r>
          </w:p>
        </w:tc>
        <w:tc>
          <w:tcPr>
            <w:tcW w:w="1075" w:type="dxa"/>
            <w:shd w:val="clear" w:color="auto" w:fill="EFE0F5"/>
          </w:tcPr>
          <w:p w:rsidR="00E7780B" w:rsidRPr="00E67DBE" w:rsidRDefault="00E7780B" w:rsidP="004E680E">
            <w:pPr>
              <w:jc w:val="center"/>
              <w:rPr>
                <w:rFonts w:ascii="Constantia" w:hAnsi="Constantia"/>
                <w:b/>
                <w:color w:val="000000" w:themeColor="text1"/>
                <w:szCs w:val="22"/>
                <w:lang w:val="sr-Latn-CS"/>
              </w:rPr>
            </w:pPr>
            <w:r w:rsidRPr="00E67DBE">
              <w:rPr>
                <w:rFonts w:ascii="Constantia" w:hAnsi="Constantia"/>
                <w:b/>
                <w:color w:val="000000" w:themeColor="text1"/>
                <w:szCs w:val="22"/>
                <w:lang w:val="sr-Latn-CS"/>
              </w:rPr>
              <w:t>331</w:t>
            </w:r>
          </w:p>
        </w:tc>
        <w:tc>
          <w:tcPr>
            <w:tcW w:w="1170" w:type="dxa"/>
            <w:shd w:val="clear" w:color="auto" w:fill="EFE0F5"/>
          </w:tcPr>
          <w:p w:rsidR="00E7780B" w:rsidRPr="00E67DBE" w:rsidRDefault="00E7780B" w:rsidP="004E680E">
            <w:pPr>
              <w:jc w:val="center"/>
              <w:rPr>
                <w:rFonts w:ascii="Constantia" w:hAnsi="Constantia"/>
                <w:b/>
                <w:color w:val="000000" w:themeColor="text1"/>
                <w:szCs w:val="22"/>
                <w:lang w:val="sr-Latn-CS"/>
              </w:rPr>
            </w:pPr>
            <w:r w:rsidRPr="00E67DBE">
              <w:rPr>
                <w:rFonts w:ascii="Constantia" w:hAnsi="Constantia"/>
                <w:b/>
                <w:color w:val="000000" w:themeColor="text1"/>
                <w:szCs w:val="22"/>
                <w:lang w:val="sr-Latn-CS"/>
              </w:rPr>
              <w:t>341</w:t>
            </w:r>
          </w:p>
        </w:tc>
        <w:tc>
          <w:tcPr>
            <w:tcW w:w="1080" w:type="dxa"/>
            <w:shd w:val="clear" w:color="auto" w:fill="EFE0F5"/>
          </w:tcPr>
          <w:p w:rsidR="00E7780B" w:rsidRPr="00E67DBE" w:rsidRDefault="00E7780B" w:rsidP="004E680E">
            <w:pPr>
              <w:jc w:val="center"/>
              <w:rPr>
                <w:rFonts w:ascii="Constantia" w:hAnsi="Constantia"/>
                <w:b/>
                <w:color w:val="000000" w:themeColor="text1"/>
                <w:szCs w:val="22"/>
                <w:lang w:val="sr-Latn-CS"/>
              </w:rPr>
            </w:pPr>
            <w:r w:rsidRPr="00E67DBE">
              <w:rPr>
                <w:rFonts w:ascii="Constantia" w:hAnsi="Constantia"/>
                <w:b/>
                <w:color w:val="000000" w:themeColor="text1"/>
                <w:szCs w:val="22"/>
                <w:lang w:val="sr-Latn-CS"/>
              </w:rPr>
              <w:t>341</w:t>
            </w:r>
          </w:p>
        </w:tc>
        <w:tc>
          <w:tcPr>
            <w:tcW w:w="1115" w:type="dxa"/>
            <w:shd w:val="clear" w:color="auto" w:fill="EFE0F5"/>
          </w:tcPr>
          <w:p w:rsidR="00E7780B" w:rsidRPr="00E67DBE" w:rsidRDefault="00E7780B" w:rsidP="004E680E">
            <w:pPr>
              <w:jc w:val="center"/>
              <w:rPr>
                <w:rFonts w:ascii="Constantia" w:hAnsi="Constantia"/>
                <w:b/>
                <w:color w:val="000000" w:themeColor="text1"/>
                <w:szCs w:val="22"/>
                <w:lang w:val="sr-Latn-CS"/>
              </w:rPr>
            </w:pPr>
            <w:r w:rsidRPr="00E67DBE">
              <w:rPr>
                <w:rFonts w:ascii="Constantia" w:hAnsi="Constantia"/>
                <w:b/>
                <w:color w:val="000000" w:themeColor="text1"/>
                <w:szCs w:val="22"/>
                <w:lang w:val="sr-Latn-CS"/>
              </w:rPr>
              <w:t>338</w:t>
            </w:r>
          </w:p>
        </w:tc>
        <w:tc>
          <w:tcPr>
            <w:tcW w:w="1170" w:type="dxa"/>
            <w:shd w:val="clear" w:color="auto" w:fill="EFE0F5"/>
          </w:tcPr>
          <w:p w:rsidR="00E7780B" w:rsidRPr="00E67DBE" w:rsidRDefault="00E7780B" w:rsidP="004E680E">
            <w:pPr>
              <w:jc w:val="center"/>
              <w:rPr>
                <w:rFonts w:ascii="Constantia" w:hAnsi="Constantia"/>
                <w:b/>
                <w:color w:val="000000" w:themeColor="text1"/>
                <w:szCs w:val="22"/>
                <w:lang w:val="sr-Latn-CS"/>
              </w:rPr>
            </w:pPr>
            <w:r w:rsidRPr="00E67DBE">
              <w:rPr>
                <w:rFonts w:ascii="Constantia" w:hAnsi="Constantia"/>
                <w:b/>
                <w:color w:val="000000" w:themeColor="text1"/>
                <w:szCs w:val="22"/>
                <w:lang w:val="sr-Latn-CS"/>
              </w:rPr>
              <w:t>339</w:t>
            </w:r>
          </w:p>
        </w:tc>
      </w:tr>
    </w:tbl>
    <w:p w:rsidR="00E7780B" w:rsidRPr="000D561E" w:rsidRDefault="00E7780B" w:rsidP="001B739D">
      <w:pPr>
        <w:pStyle w:val="Tabele"/>
        <w:ind w:left="0" w:firstLine="0"/>
        <w:rPr>
          <w:rFonts w:ascii="Constantia" w:hAnsi="Constantia"/>
          <w:sz w:val="22"/>
          <w:szCs w:val="22"/>
        </w:rPr>
      </w:pPr>
      <w:r w:rsidRPr="000D561E">
        <w:rPr>
          <w:rFonts w:ascii="Constantia" w:hAnsi="Constantia"/>
          <w:sz w:val="22"/>
          <w:szCs w:val="22"/>
        </w:rPr>
        <w:t xml:space="preserve">Podaci o sakupljanju otpada u Crnoj Gori za period 2009-2013 </w:t>
      </w:r>
    </w:p>
    <w:p w:rsidR="00E7780B" w:rsidRPr="005E4028" w:rsidRDefault="00E7780B" w:rsidP="000D561E">
      <w:pPr>
        <w:rPr>
          <w:rFonts w:ascii="Constantia" w:hAnsi="Constantia"/>
          <w:lang w:val="sr-Latn-CS"/>
        </w:rPr>
      </w:pPr>
      <w:r>
        <w:rPr>
          <w:rFonts w:ascii="Constantia" w:hAnsi="Constantia"/>
          <w:lang w:val="sr-Latn-CS"/>
        </w:rPr>
        <w:t>U 2013. godini, u Crnoj Gori se otpad sakupljao u prosjeku 339 dana (jedan dan više u odnosu na prošlogodišnji prosjek). S</w:t>
      </w:r>
      <w:r w:rsidRPr="00897A69">
        <w:rPr>
          <w:rFonts w:ascii="Constantia" w:hAnsi="Constantia"/>
          <w:lang w:val="sr-Latn-CS"/>
        </w:rPr>
        <w:t>akupljanjem otpada</w:t>
      </w:r>
      <w:r>
        <w:rPr>
          <w:rFonts w:ascii="Constantia" w:hAnsi="Constantia"/>
          <w:lang w:val="sr-Latn-CS"/>
        </w:rPr>
        <w:t>,</w:t>
      </w:r>
      <w:r w:rsidRPr="00897A69">
        <w:rPr>
          <w:rFonts w:ascii="Constantia" w:hAnsi="Constantia"/>
          <w:lang w:val="sr-Latn-CS"/>
        </w:rPr>
        <w:t xml:space="preserve"> od strane komunalnih preduzeća</w:t>
      </w:r>
      <w:r>
        <w:rPr>
          <w:rFonts w:ascii="Constantia" w:hAnsi="Constantia"/>
          <w:lang w:val="sr-Latn-CS"/>
        </w:rPr>
        <w:t>,</w:t>
      </w:r>
      <w:r w:rsidRPr="00897A69">
        <w:rPr>
          <w:rFonts w:ascii="Constantia" w:hAnsi="Constantia"/>
          <w:lang w:val="sr-Latn-CS"/>
        </w:rPr>
        <w:t xml:space="preserve"> </w:t>
      </w:r>
      <w:r>
        <w:rPr>
          <w:rFonts w:ascii="Constantia" w:hAnsi="Constantia"/>
          <w:lang w:val="sr-Latn-CS"/>
        </w:rPr>
        <w:t xml:space="preserve">u 2013. godini je </w:t>
      </w:r>
      <w:r w:rsidRPr="00897A69">
        <w:rPr>
          <w:rFonts w:ascii="Constantia" w:hAnsi="Constantia"/>
          <w:lang w:val="sr-Latn-CS"/>
        </w:rPr>
        <w:t>obuhvaćeno</w:t>
      </w:r>
      <w:r>
        <w:rPr>
          <w:rFonts w:ascii="Constantia" w:hAnsi="Constantia"/>
          <w:lang w:val="sr-Latn-CS"/>
        </w:rPr>
        <w:t xml:space="preserve"> 77,3% stanovništva </w:t>
      </w:r>
      <w:r w:rsidRPr="00897A69">
        <w:rPr>
          <w:rFonts w:ascii="Constantia" w:hAnsi="Constantia"/>
          <w:lang w:val="sr-Latn-CS"/>
        </w:rPr>
        <w:t xml:space="preserve">koje </w:t>
      </w:r>
      <w:r>
        <w:rPr>
          <w:rFonts w:ascii="Constantia" w:hAnsi="Constantia"/>
          <w:lang w:val="sr-Latn-CS"/>
        </w:rPr>
        <w:t xml:space="preserve">uglavnom </w:t>
      </w:r>
      <w:r w:rsidRPr="00897A69">
        <w:rPr>
          <w:rFonts w:ascii="Constantia" w:hAnsi="Constantia"/>
          <w:lang w:val="sr-Latn-CS"/>
        </w:rPr>
        <w:t>živi u gradovima</w:t>
      </w:r>
      <w:r>
        <w:rPr>
          <w:rFonts w:ascii="Constantia" w:hAnsi="Constantia"/>
          <w:lang w:val="sr-Latn-CS"/>
        </w:rPr>
        <w:t xml:space="preserve"> (što je 3,26% više u odnosu na prethodnu godinu), dok se o</w:t>
      </w:r>
      <w:r w:rsidRPr="00897A69">
        <w:rPr>
          <w:rFonts w:ascii="Constantia" w:hAnsi="Constantia"/>
          <w:lang w:val="sr-Latn-CS"/>
        </w:rPr>
        <w:t xml:space="preserve">tpad koji se stvara u selima i manjim naseljima </w:t>
      </w:r>
      <w:r>
        <w:rPr>
          <w:rFonts w:ascii="Constantia" w:hAnsi="Constantia"/>
          <w:lang w:val="sr-Latn-CS"/>
        </w:rPr>
        <w:t xml:space="preserve">uglavnom </w:t>
      </w:r>
      <w:r w:rsidRPr="00897A69">
        <w:rPr>
          <w:rFonts w:ascii="Constantia" w:hAnsi="Constantia"/>
          <w:lang w:val="sr-Latn-CS"/>
        </w:rPr>
        <w:t xml:space="preserve">odlaže </w:t>
      </w:r>
      <w:r>
        <w:rPr>
          <w:rFonts w:ascii="Constantia" w:hAnsi="Constantia"/>
          <w:lang w:val="sr-Latn-CS"/>
        </w:rPr>
        <w:t>na neuređenim odlagalištima, tj.</w:t>
      </w:r>
      <w:r w:rsidRPr="00897A69">
        <w:rPr>
          <w:rFonts w:ascii="Constantia" w:hAnsi="Constantia"/>
          <w:lang w:val="sr-Latn-CS"/>
        </w:rPr>
        <w:t xml:space="preserve"> na tzv. „nelegalnim“ ili „divljim“ deponijama.</w:t>
      </w:r>
    </w:p>
    <w:p w:rsidR="00E7780B" w:rsidRDefault="00E7780B" w:rsidP="000D561E">
      <w:pPr>
        <w:rPr>
          <w:rFonts w:ascii="Constantia" w:hAnsi="Constantia"/>
          <w:lang w:val="sr-Latn-CS"/>
        </w:rPr>
      </w:pPr>
      <w:r w:rsidRPr="009114AC">
        <w:rPr>
          <w:rFonts w:ascii="Constantia" w:hAnsi="Constantia"/>
          <w:lang w:val="sr-Latn-CS"/>
        </w:rPr>
        <w:t>Prema poslednjim podacima Ministarstva održivog razvoja i turizma (2011.</w:t>
      </w:r>
      <w:r w:rsidR="00B0018D">
        <w:rPr>
          <w:rFonts w:ascii="Constantia" w:hAnsi="Constantia"/>
          <w:lang w:val="sr-Latn-CS"/>
        </w:rPr>
        <w:t xml:space="preserve"> </w:t>
      </w:r>
      <w:r w:rsidRPr="009114AC">
        <w:rPr>
          <w:rFonts w:ascii="Constantia" w:hAnsi="Constantia"/>
          <w:lang w:val="sr-Latn-CS"/>
        </w:rPr>
        <w:t>g.), u Crnoj Gori su evidentirana 273 neuređena</w:t>
      </w:r>
      <w:r w:rsidRPr="00656ED2">
        <w:rPr>
          <w:rFonts w:ascii="Constantia" w:hAnsi="Constantia"/>
          <w:color w:val="FF0000"/>
          <w:lang w:val="sr-Latn-CS"/>
        </w:rPr>
        <w:t xml:space="preserve"> </w:t>
      </w:r>
      <w:r w:rsidRPr="00897A69">
        <w:rPr>
          <w:rFonts w:ascii="Constantia" w:hAnsi="Constantia"/>
          <w:lang w:val="sr-Latn-CS"/>
        </w:rPr>
        <w:t xml:space="preserve">odlagališta otpada. </w:t>
      </w:r>
      <w:r w:rsidRPr="00B0018D">
        <w:rPr>
          <w:rFonts w:ascii="Constantia" w:hAnsi="Constantia"/>
          <w:i/>
          <w:lang w:val="sr-Latn-CS"/>
        </w:rPr>
        <w:t xml:space="preserve">Tabela </w:t>
      </w:r>
      <w:r w:rsidR="002E74AA" w:rsidRPr="00B0018D">
        <w:rPr>
          <w:rFonts w:ascii="Constantia" w:hAnsi="Constantia"/>
          <w:i/>
          <w:lang w:val="sr-Latn-CS"/>
        </w:rPr>
        <w:t>12</w:t>
      </w:r>
      <w:r w:rsidRPr="00B0018D">
        <w:rPr>
          <w:rFonts w:ascii="Constantia" w:hAnsi="Constantia"/>
          <w:i/>
          <w:lang w:val="sr-Latn-CS"/>
        </w:rPr>
        <w:t>.</w:t>
      </w:r>
      <w:r w:rsidRPr="00897A69">
        <w:rPr>
          <w:rFonts w:ascii="Constantia" w:hAnsi="Constantia"/>
          <w:lang w:val="sr-Latn-CS"/>
        </w:rPr>
        <w:t xml:space="preserve"> prikazuje </w:t>
      </w:r>
      <w:r>
        <w:rPr>
          <w:rFonts w:ascii="Constantia" w:hAnsi="Constantia"/>
          <w:lang w:val="sr-Latn-CS"/>
        </w:rPr>
        <w:t>evidentirana neuređena</w:t>
      </w:r>
      <w:r w:rsidRPr="00897A69">
        <w:rPr>
          <w:rFonts w:ascii="Constantia" w:hAnsi="Constantia"/>
          <w:lang w:val="sr-Latn-CS"/>
        </w:rPr>
        <w:t xml:space="preserve"> odlagališta po njihovim kapacitetima:</w:t>
      </w:r>
    </w:p>
    <w:p w:rsidR="00B0018D" w:rsidRPr="009114AC" w:rsidRDefault="00B0018D" w:rsidP="00B0018D">
      <w:pPr>
        <w:spacing w:after="0"/>
        <w:rPr>
          <w:rFonts w:ascii="Constantia" w:hAnsi="Constantia"/>
          <w:lang w:val="sr-Latn-CS"/>
        </w:rPr>
      </w:pPr>
    </w:p>
    <w:tbl>
      <w:tblPr>
        <w:tblW w:w="0" w:type="auto"/>
        <w:jc w:val="center"/>
        <w:tblInd w:w="1867"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Pr>
      <w:tblGrid>
        <w:gridCol w:w="3430"/>
        <w:gridCol w:w="2559"/>
      </w:tblGrid>
      <w:tr w:rsidR="00E7780B" w:rsidRPr="00B0018D" w:rsidTr="004E680E">
        <w:trPr>
          <w:trHeight w:val="583"/>
          <w:jc w:val="center"/>
        </w:trPr>
        <w:tc>
          <w:tcPr>
            <w:tcW w:w="3430" w:type="dxa"/>
            <w:tcBorders>
              <w:top w:val="single" w:sz="8" w:space="0" w:color="FFFFFF"/>
              <w:left w:val="single" w:sz="8" w:space="0" w:color="FFFFFF"/>
              <w:bottom w:val="single" w:sz="24" w:space="0" w:color="FFFFFF"/>
              <w:right w:val="single" w:sz="8" w:space="0" w:color="FFFFFF"/>
            </w:tcBorders>
            <w:shd w:val="clear" w:color="auto" w:fill="BF83D7"/>
          </w:tcPr>
          <w:p w:rsidR="00E7780B" w:rsidRPr="00B0018D" w:rsidRDefault="00E7780B" w:rsidP="004E680E">
            <w:pPr>
              <w:spacing w:after="0"/>
              <w:jc w:val="center"/>
              <w:rPr>
                <w:rFonts w:ascii="Constantia" w:hAnsi="Constantia"/>
                <w:bCs/>
                <w:color w:val="000000" w:themeColor="text1"/>
                <w:lang w:val="sr-Latn-CS"/>
              </w:rPr>
            </w:pPr>
            <w:r w:rsidRPr="00B0018D">
              <w:rPr>
                <w:rFonts w:ascii="Constantia" w:hAnsi="Constantia"/>
                <w:bCs/>
                <w:color w:val="000000" w:themeColor="text1"/>
                <w:szCs w:val="22"/>
                <w:lang w:val="sr-Latn-CS"/>
              </w:rPr>
              <w:t>Kapacitet neuređenog odlagališta (m</w:t>
            </w:r>
            <w:r w:rsidRPr="00B0018D">
              <w:rPr>
                <w:rFonts w:ascii="Constantia" w:hAnsi="Constantia"/>
                <w:bCs/>
                <w:color w:val="000000" w:themeColor="text1"/>
                <w:szCs w:val="22"/>
                <w:vertAlign w:val="superscript"/>
                <w:lang w:val="sr-Latn-CS"/>
              </w:rPr>
              <w:t>3</w:t>
            </w:r>
            <w:r w:rsidRPr="00B0018D">
              <w:rPr>
                <w:rFonts w:ascii="Constantia" w:hAnsi="Constantia"/>
                <w:bCs/>
                <w:color w:val="000000" w:themeColor="text1"/>
                <w:szCs w:val="22"/>
                <w:lang w:val="sr-Latn-CS"/>
              </w:rPr>
              <w:t>)</w:t>
            </w:r>
          </w:p>
        </w:tc>
        <w:tc>
          <w:tcPr>
            <w:tcW w:w="2559" w:type="dxa"/>
            <w:tcBorders>
              <w:top w:val="single" w:sz="8" w:space="0" w:color="FFFFFF"/>
              <w:left w:val="single" w:sz="8" w:space="0" w:color="FFFFFF"/>
              <w:bottom w:val="single" w:sz="24" w:space="0" w:color="FFFFFF"/>
              <w:right w:val="single" w:sz="8" w:space="0" w:color="FFFFFF"/>
            </w:tcBorders>
            <w:shd w:val="clear" w:color="auto" w:fill="BF83D7"/>
          </w:tcPr>
          <w:p w:rsidR="00E7780B" w:rsidRPr="00B0018D" w:rsidRDefault="00E7780B" w:rsidP="004E680E">
            <w:pPr>
              <w:spacing w:after="0"/>
              <w:jc w:val="center"/>
              <w:rPr>
                <w:rFonts w:ascii="Constantia" w:hAnsi="Constantia"/>
                <w:bCs/>
                <w:color w:val="000000" w:themeColor="text1"/>
                <w:lang w:val="sr-Latn-CS"/>
              </w:rPr>
            </w:pPr>
            <w:r w:rsidRPr="00B0018D">
              <w:rPr>
                <w:rFonts w:ascii="Constantia" w:hAnsi="Constantia"/>
                <w:bCs/>
                <w:color w:val="000000" w:themeColor="text1"/>
                <w:szCs w:val="22"/>
                <w:lang w:val="sr-Latn-CS"/>
              </w:rPr>
              <w:t>Broj neuređenih odlagališta</w:t>
            </w:r>
          </w:p>
        </w:tc>
      </w:tr>
      <w:tr w:rsidR="00E7780B" w:rsidRPr="00B0018D" w:rsidTr="004E680E">
        <w:trPr>
          <w:trHeight w:val="318"/>
          <w:jc w:val="center"/>
        </w:trPr>
        <w:tc>
          <w:tcPr>
            <w:tcW w:w="3430" w:type="dxa"/>
            <w:tcBorders>
              <w:top w:val="single" w:sz="8" w:space="0" w:color="FFFFFF"/>
              <w:left w:val="single" w:sz="8" w:space="0" w:color="FFFFFF"/>
              <w:bottom w:val="nil"/>
              <w:right w:val="single" w:sz="24" w:space="0" w:color="FFFFFF"/>
            </w:tcBorders>
            <w:shd w:val="clear" w:color="auto" w:fill="BF83D7"/>
          </w:tcPr>
          <w:p w:rsidR="00E7780B" w:rsidRPr="00B0018D" w:rsidRDefault="00E7780B" w:rsidP="004E680E">
            <w:pPr>
              <w:spacing w:after="0"/>
              <w:jc w:val="center"/>
              <w:rPr>
                <w:rFonts w:ascii="Constantia" w:hAnsi="Constantia"/>
                <w:bCs/>
                <w:color w:val="000000" w:themeColor="text1"/>
                <w:vertAlign w:val="superscript"/>
                <w:lang w:val="sr-Latn-CS"/>
              </w:rPr>
            </w:pPr>
            <w:r w:rsidRPr="00B0018D">
              <w:rPr>
                <w:rFonts w:ascii="Constantia" w:hAnsi="Constantia" w:cs="Arial"/>
                <w:bCs/>
                <w:color w:val="000000" w:themeColor="text1"/>
                <w:szCs w:val="22"/>
                <w:lang w:val="sr-Latn-CS"/>
              </w:rPr>
              <w:t xml:space="preserve">&lt; 100 </w:t>
            </w:r>
          </w:p>
        </w:tc>
        <w:tc>
          <w:tcPr>
            <w:tcW w:w="2559" w:type="dxa"/>
            <w:tcBorders>
              <w:top w:val="single" w:sz="8" w:space="0" w:color="FFFFFF"/>
              <w:left w:val="single" w:sz="8" w:space="0" w:color="FFFFFF"/>
              <w:bottom w:val="single" w:sz="8" w:space="0" w:color="FFFFFF"/>
              <w:right w:val="single" w:sz="8" w:space="0" w:color="FFFFFF"/>
            </w:tcBorders>
            <w:shd w:val="clear" w:color="auto" w:fill="DEC1EB"/>
          </w:tcPr>
          <w:p w:rsidR="00E7780B" w:rsidRPr="00B0018D" w:rsidRDefault="00E7780B" w:rsidP="004E680E">
            <w:pPr>
              <w:jc w:val="center"/>
              <w:rPr>
                <w:rFonts w:ascii="Constantia" w:hAnsi="Constantia"/>
                <w:color w:val="000000" w:themeColor="text1"/>
                <w:lang w:val="sr-Latn-CS"/>
              </w:rPr>
            </w:pPr>
            <w:r w:rsidRPr="00B0018D">
              <w:rPr>
                <w:rFonts w:ascii="Constantia" w:hAnsi="Constantia"/>
                <w:color w:val="000000" w:themeColor="text1"/>
                <w:szCs w:val="22"/>
                <w:lang w:val="sr-Latn-CS"/>
              </w:rPr>
              <w:t>155</w:t>
            </w:r>
          </w:p>
        </w:tc>
      </w:tr>
      <w:tr w:rsidR="00E7780B" w:rsidRPr="00B0018D" w:rsidTr="004E680E">
        <w:trPr>
          <w:trHeight w:val="87"/>
          <w:jc w:val="center"/>
        </w:trPr>
        <w:tc>
          <w:tcPr>
            <w:tcW w:w="3430" w:type="dxa"/>
            <w:tcBorders>
              <w:left w:val="single" w:sz="8" w:space="0" w:color="FFFFFF"/>
              <w:bottom w:val="nil"/>
              <w:right w:val="single" w:sz="24" w:space="0" w:color="FFFFFF"/>
            </w:tcBorders>
            <w:shd w:val="clear" w:color="auto" w:fill="BF83D7"/>
          </w:tcPr>
          <w:p w:rsidR="00E7780B" w:rsidRPr="00B0018D" w:rsidRDefault="00E7780B" w:rsidP="004E680E">
            <w:pPr>
              <w:spacing w:after="0"/>
              <w:jc w:val="center"/>
              <w:rPr>
                <w:rFonts w:ascii="Constantia" w:hAnsi="Constantia"/>
                <w:bCs/>
                <w:color w:val="000000" w:themeColor="text1"/>
                <w:vertAlign w:val="superscript"/>
                <w:lang w:val="sr-Latn-CS"/>
              </w:rPr>
            </w:pPr>
            <w:r w:rsidRPr="00B0018D">
              <w:rPr>
                <w:rFonts w:ascii="Constantia" w:hAnsi="Constantia"/>
                <w:bCs/>
                <w:color w:val="000000" w:themeColor="text1"/>
                <w:szCs w:val="22"/>
                <w:lang w:val="sr-Latn-CS"/>
              </w:rPr>
              <w:t xml:space="preserve">100 – 1.000 </w:t>
            </w:r>
          </w:p>
        </w:tc>
        <w:tc>
          <w:tcPr>
            <w:tcW w:w="2559" w:type="dxa"/>
            <w:shd w:val="clear" w:color="auto" w:fill="EFE0F5"/>
          </w:tcPr>
          <w:p w:rsidR="00E7780B" w:rsidRPr="00B0018D" w:rsidRDefault="00E7780B" w:rsidP="004E680E">
            <w:pPr>
              <w:jc w:val="center"/>
              <w:rPr>
                <w:rFonts w:ascii="Constantia" w:hAnsi="Constantia"/>
                <w:color w:val="000000" w:themeColor="text1"/>
                <w:lang w:val="sr-Latn-CS"/>
              </w:rPr>
            </w:pPr>
            <w:r w:rsidRPr="00B0018D">
              <w:rPr>
                <w:rFonts w:ascii="Constantia" w:hAnsi="Constantia"/>
                <w:color w:val="000000" w:themeColor="text1"/>
                <w:szCs w:val="22"/>
                <w:lang w:val="sr-Latn-CS"/>
              </w:rPr>
              <w:t>68</w:t>
            </w:r>
          </w:p>
        </w:tc>
      </w:tr>
      <w:tr w:rsidR="00E7780B" w:rsidRPr="00B0018D" w:rsidTr="004E680E">
        <w:trPr>
          <w:trHeight w:val="87"/>
          <w:jc w:val="center"/>
        </w:trPr>
        <w:tc>
          <w:tcPr>
            <w:tcW w:w="3430" w:type="dxa"/>
            <w:tcBorders>
              <w:top w:val="single" w:sz="8" w:space="0" w:color="FFFFFF"/>
              <w:left w:val="single" w:sz="8" w:space="0" w:color="FFFFFF"/>
              <w:bottom w:val="nil"/>
              <w:right w:val="single" w:sz="24" w:space="0" w:color="FFFFFF"/>
            </w:tcBorders>
            <w:shd w:val="clear" w:color="auto" w:fill="BF83D7"/>
          </w:tcPr>
          <w:p w:rsidR="00E7780B" w:rsidRPr="00B0018D" w:rsidRDefault="00E7780B" w:rsidP="004E680E">
            <w:pPr>
              <w:jc w:val="center"/>
              <w:rPr>
                <w:rFonts w:ascii="Constantia" w:hAnsi="Constantia"/>
                <w:bCs/>
                <w:color w:val="000000" w:themeColor="text1"/>
                <w:vertAlign w:val="superscript"/>
                <w:lang w:val="sr-Latn-CS"/>
              </w:rPr>
            </w:pPr>
            <w:r w:rsidRPr="00B0018D">
              <w:rPr>
                <w:rFonts w:ascii="Constantia" w:hAnsi="Constantia" w:cs="Arial"/>
                <w:bCs/>
                <w:color w:val="000000" w:themeColor="text1"/>
                <w:szCs w:val="22"/>
                <w:lang w:val="sr-Latn-CS"/>
              </w:rPr>
              <w:t xml:space="preserve">&gt; 1.000 </w:t>
            </w:r>
          </w:p>
        </w:tc>
        <w:tc>
          <w:tcPr>
            <w:tcW w:w="2559" w:type="dxa"/>
            <w:tcBorders>
              <w:top w:val="single" w:sz="8" w:space="0" w:color="FFFFFF"/>
              <w:left w:val="single" w:sz="8" w:space="0" w:color="FFFFFF"/>
              <w:bottom w:val="single" w:sz="8" w:space="0" w:color="FFFFFF"/>
              <w:right w:val="single" w:sz="8" w:space="0" w:color="FFFFFF"/>
            </w:tcBorders>
            <w:shd w:val="clear" w:color="auto" w:fill="DEC1EB"/>
          </w:tcPr>
          <w:p w:rsidR="00E7780B" w:rsidRPr="00B0018D" w:rsidRDefault="00E7780B" w:rsidP="004E680E">
            <w:pPr>
              <w:jc w:val="center"/>
              <w:rPr>
                <w:rFonts w:ascii="Constantia" w:hAnsi="Constantia"/>
                <w:color w:val="000000" w:themeColor="text1"/>
                <w:lang w:val="sr-Latn-CS"/>
              </w:rPr>
            </w:pPr>
            <w:r w:rsidRPr="00B0018D">
              <w:rPr>
                <w:rFonts w:ascii="Constantia" w:hAnsi="Constantia"/>
                <w:color w:val="000000" w:themeColor="text1"/>
                <w:szCs w:val="22"/>
                <w:lang w:val="sr-Latn-CS"/>
              </w:rPr>
              <w:t>50</w:t>
            </w:r>
          </w:p>
        </w:tc>
      </w:tr>
      <w:tr w:rsidR="00E7780B" w:rsidRPr="00B0018D" w:rsidTr="004E680E">
        <w:trPr>
          <w:trHeight w:val="178"/>
          <w:jc w:val="center"/>
        </w:trPr>
        <w:tc>
          <w:tcPr>
            <w:tcW w:w="3430" w:type="dxa"/>
            <w:tcBorders>
              <w:left w:val="single" w:sz="8" w:space="0" w:color="FFFFFF"/>
              <w:right w:val="single" w:sz="24" w:space="0" w:color="FFFFFF"/>
            </w:tcBorders>
            <w:shd w:val="clear" w:color="auto" w:fill="BF83D7"/>
          </w:tcPr>
          <w:p w:rsidR="00E7780B" w:rsidRPr="00B0018D" w:rsidRDefault="00E7780B" w:rsidP="004E680E">
            <w:pPr>
              <w:jc w:val="center"/>
              <w:rPr>
                <w:rFonts w:ascii="Constantia" w:hAnsi="Constantia"/>
                <w:bCs/>
                <w:color w:val="000000" w:themeColor="text1"/>
                <w:lang w:val="sr-Latn-CS"/>
              </w:rPr>
            </w:pPr>
            <w:r w:rsidRPr="00B0018D">
              <w:rPr>
                <w:rFonts w:ascii="Constantia" w:hAnsi="Constantia"/>
                <w:bCs/>
                <w:color w:val="000000" w:themeColor="text1"/>
                <w:szCs w:val="22"/>
                <w:lang w:val="sr-Latn-CS"/>
              </w:rPr>
              <w:t>Ukupno:</w:t>
            </w:r>
          </w:p>
        </w:tc>
        <w:tc>
          <w:tcPr>
            <w:tcW w:w="2559" w:type="dxa"/>
            <w:shd w:val="clear" w:color="auto" w:fill="EFE0F5"/>
          </w:tcPr>
          <w:p w:rsidR="00E7780B" w:rsidRPr="00B0018D" w:rsidRDefault="00E7780B" w:rsidP="004E680E">
            <w:pPr>
              <w:jc w:val="center"/>
              <w:rPr>
                <w:rFonts w:ascii="Constantia" w:hAnsi="Constantia"/>
                <w:color w:val="000000" w:themeColor="text1"/>
                <w:lang w:val="sr-Latn-CS"/>
              </w:rPr>
            </w:pPr>
            <w:r w:rsidRPr="00B0018D">
              <w:rPr>
                <w:rFonts w:ascii="Constantia" w:hAnsi="Constantia"/>
                <w:color w:val="000000" w:themeColor="text1"/>
                <w:szCs w:val="22"/>
                <w:lang w:val="sr-Latn-CS"/>
              </w:rPr>
              <w:t>273</w:t>
            </w:r>
          </w:p>
        </w:tc>
      </w:tr>
    </w:tbl>
    <w:p w:rsidR="00E7780B" w:rsidRPr="00BD4E9C" w:rsidRDefault="00E7780B" w:rsidP="00E7780B">
      <w:pPr>
        <w:pStyle w:val="Tabele"/>
        <w:spacing w:before="60" w:after="240"/>
        <w:ind w:left="720"/>
        <w:rPr>
          <w:rFonts w:ascii="Constantia" w:hAnsi="Constantia"/>
          <w:sz w:val="22"/>
        </w:rPr>
      </w:pPr>
      <w:r w:rsidRPr="00897A69">
        <w:rPr>
          <w:rFonts w:ascii="Constantia" w:hAnsi="Constantia"/>
          <w:sz w:val="22"/>
        </w:rPr>
        <w:t>Broj evidentiranih neuređenih odlagališta otpada u Crnoj Gori (2011)</w:t>
      </w:r>
    </w:p>
    <w:p w:rsidR="00E7780B" w:rsidRDefault="00E7780B" w:rsidP="000D561E">
      <w:pPr>
        <w:rPr>
          <w:rFonts w:ascii="Constantia" w:hAnsi="Constantia"/>
        </w:rPr>
      </w:pPr>
      <w:bookmarkStart w:id="123" w:name="_Toc318278316"/>
      <w:r>
        <w:rPr>
          <w:rFonts w:ascii="Constantia" w:hAnsi="Constantia"/>
        </w:rPr>
        <w:t xml:space="preserve">Sanacija lokacija pod neuređenim odlagalištima otpada je nesumnjivo jedan od osnovnih prioriteta svake moderne države, pa i naše. </w:t>
      </w:r>
      <w:r w:rsidR="000457A4">
        <w:rPr>
          <w:rFonts w:ascii="Constantia" w:hAnsi="Constantia"/>
        </w:rPr>
        <w:t>Stiče se</w:t>
      </w:r>
      <w:r>
        <w:rPr>
          <w:rFonts w:ascii="Constantia" w:hAnsi="Constantia"/>
        </w:rPr>
        <w:t xml:space="preserve"> utisak da broj neuređenih odlagališta otpada </w:t>
      </w:r>
      <w:r w:rsidR="000457A4">
        <w:rPr>
          <w:rFonts w:ascii="Constantia" w:hAnsi="Constantia"/>
        </w:rPr>
        <w:t xml:space="preserve">u Crnoj Gori </w:t>
      </w:r>
      <w:r>
        <w:rPr>
          <w:rFonts w:ascii="Constantia" w:hAnsi="Constantia"/>
        </w:rPr>
        <w:t xml:space="preserve">raste brže od broja saniranih lokacija. Mora se naglasiti da se razlog tome, osim u </w:t>
      </w:r>
      <w:r w:rsidR="009A6C69">
        <w:rPr>
          <w:rFonts w:ascii="Constantia" w:hAnsi="Constantia"/>
        </w:rPr>
        <w:t xml:space="preserve">još uvijek </w:t>
      </w:r>
      <w:r>
        <w:rPr>
          <w:rFonts w:ascii="Constantia" w:hAnsi="Constantia"/>
        </w:rPr>
        <w:t xml:space="preserve">nedovoljno uređenom sistemu i deficitu finansijskih sredstava, prilično često nalazi i u načinu života i odnosu građanstva prema okolini u kojoj žive. I pored svih akcija čišćenja i napora pojedinih lokalnih samouprava, sanirane lokacije vrlo brzo dobijaju “stari” izgled. Najčešći uzrok tome je neodgovornost građana koji i dalje nastavljaju sa odlaganjem otpada na nedozvoljenim lokacijama.    </w:t>
      </w:r>
    </w:p>
    <w:p w:rsidR="00E7780B" w:rsidRPr="00200A86" w:rsidRDefault="00E7780B" w:rsidP="000D561E">
      <w:pPr>
        <w:rPr>
          <w:rFonts w:ascii="Constantia" w:hAnsi="Constantia"/>
          <w:lang w:val="sr-Latn-CS"/>
        </w:rPr>
      </w:pPr>
      <w:r w:rsidRPr="00897A69">
        <w:rPr>
          <w:rFonts w:ascii="Constantia" w:hAnsi="Constantia"/>
        </w:rPr>
        <w:t>Emisije</w:t>
      </w:r>
      <w:r>
        <w:rPr>
          <w:rFonts w:ascii="Constantia" w:hAnsi="Constantia"/>
        </w:rPr>
        <w:t xml:space="preserve"> </w:t>
      </w:r>
      <w:r w:rsidRPr="00897A69">
        <w:rPr>
          <w:rFonts w:ascii="Constantia" w:hAnsi="Constantia"/>
        </w:rPr>
        <w:t>toksičnih</w:t>
      </w:r>
      <w:r>
        <w:rPr>
          <w:rFonts w:ascii="Constantia" w:hAnsi="Constantia"/>
        </w:rPr>
        <w:t xml:space="preserve"> </w:t>
      </w:r>
      <w:r w:rsidRPr="00897A69">
        <w:rPr>
          <w:rFonts w:ascii="Constantia" w:hAnsi="Constantia"/>
        </w:rPr>
        <w:t>komponenti u vodu, vazduh i zemljište, koje</w:t>
      </w:r>
      <w:r>
        <w:rPr>
          <w:rFonts w:ascii="Constantia" w:hAnsi="Constantia"/>
        </w:rPr>
        <w:t xml:space="preserve"> </w:t>
      </w:r>
      <w:r w:rsidRPr="00897A69">
        <w:rPr>
          <w:rFonts w:ascii="Constantia" w:hAnsi="Constantia"/>
        </w:rPr>
        <w:t>nastaju</w:t>
      </w:r>
      <w:r>
        <w:rPr>
          <w:rFonts w:ascii="Constantia" w:hAnsi="Constantia"/>
        </w:rPr>
        <w:t xml:space="preserve"> </w:t>
      </w:r>
      <w:r w:rsidRPr="00897A69">
        <w:rPr>
          <w:rFonts w:ascii="Constantia" w:hAnsi="Constantia"/>
        </w:rPr>
        <w:t>prilikom</w:t>
      </w:r>
      <w:r>
        <w:rPr>
          <w:rFonts w:ascii="Constantia" w:hAnsi="Constantia"/>
        </w:rPr>
        <w:t xml:space="preserve"> </w:t>
      </w:r>
      <w:r w:rsidRPr="00897A69">
        <w:rPr>
          <w:rFonts w:ascii="Constantia" w:hAnsi="Constantia"/>
        </w:rPr>
        <w:t>odlaganja</w:t>
      </w:r>
      <w:r>
        <w:rPr>
          <w:rFonts w:ascii="Constantia" w:hAnsi="Constantia"/>
        </w:rPr>
        <w:t xml:space="preserve"> </w:t>
      </w:r>
      <w:r w:rsidRPr="00897A69">
        <w:rPr>
          <w:rFonts w:ascii="Constantia" w:hAnsi="Constantia"/>
        </w:rPr>
        <w:t>otpada</w:t>
      </w:r>
      <w:r>
        <w:rPr>
          <w:rFonts w:ascii="Constantia" w:hAnsi="Constantia"/>
        </w:rPr>
        <w:t xml:space="preserve">, </w:t>
      </w:r>
      <w:r w:rsidRPr="00897A69">
        <w:rPr>
          <w:rFonts w:ascii="Constantia" w:hAnsi="Constantia"/>
        </w:rPr>
        <w:t>mogu se u velikoj</w:t>
      </w:r>
      <w:r>
        <w:rPr>
          <w:rFonts w:ascii="Constantia" w:hAnsi="Constantia"/>
        </w:rPr>
        <w:t xml:space="preserve"> </w:t>
      </w:r>
      <w:r w:rsidRPr="00897A69">
        <w:rPr>
          <w:rFonts w:ascii="Constantia" w:hAnsi="Constantia"/>
        </w:rPr>
        <w:t>mjeri</w:t>
      </w:r>
      <w:r>
        <w:rPr>
          <w:rFonts w:ascii="Constantia" w:hAnsi="Constantia"/>
        </w:rPr>
        <w:t xml:space="preserve"> </w:t>
      </w:r>
      <w:r w:rsidRPr="00897A69">
        <w:rPr>
          <w:rFonts w:ascii="Constantia" w:hAnsi="Constantia"/>
        </w:rPr>
        <w:t>redukovati</w:t>
      </w:r>
      <w:r>
        <w:rPr>
          <w:rFonts w:ascii="Constantia" w:hAnsi="Constantia"/>
        </w:rPr>
        <w:t xml:space="preserve"> </w:t>
      </w:r>
      <w:r w:rsidRPr="00897A69">
        <w:rPr>
          <w:rFonts w:ascii="Constantia" w:hAnsi="Constantia"/>
        </w:rPr>
        <w:t>korišćenjem</w:t>
      </w:r>
      <w:r>
        <w:rPr>
          <w:rFonts w:ascii="Constantia" w:hAnsi="Constantia"/>
        </w:rPr>
        <w:t xml:space="preserve"> </w:t>
      </w:r>
      <w:r w:rsidRPr="00897A69">
        <w:rPr>
          <w:rFonts w:ascii="Constantia" w:hAnsi="Constantia"/>
        </w:rPr>
        <w:t>naprednih</w:t>
      </w:r>
      <w:r>
        <w:rPr>
          <w:rFonts w:ascii="Constantia" w:hAnsi="Constantia"/>
        </w:rPr>
        <w:t xml:space="preserve"> </w:t>
      </w:r>
      <w:r w:rsidRPr="00897A69">
        <w:rPr>
          <w:rFonts w:ascii="Constantia" w:hAnsi="Constantia"/>
        </w:rPr>
        <w:t>sistema</w:t>
      </w:r>
      <w:r>
        <w:rPr>
          <w:rFonts w:ascii="Constantia" w:hAnsi="Constantia"/>
        </w:rPr>
        <w:t xml:space="preserve"> </w:t>
      </w:r>
      <w:r w:rsidRPr="00897A69">
        <w:rPr>
          <w:rFonts w:ascii="Constantia" w:hAnsi="Constantia"/>
        </w:rPr>
        <w:t>upravljanja</w:t>
      </w:r>
      <w:r>
        <w:rPr>
          <w:rFonts w:ascii="Constantia" w:hAnsi="Constantia"/>
        </w:rPr>
        <w:t xml:space="preserve"> </w:t>
      </w:r>
      <w:r w:rsidRPr="00897A69">
        <w:rPr>
          <w:rFonts w:ascii="Constantia" w:hAnsi="Constantia"/>
        </w:rPr>
        <w:t>otpadom.</w:t>
      </w:r>
      <w:r>
        <w:rPr>
          <w:rFonts w:ascii="Constantia" w:hAnsi="Constantia"/>
        </w:rPr>
        <w:t xml:space="preserve"> </w:t>
      </w:r>
      <w:r w:rsidRPr="00897A69">
        <w:rPr>
          <w:rFonts w:ascii="Constantia" w:hAnsi="Constantia"/>
          <w:lang w:val="sr-Latn-CS"/>
        </w:rPr>
        <w:t>Nasuprot neuređenim odlagalištima, koja ne posjeduju mjere sanitarne zaštite, sanitarne deponije predstavljaju prihvatljiv način tretmana i sanitarno-tehnički uređen prostor za odlaganje otpada i njegovu eventualnu obradu.</w:t>
      </w:r>
    </w:p>
    <w:p w:rsidR="00E7780B" w:rsidRDefault="00E7780B" w:rsidP="000D561E">
      <w:pPr>
        <w:rPr>
          <w:rFonts w:ascii="Constantia" w:hAnsi="Constantia"/>
          <w:lang w:val="sr-Latn-CS"/>
        </w:rPr>
      </w:pPr>
      <w:r w:rsidRPr="00897A69">
        <w:rPr>
          <w:rFonts w:ascii="Constantia" w:hAnsi="Constantia"/>
          <w:lang w:val="sr-Latn-CS"/>
        </w:rPr>
        <w:t xml:space="preserve">Trenutno, u Crnoj Gori postoje dvije </w:t>
      </w:r>
      <w:r w:rsidRPr="009007ED">
        <w:rPr>
          <w:rFonts w:ascii="Constantia" w:hAnsi="Constantia"/>
          <w:lang w:val="sr-Latn-CS"/>
        </w:rPr>
        <w:t>r</w:t>
      </w:r>
      <w:r>
        <w:rPr>
          <w:rFonts w:ascii="Constantia" w:hAnsi="Constantia"/>
          <w:lang w:val="sr-Latn-CS"/>
        </w:rPr>
        <w:t xml:space="preserve">egionalne sanitarne deponije koje su </w:t>
      </w:r>
      <w:r w:rsidRPr="00897A69">
        <w:rPr>
          <w:rFonts w:ascii="Constantia" w:hAnsi="Constantia"/>
          <w:lang w:val="sr-Latn-CS"/>
        </w:rPr>
        <w:t xml:space="preserve">situirane u Podgorici </w:t>
      </w:r>
      <w:r>
        <w:rPr>
          <w:rFonts w:ascii="Constantia" w:hAnsi="Constantia"/>
          <w:lang w:val="sr-Latn-CS"/>
        </w:rPr>
        <w:t xml:space="preserve">– deponija „Livade“ </w:t>
      </w:r>
      <w:r w:rsidRPr="00897A69">
        <w:rPr>
          <w:rFonts w:ascii="Constantia" w:hAnsi="Constantia"/>
          <w:lang w:val="sr-Latn-CS"/>
        </w:rPr>
        <w:t xml:space="preserve">(za potrebe </w:t>
      </w:r>
      <w:r>
        <w:rPr>
          <w:rFonts w:ascii="Constantia" w:hAnsi="Constantia"/>
          <w:lang w:val="sr-Latn-CS"/>
        </w:rPr>
        <w:t xml:space="preserve">Glavnog grada </w:t>
      </w:r>
      <w:r w:rsidRPr="00897A69">
        <w:rPr>
          <w:rFonts w:ascii="Constantia" w:hAnsi="Constantia"/>
          <w:lang w:val="sr-Latn-CS"/>
        </w:rPr>
        <w:t xml:space="preserve">Podgorica, </w:t>
      </w:r>
      <w:r>
        <w:rPr>
          <w:rFonts w:ascii="Constantia" w:hAnsi="Constantia"/>
          <w:lang w:val="sr-Latn-CS"/>
        </w:rPr>
        <w:t xml:space="preserve">opštine </w:t>
      </w:r>
      <w:r w:rsidRPr="00897A69">
        <w:rPr>
          <w:rFonts w:ascii="Constantia" w:hAnsi="Constantia"/>
          <w:lang w:val="sr-Latn-CS"/>
        </w:rPr>
        <w:t xml:space="preserve">Danilovgrad i </w:t>
      </w:r>
      <w:r>
        <w:rPr>
          <w:rFonts w:ascii="Constantia" w:hAnsi="Constantia"/>
          <w:lang w:val="sr-Latn-CS"/>
        </w:rPr>
        <w:t xml:space="preserve">Prijestonice </w:t>
      </w:r>
      <w:r w:rsidRPr="00897A69">
        <w:rPr>
          <w:rFonts w:ascii="Constantia" w:hAnsi="Constantia"/>
          <w:lang w:val="sr-Latn-CS"/>
        </w:rPr>
        <w:t xml:space="preserve">Cetinje) i u Baru (za potrebe opština Bar i Ulcinj, a kojima su se pridružile i </w:t>
      </w:r>
      <w:r w:rsidRPr="00897A69">
        <w:rPr>
          <w:rFonts w:ascii="Constantia" w:hAnsi="Constantia"/>
          <w:lang w:val="sr-Latn-CS"/>
        </w:rPr>
        <w:lastRenderedPageBreak/>
        <w:t>opštine Budva, Kotor i Tivat). Regionalna sanitarna deponija „Možura“ u Baru je počela sa radom u junu 2012. godine.</w:t>
      </w:r>
      <w:r>
        <w:rPr>
          <w:rFonts w:ascii="Constantia" w:hAnsi="Constantia"/>
          <w:lang w:val="sr-Latn-CS"/>
        </w:rPr>
        <w:t xml:space="preserve"> </w:t>
      </w:r>
    </w:p>
    <w:p w:rsidR="006154F6" w:rsidRDefault="006154F6" w:rsidP="000D561E">
      <w:pPr>
        <w:rPr>
          <w:rFonts w:ascii="Constantia" w:hAnsi="Constantia"/>
          <w:lang w:val="sr-Latn-CS"/>
        </w:rPr>
      </w:pPr>
    </w:p>
    <w:p w:rsidR="00E7780B" w:rsidRDefault="00E7780B" w:rsidP="00E7780B">
      <w:pPr>
        <w:spacing w:after="0"/>
        <w:rPr>
          <w:rFonts w:ascii="Constantia" w:hAnsi="Constantia"/>
          <w:lang w:val="sr-Latn-CS"/>
        </w:rPr>
      </w:pPr>
      <w:r>
        <w:rPr>
          <w:noProof/>
        </w:rPr>
        <w:drawing>
          <wp:inline distT="0" distB="0" distL="0" distR="0" wp14:anchorId="14293800" wp14:editId="0C562122">
            <wp:extent cx="2828925" cy="1714500"/>
            <wp:effectExtent l="19050" t="0" r="9525" b="0"/>
            <wp:docPr id="63" name="Picture 13" descr="deponija_livade-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ponija_livade-03"/>
                    <pic:cNvPicPr>
                      <a:picLocks noChangeAspect="1" noChangeArrowheads="1"/>
                    </pic:cNvPicPr>
                  </pic:nvPicPr>
                  <pic:blipFill>
                    <a:blip r:embed="rId107"/>
                    <a:srcRect/>
                    <a:stretch>
                      <a:fillRect/>
                    </a:stretch>
                  </pic:blipFill>
                  <pic:spPr bwMode="auto">
                    <a:xfrm>
                      <a:off x="0" y="0"/>
                      <a:ext cx="2831313" cy="1715947"/>
                    </a:xfrm>
                    <a:prstGeom prst="rect">
                      <a:avLst/>
                    </a:prstGeom>
                    <a:noFill/>
                    <a:ln w="9525">
                      <a:noFill/>
                      <a:miter lim="800000"/>
                      <a:headEnd/>
                      <a:tailEnd/>
                    </a:ln>
                  </pic:spPr>
                </pic:pic>
              </a:graphicData>
            </a:graphic>
          </wp:inline>
        </w:drawing>
      </w:r>
      <w:r w:rsidR="000D561E">
        <w:rPr>
          <w:rFonts w:ascii="Constantia" w:hAnsi="Constantia"/>
          <w:lang w:val="sr-Latn-CS"/>
        </w:rPr>
        <w:t xml:space="preserve"> </w:t>
      </w:r>
      <w:r>
        <w:rPr>
          <w:noProof/>
        </w:rPr>
        <w:drawing>
          <wp:inline distT="0" distB="0" distL="0" distR="0" wp14:anchorId="5F41D39E" wp14:editId="7B602C10">
            <wp:extent cx="2825944" cy="1712929"/>
            <wp:effectExtent l="19050" t="0" r="0" b="0"/>
            <wp:docPr id="224" name="Picture 10" descr="deponija_livad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ponija_livade-01"/>
                    <pic:cNvPicPr>
                      <a:picLocks noChangeAspect="1" noChangeArrowheads="1"/>
                    </pic:cNvPicPr>
                  </pic:nvPicPr>
                  <pic:blipFill>
                    <a:blip r:embed="rId108"/>
                    <a:srcRect/>
                    <a:stretch>
                      <a:fillRect/>
                    </a:stretch>
                  </pic:blipFill>
                  <pic:spPr bwMode="auto">
                    <a:xfrm>
                      <a:off x="0" y="0"/>
                      <a:ext cx="2830923" cy="1715947"/>
                    </a:xfrm>
                    <a:prstGeom prst="rect">
                      <a:avLst/>
                    </a:prstGeom>
                    <a:noFill/>
                    <a:ln w="9525">
                      <a:noFill/>
                      <a:miter lim="800000"/>
                      <a:headEnd/>
                      <a:tailEnd/>
                    </a:ln>
                  </pic:spPr>
                </pic:pic>
              </a:graphicData>
            </a:graphic>
          </wp:inline>
        </w:drawing>
      </w:r>
    </w:p>
    <w:p w:rsidR="00E7780B" w:rsidRDefault="00E7780B" w:rsidP="007021DA">
      <w:pPr>
        <w:pStyle w:val="Slika"/>
        <w:tabs>
          <w:tab w:val="left" w:pos="990"/>
          <w:tab w:val="left" w:pos="1710"/>
          <w:tab w:val="left" w:pos="2430"/>
        </w:tabs>
        <w:ind w:left="270"/>
        <w:rPr>
          <w:lang w:val="sr-Latn-CS"/>
        </w:rPr>
      </w:pPr>
      <w:r>
        <w:rPr>
          <w:rFonts w:ascii="Constantia" w:hAnsi="Constantia"/>
          <w:lang w:val="sr-Latn-CS"/>
        </w:rPr>
        <w:t>Deponija „Livade“ u Podgorici</w:t>
      </w:r>
      <w:r>
        <w:rPr>
          <w:rStyle w:val="FootnoteReference"/>
          <w:rFonts w:ascii="Constantia" w:hAnsi="Constantia"/>
          <w:lang w:val="sr-Latn-CS"/>
        </w:rPr>
        <w:footnoteReference w:id="9"/>
      </w:r>
    </w:p>
    <w:p w:rsidR="00E7780B" w:rsidRPr="006958A2" w:rsidRDefault="00E7780B" w:rsidP="006154F6">
      <w:pPr>
        <w:spacing w:after="0"/>
        <w:rPr>
          <w:rFonts w:ascii="Constantia" w:hAnsi="Constantia"/>
          <w:lang w:val="sr-Latn-CS"/>
        </w:rPr>
      </w:pPr>
      <w:r>
        <w:rPr>
          <w:rFonts w:ascii="Constantia" w:hAnsi="Constantia"/>
          <w:lang w:val="sr-Latn-CS"/>
        </w:rPr>
        <w:t xml:space="preserve">  </w:t>
      </w:r>
    </w:p>
    <w:p w:rsidR="00E7780B" w:rsidRDefault="00E7780B" w:rsidP="006154F6">
      <w:pPr>
        <w:rPr>
          <w:rFonts w:ascii="Constantia" w:hAnsi="Constantia"/>
        </w:rPr>
      </w:pPr>
      <w:r w:rsidRPr="00897A69">
        <w:rPr>
          <w:rFonts w:ascii="Constantia" w:hAnsi="Constantia"/>
        </w:rPr>
        <w:t>Osim</w:t>
      </w:r>
      <w:r>
        <w:rPr>
          <w:rFonts w:ascii="Constantia" w:hAnsi="Constantia"/>
        </w:rPr>
        <w:t xml:space="preserve"> </w:t>
      </w:r>
      <w:r w:rsidRPr="00897A69">
        <w:rPr>
          <w:rFonts w:ascii="Constantia" w:hAnsi="Constantia"/>
        </w:rPr>
        <w:t>Centara</w:t>
      </w:r>
      <w:r>
        <w:rPr>
          <w:rFonts w:ascii="Constantia" w:hAnsi="Constantia"/>
        </w:rPr>
        <w:t xml:space="preserve"> </w:t>
      </w:r>
      <w:r w:rsidRPr="00897A69">
        <w:rPr>
          <w:rFonts w:ascii="Constantia" w:hAnsi="Constantia"/>
        </w:rPr>
        <w:t>za</w:t>
      </w:r>
      <w:r>
        <w:rPr>
          <w:rFonts w:ascii="Constantia" w:hAnsi="Constantia"/>
        </w:rPr>
        <w:t xml:space="preserve"> </w:t>
      </w:r>
      <w:r w:rsidRPr="00897A69">
        <w:rPr>
          <w:rFonts w:ascii="Constantia" w:hAnsi="Constantia"/>
        </w:rPr>
        <w:t>primarnu</w:t>
      </w:r>
      <w:r>
        <w:rPr>
          <w:rFonts w:ascii="Constantia" w:hAnsi="Constantia"/>
        </w:rPr>
        <w:t xml:space="preserve"> </w:t>
      </w:r>
      <w:r w:rsidRPr="00897A69">
        <w:rPr>
          <w:rFonts w:ascii="Constantia" w:hAnsi="Constantia"/>
        </w:rPr>
        <w:t>reciklažu u Podgorici i Herceg</w:t>
      </w:r>
      <w:r>
        <w:rPr>
          <w:rFonts w:ascii="Constantia" w:hAnsi="Constantia"/>
        </w:rPr>
        <w:t xml:space="preserve"> </w:t>
      </w:r>
      <w:r w:rsidRPr="00897A69">
        <w:rPr>
          <w:rFonts w:ascii="Constantia" w:hAnsi="Constantia"/>
        </w:rPr>
        <w:t>Novom u ko</w:t>
      </w:r>
      <w:r>
        <w:rPr>
          <w:rFonts w:ascii="Constantia" w:hAnsi="Constantia"/>
        </w:rPr>
        <w:t>jima</w:t>
      </w:r>
      <w:r w:rsidRPr="00897A69">
        <w:rPr>
          <w:rFonts w:ascii="Constantia" w:hAnsi="Constantia"/>
        </w:rPr>
        <w:t xml:space="preserve"> se vrši</w:t>
      </w:r>
      <w:r>
        <w:rPr>
          <w:rFonts w:ascii="Constantia" w:hAnsi="Constantia"/>
        </w:rPr>
        <w:t xml:space="preserve"> </w:t>
      </w:r>
      <w:r w:rsidRPr="00897A69">
        <w:rPr>
          <w:rFonts w:ascii="Constantia" w:hAnsi="Constantia"/>
        </w:rPr>
        <w:t>selek</w:t>
      </w:r>
      <w:r>
        <w:rPr>
          <w:rFonts w:ascii="Constantia" w:hAnsi="Constantia"/>
        </w:rPr>
        <w:t xml:space="preserve">cija </w:t>
      </w:r>
      <w:r w:rsidRPr="00897A69">
        <w:rPr>
          <w:rFonts w:ascii="Constantia" w:hAnsi="Constantia"/>
        </w:rPr>
        <w:t>pojedinih</w:t>
      </w:r>
      <w:r>
        <w:rPr>
          <w:rFonts w:ascii="Constantia" w:hAnsi="Constantia"/>
        </w:rPr>
        <w:t xml:space="preserve"> </w:t>
      </w:r>
      <w:r w:rsidRPr="00897A69">
        <w:rPr>
          <w:rFonts w:ascii="Constantia" w:hAnsi="Constantia"/>
        </w:rPr>
        <w:t>vrsta</w:t>
      </w:r>
      <w:r>
        <w:rPr>
          <w:rFonts w:ascii="Constantia" w:hAnsi="Constantia"/>
        </w:rPr>
        <w:t xml:space="preserve"> </w:t>
      </w:r>
      <w:r w:rsidRPr="00897A69">
        <w:rPr>
          <w:rFonts w:ascii="Constantia" w:hAnsi="Constantia"/>
        </w:rPr>
        <w:t>otpada i njihova</w:t>
      </w:r>
      <w:r>
        <w:rPr>
          <w:rFonts w:ascii="Constantia" w:hAnsi="Constantia"/>
        </w:rPr>
        <w:t xml:space="preserve"> </w:t>
      </w:r>
      <w:r w:rsidRPr="00897A69">
        <w:rPr>
          <w:rFonts w:ascii="Constantia" w:hAnsi="Constantia"/>
        </w:rPr>
        <w:t>priprema</w:t>
      </w:r>
      <w:r>
        <w:rPr>
          <w:rFonts w:ascii="Constantia" w:hAnsi="Constantia"/>
        </w:rPr>
        <w:t xml:space="preserve"> </w:t>
      </w:r>
      <w:r w:rsidRPr="00897A69">
        <w:rPr>
          <w:rFonts w:ascii="Constantia" w:hAnsi="Constantia"/>
        </w:rPr>
        <w:t>za transport, u cilju</w:t>
      </w:r>
      <w:r>
        <w:rPr>
          <w:rFonts w:ascii="Constantia" w:hAnsi="Constantia"/>
        </w:rPr>
        <w:t xml:space="preserve"> </w:t>
      </w:r>
      <w:r w:rsidRPr="00897A69">
        <w:rPr>
          <w:rFonts w:ascii="Constantia" w:hAnsi="Constantia"/>
        </w:rPr>
        <w:t>dalje</w:t>
      </w:r>
      <w:r>
        <w:rPr>
          <w:rFonts w:ascii="Constantia" w:hAnsi="Constantia"/>
        </w:rPr>
        <w:t xml:space="preserve"> </w:t>
      </w:r>
      <w:r w:rsidRPr="00897A69">
        <w:rPr>
          <w:rFonts w:ascii="Constantia" w:hAnsi="Constantia"/>
        </w:rPr>
        <w:t>obrade, i manje</w:t>
      </w:r>
      <w:r>
        <w:rPr>
          <w:rFonts w:ascii="Constantia" w:hAnsi="Constantia"/>
        </w:rPr>
        <w:t xml:space="preserve"> </w:t>
      </w:r>
      <w:r w:rsidRPr="00897A69">
        <w:rPr>
          <w:rFonts w:ascii="Constantia" w:hAnsi="Constantia"/>
        </w:rPr>
        <w:t>linije u Kotoru (za</w:t>
      </w:r>
      <w:r>
        <w:rPr>
          <w:rFonts w:ascii="Constantia" w:hAnsi="Constantia"/>
        </w:rPr>
        <w:t xml:space="preserve"> </w:t>
      </w:r>
      <w:r w:rsidRPr="00897A69">
        <w:rPr>
          <w:rFonts w:ascii="Constantia" w:hAnsi="Constantia"/>
        </w:rPr>
        <w:t>potrebe</w:t>
      </w:r>
      <w:r>
        <w:rPr>
          <w:rFonts w:ascii="Constantia" w:hAnsi="Constantia"/>
        </w:rPr>
        <w:t xml:space="preserve"> </w:t>
      </w:r>
      <w:r w:rsidRPr="00897A69">
        <w:rPr>
          <w:rFonts w:ascii="Constantia" w:hAnsi="Constantia"/>
        </w:rPr>
        <w:t>opština</w:t>
      </w:r>
      <w:r>
        <w:rPr>
          <w:rFonts w:ascii="Constantia" w:hAnsi="Constantia"/>
        </w:rPr>
        <w:t xml:space="preserve"> </w:t>
      </w:r>
      <w:r w:rsidRPr="00897A69">
        <w:rPr>
          <w:rFonts w:ascii="Constantia" w:hAnsi="Constantia"/>
        </w:rPr>
        <w:t>Kotor i Tivat), u Crnoj</w:t>
      </w:r>
      <w:r>
        <w:rPr>
          <w:rFonts w:ascii="Constantia" w:hAnsi="Constantia"/>
        </w:rPr>
        <w:t xml:space="preserve"> </w:t>
      </w:r>
      <w:r w:rsidRPr="00897A69">
        <w:rPr>
          <w:rFonts w:ascii="Constantia" w:hAnsi="Constantia"/>
        </w:rPr>
        <w:t>Gori</w:t>
      </w:r>
      <w:r>
        <w:rPr>
          <w:rFonts w:ascii="Constantia" w:hAnsi="Constantia"/>
        </w:rPr>
        <w:t xml:space="preserve"> </w:t>
      </w:r>
      <w:r w:rsidRPr="00897A69">
        <w:rPr>
          <w:rFonts w:ascii="Constantia" w:hAnsi="Constantia"/>
        </w:rPr>
        <w:t>za</w:t>
      </w:r>
      <w:r>
        <w:rPr>
          <w:rFonts w:ascii="Constantia" w:hAnsi="Constantia"/>
        </w:rPr>
        <w:t xml:space="preserve"> </w:t>
      </w:r>
      <w:r w:rsidRPr="00897A69">
        <w:rPr>
          <w:rFonts w:ascii="Constantia" w:hAnsi="Constantia"/>
        </w:rPr>
        <w:t>sada</w:t>
      </w:r>
      <w:r>
        <w:rPr>
          <w:rFonts w:ascii="Constantia" w:hAnsi="Constantia"/>
        </w:rPr>
        <w:t xml:space="preserve"> </w:t>
      </w:r>
      <w:r w:rsidRPr="00897A69">
        <w:rPr>
          <w:rFonts w:ascii="Constantia" w:hAnsi="Constantia"/>
        </w:rPr>
        <w:t>nema</w:t>
      </w:r>
      <w:r>
        <w:rPr>
          <w:rFonts w:ascii="Constantia" w:hAnsi="Constantia"/>
        </w:rPr>
        <w:t xml:space="preserve"> </w:t>
      </w:r>
      <w:r w:rsidRPr="00897A69">
        <w:rPr>
          <w:rFonts w:ascii="Constantia" w:hAnsi="Constantia"/>
        </w:rPr>
        <w:t>objekata</w:t>
      </w:r>
      <w:r>
        <w:rPr>
          <w:rFonts w:ascii="Constantia" w:hAnsi="Constantia"/>
        </w:rPr>
        <w:t xml:space="preserve"> </w:t>
      </w:r>
      <w:r w:rsidRPr="00897A69">
        <w:rPr>
          <w:rFonts w:ascii="Constantia" w:hAnsi="Constantia"/>
        </w:rPr>
        <w:t>za</w:t>
      </w:r>
      <w:r>
        <w:rPr>
          <w:rFonts w:ascii="Constantia" w:hAnsi="Constantia"/>
        </w:rPr>
        <w:t xml:space="preserve"> </w:t>
      </w:r>
      <w:r w:rsidRPr="00897A69">
        <w:rPr>
          <w:rFonts w:ascii="Constantia" w:hAnsi="Constantia"/>
        </w:rPr>
        <w:t>reci</w:t>
      </w:r>
      <w:r>
        <w:rPr>
          <w:rFonts w:ascii="Constantia" w:hAnsi="Constantia"/>
        </w:rPr>
        <w:t>klažu. Isto tako, ne postoji ni</w:t>
      </w:r>
      <w:r w:rsidRPr="00897A69">
        <w:rPr>
          <w:rFonts w:ascii="Constantia" w:hAnsi="Constantia"/>
        </w:rPr>
        <w:t>jedno</w:t>
      </w:r>
      <w:r>
        <w:rPr>
          <w:rFonts w:ascii="Constantia" w:hAnsi="Constantia"/>
        </w:rPr>
        <w:t xml:space="preserve"> </w:t>
      </w:r>
      <w:r w:rsidRPr="00897A69">
        <w:rPr>
          <w:rFonts w:ascii="Constantia" w:hAnsi="Constantia"/>
        </w:rPr>
        <w:t>postrojenje</w:t>
      </w:r>
      <w:r>
        <w:rPr>
          <w:rFonts w:ascii="Constantia" w:hAnsi="Constantia"/>
        </w:rPr>
        <w:t xml:space="preserve"> </w:t>
      </w:r>
      <w:r w:rsidRPr="00897A69">
        <w:rPr>
          <w:rFonts w:ascii="Constantia" w:hAnsi="Constantia"/>
        </w:rPr>
        <w:t>za</w:t>
      </w:r>
      <w:r>
        <w:rPr>
          <w:rFonts w:ascii="Constantia" w:hAnsi="Constantia"/>
        </w:rPr>
        <w:t xml:space="preserve"> </w:t>
      </w:r>
      <w:r w:rsidRPr="00897A69">
        <w:rPr>
          <w:rFonts w:ascii="Constantia" w:hAnsi="Constantia"/>
        </w:rPr>
        <w:t>kompostiranje</w:t>
      </w:r>
      <w:r>
        <w:rPr>
          <w:rFonts w:ascii="Constantia" w:hAnsi="Constantia"/>
        </w:rPr>
        <w:t xml:space="preserve"> i spaljivanje otpada</w:t>
      </w:r>
      <w:r w:rsidRPr="00897A69">
        <w:rPr>
          <w:rFonts w:ascii="Constantia" w:hAnsi="Constantia"/>
        </w:rPr>
        <w:t>.</w:t>
      </w:r>
    </w:p>
    <w:p w:rsidR="00E7780B" w:rsidRDefault="00E7780B" w:rsidP="009A6C69">
      <w:pPr>
        <w:ind w:firstLine="360"/>
        <w:rPr>
          <w:rFonts w:ascii="Constantia" w:hAnsi="Constantia"/>
        </w:rPr>
      </w:pPr>
    </w:p>
    <w:p w:rsidR="00E7780B" w:rsidRDefault="00E7780B" w:rsidP="006154F6">
      <w:pPr>
        <w:spacing w:line="276" w:lineRule="auto"/>
        <w:rPr>
          <w:rFonts w:ascii="Constantia" w:hAnsi="Constantia"/>
          <w:lang w:val="sr-Latn-CS"/>
        </w:rPr>
      </w:pPr>
      <w:r w:rsidRPr="00FA18BD">
        <w:rPr>
          <w:rFonts w:ascii="Constantia" w:hAnsi="Constantia"/>
          <w:noProof/>
        </w:rPr>
        <w:drawing>
          <wp:inline distT="0" distB="0" distL="0" distR="0" wp14:anchorId="33874F95" wp14:editId="6904E503">
            <wp:extent cx="2828925" cy="1704975"/>
            <wp:effectExtent l="19050" t="0" r="9525" b="0"/>
            <wp:docPr id="225" name="Picture 16" descr="i-i-ii-kabina-za-selektiranje-otp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i-ii-kabina-za-selektiranje-otpada"/>
                    <pic:cNvPicPr>
                      <a:picLocks noChangeAspect="1" noChangeArrowheads="1"/>
                    </pic:cNvPicPr>
                  </pic:nvPicPr>
                  <pic:blipFill>
                    <a:blip r:embed="rId109"/>
                    <a:srcRect/>
                    <a:stretch>
                      <a:fillRect/>
                    </a:stretch>
                  </pic:blipFill>
                  <pic:spPr bwMode="auto">
                    <a:xfrm>
                      <a:off x="0" y="0"/>
                      <a:ext cx="2831311" cy="1706413"/>
                    </a:xfrm>
                    <a:prstGeom prst="rect">
                      <a:avLst/>
                    </a:prstGeom>
                    <a:noFill/>
                    <a:ln w="9525">
                      <a:noFill/>
                      <a:miter lim="800000"/>
                      <a:headEnd/>
                      <a:tailEnd/>
                    </a:ln>
                  </pic:spPr>
                </pic:pic>
              </a:graphicData>
            </a:graphic>
          </wp:inline>
        </w:drawing>
      </w:r>
      <w:r w:rsidR="006154F6">
        <w:rPr>
          <w:rFonts w:ascii="Constantia" w:hAnsi="Constantia"/>
          <w:lang w:val="sr-Latn-CS"/>
        </w:rPr>
        <w:t xml:space="preserve"> </w:t>
      </w:r>
      <w:r w:rsidRPr="00FA18BD">
        <w:rPr>
          <w:rFonts w:ascii="Constantia" w:hAnsi="Constantia"/>
          <w:noProof/>
        </w:rPr>
        <w:drawing>
          <wp:inline distT="0" distB="0" distL="0" distR="0" wp14:anchorId="7BD294C7" wp14:editId="58A29DB0">
            <wp:extent cx="2819400" cy="1704975"/>
            <wp:effectExtent l="19050" t="0" r="0" b="0"/>
            <wp:docPr id="226" name="Picture 7" descr="presovana-plast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esovana-plastika"/>
                    <pic:cNvPicPr>
                      <a:picLocks noChangeAspect="1" noChangeArrowheads="1"/>
                    </pic:cNvPicPr>
                  </pic:nvPicPr>
                  <pic:blipFill>
                    <a:blip r:embed="rId110"/>
                    <a:srcRect/>
                    <a:stretch>
                      <a:fillRect/>
                    </a:stretch>
                  </pic:blipFill>
                  <pic:spPr bwMode="auto">
                    <a:xfrm>
                      <a:off x="0" y="0"/>
                      <a:ext cx="2821778" cy="1706413"/>
                    </a:xfrm>
                    <a:prstGeom prst="rect">
                      <a:avLst/>
                    </a:prstGeom>
                    <a:noFill/>
                    <a:ln w="9525">
                      <a:noFill/>
                      <a:miter lim="800000"/>
                      <a:headEnd/>
                      <a:tailEnd/>
                    </a:ln>
                  </pic:spPr>
                </pic:pic>
              </a:graphicData>
            </a:graphic>
          </wp:inline>
        </w:drawing>
      </w:r>
    </w:p>
    <w:p w:rsidR="00E7780B" w:rsidRPr="006A314C" w:rsidRDefault="00E7780B" w:rsidP="00E7780B">
      <w:pPr>
        <w:pStyle w:val="Slika"/>
        <w:tabs>
          <w:tab w:val="left" w:pos="900"/>
        </w:tabs>
        <w:spacing w:after="0"/>
        <w:ind w:left="360"/>
        <w:rPr>
          <w:lang w:val="sr-Latn-CS"/>
        </w:rPr>
      </w:pPr>
      <w:r>
        <w:rPr>
          <w:rFonts w:ascii="Constantia" w:hAnsi="Constantia"/>
          <w:lang w:val="sr-Latn-CS"/>
        </w:rPr>
        <w:t xml:space="preserve">Deponija „Livade“ u Podgorica </w:t>
      </w:r>
      <w:r w:rsidRPr="006A314C">
        <w:rPr>
          <w:rFonts w:ascii="Constantia" w:hAnsi="Constantia"/>
          <w:lang w:val="sr-Latn-CS"/>
        </w:rPr>
        <w:t xml:space="preserve">(pogon za </w:t>
      </w:r>
      <w:r>
        <w:rPr>
          <w:rFonts w:ascii="Constantia" w:hAnsi="Constantia"/>
          <w:lang w:val="sr-Latn-CS"/>
        </w:rPr>
        <w:t xml:space="preserve">primarnu </w:t>
      </w:r>
      <w:r w:rsidRPr="006A314C">
        <w:rPr>
          <w:rFonts w:ascii="Constantia" w:hAnsi="Constantia"/>
          <w:lang w:val="sr-Latn-CS"/>
        </w:rPr>
        <w:t>reciklažu, presovana i balirana plastična ambalaža)</w:t>
      </w:r>
      <w:r>
        <w:rPr>
          <w:rStyle w:val="FootnoteReference"/>
          <w:rFonts w:ascii="Constantia" w:hAnsi="Constantia"/>
          <w:lang w:val="sr-Latn-CS"/>
        </w:rPr>
        <w:footnoteReference w:id="10"/>
      </w:r>
      <w:r w:rsidRPr="006A314C">
        <w:rPr>
          <w:rFonts w:ascii="Constantia" w:hAnsi="Constantia"/>
          <w:lang w:val="sr-Latn-CS"/>
        </w:rPr>
        <w:t xml:space="preserve"> </w:t>
      </w:r>
    </w:p>
    <w:p w:rsidR="00E7780B" w:rsidRPr="005A03CD" w:rsidRDefault="00E7780B" w:rsidP="00E7780B">
      <w:pPr>
        <w:pStyle w:val="Heading3"/>
        <w:spacing w:before="0" w:line="276" w:lineRule="auto"/>
        <w:rPr>
          <w:rFonts w:ascii="Constantia" w:hAnsi="Constantia"/>
          <w:sz w:val="22"/>
          <w:szCs w:val="22"/>
        </w:rPr>
      </w:pPr>
      <w:bookmarkStart w:id="124" w:name="_Toc362938344"/>
    </w:p>
    <w:p w:rsidR="00E7780B" w:rsidRPr="00200A86" w:rsidRDefault="009F1764" w:rsidP="009F1764">
      <w:pPr>
        <w:pStyle w:val="Heading3"/>
      </w:pPr>
      <w:bookmarkStart w:id="125" w:name="_Toc393897914"/>
      <w:r>
        <w:t>5</w:t>
      </w:r>
      <w:r w:rsidR="00E7780B">
        <w:t>.5.2</w:t>
      </w:r>
      <w:r w:rsidR="00E7780B">
        <w:tab/>
      </w:r>
      <w:r w:rsidR="00E7780B" w:rsidRPr="009F1764">
        <w:t>Industrijski</w:t>
      </w:r>
      <w:r w:rsidR="00E7780B" w:rsidRPr="00897A69">
        <w:t xml:space="preserve"> otpad</w:t>
      </w:r>
      <w:bookmarkEnd w:id="123"/>
      <w:bookmarkEnd w:id="124"/>
      <w:bookmarkEnd w:id="125"/>
    </w:p>
    <w:p w:rsidR="00E7780B" w:rsidRPr="00200A86" w:rsidRDefault="00E7780B" w:rsidP="00B92E6F">
      <w:pPr>
        <w:rPr>
          <w:rFonts w:ascii="Constantia" w:hAnsi="Constantia"/>
          <w:lang w:val="sr-Latn-CS"/>
        </w:rPr>
      </w:pPr>
      <w:r w:rsidRPr="00897A69">
        <w:rPr>
          <w:rFonts w:ascii="Constantia" w:hAnsi="Constantia"/>
          <w:lang w:val="sr-Latn-CS"/>
        </w:rPr>
        <w:t xml:space="preserve">Industrijski otpad nastaje kao rezultat aktivnosti raznih tehnoloških postupaka i klasifikuje se kao opasni ili neopasni. </w:t>
      </w:r>
    </w:p>
    <w:p w:rsidR="00E7780B" w:rsidRPr="00200A86" w:rsidRDefault="00E7780B" w:rsidP="00B92E6F">
      <w:pPr>
        <w:rPr>
          <w:rFonts w:ascii="Constantia" w:hAnsi="Constantia"/>
          <w:lang w:val="sr-Latn-CS"/>
        </w:rPr>
      </w:pPr>
      <w:r w:rsidRPr="00897A69">
        <w:rPr>
          <w:rFonts w:ascii="Constantia" w:hAnsi="Constantia"/>
          <w:lang w:val="sr-Latn-CS"/>
        </w:rPr>
        <w:t xml:space="preserve">Iako je od 90-ih godina </w:t>
      </w:r>
      <w:r>
        <w:rPr>
          <w:rFonts w:ascii="Constantia" w:hAnsi="Constantia"/>
          <w:lang w:val="sr-Latn-CS"/>
        </w:rPr>
        <w:t xml:space="preserve">XX vijeka </w:t>
      </w:r>
      <w:r w:rsidRPr="00897A69">
        <w:rPr>
          <w:rFonts w:ascii="Constantia" w:hAnsi="Constantia"/>
          <w:lang w:val="sr-Latn-CS"/>
        </w:rPr>
        <w:t xml:space="preserve">industrijska proizvodnja u Crnoj Gori u stagnaciji, a samim tim i godišnja proizvodnja industrijskog otpada manja, ukupna količina ovog otpada je u stalnom porastu i predstavlja </w:t>
      </w:r>
      <w:r>
        <w:rPr>
          <w:rFonts w:ascii="Constantia" w:hAnsi="Constantia"/>
          <w:lang w:val="sr-Latn-CS"/>
        </w:rPr>
        <w:t>potencijalnu opasnost</w:t>
      </w:r>
      <w:r w:rsidRPr="00897A69">
        <w:rPr>
          <w:rFonts w:ascii="Constantia" w:hAnsi="Constantia"/>
          <w:lang w:val="sr-Latn-CS"/>
        </w:rPr>
        <w:t xml:space="preserve"> po životnu sredinu. </w:t>
      </w:r>
    </w:p>
    <w:p w:rsidR="00E7780B" w:rsidRPr="00200A86" w:rsidRDefault="00E7780B" w:rsidP="00B92E6F">
      <w:pPr>
        <w:spacing w:after="0"/>
        <w:rPr>
          <w:rFonts w:ascii="Constantia" w:hAnsi="Constantia"/>
          <w:lang w:val="sr-Latn-CS"/>
        </w:rPr>
      </w:pPr>
      <w:r w:rsidRPr="00897A69">
        <w:rPr>
          <w:rFonts w:ascii="Constantia" w:hAnsi="Constantia"/>
          <w:lang w:val="sr-Latn-CS"/>
        </w:rPr>
        <w:t>P</w:t>
      </w:r>
      <w:r>
        <w:rPr>
          <w:rFonts w:ascii="Constantia" w:hAnsi="Constantia"/>
          <w:lang w:val="sr-Latn-CS"/>
        </w:rPr>
        <w:t xml:space="preserve">rema </w:t>
      </w:r>
      <w:r w:rsidR="00094D4B">
        <w:rPr>
          <w:rFonts w:ascii="Constantia" w:hAnsi="Constantia"/>
          <w:lang w:val="sr-Latn-CS"/>
        </w:rPr>
        <w:t>po</w:t>
      </w:r>
      <w:r w:rsidR="00DC1EC2">
        <w:rPr>
          <w:rFonts w:ascii="Constantia" w:hAnsi="Constantia"/>
          <w:lang w:val="sr-Latn-CS"/>
        </w:rPr>
        <w:t>s</w:t>
      </w:r>
      <w:r w:rsidR="00094D4B">
        <w:rPr>
          <w:rFonts w:ascii="Constantia" w:hAnsi="Constantia"/>
          <w:lang w:val="sr-Latn-CS"/>
        </w:rPr>
        <w:t xml:space="preserve">lednjim </w:t>
      </w:r>
      <w:r w:rsidRPr="00897A69">
        <w:rPr>
          <w:rFonts w:ascii="Constantia" w:hAnsi="Constantia"/>
          <w:lang w:val="sr-Latn-CS"/>
        </w:rPr>
        <w:t>zvanični</w:t>
      </w:r>
      <w:r>
        <w:rPr>
          <w:rFonts w:ascii="Constantia" w:hAnsi="Constantia"/>
          <w:lang w:val="sr-Latn-CS"/>
        </w:rPr>
        <w:t>m</w:t>
      </w:r>
      <w:r w:rsidRPr="00897A69">
        <w:rPr>
          <w:rFonts w:ascii="Constantia" w:hAnsi="Constantia"/>
          <w:lang w:val="sr-Latn-CS"/>
        </w:rPr>
        <w:t xml:space="preserve"> podaci</w:t>
      </w:r>
      <w:r>
        <w:rPr>
          <w:rFonts w:ascii="Constantia" w:hAnsi="Constantia"/>
          <w:lang w:val="sr-Latn-CS"/>
        </w:rPr>
        <w:t>ma</w:t>
      </w:r>
      <w:r w:rsidRPr="00897A69">
        <w:rPr>
          <w:rFonts w:ascii="Constantia" w:hAnsi="Constantia"/>
          <w:lang w:val="sr-Latn-CS"/>
        </w:rPr>
        <w:t xml:space="preserve"> MONSTAT-a</w:t>
      </w:r>
      <w:r w:rsidR="00AD55EB">
        <w:rPr>
          <w:rFonts w:ascii="Constantia" w:hAnsi="Constantia"/>
          <w:lang w:val="sr-Latn-CS"/>
        </w:rPr>
        <w:t>,</w:t>
      </w:r>
      <w:r w:rsidRPr="00897A69">
        <w:rPr>
          <w:rFonts w:ascii="Constantia" w:hAnsi="Constantia"/>
          <w:lang w:val="sr-Latn-CS"/>
        </w:rPr>
        <w:t xml:space="preserve"> </w:t>
      </w:r>
      <w:r>
        <w:rPr>
          <w:rFonts w:ascii="Constantia" w:hAnsi="Constantia"/>
          <w:lang w:val="sr-Latn-CS"/>
        </w:rPr>
        <w:t>u 201</w:t>
      </w:r>
      <w:r w:rsidR="00094D4B">
        <w:rPr>
          <w:rFonts w:ascii="Constantia" w:hAnsi="Constantia"/>
          <w:lang w:val="sr-Latn-CS"/>
        </w:rPr>
        <w:t>2</w:t>
      </w:r>
      <w:r>
        <w:rPr>
          <w:rFonts w:ascii="Constantia" w:hAnsi="Constantia"/>
          <w:lang w:val="sr-Latn-CS"/>
        </w:rPr>
        <w:t>. godini u Crnoj Gori je generisano</w:t>
      </w:r>
      <w:r w:rsidR="00795D6F">
        <w:rPr>
          <w:rFonts w:ascii="Constantia" w:hAnsi="Constantia"/>
          <w:lang w:val="sr-Latn-CS"/>
        </w:rPr>
        <w:t xml:space="preserve"> ukupno</w:t>
      </w:r>
      <w:r>
        <w:rPr>
          <w:rFonts w:ascii="Constantia" w:hAnsi="Constantia"/>
          <w:lang w:val="sr-Latn-CS"/>
        </w:rPr>
        <w:t xml:space="preserve"> </w:t>
      </w:r>
      <w:r w:rsidR="00F93416">
        <w:rPr>
          <w:rFonts w:ascii="Constantia" w:hAnsi="Constantia"/>
          <w:lang w:val="sr-Latn-CS"/>
        </w:rPr>
        <w:t>457 610,73</w:t>
      </w:r>
      <w:r w:rsidRPr="00897A69">
        <w:rPr>
          <w:rFonts w:ascii="Constantia" w:hAnsi="Constantia"/>
          <w:lang w:val="sr-Latn-CS"/>
        </w:rPr>
        <w:t xml:space="preserve"> </w:t>
      </w:r>
      <w:r>
        <w:rPr>
          <w:rFonts w:ascii="Constantia" w:hAnsi="Constantia"/>
          <w:lang w:val="sr-Latn-CS"/>
        </w:rPr>
        <w:t xml:space="preserve">tona </w:t>
      </w:r>
      <w:r w:rsidRPr="00897A69">
        <w:rPr>
          <w:rFonts w:ascii="Constantia" w:hAnsi="Constantia"/>
          <w:lang w:val="sr-Latn-CS"/>
        </w:rPr>
        <w:t>otpada iz industrije.</w:t>
      </w:r>
      <w:r>
        <w:rPr>
          <w:rFonts w:ascii="Constantia" w:hAnsi="Constantia"/>
          <w:lang w:val="sr-Latn-CS"/>
        </w:rPr>
        <w:t xml:space="preserve"> </w:t>
      </w:r>
      <w:r w:rsidRPr="00897A69">
        <w:rPr>
          <w:rFonts w:ascii="Constantia" w:hAnsi="Constantia"/>
          <w:lang w:val="sr-Latn-CS"/>
        </w:rPr>
        <w:t xml:space="preserve"> </w:t>
      </w:r>
    </w:p>
    <w:p w:rsidR="00E7780B" w:rsidRPr="00CE7092" w:rsidRDefault="00E7780B" w:rsidP="00E7780B">
      <w:pPr>
        <w:spacing w:after="0" w:line="276" w:lineRule="auto"/>
        <w:rPr>
          <w:rFonts w:ascii="Constantia" w:hAnsi="Constantia"/>
          <w:sz w:val="20"/>
          <w:lang w:val="sr-Latn-CS"/>
        </w:rPr>
      </w:pPr>
    </w:p>
    <w:tbl>
      <w:tblPr>
        <w:tblW w:w="0" w:type="auto"/>
        <w:tblInd w:w="108" w:type="dxa"/>
        <w:tblBorders>
          <w:top w:val="single" w:sz="8" w:space="0" w:color="CEA2E1"/>
          <w:left w:val="single" w:sz="8" w:space="0" w:color="CEA2E1"/>
          <w:bottom w:val="single" w:sz="8" w:space="0" w:color="CEA2E1"/>
          <w:right w:val="single" w:sz="8" w:space="0" w:color="CEA2E1"/>
          <w:insideH w:val="single" w:sz="8" w:space="0" w:color="CEA2E1"/>
        </w:tblBorders>
        <w:tblLook w:val="04A0" w:firstRow="1" w:lastRow="0" w:firstColumn="1" w:lastColumn="0" w:noHBand="0" w:noVBand="1"/>
      </w:tblPr>
      <w:tblGrid>
        <w:gridCol w:w="1843"/>
        <w:gridCol w:w="1513"/>
        <w:gridCol w:w="1594"/>
        <w:gridCol w:w="2985"/>
        <w:gridCol w:w="1245"/>
      </w:tblGrid>
      <w:tr w:rsidR="00E7780B" w:rsidRPr="00200A86" w:rsidTr="008625DA">
        <w:trPr>
          <w:trHeight w:val="637"/>
        </w:trPr>
        <w:tc>
          <w:tcPr>
            <w:tcW w:w="1843" w:type="dxa"/>
            <w:tcBorders>
              <w:top w:val="single" w:sz="8" w:space="0" w:color="CEA2E1"/>
              <w:left w:val="single" w:sz="8" w:space="0" w:color="CEA2E1"/>
              <w:bottom w:val="single" w:sz="8" w:space="0" w:color="CEA2E1"/>
              <w:right w:val="nil"/>
            </w:tcBorders>
            <w:shd w:val="clear" w:color="auto" w:fill="BF83D7"/>
          </w:tcPr>
          <w:p w:rsidR="00E7780B" w:rsidRPr="005B4098" w:rsidRDefault="00E7780B" w:rsidP="004E680E">
            <w:pPr>
              <w:spacing w:line="276" w:lineRule="auto"/>
              <w:rPr>
                <w:rFonts w:ascii="Constantia" w:hAnsi="Constantia"/>
                <w:b/>
                <w:bCs/>
                <w:color w:val="000000" w:themeColor="text1"/>
                <w:lang w:val="sr-Latn-CS"/>
              </w:rPr>
            </w:pPr>
            <w:r w:rsidRPr="005B4098">
              <w:rPr>
                <w:rFonts w:ascii="Constantia" w:hAnsi="Constantia"/>
                <w:b/>
                <w:bCs/>
                <w:color w:val="000000" w:themeColor="text1"/>
                <w:szCs w:val="22"/>
                <w:lang w:val="sr-Latn-CS"/>
              </w:rPr>
              <w:lastRenderedPageBreak/>
              <w:t>Crna Gora</w:t>
            </w:r>
          </w:p>
        </w:tc>
        <w:tc>
          <w:tcPr>
            <w:tcW w:w="1513" w:type="dxa"/>
            <w:tcBorders>
              <w:top w:val="single" w:sz="8" w:space="0" w:color="CEA2E1"/>
              <w:left w:val="nil"/>
              <w:bottom w:val="single" w:sz="8" w:space="0" w:color="CEA2E1"/>
              <w:right w:val="nil"/>
            </w:tcBorders>
            <w:shd w:val="clear" w:color="auto" w:fill="BF83D7"/>
          </w:tcPr>
          <w:p w:rsidR="00E7780B" w:rsidRPr="005B4098" w:rsidRDefault="00E7780B" w:rsidP="004E680E">
            <w:pPr>
              <w:spacing w:line="276" w:lineRule="auto"/>
              <w:jc w:val="center"/>
              <w:rPr>
                <w:rFonts w:ascii="Constantia" w:hAnsi="Constantia"/>
                <w:b/>
                <w:bCs/>
                <w:color w:val="000000" w:themeColor="text1"/>
                <w:lang w:val="sr-Latn-CS"/>
              </w:rPr>
            </w:pPr>
            <w:r w:rsidRPr="005B4098">
              <w:rPr>
                <w:rFonts w:ascii="Constantia" w:hAnsi="Constantia"/>
                <w:b/>
                <w:bCs/>
                <w:color w:val="000000" w:themeColor="text1"/>
                <w:szCs w:val="22"/>
                <w:lang w:val="sr-Latn-CS"/>
              </w:rPr>
              <w:t>Rudarstvo</w:t>
            </w:r>
          </w:p>
        </w:tc>
        <w:tc>
          <w:tcPr>
            <w:tcW w:w="1594" w:type="dxa"/>
            <w:tcBorders>
              <w:top w:val="single" w:sz="8" w:space="0" w:color="CEA2E1"/>
              <w:left w:val="nil"/>
              <w:bottom w:val="single" w:sz="8" w:space="0" w:color="CEA2E1"/>
              <w:right w:val="nil"/>
            </w:tcBorders>
            <w:shd w:val="clear" w:color="auto" w:fill="BF83D7"/>
          </w:tcPr>
          <w:p w:rsidR="00E7780B" w:rsidRPr="005B4098" w:rsidRDefault="00E7780B" w:rsidP="004E680E">
            <w:pPr>
              <w:spacing w:line="276" w:lineRule="auto"/>
              <w:jc w:val="center"/>
              <w:rPr>
                <w:rFonts w:ascii="Constantia" w:hAnsi="Constantia"/>
                <w:b/>
                <w:bCs/>
                <w:color w:val="000000" w:themeColor="text1"/>
                <w:lang w:val="sr-Latn-CS"/>
              </w:rPr>
            </w:pPr>
            <w:r w:rsidRPr="005B4098">
              <w:rPr>
                <w:rFonts w:ascii="Constantia" w:hAnsi="Constantia"/>
                <w:b/>
                <w:bCs/>
                <w:color w:val="000000" w:themeColor="text1"/>
                <w:szCs w:val="22"/>
                <w:lang w:val="sr-Latn-CS"/>
              </w:rPr>
              <w:t>Prerađivačka industrija</w:t>
            </w:r>
          </w:p>
        </w:tc>
        <w:tc>
          <w:tcPr>
            <w:tcW w:w="2985" w:type="dxa"/>
            <w:tcBorders>
              <w:top w:val="single" w:sz="8" w:space="0" w:color="CEA2E1"/>
              <w:left w:val="nil"/>
              <w:bottom w:val="single" w:sz="8" w:space="0" w:color="CEA2E1"/>
              <w:right w:val="nil"/>
            </w:tcBorders>
            <w:shd w:val="clear" w:color="auto" w:fill="BF83D7"/>
          </w:tcPr>
          <w:p w:rsidR="00E7780B" w:rsidRPr="005B4098" w:rsidRDefault="00E7780B" w:rsidP="004E680E">
            <w:pPr>
              <w:spacing w:after="0" w:line="276" w:lineRule="auto"/>
              <w:jc w:val="center"/>
              <w:rPr>
                <w:rFonts w:ascii="Constantia" w:hAnsi="Constantia"/>
                <w:b/>
                <w:bCs/>
                <w:color w:val="000000" w:themeColor="text1"/>
                <w:lang w:val="sr-Latn-CS"/>
              </w:rPr>
            </w:pPr>
            <w:r w:rsidRPr="005B4098">
              <w:rPr>
                <w:rFonts w:ascii="Constantia" w:hAnsi="Constantia"/>
                <w:b/>
                <w:bCs/>
                <w:color w:val="000000" w:themeColor="text1"/>
                <w:szCs w:val="22"/>
                <w:lang w:val="sr-Latn-CS"/>
              </w:rPr>
              <w:t>Snabrijevanje el. energijom, gasom i parom</w:t>
            </w:r>
          </w:p>
        </w:tc>
        <w:tc>
          <w:tcPr>
            <w:tcW w:w="1245" w:type="dxa"/>
            <w:tcBorders>
              <w:top w:val="single" w:sz="8" w:space="0" w:color="CEA2E1"/>
              <w:left w:val="nil"/>
              <w:bottom w:val="single" w:sz="8" w:space="0" w:color="CEA2E1"/>
              <w:right w:val="single" w:sz="8" w:space="0" w:color="CEA2E1"/>
            </w:tcBorders>
            <w:shd w:val="clear" w:color="auto" w:fill="BF83D7"/>
          </w:tcPr>
          <w:p w:rsidR="00E7780B" w:rsidRPr="005B4098" w:rsidRDefault="00E7780B" w:rsidP="004E680E">
            <w:pPr>
              <w:spacing w:after="0" w:line="276" w:lineRule="auto"/>
              <w:jc w:val="center"/>
              <w:rPr>
                <w:rFonts w:ascii="Constantia" w:hAnsi="Constantia"/>
                <w:b/>
                <w:bCs/>
                <w:color w:val="000000" w:themeColor="text1"/>
                <w:lang w:val="sr-Latn-CS"/>
              </w:rPr>
            </w:pPr>
            <w:r w:rsidRPr="005B4098">
              <w:rPr>
                <w:rFonts w:ascii="Constantia" w:hAnsi="Constantia"/>
                <w:b/>
                <w:bCs/>
                <w:color w:val="000000" w:themeColor="text1"/>
                <w:szCs w:val="22"/>
                <w:lang w:val="sr-Latn-CS"/>
              </w:rPr>
              <w:t>Ukupno</w:t>
            </w:r>
          </w:p>
        </w:tc>
      </w:tr>
      <w:tr w:rsidR="00E7780B" w:rsidRPr="00200A86" w:rsidTr="008625DA">
        <w:trPr>
          <w:trHeight w:val="389"/>
        </w:trPr>
        <w:tc>
          <w:tcPr>
            <w:tcW w:w="1843" w:type="dxa"/>
            <w:tcBorders>
              <w:right w:val="nil"/>
            </w:tcBorders>
            <w:shd w:val="clear" w:color="auto" w:fill="EFE0F5"/>
          </w:tcPr>
          <w:p w:rsidR="00E7780B" w:rsidRPr="005B4098" w:rsidRDefault="00E7780B" w:rsidP="00255E67">
            <w:pPr>
              <w:spacing w:after="0" w:line="276" w:lineRule="auto"/>
              <w:rPr>
                <w:rFonts w:ascii="Constantia" w:hAnsi="Constantia"/>
                <w:b/>
                <w:bCs/>
                <w:color w:val="000000" w:themeColor="text1"/>
                <w:lang w:val="sr-Latn-CS"/>
              </w:rPr>
            </w:pPr>
            <w:r w:rsidRPr="005B4098">
              <w:rPr>
                <w:rFonts w:ascii="Constantia" w:hAnsi="Constantia"/>
                <w:b/>
                <w:bCs/>
                <w:color w:val="000000" w:themeColor="text1"/>
                <w:szCs w:val="22"/>
                <w:lang w:val="sr-Latn-CS"/>
              </w:rPr>
              <w:t>Neopasni otpad</w:t>
            </w:r>
          </w:p>
        </w:tc>
        <w:tc>
          <w:tcPr>
            <w:tcW w:w="1513" w:type="dxa"/>
            <w:tcBorders>
              <w:left w:val="nil"/>
              <w:right w:val="nil"/>
            </w:tcBorders>
            <w:shd w:val="clear" w:color="auto" w:fill="EFE0F5"/>
          </w:tcPr>
          <w:p w:rsidR="00E7780B" w:rsidRPr="00AD55EB" w:rsidRDefault="00AD55EB" w:rsidP="00AD55EB">
            <w:pPr>
              <w:spacing w:line="276" w:lineRule="auto"/>
              <w:jc w:val="center"/>
              <w:rPr>
                <w:rFonts w:ascii="Constantia" w:hAnsi="Constantia"/>
                <w:lang w:val="sr-Latn-CS"/>
              </w:rPr>
            </w:pPr>
            <w:r w:rsidRPr="00AD55EB">
              <w:rPr>
                <w:rFonts w:ascii="Constantia" w:hAnsi="Constantia" w:cs="Arial"/>
                <w:szCs w:val="22"/>
              </w:rPr>
              <w:t>699</w:t>
            </w:r>
            <w:r w:rsidR="00E7780B" w:rsidRPr="00AD55EB">
              <w:rPr>
                <w:rFonts w:ascii="Constantia" w:hAnsi="Constantia" w:cs="Arial"/>
                <w:szCs w:val="22"/>
              </w:rPr>
              <w:t>,</w:t>
            </w:r>
            <w:r w:rsidRPr="00AD55EB">
              <w:rPr>
                <w:rFonts w:ascii="Constantia" w:hAnsi="Constantia" w:cs="Arial"/>
                <w:szCs w:val="22"/>
              </w:rPr>
              <w:t>66</w:t>
            </w:r>
          </w:p>
        </w:tc>
        <w:tc>
          <w:tcPr>
            <w:tcW w:w="1594" w:type="dxa"/>
            <w:tcBorders>
              <w:left w:val="nil"/>
              <w:right w:val="nil"/>
            </w:tcBorders>
            <w:shd w:val="clear" w:color="auto" w:fill="EFE0F5"/>
          </w:tcPr>
          <w:p w:rsidR="00E7780B" w:rsidRPr="00AD55EB" w:rsidRDefault="00AD55EB" w:rsidP="00AD55EB">
            <w:pPr>
              <w:spacing w:line="276" w:lineRule="auto"/>
              <w:jc w:val="center"/>
              <w:rPr>
                <w:rFonts w:ascii="Constantia" w:hAnsi="Constantia"/>
                <w:lang w:val="sr-Latn-CS"/>
              </w:rPr>
            </w:pPr>
            <w:r w:rsidRPr="00AD55EB">
              <w:rPr>
                <w:rFonts w:ascii="Constantia" w:hAnsi="Constantia" w:cs="Arial"/>
                <w:szCs w:val="22"/>
              </w:rPr>
              <w:t>101</w:t>
            </w:r>
            <w:r w:rsidR="00E7780B" w:rsidRPr="00AD55EB">
              <w:rPr>
                <w:rFonts w:ascii="Constantia" w:hAnsi="Constantia" w:cs="Arial"/>
                <w:szCs w:val="22"/>
              </w:rPr>
              <w:t xml:space="preserve"> </w:t>
            </w:r>
            <w:r w:rsidRPr="00AD55EB">
              <w:rPr>
                <w:rFonts w:ascii="Constantia" w:hAnsi="Constantia" w:cs="Arial"/>
                <w:szCs w:val="22"/>
              </w:rPr>
              <w:t>790</w:t>
            </w:r>
            <w:r w:rsidR="00E7780B" w:rsidRPr="00AD55EB">
              <w:rPr>
                <w:rFonts w:ascii="Constantia" w:hAnsi="Constantia" w:cs="Arial"/>
                <w:szCs w:val="22"/>
              </w:rPr>
              <w:t>,</w:t>
            </w:r>
            <w:r w:rsidRPr="00AD55EB">
              <w:rPr>
                <w:rFonts w:ascii="Constantia" w:hAnsi="Constantia" w:cs="Arial"/>
                <w:szCs w:val="22"/>
              </w:rPr>
              <w:t>33</w:t>
            </w:r>
          </w:p>
        </w:tc>
        <w:tc>
          <w:tcPr>
            <w:tcW w:w="2985" w:type="dxa"/>
            <w:tcBorders>
              <w:left w:val="nil"/>
              <w:right w:val="nil"/>
            </w:tcBorders>
            <w:shd w:val="clear" w:color="auto" w:fill="EFE0F5"/>
          </w:tcPr>
          <w:p w:rsidR="00E7780B" w:rsidRPr="00AD55EB" w:rsidRDefault="00AD55EB" w:rsidP="00AD55EB">
            <w:pPr>
              <w:spacing w:line="276" w:lineRule="auto"/>
              <w:jc w:val="center"/>
              <w:rPr>
                <w:rFonts w:ascii="Constantia" w:hAnsi="Constantia"/>
                <w:lang w:val="sr-Latn-CS"/>
              </w:rPr>
            </w:pPr>
            <w:r w:rsidRPr="00AD55EB">
              <w:rPr>
                <w:rFonts w:ascii="Constantia" w:hAnsi="Constantia" w:cs="Arial"/>
                <w:szCs w:val="22"/>
              </w:rPr>
              <w:t>3</w:t>
            </w:r>
            <w:r w:rsidR="00E7780B" w:rsidRPr="00AD55EB">
              <w:rPr>
                <w:rFonts w:ascii="Constantia" w:hAnsi="Constantia" w:cs="Arial"/>
                <w:szCs w:val="22"/>
              </w:rPr>
              <w:t>5</w:t>
            </w:r>
            <w:r w:rsidRPr="00AD55EB">
              <w:rPr>
                <w:rFonts w:ascii="Constantia" w:hAnsi="Constantia" w:cs="Arial"/>
                <w:szCs w:val="22"/>
              </w:rPr>
              <w:t>1</w:t>
            </w:r>
            <w:r w:rsidR="00E7780B" w:rsidRPr="00AD55EB">
              <w:rPr>
                <w:rFonts w:ascii="Constantia" w:hAnsi="Constantia" w:cs="Arial"/>
                <w:szCs w:val="22"/>
              </w:rPr>
              <w:t xml:space="preserve"> 3</w:t>
            </w:r>
            <w:r w:rsidRPr="00AD55EB">
              <w:rPr>
                <w:rFonts w:ascii="Constantia" w:hAnsi="Constantia" w:cs="Arial"/>
                <w:szCs w:val="22"/>
              </w:rPr>
              <w:t>01</w:t>
            </w:r>
            <w:r w:rsidR="00E7780B" w:rsidRPr="00AD55EB">
              <w:rPr>
                <w:rFonts w:ascii="Constantia" w:hAnsi="Constantia" w:cs="Arial"/>
                <w:szCs w:val="22"/>
              </w:rPr>
              <w:t>,</w:t>
            </w:r>
            <w:r w:rsidRPr="00AD55EB">
              <w:rPr>
                <w:rFonts w:ascii="Constantia" w:hAnsi="Constantia" w:cs="Arial"/>
                <w:szCs w:val="22"/>
              </w:rPr>
              <w:t>53</w:t>
            </w:r>
          </w:p>
        </w:tc>
        <w:tc>
          <w:tcPr>
            <w:tcW w:w="1245" w:type="dxa"/>
            <w:tcBorders>
              <w:left w:val="nil"/>
            </w:tcBorders>
            <w:shd w:val="clear" w:color="auto" w:fill="EFE0F5"/>
          </w:tcPr>
          <w:p w:rsidR="00E7780B" w:rsidRPr="00AD55EB" w:rsidRDefault="00AD55EB" w:rsidP="00AD55EB">
            <w:pPr>
              <w:spacing w:line="276" w:lineRule="auto"/>
              <w:jc w:val="center"/>
              <w:rPr>
                <w:rFonts w:ascii="Constantia" w:hAnsi="Constantia"/>
                <w:lang w:val="sr-Latn-CS"/>
              </w:rPr>
            </w:pPr>
            <w:r w:rsidRPr="00AD55EB">
              <w:rPr>
                <w:rFonts w:ascii="Constantia" w:hAnsi="Constantia" w:cs="Arial"/>
                <w:szCs w:val="22"/>
              </w:rPr>
              <w:t>453 7</w:t>
            </w:r>
            <w:r w:rsidR="00E7780B" w:rsidRPr="00AD55EB">
              <w:rPr>
                <w:rFonts w:ascii="Constantia" w:hAnsi="Constantia" w:cs="Arial"/>
                <w:szCs w:val="22"/>
              </w:rPr>
              <w:t>9</w:t>
            </w:r>
            <w:r w:rsidRPr="00AD55EB">
              <w:rPr>
                <w:rFonts w:ascii="Constantia" w:hAnsi="Constantia" w:cs="Arial"/>
                <w:szCs w:val="22"/>
              </w:rPr>
              <w:t>1</w:t>
            </w:r>
            <w:r w:rsidR="00E7780B" w:rsidRPr="00AD55EB">
              <w:rPr>
                <w:rFonts w:ascii="Constantia" w:hAnsi="Constantia" w:cs="Arial"/>
                <w:szCs w:val="22"/>
              </w:rPr>
              <w:t>,</w:t>
            </w:r>
            <w:r w:rsidRPr="00AD55EB">
              <w:rPr>
                <w:rFonts w:ascii="Constantia" w:hAnsi="Constantia" w:cs="Arial"/>
                <w:szCs w:val="22"/>
              </w:rPr>
              <w:t>5</w:t>
            </w:r>
            <w:r w:rsidR="00E7780B" w:rsidRPr="00AD55EB">
              <w:rPr>
                <w:rFonts w:ascii="Constantia" w:hAnsi="Constantia" w:cs="Arial"/>
                <w:szCs w:val="22"/>
              </w:rPr>
              <w:t>2</w:t>
            </w:r>
          </w:p>
        </w:tc>
      </w:tr>
      <w:tr w:rsidR="00E7780B" w:rsidRPr="00200A86" w:rsidTr="008625DA">
        <w:trPr>
          <w:trHeight w:val="434"/>
        </w:trPr>
        <w:tc>
          <w:tcPr>
            <w:tcW w:w="1843" w:type="dxa"/>
            <w:tcBorders>
              <w:right w:val="nil"/>
            </w:tcBorders>
            <w:shd w:val="clear" w:color="auto" w:fill="auto"/>
          </w:tcPr>
          <w:p w:rsidR="00E7780B" w:rsidRPr="005B4098" w:rsidRDefault="00E7780B" w:rsidP="004E680E">
            <w:pPr>
              <w:spacing w:line="276" w:lineRule="auto"/>
              <w:rPr>
                <w:rFonts w:ascii="Constantia" w:hAnsi="Constantia"/>
                <w:b/>
                <w:bCs/>
                <w:color w:val="000000" w:themeColor="text1"/>
                <w:lang w:val="sr-Latn-CS"/>
              </w:rPr>
            </w:pPr>
            <w:r w:rsidRPr="005B4098">
              <w:rPr>
                <w:rFonts w:ascii="Constantia" w:hAnsi="Constantia"/>
                <w:b/>
                <w:bCs/>
                <w:color w:val="000000" w:themeColor="text1"/>
                <w:szCs w:val="22"/>
                <w:lang w:val="sr-Latn-CS"/>
              </w:rPr>
              <w:t>Opasni otpad</w:t>
            </w:r>
          </w:p>
        </w:tc>
        <w:tc>
          <w:tcPr>
            <w:tcW w:w="1513" w:type="dxa"/>
            <w:tcBorders>
              <w:left w:val="nil"/>
              <w:right w:val="nil"/>
            </w:tcBorders>
            <w:shd w:val="clear" w:color="auto" w:fill="auto"/>
          </w:tcPr>
          <w:p w:rsidR="00E7780B" w:rsidRPr="005E7299" w:rsidRDefault="005E7299" w:rsidP="005E7299">
            <w:pPr>
              <w:spacing w:line="276" w:lineRule="auto"/>
              <w:jc w:val="center"/>
              <w:rPr>
                <w:rFonts w:ascii="Constantia" w:hAnsi="Constantia"/>
                <w:lang w:val="sr-Latn-CS"/>
              </w:rPr>
            </w:pPr>
            <w:r w:rsidRPr="005E7299">
              <w:rPr>
                <w:rFonts w:ascii="Constantia" w:hAnsi="Constantia" w:cs="Arial"/>
                <w:szCs w:val="22"/>
              </w:rPr>
              <w:t>22</w:t>
            </w:r>
            <w:r w:rsidR="00E7780B" w:rsidRPr="005E7299">
              <w:rPr>
                <w:rFonts w:ascii="Constantia" w:hAnsi="Constantia" w:cs="Arial"/>
                <w:szCs w:val="22"/>
              </w:rPr>
              <w:t>3,</w:t>
            </w:r>
            <w:r w:rsidRPr="005E7299">
              <w:rPr>
                <w:rFonts w:ascii="Constantia" w:hAnsi="Constantia" w:cs="Arial"/>
                <w:szCs w:val="22"/>
              </w:rPr>
              <w:t>89</w:t>
            </w:r>
          </w:p>
        </w:tc>
        <w:tc>
          <w:tcPr>
            <w:tcW w:w="1594" w:type="dxa"/>
            <w:tcBorders>
              <w:left w:val="nil"/>
              <w:right w:val="nil"/>
            </w:tcBorders>
            <w:shd w:val="clear" w:color="auto" w:fill="auto"/>
          </w:tcPr>
          <w:p w:rsidR="00E7780B" w:rsidRPr="005E7299" w:rsidRDefault="005E7299" w:rsidP="005E7299">
            <w:pPr>
              <w:spacing w:line="276" w:lineRule="auto"/>
              <w:jc w:val="center"/>
              <w:rPr>
                <w:rFonts w:ascii="Constantia" w:hAnsi="Constantia"/>
                <w:lang w:val="sr-Latn-CS"/>
              </w:rPr>
            </w:pPr>
            <w:r w:rsidRPr="005E7299">
              <w:rPr>
                <w:rFonts w:ascii="Constantia" w:hAnsi="Constantia" w:cs="Arial"/>
                <w:szCs w:val="22"/>
              </w:rPr>
              <w:t xml:space="preserve">3 </w:t>
            </w:r>
            <w:r w:rsidR="00E7780B" w:rsidRPr="005E7299">
              <w:rPr>
                <w:rFonts w:ascii="Constantia" w:hAnsi="Constantia" w:cs="Arial"/>
                <w:szCs w:val="22"/>
              </w:rPr>
              <w:t>5</w:t>
            </w:r>
            <w:r w:rsidRPr="005E7299">
              <w:rPr>
                <w:rFonts w:ascii="Constantia" w:hAnsi="Constantia" w:cs="Arial"/>
                <w:szCs w:val="22"/>
              </w:rPr>
              <w:t>05</w:t>
            </w:r>
            <w:r w:rsidR="00E7780B" w:rsidRPr="005E7299">
              <w:rPr>
                <w:rFonts w:ascii="Constantia" w:hAnsi="Constantia" w:cs="Arial"/>
                <w:szCs w:val="22"/>
              </w:rPr>
              <w:t>,</w:t>
            </w:r>
            <w:r w:rsidRPr="005E7299">
              <w:rPr>
                <w:rFonts w:ascii="Constantia" w:hAnsi="Constantia" w:cs="Arial"/>
                <w:szCs w:val="22"/>
              </w:rPr>
              <w:t>89</w:t>
            </w:r>
          </w:p>
        </w:tc>
        <w:tc>
          <w:tcPr>
            <w:tcW w:w="2985" w:type="dxa"/>
            <w:tcBorders>
              <w:left w:val="nil"/>
              <w:right w:val="nil"/>
            </w:tcBorders>
            <w:shd w:val="clear" w:color="auto" w:fill="auto"/>
          </w:tcPr>
          <w:p w:rsidR="00E7780B" w:rsidRPr="005E7299" w:rsidRDefault="00E7780B" w:rsidP="005E7299">
            <w:pPr>
              <w:spacing w:line="276" w:lineRule="auto"/>
              <w:jc w:val="center"/>
              <w:rPr>
                <w:rFonts w:ascii="Constantia" w:hAnsi="Constantia"/>
                <w:lang w:val="sr-Latn-CS"/>
              </w:rPr>
            </w:pPr>
            <w:r w:rsidRPr="005E7299">
              <w:rPr>
                <w:rFonts w:ascii="Constantia" w:hAnsi="Constantia" w:cs="Arial"/>
                <w:szCs w:val="22"/>
              </w:rPr>
              <w:t>8</w:t>
            </w:r>
            <w:r w:rsidR="005E7299" w:rsidRPr="005E7299">
              <w:rPr>
                <w:rFonts w:ascii="Constantia" w:hAnsi="Constantia" w:cs="Arial"/>
                <w:szCs w:val="22"/>
              </w:rPr>
              <w:t>9</w:t>
            </w:r>
            <w:r w:rsidRPr="005E7299">
              <w:rPr>
                <w:rFonts w:ascii="Constantia" w:hAnsi="Constantia" w:cs="Arial"/>
                <w:szCs w:val="22"/>
              </w:rPr>
              <w:t>,</w:t>
            </w:r>
            <w:r w:rsidR="005E7299" w:rsidRPr="005E7299">
              <w:rPr>
                <w:rFonts w:ascii="Constantia" w:hAnsi="Constantia" w:cs="Arial"/>
                <w:szCs w:val="22"/>
              </w:rPr>
              <w:t>4</w:t>
            </w:r>
            <w:r w:rsidRPr="005E7299">
              <w:rPr>
                <w:rFonts w:ascii="Constantia" w:hAnsi="Constantia" w:cs="Arial"/>
                <w:szCs w:val="22"/>
              </w:rPr>
              <w:t>3</w:t>
            </w:r>
          </w:p>
        </w:tc>
        <w:tc>
          <w:tcPr>
            <w:tcW w:w="1245" w:type="dxa"/>
            <w:tcBorders>
              <w:left w:val="nil"/>
            </w:tcBorders>
            <w:shd w:val="clear" w:color="auto" w:fill="auto"/>
          </w:tcPr>
          <w:p w:rsidR="00E7780B" w:rsidRPr="005E7299" w:rsidRDefault="005E7299" w:rsidP="005E7299">
            <w:pPr>
              <w:spacing w:line="276" w:lineRule="auto"/>
              <w:jc w:val="center"/>
              <w:rPr>
                <w:rFonts w:ascii="Constantia" w:hAnsi="Constantia"/>
                <w:lang w:val="sr-Latn-CS"/>
              </w:rPr>
            </w:pPr>
            <w:r w:rsidRPr="005E7299">
              <w:rPr>
                <w:rFonts w:ascii="Constantia" w:hAnsi="Constantia" w:cs="Arial"/>
                <w:szCs w:val="22"/>
              </w:rPr>
              <w:t>3</w:t>
            </w:r>
            <w:r w:rsidR="00E7780B" w:rsidRPr="005E7299">
              <w:rPr>
                <w:rFonts w:ascii="Constantia" w:hAnsi="Constantia" w:cs="Arial"/>
                <w:szCs w:val="22"/>
              </w:rPr>
              <w:t xml:space="preserve"> </w:t>
            </w:r>
            <w:r w:rsidRPr="005E7299">
              <w:rPr>
                <w:rFonts w:ascii="Constantia" w:hAnsi="Constantia" w:cs="Arial"/>
                <w:szCs w:val="22"/>
              </w:rPr>
              <w:t>819</w:t>
            </w:r>
            <w:r w:rsidR="00E7780B" w:rsidRPr="005E7299">
              <w:rPr>
                <w:rFonts w:ascii="Constantia" w:hAnsi="Constantia" w:cs="Arial"/>
                <w:szCs w:val="22"/>
              </w:rPr>
              <w:t>,</w:t>
            </w:r>
            <w:r w:rsidRPr="005E7299">
              <w:rPr>
                <w:rFonts w:ascii="Constantia" w:hAnsi="Constantia" w:cs="Arial"/>
                <w:szCs w:val="22"/>
              </w:rPr>
              <w:t>21</w:t>
            </w:r>
          </w:p>
        </w:tc>
      </w:tr>
      <w:tr w:rsidR="00E7780B" w:rsidRPr="00200A86" w:rsidTr="008625DA">
        <w:trPr>
          <w:trHeight w:val="254"/>
        </w:trPr>
        <w:tc>
          <w:tcPr>
            <w:tcW w:w="1843" w:type="dxa"/>
            <w:tcBorders>
              <w:right w:val="nil"/>
            </w:tcBorders>
            <w:shd w:val="clear" w:color="auto" w:fill="EFE0F5"/>
          </w:tcPr>
          <w:p w:rsidR="00E7780B" w:rsidRPr="005B4098" w:rsidRDefault="00E7780B" w:rsidP="004E680E">
            <w:pPr>
              <w:spacing w:line="276" w:lineRule="auto"/>
              <w:rPr>
                <w:rFonts w:ascii="Constantia" w:hAnsi="Constantia"/>
                <w:b/>
                <w:bCs/>
                <w:color w:val="000000" w:themeColor="text1"/>
                <w:lang w:val="sr-Latn-CS"/>
              </w:rPr>
            </w:pPr>
            <w:r w:rsidRPr="005B4098">
              <w:rPr>
                <w:rFonts w:ascii="Constantia" w:hAnsi="Constantia"/>
                <w:b/>
                <w:bCs/>
                <w:color w:val="000000" w:themeColor="text1"/>
                <w:szCs w:val="22"/>
                <w:lang w:val="sr-Latn-CS"/>
              </w:rPr>
              <w:t>UKUPNO</w:t>
            </w:r>
          </w:p>
        </w:tc>
        <w:tc>
          <w:tcPr>
            <w:tcW w:w="1513" w:type="dxa"/>
            <w:tcBorders>
              <w:left w:val="nil"/>
              <w:right w:val="nil"/>
            </w:tcBorders>
            <w:shd w:val="clear" w:color="auto" w:fill="EFE0F5"/>
          </w:tcPr>
          <w:p w:rsidR="00E7780B" w:rsidRPr="002059BE" w:rsidRDefault="00E7780B" w:rsidP="002059BE">
            <w:pPr>
              <w:spacing w:line="276" w:lineRule="auto"/>
              <w:jc w:val="center"/>
              <w:rPr>
                <w:rFonts w:ascii="Constantia" w:hAnsi="Constantia"/>
                <w:lang w:val="sr-Latn-CS"/>
              </w:rPr>
            </w:pPr>
            <w:r w:rsidRPr="002059BE">
              <w:rPr>
                <w:rFonts w:ascii="Constantia" w:hAnsi="Constantia" w:cs="Arial"/>
                <w:b/>
                <w:bCs/>
                <w:szCs w:val="22"/>
              </w:rPr>
              <w:t>9</w:t>
            </w:r>
            <w:r w:rsidR="002059BE" w:rsidRPr="002059BE">
              <w:rPr>
                <w:rFonts w:ascii="Constantia" w:hAnsi="Constantia" w:cs="Arial"/>
                <w:b/>
                <w:bCs/>
                <w:szCs w:val="22"/>
              </w:rPr>
              <w:t>23</w:t>
            </w:r>
            <w:r w:rsidRPr="002059BE">
              <w:rPr>
                <w:rFonts w:ascii="Constantia" w:hAnsi="Constantia" w:cs="Arial"/>
                <w:b/>
                <w:bCs/>
                <w:szCs w:val="22"/>
              </w:rPr>
              <w:t>,</w:t>
            </w:r>
            <w:r w:rsidR="002059BE" w:rsidRPr="002059BE">
              <w:rPr>
                <w:rFonts w:ascii="Constantia" w:hAnsi="Constantia" w:cs="Arial"/>
                <w:b/>
                <w:bCs/>
                <w:szCs w:val="22"/>
              </w:rPr>
              <w:t>55</w:t>
            </w:r>
          </w:p>
        </w:tc>
        <w:tc>
          <w:tcPr>
            <w:tcW w:w="1594" w:type="dxa"/>
            <w:tcBorders>
              <w:left w:val="nil"/>
              <w:right w:val="nil"/>
            </w:tcBorders>
            <w:shd w:val="clear" w:color="auto" w:fill="EFE0F5"/>
          </w:tcPr>
          <w:p w:rsidR="00E7780B" w:rsidRPr="002059BE" w:rsidRDefault="002059BE" w:rsidP="002059BE">
            <w:pPr>
              <w:spacing w:line="276" w:lineRule="auto"/>
              <w:jc w:val="center"/>
              <w:rPr>
                <w:rFonts w:ascii="Constantia" w:hAnsi="Constantia"/>
                <w:lang w:val="sr-Latn-CS"/>
              </w:rPr>
            </w:pPr>
            <w:r w:rsidRPr="002059BE">
              <w:rPr>
                <w:rFonts w:ascii="Constantia" w:hAnsi="Constantia" w:cs="Arial"/>
                <w:b/>
                <w:bCs/>
                <w:szCs w:val="22"/>
              </w:rPr>
              <w:t>105</w:t>
            </w:r>
            <w:r w:rsidR="00E7780B" w:rsidRPr="002059BE">
              <w:rPr>
                <w:rFonts w:ascii="Constantia" w:hAnsi="Constantia" w:cs="Arial"/>
                <w:b/>
                <w:bCs/>
                <w:szCs w:val="22"/>
              </w:rPr>
              <w:t xml:space="preserve"> 2</w:t>
            </w:r>
            <w:r w:rsidRPr="002059BE">
              <w:rPr>
                <w:rFonts w:ascii="Constantia" w:hAnsi="Constantia" w:cs="Arial"/>
                <w:b/>
                <w:bCs/>
                <w:szCs w:val="22"/>
              </w:rPr>
              <w:t>96</w:t>
            </w:r>
            <w:r w:rsidR="00E7780B" w:rsidRPr="002059BE">
              <w:rPr>
                <w:rFonts w:ascii="Constantia" w:hAnsi="Constantia" w:cs="Arial"/>
                <w:b/>
                <w:bCs/>
                <w:szCs w:val="22"/>
              </w:rPr>
              <w:t>,</w:t>
            </w:r>
            <w:r w:rsidRPr="002059BE">
              <w:rPr>
                <w:rFonts w:ascii="Constantia" w:hAnsi="Constantia" w:cs="Arial"/>
                <w:b/>
                <w:bCs/>
                <w:szCs w:val="22"/>
              </w:rPr>
              <w:t>22</w:t>
            </w:r>
          </w:p>
        </w:tc>
        <w:tc>
          <w:tcPr>
            <w:tcW w:w="2985" w:type="dxa"/>
            <w:tcBorders>
              <w:left w:val="nil"/>
              <w:right w:val="nil"/>
            </w:tcBorders>
            <w:shd w:val="clear" w:color="auto" w:fill="EFE0F5"/>
          </w:tcPr>
          <w:p w:rsidR="00E7780B" w:rsidRPr="002059BE" w:rsidRDefault="002059BE" w:rsidP="002059BE">
            <w:pPr>
              <w:spacing w:line="276" w:lineRule="auto"/>
              <w:jc w:val="center"/>
              <w:rPr>
                <w:rFonts w:ascii="Constantia" w:hAnsi="Constantia"/>
                <w:lang w:val="sr-Latn-CS"/>
              </w:rPr>
            </w:pPr>
            <w:r w:rsidRPr="002059BE">
              <w:rPr>
                <w:rFonts w:ascii="Constantia" w:hAnsi="Constantia" w:cs="Arial"/>
                <w:b/>
                <w:bCs/>
                <w:szCs w:val="22"/>
              </w:rPr>
              <w:t>3</w:t>
            </w:r>
            <w:r w:rsidR="00E7780B" w:rsidRPr="002059BE">
              <w:rPr>
                <w:rFonts w:ascii="Constantia" w:hAnsi="Constantia" w:cs="Arial"/>
                <w:b/>
                <w:bCs/>
                <w:szCs w:val="22"/>
              </w:rPr>
              <w:t>5</w:t>
            </w:r>
            <w:r w:rsidRPr="002059BE">
              <w:rPr>
                <w:rFonts w:ascii="Constantia" w:hAnsi="Constantia" w:cs="Arial"/>
                <w:b/>
                <w:bCs/>
                <w:szCs w:val="22"/>
              </w:rPr>
              <w:t>1</w:t>
            </w:r>
            <w:r w:rsidR="00E7780B" w:rsidRPr="002059BE">
              <w:rPr>
                <w:rFonts w:ascii="Constantia" w:hAnsi="Constantia" w:cs="Arial"/>
                <w:b/>
                <w:bCs/>
                <w:szCs w:val="22"/>
              </w:rPr>
              <w:t xml:space="preserve"> 3</w:t>
            </w:r>
            <w:r w:rsidRPr="002059BE">
              <w:rPr>
                <w:rFonts w:ascii="Constantia" w:hAnsi="Constantia" w:cs="Arial"/>
                <w:b/>
                <w:bCs/>
                <w:szCs w:val="22"/>
              </w:rPr>
              <w:t>90</w:t>
            </w:r>
            <w:r w:rsidR="00E7780B" w:rsidRPr="002059BE">
              <w:rPr>
                <w:rFonts w:ascii="Constantia" w:hAnsi="Constantia" w:cs="Arial"/>
                <w:b/>
                <w:bCs/>
                <w:szCs w:val="22"/>
              </w:rPr>
              <w:t>,</w:t>
            </w:r>
            <w:r w:rsidRPr="002059BE">
              <w:rPr>
                <w:rFonts w:ascii="Constantia" w:hAnsi="Constantia" w:cs="Arial"/>
                <w:b/>
                <w:bCs/>
                <w:szCs w:val="22"/>
              </w:rPr>
              <w:t>96</w:t>
            </w:r>
          </w:p>
        </w:tc>
        <w:tc>
          <w:tcPr>
            <w:tcW w:w="1245" w:type="dxa"/>
            <w:tcBorders>
              <w:left w:val="nil"/>
            </w:tcBorders>
            <w:shd w:val="clear" w:color="auto" w:fill="EFE0F5"/>
          </w:tcPr>
          <w:p w:rsidR="00E7780B" w:rsidRPr="002059BE" w:rsidRDefault="002059BE" w:rsidP="002059BE">
            <w:pPr>
              <w:spacing w:line="276" w:lineRule="auto"/>
              <w:jc w:val="center"/>
              <w:rPr>
                <w:rFonts w:ascii="Constantia" w:hAnsi="Constantia"/>
                <w:lang w:val="sr-Latn-CS"/>
              </w:rPr>
            </w:pPr>
            <w:r w:rsidRPr="002059BE">
              <w:rPr>
                <w:rFonts w:ascii="Constantia" w:hAnsi="Constantia" w:cs="Arial"/>
                <w:b/>
                <w:bCs/>
                <w:szCs w:val="22"/>
              </w:rPr>
              <w:t>4</w:t>
            </w:r>
            <w:r w:rsidR="00E7780B" w:rsidRPr="002059BE">
              <w:rPr>
                <w:rFonts w:ascii="Constantia" w:hAnsi="Constantia" w:cs="Arial"/>
                <w:b/>
                <w:bCs/>
                <w:szCs w:val="22"/>
              </w:rPr>
              <w:t>57 6</w:t>
            </w:r>
            <w:r w:rsidRPr="002059BE">
              <w:rPr>
                <w:rFonts w:ascii="Constantia" w:hAnsi="Constantia" w:cs="Arial"/>
                <w:b/>
                <w:bCs/>
                <w:szCs w:val="22"/>
              </w:rPr>
              <w:t>10</w:t>
            </w:r>
            <w:r w:rsidR="00E7780B" w:rsidRPr="002059BE">
              <w:rPr>
                <w:rFonts w:ascii="Constantia" w:hAnsi="Constantia" w:cs="Arial"/>
                <w:b/>
                <w:bCs/>
                <w:szCs w:val="22"/>
              </w:rPr>
              <w:t>,</w:t>
            </w:r>
            <w:r w:rsidRPr="002059BE">
              <w:rPr>
                <w:rFonts w:ascii="Constantia" w:hAnsi="Constantia" w:cs="Arial"/>
                <w:b/>
                <w:bCs/>
                <w:szCs w:val="22"/>
              </w:rPr>
              <w:t>73</w:t>
            </w:r>
          </w:p>
        </w:tc>
      </w:tr>
    </w:tbl>
    <w:p w:rsidR="00E7780B" w:rsidRPr="001E48A6" w:rsidRDefault="00E7780B" w:rsidP="001E48A6">
      <w:pPr>
        <w:pStyle w:val="Tabele"/>
        <w:spacing w:before="60" w:after="240" w:line="276" w:lineRule="auto"/>
        <w:ind w:left="720"/>
        <w:rPr>
          <w:rFonts w:ascii="Constantia" w:hAnsi="Constantia"/>
          <w:sz w:val="22"/>
        </w:rPr>
      </w:pPr>
      <w:r w:rsidRPr="00897A69">
        <w:rPr>
          <w:rFonts w:ascii="Constantia" w:hAnsi="Constantia"/>
          <w:sz w:val="22"/>
        </w:rPr>
        <w:t xml:space="preserve">Generisani industrijski otpad prema sektorima </w:t>
      </w:r>
      <w:r>
        <w:rPr>
          <w:rFonts w:ascii="Constantia" w:hAnsi="Constantia"/>
          <w:sz w:val="22"/>
        </w:rPr>
        <w:t>u 201</w:t>
      </w:r>
      <w:r w:rsidR="00443732">
        <w:rPr>
          <w:rFonts w:ascii="Constantia" w:hAnsi="Constantia"/>
          <w:sz w:val="22"/>
        </w:rPr>
        <w:t>2</w:t>
      </w:r>
      <w:r>
        <w:rPr>
          <w:rFonts w:ascii="Constantia" w:hAnsi="Constantia"/>
          <w:sz w:val="22"/>
        </w:rPr>
        <w:t>. godini</w:t>
      </w:r>
    </w:p>
    <w:p w:rsidR="00E7780B" w:rsidRDefault="00E7780B" w:rsidP="001E48A6">
      <w:pPr>
        <w:rPr>
          <w:rFonts w:ascii="Constantia" w:hAnsi="Constantia"/>
          <w:lang w:val="sr-Latn-CS"/>
        </w:rPr>
      </w:pPr>
      <w:r w:rsidRPr="00897A69">
        <w:rPr>
          <w:rFonts w:ascii="Constantia" w:hAnsi="Constantia"/>
          <w:lang w:val="sr-Latn-CS"/>
        </w:rPr>
        <w:t xml:space="preserve">Od ukupnih </w:t>
      </w:r>
      <w:r w:rsidR="008D6DFB" w:rsidRPr="008D6DFB">
        <w:rPr>
          <w:rFonts w:ascii="Constantia" w:hAnsi="Constantia"/>
          <w:lang w:val="sr-Latn-CS"/>
        </w:rPr>
        <w:t>4</w:t>
      </w:r>
      <w:r w:rsidRPr="008D6DFB">
        <w:rPr>
          <w:rFonts w:ascii="Constantia" w:hAnsi="Constantia"/>
          <w:lang w:val="sr-Latn-CS"/>
        </w:rPr>
        <w:t>57 6</w:t>
      </w:r>
      <w:r w:rsidR="008D6DFB" w:rsidRPr="008D6DFB">
        <w:rPr>
          <w:rFonts w:ascii="Constantia" w:hAnsi="Constantia"/>
          <w:lang w:val="sr-Latn-CS"/>
        </w:rPr>
        <w:t>10</w:t>
      </w:r>
      <w:r w:rsidRPr="008D6DFB">
        <w:rPr>
          <w:rFonts w:ascii="Constantia" w:hAnsi="Constantia"/>
          <w:lang w:val="sr-Latn-CS"/>
        </w:rPr>
        <w:t>,</w:t>
      </w:r>
      <w:r w:rsidR="008D6DFB" w:rsidRPr="008D6DFB">
        <w:rPr>
          <w:rFonts w:ascii="Constantia" w:hAnsi="Constantia"/>
          <w:lang w:val="sr-Latn-CS"/>
        </w:rPr>
        <w:t>73</w:t>
      </w:r>
      <w:r w:rsidRPr="008D6DFB">
        <w:rPr>
          <w:rFonts w:ascii="Constantia" w:hAnsi="Constantia"/>
          <w:lang w:val="sr-Latn-CS"/>
        </w:rPr>
        <w:t xml:space="preserve"> tona</w:t>
      </w:r>
      <w:r w:rsidRPr="00897A69">
        <w:rPr>
          <w:rFonts w:ascii="Constantia" w:hAnsi="Constantia"/>
          <w:lang w:val="sr-Latn-CS"/>
        </w:rPr>
        <w:t xml:space="preserve"> generisanog otpada u industriji, sektor </w:t>
      </w:r>
      <w:r w:rsidR="008D6DFB">
        <w:rPr>
          <w:rFonts w:ascii="Constantia" w:hAnsi="Constantia"/>
          <w:lang w:val="sr-Latn-CS"/>
        </w:rPr>
        <w:t>r</w:t>
      </w:r>
      <w:r w:rsidRPr="00897A69">
        <w:rPr>
          <w:rFonts w:ascii="Constantia" w:hAnsi="Constantia"/>
          <w:lang w:val="sr-Latn-CS"/>
        </w:rPr>
        <w:t xml:space="preserve">udarstvo generisao je </w:t>
      </w:r>
      <w:r w:rsidRPr="00312A53">
        <w:rPr>
          <w:rFonts w:ascii="Constantia" w:hAnsi="Constantia"/>
          <w:lang w:val="sr-Latn-CS"/>
        </w:rPr>
        <w:t>0,</w:t>
      </w:r>
      <w:r w:rsidR="008D6DFB" w:rsidRPr="00312A53">
        <w:rPr>
          <w:rFonts w:ascii="Constantia" w:hAnsi="Constantia"/>
          <w:lang w:val="sr-Latn-CS"/>
        </w:rPr>
        <w:t>2</w:t>
      </w:r>
      <w:r w:rsidRPr="00312A53">
        <w:rPr>
          <w:rFonts w:ascii="Constantia" w:hAnsi="Constantia"/>
          <w:lang w:val="sr-Latn-CS"/>
        </w:rPr>
        <w:t xml:space="preserve">%, sektor prerađivačka industrija </w:t>
      </w:r>
      <w:r w:rsidR="008D6DFB" w:rsidRPr="00312A53">
        <w:rPr>
          <w:rFonts w:ascii="Constantia" w:hAnsi="Constantia"/>
          <w:lang w:val="sr-Latn-CS"/>
        </w:rPr>
        <w:t>23</w:t>
      </w:r>
      <w:r w:rsidRPr="00312A53">
        <w:rPr>
          <w:rFonts w:ascii="Constantia" w:hAnsi="Constantia"/>
          <w:lang w:val="sr-Latn-CS"/>
        </w:rPr>
        <w:t xml:space="preserve">%, a sektor snabdijevanje električnom energijom, gasom i parom </w:t>
      </w:r>
      <w:r w:rsidR="008D6DFB" w:rsidRPr="00312A53">
        <w:rPr>
          <w:rFonts w:ascii="Constantia" w:hAnsi="Constantia"/>
          <w:lang w:val="sr-Latn-CS"/>
        </w:rPr>
        <w:t>76</w:t>
      </w:r>
      <w:r w:rsidRPr="00312A53">
        <w:rPr>
          <w:rFonts w:ascii="Constantia" w:hAnsi="Constantia"/>
          <w:lang w:val="sr-Latn-CS"/>
        </w:rPr>
        <w:t>,8%.</w:t>
      </w:r>
      <w:r w:rsidRPr="00897A69">
        <w:rPr>
          <w:rFonts w:ascii="Constantia" w:hAnsi="Constantia"/>
          <w:lang w:val="sr-Latn-CS"/>
        </w:rPr>
        <w:t xml:space="preserve"> </w:t>
      </w:r>
    </w:p>
    <w:p w:rsidR="001E48A6" w:rsidRDefault="001E48A6" w:rsidP="001E48A6">
      <w:pPr>
        <w:spacing w:after="0"/>
        <w:rPr>
          <w:rFonts w:ascii="Constantia" w:hAnsi="Constantia"/>
          <w:lang w:val="sr-Latn-CS"/>
        </w:rPr>
      </w:pPr>
    </w:p>
    <w:p w:rsidR="002B62C1" w:rsidRDefault="002B62C1" w:rsidP="002B62C1">
      <w:pPr>
        <w:spacing w:after="0" w:line="276" w:lineRule="auto"/>
        <w:jc w:val="center"/>
        <w:rPr>
          <w:rFonts w:ascii="Constantia" w:hAnsi="Constantia"/>
          <w:lang w:val="sr-Latn-CS"/>
        </w:rPr>
      </w:pPr>
      <w:r>
        <w:rPr>
          <w:noProof/>
        </w:rPr>
        <w:drawing>
          <wp:inline distT="0" distB="0" distL="0" distR="0" wp14:anchorId="71884B77" wp14:editId="14C40EF7">
            <wp:extent cx="4572000" cy="1619250"/>
            <wp:effectExtent l="0" t="0" r="0" b="0"/>
            <wp:docPr id="200" name="Chart 20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p w:rsidR="00E7780B" w:rsidRPr="00CE7092" w:rsidRDefault="00E7780B" w:rsidP="00E7780B">
      <w:pPr>
        <w:pStyle w:val="Slika"/>
        <w:spacing w:line="276" w:lineRule="auto"/>
        <w:ind w:left="567" w:firstLine="0"/>
        <w:rPr>
          <w:rFonts w:ascii="Constantia" w:hAnsi="Constantia"/>
          <w:szCs w:val="20"/>
          <w:lang w:val="sr-Latn-CS"/>
        </w:rPr>
      </w:pPr>
      <w:r w:rsidRPr="00897A69">
        <w:rPr>
          <w:rFonts w:ascii="Constantia" w:hAnsi="Constantia"/>
          <w:szCs w:val="20"/>
          <w:lang w:val="sr-Latn-CS"/>
        </w:rPr>
        <w:t>Udio pojedinih sektora u generisanju industrijskog otpada u</w:t>
      </w:r>
      <w:r>
        <w:rPr>
          <w:rFonts w:ascii="Constantia" w:hAnsi="Constantia"/>
          <w:szCs w:val="20"/>
          <w:lang w:val="sr-Latn-CS"/>
        </w:rPr>
        <w:t xml:space="preserve"> 201</w:t>
      </w:r>
      <w:r w:rsidR="002B62C1">
        <w:rPr>
          <w:rFonts w:ascii="Constantia" w:hAnsi="Constantia"/>
          <w:szCs w:val="20"/>
          <w:lang w:val="sr-Latn-CS"/>
        </w:rPr>
        <w:t>2</w:t>
      </w:r>
      <w:r>
        <w:rPr>
          <w:rFonts w:ascii="Constantia" w:hAnsi="Constantia"/>
          <w:szCs w:val="20"/>
          <w:lang w:val="sr-Latn-CS"/>
        </w:rPr>
        <w:t>. godini (</w:t>
      </w:r>
      <w:r w:rsidRPr="00897A69">
        <w:rPr>
          <w:rFonts w:ascii="Constantia" w:hAnsi="Constantia"/>
          <w:szCs w:val="20"/>
          <w:lang w:val="sr-Latn-CS"/>
        </w:rPr>
        <w:t>%</w:t>
      </w:r>
      <w:r>
        <w:rPr>
          <w:rFonts w:ascii="Constantia" w:hAnsi="Constantia"/>
          <w:szCs w:val="20"/>
          <w:lang w:val="sr-Latn-CS"/>
        </w:rPr>
        <w:t>)</w:t>
      </w:r>
    </w:p>
    <w:p w:rsidR="00E7780B" w:rsidRDefault="00E7780B" w:rsidP="00E7780B">
      <w:pPr>
        <w:pStyle w:val="Slika"/>
        <w:numPr>
          <w:ilvl w:val="0"/>
          <w:numId w:val="0"/>
        </w:numPr>
        <w:spacing w:after="0" w:line="276" w:lineRule="auto"/>
        <w:ind w:left="90" w:firstLine="477"/>
        <w:jc w:val="both"/>
        <w:rPr>
          <w:rFonts w:ascii="Constantia" w:hAnsi="Constantia"/>
          <w:i w:val="0"/>
          <w:lang w:val="sr-Latn-CS"/>
        </w:rPr>
      </w:pPr>
    </w:p>
    <w:p w:rsidR="00E7780B" w:rsidRPr="00814D22" w:rsidRDefault="00E7780B" w:rsidP="00B92E6F">
      <w:pPr>
        <w:pStyle w:val="Slika"/>
        <w:numPr>
          <w:ilvl w:val="0"/>
          <w:numId w:val="0"/>
        </w:numPr>
        <w:jc w:val="both"/>
        <w:rPr>
          <w:rFonts w:ascii="Constantia" w:hAnsi="Constantia"/>
          <w:i w:val="0"/>
          <w:lang w:val="sr-Latn-CS"/>
        </w:rPr>
      </w:pPr>
      <w:r w:rsidRPr="001E2765">
        <w:rPr>
          <w:rFonts w:ascii="Constantia" w:hAnsi="Constantia"/>
          <w:lang w:val="sr-Latn-CS"/>
        </w:rPr>
        <w:t xml:space="preserve">Tabela </w:t>
      </w:r>
      <w:r w:rsidR="00C675EE" w:rsidRPr="001E2765">
        <w:rPr>
          <w:rFonts w:ascii="Constantia" w:hAnsi="Constantia"/>
          <w:lang w:val="sr-Latn-CS"/>
        </w:rPr>
        <w:t>14</w:t>
      </w:r>
      <w:r w:rsidRPr="001E2765">
        <w:rPr>
          <w:rFonts w:ascii="Constantia" w:hAnsi="Constantia"/>
          <w:lang w:val="sr-Latn-CS"/>
        </w:rPr>
        <w:t>.</w:t>
      </w:r>
      <w:r w:rsidRPr="00814D22">
        <w:rPr>
          <w:rFonts w:ascii="Constantia" w:hAnsi="Constantia"/>
          <w:i w:val="0"/>
          <w:lang w:val="sr-Latn-CS"/>
        </w:rPr>
        <w:t xml:space="preserve"> prikazuje podatke o </w:t>
      </w:r>
      <w:r>
        <w:rPr>
          <w:rFonts w:ascii="Constantia" w:hAnsi="Constantia"/>
          <w:i w:val="0"/>
          <w:lang w:val="sr-Latn-CS"/>
        </w:rPr>
        <w:t xml:space="preserve">ukupnim </w:t>
      </w:r>
      <w:r w:rsidRPr="00814D22">
        <w:rPr>
          <w:rFonts w:ascii="Constantia" w:hAnsi="Constantia"/>
          <w:i w:val="0"/>
          <w:lang w:val="sr-Latn-CS"/>
        </w:rPr>
        <w:t xml:space="preserve">količinama </w:t>
      </w:r>
      <w:r>
        <w:rPr>
          <w:rFonts w:ascii="Constantia" w:hAnsi="Constantia"/>
          <w:i w:val="0"/>
          <w:lang w:val="sr-Latn-CS"/>
        </w:rPr>
        <w:t>otpada generisanim u industriji</w:t>
      </w:r>
      <w:r w:rsidRPr="00814D22">
        <w:rPr>
          <w:rFonts w:ascii="Constantia" w:hAnsi="Constantia"/>
          <w:i w:val="0"/>
          <w:lang w:val="sr-Latn-CS"/>
        </w:rPr>
        <w:t xml:space="preserve">, </w:t>
      </w:r>
      <w:r>
        <w:rPr>
          <w:rFonts w:ascii="Constantia" w:hAnsi="Constantia"/>
          <w:i w:val="0"/>
          <w:lang w:val="sr-Latn-CS"/>
        </w:rPr>
        <w:t>ukupnim količinama opasnog i neopasnog otpada iz industrije</w:t>
      </w:r>
      <w:r w:rsidRPr="00814D22">
        <w:rPr>
          <w:rFonts w:ascii="Constantia" w:hAnsi="Constantia"/>
          <w:i w:val="0"/>
          <w:lang w:val="sr-Latn-CS"/>
        </w:rPr>
        <w:t xml:space="preserve">, kao i </w:t>
      </w:r>
      <w:r>
        <w:rPr>
          <w:rFonts w:ascii="Constantia" w:hAnsi="Constantia"/>
          <w:i w:val="0"/>
          <w:lang w:val="sr-Latn-CS"/>
        </w:rPr>
        <w:t xml:space="preserve">udjelu pojedinih sektora u generisanju industrijskog otpada, u poslednje </w:t>
      </w:r>
      <w:r w:rsidR="00622C85">
        <w:rPr>
          <w:rFonts w:ascii="Constantia" w:hAnsi="Constantia"/>
          <w:i w:val="0"/>
          <w:lang w:val="sr-Latn-CS"/>
        </w:rPr>
        <w:t>2</w:t>
      </w:r>
      <w:r w:rsidRPr="00814D22">
        <w:rPr>
          <w:rFonts w:ascii="Constantia" w:hAnsi="Constantia"/>
          <w:i w:val="0"/>
          <w:lang w:val="sr-Latn-CS"/>
        </w:rPr>
        <w:t xml:space="preserve"> godin</w:t>
      </w:r>
      <w:r>
        <w:rPr>
          <w:rFonts w:ascii="Constantia" w:hAnsi="Constantia"/>
          <w:i w:val="0"/>
          <w:lang w:val="sr-Latn-CS"/>
        </w:rPr>
        <w:t>e</w:t>
      </w:r>
      <w:r w:rsidR="008D7182">
        <w:rPr>
          <w:rFonts w:ascii="Constantia" w:hAnsi="Constantia"/>
          <w:i w:val="0"/>
          <w:lang w:val="sr-Latn-CS"/>
        </w:rPr>
        <w:t xml:space="preserve"> </w:t>
      </w:r>
      <w:r w:rsidR="008D7182" w:rsidRPr="008D7182">
        <w:rPr>
          <w:rFonts w:ascii="Constantia" w:hAnsi="Constantia"/>
          <w:i w:val="0"/>
          <w:lang w:val="sr-Latn-CS"/>
        </w:rPr>
        <w:t>(izvor: MONSTAT)</w:t>
      </w:r>
      <w:r w:rsidRPr="008D7182">
        <w:rPr>
          <w:rFonts w:ascii="Constantia" w:hAnsi="Constantia"/>
          <w:i w:val="0"/>
          <w:lang w:val="sr-Latn-CS"/>
        </w:rPr>
        <w:t>.</w:t>
      </w:r>
      <w:r w:rsidRPr="00814D22">
        <w:rPr>
          <w:rFonts w:ascii="Constantia" w:hAnsi="Constantia"/>
          <w:i w:val="0"/>
          <w:lang w:val="sr-Latn-CS"/>
        </w:rPr>
        <w:t xml:space="preserve">  </w:t>
      </w:r>
    </w:p>
    <w:p w:rsidR="00E7780B" w:rsidRPr="00CE7092" w:rsidRDefault="00E7780B" w:rsidP="008D7182">
      <w:pPr>
        <w:spacing w:after="0"/>
        <w:rPr>
          <w:rFonts w:ascii="Constantia" w:hAnsi="Constantia"/>
          <w:sz w:val="20"/>
          <w:lang w:val="sr-Latn-CS"/>
        </w:rPr>
      </w:pPr>
    </w:p>
    <w:tbl>
      <w:tblPr>
        <w:tblW w:w="0" w:type="auto"/>
        <w:jc w:val="center"/>
        <w:tblInd w:w="-2881"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Pr>
      <w:tblGrid>
        <w:gridCol w:w="4461"/>
        <w:gridCol w:w="1620"/>
        <w:gridCol w:w="1620"/>
      </w:tblGrid>
      <w:tr w:rsidR="00622C85" w:rsidRPr="005E4028" w:rsidTr="00622C85">
        <w:trPr>
          <w:trHeight w:val="100"/>
          <w:jc w:val="center"/>
        </w:trPr>
        <w:tc>
          <w:tcPr>
            <w:tcW w:w="4461" w:type="dxa"/>
            <w:tcBorders>
              <w:top w:val="single" w:sz="8" w:space="0" w:color="FFFFFF"/>
              <w:left w:val="single" w:sz="8" w:space="0" w:color="FFFFFF"/>
              <w:bottom w:val="single" w:sz="24" w:space="0" w:color="FFFFFF"/>
              <w:right w:val="single" w:sz="8" w:space="0" w:color="FFFFFF"/>
            </w:tcBorders>
            <w:shd w:val="clear" w:color="auto" w:fill="BF83D7"/>
          </w:tcPr>
          <w:p w:rsidR="00622C85" w:rsidRPr="008D7182" w:rsidRDefault="00622C85" w:rsidP="004E680E">
            <w:pPr>
              <w:jc w:val="left"/>
              <w:rPr>
                <w:rFonts w:ascii="Constantia" w:hAnsi="Constantia"/>
                <w:bCs/>
                <w:color w:val="000000" w:themeColor="text1"/>
                <w:lang w:val="sr-Latn-CS"/>
              </w:rPr>
            </w:pPr>
            <w:r w:rsidRPr="008D7182">
              <w:rPr>
                <w:rFonts w:ascii="Constantia" w:hAnsi="Constantia"/>
                <w:bCs/>
                <w:color w:val="000000" w:themeColor="text1"/>
                <w:lang w:val="sr-Latn-CS"/>
              </w:rPr>
              <w:t>CG</w:t>
            </w:r>
          </w:p>
        </w:tc>
        <w:tc>
          <w:tcPr>
            <w:tcW w:w="1620" w:type="dxa"/>
            <w:tcBorders>
              <w:top w:val="single" w:sz="8" w:space="0" w:color="FFFFFF"/>
              <w:left w:val="single" w:sz="8" w:space="0" w:color="FFFFFF"/>
              <w:bottom w:val="single" w:sz="24" w:space="0" w:color="FFFFFF"/>
              <w:right w:val="single" w:sz="8" w:space="0" w:color="FFFFFF"/>
            </w:tcBorders>
            <w:shd w:val="clear" w:color="auto" w:fill="BF83D7"/>
          </w:tcPr>
          <w:p w:rsidR="00622C85" w:rsidRPr="005D26C4" w:rsidRDefault="00622C85" w:rsidP="004E680E">
            <w:pPr>
              <w:jc w:val="center"/>
              <w:rPr>
                <w:rFonts w:ascii="Constantia" w:hAnsi="Constantia"/>
                <w:b/>
                <w:bCs/>
                <w:color w:val="000000" w:themeColor="text1"/>
                <w:lang w:val="sr-Latn-CS"/>
              </w:rPr>
            </w:pPr>
            <w:r>
              <w:rPr>
                <w:rFonts w:ascii="Constantia" w:hAnsi="Constantia"/>
                <w:b/>
                <w:bCs/>
                <w:color w:val="000000" w:themeColor="text1"/>
                <w:szCs w:val="22"/>
                <w:lang w:val="sr-Latn-CS"/>
              </w:rPr>
              <w:t>2011</w:t>
            </w:r>
          </w:p>
        </w:tc>
        <w:tc>
          <w:tcPr>
            <w:tcW w:w="1620" w:type="dxa"/>
            <w:tcBorders>
              <w:top w:val="single" w:sz="8" w:space="0" w:color="FFFFFF"/>
              <w:left w:val="single" w:sz="8" w:space="0" w:color="FFFFFF"/>
              <w:bottom w:val="single" w:sz="24" w:space="0" w:color="FFFFFF"/>
              <w:right w:val="single" w:sz="8" w:space="0" w:color="FFFFFF"/>
            </w:tcBorders>
            <w:shd w:val="clear" w:color="auto" w:fill="BF83D7"/>
          </w:tcPr>
          <w:p w:rsidR="00622C85" w:rsidRPr="005D26C4" w:rsidRDefault="00622C85" w:rsidP="004E680E">
            <w:pPr>
              <w:jc w:val="center"/>
              <w:rPr>
                <w:rFonts w:ascii="Constantia" w:hAnsi="Constantia"/>
                <w:b/>
                <w:bCs/>
                <w:color w:val="000000" w:themeColor="text1"/>
                <w:lang w:val="sr-Latn-CS"/>
              </w:rPr>
            </w:pPr>
            <w:r>
              <w:rPr>
                <w:rFonts w:ascii="Constantia" w:hAnsi="Constantia"/>
                <w:b/>
                <w:bCs/>
                <w:color w:val="000000" w:themeColor="text1"/>
                <w:szCs w:val="22"/>
                <w:lang w:val="sr-Latn-CS"/>
              </w:rPr>
              <w:t>2012</w:t>
            </w:r>
          </w:p>
        </w:tc>
      </w:tr>
      <w:tr w:rsidR="00622C85" w:rsidRPr="005E4028" w:rsidTr="00622C85">
        <w:trPr>
          <w:trHeight w:val="87"/>
          <w:jc w:val="center"/>
        </w:trPr>
        <w:tc>
          <w:tcPr>
            <w:tcW w:w="4461" w:type="dxa"/>
            <w:tcBorders>
              <w:top w:val="single" w:sz="8" w:space="0" w:color="FFFFFF"/>
              <w:left w:val="single" w:sz="8" w:space="0" w:color="FFFFFF"/>
              <w:bottom w:val="nil"/>
              <w:right w:val="single" w:sz="24" w:space="0" w:color="FFFFFF"/>
            </w:tcBorders>
            <w:shd w:val="clear" w:color="auto" w:fill="BF83D7"/>
          </w:tcPr>
          <w:p w:rsidR="00622C85" w:rsidRPr="008D7182" w:rsidRDefault="00622C85" w:rsidP="004E680E">
            <w:pPr>
              <w:spacing w:after="0"/>
              <w:jc w:val="left"/>
              <w:rPr>
                <w:rFonts w:ascii="Constantia" w:hAnsi="Constantia"/>
                <w:bCs/>
                <w:color w:val="000000" w:themeColor="text1"/>
                <w:lang w:val="sr-Latn-CS"/>
              </w:rPr>
            </w:pPr>
            <w:r w:rsidRPr="008D7182">
              <w:rPr>
                <w:rFonts w:ascii="Constantia" w:hAnsi="Constantia"/>
                <w:bCs/>
                <w:color w:val="000000" w:themeColor="text1"/>
                <w:szCs w:val="22"/>
                <w:lang w:val="sr-Latn-CS"/>
              </w:rPr>
              <w:t>Ukupna količina otpada generisanog u industriji (t)</w:t>
            </w:r>
          </w:p>
        </w:tc>
        <w:tc>
          <w:tcPr>
            <w:tcW w:w="1620" w:type="dxa"/>
            <w:tcBorders>
              <w:top w:val="single" w:sz="8" w:space="0" w:color="FFFFFF"/>
              <w:left w:val="single" w:sz="8" w:space="0" w:color="FFFFFF"/>
              <w:bottom w:val="single" w:sz="8" w:space="0" w:color="FFFFFF"/>
              <w:right w:val="single" w:sz="8" w:space="0" w:color="FFFFFF"/>
            </w:tcBorders>
            <w:shd w:val="clear" w:color="auto" w:fill="DEC1EB"/>
          </w:tcPr>
          <w:p w:rsidR="00622C85" w:rsidRPr="005D26C4" w:rsidRDefault="00622C85" w:rsidP="004E680E">
            <w:pPr>
              <w:jc w:val="center"/>
              <w:rPr>
                <w:rFonts w:ascii="Constantia" w:hAnsi="Constantia"/>
                <w:b/>
                <w:color w:val="000000" w:themeColor="text1"/>
                <w:lang w:val="sr-Latn-CS"/>
              </w:rPr>
            </w:pPr>
            <w:r w:rsidRPr="005B4098">
              <w:rPr>
                <w:rFonts w:ascii="Constantia" w:hAnsi="Constantia" w:cs="Arial"/>
                <w:b/>
                <w:bCs/>
                <w:color w:val="000000" w:themeColor="text1"/>
                <w:szCs w:val="22"/>
              </w:rPr>
              <w:t>557 635,81</w:t>
            </w:r>
          </w:p>
        </w:tc>
        <w:tc>
          <w:tcPr>
            <w:tcW w:w="1620" w:type="dxa"/>
            <w:tcBorders>
              <w:top w:val="single" w:sz="8" w:space="0" w:color="FFFFFF"/>
              <w:left w:val="single" w:sz="8" w:space="0" w:color="FFFFFF"/>
              <w:bottom w:val="single" w:sz="8" w:space="0" w:color="FFFFFF"/>
              <w:right w:val="single" w:sz="8" w:space="0" w:color="FFFFFF"/>
            </w:tcBorders>
            <w:shd w:val="clear" w:color="auto" w:fill="DEC1EB"/>
          </w:tcPr>
          <w:p w:rsidR="00622C85" w:rsidRPr="005D26C4" w:rsidRDefault="00622C85" w:rsidP="004E680E">
            <w:pPr>
              <w:jc w:val="center"/>
              <w:rPr>
                <w:rFonts w:ascii="Constantia" w:hAnsi="Constantia"/>
                <w:b/>
                <w:color w:val="000000" w:themeColor="text1"/>
                <w:lang w:val="sr-Latn-CS"/>
              </w:rPr>
            </w:pPr>
            <w:r>
              <w:rPr>
                <w:rFonts w:ascii="Constantia" w:hAnsi="Constantia"/>
                <w:b/>
                <w:color w:val="000000" w:themeColor="text1"/>
                <w:szCs w:val="22"/>
                <w:lang w:val="sr-Latn-CS"/>
              </w:rPr>
              <w:t>457 610,73</w:t>
            </w:r>
          </w:p>
        </w:tc>
      </w:tr>
      <w:tr w:rsidR="00622C85" w:rsidRPr="005E4028" w:rsidTr="00622C85">
        <w:trPr>
          <w:trHeight w:val="538"/>
          <w:jc w:val="center"/>
        </w:trPr>
        <w:tc>
          <w:tcPr>
            <w:tcW w:w="4461" w:type="dxa"/>
            <w:tcBorders>
              <w:left w:val="single" w:sz="8" w:space="0" w:color="FFFFFF"/>
              <w:bottom w:val="nil"/>
              <w:right w:val="single" w:sz="24" w:space="0" w:color="FFFFFF"/>
            </w:tcBorders>
            <w:shd w:val="clear" w:color="auto" w:fill="EAEAFF" w:themeFill="accent4" w:themeFillTint="33"/>
          </w:tcPr>
          <w:p w:rsidR="00622C85" w:rsidRPr="008D7182" w:rsidRDefault="00622C85" w:rsidP="004E680E">
            <w:pPr>
              <w:spacing w:after="0"/>
              <w:jc w:val="left"/>
              <w:rPr>
                <w:rFonts w:ascii="Constantia" w:hAnsi="Constantia"/>
                <w:bCs/>
                <w:color w:val="000000" w:themeColor="text1"/>
                <w:lang w:val="sr-Latn-CS"/>
              </w:rPr>
            </w:pPr>
            <w:r w:rsidRPr="008D7182">
              <w:rPr>
                <w:rFonts w:ascii="Constantia" w:hAnsi="Constantia"/>
                <w:bCs/>
                <w:color w:val="000000" w:themeColor="text1"/>
                <w:szCs w:val="22"/>
                <w:lang w:val="sr-Latn-CS"/>
              </w:rPr>
              <w:t>Ukupna količina opasnog industrijskog otpada (t)</w:t>
            </w:r>
          </w:p>
        </w:tc>
        <w:tc>
          <w:tcPr>
            <w:tcW w:w="1620" w:type="dxa"/>
            <w:shd w:val="clear" w:color="auto" w:fill="EFE0F5"/>
          </w:tcPr>
          <w:p w:rsidR="00622C85" w:rsidRPr="003B1770" w:rsidRDefault="00622C85" w:rsidP="004E680E">
            <w:pPr>
              <w:jc w:val="center"/>
              <w:rPr>
                <w:rFonts w:ascii="Constantia" w:hAnsi="Constantia"/>
                <w:b/>
                <w:color w:val="000000" w:themeColor="text1"/>
                <w:lang w:val="sr-Latn-CS"/>
              </w:rPr>
            </w:pPr>
            <w:r w:rsidRPr="003B1770">
              <w:rPr>
                <w:rFonts w:ascii="Constantia" w:hAnsi="Constantia" w:cs="Arial"/>
                <w:b/>
                <w:color w:val="000000" w:themeColor="text1"/>
                <w:szCs w:val="22"/>
              </w:rPr>
              <w:t>6 576,60</w:t>
            </w:r>
          </w:p>
        </w:tc>
        <w:tc>
          <w:tcPr>
            <w:tcW w:w="1620" w:type="dxa"/>
            <w:shd w:val="clear" w:color="auto" w:fill="EFE0F5"/>
          </w:tcPr>
          <w:p w:rsidR="00622C85" w:rsidRPr="005D26C4" w:rsidRDefault="00622C85" w:rsidP="004E680E">
            <w:pPr>
              <w:jc w:val="center"/>
              <w:rPr>
                <w:rFonts w:ascii="Constantia" w:hAnsi="Constantia"/>
                <w:b/>
                <w:color w:val="000000" w:themeColor="text1"/>
                <w:lang w:val="sr-Latn-CS"/>
              </w:rPr>
            </w:pPr>
            <w:r>
              <w:rPr>
                <w:rFonts w:ascii="Constantia" w:hAnsi="Constantia"/>
                <w:b/>
                <w:color w:val="000000" w:themeColor="text1"/>
                <w:szCs w:val="22"/>
                <w:lang w:val="sr-Latn-CS"/>
              </w:rPr>
              <w:t>3 819,21</w:t>
            </w:r>
          </w:p>
        </w:tc>
      </w:tr>
      <w:tr w:rsidR="00622C85" w:rsidRPr="005E4028" w:rsidTr="00622C85">
        <w:trPr>
          <w:trHeight w:val="87"/>
          <w:jc w:val="center"/>
        </w:trPr>
        <w:tc>
          <w:tcPr>
            <w:tcW w:w="4461" w:type="dxa"/>
            <w:tcBorders>
              <w:top w:val="single" w:sz="8" w:space="0" w:color="FFFFFF"/>
              <w:left w:val="single" w:sz="8" w:space="0" w:color="FFFFFF"/>
              <w:bottom w:val="nil"/>
              <w:right w:val="single" w:sz="24" w:space="0" w:color="FFFFFF"/>
            </w:tcBorders>
            <w:shd w:val="clear" w:color="auto" w:fill="BF83D7"/>
          </w:tcPr>
          <w:p w:rsidR="00622C85" w:rsidRPr="008D7182" w:rsidRDefault="00622C85" w:rsidP="004E680E">
            <w:pPr>
              <w:spacing w:after="0"/>
              <w:jc w:val="left"/>
              <w:rPr>
                <w:rFonts w:ascii="Constantia" w:hAnsi="Constantia"/>
                <w:bCs/>
                <w:color w:val="000000" w:themeColor="text1"/>
                <w:lang w:val="sr-Latn-CS"/>
              </w:rPr>
            </w:pPr>
            <w:r w:rsidRPr="008D7182">
              <w:rPr>
                <w:rFonts w:ascii="Constantia" w:hAnsi="Constantia"/>
                <w:bCs/>
                <w:color w:val="000000" w:themeColor="text1"/>
                <w:szCs w:val="22"/>
                <w:lang w:val="sr-Latn-CS"/>
              </w:rPr>
              <w:t>Ukupna količina neopasnog industrijskog otpada (t)</w:t>
            </w:r>
          </w:p>
        </w:tc>
        <w:tc>
          <w:tcPr>
            <w:tcW w:w="1620" w:type="dxa"/>
            <w:tcBorders>
              <w:top w:val="single" w:sz="8" w:space="0" w:color="FFFFFF"/>
              <w:left w:val="single" w:sz="8" w:space="0" w:color="FFFFFF"/>
              <w:bottom w:val="single" w:sz="8" w:space="0" w:color="FFFFFF"/>
              <w:right w:val="single" w:sz="8" w:space="0" w:color="FFFFFF"/>
            </w:tcBorders>
            <w:shd w:val="clear" w:color="auto" w:fill="DEC1EB"/>
          </w:tcPr>
          <w:p w:rsidR="00622C85" w:rsidRPr="005A088A" w:rsidRDefault="00622C85" w:rsidP="004E680E">
            <w:pPr>
              <w:jc w:val="center"/>
              <w:rPr>
                <w:rFonts w:ascii="Constantia" w:hAnsi="Constantia"/>
                <w:b/>
                <w:color w:val="000000" w:themeColor="text1"/>
                <w:lang w:val="sr-Latn-CS"/>
              </w:rPr>
            </w:pPr>
            <w:r w:rsidRPr="005A088A">
              <w:rPr>
                <w:rFonts w:ascii="Constantia" w:hAnsi="Constantia" w:cs="Arial"/>
                <w:b/>
                <w:color w:val="000000" w:themeColor="text1"/>
                <w:szCs w:val="22"/>
              </w:rPr>
              <w:t>551 059,21</w:t>
            </w:r>
          </w:p>
        </w:tc>
        <w:tc>
          <w:tcPr>
            <w:tcW w:w="1620" w:type="dxa"/>
            <w:tcBorders>
              <w:top w:val="single" w:sz="8" w:space="0" w:color="FFFFFF"/>
              <w:left w:val="single" w:sz="8" w:space="0" w:color="FFFFFF"/>
              <w:bottom w:val="single" w:sz="8" w:space="0" w:color="FFFFFF"/>
              <w:right w:val="single" w:sz="8" w:space="0" w:color="FFFFFF"/>
            </w:tcBorders>
            <w:shd w:val="clear" w:color="auto" w:fill="DEC1EB"/>
          </w:tcPr>
          <w:p w:rsidR="00622C85" w:rsidRPr="005D26C4" w:rsidRDefault="00622C85" w:rsidP="004E680E">
            <w:pPr>
              <w:jc w:val="center"/>
              <w:rPr>
                <w:rFonts w:ascii="Constantia" w:hAnsi="Constantia"/>
                <w:b/>
                <w:color w:val="000000" w:themeColor="text1"/>
                <w:lang w:val="sr-Latn-CS"/>
              </w:rPr>
            </w:pPr>
            <w:r>
              <w:rPr>
                <w:rFonts w:ascii="Constantia" w:hAnsi="Constantia"/>
                <w:b/>
                <w:color w:val="000000" w:themeColor="text1"/>
                <w:szCs w:val="22"/>
                <w:lang w:val="sr-Latn-CS"/>
              </w:rPr>
              <w:t>453 791,52</w:t>
            </w:r>
          </w:p>
        </w:tc>
      </w:tr>
      <w:tr w:rsidR="00622C85" w:rsidRPr="005E4028" w:rsidTr="00622C85">
        <w:trPr>
          <w:trHeight w:val="502"/>
          <w:jc w:val="center"/>
        </w:trPr>
        <w:tc>
          <w:tcPr>
            <w:tcW w:w="4461" w:type="dxa"/>
            <w:tcBorders>
              <w:left w:val="single" w:sz="8" w:space="0" w:color="FFFFFF"/>
              <w:right w:val="single" w:sz="24" w:space="0" w:color="FFFFFF"/>
            </w:tcBorders>
            <w:shd w:val="clear" w:color="auto" w:fill="D6D6FF" w:themeFill="accent4" w:themeFillTint="66"/>
          </w:tcPr>
          <w:p w:rsidR="00622C85" w:rsidRPr="008D7182" w:rsidRDefault="00622C85" w:rsidP="004E680E">
            <w:pPr>
              <w:jc w:val="left"/>
              <w:rPr>
                <w:rFonts w:ascii="Constantia" w:hAnsi="Constantia"/>
                <w:bCs/>
                <w:color w:val="000000" w:themeColor="text1"/>
                <w:lang w:val="sr-Latn-CS"/>
              </w:rPr>
            </w:pPr>
            <w:r w:rsidRPr="008D7182">
              <w:rPr>
                <w:rFonts w:ascii="Constantia" w:hAnsi="Constantia"/>
                <w:bCs/>
                <w:color w:val="000000" w:themeColor="text1"/>
                <w:szCs w:val="22"/>
                <w:lang w:val="sr-Latn-CS"/>
              </w:rPr>
              <w:t>Udio pojedinih sektora (%):</w:t>
            </w:r>
          </w:p>
        </w:tc>
        <w:tc>
          <w:tcPr>
            <w:tcW w:w="1620" w:type="dxa"/>
            <w:shd w:val="clear" w:color="auto" w:fill="EFE0F5"/>
          </w:tcPr>
          <w:p w:rsidR="00622C85" w:rsidRPr="005D26C4" w:rsidRDefault="00622C85" w:rsidP="004E680E">
            <w:pPr>
              <w:jc w:val="center"/>
              <w:rPr>
                <w:rFonts w:ascii="Constantia" w:hAnsi="Constantia"/>
                <w:b/>
                <w:color w:val="000000" w:themeColor="text1"/>
                <w:lang w:val="sr-Latn-CS"/>
              </w:rPr>
            </w:pPr>
            <w:r>
              <w:rPr>
                <w:rFonts w:ascii="Constantia" w:hAnsi="Constantia"/>
                <w:b/>
                <w:color w:val="000000" w:themeColor="text1"/>
                <w:szCs w:val="22"/>
                <w:lang w:val="sr-Latn-CS"/>
              </w:rPr>
              <w:t xml:space="preserve">--- </w:t>
            </w:r>
          </w:p>
        </w:tc>
        <w:tc>
          <w:tcPr>
            <w:tcW w:w="1620" w:type="dxa"/>
            <w:shd w:val="clear" w:color="auto" w:fill="EFE0F5"/>
          </w:tcPr>
          <w:p w:rsidR="00622C85" w:rsidRPr="005D26C4" w:rsidRDefault="00622C85" w:rsidP="004E680E">
            <w:pPr>
              <w:jc w:val="center"/>
              <w:rPr>
                <w:rFonts w:ascii="Constantia" w:hAnsi="Constantia"/>
                <w:b/>
                <w:color w:val="000000" w:themeColor="text1"/>
                <w:lang w:val="sr-Latn-CS"/>
              </w:rPr>
            </w:pPr>
            <w:r>
              <w:rPr>
                <w:rFonts w:ascii="Constantia" w:hAnsi="Constantia"/>
                <w:b/>
                <w:color w:val="000000" w:themeColor="text1"/>
                <w:szCs w:val="22"/>
                <w:lang w:val="sr-Latn-CS"/>
              </w:rPr>
              <w:t>---</w:t>
            </w:r>
          </w:p>
        </w:tc>
      </w:tr>
      <w:tr w:rsidR="00622C85" w:rsidRPr="005E4028" w:rsidTr="00622C85">
        <w:trPr>
          <w:trHeight w:val="552"/>
          <w:jc w:val="center"/>
        </w:trPr>
        <w:tc>
          <w:tcPr>
            <w:tcW w:w="4461" w:type="dxa"/>
            <w:tcBorders>
              <w:left w:val="single" w:sz="8" w:space="0" w:color="FFFFFF"/>
              <w:right w:val="single" w:sz="24" w:space="0" w:color="FFFFFF"/>
            </w:tcBorders>
            <w:shd w:val="clear" w:color="auto" w:fill="BF83D7"/>
          </w:tcPr>
          <w:p w:rsidR="00622C85" w:rsidRPr="008D7182" w:rsidRDefault="00622C85" w:rsidP="004E680E">
            <w:pPr>
              <w:spacing w:after="0"/>
              <w:jc w:val="right"/>
              <w:rPr>
                <w:rFonts w:ascii="Constantia" w:hAnsi="Constantia"/>
                <w:bCs/>
                <w:color w:val="000000" w:themeColor="text1"/>
                <w:lang w:val="sr-Latn-CS"/>
              </w:rPr>
            </w:pPr>
            <w:r w:rsidRPr="008D7182">
              <w:rPr>
                <w:rFonts w:ascii="Constantia" w:hAnsi="Constantia"/>
                <w:bCs/>
                <w:color w:val="000000" w:themeColor="text1"/>
                <w:szCs w:val="22"/>
                <w:lang w:val="sr-Latn-CS"/>
              </w:rPr>
              <w:t>Rudarstvo</w:t>
            </w:r>
          </w:p>
        </w:tc>
        <w:tc>
          <w:tcPr>
            <w:tcW w:w="1620" w:type="dxa"/>
            <w:shd w:val="clear" w:color="auto" w:fill="DDBCEA"/>
          </w:tcPr>
          <w:p w:rsidR="00622C85" w:rsidRDefault="00622C85" w:rsidP="004E680E">
            <w:pPr>
              <w:jc w:val="center"/>
              <w:rPr>
                <w:rFonts w:ascii="Constantia" w:hAnsi="Constantia"/>
                <w:b/>
                <w:color w:val="000000" w:themeColor="text1"/>
                <w:lang w:val="sr-Latn-CS"/>
              </w:rPr>
            </w:pPr>
            <w:r>
              <w:rPr>
                <w:rFonts w:ascii="Constantia" w:hAnsi="Constantia"/>
                <w:b/>
                <w:color w:val="000000" w:themeColor="text1"/>
                <w:szCs w:val="22"/>
                <w:lang w:val="sr-Latn-CS"/>
              </w:rPr>
              <w:t>0,3</w:t>
            </w:r>
          </w:p>
        </w:tc>
        <w:tc>
          <w:tcPr>
            <w:tcW w:w="1620" w:type="dxa"/>
            <w:shd w:val="clear" w:color="auto" w:fill="DDBCEA"/>
          </w:tcPr>
          <w:p w:rsidR="00622C85" w:rsidRDefault="00622C85" w:rsidP="004E680E">
            <w:pPr>
              <w:jc w:val="center"/>
              <w:rPr>
                <w:rFonts w:ascii="Constantia" w:hAnsi="Constantia"/>
                <w:b/>
                <w:color w:val="000000" w:themeColor="text1"/>
                <w:lang w:val="sr-Latn-CS"/>
              </w:rPr>
            </w:pPr>
            <w:r>
              <w:rPr>
                <w:rFonts w:ascii="Constantia" w:hAnsi="Constantia"/>
                <w:b/>
                <w:color w:val="000000" w:themeColor="text1"/>
                <w:szCs w:val="22"/>
                <w:lang w:val="sr-Latn-CS"/>
              </w:rPr>
              <w:t>0,2</w:t>
            </w:r>
          </w:p>
        </w:tc>
      </w:tr>
      <w:tr w:rsidR="00622C85" w:rsidRPr="005E4028" w:rsidTr="00622C85">
        <w:trPr>
          <w:trHeight w:val="610"/>
          <w:jc w:val="center"/>
        </w:trPr>
        <w:tc>
          <w:tcPr>
            <w:tcW w:w="4461" w:type="dxa"/>
            <w:tcBorders>
              <w:left w:val="single" w:sz="8" w:space="0" w:color="FFFFFF"/>
              <w:right w:val="single" w:sz="24" w:space="0" w:color="FFFFFF"/>
            </w:tcBorders>
            <w:shd w:val="clear" w:color="auto" w:fill="EAEAFF" w:themeFill="accent4" w:themeFillTint="33"/>
          </w:tcPr>
          <w:p w:rsidR="00622C85" w:rsidRPr="008D7182" w:rsidRDefault="00622C85" w:rsidP="004E680E">
            <w:pPr>
              <w:spacing w:after="0"/>
              <w:jc w:val="right"/>
              <w:rPr>
                <w:rFonts w:ascii="Constantia" w:hAnsi="Constantia"/>
                <w:bCs/>
                <w:color w:val="000000" w:themeColor="text1"/>
                <w:lang w:val="sr-Latn-CS"/>
              </w:rPr>
            </w:pPr>
            <w:r w:rsidRPr="008D7182">
              <w:rPr>
                <w:rFonts w:ascii="Constantia" w:hAnsi="Constantia"/>
                <w:bCs/>
                <w:color w:val="000000" w:themeColor="text1"/>
                <w:szCs w:val="22"/>
                <w:lang w:val="sr-Latn-CS"/>
              </w:rPr>
              <w:t>Prerađivačka industrija</w:t>
            </w:r>
          </w:p>
        </w:tc>
        <w:tc>
          <w:tcPr>
            <w:tcW w:w="1620" w:type="dxa"/>
            <w:shd w:val="clear" w:color="auto" w:fill="EFE0F5"/>
          </w:tcPr>
          <w:p w:rsidR="00622C85" w:rsidRDefault="00622C85" w:rsidP="004E680E">
            <w:pPr>
              <w:jc w:val="center"/>
              <w:rPr>
                <w:rFonts w:ascii="Constantia" w:hAnsi="Constantia"/>
                <w:b/>
                <w:color w:val="000000" w:themeColor="text1"/>
                <w:lang w:val="sr-Latn-CS"/>
              </w:rPr>
            </w:pPr>
            <w:r>
              <w:rPr>
                <w:rFonts w:ascii="Constantia" w:hAnsi="Constantia"/>
                <w:b/>
                <w:color w:val="000000" w:themeColor="text1"/>
                <w:szCs w:val="22"/>
                <w:lang w:val="sr-Latn-CS"/>
              </w:rPr>
              <w:t>10,8</w:t>
            </w:r>
          </w:p>
        </w:tc>
        <w:tc>
          <w:tcPr>
            <w:tcW w:w="1620" w:type="dxa"/>
            <w:shd w:val="clear" w:color="auto" w:fill="EFE0F5"/>
          </w:tcPr>
          <w:p w:rsidR="00622C85" w:rsidRDefault="00622C85" w:rsidP="004E680E">
            <w:pPr>
              <w:jc w:val="center"/>
              <w:rPr>
                <w:rFonts w:ascii="Constantia" w:hAnsi="Constantia"/>
                <w:b/>
                <w:color w:val="000000" w:themeColor="text1"/>
                <w:lang w:val="sr-Latn-CS"/>
              </w:rPr>
            </w:pPr>
            <w:r>
              <w:rPr>
                <w:rFonts w:ascii="Constantia" w:hAnsi="Constantia"/>
                <w:b/>
                <w:color w:val="000000" w:themeColor="text1"/>
                <w:szCs w:val="22"/>
                <w:lang w:val="sr-Latn-CS"/>
              </w:rPr>
              <w:t>23</w:t>
            </w:r>
          </w:p>
        </w:tc>
      </w:tr>
      <w:tr w:rsidR="00622C85" w:rsidRPr="005E4028" w:rsidTr="00622C85">
        <w:trPr>
          <w:trHeight w:val="610"/>
          <w:jc w:val="center"/>
        </w:trPr>
        <w:tc>
          <w:tcPr>
            <w:tcW w:w="4461" w:type="dxa"/>
            <w:tcBorders>
              <w:left w:val="single" w:sz="8" w:space="0" w:color="FFFFFF"/>
              <w:right w:val="single" w:sz="24" w:space="0" w:color="FFFFFF"/>
            </w:tcBorders>
            <w:shd w:val="clear" w:color="auto" w:fill="BF83D7"/>
          </w:tcPr>
          <w:p w:rsidR="00622C85" w:rsidRPr="008D7182" w:rsidRDefault="00622C85" w:rsidP="004E680E">
            <w:pPr>
              <w:spacing w:after="0"/>
              <w:jc w:val="right"/>
              <w:rPr>
                <w:rFonts w:ascii="Constantia" w:hAnsi="Constantia"/>
                <w:bCs/>
                <w:color w:val="000000" w:themeColor="text1"/>
                <w:lang w:val="sr-Latn-CS"/>
              </w:rPr>
            </w:pPr>
            <w:r w:rsidRPr="008D7182">
              <w:rPr>
                <w:rFonts w:ascii="Constantia" w:hAnsi="Constantia"/>
                <w:lang w:val="sr-Latn-CS"/>
              </w:rPr>
              <w:t>Snabdijevanje električnom energijom, gasom i parom</w:t>
            </w:r>
          </w:p>
        </w:tc>
        <w:tc>
          <w:tcPr>
            <w:tcW w:w="1620" w:type="dxa"/>
            <w:shd w:val="clear" w:color="auto" w:fill="DDBCEA"/>
          </w:tcPr>
          <w:p w:rsidR="00622C85" w:rsidRDefault="00622C85" w:rsidP="004E680E">
            <w:pPr>
              <w:jc w:val="center"/>
              <w:rPr>
                <w:rFonts w:ascii="Constantia" w:hAnsi="Constantia"/>
                <w:b/>
                <w:color w:val="000000" w:themeColor="text1"/>
                <w:lang w:val="sr-Latn-CS"/>
              </w:rPr>
            </w:pPr>
            <w:r>
              <w:rPr>
                <w:rFonts w:ascii="Constantia" w:hAnsi="Constantia"/>
                <w:b/>
                <w:color w:val="000000" w:themeColor="text1"/>
                <w:szCs w:val="22"/>
                <w:lang w:val="sr-Latn-CS"/>
              </w:rPr>
              <w:t>88,9</w:t>
            </w:r>
          </w:p>
        </w:tc>
        <w:tc>
          <w:tcPr>
            <w:tcW w:w="1620" w:type="dxa"/>
            <w:shd w:val="clear" w:color="auto" w:fill="DDBCEA"/>
          </w:tcPr>
          <w:p w:rsidR="00622C85" w:rsidRDefault="00622C85" w:rsidP="004E680E">
            <w:pPr>
              <w:jc w:val="center"/>
              <w:rPr>
                <w:rFonts w:ascii="Constantia" w:hAnsi="Constantia"/>
                <w:b/>
                <w:color w:val="000000" w:themeColor="text1"/>
                <w:lang w:val="sr-Latn-CS"/>
              </w:rPr>
            </w:pPr>
            <w:r>
              <w:rPr>
                <w:rFonts w:ascii="Constantia" w:hAnsi="Constantia"/>
                <w:b/>
                <w:color w:val="000000" w:themeColor="text1"/>
                <w:szCs w:val="22"/>
                <w:lang w:val="sr-Latn-CS"/>
              </w:rPr>
              <w:t>76,8</w:t>
            </w:r>
          </w:p>
        </w:tc>
      </w:tr>
    </w:tbl>
    <w:p w:rsidR="00E7780B" w:rsidRDefault="00B92E6F" w:rsidP="00E7780B">
      <w:pPr>
        <w:pStyle w:val="Tabele"/>
        <w:spacing w:before="60" w:after="240"/>
        <w:ind w:left="720"/>
      </w:pPr>
      <w:r>
        <w:rPr>
          <w:rFonts w:ascii="Constantia" w:hAnsi="Constantia"/>
          <w:sz w:val="22"/>
          <w:szCs w:val="22"/>
        </w:rPr>
        <w:t xml:space="preserve">  </w:t>
      </w:r>
      <w:r w:rsidR="00E7780B">
        <w:rPr>
          <w:rFonts w:ascii="Constantia" w:hAnsi="Constantia"/>
          <w:sz w:val="22"/>
          <w:szCs w:val="22"/>
        </w:rPr>
        <w:t>Podaci o otpadu generisanom u industriji za period 2011-201</w:t>
      </w:r>
      <w:r w:rsidR="002B62C1">
        <w:rPr>
          <w:rFonts w:ascii="Constantia" w:hAnsi="Constantia"/>
          <w:sz w:val="22"/>
          <w:szCs w:val="22"/>
        </w:rPr>
        <w:t>2</w:t>
      </w:r>
      <w:r w:rsidR="00E7780B">
        <w:rPr>
          <w:rFonts w:ascii="Constantia" w:hAnsi="Constantia"/>
          <w:sz w:val="22"/>
          <w:szCs w:val="22"/>
        </w:rPr>
        <w:t xml:space="preserve"> </w:t>
      </w:r>
    </w:p>
    <w:p w:rsidR="003B5760" w:rsidRPr="007D5679" w:rsidRDefault="00E7780B" w:rsidP="008D7182">
      <w:pPr>
        <w:pStyle w:val="Slika"/>
        <w:numPr>
          <w:ilvl w:val="0"/>
          <w:numId w:val="0"/>
        </w:numPr>
        <w:spacing w:before="240"/>
        <w:jc w:val="both"/>
        <w:rPr>
          <w:rFonts w:ascii="Constantia" w:hAnsi="Constantia"/>
          <w:i w:val="0"/>
          <w:lang w:val="sr-Latn-CS"/>
        </w:rPr>
      </w:pPr>
      <w:r>
        <w:rPr>
          <w:rFonts w:ascii="Constantia" w:hAnsi="Constantia"/>
          <w:i w:val="0"/>
          <w:lang w:val="sr-Latn-CS"/>
        </w:rPr>
        <w:lastRenderedPageBreak/>
        <w:t xml:space="preserve">Prema </w:t>
      </w:r>
      <w:r w:rsidR="008D7182">
        <w:rPr>
          <w:rFonts w:ascii="Constantia" w:hAnsi="Constantia"/>
          <w:i w:val="0"/>
          <w:lang w:val="sr-Latn-CS"/>
        </w:rPr>
        <w:t xml:space="preserve">statističkim </w:t>
      </w:r>
      <w:r>
        <w:rPr>
          <w:rFonts w:ascii="Constantia" w:hAnsi="Constantia"/>
          <w:i w:val="0"/>
          <w:lang w:val="sr-Latn-CS"/>
        </w:rPr>
        <w:t xml:space="preserve">podacima, </w:t>
      </w:r>
      <w:r w:rsidR="00C81876">
        <w:rPr>
          <w:rFonts w:ascii="Constantia" w:hAnsi="Constantia"/>
          <w:i w:val="0"/>
          <w:lang w:val="sr-Latn-CS"/>
        </w:rPr>
        <w:t>u periodu 2011-2012</w:t>
      </w:r>
      <w:r w:rsidRPr="007D5679">
        <w:rPr>
          <w:rFonts w:ascii="Constantia" w:hAnsi="Constantia"/>
          <w:i w:val="0"/>
          <w:lang w:val="sr-Latn-CS"/>
        </w:rPr>
        <w:t xml:space="preserve">, </w:t>
      </w:r>
      <w:r w:rsidR="00B84FD1">
        <w:rPr>
          <w:rFonts w:ascii="Constantia" w:hAnsi="Constantia"/>
          <w:i w:val="0"/>
          <w:lang w:val="sr-Latn-CS"/>
        </w:rPr>
        <w:t>evidentira</w:t>
      </w:r>
      <w:r w:rsidR="00122158">
        <w:rPr>
          <w:rFonts w:ascii="Constantia" w:hAnsi="Constantia"/>
          <w:i w:val="0"/>
          <w:lang w:val="sr-Latn-CS"/>
        </w:rPr>
        <w:t>no je</w:t>
      </w:r>
      <w:r w:rsidR="00B84FD1">
        <w:rPr>
          <w:rFonts w:ascii="Constantia" w:hAnsi="Constantia"/>
          <w:i w:val="0"/>
          <w:lang w:val="sr-Latn-CS"/>
        </w:rPr>
        <w:t xml:space="preserve"> </w:t>
      </w:r>
      <w:r w:rsidR="00122158">
        <w:rPr>
          <w:rFonts w:ascii="Constantia" w:hAnsi="Constantia"/>
          <w:i w:val="0"/>
          <w:lang w:val="sr-Latn-CS"/>
        </w:rPr>
        <w:t>smanjenje</w:t>
      </w:r>
      <w:r w:rsidR="00B84FD1">
        <w:rPr>
          <w:rFonts w:ascii="Constantia" w:hAnsi="Constantia"/>
          <w:i w:val="0"/>
          <w:lang w:val="sr-Latn-CS"/>
        </w:rPr>
        <w:t xml:space="preserve"> količina </w:t>
      </w:r>
      <w:r>
        <w:rPr>
          <w:rFonts w:ascii="Constantia" w:hAnsi="Constantia"/>
          <w:i w:val="0"/>
          <w:lang w:val="sr-Latn-CS"/>
        </w:rPr>
        <w:t>otpada generisanog u industriji</w:t>
      </w:r>
      <w:r w:rsidR="00B84FD1">
        <w:rPr>
          <w:rFonts w:ascii="Constantia" w:hAnsi="Constantia"/>
          <w:i w:val="0"/>
          <w:lang w:val="sr-Latn-CS"/>
        </w:rPr>
        <w:t xml:space="preserve"> što svakako odgovara i smanjenju industrijske proizvodnje u našoj zemlji.</w:t>
      </w:r>
      <w:r w:rsidR="00C81876">
        <w:rPr>
          <w:rFonts w:ascii="Constantia" w:hAnsi="Constantia"/>
          <w:i w:val="0"/>
          <w:lang w:val="sr-Latn-CS"/>
        </w:rPr>
        <w:t xml:space="preserve"> </w:t>
      </w:r>
      <w:r w:rsidR="00B84FD1">
        <w:rPr>
          <w:rFonts w:ascii="Constantia" w:hAnsi="Constantia"/>
          <w:i w:val="0"/>
          <w:lang w:val="sr-Latn-CS"/>
        </w:rPr>
        <w:t xml:space="preserve">Najveći udio </w:t>
      </w:r>
      <w:r w:rsidR="00C81876">
        <w:rPr>
          <w:rFonts w:ascii="Constantia" w:hAnsi="Constantia"/>
          <w:i w:val="0"/>
          <w:lang w:val="sr-Latn-CS"/>
        </w:rPr>
        <w:t xml:space="preserve">u tim količinama </w:t>
      </w:r>
      <w:r w:rsidRPr="007D5679">
        <w:rPr>
          <w:rFonts w:ascii="Constantia" w:hAnsi="Constantia"/>
          <w:i w:val="0"/>
          <w:lang w:val="sr-Latn-CS"/>
        </w:rPr>
        <w:t>pripada</w:t>
      </w:r>
      <w:r>
        <w:rPr>
          <w:rFonts w:ascii="Constantia" w:hAnsi="Constantia"/>
          <w:i w:val="0"/>
          <w:lang w:val="sr-Latn-CS"/>
        </w:rPr>
        <w:t xml:space="preserve"> Sektoru </w:t>
      </w:r>
      <w:r w:rsidRPr="006C3F86">
        <w:rPr>
          <w:rFonts w:ascii="Constantia" w:hAnsi="Constantia"/>
          <w:i w:val="0"/>
          <w:lang w:val="sr-Latn-CS"/>
        </w:rPr>
        <w:t>snabdijevanja električnom energijom, gasom i parom</w:t>
      </w:r>
      <w:r>
        <w:rPr>
          <w:rFonts w:ascii="Constantia" w:hAnsi="Constantia"/>
          <w:i w:val="0"/>
          <w:lang w:val="sr-Latn-CS"/>
        </w:rPr>
        <w:t xml:space="preserve"> </w:t>
      </w:r>
      <w:r w:rsidRPr="007D5679">
        <w:rPr>
          <w:rFonts w:ascii="Constantia" w:hAnsi="Constantia"/>
          <w:i w:val="0"/>
          <w:lang w:val="sr-Latn-CS"/>
        </w:rPr>
        <w:t>(</w:t>
      </w:r>
      <w:r w:rsidR="00B76710">
        <w:rPr>
          <w:rFonts w:ascii="Constantia" w:hAnsi="Constantia"/>
          <w:i w:val="0"/>
          <w:lang w:val="sr-Latn-CS"/>
        </w:rPr>
        <w:t>76,8</w:t>
      </w:r>
      <w:r w:rsidR="002E632A">
        <w:rPr>
          <w:rFonts w:ascii="Constantia" w:hAnsi="Constantia"/>
          <w:i w:val="0"/>
          <w:lang w:val="sr-Latn-CS"/>
        </w:rPr>
        <w:t>%</w:t>
      </w:r>
      <w:r w:rsidR="002E632A" w:rsidRPr="002E632A">
        <w:rPr>
          <w:rFonts w:ascii="Constantia" w:hAnsi="Constantia"/>
          <w:i w:val="0"/>
          <w:lang w:val="sr-Latn-CS"/>
        </w:rPr>
        <w:t xml:space="preserve"> </w:t>
      </w:r>
      <w:r w:rsidR="002E632A">
        <w:rPr>
          <w:rFonts w:ascii="Constantia" w:hAnsi="Constantia"/>
          <w:i w:val="0"/>
          <w:lang w:val="sr-Latn-CS"/>
        </w:rPr>
        <w:t>u 2012. godini</w:t>
      </w:r>
      <w:r w:rsidRPr="007D5679">
        <w:rPr>
          <w:rFonts w:ascii="Constantia" w:hAnsi="Constantia"/>
          <w:i w:val="0"/>
          <w:lang w:val="sr-Latn-CS"/>
        </w:rPr>
        <w:t>)</w:t>
      </w:r>
      <w:r>
        <w:rPr>
          <w:rFonts w:ascii="Constantia" w:hAnsi="Constantia"/>
          <w:i w:val="0"/>
          <w:lang w:val="sr-Latn-CS"/>
        </w:rPr>
        <w:t>. Interesantno je primijetiti i to da najveći udi</w:t>
      </w:r>
      <w:r w:rsidR="00807794">
        <w:rPr>
          <w:rFonts w:ascii="Constantia" w:hAnsi="Constantia"/>
          <w:i w:val="0"/>
          <w:lang w:val="sr-Latn-CS"/>
        </w:rPr>
        <w:t>o u tim količinama pripada</w:t>
      </w:r>
      <w:r>
        <w:rPr>
          <w:rFonts w:ascii="Constantia" w:hAnsi="Constantia"/>
          <w:i w:val="0"/>
          <w:lang w:val="sr-Latn-CS"/>
        </w:rPr>
        <w:t xml:space="preserve"> </w:t>
      </w:r>
      <w:r w:rsidRPr="007D5679">
        <w:rPr>
          <w:rFonts w:ascii="Constantia" w:hAnsi="Constantia"/>
          <w:i w:val="0"/>
          <w:lang w:val="sr-Latn-CS"/>
        </w:rPr>
        <w:t>(neopasn</w:t>
      </w:r>
      <w:r w:rsidR="00807794">
        <w:rPr>
          <w:rFonts w:ascii="Constantia" w:hAnsi="Constantia"/>
          <w:i w:val="0"/>
          <w:lang w:val="sr-Latn-CS"/>
        </w:rPr>
        <w:t>om</w:t>
      </w:r>
      <w:r w:rsidRPr="007D5679">
        <w:rPr>
          <w:rFonts w:ascii="Constantia" w:hAnsi="Constantia"/>
          <w:i w:val="0"/>
          <w:lang w:val="sr-Latn-CS"/>
        </w:rPr>
        <w:t>) otpad</w:t>
      </w:r>
      <w:r w:rsidR="00807794">
        <w:rPr>
          <w:rFonts w:ascii="Constantia" w:hAnsi="Constantia"/>
          <w:i w:val="0"/>
          <w:lang w:val="sr-Latn-CS"/>
        </w:rPr>
        <w:t>u</w:t>
      </w:r>
      <w:r w:rsidRPr="007D5679">
        <w:rPr>
          <w:rFonts w:ascii="Constantia" w:hAnsi="Constantia"/>
          <w:i w:val="0"/>
          <w:lang w:val="sr-Latn-CS"/>
        </w:rPr>
        <w:t xml:space="preserve"> iz termičkih procesa</w:t>
      </w:r>
      <w:r w:rsidR="00DE6160">
        <w:rPr>
          <w:rStyle w:val="FootnoteReference"/>
          <w:rFonts w:ascii="Constantia" w:hAnsi="Constantia"/>
          <w:i w:val="0"/>
          <w:lang w:val="sr-Latn-CS"/>
        </w:rPr>
        <w:footnoteReference w:id="11"/>
      </w:r>
      <w:r w:rsidRPr="007D5679">
        <w:rPr>
          <w:rFonts w:ascii="Constantia" w:hAnsi="Constantia"/>
          <w:i w:val="0"/>
          <w:lang w:val="sr-Latn-CS"/>
        </w:rPr>
        <w:t xml:space="preserve">, koji se </w:t>
      </w:r>
      <w:r w:rsidRPr="006A4582">
        <w:rPr>
          <w:rFonts w:ascii="Constantia" w:hAnsi="Constantia"/>
          <w:i w:val="0"/>
          <w:lang w:val="sr-Latn-CS"/>
        </w:rPr>
        <w:t>najviše povezuje s radom TE Pljevlja.</w:t>
      </w:r>
      <w:r>
        <w:rPr>
          <w:rFonts w:ascii="Constantia" w:hAnsi="Constantia"/>
          <w:i w:val="0"/>
          <w:lang w:val="sr-Latn-CS"/>
        </w:rPr>
        <w:t xml:space="preserve"> </w:t>
      </w:r>
      <w:r w:rsidR="008875C0">
        <w:rPr>
          <w:rFonts w:ascii="Constantia" w:hAnsi="Constantia"/>
          <w:i w:val="0"/>
          <w:lang w:val="sr-Latn-CS"/>
        </w:rPr>
        <w:t xml:space="preserve">Sa </w:t>
      </w:r>
      <w:r w:rsidR="007A0AFF">
        <w:rPr>
          <w:rFonts w:ascii="Constantia" w:hAnsi="Constantia"/>
          <w:i w:val="0"/>
          <w:lang w:val="sr-Latn-CS"/>
        </w:rPr>
        <w:t>475 440</w:t>
      </w:r>
      <w:r w:rsidR="008875C0">
        <w:rPr>
          <w:rFonts w:ascii="Constantia" w:hAnsi="Constantia"/>
          <w:i w:val="0"/>
          <w:lang w:val="sr-Latn-CS"/>
        </w:rPr>
        <w:t xml:space="preserve"> tona u</w:t>
      </w:r>
      <w:r>
        <w:rPr>
          <w:rFonts w:ascii="Constantia" w:hAnsi="Constantia"/>
          <w:i w:val="0"/>
          <w:lang w:val="sr-Latn-CS"/>
        </w:rPr>
        <w:t xml:space="preserve"> 201</w:t>
      </w:r>
      <w:r w:rsidR="008875C0">
        <w:rPr>
          <w:rFonts w:ascii="Constantia" w:hAnsi="Constantia"/>
          <w:i w:val="0"/>
          <w:lang w:val="sr-Latn-CS"/>
        </w:rPr>
        <w:t>1</w:t>
      </w:r>
      <w:r>
        <w:rPr>
          <w:rFonts w:ascii="Constantia" w:hAnsi="Constantia"/>
          <w:i w:val="0"/>
          <w:lang w:val="sr-Latn-CS"/>
        </w:rPr>
        <w:t>. godini taj udio</w:t>
      </w:r>
      <w:r w:rsidR="008875C0">
        <w:rPr>
          <w:rFonts w:ascii="Constantia" w:hAnsi="Constantia"/>
          <w:i w:val="0"/>
          <w:lang w:val="sr-Latn-CS"/>
        </w:rPr>
        <w:t xml:space="preserve"> je</w:t>
      </w:r>
      <w:r>
        <w:rPr>
          <w:rFonts w:ascii="Constantia" w:hAnsi="Constantia"/>
          <w:i w:val="0"/>
          <w:lang w:val="sr-Latn-CS"/>
        </w:rPr>
        <w:t xml:space="preserve"> iznosi</w:t>
      </w:r>
      <w:r w:rsidR="002F1C18">
        <w:rPr>
          <w:rFonts w:ascii="Constantia" w:hAnsi="Constantia"/>
          <w:i w:val="0"/>
          <w:lang w:val="sr-Latn-CS"/>
        </w:rPr>
        <w:t>o</w:t>
      </w:r>
      <w:r w:rsidR="008875C0">
        <w:rPr>
          <w:rFonts w:ascii="Constantia" w:hAnsi="Constantia"/>
          <w:i w:val="0"/>
          <w:lang w:val="sr-Latn-CS"/>
        </w:rPr>
        <w:t xml:space="preserve"> </w:t>
      </w:r>
      <w:r w:rsidR="007A0AFF">
        <w:rPr>
          <w:rFonts w:ascii="Constantia" w:hAnsi="Constantia"/>
          <w:i w:val="0"/>
          <w:lang w:val="sr-Latn-CS"/>
        </w:rPr>
        <w:t>čak 85</w:t>
      </w:r>
      <w:r w:rsidR="008875C0">
        <w:rPr>
          <w:rFonts w:ascii="Constantia" w:hAnsi="Constantia"/>
          <w:i w:val="0"/>
          <w:lang w:val="sr-Latn-CS"/>
        </w:rPr>
        <w:t>% od ukupne količine</w:t>
      </w:r>
      <w:r w:rsidR="00C173FA" w:rsidRPr="00C173FA">
        <w:rPr>
          <w:rFonts w:ascii="Constantia" w:hAnsi="Constantia"/>
          <w:i w:val="0"/>
          <w:lang w:val="sr-Latn-CS"/>
        </w:rPr>
        <w:t xml:space="preserve"> </w:t>
      </w:r>
      <w:r w:rsidR="00C173FA">
        <w:rPr>
          <w:rFonts w:ascii="Constantia" w:hAnsi="Constantia"/>
          <w:i w:val="0"/>
          <w:lang w:val="sr-Latn-CS"/>
        </w:rPr>
        <w:t>generisanog industrijskog otpada u Crnoj Gori</w:t>
      </w:r>
      <w:r w:rsidR="008875C0">
        <w:rPr>
          <w:rFonts w:ascii="Constantia" w:hAnsi="Constantia"/>
          <w:i w:val="0"/>
          <w:lang w:val="sr-Latn-CS"/>
        </w:rPr>
        <w:t>,</w:t>
      </w:r>
      <w:r w:rsidR="00C173FA">
        <w:rPr>
          <w:rFonts w:ascii="Constantia" w:hAnsi="Constantia"/>
          <w:i w:val="0"/>
          <w:lang w:val="sr-Latn-CS"/>
        </w:rPr>
        <w:t xml:space="preserve"> dok je </w:t>
      </w:r>
      <w:r w:rsidR="008875C0">
        <w:rPr>
          <w:rFonts w:ascii="Constantia" w:hAnsi="Constantia"/>
          <w:i w:val="0"/>
          <w:lang w:val="sr-Latn-CS"/>
        </w:rPr>
        <w:t>u 2012. godini</w:t>
      </w:r>
      <w:r w:rsidR="002F1C18">
        <w:rPr>
          <w:rFonts w:ascii="Constantia" w:hAnsi="Constantia"/>
          <w:i w:val="0"/>
          <w:lang w:val="sr-Latn-CS"/>
        </w:rPr>
        <w:t xml:space="preserve"> </w:t>
      </w:r>
      <w:r w:rsidR="00C173FA">
        <w:rPr>
          <w:rFonts w:ascii="Constantia" w:hAnsi="Constantia"/>
          <w:i w:val="0"/>
          <w:lang w:val="sr-Latn-CS"/>
        </w:rPr>
        <w:t xml:space="preserve">sa 350 050 tona taj udio </w:t>
      </w:r>
      <w:r w:rsidR="00F05858">
        <w:rPr>
          <w:rFonts w:ascii="Constantia" w:hAnsi="Constantia"/>
          <w:i w:val="0"/>
          <w:lang w:val="sr-Latn-CS"/>
        </w:rPr>
        <w:t>bi</w:t>
      </w:r>
      <w:r w:rsidR="00C173FA">
        <w:rPr>
          <w:rFonts w:ascii="Constantia" w:hAnsi="Constantia"/>
          <w:i w:val="0"/>
          <w:lang w:val="sr-Latn-CS"/>
        </w:rPr>
        <w:t>o 76,5</w:t>
      </w:r>
      <w:r w:rsidR="003B7B9B">
        <w:rPr>
          <w:rFonts w:ascii="Constantia" w:hAnsi="Constantia"/>
          <w:i w:val="0"/>
          <w:lang w:val="sr-Latn-CS"/>
        </w:rPr>
        <w:t>%</w:t>
      </w:r>
      <w:r>
        <w:rPr>
          <w:rFonts w:ascii="Constantia" w:hAnsi="Constantia"/>
          <w:i w:val="0"/>
          <w:lang w:val="sr-Latn-CS"/>
        </w:rPr>
        <w:t xml:space="preserve">. </w:t>
      </w:r>
      <w:r w:rsidR="003B7B9B">
        <w:rPr>
          <w:rFonts w:ascii="Constantia" w:hAnsi="Constantia"/>
          <w:i w:val="0"/>
          <w:lang w:val="sr-Latn-CS"/>
        </w:rPr>
        <w:t xml:space="preserve">Paralelno s tim, uočava se povećanje </w:t>
      </w:r>
      <w:r w:rsidR="00CD0127">
        <w:rPr>
          <w:rFonts w:ascii="Constantia" w:hAnsi="Constantia"/>
          <w:i w:val="0"/>
          <w:lang w:val="sr-Latn-CS"/>
        </w:rPr>
        <w:t xml:space="preserve">količina </w:t>
      </w:r>
      <w:r w:rsidR="003B7B9B">
        <w:rPr>
          <w:rFonts w:ascii="Constantia" w:hAnsi="Constantia"/>
          <w:i w:val="0"/>
          <w:lang w:val="sr-Latn-CS"/>
        </w:rPr>
        <w:t>proizvedenog otpada u sektoru prerađivačke industrije</w:t>
      </w:r>
      <w:r w:rsidR="00122158">
        <w:rPr>
          <w:rFonts w:ascii="Constantia" w:hAnsi="Constantia"/>
          <w:i w:val="0"/>
          <w:lang w:val="sr-Latn-CS"/>
        </w:rPr>
        <w:t>,</w:t>
      </w:r>
      <w:r w:rsidR="00CD0127">
        <w:rPr>
          <w:rFonts w:ascii="Constantia" w:hAnsi="Constantia"/>
          <w:i w:val="0"/>
          <w:lang w:val="sr-Latn-CS"/>
        </w:rPr>
        <w:t xml:space="preserve"> čiji je udio u ukupnim količinama industri</w:t>
      </w:r>
      <w:r w:rsidR="00122158">
        <w:rPr>
          <w:rFonts w:ascii="Constantia" w:hAnsi="Constantia"/>
          <w:i w:val="0"/>
          <w:lang w:val="sr-Latn-CS"/>
        </w:rPr>
        <w:t>j</w:t>
      </w:r>
      <w:r w:rsidR="00CD0127">
        <w:rPr>
          <w:rFonts w:ascii="Constantia" w:hAnsi="Constantia"/>
          <w:i w:val="0"/>
          <w:lang w:val="sr-Latn-CS"/>
        </w:rPr>
        <w:t>skog otpada sa 10,8% u 2011. godini porastao na 23% u 2012. godini</w:t>
      </w:r>
      <w:r w:rsidR="003B7B9B">
        <w:rPr>
          <w:rFonts w:ascii="Constantia" w:hAnsi="Constantia"/>
          <w:i w:val="0"/>
          <w:lang w:val="sr-Latn-CS"/>
        </w:rPr>
        <w:t>.</w:t>
      </w:r>
      <w:r w:rsidR="002F4B21">
        <w:rPr>
          <w:rFonts w:ascii="Constantia" w:hAnsi="Constantia"/>
          <w:i w:val="0"/>
          <w:lang w:val="sr-Latn-CS"/>
        </w:rPr>
        <w:t xml:space="preserve"> </w:t>
      </w:r>
    </w:p>
    <w:p w:rsidR="00E7780B" w:rsidRPr="00200A86" w:rsidRDefault="00E7780B" w:rsidP="007C67C5">
      <w:pPr>
        <w:rPr>
          <w:rFonts w:ascii="Constantia" w:hAnsi="Constantia"/>
          <w:lang w:val="sr-Latn-CS"/>
        </w:rPr>
      </w:pPr>
      <w:r>
        <w:rPr>
          <w:rFonts w:ascii="Constantia" w:hAnsi="Constantia"/>
          <w:lang w:val="sr-Latn-CS"/>
        </w:rPr>
        <w:t xml:space="preserve">Na nacionalnom nivou, i </w:t>
      </w:r>
      <w:r w:rsidRPr="00897A69">
        <w:rPr>
          <w:rFonts w:ascii="Constantia" w:hAnsi="Constantia"/>
          <w:lang w:val="sr-Latn-CS"/>
        </w:rPr>
        <w:t>dalje postoji potreba za rješavanjem problema zbrinjavanja otpada nastalog tokom ekspanzivne proizvodnje velikih industrijskih sistema kao što su Kombinat aluminijuma Podgorica, Željezara Nikšić, T</w:t>
      </w:r>
      <w:r w:rsidR="008D7182">
        <w:rPr>
          <w:rFonts w:ascii="Constantia" w:hAnsi="Constantia"/>
          <w:lang w:val="sr-Latn-CS"/>
        </w:rPr>
        <w:t>E</w:t>
      </w:r>
      <w:r w:rsidRPr="00897A69">
        <w:rPr>
          <w:rFonts w:ascii="Constantia" w:hAnsi="Constantia"/>
          <w:lang w:val="sr-Latn-CS"/>
        </w:rPr>
        <w:t xml:space="preserve"> Pljevlja i drugi, u drugoj polovini prošlog vijeka, kao i otpada nastalog u malim i srednjim preduzećima. </w:t>
      </w:r>
    </w:p>
    <w:p w:rsidR="00E7780B" w:rsidRDefault="00E7780B" w:rsidP="007C67C5">
      <w:pPr>
        <w:rPr>
          <w:rFonts w:ascii="Constantia" w:hAnsi="Constantia"/>
          <w:lang w:val="sr-Latn-CS"/>
        </w:rPr>
      </w:pPr>
      <w:r w:rsidRPr="00897A69">
        <w:rPr>
          <w:rFonts w:ascii="Constantia" w:hAnsi="Constantia"/>
          <w:lang w:val="sr-Latn-CS"/>
        </w:rPr>
        <w:t>U Crnoj Gori</w:t>
      </w:r>
      <w:r>
        <w:rPr>
          <w:rFonts w:ascii="Constantia" w:hAnsi="Constantia"/>
          <w:lang w:val="sr-Latn-CS"/>
        </w:rPr>
        <w:t>, još uvijek</w:t>
      </w:r>
      <w:r w:rsidRPr="00897A69">
        <w:rPr>
          <w:rFonts w:ascii="Constantia" w:hAnsi="Constantia"/>
          <w:lang w:val="sr-Latn-CS"/>
        </w:rPr>
        <w:t xml:space="preserve"> ne postoji infrastruktura za odlaganje opasnog otpada, koja je tehnički i tehnološki riješena u skladu sa evropskim standardima. Iz tog razloga, u skladu sa Zakon</w:t>
      </w:r>
      <w:r>
        <w:rPr>
          <w:rFonts w:ascii="Constantia" w:hAnsi="Constantia"/>
          <w:lang w:val="sr-Latn-CS"/>
        </w:rPr>
        <w:t>om</w:t>
      </w:r>
      <w:r w:rsidRPr="00897A69">
        <w:rPr>
          <w:rFonts w:ascii="Constantia" w:hAnsi="Constantia"/>
          <w:lang w:val="sr-Latn-CS"/>
        </w:rPr>
        <w:t xml:space="preserve"> o upravljanju otpadom („Sl. list CG“, br. 64/11) i </w:t>
      </w:r>
      <w:r>
        <w:rPr>
          <w:rFonts w:ascii="Constantia" w:hAnsi="Constantia"/>
          <w:lang w:val="sr-Latn-CS"/>
        </w:rPr>
        <w:t xml:space="preserve">zahtjevima </w:t>
      </w:r>
      <w:r w:rsidRPr="00897A69">
        <w:rPr>
          <w:rFonts w:ascii="Constantia" w:hAnsi="Constantia"/>
          <w:lang w:val="sr-Latn-CS"/>
        </w:rPr>
        <w:t>Bazelsk</w:t>
      </w:r>
      <w:r>
        <w:rPr>
          <w:rFonts w:ascii="Constantia" w:hAnsi="Constantia"/>
          <w:lang w:val="sr-Latn-CS"/>
        </w:rPr>
        <w:t>e</w:t>
      </w:r>
      <w:r w:rsidRPr="00897A69">
        <w:rPr>
          <w:rFonts w:ascii="Constantia" w:hAnsi="Constantia"/>
          <w:lang w:val="sr-Latn-CS"/>
        </w:rPr>
        <w:t xml:space="preserve"> konvencij</w:t>
      </w:r>
      <w:r>
        <w:rPr>
          <w:rFonts w:ascii="Constantia" w:hAnsi="Constantia"/>
          <w:lang w:val="sr-Latn-CS"/>
        </w:rPr>
        <w:t>e</w:t>
      </w:r>
      <w:r w:rsidRPr="00897A69">
        <w:rPr>
          <w:rFonts w:ascii="Constantia" w:hAnsi="Constantia"/>
          <w:lang w:val="sr-Latn-CS"/>
        </w:rPr>
        <w:t xml:space="preserve"> o kontroli prekograničnog kretanja opasnog otpada i njegovog odlaganja, a na osnovu dozvola koje izdaje Agencija za zaštitu životne sredine, opasni otpad se izvozi iz Crne Gore. </w:t>
      </w:r>
    </w:p>
    <w:p w:rsidR="00E7780B" w:rsidRPr="008D05B8" w:rsidRDefault="00E7780B" w:rsidP="007C67C5">
      <w:pPr>
        <w:rPr>
          <w:rFonts w:ascii="Constantia" w:hAnsi="Constantia"/>
          <w:lang w:val="sr-Latn-CS"/>
        </w:rPr>
      </w:pPr>
      <w:r w:rsidRPr="00CA382A">
        <w:rPr>
          <w:rFonts w:ascii="Constantia" w:hAnsi="Constantia"/>
          <w:lang w:val="sr-Latn-CS"/>
        </w:rPr>
        <w:t>U 201</w:t>
      </w:r>
      <w:r>
        <w:rPr>
          <w:rFonts w:ascii="Constantia" w:hAnsi="Constantia"/>
          <w:lang w:val="sr-Latn-CS"/>
        </w:rPr>
        <w:t>3</w:t>
      </w:r>
      <w:r w:rsidRPr="00CA382A">
        <w:rPr>
          <w:rFonts w:ascii="Constantia" w:hAnsi="Constantia"/>
          <w:lang w:val="sr-Latn-CS"/>
        </w:rPr>
        <w:t xml:space="preserve">. godini, Agencija je izdala </w:t>
      </w:r>
      <w:r w:rsidRPr="00BD7C63">
        <w:rPr>
          <w:rFonts w:ascii="Constantia" w:hAnsi="Constantia"/>
          <w:lang w:val="sr-Latn-CS"/>
        </w:rPr>
        <w:t xml:space="preserve">5 </w:t>
      </w:r>
      <w:r w:rsidRPr="00CA382A">
        <w:rPr>
          <w:rFonts w:ascii="Constantia" w:hAnsi="Constantia"/>
          <w:lang w:val="sr-Latn-CS"/>
        </w:rPr>
        <w:t>dozvola za izvoz opasnog otpada. Iste se odnose na izvoz</w:t>
      </w:r>
      <w:r>
        <w:rPr>
          <w:rFonts w:ascii="Constantia" w:hAnsi="Constantia"/>
          <w:color w:val="FF0000"/>
          <w:lang w:val="sr-Latn-CS"/>
        </w:rPr>
        <w:t xml:space="preserve"> </w:t>
      </w:r>
      <w:r w:rsidRPr="003E6574">
        <w:rPr>
          <w:rFonts w:ascii="Constantia" w:hAnsi="Constantia"/>
          <w:lang w:val="sr-Latn-CS"/>
        </w:rPr>
        <w:t>300 tona šljake iz primarne proizvodnje aluminijuma, 1 000 tona otpadnih mineralnih ulja i</w:t>
      </w:r>
      <w:r w:rsidRPr="00656ED2">
        <w:rPr>
          <w:rFonts w:ascii="Constantia" w:hAnsi="Constantia"/>
          <w:color w:val="FF0000"/>
          <w:lang w:val="sr-Latn-CS"/>
        </w:rPr>
        <w:t xml:space="preserve"> </w:t>
      </w:r>
      <w:r w:rsidRPr="008D05B8">
        <w:rPr>
          <w:rFonts w:ascii="Constantia" w:hAnsi="Constantia"/>
          <w:lang w:val="sr-Latn-CS"/>
        </w:rPr>
        <w:t>2 400 tona otpadnih olovnih baterija.</w:t>
      </w:r>
    </w:p>
    <w:p w:rsidR="00E7780B" w:rsidRPr="00200A86" w:rsidRDefault="00E7780B" w:rsidP="006721BD">
      <w:pPr>
        <w:pStyle w:val="Heading2"/>
        <w:ind w:left="720"/>
      </w:pPr>
      <w:bookmarkStart w:id="126" w:name="_Toc318278317"/>
      <w:bookmarkStart w:id="127" w:name="_Toc362938345"/>
      <w:bookmarkStart w:id="128" w:name="_Toc393897915"/>
      <w:r w:rsidRPr="007C67C5">
        <w:t>Zaključak</w:t>
      </w:r>
      <w:bookmarkEnd w:id="126"/>
      <w:bookmarkEnd w:id="127"/>
      <w:bookmarkEnd w:id="128"/>
    </w:p>
    <w:p w:rsidR="00E7780B" w:rsidRPr="00200A86" w:rsidRDefault="00E7780B" w:rsidP="007C67C5">
      <w:pPr>
        <w:rPr>
          <w:rFonts w:ascii="Constantia" w:hAnsi="Constantia"/>
          <w:lang w:val="sr-Latn-CS"/>
        </w:rPr>
      </w:pPr>
      <w:r>
        <w:rPr>
          <w:rFonts w:ascii="Constantia" w:hAnsi="Constantia"/>
          <w:lang w:val="sr-Latn-CS"/>
        </w:rPr>
        <w:t xml:space="preserve">Upravljanje otpadom je i dalje područje na kojem Crna Gora mora da uloži još mnogo napora kako bi se došlo do funkcionalnog sistema koji obezbjeđuje održiv razvoj, maksimalnu zaštitu životne sredine, rješavanje postojećih problema na terenu i kreiranje baza podataka neophodnih za donošenje odluka na nacionalnom nivou, kao i za izvještavanje ka međunarodnim instancama. </w:t>
      </w:r>
      <w:r w:rsidRPr="00897A69">
        <w:rPr>
          <w:rFonts w:ascii="Constantia" w:hAnsi="Constantia"/>
          <w:lang w:val="sr-Latn-CS"/>
        </w:rPr>
        <w:t>Nepostojanje valjanih evidencija i dalje</w:t>
      </w:r>
      <w:r>
        <w:rPr>
          <w:rFonts w:ascii="Constantia" w:hAnsi="Constantia"/>
          <w:lang w:val="sr-Latn-CS"/>
        </w:rPr>
        <w:t xml:space="preserve"> je</w:t>
      </w:r>
      <w:r w:rsidRPr="00897A69">
        <w:rPr>
          <w:rFonts w:ascii="Constantia" w:hAnsi="Constantia"/>
          <w:lang w:val="sr-Latn-CS"/>
        </w:rPr>
        <w:t xml:space="preserve"> glavni razlog za nedostatak podataka o kvalitativnoj i kvantitativnoj analizi otpada, što otežava procjenu ukupne količine otpada</w:t>
      </w:r>
      <w:r>
        <w:rPr>
          <w:rFonts w:ascii="Constantia" w:hAnsi="Constantia"/>
          <w:lang w:val="sr-Latn-CS"/>
        </w:rPr>
        <w:t xml:space="preserve"> u našoj zemlji</w:t>
      </w:r>
      <w:r w:rsidRPr="00897A69">
        <w:rPr>
          <w:rFonts w:ascii="Constantia" w:hAnsi="Constantia"/>
          <w:lang w:val="sr-Latn-CS"/>
        </w:rPr>
        <w:t>.</w:t>
      </w:r>
    </w:p>
    <w:p w:rsidR="00E7780B" w:rsidRDefault="00E7780B" w:rsidP="007C67C5">
      <w:pPr>
        <w:rPr>
          <w:rFonts w:ascii="Constantia" w:hAnsi="Constantia"/>
          <w:lang w:val="sr-Latn-CS"/>
        </w:rPr>
      </w:pPr>
      <w:r>
        <w:rPr>
          <w:rFonts w:ascii="Constantia" w:hAnsi="Constantia"/>
          <w:lang w:val="sr-Latn-CS"/>
        </w:rPr>
        <w:t>Prema MONSTAT-ovim podacima za 201</w:t>
      </w:r>
      <w:r w:rsidR="00ED5D46">
        <w:rPr>
          <w:rFonts w:ascii="Constantia" w:hAnsi="Constantia"/>
          <w:lang w:val="sr-Latn-CS"/>
        </w:rPr>
        <w:t>3</w:t>
      </w:r>
      <w:r>
        <w:rPr>
          <w:rFonts w:ascii="Constantia" w:hAnsi="Constantia"/>
          <w:lang w:val="sr-Latn-CS"/>
        </w:rPr>
        <w:t xml:space="preserve">. godinu, u Crnoj Gori je dnevno proizvedeno 1,26 kg komunalnog otpada po glavi stanovnika, što je 2,4% više u odnosu na prethodnu godinu. Iako ovakvo povećanje u podacima još uvijek može da se pripiše nedovoljno obučenom kadru izvještajnih jedinica i propustima u izvještavanju, može se pripisati i povećanju stepena pokrivenosti komunalnim uslugama i prosječnog broja dana u godini u kojima je otpad sakupljan. U 2013. godini, uslugama sakupljanja komunalnog otpada pokriven je za 3,26% veći broj stanovnika nego u prethodnoj godini, odnosno 77,3%. Taj procenat se uglavnom odnosi na urbana područja, dok se otpad proizveden u ruralnim područjima (selima i manjim mjestima) uglavnom odlaže na neuređenim odlagalištima.     </w:t>
      </w:r>
    </w:p>
    <w:p w:rsidR="00E7780B" w:rsidRDefault="00E7780B" w:rsidP="007C67C5">
      <w:pPr>
        <w:rPr>
          <w:rFonts w:ascii="Constantia" w:hAnsi="Constantia"/>
        </w:rPr>
      </w:pPr>
      <w:r>
        <w:rPr>
          <w:rFonts w:ascii="Constantia" w:hAnsi="Constantia"/>
        </w:rPr>
        <w:t xml:space="preserve">Sanacija 273 evidentirana </w:t>
      </w:r>
      <w:r w:rsidRPr="00897A69">
        <w:rPr>
          <w:rFonts w:ascii="Constantia" w:hAnsi="Constantia"/>
        </w:rPr>
        <w:t>neuređena</w:t>
      </w:r>
      <w:r>
        <w:rPr>
          <w:rFonts w:ascii="Constantia" w:hAnsi="Constantia"/>
        </w:rPr>
        <w:t xml:space="preserve"> </w:t>
      </w:r>
      <w:r w:rsidRPr="00897A69">
        <w:rPr>
          <w:rFonts w:ascii="Constantia" w:hAnsi="Constantia"/>
        </w:rPr>
        <w:t>odlagališta</w:t>
      </w:r>
      <w:r>
        <w:rPr>
          <w:rFonts w:ascii="Constantia" w:hAnsi="Constantia"/>
        </w:rPr>
        <w:t xml:space="preserve"> </w:t>
      </w:r>
      <w:r w:rsidRPr="00897A69">
        <w:rPr>
          <w:rFonts w:ascii="Constantia" w:hAnsi="Constantia"/>
        </w:rPr>
        <w:t>otpada</w:t>
      </w:r>
      <w:r>
        <w:rPr>
          <w:rFonts w:ascii="Constantia" w:hAnsi="Constantia"/>
        </w:rPr>
        <w:t xml:space="preserve"> </w:t>
      </w:r>
      <w:r w:rsidRPr="00897A69">
        <w:rPr>
          <w:rFonts w:ascii="Constantia" w:hAnsi="Constantia"/>
        </w:rPr>
        <w:t>različitog</w:t>
      </w:r>
      <w:r>
        <w:rPr>
          <w:rFonts w:ascii="Constantia" w:hAnsi="Constantia"/>
        </w:rPr>
        <w:t xml:space="preserve"> </w:t>
      </w:r>
      <w:r w:rsidRPr="00897A69">
        <w:rPr>
          <w:rFonts w:ascii="Constantia" w:hAnsi="Constantia"/>
        </w:rPr>
        <w:t>kapaciteta</w:t>
      </w:r>
      <w:r>
        <w:rPr>
          <w:rFonts w:ascii="Constantia" w:hAnsi="Constantia"/>
        </w:rPr>
        <w:t xml:space="preserve">, u Crnoj Gori i dalje predstavlja izazov za sve lokalne samouprave, kako zbog neodgovornosti nadležnih organa i nedostatka potrebnih finansijskih sredstava, tako i zbog nedovoljno razvijene svijesti građana koji svojim neodgovorim ponašanjem, kad je u pitanju odlaganje otpada, čine </w:t>
      </w:r>
      <w:r>
        <w:rPr>
          <w:rFonts w:ascii="Constantia" w:hAnsi="Constantia"/>
        </w:rPr>
        <w:lastRenderedPageBreak/>
        <w:t>praktično nevidljivim i ono malo napora koje lokalne samouprave uspijevaju da ulože u sanaciju pomenutih lokacija</w:t>
      </w:r>
      <w:r w:rsidRPr="00897A69">
        <w:rPr>
          <w:rFonts w:ascii="Constantia" w:hAnsi="Constantia"/>
        </w:rPr>
        <w:t>.</w:t>
      </w:r>
      <w:r>
        <w:rPr>
          <w:rFonts w:ascii="Constantia" w:hAnsi="Constantia"/>
        </w:rPr>
        <w:t xml:space="preserve">   </w:t>
      </w:r>
    </w:p>
    <w:p w:rsidR="00E7780B" w:rsidRDefault="00E7780B" w:rsidP="007C67C5">
      <w:pPr>
        <w:rPr>
          <w:rFonts w:ascii="Constantia" w:hAnsi="Constantia"/>
        </w:rPr>
      </w:pPr>
      <w:r w:rsidRPr="00897A69">
        <w:rPr>
          <w:rFonts w:ascii="Constantia" w:hAnsi="Constantia"/>
        </w:rPr>
        <w:t>Nasuprot</w:t>
      </w:r>
      <w:r>
        <w:rPr>
          <w:rFonts w:ascii="Constantia" w:hAnsi="Constantia"/>
        </w:rPr>
        <w:t xml:space="preserve"> </w:t>
      </w:r>
      <w:r w:rsidRPr="00897A69">
        <w:rPr>
          <w:rFonts w:ascii="Constantia" w:hAnsi="Constantia"/>
        </w:rPr>
        <w:t>neuređenim</w:t>
      </w:r>
      <w:r>
        <w:rPr>
          <w:rFonts w:ascii="Constantia" w:hAnsi="Constantia"/>
        </w:rPr>
        <w:t xml:space="preserve"> </w:t>
      </w:r>
      <w:r w:rsidRPr="00897A69">
        <w:rPr>
          <w:rFonts w:ascii="Constantia" w:hAnsi="Constantia"/>
        </w:rPr>
        <w:t>odlagalištima, koja ne posjeduju</w:t>
      </w:r>
      <w:r>
        <w:rPr>
          <w:rFonts w:ascii="Constantia" w:hAnsi="Constantia"/>
        </w:rPr>
        <w:t xml:space="preserve"> </w:t>
      </w:r>
      <w:r w:rsidRPr="00897A69">
        <w:rPr>
          <w:rFonts w:ascii="Constantia" w:hAnsi="Constantia"/>
        </w:rPr>
        <w:t>mjere</w:t>
      </w:r>
      <w:r>
        <w:rPr>
          <w:rFonts w:ascii="Constantia" w:hAnsi="Constantia"/>
        </w:rPr>
        <w:t xml:space="preserve"> </w:t>
      </w:r>
      <w:r w:rsidRPr="00897A69">
        <w:rPr>
          <w:rFonts w:ascii="Constantia" w:hAnsi="Constantia"/>
        </w:rPr>
        <w:t>sanitarne</w:t>
      </w:r>
      <w:r>
        <w:rPr>
          <w:rFonts w:ascii="Constantia" w:hAnsi="Constantia"/>
        </w:rPr>
        <w:t xml:space="preserve"> </w:t>
      </w:r>
      <w:r w:rsidRPr="00897A69">
        <w:rPr>
          <w:rFonts w:ascii="Constantia" w:hAnsi="Constantia"/>
        </w:rPr>
        <w:t>zaštite, radi</w:t>
      </w:r>
      <w:r>
        <w:rPr>
          <w:rFonts w:ascii="Constantia" w:hAnsi="Constantia"/>
        </w:rPr>
        <w:t xml:space="preserve"> </w:t>
      </w:r>
      <w:r w:rsidRPr="00897A69">
        <w:rPr>
          <w:rFonts w:ascii="Constantia" w:hAnsi="Constantia"/>
        </w:rPr>
        <w:t>poboljšanja</w:t>
      </w:r>
      <w:r>
        <w:rPr>
          <w:rFonts w:ascii="Constantia" w:hAnsi="Constantia"/>
        </w:rPr>
        <w:t xml:space="preserve"> </w:t>
      </w:r>
      <w:r w:rsidRPr="00897A69">
        <w:rPr>
          <w:rFonts w:ascii="Constantia" w:hAnsi="Constantia"/>
        </w:rPr>
        <w:t>uslova</w:t>
      </w:r>
      <w:r>
        <w:rPr>
          <w:rFonts w:ascii="Constantia" w:hAnsi="Constantia"/>
        </w:rPr>
        <w:t xml:space="preserve"> </w:t>
      </w:r>
      <w:r w:rsidRPr="00897A69">
        <w:rPr>
          <w:rFonts w:ascii="Constantia" w:hAnsi="Constantia"/>
        </w:rPr>
        <w:t>životne</w:t>
      </w:r>
      <w:r>
        <w:rPr>
          <w:rFonts w:ascii="Constantia" w:hAnsi="Constantia"/>
        </w:rPr>
        <w:t xml:space="preserve"> </w:t>
      </w:r>
      <w:r w:rsidRPr="00897A69">
        <w:rPr>
          <w:rFonts w:ascii="Constantia" w:hAnsi="Constantia"/>
        </w:rPr>
        <w:t>sredine i sprječavanja</w:t>
      </w:r>
      <w:r>
        <w:rPr>
          <w:rFonts w:ascii="Constantia" w:hAnsi="Constantia"/>
        </w:rPr>
        <w:t xml:space="preserve"> </w:t>
      </w:r>
      <w:r w:rsidRPr="00897A69">
        <w:rPr>
          <w:rFonts w:ascii="Constantia" w:hAnsi="Constantia"/>
        </w:rPr>
        <w:t>uticaja</w:t>
      </w:r>
      <w:r>
        <w:rPr>
          <w:rFonts w:ascii="Constantia" w:hAnsi="Constantia"/>
        </w:rPr>
        <w:t xml:space="preserve"> </w:t>
      </w:r>
      <w:r w:rsidRPr="00897A69">
        <w:rPr>
          <w:rFonts w:ascii="Constantia" w:hAnsi="Constantia"/>
        </w:rPr>
        <w:t>emisije</w:t>
      </w:r>
      <w:r>
        <w:rPr>
          <w:rFonts w:ascii="Constantia" w:hAnsi="Constantia"/>
        </w:rPr>
        <w:t xml:space="preserve"> </w:t>
      </w:r>
      <w:r w:rsidRPr="00897A69">
        <w:rPr>
          <w:rFonts w:ascii="Constantia" w:hAnsi="Constantia"/>
        </w:rPr>
        <w:t>toksičnih</w:t>
      </w:r>
      <w:r>
        <w:rPr>
          <w:rFonts w:ascii="Constantia" w:hAnsi="Constantia"/>
        </w:rPr>
        <w:t xml:space="preserve"> </w:t>
      </w:r>
      <w:r w:rsidRPr="00897A69">
        <w:rPr>
          <w:rFonts w:ascii="Constantia" w:hAnsi="Constantia"/>
        </w:rPr>
        <w:t>komponenti, postoji</w:t>
      </w:r>
      <w:r>
        <w:rPr>
          <w:rFonts w:ascii="Constantia" w:hAnsi="Constantia"/>
        </w:rPr>
        <w:t xml:space="preserve"> </w:t>
      </w:r>
      <w:r w:rsidRPr="00897A69">
        <w:rPr>
          <w:rFonts w:ascii="Constantia" w:hAnsi="Constantia"/>
        </w:rPr>
        <w:t>osnovana</w:t>
      </w:r>
      <w:r>
        <w:rPr>
          <w:rFonts w:ascii="Constantia" w:hAnsi="Constantia"/>
        </w:rPr>
        <w:t xml:space="preserve"> </w:t>
      </w:r>
      <w:r w:rsidRPr="00897A69">
        <w:rPr>
          <w:rFonts w:ascii="Constantia" w:hAnsi="Constantia"/>
        </w:rPr>
        <w:t>potreba</w:t>
      </w:r>
      <w:r>
        <w:rPr>
          <w:rFonts w:ascii="Constantia" w:hAnsi="Constantia"/>
        </w:rPr>
        <w:t xml:space="preserve"> </w:t>
      </w:r>
      <w:r w:rsidRPr="00897A69">
        <w:rPr>
          <w:rFonts w:ascii="Constantia" w:hAnsi="Constantia"/>
        </w:rPr>
        <w:t>za</w:t>
      </w:r>
      <w:r>
        <w:rPr>
          <w:rFonts w:ascii="Constantia" w:hAnsi="Constantia"/>
        </w:rPr>
        <w:t xml:space="preserve"> </w:t>
      </w:r>
      <w:r w:rsidRPr="00897A69">
        <w:rPr>
          <w:rFonts w:ascii="Constantia" w:hAnsi="Constantia"/>
        </w:rPr>
        <w:t>izgradnjom</w:t>
      </w:r>
      <w:r>
        <w:rPr>
          <w:rFonts w:ascii="Constantia" w:hAnsi="Constantia"/>
        </w:rPr>
        <w:t xml:space="preserve"> </w:t>
      </w:r>
      <w:r w:rsidR="00043CCA">
        <w:rPr>
          <w:rFonts w:ascii="Constantia" w:hAnsi="Constantia"/>
        </w:rPr>
        <w:t>savremenih postrojenja</w:t>
      </w:r>
      <w:r w:rsidRPr="00897A69">
        <w:rPr>
          <w:rFonts w:ascii="Constantia" w:hAnsi="Constantia"/>
        </w:rPr>
        <w:t>, kao</w:t>
      </w:r>
      <w:r>
        <w:rPr>
          <w:rFonts w:ascii="Constantia" w:hAnsi="Constantia"/>
        </w:rPr>
        <w:t xml:space="preserve"> </w:t>
      </w:r>
      <w:r w:rsidRPr="00897A69">
        <w:rPr>
          <w:rFonts w:ascii="Constantia" w:hAnsi="Constantia"/>
        </w:rPr>
        <w:t>sanitarno-tehnički</w:t>
      </w:r>
      <w:r>
        <w:rPr>
          <w:rFonts w:ascii="Constantia" w:hAnsi="Constantia"/>
        </w:rPr>
        <w:t xml:space="preserve"> </w:t>
      </w:r>
      <w:r w:rsidRPr="00897A69">
        <w:rPr>
          <w:rFonts w:ascii="Constantia" w:hAnsi="Constantia"/>
        </w:rPr>
        <w:t>uređenog</w:t>
      </w:r>
      <w:r>
        <w:rPr>
          <w:rFonts w:ascii="Constantia" w:hAnsi="Constantia"/>
        </w:rPr>
        <w:t xml:space="preserve"> </w:t>
      </w:r>
      <w:r w:rsidRPr="00897A69">
        <w:rPr>
          <w:rFonts w:ascii="Constantia" w:hAnsi="Constantia"/>
        </w:rPr>
        <w:t>prostora</w:t>
      </w:r>
      <w:r>
        <w:rPr>
          <w:rFonts w:ascii="Constantia" w:hAnsi="Constantia"/>
        </w:rPr>
        <w:t xml:space="preserve"> </w:t>
      </w:r>
      <w:r w:rsidRPr="00897A69">
        <w:rPr>
          <w:rFonts w:ascii="Constantia" w:hAnsi="Constantia"/>
        </w:rPr>
        <w:t>sa</w:t>
      </w:r>
      <w:r>
        <w:rPr>
          <w:rFonts w:ascii="Constantia" w:hAnsi="Constantia"/>
        </w:rPr>
        <w:t xml:space="preserve"> </w:t>
      </w:r>
      <w:r w:rsidRPr="00897A69">
        <w:rPr>
          <w:rFonts w:ascii="Constantia" w:hAnsi="Constantia"/>
        </w:rPr>
        <w:t>sistemima</w:t>
      </w:r>
      <w:r>
        <w:rPr>
          <w:rFonts w:ascii="Constantia" w:hAnsi="Constantia"/>
        </w:rPr>
        <w:t xml:space="preserve"> </w:t>
      </w:r>
      <w:r w:rsidRPr="00897A69">
        <w:rPr>
          <w:rFonts w:ascii="Constantia" w:hAnsi="Constantia"/>
        </w:rPr>
        <w:t>za</w:t>
      </w:r>
      <w:r>
        <w:rPr>
          <w:rFonts w:ascii="Constantia" w:hAnsi="Constantia"/>
        </w:rPr>
        <w:t xml:space="preserve"> </w:t>
      </w:r>
      <w:r w:rsidRPr="00897A69">
        <w:rPr>
          <w:rFonts w:ascii="Constantia" w:hAnsi="Constantia"/>
        </w:rPr>
        <w:t>kontrolu, sakupljanje i tretman</w:t>
      </w:r>
      <w:r>
        <w:rPr>
          <w:rFonts w:ascii="Constantia" w:hAnsi="Constantia"/>
        </w:rPr>
        <w:t xml:space="preserve"> </w:t>
      </w:r>
      <w:r w:rsidRPr="00897A69">
        <w:rPr>
          <w:rFonts w:ascii="Constantia" w:hAnsi="Constantia"/>
        </w:rPr>
        <w:t>deponijskog</w:t>
      </w:r>
      <w:r>
        <w:rPr>
          <w:rFonts w:ascii="Constantia" w:hAnsi="Constantia"/>
        </w:rPr>
        <w:t xml:space="preserve"> </w:t>
      </w:r>
      <w:r w:rsidRPr="00897A69">
        <w:rPr>
          <w:rFonts w:ascii="Constantia" w:hAnsi="Constantia"/>
        </w:rPr>
        <w:t>gasa i procjednih</w:t>
      </w:r>
      <w:r>
        <w:rPr>
          <w:rFonts w:ascii="Constantia" w:hAnsi="Constantia"/>
        </w:rPr>
        <w:t xml:space="preserve"> </w:t>
      </w:r>
      <w:r w:rsidRPr="00897A69">
        <w:rPr>
          <w:rFonts w:ascii="Constantia" w:hAnsi="Constantia"/>
        </w:rPr>
        <w:t>deponijskih</w:t>
      </w:r>
      <w:r>
        <w:rPr>
          <w:rFonts w:ascii="Constantia" w:hAnsi="Constantia"/>
        </w:rPr>
        <w:t xml:space="preserve"> </w:t>
      </w:r>
      <w:r w:rsidRPr="00897A69">
        <w:rPr>
          <w:rFonts w:ascii="Constantia" w:hAnsi="Constantia"/>
        </w:rPr>
        <w:t>voda.</w:t>
      </w:r>
    </w:p>
    <w:p w:rsidR="00E7780B" w:rsidRDefault="00E7780B" w:rsidP="007C67C5">
      <w:pPr>
        <w:rPr>
          <w:rFonts w:ascii="Constantia" w:hAnsi="Constantia"/>
          <w:lang w:val="sr-Latn-CS"/>
        </w:rPr>
      </w:pPr>
      <w:r>
        <w:rPr>
          <w:rFonts w:ascii="Constantia" w:hAnsi="Constantia"/>
          <w:lang w:val="sr-Latn-CS"/>
        </w:rPr>
        <w:t xml:space="preserve">U </w:t>
      </w:r>
      <w:r w:rsidRPr="00897A69">
        <w:rPr>
          <w:rFonts w:ascii="Constantia" w:hAnsi="Constantia"/>
          <w:lang w:val="sr-Latn-CS"/>
        </w:rPr>
        <w:t xml:space="preserve">Crnoj Gori, deponovanje </w:t>
      </w:r>
      <w:r>
        <w:rPr>
          <w:rFonts w:ascii="Constantia" w:hAnsi="Constantia"/>
          <w:lang w:val="sr-Latn-CS"/>
        </w:rPr>
        <w:t xml:space="preserve">i dalje </w:t>
      </w:r>
      <w:r w:rsidRPr="00897A69">
        <w:rPr>
          <w:rFonts w:ascii="Constantia" w:hAnsi="Constantia"/>
          <w:lang w:val="sr-Latn-CS"/>
        </w:rPr>
        <w:t xml:space="preserve">predstavlja najzastupljeniji metod za konačno </w:t>
      </w:r>
      <w:r>
        <w:rPr>
          <w:rFonts w:ascii="Constantia" w:hAnsi="Constantia"/>
          <w:lang w:val="sr-Latn-CS"/>
        </w:rPr>
        <w:t xml:space="preserve">rješavanje pitanja nastalog </w:t>
      </w:r>
      <w:r w:rsidRPr="00A839E3">
        <w:rPr>
          <w:rFonts w:ascii="Constantia" w:hAnsi="Constantia"/>
          <w:lang w:val="sr-Latn-CS"/>
        </w:rPr>
        <w:t>otpada.</w:t>
      </w:r>
      <w:r w:rsidRPr="00897A69">
        <w:rPr>
          <w:rFonts w:ascii="Constantia" w:hAnsi="Constantia"/>
          <w:lang w:val="sr-Latn-CS"/>
        </w:rPr>
        <w:t xml:space="preserve"> </w:t>
      </w:r>
      <w:r>
        <w:rPr>
          <w:rFonts w:ascii="Constantia" w:hAnsi="Constantia"/>
          <w:lang w:val="sr-Latn-CS"/>
        </w:rPr>
        <w:t>Od infrastrukture, za sada</w:t>
      </w:r>
      <w:r w:rsidRPr="00897A69">
        <w:rPr>
          <w:rFonts w:ascii="Constantia" w:hAnsi="Constantia"/>
          <w:lang w:val="sr-Latn-CS"/>
        </w:rPr>
        <w:t xml:space="preserve"> postoje dvije </w:t>
      </w:r>
      <w:r w:rsidRPr="009007ED">
        <w:rPr>
          <w:rFonts w:ascii="Constantia" w:hAnsi="Constantia"/>
          <w:lang w:val="sr-Latn-CS"/>
        </w:rPr>
        <w:t>r</w:t>
      </w:r>
      <w:r w:rsidRPr="00897A69">
        <w:rPr>
          <w:rFonts w:ascii="Constantia" w:hAnsi="Constantia"/>
          <w:lang w:val="sr-Latn-CS"/>
        </w:rPr>
        <w:t>egionalne sanitarne deponije</w:t>
      </w:r>
      <w:r>
        <w:rPr>
          <w:rFonts w:ascii="Constantia" w:hAnsi="Constantia"/>
          <w:lang w:val="sr-Latn-CS"/>
        </w:rPr>
        <w:t xml:space="preserve"> za neopasni otpad koje su situirane</w:t>
      </w:r>
      <w:r w:rsidRPr="00897A69">
        <w:rPr>
          <w:rFonts w:ascii="Constantia" w:hAnsi="Constantia"/>
          <w:lang w:val="sr-Latn-CS"/>
        </w:rPr>
        <w:t xml:space="preserve"> u Podgorici i Baru. </w:t>
      </w:r>
    </w:p>
    <w:p w:rsidR="00E7780B" w:rsidRPr="00200A86" w:rsidRDefault="00E7780B" w:rsidP="007C67C5">
      <w:pPr>
        <w:rPr>
          <w:rFonts w:ascii="Constantia" w:hAnsi="Constantia"/>
          <w:lang w:val="sr-Latn-CS"/>
        </w:rPr>
      </w:pPr>
      <w:r w:rsidRPr="00897A69">
        <w:rPr>
          <w:rFonts w:ascii="Constantia" w:hAnsi="Constantia"/>
        </w:rPr>
        <w:t>Osim</w:t>
      </w:r>
      <w:r>
        <w:rPr>
          <w:rFonts w:ascii="Constantia" w:hAnsi="Constantia"/>
        </w:rPr>
        <w:t xml:space="preserve"> </w:t>
      </w:r>
      <w:r w:rsidRPr="00897A69">
        <w:rPr>
          <w:rFonts w:ascii="Constantia" w:hAnsi="Constantia"/>
        </w:rPr>
        <w:t>Centara</w:t>
      </w:r>
      <w:r>
        <w:rPr>
          <w:rFonts w:ascii="Constantia" w:hAnsi="Constantia"/>
        </w:rPr>
        <w:t xml:space="preserve"> </w:t>
      </w:r>
      <w:r w:rsidRPr="00897A69">
        <w:rPr>
          <w:rFonts w:ascii="Constantia" w:hAnsi="Constantia"/>
        </w:rPr>
        <w:t>za</w:t>
      </w:r>
      <w:r>
        <w:rPr>
          <w:rFonts w:ascii="Constantia" w:hAnsi="Constantia"/>
        </w:rPr>
        <w:t xml:space="preserve"> </w:t>
      </w:r>
      <w:r w:rsidRPr="00897A69">
        <w:rPr>
          <w:rFonts w:ascii="Constantia" w:hAnsi="Constantia"/>
        </w:rPr>
        <w:t>primarnu</w:t>
      </w:r>
      <w:r>
        <w:rPr>
          <w:rFonts w:ascii="Constantia" w:hAnsi="Constantia"/>
        </w:rPr>
        <w:t xml:space="preserve"> </w:t>
      </w:r>
      <w:r w:rsidRPr="00897A69">
        <w:rPr>
          <w:rFonts w:ascii="Constantia" w:hAnsi="Constantia"/>
        </w:rPr>
        <w:t>reciklažu u Podgorici i Herceg</w:t>
      </w:r>
      <w:r>
        <w:rPr>
          <w:rFonts w:ascii="Constantia" w:hAnsi="Constantia"/>
        </w:rPr>
        <w:t xml:space="preserve"> </w:t>
      </w:r>
      <w:r w:rsidRPr="00897A69">
        <w:rPr>
          <w:rFonts w:ascii="Constantia" w:hAnsi="Constantia"/>
        </w:rPr>
        <w:t>Novom</w:t>
      </w:r>
      <w:r>
        <w:rPr>
          <w:rFonts w:ascii="Constantia" w:hAnsi="Constantia"/>
        </w:rPr>
        <w:t xml:space="preserve"> (</w:t>
      </w:r>
      <w:r w:rsidRPr="00897A69">
        <w:rPr>
          <w:rFonts w:ascii="Constantia" w:hAnsi="Constantia"/>
        </w:rPr>
        <w:t>u ko</w:t>
      </w:r>
      <w:r>
        <w:rPr>
          <w:rFonts w:ascii="Constantia" w:hAnsi="Constantia"/>
        </w:rPr>
        <w:t>jima</w:t>
      </w:r>
      <w:r w:rsidRPr="00897A69">
        <w:rPr>
          <w:rFonts w:ascii="Constantia" w:hAnsi="Constantia"/>
        </w:rPr>
        <w:t xml:space="preserve"> se vrši</w:t>
      </w:r>
      <w:r>
        <w:rPr>
          <w:rFonts w:ascii="Constantia" w:hAnsi="Constantia"/>
        </w:rPr>
        <w:t xml:space="preserve"> </w:t>
      </w:r>
      <w:r w:rsidRPr="00897A69">
        <w:rPr>
          <w:rFonts w:ascii="Constantia" w:hAnsi="Constantia"/>
        </w:rPr>
        <w:t>selek</w:t>
      </w:r>
      <w:r>
        <w:rPr>
          <w:rFonts w:ascii="Constantia" w:hAnsi="Constantia"/>
        </w:rPr>
        <w:t xml:space="preserve">cija </w:t>
      </w:r>
      <w:r w:rsidRPr="00897A69">
        <w:rPr>
          <w:rFonts w:ascii="Constantia" w:hAnsi="Constantia"/>
        </w:rPr>
        <w:t>pojedinih</w:t>
      </w:r>
      <w:r>
        <w:rPr>
          <w:rFonts w:ascii="Constantia" w:hAnsi="Constantia"/>
        </w:rPr>
        <w:t xml:space="preserve"> </w:t>
      </w:r>
      <w:r w:rsidRPr="00897A69">
        <w:rPr>
          <w:rFonts w:ascii="Constantia" w:hAnsi="Constantia"/>
        </w:rPr>
        <w:t>vrsta</w:t>
      </w:r>
      <w:r>
        <w:rPr>
          <w:rFonts w:ascii="Constantia" w:hAnsi="Constantia"/>
        </w:rPr>
        <w:t xml:space="preserve"> </w:t>
      </w:r>
      <w:r w:rsidRPr="00897A69">
        <w:rPr>
          <w:rFonts w:ascii="Constantia" w:hAnsi="Constantia"/>
        </w:rPr>
        <w:t>otpada i njihova</w:t>
      </w:r>
      <w:r>
        <w:rPr>
          <w:rFonts w:ascii="Constantia" w:hAnsi="Constantia"/>
        </w:rPr>
        <w:t xml:space="preserve"> </w:t>
      </w:r>
      <w:r w:rsidRPr="00897A69">
        <w:rPr>
          <w:rFonts w:ascii="Constantia" w:hAnsi="Constantia"/>
        </w:rPr>
        <w:t>priprema</w:t>
      </w:r>
      <w:r>
        <w:rPr>
          <w:rFonts w:ascii="Constantia" w:hAnsi="Constantia"/>
        </w:rPr>
        <w:t xml:space="preserve"> </w:t>
      </w:r>
      <w:r w:rsidRPr="00897A69">
        <w:rPr>
          <w:rFonts w:ascii="Constantia" w:hAnsi="Constantia"/>
        </w:rPr>
        <w:t>za transport, u cilju</w:t>
      </w:r>
      <w:r>
        <w:rPr>
          <w:rFonts w:ascii="Constantia" w:hAnsi="Constantia"/>
        </w:rPr>
        <w:t xml:space="preserve"> </w:t>
      </w:r>
      <w:r w:rsidRPr="00897A69">
        <w:rPr>
          <w:rFonts w:ascii="Constantia" w:hAnsi="Constantia"/>
        </w:rPr>
        <w:t>dalje</w:t>
      </w:r>
      <w:r>
        <w:rPr>
          <w:rFonts w:ascii="Constantia" w:hAnsi="Constantia"/>
        </w:rPr>
        <w:t xml:space="preserve"> obrade)</w:t>
      </w:r>
      <w:r w:rsidRPr="00897A69">
        <w:rPr>
          <w:rFonts w:ascii="Constantia" w:hAnsi="Constantia"/>
        </w:rPr>
        <w:t xml:space="preserve"> i manje</w:t>
      </w:r>
      <w:r>
        <w:rPr>
          <w:rFonts w:ascii="Constantia" w:hAnsi="Constantia"/>
        </w:rPr>
        <w:t xml:space="preserve"> </w:t>
      </w:r>
      <w:r w:rsidRPr="00897A69">
        <w:rPr>
          <w:rFonts w:ascii="Constantia" w:hAnsi="Constantia"/>
        </w:rPr>
        <w:t xml:space="preserve">linije u Kotoru, u </w:t>
      </w:r>
      <w:r>
        <w:rPr>
          <w:rFonts w:ascii="Constantia" w:hAnsi="Constantia"/>
        </w:rPr>
        <w:t xml:space="preserve">našoj zemlji </w:t>
      </w:r>
      <w:r w:rsidRPr="00897A69">
        <w:rPr>
          <w:rFonts w:ascii="Constantia" w:hAnsi="Constantia"/>
        </w:rPr>
        <w:t>za</w:t>
      </w:r>
      <w:r>
        <w:rPr>
          <w:rFonts w:ascii="Constantia" w:hAnsi="Constantia"/>
        </w:rPr>
        <w:t xml:space="preserve"> </w:t>
      </w:r>
      <w:r w:rsidRPr="00897A69">
        <w:rPr>
          <w:rFonts w:ascii="Constantia" w:hAnsi="Constantia"/>
        </w:rPr>
        <w:t>sada</w:t>
      </w:r>
      <w:r>
        <w:rPr>
          <w:rFonts w:ascii="Constantia" w:hAnsi="Constantia"/>
        </w:rPr>
        <w:t xml:space="preserve"> </w:t>
      </w:r>
      <w:r w:rsidRPr="00897A69">
        <w:rPr>
          <w:rFonts w:ascii="Constantia" w:hAnsi="Constantia"/>
        </w:rPr>
        <w:t>nema</w:t>
      </w:r>
      <w:r>
        <w:rPr>
          <w:rFonts w:ascii="Constantia" w:hAnsi="Constantia"/>
        </w:rPr>
        <w:t xml:space="preserve"> </w:t>
      </w:r>
      <w:r w:rsidRPr="00897A69">
        <w:rPr>
          <w:rFonts w:ascii="Constantia" w:hAnsi="Constantia"/>
        </w:rPr>
        <w:t>objekata</w:t>
      </w:r>
      <w:r>
        <w:rPr>
          <w:rFonts w:ascii="Constantia" w:hAnsi="Constantia"/>
        </w:rPr>
        <w:t xml:space="preserve"> </w:t>
      </w:r>
      <w:r w:rsidRPr="00897A69">
        <w:rPr>
          <w:rFonts w:ascii="Constantia" w:hAnsi="Constantia"/>
        </w:rPr>
        <w:t>za</w:t>
      </w:r>
      <w:r>
        <w:rPr>
          <w:rFonts w:ascii="Constantia" w:hAnsi="Constantia"/>
        </w:rPr>
        <w:t xml:space="preserve"> </w:t>
      </w:r>
      <w:r w:rsidRPr="00897A69">
        <w:rPr>
          <w:rFonts w:ascii="Constantia" w:hAnsi="Constantia"/>
        </w:rPr>
        <w:t>reci</w:t>
      </w:r>
      <w:r>
        <w:rPr>
          <w:rFonts w:ascii="Constantia" w:hAnsi="Constantia"/>
        </w:rPr>
        <w:t>klažu. Isto tako, ne postoji ni</w:t>
      </w:r>
      <w:r w:rsidRPr="00897A69">
        <w:rPr>
          <w:rFonts w:ascii="Constantia" w:hAnsi="Constantia"/>
        </w:rPr>
        <w:t>jedno</w:t>
      </w:r>
      <w:r>
        <w:rPr>
          <w:rFonts w:ascii="Constantia" w:hAnsi="Constantia"/>
        </w:rPr>
        <w:t xml:space="preserve"> </w:t>
      </w:r>
      <w:r w:rsidRPr="00897A69">
        <w:rPr>
          <w:rFonts w:ascii="Constantia" w:hAnsi="Constantia"/>
        </w:rPr>
        <w:t>postrojenje</w:t>
      </w:r>
      <w:r>
        <w:rPr>
          <w:rFonts w:ascii="Constantia" w:hAnsi="Constantia"/>
        </w:rPr>
        <w:t xml:space="preserve"> </w:t>
      </w:r>
      <w:r w:rsidRPr="00897A69">
        <w:rPr>
          <w:rFonts w:ascii="Constantia" w:hAnsi="Constantia"/>
        </w:rPr>
        <w:t>za</w:t>
      </w:r>
      <w:r>
        <w:rPr>
          <w:rFonts w:ascii="Constantia" w:hAnsi="Constantia"/>
        </w:rPr>
        <w:t xml:space="preserve"> kompostiranje i spaljivanje otpada</w:t>
      </w:r>
      <w:r w:rsidRPr="00897A69">
        <w:rPr>
          <w:rFonts w:ascii="Constantia" w:hAnsi="Constantia"/>
        </w:rPr>
        <w:t>.</w:t>
      </w:r>
    </w:p>
    <w:p w:rsidR="00E7780B" w:rsidRDefault="00E7780B" w:rsidP="007C67C5">
      <w:pPr>
        <w:rPr>
          <w:rFonts w:ascii="Constantia" w:hAnsi="Constantia"/>
          <w:lang w:val="sr-Latn-CS"/>
        </w:rPr>
      </w:pPr>
      <w:r>
        <w:rPr>
          <w:rFonts w:ascii="Constantia" w:hAnsi="Constantia"/>
          <w:lang w:val="sr-Latn-CS"/>
        </w:rPr>
        <w:t xml:space="preserve">Statistička istraživanja o količinama generisanog industrijskog otpada za </w:t>
      </w:r>
      <w:r w:rsidR="006F303E">
        <w:rPr>
          <w:rFonts w:ascii="Constantia" w:hAnsi="Constantia"/>
          <w:lang w:val="sr-Latn-CS"/>
        </w:rPr>
        <w:t>period 2011-</w:t>
      </w:r>
      <w:r>
        <w:rPr>
          <w:rFonts w:ascii="Constantia" w:hAnsi="Constantia"/>
          <w:lang w:val="sr-Latn-CS"/>
        </w:rPr>
        <w:t>201</w:t>
      </w:r>
      <w:r w:rsidR="00FE6BB7">
        <w:rPr>
          <w:rFonts w:ascii="Constantia" w:hAnsi="Constantia"/>
          <w:lang w:val="sr-Latn-CS"/>
        </w:rPr>
        <w:t>2</w:t>
      </w:r>
      <w:r>
        <w:rPr>
          <w:rFonts w:ascii="Constantia" w:hAnsi="Constantia"/>
          <w:lang w:val="sr-Latn-CS"/>
        </w:rPr>
        <w:t xml:space="preserve"> pokazuju </w:t>
      </w:r>
      <w:r w:rsidR="006F303E">
        <w:rPr>
          <w:rFonts w:ascii="Constantia" w:hAnsi="Constantia"/>
          <w:lang w:val="sr-Latn-CS"/>
        </w:rPr>
        <w:t xml:space="preserve">smanjenje </w:t>
      </w:r>
      <w:r>
        <w:rPr>
          <w:rFonts w:ascii="Constantia" w:hAnsi="Constantia"/>
          <w:lang w:val="sr-Latn-CS"/>
        </w:rPr>
        <w:t>vrijednosti</w:t>
      </w:r>
      <w:r w:rsidR="006F303E">
        <w:rPr>
          <w:rFonts w:ascii="Constantia" w:hAnsi="Constantia"/>
          <w:lang w:val="sr-Latn-CS"/>
        </w:rPr>
        <w:t xml:space="preserve">, ali </w:t>
      </w:r>
      <w:r w:rsidR="00680136">
        <w:rPr>
          <w:rFonts w:ascii="Constantia" w:hAnsi="Constantia"/>
          <w:lang w:val="sr-Latn-CS"/>
        </w:rPr>
        <w:t xml:space="preserve">one </w:t>
      </w:r>
      <w:r w:rsidR="006F303E">
        <w:rPr>
          <w:rFonts w:ascii="Constantia" w:hAnsi="Constantia"/>
          <w:lang w:val="sr-Latn-CS"/>
        </w:rPr>
        <w:t>i dalje ne</w:t>
      </w:r>
      <w:r>
        <w:rPr>
          <w:rFonts w:ascii="Constantia" w:hAnsi="Constantia"/>
          <w:lang w:val="sr-Latn-CS"/>
        </w:rPr>
        <w:t xml:space="preserve"> odgovaraju</w:t>
      </w:r>
      <w:r w:rsidR="006F303E">
        <w:rPr>
          <w:rFonts w:ascii="Constantia" w:hAnsi="Constantia"/>
          <w:lang w:val="sr-Latn-CS"/>
        </w:rPr>
        <w:t xml:space="preserve"> realnom</w:t>
      </w:r>
      <w:r>
        <w:rPr>
          <w:rFonts w:ascii="Constantia" w:hAnsi="Constantia"/>
          <w:lang w:val="sr-Latn-CS"/>
        </w:rPr>
        <w:t xml:space="preserve"> stepenu razvijenosti industrijske proizvodnje u Crnoj Gori. Najveći udio u količinama otpada generisanog u industriji pripada Sektoru snabdijevanja električnom energijom, gasom i parom i to </w:t>
      </w:r>
      <w:r w:rsidR="00FE6BB7">
        <w:rPr>
          <w:rFonts w:ascii="Constantia" w:hAnsi="Constantia"/>
          <w:lang w:val="sr-Latn-CS"/>
        </w:rPr>
        <w:t>76,8</w:t>
      </w:r>
      <w:r>
        <w:rPr>
          <w:rFonts w:ascii="Constantia" w:hAnsi="Constantia"/>
          <w:lang w:val="sr-Latn-CS"/>
        </w:rPr>
        <w:t xml:space="preserve">%. Od značaja </w:t>
      </w:r>
      <w:r w:rsidR="007D3B5D">
        <w:rPr>
          <w:rFonts w:ascii="Constantia" w:hAnsi="Constantia"/>
          <w:lang w:val="sr-Latn-CS"/>
        </w:rPr>
        <w:t xml:space="preserve">je primijetiti i to da najveći </w:t>
      </w:r>
      <w:r w:rsidR="007258BC">
        <w:rPr>
          <w:rFonts w:ascii="Constantia" w:hAnsi="Constantia"/>
          <w:lang w:val="sr-Latn-CS"/>
        </w:rPr>
        <w:t>u</w:t>
      </w:r>
      <w:r>
        <w:rPr>
          <w:rFonts w:ascii="Constantia" w:hAnsi="Constantia"/>
          <w:lang w:val="sr-Latn-CS"/>
        </w:rPr>
        <w:t>dio u</w:t>
      </w:r>
      <w:r w:rsidR="007D3B5D">
        <w:rPr>
          <w:rFonts w:ascii="Constantia" w:hAnsi="Constantia"/>
          <w:lang w:val="sr-Latn-CS"/>
        </w:rPr>
        <w:t xml:space="preserve"> tim</w:t>
      </w:r>
      <w:r>
        <w:rPr>
          <w:rFonts w:ascii="Constantia" w:hAnsi="Constantia"/>
          <w:lang w:val="sr-Latn-CS"/>
        </w:rPr>
        <w:t xml:space="preserve"> količinama i</w:t>
      </w:r>
      <w:r w:rsidR="007258BC">
        <w:rPr>
          <w:rFonts w:ascii="Constantia" w:hAnsi="Constantia"/>
          <w:lang w:val="sr-Latn-CS"/>
        </w:rPr>
        <w:t>ma</w:t>
      </w:r>
      <w:r>
        <w:rPr>
          <w:rFonts w:ascii="Constantia" w:hAnsi="Constantia"/>
          <w:lang w:val="sr-Latn-CS"/>
        </w:rPr>
        <w:t xml:space="preserve"> (neopasni) otpad iz termičkih procesa koji se najviše </w:t>
      </w:r>
      <w:r w:rsidRPr="007D3B5D">
        <w:rPr>
          <w:rFonts w:ascii="Constantia" w:hAnsi="Constantia"/>
          <w:lang w:val="sr-Latn-CS"/>
        </w:rPr>
        <w:t>povezuje sa radom TE Pljevlja.</w:t>
      </w:r>
      <w:r>
        <w:rPr>
          <w:rFonts w:ascii="Constantia" w:hAnsi="Constantia"/>
          <w:lang w:val="sr-Latn-CS"/>
        </w:rPr>
        <w:t xml:space="preserve"> Dolazi se do zaključka da udio otpada iz termičkih procesa čini </w:t>
      </w:r>
      <w:r w:rsidR="003835D3">
        <w:rPr>
          <w:rFonts w:ascii="Constantia" w:hAnsi="Constantia"/>
          <w:lang w:val="sr-Latn-CS"/>
        </w:rPr>
        <w:t>76,5</w:t>
      </w:r>
      <w:r>
        <w:rPr>
          <w:rFonts w:ascii="Constantia" w:hAnsi="Constantia"/>
          <w:lang w:val="sr-Latn-CS"/>
        </w:rPr>
        <w:t xml:space="preserve">% ukupne količine generisanog industrijskog otpada u Crnoj Gori. </w:t>
      </w:r>
    </w:p>
    <w:p w:rsidR="00E7780B" w:rsidRDefault="00E7780B" w:rsidP="007C67C5">
      <w:pPr>
        <w:rPr>
          <w:rFonts w:ascii="Constantia" w:hAnsi="Constantia"/>
          <w:lang w:val="sr-Latn-CS"/>
        </w:rPr>
      </w:pPr>
      <w:r>
        <w:rPr>
          <w:rFonts w:ascii="Constantia" w:hAnsi="Constantia"/>
          <w:lang w:val="sr-Latn-CS"/>
        </w:rPr>
        <w:t xml:space="preserve">Na nacionalnom nivou, i </w:t>
      </w:r>
      <w:r w:rsidRPr="00897A69">
        <w:rPr>
          <w:rFonts w:ascii="Constantia" w:hAnsi="Constantia"/>
          <w:lang w:val="sr-Latn-CS"/>
        </w:rPr>
        <w:t xml:space="preserve">dalje postoji potreba za rješavanjem problema zbrinjavanja </w:t>
      </w:r>
      <w:r>
        <w:rPr>
          <w:rFonts w:ascii="Constantia" w:hAnsi="Constantia"/>
          <w:lang w:val="sr-Latn-CS"/>
        </w:rPr>
        <w:t>industrijskog</w:t>
      </w:r>
      <w:r w:rsidRPr="00A839E3">
        <w:rPr>
          <w:rFonts w:ascii="Constantia" w:hAnsi="Constantia"/>
          <w:lang w:val="sr-Latn-CS"/>
        </w:rPr>
        <w:t xml:space="preserve"> otpada</w:t>
      </w:r>
      <w:r>
        <w:rPr>
          <w:rFonts w:ascii="Constantia" w:hAnsi="Constantia"/>
          <w:lang w:val="sr-Latn-CS"/>
        </w:rPr>
        <w:t xml:space="preserve"> nastalog usl</w:t>
      </w:r>
      <w:r w:rsidRPr="00897A69">
        <w:rPr>
          <w:rFonts w:ascii="Constantia" w:hAnsi="Constantia"/>
          <w:lang w:val="sr-Latn-CS"/>
        </w:rPr>
        <w:t>ed proizvodnih aktivnosti velikih industrijskih sistema kao što su Kombinat aluminijuma Podgorica, Željezara Nikšić, T</w:t>
      </w:r>
      <w:r w:rsidR="00037327">
        <w:rPr>
          <w:rFonts w:ascii="Constantia" w:hAnsi="Constantia"/>
          <w:lang w:val="sr-Latn-CS"/>
        </w:rPr>
        <w:t>E</w:t>
      </w:r>
      <w:r w:rsidRPr="00897A69">
        <w:rPr>
          <w:rFonts w:ascii="Constantia" w:hAnsi="Constantia"/>
          <w:lang w:val="sr-Latn-CS"/>
        </w:rPr>
        <w:t xml:space="preserve"> Pljevlja i drugi. Redovan monitoring zemljišta koji se vrši na lokacijama odlagališta otpada pomenutih industrijskih postrojenja, kao i u njihovoj neposrednoj blizini, u kontinuitetu pokazuje </w:t>
      </w:r>
      <w:r>
        <w:rPr>
          <w:rFonts w:ascii="Constantia" w:hAnsi="Constantia"/>
          <w:lang w:val="sr-Latn-CS"/>
        </w:rPr>
        <w:t xml:space="preserve">značajan pritisak </w:t>
      </w:r>
      <w:r w:rsidRPr="00897A69">
        <w:rPr>
          <w:rFonts w:ascii="Constantia" w:hAnsi="Constantia"/>
          <w:lang w:val="sr-Latn-CS"/>
        </w:rPr>
        <w:t>na segment zemljišta, što se evidentira kroz povećan</w:t>
      </w:r>
      <w:r>
        <w:rPr>
          <w:rFonts w:ascii="Constantia" w:hAnsi="Constantia"/>
          <w:lang w:val="sr-Latn-CS"/>
        </w:rPr>
        <w:t>je koncentracija</w:t>
      </w:r>
      <w:r w:rsidRPr="00897A69">
        <w:rPr>
          <w:rFonts w:ascii="Constantia" w:hAnsi="Constantia"/>
          <w:lang w:val="sr-Latn-CS"/>
        </w:rPr>
        <w:t xml:space="preserve"> </w:t>
      </w:r>
      <w:r>
        <w:rPr>
          <w:rFonts w:ascii="Constantia" w:hAnsi="Constantia"/>
          <w:lang w:val="sr-Latn-CS"/>
        </w:rPr>
        <w:t xml:space="preserve">pojedinih </w:t>
      </w:r>
      <w:r w:rsidRPr="00897A69">
        <w:rPr>
          <w:rFonts w:ascii="Constantia" w:hAnsi="Constantia"/>
          <w:lang w:val="sr-Latn-CS"/>
        </w:rPr>
        <w:t xml:space="preserve">organskih i neorganskih polutanata. </w:t>
      </w:r>
    </w:p>
    <w:p w:rsidR="00E7780B" w:rsidRPr="00200A86" w:rsidRDefault="00E7780B" w:rsidP="007C67C5">
      <w:pPr>
        <w:rPr>
          <w:rFonts w:ascii="Constantia" w:hAnsi="Constantia"/>
          <w:lang w:val="sr-Latn-CS"/>
        </w:rPr>
      </w:pPr>
      <w:r>
        <w:rPr>
          <w:rFonts w:ascii="Constantia" w:hAnsi="Constantia"/>
          <w:lang w:val="sr-Latn-CS"/>
        </w:rPr>
        <w:t>Sa</w:t>
      </w:r>
      <w:r w:rsidRPr="00897A69">
        <w:rPr>
          <w:rFonts w:ascii="Constantia" w:hAnsi="Constantia"/>
          <w:lang w:val="sr-Latn-CS"/>
        </w:rPr>
        <w:t xml:space="preserve"> opasnim otpadom, čije je uništavanje moguće samo van Crne Gore, mora se postupati </w:t>
      </w:r>
      <w:r>
        <w:rPr>
          <w:rFonts w:ascii="Constantia" w:hAnsi="Constantia"/>
          <w:lang w:val="sr-Latn-CS"/>
        </w:rPr>
        <w:t>u skladu sa odredbama</w:t>
      </w:r>
      <w:r w:rsidRPr="00897A69">
        <w:rPr>
          <w:rFonts w:ascii="Constantia" w:hAnsi="Constantia"/>
          <w:lang w:val="sr-Latn-CS"/>
        </w:rPr>
        <w:t xml:space="preserve"> </w:t>
      </w:r>
      <w:r>
        <w:rPr>
          <w:rFonts w:ascii="Constantia" w:hAnsi="Constantia"/>
          <w:lang w:val="sr-Latn-CS"/>
        </w:rPr>
        <w:t xml:space="preserve">nacionalnog zakonodavstva i zahtjevima </w:t>
      </w:r>
      <w:r w:rsidRPr="00897A69">
        <w:rPr>
          <w:rFonts w:ascii="Constantia" w:hAnsi="Constantia"/>
          <w:lang w:val="sr-Latn-CS"/>
        </w:rPr>
        <w:t>Bazelsk</w:t>
      </w:r>
      <w:r>
        <w:rPr>
          <w:rFonts w:ascii="Constantia" w:hAnsi="Constantia"/>
          <w:lang w:val="sr-Latn-CS"/>
        </w:rPr>
        <w:t>e</w:t>
      </w:r>
      <w:r w:rsidRPr="00897A69">
        <w:rPr>
          <w:rFonts w:ascii="Constantia" w:hAnsi="Constantia"/>
          <w:lang w:val="sr-Latn-CS"/>
        </w:rPr>
        <w:t xml:space="preserve"> konvencij</w:t>
      </w:r>
      <w:r>
        <w:rPr>
          <w:rFonts w:ascii="Constantia" w:hAnsi="Constantia"/>
          <w:lang w:val="sr-Latn-CS"/>
        </w:rPr>
        <w:t>e</w:t>
      </w:r>
      <w:r w:rsidRPr="00897A69">
        <w:rPr>
          <w:rFonts w:ascii="Constantia" w:hAnsi="Constantia"/>
          <w:lang w:val="sr-Latn-CS"/>
        </w:rPr>
        <w:t xml:space="preserve"> o kontroli prekograničnog kretanja opasnog otpada i njegovog odlaganja.</w:t>
      </w:r>
    </w:p>
    <w:p w:rsidR="00E7780B" w:rsidRDefault="00E7780B" w:rsidP="00E7780B">
      <w:pPr>
        <w:autoSpaceDE w:val="0"/>
        <w:autoSpaceDN w:val="0"/>
        <w:adjustRightInd w:val="0"/>
        <w:spacing w:after="0" w:line="276" w:lineRule="auto"/>
        <w:rPr>
          <w:rFonts w:ascii="Constantia" w:hAnsi="Constantia"/>
          <w:lang w:val="sr-Latn-CS"/>
        </w:rPr>
      </w:pPr>
    </w:p>
    <w:p w:rsidR="00A278C7" w:rsidRPr="00200A86" w:rsidRDefault="00A278C7" w:rsidP="00E7780B">
      <w:pPr>
        <w:autoSpaceDE w:val="0"/>
        <w:autoSpaceDN w:val="0"/>
        <w:adjustRightInd w:val="0"/>
        <w:spacing w:after="0" w:line="276" w:lineRule="auto"/>
        <w:rPr>
          <w:rFonts w:ascii="Constantia" w:hAnsi="Constantia"/>
          <w:lang w:val="sr-Latn-CS"/>
        </w:rPr>
      </w:pPr>
    </w:p>
    <w:p w:rsidR="00E7780B" w:rsidRPr="00E038AD" w:rsidRDefault="00E7780B" w:rsidP="00A278C7">
      <w:pPr>
        <w:pStyle w:val="ListParagraph"/>
        <w:ind w:left="0"/>
        <w:jc w:val="center"/>
        <w:rPr>
          <w:rFonts w:ascii="Constantia" w:hAnsi="Constantia"/>
          <w:sz w:val="24"/>
        </w:rPr>
      </w:pPr>
      <w:r>
        <w:rPr>
          <w:rFonts w:ascii="Constantia" w:hAnsi="Constantia"/>
          <w:sz w:val="24"/>
        </w:rPr>
        <w:t>*</w:t>
      </w:r>
      <w:r>
        <w:rPr>
          <w:rFonts w:ascii="Constantia" w:hAnsi="Constantia"/>
          <w:sz w:val="24"/>
        </w:rPr>
        <w:tab/>
        <w:t>*</w:t>
      </w:r>
      <w:r>
        <w:rPr>
          <w:rFonts w:ascii="Constantia" w:hAnsi="Constantia"/>
          <w:sz w:val="24"/>
        </w:rPr>
        <w:tab/>
        <w:t>*</w:t>
      </w:r>
    </w:p>
    <w:p w:rsidR="00E7780B" w:rsidRPr="005E4028" w:rsidRDefault="00E7780B" w:rsidP="00E7780B">
      <w:pPr>
        <w:rPr>
          <w:rFonts w:ascii="Constantia" w:hAnsi="Constantia"/>
        </w:rPr>
      </w:pPr>
    </w:p>
    <w:p w:rsidR="004B071C" w:rsidRPr="00F84A21" w:rsidRDefault="004B071C" w:rsidP="001B739D">
      <w:pPr>
        <w:pStyle w:val="Heading1"/>
        <w:spacing w:before="0"/>
      </w:pPr>
      <w:bookmarkStart w:id="129" w:name="_Toc290504113"/>
      <w:bookmarkStart w:id="130" w:name="_Toc393897916"/>
      <w:r w:rsidRPr="00F84A21">
        <w:lastRenderedPageBreak/>
        <w:t>B</w:t>
      </w:r>
      <w:r w:rsidR="00842786">
        <w:t>IODIVERZITET</w:t>
      </w:r>
      <w:bookmarkEnd w:id="129"/>
      <w:bookmarkEnd w:id="130"/>
    </w:p>
    <w:p w:rsidR="004B071C" w:rsidRPr="00F84A21" w:rsidRDefault="004B071C" w:rsidP="004B071C">
      <w:pPr>
        <w:pStyle w:val="Heading3"/>
        <w:spacing w:before="0"/>
      </w:pPr>
      <w:bookmarkStart w:id="131" w:name="_Toc290504114"/>
      <w:bookmarkStart w:id="132" w:name="_Toc393897917"/>
      <w:r w:rsidRPr="00F84A21">
        <w:t>U</w:t>
      </w:r>
      <w:r>
        <w:t>vod</w:t>
      </w:r>
      <w:bookmarkEnd w:id="131"/>
      <w:bookmarkEnd w:id="132"/>
    </w:p>
    <w:p w:rsidR="004B071C" w:rsidRPr="00E05A68" w:rsidRDefault="004B071C" w:rsidP="004B071C">
      <w:pPr>
        <w:rPr>
          <w:rFonts w:ascii="Constantia" w:hAnsi="Constantia"/>
          <w:lang w:val="sr-Latn-CS"/>
        </w:rPr>
      </w:pPr>
      <w:r w:rsidRPr="00E05A68">
        <w:rPr>
          <w:rFonts w:ascii="Constantia" w:hAnsi="Constantia"/>
          <w:lang w:val="sr-Latn-CS"/>
        </w:rPr>
        <w:t>Biodiverzitet predstavlja biološku raznovrsnost flore i faune na našoj planeti i izvor je dobara, resursa i ekoloških servisa koji su neophodni za čovjekovo preživljavanje.</w:t>
      </w:r>
      <w:r w:rsidR="00E05A68">
        <w:rPr>
          <w:rFonts w:ascii="Constantia" w:hAnsi="Constantia"/>
          <w:lang w:val="sr-Latn-CS"/>
        </w:rPr>
        <w:t xml:space="preserve"> </w:t>
      </w:r>
      <w:r w:rsidRPr="00E05A68">
        <w:rPr>
          <w:rFonts w:ascii="Constantia" w:hAnsi="Constantia"/>
          <w:lang w:val="sr-Latn-CS"/>
        </w:rPr>
        <w:t xml:space="preserve">Gubitkom biodiverziteta nestaju vrste, ekosistemi i genetička raznovrsnost, što naravno utiče </w:t>
      </w:r>
      <w:r w:rsidR="00E05A68">
        <w:rPr>
          <w:rFonts w:ascii="Constantia" w:hAnsi="Constantia"/>
          <w:lang w:val="sr-Latn-CS"/>
        </w:rPr>
        <w:t xml:space="preserve">i </w:t>
      </w:r>
      <w:r w:rsidRPr="00E05A68">
        <w:rPr>
          <w:rFonts w:ascii="Constantia" w:hAnsi="Constantia"/>
          <w:lang w:val="sr-Latn-CS"/>
        </w:rPr>
        <w:t xml:space="preserve">na humanu populaciju. </w:t>
      </w:r>
    </w:p>
    <w:p w:rsidR="004B071C" w:rsidRPr="00E05A68" w:rsidRDefault="004B071C" w:rsidP="004B071C">
      <w:pPr>
        <w:rPr>
          <w:rFonts w:ascii="Constantia" w:hAnsi="Constantia"/>
          <w:lang w:val="sr-Latn-CS"/>
        </w:rPr>
      </w:pPr>
      <w:r w:rsidRPr="00E05A68">
        <w:rPr>
          <w:rFonts w:ascii="Constantia" w:hAnsi="Constantia"/>
          <w:lang w:val="sr-Latn-CS"/>
        </w:rPr>
        <w:t>Praćenje stanja (monitoring) biodiverziteta ima za cilj njegovo očuvanje, unaprjeđenje i zaštitu, kroz utvrđivanje stanja, promjena i glavnih pritisaka na ovaj važan prirodan resurs iz godine u godinu. Uvid u postojeće stanje biodiverziteta ostvaruje se putem praćenja stanja i procjene ugroženosti važnih parametara</w:t>
      </w:r>
      <w:r w:rsidR="00A45907">
        <w:rPr>
          <w:rFonts w:ascii="Constantia" w:hAnsi="Constantia"/>
          <w:lang w:val="sr-Latn-CS"/>
        </w:rPr>
        <w:t>,</w:t>
      </w:r>
      <w:r w:rsidRPr="00E05A68">
        <w:rPr>
          <w:rFonts w:ascii="Constantia" w:hAnsi="Constantia"/>
          <w:lang w:val="sr-Latn-CS"/>
        </w:rPr>
        <w:t xml:space="preserve"> u ovom slučaju vrsta i staništa, na nacionalnom i međunarodnom nivou što je </w:t>
      </w:r>
      <w:r w:rsidR="00A45907">
        <w:rPr>
          <w:rFonts w:ascii="Constantia" w:hAnsi="Constantia"/>
          <w:lang w:val="sr-Latn-CS"/>
        </w:rPr>
        <w:t xml:space="preserve">i </w:t>
      </w:r>
      <w:r w:rsidRPr="00E05A68">
        <w:rPr>
          <w:rFonts w:ascii="Constantia" w:hAnsi="Constantia"/>
          <w:lang w:val="sr-Latn-CS"/>
        </w:rPr>
        <w:t>preduslov za adekvatnu zaštitu i djelovanje.</w:t>
      </w:r>
    </w:p>
    <w:p w:rsidR="004B071C" w:rsidRPr="00E05A68" w:rsidRDefault="004B071C" w:rsidP="004B071C">
      <w:pPr>
        <w:rPr>
          <w:rFonts w:ascii="Constantia" w:hAnsi="Constantia"/>
        </w:rPr>
      </w:pPr>
      <w:r w:rsidRPr="00E05A68">
        <w:rPr>
          <w:rFonts w:ascii="Constantia" w:hAnsi="Constantia"/>
        </w:rPr>
        <w:t>U Crnoj Gori</w:t>
      </w:r>
      <w:r w:rsidR="005F6356">
        <w:rPr>
          <w:rFonts w:ascii="Constantia" w:hAnsi="Constantia"/>
        </w:rPr>
        <w:t>,</w:t>
      </w:r>
      <w:r w:rsidRPr="00E05A68">
        <w:rPr>
          <w:rFonts w:ascii="Constantia" w:hAnsi="Constantia"/>
        </w:rPr>
        <w:t xml:space="preserve"> obaveza praćenja stanja svih segmenata životne sredine proističe iz Zakona o životnoj sredini (“Sl. list RCG”, br. 48/08, član 32)</w:t>
      </w:r>
      <w:r w:rsidR="005F6356">
        <w:rPr>
          <w:rFonts w:ascii="Constantia" w:hAnsi="Constantia"/>
        </w:rPr>
        <w:t>,</w:t>
      </w:r>
      <w:r w:rsidRPr="00E05A68">
        <w:rPr>
          <w:rFonts w:ascii="Constantia" w:hAnsi="Constantia"/>
        </w:rPr>
        <w:t xml:space="preserve"> dok obaveza praćenja stanja očuvanosti prirode proističe iz Zakona o zaštiti prirode (“Sl.</w:t>
      </w:r>
      <w:r w:rsidR="005F6356">
        <w:rPr>
          <w:rFonts w:ascii="Constantia" w:hAnsi="Constantia"/>
        </w:rPr>
        <w:t xml:space="preserve"> </w:t>
      </w:r>
      <w:r w:rsidRPr="00E05A68">
        <w:rPr>
          <w:rFonts w:ascii="Constantia" w:hAnsi="Constantia"/>
        </w:rPr>
        <w:t>list CG”, br. 51/08, 21/09 član 30,</w:t>
      </w:r>
      <w:r w:rsidR="005F6356">
        <w:rPr>
          <w:rFonts w:ascii="Constantia" w:hAnsi="Constantia"/>
        </w:rPr>
        <w:t xml:space="preserve"> </w:t>
      </w:r>
      <w:r w:rsidRPr="00E05A68">
        <w:rPr>
          <w:rFonts w:ascii="Constantia" w:hAnsi="Constantia"/>
        </w:rPr>
        <w:t>17 i 77). Shodno Zakonu o zaštiti prirode</w:t>
      </w:r>
      <w:r w:rsidR="0000016C">
        <w:rPr>
          <w:rFonts w:ascii="Constantia" w:hAnsi="Constantia"/>
        </w:rPr>
        <w:t>,</w:t>
      </w:r>
      <w:r w:rsidRPr="00E05A68">
        <w:rPr>
          <w:rFonts w:ascii="Constantia" w:hAnsi="Constantia"/>
        </w:rPr>
        <w:t xml:space="preserve"> Program monitoringa očuvanosti prirode naročito obuhvata:</w:t>
      </w:r>
    </w:p>
    <w:p w:rsidR="004B071C" w:rsidRPr="00E05A68" w:rsidRDefault="004B071C" w:rsidP="001F40AF">
      <w:pPr>
        <w:pStyle w:val="ListParagraph"/>
        <w:numPr>
          <w:ilvl w:val="0"/>
          <w:numId w:val="27"/>
        </w:numPr>
        <w:rPr>
          <w:rFonts w:ascii="Constantia" w:hAnsi="Constantia"/>
        </w:rPr>
      </w:pPr>
      <w:r w:rsidRPr="00E05A68">
        <w:rPr>
          <w:rFonts w:ascii="Constantia" w:hAnsi="Constantia"/>
        </w:rPr>
        <w:t>praćenje i ocjenu stanja divljih vrsta biljaka, životinja i gljiva, njihovih staništa, stanišnih tipova, ekološki značajnih područja, ekosistema, ekološke mreže, kao i tipova predjela;</w:t>
      </w:r>
    </w:p>
    <w:p w:rsidR="004B071C" w:rsidRPr="00E05A68" w:rsidRDefault="004B071C" w:rsidP="001F40AF">
      <w:pPr>
        <w:pStyle w:val="ListParagraph"/>
        <w:numPr>
          <w:ilvl w:val="0"/>
          <w:numId w:val="27"/>
        </w:numPr>
        <w:rPr>
          <w:rFonts w:ascii="Constantia" w:hAnsi="Constantia"/>
        </w:rPr>
      </w:pPr>
      <w:r w:rsidRPr="00E05A68">
        <w:rPr>
          <w:rFonts w:ascii="Constantia" w:hAnsi="Constantia"/>
        </w:rPr>
        <w:t>praćenje stanja zaštićenih prirodnih dobara;</w:t>
      </w:r>
    </w:p>
    <w:p w:rsidR="004B071C" w:rsidRPr="00E05A68" w:rsidRDefault="004B071C" w:rsidP="001F40AF">
      <w:pPr>
        <w:pStyle w:val="ListParagraph"/>
        <w:numPr>
          <w:ilvl w:val="0"/>
          <w:numId w:val="27"/>
        </w:numPr>
        <w:rPr>
          <w:rFonts w:ascii="Constantia" w:hAnsi="Constantia"/>
        </w:rPr>
      </w:pPr>
      <w:r w:rsidRPr="00E05A68">
        <w:rPr>
          <w:rFonts w:ascii="Constantia" w:hAnsi="Constantia"/>
        </w:rPr>
        <w:t>druge elemente od značaja za praćenje stanja očuvanosti prirode.</w:t>
      </w:r>
    </w:p>
    <w:p w:rsidR="004B071C" w:rsidRDefault="004B071C" w:rsidP="0000016C">
      <w:pPr>
        <w:spacing w:before="240"/>
        <w:rPr>
          <w:rFonts w:ascii="Constantia" w:hAnsi="Constantia"/>
          <w:lang w:val="sr-Latn-CS"/>
        </w:rPr>
      </w:pPr>
      <w:r w:rsidRPr="00E05A68">
        <w:rPr>
          <w:rFonts w:ascii="Constantia" w:hAnsi="Constantia"/>
          <w:lang w:val="sr-Latn-CS"/>
        </w:rPr>
        <w:t xml:space="preserve">Programom praćenja stanja biodiverziteta za 2013. godinu obuhvaćene su </w:t>
      </w:r>
      <w:r w:rsidR="0000016C">
        <w:rPr>
          <w:rFonts w:ascii="Constantia" w:hAnsi="Constantia"/>
          <w:lang w:val="sr-Latn-CS"/>
        </w:rPr>
        <w:t xml:space="preserve">sledeće </w:t>
      </w:r>
      <w:r w:rsidRPr="00E05A68">
        <w:rPr>
          <w:rFonts w:ascii="Constantia" w:hAnsi="Constantia"/>
          <w:lang w:val="sr-Latn-CS"/>
        </w:rPr>
        <w:t>lokacije:</w:t>
      </w:r>
    </w:p>
    <w:p w:rsidR="0032378A" w:rsidRPr="00E05A68" w:rsidRDefault="0032378A" w:rsidP="0032378A">
      <w:pPr>
        <w:spacing w:after="0"/>
        <w:rPr>
          <w:rFonts w:ascii="Constantia" w:hAnsi="Constantia"/>
          <w:lang w:val="sr-Latn-CS"/>
        </w:rPr>
      </w:pPr>
    </w:p>
    <w:tbl>
      <w:tblPr>
        <w:tblW w:w="9090" w:type="dxa"/>
        <w:tblInd w:w="108"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000" w:firstRow="0" w:lastRow="0" w:firstColumn="0" w:lastColumn="0" w:noHBand="0" w:noVBand="0"/>
      </w:tblPr>
      <w:tblGrid>
        <w:gridCol w:w="3240"/>
        <w:gridCol w:w="5850"/>
      </w:tblGrid>
      <w:tr w:rsidR="004B071C" w:rsidRPr="0032378A" w:rsidTr="00815B20">
        <w:trPr>
          <w:trHeight w:val="396"/>
        </w:trPr>
        <w:tc>
          <w:tcPr>
            <w:tcW w:w="3240" w:type="dxa"/>
            <w:tcBorders>
              <w:top w:val="single" w:sz="8" w:space="0" w:color="FFFFFF"/>
              <w:left w:val="single" w:sz="8" w:space="0" w:color="FFFFFF"/>
              <w:bottom w:val="nil"/>
              <w:right w:val="single" w:sz="8" w:space="0" w:color="FFFFFF"/>
            </w:tcBorders>
            <w:shd w:val="clear" w:color="auto" w:fill="CCE9AF"/>
          </w:tcPr>
          <w:p w:rsidR="004B071C" w:rsidRPr="0032378A" w:rsidRDefault="004B071C" w:rsidP="00815B20">
            <w:pPr>
              <w:autoSpaceDE w:val="0"/>
              <w:autoSpaceDN w:val="0"/>
              <w:adjustRightInd w:val="0"/>
              <w:spacing w:after="100" w:afterAutospacing="1"/>
              <w:jc w:val="center"/>
              <w:rPr>
                <w:rFonts w:ascii="Constantia" w:hAnsi="Constantia" w:cs="Arial"/>
                <w:b/>
                <w:color w:val="000000"/>
                <w:szCs w:val="22"/>
              </w:rPr>
            </w:pPr>
            <w:r w:rsidRPr="0032378A">
              <w:rPr>
                <w:rFonts w:ascii="Constantia" w:hAnsi="Constantia" w:cs="Arial"/>
                <w:b/>
                <w:color w:val="000000"/>
                <w:szCs w:val="22"/>
                <w:lang w:val="en-GB"/>
              </w:rPr>
              <w:t>Naziv</w:t>
            </w:r>
            <w:r w:rsidRPr="0032378A">
              <w:rPr>
                <w:rFonts w:ascii="Constantia" w:hAnsi="Constantia" w:cs="Arial"/>
                <w:b/>
                <w:color w:val="000000"/>
                <w:szCs w:val="22"/>
                <w:lang w:val="sr-Latn-CS"/>
              </w:rPr>
              <w:t xml:space="preserve"> područja</w:t>
            </w:r>
          </w:p>
        </w:tc>
        <w:tc>
          <w:tcPr>
            <w:tcW w:w="5850" w:type="dxa"/>
            <w:tcBorders>
              <w:top w:val="single" w:sz="8" w:space="0" w:color="FFFFFF"/>
              <w:left w:val="single" w:sz="8" w:space="0" w:color="FFFFFF"/>
              <w:bottom w:val="single" w:sz="8" w:space="0" w:color="FFFFFF"/>
              <w:right w:val="single" w:sz="8" w:space="0" w:color="FFFFFF"/>
            </w:tcBorders>
            <w:shd w:val="clear" w:color="auto" w:fill="CCE9AF"/>
          </w:tcPr>
          <w:p w:rsidR="004B071C" w:rsidRPr="0032378A" w:rsidRDefault="004B071C" w:rsidP="00815B20">
            <w:pPr>
              <w:autoSpaceDE w:val="0"/>
              <w:autoSpaceDN w:val="0"/>
              <w:adjustRightInd w:val="0"/>
              <w:spacing w:after="100" w:afterAutospacing="1"/>
              <w:jc w:val="center"/>
              <w:rPr>
                <w:rFonts w:ascii="Constantia" w:hAnsi="Constantia" w:cs="Arial"/>
                <w:b/>
                <w:color w:val="000000"/>
                <w:szCs w:val="22"/>
              </w:rPr>
            </w:pPr>
            <w:r w:rsidRPr="0032378A">
              <w:rPr>
                <w:rFonts w:ascii="Constantia" w:hAnsi="Constantia" w:cs="Arial"/>
                <w:b/>
                <w:color w:val="000000"/>
                <w:szCs w:val="22"/>
              </w:rPr>
              <w:t>Obrazloženje</w:t>
            </w:r>
          </w:p>
        </w:tc>
      </w:tr>
      <w:tr w:rsidR="004B071C" w:rsidRPr="0032378A" w:rsidTr="00815B20">
        <w:trPr>
          <w:trHeight w:val="222"/>
        </w:trPr>
        <w:tc>
          <w:tcPr>
            <w:tcW w:w="3240" w:type="dxa"/>
            <w:tcBorders>
              <w:top w:val="single" w:sz="8" w:space="0" w:color="FFFFFF"/>
              <w:left w:val="single" w:sz="8" w:space="0" w:color="FFFFFF"/>
              <w:bottom w:val="nil"/>
              <w:right w:val="single" w:sz="8" w:space="0" w:color="FFFFFF"/>
            </w:tcBorders>
            <w:shd w:val="clear" w:color="auto" w:fill="CCE9AF"/>
          </w:tcPr>
          <w:p w:rsidR="004B071C" w:rsidRPr="0032378A" w:rsidRDefault="004B071C" w:rsidP="0032378A">
            <w:pPr>
              <w:autoSpaceDE w:val="0"/>
              <w:autoSpaceDN w:val="0"/>
              <w:adjustRightInd w:val="0"/>
              <w:spacing w:after="0"/>
              <w:jc w:val="left"/>
              <w:rPr>
                <w:rFonts w:ascii="Constantia" w:hAnsi="Constantia" w:cs="Arial"/>
                <w:color w:val="000000"/>
                <w:szCs w:val="22"/>
                <w:lang w:val="en-GB"/>
              </w:rPr>
            </w:pPr>
            <w:r w:rsidRPr="0032378A">
              <w:rPr>
                <w:rFonts w:ascii="Constantia" w:hAnsi="Constantia" w:cs="Arial"/>
                <w:color w:val="000000"/>
                <w:szCs w:val="22"/>
                <w:lang w:val="en-GB"/>
              </w:rPr>
              <w:t>Rijeka Morača (Zlatica, Raslovići, Milunovići, Andrijevo)</w:t>
            </w:r>
          </w:p>
        </w:tc>
        <w:tc>
          <w:tcPr>
            <w:tcW w:w="5850" w:type="dxa"/>
            <w:tcBorders>
              <w:top w:val="single" w:sz="8" w:space="0" w:color="FFFFFF"/>
              <w:left w:val="single" w:sz="8" w:space="0" w:color="FFFFFF"/>
              <w:bottom w:val="single" w:sz="8" w:space="0" w:color="FFFFFF"/>
              <w:right w:val="single" w:sz="8" w:space="0" w:color="FFFFFF"/>
            </w:tcBorders>
            <w:shd w:val="clear" w:color="auto" w:fill="CCE9AF"/>
          </w:tcPr>
          <w:p w:rsidR="004B071C" w:rsidRPr="0032378A" w:rsidRDefault="004B071C" w:rsidP="0032378A">
            <w:pPr>
              <w:autoSpaceDE w:val="0"/>
              <w:autoSpaceDN w:val="0"/>
              <w:adjustRightInd w:val="0"/>
              <w:spacing w:after="0"/>
              <w:rPr>
                <w:rFonts w:ascii="Constantia" w:hAnsi="Constantia" w:cs="Arial"/>
                <w:color w:val="000000"/>
                <w:szCs w:val="22"/>
                <w:lang w:val="en-GB"/>
              </w:rPr>
            </w:pPr>
            <w:r w:rsidRPr="0032378A">
              <w:rPr>
                <w:rFonts w:ascii="Constantia" w:hAnsi="Constantia" w:cs="Arial"/>
                <w:color w:val="000000"/>
                <w:szCs w:val="22"/>
                <w:lang w:val="en-GB"/>
              </w:rPr>
              <w:t>U Prostornom planu Crne Gore do 2020. g</w:t>
            </w:r>
            <w:r w:rsidR="004B2DF0" w:rsidRPr="0032378A">
              <w:rPr>
                <w:rFonts w:ascii="Constantia" w:hAnsi="Constantia" w:cs="Arial"/>
                <w:color w:val="000000"/>
                <w:szCs w:val="22"/>
                <w:lang w:val="en-GB"/>
              </w:rPr>
              <w:t>.</w:t>
            </w:r>
            <w:r w:rsidRPr="0032378A">
              <w:rPr>
                <w:rFonts w:ascii="Constantia" w:hAnsi="Constantia" w:cs="Arial"/>
                <w:color w:val="000000"/>
                <w:szCs w:val="22"/>
                <w:lang w:val="en-GB"/>
              </w:rPr>
              <w:t xml:space="preserve">  ("Sl. list CG", br. 24/08) područje preporučeno za zaštitu u kategoriji “Spomenici prirode i predijeli posebnih prirodnih odlika” (Platije);</w:t>
            </w:r>
          </w:p>
        </w:tc>
      </w:tr>
      <w:tr w:rsidR="004B071C" w:rsidRPr="0032378A" w:rsidTr="00815B20">
        <w:trPr>
          <w:trHeight w:val="222"/>
        </w:trPr>
        <w:tc>
          <w:tcPr>
            <w:tcW w:w="3240" w:type="dxa"/>
            <w:tcBorders>
              <w:top w:val="single" w:sz="8" w:space="0" w:color="FFFFFF"/>
              <w:left w:val="single" w:sz="8" w:space="0" w:color="FFFFFF"/>
              <w:bottom w:val="nil"/>
              <w:right w:val="single" w:sz="8" w:space="0" w:color="FFFFFF"/>
            </w:tcBorders>
            <w:shd w:val="clear" w:color="auto" w:fill="CCE9AF"/>
          </w:tcPr>
          <w:p w:rsidR="004B071C" w:rsidRPr="0032378A" w:rsidRDefault="004B071C" w:rsidP="0032378A">
            <w:pPr>
              <w:autoSpaceDE w:val="0"/>
              <w:autoSpaceDN w:val="0"/>
              <w:adjustRightInd w:val="0"/>
              <w:spacing w:after="0"/>
              <w:jc w:val="left"/>
              <w:rPr>
                <w:rFonts w:ascii="Constantia" w:hAnsi="Constantia" w:cs="Arial"/>
                <w:color w:val="000000"/>
                <w:szCs w:val="22"/>
                <w:lang w:val="en-GB"/>
              </w:rPr>
            </w:pPr>
            <w:r w:rsidRPr="0032378A">
              <w:rPr>
                <w:rFonts w:ascii="Constantia" w:hAnsi="Constantia" w:cs="Arial"/>
                <w:color w:val="000000"/>
                <w:szCs w:val="22"/>
                <w:lang w:val="en-GB"/>
              </w:rPr>
              <w:t xml:space="preserve">Komarnica </w:t>
            </w:r>
          </w:p>
        </w:tc>
        <w:tc>
          <w:tcPr>
            <w:tcW w:w="5850" w:type="dxa"/>
            <w:tcBorders>
              <w:top w:val="single" w:sz="8" w:space="0" w:color="FFFFFF"/>
              <w:left w:val="single" w:sz="8" w:space="0" w:color="FFFFFF"/>
              <w:right w:val="single" w:sz="8" w:space="0" w:color="FFFFFF"/>
            </w:tcBorders>
            <w:shd w:val="clear" w:color="auto" w:fill="CCE9AF"/>
          </w:tcPr>
          <w:p w:rsidR="004B071C" w:rsidRPr="0032378A" w:rsidRDefault="004B071C" w:rsidP="0032378A">
            <w:pPr>
              <w:autoSpaceDE w:val="0"/>
              <w:autoSpaceDN w:val="0"/>
              <w:adjustRightInd w:val="0"/>
              <w:spacing w:after="0"/>
              <w:rPr>
                <w:rFonts w:ascii="Constantia" w:hAnsi="Constantia" w:cs="Arial"/>
                <w:color w:val="000000"/>
                <w:szCs w:val="22"/>
                <w:lang w:val="en-GB"/>
              </w:rPr>
            </w:pPr>
            <w:r w:rsidRPr="0032378A">
              <w:rPr>
                <w:rFonts w:ascii="Constantia" w:hAnsi="Constantia" w:cs="Arial"/>
                <w:color w:val="000000"/>
                <w:szCs w:val="22"/>
                <w:lang w:val="en-GB"/>
              </w:rPr>
              <w:t>Emerald područje , IPA (Važno stanište za biljke);</w:t>
            </w:r>
          </w:p>
        </w:tc>
      </w:tr>
      <w:tr w:rsidR="004B071C" w:rsidRPr="0032378A" w:rsidTr="00815B20">
        <w:trPr>
          <w:trHeight w:val="222"/>
        </w:trPr>
        <w:tc>
          <w:tcPr>
            <w:tcW w:w="3240" w:type="dxa"/>
            <w:tcBorders>
              <w:top w:val="single" w:sz="8" w:space="0" w:color="FFFFFF"/>
              <w:left w:val="single" w:sz="8" w:space="0" w:color="FFFFFF"/>
              <w:bottom w:val="nil"/>
              <w:right w:val="single" w:sz="8" w:space="0" w:color="FFFFFF"/>
            </w:tcBorders>
            <w:shd w:val="clear" w:color="auto" w:fill="CCE9AF"/>
          </w:tcPr>
          <w:p w:rsidR="004B071C" w:rsidRPr="0032378A" w:rsidRDefault="004B071C" w:rsidP="0032378A">
            <w:pPr>
              <w:autoSpaceDE w:val="0"/>
              <w:autoSpaceDN w:val="0"/>
              <w:adjustRightInd w:val="0"/>
              <w:spacing w:after="0"/>
              <w:jc w:val="left"/>
              <w:rPr>
                <w:rFonts w:ascii="Constantia" w:hAnsi="Constantia" w:cs="Arial"/>
                <w:color w:val="000000"/>
                <w:szCs w:val="22"/>
                <w:lang w:val="en-GB"/>
              </w:rPr>
            </w:pPr>
            <w:r w:rsidRPr="0032378A">
              <w:rPr>
                <w:rFonts w:ascii="Constantia" w:hAnsi="Constantia" w:cs="Arial"/>
                <w:color w:val="000000"/>
                <w:szCs w:val="22"/>
                <w:lang w:val="en-GB"/>
              </w:rPr>
              <w:t>Kanjon rijeke Mrtvice</w:t>
            </w:r>
          </w:p>
        </w:tc>
        <w:tc>
          <w:tcPr>
            <w:tcW w:w="5850" w:type="dxa"/>
            <w:tcBorders>
              <w:top w:val="single" w:sz="8" w:space="0" w:color="FFFFFF"/>
              <w:left w:val="single" w:sz="8" w:space="0" w:color="FFFFFF"/>
              <w:bottom w:val="single" w:sz="8" w:space="0" w:color="FFFFFF"/>
              <w:right w:val="single" w:sz="8" w:space="0" w:color="FFFFFF"/>
            </w:tcBorders>
            <w:shd w:val="clear" w:color="auto" w:fill="CCE9AF"/>
          </w:tcPr>
          <w:p w:rsidR="004B071C" w:rsidRPr="0032378A" w:rsidRDefault="004B071C" w:rsidP="0032378A">
            <w:pPr>
              <w:autoSpaceDE w:val="0"/>
              <w:autoSpaceDN w:val="0"/>
              <w:adjustRightInd w:val="0"/>
              <w:spacing w:after="0"/>
              <w:rPr>
                <w:rFonts w:ascii="Constantia" w:hAnsi="Constantia" w:cs="Arial"/>
                <w:color w:val="000000"/>
                <w:szCs w:val="22"/>
                <w:lang w:val="en-GB"/>
              </w:rPr>
            </w:pPr>
            <w:r w:rsidRPr="0032378A">
              <w:rPr>
                <w:rFonts w:ascii="Constantia" w:eastAsia="Calibri" w:hAnsi="Constantia" w:cs="Arial"/>
                <w:bCs/>
                <w:szCs w:val="22"/>
              </w:rPr>
              <w:t>U Izmjenama i dopunama Prostornog plana Crne Gore do 2020. u tački C2.9.2-4 područje preporučeno za zaštitu kao “Spomenik prirode ili predio posebnih prirodnih odlika”, EMERALD područje, Važno stanište za biljke (IPA);</w:t>
            </w:r>
          </w:p>
        </w:tc>
      </w:tr>
      <w:tr w:rsidR="004B071C" w:rsidRPr="0032378A" w:rsidTr="00815B20">
        <w:trPr>
          <w:trHeight w:val="222"/>
        </w:trPr>
        <w:tc>
          <w:tcPr>
            <w:tcW w:w="3240" w:type="dxa"/>
            <w:tcBorders>
              <w:left w:val="single" w:sz="8" w:space="0" w:color="FFFFFF"/>
              <w:right w:val="single" w:sz="8" w:space="0" w:color="FFFFFF"/>
            </w:tcBorders>
            <w:shd w:val="clear" w:color="auto" w:fill="CCE9AF"/>
          </w:tcPr>
          <w:p w:rsidR="004B071C" w:rsidRPr="0032378A" w:rsidRDefault="004B071C" w:rsidP="0032378A">
            <w:pPr>
              <w:autoSpaceDE w:val="0"/>
              <w:autoSpaceDN w:val="0"/>
              <w:adjustRightInd w:val="0"/>
              <w:spacing w:after="0"/>
              <w:jc w:val="left"/>
              <w:rPr>
                <w:rFonts w:ascii="Constantia" w:hAnsi="Constantia" w:cs="Arial"/>
                <w:color w:val="000000"/>
                <w:szCs w:val="22"/>
                <w:lang w:val="en-GB"/>
              </w:rPr>
            </w:pPr>
            <w:r w:rsidRPr="0032378A">
              <w:rPr>
                <w:rFonts w:ascii="Constantia" w:hAnsi="Constantia" w:cs="Arial"/>
                <w:color w:val="000000"/>
                <w:szCs w:val="22"/>
                <w:lang w:val="en-GB"/>
              </w:rPr>
              <w:t>Rijeka Lim sa pritokama (Komarača,</w:t>
            </w:r>
            <w:r w:rsidR="004B2DF0" w:rsidRPr="0032378A">
              <w:rPr>
                <w:rFonts w:ascii="Constantia" w:hAnsi="Constantia" w:cs="Arial"/>
                <w:color w:val="000000"/>
                <w:szCs w:val="22"/>
                <w:lang w:val="en-GB"/>
              </w:rPr>
              <w:t xml:space="preserve"> </w:t>
            </w:r>
            <w:r w:rsidRPr="0032378A">
              <w:rPr>
                <w:rFonts w:ascii="Constantia" w:hAnsi="Constantia" w:cs="Arial"/>
                <w:color w:val="000000"/>
                <w:szCs w:val="22"/>
                <w:lang w:val="en-GB"/>
              </w:rPr>
              <w:t>Murinska rijeka, Vrelo, Bradavec, Babinopoljska rijeka, Trepačka rijeka)</w:t>
            </w:r>
          </w:p>
        </w:tc>
        <w:tc>
          <w:tcPr>
            <w:tcW w:w="5850" w:type="dxa"/>
            <w:tcBorders>
              <w:left w:val="single" w:sz="8" w:space="0" w:color="FFFFFF"/>
              <w:right w:val="single" w:sz="8" w:space="0" w:color="FFFFFF"/>
            </w:tcBorders>
            <w:shd w:val="clear" w:color="auto" w:fill="CCE9AF"/>
          </w:tcPr>
          <w:p w:rsidR="004B071C" w:rsidRPr="0032378A" w:rsidRDefault="004B071C" w:rsidP="0032378A">
            <w:pPr>
              <w:autoSpaceDE w:val="0"/>
              <w:autoSpaceDN w:val="0"/>
              <w:adjustRightInd w:val="0"/>
              <w:spacing w:after="0"/>
              <w:rPr>
                <w:rFonts w:ascii="Constantia" w:hAnsi="Constantia" w:cs="Arial"/>
                <w:color w:val="000000"/>
                <w:szCs w:val="22"/>
                <w:lang w:val="en-GB"/>
              </w:rPr>
            </w:pPr>
            <w:r w:rsidRPr="0032378A">
              <w:rPr>
                <w:rFonts w:ascii="Constantia" w:hAnsi="Constantia" w:cs="Arial"/>
                <w:color w:val="000000"/>
                <w:szCs w:val="22"/>
                <w:lang w:val="en-GB"/>
              </w:rPr>
              <w:t>Emerald područje, Važno stanište za biljke (IPA);</w:t>
            </w:r>
          </w:p>
        </w:tc>
      </w:tr>
      <w:tr w:rsidR="004B071C" w:rsidRPr="0032378A" w:rsidTr="00815B20">
        <w:trPr>
          <w:trHeight w:val="222"/>
        </w:trPr>
        <w:tc>
          <w:tcPr>
            <w:tcW w:w="3240" w:type="dxa"/>
            <w:tcBorders>
              <w:left w:val="single" w:sz="8" w:space="0" w:color="FFFFFF"/>
              <w:bottom w:val="single" w:sz="8" w:space="0" w:color="FFFFFF"/>
              <w:right w:val="single" w:sz="8" w:space="0" w:color="FFFFFF"/>
            </w:tcBorders>
            <w:shd w:val="clear" w:color="auto" w:fill="CCE9AF"/>
          </w:tcPr>
          <w:p w:rsidR="004B071C" w:rsidRPr="0032378A" w:rsidRDefault="004B071C" w:rsidP="0032378A">
            <w:pPr>
              <w:autoSpaceDE w:val="0"/>
              <w:autoSpaceDN w:val="0"/>
              <w:adjustRightInd w:val="0"/>
              <w:spacing w:after="0"/>
              <w:jc w:val="left"/>
              <w:rPr>
                <w:rFonts w:ascii="Constantia" w:hAnsi="Constantia" w:cs="Arial"/>
                <w:color w:val="000000"/>
                <w:szCs w:val="22"/>
                <w:lang w:val="en-GB"/>
              </w:rPr>
            </w:pPr>
            <w:r w:rsidRPr="0032378A">
              <w:rPr>
                <w:rFonts w:ascii="Constantia" w:hAnsi="Constantia" w:cs="Arial"/>
                <w:color w:val="000000"/>
                <w:szCs w:val="22"/>
                <w:lang w:val="en-GB"/>
              </w:rPr>
              <w:t>Skadarsko jezero*</w:t>
            </w:r>
          </w:p>
        </w:tc>
        <w:tc>
          <w:tcPr>
            <w:tcW w:w="5850" w:type="dxa"/>
            <w:tcBorders>
              <w:left w:val="single" w:sz="8" w:space="0" w:color="FFFFFF"/>
              <w:right w:val="single" w:sz="8" w:space="0" w:color="FFFFFF"/>
            </w:tcBorders>
            <w:shd w:val="clear" w:color="auto" w:fill="CCE9AF"/>
          </w:tcPr>
          <w:p w:rsidR="004B071C" w:rsidRPr="0032378A" w:rsidRDefault="004B071C" w:rsidP="0032378A">
            <w:pPr>
              <w:autoSpaceDE w:val="0"/>
              <w:autoSpaceDN w:val="0"/>
              <w:adjustRightInd w:val="0"/>
              <w:spacing w:after="0"/>
              <w:rPr>
                <w:rFonts w:ascii="Constantia" w:hAnsi="Constantia" w:cs="Arial"/>
                <w:color w:val="000000"/>
                <w:szCs w:val="22"/>
              </w:rPr>
            </w:pPr>
            <w:r w:rsidRPr="0032378A">
              <w:rPr>
                <w:rFonts w:ascii="Constantia" w:hAnsi="Constantia" w:cs="Arial"/>
                <w:color w:val="000000"/>
                <w:szCs w:val="22"/>
                <w:lang w:val="en-GB"/>
              </w:rPr>
              <w:t xml:space="preserve">Nacionalni park, </w:t>
            </w:r>
            <w:r w:rsidR="004B2DF0" w:rsidRPr="0032378A">
              <w:rPr>
                <w:rFonts w:ascii="Constantia" w:hAnsi="Constantia" w:cs="Arial"/>
                <w:color w:val="000000"/>
                <w:szCs w:val="22"/>
                <w:lang w:val="en-GB"/>
              </w:rPr>
              <w:t>Emerald područje, IPA (v</w:t>
            </w:r>
            <w:r w:rsidRPr="0032378A">
              <w:rPr>
                <w:rFonts w:ascii="Constantia" w:hAnsi="Constantia" w:cs="Arial"/>
                <w:color w:val="000000"/>
                <w:szCs w:val="22"/>
                <w:lang w:val="en-GB"/>
              </w:rPr>
              <w:t xml:space="preserve">ažno stanište za biljke); IBA </w:t>
            </w:r>
            <w:r w:rsidR="004B2DF0" w:rsidRPr="0032378A">
              <w:rPr>
                <w:rFonts w:ascii="Constantia" w:hAnsi="Constantia" w:cs="Arial"/>
                <w:color w:val="000000"/>
                <w:szCs w:val="22"/>
              </w:rPr>
              <w:t>(važ</w:t>
            </w:r>
            <w:r w:rsidRPr="0032378A">
              <w:rPr>
                <w:rFonts w:ascii="Constantia" w:hAnsi="Constantia" w:cs="Arial"/>
                <w:color w:val="000000"/>
                <w:szCs w:val="22"/>
              </w:rPr>
              <w:t>no stanište za ptice)</w:t>
            </w:r>
          </w:p>
        </w:tc>
      </w:tr>
    </w:tbl>
    <w:p w:rsidR="004B071C" w:rsidRPr="002C44CA" w:rsidRDefault="004B071C" w:rsidP="004B071C">
      <w:pPr>
        <w:pStyle w:val="Tabele"/>
        <w:spacing w:before="60" w:after="240"/>
        <w:ind w:left="714" w:hanging="357"/>
        <w:rPr>
          <w:rFonts w:ascii="Constantia" w:hAnsi="Constantia"/>
          <w:sz w:val="22"/>
          <w:szCs w:val="22"/>
        </w:rPr>
      </w:pPr>
      <w:r w:rsidRPr="002C44CA">
        <w:rPr>
          <w:rFonts w:ascii="Constantia" w:hAnsi="Constantia"/>
          <w:sz w:val="22"/>
          <w:szCs w:val="22"/>
        </w:rPr>
        <w:t>Lokacije</w:t>
      </w:r>
      <w:r w:rsidR="002C44CA" w:rsidRPr="002C44CA">
        <w:rPr>
          <w:rFonts w:ascii="Constantia" w:hAnsi="Constantia"/>
          <w:sz w:val="22"/>
          <w:szCs w:val="22"/>
        </w:rPr>
        <w:t xml:space="preserve"> obuhvaćene Programom monitoringa biodiverziteta za 2013</w:t>
      </w:r>
      <w:r w:rsidRPr="002C44CA">
        <w:rPr>
          <w:rFonts w:ascii="Constantia" w:hAnsi="Constantia"/>
          <w:sz w:val="22"/>
          <w:szCs w:val="22"/>
        </w:rPr>
        <w:t xml:space="preserve"> </w:t>
      </w:r>
    </w:p>
    <w:p w:rsidR="004B071C" w:rsidRPr="0000016C" w:rsidRDefault="0000016C" w:rsidP="0000016C">
      <w:pPr>
        <w:rPr>
          <w:rFonts w:ascii="Constantia" w:hAnsi="Constantia"/>
          <w:lang w:val="sr-Latn-CS"/>
        </w:rPr>
      </w:pPr>
      <w:r w:rsidRPr="0000016C">
        <w:rPr>
          <w:rFonts w:ascii="Constantia" w:hAnsi="Constantia"/>
          <w:lang w:val="sr-Latn-CS"/>
        </w:rPr>
        <w:t xml:space="preserve">* Napomena: </w:t>
      </w:r>
      <w:r w:rsidR="004B071C" w:rsidRPr="0000016C">
        <w:rPr>
          <w:rFonts w:ascii="Constantia" w:hAnsi="Constantia"/>
          <w:lang w:val="sr-Latn-CS"/>
        </w:rPr>
        <w:t>Program monitoringa Skadarskog jezera realizovan je u sklopu projekta „Očuvanje i održivo korišćenje biodiverziteta na područjima Prespanskog, Ohridskog i Skadarskog jezera“</w:t>
      </w:r>
      <w:r>
        <w:rPr>
          <w:rFonts w:ascii="Constantia" w:hAnsi="Constantia"/>
          <w:lang w:val="sr-Latn-CS"/>
        </w:rPr>
        <w:t>,</w:t>
      </w:r>
      <w:r w:rsidR="004B071C" w:rsidRPr="0000016C">
        <w:rPr>
          <w:rFonts w:ascii="Constantia" w:hAnsi="Constantia"/>
          <w:lang w:val="sr-Latn-CS"/>
        </w:rPr>
        <w:t xml:space="preserve"> uz finansijsku podršku Njemačke Vlade preko kancelarije GIZ. U realizaciji programa učestvovali su ekspertski timovi Nacionalnih Parkova Crne Gore i Agencije za zaštitu životne sredine.</w:t>
      </w:r>
    </w:p>
    <w:p w:rsidR="004B071C" w:rsidRPr="00F84A21" w:rsidRDefault="004B071C" w:rsidP="00BF3C01">
      <w:pPr>
        <w:pStyle w:val="Heading2"/>
        <w:ind w:left="720"/>
        <w:rPr>
          <w:lang w:val="sr-Latn-CS"/>
        </w:rPr>
      </w:pPr>
      <w:bookmarkStart w:id="133" w:name="_Toc290504116"/>
      <w:bookmarkStart w:id="134" w:name="_Toc393897918"/>
      <w:r w:rsidRPr="00FF1204">
        <w:lastRenderedPageBreak/>
        <w:t>Nacionalno</w:t>
      </w:r>
      <w:r w:rsidRPr="00F84A21">
        <w:rPr>
          <w:lang w:val="sr-Latn-CS"/>
        </w:rPr>
        <w:t xml:space="preserve"> zakonodavstvo</w:t>
      </w:r>
      <w:bookmarkEnd w:id="133"/>
      <w:bookmarkEnd w:id="134"/>
    </w:p>
    <w:p w:rsidR="004B071C" w:rsidRPr="00FF1204" w:rsidRDefault="004B071C" w:rsidP="00A50466">
      <w:pPr>
        <w:numPr>
          <w:ilvl w:val="0"/>
          <w:numId w:val="22"/>
        </w:numPr>
        <w:spacing w:after="0"/>
        <w:rPr>
          <w:rFonts w:ascii="Constantia" w:hAnsi="Constantia"/>
          <w:lang w:val="sr-Latn-CS"/>
        </w:rPr>
      </w:pPr>
      <w:r w:rsidRPr="00FF1204">
        <w:rPr>
          <w:rFonts w:ascii="Constantia" w:hAnsi="Constantia"/>
          <w:lang w:val="sr-Latn-CS"/>
        </w:rPr>
        <w:t>Zakon o životnoj sredini ("Sl. list RCG" br. 48/08, član 32.)</w:t>
      </w:r>
    </w:p>
    <w:p w:rsidR="004B071C" w:rsidRPr="00FF1204" w:rsidRDefault="004B071C" w:rsidP="00A50466">
      <w:pPr>
        <w:numPr>
          <w:ilvl w:val="0"/>
          <w:numId w:val="22"/>
        </w:numPr>
        <w:spacing w:after="0"/>
        <w:rPr>
          <w:rFonts w:ascii="Constantia" w:hAnsi="Constantia"/>
          <w:lang w:val="sr-Latn-CS"/>
        </w:rPr>
      </w:pPr>
      <w:r w:rsidRPr="00FF1204">
        <w:rPr>
          <w:rFonts w:ascii="Constantia" w:hAnsi="Constantia"/>
          <w:lang w:val="sr-Latn-CS"/>
        </w:rPr>
        <w:t>Zakon o zaštiti prirode ("Sl. list CG", br. 51/08, 21/09)</w:t>
      </w:r>
    </w:p>
    <w:p w:rsidR="004B071C" w:rsidRPr="00FF1204" w:rsidRDefault="004B071C" w:rsidP="00A50466">
      <w:pPr>
        <w:numPr>
          <w:ilvl w:val="0"/>
          <w:numId w:val="22"/>
        </w:numPr>
        <w:spacing w:after="0"/>
        <w:rPr>
          <w:rFonts w:ascii="Constantia" w:hAnsi="Constantia"/>
          <w:lang w:val="sr-Latn-CS"/>
        </w:rPr>
      </w:pPr>
      <w:r w:rsidRPr="00FF1204">
        <w:rPr>
          <w:rFonts w:ascii="Constantia" w:hAnsi="Constantia"/>
          <w:lang w:val="sr-Latn-CS"/>
        </w:rPr>
        <w:t>Pravilnik o vrstama i kriterijumima za određivanje stanišnih tipova, načinu izrade karte staništa, načinu praćenja stanja i ugroženosti staništa, sadržaju godišnjeg izvještaja, mjerama zaštite i očuvanja stanišnih tipova ("Sl.</w:t>
      </w:r>
      <w:r w:rsidR="00FF1204">
        <w:rPr>
          <w:rFonts w:ascii="Constantia" w:hAnsi="Constantia"/>
          <w:lang w:val="sr-Latn-CS"/>
        </w:rPr>
        <w:t xml:space="preserve"> </w:t>
      </w:r>
      <w:r w:rsidRPr="00FF1204">
        <w:rPr>
          <w:rFonts w:ascii="Constantia" w:hAnsi="Constantia"/>
          <w:lang w:val="sr-Latn-CS"/>
        </w:rPr>
        <w:t>list CG", br. 80/08)</w:t>
      </w:r>
    </w:p>
    <w:p w:rsidR="004B071C" w:rsidRPr="00FF1204" w:rsidRDefault="004B071C" w:rsidP="00A50466">
      <w:pPr>
        <w:numPr>
          <w:ilvl w:val="0"/>
          <w:numId w:val="22"/>
        </w:numPr>
        <w:spacing w:after="0"/>
        <w:rPr>
          <w:rFonts w:ascii="Constantia" w:hAnsi="Constantia"/>
          <w:lang w:val="sr-Latn-CS"/>
        </w:rPr>
      </w:pPr>
      <w:r w:rsidRPr="00FF1204">
        <w:rPr>
          <w:rFonts w:ascii="Constantia" w:hAnsi="Constantia"/>
          <w:lang w:val="sr-Latn-CS"/>
        </w:rPr>
        <w:t>Pravilnik o bližem sadržaju godišnjeg programa monitoring stanja očuvanosti prirode i uslovima koje mora da ispunjava pravno lice koje vrš</w:t>
      </w:r>
      <w:r w:rsidR="00FF1204">
        <w:rPr>
          <w:rFonts w:ascii="Constantia" w:hAnsi="Constantia"/>
          <w:lang w:val="sr-Latn-CS"/>
        </w:rPr>
        <w:t>i</w:t>
      </w:r>
      <w:r w:rsidRPr="00FF1204">
        <w:rPr>
          <w:rFonts w:ascii="Constantia" w:hAnsi="Constantia"/>
          <w:lang w:val="sr-Latn-CS"/>
        </w:rPr>
        <w:t xml:space="preserve"> monitoring ("Sl. list CG", br. 35/10 od 25.06.2010)</w:t>
      </w:r>
    </w:p>
    <w:p w:rsidR="004B071C" w:rsidRPr="00FF1204" w:rsidRDefault="004B071C" w:rsidP="00A50466">
      <w:pPr>
        <w:numPr>
          <w:ilvl w:val="0"/>
          <w:numId w:val="22"/>
        </w:numPr>
        <w:spacing w:after="0"/>
        <w:rPr>
          <w:rFonts w:ascii="Constantia" w:hAnsi="Constantia"/>
          <w:lang w:val="sr-Latn-CS"/>
        </w:rPr>
      </w:pPr>
      <w:r w:rsidRPr="00FF1204">
        <w:rPr>
          <w:rFonts w:ascii="Constantia" w:hAnsi="Constantia"/>
          <w:lang w:val="sr-Latn-CS"/>
        </w:rPr>
        <w:t>Pravilnik o načinu praćenja brojnosti i stanja populacije divljih ptica ("Sl. list RCG", br. 76/06)</w:t>
      </w:r>
    </w:p>
    <w:p w:rsidR="004B071C" w:rsidRDefault="004B071C" w:rsidP="00A50466">
      <w:pPr>
        <w:numPr>
          <w:ilvl w:val="0"/>
          <w:numId w:val="22"/>
        </w:numPr>
        <w:spacing w:after="0"/>
        <w:rPr>
          <w:rFonts w:ascii="Constantia" w:hAnsi="Constantia"/>
          <w:lang w:val="sr-Latn-CS"/>
        </w:rPr>
      </w:pPr>
      <w:r w:rsidRPr="00FF1204">
        <w:rPr>
          <w:rFonts w:ascii="Constantia" w:hAnsi="Constantia"/>
          <w:lang w:val="sr-Latn-CS"/>
        </w:rPr>
        <w:t>Rješenj</w:t>
      </w:r>
      <w:r w:rsidR="00FF1204">
        <w:rPr>
          <w:rFonts w:ascii="Constantia" w:hAnsi="Constantia"/>
          <w:lang w:val="sr-Latn-CS"/>
        </w:rPr>
        <w:t>e</w:t>
      </w:r>
      <w:r w:rsidRPr="00FF1204">
        <w:rPr>
          <w:rFonts w:ascii="Constantia" w:hAnsi="Constantia"/>
          <w:lang w:val="sr-Latn-CS"/>
        </w:rPr>
        <w:t xml:space="preserve"> o stavljanju pod zaštitu pojedinih biljnih i životinjskih vrsta, </w:t>
      </w:r>
      <w:r w:rsidRPr="00FF1204">
        <w:rPr>
          <w:rFonts w:ascii="Constantia" w:hAnsi="Constantia"/>
          <w:lang w:val="sr-Latn-CS"/>
        </w:rPr>
        <w:br/>
        <w:t>("Sl. list RCG", br. 76/06)</w:t>
      </w:r>
    </w:p>
    <w:p w:rsidR="00FF1204" w:rsidRPr="00FF1204" w:rsidRDefault="00FF1204" w:rsidP="00FF1204">
      <w:pPr>
        <w:spacing w:after="0"/>
        <w:ind w:left="720"/>
        <w:rPr>
          <w:rFonts w:ascii="Constantia" w:hAnsi="Constantia"/>
          <w:lang w:val="sr-Latn-CS"/>
        </w:rPr>
      </w:pPr>
    </w:p>
    <w:p w:rsidR="004B071C" w:rsidRPr="00986348" w:rsidRDefault="004B071C" w:rsidP="00FF1204">
      <w:pPr>
        <w:rPr>
          <w:rFonts w:ascii="Constantia" w:hAnsi="Constantia"/>
          <w:u w:val="single"/>
          <w:lang w:val="sr-Latn-CS"/>
        </w:rPr>
      </w:pPr>
      <w:r w:rsidRPr="00986348">
        <w:rPr>
          <w:rFonts w:ascii="Constantia" w:hAnsi="Constantia"/>
          <w:u w:val="single"/>
          <w:lang w:val="sr-Latn-CS"/>
        </w:rPr>
        <w:t>Multilateralni sporazumi</w:t>
      </w:r>
    </w:p>
    <w:tbl>
      <w:tblPr>
        <w:tblW w:w="0" w:type="auto"/>
        <w:jc w:val="center"/>
        <w:tblInd w:w="34"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firstRow="1" w:lastRow="0" w:firstColumn="1" w:lastColumn="0" w:noHBand="0" w:noVBand="1"/>
      </w:tblPr>
      <w:tblGrid>
        <w:gridCol w:w="912"/>
        <w:gridCol w:w="3330"/>
        <w:gridCol w:w="1890"/>
        <w:gridCol w:w="3016"/>
      </w:tblGrid>
      <w:tr w:rsidR="004B071C" w:rsidRPr="00035117" w:rsidTr="00986348">
        <w:trPr>
          <w:trHeight w:val="20"/>
          <w:jc w:val="center"/>
        </w:trPr>
        <w:tc>
          <w:tcPr>
            <w:tcW w:w="905" w:type="dxa"/>
            <w:shd w:val="clear" w:color="auto" w:fill="E6EED5"/>
          </w:tcPr>
          <w:p w:rsidR="004B071C" w:rsidRPr="00035117" w:rsidRDefault="004B071C" w:rsidP="00986348">
            <w:pPr>
              <w:jc w:val="center"/>
              <w:rPr>
                <w:rFonts w:ascii="Constantia" w:hAnsi="Constantia"/>
                <w:b/>
                <w:sz w:val="20"/>
                <w:szCs w:val="20"/>
                <w:lang w:val="sr-Latn-CS"/>
              </w:rPr>
            </w:pPr>
            <w:r w:rsidRPr="00035117">
              <w:rPr>
                <w:rFonts w:ascii="Constantia" w:hAnsi="Constantia"/>
                <w:b/>
                <w:sz w:val="20"/>
                <w:szCs w:val="20"/>
                <w:lang w:val="sr-Latn-CS"/>
              </w:rPr>
              <w:t>Red.br.</w:t>
            </w:r>
          </w:p>
        </w:tc>
        <w:tc>
          <w:tcPr>
            <w:tcW w:w="3330" w:type="dxa"/>
            <w:shd w:val="clear" w:color="auto" w:fill="E6EED5"/>
          </w:tcPr>
          <w:p w:rsidR="004B071C" w:rsidRPr="00035117" w:rsidRDefault="004B071C" w:rsidP="00986348">
            <w:pPr>
              <w:spacing w:after="0"/>
              <w:jc w:val="center"/>
              <w:rPr>
                <w:rFonts w:ascii="Constantia" w:hAnsi="Constantia"/>
                <w:b/>
                <w:sz w:val="20"/>
                <w:szCs w:val="20"/>
                <w:lang w:val="sr-Latn-CS"/>
              </w:rPr>
            </w:pPr>
            <w:r w:rsidRPr="00035117">
              <w:rPr>
                <w:rFonts w:ascii="Constantia" w:hAnsi="Constantia"/>
                <w:b/>
                <w:sz w:val="20"/>
                <w:szCs w:val="20"/>
                <w:lang w:val="sr-Latn-CS"/>
              </w:rPr>
              <w:t>Naziv multilateralnog sporazuma</w:t>
            </w:r>
          </w:p>
        </w:tc>
        <w:tc>
          <w:tcPr>
            <w:tcW w:w="1890" w:type="dxa"/>
            <w:shd w:val="clear" w:color="auto" w:fill="E6EED5"/>
          </w:tcPr>
          <w:p w:rsidR="004B071C" w:rsidRPr="00035117" w:rsidRDefault="00986348" w:rsidP="0015485E">
            <w:pPr>
              <w:spacing w:after="0"/>
              <w:jc w:val="center"/>
              <w:rPr>
                <w:rFonts w:ascii="Constantia" w:hAnsi="Constantia"/>
                <w:b/>
                <w:sz w:val="20"/>
                <w:szCs w:val="20"/>
                <w:lang w:val="sr-Latn-CS"/>
              </w:rPr>
            </w:pPr>
            <w:r w:rsidRPr="00035117">
              <w:rPr>
                <w:rFonts w:ascii="Constantia" w:hAnsi="Constantia"/>
                <w:b/>
                <w:sz w:val="20"/>
                <w:szCs w:val="20"/>
                <w:lang w:val="sr-Latn-CS"/>
              </w:rPr>
              <w:t>S</w:t>
            </w:r>
            <w:r w:rsidR="004B071C" w:rsidRPr="00035117">
              <w:rPr>
                <w:rFonts w:ascii="Constantia" w:hAnsi="Constantia"/>
                <w:b/>
                <w:sz w:val="20"/>
                <w:szCs w:val="20"/>
                <w:lang w:val="sr-Latn-CS"/>
              </w:rPr>
              <w:t>tatus</w:t>
            </w:r>
          </w:p>
        </w:tc>
        <w:tc>
          <w:tcPr>
            <w:tcW w:w="3016" w:type="dxa"/>
            <w:shd w:val="clear" w:color="auto" w:fill="E6EED5"/>
          </w:tcPr>
          <w:p w:rsidR="004B071C" w:rsidRPr="00035117" w:rsidRDefault="00986348" w:rsidP="0015485E">
            <w:pPr>
              <w:spacing w:after="0"/>
              <w:jc w:val="center"/>
              <w:rPr>
                <w:rFonts w:ascii="Constantia" w:hAnsi="Constantia"/>
                <w:b/>
                <w:sz w:val="20"/>
                <w:szCs w:val="20"/>
                <w:lang w:val="sr-Latn-CS"/>
              </w:rPr>
            </w:pPr>
            <w:r w:rsidRPr="00035117">
              <w:rPr>
                <w:rFonts w:ascii="Constantia" w:hAnsi="Constantia"/>
                <w:b/>
                <w:sz w:val="20"/>
                <w:szCs w:val="20"/>
                <w:lang w:val="sr-Latn-CS"/>
              </w:rPr>
              <w:t xml:space="preserve">Broj Službenog </w:t>
            </w:r>
            <w:r w:rsidR="004B071C" w:rsidRPr="00035117">
              <w:rPr>
                <w:rFonts w:ascii="Constantia" w:hAnsi="Constantia"/>
                <w:b/>
                <w:sz w:val="20"/>
                <w:szCs w:val="20"/>
                <w:lang w:val="sr-Latn-CS"/>
              </w:rPr>
              <w:t>lista</w:t>
            </w:r>
          </w:p>
        </w:tc>
      </w:tr>
      <w:tr w:rsidR="004B071C" w:rsidRPr="00035117" w:rsidTr="00986348">
        <w:trPr>
          <w:trHeight w:val="20"/>
          <w:jc w:val="center"/>
        </w:trPr>
        <w:tc>
          <w:tcPr>
            <w:tcW w:w="905" w:type="dxa"/>
            <w:shd w:val="clear" w:color="auto" w:fill="CDDDAC"/>
          </w:tcPr>
          <w:p w:rsidR="004B071C" w:rsidRPr="00035117" w:rsidRDefault="004B071C" w:rsidP="00986348">
            <w:pPr>
              <w:spacing w:after="0"/>
              <w:jc w:val="center"/>
              <w:rPr>
                <w:rFonts w:ascii="Constantia" w:hAnsi="Constantia"/>
                <w:sz w:val="20"/>
                <w:szCs w:val="20"/>
                <w:lang w:val="sr-Latn-CS"/>
              </w:rPr>
            </w:pPr>
            <w:r w:rsidRPr="00035117">
              <w:rPr>
                <w:rFonts w:ascii="Constantia" w:hAnsi="Constantia"/>
                <w:sz w:val="20"/>
                <w:szCs w:val="20"/>
                <w:lang w:val="sr-Latn-CS"/>
              </w:rPr>
              <w:t>1.</w:t>
            </w:r>
          </w:p>
        </w:tc>
        <w:tc>
          <w:tcPr>
            <w:tcW w:w="3330" w:type="dxa"/>
            <w:shd w:val="clear" w:color="auto" w:fill="CDDDAC"/>
          </w:tcPr>
          <w:p w:rsidR="004B071C" w:rsidRPr="00035117" w:rsidRDefault="004B071C" w:rsidP="004E680E">
            <w:pPr>
              <w:spacing w:after="0"/>
              <w:jc w:val="left"/>
              <w:rPr>
                <w:rFonts w:ascii="Constantia" w:hAnsi="Constantia"/>
                <w:sz w:val="18"/>
                <w:szCs w:val="18"/>
                <w:lang w:val="sr-Latn-CS"/>
              </w:rPr>
            </w:pPr>
            <w:r w:rsidRPr="00035117">
              <w:rPr>
                <w:rFonts w:ascii="Constantia" w:hAnsi="Constantia"/>
                <w:sz w:val="18"/>
                <w:szCs w:val="18"/>
                <w:lang w:val="sr-Latn-CS"/>
              </w:rPr>
              <w:t>Konvencija o biološkoj raznovrsnosti</w:t>
            </w:r>
          </w:p>
        </w:tc>
        <w:tc>
          <w:tcPr>
            <w:tcW w:w="1890" w:type="dxa"/>
            <w:shd w:val="clear" w:color="auto" w:fill="CDDDAC"/>
          </w:tcPr>
          <w:p w:rsidR="004B071C" w:rsidRPr="00035117" w:rsidRDefault="004B071C" w:rsidP="0015485E">
            <w:pPr>
              <w:spacing w:after="0"/>
              <w:jc w:val="center"/>
              <w:rPr>
                <w:rFonts w:ascii="Constantia" w:hAnsi="Constantia"/>
                <w:sz w:val="18"/>
                <w:szCs w:val="18"/>
                <w:lang w:val="sr-Latn-CS"/>
              </w:rPr>
            </w:pPr>
            <w:r w:rsidRPr="00035117">
              <w:rPr>
                <w:rFonts w:ascii="Constantia" w:hAnsi="Constantia"/>
                <w:sz w:val="18"/>
                <w:szCs w:val="18"/>
                <w:lang w:val="sr-Latn-CS"/>
              </w:rPr>
              <w:t>ratifikovana</w:t>
            </w:r>
          </w:p>
        </w:tc>
        <w:tc>
          <w:tcPr>
            <w:tcW w:w="3016" w:type="dxa"/>
            <w:shd w:val="clear" w:color="auto" w:fill="CDDDAC"/>
          </w:tcPr>
          <w:p w:rsidR="004B071C" w:rsidRPr="00035117" w:rsidRDefault="004B071C" w:rsidP="0015485E">
            <w:pPr>
              <w:spacing w:after="0"/>
              <w:jc w:val="center"/>
              <w:rPr>
                <w:rFonts w:ascii="Constantia" w:hAnsi="Constantia"/>
                <w:sz w:val="18"/>
                <w:szCs w:val="18"/>
                <w:lang w:val="sr-Latn-CS"/>
              </w:rPr>
            </w:pPr>
            <w:r w:rsidRPr="00035117">
              <w:rPr>
                <w:rFonts w:ascii="Constantia" w:hAnsi="Constantia"/>
                <w:sz w:val="18"/>
                <w:szCs w:val="18"/>
                <w:lang w:val="sr-Latn-CS"/>
              </w:rPr>
              <w:t>Sl</w:t>
            </w:r>
            <w:r w:rsidR="0032378A" w:rsidRPr="00035117">
              <w:rPr>
                <w:rFonts w:ascii="Constantia" w:hAnsi="Constantia"/>
                <w:sz w:val="18"/>
                <w:szCs w:val="18"/>
                <w:lang w:val="sr-Latn-CS"/>
              </w:rPr>
              <w:t xml:space="preserve"> </w:t>
            </w:r>
            <w:r w:rsidRPr="00035117">
              <w:rPr>
                <w:rFonts w:ascii="Constantia" w:hAnsi="Constantia"/>
                <w:sz w:val="18"/>
                <w:szCs w:val="18"/>
                <w:lang w:val="sr-Latn-CS"/>
              </w:rPr>
              <w:t>.list SRJ, br.011/01-28</w:t>
            </w:r>
          </w:p>
        </w:tc>
      </w:tr>
      <w:tr w:rsidR="004B071C" w:rsidRPr="00035117" w:rsidTr="00986348">
        <w:trPr>
          <w:trHeight w:val="20"/>
          <w:jc w:val="center"/>
        </w:trPr>
        <w:tc>
          <w:tcPr>
            <w:tcW w:w="905" w:type="dxa"/>
            <w:shd w:val="clear" w:color="auto" w:fill="E6EED5"/>
          </w:tcPr>
          <w:p w:rsidR="004B071C" w:rsidRPr="00035117" w:rsidRDefault="004B071C" w:rsidP="00986348">
            <w:pPr>
              <w:spacing w:after="0"/>
              <w:jc w:val="center"/>
              <w:rPr>
                <w:rFonts w:ascii="Constantia" w:hAnsi="Constantia"/>
                <w:sz w:val="20"/>
                <w:szCs w:val="20"/>
                <w:lang w:val="sr-Latn-CS"/>
              </w:rPr>
            </w:pPr>
            <w:r w:rsidRPr="00035117">
              <w:rPr>
                <w:rFonts w:ascii="Constantia" w:hAnsi="Constantia"/>
                <w:sz w:val="20"/>
                <w:szCs w:val="20"/>
                <w:lang w:val="sr-Latn-CS"/>
              </w:rPr>
              <w:t>2.</w:t>
            </w:r>
          </w:p>
        </w:tc>
        <w:tc>
          <w:tcPr>
            <w:tcW w:w="3330" w:type="dxa"/>
            <w:shd w:val="clear" w:color="auto" w:fill="E6EED5"/>
          </w:tcPr>
          <w:p w:rsidR="004B071C" w:rsidRPr="00035117" w:rsidRDefault="004B071C" w:rsidP="004E680E">
            <w:pPr>
              <w:spacing w:after="0"/>
              <w:jc w:val="left"/>
              <w:rPr>
                <w:rFonts w:ascii="Constantia" w:hAnsi="Constantia"/>
                <w:sz w:val="18"/>
                <w:szCs w:val="18"/>
                <w:lang w:val="sr-Latn-CS"/>
              </w:rPr>
            </w:pPr>
            <w:r w:rsidRPr="00035117">
              <w:rPr>
                <w:rFonts w:ascii="Constantia" w:hAnsi="Constantia"/>
                <w:sz w:val="18"/>
                <w:szCs w:val="18"/>
                <w:lang w:val="sr-Latn-CS"/>
              </w:rPr>
              <w:t>Kartagena Protokol o biološkoj raznovrsnosti</w:t>
            </w:r>
          </w:p>
        </w:tc>
        <w:tc>
          <w:tcPr>
            <w:tcW w:w="1890" w:type="dxa"/>
            <w:shd w:val="clear" w:color="auto" w:fill="E6EED5"/>
          </w:tcPr>
          <w:p w:rsidR="004B071C" w:rsidRPr="00035117" w:rsidRDefault="004B071C" w:rsidP="0015485E">
            <w:pPr>
              <w:spacing w:after="0"/>
              <w:jc w:val="center"/>
              <w:rPr>
                <w:rFonts w:ascii="Constantia" w:hAnsi="Constantia"/>
                <w:sz w:val="18"/>
                <w:szCs w:val="18"/>
                <w:lang w:val="sr-Latn-CS"/>
              </w:rPr>
            </w:pPr>
            <w:r w:rsidRPr="00035117">
              <w:rPr>
                <w:rFonts w:ascii="Constantia" w:hAnsi="Constantia"/>
                <w:sz w:val="18"/>
                <w:szCs w:val="18"/>
                <w:lang w:val="sr-Latn-CS"/>
              </w:rPr>
              <w:t>ratifikovana</w:t>
            </w:r>
          </w:p>
        </w:tc>
        <w:tc>
          <w:tcPr>
            <w:tcW w:w="3016" w:type="dxa"/>
            <w:shd w:val="clear" w:color="auto" w:fill="E6EED5"/>
          </w:tcPr>
          <w:p w:rsidR="004B071C" w:rsidRPr="00035117" w:rsidRDefault="004B071C" w:rsidP="0015485E">
            <w:pPr>
              <w:spacing w:after="0"/>
              <w:jc w:val="center"/>
              <w:rPr>
                <w:rFonts w:ascii="Constantia" w:hAnsi="Constantia"/>
                <w:sz w:val="18"/>
                <w:szCs w:val="18"/>
                <w:lang w:val="sr-Latn-CS"/>
              </w:rPr>
            </w:pPr>
            <w:r w:rsidRPr="00035117">
              <w:rPr>
                <w:rFonts w:ascii="Constantia" w:hAnsi="Constantia"/>
                <w:sz w:val="18"/>
                <w:szCs w:val="18"/>
                <w:lang w:val="sr-Latn-CS"/>
              </w:rPr>
              <w:t>Sl.</w:t>
            </w:r>
            <w:r w:rsidR="0032378A" w:rsidRPr="00035117">
              <w:rPr>
                <w:rFonts w:ascii="Constantia" w:hAnsi="Constantia"/>
                <w:sz w:val="18"/>
                <w:szCs w:val="18"/>
                <w:lang w:val="sr-Latn-CS"/>
              </w:rPr>
              <w:t xml:space="preserve"> </w:t>
            </w:r>
            <w:r w:rsidRPr="00035117">
              <w:rPr>
                <w:rFonts w:ascii="Constantia" w:hAnsi="Constantia"/>
                <w:sz w:val="18"/>
                <w:szCs w:val="18"/>
                <w:lang w:val="sr-Latn-CS"/>
              </w:rPr>
              <w:t>list SCG, br.016/05-40</w:t>
            </w:r>
          </w:p>
        </w:tc>
      </w:tr>
      <w:tr w:rsidR="004B071C" w:rsidRPr="00035117" w:rsidTr="00986348">
        <w:trPr>
          <w:trHeight w:val="20"/>
          <w:jc w:val="center"/>
        </w:trPr>
        <w:tc>
          <w:tcPr>
            <w:tcW w:w="905" w:type="dxa"/>
            <w:shd w:val="clear" w:color="auto" w:fill="CDDDAC"/>
          </w:tcPr>
          <w:p w:rsidR="004B071C" w:rsidRPr="00035117" w:rsidRDefault="004B071C" w:rsidP="00986348">
            <w:pPr>
              <w:spacing w:after="0"/>
              <w:jc w:val="center"/>
              <w:rPr>
                <w:rFonts w:ascii="Constantia" w:hAnsi="Constantia"/>
                <w:sz w:val="20"/>
                <w:szCs w:val="20"/>
                <w:lang w:val="sr-Latn-CS"/>
              </w:rPr>
            </w:pPr>
            <w:r w:rsidRPr="00035117">
              <w:rPr>
                <w:rFonts w:ascii="Constantia" w:hAnsi="Constantia"/>
                <w:sz w:val="20"/>
                <w:szCs w:val="20"/>
                <w:lang w:val="sr-Latn-CS"/>
              </w:rPr>
              <w:t>3.</w:t>
            </w:r>
          </w:p>
        </w:tc>
        <w:tc>
          <w:tcPr>
            <w:tcW w:w="3330" w:type="dxa"/>
            <w:shd w:val="clear" w:color="auto" w:fill="CDDDAC"/>
          </w:tcPr>
          <w:p w:rsidR="004B071C" w:rsidRPr="00035117" w:rsidRDefault="004B071C" w:rsidP="004E680E">
            <w:pPr>
              <w:spacing w:after="0"/>
              <w:jc w:val="left"/>
              <w:rPr>
                <w:rFonts w:ascii="Constantia" w:hAnsi="Constantia"/>
                <w:sz w:val="18"/>
                <w:szCs w:val="18"/>
                <w:lang w:val="sr-Latn-CS"/>
              </w:rPr>
            </w:pPr>
            <w:r w:rsidRPr="00035117">
              <w:rPr>
                <w:rFonts w:ascii="Constantia" w:hAnsi="Constantia"/>
                <w:sz w:val="18"/>
                <w:szCs w:val="18"/>
                <w:lang w:val="sr-Latn-CS"/>
              </w:rPr>
              <w:t>Konvencija o očuvanju migratornih vrsta divljih životinja (Bonska konvencija)</w:t>
            </w:r>
          </w:p>
        </w:tc>
        <w:tc>
          <w:tcPr>
            <w:tcW w:w="1890" w:type="dxa"/>
            <w:shd w:val="clear" w:color="auto" w:fill="CDDDAC"/>
          </w:tcPr>
          <w:p w:rsidR="004B071C" w:rsidRPr="00035117" w:rsidRDefault="004B071C" w:rsidP="0015485E">
            <w:pPr>
              <w:spacing w:after="0"/>
              <w:jc w:val="center"/>
              <w:rPr>
                <w:rFonts w:ascii="Constantia" w:hAnsi="Constantia"/>
                <w:sz w:val="18"/>
                <w:szCs w:val="18"/>
                <w:lang w:val="sr-Latn-CS"/>
              </w:rPr>
            </w:pPr>
            <w:r w:rsidRPr="00035117">
              <w:rPr>
                <w:rFonts w:ascii="Constantia" w:hAnsi="Constantia"/>
                <w:sz w:val="18"/>
                <w:szCs w:val="18"/>
                <w:lang w:val="sr-Latn-CS"/>
              </w:rPr>
              <w:t>ratifikovana</w:t>
            </w:r>
          </w:p>
        </w:tc>
        <w:tc>
          <w:tcPr>
            <w:tcW w:w="3016" w:type="dxa"/>
            <w:shd w:val="clear" w:color="auto" w:fill="CDDDAC"/>
          </w:tcPr>
          <w:p w:rsidR="004B071C" w:rsidRPr="00035117" w:rsidRDefault="004B071C" w:rsidP="0015485E">
            <w:pPr>
              <w:spacing w:after="0"/>
              <w:jc w:val="center"/>
              <w:rPr>
                <w:rFonts w:ascii="Constantia" w:hAnsi="Constantia"/>
                <w:sz w:val="18"/>
                <w:szCs w:val="18"/>
                <w:lang w:val="sr-Latn-CS"/>
              </w:rPr>
            </w:pPr>
            <w:r w:rsidRPr="00035117">
              <w:rPr>
                <w:rFonts w:ascii="Constantia" w:hAnsi="Constantia"/>
                <w:sz w:val="18"/>
                <w:szCs w:val="18"/>
                <w:lang w:val="sr-Latn-CS"/>
              </w:rPr>
              <w:t>Sl.</w:t>
            </w:r>
            <w:r w:rsidR="0032378A" w:rsidRPr="00035117">
              <w:rPr>
                <w:rFonts w:ascii="Constantia" w:hAnsi="Constantia"/>
                <w:sz w:val="18"/>
                <w:szCs w:val="18"/>
                <w:lang w:val="sr-Latn-CS"/>
              </w:rPr>
              <w:t xml:space="preserve"> </w:t>
            </w:r>
            <w:r w:rsidRPr="00035117">
              <w:rPr>
                <w:rFonts w:ascii="Constantia" w:hAnsi="Constantia"/>
                <w:sz w:val="18"/>
                <w:szCs w:val="18"/>
                <w:lang w:val="sr-Latn-CS"/>
              </w:rPr>
              <w:t>list CG, br.006/08-147</w:t>
            </w:r>
          </w:p>
        </w:tc>
      </w:tr>
      <w:tr w:rsidR="004B071C" w:rsidRPr="00035117" w:rsidTr="00986348">
        <w:trPr>
          <w:trHeight w:val="20"/>
          <w:jc w:val="center"/>
        </w:trPr>
        <w:tc>
          <w:tcPr>
            <w:tcW w:w="905" w:type="dxa"/>
            <w:shd w:val="clear" w:color="auto" w:fill="E6EED5"/>
          </w:tcPr>
          <w:p w:rsidR="004B071C" w:rsidRPr="00035117" w:rsidRDefault="004B071C" w:rsidP="00986348">
            <w:pPr>
              <w:spacing w:after="0"/>
              <w:jc w:val="center"/>
              <w:rPr>
                <w:rFonts w:ascii="Constantia" w:hAnsi="Constantia"/>
                <w:sz w:val="20"/>
                <w:szCs w:val="20"/>
                <w:lang w:val="sr-Latn-CS"/>
              </w:rPr>
            </w:pPr>
            <w:r w:rsidRPr="00035117">
              <w:rPr>
                <w:rFonts w:ascii="Constantia" w:hAnsi="Constantia"/>
                <w:sz w:val="20"/>
                <w:szCs w:val="20"/>
                <w:lang w:val="sr-Latn-CS"/>
              </w:rPr>
              <w:t>4.</w:t>
            </w:r>
          </w:p>
        </w:tc>
        <w:tc>
          <w:tcPr>
            <w:tcW w:w="3330" w:type="dxa"/>
            <w:shd w:val="clear" w:color="auto" w:fill="E6EED5"/>
          </w:tcPr>
          <w:p w:rsidR="004B071C" w:rsidRPr="00035117" w:rsidRDefault="004B071C" w:rsidP="004E680E">
            <w:pPr>
              <w:spacing w:after="0"/>
              <w:jc w:val="left"/>
              <w:rPr>
                <w:rFonts w:ascii="Constantia" w:hAnsi="Constantia"/>
                <w:sz w:val="18"/>
                <w:szCs w:val="18"/>
                <w:lang w:val="sr-Latn-CS"/>
              </w:rPr>
            </w:pPr>
            <w:r w:rsidRPr="00035117">
              <w:rPr>
                <w:rFonts w:ascii="Constantia" w:hAnsi="Constantia"/>
                <w:sz w:val="18"/>
                <w:szCs w:val="18"/>
                <w:lang w:val="sr-Latn-CS"/>
              </w:rPr>
              <w:t>Konvencija o zaštiti evropskih divljači i prirodnih staništa (Bernska konvencija)</w:t>
            </w:r>
          </w:p>
        </w:tc>
        <w:tc>
          <w:tcPr>
            <w:tcW w:w="1890" w:type="dxa"/>
            <w:shd w:val="clear" w:color="auto" w:fill="E6EED5"/>
          </w:tcPr>
          <w:p w:rsidR="004B071C" w:rsidRPr="00035117" w:rsidRDefault="004B071C" w:rsidP="0015485E">
            <w:pPr>
              <w:spacing w:after="0"/>
              <w:jc w:val="center"/>
              <w:rPr>
                <w:rFonts w:ascii="Constantia" w:hAnsi="Constantia"/>
                <w:sz w:val="18"/>
                <w:szCs w:val="18"/>
                <w:lang w:val="sr-Latn-CS"/>
              </w:rPr>
            </w:pPr>
            <w:r w:rsidRPr="00035117">
              <w:rPr>
                <w:rFonts w:ascii="Constantia" w:hAnsi="Constantia"/>
                <w:sz w:val="18"/>
                <w:szCs w:val="18"/>
                <w:lang w:val="sr-Latn-CS"/>
              </w:rPr>
              <w:t>ratifikovana</w:t>
            </w:r>
          </w:p>
        </w:tc>
        <w:tc>
          <w:tcPr>
            <w:tcW w:w="3016" w:type="dxa"/>
            <w:shd w:val="clear" w:color="auto" w:fill="E6EED5"/>
          </w:tcPr>
          <w:p w:rsidR="004B071C" w:rsidRPr="00035117" w:rsidRDefault="004B071C" w:rsidP="0015485E">
            <w:pPr>
              <w:spacing w:after="0"/>
              <w:jc w:val="center"/>
              <w:rPr>
                <w:rFonts w:ascii="Constantia" w:hAnsi="Constantia"/>
                <w:sz w:val="18"/>
                <w:szCs w:val="18"/>
                <w:lang w:val="sr-Latn-CS"/>
              </w:rPr>
            </w:pPr>
            <w:r w:rsidRPr="00035117">
              <w:rPr>
                <w:rFonts w:ascii="Constantia" w:hAnsi="Constantia"/>
                <w:sz w:val="18"/>
                <w:szCs w:val="18"/>
                <w:lang w:val="sr-Latn-CS"/>
              </w:rPr>
              <w:t>Sl.</w:t>
            </w:r>
            <w:r w:rsidR="0032378A" w:rsidRPr="00035117">
              <w:rPr>
                <w:rFonts w:ascii="Constantia" w:hAnsi="Constantia"/>
                <w:sz w:val="18"/>
                <w:szCs w:val="18"/>
                <w:lang w:val="sr-Latn-CS"/>
              </w:rPr>
              <w:t xml:space="preserve"> list CG, br. 7</w:t>
            </w:r>
            <w:r w:rsidRPr="00035117">
              <w:rPr>
                <w:rFonts w:ascii="Constantia" w:hAnsi="Constantia"/>
                <w:sz w:val="18"/>
                <w:szCs w:val="18"/>
                <w:lang w:val="sr-Latn-CS"/>
              </w:rPr>
              <w:t xml:space="preserve"> od 8. decembra 2008. godine</w:t>
            </w:r>
          </w:p>
        </w:tc>
      </w:tr>
      <w:tr w:rsidR="004B071C" w:rsidRPr="00035117" w:rsidTr="00986348">
        <w:trPr>
          <w:trHeight w:val="20"/>
          <w:jc w:val="center"/>
        </w:trPr>
        <w:tc>
          <w:tcPr>
            <w:tcW w:w="905" w:type="dxa"/>
            <w:shd w:val="clear" w:color="auto" w:fill="CDDDAC"/>
          </w:tcPr>
          <w:p w:rsidR="004B071C" w:rsidRPr="00035117" w:rsidRDefault="004B071C" w:rsidP="00986348">
            <w:pPr>
              <w:spacing w:after="0"/>
              <w:jc w:val="center"/>
              <w:rPr>
                <w:rFonts w:ascii="Constantia" w:hAnsi="Constantia"/>
                <w:sz w:val="20"/>
                <w:szCs w:val="20"/>
                <w:lang w:val="sr-Latn-CS"/>
              </w:rPr>
            </w:pPr>
            <w:r w:rsidRPr="00035117">
              <w:rPr>
                <w:rFonts w:ascii="Constantia" w:hAnsi="Constantia"/>
                <w:sz w:val="20"/>
                <w:szCs w:val="20"/>
                <w:lang w:val="sr-Latn-CS"/>
              </w:rPr>
              <w:t>5.</w:t>
            </w:r>
          </w:p>
        </w:tc>
        <w:tc>
          <w:tcPr>
            <w:tcW w:w="3330" w:type="dxa"/>
            <w:shd w:val="clear" w:color="auto" w:fill="CDDDAC"/>
          </w:tcPr>
          <w:p w:rsidR="004B071C" w:rsidRPr="00035117" w:rsidRDefault="004B071C" w:rsidP="004E680E">
            <w:pPr>
              <w:spacing w:after="0"/>
              <w:jc w:val="left"/>
              <w:rPr>
                <w:rFonts w:ascii="Constantia" w:hAnsi="Constantia"/>
                <w:sz w:val="18"/>
                <w:szCs w:val="18"/>
                <w:lang w:val="sr-Latn-CS"/>
              </w:rPr>
            </w:pPr>
            <w:r w:rsidRPr="00035117">
              <w:rPr>
                <w:rFonts w:ascii="Constantia" w:hAnsi="Constantia"/>
                <w:sz w:val="18"/>
                <w:szCs w:val="18"/>
                <w:lang w:val="sr-Latn-CS"/>
              </w:rPr>
              <w:t>Konvencija o vlažnim područjima (Ramsar Konvencija)</w:t>
            </w:r>
          </w:p>
        </w:tc>
        <w:tc>
          <w:tcPr>
            <w:tcW w:w="1890" w:type="dxa"/>
            <w:shd w:val="clear" w:color="auto" w:fill="CDDDAC"/>
          </w:tcPr>
          <w:p w:rsidR="004B071C" w:rsidRPr="00035117" w:rsidRDefault="004B071C" w:rsidP="0015485E">
            <w:pPr>
              <w:spacing w:after="0"/>
              <w:jc w:val="center"/>
              <w:rPr>
                <w:rFonts w:ascii="Constantia" w:hAnsi="Constantia"/>
                <w:sz w:val="18"/>
                <w:szCs w:val="18"/>
                <w:lang w:val="sr-Latn-CS"/>
              </w:rPr>
            </w:pPr>
            <w:r w:rsidRPr="00035117">
              <w:rPr>
                <w:rFonts w:ascii="Constantia" w:hAnsi="Constantia"/>
                <w:sz w:val="18"/>
                <w:szCs w:val="18"/>
                <w:lang w:val="sr-Latn-CS"/>
              </w:rPr>
              <w:t>ratifikovana</w:t>
            </w:r>
          </w:p>
        </w:tc>
        <w:tc>
          <w:tcPr>
            <w:tcW w:w="3016" w:type="dxa"/>
            <w:shd w:val="clear" w:color="auto" w:fill="CDDDAC"/>
          </w:tcPr>
          <w:p w:rsidR="004B071C" w:rsidRPr="00035117" w:rsidRDefault="004B071C" w:rsidP="0015485E">
            <w:pPr>
              <w:spacing w:after="0"/>
              <w:jc w:val="center"/>
              <w:rPr>
                <w:rFonts w:ascii="Constantia" w:hAnsi="Constantia"/>
                <w:sz w:val="18"/>
                <w:szCs w:val="18"/>
                <w:lang w:val="sr-Latn-CS"/>
              </w:rPr>
            </w:pPr>
            <w:r w:rsidRPr="00035117">
              <w:rPr>
                <w:rFonts w:ascii="Constantia" w:hAnsi="Constantia"/>
                <w:sz w:val="18"/>
                <w:szCs w:val="18"/>
                <w:lang w:val="sr-Latn-CS"/>
              </w:rPr>
              <w:t>Sl.</w:t>
            </w:r>
            <w:r w:rsidR="0032378A" w:rsidRPr="00035117">
              <w:rPr>
                <w:rFonts w:ascii="Constantia" w:hAnsi="Constantia"/>
                <w:sz w:val="18"/>
                <w:szCs w:val="18"/>
                <w:lang w:val="sr-Latn-CS"/>
              </w:rPr>
              <w:t xml:space="preserve"> </w:t>
            </w:r>
            <w:r w:rsidRPr="00035117">
              <w:rPr>
                <w:rFonts w:ascii="Constantia" w:hAnsi="Constantia"/>
                <w:sz w:val="18"/>
                <w:szCs w:val="18"/>
                <w:lang w:val="sr-Latn-CS"/>
              </w:rPr>
              <w:t>list SRJ, br.009/77-675</w:t>
            </w:r>
          </w:p>
        </w:tc>
      </w:tr>
      <w:tr w:rsidR="004B071C" w:rsidRPr="00035117" w:rsidTr="00986348">
        <w:trPr>
          <w:trHeight w:val="20"/>
          <w:jc w:val="center"/>
        </w:trPr>
        <w:tc>
          <w:tcPr>
            <w:tcW w:w="905" w:type="dxa"/>
            <w:shd w:val="clear" w:color="auto" w:fill="E6EED5"/>
          </w:tcPr>
          <w:p w:rsidR="004B071C" w:rsidRPr="00035117" w:rsidRDefault="004B071C" w:rsidP="00986348">
            <w:pPr>
              <w:spacing w:after="0"/>
              <w:jc w:val="center"/>
              <w:rPr>
                <w:rFonts w:ascii="Constantia" w:hAnsi="Constantia"/>
                <w:sz w:val="20"/>
                <w:szCs w:val="20"/>
                <w:lang w:val="sr-Latn-CS"/>
              </w:rPr>
            </w:pPr>
            <w:r w:rsidRPr="00035117">
              <w:rPr>
                <w:rFonts w:ascii="Constantia" w:hAnsi="Constantia"/>
                <w:sz w:val="20"/>
                <w:szCs w:val="20"/>
                <w:lang w:val="sr-Latn-CS"/>
              </w:rPr>
              <w:t>6.</w:t>
            </w:r>
          </w:p>
        </w:tc>
        <w:tc>
          <w:tcPr>
            <w:tcW w:w="3330" w:type="dxa"/>
            <w:shd w:val="clear" w:color="auto" w:fill="E6EED5"/>
          </w:tcPr>
          <w:p w:rsidR="004B071C" w:rsidRPr="00035117" w:rsidRDefault="004B071C" w:rsidP="004E680E">
            <w:pPr>
              <w:spacing w:after="0"/>
              <w:jc w:val="left"/>
              <w:rPr>
                <w:rFonts w:ascii="Constantia" w:hAnsi="Constantia"/>
                <w:sz w:val="18"/>
                <w:szCs w:val="18"/>
                <w:lang w:val="sr-Latn-CS"/>
              </w:rPr>
            </w:pPr>
            <w:r w:rsidRPr="00035117">
              <w:rPr>
                <w:rFonts w:ascii="Constantia" w:hAnsi="Constantia"/>
                <w:sz w:val="18"/>
                <w:szCs w:val="18"/>
                <w:lang w:val="sr-Latn-CS"/>
              </w:rPr>
              <w:t>Konvencija o zaštiti svjetske kulturne i prirodne baštine</w:t>
            </w:r>
          </w:p>
        </w:tc>
        <w:tc>
          <w:tcPr>
            <w:tcW w:w="1890" w:type="dxa"/>
            <w:shd w:val="clear" w:color="auto" w:fill="E6EED5"/>
          </w:tcPr>
          <w:p w:rsidR="004B071C" w:rsidRPr="00035117" w:rsidRDefault="004B071C" w:rsidP="0015485E">
            <w:pPr>
              <w:spacing w:after="0"/>
              <w:jc w:val="center"/>
              <w:rPr>
                <w:rFonts w:ascii="Constantia" w:hAnsi="Constantia"/>
                <w:sz w:val="18"/>
                <w:szCs w:val="18"/>
                <w:lang w:val="sr-Latn-CS"/>
              </w:rPr>
            </w:pPr>
            <w:r w:rsidRPr="00035117">
              <w:rPr>
                <w:rFonts w:ascii="Constantia" w:hAnsi="Constantia"/>
                <w:sz w:val="18"/>
                <w:szCs w:val="18"/>
                <w:lang w:val="sr-Latn-CS"/>
              </w:rPr>
              <w:t>ratifikovana</w:t>
            </w:r>
          </w:p>
        </w:tc>
        <w:tc>
          <w:tcPr>
            <w:tcW w:w="3016" w:type="dxa"/>
            <w:shd w:val="clear" w:color="auto" w:fill="E6EED5"/>
          </w:tcPr>
          <w:p w:rsidR="004B071C" w:rsidRPr="00035117" w:rsidRDefault="004B071C" w:rsidP="0015485E">
            <w:pPr>
              <w:spacing w:after="0"/>
              <w:jc w:val="center"/>
              <w:rPr>
                <w:rFonts w:ascii="Constantia" w:hAnsi="Constantia"/>
                <w:sz w:val="18"/>
                <w:szCs w:val="18"/>
                <w:lang w:val="sr-Latn-CS"/>
              </w:rPr>
            </w:pPr>
            <w:r w:rsidRPr="00035117">
              <w:rPr>
                <w:rFonts w:ascii="Constantia" w:hAnsi="Constantia"/>
                <w:sz w:val="18"/>
                <w:szCs w:val="18"/>
                <w:lang w:val="sr-Latn-CS"/>
              </w:rPr>
              <w:t>Sl.</w:t>
            </w:r>
            <w:r w:rsidR="0032378A" w:rsidRPr="00035117">
              <w:rPr>
                <w:rFonts w:ascii="Constantia" w:hAnsi="Constantia"/>
                <w:sz w:val="18"/>
                <w:szCs w:val="18"/>
                <w:lang w:val="sr-Latn-CS"/>
              </w:rPr>
              <w:t xml:space="preserve"> </w:t>
            </w:r>
            <w:r w:rsidRPr="00035117">
              <w:rPr>
                <w:rFonts w:ascii="Constantia" w:hAnsi="Constantia"/>
                <w:sz w:val="18"/>
                <w:szCs w:val="18"/>
                <w:lang w:val="sr-Latn-CS"/>
              </w:rPr>
              <w:t>list SRJ, br.056/74-1771</w:t>
            </w:r>
          </w:p>
        </w:tc>
      </w:tr>
      <w:tr w:rsidR="004B071C" w:rsidRPr="00035117" w:rsidTr="00986348">
        <w:trPr>
          <w:trHeight w:val="20"/>
          <w:jc w:val="center"/>
        </w:trPr>
        <w:tc>
          <w:tcPr>
            <w:tcW w:w="905" w:type="dxa"/>
            <w:shd w:val="clear" w:color="auto" w:fill="CDDDAC"/>
          </w:tcPr>
          <w:p w:rsidR="004B071C" w:rsidRPr="00035117" w:rsidRDefault="004B071C" w:rsidP="00986348">
            <w:pPr>
              <w:spacing w:after="0"/>
              <w:jc w:val="center"/>
              <w:rPr>
                <w:rFonts w:ascii="Constantia" w:hAnsi="Constantia"/>
                <w:sz w:val="20"/>
                <w:szCs w:val="20"/>
                <w:lang w:val="sr-Latn-CS"/>
              </w:rPr>
            </w:pPr>
            <w:r w:rsidRPr="00035117">
              <w:rPr>
                <w:rFonts w:ascii="Constantia" w:hAnsi="Constantia"/>
                <w:sz w:val="20"/>
                <w:szCs w:val="20"/>
                <w:lang w:val="sr-Latn-CS"/>
              </w:rPr>
              <w:t>7.</w:t>
            </w:r>
          </w:p>
        </w:tc>
        <w:tc>
          <w:tcPr>
            <w:tcW w:w="3330" w:type="dxa"/>
            <w:shd w:val="clear" w:color="auto" w:fill="CDDDAC"/>
          </w:tcPr>
          <w:p w:rsidR="004B071C" w:rsidRPr="00035117" w:rsidRDefault="004B071C" w:rsidP="004E680E">
            <w:pPr>
              <w:spacing w:after="0"/>
              <w:jc w:val="left"/>
              <w:rPr>
                <w:rFonts w:ascii="Constantia" w:hAnsi="Constantia"/>
                <w:sz w:val="18"/>
                <w:szCs w:val="18"/>
                <w:lang w:val="sr-Latn-CS"/>
              </w:rPr>
            </w:pPr>
            <w:r w:rsidRPr="00035117">
              <w:rPr>
                <w:rFonts w:ascii="Constantia" w:hAnsi="Constantia"/>
                <w:sz w:val="18"/>
                <w:szCs w:val="18"/>
                <w:lang w:val="sr-Latn-CS"/>
              </w:rPr>
              <w:t>Evropska Konvencija o predjelima</w:t>
            </w:r>
          </w:p>
        </w:tc>
        <w:tc>
          <w:tcPr>
            <w:tcW w:w="1890" w:type="dxa"/>
            <w:shd w:val="clear" w:color="auto" w:fill="CDDDAC"/>
          </w:tcPr>
          <w:p w:rsidR="004B071C" w:rsidRPr="00035117" w:rsidRDefault="004B071C" w:rsidP="0015485E">
            <w:pPr>
              <w:spacing w:after="0"/>
              <w:jc w:val="center"/>
              <w:rPr>
                <w:rFonts w:ascii="Constantia" w:hAnsi="Constantia"/>
                <w:sz w:val="18"/>
                <w:szCs w:val="18"/>
                <w:lang w:val="sr-Latn-CS"/>
              </w:rPr>
            </w:pPr>
            <w:r w:rsidRPr="00035117">
              <w:rPr>
                <w:rFonts w:ascii="Constantia" w:hAnsi="Constantia"/>
                <w:sz w:val="18"/>
                <w:szCs w:val="18"/>
                <w:lang w:val="sr-Latn-CS"/>
              </w:rPr>
              <w:t>ratifikovana</w:t>
            </w:r>
          </w:p>
        </w:tc>
        <w:tc>
          <w:tcPr>
            <w:tcW w:w="3016" w:type="dxa"/>
            <w:shd w:val="clear" w:color="auto" w:fill="CDDDAC"/>
          </w:tcPr>
          <w:p w:rsidR="004B071C" w:rsidRPr="00035117" w:rsidRDefault="004B071C" w:rsidP="0015485E">
            <w:pPr>
              <w:spacing w:after="0"/>
              <w:jc w:val="center"/>
              <w:rPr>
                <w:rFonts w:ascii="Constantia" w:hAnsi="Constantia"/>
                <w:sz w:val="18"/>
                <w:szCs w:val="18"/>
                <w:lang w:val="sr-Latn-CS"/>
              </w:rPr>
            </w:pPr>
            <w:r w:rsidRPr="00035117">
              <w:rPr>
                <w:rFonts w:ascii="Constantia" w:hAnsi="Constantia"/>
                <w:sz w:val="18"/>
                <w:szCs w:val="18"/>
                <w:lang w:val="sr-Latn-CS"/>
              </w:rPr>
              <w:t>Sl.</w:t>
            </w:r>
            <w:r w:rsidR="0032378A" w:rsidRPr="00035117">
              <w:rPr>
                <w:rFonts w:ascii="Constantia" w:hAnsi="Constantia"/>
                <w:sz w:val="18"/>
                <w:szCs w:val="18"/>
                <w:lang w:val="sr-Latn-CS"/>
              </w:rPr>
              <w:t xml:space="preserve"> </w:t>
            </w:r>
            <w:r w:rsidRPr="00035117">
              <w:rPr>
                <w:rFonts w:ascii="Constantia" w:hAnsi="Constantia"/>
                <w:sz w:val="18"/>
                <w:szCs w:val="18"/>
                <w:lang w:val="sr-Latn-CS"/>
              </w:rPr>
              <w:t>list CG, br.006/08-135</w:t>
            </w:r>
          </w:p>
        </w:tc>
      </w:tr>
      <w:tr w:rsidR="004B071C" w:rsidRPr="00035117" w:rsidTr="00986348">
        <w:trPr>
          <w:trHeight w:val="20"/>
          <w:jc w:val="center"/>
        </w:trPr>
        <w:tc>
          <w:tcPr>
            <w:tcW w:w="905" w:type="dxa"/>
            <w:shd w:val="clear" w:color="auto" w:fill="E6EED5"/>
          </w:tcPr>
          <w:p w:rsidR="004B071C" w:rsidRPr="00035117" w:rsidRDefault="004B071C" w:rsidP="00986348">
            <w:pPr>
              <w:spacing w:after="0"/>
              <w:jc w:val="center"/>
              <w:rPr>
                <w:rFonts w:ascii="Constantia" w:hAnsi="Constantia"/>
                <w:sz w:val="20"/>
                <w:szCs w:val="20"/>
                <w:lang w:val="sr-Latn-CS"/>
              </w:rPr>
            </w:pPr>
            <w:r w:rsidRPr="00035117">
              <w:rPr>
                <w:rFonts w:ascii="Constantia" w:hAnsi="Constantia"/>
                <w:sz w:val="20"/>
                <w:szCs w:val="20"/>
                <w:lang w:val="sr-Latn-CS"/>
              </w:rPr>
              <w:t>8.</w:t>
            </w:r>
          </w:p>
        </w:tc>
        <w:tc>
          <w:tcPr>
            <w:tcW w:w="3330" w:type="dxa"/>
            <w:shd w:val="clear" w:color="auto" w:fill="E6EED5"/>
          </w:tcPr>
          <w:p w:rsidR="004B071C" w:rsidRPr="00035117" w:rsidRDefault="004B071C" w:rsidP="004E680E">
            <w:pPr>
              <w:spacing w:after="0"/>
              <w:jc w:val="left"/>
              <w:rPr>
                <w:rFonts w:ascii="Constantia" w:hAnsi="Constantia"/>
                <w:sz w:val="18"/>
                <w:szCs w:val="18"/>
                <w:lang w:val="sr-Latn-CS"/>
              </w:rPr>
            </w:pPr>
            <w:r w:rsidRPr="00035117">
              <w:rPr>
                <w:rFonts w:ascii="Constantia" w:hAnsi="Constantia"/>
                <w:sz w:val="18"/>
                <w:szCs w:val="18"/>
                <w:lang w:val="sr-Latn-CS"/>
              </w:rPr>
              <w:t>Konvencija o međunarodnoj trgovini ugroženim vrstama flore i faune (CITES Konvencija)</w:t>
            </w:r>
          </w:p>
        </w:tc>
        <w:tc>
          <w:tcPr>
            <w:tcW w:w="1890" w:type="dxa"/>
            <w:shd w:val="clear" w:color="auto" w:fill="E6EED5"/>
          </w:tcPr>
          <w:p w:rsidR="004B071C" w:rsidRPr="00035117" w:rsidRDefault="004B071C" w:rsidP="0015485E">
            <w:pPr>
              <w:spacing w:after="0"/>
              <w:jc w:val="center"/>
              <w:rPr>
                <w:rFonts w:ascii="Constantia" w:hAnsi="Constantia"/>
                <w:sz w:val="18"/>
                <w:szCs w:val="18"/>
                <w:lang w:val="sr-Latn-CS"/>
              </w:rPr>
            </w:pPr>
            <w:r w:rsidRPr="00035117">
              <w:rPr>
                <w:rFonts w:ascii="Constantia" w:hAnsi="Constantia"/>
                <w:sz w:val="18"/>
                <w:szCs w:val="18"/>
                <w:lang w:val="sr-Latn-CS"/>
              </w:rPr>
              <w:t>ratifikovana</w:t>
            </w:r>
          </w:p>
        </w:tc>
        <w:tc>
          <w:tcPr>
            <w:tcW w:w="3016" w:type="dxa"/>
            <w:shd w:val="clear" w:color="auto" w:fill="E6EED5"/>
          </w:tcPr>
          <w:p w:rsidR="004B071C" w:rsidRPr="00035117" w:rsidRDefault="004B071C" w:rsidP="0015485E">
            <w:pPr>
              <w:spacing w:after="0"/>
              <w:jc w:val="center"/>
              <w:rPr>
                <w:rFonts w:ascii="Constantia" w:hAnsi="Constantia"/>
                <w:sz w:val="18"/>
                <w:szCs w:val="18"/>
                <w:lang w:val="sr-Latn-CS"/>
              </w:rPr>
            </w:pPr>
            <w:r w:rsidRPr="00035117">
              <w:rPr>
                <w:rFonts w:ascii="Constantia" w:hAnsi="Constantia"/>
                <w:sz w:val="18"/>
                <w:szCs w:val="18"/>
                <w:lang w:val="sr-Latn-CS"/>
              </w:rPr>
              <w:t>Sl.</w:t>
            </w:r>
            <w:r w:rsidR="0032378A" w:rsidRPr="00035117">
              <w:rPr>
                <w:rFonts w:ascii="Constantia" w:hAnsi="Constantia"/>
                <w:sz w:val="18"/>
                <w:szCs w:val="18"/>
                <w:lang w:val="sr-Latn-CS"/>
              </w:rPr>
              <w:t xml:space="preserve"> </w:t>
            </w:r>
            <w:r w:rsidRPr="00035117">
              <w:rPr>
                <w:rFonts w:ascii="Constantia" w:hAnsi="Constantia"/>
                <w:sz w:val="18"/>
                <w:szCs w:val="18"/>
                <w:lang w:val="sr-Latn-CS"/>
              </w:rPr>
              <w:t>list SRJ, br.011/01-3</w:t>
            </w:r>
          </w:p>
        </w:tc>
      </w:tr>
      <w:tr w:rsidR="004B071C" w:rsidRPr="00035117" w:rsidTr="00986348">
        <w:trPr>
          <w:trHeight w:val="20"/>
          <w:jc w:val="center"/>
        </w:trPr>
        <w:tc>
          <w:tcPr>
            <w:tcW w:w="905" w:type="dxa"/>
            <w:shd w:val="clear" w:color="auto" w:fill="CDDDAC"/>
          </w:tcPr>
          <w:p w:rsidR="004B071C" w:rsidRPr="00035117" w:rsidRDefault="004B071C" w:rsidP="00986348">
            <w:pPr>
              <w:spacing w:after="0"/>
              <w:jc w:val="center"/>
              <w:rPr>
                <w:rFonts w:ascii="Constantia" w:hAnsi="Constantia"/>
                <w:sz w:val="20"/>
                <w:szCs w:val="20"/>
                <w:lang w:val="sr-Latn-CS"/>
              </w:rPr>
            </w:pPr>
            <w:r w:rsidRPr="00035117">
              <w:rPr>
                <w:rFonts w:ascii="Constantia" w:hAnsi="Constantia"/>
                <w:sz w:val="20"/>
                <w:szCs w:val="20"/>
                <w:lang w:val="sr-Latn-CS"/>
              </w:rPr>
              <w:t>9.</w:t>
            </w:r>
          </w:p>
        </w:tc>
        <w:tc>
          <w:tcPr>
            <w:tcW w:w="3330" w:type="dxa"/>
            <w:shd w:val="clear" w:color="auto" w:fill="CDDDAC"/>
          </w:tcPr>
          <w:p w:rsidR="004B071C" w:rsidRPr="00035117" w:rsidRDefault="004B071C" w:rsidP="004E680E">
            <w:pPr>
              <w:spacing w:after="0"/>
              <w:jc w:val="left"/>
              <w:rPr>
                <w:rFonts w:ascii="Constantia" w:hAnsi="Constantia"/>
                <w:sz w:val="18"/>
                <w:szCs w:val="18"/>
                <w:lang w:val="sr-Latn-CS"/>
              </w:rPr>
            </w:pPr>
            <w:r w:rsidRPr="00035117">
              <w:rPr>
                <w:rFonts w:ascii="Constantia" w:hAnsi="Constantia"/>
                <w:sz w:val="18"/>
                <w:szCs w:val="18"/>
                <w:lang w:val="sr-Latn-CS"/>
              </w:rPr>
              <w:t>Konvencija Ujedinjenih Nacija o borbi protiv dezertifikacije u zemljama sa teškom sušom i/ili dezertifikacijom, posebno u Africi</w:t>
            </w:r>
          </w:p>
        </w:tc>
        <w:tc>
          <w:tcPr>
            <w:tcW w:w="1890" w:type="dxa"/>
            <w:shd w:val="clear" w:color="auto" w:fill="CDDDAC"/>
          </w:tcPr>
          <w:p w:rsidR="004B071C" w:rsidRPr="00035117" w:rsidRDefault="004B071C" w:rsidP="0015485E">
            <w:pPr>
              <w:spacing w:after="0"/>
              <w:jc w:val="center"/>
              <w:rPr>
                <w:rFonts w:ascii="Constantia" w:hAnsi="Constantia"/>
                <w:sz w:val="18"/>
                <w:szCs w:val="18"/>
                <w:lang w:val="sr-Latn-CS"/>
              </w:rPr>
            </w:pPr>
            <w:r w:rsidRPr="00035117">
              <w:rPr>
                <w:rFonts w:ascii="Constantia" w:hAnsi="Constantia"/>
                <w:sz w:val="18"/>
                <w:szCs w:val="18"/>
                <w:lang w:val="sr-Latn-CS"/>
              </w:rPr>
              <w:t>ratifikovana</w:t>
            </w:r>
          </w:p>
        </w:tc>
        <w:tc>
          <w:tcPr>
            <w:tcW w:w="3016" w:type="dxa"/>
            <w:shd w:val="clear" w:color="auto" w:fill="CDDDAC"/>
          </w:tcPr>
          <w:p w:rsidR="004B071C" w:rsidRPr="00035117" w:rsidRDefault="004B071C" w:rsidP="0015485E">
            <w:pPr>
              <w:spacing w:after="0"/>
              <w:jc w:val="center"/>
              <w:rPr>
                <w:rFonts w:ascii="Constantia" w:hAnsi="Constantia"/>
                <w:sz w:val="18"/>
                <w:szCs w:val="18"/>
                <w:lang w:val="sr-Latn-CS"/>
              </w:rPr>
            </w:pPr>
            <w:r w:rsidRPr="00035117">
              <w:rPr>
                <w:rFonts w:ascii="Constantia" w:hAnsi="Constantia"/>
                <w:sz w:val="18"/>
                <w:szCs w:val="18"/>
                <w:lang w:val="sr-Latn-CS"/>
              </w:rPr>
              <w:t>Sl.</w:t>
            </w:r>
            <w:r w:rsidR="0032378A" w:rsidRPr="00035117">
              <w:rPr>
                <w:rFonts w:ascii="Constantia" w:hAnsi="Constantia"/>
                <w:sz w:val="18"/>
                <w:szCs w:val="18"/>
                <w:lang w:val="sr-Latn-CS"/>
              </w:rPr>
              <w:t xml:space="preserve"> </w:t>
            </w:r>
            <w:r w:rsidRPr="00035117">
              <w:rPr>
                <w:rFonts w:ascii="Constantia" w:hAnsi="Constantia"/>
                <w:sz w:val="18"/>
                <w:szCs w:val="18"/>
                <w:lang w:val="sr-Latn-CS"/>
              </w:rPr>
              <w:t>list RCG, br.017/07-12</w:t>
            </w:r>
          </w:p>
        </w:tc>
      </w:tr>
      <w:tr w:rsidR="004B071C" w:rsidRPr="00035117" w:rsidTr="00986348">
        <w:trPr>
          <w:trHeight w:val="20"/>
          <w:jc w:val="center"/>
        </w:trPr>
        <w:tc>
          <w:tcPr>
            <w:tcW w:w="905" w:type="dxa"/>
            <w:shd w:val="clear" w:color="auto" w:fill="E6EED5"/>
          </w:tcPr>
          <w:p w:rsidR="004B071C" w:rsidRPr="00035117" w:rsidRDefault="004B071C" w:rsidP="00986348">
            <w:pPr>
              <w:spacing w:after="0"/>
              <w:jc w:val="center"/>
              <w:rPr>
                <w:rFonts w:ascii="Constantia" w:hAnsi="Constantia"/>
                <w:sz w:val="20"/>
                <w:szCs w:val="20"/>
                <w:lang w:val="sr-Latn-CS"/>
              </w:rPr>
            </w:pPr>
            <w:r w:rsidRPr="00035117">
              <w:rPr>
                <w:rFonts w:ascii="Constantia" w:hAnsi="Constantia"/>
                <w:sz w:val="20"/>
                <w:szCs w:val="20"/>
                <w:lang w:val="sr-Latn-CS"/>
              </w:rPr>
              <w:t>10.</w:t>
            </w:r>
          </w:p>
        </w:tc>
        <w:tc>
          <w:tcPr>
            <w:tcW w:w="3330" w:type="dxa"/>
            <w:shd w:val="clear" w:color="auto" w:fill="E6EED5"/>
          </w:tcPr>
          <w:p w:rsidR="004B071C" w:rsidRPr="00035117" w:rsidRDefault="004B071C" w:rsidP="004E680E">
            <w:pPr>
              <w:spacing w:after="0"/>
              <w:jc w:val="left"/>
              <w:rPr>
                <w:rFonts w:ascii="Constantia" w:hAnsi="Constantia"/>
                <w:sz w:val="18"/>
                <w:szCs w:val="18"/>
                <w:lang w:val="sr-Latn-CS"/>
              </w:rPr>
            </w:pPr>
            <w:r w:rsidRPr="00035117">
              <w:rPr>
                <w:rFonts w:ascii="Constantia" w:hAnsi="Constantia"/>
                <w:sz w:val="18"/>
                <w:szCs w:val="18"/>
                <w:lang w:val="sr-Latn-CS"/>
              </w:rPr>
              <w:t xml:space="preserve">Sporazum o zaštiti kitova </w:t>
            </w:r>
            <w:r w:rsidRPr="00035117">
              <w:rPr>
                <w:rFonts w:ascii="Constantia" w:hAnsi="Constantia"/>
                <w:i/>
                <w:sz w:val="18"/>
                <w:szCs w:val="18"/>
                <w:lang w:val="sr-Latn-CS"/>
              </w:rPr>
              <w:t>Cetacea</w:t>
            </w:r>
            <w:r w:rsidRPr="00035117">
              <w:rPr>
                <w:rFonts w:ascii="Constantia" w:hAnsi="Constantia"/>
                <w:sz w:val="18"/>
                <w:szCs w:val="18"/>
                <w:lang w:val="sr-Latn-CS"/>
              </w:rPr>
              <w:t xml:space="preserve"> u Crnom moru, Sredozemnom moru i susjednom atlantskom području-Accobams</w:t>
            </w:r>
          </w:p>
        </w:tc>
        <w:tc>
          <w:tcPr>
            <w:tcW w:w="1890" w:type="dxa"/>
            <w:shd w:val="clear" w:color="auto" w:fill="E6EED5"/>
          </w:tcPr>
          <w:p w:rsidR="004B071C" w:rsidRPr="00035117" w:rsidRDefault="004B071C" w:rsidP="0015485E">
            <w:pPr>
              <w:spacing w:after="0"/>
              <w:jc w:val="center"/>
              <w:rPr>
                <w:rFonts w:ascii="Constantia" w:hAnsi="Constantia"/>
                <w:sz w:val="18"/>
                <w:szCs w:val="18"/>
                <w:lang w:val="sr-Latn-CS"/>
              </w:rPr>
            </w:pPr>
            <w:r w:rsidRPr="00035117">
              <w:rPr>
                <w:rFonts w:ascii="Constantia" w:hAnsi="Constantia"/>
                <w:sz w:val="18"/>
                <w:szCs w:val="18"/>
                <w:lang w:val="sr-Latn-CS"/>
              </w:rPr>
              <w:t>ratifikovan</w:t>
            </w:r>
          </w:p>
        </w:tc>
        <w:tc>
          <w:tcPr>
            <w:tcW w:w="3016" w:type="dxa"/>
            <w:shd w:val="clear" w:color="auto" w:fill="E6EED5"/>
          </w:tcPr>
          <w:p w:rsidR="004B071C" w:rsidRPr="00035117" w:rsidRDefault="004B071C" w:rsidP="0015485E">
            <w:pPr>
              <w:spacing w:after="0"/>
              <w:jc w:val="center"/>
              <w:rPr>
                <w:rFonts w:ascii="Constantia" w:hAnsi="Constantia"/>
                <w:sz w:val="18"/>
                <w:szCs w:val="18"/>
                <w:lang w:val="sr-Latn-CS"/>
              </w:rPr>
            </w:pPr>
            <w:r w:rsidRPr="00035117">
              <w:rPr>
                <w:rFonts w:ascii="Constantia" w:hAnsi="Constantia"/>
                <w:sz w:val="18"/>
                <w:szCs w:val="18"/>
                <w:lang w:val="sr-Latn-CS"/>
              </w:rPr>
              <w:t>Sl.</w:t>
            </w:r>
            <w:r w:rsidR="0032378A" w:rsidRPr="00035117">
              <w:rPr>
                <w:rFonts w:ascii="Constantia" w:hAnsi="Constantia"/>
                <w:sz w:val="18"/>
                <w:szCs w:val="18"/>
                <w:lang w:val="sr-Latn-CS"/>
              </w:rPr>
              <w:t xml:space="preserve"> </w:t>
            </w:r>
            <w:r w:rsidRPr="00035117">
              <w:rPr>
                <w:rFonts w:ascii="Constantia" w:hAnsi="Constantia"/>
                <w:sz w:val="18"/>
                <w:szCs w:val="18"/>
                <w:lang w:val="sr-Latn-CS"/>
              </w:rPr>
              <w:t>list CG, br.7, od 8.</w:t>
            </w:r>
          </w:p>
          <w:p w:rsidR="004B071C" w:rsidRPr="00035117" w:rsidRDefault="004B071C" w:rsidP="0015485E">
            <w:pPr>
              <w:spacing w:after="0"/>
              <w:jc w:val="center"/>
              <w:rPr>
                <w:rFonts w:ascii="Constantia" w:hAnsi="Constantia"/>
                <w:sz w:val="18"/>
                <w:szCs w:val="18"/>
                <w:lang w:val="sr-Latn-CS"/>
              </w:rPr>
            </w:pPr>
            <w:r w:rsidRPr="00035117">
              <w:rPr>
                <w:rFonts w:ascii="Constantia" w:hAnsi="Constantia"/>
                <w:sz w:val="18"/>
                <w:szCs w:val="18"/>
                <w:lang w:val="sr-Latn-CS"/>
              </w:rPr>
              <w:t>decembra 2008. godine</w:t>
            </w:r>
          </w:p>
          <w:p w:rsidR="004B071C" w:rsidRPr="00035117" w:rsidRDefault="004B071C" w:rsidP="0015485E">
            <w:pPr>
              <w:spacing w:after="0"/>
              <w:jc w:val="center"/>
              <w:rPr>
                <w:rFonts w:ascii="Constantia" w:hAnsi="Constantia"/>
                <w:sz w:val="18"/>
                <w:szCs w:val="18"/>
                <w:lang w:val="sr-Latn-CS"/>
              </w:rPr>
            </w:pPr>
          </w:p>
        </w:tc>
      </w:tr>
      <w:tr w:rsidR="004B071C" w:rsidRPr="00035117" w:rsidTr="00986348">
        <w:trPr>
          <w:trHeight w:val="20"/>
          <w:jc w:val="center"/>
        </w:trPr>
        <w:tc>
          <w:tcPr>
            <w:tcW w:w="905" w:type="dxa"/>
            <w:shd w:val="clear" w:color="auto" w:fill="CDDDAC"/>
          </w:tcPr>
          <w:p w:rsidR="004B071C" w:rsidRPr="00035117" w:rsidRDefault="004B071C" w:rsidP="00986348">
            <w:pPr>
              <w:spacing w:after="0"/>
              <w:jc w:val="center"/>
              <w:rPr>
                <w:rFonts w:ascii="Constantia" w:hAnsi="Constantia"/>
                <w:sz w:val="20"/>
                <w:szCs w:val="20"/>
                <w:lang w:val="sr-Latn-CS"/>
              </w:rPr>
            </w:pPr>
            <w:r w:rsidRPr="00035117">
              <w:rPr>
                <w:rFonts w:ascii="Constantia" w:hAnsi="Constantia"/>
                <w:sz w:val="20"/>
                <w:szCs w:val="20"/>
                <w:lang w:val="sr-Latn-CS"/>
              </w:rPr>
              <w:t>11.</w:t>
            </w:r>
          </w:p>
        </w:tc>
        <w:tc>
          <w:tcPr>
            <w:tcW w:w="3330" w:type="dxa"/>
            <w:shd w:val="clear" w:color="auto" w:fill="CDDDAC"/>
          </w:tcPr>
          <w:p w:rsidR="004B071C" w:rsidRPr="00035117" w:rsidRDefault="004B071C" w:rsidP="004E680E">
            <w:pPr>
              <w:spacing w:after="0"/>
              <w:jc w:val="left"/>
              <w:rPr>
                <w:rFonts w:ascii="Constantia" w:hAnsi="Constantia"/>
                <w:sz w:val="18"/>
                <w:szCs w:val="18"/>
                <w:lang w:val="sr-Latn-CS"/>
              </w:rPr>
            </w:pPr>
            <w:r w:rsidRPr="00035117">
              <w:rPr>
                <w:rFonts w:ascii="Constantia" w:hAnsi="Constantia"/>
                <w:sz w:val="18"/>
                <w:szCs w:val="18"/>
                <w:lang w:val="sr-Latn-CS"/>
              </w:rPr>
              <w:t>Protokol o područjima pod posebnom zaštitom i biodiverzitetu Sredozemlja</w:t>
            </w:r>
          </w:p>
        </w:tc>
        <w:tc>
          <w:tcPr>
            <w:tcW w:w="1890" w:type="dxa"/>
            <w:shd w:val="clear" w:color="auto" w:fill="CDDDAC"/>
          </w:tcPr>
          <w:p w:rsidR="004B071C" w:rsidRPr="00035117" w:rsidRDefault="004B071C" w:rsidP="0015485E">
            <w:pPr>
              <w:spacing w:after="0"/>
              <w:jc w:val="center"/>
              <w:rPr>
                <w:rFonts w:ascii="Constantia" w:hAnsi="Constantia"/>
                <w:sz w:val="18"/>
                <w:szCs w:val="18"/>
                <w:lang w:val="sr-Latn-CS"/>
              </w:rPr>
            </w:pPr>
            <w:r w:rsidRPr="00035117">
              <w:rPr>
                <w:rFonts w:ascii="Constantia" w:hAnsi="Constantia"/>
                <w:sz w:val="18"/>
                <w:szCs w:val="18"/>
                <w:lang w:val="sr-Latn-CS"/>
              </w:rPr>
              <w:t>ratifikovan</w:t>
            </w:r>
          </w:p>
        </w:tc>
        <w:tc>
          <w:tcPr>
            <w:tcW w:w="3016" w:type="dxa"/>
            <w:shd w:val="clear" w:color="auto" w:fill="CDDDAC"/>
          </w:tcPr>
          <w:p w:rsidR="004B071C" w:rsidRPr="00035117" w:rsidRDefault="004B071C" w:rsidP="0015485E">
            <w:pPr>
              <w:spacing w:after="0"/>
              <w:jc w:val="center"/>
              <w:rPr>
                <w:rFonts w:ascii="Constantia" w:hAnsi="Constantia"/>
                <w:sz w:val="18"/>
                <w:szCs w:val="18"/>
                <w:lang w:val="sr-Latn-CS"/>
              </w:rPr>
            </w:pPr>
            <w:r w:rsidRPr="00035117">
              <w:rPr>
                <w:rFonts w:ascii="Constantia" w:hAnsi="Constantia"/>
                <w:sz w:val="18"/>
                <w:szCs w:val="18"/>
                <w:lang w:val="sr-Latn-CS"/>
              </w:rPr>
              <w:t>Sl</w:t>
            </w:r>
            <w:r w:rsidR="0032378A" w:rsidRPr="00035117">
              <w:rPr>
                <w:rFonts w:ascii="Constantia" w:hAnsi="Constantia"/>
                <w:sz w:val="18"/>
                <w:szCs w:val="18"/>
                <w:lang w:val="sr-Latn-CS"/>
              </w:rPr>
              <w:t>.</w:t>
            </w:r>
            <w:r w:rsidRPr="00035117">
              <w:rPr>
                <w:rFonts w:ascii="Constantia" w:hAnsi="Constantia"/>
                <w:sz w:val="18"/>
                <w:szCs w:val="18"/>
                <w:lang w:val="sr-Latn-CS"/>
              </w:rPr>
              <w:t xml:space="preserve"> list RCG,br. 64/07</w:t>
            </w:r>
          </w:p>
        </w:tc>
      </w:tr>
      <w:tr w:rsidR="004B071C" w:rsidRPr="00035117" w:rsidTr="00986348">
        <w:trPr>
          <w:trHeight w:val="20"/>
          <w:jc w:val="center"/>
        </w:trPr>
        <w:tc>
          <w:tcPr>
            <w:tcW w:w="905" w:type="dxa"/>
            <w:shd w:val="clear" w:color="auto" w:fill="CDDDAC"/>
          </w:tcPr>
          <w:p w:rsidR="004B071C" w:rsidRPr="00035117" w:rsidRDefault="004B071C" w:rsidP="00986348">
            <w:pPr>
              <w:spacing w:after="0"/>
              <w:jc w:val="center"/>
              <w:rPr>
                <w:rFonts w:ascii="Constantia" w:hAnsi="Constantia"/>
                <w:sz w:val="20"/>
                <w:szCs w:val="20"/>
                <w:lang w:val="sr-Latn-CS"/>
              </w:rPr>
            </w:pPr>
            <w:r w:rsidRPr="00035117">
              <w:rPr>
                <w:rFonts w:ascii="Constantia" w:hAnsi="Constantia"/>
                <w:sz w:val="20"/>
                <w:szCs w:val="20"/>
                <w:lang w:val="sr-Latn-CS"/>
              </w:rPr>
              <w:t>12.</w:t>
            </w:r>
          </w:p>
        </w:tc>
        <w:tc>
          <w:tcPr>
            <w:tcW w:w="3330" w:type="dxa"/>
            <w:shd w:val="clear" w:color="auto" w:fill="CDDDAC"/>
          </w:tcPr>
          <w:p w:rsidR="004B071C" w:rsidRPr="00035117" w:rsidRDefault="004B071C" w:rsidP="004E680E">
            <w:pPr>
              <w:spacing w:after="0"/>
              <w:jc w:val="left"/>
              <w:rPr>
                <w:rFonts w:ascii="Constantia" w:hAnsi="Constantia"/>
                <w:color w:val="000000"/>
                <w:sz w:val="18"/>
                <w:szCs w:val="18"/>
                <w:lang w:val="sr-Latn-CS"/>
              </w:rPr>
            </w:pPr>
            <w:r w:rsidRPr="00035117">
              <w:rPr>
                <w:rFonts w:ascii="Constantia" w:hAnsi="Constantia"/>
                <w:color w:val="000000"/>
                <w:sz w:val="18"/>
                <w:szCs w:val="18"/>
                <w:lang w:val="sr-Latn-CS"/>
              </w:rPr>
              <w:t>Sporazum o zaštiti afričko-evroazijskih migratornih ptica močvarica (AEWA)</w:t>
            </w:r>
          </w:p>
        </w:tc>
        <w:tc>
          <w:tcPr>
            <w:tcW w:w="1890" w:type="dxa"/>
            <w:shd w:val="clear" w:color="auto" w:fill="CDDDAC"/>
          </w:tcPr>
          <w:p w:rsidR="004B071C" w:rsidRPr="00035117" w:rsidRDefault="004B071C" w:rsidP="0015485E">
            <w:pPr>
              <w:spacing w:after="0"/>
              <w:jc w:val="center"/>
              <w:rPr>
                <w:rFonts w:ascii="Constantia" w:hAnsi="Constantia"/>
                <w:sz w:val="18"/>
                <w:szCs w:val="18"/>
                <w:lang w:val="sr-Latn-CS"/>
              </w:rPr>
            </w:pPr>
            <w:r w:rsidRPr="00035117">
              <w:rPr>
                <w:rFonts w:ascii="Constantia" w:hAnsi="Constantia"/>
                <w:sz w:val="18"/>
                <w:szCs w:val="18"/>
                <w:lang w:val="sr-Latn-CS"/>
              </w:rPr>
              <w:t>ratifikovan</w:t>
            </w:r>
          </w:p>
        </w:tc>
        <w:tc>
          <w:tcPr>
            <w:tcW w:w="3016" w:type="dxa"/>
            <w:shd w:val="clear" w:color="auto" w:fill="CDDDAC"/>
          </w:tcPr>
          <w:p w:rsidR="004B071C" w:rsidRPr="00035117" w:rsidRDefault="004B071C" w:rsidP="0015485E">
            <w:pPr>
              <w:spacing w:after="0"/>
              <w:jc w:val="center"/>
              <w:rPr>
                <w:rFonts w:ascii="Constantia" w:hAnsi="Constantia"/>
                <w:sz w:val="18"/>
                <w:szCs w:val="18"/>
                <w:lang w:val="sr-Latn-CS"/>
              </w:rPr>
            </w:pPr>
            <w:r w:rsidRPr="00035117">
              <w:rPr>
                <w:rFonts w:ascii="Constantia" w:hAnsi="Constantia" w:cs="Arial"/>
                <w:bCs/>
                <w:sz w:val="18"/>
                <w:szCs w:val="18"/>
                <w:lang w:val="pt-BR"/>
              </w:rPr>
              <w:t>“Sl. list CG" br. 01/2011</w:t>
            </w:r>
          </w:p>
        </w:tc>
      </w:tr>
      <w:tr w:rsidR="004B071C" w:rsidRPr="00035117" w:rsidTr="00986348">
        <w:trPr>
          <w:trHeight w:val="20"/>
          <w:jc w:val="center"/>
        </w:trPr>
        <w:tc>
          <w:tcPr>
            <w:tcW w:w="905" w:type="dxa"/>
            <w:shd w:val="clear" w:color="auto" w:fill="CDDDAC"/>
          </w:tcPr>
          <w:p w:rsidR="004B071C" w:rsidRPr="00035117" w:rsidRDefault="004B071C" w:rsidP="00986348">
            <w:pPr>
              <w:spacing w:after="0"/>
              <w:jc w:val="center"/>
              <w:rPr>
                <w:rFonts w:ascii="Constantia" w:hAnsi="Constantia"/>
                <w:sz w:val="20"/>
                <w:szCs w:val="20"/>
                <w:lang w:val="sr-Latn-CS"/>
              </w:rPr>
            </w:pPr>
            <w:r w:rsidRPr="00035117">
              <w:rPr>
                <w:rFonts w:ascii="Constantia" w:hAnsi="Constantia"/>
                <w:sz w:val="20"/>
                <w:szCs w:val="20"/>
                <w:lang w:val="sr-Latn-CS"/>
              </w:rPr>
              <w:t>13.</w:t>
            </w:r>
          </w:p>
        </w:tc>
        <w:tc>
          <w:tcPr>
            <w:tcW w:w="3330" w:type="dxa"/>
            <w:shd w:val="clear" w:color="auto" w:fill="CDDDAC"/>
          </w:tcPr>
          <w:p w:rsidR="004B071C" w:rsidRPr="00035117" w:rsidRDefault="004B071C" w:rsidP="004E680E">
            <w:pPr>
              <w:spacing w:after="0"/>
              <w:jc w:val="left"/>
              <w:rPr>
                <w:rFonts w:ascii="Constantia" w:hAnsi="Constantia"/>
                <w:color w:val="000000"/>
                <w:sz w:val="18"/>
                <w:szCs w:val="18"/>
                <w:lang w:val="sr-Latn-CS"/>
              </w:rPr>
            </w:pPr>
            <w:r w:rsidRPr="00035117">
              <w:rPr>
                <w:rFonts w:ascii="Constantia" w:hAnsi="Constantia"/>
                <w:color w:val="000000"/>
                <w:sz w:val="18"/>
                <w:szCs w:val="18"/>
                <w:lang w:val="sr-Latn-CS"/>
              </w:rPr>
              <w:t>Sporazum o zaštiti šišmiša u Evropi (EUROBATS)</w:t>
            </w:r>
          </w:p>
        </w:tc>
        <w:tc>
          <w:tcPr>
            <w:tcW w:w="1890" w:type="dxa"/>
            <w:shd w:val="clear" w:color="auto" w:fill="CDDDAC"/>
          </w:tcPr>
          <w:p w:rsidR="004B071C" w:rsidRPr="00035117" w:rsidRDefault="00D71BD3" w:rsidP="0015485E">
            <w:pPr>
              <w:spacing w:after="0"/>
              <w:jc w:val="center"/>
              <w:rPr>
                <w:rFonts w:ascii="Constantia" w:hAnsi="Constantia"/>
                <w:sz w:val="18"/>
                <w:szCs w:val="18"/>
                <w:lang w:val="sr-Latn-CS"/>
              </w:rPr>
            </w:pPr>
            <w:r w:rsidRPr="00035117">
              <w:rPr>
                <w:rFonts w:ascii="Constantia" w:hAnsi="Constantia"/>
                <w:sz w:val="18"/>
                <w:szCs w:val="18"/>
                <w:lang w:val="sr-Latn-CS"/>
              </w:rPr>
              <w:t>ratifikovan</w:t>
            </w:r>
          </w:p>
        </w:tc>
        <w:tc>
          <w:tcPr>
            <w:tcW w:w="3016" w:type="dxa"/>
            <w:shd w:val="clear" w:color="auto" w:fill="CDDDAC"/>
          </w:tcPr>
          <w:p w:rsidR="004B071C" w:rsidRPr="00035117" w:rsidRDefault="004B071C" w:rsidP="0015485E">
            <w:pPr>
              <w:spacing w:after="0"/>
              <w:jc w:val="center"/>
              <w:rPr>
                <w:rFonts w:ascii="Constantia" w:hAnsi="Constantia" w:cs="Arial"/>
                <w:bCs/>
                <w:sz w:val="18"/>
                <w:szCs w:val="18"/>
                <w:lang w:val="pt-BR"/>
              </w:rPr>
            </w:pPr>
            <w:r w:rsidRPr="00035117">
              <w:rPr>
                <w:rFonts w:ascii="Constantia" w:hAnsi="Constantia" w:cs="Arial"/>
                <w:bCs/>
                <w:sz w:val="18"/>
                <w:szCs w:val="18"/>
                <w:lang w:val="pt-BR"/>
              </w:rPr>
              <w:t>“Sl</w:t>
            </w:r>
            <w:r w:rsidR="0032378A" w:rsidRPr="00035117">
              <w:rPr>
                <w:rFonts w:ascii="Constantia" w:hAnsi="Constantia" w:cs="Arial"/>
                <w:bCs/>
                <w:sz w:val="18"/>
                <w:szCs w:val="18"/>
                <w:lang w:val="pt-BR"/>
              </w:rPr>
              <w:t>.</w:t>
            </w:r>
            <w:r w:rsidRPr="00035117">
              <w:rPr>
                <w:rFonts w:ascii="Constantia" w:hAnsi="Constantia" w:cs="Arial"/>
                <w:bCs/>
                <w:sz w:val="18"/>
                <w:szCs w:val="18"/>
                <w:lang w:val="pt-BR"/>
              </w:rPr>
              <w:t xml:space="preserve"> list CG” br. 16/10</w:t>
            </w:r>
          </w:p>
        </w:tc>
      </w:tr>
    </w:tbl>
    <w:p w:rsidR="004B071C" w:rsidRPr="00986348" w:rsidRDefault="004B071C" w:rsidP="004B071C">
      <w:pPr>
        <w:pStyle w:val="Tabele"/>
        <w:spacing w:before="60" w:after="240"/>
        <w:ind w:left="714" w:hanging="357"/>
        <w:rPr>
          <w:rFonts w:ascii="Constantia" w:hAnsi="Constantia"/>
          <w:sz w:val="22"/>
          <w:szCs w:val="22"/>
        </w:rPr>
      </w:pPr>
      <w:r w:rsidRPr="00986348">
        <w:rPr>
          <w:rFonts w:ascii="Constantia" w:hAnsi="Constantia"/>
          <w:sz w:val="22"/>
          <w:szCs w:val="22"/>
        </w:rPr>
        <w:t>Multilateralni sporazumi koje je Crna Gora ratifikovala u oblasti biodiverziteta</w:t>
      </w:r>
    </w:p>
    <w:p w:rsidR="004B071C" w:rsidRPr="00F84A21" w:rsidRDefault="004B071C" w:rsidP="00BF3C01">
      <w:pPr>
        <w:pStyle w:val="Heading2"/>
        <w:ind w:left="720"/>
        <w:rPr>
          <w:lang w:val="sr-Latn-CS"/>
        </w:rPr>
      </w:pPr>
      <w:bookmarkStart w:id="135" w:name="_Toc290504117"/>
      <w:bookmarkStart w:id="136" w:name="_Toc393897919"/>
      <w:r w:rsidRPr="0015485E">
        <w:lastRenderedPageBreak/>
        <w:t>Zaštićena</w:t>
      </w:r>
      <w:r w:rsidRPr="00F84A21">
        <w:rPr>
          <w:lang w:val="sr-Latn-CS"/>
        </w:rPr>
        <w:t xml:space="preserve"> područja</w:t>
      </w:r>
      <w:bookmarkEnd w:id="135"/>
      <w:bookmarkEnd w:id="136"/>
    </w:p>
    <w:p w:rsidR="00035117" w:rsidRPr="000F71E1" w:rsidRDefault="004B071C" w:rsidP="00035117">
      <w:pPr>
        <w:rPr>
          <w:rFonts w:ascii="Constantia" w:hAnsi="Constantia"/>
          <w:lang w:val="sr-Latn-CS"/>
        </w:rPr>
      </w:pPr>
      <w:r w:rsidRPr="000F71E1">
        <w:rPr>
          <w:rFonts w:ascii="Constantia" w:hAnsi="Constantia"/>
          <w:lang w:val="sr-Latn-CS"/>
        </w:rPr>
        <w:t>Nacionalna mreža zaštićenih područja trenutno p</w:t>
      </w:r>
      <w:r w:rsidR="000F71E1">
        <w:rPr>
          <w:rFonts w:ascii="Constantia" w:hAnsi="Constantia"/>
          <w:lang w:val="sr-Latn-CS"/>
        </w:rPr>
        <w:t>okriva 124</w:t>
      </w:r>
      <w:r w:rsidR="00035117">
        <w:rPr>
          <w:rFonts w:ascii="Constantia" w:hAnsi="Constantia"/>
          <w:lang w:val="sr-Latn-CS"/>
        </w:rPr>
        <w:t xml:space="preserve"> </w:t>
      </w:r>
      <w:r w:rsidR="000F71E1">
        <w:rPr>
          <w:rFonts w:ascii="Constantia" w:hAnsi="Constantia"/>
          <w:lang w:val="sr-Latn-CS"/>
        </w:rPr>
        <w:t>964,24 ha, odnosno 9,</w:t>
      </w:r>
      <w:r w:rsidRPr="000F71E1">
        <w:rPr>
          <w:rFonts w:ascii="Constantia" w:hAnsi="Constantia"/>
          <w:lang w:val="sr-Latn-CS"/>
        </w:rPr>
        <w:t>047% teritorije Crne Go</w:t>
      </w:r>
      <w:r w:rsidR="00035117">
        <w:rPr>
          <w:rFonts w:ascii="Constantia" w:hAnsi="Constantia"/>
          <w:lang w:val="sr-Latn-CS"/>
        </w:rPr>
        <w:t xml:space="preserve">re, od čega se najveći dio (101 </w:t>
      </w:r>
      <w:r w:rsidRPr="000F71E1">
        <w:rPr>
          <w:rFonts w:ascii="Constantia" w:hAnsi="Constantia"/>
          <w:lang w:val="sr-Latn-CS"/>
        </w:rPr>
        <w:t xml:space="preserve">733ha ili 7,77%) sastoji od pet nacionalnih parkova: Nacionalni park „Durmitor”, „Skadarsko jezero”, „Lovćen”, „Biogradska gora” i novoosnovani „Prokletije”. Preostali dio čini više od 40 </w:t>
      </w:r>
      <w:r w:rsidR="000F71E1">
        <w:rPr>
          <w:rFonts w:ascii="Constantia" w:hAnsi="Constantia"/>
          <w:lang w:val="sr-Latn-CS"/>
        </w:rPr>
        <w:t>zaštićenih područja u okviru sl</w:t>
      </w:r>
      <w:r w:rsidRPr="000F71E1">
        <w:rPr>
          <w:rFonts w:ascii="Constantia" w:hAnsi="Constantia"/>
          <w:lang w:val="sr-Latn-CS"/>
        </w:rPr>
        <w:t>edećih kategorija: spomenik prirode, područja posebnih prirodnih karakteristika (opšti i posebni) rezervati.</w:t>
      </w:r>
    </w:p>
    <w:tbl>
      <w:tblPr>
        <w:tblW w:w="0" w:type="auto"/>
        <w:tblInd w:w="108"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firstRow="1" w:lastRow="0" w:firstColumn="1" w:lastColumn="0" w:noHBand="0" w:noVBand="1"/>
      </w:tblPr>
      <w:tblGrid>
        <w:gridCol w:w="1580"/>
        <w:gridCol w:w="4435"/>
        <w:gridCol w:w="1512"/>
        <w:gridCol w:w="1623"/>
      </w:tblGrid>
      <w:tr w:rsidR="004B071C" w:rsidRPr="00035117" w:rsidTr="00035117">
        <w:tc>
          <w:tcPr>
            <w:tcW w:w="1563" w:type="dxa"/>
            <w:shd w:val="clear" w:color="auto" w:fill="E6EED5"/>
          </w:tcPr>
          <w:p w:rsidR="004B071C" w:rsidRPr="00035117" w:rsidRDefault="004B071C" w:rsidP="004E680E">
            <w:pPr>
              <w:spacing w:after="0"/>
              <w:jc w:val="left"/>
              <w:rPr>
                <w:rFonts w:ascii="Constantia" w:hAnsi="Constantia"/>
                <w:b/>
                <w:bCs/>
                <w:szCs w:val="22"/>
                <w:lang w:val="sr-Latn-CS"/>
              </w:rPr>
            </w:pPr>
            <w:r w:rsidRPr="00035117">
              <w:rPr>
                <w:rFonts w:ascii="Constantia" w:hAnsi="Constantia"/>
                <w:b/>
                <w:bCs/>
                <w:szCs w:val="22"/>
                <w:lang w:val="sr-Latn-CS"/>
              </w:rPr>
              <w:t>Nivo</w:t>
            </w:r>
          </w:p>
        </w:tc>
        <w:tc>
          <w:tcPr>
            <w:tcW w:w="4435" w:type="dxa"/>
            <w:shd w:val="clear" w:color="auto" w:fill="E6EED5"/>
          </w:tcPr>
          <w:p w:rsidR="004B071C" w:rsidRPr="00035117" w:rsidRDefault="004B071C" w:rsidP="004E680E">
            <w:pPr>
              <w:spacing w:after="0"/>
              <w:jc w:val="left"/>
              <w:rPr>
                <w:rFonts w:ascii="Constantia" w:hAnsi="Constantia"/>
                <w:b/>
                <w:bCs/>
                <w:szCs w:val="22"/>
                <w:lang w:val="sr-Latn-CS"/>
              </w:rPr>
            </w:pPr>
            <w:r w:rsidRPr="00035117">
              <w:rPr>
                <w:rFonts w:ascii="Constantia" w:hAnsi="Constantia"/>
                <w:b/>
                <w:bCs/>
                <w:szCs w:val="22"/>
                <w:lang w:val="sr-Latn-CS"/>
              </w:rPr>
              <w:t>Zaštićeno prirodno dobro</w:t>
            </w:r>
          </w:p>
        </w:tc>
        <w:tc>
          <w:tcPr>
            <w:tcW w:w="1512" w:type="dxa"/>
            <w:shd w:val="clear" w:color="auto" w:fill="E6EED5"/>
          </w:tcPr>
          <w:p w:rsidR="004B071C" w:rsidRPr="00035117" w:rsidRDefault="004B071C" w:rsidP="00035117">
            <w:pPr>
              <w:spacing w:after="0"/>
              <w:jc w:val="center"/>
              <w:rPr>
                <w:rFonts w:ascii="Constantia" w:hAnsi="Constantia"/>
                <w:b/>
                <w:bCs/>
                <w:szCs w:val="22"/>
                <w:lang w:val="sr-Latn-CS"/>
              </w:rPr>
            </w:pPr>
            <w:r w:rsidRPr="00035117">
              <w:rPr>
                <w:rFonts w:ascii="Constantia" w:hAnsi="Constantia"/>
                <w:b/>
                <w:bCs/>
                <w:szCs w:val="22"/>
                <w:lang w:val="sr-Latn-CS"/>
              </w:rPr>
              <w:t>Površina</w:t>
            </w:r>
          </w:p>
        </w:tc>
        <w:tc>
          <w:tcPr>
            <w:tcW w:w="1580" w:type="dxa"/>
            <w:shd w:val="clear" w:color="auto" w:fill="E6EED5"/>
          </w:tcPr>
          <w:p w:rsidR="004B071C" w:rsidRPr="00035117" w:rsidRDefault="004B071C" w:rsidP="00035117">
            <w:pPr>
              <w:spacing w:after="0"/>
              <w:jc w:val="center"/>
              <w:rPr>
                <w:rFonts w:ascii="Constantia" w:hAnsi="Constantia"/>
                <w:b/>
                <w:bCs/>
                <w:szCs w:val="22"/>
                <w:lang w:val="sr-Latn-CS"/>
              </w:rPr>
            </w:pPr>
            <w:r w:rsidRPr="00035117">
              <w:rPr>
                <w:rFonts w:ascii="Constantia" w:hAnsi="Constantia"/>
                <w:b/>
                <w:bCs/>
                <w:szCs w:val="22"/>
                <w:lang w:val="sr-Latn-CS"/>
              </w:rPr>
              <w:t>Procentualna zastupljenost</w:t>
            </w:r>
          </w:p>
        </w:tc>
      </w:tr>
      <w:tr w:rsidR="004B071C" w:rsidRPr="00035117" w:rsidTr="00035117">
        <w:tc>
          <w:tcPr>
            <w:tcW w:w="1563" w:type="dxa"/>
            <w:shd w:val="clear" w:color="auto" w:fill="CDDDAC"/>
          </w:tcPr>
          <w:p w:rsidR="004B071C" w:rsidRPr="00035117" w:rsidRDefault="004B071C" w:rsidP="004E680E">
            <w:pPr>
              <w:spacing w:after="0"/>
              <w:jc w:val="left"/>
              <w:rPr>
                <w:rFonts w:ascii="Constantia" w:hAnsi="Constantia"/>
                <w:b/>
                <w:bCs/>
                <w:szCs w:val="22"/>
                <w:lang w:val="sr-Latn-CS"/>
              </w:rPr>
            </w:pPr>
            <w:r w:rsidRPr="00035117">
              <w:rPr>
                <w:rFonts w:ascii="Constantia" w:hAnsi="Constantia"/>
                <w:bCs/>
                <w:szCs w:val="22"/>
                <w:lang w:val="sr-Latn-CS"/>
              </w:rPr>
              <w:t>Nacionalni</w:t>
            </w:r>
            <w:r w:rsidRPr="00035117">
              <w:rPr>
                <w:rFonts w:ascii="Constantia" w:hAnsi="Constantia"/>
                <w:b/>
                <w:bCs/>
                <w:szCs w:val="22"/>
                <w:lang w:val="sr-Latn-CS"/>
              </w:rPr>
              <w:t xml:space="preserve"> </w:t>
            </w:r>
            <w:r w:rsidRPr="00035117">
              <w:rPr>
                <w:rFonts w:ascii="Constantia" w:hAnsi="Constantia"/>
                <w:bCs/>
                <w:szCs w:val="22"/>
                <w:lang w:val="sr-Latn-CS"/>
              </w:rPr>
              <w:t>nivo zaštite</w:t>
            </w:r>
          </w:p>
        </w:tc>
        <w:tc>
          <w:tcPr>
            <w:tcW w:w="4435" w:type="dxa"/>
            <w:shd w:val="clear" w:color="auto" w:fill="CDDDAC"/>
          </w:tcPr>
          <w:p w:rsidR="004B071C" w:rsidRPr="00035117" w:rsidRDefault="004B071C" w:rsidP="004E680E">
            <w:pPr>
              <w:spacing w:after="0"/>
              <w:jc w:val="left"/>
              <w:rPr>
                <w:rFonts w:ascii="Constantia" w:hAnsi="Constantia"/>
                <w:szCs w:val="22"/>
                <w:lang w:val="sr-Latn-CS"/>
              </w:rPr>
            </w:pPr>
            <w:r w:rsidRPr="00035117">
              <w:rPr>
                <w:rFonts w:ascii="Constantia" w:hAnsi="Constantia"/>
                <w:szCs w:val="22"/>
                <w:lang w:val="sr-Latn-CS"/>
              </w:rPr>
              <w:t>Nacionalni parkovi</w:t>
            </w:r>
          </w:p>
        </w:tc>
        <w:tc>
          <w:tcPr>
            <w:tcW w:w="1512" w:type="dxa"/>
            <w:shd w:val="clear" w:color="auto" w:fill="CDDDAC"/>
          </w:tcPr>
          <w:p w:rsidR="004B071C" w:rsidRPr="00035117" w:rsidRDefault="004B071C" w:rsidP="00035117">
            <w:pPr>
              <w:spacing w:after="0"/>
              <w:jc w:val="center"/>
              <w:rPr>
                <w:rFonts w:ascii="Constantia" w:hAnsi="Constantia"/>
                <w:szCs w:val="22"/>
                <w:lang w:val="sr-Latn-CS"/>
              </w:rPr>
            </w:pPr>
            <w:r w:rsidRPr="00035117">
              <w:rPr>
                <w:rFonts w:ascii="Constantia" w:hAnsi="Constantia"/>
                <w:szCs w:val="22"/>
                <w:lang w:val="sr-Latn-CS"/>
              </w:rPr>
              <w:t>101 733 ha</w:t>
            </w:r>
          </w:p>
        </w:tc>
        <w:tc>
          <w:tcPr>
            <w:tcW w:w="1580" w:type="dxa"/>
            <w:shd w:val="clear" w:color="auto" w:fill="CDDDAC"/>
          </w:tcPr>
          <w:p w:rsidR="004B071C" w:rsidRPr="00035117" w:rsidRDefault="004B071C" w:rsidP="00035117">
            <w:pPr>
              <w:spacing w:after="0"/>
              <w:jc w:val="center"/>
              <w:rPr>
                <w:rFonts w:ascii="Constantia" w:hAnsi="Constantia"/>
                <w:szCs w:val="22"/>
                <w:lang w:val="sr-Latn-CS"/>
              </w:rPr>
            </w:pPr>
            <w:r w:rsidRPr="00035117">
              <w:rPr>
                <w:rFonts w:ascii="Constantia" w:hAnsi="Constantia"/>
                <w:szCs w:val="22"/>
                <w:lang w:val="sr-Latn-CS"/>
              </w:rPr>
              <w:t>7,77 %</w:t>
            </w:r>
          </w:p>
        </w:tc>
      </w:tr>
      <w:tr w:rsidR="004B071C" w:rsidRPr="00035117" w:rsidTr="00035117">
        <w:tc>
          <w:tcPr>
            <w:tcW w:w="1563" w:type="dxa"/>
            <w:shd w:val="clear" w:color="auto" w:fill="E6EED5"/>
          </w:tcPr>
          <w:p w:rsidR="004B071C" w:rsidRPr="00035117" w:rsidRDefault="004B071C" w:rsidP="004E680E">
            <w:pPr>
              <w:spacing w:after="0"/>
              <w:jc w:val="left"/>
              <w:rPr>
                <w:rFonts w:ascii="Constantia" w:hAnsi="Constantia"/>
                <w:b/>
                <w:bCs/>
                <w:color w:val="000000"/>
                <w:szCs w:val="22"/>
                <w:lang w:val="sr-Latn-CS"/>
              </w:rPr>
            </w:pPr>
          </w:p>
        </w:tc>
        <w:tc>
          <w:tcPr>
            <w:tcW w:w="4435" w:type="dxa"/>
            <w:shd w:val="clear" w:color="auto" w:fill="E6EED5"/>
          </w:tcPr>
          <w:p w:rsidR="004B071C" w:rsidRPr="00035117" w:rsidRDefault="004B071C" w:rsidP="004E680E">
            <w:pPr>
              <w:spacing w:after="0"/>
              <w:jc w:val="left"/>
              <w:rPr>
                <w:rFonts w:ascii="Constantia" w:hAnsi="Constantia"/>
                <w:szCs w:val="22"/>
                <w:lang w:val="sr-Latn-CS"/>
              </w:rPr>
            </w:pPr>
            <w:r w:rsidRPr="00035117">
              <w:rPr>
                <w:rFonts w:ascii="Constantia" w:hAnsi="Constantia"/>
                <w:szCs w:val="22"/>
                <w:lang w:val="sr-Latn-CS"/>
              </w:rPr>
              <w:t>Spomenici prirode</w:t>
            </w:r>
          </w:p>
        </w:tc>
        <w:tc>
          <w:tcPr>
            <w:tcW w:w="1512" w:type="dxa"/>
            <w:shd w:val="clear" w:color="auto" w:fill="E6EED5"/>
          </w:tcPr>
          <w:p w:rsidR="004B071C" w:rsidRPr="00035117" w:rsidRDefault="00035117" w:rsidP="00035117">
            <w:pPr>
              <w:spacing w:after="0"/>
              <w:jc w:val="center"/>
              <w:rPr>
                <w:rFonts w:ascii="Constantia" w:hAnsi="Constantia"/>
                <w:szCs w:val="22"/>
                <w:lang w:val="sr-Latn-CS"/>
              </w:rPr>
            </w:pPr>
            <w:r>
              <w:rPr>
                <w:rFonts w:ascii="Constantia" w:hAnsi="Constantia"/>
                <w:szCs w:val="22"/>
                <w:lang w:val="sr-Latn-CS"/>
              </w:rPr>
              <w:t xml:space="preserve">13 </w:t>
            </w:r>
            <w:r w:rsidR="004B071C" w:rsidRPr="00035117">
              <w:rPr>
                <w:rFonts w:ascii="Constantia" w:hAnsi="Constantia"/>
                <w:szCs w:val="22"/>
                <w:lang w:val="sr-Latn-CS"/>
              </w:rPr>
              <w:t>638,54</w:t>
            </w:r>
          </w:p>
        </w:tc>
        <w:tc>
          <w:tcPr>
            <w:tcW w:w="1580" w:type="dxa"/>
            <w:shd w:val="clear" w:color="auto" w:fill="E6EED5"/>
          </w:tcPr>
          <w:p w:rsidR="004B071C" w:rsidRPr="00035117" w:rsidRDefault="004B071C" w:rsidP="00035117">
            <w:pPr>
              <w:spacing w:after="0"/>
              <w:jc w:val="center"/>
              <w:rPr>
                <w:rFonts w:ascii="Constantia" w:hAnsi="Constantia"/>
                <w:szCs w:val="22"/>
                <w:lang w:val="sr-Latn-CS"/>
              </w:rPr>
            </w:pPr>
            <w:r w:rsidRPr="00035117">
              <w:rPr>
                <w:rFonts w:ascii="Constantia" w:hAnsi="Constantia"/>
                <w:szCs w:val="22"/>
                <w:lang w:val="sr-Latn-CS"/>
              </w:rPr>
              <w:t>0.978 %</w:t>
            </w:r>
          </w:p>
        </w:tc>
      </w:tr>
      <w:tr w:rsidR="004B071C" w:rsidRPr="00035117" w:rsidTr="00035117">
        <w:tc>
          <w:tcPr>
            <w:tcW w:w="1563" w:type="dxa"/>
            <w:shd w:val="clear" w:color="auto" w:fill="CDDDAC"/>
          </w:tcPr>
          <w:p w:rsidR="004B071C" w:rsidRPr="00035117" w:rsidRDefault="004B071C" w:rsidP="004E680E">
            <w:pPr>
              <w:spacing w:after="0"/>
              <w:jc w:val="left"/>
              <w:rPr>
                <w:rFonts w:ascii="Constantia" w:hAnsi="Constantia"/>
                <w:b/>
                <w:bCs/>
                <w:color w:val="000000"/>
                <w:szCs w:val="22"/>
                <w:lang w:val="sr-Latn-CS"/>
              </w:rPr>
            </w:pPr>
          </w:p>
        </w:tc>
        <w:tc>
          <w:tcPr>
            <w:tcW w:w="4435" w:type="dxa"/>
            <w:shd w:val="clear" w:color="auto" w:fill="CDDDAC"/>
          </w:tcPr>
          <w:p w:rsidR="004B071C" w:rsidRPr="00035117" w:rsidRDefault="004B071C" w:rsidP="004E680E">
            <w:pPr>
              <w:spacing w:after="0"/>
              <w:jc w:val="left"/>
              <w:rPr>
                <w:rFonts w:ascii="Constantia" w:hAnsi="Constantia"/>
                <w:szCs w:val="22"/>
                <w:lang w:val="sr-Latn-CS"/>
              </w:rPr>
            </w:pPr>
            <w:r w:rsidRPr="00035117">
              <w:rPr>
                <w:rFonts w:ascii="Constantia" w:hAnsi="Constantia"/>
                <w:szCs w:val="22"/>
                <w:lang w:val="sr-Latn-CS"/>
              </w:rPr>
              <w:t>Predjeli posebnih prirodnih odlika</w:t>
            </w:r>
          </w:p>
        </w:tc>
        <w:tc>
          <w:tcPr>
            <w:tcW w:w="1512" w:type="dxa"/>
            <w:shd w:val="clear" w:color="auto" w:fill="CDDDAC"/>
          </w:tcPr>
          <w:p w:rsidR="004B071C" w:rsidRPr="00035117" w:rsidRDefault="004B071C" w:rsidP="00035117">
            <w:pPr>
              <w:spacing w:after="0"/>
              <w:jc w:val="center"/>
              <w:rPr>
                <w:rFonts w:ascii="Constantia" w:hAnsi="Constantia"/>
                <w:szCs w:val="22"/>
                <w:lang w:val="sr-Latn-CS"/>
              </w:rPr>
            </w:pPr>
            <w:r w:rsidRPr="00035117">
              <w:rPr>
                <w:rFonts w:ascii="Constantia" w:hAnsi="Constantia"/>
                <w:szCs w:val="22"/>
                <w:lang w:val="sr-Latn-CS"/>
              </w:rPr>
              <w:t>354,7 ha</w:t>
            </w:r>
          </w:p>
        </w:tc>
        <w:tc>
          <w:tcPr>
            <w:tcW w:w="1580" w:type="dxa"/>
            <w:shd w:val="clear" w:color="auto" w:fill="CDDDAC"/>
          </w:tcPr>
          <w:p w:rsidR="004B071C" w:rsidRPr="00035117" w:rsidRDefault="004B071C" w:rsidP="00035117">
            <w:pPr>
              <w:spacing w:after="0"/>
              <w:jc w:val="center"/>
              <w:rPr>
                <w:rFonts w:ascii="Constantia" w:hAnsi="Constantia"/>
                <w:szCs w:val="22"/>
                <w:lang w:val="sr-Latn-CS"/>
              </w:rPr>
            </w:pPr>
            <w:r w:rsidRPr="00035117">
              <w:rPr>
                <w:rFonts w:ascii="Constantia" w:hAnsi="Constantia"/>
                <w:szCs w:val="22"/>
                <w:lang w:val="sr-Latn-CS"/>
              </w:rPr>
              <w:t>0,025%</w:t>
            </w:r>
          </w:p>
        </w:tc>
      </w:tr>
      <w:tr w:rsidR="004B071C" w:rsidRPr="00035117" w:rsidTr="00035117">
        <w:tc>
          <w:tcPr>
            <w:tcW w:w="1563" w:type="dxa"/>
            <w:shd w:val="clear" w:color="auto" w:fill="E6EED5"/>
          </w:tcPr>
          <w:p w:rsidR="004B071C" w:rsidRPr="00035117" w:rsidRDefault="004B071C" w:rsidP="004E680E">
            <w:pPr>
              <w:spacing w:after="0"/>
              <w:jc w:val="left"/>
              <w:rPr>
                <w:rFonts w:ascii="Constantia" w:hAnsi="Constantia"/>
                <w:b/>
                <w:bCs/>
                <w:color w:val="000000"/>
                <w:szCs w:val="22"/>
                <w:lang w:val="sr-Latn-CS"/>
              </w:rPr>
            </w:pPr>
          </w:p>
        </w:tc>
        <w:tc>
          <w:tcPr>
            <w:tcW w:w="4435" w:type="dxa"/>
            <w:shd w:val="clear" w:color="auto" w:fill="E6EED5"/>
          </w:tcPr>
          <w:p w:rsidR="004B071C" w:rsidRPr="00035117" w:rsidRDefault="004B071C" w:rsidP="004E680E">
            <w:pPr>
              <w:spacing w:after="0"/>
              <w:jc w:val="left"/>
              <w:rPr>
                <w:rFonts w:ascii="Constantia" w:hAnsi="Constantia"/>
                <w:szCs w:val="22"/>
                <w:lang w:val="sr-Latn-CS"/>
              </w:rPr>
            </w:pPr>
            <w:r w:rsidRPr="00035117">
              <w:rPr>
                <w:rFonts w:ascii="Constantia" w:hAnsi="Constantia"/>
                <w:szCs w:val="22"/>
                <w:lang w:val="sr-Latn-CS"/>
              </w:rPr>
              <w:t>Druge zaštićene oblasti –zaštićene opštinskim propisima</w:t>
            </w:r>
          </w:p>
        </w:tc>
        <w:tc>
          <w:tcPr>
            <w:tcW w:w="1512" w:type="dxa"/>
            <w:shd w:val="clear" w:color="auto" w:fill="E6EED5"/>
          </w:tcPr>
          <w:p w:rsidR="004B071C" w:rsidRPr="00035117" w:rsidRDefault="00035117" w:rsidP="00035117">
            <w:pPr>
              <w:spacing w:after="0"/>
              <w:jc w:val="center"/>
              <w:rPr>
                <w:rFonts w:ascii="Constantia" w:hAnsi="Constantia"/>
                <w:szCs w:val="22"/>
                <w:lang w:val="sr-Latn-CS"/>
              </w:rPr>
            </w:pPr>
            <w:r>
              <w:rPr>
                <w:rFonts w:ascii="Constantia" w:hAnsi="Constantia"/>
                <w:szCs w:val="22"/>
                <w:lang w:val="sr-Latn-CS"/>
              </w:rPr>
              <w:t xml:space="preserve">15 </w:t>
            </w:r>
            <w:r w:rsidR="004B071C" w:rsidRPr="00035117">
              <w:rPr>
                <w:rFonts w:ascii="Constantia" w:hAnsi="Constantia"/>
                <w:szCs w:val="22"/>
                <w:lang w:val="sr-Latn-CS"/>
              </w:rPr>
              <w:t>000 ha</w:t>
            </w:r>
          </w:p>
        </w:tc>
        <w:tc>
          <w:tcPr>
            <w:tcW w:w="1580" w:type="dxa"/>
            <w:shd w:val="clear" w:color="auto" w:fill="E6EED5"/>
          </w:tcPr>
          <w:p w:rsidR="004B071C" w:rsidRPr="00035117" w:rsidRDefault="004B071C" w:rsidP="00035117">
            <w:pPr>
              <w:spacing w:after="0"/>
              <w:jc w:val="center"/>
              <w:rPr>
                <w:rFonts w:ascii="Constantia" w:hAnsi="Constantia"/>
                <w:szCs w:val="22"/>
                <w:lang w:val="sr-Latn-CS"/>
              </w:rPr>
            </w:pPr>
            <w:r w:rsidRPr="00035117">
              <w:rPr>
                <w:rFonts w:ascii="Constantia" w:hAnsi="Constantia"/>
                <w:szCs w:val="22"/>
                <w:lang w:val="sr-Latn-CS"/>
              </w:rPr>
              <w:t>1.086%</w:t>
            </w:r>
          </w:p>
        </w:tc>
      </w:tr>
      <w:tr w:rsidR="004B071C" w:rsidRPr="00035117" w:rsidTr="00035117">
        <w:tc>
          <w:tcPr>
            <w:tcW w:w="1563" w:type="dxa"/>
            <w:shd w:val="clear" w:color="auto" w:fill="CDDDAC"/>
          </w:tcPr>
          <w:p w:rsidR="004B071C" w:rsidRPr="00035117" w:rsidRDefault="004B071C" w:rsidP="004E680E">
            <w:pPr>
              <w:spacing w:after="0"/>
              <w:jc w:val="left"/>
              <w:rPr>
                <w:rFonts w:ascii="Constantia" w:hAnsi="Constantia"/>
                <w:b/>
                <w:bCs/>
                <w:color w:val="000000"/>
                <w:szCs w:val="22"/>
                <w:lang w:val="sr-Latn-CS"/>
              </w:rPr>
            </w:pPr>
          </w:p>
        </w:tc>
        <w:tc>
          <w:tcPr>
            <w:tcW w:w="4435" w:type="dxa"/>
            <w:shd w:val="clear" w:color="auto" w:fill="CDDDAC"/>
          </w:tcPr>
          <w:p w:rsidR="004B071C" w:rsidRPr="00035117" w:rsidRDefault="004B071C" w:rsidP="004E680E">
            <w:pPr>
              <w:spacing w:after="0"/>
              <w:jc w:val="left"/>
              <w:rPr>
                <w:rFonts w:ascii="Constantia" w:hAnsi="Constantia"/>
                <w:szCs w:val="22"/>
                <w:lang w:val="sr-Latn-CS"/>
              </w:rPr>
            </w:pPr>
            <w:r w:rsidRPr="00035117">
              <w:rPr>
                <w:rFonts w:ascii="Constantia" w:hAnsi="Constantia"/>
                <w:szCs w:val="22"/>
                <w:lang w:val="sr-Latn-CS"/>
              </w:rPr>
              <w:t>Strogi rezervati prirode</w:t>
            </w:r>
          </w:p>
        </w:tc>
        <w:tc>
          <w:tcPr>
            <w:tcW w:w="1512" w:type="dxa"/>
            <w:shd w:val="clear" w:color="auto" w:fill="CDDDAC"/>
          </w:tcPr>
          <w:p w:rsidR="004B071C" w:rsidRPr="00035117" w:rsidRDefault="004B071C" w:rsidP="00035117">
            <w:pPr>
              <w:spacing w:after="0"/>
              <w:jc w:val="center"/>
              <w:rPr>
                <w:rFonts w:ascii="Constantia" w:hAnsi="Constantia"/>
                <w:szCs w:val="22"/>
                <w:lang w:val="sr-Latn-CS"/>
              </w:rPr>
            </w:pPr>
            <w:r w:rsidRPr="00035117">
              <w:rPr>
                <w:rFonts w:ascii="Constantia" w:hAnsi="Constantia"/>
                <w:szCs w:val="22"/>
                <w:lang w:val="sr-Latn-CS"/>
              </w:rPr>
              <w:t>650 ha</w:t>
            </w:r>
          </w:p>
        </w:tc>
        <w:tc>
          <w:tcPr>
            <w:tcW w:w="1580" w:type="dxa"/>
            <w:shd w:val="clear" w:color="auto" w:fill="CDDDAC"/>
          </w:tcPr>
          <w:p w:rsidR="004B071C" w:rsidRPr="00035117" w:rsidRDefault="004B071C" w:rsidP="00035117">
            <w:pPr>
              <w:spacing w:after="0"/>
              <w:jc w:val="center"/>
              <w:rPr>
                <w:rFonts w:ascii="Constantia" w:hAnsi="Constantia"/>
                <w:szCs w:val="22"/>
                <w:lang w:val="sr-Latn-CS"/>
              </w:rPr>
            </w:pPr>
            <w:r w:rsidRPr="00035117">
              <w:rPr>
                <w:rFonts w:ascii="Constantia" w:hAnsi="Constantia"/>
                <w:szCs w:val="22"/>
                <w:lang w:val="sr-Latn-CS"/>
              </w:rPr>
              <w:t>0.047</w:t>
            </w:r>
          </w:p>
        </w:tc>
      </w:tr>
      <w:tr w:rsidR="004B071C" w:rsidRPr="00035117" w:rsidTr="00035117">
        <w:tc>
          <w:tcPr>
            <w:tcW w:w="1563" w:type="dxa"/>
            <w:shd w:val="clear" w:color="auto" w:fill="E6EED5"/>
          </w:tcPr>
          <w:p w:rsidR="004B071C" w:rsidRPr="00035117" w:rsidRDefault="004B071C" w:rsidP="004E680E">
            <w:pPr>
              <w:spacing w:after="0"/>
              <w:jc w:val="left"/>
              <w:rPr>
                <w:rFonts w:ascii="Constantia" w:hAnsi="Constantia"/>
                <w:b/>
                <w:bCs/>
                <w:color w:val="000000"/>
                <w:szCs w:val="22"/>
                <w:lang w:val="sr-Latn-CS"/>
              </w:rPr>
            </w:pPr>
          </w:p>
        </w:tc>
        <w:tc>
          <w:tcPr>
            <w:tcW w:w="4435" w:type="dxa"/>
            <w:shd w:val="clear" w:color="auto" w:fill="E6EED5"/>
          </w:tcPr>
          <w:p w:rsidR="004B071C" w:rsidRPr="00035117" w:rsidRDefault="004B071C" w:rsidP="00B5789D">
            <w:pPr>
              <w:jc w:val="left"/>
              <w:rPr>
                <w:rFonts w:ascii="Constantia" w:hAnsi="Constantia"/>
                <w:b/>
                <w:szCs w:val="22"/>
                <w:lang w:val="sr-Latn-CS"/>
              </w:rPr>
            </w:pPr>
            <w:r w:rsidRPr="00035117">
              <w:rPr>
                <w:rFonts w:ascii="Constantia" w:hAnsi="Constantia"/>
                <w:b/>
                <w:szCs w:val="22"/>
                <w:lang w:val="sr-Latn-CS"/>
              </w:rPr>
              <w:t>Ukupno pod zaštitom</w:t>
            </w:r>
          </w:p>
        </w:tc>
        <w:tc>
          <w:tcPr>
            <w:tcW w:w="1512" w:type="dxa"/>
            <w:shd w:val="clear" w:color="auto" w:fill="E6EED5"/>
          </w:tcPr>
          <w:p w:rsidR="004B071C" w:rsidRPr="00035117" w:rsidRDefault="00035117" w:rsidP="00035117">
            <w:pPr>
              <w:spacing w:after="0"/>
              <w:jc w:val="center"/>
              <w:rPr>
                <w:rFonts w:ascii="Constantia" w:hAnsi="Constantia"/>
                <w:b/>
                <w:szCs w:val="22"/>
                <w:lang w:val="sr-Latn-CS"/>
              </w:rPr>
            </w:pPr>
            <w:r>
              <w:rPr>
                <w:rFonts w:ascii="Constantia" w:hAnsi="Constantia"/>
                <w:b/>
                <w:szCs w:val="22"/>
                <w:lang w:val="sr-Latn-CS"/>
              </w:rPr>
              <w:t xml:space="preserve">124 </w:t>
            </w:r>
            <w:r w:rsidR="004B071C" w:rsidRPr="00035117">
              <w:rPr>
                <w:rFonts w:ascii="Constantia" w:hAnsi="Constantia"/>
                <w:b/>
                <w:szCs w:val="22"/>
                <w:lang w:val="sr-Latn-CS"/>
              </w:rPr>
              <w:t>964,24</w:t>
            </w:r>
          </w:p>
        </w:tc>
        <w:tc>
          <w:tcPr>
            <w:tcW w:w="1580" w:type="dxa"/>
            <w:shd w:val="clear" w:color="auto" w:fill="E6EED5"/>
          </w:tcPr>
          <w:p w:rsidR="004B071C" w:rsidRPr="00035117" w:rsidRDefault="004B071C" w:rsidP="00035117">
            <w:pPr>
              <w:spacing w:after="0"/>
              <w:jc w:val="center"/>
              <w:rPr>
                <w:rFonts w:ascii="Constantia" w:hAnsi="Constantia"/>
                <w:b/>
                <w:szCs w:val="22"/>
                <w:lang w:val="sr-Latn-CS"/>
              </w:rPr>
            </w:pPr>
            <w:r w:rsidRPr="00035117">
              <w:rPr>
                <w:rFonts w:ascii="Constantia" w:hAnsi="Constantia"/>
                <w:b/>
                <w:szCs w:val="22"/>
                <w:lang w:val="sr-Latn-CS"/>
              </w:rPr>
              <w:t>9,047%</w:t>
            </w:r>
          </w:p>
        </w:tc>
      </w:tr>
      <w:tr w:rsidR="004B071C" w:rsidRPr="00035117" w:rsidTr="00035117">
        <w:tc>
          <w:tcPr>
            <w:tcW w:w="1563" w:type="dxa"/>
            <w:shd w:val="clear" w:color="auto" w:fill="CDDDAC"/>
          </w:tcPr>
          <w:p w:rsidR="004B071C" w:rsidRPr="00035117" w:rsidRDefault="004B071C" w:rsidP="004E680E">
            <w:pPr>
              <w:spacing w:after="0"/>
              <w:jc w:val="left"/>
              <w:rPr>
                <w:rFonts w:ascii="Constantia" w:hAnsi="Constantia"/>
                <w:bCs/>
                <w:szCs w:val="22"/>
                <w:lang w:val="sr-Latn-CS"/>
              </w:rPr>
            </w:pPr>
            <w:r w:rsidRPr="00035117">
              <w:rPr>
                <w:rFonts w:ascii="Constantia" w:hAnsi="Constantia"/>
                <w:bCs/>
                <w:szCs w:val="22"/>
                <w:lang w:val="sr-Latn-CS"/>
              </w:rPr>
              <w:t>Međunarodno zaštićena područja</w:t>
            </w:r>
          </w:p>
        </w:tc>
        <w:tc>
          <w:tcPr>
            <w:tcW w:w="4435" w:type="dxa"/>
            <w:shd w:val="clear" w:color="auto" w:fill="CDDDAC"/>
          </w:tcPr>
          <w:p w:rsidR="004B071C" w:rsidRPr="00035117" w:rsidRDefault="004B071C" w:rsidP="004E680E">
            <w:pPr>
              <w:spacing w:after="0"/>
              <w:jc w:val="left"/>
              <w:rPr>
                <w:rFonts w:ascii="Constantia" w:hAnsi="Constantia"/>
                <w:szCs w:val="22"/>
                <w:lang w:val="sr-Latn-CS"/>
              </w:rPr>
            </w:pPr>
            <w:r w:rsidRPr="00035117">
              <w:rPr>
                <w:rFonts w:ascii="Constantia" w:hAnsi="Constantia"/>
                <w:szCs w:val="22"/>
                <w:lang w:val="sr-Latn-CS"/>
              </w:rPr>
              <w:t>Slivno područje rijeke Tare, M&amp;B UNESCO Rezervat Biosfere, uključujući NP Durmitor sa kanjonom rijeke Tare</w:t>
            </w:r>
          </w:p>
        </w:tc>
        <w:tc>
          <w:tcPr>
            <w:tcW w:w="1512" w:type="dxa"/>
            <w:shd w:val="clear" w:color="auto" w:fill="CDDDAC"/>
          </w:tcPr>
          <w:p w:rsidR="004B071C" w:rsidRPr="00035117" w:rsidRDefault="00035117" w:rsidP="00035117">
            <w:pPr>
              <w:spacing w:after="0"/>
              <w:jc w:val="center"/>
              <w:rPr>
                <w:rFonts w:ascii="Constantia" w:hAnsi="Constantia"/>
                <w:szCs w:val="22"/>
                <w:lang w:val="sr-Latn-CS"/>
              </w:rPr>
            </w:pPr>
            <w:r>
              <w:rPr>
                <w:rFonts w:ascii="Constantia" w:hAnsi="Constantia"/>
                <w:szCs w:val="22"/>
                <w:lang w:val="sr-Latn-CS"/>
              </w:rPr>
              <w:t xml:space="preserve">182 </w:t>
            </w:r>
            <w:r w:rsidR="004B071C" w:rsidRPr="00035117">
              <w:rPr>
                <w:rFonts w:ascii="Constantia" w:hAnsi="Constantia"/>
                <w:szCs w:val="22"/>
                <w:lang w:val="sr-Latn-CS"/>
              </w:rPr>
              <w:t>889 ha</w:t>
            </w:r>
          </w:p>
        </w:tc>
        <w:tc>
          <w:tcPr>
            <w:tcW w:w="1580" w:type="dxa"/>
            <w:shd w:val="clear" w:color="auto" w:fill="CDDDAC"/>
          </w:tcPr>
          <w:p w:rsidR="004B071C" w:rsidRPr="00035117" w:rsidRDefault="004B071C" w:rsidP="00035117">
            <w:pPr>
              <w:spacing w:after="0"/>
              <w:jc w:val="center"/>
              <w:rPr>
                <w:rFonts w:ascii="Constantia" w:hAnsi="Constantia"/>
                <w:szCs w:val="22"/>
                <w:lang w:val="sr-Latn-CS"/>
              </w:rPr>
            </w:pPr>
          </w:p>
        </w:tc>
      </w:tr>
      <w:tr w:rsidR="004B071C" w:rsidRPr="00035117" w:rsidTr="00035117">
        <w:tc>
          <w:tcPr>
            <w:tcW w:w="1563" w:type="dxa"/>
            <w:shd w:val="clear" w:color="auto" w:fill="E6EED5"/>
          </w:tcPr>
          <w:p w:rsidR="004B071C" w:rsidRPr="00035117" w:rsidRDefault="004B071C" w:rsidP="004E680E">
            <w:pPr>
              <w:spacing w:after="0"/>
              <w:jc w:val="left"/>
              <w:rPr>
                <w:rFonts w:ascii="Constantia" w:hAnsi="Constantia"/>
                <w:b/>
                <w:bCs/>
                <w:color w:val="000000"/>
                <w:szCs w:val="22"/>
                <w:lang w:val="sr-Latn-CS"/>
              </w:rPr>
            </w:pPr>
          </w:p>
        </w:tc>
        <w:tc>
          <w:tcPr>
            <w:tcW w:w="4435" w:type="dxa"/>
            <w:shd w:val="clear" w:color="auto" w:fill="E6EED5"/>
          </w:tcPr>
          <w:p w:rsidR="004B071C" w:rsidRPr="00035117" w:rsidRDefault="004B071C" w:rsidP="004E680E">
            <w:pPr>
              <w:spacing w:after="0"/>
              <w:jc w:val="left"/>
              <w:rPr>
                <w:rFonts w:ascii="Constantia" w:hAnsi="Constantia"/>
                <w:szCs w:val="22"/>
                <w:lang w:val="sr-Latn-CS"/>
              </w:rPr>
            </w:pPr>
            <w:r w:rsidRPr="00035117">
              <w:rPr>
                <w:rFonts w:ascii="Constantia" w:hAnsi="Constantia"/>
                <w:szCs w:val="22"/>
                <w:lang w:val="sr-Latn-CS"/>
              </w:rPr>
              <w:t>Nacionalni park „Skadarsko jezero” - Ramsarsko područje (Lista wetland područja od međunarodnog značaja, posebno kao stanište vodenih ptica)</w:t>
            </w:r>
          </w:p>
        </w:tc>
        <w:tc>
          <w:tcPr>
            <w:tcW w:w="1512" w:type="dxa"/>
            <w:shd w:val="clear" w:color="auto" w:fill="E6EED5"/>
          </w:tcPr>
          <w:p w:rsidR="004B071C" w:rsidRPr="00035117" w:rsidRDefault="00035117" w:rsidP="00035117">
            <w:pPr>
              <w:spacing w:after="0"/>
              <w:jc w:val="center"/>
              <w:rPr>
                <w:rFonts w:ascii="Constantia" w:hAnsi="Constantia"/>
                <w:szCs w:val="22"/>
                <w:lang w:val="sr-Latn-CS"/>
              </w:rPr>
            </w:pPr>
            <w:r>
              <w:rPr>
                <w:rFonts w:ascii="Constantia" w:hAnsi="Constantia"/>
                <w:szCs w:val="22"/>
                <w:lang w:val="sr-Latn-CS"/>
              </w:rPr>
              <w:t xml:space="preserve">40 </w:t>
            </w:r>
            <w:r w:rsidR="004B071C" w:rsidRPr="00035117">
              <w:rPr>
                <w:rFonts w:ascii="Constantia" w:hAnsi="Constantia"/>
                <w:szCs w:val="22"/>
                <w:lang w:val="sr-Latn-CS"/>
              </w:rPr>
              <w:t>000 ha</w:t>
            </w:r>
          </w:p>
        </w:tc>
        <w:tc>
          <w:tcPr>
            <w:tcW w:w="1580" w:type="dxa"/>
            <w:shd w:val="clear" w:color="auto" w:fill="E6EED5"/>
          </w:tcPr>
          <w:p w:rsidR="004B071C" w:rsidRPr="00035117" w:rsidRDefault="004B071C" w:rsidP="00035117">
            <w:pPr>
              <w:spacing w:after="0"/>
              <w:jc w:val="center"/>
              <w:rPr>
                <w:rFonts w:ascii="Constantia" w:hAnsi="Constantia"/>
                <w:color w:val="000000"/>
                <w:szCs w:val="22"/>
                <w:lang w:val="sr-Latn-CS"/>
              </w:rPr>
            </w:pPr>
          </w:p>
        </w:tc>
      </w:tr>
      <w:tr w:rsidR="004B071C" w:rsidRPr="00035117" w:rsidTr="00035117">
        <w:tc>
          <w:tcPr>
            <w:tcW w:w="1563" w:type="dxa"/>
            <w:shd w:val="clear" w:color="auto" w:fill="CDDDAC"/>
          </w:tcPr>
          <w:p w:rsidR="004B071C" w:rsidRPr="00035117" w:rsidRDefault="004B071C" w:rsidP="004E680E">
            <w:pPr>
              <w:spacing w:after="0"/>
              <w:jc w:val="left"/>
              <w:rPr>
                <w:rFonts w:ascii="Constantia" w:hAnsi="Constantia"/>
                <w:b/>
                <w:bCs/>
                <w:color w:val="000000"/>
                <w:szCs w:val="22"/>
                <w:lang w:val="sr-Latn-CS"/>
              </w:rPr>
            </w:pPr>
          </w:p>
        </w:tc>
        <w:tc>
          <w:tcPr>
            <w:tcW w:w="4435" w:type="dxa"/>
            <w:shd w:val="clear" w:color="auto" w:fill="CDDDAC"/>
          </w:tcPr>
          <w:p w:rsidR="004B071C" w:rsidRPr="00035117" w:rsidRDefault="004B071C" w:rsidP="004E680E">
            <w:pPr>
              <w:spacing w:after="0"/>
              <w:jc w:val="left"/>
              <w:rPr>
                <w:rFonts w:ascii="Constantia" w:hAnsi="Constantia"/>
                <w:szCs w:val="22"/>
                <w:lang w:val="sr-Latn-CS"/>
              </w:rPr>
            </w:pPr>
            <w:r w:rsidRPr="00035117">
              <w:rPr>
                <w:rFonts w:ascii="Constantia" w:hAnsi="Constantia"/>
                <w:szCs w:val="22"/>
                <w:lang w:val="sr-Latn-CS"/>
              </w:rPr>
              <w:t>Kotorsko – Risanski zaliv, opština Kotor</w:t>
            </w:r>
          </w:p>
        </w:tc>
        <w:tc>
          <w:tcPr>
            <w:tcW w:w="1512" w:type="dxa"/>
            <w:shd w:val="clear" w:color="auto" w:fill="CDDDAC"/>
          </w:tcPr>
          <w:p w:rsidR="004B071C" w:rsidRPr="00035117" w:rsidRDefault="00035117" w:rsidP="00035117">
            <w:pPr>
              <w:spacing w:after="0"/>
              <w:jc w:val="center"/>
              <w:rPr>
                <w:rFonts w:ascii="Constantia" w:hAnsi="Constantia"/>
                <w:szCs w:val="22"/>
                <w:lang w:val="sr-Latn-CS"/>
              </w:rPr>
            </w:pPr>
            <w:r>
              <w:rPr>
                <w:rFonts w:ascii="Constantia" w:hAnsi="Constantia"/>
                <w:szCs w:val="22"/>
                <w:lang w:val="sr-Latn-CS"/>
              </w:rPr>
              <w:t xml:space="preserve">15 </w:t>
            </w:r>
            <w:r w:rsidR="004B071C" w:rsidRPr="00035117">
              <w:rPr>
                <w:rFonts w:ascii="Constantia" w:hAnsi="Constantia"/>
                <w:szCs w:val="22"/>
                <w:lang w:val="sr-Latn-CS"/>
              </w:rPr>
              <w:t>000 ha</w:t>
            </w:r>
          </w:p>
        </w:tc>
        <w:tc>
          <w:tcPr>
            <w:tcW w:w="1580" w:type="dxa"/>
            <w:shd w:val="clear" w:color="auto" w:fill="CDDDAC"/>
          </w:tcPr>
          <w:p w:rsidR="004B071C" w:rsidRPr="00035117" w:rsidRDefault="004B071C" w:rsidP="00035117">
            <w:pPr>
              <w:spacing w:after="0"/>
              <w:jc w:val="center"/>
              <w:rPr>
                <w:rFonts w:ascii="Constantia" w:hAnsi="Constantia"/>
                <w:color w:val="000000"/>
                <w:szCs w:val="22"/>
                <w:lang w:val="sr-Latn-CS"/>
              </w:rPr>
            </w:pPr>
          </w:p>
        </w:tc>
      </w:tr>
    </w:tbl>
    <w:p w:rsidR="004B071C" w:rsidRPr="00035117" w:rsidRDefault="004B071C" w:rsidP="004B071C">
      <w:pPr>
        <w:pStyle w:val="Tabele"/>
        <w:spacing w:before="60" w:after="240"/>
        <w:ind w:left="714" w:hanging="357"/>
        <w:rPr>
          <w:rFonts w:ascii="Constantia" w:hAnsi="Constantia"/>
          <w:sz w:val="22"/>
          <w:szCs w:val="22"/>
        </w:rPr>
      </w:pPr>
      <w:r w:rsidRPr="00035117">
        <w:rPr>
          <w:rFonts w:ascii="Constantia" w:hAnsi="Constantia"/>
          <w:sz w:val="22"/>
          <w:szCs w:val="22"/>
        </w:rPr>
        <w:t>Površina i procenat zaštićenih područja na nacionalnom i međunarodnom nivou</w:t>
      </w:r>
    </w:p>
    <w:p w:rsidR="00EE2F1B" w:rsidRDefault="00EE2F1B" w:rsidP="00EE2F1B">
      <w:pPr>
        <w:pStyle w:val="Heading3"/>
        <w:spacing w:before="0"/>
        <w:rPr>
          <w:bCs w:val="0"/>
          <w:sz w:val="22"/>
          <w:szCs w:val="22"/>
        </w:rPr>
      </w:pPr>
    </w:p>
    <w:p w:rsidR="004B071C" w:rsidRPr="00B5789D" w:rsidRDefault="004B071C" w:rsidP="00EE2F1B">
      <w:pPr>
        <w:pStyle w:val="Heading3"/>
        <w:spacing w:before="0"/>
        <w:rPr>
          <w:szCs w:val="24"/>
        </w:rPr>
      </w:pPr>
      <w:bookmarkStart w:id="137" w:name="_Toc393897920"/>
      <w:r w:rsidRPr="00B5789D">
        <w:rPr>
          <w:bCs w:val="0"/>
          <w:szCs w:val="24"/>
        </w:rPr>
        <w:t>Uvodne napomene</w:t>
      </w:r>
      <w:bookmarkEnd w:id="137"/>
    </w:p>
    <w:p w:rsidR="00BF3C01" w:rsidRPr="00EE2F1B" w:rsidRDefault="004B071C" w:rsidP="004C5739">
      <w:pPr>
        <w:rPr>
          <w:rFonts w:ascii="Constantia" w:hAnsi="Constantia" w:cs="Arial"/>
          <w:spacing w:val="8"/>
          <w:szCs w:val="22"/>
        </w:rPr>
      </w:pPr>
      <w:r w:rsidRPr="004C5739">
        <w:rPr>
          <w:rFonts w:ascii="Constantia" w:hAnsi="Constantia"/>
          <w:lang w:val="sr-Latn-CS"/>
        </w:rPr>
        <w:t xml:space="preserve">Uredbom o organizaciji i načinu rada državne uprave ("Sl. list CG", br. 05/12 od 23.01.2012) kojom je Zavod za zaštitu životne sredine pripojen Agenciji za zaštitu životne sredine, značajan broj nadležnosti koja se odnose na pitanja zaštite prirode, uključujući i praćenje stanja, prenijeta su na Agenciju za zaštitu životne sredine. Time je Agencija dobila stručni kadar i opremu koji može realizovati </w:t>
      </w:r>
      <w:r w:rsidR="00EE2F1B" w:rsidRPr="004C5739">
        <w:rPr>
          <w:rFonts w:ascii="Constantia" w:hAnsi="Constantia"/>
          <w:lang w:val="sr-Latn-CS"/>
        </w:rPr>
        <w:t>P</w:t>
      </w:r>
      <w:r w:rsidRPr="004C5739">
        <w:rPr>
          <w:rFonts w:ascii="Constantia" w:hAnsi="Constantia"/>
          <w:lang w:val="sr-Latn-CS"/>
        </w:rPr>
        <w:t>rogram praćenja stanja biodiverziteta</w:t>
      </w:r>
      <w:r w:rsidR="00EE2F1B" w:rsidRPr="004C5739">
        <w:rPr>
          <w:rFonts w:ascii="Constantia" w:hAnsi="Constantia"/>
          <w:lang w:val="sr-Latn-CS"/>
        </w:rPr>
        <w:t>,</w:t>
      </w:r>
      <w:r w:rsidRPr="004C5739">
        <w:rPr>
          <w:rFonts w:ascii="Constantia" w:hAnsi="Constantia"/>
          <w:lang w:val="sr-Latn-CS"/>
        </w:rPr>
        <w:t xml:space="preserve"> te stoga za realizaciju programa nisu mogla biti angažovana druga pravna lica putem tenderske procedure</w:t>
      </w:r>
      <w:r w:rsidR="00EE2F1B" w:rsidRPr="004C5739">
        <w:rPr>
          <w:rFonts w:ascii="Constantia" w:hAnsi="Constantia"/>
          <w:lang w:val="sr-Latn-CS"/>
        </w:rPr>
        <w:t>,</w:t>
      </w:r>
      <w:r w:rsidRPr="004C5739">
        <w:rPr>
          <w:rFonts w:ascii="Constantia" w:hAnsi="Constantia"/>
          <w:lang w:val="sr-Latn-CS"/>
        </w:rPr>
        <w:t xml:space="preserve"> kako je to predviđao važeći Zakon o zaštiti prirode</w:t>
      </w:r>
      <w:r w:rsidR="00EE2F1B" w:rsidRPr="004C5739">
        <w:rPr>
          <w:rFonts w:ascii="Constantia" w:hAnsi="Constantia"/>
          <w:lang w:val="sr-Latn-CS"/>
        </w:rPr>
        <w:t>,</w:t>
      </w:r>
      <w:r w:rsidRPr="004C5739">
        <w:rPr>
          <w:rFonts w:ascii="Constantia" w:hAnsi="Constantia"/>
          <w:lang w:val="sr-Latn-CS"/>
        </w:rPr>
        <w:t xml:space="preserve"> već je bilo neophodno sačekati usvajanje Izmjena i dopuna Zakona o zaštiti prirode da bi se sredstva opredijeljena pod stavkom</w:t>
      </w:r>
      <w:r w:rsidR="00EE2F1B" w:rsidRPr="004C5739">
        <w:rPr>
          <w:rFonts w:ascii="Constantia" w:hAnsi="Constantia"/>
          <w:lang w:val="sr-Latn-CS"/>
        </w:rPr>
        <w:t xml:space="preserve"> javnih nabavki za realizaciju P</w:t>
      </w:r>
      <w:r w:rsidRPr="004C5739">
        <w:rPr>
          <w:rFonts w:ascii="Constantia" w:hAnsi="Constantia"/>
          <w:lang w:val="sr-Latn-CS"/>
        </w:rPr>
        <w:t>rograma monitoringa preusmjerila na realizaciju ovog vida aktivnosti od strane Agencije za zaštitu životne sredine. Imajući na umu da su Izmjene i dopune Zakona o zaštiti prirode usvojene tek krajem 2013. godine</w:t>
      </w:r>
      <w:r w:rsidR="00EE2F1B" w:rsidRPr="004C5739">
        <w:rPr>
          <w:rFonts w:ascii="Constantia" w:hAnsi="Constantia"/>
          <w:lang w:val="sr-Latn-CS"/>
        </w:rPr>
        <w:t>,</w:t>
      </w:r>
      <w:r w:rsidRPr="004C5739">
        <w:rPr>
          <w:rFonts w:ascii="Constantia" w:hAnsi="Constantia"/>
          <w:lang w:val="sr-Latn-CS"/>
        </w:rPr>
        <w:t xml:space="preserve"> Agencija je bila prinuđena da aktivnost realizacije praćenja stanja biodiverziteta realizuje tokom 2013.</w:t>
      </w:r>
      <w:r w:rsidR="00EE2F1B" w:rsidRPr="004C5739">
        <w:rPr>
          <w:rFonts w:ascii="Constantia" w:hAnsi="Constantia"/>
          <w:lang w:val="sr-Latn-CS"/>
        </w:rPr>
        <w:t xml:space="preserve"> </w:t>
      </w:r>
      <w:r w:rsidRPr="004C5739">
        <w:rPr>
          <w:rFonts w:ascii="Constantia" w:hAnsi="Constantia"/>
          <w:lang w:val="sr-Latn-CS"/>
        </w:rPr>
        <w:t>godine iz redovnih budžetskih sredstava</w:t>
      </w:r>
      <w:r w:rsidR="00EE2F1B" w:rsidRPr="004C5739">
        <w:rPr>
          <w:rFonts w:ascii="Constantia" w:hAnsi="Constantia"/>
          <w:lang w:val="sr-Latn-CS"/>
        </w:rPr>
        <w:t>,</w:t>
      </w:r>
      <w:r w:rsidRPr="004C5739">
        <w:rPr>
          <w:rFonts w:ascii="Constantia" w:hAnsi="Constantia"/>
          <w:lang w:val="sr-Latn-CS"/>
        </w:rPr>
        <w:t xml:space="preserve"> što je uslovilo </w:t>
      </w:r>
      <w:r w:rsidR="00EE2F1B" w:rsidRPr="004C5739">
        <w:rPr>
          <w:rFonts w:ascii="Constantia" w:hAnsi="Constantia"/>
          <w:lang w:val="sr-Latn-CS"/>
        </w:rPr>
        <w:t>znatno manji obim realizacije P</w:t>
      </w:r>
      <w:r w:rsidRPr="004C5739">
        <w:rPr>
          <w:rFonts w:ascii="Constantia" w:hAnsi="Constantia"/>
          <w:lang w:val="sr-Latn-CS"/>
        </w:rPr>
        <w:t>rograma monitorin</w:t>
      </w:r>
      <w:r w:rsidR="00EE2F1B" w:rsidRPr="004C5739">
        <w:rPr>
          <w:rFonts w:ascii="Constantia" w:hAnsi="Constantia"/>
          <w:lang w:val="sr-Latn-CS"/>
        </w:rPr>
        <w:t>ga u odnosu na planirani. Iz tog razloga,</w:t>
      </w:r>
      <w:r w:rsidRPr="004C5739">
        <w:rPr>
          <w:rFonts w:ascii="Constantia" w:hAnsi="Constantia"/>
          <w:lang w:val="sr-Latn-CS"/>
        </w:rPr>
        <w:t xml:space="preserve"> sam obim informacija nije na zadovoljavajućem nivou</w:t>
      </w:r>
      <w:r w:rsidR="00EE2F1B" w:rsidRPr="004C5739">
        <w:rPr>
          <w:rFonts w:ascii="Constantia" w:hAnsi="Constantia"/>
          <w:lang w:val="sr-Latn-CS"/>
        </w:rPr>
        <w:t>,</w:t>
      </w:r>
      <w:r w:rsidRPr="004C5739">
        <w:rPr>
          <w:rFonts w:ascii="Constantia" w:hAnsi="Constantia"/>
          <w:lang w:val="sr-Latn-CS"/>
        </w:rPr>
        <w:t xml:space="preserve"> u smislu procjena stanja</w:t>
      </w:r>
      <w:r w:rsidR="00EE2F1B" w:rsidRPr="004C5739">
        <w:rPr>
          <w:rFonts w:ascii="Constantia" w:hAnsi="Constantia"/>
          <w:lang w:val="sr-Latn-CS"/>
        </w:rPr>
        <w:t>,</w:t>
      </w:r>
      <w:r w:rsidRPr="004C5739">
        <w:rPr>
          <w:rFonts w:ascii="Constantia" w:hAnsi="Constantia"/>
          <w:lang w:val="sr-Latn-CS"/>
        </w:rPr>
        <w:t xml:space="preserve"> jer je broj terenskih dana neprimjeren mogućnosti ocjena stanja. Stoga</w:t>
      </w:r>
      <w:r w:rsidR="00EE2F1B" w:rsidRPr="004C5739">
        <w:rPr>
          <w:rFonts w:ascii="Constantia" w:hAnsi="Constantia"/>
          <w:lang w:val="sr-Latn-CS"/>
        </w:rPr>
        <w:t xml:space="preserve"> je</w:t>
      </w:r>
      <w:r w:rsidRPr="004C5739">
        <w:rPr>
          <w:rFonts w:ascii="Constantia" w:hAnsi="Constantia"/>
          <w:lang w:val="sr-Latn-CS"/>
        </w:rPr>
        <w:t>, u cilju obezbjeđivanja relevantnih informacija o stanju biodiverziteta</w:t>
      </w:r>
      <w:r w:rsidR="00EE2F1B" w:rsidRPr="004C5739">
        <w:rPr>
          <w:rFonts w:ascii="Constantia" w:hAnsi="Constantia"/>
          <w:lang w:val="sr-Latn-CS"/>
        </w:rPr>
        <w:t>,</w:t>
      </w:r>
      <w:r w:rsidRPr="004C5739">
        <w:rPr>
          <w:rFonts w:ascii="Constantia" w:hAnsi="Constantia"/>
          <w:lang w:val="sr-Latn-CS"/>
        </w:rPr>
        <w:t xml:space="preserve"> neophodno obezbijediti izdvajanje većih</w:t>
      </w:r>
      <w:r w:rsidRPr="00EE2F1B">
        <w:rPr>
          <w:rFonts w:ascii="Constantia" w:hAnsi="Constantia" w:cs="Arial"/>
          <w:spacing w:val="8"/>
          <w:szCs w:val="22"/>
        </w:rPr>
        <w:t xml:space="preserve"> finansijskih</w:t>
      </w:r>
      <w:bookmarkStart w:id="138" w:name="_Toc290504120"/>
      <w:r w:rsidRPr="00EE2F1B">
        <w:rPr>
          <w:rFonts w:ascii="Constantia" w:hAnsi="Constantia" w:cs="Arial"/>
          <w:spacing w:val="8"/>
          <w:szCs w:val="22"/>
        </w:rPr>
        <w:t xml:space="preserve"> sredstva. </w:t>
      </w:r>
      <w:r w:rsidRPr="004C5739">
        <w:rPr>
          <w:rFonts w:ascii="Constantia" w:hAnsi="Constantia"/>
          <w:lang w:val="sr-Latn-CS"/>
        </w:rPr>
        <w:t xml:space="preserve">Time se omogućava ispunjavanje kako zakonskih tako i obaveza </w:t>
      </w:r>
      <w:r w:rsidRPr="004C5739">
        <w:rPr>
          <w:rFonts w:ascii="Constantia" w:hAnsi="Constantia"/>
          <w:lang w:val="sr-Latn-CS"/>
        </w:rPr>
        <w:lastRenderedPageBreak/>
        <w:t>izvještavanja i obezbjeđivanja informacija koje proizilaze kao obaveza iz brojnih potpisanih međunarodnih ugovora</w:t>
      </w:r>
      <w:r w:rsidR="004C5739">
        <w:rPr>
          <w:rFonts w:ascii="Constantia" w:hAnsi="Constantia"/>
          <w:lang w:val="sr-Latn-CS"/>
        </w:rPr>
        <w:t>.</w:t>
      </w:r>
    </w:p>
    <w:p w:rsidR="004B071C" w:rsidRPr="002E3A97" w:rsidRDefault="004B071C" w:rsidP="00BF3C01">
      <w:pPr>
        <w:pStyle w:val="Heading2"/>
        <w:ind w:left="720"/>
      </w:pPr>
      <w:bookmarkStart w:id="139" w:name="_Toc393897921"/>
      <w:r w:rsidRPr="002E3A97">
        <w:t>Rezultati Programa monitoringa biodiverziteta</w:t>
      </w:r>
      <w:bookmarkEnd w:id="138"/>
      <w:bookmarkEnd w:id="139"/>
      <w:r w:rsidRPr="002E3A97">
        <w:t xml:space="preserve"> </w:t>
      </w:r>
    </w:p>
    <w:p w:rsidR="004B071C" w:rsidRPr="002E3A97" w:rsidRDefault="001C0696" w:rsidP="001C0696">
      <w:pPr>
        <w:pStyle w:val="Heading3"/>
      </w:pPr>
      <w:bookmarkStart w:id="140" w:name="_Toc393897922"/>
      <w:r>
        <w:t xml:space="preserve">6.3.1  </w:t>
      </w:r>
      <w:r w:rsidR="004B071C" w:rsidRPr="008A63B6">
        <w:t xml:space="preserve">Rijeka </w:t>
      </w:r>
      <w:r w:rsidR="004B071C" w:rsidRPr="001C0696">
        <w:t>Morača</w:t>
      </w:r>
      <w:r w:rsidR="004B071C" w:rsidRPr="008A63B6">
        <w:t xml:space="preserve"> (Zlatica, Raslovići, Milunovići, Andrijevo)</w:t>
      </w:r>
      <w:bookmarkEnd w:id="140"/>
    </w:p>
    <w:p w:rsidR="001C0696" w:rsidRDefault="001C0696" w:rsidP="001C0696">
      <w:pPr>
        <w:pStyle w:val="Heading4"/>
        <w:numPr>
          <w:ilvl w:val="0"/>
          <w:numId w:val="0"/>
        </w:numPr>
        <w:spacing w:before="0"/>
        <w:ind w:left="1134"/>
        <w:rPr>
          <w:sz w:val="22"/>
          <w:szCs w:val="22"/>
          <w:lang w:val="sr-Latn-CS"/>
        </w:rPr>
      </w:pPr>
    </w:p>
    <w:p w:rsidR="004B071C" w:rsidRPr="001C0696" w:rsidRDefault="004B071C" w:rsidP="001C0696">
      <w:pPr>
        <w:pStyle w:val="Heading4"/>
        <w:spacing w:before="0"/>
        <w:ind w:left="900" w:hanging="900"/>
        <w:rPr>
          <w:sz w:val="22"/>
          <w:szCs w:val="22"/>
          <w:lang w:val="sr-Latn-CS"/>
        </w:rPr>
      </w:pPr>
      <w:r w:rsidRPr="001C0696">
        <w:rPr>
          <w:sz w:val="22"/>
          <w:szCs w:val="22"/>
          <w:lang w:val="sr-Latn-CS"/>
        </w:rPr>
        <w:t>Flora</w:t>
      </w:r>
    </w:p>
    <w:p w:rsidR="004B071C" w:rsidRPr="002E3A97" w:rsidRDefault="004B071C" w:rsidP="004B071C">
      <w:pPr>
        <w:rPr>
          <w:szCs w:val="22"/>
          <w:lang w:val="sr-Latn-CS"/>
        </w:rPr>
      </w:pPr>
    </w:p>
    <w:tbl>
      <w:tblPr>
        <w:tblW w:w="9090" w:type="dxa"/>
        <w:tblInd w:w="108"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firstRow="1" w:lastRow="0" w:firstColumn="1" w:lastColumn="0" w:noHBand="0" w:noVBand="1"/>
      </w:tblPr>
      <w:tblGrid>
        <w:gridCol w:w="2802"/>
        <w:gridCol w:w="1849"/>
        <w:gridCol w:w="2319"/>
        <w:gridCol w:w="2120"/>
      </w:tblGrid>
      <w:tr w:rsidR="004B071C" w:rsidRPr="009309E6" w:rsidTr="00820144">
        <w:tc>
          <w:tcPr>
            <w:tcW w:w="2802" w:type="dxa"/>
            <w:shd w:val="clear" w:color="auto" w:fill="E6EED5"/>
          </w:tcPr>
          <w:p w:rsidR="004B071C" w:rsidRPr="009309E6" w:rsidRDefault="004B071C" w:rsidP="00820144">
            <w:pPr>
              <w:jc w:val="center"/>
              <w:rPr>
                <w:rFonts w:ascii="Constantia" w:hAnsi="Constantia"/>
                <w:b/>
                <w:bCs/>
                <w:szCs w:val="22"/>
              </w:rPr>
            </w:pPr>
            <w:r w:rsidRPr="009309E6">
              <w:rPr>
                <w:rFonts w:ascii="Constantia" w:hAnsi="Constantia"/>
                <w:b/>
                <w:bCs/>
                <w:szCs w:val="22"/>
              </w:rPr>
              <w:t>Lokalitet</w:t>
            </w:r>
          </w:p>
        </w:tc>
        <w:tc>
          <w:tcPr>
            <w:tcW w:w="1849" w:type="dxa"/>
            <w:shd w:val="clear" w:color="auto" w:fill="E6EED5"/>
          </w:tcPr>
          <w:p w:rsidR="004B071C" w:rsidRPr="009309E6" w:rsidRDefault="004B071C" w:rsidP="00117FB6">
            <w:pPr>
              <w:jc w:val="center"/>
              <w:rPr>
                <w:rFonts w:ascii="Constantia" w:hAnsi="Constantia"/>
                <w:b/>
                <w:bCs/>
                <w:szCs w:val="22"/>
              </w:rPr>
            </w:pPr>
            <w:r w:rsidRPr="009309E6">
              <w:rPr>
                <w:rFonts w:ascii="Constantia" w:hAnsi="Constantia"/>
                <w:b/>
                <w:bCs/>
                <w:szCs w:val="22"/>
              </w:rPr>
              <w:t>Koordinate</w:t>
            </w:r>
          </w:p>
        </w:tc>
        <w:tc>
          <w:tcPr>
            <w:tcW w:w="2319" w:type="dxa"/>
            <w:shd w:val="clear" w:color="auto" w:fill="E6EED5"/>
          </w:tcPr>
          <w:p w:rsidR="004B071C" w:rsidRPr="009309E6" w:rsidRDefault="004B071C" w:rsidP="00820144">
            <w:pPr>
              <w:spacing w:after="0" w:line="280" w:lineRule="exact"/>
              <w:jc w:val="center"/>
              <w:outlineLvl w:val="3"/>
              <w:rPr>
                <w:rFonts w:ascii="Constantia" w:hAnsi="Constantia"/>
                <w:b/>
                <w:bCs/>
                <w:szCs w:val="22"/>
              </w:rPr>
            </w:pPr>
            <w:r w:rsidRPr="009309E6">
              <w:rPr>
                <w:rFonts w:ascii="Constantia" w:hAnsi="Constantia"/>
                <w:b/>
                <w:bCs/>
                <w:szCs w:val="22"/>
              </w:rPr>
              <w:t>Datum terenskih istraživanja</w:t>
            </w:r>
          </w:p>
        </w:tc>
        <w:tc>
          <w:tcPr>
            <w:tcW w:w="2120" w:type="dxa"/>
            <w:shd w:val="clear" w:color="auto" w:fill="E6EED5"/>
          </w:tcPr>
          <w:p w:rsidR="004B071C" w:rsidRPr="009309E6" w:rsidRDefault="004B071C" w:rsidP="00820144">
            <w:pPr>
              <w:spacing w:after="0" w:line="280" w:lineRule="exact"/>
              <w:jc w:val="center"/>
              <w:outlineLvl w:val="3"/>
              <w:rPr>
                <w:rFonts w:ascii="Constantia" w:hAnsi="Constantia"/>
                <w:b/>
                <w:bCs/>
                <w:szCs w:val="22"/>
              </w:rPr>
            </w:pPr>
            <w:r w:rsidRPr="009309E6">
              <w:rPr>
                <w:rFonts w:ascii="Constantia" w:hAnsi="Constantia"/>
                <w:b/>
                <w:bCs/>
                <w:szCs w:val="22"/>
              </w:rPr>
              <w:t>Nadmorska visina</w:t>
            </w:r>
          </w:p>
        </w:tc>
      </w:tr>
      <w:tr w:rsidR="004B071C" w:rsidRPr="009309E6" w:rsidTr="00820144">
        <w:tc>
          <w:tcPr>
            <w:tcW w:w="2802" w:type="dxa"/>
            <w:shd w:val="clear" w:color="auto" w:fill="CDDDAC"/>
          </w:tcPr>
          <w:p w:rsidR="004B071C" w:rsidRPr="009309E6" w:rsidRDefault="004B071C" w:rsidP="00431E56">
            <w:pPr>
              <w:spacing w:after="0"/>
              <w:jc w:val="left"/>
              <w:rPr>
                <w:rFonts w:ascii="Constantia" w:hAnsi="Constantia"/>
                <w:b/>
                <w:bCs/>
                <w:szCs w:val="22"/>
              </w:rPr>
            </w:pPr>
            <w:r w:rsidRPr="009309E6">
              <w:rPr>
                <w:rFonts w:ascii="Constantia" w:hAnsi="Constantia"/>
                <w:b/>
                <w:bCs/>
                <w:szCs w:val="22"/>
              </w:rPr>
              <w:t>Đurđevina</w:t>
            </w:r>
          </w:p>
        </w:tc>
        <w:tc>
          <w:tcPr>
            <w:tcW w:w="1849" w:type="dxa"/>
            <w:shd w:val="clear" w:color="auto" w:fill="CDDDAC"/>
          </w:tcPr>
          <w:p w:rsidR="004B071C" w:rsidRPr="009309E6" w:rsidRDefault="004B071C" w:rsidP="00117FB6">
            <w:pPr>
              <w:spacing w:after="0"/>
              <w:jc w:val="center"/>
              <w:rPr>
                <w:rFonts w:ascii="Constantia" w:hAnsi="Constantia"/>
                <w:bCs/>
                <w:szCs w:val="22"/>
              </w:rPr>
            </w:pPr>
            <w:r w:rsidRPr="009309E6">
              <w:rPr>
                <w:rFonts w:ascii="Constantia" w:hAnsi="Constantia"/>
                <w:bCs/>
                <w:szCs w:val="22"/>
              </w:rPr>
              <w:t>N 42°45 415</w:t>
            </w:r>
          </w:p>
          <w:p w:rsidR="004B071C" w:rsidRPr="009309E6" w:rsidRDefault="004B071C" w:rsidP="00117FB6">
            <w:pPr>
              <w:spacing w:after="0"/>
              <w:jc w:val="center"/>
              <w:rPr>
                <w:rFonts w:ascii="Constantia" w:hAnsi="Constantia"/>
                <w:bCs/>
                <w:szCs w:val="22"/>
              </w:rPr>
            </w:pPr>
            <w:r w:rsidRPr="009309E6">
              <w:rPr>
                <w:rFonts w:ascii="Constantia" w:hAnsi="Constantia"/>
                <w:bCs/>
                <w:szCs w:val="22"/>
              </w:rPr>
              <w:t>E 019° 23 463;</w:t>
            </w:r>
          </w:p>
          <w:p w:rsidR="004B071C" w:rsidRPr="009309E6" w:rsidRDefault="004B071C" w:rsidP="00117FB6">
            <w:pPr>
              <w:spacing w:after="0"/>
              <w:jc w:val="center"/>
              <w:rPr>
                <w:rFonts w:ascii="Constantia" w:hAnsi="Constantia"/>
                <w:bCs/>
                <w:szCs w:val="22"/>
              </w:rPr>
            </w:pPr>
            <w:r w:rsidRPr="009309E6">
              <w:rPr>
                <w:rFonts w:ascii="Constantia" w:hAnsi="Constantia"/>
                <w:bCs/>
                <w:szCs w:val="22"/>
              </w:rPr>
              <w:t>N 42° 45 887</w:t>
            </w:r>
          </w:p>
          <w:p w:rsidR="004B071C" w:rsidRPr="009309E6" w:rsidRDefault="004B071C" w:rsidP="00117FB6">
            <w:pPr>
              <w:spacing w:after="0"/>
              <w:jc w:val="center"/>
              <w:rPr>
                <w:rFonts w:ascii="Constantia" w:hAnsi="Constantia"/>
                <w:bCs/>
                <w:szCs w:val="22"/>
              </w:rPr>
            </w:pPr>
            <w:r w:rsidRPr="009309E6">
              <w:rPr>
                <w:rFonts w:ascii="Constantia" w:hAnsi="Constantia"/>
                <w:bCs/>
                <w:szCs w:val="22"/>
              </w:rPr>
              <w:t>E 019° 23 456</w:t>
            </w:r>
          </w:p>
        </w:tc>
        <w:tc>
          <w:tcPr>
            <w:tcW w:w="2319" w:type="dxa"/>
            <w:shd w:val="clear" w:color="auto" w:fill="CDDDAC"/>
          </w:tcPr>
          <w:p w:rsidR="004B071C" w:rsidRPr="009309E6" w:rsidRDefault="00820144" w:rsidP="00431E56">
            <w:pPr>
              <w:spacing w:after="0"/>
              <w:jc w:val="center"/>
              <w:rPr>
                <w:rFonts w:ascii="Constantia" w:hAnsi="Constantia"/>
                <w:szCs w:val="22"/>
              </w:rPr>
            </w:pPr>
            <w:r w:rsidRPr="009309E6">
              <w:rPr>
                <w:rFonts w:ascii="Constantia" w:hAnsi="Constantia"/>
                <w:szCs w:val="22"/>
              </w:rPr>
              <w:t>14. 05. 2013,</w:t>
            </w:r>
          </w:p>
          <w:p w:rsidR="004B071C" w:rsidRPr="009309E6" w:rsidRDefault="004B071C" w:rsidP="00431E56">
            <w:pPr>
              <w:spacing w:after="0"/>
              <w:jc w:val="center"/>
              <w:rPr>
                <w:rFonts w:ascii="Constantia" w:hAnsi="Constantia"/>
                <w:szCs w:val="22"/>
              </w:rPr>
            </w:pPr>
            <w:r w:rsidRPr="009309E6">
              <w:rPr>
                <w:rFonts w:ascii="Constantia" w:hAnsi="Constantia"/>
                <w:szCs w:val="22"/>
              </w:rPr>
              <w:t>24. 06. 2013.</w:t>
            </w:r>
          </w:p>
        </w:tc>
        <w:tc>
          <w:tcPr>
            <w:tcW w:w="2120" w:type="dxa"/>
            <w:shd w:val="clear" w:color="auto" w:fill="CDDDAC"/>
          </w:tcPr>
          <w:p w:rsidR="004B071C" w:rsidRPr="009309E6" w:rsidRDefault="004B071C" w:rsidP="00431E56">
            <w:pPr>
              <w:spacing w:after="0"/>
              <w:jc w:val="center"/>
              <w:rPr>
                <w:rFonts w:ascii="Constantia" w:hAnsi="Constantia"/>
                <w:szCs w:val="22"/>
              </w:rPr>
            </w:pPr>
            <w:r w:rsidRPr="009309E6">
              <w:rPr>
                <w:rFonts w:ascii="Constantia" w:hAnsi="Constantia"/>
                <w:szCs w:val="22"/>
              </w:rPr>
              <w:t>225 m</w:t>
            </w:r>
          </w:p>
        </w:tc>
      </w:tr>
      <w:tr w:rsidR="004B071C" w:rsidRPr="009309E6" w:rsidTr="00820144">
        <w:tc>
          <w:tcPr>
            <w:tcW w:w="2802" w:type="dxa"/>
            <w:shd w:val="clear" w:color="auto" w:fill="E6EED5"/>
          </w:tcPr>
          <w:p w:rsidR="004B071C" w:rsidRPr="009309E6" w:rsidRDefault="004B071C" w:rsidP="00431E56">
            <w:pPr>
              <w:spacing w:after="0"/>
              <w:jc w:val="left"/>
              <w:rPr>
                <w:rFonts w:ascii="Constantia" w:hAnsi="Constantia"/>
                <w:b/>
                <w:bCs/>
                <w:szCs w:val="22"/>
              </w:rPr>
            </w:pPr>
            <w:r w:rsidRPr="009309E6">
              <w:rPr>
                <w:rFonts w:ascii="Constantia" w:hAnsi="Constantia"/>
                <w:b/>
                <w:bCs/>
                <w:szCs w:val="22"/>
              </w:rPr>
              <w:t>Andrijevo</w:t>
            </w:r>
          </w:p>
        </w:tc>
        <w:tc>
          <w:tcPr>
            <w:tcW w:w="1849" w:type="dxa"/>
            <w:shd w:val="clear" w:color="auto" w:fill="E6EED5"/>
          </w:tcPr>
          <w:p w:rsidR="004B071C" w:rsidRPr="009309E6" w:rsidRDefault="004B071C" w:rsidP="00117FB6">
            <w:pPr>
              <w:spacing w:after="0"/>
              <w:jc w:val="center"/>
              <w:rPr>
                <w:rFonts w:ascii="Constantia" w:hAnsi="Constantia"/>
                <w:bCs/>
                <w:szCs w:val="22"/>
              </w:rPr>
            </w:pPr>
            <w:r w:rsidRPr="009309E6">
              <w:rPr>
                <w:rFonts w:ascii="Constantia" w:hAnsi="Constantia"/>
                <w:bCs/>
                <w:szCs w:val="22"/>
              </w:rPr>
              <w:t>N 42° 40 523</w:t>
            </w:r>
          </w:p>
          <w:p w:rsidR="004B071C" w:rsidRPr="009309E6" w:rsidRDefault="004B071C" w:rsidP="00117FB6">
            <w:pPr>
              <w:spacing w:after="0"/>
              <w:jc w:val="center"/>
              <w:rPr>
                <w:rFonts w:ascii="Constantia" w:hAnsi="Constantia"/>
                <w:bCs/>
                <w:szCs w:val="22"/>
              </w:rPr>
            </w:pPr>
            <w:r w:rsidRPr="009309E6">
              <w:rPr>
                <w:rFonts w:ascii="Constantia" w:hAnsi="Constantia"/>
                <w:bCs/>
                <w:szCs w:val="22"/>
              </w:rPr>
              <w:t>E 019° 22 552</w:t>
            </w:r>
          </w:p>
        </w:tc>
        <w:tc>
          <w:tcPr>
            <w:tcW w:w="2319" w:type="dxa"/>
            <w:shd w:val="clear" w:color="auto" w:fill="E6EED5"/>
          </w:tcPr>
          <w:p w:rsidR="004B071C" w:rsidRPr="009309E6" w:rsidRDefault="004B071C" w:rsidP="00431E56">
            <w:pPr>
              <w:spacing w:after="0"/>
              <w:jc w:val="center"/>
              <w:rPr>
                <w:rFonts w:ascii="Constantia" w:hAnsi="Constantia"/>
                <w:szCs w:val="22"/>
              </w:rPr>
            </w:pPr>
            <w:r w:rsidRPr="009309E6">
              <w:rPr>
                <w:rFonts w:ascii="Constantia" w:hAnsi="Constantia"/>
                <w:szCs w:val="22"/>
              </w:rPr>
              <w:t>24. 06. 2013.</w:t>
            </w:r>
          </w:p>
        </w:tc>
        <w:tc>
          <w:tcPr>
            <w:tcW w:w="2120" w:type="dxa"/>
            <w:shd w:val="clear" w:color="auto" w:fill="E6EED5"/>
          </w:tcPr>
          <w:p w:rsidR="004B071C" w:rsidRPr="009309E6" w:rsidRDefault="004B071C" w:rsidP="00431E56">
            <w:pPr>
              <w:spacing w:after="0"/>
              <w:jc w:val="center"/>
              <w:rPr>
                <w:rFonts w:ascii="Constantia" w:hAnsi="Constantia"/>
                <w:szCs w:val="22"/>
              </w:rPr>
            </w:pPr>
            <w:r w:rsidRPr="009309E6">
              <w:rPr>
                <w:rFonts w:ascii="Constantia" w:hAnsi="Constantia"/>
                <w:szCs w:val="22"/>
              </w:rPr>
              <w:t>226 m</w:t>
            </w:r>
          </w:p>
        </w:tc>
      </w:tr>
      <w:tr w:rsidR="004B071C" w:rsidRPr="009309E6" w:rsidTr="00820144">
        <w:tc>
          <w:tcPr>
            <w:tcW w:w="2802" w:type="dxa"/>
            <w:shd w:val="clear" w:color="auto" w:fill="E6EED5"/>
          </w:tcPr>
          <w:p w:rsidR="004B071C" w:rsidRPr="009309E6" w:rsidRDefault="004B071C" w:rsidP="00431E56">
            <w:pPr>
              <w:spacing w:after="0"/>
              <w:jc w:val="left"/>
              <w:rPr>
                <w:rFonts w:ascii="Constantia" w:hAnsi="Constantia"/>
                <w:b/>
                <w:bCs/>
                <w:szCs w:val="22"/>
              </w:rPr>
            </w:pPr>
            <w:r w:rsidRPr="009309E6">
              <w:rPr>
                <w:rFonts w:ascii="Constantia" w:hAnsi="Constantia"/>
                <w:b/>
                <w:bCs/>
                <w:szCs w:val="22"/>
              </w:rPr>
              <w:t>Milunovići</w:t>
            </w:r>
          </w:p>
        </w:tc>
        <w:tc>
          <w:tcPr>
            <w:tcW w:w="1849" w:type="dxa"/>
            <w:shd w:val="clear" w:color="auto" w:fill="E6EED5"/>
          </w:tcPr>
          <w:p w:rsidR="004B071C" w:rsidRPr="009309E6" w:rsidRDefault="004B071C" w:rsidP="00117FB6">
            <w:pPr>
              <w:spacing w:after="0"/>
              <w:jc w:val="center"/>
              <w:rPr>
                <w:rFonts w:ascii="Constantia" w:hAnsi="Constantia"/>
                <w:bCs/>
                <w:szCs w:val="22"/>
              </w:rPr>
            </w:pPr>
            <w:r w:rsidRPr="009309E6">
              <w:rPr>
                <w:rFonts w:ascii="Constantia" w:hAnsi="Constantia"/>
                <w:bCs/>
                <w:szCs w:val="22"/>
              </w:rPr>
              <w:t>N 42° 33 477</w:t>
            </w:r>
          </w:p>
          <w:p w:rsidR="004B071C" w:rsidRPr="009309E6" w:rsidRDefault="004B071C" w:rsidP="00117FB6">
            <w:pPr>
              <w:spacing w:after="0"/>
              <w:jc w:val="center"/>
              <w:rPr>
                <w:rFonts w:ascii="Constantia" w:hAnsi="Constantia"/>
                <w:bCs/>
                <w:szCs w:val="22"/>
              </w:rPr>
            </w:pPr>
            <w:r w:rsidRPr="009309E6">
              <w:rPr>
                <w:rFonts w:ascii="Constantia" w:hAnsi="Constantia"/>
                <w:bCs/>
                <w:szCs w:val="22"/>
              </w:rPr>
              <w:t>E 019° 20 481</w:t>
            </w:r>
          </w:p>
        </w:tc>
        <w:tc>
          <w:tcPr>
            <w:tcW w:w="2319" w:type="dxa"/>
            <w:shd w:val="clear" w:color="auto" w:fill="E6EED5"/>
          </w:tcPr>
          <w:p w:rsidR="004B071C" w:rsidRPr="009309E6" w:rsidRDefault="004B071C" w:rsidP="00431E56">
            <w:pPr>
              <w:spacing w:after="0"/>
              <w:jc w:val="center"/>
              <w:rPr>
                <w:rFonts w:ascii="Constantia" w:hAnsi="Constantia"/>
                <w:szCs w:val="22"/>
              </w:rPr>
            </w:pPr>
            <w:r w:rsidRPr="009309E6">
              <w:rPr>
                <w:rFonts w:ascii="Constantia" w:hAnsi="Constantia"/>
                <w:szCs w:val="22"/>
              </w:rPr>
              <w:t>24. 06. 2013.</w:t>
            </w:r>
          </w:p>
        </w:tc>
        <w:tc>
          <w:tcPr>
            <w:tcW w:w="2120" w:type="dxa"/>
            <w:shd w:val="clear" w:color="auto" w:fill="E6EED5"/>
          </w:tcPr>
          <w:p w:rsidR="004B071C" w:rsidRPr="009309E6" w:rsidRDefault="004B071C" w:rsidP="00431E56">
            <w:pPr>
              <w:spacing w:after="0"/>
              <w:jc w:val="center"/>
              <w:rPr>
                <w:rFonts w:ascii="Constantia" w:hAnsi="Constantia"/>
                <w:szCs w:val="22"/>
              </w:rPr>
            </w:pPr>
            <w:r w:rsidRPr="009309E6">
              <w:rPr>
                <w:rFonts w:ascii="Constantia" w:hAnsi="Constantia"/>
                <w:szCs w:val="22"/>
              </w:rPr>
              <w:t>82 m</w:t>
            </w:r>
          </w:p>
          <w:p w:rsidR="004B071C" w:rsidRPr="009309E6" w:rsidRDefault="004B071C" w:rsidP="00431E56">
            <w:pPr>
              <w:spacing w:after="0"/>
              <w:jc w:val="center"/>
              <w:rPr>
                <w:rFonts w:ascii="Constantia" w:hAnsi="Constantia"/>
                <w:szCs w:val="22"/>
              </w:rPr>
            </w:pPr>
            <w:r w:rsidRPr="009309E6">
              <w:rPr>
                <w:rFonts w:ascii="Constantia" w:hAnsi="Constantia"/>
                <w:szCs w:val="22"/>
              </w:rPr>
              <w:t>133 m</w:t>
            </w:r>
          </w:p>
        </w:tc>
      </w:tr>
    </w:tbl>
    <w:p w:rsidR="004B071C" w:rsidRPr="00044632" w:rsidRDefault="00044632" w:rsidP="00431E56">
      <w:pPr>
        <w:pStyle w:val="Tabele"/>
        <w:spacing w:before="60" w:after="0"/>
        <w:ind w:left="714" w:hanging="357"/>
        <w:rPr>
          <w:rFonts w:ascii="Constantia" w:hAnsi="Constantia"/>
        </w:rPr>
      </w:pPr>
      <w:r>
        <w:rPr>
          <w:rFonts w:ascii="Constantia" w:hAnsi="Constantia"/>
          <w:sz w:val="22"/>
          <w:szCs w:val="22"/>
        </w:rPr>
        <w:t xml:space="preserve"> </w:t>
      </w:r>
      <w:r w:rsidR="004B071C" w:rsidRPr="00044632">
        <w:rPr>
          <w:rFonts w:ascii="Constantia" w:hAnsi="Constantia"/>
          <w:sz w:val="22"/>
          <w:szCs w:val="22"/>
        </w:rPr>
        <w:t>Opšti podaci o istraživanim lokalitetima za biljke</w:t>
      </w:r>
    </w:p>
    <w:p w:rsidR="00044632" w:rsidRPr="00044632" w:rsidRDefault="00044632" w:rsidP="00431E56">
      <w:pPr>
        <w:pStyle w:val="Tabele"/>
        <w:numPr>
          <w:ilvl w:val="0"/>
          <w:numId w:val="0"/>
        </w:numPr>
        <w:spacing w:before="0"/>
        <w:ind w:left="630" w:hanging="360"/>
        <w:jc w:val="both"/>
        <w:rPr>
          <w:rFonts w:ascii="Constantia" w:hAnsi="Constantia"/>
        </w:rPr>
      </w:pPr>
    </w:p>
    <w:tbl>
      <w:tblPr>
        <w:tblW w:w="9090" w:type="dxa"/>
        <w:tblInd w:w="108"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firstRow="1" w:lastRow="0" w:firstColumn="1" w:lastColumn="0" w:noHBand="0" w:noVBand="1"/>
      </w:tblPr>
      <w:tblGrid>
        <w:gridCol w:w="1424"/>
        <w:gridCol w:w="1816"/>
        <w:gridCol w:w="5850"/>
      </w:tblGrid>
      <w:tr w:rsidR="004B071C" w:rsidRPr="004E680E" w:rsidTr="0060408E">
        <w:tc>
          <w:tcPr>
            <w:tcW w:w="1424" w:type="dxa"/>
            <w:shd w:val="clear" w:color="auto" w:fill="E6EED5"/>
          </w:tcPr>
          <w:p w:rsidR="004B071C" w:rsidRPr="004E680E" w:rsidRDefault="004B071C" w:rsidP="0060408E">
            <w:pPr>
              <w:jc w:val="center"/>
              <w:rPr>
                <w:rFonts w:ascii="Constantia" w:hAnsi="Constantia"/>
                <w:b/>
                <w:bCs/>
                <w:iCs/>
                <w:color w:val="000000"/>
                <w:spacing w:val="8"/>
                <w:szCs w:val="22"/>
                <w:lang w:val="sr-Latn-CS"/>
              </w:rPr>
            </w:pPr>
            <w:r w:rsidRPr="004E680E">
              <w:rPr>
                <w:rFonts w:ascii="Constantia" w:hAnsi="Constantia"/>
                <w:b/>
                <w:bCs/>
                <w:iCs/>
                <w:color w:val="000000"/>
                <w:spacing w:val="8"/>
                <w:szCs w:val="22"/>
                <w:lang w:val="sr-Latn-CS"/>
              </w:rPr>
              <w:t>Lokalitet</w:t>
            </w:r>
          </w:p>
        </w:tc>
        <w:tc>
          <w:tcPr>
            <w:tcW w:w="1816" w:type="dxa"/>
            <w:shd w:val="clear" w:color="auto" w:fill="E6EED5"/>
          </w:tcPr>
          <w:p w:rsidR="004B071C" w:rsidRPr="004E680E" w:rsidRDefault="004B071C" w:rsidP="0060408E">
            <w:pPr>
              <w:jc w:val="center"/>
              <w:rPr>
                <w:rFonts w:ascii="Constantia" w:hAnsi="Constantia"/>
                <w:b/>
                <w:bCs/>
                <w:iCs/>
                <w:color w:val="000000"/>
                <w:spacing w:val="8"/>
                <w:szCs w:val="22"/>
                <w:lang w:val="sr-Latn-CS"/>
              </w:rPr>
            </w:pPr>
            <w:r w:rsidRPr="004E680E">
              <w:rPr>
                <w:rFonts w:ascii="Constantia" w:hAnsi="Constantia"/>
                <w:b/>
                <w:bCs/>
                <w:iCs/>
                <w:color w:val="000000"/>
                <w:spacing w:val="8"/>
                <w:szCs w:val="22"/>
                <w:lang w:val="sr-Latn-CS"/>
              </w:rPr>
              <w:t>Kategorija</w:t>
            </w:r>
          </w:p>
        </w:tc>
        <w:tc>
          <w:tcPr>
            <w:tcW w:w="5850" w:type="dxa"/>
            <w:shd w:val="clear" w:color="auto" w:fill="E6EED5"/>
          </w:tcPr>
          <w:p w:rsidR="004B071C" w:rsidRPr="004E680E" w:rsidRDefault="004B071C" w:rsidP="0060408E">
            <w:pPr>
              <w:jc w:val="center"/>
              <w:rPr>
                <w:rFonts w:ascii="Constantia" w:hAnsi="Constantia"/>
                <w:b/>
                <w:bCs/>
                <w:iCs/>
                <w:color w:val="000000"/>
                <w:spacing w:val="8"/>
                <w:szCs w:val="22"/>
                <w:lang w:val="sr-Latn-CS"/>
              </w:rPr>
            </w:pPr>
            <w:r w:rsidRPr="004E680E">
              <w:rPr>
                <w:rFonts w:ascii="Constantia" w:hAnsi="Constantia"/>
                <w:b/>
                <w:bCs/>
                <w:iCs/>
                <w:color w:val="000000"/>
                <w:spacing w:val="8"/>
                <w:szCs w:val="22"/>
                <w:lang w:val="sr-Latn-CS"/>
              </w:rPr>
              <w:t>Vrste</w:t>
            </w:r>
          </w:p>
        </w:tc>
      </w:tr>
      <w:tr w:rsidR="004B071C" w:rsidRPr="004E680E" w:rsidTr="0060408E">
        <w:tc>
          <w:tcPr>
            <w:tcW w:w="1424" w:type="dxa"/>
            <w:vMerge w:val="restart"/>
            <w:shd w:val="clear" w:color="auto" w:fill="CDDDAC"/>
          </w:tcPr>
          <w:p w:rsidR="004B071C" w:rsidRPr="004E680E" w:rsidRDefault="004B071C" w:rsidP="00117FB6">
            <w:pPr>
              <w:spacing w:after="0"/>
              <w:rPr>
                <w:rFonts w:ascii="Constantia" w:hAnsi="Constantia"/>
                <w:b/>
                <w:bCs/>
                <w:iCs/>
                <w:color w:val="000000"/>
                <w:spacing w:val="8"/>
                <w:szCs w:val="22"/>
                <w:lang w:val="sr-Latn-CS"/>
              </w:rPr>
            </w:pPr>
            <w:r w:rsidRPr="004E680E">
              <w:rPr>
                <w:rFonts w:ascii="Constantia" w:hAnsi="Constantia"/>
                <w:b/>
                <w:bCs/>
                <w:iCs/>
                <w:color w:val="000000"/>
                <w:spacing w:val="8"/>
                <w:szCs w:val="22"/>
                <w:lang w:val="sr-Latn-CS"/>
              </w:rPr>
              <w:t>Đurđevina</w:t>
            </w:r>
          </w:p>
        </w:tc>
        <w:tc>
          <w:tcPr>
            <w:tcW w:w="1816" w:type="dxa"/>
            <w:shd w:val="clear" w:color="auto" w:fill="CDDDAC"/>
          </w:tcPr>
          <w:p w:rsidR="004B071C" w:rsidRPr="004E680E" w:rsidRDefault="004B071C" w:rsidP="00117FB6">
            <w:pPr>
              <w:spacing w:after="0"/>
              <w:jc w:val="left"/>
              <w:rPr>
                <w:rFonts w:ascii="Constantia" w:hAnsi="Constantia"/>
                <w:bCs/>
                <w:iCs/>
                <w:color w:val="000000"/>
                <w:spacing w:val="8"/>
                <w:szCs w:val="22"/>
                <w:lang w:val="sr-Latn-CS"/>
              </w:rPr>
            </w:pPr>
            <w:r w:rsidRPr="004E680E">
              <w:rPr>
                <w:rFonts w:ascii="Constantia" w:hAnsi="Constantia"/>
                <w:iCs/>
                <w:color w:val="000000"/>
                <w:spacing w:val="8"/>
                <w:szCs w:val="22"/>
                <w:lang w:val="sr-Latn-CS"/>
              </w:rPr>
              <w:t>Indi</w:t>
            </w:r>
            <w:r w:rsidRPr="004E680E">
              <w:rPr>
                <w:rFonts w:ascii="Constantia" w:hAnsi="Constantia"/>
                <w:bCs/>
                <w:iCs/>
                <w:color w:val="000000"/>
                <w:spacing w:val="8"/>
                <w:szCs w:val="22"/>
                <w:lang w:val="sr-Latn-CS"/>
              </w:rPr>
              <w:t>katorske vrste (status zaštite)</w:t>
            </w:r>
          </w:p>
        </w:tc>
        <w:tc>
          <w:tcPr>
            <w:tcW w:w="5850" w:type="dxa"/>
            <w:shd w:val="clear" w:color="auto" w:fill="CDDDAC"/>
          </w:tcPr>
          <w:p w:rsidR="004B071C" w:rsidRPr="004E680E" w:rsidRDefault="004B071C" w:rsidP="00117FB6">
            <w:pPr>
              <w:spacing w:after="0"/>
              <w:rPr>
                <w:rFonts w:ascii="Constantia" w:hAnsi="Constantia"/>
                <w:bCs/>
                <w:i/>
                <w:iCs/>
                <w:color w:val="000000"/>
                <w:spacing w:val="8"/>
                <w:szCs w:val="22"/>
                <w:lang w:val="sr-Latn-CS"/>
              </w:rPr>
            </w:pPr>
            <w:r w:rsidRPr="004E680E">
              <w:rPr>
                <w:rFonts w:ascii="Constantia" w:hAnsi="Constantia"/>
                <w:bCs/>
                <w:i/>
                <w:iCs/>
                <w:color w:val="000000"/>
                <w:spacing w:val="8"/>
                <w:szCs w:val="22"/>
                <w:lang w:val="sr-Latn-CS"/>
              </w:rPr>
              <w:t>Ophrys apifera Huds.</w:t>
            </w:r>
          </w:p>
          <w:p w:rsidR="004B071C" w:rsidRPr="004E680E" w:rsidRDefault="004B071C" w:rsidP="00117FB6">
            <w:pPr>
              <w:spacing w:after="0"/>
              <w:rPr>
                <w:rFonts w:ascii="Constantia" w:hAnsi="Constantia"/>
                <w:bCs/>
                <w:iCs/>
                <w:color w:val="000000"/>
                <w:spacing w:val="8"/>
                <w:szCs w:val="22"/>
                <w:lang w:val="sr-Latn-CS"/>
              </w:rPr>
            </w:pPr>
            <w:r w:rsidRPr="004E680E">
              <w:rPr>
                <w:rFonts w:ascii="Constantia" w:hAnsi="Constantia"/>
                <w:bCs/>
                <w:i/>
                <w:iCs/>
                <w:color w:val="000000"/>
                <w:spacing w:val="8"/>
                <w:szCs w:val="22"/>
                <w:lang w:val="sr-Latn-CS"/>
              </w:rPr>
              <w:t>Platanthera bifolia (L.) L. C. Rich</w:t>
            </w:r>
            <w:r w:rsidRPr="004E680E">
              <w:rPr>
                <w:rFonts w:ascii="Constantia" w:hAnsi="Constantia"/>
                <w:bCs/>
                <w:iCs/>
                <w:color w:val="000000"/>
                <w:spacing w:val="8"/>
                <w:szCs w:val="22"/>
                <w:lang w:val="sr-Latn-CS"/>
              </w:rPr>
              <w:t>.</w:t>
            </w:r>
          </w:p>
        </w:tc>
      </w:tr>
      <w:tr w:rsidR="004B071C" w:rsidRPr="004E680E" w:rsidTr="0060408E">
        <w:tc>
          <w:tcPr>
            <w:tcW w:w="1424" w:type="dxa"/>
            <w:vMerge/>
            <w:shd w:val="clear" w:color="auto" w:fill="E6EED5"/>
          </w:tcPr>
          <w:p w:rsidR="004B071C" w:rsidRPr="004E680E" w:rsidRDefault="004B071C" w:rsidP="00117FB6">
            <w:pPr>
              <w:spacing w:after="0"/>
              <w:rPr>
                <w:rFonts w:ascii="Constantia" w:hAnsi="Constantia"/>
                <w:b/>
                <w:bCs/>
                <w:iCs/>
                <w:color w:val="000000"/>
                <w:spacing w:val="8"/>
                <w:szCs w:val="22"/>
                <w:lang w:val="sr-Latn-CS"/>
              </w:rPr>
            </w:pPr>
          </w:p>
        </w:tc>
        <w:tc>
          <w:tcPr>
            <w:tcW w:w="1816" w:type="dxa"/>
            <w:shd w:val="clear" w:color="auto" w:fill="E6EED5"/>
          </w:tcPr>
          <w:p w:rsidR="004B071C" w:rsidRPr="004E680E" w:rsidRDefault="004B071C" w:rsidP="00117FB6">
            <w:pPr>
              <w:spacing w:after="0"/>
              <w:jc w:val="left"/>
              <w:rPr>
                <w:rFonts w:ascii="Constantia" w:hAnsi="Constantia"/>
                <w:b/>
                <w:bCs/>
                <w:iCs/>
                <w:color w:val="000000"/>
                <w:spacing w:val="8"/>
                <w:szCs w:val="22"/>
                <w:lang w:val="sr-Latn-CS"/>
              </w:rPr>
            </w:pPr>
            <w:r w:rsidRPr="004E680E">
              <w:rPr>
                <w:rFonts w:ascii="Constantia" w:hAnsi="Constantia"/>
                <w:iCs/>
                <w:color w:val="000000"/>
                <w:spacing w:val="8"/>
                <w:szCs w:val="22"/>
                <w:lang w:val="sr-Latn-CS"/>
              </w:rPr>
              <w:t>Endemične vrste Balkana</w:t>
            </w:r>
          </w:p>
        </w:tc>
        <w:tc>
          <w:tcPr>
            <w:tcW w:w="5850" w:type="dxa"/>
            <w:shd w:val="clear" w:color="auto" w:fill="E6EED5"/>
          </w:tcPr>
          <w:p w:rsidR="004B071C" w:rsidRPr="004E680E" w:rsidRDefault="004B071C" w:rsidP="00117FB6">
            <w:pPr>
              <w:spacing w:after="0"/>
              <w:rPr>
                <w:rFonts w:ascii="Constantia" w:hAnsi="Constantia"/>
                <w:bCs/>
                <w:iCs/>
                <w:color w:val="000000"/>
                <w:spacing w:val="8"/>
                <w:szCs w:val="22"/>
                <w:lang w:val="sr-Latn-CS"/>
              </w:rPr>
            </w:pPr>
            <w:r w:rsidRPr="004E680E">
              <w:rPr>
                <w:rFonts w:ascii="Constantia" w:hAnsi="Constantia"/>
                <w:bCs/>
                <w:i/>
                <w:iCs/>
                <w:color w:val="000000"/>
                <w:spacing w:val="8"/>
                <w:szCs w:val="22"/>
                <w:lang w:val="sr-Latn-CS"/>
              </w:rPr>
              <w:t>Trifolium dalmaticum Vis</w:t>
            </w:r>
            <w:r w:rsidRPr="004E680E">
              <w:rPr>
                <w:rFonts w:ascii="Constantia" w:hAnsi="Constantia"/>
                <w:bCs/>
                <w:iCs/>
                <w:color w:val="000000"/>
                <w:spacing w:val="8"/>
                <w:szCs w:val="22"/>
                <w:lang w:val="sr-Latn-CS"/>
              </w:rPr>
              <w:t>.</w:t>
            </w:r>
          </w:p>
        </w:tc>
      </w:tr>
      <w:tr w:rsidR="004B071C" w:rsidRPr="004E680E" w:rsidTr="0060408E">
        <w:tc>
          <w:tcPr>
            <w:tcW w:w="1424" w:type="dxa"/>
            <w:vMerge/>
            <w:shd w:val="clear" w:color="auto" w:fill="CDDDAC"/>
          </w:tcPr>
          <w:p w:rsidR="004B071C" w:rsidRPr="004E680E" w:rsidRDefault="004B071C" w:rsidP="00117FB6">
            <w:pPr>
              <w:spacing w:after="0"/>
              <w:rPr>
                <w:rFonts w:ascii="Constantia" w:hAnsi="Constantia"/>
                <w:b/>
                <w:bCs/>
                <w:iCs/>
                <w:color w:val="000000"/>
                <w:spacing w:val="8"/>
                <w:szCs w:val="22"/>
                <w:lang w:val="sr-Latn-CS"/>
              </w:rPr>
            </w:pPr>
          </w:p>
        </w:tc>
        <w:tc>
          <w:tcPr>
            <w:tcW w:w="1816" w:type="dxa"/>
            <w:shd w:val="clear" w:color="auto" w:fill="CDDDAC"/>
          </w:tcPr>
          <w:p w:rsidR="004B071C" w:rsidRPr="004E680E" w:rsidRDefault="004B071C" w:rsidP="00117FB6">
            <w:pPr>
              <w:spacing w:after="0"/>
              <w:jc w:val="left"/>
              <w:rPr>
                <w:rFonts w:ascii="Constantia" w:hAnsi="Constantia"/>
                <w:b/>
                <w:bCs/>
                <w:iCs/>
                <w:color w:val="000000"/>
                <w:spacing w:val="8"/>
                <w:szCs w:val="22"/>
                <w:lang w:val="sr-Latn-CS"/>
              </w:rPr>
            </w:pPr>
            <w:r w:rsidRPr="004E680E">
              <w:rPr>
                <w:rFonts w:ascii="Constantia" w:hAnsi="Constantia"/>
                <w:iCs/>
                <w:color w:val="000000"/>
                <w:spacing w:val="8"/>
                <w:szCs w:val="22"/>
                <w:lang w:val="sr-Latn-CS"/>
              </w:rPr>
              <w:t>Unešene naturalizovane vrste</w:t>
            </w:r>
          </w:p>
        </w:tc>
        <w:tc>
          <w:tcPr>
            <w:tcW w:w="5850" w:type="dxa"/>
            <w:shd w:val="clear" w:color="auto" w:fill="CDDDAC"/>
          </w:tcPr>
          <w:p w:rsidR="004B071C" w:rsidRPr="004E680E" w:rsidRDefault="004B071C" w:rsidP="001159ED">
            <w:pPr>
              <w:spacing w:after="0"/>
              <w:rPr>
                <w:rFonts w:ascii="Constantia" w:hAnsi="Constantia"/>
                <w:bCs/>
                <w:i/>
                <w:iCs/>
                <w:color w:val="000000"/>
                <w:spacing w:val="8"/>
                <w:szCs w:val="22"/>
                <w:lang w:val="sr-Latn-CS"/>
              </w:rPr>
            </w:pPr>
            <w:r w:rsidRPr="004E680E">
              <w:rPr>
                <w:rFonts w:ascii="Constantia" w:hAnsi="Constantia"/>
                <w:bCs/>
                <w:i/>
                <w:iCs/>
                <w:color w:val="000000"/>
                <w:spacing w:val="8"/>
                <w:szCs w:val="22"/>
                <w:lang w:val="sr-Latn-CS"/>
              </w:rPr>
              <w:t xml:space="preserve">Morus alba L.      </w:t>
            </w:r>
          </w:p>
          <w:p w:rsidR="004B071C" w:rsidRPr="004E680E" w:rsidRDefault="004B071C" w:rsidP="001159ED">
            <w:pPr>
              <w:spacing w:after="0"/>
              <w:rPr>
                <w:rFonts w:ascii="Constantia" w:hAnsi="Constantia"/>
                <w:bCs/>
                <w:i/>
                <w:iCs/>
                <w:color w:val="000000"/>
                <w:spacing w:val="8"/>
                <w:szCs w:val="22"/>
                <w:lang w:val="sr-Latn-CS"/>
              </w:rPr>
            </w:pPr>
            <w:r w:rsidRPr="004E680E">
              <w:rPr>
                <w:rFonts w:ascii="Constantia" w:hAnsi="Constantia"/>
                <w:bCs/>
                <w:i/>
                <w:iCs/>
                <w:color w:val="000000"/>
                <w:spacing w:val="8"/>
                <w:szCs w:val="22"/>
                <w:lang w:val="sr-Latn-CS"/>
              </w:rPr>
              <w:t xml:space="preserve">Ficus carica L.  </w:t>
            </w:r>
          </w:p>
          <w:p w:rsidR="004B071C" w:rsidRPr="004E680E" w:rsidRDefault="004B071C" w:rsidP="00117FB6">
            <w:pPr>
              <w:spacing w:after="0"/>
              <w:rPr>
                <w:rFonts w:ascii="Constantia" w:hAnsi="Constantia"/>
                <w:b/>
                <w:bCs/>
                <w:iCs/>
                <w:color w:val="000000"/>
                <w:spacing w:val="8"/>
                <w:szCs w:val="22"/>
                <w:lang w:val="sr-Latn-CS"/>
              </w:rPr>
            </w:pPr>
            <w:r w:rsidRPr="004E680E">
              <w:rPr>
                <w:rFonts w:ascii="Constantia" w:hAnsi="Constantia"/>
                <w:bCs/>
                <w:i/>
                <w:iCs/>
                <w:color w:val="000000"/>
                <w:spacing w:val="8"/>
                <w:szCs w:val="22"/>
                <w:lang w:val="sr-Latn-CS"/>
              </w:rPr>
              <w:t>Robinia pseudacacia L</w:t>
            </w:r>
            <w:r w:rsidRPr="004E680E">
              <w:rPr>
                <w:rFonts w:ascii="Constantia" w:hAnsi="Constantia"/>
                <w:bCs/>
                <w:iCs/>
                <w:color w:val="000000"/>
                <w:spacing w:val="8"/>
                <w:szCs w:val="22"/>
                <w:lang w:val="sr-Latn-CS"/>
              </w:rPr>
              <w:t>.</w:t>
            </w:r>
          </w:p>
        </w:tc>
      </w:tr>
      <w:tr w:rsidR="004B071C" w:rsidRPr="004E680E" w:rsidTr="0060408E">
        <w:tc>
          <w:tcPr>
            <w:tcW w:w="1424" w:type="dxa"/>
            <w:vMerge/>
            <w:shd w:val="clear" w:color="auto" w:fill="E6EED5"/>
          </w:tcPr>
          <w:p w:rsidR="004B071C" w:rsidRPr="004E680E" w:rsidRDefault="004B071C" w:rsidP="004E680E">
            <w:pPr>
              <w:rPr>
                <w:rFonts w:ascii="Constantia" w:hAnsi="Constantia"/>
                <w:b/>
                <w:bCs/>
                <w:iCs/>
                <w:color w:val="000000"/>
                <w:spacing w:val="8"/>
                <w:szCs w:val="22"/>
                <w:lang w:val="sr-Latn-CS"/>
              </w:rPr>
            </w:pPr>
          </w:p>
        </w:tc>
        <w:tc>
          <w:tcPr>
            <w:tcW w:w="1816" w:type="dxa"/>
            <w:shd w:val="clear" w:color="auto" w:fill="E6EED5"/>
          </w:tcPr>
          <w:p w:rsidR="004B071C" w:rsidRPr="004E680E" w:rsidRDefault="004B071C" w:rsidP="001159ED">
            <w:pPr>
              <w:jc w:val="left"/>
              <w:rPr>
                <w:rFonts w:ascii="Constantia" w:hAnsi="Constantia"/>
                <w:b/>
                <w:bCs/>
                <w:iCs/>
                <w:color w:val="000000"/>
                <w:spacing w:val="8"/>
                <w:szCs w:val="22"/>
                <w:lang w:val="sr-Latn-CS"/>
              </w:rPr>
            </w:pPr>
            <w:r w:rsidRPr="004E680E">
              <w:rPr>
                <w:rFonts w:ascii="Constantia" w:hAnsi="Constantia"/>
                <w:iCs/>
                <w:color w:val="000000"/>
                <w:spacing w:val="8"/>
                <w:szCs w:val="22"/>
                <w:lang w:val="sr-Latn-CS"/>
              </w:rPr>
              <w:t>Utvrđeno stanje</w:t>
            </w:r>
          </w:p>
        </w:tc>
        <w:tc>
          <w:tcPr>
            <w:tcW w:w="5850" w:type="dxa"/>
            <w:shd w:val="clear" w:color="auto" w:fill="E6EED5"/>
          </w:tcPr>
          <w:p w:rsidR="004B071C" w:rsidRPr="004E680E" w:rsidRDefault="004B071C" w:rsidP="0090666E">
            <w:pPr>
              <w:rPr>
                <w:rFonts w:ascii="Constantia" w:hAnsi="Constantia"/>
                <w:bCs/>
                <w:iCs/>
                <w:color w:val="000000"/>
                <w:spacing w:val="8"/>
                <w:szCs w:val="22"/>
                <w:lang w:val="sr-Latn-CS"/>
              </w:rPr>
            </w:pPr>
            <w:r w:rsidRPr="004E680E">
              <w:rPr>
                <w:rFonts w:ascii="Constantia" w:hAnsi="Constantia"/>
                <w:bCs/>
                <w:iCs/>
                <w:color w:val="000000"/>
                <w:spacing w:val="8"/>
                <w:szCs w:val="22"/>
                <w:lang w:val="sr-Latn-CS"/>
              </w:rPr>
              <w:t xml:space="preserve">Značajno učešće biljnih vrsta na lokalitetu Đurđevina u kanjonu Morače su </w:t>
            </w:r>
            <w:r w:rsidRPr="004E680E">
              <w:rPr>
                <w:rFonts w:ascii="Constantia" w:hAnsi="Constantia"/>
                <w:bCs/>
                <w:i/>
                <w:iCs/>
                <w:color w:val="000000"/>
                <w:spacing w:val="8"/>
                <w:szCs w:val="22"/>
                <w:lang w:val="sr-Latn-CS"/>
              </w:rPr>
              <w:t>Carpinus orientalis Miller, Corylus avellana L., Ostrya carpinifolia Scop., Quercus pubescens Willd., Quercus trojana Webb, Ulmus glabra Hudson, Celtis australis L., Fraxinus ornus L., Phillyrea latifolia L., Acer campestre L., Acer pseudoplatanus L., Acer tataricum L. subsp. tataricum, Cornus mas L., Cornus sanguinea L., Sambucus ebulus L., Cotynus coggygria Scop., Pistacia terebinthus L., Malus sylvestris L., Prunus spinosa L., Rubus ulmifolius Schott, Rosa canina L., Euonymus europaeus L., Paliurus spina christi Miller, Vitis vinifera L. subsp. silvestris (C. C. Gmelin) Hegi, Tilia tomentosa Moench., Punica granatum L., Hedera helix L.</w:t>
            </w:r>
            <w:r w:rsidRPr="004E680E">
              <w:rPr>
                <w:rFonts w:ascii="Constantia" w:hAnsi="Constantia"/>
                <w:bCs/>
                <w:iCs/>
                <w:color w:val="000000"/>
                <w:spacing w:val="8"/>
                <w:szCs w:val="22"/>
                <w:lang w:val="sr-Latn-CS"/>
              </w:rPr>
              <w:t xml:space="preserve"> </w:t>
            </w:r>
          </w:p>
          <w:p w:rsidR="004B071C" w:rsidRPr="004E680E" w:rsidRDefault="004B071C" w:rsidP="00117FB6">
            <w:pPr>
              <w:spacing w:after="0"/>
              <w:rPr>
                <w:rFonts w:ascii="Constantia" w:hAnsi="Constantia"/>
                <w:b/>
                <w:bCs/>
                <w:iCs/>
                <w:color w:val="000000"/>
                <w:spacing w:val="8"/>
                <w:szCs w:val="22"/>
                <w:lang w:val="sr-Latn-CS"/>
              </w:rPr>
            </w:pPr>
            <w:r w:rsidRPr="004E680E">
              <w:rPr>
                <w:rFonts w:ascii="Constantia" w:hAnsi="Constantia"/>
                <w:bCs/>
                <w:iCs/>
                <w:color w:val="000000"/>
                <w:spacing w:val="8"/>
                <w:szCs w:val="22"/>
                <w:lang w:val="sr-Latn-CS"/>
              </w:rPr>
              <w:t>Pored navedenih drvenastih vrsta</w:t>
            </w:r>
            <w:r w:rsidR="0090666E" w:rsidRPr="004E680E">
              <w:rPr>
                <w:rFonts w:ascii="Constantia" w:hAnsi="Constantia"/>
                <w:bCs/>
                <w:iCs/>
                <w:color w:val="000000"/>
                <w:spacing w:val="8"/>
                <w:szCs w:val="22"/>
                <w:lang w:val="sr-Latn-CS"/>
              </w:rPr>
              <w:t>,</w:t>
            </w:r>
            <w:r w:rsidRPr="004E680E">
              <w:rPr>
                <w:rFonts w:ascii="Constantia" w:hAnsi="Constantia"/>
                <w:bCs/>
                <w:iCs/>
                <w:color w:val="000000"/>
                <w:spacing w:val="8"/>
                <w:szCs w:val="22"/>
                <w:lang w:val="sr-Latn-CS"/>
              </w:rPr>
              <w:t xml:space="preserve"> od zeljastih su zastupljene: </w:t>
            </w:r>
            <w:r w:rsidRPr="004E680E">
              <w:rPr>
                <w:rFonts w:ascii="Constantia" w:hAnsi="Constantia"/>
                <w:bCs/>
                <w:i/>
                <w:iCs/>
                <w:color w:val="000000"/>
                <w:spacing w:val="8"/>
                <w:szCs w:val="22"/>
                <w:lang w:val="sr-Latn-CS"/>
              </w:rPr>
              <w:t xml:space="preserve">Parietaria officinalis L., Silene vulgaris </w:t>
            </w:r>
            <w:r w:rsidRPr="004E680E">
              <w:rPr>
                <w:rFonts w:ascii="Constantia" w:hAnsi="Constantia"/>
                <w:bCs/>
                <w:i/>
                <w:iCs/>
                <w:color w:val="000000"/>
                <w:spacing w:val="8"/>
                <w:szCs w:val="22"/>
                <w:lang w:val="sr-Latn-CS"/>
              </w:rPr>
              <w:lastRenderedPageBreak/>
              <w:t>(Moench.) Garcke, Petrorhagia saxifraga (L.) Link, Stellaria media (L.) Vill., Petrorhagia obcordata (Margot &amp; Reuter) Greuter &amp; Burdet, Clematis vitalba L., Ranunculus marginatus Dum.-Urville</w:t>
            </w:r>
            <w:r w:rsidRPr="004E680E">
              <w:rPr>
                <w:rFonts w:ascii="Constantia" w:hAnsi="Constantia"/>
                <w:bCs/>
                <w:iCs/>
                <w:color w:val="000000"/>
                <w:spacing w:val="8"/>
                <w:szCs w:val="22"/>
                <w:lang w:val="sr-Latn-CS"/>
              </w:rPr>
              <w:t xml:space="preserve"> i dr.</w:t>
            </w:r>
          </w:p>
        </w:tc>
      </w:tr>
      <w:tr w:rsidR="004B071C" w:rsidRPr="004E680E" w:rsidTr="0060408E">
        <w:tc>
          <w:tcPr>
            <w:tcW w:w="1424" w:type="dxa"/>
            <w:vMerge w:val="restart"/>
            <w:shd w:val="clear" w:color="auto" w:fill="CDDDAC"/>
          </w:tcPr>
          <w:p w:rsidR="004B071C" w:rsidRPr="004E680E" w:rsidRDefault="004B071C" w:rsidP="004E680E">
            <w:pPr>
              <w:rPr>
                <w:rFonts w:ascii="Constantia" w:hAnsi="Constantia"/>
                <w:b/>
                <w:bCs/>
                <w:iCs/>
                <w:color w:val="000000"/>
                <w:spacing w:val="8"/>
                <w:szCs w:val="22"/>
                <w:lang w:val="sr-Latn-CS"/>
              </w:rPr>
            </w:pPr>
            <w:r w:rsidRPr="004E680E">
              <w:rPr>
                <w:rFonts w:ascii="Constantia" w:hAnsi="Constantia"/>
                <w:b/>
                <w:bCs/>
                <w:iCs/>
                <w:color w:val="000000"/>
                <w:spacing w:val="8"/>
                <w:szCs w:val="22"/>
                <w:lang w:val="sr-Latn-CS"/>
              </w:rPr>
              <w:lastRenderedPageBreak/>
              <w:t>Andrijevo</w:t>
            </w:r>
          </w:p>
        </w:tc>
        <w:tc>
          <w:tcPr>
            <w:tcW w:w="1816" w:type="dxa"/>
            <w:shd w:val="clear" w:color="auto" w:fill="CDDDAC"/>
          </w:tcPr>
          <w:p w:rsidR="004B071C" w:rsidRPr="004E680E" w:rsidRDefault="004B071C" w:rsidP="00117FB6">
            <w:pPr>
              <w:spacing w:after="0"/>
              <w:jc w:val="left"/>
              <w:rPr>
                <w:rFonts w:ascii="Constantia" w:hAnsi="Constantia"/>
                <w:szCs w:val="22"/>
              </w:rPr>
            </w:pPr>
            <w:r w:rsidRPr="004E680E">
              <w:rPr>
                <w:rFonts w:ascii="Constantia" w:hAnsi="Constantia"/>
                <w:szCs w:val="22"/>
              </w:rPr>
              <w:t>Indikatorske vrste (status zaštite)</w:t>
            </w:r>
          </w:p>
        </w:tc>
        <w:tc>
          <w:tcPr>
            <w:tcW w:w="5850" w:type="dxa"/>
            <w:shd w:val="clear" w:color="auto" w:fill="CDDDAC"/>
          </w:tcPr>
          <w:p w:rsidR="004B071C" w:rsidRPr="004E680E" w:rsidRDefault="004B071C" w:rsidP="004E680E">
            <w:pPr>
              <w:rPr>
                <w:rFonts w:ascii="Constantia" w:hAnsi="Constantia"/>
                <w:bCs/>
                <w:i/>
                <w:iCs/>
                <w:color w:val="000000"/>
                <w:spacing w:val="8"/>
                <w:szCs w:val="22"/>
                <w:lang w:val="sr-Latn-CS"/>
              </w:rPr>
            </w:pPr>
            <w:r w:rsidRPr="004E680E">
              <w:rPr>
                <w:rFonts w:ascii="Constantia" w:hAnsi="Constantia"/>
                <w:bCs/>
                <w:i/>
                <w:iCs/>
                <w:color w:val="000000"/>
                <w:spacing w:val="8"/>
                <w:szCs w:val="22"/>
                <w:lang w:val="sr-Latn-CS"/>
              </w:rPr>
              <w:t>Taxus baccata L</w:t>
            </w:r>
          </w:p>
        </w:tc>
      </w:tr>
      <w:tr w:rsidR="004B071C" w:rsidRPr="004E680E" w:rsidTr="0060408E">
        <w:tc>
          <w:tcPr>
            <w:tcW w:w="1424" w:type="dxa"/>
            <w:vMerge/>
            <w:shd w:val="clear" w:color="auto" w:fill="E6EED5"/>
          </w:tcPr>
          <w:p w:rsidR="004B071C" w:rsidRPr="004E680E" w:rsidRDefault="004B071C" w:rsidP="004E680E">
            <w:pPr>
              <w:rPr>
                <w:rFonts w:ascii="Constantia" w:hAnsi="Constantia"/>
                <w:b/>
                <w:bCs/>
                <w:iCs/>
                <w:color w:val="000000"/>
                <w:spacing w:val="8"/>
                <w:szCs w:val="22"/>
                <w:lang w:val="sr-Latn-CS"/>
              </w:rPr>
            </w:pPr>
          </w:p>
        </w:tc>
        <w:tc>
          <w:tcPr>
            <w:tcW w:w="1816" w:type="dxa"/>
            <w:shd w:val="clear" w:color="auto" w:fill="E6EED5"/>
          </w:tcPr>
          <w:p w:rsidR="004B071C" w:rsidRPr="004E680E" w:rsidRDefault="004B071C" w:rsidP="001159ED">
            <w:pPr>
              <w:jc w:val="left"/>
              <w:rPr>
                <w:rFonts w:ascii="Constantia" w:hAnsi="Constantia"/>
                <w:szCs w:val="22"/>
              </w:rPr>
            </w:pPr>
            <w:r w:rsidRPr="004E680E">
              <w:rPr>
                <w:rFonts w:ascii="Constantia" w:hAnsi="Constantia"/>
                <w:szCs w:val="22"/>
              </w:rPr>
              <w:t>Ostale vrste</w:t>
            </w:r>
          </w:p>
        </w:tc>
        <w:tc>
          <w:tcPr>
            <w:tcW w:w="5850" w:type="dxa"/>
            <w:shd w:val="clear" w:color="auto" w:fill="E6EED5"/>
          </w:tcPr>
          <w:p w:rsidR="004B071C" w:rsidRPr="004E680E" w:rsidRDefault="004B071C" w:rsidP="00117FB6">
            <w:pPr>
              <w:spacing w:after="0"/>
              <w:rPr>
                <w:rFonts w:ascii="Constantia" w:hAnsi="Constantia"/>
                <w:bCs/>
                <w:i/>
                <w:iCs/>
                <w:color w:val="000000"/>
                <w:spacing w:val="8"/>
                <w:szCs w:val="22"/>
                <w:lang w:val="sr-Latn-CS"/>
              </w:rPr>
            </w:pPr>
            <w:r w:rsidRPr="004E680E">
              <w:rPr>
                <w:rFonts w:ascii="Constantia" w:hAnsi="Constantia"/>
                <w:bCs/>
                <w:i/>
                <w:iCs/>
                <w:color w:val="000000"/>
                <w:spacing w:val="8"/>
                <w:szCs w:val="22"/>
                <w:lang w:val="sr-Latn-CS"/>
              </w:rPr>
              <w:t>Hieracium plumulosum, Edraianthus spp.</w:t>
            </w:r>
          </w:p>
        </w:tc>
      </w:tr>
      <w:tr w:rsidR="004B071C" w:rsidRPr="004E680E" w:rsidTr="0060408E">
        <w:tc>
          <w:tcPr>
            <w:tcW w:w="1424" w:type="dxa"/>
            <w:vMerge/>
            <w:shd w:val="clear" w:color="auto" w:fill="CDDDAC"/>
          </w:tcPr>
          <w:p w:rsidR="004B071C" w:rsidRPr="004E680E" w:rsidRDefault="004B071C" w:rsidP="004E680E">
            <w:pPr>
              <w:rPr>
                <w:rFonts w:ascii="Constantia" w:hAnsi="Constantia"/>
                <w:b/>
                <w:bCs/>
                <w:iCs/>
                <w:color w:val="000000"/>
                <w:spacing w:val="8"/>
                <w:szCs w:val="22"/>
                <w:lang w:val="sr-Latn-CS"/>
              </w:rPr>
            </w:pPr>
          </w:p>
        </w:tc>
        <w:tc>
          <w:tcPr>
            <w:tcW w:w="1816" w:type="dxa"/>
            <w:shd w:val="clear" w:color="auto" w:fill="CDDDAC"/>
          </w:tcPr>
          <w:p w:rsidR="004B071C" w:rsidRPr="004E680E" w:rsidRDefault="004B071C" w:rsidP="001159ED">
            <w:pPr>
              <w:jc w:val="left"/>
              <w:rPr>
                <w:rFonts w:ascii="Constantia" w:hAnsi="Constantia"/>
                <w:szCs w:val="22"/>
              </w:rPr>
            </w:pPr>
            <w:r w:rsidRPr="004E680E">
              <w:rPr>
                <w:rFonts w:ascii="Constantia" w:hAnsi="Constantia"/>
                <w:szCs w:val="22"/>
              </w:rPr>
              <w:t>Utvrđeno stanje</w:t>
            </w:r>
          </w:p>
        </w:tc>
        <w:tc>
          <w:tcPr>
            <w:tcW w:w="5850" w:type="dxa"/>
            <w:shd w:val="clear" w:color="auto" w:fill="CDDDAC"/>
          </w:tcPr>
          <w:p w:rsidR="004B071C" w:rsidRPr="004E680E" w:rsidRDefault="00AF6140" w:rsidP="004E680E">
            <w:pPr>
              <w:rPr>
                <w:rFonts w:ascii="Constantia" w:hAnsi="Constantia"/>
                <w:bCs/>
                <w:iCs/>
                <w:color w:val="000000"/>
                <w:spacing w:val="8"/>
                <w:szCs w:val="22"/>
                <w:lang w:val="sr-Latn-CS"/>
              </w:rPr>
            </w:pPr>
            <w:r w:rsidRPr="004E680E">
              <w:rPr>
                <w:rFonts w:ascii="Constantia" w:hAnsi="Constantia"/>
                <w:bCs/>
                <w:iCs/>
                <w:color w:val="000000"/>
                <w:spacing w:val="8"/>
                <w:szCs w:val="22"/>
                <w:lang w:val="sr-Latn-CS"/>
              </w:rPr>
              <w:t>K</w:t>
            </w:r>
            <w:r w:rsidR="004B071C" w:rsidRPr="004E680E">
              <w:rPr>
                <w:rFonts w:ascii="Constantia" w:hAnsi="Constantia"/>
                <w:bCs/>
                <w:iCs/>
                <w:color w:val="000000"/>
                <w:spacing w:val="8"/>
                <w:szCs w:val="22"/>
                <w:lang w:val="sr-Latn-CS"/>
              </w:rPr>
              <w:t xml:space="preserve">arakteriše </w:t>
            </w:r>
            <w:r w:rsidRPr="004E680E">
              <w:rPr>
                <w:rFonts w:ascii="Constantia" w:hAnsi="Constantia"/>
                <w:bCs/>
                <w:iCs/>
                <w:color w:val="000000"/>
                <w:spacing w:val="8"/>
                <w:szCs w:val="22"/>
                <w:lang w:val="sr-Latn-CS"/>
              </w:rPr>
              <w:t xml:space="preserve">se </w:t>
            </w:r>
            <w:r w:rsidR="004B071C" w:rsidRPr="004E680E">
              <w:rPr>
                <w:rFonts w:ascii="Constantia" w:hAnsi="Constantia"/>
                <w:bCs/>
                <w:iCs/>
                <w:color w:val="000000"/>
                <w:spacing w:val="8"/>
                <w:szCs w:val="22"/>
                <w:lang w:val="sr-Latn-CS"/>
              </w:rPr>
              <w:t>izuzetno okomitim stranama lijevo i desno od toka Morače. Lijeva obala Morače, iako okomita, obrasla je vegetacijom u kojoj dominira bjelograbić (</w:t>
            </w:r>
            <w:r w:rsidR="004B071C" w:rsidRPr="004E680E">
              <w:rPr>
                <w:rFonts w:ascii="Constantia" w:hAnsi="Constantia"/>
                <w:bCs/>
                <w:i/>
                <w:iCs/>
                <w:color w:val="000000"/>
                <w:spacing w:val="8"/>
                <w:szCs w:val="22"/>
                <w:lang w:val="sr-Latn-CS"/>
              </w:rPr>
              <w:t>Carpinus orientalis</w:t>
            </w:r>
            <w:r w:rsidR="004B071C" w:rsidRPr="004E680E">
              <w:rPr>
                <w:rFonts w:ascii="Constantia" w:hAnsi="Constantia"/>
                <w:bCs/>
                <w:iCs/>
                <w:color w:val="000000"/>
                <w:spacing w:val="8"/>
                <w:szCs w:val="22"/>
                <w:lang w:val="sr-Latn-CS"/>
              </w:rPr>
              <w:t xml:space="preserve">) te </w:t>
            </w:r>
            <w:r w:rsidR="004B071C" w:rsidRPr="004E680E">
              <w:rPr>
                <w:rFonts w:ascii="Constantia" w:hAnsi="Constantia"/>
                <w:bCs/>
                <w:i/>
                <w:iCs/>
                <w:color w:val="000000"/>
                <w:spacing w:val="8"/>
                <w:szCs w:val="22"/>
                <w:lang w:val="sr-Latn-CS"/>
              </w:rPr>
              <w:t>Fraxinus ornus, Ostrya carpinifolia, Acer monspessulanum, Acer campestre, Taxus baccata</w:t>
            </w:r>
            <w:r w:rsidR="004B071C" w:rsidRPr="004E680E">
              <w:rPr>
                <w:rFonts w:ascii="Constantia" w:hAnsi="Constantia"/>
                <w:bCs/>
                <w:iCs/>
                <w:color w:val="000000"/>
                <w:spacing w:val="8"/>
                <w:szCs w:val="22"/>
                <w:lang w:val="sr-Latn-CS"/>
              </w:rPr>
              <w:t xml:space="preserve"> i dr.   </w:t>
            </w:r>
          </w:p>
          <w:p w:rsidR="004B071C" w:rsidRPr="004E680E" w:rsidRDefault="004B071C" w:rsidP="004E680E">
            <w:pPr>
              <w:rPr>
                <w:rFonts w:ascii="Constantia" w:hAnsi="Constantia"/>
                <w:bCs/>
                <w:iCs/>
                <w:color w:val="000000"/>
                <w:spacing w:val="8"/>
                <w:szCs w:val="22"/>
                <w:lang w:val="sr-Latn-CS"/>
              </w:rPr>
            </w:pPr>
            <w:r w:rsidRPr="004E680E">
              <w:rPr>
                <w:rFonts w:ascii="Constantia" w:hAnsi="Constantia"/>
                <w:bCs/>
                <w:iCs/>
                <w:color w:val="000000"/>
                <w:spacing w:val="8"/>
                <w:szCs w:val="22"/>
                <w:lang w:val="sr-Latn-CS"/>
              </w:rPr>
              <w:t>Lokalitet Andrijevo se karakteriše okomitim strana</w:t>
            </w:r>
            <w:r w:rsidR="00AF6140" w:rsidRPr="004E680E">
              <w:rPr>
                <w:rFonts w:ascii="Constantia" w:hAnsi="Constantia"/>
                <w:bCs/>
                <w:iCs/>
                <w:color w:val="000000"/>
                <w:spacing w:val="8"/>
                <w:szCs w:val="22"/>
                <w:lang w:val="sr-Latn-CS"/>
              </w:rPr>
              <w:t>ma sa slabo razvijenim zemljište</w:t>
            </w:r>
            <w:r w:rsidRPr="004E680E">
              <w:rPr>
                <w:rFonts w:ascii="Constantia" w:hAnsi="Constantia"/>
                <w:bCs/>
                <w:iCs/>
                <w:color w:val="000000"/>
                <w:spacing w:val="8"/>
                <w:szCs w:val="22"/>
                <w:lang w:val="sr-Latn-CS"/>
              </w:rPr>
              <w:t>m (ili bez njega). Na ovom lokalitetu</w:t>
            </w:r>
            <w:r w:rsidR="00AF6140" w:rsidRPr="004E680E">
              <w:rPr>
                <w:rFonts w:ascii="Constantia" w:hAnsi="Constantia"/>
                <w:bCs/>
                <w:iCs/>
                <w:color w:val="000000"/>
                <w:spacing w:val="8"/>
                <w:szCs w:val="22"/>
                <w:lang w:val="sr-Latn-CS"/>
              </w:rPr>
              <w:t>,</w:t>
            </w:r>
            <w:r w:rsidRPr="004E680E">
              <w:rPr>
                <w:rFonts w:ascii="Constantia" w:hAnsi="Constantia"/>
                <w:bCs/>
                <w:iCs/>
                <w:color w:val="000000"/>
                <w:spacing w:val="8"/>
                <w:szCs w:val="22"/>
                <w:lang w:val="sr-Latn-CS"/>
              </w:rPr>
              <w:t xml:space="preserve"> na jugoistočnim ekspozicijama, desna strana toka Morače, florističko-vegetacijska komponenta je oskudna i predst</w:t>
            </w:r>
            <w:r w:rsidR="00AF6140" w:rsidRPr="004E680E">
              <w:rPr>
                <w:rFonts w:ascii="Constantia" w:hAnsi="Constantia"/>
                <w:bCs/>
                <w:iCs/>
                <w:color w:val="000000"/>
                <w:spacing w:val="8"/>
                <w:szCs w:val="22"/>
                <w:lang w:val="sr-Latn-CS"/>
              </w:rPr>
              <w:t>a</w:t>
            </w:r>
            <w:r w:rsidRPr="004E680E">
              <w:rPr>
                <w:rFonts w:ascii="Constantia" w:hAnsi="Constantia"/>
                <w:bCs/>
                <w:iCs/>
                <w:color w:val="000000"/>
                <w:spacing w:val="8"/>
                <w:szCs w:val="22"/>
                <w:lang w:val="sr-Latn-CS"/>
              </w:rPr>
              <w:t xml:space="preserve">vljena uglavnom vegetacijom pukotina krečnjačkih stijena sa vrstama iz roda </w:t>
            </w:r>
            <w:r w:rsidRPr="004E680E">
              <w:rPr>
                <w:rFonts w:ascii="Constantia" w:hAnsi="Constantia"/>
                <w:bCs/>
                <w:i/>
                <w:iCs/>
                <w:color w:val="000000"/>
                <w:spacing w:val="8"/>
                <w:szCs w:val="22"/>
                <w:lang w:val="sr-Latn-CS"/>
              </w:rPr>
              <w:t>Edraiantus, Hieracium plumulosum, Campanula pyramidalis</w:t>
            </w:r>
            <w:r w:rsidRPr="004E680E">
              <w:rPr>
                <w:rFonts w:ascii="Constantia" w:hAnsi="Constantia"/>
                <w:bCs/>
                <w:iCs/>
                <w:color w:val="000000"/>
                <w:spacing w:val="8"/>
                <w:szCs w:val="22"/>
                <w:lang w:val="sr-Latn-CS"/>
              </w:rPr>
              <w:t xml:space="preserve"> i dr. </w:t>
            </w:r>
          </w:p>
          <w:p w:rsidR="004B071C" w:rsidRPr="004E680E" w:rsidRDefault="004B071C" w:rsidP="00117FB6">
            <w:pPr>
              <w:spacing w:after="0"/>
              <w:rPr>
                <w:rFonts w:ascii="Constantia" w:hAnsi="Constantia"/>
                <w:bCs/>
                <w:iCs/>
                <w:color w:val="000000"/>
                <w:spacing w:val="8"/>
                <w:szCs w:val="22"/>
                <w:lang w:val="sr-Latn-CS"/>
              </w:rPr>
            </w:pPr>
            <w:r w:rsidRPr="004E680E">
              <w:rPr>
                <w:rFonts w:ascii="Constantia" w:hAnsi="Constantia"/>
                <w:bCs/>
                <w:iCs/>
                <w:color w:val="000000"/>
                <w:spacing w:val="8"/>
                <w:szCs w:val="22"/>
                <w:lang w:val="sr-Latn-CS"/>
              </w:rPr>
              <w:t>Detaljnija istraživanja ukazala bi na mnogo veći broj zaštićenih vrsta u ovom dijelu kanjona Morače.</w:t>
            </w:r>
          </w:p>
        </w:tc>
      </w:tr>
      <w:tr w:rsidR="004B071C" w:rsidRPr="004E680E" w:rsidTr="0060408E">
        <w:tc>
          <w:tcPr>
            <w:tcW w:w="1424" w:type="dxa"/>
            <w:shd w:val="clear" w:color="auto" w:fill="E6EED5"/>
          </w:tcPr>
          <w:p w:rsidR="004B071C" w:rsidRPr="004E680E" w:rsidRDefault="004B071C" w:rsidP="004E680E">
            <w:pPr>
              <w:rPr>
                <w:rFonts w:ascii="Constantia" w:hAnsi="Constantia"/>
                <w:b/>
                <w:bCs/>
                <w:iCs/>
                <w:color w:val="000000"/>
                <w:spacing w:val="8"/>
                <w:szCs w:val="22"/>
                <w:lang w:val="sr-Latn-CS"/>
              </w:rPr>
            </w:pPr>
            <w:r w:rsidRPr="004E680E">
              <w:rPr>
                <w:rFonts w:ascii="Constantia" w:hAnsi="Constantia"/>
                <w:b/>
                <w:bCs/>
                <w:iCs/>
                <w:color w:val="000000"/>
                <w:spacing w:val="8"/>
                <w:szCs w:val="22"/>
                <w:lang w:val="sr-Latn-CS"/>
              </w:rPr>
              <w:t>Milunovići</w:t>
            </w:r>
          </w:p>
        </w:tc>
        <w:tc>
          <w:tcPr>
            <w:tcW w:w="1816" w:type="dxa"/>
            <w:shd w:val="clear" w:color="auto" w:fill="E6EED5"/>
          </w:tcPr>
          <w:p w:rsidR="004B071C" w:rsidRPr="004E680E" w:rsidRDefault="004B071C" w:rsidP="00117FB6">
            <w:pPr>
              <w:spacing w:after="0"/>
              <w:jc w:val="left"/>
              <w:rPr>
                <w:rFonts w:ascii="Constantia" w:hAnsi="Constantia"/>
                <w:szCs w:val="22"/>
              </w:rPr>
            </w:pPr>
            <w:r w:rsidRPr="004E680E">
              <w:rPr>
                <w:rFonts w:ascii="Constantia" w:hAnsi="Constantia"/>
                <w:szCs w:val="22"/>
              </w:rPr>
              <w:t>Indikatorske vrste (status zaštite)</w:t>
            </w:r>
          </w:p>
        </w:tc>
        <w:tc>
          <w:tcPr>
            <w:tcW w:w="5850" w:type="dxa"/>
            <w:shd w:val="clear" w:color="auto" w:fill="E6EED5"/>
          </w:tcPr>
          <w:p w:rsidR="004B071C" w:rsidRPr="004E680E" w:rsidRDefault="004B071C" w:rsidP="004E680E">
            <w:pPr>
              <w:rPr>
                <w:rFonts w:ascii="Constantia" w:hAnsi="Constantia"/>
                <w:bCs/>
                <w:iCs/>
                <w:color w:val="000000"/>
                <w:spacing w:val="8"/>
                <w:szCs w:val="22"/>
                <w:lang w:val="sr-Latn-CS"/>
              </w:rPr>
            </w:pPr>
            <w:r w:rsidRPr="004E680E">
              <w:rPr>
                <w:rFonts w:ascii="Constantia" w:hAnsi="Constantia"/>
                <w:bCs/>
                <w:iCs/>
                <w:color w:val="000000"/>
                <w:spacing w:val="8"/>
                <w:szCs w:val="22"/>
                <w:lang w:val="sr-Latn-CS"/>
              </w:rPr>
              <w:t>/</w:t>
            </w:r>
          </w:p>
        </w:tc>
      </w:tr>
      <w:tr w:rsidR="004B071C" w:rsidRPr="004E680E" w:rsidTr="0060408E">
        <w:tc>
          <w:tcPr>
            <w:tcW w:w="1424" w:type="dxa"/>
            <w:shd w:val="clear" w:color="auto" w:fill="CDDDAC"/>
          </w:tcPr>
          <w:p w:rsidR="004B071C" w:rsidRPr="004E680E" w:rsidRDefault="004B071C" w:rsidP="004E680E">
            <w:pPr>
              <w:rPr>
                <w:rFonts w:ascii="Constantia" w:hAnsi="Constantia"/>
                <w:b/>
                <w:bCs/>
                <w:iCs/>
                <w:color w:val="000000"/>
                <w:spacing w:val="8"/>
                <w:szCs w:val="22"/>
                <w:lang w:val="sr-Latn-CS"/>
              </w:rPr>
            </w:pPr>
          </w:p>
        </w:tc>
        <w:tc>
          <w:tcPr>
            <w:tcW w:w="1816" w:type="dxa"/>
            <w:shd w:val="clear" w:color="auto" w:fill="CDDDAC"/>
          </w:tcPr>
          <w:p w:rsidR="004B071C" w:rsidRPr="004E680E" w:rsidRDefault="004B071C" w:rsidP="001159ED">
            <w:pPr>
              <w:jc w:val="left"/>
              <w:rPr>
                <w:rFonts w:ascii="Constantia" w:hAnsi="Constantia"/>
                <w:szCs w:val="22"/>
              </w:rPr>
            </w:pPr>
            <w:r w:rsidRPr="004E680E">
              <w:rPr>
                <w:rFonts w:ascii="Constantia" w:hAnsi="Constantia"/>
                <w:szCs w:val="22"/>
              </w:rPr>
              <w:t>Ostale vrste</w:t>
            </w:r>
          </w:p>
        </w:tc>
        <w:tc>
          <w:tcPr>
            <w:tcW w:w="5850" w:type="dxa"/>
            <w:shd w:val="clear" w:color="auto" w:fill="CDDDAC"/>
          </w:tcPr>
          <w:p w:rsidR="004B071C" w:rsidRPr="004E680E" w:rsidRDefault="004B071C" w:rsidP="000A5E78">
            <w:pPr>
              <w:spacing w:after="0"/>
              <w:rPr>
                <w:rFonts w:ascii="Constantia" w:hAnsi="Constantia"/>
                <w:bCs/>
                <w:i/>
                <w:iCs/>
                <w:color w:val="000000"/>
                <w:spacing w:val="8"/>
                <w:szCs w:val="22"/>
                <w:lang w:val="sr-Latn-CS"/>
              </w:rPr>
            </w:pPr>
            <w:r w:rsidRPr="004E680E">
              <w:rPr>
                <w:rFonts w:ascii="Constantia" w:hAnsi="Constantia"/>
                <w:bCs/>
                <w:i/>
                <w:iCs/>
                <w:color w:val="000000"/>
                <w:spacing w:val="8"/>
                <w:szCs w:val="22"/>
                <w:lang w:val="sr-Latn-CS"/>
              </w:rPr>
              <w:t>Petteria ramentacea (Sieber) C. Presl</w:t>
            </w:r>
          </w:p>
          <w:p w:rsidR="004B071C" w:rsidRPr="004E680E" w:rsidRDefault="004B071C" w:rsidP="00117FB6">
            <w:pPr>
              <w:spacing w:after="0"/>
              <w:rPr>
                <w:rFonts w:ascii="Constantia" w:hAnsi="Constantia"/>
                <w:bCs/>
                <w:iCs/>
                <w:color w:val="000000"/>
                <w:spacing w:val="8"/>
                <w:szCs w:val="22"/>
                <w:lang w:val="sr-Latn-CS"/>
              </w:rPr>
            </w:pPr>
            <w:r w:rsidRPr="004E680E">
              <w:rPr>
                <w:rFonts w:ascii="Constantia" w:hAnsi="Constantia"/>
                <w:bCs/>
                <w:i/>
                <w:iCs/>
                <w:color w:val="000000"/>
                <w:spacing w:val="8"/>
                <w:szCs w:val="22"/>
                <w:lang w:val="sr-Latn-CS"/>
              </w:rPr>
              <w:t>Trifolium dalmaticum Vis</w:t>
            </w:r>
            <w:r w:rsidRPr="004E680E">
              <w:rPr>
                <w:rFonts w:ascii="Constantia" w:hAnsi="Constantia"/>
                <w:bCs/>
                <w:iCs/>
                <w:color w:val="000000"/>
                <w:spacing w:val="8"/>
                <w:szCs w:val="22"/>
                <w:lang w:val="sr-Latn-CS"/>
              </w:rPr>
              <w:t>.</w:t>
            </w:r>
          </w:p>
        </w:tc>
      </w:tr>
      <w:tr w:rsidR="004B071C" w:rsidRPr="004E680E" w:rsidTr="0060408E">
        <w:tc>
          <w:tcPr>
            <w:tcW w:w="1424" w:type="dxa"/>
            <w:shd w:val="clear" w:color="auto" w:fill="E6EED5"/>
          </w:tcPr>
          <w:p w:rsidR="004B071C" w:rsidRPr="004E680E" w:rsidRDefault="004B071C" w:rsidP="004E680E">
            <w:pPr>
              <w:rPr>
                <w:rFonts w:ascii="Constantia" w:hAnsi="Constantia"/>
                <w:b/>
                <w:bCs/>
                <w:iCs/>
                <w:color w:val="000000"/>
                <w:spacing w:val="8"/>
                <w:szCs w:val="22"/>
                <w:lang w:val="sr-Latn-CS"/>
              </w:rPr>
            </w:pPr>
          </w:p>
        </w:tc>
        <w:tc>
          <w:tcPr>
            <w:tcW w:w="1816" w:type="dxa"/>
            <w:shd w:val="clear" w:color="auto" w:fill="E6EED5"/>
          </w:tcPr>
          <w:p w:rsidR="004B071C" w:rsidRPr="004E680E" w:rsidRDefault="004B071C" w:rsidP="00117FB6">
            <w:pPr>
              <w:spacing w:after="0"/>
              <w:jc w:val="left"/>
              <w:rPr>
                <w:rFonts w:ascii="Constantia" w:hAnsi="Constantia"/>
                <w:szCs w:val="22"/>
              </w:rPr>
            </w:pPr>
            <w:r w:rsidRPr="004E680E">
              <w:rPr>
                <w:rFonts w:ascii="Constantia" w:hAnsi="Constantia"/>
                <w:szCs w:val="22"/>
              </w:rPr>
              <w:t>Unešene naturalizovane vrste</w:t>
            </w:r>
          </w:p>
        </w:tc>
        <w:tc>
          <w:tcPr>
            <w:tcW w:w="5850" w:type="dxa"/>
            <w:shd w:val="clear" w:color="auto" w:fill="E6EED5"/>
          </w:tcPr>
          <w:p w:rsidR="004B071C" w:rsidRPr="004E680E" w:rsidRDefault="004B071C" w:rsidP="000A5E78">
            <w:pPr>
              <w:spacing w:after="0"/>
              <w:rPr>
                <w:rFonts w:ascii="Constantia" w:hAnsi="Constantia"/>
                <w:bCs/>
                <w:i/>
                <w:iCs/>
                <w:color w:val="000000"/>
                <w:spacing w:val="8"/>
                <w:szCs w:val="22"/>
                <w:lang w:val="sr-Latn-CS"/>
              </w:rPr>
            </w:pPr>
            <w:r w:rsidRPr="004E680E">
              <w:rPr>
                <w:rFonts w:ascii="Constantia" w:hAnsi="Constantia"/>
                <w:bCs/>
                <w:i/>
                <w:iCs/>
                <w:color w:val="000000"/>
                <w:spacing w:val="8"/>
                <w:szCs w:val="22"/>
                <w:lang w:val="sr-Latn-CS"/>
              </w:rPr>
              <w:t>Robinia pseudacacia L.</w:t>
            </w:r>
          </w:p>
          <w:p w:rsidR="004B071C" w:rsidRPr="004E680E" w:rsidRDefault="004B071C" w:rsidP="000A5E78">
            <w:pPr>
              <w:spacing w:after="0"/>
              <w:rPr>
                <w:rFonts w:ascii="Constantia" w:hAnsi="Constantia"/>
                <w:bCs/>
                <w:i/>
                <w:iCs/>
                <w:color w:val="000000"/>
                <w:spacing w:val="8"/>
                <w:szCs w:val="22"/>
                <w:lang w:val="sr-Latn-CS"/>
              </w:rPr>
            </w:pPr>
            <w:r w:rsidRPr="004E680E">
              <w:rPr>
                <w:rFonts w:ascii="Constantia" w:hAnsi="Constantia"/>
                <w:bCs/>
                <w:i/>
                <w:iCs/>
                <w:color w:val="000000"/>
                <w:spacing w:val="8"/>
                <w:szCs w:val="22"/>
                <w:lang w:val="sr-Latn-CS"/>
              </w:rPr>
              <w:t>Ficus carica L.</w:t>
            </w:r>
          </w:p>
          <w:p w:rsidR="004B071C" w:rsidRPr="004E680E" w:rsidRDefault="004B071C" w:rsidP="00117FB6">
            <w:pPr>
              <w:spacing w:after="0"/>
              <w:rPr>
                <w:rFonts w:ascii="Constantia" w:hAnsi="Constantia"/>
                <w:bCs/>
                <w:iCs/>
                <w:color w:val="000000"/>
                <w:spacing w:val="8"/>
                <w:szCs w:val="22"/>
                <w:lang w:val="sr-Latn-CS"/>
              </w:rPr>
            </w:pPr>
            <w:r w:rsidRPr="004E680E">
              <w:rPr>
                <w:rFonts w:ascii="Constantia" w:hAnsi="Constantia"/>
                <w:bCs/>
                <w:i/>
                <w:iCs/>
                <w:color w:val="000000"/>
                <w:spacing w:val="8"/>
                <w:szCs w:val="22"/>
                <w:lang w:val="sr-Latn-CS"/>
              </w:rPr>
              <w:t>Morus alba L.</w:t>
            </w:r>
          </w:p>
        </w:tc>
      </w:tr>
      <w:tr w:rsidR="004B071C" w:rsidRPr="004E680E" w:rsidTr="0060408E">
        <w:tc>
          <w:tcPr>
            <w:tcW w:w="1424" w:type="dxa"/>
            <w:shd w:val="clear" w:color="auto" w:fill="CDDDAC"/>
          </w:tcPr>
          <w:p w:rsidR="004B071C" w:rsidRPr="004E680E" w:rsidRDefault="004B071C" w:rsidP="004E680E">
            <w:pPr>
              <w:rPr>
                <w:rFonts w:ascii="Constantia" w:hAnsi="Constantia"/>
                <w:b/>
                <w:bCs/>
                <w:iCs/>
                <w:color w:val="000000"/>
                <w:spacing w:val="8"/>
                <w:szCs w:val="22"/>
                <w:lang w:val="sr-Latn-CS"/>
              </w:rPr>
            </w:pPr>
          </w:p>
        </w:tc>
        <w:tc>
          <w:tcPr>
            <w:tcW w:w="1816" w:type="dxa"/>
            <w:shd w:val="clear" w:color="auto" w:fill="CDDDAC"/>
          </w:tcPr>
          <w:p w:rsidR="004B071C" w:rsidRPr="004E680E" w:rsidRDefault="004B071C" w:rsidP="001159ED">
            <w:pPr>
              <w:jc w:val="left"/>
              <w:rPr>
                <w:rFonts w:ascii="Constantia" w:hAnsi="Constantia"/>
                <w:szCs w:val="22"/>
              </w:rPr>
            </w:pPr>
            <w:r w:rsidRPr="004E680E">
              <w:rPr>
                <w:rFonts w:ascii="Constantia" w:hAnsi="Constantia"/>
                <w:szCs w:val="22"/>
              </w:rPr>
              <w:t>Utvrđeno stanje</w:t>
            </w:r>
          </w:p>
        </w:tc>
        <w:tc>
          <w:tcPr>
            <w:tcW w:w="5850" w:type="dxa"/>
            <w:shd w:val="clear" w:color="auto" w:fill="CDDDAC"/>
          </w:tcPr>
          <w:p w:rsidR="004B071C" w:rsidRPr="004E680E" w:rsidRDefault="004B071C" w:rsidP="004E680E">
            <w:pPr>
              <w:rPr>
                <w:rFonts w:ascii="Constantia" w:hAnsi="Constantia"/>
                <w:bCs/>
                <w:iCs/>
                <w:color w:val="000000"/>
                <w:spacing w:val="8"/>
                <w:szCs w:val="22"/>
                <w:lang w:val="sr-Latn-CS"/>
              </w:rPr>
            </w:pPr>
            <w:r w:rsidRPr="004E680E">
              <w:rPr>
                <w:rFonts w:ascii="Constantia" w:hAnsi="Constantia"/>
                <w:bCs/>
                <w:iCs/>
                <w:color w:val="000000"/>
                <w:spacing w:val="8"/>
                <w:szCs w:val="22"/>
                <w:lang w:val="sr-Latn-CS"/>
              </w:rPr>
              <w:t>Lokalitet Milunovići odlikuje prisustvo termofilnih staništa sa relativno slabo razvijenim zemlji</w:t>
            </w:r>
            <w:r w:rsidR="000A5E78" w:rsidRPr="004E680E">
              <w:rPr>
                <w:rFonts w:ascii="Constantia" w:hAnsi="Constantia"/>
                <w:bCs/>
                <w:iCs/>
                <w:color w:val="000000"/>
                <w:spacing w:val="8"/>
                <w:szCs w:val="22"/>
                <w:lang w:val="sr-Latn-CS"/>
              </w:rPr>
              <w:t>šnim slojem koji pripada tipu c</w:t>
            </w:r>
            <w:r w:rsidRPr="004E680E">
              <w:rPr>
                <w:rFonts w:ascii="Constantia" w:hAnsi="Constantia"/>
                <w:bCs/>
                <w:iCs/>
                <w:color w:val="000000"/>
                <w:spacing w:val="8"/>
                <w:szCs w:val="22"/>
                <w:lang w:val="sr-Latn-CS"/>
              </w:rPr>
              <w:t>rvenica. Na ovom lokalitetu</w:t>
            </w:r>
            <w:r w:rsidR="000A5E78" w:rsidRPr="004E680E">
              <w:rPr>
                <w:rFonts w:ascii="Constantia" w:hAnsi="Constantia"/>
                <w:bCs/>
                <w:iCs/>
                <w:color w:val="000000"/>
                <w:spacing w:val="8"/>
                <w:szCs w:val="22"/>
                <w:lang w:val="sr-Latn-CS"/>
              </w:rPr>
              <w:t>,</w:t>
            </w:r>
            <w:r w:rsidRPr="004E680E">
              <w:rPr>
                <w:rFonts w:ascii="Constantia" w:hAnsi="Constantia"/>
                <w:bCs/>
                <w:iCs/>
                <w:color w:val="000000"/>
                <w:spacing w:val="8"/>
                <w:szCs w:val="22"/>
                <w:lang w:val="sr-Latn-CS"/>
              </w:rPr>
              <w:t xml:space="preserve"> prisutna su i pješčana staništa kao i staništa karbonatnih stijena na kojima se javljaju florističko-vegetacijski elementi katakteristični za mediteransku vegetaciju pukotina karbonatnih stijena. Dominantne vrste drveća na lokalitetu</w:t>
            </w:r>
            <w:r w:rsidR="00DA7E10" w:rsidRPr="004E680E">
              <w:rPr>
                <w:rFonts w:ascii="Constantia" w:hAnsi="Constantia"/>
                <w:bCs/>
                <w:iCs/>
                <w:color w:val="000000"/>
                <w:spacing w:val="8"/>
                <w:szCs w:val="22"/>
                <w:lang w:val="sr-Latn-CS"/>
              </w:rPr>
              <w:t xml:space="preserve"> Milunovići u kanjonu Morače su </w:t>
            </w:r>
            <w:r w:rsidRPr="004E680E">
              <w:rPr>
                <w:rFonts w:ascii="Constantia" w:hAnsi="Constantia"/>
                <w:bCs/>
                <w:i/>
                <w:iCs/>
                <w:color w:val="000000"/>
                <w:spacing w:val="8"/>
                <w:szCs w:val="22"/>
                <w:lang w:val="sr-Latn-CS"/>
              </w:rPr>
              <w:t>Juniperus oxycedrus L., Ephedra foeminea Forsskål, Carpinus orientalis Miller, Ostrya carpinifolia Scop., Quercus pubescens Willd., Celtis australis L., Morus alba L., Ficus carica L., Osyris alba L., Rubus ulmifolius Schott, Rosa canina L., Prunus spinosa L., Petteria ramentacea (Sieber) C. Presl, Robinia pseudacacia L., Paliurus spina christi Miller, Punica granatum L., Cornus mas L., Hedera helix L., Fraxinus ornus L., Phillyrea latifolia L., Genista sericea Wulfen.</w:t>
            </w:r>
          </w:p>
          <w:p w:rsidR="004B071C" w:rsidRPr="004E680E" w:rsidRDefault="004B071C" w:rsidP="00117FB6">
            <w:pPr>
              <w:spacing w:after="0"/>
              <w:rPr>
                <w:rFonts w:ascii="Constantia" w:hAnsi="Constantia"/>
                <w:bCs/>
                <w:iCs/>
                <w:color w:val="000000"/>
                <w:spacing w:val="8"/>
                <w:szCs w:val="22"/>
                <w:lang w:val="sr-Latn-CS"/>
              </w:rPr>
            </w:pPr>
            <w:r w:rsidRPr="004E680E">
              <w:rPr>
                <w:rFonts w:ascii="Constantia" w:hAnsi="Constantia"/>
                <w:bCs/>
                <w:iCs/>
                <w:color w:val="000000"/>
                <w:spacing w:val="8"/>
                <w:szCs w:val="22"/>
                <w:lang w:val="sr-Latn-CS"/>
              </w:rPr>
              <w:lastRenderedPageBreak/>
              <w:t>Pored ovih vrsta</w:t>
            </w:r>
            <w:r w:rsidR="00D93EF0" w:rsidRPr="004E680E">
              <w:rPr>
                <w:rFonts w:ascii="Constantia" w:hAnsi="Constantia"/>
                <w:bCs/>
                <w:iCs/>
                <w:color w:val="000000"/>
                <w:spacing w:val="8"/>
                <w:szCs w:val="22"/>
                <w:lang w:val="sr-Latn-CS"/>
              </w:rPr>
              <w:t>,</w:t>
            </w:r>
            <w:r w:rsidRPr="004E680E">
              <w:rPr>
                <w:rFonts w:ascii="Constantia" w:hAnsi="Constantia"/>
                <w:bCs/>
                <w:iCs/>
                <w:color w:val="000000"/>
                <w:spacing w:val="8"/>
                <w:szCs w:val="22"/>
                <w:lang w:val="sr-Latn-CS"/>
              </w:rPr>
              <w:t xml:space="preserve"> od zeljastih su zastupljene: </w:t>
            </w:r>
            <w:r w:rsidRPr="004E680E">
              <w:rPr>
                <w:rFonts w:ascii="Constantia" w:hAnsi="Constantia"/>
                <w:bCs/>
                <w:i/>
                <w:iCs/>
                <w:color w:val="000000"/>
                <w:spacing w:val="8"/>
                <w:szCs w:val="22"/>
                <w:lang w:val="sr-Latn-CS"/>
              </w:rPr>
              <w:t>Silene vulgaris (Moench.) Garcke, Dianthus sylvestris Wulfen subsp. sylvestris, Petrorhagia saxifraga (L.) Link, Nigella arvensis L., Nigella damascena L., Clematis vitalba L., Aethionema saxatile (L.) R. Br., Diplotaxis tenuifolia (L.) DC., Sinapis arvensis L., Cardamine maritima DC., Arabis turrita L., Alyssoides utriculata (L.) Med., Agrimonia eupatoria L., Echium vulgare L., Asparagus acutifolius L., Ruscus aculeatus L., Tamus communis L., Thymus striatus Vahl., Salvia officinalis L. , Solanum nigrum L., Galium molugo L., Plantago lanceolata L., Agrostis castellana Boiss. &amp; Reuter,</w:t>
            </w:r>
            <w:r w:rsidRPr="004E680E">
              <w:rPr>
                <w:rFonts w:ascii="Constantia" w:hAnsi="Constantia"/>
                <w:bCs/>
                <w:iCs/>
                <w:color w:val="000000"/>
                <w:spacing w:val="8"/>
                <w:szCs w:val="22"/>
                <w:lang w:val="sr-Latn-CS"/>
              </w:rPr>
              <w:t xml:space="preserve"> </w:t>
            </w:r>
            <w:r w:rsidRPr="004E680E">
              <w:rPr>
                <w:rFonts w:ascii="Constantia" w:hAnsi="Constantia"/>
                <w:bCs/>
                <w:i/>
                <w:iCs/>
                <w:color w:val="000000"/>
                <w:spacing w:val="8"/>
                <w:szCs w:val="22"/>
                <w:lang w:val="sr-Latn-CS"/>
              </w:rPr>
              <w:t>Vulpia ciliata Dumort., Desmazeria rigida (L.) Tutin, Poa annua L., Dactylis glomerata L., Cynosurus echinatus L., Melica transsilvanica Schur, Hordeum murinum L. subsp. leporinum (Link) Arcangeli, Dichanthium ischaemum (L.) Roberty, Arum italicum Miller</w:t>
            </w:r>
            <w:r w:rsidRPr="004E680E">
              <w:rPr>
                <w:rFonts w:ascii="Constantia" w:hAnsi="Constantia"/>
                <w:bCs/>
                <w:iCs/>
                <w:color w:val="000000"/>
                <w:spacing w:val="8"/>
                <w:szCs w:val="22"/>
                <w:lang w:val="sr-Latn-CS"/>
              </w:rPr>
              <w:t xml:space="preserve"> i dr.</w:t>
            </w:r>
          </w:p>
        </w:tc>
      </w:tr>
    </w:tbl>
    <w:p w:rsidR="004B071C" w:rsidRPr="00D93EF0" w:rsidRDefault="00D93EF0" w:rsidP="004B071C">
      <w:pPr>
        <w:pStyle w:val="Tabele"/>
        <w:spacing w:before="60" w:after="240"/>
        <w:ind w:left="714" w:hanging="357"/>
        <w:rPr>
          <w:rFonts w:ascii="Constantia" w:hAnsi="Constantia"/>
          <w:sz w:val="22"/>
          <w:szCs w:val="22"/>
        </w:rPr>
      </w:pPr>
      <w:r>
        <w:rPr>
          <w:rFonts w:ascii="Constantia" w:hAnsi="Constantia"/>
          <w:sz w:val="22"/>
          <w:szCs w:val="22"/>
        </w:rPr>
        <w:lastRenderedPageBreak/>
        <w:t xml:space="preserve"> </w:t>
      </w:r>
      <w:r w:rsidR="004B071C" w:rsidRPr="00D93EF0">
        <w:rPr>
          <w:rFonts w:ascii="Constantia" w:hAnsi="Constantia"/>
          <w:sz w:val="22"/>
          <w:szCs w:val="22"/>
        </w:rPr>
        <w:t>Biljne vrste</w:t>
      </w:r>
    </w:p>
    <w:p w:rsidR="004B071C" w:rsidRDefault="004B071C" w:rsidP="004B071C">
      <w:pPr>
        <w:spacing w:after="0" w:line="280" w:lineRule="exact"/>
        <w:rPr>
          <w:rFonts w:cs="Arial"/>
          <w:spacing w:val="8"/>
          <w:szCs w:val="22"/>
          <w:lang w:val="sr-Latn-CS"/>
        </w:rPr>
      </w:pPr>
    </w:p>
    <w:p w:rsidR="004B071C" w:rsidRPr="0072753F" w:rsidRDefault="004B071C" w:rsidP="0072753F">
      <w:pPr>
        <w:pStyle w:val="Heading4"/>
        <w:ind w:left="990" w:hanging="990"/>
        <w:rPr>
          <w:sz w:val="22"/>
          <w:szCs w:val="22"/>
        </w:rPr>
      </w:pPr>
      <w:r w:rsidRPr="0072753F">
        <w:rPr>
          <w:sz w:val="22"/>
          <w:szCs w:val="22"/>
        </w:rPr>
        <w:t>Dend</w:t>
      </w:r>
      <w:r w:rsidR="002E7816">
        <w:rPr>
          <w:sz w:val="22"/>
          <w:szCs w:val="22"/>
        </w:rPr>
        <w:t>r</w:t>
      </w:r>
      <w:r w:rsidRPr="0072753F">
        <w:rPr>
          <w:sz w:val="22"/>
          <w:szCs w:val="22"/>
        </w:rPr>
        <w:t xml:space="preserve">oflora </w:t>
      </w:r>
    </w:p>
    <w:p w:rsidR="004B071C" w:rsidRDefault="004B071C" w:rsidP="0060408E">
      <w:pPr>
        <w:spacing w:after="0"/>
      </w:pPr>
    </w:p>
    <w:tbl>
      <w:tblPr>
        <w:tblW w:w="9090" w:type="dxa"/>
        <w:tblInd w:w="108"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firstRow="1" w:lastRow="0" w:firstColumn="1" w:lastColumn="0" w:noHBand="0" w:noVBand="1"/>
      </w:tblPr>
      <w:tblGrid>
        <w:gridCol w:w="2802"/>
        <w:gridCol w:w="1849"/>
        <w:gridCol w:w="2189"/>
        <w:gridCol w:w="2250"/>
      </w:tblGrid>
      <w:tr w:rsidR="004B071C" w:rsidRPr="004E680E" w:rsidTr="00172746">
        <w:tc>
          <w:tcPr>
            <w:tcW w:w="2802" w:type="dxa"/>
            <w:shd w:val="clear" w:color="auto" w:fill="E6EED5"/>
          </w:tcPr>
          <w:p w:rsidR="004B071C" w:rsidRPr="004E680E" w:rsidRDefault="004B071C" w:rsidP="003D4721">
            <w:pPr>
              <w:jc w:val="center"/>
              <w:rPr>
                <w:rFonts w:ascii="Constantia" w:hAnsi="Constantia"/>
                <w:b/>
                <w:bCs/>
                <w:szCs w:val="22"/>
              </w:rPr>
            </w:pPr>
            <w:r w:rsidRPr="004E680E">
              <w:rPr>
                <w:rFonts w:ascii="Constantia" w:hAnsi="Constantia"/>
                <w:b/>
                <w:bCs/>
                <w:szCs w:val="22"/>
              </w:rPr>
              <w:t>Lokalitet</w:t>
            </w:r>
          </w:p>
        </w:tc>
        <w:tc>
          <w:tcPr>
            <w:tcW w:w="1849" w:type="dxa"/>
            <w:shd w:val="clear" w:color="auto" w:fill="E6EED5"/>
          </w:tcPr>
          <w:p w:rsidR="004B071C" w:rsidRPr="004E680E" w:rsidRDefault="004B071C" w:rsidP="003D4721">
            <w:pPr>
              <w:jc w:val="center"/>
              <w:rPr>
                <w:rFonts w:ascii="Constantia" w:hAnsi="Constantia"/>
                <w:b/>
                <w:bCs/>
                <w:szCs w:val="22"/>
              </w:rPr>
            </w:pPr>
            <w:r w:rsidRPr="004E680E">
              <w:rPr>
                <w:rFonts w:ascii="Constantia" w:hAnsi="Constantia"/>
                <w:b/>
                <w:bCs/>
                <w:szCs w:val="22"/>
              </w:rPr>
              <w:t>Koordinate</w:t>
            </w:r>
          </w:p>
        </w:tc>
        <w:tc>
          <w:tcPr>
            <w:tcW w:w="2189" w:type="dxa"/>
            <w:shd w:val="clear" w:color="auto" w:fill="E6EED5"/>
          </w:tcPr>
          <w:p w:rsidR="004B071C" w:rsidRPr="004E680E" w:rsidRDefault="004B071C" w:rsidP="003D4721">
            <w:pPr>
              <w:spacing w:after="0" w:line="280" w:lineRule="exact"/>
              <w:jc w:val="center"/>
              <w:outlineLvl w:val="3"/>
              <w:rPr>
                <w:rFonts w:ascii="Constantia" w:hAnsi="Constantia"/>
                <w:b/>
                <w:bCs/>
                <w:szCs w:val="22"/>
              </w:rPr>
            </w:pPr>
            <w:r w:rsidRPr="004E680E">
              <w:rPr>
                <w:rFonts w:ascii="Constantia" w:hAnsi="Constantia"/>
                <w:b/>
                <w:bCs/>
                <w:szCs w:val="22"/>
              </w:rPr>
              <w:t>Datum terenskih istraživanja</w:t>
            </w:r>
          </w:p>
        </w:tc>
        <w:tc>
          <w:tcPr>
            <w:tcW w:w="2250" w:type="dxa"/>
            <w:shd w:val="clear" w:color="auto" w:fill="E6EED5"/>
          </w:tcPr>
          <w:p w:rsidR="004B071C" w:rsidRPr="004E680E" w:rsidRDefault="004B071C" w:rsidP="003D4721">
            <w:pPr>
              <w:spacing w:after="0" w:line="280" w:lineRule="exact"/>
              <w:jc w:val="center"/>
              <w:outlineLvl w:val="3"/>
              <w:rPr>
                <w:rFonts w:ascii="Constantia" w:hAnsi="Constantia"/>
                <w:b/>
                <w:bCs/>
                <w:szCs w:val="22"/>
              </w:rPr>
            </w:pPr>
            <w:r w:rsidRPr="004E680E">
              <w:rPr>
                <w:rFonts w:ascii="Constantia" w:hAnsi="Constantia"/>
                <w:b/>
                <w:bCs/>
                <w:szCs w:val="22"/>
              </w:rPr>
              <w:t>Nadmorska visina</w:t>
            </w:r>
          </w:p>
        </w:tc>
      </w:tr>
      <w:tr w:rsidR="004B071C" w:rsidRPr="004E680E" w:rsidTr="00172746">
        <w:tc>
          <w:tcPr>
            <w:tcW w:w="2802" w:type="dxa"/>
            <w:shd w:val="clear" w:color="auto" w:fill="CDDDAC"/>
          </w:tcPr>
          <w:p w:rsidR="004B071C" w:rsidRPr="004E680E" w:rsidRDefault="004B071C" w:rsidP="004E680E">
            <w:pPr>
              <w:rPr>
                <w:rFonts w:ascii="Constantia" w:hAnsi="Constantia"/>
                <w:b/>
                <w:bCs/>
                <w:szCs w:val="22"/>
              </w:rPr>
            </w:pPr>
            <w:r w:rsidRPr="004E680E">
              <w:rPr>
                <w:rFonts w:ascii="Constantia" w:hAnsi="Constantia"/>
                <w:b/>
                <w:bCs/>
                <w:szCs w:val="22"/>
              </w:rPr>
              <w:t>Đurđevina</w:t>
            </w:r>
          </w:p>
        </w:tc>
        <w:tc>
          <w:tcPr>
            <w:tcW w:w="1849" w:type="dxa"/>
            <w:shd w:val="clear" w:color="auto" w:fill="CDDDAC"/>
          </w:tcPr>
          <w:p w:rsidR="004B071C" w:rsidRPr="004E680E" w:rsidRDefault="00D43417" w:rsidP="004E680E">
            <w:pPr>
              <w:rPr>
                <w:rFonts w:ascii="Constantia" w:eastAsia="Calibri" w:hAnsi="Constantia"/>
                <w:szCs w:val="22"/>
                <w:lang w:val="sr-Latn-CS"/>
              </w:rPr>
            </w:pPr>
            <w:r>
              <w:rPr>
                <w:rFonts w:ascii="Constantia" w:eastAsia="Calibri" w:hAnsi="Constantia"/>
                <w:szCs w:val="22"/>
                <w:lang w:val="sr-Latn-CS"/>
              </w:rPr>
              <w:t>N 42°45’</w:t>
            </w:r>
            <w:r w:rsidR="004B071C" w:rsidRPr="004E680E">
              <w:rPr>
                <w:rFonts w:ascii="Constantia" w:eastAsia="Calibri" w:hAnsi="Constantia"/>
                <w:szCs w:val="22"/>
                <w:lang w:val="sr-Latn-CS"/>
              </w:rPr>
              <w:t>887’’, EO 19°23’456’’</w:t>
            </w:r>
          </w:p>
          <w:p w:rsidR="00D43417" w:rsidRDefault="00D43417" w:rsidP="004E680E">
            <w:pPr>
              <w:rPr>
                <w:rFonts w:ascii="Constantia" w:eastAsia="Calibri" w:hAnsi="Constantia"/>
                <w:szCs w:val="22"/>
                <w:lang w:val="sr-Latn-CS"/>
              </w:rPr>
            </w:pPr>
            <w:r>
              <w:rPr>
                <w:rFonts w:ascii="Constantia" w:eastAsia="Calibri" w:hAnsi="Constantia"/>
                <w:szCs w:val="22"/>
                <w:lang w:val="sr-Latn-CS"/>
              </w:rPr>
              <w:t>N 42°45’</w:t>
            </w:r>
            <w:r w:rsidR="004B071C" w:rsidRPr="004E680E">
              <w:rPr>
                <w:rFonts w:ascii="Constantia" w:eastAsia="Calibri" w:hAnsi="Constantia"/>
                <w:szCs w:val="22"/>
                <w:lang w:val="sr-Latn-CS"/>
              </w:rPr>
              <w:t xml:space="preserve">657’’, </w:t>
            </w:r>
          </w:p>
          <w:p w:rsidR="004B071C" w:rsidRPr="004E680E" w:rsidRDefault="004B071C" w:rsidP="004E680E">
            <w:pPr>
              <w:rPr>
                <w:rFonts w:ascii="Constantia" w:hAnsi="Constantia"/>
                <w:b/>
                <w:bCs/>
                <w:szCs w:val="22"/>
              </w:rPr>
            </w:pPr>
            <w:r w:rsidRPr="004E680E">
              <w:rPr>
                <w:rFonts w:ascii="Constantia" w:eastAsia="Calibri" w:hAnsi="Constantia"/>
                <w:szCs w:val="22"/>
                <w:lang w:val="sr-Latn-CS"/>
              </w:rPr>
              <w:t>EO 19°23’468’’</w:t>
            </w:r>
          </w:p>
        </w:tc>
        <w:tc>
          <w:tcPr>
            <w:tcW w:w="2189" w:type="dxa"/>
            <w:shd w:val="clear" w:color="auto" w:fill="CDDDAC"/>
          </w:tcPr>
          <w:p w:rsidR="004B071C" w:rsidRPr="004E680E" w:rsidRDefault="003D4721" w:rsidP="003D4721">
            <w:pPr>
              <w:jc w:val="center"/>
              <w:rPr>
                <w:rFonts w:ascii="Constantia" w:hAnsi="Constantia"/>
                <w:szCs w:val="22"/>
              </w:rPr>
            </w:pPr>
            <w:r w:rsidRPr="004E680E">
              <w:rPr>
                <w:rFonts w:ascii="Constantia" w:hAnsi="Constantia"/>
                <w:szCs w:val="22"/>
              </w:rPr>
              <w:t>14. 05. 2013,</w:t>
            </w:r>
          </w:p>
          <w:p w:rsidR="004B071C" w:rsidRPr="004E680E" w:rsidRDefault="004B071C" w:rsidP="003D4721">
            <w:pPr>
              <w:jc w:val="center"/>
              <w:rPr>
                <w:rFonts w:ascii="Constantia" w:hAnsi="Constantia"/>
                <w:szCs w:val="22"/>
              </w:rPr>
            </w:pPr>
            <w:r w:rsidRPr="004E680E">
              <w:rPr>
                <w:rFonts w:ascii="Constantia" w:hAnsi="Constantia"/>
                <w:szCs w:val="22"/>
              </w:rPr>
              <w:t>24. 06. 2013.</w:t>
            </w:r>
          </w:p>
        </w:tc>
        <w:tc>
          <w:tcPr>
            <w:tcW w:w="2250" w:type="dxa"/>
            <w:shd w:val="clear" w:color="auto" w:fill="CDDDAC"/>
          </w:tcPr>
          <w:p w:rsidR="003D4721" w:rsidRPr="004E680E" w:rsidRDefault="004B071C" w:rsidP="003D4721">
            <w:pPr>
              <w:spacing w:after="0"/>
              <w:jc w:val="center"/>
              <w:rPr>
                <w:rFonts w:ascii="Constantia" w:eastAsia="Calibri" w:hAnsi="Constantia"/>
                <w:szCs w:val="22"/>
                <w:lang w:val="sr-Latn-CS"/>
              </w:rPr>
            </w:pPr>
            <w:r w:rsidRPr="004E680E">
              <w:rPr>
                <w:rFonts w:ascii="Constantia" w:eastAsia="Calibri" w:hAnsi="Constantia"/>
                <w:szCs w:val="22"/>
                <w:lang w:val="sr-Latn-CS"/>
              </w:rPr>
              <w:t>259 m</w:t>
            </w:r>
          </w:p>
          <w:p w:rsidR="004E680E" w:rsidRPr="004E680E" w:rsidRDefault="004B071C" w:rsidP="004E680E">
            <w:pPr>
              <w:spacing w:after="0"/>
              <w:jc w:val="center"/>
              <w:rPr>
                <w:rFonts w:ascii="Constantia" w:eastAsia="Calibri" w:hAnsi="Constantia"/>
                <w:szCs w:val="22"/>
                <w:lang w:val="sr-Latn-CS"/>
              </w:rPr>
            </w:pPr>
            <w:r w:rsidRPr="004E680E">
              <w:rPr>
                <w:rFonts w:ascii="Constantia" w:eastAsia="Calibri" w:hAnsi="Constantia"/>
                <w:szCs w:val="22"/>
                <w:lang w:val="sr-Latn-CS"/>
              </w:rPr>
              <w:t>(zona sastojine lijeske)</w:t>
            </w:r>
            <w:r w:rsidR="003D4721" w:rsidRPr="004E680E">
              <w:rPr>
                <w:rFonts w:ascii="Constantia" w:eastAsia="Calibri" w:hAnsi="Constantia"/>
                <w:szCs w:val="22"/>
                <w:lang w:val="sr-Latn-CS"/>
              </w:rPr>
              <w:t>,</w:t>
            </w:r>
          </w:p>
          <w:p w:rsidR="003D4721" w:rsidRPr="004E680E" w:rsidRDefault="004B071C" w:rsidP="003D4721">
            <w:pPr>
              <w:spacing w:after="0"/>
              <w:jc w:val="center"/>
              <w:rPr>
                <w:rFonts w:ascii="Constantia" w:eastAsia="Calibri" w:hAnsi="Constantia"/>
                <w:szCs w:val="22"/>
                <w:lang w:val="sr-Latn-CS"/>
              </w:rPr>
            </w:pPr>
            <w:r w:rsidRPr="004E680E">
              <w:rPr>
                <w:rFonts w:ascii="Constantia" w:eastAsia="Calibri" w:hAnsi="Constantia"/>
                <w:szCs w:val="22"/>
                <w:lang w:val="sr-Latn-CS"/>
              </w:rPr>
              <w:t>252 m</w:t>
            </w:r>
          </w:p>
          <w:p w:rsidR="004B071C" w:rsidRPr="004E680E" w:rsidRDefault="004B071C" w:rsidP="003D4721">
            <w:pPr>
              <w:spacing w:after="0"/>
              <w:jc w:val="center"/>
              <w:rPr>
                <w:rFonts w:ascii="Constantia" w:hAnsi="Constantia"/>
                <w:szCs w:val="22"/>
              </w:rPr>
            </w:pPr>
            <w:r w:rsidRPr="004E680E">
              <w:rPr>
                <w:rFonts w:ascii="Constantia" w:eastAsia="Calibri" w:hAnsi="Constantia"/>
                <w:szCs w:val="22"/>
                <w:lang w:val="sr-Latn-CS"/>
              </w:rPr>
              <w:t>(zona sastojine bijele vrbe i crne johe, neposredno uz tok rijeke Morače)</w:t>
            </w:r>
          </w:p>
        </w:tc>
      </w:tr>
      <w:tr w:rsidR="004B071C" w:rsidRPr="004E680E" w:rsidTr="00172746">
        <w:trPr>
          <w:trHeight w:val="515"/>
        </w:trPr>
        <w:tc>
          <w:tcPr>
            <w:tcW w:w="2802" w:type="dxa"/>
            <w:shd w:val="clear" w:color="auto" w:fill="E6EED5"/>
          </w:tcPr>
          <w:p w:rsidR="004B071C" w:rsidRPr="004E680E" w:rsidRDefault="004B071C" w:rsidP="004E680E">
            <w:pPr>
              <w:rPr>
                <w:rFonts w:ascii="Constantia" w:hAnsi="Constantia"/>
                <w:b/>
                <w:bCs/>
                <w:szCs w:val="22"/>
              </w:rPr>
            </w:pPr>
            <w:r w:rsidRPr="004E680E">
              <w:rPr>
                <w:rFonts w:ascii="Constantia" w:hAnsi="Constantia"/>
                <w:b/>
                <w:bCs/>
                <w:szCs w:val="22"/>
              </w:rPr>
              <w:t>Andrijevo</w:t>
            </w:r>
          </w:p>
        </w:tc>
        <w:tc>
          <w:tcPr>
            <w:tcW w:w="1849" w:type="dxa"/>
            <w:shd w:val="clear" w:color="auto" w:fill="E6EED5"/>
          </w:tcPr>
          <w:p w:rsidR="00D43417" w:rsidRDefault="00D43417" w:rsidP="003D4721">
            <w:pPr>
              <w:spacing w:after="0"/>
              <w:rPr>
                <w:rFonts w:ascii="Constantia" w:eastAsia="Calibri" w:hAnsi="Constantia"/>
                <w:szCs w:val="22"/>
                <w:lang w:val="sr-Latn-CS"/>
              </w:rPr>
            </w:pPr>
            <w:r>
              <w:rPr>
                <w:rFonts w:ascii="Constantia" w:eastAsia="Calibri" w:hAnsi="Constantia"/>
                <w:szCs w:val="22"/>
                <w:lang w:val="sr-Latn-CS"/>
              </w:rPr>
              <w:t>N 42°40</w:t>
            </w:r>
            <w:r w:rsidR="004B071C" w:rsidRPr="004E680E">
              <w:rPr>
                <w:rFonts w:ascii="Constantia" w:eastAsia="Calibri" w:hAnsi="Constantia"/>
                <w:szCs w:val="22"/>
                <w:lang w:val="sr-Latn-CS"/>
              </w:rPr>
              <w:t xml:space="preserve">’523’’, </w:t>
            </w:r>
          </w:p>
          <w:p w:rsidR="004B071C" w:rsidRPr="004E680E" w:rsidRDefault="004B071C" w:rsidP="003D4721">
            <w:pPr>
              <w:spacing w:after="0"/>
              <w:rPr>
                <w:rFonts w:ascii="Constantia" w:hAnsi="Constantia"/>
                <w:b/>
                <w:bCs/>
                <w:szCs w:val="22"/>
              </w:rPr>
            </w:pPr>
            <w:r w:rsidRPr="004E680E">
              <w:rPr>
                <w:rFonts w:ascii="Constantia" w:eastAsia="Calibri" w:hAnsi="Constantia"/>
                <w:szCs w:val="22"/>
                <w:lang w:val="sr-Latn-CS"/>
              </w:rPr>
              <w:t>EO 19°22’552’’</w:t>
            </w:r>
          </w:p>
        </w:tc>
        <w:tc>
          <w:tcPr>
            <w:tcW w:w="2189" w:type="dxa"/>
            <w:shd w:val="clear" w:color="auto" w:fill="E6EED5"/>
          </w:tcPr>
          <w:p w:rsidR="004B071C" w:rsidRPr="004E680E" w:rsidRDefault="004B071C" w:rsidP="003D4721">
            <w:pPr>
              <w:jc w:val="center"/>
              <w:rPr>
                <w:rFonts w:ascii="Constantia" w:hAnsi="Constantia"/>
                <w:szCs w:val="22"/>
              </w:rPr>
            </w:pPr>
            <w:r w:rsidRPr="004E680E">
              <w:rPr>
                <w:rFonts w:ascii="Constantia" w:hAnsi="Constantia"/>
                <w:szCs w:val="22"/>
              </w:rPr>
              <w:t>24. 06. 2013.</w:t>
            </w:r>
          </w:p>
        </w:tc>
        <w:tc>
          <w:tcPr>
            <w:tcW w:w="2250" w:type="dxa"/>
            <w:shd w:val="clear" w:color="auto" w:fill="E6EED5"/>
          </w:tcPr>
          <w:p w:rsidR="004B071C" w:rsidRPr="004E680E" w:rsidRDefault="004B071C" w:rsidP="003D4721">
            <w:pPr>
              <w:jc w:val="center"/>
              <w:rPr>
                <w:rFonts w:ascii="Constantia" w:hAnsi="Constantia"/>
                <w:szCs w:val="22"/>
              </w:rPr>
            </w:pPr>
            <w:r w:rsidRPr="004E680E">
              <w:rPr>
                <w:rFonts w:ascii="Constantia" w:eastAsia="Calibri" w:hAnsi="Constantia"/>
                <w:szCs w:val="22"/>
                <w:lang w:val="sr-Latn-CS"/>
              </w:rPr>
              <w:t>226 m</w:t>
            </w:r>
          </w:p>
        </w:tc>
      </w:tr>
      <w:tr w:rsidR="004B071C" w:rsidRPr="004E680E" w:rsidTr="00172746">
        <w:tc>
          <w:tcPr>
            <w:tcW w:w="2802" w:type="dxa"/>
            <w:shd w:val="clear" w:color="auto" w:fill="E6EED5"/>
          </w:tcPr>
          <w:p w:rsidR="004B071C" w:rsidRPr="004E680E" w:rsidRDefault="004B071C" w:rsidP="004E680E">
            <w:pPr>
              <w:rPr>
                <w:rFonts w:ascii="Constantia" w:hAnsi="Constantia"/>
                <w:b/>
                <w:bCs/>
                <w:szCs w:val="22"/>
              </w:rPr>
            </w:pPr>
            <w:r w:rsidRPr="004E680E">
              <w:rPr>
                <w:rFonts w:ascii="Constantia" w:hAnsi="Constantia"/>
                <w:b/>
                <w:bCs/>
                <w:szCs w:val="22"/>
              </w:rPr>
              <w:t>Milunovići</w:t>
            </w:r>
          </w:p>
        </w:tc>
        <w:tc>
          <w:tcPr>
            <w:tcW w:w="1849" w:type="dxa"/>
            <w:shd w:val="clear" w:color="auto" w:fill="E6EED5"/>
          </w:tcPr>
          <w:p w:rsidR="00D43417" w:rsidRDefault="00D43417" w:rsidP="004E680E">
            <w:pPr>
              <w:rPr>
                <w:rFonts w:ascii="Constantia" w:eastAsia="Calibri" w:hAnsi="Constantia"/>
                <w:szCs w:val="22"/>
                <w:lang w:val="sr-Latn-CS"/>
              </w:rPr>
            </w:pPr>
            <w:r>
              <w:rPr>
                <w:rFonts w:ascii="Constantia" w:eastAsia="Calibri" w:hAnsi="Constantia"/>
                <w:szCs w:val="22"/>
                <w:lang w:val="sr-Latn-CS"/>
              </w:rPr>
              <w:t>N 42°33’</w:t>
            </w:r>
            <w:r w:rsidR="004B071C" w:rsidRPr="004E680E">
              <w:rPr>
                <w:rFonts w:ascii="Constantia" w:eastAsia="Calibri" w:hAnsi="Constantia"/>
                <w:szCs w:val="22"/>
                <w:lang w:val="sr-Latn-CS"/>
              </w:rPr>
              <w:t xml:space="preserve">599’’, </w:t>
            </w:r>
          </w:p>
          <w:p w:rsidR="004B071C" w:rsidRPr="004E680E" w:rsidRDefault="004B071C" w:rsidP="004E680E">
            <w:pPr>
              <w:rPr>
                <w:rFonts w:ascii="Constantia" w:eastAsia="Calibri" w:hAnsi="Constantia"/>
                <w:szCs w:val="22"/>
                <w:lang w:val="sr-Latn-CS"/>
              </w:rPr>
            </w:pPr>
            <w:r w:rsidRPr="004E680E">
              <w:rPr>
                <w:rFonts w:ascii="Constantia" w:eastAsia="Calibri" w:hAnsi="Constantia"/>
                <w:szCs w:val="22"/>
                <w:lang w:val="sr-Latn-CS"/>
              </w:rPr>
              <w:t>EO 19°20’452’’</w:t>
            </w:r>
          </w:p>
          <w:p w:rsidR="00D43417" w:rsidRDefault="00D43417" w:rsidP="003D4721">
            <w:pPr>
              <w:spacing w:after="0"/>
              <w:rPr>
                <w:rFonts w:ascii="Constantia" w:eastAsia="Calibri" w:hAnsi="Constantia"/>
                <w:szCs w:val="22"/>
                <w:lang w:val="sr-Latn-CS"/>
              </w:rPr>
            </w:pPr>
            <w:r>
              <w:rPr>
                <w:rFonts w:ascii="Constantia" w:eastAsia="Calibri" w:hAnsi="Constantia"/>
                <w:szCs w:val="22"/>
                <w:lang w:val="sr-Latn-CS"/>
              </w:rPr>
              <w:t>N 42°33</w:t>
            </w:r>
            <w:r w:rsidR="004B071C" w:rsidRPr="004E680E">
              <w:rPr>
                <w:rFonts w:ascii="Constantia" w:eastAsia="Calibri" w:hAnsi="Constantia"/>
                <w:szCs w:val="22"/>
                <w:lang w:val="sr-Latn-CS"/>
              </w:rPr>
              <w:t xml:space="preserve">’477’’, </w:t>
            </w:r>
          </w:p>
          <w:p w:rsidR="004B071C" w:rsidRPr="004E680E" w:rsidRDefault="004B071C" w:rsidP="003D4721">
            <w:pPr>
              <w:spacing w:after="0"/>
              <w:rPr>
                <w:rFonts w:ascii="Constantia" w:hAnsi="Constantia"/>
                <w:b/>
                <w:bCs/>
                <w:szCs w:val="22"/>
              </w:rPr>
            </w:pPr>
            <w:r w:rsidRPr="004E680E">
              <w:rPr>
                <w:rFonts w:ascii="Constantia" w:eastAsia="Calibri" w:hAnsi="Constantia"/>
                <w:szCs w:val="22"/>
                <w:lang w:val="sr-Latn-CS"/>
              </w:rPr>
              <w:t>EO 19°20’481’’</w:t>
            </w:r>
          </w:p>
        </w:tc>
        <w:tc>
          <w:tcPr>
            <w:tcW w:w="2189" w:type="dxa"/>
            <w:shd w:val="clear" w:color="auto" w:fill="E6EED5"/>
          </w:tcPr>
          <w:p w:rsidR="004B071C" w:rsidRPr="004E680E" w:rsidRDefault="004B071C" w:rsidP="003D4721">
            <w:pPr>
              <w:jc w:val="center"/>
              <w:rPr>
                <w:rFonts w:ascii="Constantia" w:hAnsi="Constantia"/>
                <w:szCs w:val="22"/>
              </w:rPr>
            </w:pPr>
            <w:r w:rsidRPr="004E680E">
              <w:rPr>
                <w:rFonts w:ascii="Constantia" w:hAnsi="Constantia"/>
                <w:szCs w:val="22"/>
              </w:rPr>
              <w:t>24. 06. 2013.</w:t>
            </w:r>
          </w:p>
        </w:tc>
        <w:tc>
          <w:tcPr>
            <w:tcW w:w="2250" w:type="dxa"/>
            <w:shd w:val="clear" w:color="auto" w:fill="E6EED5"/>
          </w:tcPr>
          <w:p w:rsidR="003D4721" w:rsidRPr="004E680E" w:rsidRDefault="004B071C" w:rsidP="003D4721">
            <w:pPr>
              <w:spacing w:after="0"/>
              <w:jc w:val="center"/>
              <w:rPr>
                <w:rFonts w:ascii="Constantia" w:eastAsia="Calibri" w:hAnsi="Constantia"/>
                <w:szCs w:val="22"/>
                <w:lang w:val="sr-Latn-CS"/>
              </w:rPr>
            </w:pPr>
            <w:r w:rsidRPr="004E680E">
              <w:rPr>
                <w:rFonts w:ascii="Constantia" w:eastAsia="Calibri" w:hAnsi="Constantia"/>
                <w:szCs w:val="22"/>
                <w:lang w:val="sr-Latn-CS"/>
              </w:rPr>
              <w:t>82 m</w:t>
            </w:r>
          </w:p>
          <w:p w:rsidR="004B071C" w:rsidRPr="004E680E" w:rsidRDefault="004B071C" w:rsidP="003D4721">
            <w:pPr>
              <w:spacing w:after="0"/>
              <w:jc w:val="center"/>
              <w:rPr>
                <w:rFonts w:ascii="Constantia" w:eastAsia="Calibri" w:hAnsi="Constantia"/>
                <w:szCs w:val="22"/>
                <w:lang w:val="sr-Latn-CS"/>
              </w:rPr>
            </w:pPr>
            <w:r w:rsidRPr="004E680E">
              <w:rPr>
                <w:rFonts w:ascii="Constantia" w:eastAsia="Calibri" w:hAnsi="Constantia"/>
                <w:szCs w:val="22"/>
                <w:lang w:val="sr-Latn-CS"/>
              </w:rPr>
              <w:t>(kod korita rijeke Morače)</w:t>
            </w:r>
          </w:p>
          <w:p w:rsidR="004B071C" w:rsidRPr="004E680E" w:rsidRDefault="004B071C" w:rsidP="003D4721">
            <w:pPr>
              <w:jc w:val="center"/>
              <w:rPr>
                <w:rFonts w:ascii="Constantia" w:hAnsi="Constantia"/>
                <w:szCs w:val="22"/>
              </w:rPr>
            </w:pPr>
          </w:p>
        </w:tc>
      </w:tr>
    </w:tbl>
    <w:p w:rsidR="004B071C" w:rsidRDefault="0072753F" w:rsidP="0072753F">
      <w:pPr>
        <w:pStyle w:val="Tabele"/>
        <w:spacing w:before="60" w:after="240"/>
        <w:ind w:left="714" w:hanging="357"/>
        <w:rPr>
          <w:rFonts w:ascii="Constantia" w:hAnsi="Constantia"/>
          <w:sz w:val="22"/>
          <w:szCs w:val="22"/>
        </w:rPr>
      </w:pPr>
      <w:r>
        <w:rPr>
          <w:rFonts w:ascii="Constantia" w:hAnsi="Constantia"/>
          <w:sz w:val="22"/>
          <w:szCs w:val="22"/>
        </w:rPr>
        <w:t xml:space="preserve"> </w:t>
      </w:r>
      <w:r w:rsidR="004B071C" w:rsidRPr="0072753F">
        <w:rPr>
          <w:rFonts w:ascii="Constantia" w:hAnsi="Constantia"/>
          <w:sz w:val="22"/>
          <w:szCs w:val="22"/>
        </w:rPr>
        <w:t>Opšti podaci o istraživanim lokalitetima</w:t>
      </w:r>
    </w:p>
    <w:p w:rsidR="0072753F" w:rsidRPr="0072753F" w:rsidRDefault="0072753F" w:rsidP="0072753F">
      <w:pPr>
        <w:pStyle w:val="Tabele"/>
        <w:numPr>
          <w:ilvl w:val="0"/>
          <w:numId w:val="0"/>
        </w:numPr>
        <w:spacing w:before="60" w:after="0"/>
        <w:ind w:left="714"/>
        <w:jc w:val="both"/>
        <w:rPr>
          <w:rFonts w:ascii="Constantia" w:hAnsi="Constantia"/>
          <w:sz w:val="22"/>
          <w:szCs w:val="22"/>
        </w:rPr>
      </w:pPr>
    </w:p>
    <w:tbl>
      <w:tblPr>
        <w:tblW w:w="9090" w:type="dxa"/>
        <w:tblInd w:w="108"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firstRow="1" w:lastRow="0" w:firstColumn="1" w:lastColumn="0" w:noHBand="0" w:noVBand="1"/>
      </w:tblPr>
      <w:tblGrid>
        <w:gridCol w:w="1424"/>
        <w:gridCol w:w="2086"/>
        <w:gridCol w:w="5580"/>
      </w:tblGrid>
      <w:tr w:rsidR="004B071C" w:rsidRPr="004E680E" w:rsidTr="004E680E">
        <w:tc>
          <w:tcPr>
            <w:tcW w:w="1424" w:type="dxa"/>
            <w:shd w:val="clear" w:color="auto" w:fill="E6EED5"/>
          </w:tcPr>
          <w:p w:rsidR="004B071C" w:rsidRPr="004E680E" w:rsidRDefault="004B071C" w:rsidP="00431E56">
            <w:pPr>
              <w:jc w:val="center"/>
              <w:rPr>
                <w:rFonts w:ascii="Constantia" w:hAnsi="Constantia"/>
                <w:b/>
                <w:bCs/>
                <w:iCs/>
                <w:color w:val="000000"/>
                <w:spacing w:val="8"/>
                <w:szCs w:val="22"/>
                <w:lang w:val="sr-Latn-CS"/>
              </w:rPr>
            </w:pPr>
            <w:r w:rsidRPr="004E680E">
              <w:rPr>
                <w:rFonts w:ascii="Constantia" w:hAnsi="Constantia"/>
                <w:b/>
                <w:bCs/>
                <w:iCs/>
                <w:color w:val="000000"/>
                <w:spacing w:val="8"/>
                <w:szCs w:val="22"/>
                <w:lang w:val="sr-Latn-CS"/>
              </w:rPr>
              <w:t>Lokalitet</w:t>
            </w:r>
          </w:p>
        </w:tc>
        <w:tc>
          <w:tcPr>
            <w:tcW w:w="2086" w:type="dxa"/>
            <w:shd w:val="clear" w:color="auto" w:fill="E6EED5"/>
          </w:tcPr>
          <w:p w:rsidR="004B071C" w:rsidRPr="004E680E" w:rsidRDefault="004B071C" w:rsidP="00C17F8E">
            <w:pPr>
              <w:jc w:val="center"/>
              <w:rPr>
                <w:rFonts w:ascii="Constantia" w:hAnsi="Constantia"/>
                <w:b/>
                <w:bCs/>
                <w:iCs/>
                <w:color w:val="000000"/>
                <w:spacing w:val="8"/>
                <w:szCs w:val="22"/>
                <w:lang w:val="sr-Latn-CS"/>
              </w:rPr>
            </w:pPr>
            <w:r w:rsidRPr="004E680E">
              <w:rPr>
                <w:rFonts w:ascii="Constantia" w:hAnsi="Constantia"/>
                <w:b/>
                <w:bCs/>
                <w:iCs/>
                <w:color w:val="000000"/>
                <w:spacing w:val="8"/>
                <w:szCs w:val="22"/>
                <w:lang w:val="sr-Latn-CS"/>
              </w:rPr>
              <w:t>Kategorija</w:t>
            </w:r>
          </w:p>
        </w:tc>
        <w:tc>
          <w:tcPr>
            <w:tcW w:w="5580" w:type="dxa"/>
            <w:shd w:val="clear" w:color="auto" w:fill="E6EED5"/>
          </w:tcPr>
          <w:p w:rsidR="004B071C" w:rsidRPr="004E680E" w:rsidRDefault="004B071C" w:rsidP="00431E56">
            <w:pPr>
              <w:jc w:val="center"/>
              <w:rPr>
                <w:rFonts w:ascii="Constantia" w:hAnsi="Constantia"/>
                <w:b/>
                <w:bCs/>
                <w:iCs/>
                <w:color w:val="000000"/>
                <w:spacing w:val="8"/>
                <w:szCs w:val="22"/>
                <w:lang w:val="sr-Latn-CS"/>
              </w:rPr>
            </w:pPr>
            <w:r w:rsidRPr="004E680E">
              <w:rPr>
                <w:rFonts w:ascii="Constantia" w:hAnsi="Constantia"/>
                <w:b/>
                <w:bCs/>
                <w:iCs/>
                <w:color w:val="000000"/>
                <w:spacing w:val="8"/>
                <w:szCs w:val="22"/>
                <w:lang w:val="sr-Latn-CS"/>
              </w:rPr>
              <w:t>Vrste</w:t>
            </w:r>
          </w:p>
        </w:tc>
      </w:tr>
      <w:tr w:rsidR="004B071C" w:rsidRPr="004E680E" w:rsidTr="004E680E">
        <w:tc>
          <w:tcPr>
            <w:tcW w:w="1424" w:type="dxa"/>
            <w:vMerge w:val="restart"/>
            <w:shd w:val="clear" w:color="auto" w:fill="CDDDAC"/>
          </w:tcPr>
          <w:p w:rsidR="004B071C" w:rsidRPr="004E680E" w:rsidRDefault="004B071C" w:rsidP="004E680E">
            <w:pPr>
              <w:rPr>
                <w:rFonts w:ascii="Constantia" w:hAnsi="Constantia"/>
                <w:b/>
                <w:bCs/>
                <w:iCs/>
                <w:color w:val="000000"/>
                <w:spacing w:val="8"/>
                <w:szCs w:val="22"/>
                <w:lang w:val="sr-Latn-CS"/>
              </w:rPr>
            </w:pPr>
            <w:r w:rsidRPr="004E680E">
              <w:rPr>
                <w:rFonts w:ascii="Constantia" w:hAnsi="Constantia"/>
                <w:b/>
                <w:bCs/>
                <w:iCs/>
                <w:color w:val="000000"/>
                <w:spacing w:val="8"/>
                <w:szCs w:val="22"/>
                <w:lang w:val="sr-Latn-CS"/>
              </w:rPr>
              <w:t>Đurđevina</w:t>
            </w:r>
          </w:p>
        </w:tc>
        <w:tc>
          <w:tcPr>
            <w:tcW w:w="2086" w:type="dxa"/>
            <w:shd w:val="clear" w:color="auto" w:fill="CDDDAC"/>
          </w:tcPr>
          <w:p w:rsidR="004B071C" w:rsidRPr="004E680E" w:rsidRDefault="004B071C" w:rsidP="00C17F8E">
            <w:pPr>
              <w:spacing w:after="0"/>
              <w:jc w:val="left"/>
              <w:rPr>
                <w:rFonts w:ascii="Constantia" w:hAnsi="Constantia"/>
                <w:bCs/>
                <w:iCs/>
                <w:color w:val="000000"/>
                <w:spacing w:val="8"/>
                <w:szCs w:val="22"/>
                <w:lang w:val="sr-Latn-CS"/>
              </w:rPr>
            </w:pPr>
            <w:r w:rsidRPr="004E680E">
              <w:rPr>
                <w:rFonts w:ascii="Constantia" w:hAnsi="Constantia"/>
                <w:iCs/>
                <w:color w:val="000000"/>
                <w:spacing w:val="8"/>
                <w:szCs w:val="22"/>
                <w:lang w:val="sr-Latn-CS"/>
              </w:rPr>
              <w:t>Indi</w:t>
            </w:r>
            <w:r w:rsidRPr="004E680E">
              <w:rPr>
                <w:rFonts w:ascii="Constantia" w:hAnsi="Constantia"/>
                <w:bCs/>
                <w:iCs/>
                <w:color w:val="000000"/>
                <w:spacing w:val="8"/>
                <w:szCs w:val="22"/>
                <w:lang w:val="sr-Latn-CS"/>
              </w:rPr>
              <w:t>katorske vrste (status zaštite)</w:t>
            </w:r>
          </w:p>
        </w:tc>
        <w:tc>
          <w:tcPr>
            <w:tcW w:w="5580" w:type="dxa"/>
            <w:shd w:val="clear" w:color="auto" w:fill="CDDDAC"/>
          </w:tcPr>
          <w:p w:rsidR="004B071C" w:rsidRPr="004E680E" w:rsidRDefault="004B071C" w:rsidP="004E680E">
            <w:pPr>
              <w:rPr>
                <w:rFonts w:ascii="Constantia" w:hAnsi="Constantia"/>
                <w:bCs/>
                <w:iCs/>
                <w:color w:val="000000"/>
                <w:spacing w:val="8"/>
                <w:szCs w:val="22"/>
                <w:lang w:val="sr-Latn-CS"/>
              </w:rPr>
            </w:pPr>
            <w:r w:rsidRPr="004E680E">
              <w:rPr>
                <w:rFonts w:ascii="Constantia" w:hAnsi="Constantia"/>
                <w:bCs/>
                <w:iCs/>
                <w:color w:val="000000"/>
                <w:spacing w:val="8"/>
                <w:szCs w:val="22"/>
                <w:lang w:val="sr-Latn-CS"/>
              </w:rPr>
              <w:t>Nisu registrovane</w:t>
            </w:r>
          </w:p>
        </w:tc>
      </w:tr>
      <w:tr w:rsidR="004B071C" w:rsidRPr="004E680E" w:rsidTr="004E680E">
        <w:tc>
          <w:tcPr>
            <w:tcW w:w="1424" w:type="dxa"/>
            <w:vMerge/>
            <w:shd w:val="clear" w:color="auto" w:fill="E6EED5"/>
          </w:tcPr>
          <w:p w:rsidR="004B071C" w:rsidRPr="004E680E" w:rsidRDefault="004B071C" w:rsidP="004E680E">
            <w:pPr>
              <w:rPr>
                <w:rFonts w:ascii="Constantia" w:hAnsi="Constantia"/>
                <w:b/>
                <w:bCs/>
                <w:iCs/>
                <w:color w:val="000000"/>
                <w:spacing w:val="8"/>
                <w:szCs w:val="22"/>
                <w:lang w:val="sr-Latn-CS"/>
              </w:rPr>
            </w:pPr>
          </w:p>
        </w:tc>
        <w:tc>
          <w:tcPr>
            <w:tcW w:w="2086" w:type="dxa"/>
            <w:shd w:val="clear" w:color="auto" w:fill="E6EED5"/>
          </w:tcPr>
          <w:p w:rsidR="004B071C" w:rsidRPr="004E680E" w:rsidRDefault="004B071C" w:rsidP="00C17F8E">
            <w:pPr>
              <w:jc w:val="left"/>
              <w:rPr>
                <w:rFonts w:ascii="Constantia" w:hAnsi="Constantia"/>
                <w:b/>
                <w:bCs/>
                <w:iCs/>
                <w:color w:val="000000"/>
                <w:spacing w:val="8"/>
                <w:szCs w:val="22"/>
                <w:lang w:val="sr-Latn-CS"/>
              </w:rPr>
            </w:pPr>
            <w:r w:rsidRPr="004E680E">
              <w:rPr>
                <w:rFonts w:ascii="Constantia" w:hAnsi="Constantia"/>
                <w:iCs/>
                <w:color w:val="000000"/>
                <w:spacing w:val="8"/>
                <w:szCs w:val="22"/>
                <w:lang w:val="sr-Latn-CS"/>
              </w:rPr>
              <w:t>Ostale vrste/staništa</w:t>
            </w:r>
          </w:p>
        </w:tc>
        <w:tc>
          <w:tcPr>
            <w:tcW w:w="5580" w:type="dxa"/>
            <w:shd w:val="clear" w:color="auto" w:fill="E6EED5"/>
          </w:tcPr>
          <w:p w:rsidR="004B071C" w:rsidRPr="004E680E" w:rsidRDefault="00431E56" w:rsidP="00140CFA">
            <w:pPr>
              <w:rPr>
                <w:rFonts w:ascii="Constantia" w:hAnsi="Constantia"/>
                <w:bCs/>
                <w:iCs/>
                <w:color w:val="000000"/>
                <w:spacing w:val="8"/>
                <w:szCs w:val="22"/>
                <w:lang w:val="sr-Latn-CS"/>
              </w:rPr>
            </w:pPr>
            <w:r w:rsidRPr="004E680E">
              <w:rPr>
                <w:rFonts w:ascii="Constantia" w:eastAsia="Calibri" w:hAnsi="Constantia"/>
                <w:bCs/>
                <w:iCs/>
                <w:szCs w:val="22"/>
                <w:lang w:val="sr-Latn-CS"/>
              </w:rPr>
              <w:t>C</w:t>
            </w:r>
            <w:r w:rsidR="004B071C" w:rsidRPr="004E680E">
              <w:rPr>
                <w:rFonts w:ascii="Constantia" w:eastAsia="Calibri" w:hAnsi="Constantia"/>
                <w:bCs/>
                <w:iCs/>
                <w:szCs w:val="22"/>
                <w:lang w:val="sr-Latn-CS"/>
              </w:rPr>
              <w:t>rna joha (</w:t>
            </w:r>
            <w:r w:rsidR="004B071C" w:rsidRPr="004E680E">
              <w:rPr>
                <w:rFonts w:ascii="Constantia" w:eastAsia="Calibri" w:hAnsi="Constantia"/>
                <w:bCs/>
                <w:i/>
                <w:iCs/>
                <w:szCs w:val="22"/>
                <w:lang w:val="sr-Latn-CS"/>
              </w:rPr>
              <w:t>Alnus glutinosa</w:t>
            </w:r>
            <w:r w:rsidR="004B071C" w:rsidRPr="004E680E">
              <w:rPr>
                <w:rFonts w:ascii="Constantia" w:eastAsia="Calibri" w:hAnsi="Constantia"/>
                <w:bCs/>
                <w:iCs/>
                <w:szCs w:val="22"/>
                <w:lang w:val="sr-Latn-CS"/>
              </w:rPr>
              <w:t>), bijela vrba</w:t>
            </w:r>
            <w:r w:rsidR="00C17F8E" w:rsidRPr="004E680E">
              <w:rPr>
                <w:rFonts w:ascii="Constantia" w:eastAsia="Calibri" w:hAnsi="Constantia"/>
                <w:bCs/>
                <w:iCs/>
                <w:szCs w:val="22"/>
                <w:lang w:val="sr-Latn-CS"/>
              </w:rPr>
              <w:t xml:space="preserve"> </w:t>
            </w:r>
            <w:r w:rsidR="004B071C" w:rsidRPr="004E680E">
              <w:rPr>
                <w:rFonts w:ascii="Constantia" w:eastAsia="Calibri" w:hAnsi="Constantia"/>
                <w:bCs/>
                <w:iCs/>
                <w:szCs w:val="22"/>
                <w:lang w:val="sr-Latn-CS"/>
              </w:rPr>
              <w:t>(</w:t>
            </w:r>
            <w:r w:rsidR="004B071C" w:rsidRPr="004E680E">
              <w:rPr>
                <w:rFonts w:ascii="Constantia" w:eastAsia="Calibri" w:hAnsi="Constantia"/>
                <w:bCs/>
                <w:i/>
                <w:iCs/>
                <w:szCs w:val="22"/>
                <w:lang w:val="sr-Latn-CS"/>
              </w:rPr>
              <w:t>Salix alba</w:t>
            </w:r>
            <w:r w:rsidR="004B071C" w:rsidRPr="004E680E">
              <w:rPr>
                <w:rFonts w:ascii="Constantia" w:eastAsia="Calibri" w:hAnsi="Constantia"/>
                <w:bCs/>
                <w:iCs/>
                <w:szCs w:val="22"/>
                <w:lang w:val="sr-Latn-CS"/>
              </w:rPr>
              <w:t>), lijeska</w:t>
            </w:r>
            <w:r w:rsidR="00C17F8E" w:rsidRPr="004E680E">
              <w:rPr>
                <w:rFonts w:ascii="Constantia" w:eastAsia="Calibri" w:hAnsi="Constantia"/>
                <w:bCs/>
                <w:iCs/>
                <w:szCs w:val="22"/>
                <w:lang w:val="sr-Latn-CS"/>
              </w:rPr>
              <w:t xml:space="preserve"> </w:t>
            </w:r>
            <w:r w:rsidR="004B071C" w:rsidRPr="004E680E">
              <w:rPr>
                <w:rFonts w:ascii="Constantia" w:eastAsia="Calibri" w:hAnsi="Constantia"/>
                <w:bCs/>
                <w:iCs/>
                <w:szCs w:val="22"/>
                <w:lang w:val="sr-Latn-CS"/>
              </w:rPr>
              <w:t>(</w:t>
            </w:r>
            <w:r w:rsidR="004B071C" w:rsidRPr="004E680E">
              <w:rPr>
                <w:rFonts w:ascii="Constantia" w:eastAsia="Calibri" w:hAnsi="Constantia"/>
                <w:bCs/>
                <w:i/>
                <w:iCs/>
                <w:szCs w:val="22"/>
                <w:lang w:val="sr-Latn-CS"/>
              </w:rPr>
              <w:t>Corylus avellana</w:t>
            </w:r>
            <w:r w:rsidR="004B071C" w:rsidRPr="004E680E">
              <w:rPr>
                <w:rFonts w:ascii="Constantia" w:eastAsia="Calibri" w:hAnsi="Constantia"/>
                <w:bCs/>
                <w:iCs/>
                <w:szCs w:val="22"/>
                <w:lang w:val="sr-Latn-CS"/>
              </w:rPr>
              <w:t>), tvrda kostrika</w:t>
            </w:r>
            <w:r w:rsidR="00C17F8E" w:rsidRPr="004E680E">
              <w:rPr>
                <w:rFonts w:ascii="Constantia" w:eastAsia="Calibri" w:hAnsi="Constantia"/>
                <w:bCs/>
                <w:iCs/>
                <w:szCs w:val="22"/>
                <w:lang w:val="sr-Latn-CS"/>
              </w:rPr>
              <w:t xml:space="preserve"> </w:t>
            </w:r>
            <w:r w:rsidR="004B071C" w:rsidRPr="004E680E">
              <w:rPr>
                <w:rFonts w:ascii="Constantia" w:eastAsia="Calibri" w:hAnsi="Constantia"/>
                <w:bCs/>
                <w:iCs/>
                <w:szCs w:val="22"/>
                <w:lang w:val="sr-Latn-CS"/>
              </w:rPr>
              <w:t>(</w:t>
            </w:r>
            <w:r w:rsidR="004B071C" w:rsidRPr="004E680E">
              <w:rPr>
                <w:rFonts w:ascii="Constantia" w:eastAsia="Calibri" w:hAnsi="Constantia"/>
                <w:bCs/>
                <w:i/>
                <w:iCs/>
                <w:szCs w:val="22"/>
                <w:lang w:val="sr-Latn-CS"/>
              </w:rPr>
              <w:t>Ruscus acuelatus</w:t>
            </w:r>
            <w:r w:rsidR="004B071C" w:rsidRPr="004E680E">
              <w:rPr>
                <w:rFonts w:ascii="Constantia" w:eastAsia="Calibri" w:hAnsi="Constantia"/>
                <w:bCs/>
                <w:iCs/>
                <w:szCs w:val="22"/>
                <w:lang w:val="sr-Latn-CS"/>
              </w:rPr>
              <w:t>), bršljan</w:t>
            </w:r>
            <w:r w:rsidR="00C17F8E" w:rsidRPr="004E680E">
              <w:rPr>
                <w:rFonts w:ascii="Constantia" w:eastAsia="Calibri" w:hAnsi="Constantia"/>
                <w:bCs/>
                <w:iCs/>
                <w:szCs w:val="22"/>
                <w:lang w:val="sr-Latn-CS"/>
              </w:rPr>
              <w:t xml:space="preserve"> </w:t>
            </w:r>
            <w:r w:rsidR="004B071C" w:rsidRPr="004E680E">
              <w:rPr>
                <w:rFonts w:ascii="Constantia" w:eastAsia="Calibri" w:hAnsi="Constantia"/>
                <w:bCs/>
                <w:iCs/>
                <w:szCs w:val="22"/>
                <w:lang w:val="sr-Latn-CS"/>
              </w:rPr>
              <w:t>(</w:t>
            </w:r>
            <w:r w:rsidR="004B071C" w:rsidRPr="004E680E">
              <w:rPr>
                <w:rFonts w:ascii="Constantia" w:eastAsia="Calibri" w:hAnsi="Constantia"/>
                <w:bCs/>
                <w:i/>
                <w:iCs/>
                <w:szCs w:val="22"/>
                <w:lang w:val="sr-Latn-CS"/>
              </w:rPr>
              <w:t>Hedera helix</w:t>
            </w:r>
            <w:r w:rsidR="004B071C" w:rsidRPr="004E680E">
              <w:rPr>
                <w:rFonts w:ascii="Constantia" w:eastAsia="Calibri" w:hAnsi="Constantia"/>
                <w:bCs/>
                <w:iCs/>
                <w:szCs w:val="22"/>
                <w:lang w:val="sr-Latn-CS"/>
              </w:rPr>
              <w:t>)</w:t>
            </w:r>
          </w:p>
        </w:tc>
      </w:tr>
      <w:tr w:rsidR="004B071C" w:rsidRPr="004E680E" w:rsidTr="004E680E">
        <w:trPr>
          <w:trHeight w:val="766"/>
        </w:trPr>
        <w:tc>
          <w:tcPr>
            <w:tcW w:w="1424" w:type="dxa"/>
            <w:vMerge/>
            <w:shd w:val="clear" w:color="auto" w:fill="CDDDAC"/>
          </w:tcPr>
          <w:p w:rsidR="004B071C" w:rsidRPr="004E680E" w:rsidRDefault="004B071C" w:rsidP="004E680E">
            <w:pPr>
              <w:rPr>
                <w:rFonts w:ascii="Constantia" w:hAnsi="Constantia"/>
                <w:b/>
                <w:bCs/>
                <w:iCs/>
                <w:color w:val="000000"/>
                <w:spacing w:val="8"/>
                <w:szCs w:val="22"/>
                <w:lang w:val="sr-Latn-CS"/>
              </w:rPr>
            </w:pPr>
          </w:p>
        </w:tc>
        <w:tc>
          <w:tcPr>
            <w:tcW w:w="2086" w:type="dxa"/>
            <w:shd w:val="clear" w:color="auto" w:fill="CDDDAC"/>
          </w:tcPr>
          <w:p w:rsidR="004B071C" w:rsidRPr="004E680E" w:rsidRDefault="004B071C" w:rsidP="00C17F8E">
            <w:pPr>
              <w:jc w:val="left"/>
              <w:rPr>
                <w:rFonts w:ascii="Constantia" w:hAnsi="Constantia"/>
                <w:b/>
                <w:bCs/>
                <w:iCs/>
                <w:color w:val="000000"/>
                <w:spacing w:val="8"/>
                <w:szCs w:val="22"/>
                <w:lang w:val="sr-Latn-CS"/>
              </w:rPr>
            </w:pPr>
            <w:r w:rsidRPr="004E680E">
              <w:rPr>
                <w:rFonts w:ascii="Constantia" w:hAnsi="Constantia"/>
                <w:iCs/>
                <w:color w:val="000000"/>
                <w:spacing w:val="8"/>
                <w:szCs w:val="22"/>
                <w:lang w:val="sr-Latn-CS"/>
              </w:rPr>
              <w:t>Utvrđeno stanje</w:t>
            </w:r>
          </w:p>
        </w:tc>
        <w:tc>
          <w:tcPr>
            <w:tcW w:w="5580" w:type="dxa"/>
            <w:shd w:val="clear" w:color="auto" w:fill="CDDDAC"/>
          </w:tcPr>
          <w:p w:rsidR="004B071C" w:rsidRPr="004E680E" w:rsidRDefault="004B071C" w:rsidP="00140CFA">
            <w:pPr>
              <w:rPr>
                <w:rFonts w:ascii="Constantia" w:hAnsi="Constantia"/>
                <w:b/>
                <w:bCs/>
                <w:iCs/>
                <w:color w:val="000000"/>
                <w:spacing w:val="8"/>
                <w:szCs w:val="22"/>
                <w:lang w:val="sr-Latn-CS"/>
              </w:rPr>
            </w:pPr>
            <w:r w:rsidRPr="004E680E">
              <w:rPr>
                <w:rFonts w:ascii="Constantia" w:eastAsia="Calibri" w:hAnsi="Constantia"/>
                <w:bCs/>
                <w:iCs/>
                <w:szCs w:val="22"/>
                <w:lang w:val="sr-Latn-CS"/>
              </w:rPr>
              <w:t>Dominantne vrste dendroflore na ovom lokalitetu uz tok rijeke Morače su: crna joha (</w:t>
            </w:r>
            <w:r w:rsidRPr="004E680E">
              <w:rPr>
                <w:rFonts w:ascii="Constantia" w:eastAsia="Calibri" w:hAnsi="Constantia"/>
                <w:bCs/>
                <w:i/>
                <w:iCs/>
                <w:szCs w:val="22"/>
                <w:lang w:val="sr-Latn-CS"/>
              </w:rPr>
              <w:t>Alnus glutinosa</w:t>
            </w:r>
            <w:r w:rsidRPr="004E680E">
              <w:rPr>
                <w:rFonts w:ascii="Constantia" w:eastAsia="Calibri" w:hAnsi="Constantia"/>
                <w:bCs/>
                <w:iCs/>
                <w:szCs w:val="22"/>
                <w:lang w:val="sr-Latn-CS"/>
              </w:rPr>
              <w:t>) i bijela vrba</w:t>
            </w:r>
            <w:r w:rsidR="00C17F8E" w:rsidRPr="004E680E">
              <w:rPr>
                <w:rFonts w:ascii="Constantia" w:eastAsia="Calibri" w:hAnsi="Constantia"/>
                <w:bCs/>
                <w:iCs/>
                <w:szCs w:val="22"/>
                <w:lang w:val="sr-Latn-CS"/>
              </w:rPr>
              <w:t xml:space="preserve"> </w:t>
            </w:r>
            <w:r w:rsidRPr="004E680E">
              <w:rPr>
                <w:rFonts w:ascii="Constantia" w:eastAsia="Calibri" w:hAnsi="Constantia"/>
                <w:bCs/>
                <w:iCs/>
                <w:szCs w:val="22"/>
                <w:lang w:val="sr-Latn-CS"/>
              </w:rPr>
              <w:t>(</w:t>
            </w:r>
            <w:r w:rsidRPr="004E680E">
              <w:rPr>
                <w:rFonts w:ascii="Constantia" w:eastAsia="Calibri" w:hAnsi="Constantia"/>
                <w:bCs/>
                <w:i/>
                <w:iCs/>
                <w:szCs w:val="22"/>
                <w:lang w:val="sr-Latn-CS"/>
              </w:rPr>
              <w:t>Salix alba</w:t>
            </w:r>
            <w:r w:rsidRPr="004E680E">
              <w:rPr>
                <w:rFonts w:ascii="Constantia" w:eastAsia="Calibri" w:hAnsi="Constantia"/>
                <w:bCs/>
                <w:iCs/>
                <w:szCs w:val="22"/>
                <w:lang w:val="sr-Latn-CS"/>
              </w:rPr>
              <w:t>), a iznad korita rijeke dominira jedna veća sastojina obične lijeske (</w:t>
            </w:r>
            <w:r w:rsidRPr="004E680E">
              <w:rPr>
                <w:rFonts w:ascii="Constantia" w:eastAsia="Calibri" w:hAnsi="Constantia"/>
                <w:bCs/>
                <w:i/>
                <w:iCs/>
                <w:szCs w:val="22"/>
                <w:lang w:val="sr-Latn-CS"/>
              </w:rPr>
              <w:t>Corylus avellana</w:t>
            </w:r>
            <w:r w:rsidRPr="004E680E">
              <w:rPr>
                <w:rFonts w:ascii="Constantia" w:eastAsia="Calibri" w:hAnsi="Constantia"/>
                <w:bCs/>
                <w:iCs/>
                <w:szCs w:val="22"/>
                <w:lang w:val="sr-Latn-CS"/>
              </w:rPr>
              <w:t>) i bjelograbića (</w:t>
            </w:r>
            <w:r w:rsidRPr="004E680E">
              <w:rPr>
                <w:rFonts w:ascii="Constantia" w:eastAsia="Calibri" w:hAnsi="Constantia"/>
                <w:bCs/>
                <w:i/>
                <w:iCs/>
                <w:szCs w:val="22"/>
                <w:lang w:val="sr-Latn-CS"/>
              </w:rPr>
              <w:t>Carpinus orientalis</w:t>
            </w:r>
            <w:r w:rsidRPr="004E680E">
              <w:rPr>
                <w:rFonts w:ascii="Constantia" w:eastAsia="Calibri" w:hAnsi="Constantia"/>
                <w:bCs/>
                <w:iCs/>
                <w:szCs w:val="22"/>
                <w:lang w:val="sr-Latn-CS"/>
              </w:rPr>
              <w:t>)</w:t>
            </w:r>
            <w:r w:rsidR="00C17F8E" w:rsidRPr="004E680E">
              <w:rPr>
                <w:rFonts w:ascii="Constantia" w:eastAsia="Calibri" w:hAnsi="Constantia"/>
                <w:bCs/>
                <w:iCs/>
                <w:szCs w:val="22"/>
                <w:lang w:val="sr-Latn-CS"/>
              </w:rPr>
              <w:t>,</w:t>
            </w:r>
            <w:r w:rsidRPr="004E680E">
              <w:rPr>
                <w:rFonts w:ascii="Constantia" w:eastAsia="Calibri" w:hAnsi="Constantia"/>
                <w:bCs/>
                <w:iCs/>
                <w:szCs w:val="22"/>
                <w:lang w:val="sr-Latn-CS"/>
              </w:rPr>
              <w:t xml:space="preserve"> sa brojnim učešćem bršljana (</w:t>
            </w:r>
            <w:r w:rsidRPr="004E680E">
              <w:rPr>
                <w:rFonts w:ascii="Constantia" w:eastAsia="Calibri" w:hAnsi="Constantia"/>
                <w:bCs/>
                <w:i/>
                <w:iCs/>
                <w:szCs w:val="22"/>
                <w:lang w:val="sr-Latn-CS"/>
              </w:rPr>
              <w:t>Hedera helix</w:t>
            </w:r>
            <w:r w:rsidRPr="004E680E">
              <w:rPr>
                <w:rFonts w:ascii="Constantia" w:eastAsia="Calibri" w:hAnsi="Constantia"/>
                <w:bCs/>
                <w:iCs/>
                <w:szCs w:val="22"/>
                <w:lang w:val="sr-Latn-CS"/>
              </w:rPr>
              <w:t>) i tvrde kostrike (</w:t>
            </w:r>
            <w:r w:rsidRPr="004E680E">
              <w:rPr>
                <w:rFonts w:ascii="Constantia" w:eastAsia="Calibri" w:hAnsi="Constantia"/>
                <w:bCs/>
                <w:i/>
                <w:iCs/>
                <w:szCs w:val="22"/>
                <w:lang w:val="sr-Latn-CS"/>
              </w:rPr>
              <w:t>Ruscus aculeatus</w:t>
            </w:r>
            <w:r w:rsidRPr="004E680E">
              <w:rPr>
                <w:rFonts w:ascii="Constantia" w:eastAsia="Calibri" w:hAnsi="Constantia"/>
                <w:bCs/>
                <w:iCs/>
                <w:szCs w:val="22"/>
                <w:lang w:val="sr-Latn-CS"/>
              </w:rPr>
              <w:t>) u prizemnom spratu i ponekim stablom crnog graba (</w:t>
            </w:r>
            <w:r w:rsidRPr="004E680E">
              <w:rPr>
                <w:rFonts w:ascii="Constantia" w:eastAsia="Calibri" w:hAnsi="Constantia"/>
                <w:bCs/>
                <w:i/>
                <w:iCs/>
                <w:szCs w:val="22"/>
                <w:lang w:val="sr-Latn-CS"/>
              </w:rPr>
              <w:t>Ostrya carpinifolia</w:t>
            </w:r>
            <w:r w:rsidRPr="004E680E">
              <w:rPr>
                <w:rFonts w:ascii="Constantia" w:eastAsia="Calibri" w:hAnsi="Constantia"/>
                <w:bCs/>
                <w:iCs/>
                <w:szCs w:val="22"/>
                <w:lang w:val="sr-Latn-CS"/>
              </w:rPr>
              <w:t>), crnog jasena (</w:t>
            </w:r>
            <w:r w:rsidRPr="004E680E">
              <w:rPr>
                <w:rFonts w:ascii="Constantia" w:eastAsia="Calibri" w:hAnsi="Constantia"/>
                <w:bCs/>
                <w:i/>
                <w:iCs/>
                <w:szCs w:val="22"/>
                <w:lang w:val="sr-Latn-CS"/>
              </w:rPr>
              <w:t>Fraxinus ornus</w:t>
            </w:r>
            <w:r w:rsidRPr="004E680E">
              <w:rPr>
                <w:rFonts w:ascii="Constantia" w:eastAsia="Calibri" w:hAnsi="Constantia"/>
                <w:bCs/>
                <w:iCs/>
                <w:szCs w:val="22"/>
                <w:lang w:val="sr-Latn-CS"/>
              </w:rPr>
              <w:t>), hrasta cera (</w:t>
            </w:r>
            <w:r w:rsidRPr="004E680E">
              <w:rPr>
                <w:rFonts w:ascii="Constantia" w:eastAsia="Calibri" w:hAnsi="Constantia"/>
                <w:bCs/>
                <w:i/>
                <w:iCs/>
                <w:szCs w:val="22"/>
                <w:lang w:val="sr-Latn-CS"/>
              </w:rPr>
              <w:t>Quercus cerris</w:t>
            </w:r>
            <w:r w:rsidRPr="004E680E">
              <w:rPr>
                <w:rFonts w:ascii="Constantia" w:eastAsia="Calibri" w:hAnsi="Constantia"/>
                <w:bCs/>
                <w:iCs/>
                <w:szCs w:val="22"/>
                <w:lang w:val="sr-Latn-CS"/>
              </w:rPr>
              <w:t>), divlje trešnje (</w:t>
            </w:r>
            <w:r w:rsidRPr="004E680E">
              <w:rPr>
                <w:rFonts w:ascii="Constantia" w:eastAsia="Calibri" w:hAnsi="Constantia"/>
                <w:bCs/>
                <w:i/>
                <w:iCs/>
                <w:szCs w:val="22"/>
                <w:lang w:val="sr-Latn-CS"/>
              </w:rPr>
              <w:t>Prunus avium</w:t>
            </w:r>
            <w:r w:rsidRPr="004E680E">
              <w:rPr>
                <w:rFonts w:ascii="Constantia" w:eastAsia="Calibri" w:hAnsi="Constantia"/>
                <w:bCs/>
                <w:iCs/>
                <w:szCs w:val="22"/>
                <w:lang w:val="sr-Latn-CS"/>
              </w:rPr>
              <w:t>), klena (</w:t>
            </w:r>
            <w:r w:rsidRPr="004E680E">
              <w:rPr>
                <w:rFonts w:ascii="Constantia" w:eastAsia="Calibri" w:hAnsi="Constantia"/>
                <w:bCs/>
                <w:i/>
                <w:iCs/>
                <w:szCs w:val="22"/>
                <w:lang w:val="sr-Latn-CS"/>
              </w:rPr>
              <w:t>Acer campestre</w:t>
            </w:r>
            <w:r w:rsidRPr="004E680E">
              <w:rPr>
                <w:rFonts w:ascii="Constantia" w:eastAsia="Calibri" w:hAnsi="Constantia"/>
                <w:bCs/>
                <w:iCs/>
                <w:szCs w:val="22"/>
                <w:lang w:val="sr-Latn-CS"/>
              </w:rPr>
              <w:t>), makljena (</w:t>
            </w:r>
            <w:r w:rsidRPr="004E680E">
              <w:rPr>
                <w:rFonts w:ascii="Constantia" w:eastAsia="Calibri" w:hAnsi="Constantia"/>
                <w:bCs/>
                <w:i/>
                <w:iCs/>
                <w:szCs w:val="22"/>
                <w:lang w:val="sr-Latn-CS"/>
              </w:rPr>
              <w:t>Acer monspessulanum</w:t>
            </w:r>
            <w:r w:rsidRPr="004E680E">
              <w:rPr>
                <w:rFonts w:ascii="Constantia" w:eastAsia="Calibri" w:hAnsi="Constantia"/>
                <w:bCs/>
                <w:iCs/>
                <w:szCs w:val="22"/>
                <w:lang w:val="sr-Latn-CS"/>
              </w:rPr>
              <w:t>), običnog graba (</w:t>
            </w:r>
            <w:r w:rsidRPr="004E680E">
              <w:rPr>
                <w:rFonts w:ascii="Constantia" w:eastAsia="Calibri" w:hAnsi="Constantia"/>
                <w:bCs/>
                <w:i/>
                <w:iCs/>
                <w:szCs w:val="22"/>
                <w:lang w:val="sr-Latn-CS"/>
              </w:rPr>
              <w:t>Carpinus betulus</w:t>
            </w:r>
            <w:r w:rsidRPr="004E680E">
              <w:rPr>
                <w:rFonts w:ascii="Constantia" w:eastAsia="Calibri" w:hAnsi="Constantia"/>
                <w:bCs/>
                <w:iCs/>
                <w:szCs w:val="22"/>
                <w:lang w:val="sr-Latn-CS"/>
              </w:rPr>
              <w:t>), divlje jabuke (</w:t>
            </w:r>
            <w:r w:rsidRPr="004E680E">
              <w:rPr>
                <w:rFonts w:ascii="Constantia" w:eastAsia="Calibri" w:hAnsi="Constantia"/>
                <w:bCs/>
                <w:i/>
                <w:iCs/>
                <w:szCs w:val="22"/>
                <w:lang w:val="sr-Latn-CS"/>
              </w:rPr>
              <w:t>Malus sylvestris</w:t>
            </w:r>
            <w:r w:rsidRPr="004E680E">
              <w:rPr>
                <w:rFonts w:ascii="Constantia" w:eastAsia="Calibri" w:hAnsi="Constantia"/>
                <w:bCs/>
                <w:iCs/>
                <w:szCs w:val="22"/>
                <w:lang w:val="sr-Latn-CS"/>
              </w:rPr>
              <w:t>), gorskog brijesta (</w:t>
            </w:r>
            <w:r w:rsidRPr="004E680E">
              <w:rPr>
                <w:rFonts w:ascii="Constantia" w:eastAsia="Calibri" w:hAnsi="Constantia"/>
                <w:bCs/>
                <w:i/>
                <w:iCs/>
                <w:szCs w:val="22"/>
                <w:lang w:val="sr-Latn-CS"/>
              </w:rPr>
              <w:t>Ulmus glabra</w:t>
            </w:r>
            <w:r w:rsidRPr="004E680E">
              <w:rPr>
                <w:rFonts w:ascii="Constantia" w:eastAsia="Calibri" w:hAnsi="Constantia"/>
                <w:bCs/>
                <w:iCs/>
                <w:szCs w:val="22"/>
                <w:lang w:val="sr-Latn-CS"/>
              </w:rPr>
              <w:t>), oraha (</w:t>
            </w:r>
            <w:r w:rsidRPr="004E680E">
              <w:rPr>
                <w:rFonts w:ascii="Constantia" w:eastAsia="Calibri" w:hAnsi="Constantia"/>
                <w:bCs/>
                <w:i/>
                <w:iCs/>
                <w:szCs w:val="22"/>
                <w:lang w:val="sr-Latn-CS"/>
              </w:rPr>
              <w:t>Juglans regia</w:t>
            </w:r>
            <w:r w:rsidRPr="004E680E">
              <w:rPr>
                <w:rFonts w:ascii="Constantia" w:eastAsia="Calibri" w:hAnsi="Constantia"/>
                <w:bCs/>
                <w:iCs/>
                <w:szCs w:val="22"/>
                <w:lang w:val="sr-Latn-CS"/>
              </w:rPr>
              <w:t>) i ponekim žbunom gorskog javora (</w:t>
            </w:r>
            <w:r w:rsidRPr="004E680E">
              <w:rPr>
                <w:rFonts w:ascii="Constantia" w:eastAsia="Calibri" w:hAnsi="Constantia"/>
                <w:bCs/>
                <w:i/>
                <w:iCs/>
                <w:szCs w:val="22"/>
                <w:lang w:val="sr-Latn-CS"/>
              </w:rPr>
              <w:t>Acer pseudoplatanus</w:t>
            </w:r>
            <w:r w:rsidRPr="004E680E">
              <w:rPr>
                <w:rFonts w:ascii="Constantia" w:eastAsia="Calibri" w:hAnsi="Constantia"/>
                <w:bCs/>
                <w:iCs/>
                <w:szCs w:val="22"/>
                <w:lang w:val="sr-Latn-CS"/>
              </w:rPr>
              <w:t>), žestike (</w:t>
            </w:r>
            <w:r w:rsidRPr="004E680E">
              <w:rPr>
                <w:rFonts w:ascii="Constantia" w:eastAsia="Calibri" w:hAnsi="Constantia"/>
                <w:bCs/>
                <w:i/>
                <w:iCs/>
                <w:szCs w:val="22"/>
                <w:lang w:val="sr-Latn-CS"/>
              </w:rPr>
              <w:t>Acer tataricum</w:t>
            </w:r>
            <w:r w:rsidRPr="004E680E">
              <w:rPr>
                <w:rFonts w:ascii="Constantia" w:eastAsia="Calibri" w:hAnsi="Constantia"/>
                <w:bCs/>
                <w:iCs/>
                <w:szCs w:val="22"/>
                <w:lang w:val="sr-Latn-CS"/>
              </w:rPr>
              <w:t>), trnjine (</w:t>
            </w:r>
            <w:r w:rsidRPr="004E680E">
              <w:rPr>
                <w:rFonts w:ascii="Constantia" w:eastAsia="Calibri" w:hAnsi="Constantia"/>
                <w:bCs/>
                <w:i/>
                <w:iCs/>
                <w:szCs w:val="22"/>
                <w:lang w:val="sr-Latn-CS"/>
              </w:rPr>
              <w:t>Prunus spinosa</w:t>
            </w:r>
            <w:r w:rsidRPr="004E680E">
              <w:rPr>
                <w:rFonts w:ascii="Constantia" w:eastAsia="Calibri" w:hAnsi="Constantia"/>
                <w:bCs/>
                <w:iCs/>
                <w:szCs w:val="22"/>
                <w:lang w:val="sr-Latn-CS"/>
              </w:rPr>
              <w:t>), gloga (</w:t>
            </w:r>
            <w:r w:rsidRPr="004E680E">
              <w:rPr>
                <w:rFonts w:ascii="Constantia" w:eastAsia="Calibri" w:hAnsi="Constantia"/>
                <w:bCs/>
                <w:i/>
                <w:iCs/>
                <w:szCs w:val="22"/>
                <w:lang w:val="sr-Latn-CS"/>
              </w:rPr>
              <w:t>Crategus laevigata</w:t>
            </w:r>
            <w:r w:rsidRPr="004E680E">
              <w:rPr>
                <w:rFonts w:ascii="Constantia" w:eastAsia="Calibri" w:hAnsi="Constantia"/>
                <w:bCs/>
                <w:iCs/>
                <w:szCs w:val="22"/>
                <w:lang w:val="sr-Latn-CS"/>
              </w:rPr>
              <w:t>), drijena (</w:t>
            </w:r>
            <w:r w:rsidRPr="004E680E">
              <w:rPr>
                <w:rFonts w:ascii="Constantia" w:eastAsia="Calibri" w:hAnsi="Constantia"/>
                <w:bCs/>
                <w:i/>
                <w:iCs/>
                <w:szCs w:val="22"/>
                <w:lang w:val="sr-Latn-CS"/>
              </w:rPr>
              <w:t>Cornus mas</w:t>
            </w:r>
            <w:r w:rsidRPr="004E680E">
              <w:rPr>
                <w:rFonts w:ascii="Constantia" w:eastAsia="Calibri" w:hAnsi="Constantia"/>
                <w:bCs/>
                <w:iCs/>
                <w:szCs w:val="22"/>
                <w:lang w:val="sr-Latn-CS"/>
              </w:rPr>
              <w:t>), krvovine (</w:t>
            </w:r>
            <w:r w:rsidRPr="004E680E">
              <w:rPr>
                <w:rFonts w:ascii="Constantia" w:eastAsia="Calibri" w:hAnsi="Constantia"/>
                <w:bCs/>
                <w:i/>
                <w:iCs/>
                <w:szCs w:val="22"/>
                <w:lang w:val="sr-Latn-CS"/>
              </w:rPr>
              <w:t>Cornus sanguinea</w:t>
            </w:r>
            <w:r w:rsidRPr="004E680E">
              <w:rPr>
                <w:rFonts w:ascii="Constantia" w:eastAsia="Calibri" w:hAnsi="Constantia"/>
                <w:bCs/>
                <w:iCs/>
                <w:szCs w:val="22"/>
                <w:lang w:val="sr-Latn-CS"/>
              </w:rPr>
              <w:t>), crne zove (</w:t>
            </w:r>
            <w:r w:rsidRPr="004E680E">
              <w:rPr>
                <w:rFonts w:ascii="Constantia" w:eastAsia="Calibri" w:hAnsi="Constantia"/>
                <w:bCs/>
                <w:i/>
                <w:iCs/>
                <w:szCs w:val="22"/>
                <w:lang w:val="sr-Latn-CS"/>
              </w:rPr>
              <w:t>Sambucus nigra</w:t>
            </w:r>
            <w:r w:rsidRPr="004E680E">
              <w:rPr>
                <w:rFonts w:ascii="Constantia" w:eastAsia="Calibri" w:hAnsi="Constantia"/>
                <w:bCs/>
                <w:iCs/>
                <w:szCs w:val="22"/>
                <w:lang w:val="sr-Latn-CS"/>
              </w:rPr>
              <w:t>) i nešto većim učešćem kupine (</w:t>
            </w:r>
            <w:r w:rsidRPr="004E680E">
              <w:rPr>
                <w:rFonts w:ascii="Constantia" w:eastAsia="Calibri" w:hAnsi="Constantia"/>
                <w:bCs/>
                <w:i/>
                <w:iCs/>
                <w:szCs w:val="22"/>
                <w:lang w:val="sr-Latn-CS"/>
              </w:rPr>
              <w:t>Rubus ulmifolius</w:t>
            </w:r>
            <w:r w:rsidRPr="004E680E">
              <w:rPr>
                <w:rFonts w:ascii="Constantia" w:eastAsia="Calibri" w:hAnsi="Constantia"/>
                <w:bCs/>
                <w:iCs/>
                <w:szCs w:val="22"/>
                <w:lang w:val="sr-Latn-CS"/>
              </w:rPr>
              <w:t>) i paprati bujadi (</w:t>
            </w:r>
            <w:r w:rsidRPr="004E680E">
              <w:rPr>
                <w:rFonts w:ascii="Constantia" w:eastAsia="Calibri" w:hAnsi="Constantia"/>
                <w:bCs/>
                <w:i/>
                <w:iCs/>
                <w:szCs w:val="22"/>
                <w:lang w:val="sr-Latn-CS"/>
              </w:rPr>
              <w:t>Pteridium aquilinum</w:t>
            </w:r>
            <w:r w:rsidRPr="004E680E">
              <w:rPr>
                <w:rFonts w:ascii="Constantia" w:eastAsia="Calibri" w:hAnsi="Constantia"/>
                <w:bCs/>
                <w:iCs/>
                <w:szCs w:val="22"/>
                <w:lang w:val="sr-Latn-CS"/>
              </w:rPr>
              <w:t>).</w:t>
            </w:r>
          </w:p>
        </w:tc>
      </w:tr>
      <w:tr w:rsidR="004B071C" w:rsidRPr="004E680E" w:rsidTr="004E680E">
        <w:tc>
          <w:tcPr>
            <w:tcW w:w="1424" w:type="dxa"/>
            <w:vMerge w:val="restart"/>
            <w:shd w:val="clear" w:color="auto" w:fill="CDDDAC"/>
          </w:tcPr>
          <w:p w:rsidR="004B071C" w:rsidRPr="004E680E" w:rsidRDefault="004B071C" w:rsidP="00140CFA">
            <w:pPr>
              <w:rPr>
                <w:rFonts w:ascii="Constantia" w:hAnsi="Constantia"/>
                <w:b/>
                <w:bCs/>
                <w:iCs/>
                <w:color w:val="000000"/>
                <w:spacing w:val="8"/>
                <w:szCs w:val="22"/>
                <w:lang w:val="sr-Latn-CS"/>
              </w:rPr>
            </w:pPr>
            <w:r w:rsidRPr="004E680E">
              <w:rPr>
                <w:rFonts w:ascii="Constantia" w:hAnsi="Constantia"/>
                <w:b/>
                <w:bCs/>
                <w:iCs/>
                <w:color w:val="000000"/>
                <w:spacing w:val="8"/>
                <w:szCs w:val="22"/>
                <w:lang w:val="sr-Latn-CS"/>
              </w:rPr>
              <w:t>Andrijevo</w:t>
            </w:r>
          </w:p>
        </w:tc>
        <w:tc>
          <w:tcPr>
            <w:tcW w:w="2086" w:type="dxa"/>
            <w:shd w:val="clear" w:color="auto" w:fill="CDDDAC"/>
          </w:tcPr>
          <w:p w:rsidR="004B071C" w:rsidRPr="004E680E" w:rsidRDefault="004B071C" w:rsidP="00140CFA">
            <w:pPr>
              <w:jc w:val="left"/>
              <w:rPr>
                <w:rFonts w:ascii="Constantia" w:hAnsi="Constantia"/>
                <w:szCs w:val="22"/>
              </w:rPr>
            </w:pPr>
            <w:r w:rsidRPr="004E680E">
              <w:rPr>
                <w:rFonts w:ascii="Constantia" w:hAnsi="Constantia"/>
                <w:szCs w:val="22"/>
              </w:rPr>
              <w:t>Indikatorske vrste (status zaštite)</w:t>
            </w:r>
          </w:p>
        </w:tc>
        <w:tc>
          <w:tcPr>
            <w:tcW w:w="5580" w:type="dxa"/>
            <w:shd w:val="clear" w:color="auto" w:fill="CDDDAC"/>
          </w:tcPr>
          <w:p w:rsidR="004B071C" w:rsidRPr="004E680E" w:rsidRDefault="004B071C" w:rsidP="00140CFA">
            <w:pPr>
              <w:rPr>
                <w:rFonts w:ascii="Constantia" w:eastAsia="Calibri" w:hAnsi="Constantia"/>
                <w:b/>
                <w:bCs/>
                <w:szCs w:val="22"/>
                <w:lang w:val="sr-Latn-CS"/>
              </w:rPr>
            </w:pPr>
            <w:r w:rsidRPr="004E680E">
              <w:rPr>
                <w:rFonts w:ascii="Constantia" w:eastAsia="Calibri" w:hAnsi="Constantia"/>
                <w:szCs w:val="22"/>
                <w:lang w:val="sr-Latn-CS"/>
              </w:rPr>
              <w:t>Tisa (</w:t>
            </w:r>
            <w:r w:rsidRPr="004E680E">
              <w:rPr>
                <w:rFonts w:ascii="Constantia" w:eastAsia="Calibri" w:hAnsi="Constantia"/>
                <w:i/>
                <w:szCs w:val="22"/>
                <w:lang w:val="sr-Latn-CS"/>
              </w:rPr>
              <w:t>Taxus baccata</w:t>
            </w:r>
            <w:r w:rsidRPr="004E680E">
              <w:rPr>
                <w:rFonts w:ascii="Constantia" w:eastAsia="Calibri" w:hAnsi="Constantia"/>
                <w:szCs w:val="22"/>
                <w:lang w:val="sr-Latn-CS"/>
              </w:rPr>
              <w:t>)</w:t>
            </w:r>
            <w:r w:rsidR="00C17F8E" w:rsidRPr="004E680E">
              <w:rPr>
                <w:rFonts w:ascii="Constantia" w:eastAsia="Calibri" w:hAnsi="Constantia"/>
                <w:szCs w:val="22"/>
                <w:lang w:val="sr-Latn-CS"/>
              </w:rPr>
              <w:t xml:space="preserve"> </w:t>
            </w:r>
            <w:r w:rsidRPr="004E680E">
              <w:rPr>
                <w:rFonts w:ascii="Constantia" w:eastAsia="Calibri" w:hAnsi="Constantia"/>
                <w:szCs w:val="22"/>
                <w:lang w:val="sr-Latn-CS"/>
              </w:rPr>
              <w:t xml:space="preserve">- </w:t>
            </w:r>
            <w:r w:rsidR="00C17F8E" w:rsidRPr="004E680E">
              <w:rPr>
                <w:rFonts w:ascii="Constantia" w:eastAsia="Calibri" w:hAnsi="Constantia"/>
                <w:szCs w:val="22"/>
                <w:lang w:val="sr-Latn-CS" w:eastAsia="ko-KR"/>
              </w:rPr>
              <w:t>p</w:t>
            </w:r>
            <w:r w:rsidRPr="004E680E">
              <w:rPr>
                <w:rFonts w:ascii="Constantia" w:eastAsia="Calibri" w:hAnsi="Constantia"/>
                <w:szCs w:val="22"/>
                <w:lang w:val="sr-Latn-CS" w:eastAsia="ko-KR"/>
              </w:rPr>
              <w:t>ostojeća vrlo mala lokalna populacija tise (</w:t>
            </w:r>
            <w:r w:rsidRPr="004E680E">
              <w:rPr>
                <w:rFonts w:ascii="Constantia" w:eastAsia="Calibri" w:hAnsi="Constantia"/>
                <w:i/>
                <w:szCs w:val="22"/>
                <w:lang w:val="sr-Latn-CS" w:eastAsia="ko-KR"/>
              </w:rPr>
              <w:t>Taxus baccata</w:t>
            </w:r>
            <w:r w:rsidRPr="004E680E">
              <w:rPr>
                <w:rFonts w:ascii="Constantia" w:eastAsia="Calibri" w:hAnsi="Constantia"/>
                <w:szCs w:val="22"/>
                <w:lang w:val="sr-Latn-CS" w:eastAsia="ko-KR"/>
              </w:rPr>
              <w:t>) lokalitetu je za sada stabilna</w:t>
            </w:r>
            <w:r w:rsidR="00C17F8E" w:rsidRPr="004E680E">
              <w:rPr>
                <w:rFonts w:ascii="Constantia" w:eastAsia="Calibri" w:hAnsi="Constantia"/>
                <w:b/>
                <w:bCs/>
                <w:szCs w:val="22"/>
                <w:lang w:val="sr-Latn-CS"/>
              </w:rPr>
              <w:t>.</w:t>
            </w:r>
          </w:p>
        </w:tc>
      </w:tr>
      <w:tr w:rsidR="004B071C" w:rsidRPr="004E680E" w:rsidTr="004E680E">
        <w:tc>
          <w:tcPr>
            <w:tcW w:w="1424" w:type="dxa"/>
            <w:vMerge/>
            <w:shd w:val="clear" w:color="auto" w:fill="E6EED5"/>
          </w:tcPr>
          <w:p w:rsidR="004B071C" w:rsidRPr="004E680E" w:rsidRDefault="004B071C" w:rsidP="00140CFA">
            <w:pPr>
              <w:rPr>
                <w:rFonts w:ascii="Constantia" w:hAnsi="Constantia"/>
                <w:b/>
                <w:bCs/>
                <w:iCs/>
                <w:color w:val="000000"/>
                <w:spacing w:val="8"/>
                <w:szCs w:val="22"/>
                <w:lang w:val="sr-Latn-CS"/>
              </w:rPr>
            </w:pPr>
          </w:p>
        </w:tc>
        <w:tc>
          <w:tcPr>
            <w:tcW w:w="2086" w:type="dxa"/>
            <w:shd w:val="clear" w:color="auto" w:fill="E6EED5"/>
          </w:tcPr>
          <w:p w:rsidR="004B071C" w:rsidRPr="004E680E" w:rsidRDefault="004B071C" w:rsidP="00140CFA">
            <w:pPr>
              <w:jc w:val="left"/>
              <w:rPr>
                <w:rFonts w:ascii="Constantia" w:hAnsi="Constantia"/>
                <w:szCs w:val="22"/>
              </w:rPr>
            </w:pPr>
            <w:r w:rsidRPr="004E680E">
              <w:rPr>
                <w:rFonts w:ascii="Constantia" w:hAnsi="Constantia"/>
                <w:szCs w:val="22"/>
              </w:rPr>
              <w:t>Ostale vrste</w:t>
            </w:r>
          </w:p>
        </w:tc>
        <w:tc>
          <w:tcPr>
            <w:tcW w:w="5580" w:type="dxa"/>
            <w:shd w:val="clear" w:color="auto" w:fill="E6EED5"/>
          </w:tcPr>
          <w:p w:rsidR="004B071C" w:rsidRPr="004E680E" w:rsidRDefault="00C17F8E" w:rsidP="00140CFA">
            <w:pPr>
              <w:rPr>
                <w:rFonts w:ascii="Constantia" w:eastAsia="Calibri" w:hAnsi="Constantia"/>
                <w:bCs/>
                <w:iCs/>
                <w:szCs w:val="22"/>
                <w:lang w:val="sr-Latn-CS"/>
              </w:rPr>
            </w:pPr>
            <w:r w:rsidRPr="004E680E">
              <w:rPr>
                <w:rFonts w:ascii="Constantia" w:eastAsia="Calibri" w:hAnsi="Constantia"/>
                <w:bCs/>
                <w:iCs/>
                <w:szCs w:val="22"/>
                <w:lang w:val="sr-Latn-CS"/>
              </w:rPr>
              <w:t>C</w:t>
            </w:r>
            <w:r w:rsidR="004B071C" w:rsidRPr="004E680E">
              <w:rPr>
                <w:rFonts w:ascii="Constantia" w:eastAsia="Calibri" w:hAnsi="Constantia"/>
                <w:bCs/>
                <w:iCs/>
                <w:szCs w:val="22"/>
                <w:lang w:val="sr-Latn-CS"/>
              </w:rPr>
              <w:t>rni grab (</w:t>
            </w:r>
            <w:r w:rsidR="004B071C" w:rsidRPr="004E680E">
              <w:rPr>
                <w:rFonts w:ascii="Constantia" w:eastAsia="Calibri" w:hAnsi="Constantia"/>
                <w:bCs/>
                <w:i/>
                <w:iCs/>
                <w:szCs w:val="22"/>
                <w:lang w:val="sr-Latn-CS"/>
              </w:rPr>
              <w:t>Ostrya carpinifolia</w:t>
            </w:r>
            <w:r w:rsidR="004B071C" w:rsidRPr="004E680E">
              <w:rPr>
                <w:rFonts w:ascii="Constantia" w:eastAsia="Calibri" w:hAnsi="Constantia"/>
                <w:bCs/>
                <w:iCs/>
                <w:szCs w:val="22"/>
                <w:lang w:val="sr-Latn-CS"/>
              </w:rPr>
              <w:t>), bjelograbić (</w:t>
            </w:r>
            <w:r w:rsidR="004B071C" w:rsidRPr="004E680E">
              <w:rPr>
                <w:rFonts w:ascii="Constantia" w:eastAsia="Calibri" w:hAnsi="Constantia"/>
                <w:bCs/>
                <w:i/>
                <w:iCs/>
                <w:szCs w:val="22"/>
                <w:lang w:val="sr-Latn-CS"/>
              </w:rPr>
              <w:t>Carpinus orientalis</w:t>
            </w:r>
            <w:r w:rsidR="004B071C" w:rsidRPr="004E680E">
              <w:rPr>
                <w:rFonts w:ascii="Constantia" w:eastAsia="Calibri" w:hAnsi="Constantia"/>
                <w:bCs/>
                <w:iCs/>
                <w:szCs w:val="22"/>
                <w:lang w:val="sr-Latn-CS"/>
              </w:rPr>
              <w:t>), crni jasen (</w:t>
            </w:r>
            <w:r w:rsidR="004B071C" w:rsidRPr="004E680E">
              <w:rPr>
                <w:rFonts w:ascii="Constantia" w:eastAsia="Calibri" w:hAnsi="Constantia"/>
                <w:bCs/>
                <w:i/>
                <w:iCs/>
                <w:szCs w:val="22"/>
                <w:lang w:val="sr-Latn-CS"/>
              </w:rPr>
              <w:t>Fraxinus ornus</w:t>
            </w:r>
            <w:r w:rsidR="004B071C" w:rsidRPr="004E680E">
              <w:rPr>
                <w:rFonts w:ascii="Constantia" w:eastAsia="Calibri" w:hAnsi="Constantia"/>
                <w:bCs/>
                <w:iCs/>
                <w:szCs w:val="22"/>
                <w:lang w:val="sr-Latn-CS"/>
              </w:rPr>
              <w:t>), makljen (</w:t>
            </w:r>
            <w:r w:rsidR="004B071C" w:rsidRPr="004E680E">
              <w:rPr>
                <w:rFonts w:ascii="Constantia" w:eastAsia="Calibri" w:hAnsi="Constantia"/>
                <w:bCs/>
                <w:i/>
                <w:iCs/>
                <w:szCs w:val="22"/>
                <w:lang w:val="sr-Latn-CS"/>
              </w:rPr>
              <w:t>Acer monspessulanum</w:t>
            </w:r>
            <w:r w:rsidR="004B071C" w:rsidRPr="004E680E">
              <w:rPr>
                <w:rFonts w:ascii="Constantia" w:eastAsia="Calibri" w:hAnsi="Constantia"/>
                <w:bCs/>
                <w:iCs/>
                <w:szCs w:val="22"/>
                <w:lang w:val="sr-Latn-CS"/>
              </w:rPr>
              <w:t>)</w:t>
            </w:r>
          </w:p>
        </w:tc>
      </w:tr>
      <w:tr w:rsidR="004B071C" w:rsidRPr="004E680E" w:rsidTr="004E680E">
        <w:tc>
          <w:tcPr>
            <w:tcW w:w="1424" w:type="dxa"/>
            <w:vMerge/>
            <w:shd w:val="clear" w:color="auto" w:fill="CDDDAC"/>
          </w:tcPr>
          <w:p w:rsidR="004B071C" w:rsidRPr="004E680E" w:rsidRDefault="004B071C" w:rsidP="00117FB6">
            <w:pPr>
              <w:spacing w:after="0"/>
              <w:rPr>
                <w:rFonts w:ascii="Constantia" w:hAnsi="Constantia"/>
                <w:b/>
                <w:bCs/>
                <w:iCs/>
                <w:color w:val="000000"/>
                <w:spacing w:val="8"/>
                <w:szCs w:val="22"/>
                <w:lang w:val="sr-Latn-CS"/>
              </w:rPr>
            </w:pPr>
          </w:p>
        </w:tc>
        <w:tc>
          <w:tcPr>
            <w:tcW w:w="2086" w:type="dxa"/>
            <w:shd w:val="clear" w:color="auto" w:fill="CDDDAC"/>
          </w:tcPr>
          <w:p w:rsidR="004B071C" w:rsidRPr="004E680E" w:rsidRDefault="004B071C" w:rsidP="00C17F8E">
            <w:pPr>
              <w:jc w:val="left"/>
              <w:rPr>
                <w:rFonts w:ascii="Constantia" w:hAnsi="Constantia"/>
                <w:szCs w:val="22"/>
              </w:rPr>
            </w:pPr>
            <w:r w:rsidRPr="004E680E">
              <w:rPr>
                <w:rFonts w:ascii="Constantia" w:hAnsi="Constantia"/>
                <w:szCs w:val="22"/>
              </w:rPr>
              <w:t>Utvrđeno stanje</w:t>
            </w:r>
          </w:p>
        </w:tc>
        <w:tc>
          <w:tcPr>
            <w:tcW w:w="5580" w:type="dxa"/>
            <w:shd w:val="clear" w:color="auto" w:fill="CDDDAC"/>
          </w:tcPr>
          <w:p w:rsidR="004B071C" w:rsidRPr="004E680E" w:rsidRDefault="004B071C" w:rsidP="004E680E">
            <w:pPr>
              <w:spacing w:after="0"/>
              <w:rPr>
                <w:rFonts w:ascii="Constantia" w:eastAsia="Calibri" w:hAnsi="Constantia"/>
                <w:szCs w:val="22"/>
                <w:lang w:val="sr-Latn-CS"/>
              </w:rPr>
            </w:pPr>
            <w:r w:rsidRPr="004E680E">
              <w:rPr>
                <w:rFonts w:ascii="Constantia" w:eastAsia="Calibri" w:hAnsi="Constantia"/>
                <w:szCs w:val="22"/>
                <w:lang w:val="sr-Latn-CS"/>
              </w:rPr>
              <w:t>Lokalitet Andrijevo se karakteriše vrlo strmim ili okomitim stijenama sa vrlo slabo razvijenim slojem zemljišta (uglavnom u pukotinama stijena)</w:t>
            </w:r>
            <w:r w:rsidR="00F275E8" w:rsidRPr="004E680E">
              <w:rPr>
                <w:rFonts w:ascii="Constantia" w:eastAsia="Calibri" w:hAnsi="Constantia"/>
                <w:szCs w:val="22"/>
                <w:lang w:val="sr-Latn-CS"/>
              </w:rPr>
              <w:t>,</w:t>
            </w:r>
            <w:r w:rsidRPr="004E680E">
              <w:rPr>
                <w:rFonts w:ascii="Constantia" w:eastAsia="Calibri" w:hAnsi="Constantia"/>
                <w:szCs w:val="22"/>
                <w:lang w:val="sr-Latn-CS"/>
              </w:rPr>
              <w:t xml:space="preserve"> što je uticalo na slabu i vrlo prorijeđenu pokrivenost dendroflorom ovog prostora. Neposredno iznad toka rijeke, sa blažim nagibom stijena i malo bolje razvijenim slojem zemljišta, šumska vegetacija je nešto bogatija, sa učešćem nekoliko vrsta dendroflore, među kojima su: crni grab (</w:t>
            </w:r>
            <w:r w:rsidRPr="004E680E">
              <w:rPr>
                <w:rFonts w:ascii="Constantia" w:eastAsia="Calibri" w:hAnsi="Constantia"/>
                <w:i/>
                <w:szCs w:val="22"/>
                <w:lang w:val="sr-Latn-CS"/>
              </w:rPr>
              <w:t>Ostrya carpinifolia</w:t>
            </w:r>
            <w:r w:rsidRPr="004E680E">
              <w:rPr>
                <w:rFonts w:ascii="Constantia" w:eastAsia="Calibri" w:hAnsi="Constantia"/>
                <w:szCs w:val="22"/>
                <w:lang w:val="sr-Latn-CS"/>
              </w:rPr>
              <w:t>), crni jasen (</w:t>
            </w:r>
            <w:r w:rsidRPr="004E680E">
              <w:rPr>
                <w:rFonts w:ascii="Constantia" w:eastAsia="Calibri" w:hAnsi="Constantia"/>
                <w:i/>
                <w:szCs w:val="22"/>
                <w:lang w:val="sr-Latn-CS"/>
              </w:rPr>
              <w:t>Fraxinus ornus</w:t>
            </w:r>
            <w:r w:rsidRPr="004E680E">
              <w:rPr>
                <w:rFonts w:ascii="Constantia" w:eastAsia="Calibri" w:hAnsi="Constantia"/>
                <w:szCs w:val="22"/>
                <w:lang w:val="sr-Latn-CS"/>
              </w:rPr>
              <w:t>), bjelograbić (</w:t>
            </w:r>
            <w:r w:rsidRPr="004E680E">
              <w:rPr>
                <w:rFonts w:ascii="Constantia" w:eastAsia="Calibri" w:hAnsi="Constantia"/>
                <w:i/>
                <w:szCs w:val="22"/>
                <w:lang w:val="sr-Latn-CS"/>
              </w:rPr>
              <w:t>Carpinus orientalis</w:t>
            </w:r>
            <w:r w:rsidRPr="004E680E">
              <w:rPr>
                <w:rFonts w:ascii="Constantia" w:eastAsia="Calibri" w:hAnsi="Constantia"/>
                <w:szCs w:val="22"/>
                <w:lang w:val="sr-Latn-CS"/>
              </w:rPr>
              <w:t>) i makljen (</w:t>
            </w:r>
            <w:r w:rsidRPr="004E680E">
              <w:rPr>
                <w:rFonts w:ascii="Constantia" w:eastAsia="Calibri" w:hAnsi="Constantia"/>
                <w:i/>
                <w:szCs w:val="22"/>
                <w:lang w:val="sr-Latn-CS"/>
              </w:rPr>
              <w:t>Acer monspessulanum</w:t>
            </w:r>
            <w:r w:rsidRPr="004E680E">
              <w:rPr>
                <w:rFonts w:ascii="Constantia" w:eastAsia="Calibri" w:hAnsi="Constantia"/>
                <w:szCs w:val="22"/>
                <w:lang w:val="sr-Latn-CS"/>
              </w:rPr>
              <w:t xml:space="preserve">). </w:t>
            </w:r>
          </w:p>
          <w:p w:rsidR="004B071C" w:rsidRPr="004E680E" w:rsidRDefault="004B071C" w:rsidP="00140CFA">
            <w:pPr>
              <w:rPr>
                <w:rFonts w:ascii="Constantia" w:eastAsia="Calibri" w:hAnsi="Constantia"/>
                <w:szCs w:val="22"/>
                <w:lang w:val="sr-Latn-CS"/>
              </w:rPr>
            </w:pPr>
            <w:r w:rsidRPr="004E680E">
              <w:rPr>
                <w:rFonts w:ascii="Constantia" w:eastAsia="Calibri" w:hAnsi="Constantia"/>
                <w:bCs/>
                <w:iCs/>
                <w:szCs w:val="22"/>
                <w:lang w:val="sr-Latn-CS"/>
              </w:rPr>
              <w:t>Na skoro okomitim stijenama, oko 30 metara iznad toka rijeke Morače</w:t>
            </w:r>
            <w:r w:rsidR="00F275E8" w:rsidRPr="004E680E">
              <w:rPr>
                <w:rFonts w:ascii="Constantia" w:eastAsia="Calibri" w:hAnsi="Constantia"/>
                <w:bCs/>
                <w:iCs/>
                <w:szCs w:val="22"/>
                <w:lang w:val="sr-Latn-CS"/>
              </w:rPr>
              <w:t>,</w:t>
            </w:r>
            <w:r w:rsidRPr="004E680E">
              <w:rPr>
                <w:rFonts w:ascii="Constantia" w:eastAsia="Calibri" w:hAnsi="Constantia"/>
                <w:bCs/>
                <w:iCs/>
                <w:szCs w:val="22"/>
                <w:lang w:val="sr-Latn-CS"/>
              </w:rPr>
              <w:t xml:space="preserve"> sa njene lijeve strane, prisutna su tri žbuna vrlo rijetke i zakonom zaštićene biljne vrste </w:t>
            </w:r>
            <w:r w:rsidRPr="004E680E">
              <w:rPr>
                <w:rFonts w:ascii="Constantia" w:eastAsia="Calibri" w:hAnsi="Constantia"/>
                <w:bCs/>
                <w:i/>
                <w:iCs/>
                <w:szCs w:val="22"/>
                <w:lang w:val="sr-Latn-CS"/>
              </w:rPr>
              <w:t>Taxus baccata</w:t>
            </w:r>
            <w:r w:rsidRPr="004E680E">
              <w:rPr>
                <w:rFonts w:ascii="Constantia" w:eastAsia="Calibri" w:hAnsi="Constantia"/>
                <w:bCs/>
                <w:iCs/>
                <w:szCs w:val="22"/>
                <w:lang w:val="sr-Latn-CS"/>
              </w:rPr>
              <w:t xml:space="preserve"> (tisa). Zahvaljujući nepristupačnom terenu ova tri žbuna tise su za sada dobro zaštićena od negativnog antropogenog uticaja.</w:t>
            </w:r>
          </w:p>
        </w:tc>
      </w:tr>
      <w:tr w:rsidR="004B071C" w:rsidRPr="004E680E" w:rsidTr="004E680E">
        <w:tc>
          <w:tcPr>
            <w:tcW w:w="1424" w:type="dxa"/>
            <w:shd w:val="clear" w:color="auto" w:fill="E6EED5"/>
          </w:tcPr>
          <w:p w:rsidR="004B071C" w:rsidRPr="004E680E" w:rsidRDefault="004B071C" w:rsidP="00117FB6">
            <w:pPr>
              <w:spacing w:after="0"/>
              <w:rPr>
                <w:rFonts w:ascii="Constantia" w:hAnsi="Constantia"/>
                <w:b/>
                <w:bCs/>
                <w:iCs/>
                <w:color w:val="000000"/>
                <w:spacing w:val="8"/>
                <w:szCs w:val="22"/>
                <w:lang w:val="sr-Latn-CS"/>
              </w:rPr>
            </w:pPr>
            <w:r w:rsidRPr="004E680E">
              <w:rPr>
                <w:rFonts w:ascii="Constantia" w:hAnsi="Constantia"/>
                <w:b/>
                <w:bCs/>
                <w:iCs/>
                <w:color w:val="000000"/>
                <w:spacing w:val="8"/>
                <w:szCs w:val="22"/>
                <w:lang w:val="sr-Latn-CS"/>
              </w:rPr>
              <w:t>Milunovići</w:t>
            </w:r>
          </w:p>
        </w:tc>
        <w:tc>
          <w:tcPr>
            <w:tcW w:w="2086" w:type="dxa"/>
            <w:shd w:val="clear" w:color="auto" w:fill="E6EED5"/>
          </w:tcPr>
          <w:p w:rsidR="004B071C" w:rsidRPr="004E680E" w:rsidRDefault="004B071C" w:rsidP="00117FB6">
            <w:pPr>
              <w:spacing w:after="0"/>
              <w:jc w:val="left"/>
              <w:rPr>
                <w:rFonts w:ascii="Constantia" w:hAnsi="Constantia"/>
                <w:szCs w:val="22"/>
              </w:rPr>
            </w:pPr>
            <w:r w:rsidRPr="004E680E">
              <w:rPr>
                <w:rFonts w:ascii="Constantia" w:hAnsi="Constantia"/>
                <w:szCs w:val="22"/>
              </w:rPr>
              <w:t>Invazivne vrste</w:t>
            </w:r>
          </w:p>
        </w:tc>
        <w:tc>
          <w:tcPr>
            <w:tcW w:w="5580" w:type="dxa"/>
            <w:shd w:val="clear" w:color="auto" w:fill="E6EED5"/>
          </w:tcPr>
          <w:p w:rsidR="004B071C" w:rsidRPr="004E680E" w:rsidRDefault="004B071C" w:rsidP="00140CFA">
            <w:pPr>
              <w:rPr>
                <w:rFonts w:ascii="Constantia" w:eastAsia="Calibri" w:hAnsi="Constantia"/>
                <w:szCs w:val="22"/>
                <w:lang w:val="sr-Latn-CS"/>
              </w:rPr>
            </w:pPr>
            <w:r w:rsidRPr="004E680E">
              <w:rPr>
                <w:rFonts w:ascii="Constantia" w:eastAsia="Calibri" w:hAnsi="Constantia"/>
                <w:iCs/>
                <w:szCs w:val="22"/>
                <w:lang w:val="sr-Latn-CS"/>
              </w:rPr>
              <w:t>Pajasen (</w:t>
            </w:r>
            <w:r w:rsidRPr="004E680E">
              <w:rPr>
                <w:rFonts w:ascii="Constantia" w:eastAsia="Calibri" w:hAnsi="Constantia"/>
                <w:i/>
                <w:iCs/>
                <w:szCs w:val="22"/>
                <w:lang w:val="sr-Latn-CS"/>
              </w:rPr>
              <w:t>Ailanthus altissima</w:t>
            </w:r>
            <w:r w:rsidR="001D6043" w:rsidRPr="004E680E">
              <w:rPr>
                <w:rFonts w:ascii="Constantia" w:eastAsia="Calibri" w:hAnsi="Constantia"/>
                <w:iCs/>
                <w:szCs w:val="22"/>
                <w:lang w:val="sr-Latn-CS"/>
              </w:rPr>
              <w:t>) i b</w:t>
            </w:r>
            <w:r w:rsidRPr="004E680E">
              <w:rPr>
                <w:rFonts w:ascii="Constantia" w:eastAsia="Calibri" w:hAnsi="Constantia"/>
                <w:iCs/>
                <w:szCs w:val="22"/>
                <w:lang w:val="sr-Latn-CS"/>
              </w:rPr>
              <w:t>agrem (</w:t>
            </w:r>
            <w:r w:rsidRPr="004E680E">
              <w:rPr>
                <w:rFonts w:ascii="Constantia" w:eastAsia="Calibri" w:hAnsi="Constantia"/>
                <w:i/>
                <w:iCs/>
                <w:szCs w:val="22"/>
                <w:lang w:val="sr-Latn-CS"/>
              </w:rPr>
              <w:t>Robinia pseudoacacia</w:t>
            </w:r>
            <w:r w:rsidRPr="004E680E">
              <w:rPr>
                <w:rFonts w:ascii="Constantia" w:eastAsia="Calibri" w:hAnsi="Constantia"/>
                <w:iCs/>
                <w:szCs w:val="22"/>
                <w:lang w:val="sr-Latn-CS"/>
              </w:rPr>
              <w:t xml:space="preserve">) - </w:t>
            </w:r>
            <w:r w:rsidRPr="004E680E">
              <w:rPr>
                <w:rFonts w:ascii="Constantia" w:eastAsia="Calibri" w:hAnsi="Constantia"/>
                <w:bCs/>
                <w:iCs/>
                <w:szCs w:val="22"/>
                <w:lang w:val="sr-Latn-CS" w:eastAsia="ko-KR"/>
              </w:rPr>
              <w:t>prisutni sa malim brojem jedinki i za sada ne predstavljaju veću prijetnju za lokalni biodiverzitet</w:t>
            </w:r>
            <w:r w:rsidR="001D6043" w:rsidRPr="004E680E">
              <w:rPr>
                <w:rFonts w:ascii="Constantia" w:eastAsia="Calibri" w:hAnsi="Constantia"/>
                <w:bCs/>
                <w:iCs/>
                <w:szCs w:val="22"/>
                <w:lang w:val="sr-Latn-CS" w:eastAsia="ko-KR"/>
              </w:rPr>
              <w:t>.</w:t>
            </w:r>
          </w:p>
        </w:tc>
      </w:tr>
      <w:tr w:rsidR="004B071C" w:rsidRPr="004E680E" w:rsidTr="004E680E">
        <w:tc>
          <w:tcPr>
            <w:tcW w:w="1424" w:type="dxa"/>
            <w:shd w:val="clear" w:color="auto" w:fill="CDDDAC"/>
          </w:tcPr>
          <w:p w:rsidR="004B071C" w:rsidRPr="004E680E" w:rsidRDefault="004B071C" w:rsidP="00117FB6">
            <w:pPr>
              <w:spacing w:after="0"/>
              <w:rPr>
                <w:rFonts w:ascii="Constantia" w:hAnsi="Constantia"/>
                <w:b/>
                <w:bCs/>
                <w:iCs/>
                <w:color w:val="000000"/>
                <w:spacing w:val="8"/>
                <w:szCs w:val="22"/>
                <w:lang w:val="sr-Latn-CS"/>
              </w:rPr>
            </w:pPr>
          </w:p>
        </w:tc>
        <w:tc>
          <w:tcPr>
            <w:tcW w:w="2086" w:type="dxa"/>
            <w:shd w:val="clear" w:color="auto" w:fill="CDDDAC"/>
          </w:tcPr>
          <w:p w:rsidR="004B071C" w:rsidRPr="004E680E" w:rsidRDefault="004B071C" w:rsidP="00117FB6">
            <w:pPr>
              <w:spacing w:after="0"/>
              <w:jc w:val="left"/>
              <w:rPr>
                <w:rFonts w:ascii="Constantia" w:hAnsi="Constantia"/>
                <w:szCs w:val="22"/>
              </w:rPr>
            </w:pPr>
            <w:r w:rsidRPr="004E680E">
              <w:rPr>
                <w:rFonts w:ascii="Constantia" w:hAnsi="Constantia"/>
                <w:szCs w:val="22"/>
              </w:rPr>
              <w:t>Ostale vrste</w:t>
            </w:r>
          </w:p>
        </w:tc>
        <w:tc>
          <w:tcPr>
            <w:tcW w:w="5580" w:type="dxa"/>
            <w:shd w:val="clear" w:color="auto" w:fill="CDDDAC"/>
          </w:tcPr>
          <w:p w:rsidR="004B071C" w:rsidRPr="004E680E" w:rsidRDefault="004B071C" w:rsidP="00140CFA">
            <w:pPr>
              <w:rPr>
                <w:rFonts w:ascii="Constantia" w:eastAsia="Calibri" w:hAnsi="Constantia"/>
                <w:bCs/>
                <w:iCs/>
                <w:szCs w:val="22"/>
                <w:lang w:val="sr-Latn-CS"/>
              </w:rPr>
            </w:pPr>
            <w:r w:rsidRPr="004E680E">
              <w:rPr>
                <w:rFonts w:ascii="Constantia" w:eastAsia="Calibri" w:hAnsi="Constantia"/>
                <w:bCs/>
                <w:iCs/>
                <w:szCs w:val="22"/>
                <w:lang w:val="sr-Latn-CS"/>
              </w:rPr>
              <w:t>Bjelograbić (</w:t>
            </w:r>
            <w:r w:rsidRPr="004E680E">
              <w:rPr>
                <w:rFonts w:ascii="Constantia" w:eastAsia="Calibri" w:hAnsi="Constantia"/>
                <w:bCs/>
                <w:i/>
                <w:iCs/>
                <w:szCs w:val="22"/>
                <w:lang w:val="sr-Latn-CS"/>
              </w:rPr>
              <w:t>Carpinus orientalis</w:t>
            </w:r>
            <w:r w:rsidRPr="004E680E">
              <w:rPr>
                <w:rFonts w:ascii="Constantia" w:eastAsia="Calibri" w:hAnsi="Constantia"/>
                <w:bCs/>
                <w:iCs/>
                <w:szCs w:val="22"/>
                <w:lang w:val="sr-Latn-CS"/>
              </w:rPr>
              <w:t>), zelenika (</w:t>
            </w:r>
            <w:r w:rsidRPr="004E680E">
              <w:rPr>
                <w:rFonts w:ascii="Constantia" w:eastAsia="Calibri" w:hAnsi="Constantia"/>
                <w:bCs/>
                <w:i/>
                <w:iCs/>
                <w:szCs w:val="22"/>
                <w:lang w:val="sr-Latn-CS"/>
              </w:rPr>
              <w:t>Phillyrea media</w:t>
            </w:r>
            <w:r w:rsidRPr="004E680E">
              <w:rPr>
                <w:rFonts w:ascii="Constantia" w:eastAsia="Calibri" w:hAnsi="Constantia"/>
                <w:bCs/>
                <w:iCs/>
                <w:szCs w:val="22"/>
                <w:lang w:val="sr-Latn-CS"/>
              </w:rPr>
              <w:t xml:space="preserve">), </w:t>
            </w:r>
            <w:r w:rsidR="00FC595C" w:rsidRPr="004E680E">
              <w:rPr>
                <w:rFonts w:ascii="Constantia" w:eastAsia="Calibri" w:hAnsi="Constantia"/>
                <w:bCs/>
                <w:iCs/>
                <w:szCs w:val="22"/>
                <w:lang w:val="sr-Latn-CS"/>
              </w:rPr>
              <w:t>p</w:t>
            </w:r>
            <w:r w:rsidRPr="004E680E">
              <w:rPr>
                <w:rFonts w:ascii="Constantia" w:eastAsia="Calibri" w:hAnsi="Constantia"/>
                <w:bCs/>
                <w:iCs/>
                <w:szCs w:val="22"/>
                <w:lang w:val="sr-Latn-CS"/>
              </w:rPr>
              <w:t>rimorska smrdljika (</w:t>
            </w:r>
            <w:r w:rsidRPr="004E680E">
              <w:rPr>
                <w:rFonts w:ascii="Constantia" w:eastAsia="Calibri" w:hAnsi="Constantia"/>
                <w:bCs/>
                <w:i/>
                <w:iCs/>
                <w:szCs w:val="22"/>
                <w:lang w:val="sr-Latn-CS"/>
              </w:rPr>
              <w:t>Pistacia terebinthus</w:t>
            </w:r>
            <w:r w:rsidRPr="004E680E">
              <w:rPr>
                <w:rFonts w:ascii="Constantia" w:eastAsia="Calibri" w:hAnsi="Constantia"/>
                <w:bCs/>
                <w:iCs/>
                <w:szCs w:val="22"/>
                <w:lang w:val="sr-Latn-CS"/>
              </w:rPr>
              <w:t>), nar (</w:t>
            </w:r>
            <w:r w:rsidRPr="004E680E">
              <w:rPr>
                <w:rFonts w:ascii="Constantia" w:eastAsia="Calibri" w:hAnsi="Constantia"/>
                <w:bCs/>
                <w:i/>
                <w:iCs/>
                <w:szCs w:val="22"/>
                <w:lang w:val="sr-Latn-CS"/>
              </w:rPr>
              <w:t>Punica granatum</w:t>
            </w:r>
            <w:r w:rsidRPr="004E680E">
              <w:rPr>
                <w:rFonts w:ascii="Constantia" w:eastAsia="Calibri" w:hAnsi="Constantia"/>
                <w:bCs/>
                <w:iCs/>
                <w:szCs w:val="22"/>
                <w:lang w:val="sr-Latn-CS"/>
              </w:rPr>
              <w:t>), primorska kleka (</w:t>
            </w:r>
            <w:r w:rsidRPr="004E680E">
              <w:rPr>
                <w:rFonts w:ascii="Constantia" w:eastAsia="Calibri" w:hAnsi="Constantia"/>
                <w:bCs/>
                <w:i/>
                <w:iCs/>
                <w:szCs w:val="22"/>
                <w:lang w:val="sr-Latn-CS"/>
              </w:rPr>
              <w:t xml:space="preserve">Juniperus </w:t>
            </w:r>
            <w:r w:rsidRPr="004E680E">
              <w:rPr>
                <w:rFonts w:ascii="Constantia" w:eastAsia="Calibri" w:hAnsi="Constantia"/>
                <w:bCs/>
                <w:i/>
                <w:iCs/>
                <w:szCs w:val="22"/>
                <w:lang w:val="sr-Latn-CS"/>
              </w:rPr>
              <w:lastRenderedPageBreak/>
              <w:t>oxycedrus</w:t>
            </w:r>
            <w:r w:rsidRPr="004E680E">
              <w:rPr>
                <w:rFonts w:ascii="Constantia" w:eastAsia="Calibri" w:hAnsi="Constantia"/>
                <w:bCs/>
                <w:iCs/>
                <w:szCs w:val="22"/>
                <w:lang w:val="sr-Latn-CS"/>
              </w:rPr>
              <w:t>), smokva (</w:t>
            </w:r>
            <w:r w:rsidRPr="004E680E">
              <w:rPr>
                <w:rFonts w:ascii="Constantia" w:eastAsia="Calibri" w:hAnsi="Constantia"/>
                <w:bCs/>
                <w:i/>
                <w:iCs/>
                <w:szCs w:val="22"/>
                <w:lang w:val="sr-Latn-CS"/>
              </w:rPr>
              <w:t>Ficus carica</w:t>
            </w:r>
            <w:r w:rsidRPr="004E680E">
              <w:rPr>
                <w:rFonts w:ascii="Constantia" w:eastAsia="Calibri" w:hAnsi="Constantia"/>
                <w:bCs/>
                <w:iCs/>
                <w:szCs w:val="22"/>
                <w:lang w:val="sr-Latn-CS"/>
              </w:rPr>
              <w:t>), kupina (</w:t>
            </w:r>
            <w:r w:rsidRPr="004E680E">
              <w:rPr>
                <w:rFonts w:ascii="Constantia" w:eastAsia="Calibri" w:hAnsi="Constantia"/>
                <w:bCs/>
                <w:i/>
                <w:iCs/>
                <w:szCs w:val="22"/>
                <w:lang w:val="sr-Latn-CS"/>
              </w:rPr>
              <w:t>Rubus ulmifolius</w:t>
            </w:r>
            <w:r w:rsidRPr="004E680E">
              <w:rPr>
                <w:rFonts w:ascii="Constantia" w:eastAsia="Calibri" w:hAnsi="Constantia"/>
                <w:bCs/>
                <w:iCs/>
                <w:szCs w:val="22"/>
                <w:lang w:val="sr-Latn-CS"/>
              </w:rPr>
              <w:t>), pucalina (</w:t>
            </w:r>
            <w:r w:rsidRPr="004E680E">
              <w:rPr>
                <w:rFonts w:ascii="Constantia" w:eastAsia="Calibri" w:hAnsi="Constantia"/>
                <w:bCs/>
                <w:i/>
                <w:iCs/>
                <w:szCs w:val="22"/>
                <w:lang w:val="sr-Latn-CS"/>
              </w:rPr>
              <w:t>Colutea arborescens</w:t>
            </w:r>
            <w:r w:rsidRPr="004E680E">
              <w:rPr>
                <w:rFonts w:ascii="Constantia" w:eastAsia="Calibri" w:hAnsi="Constantia"/>
                <w:bCs/>
                <w:iCs/>
                <w:szCs w:val="22"/>
                <w:lang w:val="sr-Latn-CS"/>
              </w:rPr>
              <w:t>), bijela vrba (</w:t>
            </w:r>
            <w:r w:rsidRPr="004E680E">
              <w:rPr>
                <w:rFonts w:ascii="Constantia" w:eastAsia="Calibri" w:hAnsi="Constantia"/>
                <w:bCs/>
                <w:i/>
                <w:iCs/>
                <w:szCs w:val="22"/>
                <w:lang w:val="sr-Latn-CS"/>
              </w:rPr>
              <w:t>Salix alba</w:t>
            </w:r>
            <w:r w:rsidR="00FC595C" w:rsidRPr="004E680E">
              <w:rPr>
                <w:rFonts w:ascii="Constantia" w:eastAsia="Calibri" w:hAnsi="Constantia"/>
                <w:bCs/>
                <w:iCs/>
                <w:szCs w:val="22"/>
                <w:lang w:val="sr-Latn-CS"/>
              </w:rPr>
              <w:t>)</w:t>
            </w:r>
            <w:r w:rsidRPr="004E680E">
              <w:rPr>
                <w:rFonts w:ascii="Constantia" w:eastAsia="Calibri" w:hAnsi="Constantia"/>
                <w:bCs/>
                <w:iCs/>
                <w:szCs w:val="22"/>
                <w:lang w:val="sr-Latn-CS"/>
              </w:rPr>
              <w:t xml:space="preserve"> </w:t>
            </w:r>
          </w:p>
        </w:tc>
      </w:tr>
      <w:tr w:rsidR="004B071C" w:rsidRPr="004E680E" w:rsidTr="004E680E">
        <w:tc>
          <w:tcPr>
            <w:tcW w:w="1424" w:type="dxa"/>
            <w:shd w:val="clear" w:color="auto" w:fill="CDDDAC"/>
          </w:tcPr>
          <w:p w:rsidR="004B071C" w:rsidRPr="004E680E" w:rsidRDefault="004B071C" w:rsidP="00117FB6">
            <w:pPr>
              <w:spacing w:after="0"/>
              <w:rPr>
                <w:rFonts w:ascii="Constantia" w:hAnsi="Constantia"/>
                <w:b/>
                <w:bCs/>
                <w:iCs/>
                <w:color w:val="000000"/>
                <w:spacing w:val="8"/>
                <w:szCs w:val="22"/>
                <w:lang w:val="sr-Latn-CS"/>
              </w:rPr>
            </w:pPr>
          </w:p>
        </w:tc>
        <w:tc>
          <w:tcPr>
            <w:tcW w:w="2086" w:type="dxa"/>
            <w:shd w:val="clear" w:color="auto" w:fill="CDDDAC"/>
          </w:tcPr>
          <w:p w:rsidR="004B071C" w:rsidRPr="004E680E" w:rsidRDefault="004B071C" w:rsidP="00C17F8E">
            <w:pPr>
              <w:jc w:val="left"/>
              <w:rPr>
                <w:rFonts w:ascii="Constantia" w:hAnsi="Constantia"/>
                <w:szCs w:val="22"/>
              </w:rPr>
            </w:pPr>
            <w:r w:rsidRPr="004E680E">
              <w:rPr>
                <w:rFonts w:ascii="Constantia" w:hAnsi="Constantia"/>
                <w:szCs w:val="22"/>
              </w:rPr>
              <w:t>Utvrđeno stanje</w:t>
            </w:r>
          </w:p>
        </w:tc>
        <w:tc>
          <w:tcPr>
            <w:tcW w:w="5580" w:type="dxa"/>
            <w:shd w:val="clear" w:color="auto" w:fill="CDDDAC"/>
          </w:tcPr>
          <w:p w:rsidR="004B071C" w:rsidRPr="004E680E" w:rsidRDefault="004B071C" w:rsidP="00140CFA">
            <w:pPr>
              <w:rPr>
                <w:rFonts w:ascii="Constantia" w:eastAsia="Calibri" w:hAnsi="Constantia"/>
                <w:bCs/>
                <w:iCs/>
                <w:szCs w:val="22"/>
                <w:lang w:val="sr-Latn-CS"/>
              </w:rPr>
            </w:pPr>
            <w:r w:rsidRPr="004E680E">
              <w:rPr>
                <w:rFonts w:ascii="Constantia" w:eastAsia="Calibri" w:hAnsi="Constantia"/>
                <w:bCs/>
                <w:iCs/>
                <w:szCs w:val="22"/>
                <w:lang w:val="sr-Latn-CS"/>
              </w:rPr>
              <w:t>Dominantne vrste dendroflore na ovom lokalitetu iznad toka rijeke Morače su: bjelograbić (</w:t>
            </w:r>
            <w:r w:rsidRPr="004E680E">
              <w:rPr>
                <w:rFonts w:ascii="Constantia" w:eastAsia="Calibri" w:hAnsi="Constantia"/>
                <w:bCs/>
                <w:i/>
                <w:iCs/>
                <w:szCs w:val="22"/>
                <w:lang w:val="sr-Latn-CS"/>
              </w:rPr>
              <w:t>Carpinus orientalis</w:t>
            </w:r>
            <w:r w:rsidRPr="004E680E">
              <w:rPr>
                <w:rFonts w:ascii="Constantia" w:eastAsia="Calibri" w:hAnsi="Constantia"/>
                <w:bCs/>
                <w:iCs/>
                <w:szCs w:val="22"/>
                <w:lang w:val="sr-Latn-CS"/>
              </w:rPr>
              <w:t>), zelenika (</w:t>
            </w:r>
            <w:r w:rsidRPr="004E680E">
              <w:rPr>
                <w:rFonts w:ascii="Constantia" w:eastAsia="Calibri" w:hAnsi="Constantia"/>
                <w:bCs/>
                <w:i/>
                <w:iCs/>
                <w:szCs w:val="22"/>
                <w:lang w:val="sr-Latn-CS"/>
              </w:rPr>
              <w:t>Phillyrea media</w:t>
            </w:r>
            <w:r w:rsidRPr="004E680E">
              <w:rPr>
                <w:rFonts w:ascii="Constantia" w:eastAsia="Calibri" w:hAnsi="Constantia"/>
                <w:bCs/>
                <w:iCs/>
                <w:szCs w:val="22"/>
                <w:lang w:val="sr-Latn-CS"/>
              </w:rPr>
              <w:t>), smrdljika (</w:t>
            </w:r>
            <w:r w:rsidRPr="004E680E">
              <w:rPr>
                <w:rFonts w:ascii="Constantia" w:eastAsia="Calibri" w:hAnsi="Constantia"/>
                <w:bCs/>
                <w:i/>
                <w:iCs/>
                <w:szCs w:val="22"/>
                <w:lang w:val="sr-Latn-CS"/>
              </w:rPr>
              <w:t>Pistacia terebinthus</w:t>
            </w:r>
            <w:r w:rsidRPr="004E680E">
              <w:rPr>
                <w:rFonts w:ascii="Constantia" w:eastAsia="Calibri" w:hAnsi="Constantia"/>
                <w:bCs/>
                <w:iCs/>
                <w:szCs w:val="22"/>
                <w:lang w:val="sr-Latn-CS"/>
              </w:rPr>
              <w:t>), nar (</w:t>
            </w:r>
            <w:r w:rsidRPr="004E680E">
              <w:rPr>
                <w:rFonts w:ascii="Constantia" w:eastAsia="Calibri" w:hAnsi="Constantia"/>
                <w:bCs/>
                <w:i/>
                <w:iCs/>
                <w:szCs w:val="22"/>
                <w:lang w:val="sr-Latn-CS"/>
              </w:rPr>
              <w:t>Punica granatum</w:t>
            </w:r>
            <w:r w:rsidRPr="004E680E">
              <w:rPr>
                <w:rFonts w:ascii="Constantia" w:eastAsia="Calibri" w:hAnsi="Constantia"/>
                <w:bCs/>
                <w:iCs/>
                <w:szCs w:val="22"/>
                <w:lang w:val="sr-Latn-CS"/>
              </w:rPr>
              <w:t>), primorska kleka (J</w:t>
            </w:r>
            <w:r w:rsidRPr="004E680E">
              <w:rPr>
                <w:rFonts w:ascii="Constantia" w:eastAsia="Calibri" w:hAnsi="Constantia"/>
                <w:bCs/>
                <w:i/>
                <w:iCs/>
                <w:szCs w:val="22"/>
                <w:lang w:val="sr-Latn-CS"/>
              </w:rPr>
              <w:t>uniperus oxycedrus</w:t>
            </w:r>
            <w:r w:rsidRPr="004E680E">
              <w:rPr>
                <w:rFonts w:ascii="Constantia" w:eastAsia="Calibri" w:hAnsi="Constantia"/>
                <w:bCs/>
                <w:iCs/>
                <w:szCs w:val="22"/>
                <w:lang w:val="sr-Latn-CS"/>
              </w:rPr>
              <w:t>), smokva (</w:t>
            </w:r>
            <w:r w:rsidRPr="004E680E">
              <w:rPr>
                <w:rFonts w:ascii="Constantia" w:eastAsia="Calibri" w:hAnsi="Constantia"/>
                <w:bCs/>
                <w:i/>
                <w:iCs/>
                <w:szCs w:val="22"/>
                <w:lang w:val="sr-Latn-CS"/>
              </w:rPr>
              <w:t>Ficus carica</w:t>
            </w:r>
            <w:r w:rsidRPr="004E680E">
              <w:rPr>
                <w:rFonts w:ascii="Constantia" w:eastAsia="Calibri" w:hAnsi="Constantia"/>
                <w:bCs/>
                <w:iCs/>
                <w:szCs w:val="22"/>
                <w:lang w:val="sr-Latn-CS"/>
              </w:rPr>
              <w:t>), kupina (</w:t>
            </w:r>
            <w:r w:rsidRPr="004E680E">
              <w:rPr>
                <w:rFonts w:ascii="Constantia" w:eastAsia="Calibri" w:hAnsi="Constantia"/>
                <w:bCs/>
                <w:i/>
                <w:iCs/>
                <w:szCs w:val="22"/>
                <w:lang w:val="sr-Latn-CS"/>
              </w:rPr>
              <w:t>Rubus ulmifolius</w:t>
            </w:r>
            <w:r w:rsidRPr="004E680E">
              <w:rPr>
                <w:rFonts w:ascii="Constantia" w:eastAsia="Calibri" w:hAnsi="Constantia"/>
                <w:bCs/>
                <w:iCs/>
                <w:szCs w:val="22"/>
                <w:lang w:val="sr-Latn-CS"/>
              </w:rPr>
              <w:t>), pucalina (</w:t>
            </w:r>
            <w:r w:rsidRPr="004E680E">
              <w:rPr>
                <w:rFonts w:ascii="Constantia" w:eastAsia="Calibri" w:hAnsi="Constantia"/>
                <w:bCs/>
                <w:i/>
                <w:iCs/>
                <w:szCs w:val="22"/>
                <w:lang w:val="sr-Latn-CS"/>
              </w:rPr>
              <w:t>Colutea arborescens</w:t>
            </w:r>
            <w:r w:rsidRPr="004E680E">
              <w:rPr>
                <w:rFonts w:ascii="Constantia" w:eastAsia="Calibri" w:hAnsi="Constantia"/>
                <w:bCs/>
                <w:iCs/>
                <w:szCs w:val="22"/>
                <w:lang w:val="sr-Latn-CS"/>
              </w:rPr>
              <w:t>), a neposredno uz tok rijeke dominantna je bijela vrba (</w:t>
            </w:r>
            <w:r w:rsidRPr="004E680E">
              <w:rPr>
                <w:rFonts w:ascii="Constantia" w:eastAsia="Calibri" w:hAnsi="Constantia"/>
                <w:bCs/>
                <w:i/>
                <w:iCs/>
                <w:szCs w:val="22"/>
                <w:lang w:val="sr-Latn-CS"/>
              </w:rPr>
              <w:t>Salix alba</w:t>
            </w:r>
            <w:r w:rsidRPr="004E680E">
              <w:rPr>
                <w:rFonts w:ascii="Constantia" w:eastAsia="Calibri" w:hAnsi="Constantia"/>
                <w:bCs/>
                <w:iCs/>
                <w:szCs w:val="22"/>
                <w:lang w:val="sr-Latn-CS"/>
              </w:rPr>
              <w:t>). Od ostalih vrsta dendroflore na ovom lokalitetu, u manjem broju su prisut</w:t>
            </w:r>
            <w:r w:rsidR="00C038E0" w:rsidRPr="004E680E">
              <w:rPr>
                <w:rFonts w:ascii="Constantia" w:eastAsia="Calibri" w:hAnsi="Constantia"/>
                <w:bCs/>
                <w:iCs/>
                <w:szCs w:val="22"/>
                <w:lang w:val="sr-Latn-CS"/>
              </w:rPr>
              <w:t>na stabla sl</w:t>
            </w:r>
            <w:r w:rsidRPr="004E680E">
              <w:rPr>
                <w:rFonts w:ascii="Constantia" w:eastAsia="Calibri" w:hAnsi="Constantia"/>
                <w:bCs/>
                <w:iCs/>
                <w:szCs w:val="22"/>
                <w:lang w:val="sr-Latn-CS"/>
              </w:rPr>
              <w:t>edećih vrsta: crni jasen (</w:t>
            </w:r>
            <w:r w:rsidRPr="004E680E">
              <w:rPr>
                <w:rFonts w:ascii="Constantia" w:eastAsia="Calibri" w:hAnsi="Constantia"/>
                <w:bCs/>
                <w:i/>
                <w:iCs/>
                <w:szCs w:val="22"/>
                <w:lang w:val="sr-Latn-CS"/>
              </w:rPr>
              <w:t>Fraxinus ornus</w:t>
            </w:r>
            <w:r w:rsidRPr="004E680E">
              <w:rPr>
                <w:rFonts w:ascii="Constantia" w:eastAsia="Calibri" w:hAnsi="Constantia"/>
                <w:bCs/>
                <w:iCs/>
                <w:szCs w:val="22"/>
                <w:lang w:val="sr-Latn-CS"/>
              </w:rPr>
              <w:t>), makljen (</w:t>
            </w:r>
            <w:r w:rsidRPr="004E680E">
              <w:rPr>
                <w:rFonts w:ascii="Constantia" w:eastAsia="Calibri" w:hAnsi="Constantia"/>
                <w:bCs/>
                <w:i/>
                <w:iCs/>
                <w:szCs w:val="22"/>
                <w:lang w:val="sr-Latn-CS"/>
              </w:rPr>
              <w:t>Acer monspessulanum</w:t>
            </w:r>
            <w:r w:rsidRPr="004E680E">
              <w:rPr>
                <w:rFonts w:ascii="Constantia" w:eastAsia="Calibri" w:hAnsi="Constantia"/>
                <w:bCs/>
                <w:iCs/>
                <w:szCs w:val="22"/>
                <w:lang w:val="sr-Latn-CS"/>
              </w:rPr>
              <w:t>), crni grab (</w:t>
            </w:r>
            <w:r w:rsidRPr="004E680E">
              <w:rPr>
                <w:rFonts w:ascii="Constantia" w:eastAsia="Calibri" w:hAnsi="Constantia"/>
                <w:bCs/>
                <w:i/>
                <w:iCs/>
                <w:szCs w:val="22"/>
                <w:lang w:val="sr-Latn-CS"/>
              </w:rPr>
              <w:t>Ostrya carpinifolia</w:t>
            </w:r>
            <w:r w:rsidRPr="004E680E">
              <w:rPr>
                <w:rFonts w:ascii="Constantia" w:eastAsia="Calibri" w:hAnsi="Constantia"/>
                <w:bCs/>
                <w:iCs/>
                <w:szCs w:val="22"/>
                <w:lang w:val="sr-Latn-CS"/>
              </w:rPr>
              <w:t>), makedonski hrast (</w:t>
            </w:r>
            <w:r w:rsidRPr="004E680E">
              <w:rPr>
                <w:rFonts w:ascii="Constantia" w:eastAsia="Calibri" w:hAnsi="Constantia"/>
                <w:bCs/>
                <w:i/>
                <w:iCs/>
                <w:szCs w:val="22"/>
                <w:lang w:val="sr-Latn-CS"/>
              </w:rPr>
              <w:t>Quercus trojana</w:t>
            </w:r>
            <w:r w:rsidRPr="004E680E">
              <w:rPr>
                <w:rFonts w:ascii="Constantia" w:eastAsia="Calibri" w:hAnsi="Constantia"/>
                <w:bCs/>
                <w:iCs/>
                <w:szCs w:val="22"/>
                <w:lang w:val="sr-Latn-CS"/>
              </w:rPr>
              <w:t>), bagrem (</w:t>
            </w:r>
            <w:r w:rsidRPr="004E680E">
              <w:rPr>
                <w:rFonts w:ascii="Constantia" w:eastAsia="Calibri" w:hAnsi="Constantia"/>
                <w:bCs/>
                <w:i/>
                <w:iCs/>
                <w:szCs w:val="22"/>
                <w:lang w:val="sr-Latn-CS"/>
              </w:rPr>
              <w:t>Robinia pseudoaccacia</w:t>
            </w:r>
            <w:r w:rsidRPr="004E680E">
              <w:rPr>
                <w:rFonts w:ascii="Constantia" w:eastAsia="Calibri" w:hAnsi="Constantia"/>
                <w:bCs/>
                <w:iCs/>
                <w:szCs w:val="22"/>
                <w:lang w:val="sr-Latn-CS"/>
              </w:rPr>
              <w:t>), orah (</w:t>
            </w:r>
            <w:r w:rsidRPr="004E680E">
              <w:rPr>
                <w:rFonts w:ascii="Constantia" w:eastAsia="Calibri" w:hAnsi="Constantia"/>
                <w:bCs/>
                <w:i/>
                <w:iCs/>
                <w:szCs w:val="22"/>
                <w:lang w:val="sr-Latn-CS"/>
              </w:rPr>
              <w:t>Juglans regia</w:t>
            </w:r>
            <w:r w:rsidRPr="004E680E">
              <w:rPr>
                <w:rFonts w:ascii="Constantia" w:eastAsia="Calibri" w:hAnsi="Constantia"/>
                <w:bCs/>
                <w:iCs/>
                <w:szCs w:val="22"/>
                <w:lang w:val="sr-Latn-CS"/>
              </w:rPr>
              <w:t>), pajasen (</w:t>
            </w:r>
            <w:r w:rsidRPr="004E680E">
              <w:rPr>
                <w:rFonts w:ascii="Constantia" w:eastAsia="Calibri" w:hAnsi="Constantia"/>
                <w:bCs/>
                <w:i/>
                <w:iCs/>
                <w:szCs w:val="22"/>
                <w:lang w:val="sr-Latn-CS"/>
              </w:rPr>
              <w:t>Ailanthus altissima</w:t>
            </w:r>
            <w:r w:rsidRPr="004E680E">
              <w:rPr>
                <w:rFonts w:ascii="Constantia" w:eastAsia="Calibri" w:hAnsi="Constantia"/>
                <w:bCs/>
                <w:iCs/>
                <w:szCs w:val="22"/>
                <w:lang w:val="sr-Latn-CS"/>
              </w:rPr>
              <w:t>), bijeli dud (</w:t>
            </w:r>
            <w:r w:rsidRPr="004E680E">
              <w:rPr>
                <w:rFonts w:ascii="Constantia" w:eastAsia="Calibri" w:hAnsi="Constantia"/>
                <w:bCs/>
                <w:i/>
                <w:iCs/>
                <w:szCs w:val="22"/>
                <w:lang w:val="sr-Latn-CS"/>
              </w:rPr>
              <w:t>Morus alba</w:t>
            </w:r>
            <w:r w:rsidRPr="004E680E">
              <w:rPr>
                <w:rFonts w:ascii="Constantia" w:eastAsia="Calibri" w:hAnsi="Constantia"/>
                <w:bCs/>
                <w:iCs/>
                <w:szCs w:val="22"/>
                <w:lang w:val="sr-Latn-CS"/>
              </w:rPr>
              <w:t>), drača (</w:t>
            </w:r>
            <w:r w:rsidRPr="004E680E">
              <w:rPr>
                <w:rFonts w:ascii="Constantia" w:eastAsia="Calibri" w:hAnsi="Constantia"/>
                <w:bCs/>
                <w:i/>
                <w:iCs/>
                <w:szCs w:val="22"/>
                <w:lang w:val="sr-Latn-CS"/>
              </w:rPr>
              <w:t>Paliurus spina-christi</w:t>
            </w:r>
            <w:r w:rsidRPr="004E680E">
              <w:rPr>
                <w:rFonts w:ascii="Constantia" w:eastAsia="Calibri" w:hAnsi="Constantia"/>
                <w:bCs/>
                <w:iCs/>
                <w:szCs w:val="22"/>
                <w:lang w:val="sr-Latn-CS"/>
              </w:rPr>
              <w:t>), trnjina (</w:t>
            </w:r>
            <w:r w:rsidRPr="004E680E">
              <w:rPr>
                <w:rFonts w:ascii="Constantia" w:eastAsia="Calibri" w:hAnsi="Constantia"/>
                <w:bCs/>
                <w:i/>
                <w:iCs/>
                <w:szCs w:val="22"/>
                <w:lang w:val="sr-Latn-CS"/>
              </w:rPr>
              <w:t>Prunus spinosa</w:t>
            </w:r>
            <w:r w:rsidRPr="004E680E">
              <w:rPr>
                <w:rFonts w:ascii="Constantia" w:eastAsia="Calibri" w:hAnsi="Constantia"/>
                <w:bCs/>
                <w:iCs/>
                <w:szCs w:val="22"/>
                <w:lang w:val="sr-Latn-CS"/>
              </w:rPr>
              <w:t>), trušljika kamenjarka (</w:t>
            </w:r>
            <w:r w:rsidRPr="004E680E">
              <w:rPr>
                <w:rFonts w:ascii="Constantia" w:eastAsia="Calibri" w:hAnsi="Constantia"/>
                <w:bCs/>
                <w:i/>
                <w:iCs/>
                <w:szCs w:val="22"/>
                <w:lang w:val="sr-Latn-CS"/>
              </w:rPr>
              <w:t>Frangula rupestris</w:t>
            </w:r>
            <w:r w:rsidRPr="004E680E">
              <w:rPr>
                <w:rFonts w:ascii="Constantia" w:eastAsia="Calibri" w:hAnsi="Constantia"/>
                <w:bCs/>
                <w:iCs/>
                <w:szCs w:val="22"/>
                <w:lang w:val="sr-Latn-CS"/>
              </w:rPr>
              <w:t>), bršljan (</w:t>
            </w:r>
            <w:r w:rsidRPr="004E680E">
              <w:rPr>
                <w:rFonts w:ascii="Constantia" w:eastAsia="Calibri" w:hAnsi="Constantia"/>
                <w:bCs/>
                <w:i/>
                <w:iCs/>
                <w:szCs w:val="22"/>
                <w:lang w:val="sr-Latn-CS"/>
              </w:rPr>
              <w:t>Hedera helix</w:t>
            </w:r>
            <w:r w:rsidRPr="004E680E">
              <w:rPr>
                <w:rFonts w:ascii="Constantia" w:eastAsia="Calibri" w:hAnsi="Constantia"/>
                <w:bCs/>
                <w:iCs/>
                <w:szCs w:val="22"/>
                <w:lang w:val="sr-Latn-CS"/>
              </w:rPr>
              <w:t>), šibika (</w:t>
            </w:r>
            <w:r w:rsidRPr="004E680E">
              <w:rPr>
                <w:rFonts w:ascii="Constantia" w:eastAsia="Calibri" w:hAnsi="Constantia"/>
                <w:bCs/>
                <w:i/>
                <w:iCs/>
                <w:szCs w:val="22"/>
                <w:lang w:val="sr-Latn-CS"/>
              </w:rPr>
              <w:t>Coronilla emerus</w:t>
            </w:r>
            <w:r w:rsidRPr="004E680E">
              <w:rPr>
                <w:rFonts w:ascii="Constantia" w:eastAsia="Calibri" w:hAnsi="Constantia"/>
                <w:bCs/>
                <w:iCs/>
                <w:szCs w:val="22"/>
                <w:lang w:val="sr-Latn-CS"/>
              </w:rPr>
              <w:t xml:space="preserve"> subspecies </w:t>
            </w:r>
            <w:r w:rsidRPr="004E680E">
              <w:rPr>
                <w:rFonts w:ascii="Constantia" w:eastAsia="Calibri" w:hAnsi="Constantia"/>
                <w:bCs/>
                <w:i/>
                <w:iCs/>
                <w:szCs w:val="22"/>
                <w:lang w:val="sr-Latn-CS"/>
              </w:rPr>
              <w:t>emeroides</w:t>
            </w:r>
            <w:r w:rsidRPr="004E680E">
              <w:rPr>
                <w:rFonts w:ascii="Constantia" w:eastAsia="Calibri" w:hAnsi="Constantia"/>
                <w:bCs/>
                <w:iCs/>
                <w:szCs w:val="22"/>
                <w:lang w:val="sr-Latn-CS"/>
              </w:rPr>
              <w:t>), sparožina (</w:t>
            </w:r>
            <w:r w:rsidRPr="004E680E">
              <w:rPr>
                <w:rFonts w:ascii="Constantia" w:eastAsia="Calibri" w:hAnsi="Constantia"/>
                <w:bCs/>
                <w:i/>
                <w:iCs/>
                <w:szCs w:val="22"/>
                <w:lang w:val="sr-Latn-CS"/>
              </w:rPr>
              <w:t>Asparagus acutifolius</w:t>
            </w:r>
            <w:r w:rsidRPr="004E680E">
              <w:rPr>
                <w:rFonts w:ascii="Constantia" w:eastAsia="Calibri" w:hAnsi="Constantia"/>
                <w:bCs/>
                <w:iCs/>
                <w:szCs w:val="22"/>
                <w:lang w:val="sr-Latn-CS"/>
              </w:rPr>
              <w:t>), tvrda kostrika (</w:t>
            </w:r>
            <w:r w:rsidRPr="004E680E">
              <w:rPr>
                <w:rFonts w:ascii="Constantia" w:eastAsia="Calibri" w:hAnsi="Constantia"/>
                <w:bCs/>
                <w:i/>
                <w:iCs/>
                <w:szCs w:val="22"/>
                <w:lang w:val="sr-Latn-CS"/>
              </w:rPr>
              <w:t>Ruscus aculeatus</w:t>
            </w:r>
            <w:r w:rsidRPr="004E680E">
              <w:rPr>
                <w:rFonts w:ascii="Constantia" w:eastAsia="Calibri" w:hAnsi="Constantia"/>
                <w:bCs/>
                <w:iCs/>
                <w:szCs w:val="22"/>
                <w:lang w:val="sr-Latn-CS"/>
              </w:rPr>
              <w:t>), primorska kadulja (</w:t>
            </w:r>
            <w:r w:rsidRPr="004E680E">
              <w:rPr>
                <w:rFonts w:ascii="Constantia" w:eastAsia="Calibri" w:hAnsi="Constantia"/>
                <w:bCs/>
                <w:i/>
                <w:iCs/>
                <w:szCs w:val="22"/>
                <w:lang w:val="sr-Latn-CS"/>
              </w:rPr>
              <w:t>Salvia officinalis</w:t>
            </w:r>
            <w:r w:rsidRPr="004E680E">
              <w:rPr>
                <w:rFonts w:ascii="Constantia" w:eastAsia="Calibri" w:hAnsi="Constantia"/>
                <w:bCs/>
                <w:iCs/>
                <w:szCs w:val="22"/>
                <w:lang w:val="sr-Latn-CS"/>
              </w:rPr>
              <w:t>), bljušt (</w:t>
            </w:r>
            <w:r w:rsidRPr="004E680E">
              <w:rPr>
                <w:rFonts w:ascii="Constantia" w:eastAsia="Calibri" w:hAnsi="Constantia"/>
                <w:bCs/>
                <w:i/>
                <w:iCs/>
                <w:szCs w:val="22"/>
                <w:lang w:val="sr-Latn-CS"/>
              </w:rPr>
              <w:t>Tamus communis</w:t>
            </w:r>
            <w:r w:rsidRPr="004E680E">
              <w:rPr>
                <w:rFonts w:ascii="Constantia" w:eastAsia="Calibri" w:hAnsi="Constantia"/>
                <w:bCs/>
                <w:iCs/>
                <w:szCs w:val="22"/>
                <w:lang w:val="sr-Latn-CS"/>
              </w:rPr>
              <w:t>), kositernica (</w:t>
            </w:r>
            <w:r w:rsidRPr="004E680E">
              <w:rPr>
                <w:rFonts w:ascii="Constantia" w:eastAsia="Calibri" w:hAnsi="Constantia"/>
                <w:bCs/>
                <w:i/>
                <w:iCs/>
                <w:szCs w:val="22"/>
                <w:lang w:val="sr-Latn-CS"/>
              </w:rPr>
              <w:t>Ephedra campylopoda</w:t>
            </w:r>
            <w:r w:rsidRPr="004E680E">
              <w:rPr>
                <w:rFonts w:ascii="Constantia" w:eastAsia="Calibri" w:hAnsi="Constantia"/>
                <w:bCs/>
                <w:iCs/>
                <w:szCs w:val="22"/>
                <w:lang w:val="sr-Latn-CS"/>
              </w:rPr>
              <w:t>), divlja vinova loza (</w:t>
            </w:r>
            <w:r w:rsidRPr="004E680E">
              <w:rPr>
                <w:rFonts w:ascii="Constantia" w:eastAsia="Calibri" w:hAnsi="Constantia"/>
                <w:bCs/>
                <w:i/>
                <w:iCs/>
                <w:szCs w:val="22"/>
                <w:lang w:val="sr-Latn-CS"/>
              </w:rPr>
              <w:t>Vitis vinifera</w:t>
            </w:r>
            <w:r w:rsidRPr="004E680E">
              <w:rPr>
                <w:rFonts w:ascii="Constantia" w:eastAsia="Calibri" w:hAnsi="Constantia"/>
                <w:bCs/>
                <w:iCs/>
                <w:szCs w:val="22"/>
                <w:lang w:val="sr-Latn-CS"/>
              </w:rPr>
              <w:t xml:space="preserve"> subspecies </w:t>
            </w:r>
            <w:r w:rsidRPr="004E680E">
              <w:rPr>
                <w:rFonts w:ascii="Constantia" w:eastAsia="Calibri" w:hAnsi="Constantia"/>
                <w:bCs/>
                <w:i/>
                <w:iCs/>
                <w:szCs w:val="22"/>
                <w:lang w:val="sr-Latn-CS"/>
              </w:rPr>
              <w:t>sylvestris</w:t>
            </w:r>
            <w:r w:rsidRPr="004E680E">
              <w:rPr>
                <w:rFonts w:ascii="Constantia" w:eastAsia="Calibri" w:hAnsi="Constantia"/>
                <w:bCs/>
                <w:iCs/>
                <w:szCs w:val="22"/>
                <w:lang w:val="sr-Latn-CS"/>
              </w:rPr>
              <w:t>).</w:t>
            </w:r>
          </w:p>
        </w:tc>
      </w:tr>
    </w:tbl>
    <w:p w:rsidR="004B071C" w:rsidRDefault="004B071C" w:rsidP="00AD0150">
      <w:pPr>
        <w:pStyle w:val="Tabele"/>
        <w:spacing w:before="60" w:after="0"/>
        <w:ind w:left="714" w:hanging="357"/>
        <w:rPr>
          <w:rFonts w:ascii="Constantia" w:hAnsi="Constantia"/>
          <w:sz w:val="22"/>
          <w:szCs w:val="22"/>
        </w:rPr>
      </w:pPr>
      <w:r w:rsidRPr="00C038E0">
        <w:rPr>
          <w:rFonts w:ascii="Constantia" w:hAnsi="Constantia"/>
          <w:sz w:val="22"/>
          <w:szCs w:val="22"/>
        </w:rPr>
        <w:t>Dend</w:t>
      </w:r>
      <w:r w:rsidR="002E7816">
        <w:rPr>
          <w:rFonts w:ascii="Constantia" w:hAnsi="Constantia"/>
          <w:sz w:val="22"/>
          <w:szCs w:val="22"/>
        </w:rPr>
        <w:t>r</w:t>
      </w:r>
      <w:r w:rsidRPr="00C038E0">
        <w:rPr>
          <w:rFonts w:ascii="Constantia" w:hAnsi="Constantia"/>
          <w:sz w:val="22"/>
          <w:szCs w:val="22"/>
        </w:rPr>
        <w:t>oflora</w:t>
      </w:r>
    </w:p>
    <w:p w:rsidR="00AD0150" w:rsidRPr="00C038E0" w:rsidRDefault="00AD0150" w:rsidP="00AD0150">
      <w:pPr>
        <w:pStyle w:val="Tabele"/>
        <w:numPr>
          <w:ilvl w:val="0"/>
          <w:numId w:val="0"/>
        </w:numPr>
        <w:spacing w:before="0" w:after="0"/>
        <w:ind w:left="357"/>
        <w:jc w:val="both"/>
        <w:rPr>
          <w:rFonts w:ascii="Constantia" w:hAnsi="Constantia"/>
          <w:sz w:val="22"/>
          <w:szCs w:val="22"/>
        </w:rPr>
      </w:pPr>
    </w:p>
    <w:p w:rsidR="004B071C" w:rsidRPr="002E3A97" w:rsidRDefault="004B071C" w:rsidP="00AF0332">
      <w:pPr>
        <w:pStyle w:val="Heading4"/>
        <w:spacing w:after="240"/>
        <w:ind w:left="900" w:hanging="900"/>
        <w:rPr>
          <w:sz w:val="22"/>
          <w:szCs w:val="22"/>
          <w:lang w:val="sr-Latn-CS"/>
        </w:rPr>
      </w:pPr>
      <w:r w:rsidRPr="002E3A97">
        <w:rPr>
          <w:sz w:val="22"/>
          <w:szCs w:val="22"/>
          <w:lang w:val="sr-Latn-CS"/>
        </w:rPr>
        <w:t>Gljive</w:t>
      </w:r>
    </w:p>
    <w:tbl>
      <w:tblPr>
        <w:tblW w:w="9090" w:type="dxa"/>
        <w:tblInd w:w="108"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firstRow="1" w:lastRow="0" w:firstColumn="1" w:lastColumn="0" w:noHBand="0" w:noVBand="1"/>
      </w:tblPr>
      <w:tblGrid>
        <w:gridCol w:w="2802"/>
        <w:gridCol w:w="2693"/>
        <w:gridCol w:w="3595"/>
      </w:tblGrid>
      <w:tr w:rsidR="004B071C" w:rsidRPr="00AF0332" w:rsidTr="00AF0332">
        <w:tc>
          <w:tcPr>
            <w:tcW w:w="2802" w:type="dxa"/>
            <w:shd w:val="clear" w:color="auto" w:fill="E6EED5"/>
          </w:tcPr>
          <w:p w:rsidR="004B071C" w:rsidRPr="00AF0332" w:rsidRDefault="004B071C" w:rsidP="00117FB6">
            <w:pPr>
              <w:spacing w:after="0"/>
              <w:jc w:val="center"/>
              <w:rPr>
                <w:rFonts w:ascii="Constantia" w:hAnsi="Constantia"/>
                <w:b/>
                <w:bCs/>
                <w:szCs w:val="22"/>
              </w:rPr>
            </w:pPr>
            <w:r w:rsidRPr="00AF0332">
              <w:rPr>
                <w:rFonts w:ascii="Constantia" w:hAnsi="Constantia"/>
                <w:b/>
                <w:bCs/>
                <w:szCs w:val="22"/>
              </w:rPr>
              <w:t>Lokalitet</w:t>
            </w:r>
          </w:p>
        </w:tc>
        <w:tc>
          <w:tcPr>
            <w:tcW w:w="2693" w:type="dxa"/>
            <w:shd w:val="clear" w:color="auto" w:fill="E6EED5"/>
          </w:tcPr>
          <w:p w:rsidR="004B071C" w:rsidRPr="00AF0332" w:rsidRDefault="004B071C" w:rsidP="00117FB6">
            <w:pPr>
              <w:spacing w:after="0"/>
              <w:jc w:val="center"/>
              <w:rPr>
                <w:rFonts w:ascii="Constantia" w:hAnsi="Constantia"/>
                <w:b/>
                <w:bCs/>
                <w:szCs w:val="22"/>
              </w:rPr>
            </w:pPr>
            <w:r w:rsidRPr="00AF0332">
              <w:rPr>
                <w:rFonts w:ascii="Constantia" w:hAnsi="Constantia"/>
                <w:b/>
                <w:bCs/>
                <w:szCs w:val="22"/>
              </w:rPr>
              <w:t>Koordinate</w:t>
            </w:r>
          </w:p>
        </w:tc>
        <w:tc>
          <w:tcPr>
            <w:tcW w:w="3595" w:type="dxa"/>
            <w:shd w:val="clear" w:color="auto" w:fill="E6EED5"/>
          </w:tcPr>
          <w:p w:rsidR="004B071C" w:rsidRPr="00AF0332" w:rsidRDefault="004B071C" w:rsidP="00117FB6">
            <w:pPr>
              <w:spacing w:after="0" w:line="280" w:lineRule="exact"/>
              <w:jc w:val="center"/>
              <w:outlineLvl w:val="3"/>
              <w:rPr>
                <w:rFonts w:ascii="Constantia" w:hAnsi="Constantia"/>
                <w:b/>
                <w:bCs/>
                <w:szCs w:val="22"/>
              </w:rPr>
            </w:pPr>
            <w:r w:rsidRPr="00AF0332">
              <w:rPr>
                <w:rFonts w:ascii="Constantia" w:hAnsi="Constantia"/>
                <w:b/>
                <w:bCs/>
                <w:szCs w:val="22"/>
              </w:rPr>
              <w:t>Datum terenskih istraživanja</w:t>
            </w:r>
          </w:p>
        </w:tc>
      </w:tr>
      <w:tr w:rsidR="004B071C" w:rsidRPr="00AF0332" w:rsidTr="00AF0332">
        <w:tc>
          <w:tcPr>
            <w:tcW w:w="2802" w:type="dxa"/>
            <w:shd w:val="clear" w:color="auto" w:fill="CDDDAC"/>
          </w:tcPr>
          <w:p w:rsidR="004B071C" w:rsidRPr="00AF0332" w:rsidRDefault="004B071C" w:rsidP="00117FB6">
            <w:pPr>
              <w:spacing w:after="0"/>
              <w:rPr>
                <w:rFonts w:ascii="Constantia" w:hAnsi="Constantia"/>
                <w:b/>
                <w:bCs/>
                <w:szCs w:val="22"/>
              </w:rPr>
            </w:pPr>
            <w:r w:rsidRPr="00AF0332">
              <w:rPr>
                <w:rFonts w:ascii="Constantia" w:hAnsi="Constantia"/>
                <w:b/>
                <w:bCs/>
                <w:szCs w:val="22"/>
              </w:rPr>
              <w:t>Đurđevina</w:t>
            </w:r>
          </w:p>
        </w:tc>
        <w:tc>
          <w:tcPr>
            <w:tcW w:w="2693" w:type="dxa"/>
            <w:shd w:val="clear" w:color="auto" w:fill="CDDDAC"/>
          </w:tcPr>
          <w:p w:rsidR="004B071C" w:rsidRPr="00AF0332" w:rsidRDefault="00D43417" w:rsidP="00117FB6">
            <w:pPr>
              <w:spacing w:after="0"/>
              <w:jc w:val="center"/>
              <w:rPr>
                <w:rFonts w:ascii="Constantia" w:hAnsi="Constantia"/>
                <w:szCs w:val="22"/>
                <w:lang w:val="sr-Latn-CS"/>
              </w:rPr>
            </w:pPr>
            <w:r>
              <w:rPr>
                <w:rFonts w:ascii="Constantia" w:hAnsi="Constantia"/>
                <w:szCs w:val="22"/>
                <w:lang w:val="sr-Latn-CS"/>
              </w:rPr>
              <w:t>N 42°45</w:t>
            </w:r>
            <w:r w:rsidR="004B071C" w:rsidRPr="00AF0332">
              <w:rPr>
                <w:rFonts w:ascii="Constantia" w:hAnsi="Constantia"/>
                <w:szCs w:val="22"/>
                <w:lang w:val="sr-Latn-CS"/>
              </w:rPr>
              <w:t>’41.5’’,</w:t>
            </w:r>
          </w:p>
          <w:p w:rsidR="004B071C" w:rsidRPr="00AF0332" w:rsidRDefault="004B071C" w:rsidP="00117FB6">
            <w:pPr>
              <w:spacing w:after="0"/>
              <w:jc w:val="center"/>
              <w:rPr>
                <w:rFonts w:ascii="Constantia" w:hAnsi="Constantia"/>
                <w:szCs w:val="22"/>
                <w:lang w:val="sr-Latn-CS"/>
              </w:rPr>
            </w:pPr>
            <w:r w:rsidRPr="00AF0332">
              <w:rPr>
                <w:rFonts w:ascii="Constantia" w:hAnsi="Constantia"/>
                <w:szCs w:val="22"/>
                <w:lang w:val="sr-Latn-CS"/>
              </w:rPr>
              <w:t>EO 19°23’46.3’’</w:t>
            </w:r>
          </w:p>
          <w:p w:rsidR="004B071C" w:rsidRPr="00AF0332" w:rsidRDefault="00D43417" w:rsidP="00117FB6">
            <w:pPr>
              <w:spacing w:after="0"/>
              <w:jc w:val="center"/>
              <w:rPr>
                <w:rFonts w:ascii="Constantia" w:hAnsi="Constantia"/>
                <w:szCs w:val="22"/>
                <w:lang w:val="sr-Latn-CS"/>
              </w:rPr>
            </w:pPr>
            <w:r>
              <w:rPr>
                <w:rFonts w:ascii="Constantia" w:hAnsi="Constantia"/>
                <w:szCs w:val="22"/>
                <w:lang w:val="sr-Latn-CS"/>
              </w:rPr>
              <w:t>N 42°45’</w:t>
            </w:r>
            <w:r w:rsidR="004B071C" w:rsidRPr="00AF0332">
              <w:rPr>
                <w:rFonts w:ascii="Constantia" w:hAnsi="Constantia"/>
                <w:szCs w:val="22"/>
                <w:lang w:val="sr-Latn-CS"/>
              </w:rPr>
              <w:t>887’’,</w:t>
            </w:r>
          </w:p>
          <w:p w:rsidR="004B071C" w:rsidRPr="00AF0332" w:rsidRDefault="004B071C" w:rsidP="00117FB6">
            <w:pPr>
              <w:spacing w:after="0"/>
              <w:jc w:val="center"/>
              <w:rPr>
                <w:rFonts w:ascii="Constantia" w:hAnsi="Constantia"/>
                <w:b/>
                <w:bCs/>
                <w:szCs w:val="22"/>
              </w:rPr>
            </w:pPr>
            <w:r w:rsidRPr="00AF0332">
              <w:rPr>
                <w:rFonts w:ascii="Constantia" w:hAnsi="Constantia"/>
                <w:szCs w:val="22"/>
                <w:lang w:val="sr-Latn-CS"/>
              </w:rPr>
              <w:t>EO 19°23’456’’</w:t>
            </w:r>
          </w:p>
        </w:tc>
        <w:tc>
          <w:tcPr>
            <w:tcW w:w="3595" w:type="dxa"/>
            <w:shd w:val="clear" w:color="auto" w:fill="CDDDAC"/>
          </w:tcPr>
          <w:p w:rsidR="004B071C" w:rsidRPr="00AF0332" w:rsidRDefault="004B071C" w:rsidP="00117FB6">
            <w:pPr>
              <w:spacing w:after="0"/>
              <w:jc w:val="center"/>
              <w:rPr>
                <w:rFonts w:ascii="Constantia" w:hAnsi="Constantia"/>
                <w:szCs w:val="22"/>
                <w:lang w:val="sr-Latn-CS"/>
              </w:rPr>
            </w:pPr>
            <w:r w:rsidRPr="00AF0332">
              <w:rPr>
                <w:rFonts w:ascii="Constantia" w:hAnsi="Constantia"/>
                <w:szCs w:val="22"/>
                <w:lang w:val="sr-Latn-CS"/>
              </w:rPr>
              <w:t>14. 05. 2013.</w:t>
            </w:r>
          </w:p>
          <w:p w:rsidR="004B071C" w:rsidRPr="00AF0332" w:rsidRDefault="004B071C" w:rsidP="00117FB6">
            <w:pPr>
              <w:spacing w:after="0"/>
              <w:jc w:val="center"/>
              <w:rPr>
                <w:rFonts w:ascii="Constantia" w:hAnsi="Constantia"/>
                <w:szCs w:val="22"/>
              </w:rPr>
            </w:pPr>
            <w:r w:rsidRPr="00AF0332">
              <w:rPr>
                <w:rFonts w:ascii="Constantia" w:hAnsi="Constantia"/>
                <w:szCs w:val="22"/>
                <w:lang w:val="sr-Latn-CS"/>
              </w:rPr>
              <w:t>24. 06. 2013</w:t>
            </w:r>
          </w:p>
        </w:tc>
      </w:tr>
      <w:tr w:rsidR="004B071C" w:rsidRPr="00AF0332" w:rsidTr="00AF0332">
        <w:tc>
          <w:tcPr>
            <w:tcW w:w="2802" w:type="dxa"/>
            <w:shd w:val="clear" w:color="auto" w:fill="E6EED5"/>
          </w:tcPr>
          <w:p w:rsidR="004B071C" w:rsidRPr="00AF0332" w:rsidRDefault="004B071C" w:rsidP="00117FB6">
            <w:pPr>
              <w:spacing w:after="0"/>
              <w:rPr>
                <w:rFonts w:ascii="Constantia" w:hAnsi="Constantia"/>
                <w:b/>
                <w:bCs/>
                <w:szCs w:val="22"/>
              </w:rPr>
            </w:pPr>
            <w:r w:rsidRPr="00AF0332">
              <w:rPr>
                <w:rFonts w:ascii="Constantia" w:hAnsi="Constantia"/>
                <w:b/>
                <w:bCs/>
                <w:szCs w:val="22"/>
              </w:rPr>
              <w:t>Andrijevo</w:t>
            </w:r>
          </w:p>
        </w:tc>
        <w:tc>
          <w:tcPr>
            <w:tcW w:w="2693" w:type="dxa"/>
            <w:shd w:val="clear" w:color="auto" w:fill="E6EED5"/>
          </w:tcPr>
          <w:p w:rsidR="004B071C" w:rsidRPr="00AF0332" w:rsidRDefault="00D43417" w:rsidP="00117FB6">
            <w:pPr>
              <w:spacing w:after="0"/>
              <w:jc w:val="center"/>
              <w:rPr>
                <w:rFonts w:ascii="Constantia" w:hAnsi="Constantia"/>
                <w:szCs w:val="22"/>
                <w:lang w:val="sr-Latn-CS"/>
              </w:rPr>
            </w:pPr>
            <w:r>
              <w:rPr>
                <w:rFonts w:ascii="Constantia" w:hAnsi="Constantia"/>
                <w:szCs w:val="22"/>
                <w:lang w:val="sr-Latn-CS"/>
              </w:rPr>
              <w:t>N 42°40’</w:t>
            </w:r>
            <w:r w:rsidR="004B071C" w:rsidRPr="00AF0332">
              <w:rPr>
                <w:rFonts w:ascii="Constantia" w:hAnsi="Constantia"/>
                <w:szCs w:val="22"/>
                <w:lang w:val="sr-Latn-CS"/>
              </w:rPr>
              <w:t>523’’,</w:t>
            </w:r>
          </w:p>
          <w:p w:rsidR="004B071C" w:rsidRPr="00AF0332" w:rsidRDefault="004B071C" w:rsidP="00117FB6">
            <w:pPr>
              <w:spacing w:after="0"/>
              <w:jc w:val="center"/>
              <w:rPr>
                <w:rFonts w:ascii="Constantia" w:hAnsi="Constantia"/>
                <w:b/>
                <w:bCs/>
                <w:szCs w:val="22"/>
              </w:rPr>
            </w:pPr>
            <w:r w:rsidRPr="00AF0332">
              <w:rPr>
                <w:rFonts w:ascii="Constantia" w:hAnsi="Constantia"/>
                <w:szCs w:val="22"/>
                <w:lang w:val="sr-Latn-CS"/>
              </w:rPr>
              <w:t>EO 19°22’552’’</w:t>
            </w:r>
          </w:p>
        </w:tc>
        <w:tc>
          <w:tcPr>
            <w:tcW w:w="3595" w:type="dxa"/>
            <w:shd w:val="clear" w:color="auto" w:fill="E6EED5"/>
          </w:tcPr>
          <w:p w:rsidR="004B071C" w:rsidRPr="00AF0332" w:rsidRDefault="004B071C" w:rsidP="00117FB6">
            <w:pPr>
              <w:spacing w:after="0"/>
              <w:jc w:val="center"/>
              <w:rPr>
                <w:rFonts w:ascii="Constantia" w:hAnsi="Constantia"/>
                <w:szCs w:val="22"/>
                <w:lang w:val="sr-Latn-CS"/>
              </w:rPr>
            </w:pPr>
            <w:r w:rsidRPr="00AF0332">
              <w:rPr>
                <w:rFonts w:ascii="Constantia" w:hAnsi="Constantia"/>
                <w:szCs w:val="22"/>
                <w:lang w:val="sr-Latn-CS"/>
              </w:rPr>
              <w:t>14. 05. 2013.</w:t>
            </w:r>
          </w:p>
          <w:p w:rsidR="004B071C" w:rsidRPr="00AF0332" w:rsidRDefault="004B071C" w:rsidP="00117FB6">
            <w:pPr>
              <w:spacing w:after="0"/>
              <w:jc w:val="center"/>
              <w:rPr>
                <w:rFonts w:ascii="Constantia" w:hAnsi="Constantia"/>
                <w:szCs w:val="22"/>
              </w:rPr>
            </w:pPr>
            <w:r w:rsidRPr="00AF0332">
              <w:rPr>
                <w:rFonts w:ascii="Constantia" w:hAnsi="Constantia"/>
                <w:szCs w:val="22"/>
                <w:lang w:val="sr-Latn-CS"/>
              </w:rPr>
              <w:t>24. 06. 2013</w:t>
            </w:r>
          </w:p>
        </w:tc>
      </w:tr>
      <w:tr w:rsidR="004B071C" w:rsidRPr="00AF0332" w:rsidTr="00AF0332">
        <w:tc>
          <w:tcPr>
            <w:tcW w:w="2802" w:type="dxa"/>
            <w:shd w:val="clear" w:color="auto" w:fill="E6EED5"/>
          </w:tcPr>
          <w:p w:rsidR="004B071C" w:rsidRPr="00AF0332" w:rsidRDefault="004B071C" w:rsidP="00117FB6">
            <w:pPr>
              <w:spacing w:after="0"/>
              <w:rPr>
                <w:rFonts w:ascii="Constantia" w:hAnsi="Constantia"/>
                <w:b/>
                <w:bCs/>
                <w:szCs w:val="22"/>
              </w:rPr>
            </w:pPr>
            <w:r w:rsidRPr="00AF0332">
              <w:rPr>
                <w:rFonts w:ascii="Constantia" w:hAnsi="Constantia"/>
                <w:b/>
                <w:bCs/>
                <w:szCs w:val="22"/>
              </w:rPr>
              <w:t>Milunovići</w:t>
            </w:r>
          </w:p>
        </w:tc>
        <w:tc>
          <w:tcPr>
            <w:tcW w:w="2693" w:type="dxa"/>
            <w:shd w:val="clear" w:color="auto" w:fill="E6EED5"/>
          </w:tcPr>
          <w:p w:rsidR="004B071C" w:rsidRPr="00AF0332" w:rsidRDefault="00D43417" w:rsidP="00117FB6">
            <w:pPr>
              <w:spacing w:after="0"/>
              <w:jc w:val="center"/>
              <w:rPr>
                <w:rFonts w:ascii="Constantia" w:hAnsi="Constantia"/>
                <w:szCs w:val="22"/>
                <w:lang w:val="sr-Latn-CS"/>
              </w:rPr>
            </w:pPr>
            <w:r>
              <w:rPr>
                <w:rFonts w:ascii="Constantia" w:hAnsi="Constantia"/>
                <w:szCs w:val="22"/>
                <w:lang w:val="sr-Latn-CS"/>
              </w:rPr>
              <w:t>N 42°33’</w:t>
            </w:r>
            <w:r w:rsidR="004B071C" w:rsidRPr="00AF0332">
              <w:rPr>
                <w:rFonts w:ascii="Constantia" w:hAnsi="Constantia"/>
                <w:szCs w:val="22"/>
                <w:lang w:val="sr-Latn-CS"/>
              </w:rPr>
              <w:t>477’’,</w:t>
            </w:r>
          </w:p>
          <w:p w:rsidR="004B071C" w:rsidRPr="00AF0332" w:rsidRDefault="004B071C" w:rsidP="00117FB6">
            <w:pPr>
              <w:spacing w:after="0"/>
              <w:jc w:val="center"/>
              <w:rPr>
                <w:rFonts w:ascii="Constantia" w:hAnsi="Constantia"/>
                <w:b/>
                <w:bCs/>
                <w:szCs w:val="22"/>
              </w:rPr>
            </w:pPr>
            <w:r w:rsidRPr="00AF0332">
              <w:rPr>
                <w:rFonts w:ascii="Constantia" w:hAnsi="Constantia"/>
                <w:szCs w:val="22"/>
                <w:lang w:val="sr-Latn-CS"/>
              </w:rPr>
              <w:t>EO 19°20’481’’</w:t>
            </w:r>
          </w:p>
        </w:tc>
        <w:tc>
          <w:tcPr>
            <w:tcW w:w="3595" w:type="dxa"/>
            <w:shd w:val="clear" w:color="auto" w:fill="E6EED5"/>
          </w:tcPr>
          <w:p w:rsidR="004B071C" w:rsidRPr="00AF0332" w:rsidRDefault="004B071C" w:rsidP="00117FB6">
            <w:pPr>
              <w:spacing w:after="0"/>
              <w:jc w:val="center"/>
              <w:rPr>
                <w:rFonts w:ascii="Constantia" w:hAnsi="Constantia"/>
                <w:szCs w:val="22"/>
                <w:lang w:val="sr-Latn-CS"/>
              </w:rPr>
            </w:pPr>
            <w:r w:rsidRPr="00AF0332">
              <w:rPr>
                <w:rFonts w:ascii="Constantia" w:hAnsi="Constantia"/>
                <w:szCs w:val="22"/>
                <w:lang w:val="sr-Latn-CS"/>
              </w:rPr>
              <w:t>14. 05. 2013.</w:t>
            </w:r>
          </w:p>
          <w:p w:rsidR="004B071C" w:rsidRPr="00AF0332" w:rsidRDefault="004B071C" w:rsidP="00117FB6">
            <w:pPr>
              <w:spacing w:after="0"/>
              <w:jc w:val="center"/>
              <w:rPr>
                <w:rFonts w:ascii="Constantia" w:hAnsi="Constantia"/>
                <w:szCs w:val="22"/>
              </w:rPr>
            </w:pPr>
            <w:r w:rsidRPr="00AF0332">
              <w:rPr>
                <w:rFonts w:ascii="Constantia" w:hAnsi="Constantia"/>
                <w:szCs w:val="22"/>
                <w:lang w:val="sr-Latn-CS"/>
              </w:rPr>
              <w:t>24. 06. 2013</w:t>
            </w:r>
          </w:p>
        </w:tc>
      </w:tr>
    </w:tbl>
    <w:p w:rsidR="004B071C" w:rsidRPr="00AF0332" w:rsidRDefault="00AF0332" w:rsidP="00117FB6">
      <w:pPr>
        <w:pStyle w:val="Tabele"/>
        <w:spacing w:after="0"/>
        <w:ind w:left="714" w:hanging="357"/>
        <w:rPr>
          <w:rFonts w:ascii="Constantia" w:hAnsi="Constantia"/>
          <w:sz w:val="22"/>
          <w:szCs w:val="22"/>
        </w:rPr>
      </w:pPr>
      <w:r>
        <w:rPr>
          <w:rFonts w:ascii="Constantia" w:hAnsi="Constantia"/>
          <w:sz w:val="22"/>
          <w:szCs w:val="22"/>
        </w:rPr>
        <w:t xml:space="preserve"> </w:t>
      </w:r>
      <w:r w:rsidR="004B071C" w:rsidRPr="00AF0332">
        <w:rPr>
          <w:rFonts w:ascii="Constantia" w:hAnsi="Constantia"/>
          <w:sz w:val="22"/>
          <w:szCs w:val="22"/>
        </w:rPr>
        <w:t>Opšti podaci o istraživanim lokalitetima za gljive</w:t>
      </w:r>
    </w:p>
    <w:p w:rsidR="004B071C" w:rsidRPr="002E3A97" w:rsidRDefault="004B071C" w:rsidP="004E680E">
      <w:pPr>
        <w:spacing w:before="240"/>
        <w:rPr>
          <w:rFonts w:cs="Arial"/>
          <w:spacing w:val="10"/>
          <w:szCs w:val="22"/>
          <w:lang w:val="sr-Latn-CS"/>
        </w:rPr>
      </w:pPr>
    </w:p>
    <w:tbl>
      <w:tblPr>
        <w:tblW w:w="0" w:type="auto"/>
        <w:tblInd w:w="108"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firstRow="1" w:lastRow="0" w:firstColumn="1" w:lastColumn="0" w:noHBand="0" w:noVBand="1"/>
      </w:tblPr>
      <w:tblGrid>
        <w:gridCol w:w="1424"/>
        <w:gridCol w:w="2005"/>
        <w:gridCol w:w="5752"/>
      </w:tblGrid>
      <w:tr w:rsidR="004B071C" w:rsidRPr="004E680E" w:rsidTr="00795423">
        <w:tc>
          <w:tcPr>
            <w:tcW w:w="1316" w:type="dxa"/>
            <w:shd w:val="clear" w:color="auto" w:fill="E6EED5"/>
          </w:tcPr>
          <w:p w:rsidR="004B071C" w:rsidRPr="004E680E" w:rsidRDefault="004B071C" w:rsidP="00140CFA">
            <w:pPr>
              <w:jc w:val="center"/>
              <w:rPr>
                <w:rFonts w:ascii="Constantia" w:hAnsi="Constantia"/>
                <w:b/>
                <w:bCs/>
                <w:iCs/>
                <w:color w:val="000000"/>
                <w:spacing w:val="8"/>
                <w:szCs w:val="22"/>
                <w:lang w:val="sr-Latn-CS"/>
              </w:rPr>
            </w:pPr>
            <w:r w:rsidRPr="004E680E">
              <w:rPr>
                <w:rFonts w:ascii="Constantia" w:hAnsi="Constantia"/>
                <w:b/>
                <w:bCs/>
                <w:iCs/>
                <w:color w:val="000000"/>
                <w:spacing w:val="8"/>
                <w:szCs w:val="22"/>
                <w:lang w:val="sr-Latn-CS"/>
              </w:rPr>
              <w:t>Lokalitet</w:t>
            </w:r>
          </w:p>
        </w:tc>
        <w:tc>
          <w:tcPr>
            <w:tcW w:w="2014" w:type="dxa"/>
            <w:shd w:val="clear" w:color="auto" w:fill="E6EED5"/>
          </w:tcPr>
          <w:p w:rsidR="004B071C" w:rsidRPr="004E680E" w:rsidRDefault="004B071C" w:rsidP="00140CFA">
            <w:pPr>
              <w:jc w:val="center"/>
              <w:rPr>
                <w:rFonts w:ascii="Constantia" w:hAnsi="Constantia"/>
                <w:b/>
                <w:bCs/>
                <w:iCs/>
                <w:color w:val="000000"/>
                <w:spacing w:val="8"/>
                <w:szCs w:val="22"/>
                <w:lang w:val="sr-Latn-CS"/>
              </w:rPr>
            </w:pPr>
            <w:r w:rsidRPr="004E680E">
              <w:rPr>
                <w:rFonts w:ascii="Constantia" w:hAnsi="Constantia"/>
                <w:b/>
                <w:bCs/>
                <w:iCs/>
                <w:color w:val="000000"/>
                <w:spacing w:val="8"/>
                <w:szCs w:val="22"/>
                <w:lang w:val="sr-Latn-CS"/>
              </w:rPr>
              <w:t>Kategorija</w:t>
            </w:r>
          </w:p>
        </w:tc>
        <w:tc>
          <w:tcPr>
            <w:tcW w:w="5851" w:type="dxa"/>
            <w:shd w:val="clear" w:color="auto" w:fill="E6EED5"/>
          </w:tcPr>
          <w:p w:rsidR="004B071C" w:rsidRPr="004E680E" w:rsidRDefault="004B071C" w:rsidP="00140CFA">
            <w:pPr>
              <w:jc w:val="center"/>
              <w:rPr>
                <w:rFonts w:ascii="Constantia" w:hAnsi="Constantia"/>
                <w:b/>
                <w:bCs/>
                <w:iCs/>
                <w:color w:val="000000"/>
                <w:spacing w:val="8"/>
                <w:szCs w:val="22"/>
                <w:lang w:val="sr-Latn-CS"/>
              </w:rPr>
            </w:pPr>
            <w:r w:rsidRPr="004E680E">
              <w:rPr>
                <w:rFonts w:ascii="Constantia" w:hAnsi="Constantia"/>
                <w:b/>
                <w:bCs/>
                <w:iCs/>
                <w:color w:val="000000"/>
                <w:spacing w:val="8"/>
                <w:szCs w:val="22"/>
                <w:lang w:val="sr-Latn-CS"/>
              </w:rPr>
              <w:t>Vrste</w:t>
            </w:r>
          </w:p>
        </w:tc>
      </w:tr>
      <w:tr w:rsidR="004B071C" w:rsidRPr="004E680E" w:rsidTr="00795423">
        <w:tc>
          <w:tcPr>
            <w:tcW w:w="1316" w:type="dxa"/>
            <w:vMerge w:val="restart"/>
            <w:shd w:val="clear" w:color="auto" w:fill="CDDDAC"/>
          </w:tcPr>
          <w:p w:rsidR="004B071C" w:rsidRPr="004E680E" w:rsidRDefault="004B071C" w:rsidP="00140CFA">
            <w:pPr>
              <w:rPr>
                <w:rFonts w:ascii="Constantia" w:hAnsi="Constantia"/>
                <w:b/>
                <w:bCs/>
                <w:iCs/>
                <w:color w:val="000000"/>
                <w:spacing w:val="8"/>
                <w:szCs w:val="22"/>
                <w:lang w:val="sr-Latn-CS"/>
              </w:rPr>
            </w:pPr>
            <w:r w:rsidRPr="004E680E">
              <w:rPr>
                <w:rFonts w:ascii="Constantia" w:hAnsi="Constantia"/>
                <w:b/>
                <w:bCs/>
                <w:iCs/>
                <w:color w:val="000000"/>
                <w:spacing w:val="8"/>
                <w:szCs w:val="22"/>
                <w:lang w:val="sr-Latn-CS"/>
              </w:rPr>
              <w:t>Đurđevina</w:t>
            </w:r>
          </w:p>
        </w:tc>
        <w:tc>
          <w:tcPr>
            <w:tcW w:w="2014" w:type="dxa"/>
            <w:shd w:val="clear" w:color="auto" w:fill="CDDDAC"/>
          </w:tcPr>
          <w:p w:rsidR="004B071C" w:rsidRPr="004E680E" w:rsidRDefault="004B071C" w:rsidP="00140CFA">
            <w:pPr>
              <w:rPr>
                <w:rFonts w:ascii="Constantia" w:hAnsi="Constantia"/>
                <w:bCs/>
                <w:iCs/>
                <w:color w:val="000000"/>
                <w:spacing w:val="8"/>
                <w:szCs w:val="22"/>
                <w:lang w:val="sr-Latn-CS"/>
              </w:rPr>
            </w:pPr>
            <w:r w:rsidRPr="004E680E">
              <w:rPr>
                <w:rFonts w:ascii="Constantia" w:hAnsi="Constantia"/>
                <w:iCs/>
                <w:color w:val="000000"/>
                <w:spacing w:val="8"/>
                <w:szCs w:val="22"/>
                <w:lang w:val="sr-Latn-CS"/>
              </w:rPr>
              <w:t>Indi</w:t>
            </w:r>
            <w:r w:rsidRPr="004E680E">
              <w:rPr>
                <w:rFonts w:ascii="Constantia" w:hAnsi="Constantia"/>
                <w:bCs/>
                <w:iCs/>
                <w:color w:val="000000"/>
                <w:spacing w:val="8"/>
                <w:szCs w:val="22"/>
                <w:lang w:val="sr-Latn-CS"/>
              </w:rPr>
              <w:t xml:space="preserve">katorske vrste </w:t>
            </w:r>
          </w:p>
        </w:tc>
        <w:tc>
          <w:tcPr>
            <w:tcW w:w="5851" w:type="dxa"/>
            <w:shd w:val="clear" w:color="auto" w:fill="CDDDAC"/>
          </w:tcPr>
          <w:p w:rsidR="004B071C" w:rsidRPr="004E680E" w:rsidRDefault="004B071C" w:rsidP="00140CFA">
            <w:pPr>
              <w:autoSpaceDE w:val="0"/>
              <w:autoSpaceDN w:val="0"/>
              <w:adjustRightInd w:val="0"/>
              <w:rPr>
                <w:rFonts w:ascii="Constantia" w:hAnsi="Constantia"/>
                <w:szCs w:val="22"/>
                <w:lang w:val="sr-Latn-CS" w:eastAsia="ko-KR"/>
              </w:rPr>
            </w:pPr>
            <w:r w:rsidRPr="004E680E">
              <w:rPr>
                <w:rFonts w:ascii="Constantia" w:hAnsi="Constantia"/>
                <w:i/>
                <w:iCs/>
                <w:szCs w:val="22"/>
                <w:lang w:val="sr-Latn-CS"/>
              </w:rPr>
              <w:t>Russula aurea</w:t>
            </w:r>
            <w:r w:rsidR="007453F4" w:rsidRPr="004E680E">
              <w:rPr>
                <w:rFonts w:ascii="Constantia" w:hAnsi="Constantia"/>
                <w:i/>
                <w:iCs/>
                <w:szCs w:val="22"/>
                <w:lang w:val="sr-Latn-CS"/>
              </w:rPr>
              <w:t xml:space="preserve"> </w:t>
            </w:r>
            <w:r w:rsidRPr="004E680E">
              <w:rPr>
                <w:rFonts w:ascii="Constantia" w:hAnsi="Constantia"/>
                <w:i/>
                <w:iCs/>
                <w:szCs w:val="22"/>
                <w:lang w:val="sr-Latn-CS"/>
              </w:rPr>
              <w:t>-</w:t>
            </w:r>
            <w:r w:rsidRPr="004E680E">
              <w:rPr>
                <w:rFonts w:ascii="Constantia" w:hAnsi="Constantia"/>
                <w:szCs w:val="22"/>
                <w:lang w:val="sr-Latn-CS" w:eastAsia="ko-KR"/>
              </w:rPr>
              <w:t xml:space="preserve"> Vrsta </w:t>
            </w:r>
            <w:r w:rsidRPr="004E680E">
              <w:rPr>
                <w:rFonts w:ascii="Constantia" w:hAnsi="Constantia"/>
                <w:i/>
                <w:iCs/>
                <w:szCs w:val="22"/>
                <w:lang w:val="sr-Latn-CS"/>
              </w:rPr>
              <w:t xml:space="preserve">je nađena </w:t>
            </w:r>
            <w:r w:rsidRPr="004E680E">
              <w:rPr>
                <w:rFonts w:ascii="Constantia" w:hAnsi="Constantia"/>
                <w:szCs w:val="22"/>
                <w:lang w:val="sr-Latn-CS" w:eastAsia="ko-KR"/>
              </w:rPr>
              <w:t xml:space="preserve">u zajednici sa </w:t>
            </w:r>
            <w:r w:rsidRPr="004E680E">
              <w:rPr>
                <w:rFonts w:ascii="Constantia" w:hAnsi="Constantia"/>
                <w:i/>
                <w:iCs/>
                <w:szCs w:val="22"/>
                <w:lang w:val="sr-Latn-CS"/>
              </w:rPr>
              <w:t>Corylus avellana</w:t>
            </w:r>
            <w:r w:rsidRPr="004E680E">
              <w:rPr>
                <w:rFonts w:ascii="Constantia" w:hAnsi="Constantia"/>
                <w:szCs w:val="22"/>
                <w:lang w:val="sr-Latn-CS" w:eastAsia="ko-KR"/>
              </w:rPr>
              <w:t xml:space="preserve">, </w:t>
            </w:r>
            <w:r w:rsidRPr="004E680E">
              <w:rPr>
                <w:rFonts w:ascii="Constantia" w:hAnsi="Constantia"/>
                <w:i/>
                <w:iCs/>
                <w:szCs w:val="22"/>
                <w:lang w:val="sr-Latn-CS" w:eastAsia="ko-KR"/>
              </w:rPr>
              <w:t>Quecus cerris, Ostrya carpinifolia</w:t>
            </w:r>
            <w:r w:rsidRPr="004E680E">
              <w:rPr>
                <w:rFonts w:ascii="Constantia" w:hAnsi="Constantia"/>
                <w:szCs w:val="22"/>
                <w:lang w:val="sr-Latn-CS" w:eastAsia="ko-KR"/>
              </w:rPr>
              <w:t>,</w:t>
            </w:r>
            <w:r w:rsidR="007453F4" w:rsidRPr="004E680E">
              <w:rPr>
                <w:rFonts w:ascii="Constantia" w:hAnsi="Constantia"/>
                <w:szCs w:val="22"/>
                <w:lang w:val="sr-Latn-CS" w:eastAsia="ko-KR"/>
              </w:rPr>
              <w:t xml:space="preserve"> </w:t>
            </w:r>
            <w:r w:rsidRPr="004E680E">
              <w:rPr>
                <w:rFonts w:ascii="Constantia" w:hAnsi="Constantia"/>
                <w:szCs w:val="22"/>
                <w:lang w:val="sr-Latn-CS" w:eastAsia="ko-KR"/>
              </w:rPr>
              <w:t xml:space="preserve">koordinata </w:t>
            </w:r>
            <w:r w:rsidR="00D43417">
              <w:rPr>
                <w:rFonts w:ascii="Constantia" w:hAnsi="Constantia"/>
                <w:szCs w:val="22"/>
                <w:lang w:val="sr-Latn-CS"/>
              </w:rPr>
              <w:t>N 42°45’</w:t>
            </w:r>
            <w:r w:rsidRPr="004E680E">
              <w:rPr>
                <w:rFonts w:ascii="Constantia" w:hAnsi="Constantia"/>
                <w:szCs w:val="22"/>
                <w:lang w:val="sr-Latn-CS"/>
              </w:rPr>
              <w:t xml:space="preserve">41.5’’, EO 19°23’46.3’’. </w:t>
            </w:r>
            <w:r w:rsidRPr="004E680E">
              <w:rPr>
                <w:rFonts w:ascii="Constantia" w:hAnsi="Constantia"/>
                <w:szCs w:val="22"/>
                <w:lang w:val="sr-Latn-CS" w:eastAsia="ko-KR"/>
              </w:rPr>
              <w:t>Postojeća subpopulacija</w:t>
            </w:r>
            <w:r w:rsidR="007453F4" w:rsidRPr="004E680E">
              <w:rPr>
                <w:rFonts w:ascii="Constantia" w:hAnsi="Constantia"/>
                <w:szCs w:val="22"/>
                <w:lang w:val="sr-Latn-CS" w:eastAsia="ko-KR"/>
              </w:rPr>
              <w:t xml:space="preserve"> </w:t>
            </w:r>
            <w:r w:rsidRPr="004E680E">
              <w:rPr>
                <w:rFonts w:ascii="Constantia" w:hAnsi="Constantia"/>
                <w:szCs w:val="22"/>
                <w:lang w:val="sr-Latn-CS" w:eastAsia="ko-KR"/>
              </w:rPr>
              <w:t>vrste na navedenom lokalitetu za sada je stabilna.</w:t>
            </w:r>
          </w:p>
        </w:tc>
      </w:tr>
      <w:tr w:rsidR="004B071C" w:rsidRPr="004E680E" w:rsidTr="00795423">
        <w:tc>
          <w:tcPr>
            <w:tcW w:w="1316" w:type="dxa"/>
            <w:vMerge/>
            <w:shd w:val="clear" w:color="auto" w:fill="E6EED5"/>
          </w:tcPr>
          <w:p w:rsidR="004B071C" w:rsidRPr="004E680E" w:rsidRDefault="004B071C" w:rsidP="00140CFA">
            <w:pPr>
              <w:rPr>
                <w:rFonts w:ascii="Constantia" w:hAnsi="Constantia"/>
                <w:b/>
                <w:bCs/>
                <w:iCs/>
                <w:color w:val="000000"/>
                <w:spacing w:val="8"/>
                <w:szCs w:val="22"/>
                <w:lang w:val="sr-Latn-CS"/>
              </w:rPr>
            </w:pPr>
          </w:p>
        </w:tc>
        <w:tc>
          <w:tcPr>
            <w:tcW w:w="2014" w:type="dxa"/>
            <w:shd w:val="clear" w:color="auto" w:fill="E6EED5"/>
          </w:tcPr>
          <w:p w:rsidR="004B071C" w:rsidRPr="004E680E" w:rsidRDefault="004B071C" w:rsidP="00140CFA">
            <w:pPr>
              <w:rPr>
                <w:rFonts w:ascii="Constantia" w:hAnsi="Constantia"/>
                <w:b/>
                <w:bCs/>
                <w:iCs/>
                <w:color w:val="000000"/>
                <w:spacing w:val="8"/>
                <w:szCs w:val="22"/>
                <w:lang w:val="sr-Latn-CS"/>
              </w:rPr>
            </w:pPr>
            <w:r w:rsidRPr="004E680E">
              <w:rPr>
                <w:rFonts w:ascii="Constantia" w:hAnsi="Constantia"/>
                <w:iCs/>
                <w:color w:val="000000"/>
                <w:spacing w:val="8"/>
                <w:szCs w:val="22"/>
                <w:lang w:val="sr-Latn-CS"/>
              </w:rPr>
              <w:t xml:space="preserve">Ostale </w:t>
            </w:r>
            <w:r w:rsidRPr="004E680E">
              <w:rPr>
                <w:rFonts w:ascii="Constantia" w:hAnsi="Constantia"/>
                <w:iCs/>
                <w:color w:val="000000"/>
                <w:spacing w:val="8"/>
                <w:szCs w:val="22"/>
                <w:lang w:val="sr-Latn-CS"/>
              </w:rPr>
              <w:lastRenderedPageBreak/>
              <w:t>vrste/staništa</w:t>
            </w:r>
          </w:p>
        </w:tc>
        <w:tc>
          <w:tcPr>
            <w:tcW w:w="5851" w:type="dxa"/>
            <w:shd w:val="clear" w:color="auto" w:fill="E6EED5"/>
          </w:tcPr>
          <w:p w:rsidR="004B071C" w:rsidRPr="004E680E" w:rsidRDefault="004B071C" w:rsidP="00140CFA">
            <w:pPr>
              <w:rPr>
                <w:rFonts w:ascii="Constantia" w:hAnsi="Constantia"/>
                <w:szCs w:val="22"/>
                <w:lang w:val="sr-Latn-CS"/>
              </w:rPr>
            </w:pPr>
            <w:r w:rsidRPr="004E680E">
              <w:rPr>
                <w:rFonts w:ascii="Constantia" w:hAnsi="Constantia"/>
                <w:i/>
                <w:iCs/>
                <w:szCs w:val="22"/>
                <w:lang w:val="sr-Latn-CS"/>
              </w:rPr>
              <w:lastRenderedPageBreak/>
              <w:t xml:space="preserve">Amanita vaginata, Boletus luridus, Stereum hirsutum, </w:t>
            </w:r>
            <w:r w:rsidRPr="004E680E">
              <w:rPr>
                <w:rFonts w:ascii="Constantia" w:hAnsi="Constantia"/>
                <w:i/>
                <w:iCs/>
                <w:szCs w:val="22"/>
                <w:lang w:val="sr-Latn-CS"/>
              </w:rPr>
              <w:lastRenderedPageBreak/>
              <w:t>Trametes vesicolor</w:t>
            </w:r>
          </w:p>
        </w:tc>
      </w:tr>
      <w:tr w:rsidR="004B071C" w:rsidRPr="004E680E" w:rsidTr="00795423">
        <w:trPr>
          <w:trHeight w:val="766"/>
        </w:trPr>
        <w:tc>
          <w:tcPr>
            <w:tcW w:w="1316" w:type="dxa"/>
            <w:vMerge/>
            <w:shd w:val="clear" w:color="auto" w:fill="CDDDAC"/>
          </w:tcPr>
          <w:p w:rsidR="004B071C" w:rsidRPr="004E680E" w:rsidRDefault="004B071C" w:rsidP="00140CFA">
            <w:pPr>
              <w:rPr>
                <w:rFonts w:ascii="Constantia" w:hAnsi="Constantia"/>
                <w:b/>
                <w:bCs/>
                <w:iCs/>
                <w:color w:val="000000"/>
                <w:spacing w:val="8"/>
                <w:szCs w:val="22"/>
                <w:lang w:val="sr-Latn-CS"/>
              </w:rPr>
            </w:pPr>
          </w:p>
        </w:tc>
        <w:tc>
          <w:tcPr>
            <w:tcW w:w="2014" w:type="dxa"/>
            <w:shd w:val="clear" w:color="auto" w:fill="CDDDAC"/>
          </w:tcPr>
          <w:p w:rsidR="004B071C" w:rsidRPr="004E680E" w:rsidRDefault="004B071C" w:rsidP="00140CFA">
            <w:pPr>
              <w:rPr>
                <w:rFonts w:ascii="Constantia" w:hAnsi="Constantia"/>
                <w:b/>
                <w:bCs/>
                <w:iCs/>
                <w:color w:val="000000"/>
                <w:spacing w:val="8"/>
                <w:szCs w:val="22"/>
                <w:lang w:val="sr-Latn-CS"/>
              </w:rPr>
            </w:pPr>
            <w:r w:rsidRPr="004E680E">
              <w:rPr>
                <w:rFonts w:ascii="Constantia" w:hAnsi="Constantia"/>
                <w:iCs/>
                <w:color w:val="000000"/>
                <w:spacing w:val="8"/>
                <w:szCs w:val="22"/>
                <w:lang w:val="sr-Latn-CS"/>
              </w:rPr>
              <w:t>Utvrđeno stanje</w:t>
            </w:r>
          </w:p>
        </w:tc>
        <w:tc>
          <w:tcPr>
            <w:tcW w:w="5851" w:type="dxa"/>
            <w:shd w:val="clear" w:color="auto" w:fill="CDDDAC"/>
          </w:tcPr>
          <w:p w:rsidR="004B071C" w:rsidRPr="004E680E" w:rsidRDefault="004B071C" w:rsidP="00140CFA">
            <w:pPr>
              <w:rPr>
                <w:rFonts w:ascii="Constantia" w:hAnsi="Constantia"/>
                <w:b/>
                <w:bCs/>
                <w:iCs/>
                <w:color w:val="000000"/>
                <w:spacing w:val="8"/>
                <w:szCs w:val="22"/>
                <w:lang w:val="sr-Latn-CS"/>
              </w:rPr>
            </w:pPr>
            <w:r w:rsidRPr="004E680E">
              <w:rPr>
                <w:rFonts w:ascii="Constantia" w:hAnsi="Constantia"/>
                <w:szCs w:val="22"/>
                <w:lang w:val="sr-Latn-CS"/>
              </w:rPr>
              <w:t>Na lokalitetu Đurđevina</w:t>
            </w:r>
            <w:r w:rsidR="002D6D10" w:rsidRPr="004E680E">
              <w:rPr>
                <w:rFonts w:ascii="Constantia" w:hAnsi="Constantia"/>
                <w:szCs w:val="22"/>
                <w:lang w:val="sr-Latn-CS"/>
              </w:rPr>
              <w:t xml:space="preserve">, </w:t>
            </w:r>
            <w:r w:rsidRPr="004E680E">
              <w:rPr>
                <w:rFonts w:ascii="Constantia" w:hAnsi="Constantia"/>
                <w:szCs w:val="22"/>
                <w:lang w:val="sr-Latn-CS"/>
              </w:rPr>
              <w:t>zbog nedovoljne količine vlažnosti u supstratu</w:t>
            </w:r>
            <w:r w:rsidR="002D6D10" w:rsidRPr="004E680E">
              <w:rPr>
                <w:rFonts w:ascii="Constantia" w:hAnsi="Constantia"/>
                <w:szCs w:val="22"/>
                <w:lang w:val="sr-Latn-CS"/>
              </w:rPr>
              <w:t>,</w:t>
            </w:r>
            <w:r w:rsidRPr="004E680E">
              <w:rPr>
                <w:rFonts w:ascii="Constantia" w:hAnsi="Constantia"/>
                <w:szCs w:val="22"/>
                <w:lang w:val="sr-Latn-CS"/>
              </w:rPr>
              <w:t xml:space="preserve"> kao i period</w:t>
            </w:r>
            <w:r w:rsidR="002D6D10" w:rsidRPr="004E680E">
              <w:rPr>
                <w:rFonts w:ascii="Constantia" w:hAnsi="Constantia"/>
                <w:szCs w:val="22"/>
                <w:lang w:val="sr-Latn-CS"/>
              </w:rPr>
              <w:t>a istraživanja (maj i jun</w:t>
            </w:r>
            <w:r w:rsidRPr="004E680E">
              <w:rPr>
                <w:rFonts w:ascii="Constantia" w:hAnsi="Constantia"/>
                <w:szCs w:val="22"/>
                <w:lang w:val="sr-Latn-CS"/>
              </w:rPr>
              <w:t>)</w:t>
            </w:r>
            <w:r w:rsidR="002D6D10" w:rsidRPr="004E680E">
              <w:rPr>
                <w:rFonts w:ascii="Constantia" w:hAnsi="Constantia"/>
                <w:szCs w:val="22"/>
                <w:lang w:val="sr-Latn-CS"/>
              </w:rPr>
              <w:t>,</w:t>
            </w:r>
            <w:r w:rsidRPr="004E680E">
              <w:rPr>
                <w:rFonts w:ascii="Constantia" w:hAnsi="Constantia"/>
                <w:szCs w:val="22"/>
                <w:lang w:val="sr-Latn-CS"/>
              </w:rPr>
              <w:t xml:space="preserve"> registrovan je relativno mali broj vrsta gljiva: </w:t>
            </w:r>
            <w:r w:rsidRPr="004E680E">
              <w:rPr>
                <w:rFonts w:ascii="Constantia" w:hAnsi="Constantia"/>
                <w:i/>
                <w:iCs/>
                <w:szCs w:val="22"/>
                <w:lang w:val="sr-Latn-CS"/>
              </w:rPr>
              <w:t>Amanita vaginata, Boletus luridus, Russula aurea, Stereum hirsutum, Trametes vesicolor</w:t>
            </w:r>
            <w:r w:rsidRPr="004E680E">
              <w:rPr>
                <w:rFonts w:ascii="Constantia" w:hAnsi="Constantia"/>
                <w:szCs w:val="22"/>
                <w:lang w:val="sr-Latn-CS"/>
              </w:rPr>
              <w:t xml:space="preserve">. </w:t>
            </w:r>
            <w:r w:rsidR="002D6D10" w:rsidRPr="004E680E">
              <w:rPr>
                <w:rFonts w:ascii="Constantia" w:hAnsi="Constantia"/>
                <w:szCs w:val="22"/>
                <w:lang w:val="sr-Latn-CS"/>
              </w:rPr>
              <w:t>S</w:t>
            </w:r>
            <w:r w:rsidRPr="004E680E">
              <w:rPr>
                <w:rFonts w:ascii="Constantia" w:hAnsi="Constantia"/>
                <w:szCs w:val="22"/>
                <w:lang w:val="sr-Latn-CS"/>
              </w:rPr>
              <w:t xml:space="preserve"> nacionalnog aspekta</w:t>
            </w:r>
            <w:r w:rsidR="002D6D10" w:rsidRPr="004E680E">
              <w:rPr>
                <w:rFonts w:ascii="Constantia" w:hAnsi="Constantia"/>
                <w:szCs w:val="22"/>
                <w:lang w:val="sr-Latn-CS"/>
              </w:rPr>
              <w:t>,</w:t>
            </w:r>
            <w:r w:rsidRPr="004E680E">
              <w:rPr>
                <w:rFonts w:ascii="Constantia" w:hAnsi="Constantia"/>
                <w:szCs w:val="22"/>
                <w:lang w:val="sr-Latn-CS"/>
              </w:rPr>
              <w:t xml:space="preserve"> značajno je prisustvo vrte </w:t>
            </w:r>
            <w:r w:rsidRPr="004E680E">
              <w:rPr>
                <w:rFonts w:ascii="Constantia" w:hAnsi="Constantia"/>
                <w:i/>
                <w:iCs/>
                <w:szCs w:val="22"/>
                <w:lang w:val="sr-Latn-CS"/>
              </w:rPr>
              <w:t>Russula aurea</w:t>
            </w:r>
            <w:r w:rsidR="002D6D10" w:rsidRPr="004E680E">
              <w:rPr>
                <w:rFonts w:ascii="Constantia" w:hAnsi="Constantia"/>
                <w:i/>
                <w:iCs/>
                <w:szCs w:val="22"/>
                <w:lang w:val="sr-Latn-CS"/>
              </w:rPr>
              <w:t xml:space="preserve"> </w:t>
            </w:r>
            <w:r w:rsidRPr="004E680E">
              <w:rPr>
                <w:rFonts w:ascii="Constantia" w:hAnsi="Constantia"/>
                <w:szCs w:val="22"/>
                <w:lang w:val="sr-Latn-CS"/>
              </w:rPr>
              <w:t xml:space="preserve">koja se nalazi na Preliminarnoj crvemoj listi makromiceta CG (Perić &amp; Perić, 2004). Dominantne vrste drveća na ovom lokalitetu su </w:t>
            </w:r>
            <w:r w:rsidRPr="004E680E">
              <w:rPr>
                <w:rFonts w:ascii="Constantia" w:hAnsi="Constantia"/>
                <w:i/>
                <w:iCs/>
                <w:szCs w:val="22"/>
                <w:lang w:val="sr-Latn-CS"/>
              </w:rPr>
              <w:t xml:space="preserve">Alnus glutinosa, Corylus avellana, </w:t>
            </w:r>
            <w:r w:rsidRPr="004E680E">
              <w:rPr>
                <w:rFonts w:ascii="Constantia" w:hAnsi="Constantia"/>
                <w:i/>
                <w:iCs/>
                <w:szCs w:val="22"/>
                <w:lang w:val="sr-Latn-CS" w:eastAsia="ko-KR"/>
              </w:rPr>
              <w:t xml:space="preserve">Quecus cerris </w:t>
            </w:r>
            <w:r w:rsidRPr="004E680E">
              <w:rPr>
                <w:rFonts w:ascii="Constantia" w:hAnsi="Constantia"/>
                <w:szCs w:val="22"/>
                <w:lang w:val="sr-Latn-CS" w:eastAsia="ko-KR"/>
              </w:rPr>
              <w:t>i</w:t>
            </w:r>
            <w:r w:rsidRPr="004E680E">
              <w:rPr>
                <w:rFonts w:ascii="Constantia" w:hAnsi="Constantia"/>
                <w:i/>
                <w:iCs/>
                <w:szCs w:val="22"/>
                <w:lang w:val="sr-Latn-CS" w:eastAsia="ko-KR"/>
              </w:rPr>
              <w:t xml:space="preserve"> Ostrya carpinifolia</w:t>
            </w:r>
            <w:r w:rsidR="002D6D10" w:rsidRPr="004E680E">
              <w:rPr>
                <w:rFonts w:ascii="Constantia" w:hAnsi="Constantia"/>
                <w:i/>
                <w:iCs/>
                <w:szCs w:val="22"/>
                <w:lang w:val="sr-Latn-CS" w:eastAsia="ko-KR"/>
              </w:rPr>
              <w:t xml:space="preserve">, </w:t>
            </w:r>
            <w:r w:rsidRPr="004E680E">
              <w:rPr>
                <w:rFonts w:ascii="Constantia" w:hAnsi="Constantia"/>
                <w:szCs w:val="22"/>
                <w:lang w:val="sr-Latn-CS"/>
              </w:rPr>
              <w:t xml:space="preserve">pa se u tom smislu treba očekivati registrovanje određenih vrsta gljiva koje su značajne sa nacionalnog aspekta (zaštićene nacionalnim zakonom) i to prevashodno: </w:t>
            </w:r>
            <w:r w:rsidRPr="004E680E">
              <w:rPr>
                <w:rFonts w:ascii="Constantia" w:hAnsi="Constantia"/>
                <w:i/>
                <w:iCs/>
                <w:szCs w:val="22"/>
                <w:lang w:val="sr-Latn-CS"/>
              </w:rPr>
              <w:t>Gyrodon lividus</w:t>
            </w:r>
            <w:r w:rsidRPr="004E680E">
              <w:rPr>
                <w:rFonts w:ascii="Constantia" w:hAnsi="Constantia"/>
                <w:szCs w:val="22"/>
                <w:lang w:val="sr-Latn-CS"/>
              </w:rPr>
              <w:t xml:space="preserve">, </w:t>
            </w:r>
            <w:r w:rsidRPr="004E680E">
              <w:rPr>
                <w:rFonts w:ascii="Constantia" w:hAnsi="Constantia"/>
                <w:i/>
                <w:iCs/>
                <w:szCs w:val="22"/>
                <w:lang w:val="sr-Latn-CS"/>
              </w:rPr>
              <w:t>Lactarius lilacinus</w:t>
            </w:r>
            <w:r w:rsidRPr="004E680E">
              <w:rPr>
                <w:rFonts w:ascii="Constantia" w:hAnsi="Constantia"/>
                <w:szCs w:val="22"/>
                <w:lang w:val="sr-Latn-CS"/>
              </w:rPr>
              <w:t xml:space="preserve"> a koje su vezane upravo za ovaj tip habitata - javljaju u obligatnoj mikorizi sa crna jovom - </w:t>
            </w:r>
            <w:r w:rsidRPr="004E680E">
              <w:rPr>
                <w:rFonts w:ascii="Constantia" w:hAnsi="Constantia"/>
                <w:i/>
                <w:iCs/>
                <w:szCs w:val="22"/>
                <w:lang w:val="sr-Latn-CS"/>
              </w:rPr>
              <w:t>Alnus glutinosa</w:t>
            </w:r>
            <w:r w:rsidRPr="004E680E">
              <w:rPr>
                <w:rFonts w:ascii="Constantia" w:hAnsi="Constantia"/>
                <w:szCs w:val="22"/>
                <w:lang w:val="sr-Latn-CS"/>
              </w:rPr>
              <w:t>.</w:t>
            </w:r>
          </w:p>
        </w:tc>
      </w:tr>
      <w:tr w:rsidR="004B071C" w:rsidRPr="004E680E" w:rsidTr="00795423">
        <w:trPr>
          <w:trHeight w:val="857"/>
        </w:trPr>
        <w:tc>
          <w:tcPr>
            <w:tcW w:w="1316" w:type="dxa"/>
            <w:shd w:val="clear" w:color="auto" w:fill="CDDDAC"/>
          </w:tcPr>
          <w:p w:rsidR="004B071C" w:rsidRPr="004E680E" w:rsidRDefault="004B071C" w:rsidP="00140CFA">
            <w:pPr>
              <w:rPr>
                <w:rFonts w:ascii="Constantia" w:hAnsi="Constantia"/>
                <w:b/>
                <w:bCs/>
                <w:iCs/>
                <w:color w:val="000000"/>
                <w:spacing w:val="8"/>
                <w:szCs w:val="22"/>
                <w:lang w:val="sr-Latn-CS"/>
              </w:rPr>
            </w:pPr>
            <w:r w:rsidRPr="004E680E">
              <w:rPr>
                <w:rFonts w:ascii="Constantia" w:hAnsi="Constantia"/>
                <w:b/>
                <w:bCs/>
                <w:iCs/>
                <w:color w:val="000000"/>
                <w:spacing w:val="8"/>
                <w:szCs w:val="22"/>
                <w:lang w:val="sr-Latn-CS"/>
              </w:rPr>
              <w:t>Andrijevo</w:t>
            </w:r>
          </w:p>
        </w:tc>
        <w:tc>
          <w:tcPr>
            <w:tcW w:w="2014" w:type="dxa"/>
            <w:shd w:val="clear" w:color="auto" w:fill="CDDDAC"/>
          </w:tcPr>
          <w:p w:rsidR="004B071C" w:rsidRPr="004E680E" w:rsidRDefault="004B071C" w:rsidP="00140CFA">
            <w:pPr>
              <w:rPr>
                <w:rFonts w:ascii="Constantia" w:hAnsi="Constantia"/>
                <w:szCs w:val="22"/>
              </w:rPr>
            </w:pPr>
            <w:r w:rsidRPr="004E680E">
              <w:rPr>
                <w:rFonts w:ascii="Constantia" w:hAnsi="Constantia"/>
                <w:szCs w:val="22"/>
              </w:rPr>
              <w:t>Utvrđeno stanje</w:t>
            </w:r>
          </w:p>
        </w:tc>
        <w:tc>
          <w:tcPr>
            <w:tcW w:w="5851" w:type="dxa"/>
            <w:shd w:val="clear" w:color="auto" w:fill="CDDDAC"/>
          </w:tcPr>
          <w:p w:rsidR="004B071C" w:rsidRPr="004E680E" w:rsidRDefault="004B071C" w:rsidP="00140CFA">
            <w:pPr>
              <w:rPr>
                <w:rFonts w:ascii="Constantia" w:hAnsi="Constantia"/>
                <w:bCs/>
                <w:iCs/>
                <w:color w:val="000000"/>
                <w:spacing w:val="8"/>
                <w:szCs w:val="22"/>
                <w:lang w:val="sr-Latn-CS"/>
              </w:rPr>
            </w:pPr>
            <w:r w:rsidRPr="004E680E">
              <w:rPr>
                <w:rFonts w:ascii="Constantia" w:hAnsi="Constantia"/>
                <w:szCs w:val="22"/>
                <w:lang w:val="sr-Latn-CS"/>
              </w:rPr>
              <w:t>Lokalitet Andrijevo se karakteriše okomitim stranama sa slabo razvijenim zemljišnim slojem (ili bez njega) i iz tog razloga nije značajan sa mikološkog aspekta.</w:t>
            </w:r>
          </w:p>
        </w:tc>
      </w:tr>
      <w:tr w:rsidR="004B071C" w:rsidRPr="004E680E" w:rsidTr="00795423">
        <w:trPr>
          <w:trHeight w:val="1613"/>
        </w:trPr>
        <w:tc>
          <w:tcPr>
            <w:tcW w:w="1316" w:type="dxa"/>
            <w:shd w:val="clear" w:color="auto" w:fill="E6EED5"/>
          </w:tcPr>
          <w:p w:rsidR="004B071C" w:rsidRPr="004E680E" w:rsidRDefault="004B071C" w:rsidP="00140CFA">
            <w:pPr>
              <w:rPr>
                <w:rFonts w:ascii="Constantia" w:hAnsi="Constantia"/>
                <w:b/>
                <w:bCs/>
                <w:iCs/>
                <w:color w:val="000000"/>
                <w:spacing w:val="8"/>
                <w:szCs w:val="22"/>
                <w:lang w:val="sr-Latn-CS"/>
              </w:rPr>
            </w:pPr>
            <w:r w:rsidRPr="004E680E">
              <w:rPr>
                <w:rFonts w:ascii="Constantia" w:hAnsi="Constantia"/>
                <w:b/>
                <w:bCs/>
                <w:iCs/>
                <w:color w:val="000000"/>
                <w:spacing w:val="8"/>
                <w:szCs w:val="22"/>
                <w:lang w:val="sr-Latn-CS"/>
              </w:rPr>
              <w:t>Milunovići</w:t>
            </w:r>
          </w:p>
        </w:tc>
        <w:tc>
          <w:tcPr>
            <w:tcW w:w="2014" w:type="dxa"/>
            <w:shd w:val="clear" w:color="auto" w:fill="E6EED5"/>
          </w:tcPr>
          <w:p w:rsidR="004B071C" w:rsidRPr="004E680E" w:rsidRDefault="004B071C" w:rsidP="00140CFA">
            <w:pPr>
              <w:rPr>
                <w:rFonts w:ascii="Constantia" w:hAnsi="Constantia"/>
                <w:szCs w:val="22"/>
              </w:rPr>
            </w:pPr>
            <w:r w:rsidRPr="004E680E">
              <w:rPr>
                <w:rFonts w:ascii="Constantia" w:hAnsi="Constantia"/>
                <w:szCs w:val="22"/>
              </w:rPr>
              <w:t>Utvrđeno stanje</w:t>
            </w:r>
          </w:p>
        </w:tc>
        <w:tc>
          <w:tcPr>
            <w:tcW w:w="5851" w:type="dxa"/>
            <w:shd w:val="clear" w:color="auto" w:fill="E6EED5"/>
          </w:tcPr>
          <w:p w:rsidR="004B071C" w:rsidRPr="004E680E" w:rsidRDefault="004B071C" w:rsidP="00140CFA">
            <w:pPr>
              <w:rPr>
                <w:rFonts w:ascii="Constantia" w:hAnsi="Constantia"/>
                <w:bCs/>
                <w:iCs/>
                <w:color w:val="000000"/>
                <w:spacing w:val="8"/>
                <w:szCs w:val="22"/>
                <w:lang w:val="sr-Latn-CS"/>
              </w:rPr>
            </w:pPr>
            <w:r w:rsidRPr="004E680E">
              <w:rPr>
                <w:rFonts w:ascii="Constantia" w:hAnsi="Constantia"/>
                <w:szCs w:val="22"/>
                <w:lang w:val="sr-Latn-CS"/>
              </w:rPr>
              <w:t>Na lokalitetu Milunovići</w:t>
            </w:r>
            <w:r w:rsidR="0045150D" w:rsidRPr="004E680E">
              <w:rPr>
                <w:rFonts w:ascii="Constantia" w:hAnsi="Constantia"/>
                <w:szCs w:val="22"/>
                <w:lang w:val="sr-Latn-CS"/>
              </w:rPr>
              <w:t xml:space="preserve">, </w:t>
            </w:r>
            <w:r w:rsidRPr="004E680E">
              <w:rPr>
                <w:rFonts w:ascii="Constantia" w:hAnsi="Constantia"/>
                <w:szCs w:val="22"/>
                <w:lang w:val="sr-Latn-CS"/>
              </w:rPr>
              <w:t>prisutna su termofilna staništima sa relativno slabo razvijenim zemljišnim slojem. Na</w:t>
            </w:r>
            <w:r w:rsidR="0045150D" w:rsidRPr="004E680E">
              <w:rPr>
                <w:rFonts w:ascii="Constantia" w:hAnsi="Constantia"/>
                <w:szCs w:val="22"/>
                <w:lang w:val="sr-Latn-CS"/>
              </w:rPr>
              <w:t xml:space="preserve"> </w:t>
            </w:r>
            <w:r w:rsidRPr="004E680E">
              <w:rPr>
                <w:rFonts w:ascii="Constantia" w:hAnsi="Constantia"/>
                <w:szCs w:val="22"/>
                <w:lang w:val="sr-Latn-CS"/>
              </w:rPr>
              <w:t>ovom lokalitetu treba pratiti pješčana staništa na kojima se mogu očekivati vrste gljiva</w:t>
            </w:r>
            <w:r w:rsidR="0045150D" w:rsidRPr="004E680E">
              <w:rPr>
                <w:rFonts w:ascii="Constantia" w:hAnsi="Constantia"/>
                <w:szCs w:val="22"/>
                <w:lang w:val="sr-Latn-CS"/>
              </w:rPr>
              <w:t xml:space="preserve"> </w:t>
            </w:r>
            <w:r w:rsidRPr="004E680E">
              <w:rPr>
                <w:rFonts w:ascii="Constantia" w:hAnsi="Constantia"/>
                <w:szCs w:val="22"/>
                <w:lang w:val="sr-Latn-CS"/>
              </w:rPr>
              <w:t>koje imaju međunarodni i nacionalni značaj</w:t>
            </w:r>
            <w:r w:rsidR="0045150D" w:rsidRPr="004E680E">
              <w:rPr>
                <w:rFonts w:ascii="Constantia" w:hAnsi="Constantia"/>
                <w:szCs w:val="22"/>
                <w:lang w:val="sr-Latn-CS"/>
              </w:rPr>
              <w:t xml:space="preserve">. </w:t>
            </w:r>
            <w:r w:rsidRPr="004E680E">
              <w:rPr>
                <w:rFonts w:ascii="Constantia" w:hAnsi="Constantia"/>
                <w:szCs w:val="22"/>
                <w:lang w:val="sr-Latn-CS"/>
              </w:rPr>
              <w:t xml:space="preserve">Na </w:t>
            </w:r>
            <w:r w:rsidR="0045150D" w:rsidRPr="004E680E">
              <w:rPr>
                <w:rFonts w:ascii="Constantia" w:hAnsi="Constantia"/>
                <w:szCs w:val="22"/>
                <w:lang w:val="sr-Latn-CS"/>
              </w:rPr>
              <w:t xml:space="preserve">ovom </w:t>
            </w:r>
            <w:r w:rsidRPr="004E680E">
              <w:rPr>
                <w:rFonts w:ascii="Constantia" w:hAnsi="Constantia"/>
                <w:szCs w:val="22"/>
                <w:lang w:val="sr-Latn-CS"/>
              </w:rPr>
              <w:t xml:space="preserve">lokalitetu registrovana je </w:t>
            </w:r>
            <w:r w:rsidR="0045150D" w:rsidRPr="004E680E">
              <w:rPr>
                <w:rFonts w:ascii="Constantia" w:hAnsi="Constantia"/>
                <w:szCs w:val="22"/>
                <w:lang w:val="sr-Latn-CS"/>
              </w:rPr>
              <w:t xml:space="preserve">i </w:t>
            </w:r>
            <w:r w:rsidRPr="004E680E">
              <w:rPr>
                <w:rFonts w:ascii="Constantia" w:hAnsi="Constantia"/>
                <w:szCs w:val="22"/>
                <w:lang w:val="sr-Latn-CS"/>
              </w:rPr>
              <w:t>eksploatacija šljunka koja ima negativan uticaj na staništa.</w:t>
            </w:r>
          </w:p>
        </w:tc>
      </w:tr>
    </w:tbl>
    <w:p w:rsidR="004B071C" w:rsidRPr="00795423" w:rsidRDefault="004B071C" w:rsidP="00117FB6">
      <w:pPr>
        <w:pStyle w:val="Tabele"/>
        <w:spacing w:before="60" w:after="0"/>
        <w:ind w:left="714" w:hanging="357"/>
        <w:rPr>
          <w:rFonts w:ascii="Constantia" w:hAnsi="Constantia"/>
          <w:sz w:val="22"/>
          <w:szCs w:val="22"/>
        </w:rPr>
      </w:pPr>
      <w:r w:rsidRPr="00795423">
        <w:rPr>
          <w:rFonts w:ascii="Constantia" w:hAnsi="Constantia"/>
          <w:sz w:val="22"/>
          <w:szCs w:val="22"/>
        </w:rPr>
        <w:t>Gljive</w:t>
      </w:r>
    </w:p>
    <w:p w:rsidR="004B071C" w:rsidRPr="00795423" w:rsidRDefault="004B071C" w:rsidP="00140CFA">
      <w:pPr>
        <w:pStyle w:val="Heading4"/>
        <w:numPr>
          <w:ilvl w:val="0"/>
          <w:numId w:val="0"/>
        </w:numPr>
        <w:spacing w:after="240"/>
        <w:ind w:left="1134"/>
        <w:rPr>
          <w:sz w:val="22"/>
          <w:szCs w:val="22"/>
          <w:lang w:val="sr-Latn-CS"/>
        </w:rPr>
      </w:pPr>
    </w:p>
    <w:p w:rsidR="004B071C" w:rsidRPr="00795423" w:rsidRDefault="004B071C" w:rsidP="00795423">
      <w:pPr>
        <w:pStyle w:val="Heading4"/>
        <w:ind w:left="900" w:hanging="900"/>
        <w:rPr>
          <w:sz w:val="22"/>
          <w:szCs w:val="22"/>
          <w:lang w:val="sr-Latn-CS"/>
        </w:rPr>
      </w:pPr>
      <w:r w:rsidRPr="00795423">
        <w:rPr>
          <w:sz w:val="22"/>
          <w:szCs w:val="22"/>
        </w:rPr>
        <w:t>Invertebrate</w:t>
      </w:r>
      <w:r w:rsidRPr="00795423">
        <w:rPr>
          <w:sz w:val="22"/>
          <w:szCs w:val="22"/>
          <w:lang w:val="sr-Latn-CS"/>
        </w:rPr>
        <w:t xml:space="preserve"> (beskičmenjaci)</w:t>
      </w:r>
    </w:p>
    <w:p w:rsidR="004B071C" w:rsidRPr="00140CFA" w:rsidRDefault="00845CCA" w:rsidP="00845CCA">
      <w:pPr>
        <w:spacing w:before="240"/>
        <w:rPr>
          <w:b/>
          <w:sz w:val="20"/>
          <w:szCs w:val="20"/>
          <w:lang w:val="sr-Latn-CS"/>
        </w:rPr>
      </w:pPr>
      <w:r w:rsidRPr="00140CFA">
        <w:rPr>
          <w:b/>
          <w:sz w:val="20"/>
          <w:szCs w:val="20"/>
          <w:lang w:val="sr-Latn-CS"/>
        </w:rPr>
        <w:t xml:space="preserve">6.3.1.4.1 </w:t>
      </w:r>
      <w:r w:rsidR="004B071C" w:rsidRPr="00140CFA">
        <w:rPr>
          <w:b/>
          <w:sz w:val="20"/>
          <w:szCs w:val="20"/>
          <w:lang w:val="sr-Latn-CS"/>
        </w:rPr>
        <w:t xml:space="preserve">- </w:t>
      </w:r>
      <w:r w:rsidR="004B071C" w:rsidRPr="00140CFA">
        <w:rPr>
          <w:b/>
          <w:sz w:val="20"/>
          <w:szCs w:val="20"/>
          <w:u w:val="single"/>
          <w:lang w:val="sr-Latn-CS"/>
        </w:rPr>
        <w:t xml:space="preserve">Malakofauna </w:t>
      </w:r>
      <w:r w:rsidR="004B071C" w:rsidRPr="00140CFA">
        <w:rPr>
          <w:b/>
          <w:sz w:val="20"/>
          <w:szCs w:val="20"/>
          <w:lang w:val="sr-Latn-CS"/>
        </w:rPr>
        <w:t>(Gastropoda i Bivalvia)</w:t>
      </w:r>
    </w:p>
    <w:p w:rsidR="004B071C" w:rsidRDefault="004B071C" w:rsidP="00845CCA">
      <w:pPr>
        <w:spacing w:after="0"/>
        <w:rPr>
          <w:szCs w:val="22"/>
          <w:lang w:val="sr-Latn-CS"/>
        </w:rPr>
      </w:pPr>
    </w:p>
    <w:tbl>
      <w:tblPr>
        <w:tblW w:w="8971" w:type="dxa"/>
        <w:jc w:val="center"/>
        <w:tblInd w:w="-903"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1E0" w:firstRow="1" w:lastRow="1" w:firstColumn="1" w:lastColumn="1" w:noHBand="0" w:noVBand="0"/>
      </w:tblPr>
      <w:tblGrid>
        <w:gridCol w:w="3279"/>
        <w:gridCol w:w="5692"/>
      </w:tblGrid>
      <w:tr w:rsidR="004B071C" w:rsidRPr="004E680E" w:rsidTr="00786869">
        <w:trPr>
          <w:jc w:val="center"/>
        </w:trPr>
        <w:tc>
          <w:tcPr>
            <w:tcW w:w="3279" w:type="dxa"/>
            <w:shd w:val="clear" w:color="auto" w:fill="E6EED5"/>
            <w:hideMark/>
          </w:tcPr>
          <w:p w:rsidR="004B071C" w:rsidRPr="004E680E" w:rsidRDefault="004B071C" w:rsidP="00845CCA">
            <w:pPr>
              <w:tabs>
                <w:tab w:val="left" w:pos="7380"/>
              </w:tabs>
              <w:spacing w:after="0" w:line="260" w:lineRule="exact"/>
              <w:jc w:val="left"/>
              <w:rPr>
                <w:rFonts w:ascii="Constantia" w:hAnsi="Constantia" w:cs="Arial"/>
                <w:b/>
                <w:bCs/>
                <w:spacing w:val="6"/>
                <w:szCs w:val="22"/>
                <w:lang w:val="sr-Latn-CS"/>
              </w:rPr>
            </w:pPr>
            <w:r w:rsidRPr="004E680E">
              <w:rPr>
                <w:rFonts w:ascii="Constantia" w:hAnsi="Constantia" w:cs="Arial"/>
                <w:b/>
                <w:bCs/>
                <w:spacing w:val="6"/>
                <w:szCs w:val="22"/>
                <w:lang w:val="sr-Latn-CS"/>
              </w:rPr>
              <w:t>Lokaliteti</w:t>
            </w:r>
          </w:p>
        </w:tc>
        <w:tc>
          <w:tcPr>
            <w:tcW w:w="5692" w:type="dxa"/>
            <w:shd w:val="clear" w:color="auto" w:fill="E6EED5"/>
            <w:hideMark/>
          </w:tcPr>
          <w:p w:rsidR="004B071C" w:rsidRPr="004E680E" w:rsidRDefault="004B071C" w:rsidP="00845CCA">
            <w:pPr>
              <w:tabs>
                <w:tab w:val="left" w:pos="7380"/>
              </w:tabs>
              <w:spacing w:after="0" w:line="260" w:lineRule="exact"/>
              <w:jc w:val="left"/>
              <w:rPr>
                <w:rFonts w:ascii="Constantia" w:hAnsi="Constantia" w:cs="Arial"/>
                <w:b/>
                <w:bCs/>
                <w:spacing w:val="6"/>
                <w:szCs w:val="22"/>
                <w:lang w:val="sr-Latn-CS"/>
              </w:rPr>
            </w:pPr>
            <w:r w:rsidRPr="004E680E">
              <w:rPr>
                <w:rFonts w:ascii="Constantia" w:hAnsi="Constantia" w:cs="Arial"/>
                <w:b/>
                <w:bCs/>
                <w:spacing w:val="6"/>
                <w:szCs w:val="22"/>
                <w:lang w:val="sr-Latn-CS"/>
              </w:rPr>
              <w:t>Identifikovani taksoni/Utvrđeno stanje</w:t>
            </w:r>
          </w:p>
        </w:tc>
      </w:tr>
      <w:tr w:rsidR="004B071C" w:rsidRPr="004E680E" w:rsidTr="00786869">
        <w:trPr>
          <w:jc w:val="center"/>
        </w:trPr>
        <w:tc>
          <w:tcPr>
            <w:tcW w:w="3279" w:type="dxa"/>
            <w:shd w:val="clear" w:color="auto" w:fill="CDDDAC"/>
            <w:hideMark/>
          </w:tcPr>
          <w:p w:rsidR="004B071C" w:rsidRPr="004E680E" w:rsidRDefault="004B071C" w:rsidP="004E680E">
            <w:pPr>
              <w:tabs>
                <w:tab w:val="left" w:pos="7380"/>
              </w:tabs>
              <w:spacing w:after="0" w:line="260" w:lineRule="exact"/>
              <w:jc w:val="right"/>
              <w:rPr>
                <w:rFonts w:ascii="Constantia" w:hAnsi="Constantia" w:cs="Arial"/>
                <w:b/>
                <w:bCs/>
                <w:smallCaps/>
                <w:spacing w:val="6"/>
                <w:szCs w:val="22"/>
                <w:lang w:val="sr-Latn-CS"/>
              </w:rPr>
            </w:pPr>
          </w:p>
        </w:tc>
        <w:tc>
          <w:tcPr>
            <w:tcW w:w="5692" w:type="dxa"/>
            <w:shd w:val="clear" w:color="auto" w:fill="CDDDAC"/>
            <w:hideMark/>
          </w:tcPr>
          <w:p w:rsidR="004B071C" w:rsidRPr="004E680E" w:rsidRDefault="004B071C" w:rsidP="004E680E">
            <w:pPr>
              <w:spacing w:after="60" w:line="280" w:lineRule="exact"/>
              <w:rPr>
                <w:rFonts w:ascii="Constantia" w:hAnsi="Constantia" w:cs="Arial"/>
                <w:bCs/>
                <w:spacing w:val="10"/>
                <w:szCs w:val="22"/>
              </w:rPr>
            </w:pPr>
          </w:p>
        </w:tc>
      </w:tr>
      <w:tr w:rsidR="004B071C" w:rsidRPr="004E680E" w:rsidTr="00786869">
        <w:trPr>
          <w:trHeight w:val="2873"/>
          <w:jc w:val="center"/>
        </w:trPr>
        <w:tc>
          <w:tcPr>
            <w:tcW w:w="3279" w:type="dxa"/>
            <w:shd w:val="clear" w:color="auto" w:fill="E6EED5"/>
            <w:hideMark/>
          </w:tcPr>
          <w:p w:rsidR="00845CCA" w:rsidRPr="004E680E" w:rsidRDefault="00845CCA" w:rsidP="004E680E">
            <w:pPr>
              <w:spacing w:after="0"/>
              <w:rPr>
                <w:rFonts w:ascii="Constantia" w:hAnsi="Constantia" w:cs="Arial"/>
                <w:b/>
                <w:bCs/>
                <w:smallCaps/>
                <w:spacing w:val="6"/>
                <w:szCs w:val="22"/>
                <w:lang w:val="sr-Latn-CS"/>
              </w:rPr>
            </w:pPr>
          </w:p>
          <w:p w:rsidR="004B071C" w:rsidRPr="004E680E" w:rsidRDefault="004B071C" w:rsidP="004E680E">
            <w:pPr>
              <w:spacing w:after="0"/>
              <w:rPr>
                <w:rFonts w:ascii="Constantia" w:hAnsi="Constantia" w:cs="Arial"/>
                <w:b/>
                <w:bCs/>
                <w:smallCaps/>
                <w:spacing w:val="6"/>
                <w:szCs w:val="22"/>
                <w:lang w:val="sr-Latn-CS"/>
              </w:rPr>
            </w:pPr>
            <w:r w:rsidRPr="004E680E">
              <w:rPr>
                <w:rFonts w:ascii="Constantia" w:hAnsi="Constantia" w:cs="Arial"/>
                <w:b/>
                <w:bCs/>
                <w:smallCaps/>
                <w:spacing w:val="6"/>
                <w:szCs w:val="22"/>
                <w:lang w:val="sr-Latn-CS"/>
              </w:rPr>
              <w:t>Kanjon morače</w:t>
            </w:r>
          </w:p>
        </w:tc>
        <w:tc>
          <w:tcPr>
            <w:tcW w:w="5692" w:type="dxa"/>
            <w:shd w:val="clear" w:color="auto" w:fill="E6EED5"/>
          </w:tcPr>
          <w:p w:rsidR="004B071C" w:rsidRPr="004E680E" w:rsidRDefault="004B071C" w:rsidP="00845CCA">
            <w:pPr>
              <w:spacing w:after="0" w:line="280" w:lineRule="exact"/>
              <w:rPr>
                <w:rFonts w:ascii="Constantia" w:eastAsia="Calibri" w:hAnsi="Constantia" w:cs="Arial"/>
                <w:bCs/>
                <w:i/>
                <w:spacing w:val="8"/>
                <w:szCs w:val="22"/>
                <w:lang w:val="pt-BR"/>
              </w:rPr>
            </w:pPr>
            <w:r w:rsidRPr="004E680E">
              <w:rPr>
                <w:rFonts w:ascii="Constantia" w:eastAsia="Calibri" w:hAnsi="Constantia" w:cs="Arial"/>
                <w:bCs/>
                <w:i/>
                <w:spacing w:val="8"/>
                <w:szCs w:val="22"/>
                <w:lang w:val="pt-BR"/>
              </w:rPr>
              <w:t xml:space="preserve">Paraegopis albanicus </w:t>
            </w:r>
            <w:r w:rsidRPr="004E680E">
              <w:rPr>
                <w:rFonts w:ascii="Constantia" w:eastAsia="Calibri" w:hAnsi="Constantia" w:cs="Arial"/>
                <w:bCs/>
                <w:spacing w:val="8"/>
                <w:szCs w:val="22"/>
                <w:lang w:val="pt-BR"/>
              </w:rPr>
              <w:t>(Rossmaessler, 1836)</w:t>
            </w:r>
          </w:p>
          <w:p w:rsidR="004B071C" w:rsidRPr="004E680E" w:rsidRDefault="004B071C" w:rsidP="00845CCA">
            <w:pPr>
              <w:spacing w:after="0" w:line="280" w:lineRule="exact"/>
              <w:rPr>
                <w:rFonts w:ascii="Constantia" w:eastAsia="Calibri" w:hAnsi="Constantia" w:cs="Arial"/>
                <w:bCs/>
                <w:i/>
                <w:spacing w:val="8"/>
                <w:szCs w:val="22"/>
                <w:lang w:val="pt-BR"/>
              </w:rPr>
            </w:pPr>
            <w:r w:rsidRPr="004E680E">
              <w:rPr>
                <w:rFonts w:ascii="Constantia" w:eastAsia="Calibri" w:hAnsi="Constantia" w:cs="Arial"/>
                <w:bCs/>
                <w:i/>
                <w:spacing w:val="8"/>
                <w:szCs w:val="22"/>
                <w:lang w:val="pt-BR"/>
              </w:rPr>
              <w:t xml:space="preserve">Pomatias elegans </w:t>
            </w:r>
            <w:r w:rsidRPr="004E680E">
              <w:rPr>
                <w:rFonts w:ascii="Constantia" w:eastAsia="Calibri" w:hAnsi="Constantia" w:cs="Arial"/>
                <w:bCs/>
                <w:spacing w:val="8"/>
                <w:szCs w:val="22"/>
                <w:lang w:val="pt-BR"/>
              </w:rPr>
              <w:t>(O.F.Müller,</w:t>
            </w:r>
            <w:r w:rsidR="00845CCA" w:rsidRPr="004E680E">
              <w:rPr>
                <w:rFonts w:ascii="Constantia" w:eastAsia="Calibri" w:hAnsi="Constantia" w:cs="Arial"/>
                <w:bCs/>
                <w:spacing w:val="8"/>
                <w:szCs w:val="22"/>
                <w:lang w:val="pt-BR"/>
              </w:rPr>
              <w:t xml:space="preserve"> </w:t>
            </w:r>
            <w:r w:rsidRPr="004E680E">
              <w:rPr>
                <w:rFonts w:ascii="Constantia" w:eastAsia="Calibri" w:hAnsi="Constantia" w:cs="Arial"/>
                <w:bCs/>
                <w:spacing w:val="8"/>
                <w:szCs w:val="22"/>
                <w:lang w:val="pt-BR"/>
              </w:rPr>
              <w:t>1774)</w:t>
            </w:r>
          </w:p>
          <w:p w:rsidR="004B071C" w:rsidRPr="004E680E" w:rsidRDefault="004B071C" w:rsidP="00845CCA">
            <w:pPr>
              <w:spacing w:after="0" w:line="280" w:lineRule="exact"/>
              <w:rPr>
                <w:rFonts w:ascii="Constantia" w:eastAsia="Calibri" w:hAnsi="Constantia" w:cs="Arial"/>
                <w:bCs/>
                <w:spacing w:val="8"/>
                <w:szCs w:val="22"/>
                <w:lang w:val="pt-BR"/>
              </w:rPr>
            </w:pPr>
            <w:r w:rsidRPr="004E680E">
              <w:rPr>
                <w:rFonts w:ascii="Constantia" w:eastAsia="Calibri" w:hAnsi="Constantia" w:cs="Arial"/>
                <w:bCs/>
                <w:i/>
                <w:spacing w:val="8"/>
                <w:szCs w:val="22"/>
                <w:lang w:val="pt-BR"/>
              </w:rPr>
              <w:t xml:space="preserve">Ena montana </w:t>
            </w:r>
            <w:r w:rsidRPr="004E680E">
              <w:rPr>
                <w:rFonts w:ascii="Constantia" w:eastAsia="Calibri" w:hAnsi="Constantia" w:cs="Arial"/>
                <w:bCs/>
                <w:spacing w:val="8"/>
                <w:szCs w:val="22"/>
                <w:lang w:val="pt-BR"/>
              </w:rPr>
              <w:t>(Draparnaud,</w:t>
            </w:r>
            <w:r w:rsidR="00845CCA" w:rsidRPr="004E680E">
              <w:rPr>
                <w:rFonts w:ascii="Constantia" w:eastAsia="Calibri" w:hAnsi="Constantia" w:cs="Arial"/>
                <w:bCs/>
                <w:spacing w:val="8"/>
                <w:szCs w:val="22"/>
                <w:lang w:val="pt-BR"/>
              </w:rPr>
              <w:t xml:space="preserve"> </w:t>
            </w:r>
            <w:r w:rsidRPr="004E680E">
              <w:rPr>
                <w:rFonts w:ascii="Constantia" w:eastAsia="Calibri" w:hAnsi="Constantia" w:cs="Arial"/>
                <w:bCs/>
                <w:spacing w:val="8"/>
                <w:szCs w:val="22"/>
                <w:lang w:val="pt-BR"/>
              </w:rPr>
              <w:t>1801)</w:t>
            </w:r>
          </w:p>
          <w:p w:rsidR="004B071C" w:rsidRPr="004E680E" w:rsidRDefault="004B071C" w:rsidP="00845CCA">
            <w:pPr>
              <w:spacing w:after="0" w:line="280" w:lineRule="exact"/>
              <w:rPr>
                <w:rFonts w:ascii="Constantia" w:eastAsia="Calibri" w:hAnsi="Constantia" w:cs="Arial"/>
                <w:bCs/>
                <w:spacing w:val="8"/>
                <w:szCs w:val="22"/>
                <w:lang w:val="pt-BR"/>
              </w:rPr>
            </w:pPr>
            <w:r w:rsidRPr="004E680E">
              <w:rPr>
                <w:rFonts w:ascii="Constantia" w:eastAsia="Calibri" w:hAnsi="Constantia" w:cs="Arial"/>
                <w:bCs/>
                <w:i/>
                <w:spacing w:val="8"/>
                <w:szCs w:val="22"/>
                <w:lang w:val="pt-BR"/>
              </w:rPr>
              <w:t>Helix secernenda Rossmaessler,</w:t>
            </w:r>
            <w:r w:rsidR="00845CCA" w:rsidRPr="004E680E">
              <w:rPr>
                <w:rFonts w:ascii="Constantia" w:eastAsia="Calibri" w:hAnsi="Constantia" w:cs="Arial"/>
                <w:bCs/>
                <w:i/>
                <w:spacing w:val="8"/>
                <w:szCs w:val="22"/>
                <w:lang w:val="pt-BR"/>
              </w:rPr>
              <w:t xml:space="preserve"> </w:t>
            </w:r>
            <w:r w:rsidRPr="004E680E">
              <w:rPr>
                <w:rFonts w:ascii="Constantia" w:eastAsia="Calibri" w:hAnsi="Constantia" w:cs="Arial"/>
                <w:bCs/>
                <w:spacing w:val="8"/>
                <w:szCs w:val="22"/>
                <w:lang w:val="pt-BR"/>
              </w:rPr>
              <w:t>1847</w:t>
            </w:r>
          </w:p>
          <w:p w:rsidR="004B071C" w:rsidRPr="004E680E" w:rsidRDefault="004B071C" w:rsidP="00845CCA">
            <w:pPr>
              <w:spacing w:after="0" w:line="280" w:lineRule="exact"/>
              <w:rPr>
                <w:rFonts w:ascii="Constantia" w:eastAsia="Calibri" w:hAnsi="Constantia" w:cs="Arial"/>
                <w:bCs/>
                <w:spacing w:val="8"/>
                <w:szCs w:val="22"/>
                <w:lang w:val="pt-BR"/>
              </w:rPr>
            </w:pPr>
            <w:r w:rsidRPr="004E680E">
              <w:rPr>
                <w:rFonts w:ascii="Constantia" w:eastAsia="Calibri" w:hAnsi="Constantia" w:cs="Arial"/>
                <w:bCs/>
                <w:i/>
                <w:spacing w:val="8"/>
                <w:szCs w:val="22"/>
                <w:lang w:val="pt-BR"/>
              </w:rPr>
              <w:t xml:space="preserve">Ceapaea vindobonensis </w:t>
            </w:r>
            <w:r w:rsidRPr="004E680E">
              <w:rPr>
                <w:rFonts w:ascii="Constantia" w:eastAsia="Calibri" w:hAnsi="Constantia" w:cs="Arial"/>
                <w:bCs/>
                <w:spacing w:val="8"/>
                <w:szCs w:val="22"/>
                <w:lang w:val="pt-BR"/>
              </w:rPr>
              <w:t>(Férussac</w:t>
            </w:r>
            <w:r w:rsidR="00845CCA" w:rsidRPr="004E680E">
              <w:rPr>
                <w:rFonts w:ascii="Constantia" w:eastAsia="Calibri" w:hAnsi="Constantia" w:cs="Arial"/>
                <w:bCs/>
                <w:spacing w:val="8"/>
                <w:szCs w:val="22"/>
                <w:lang w:val="pt-BR"/>
              </w:rPr>
              <w:t xml:space="preserve"> </w:t>
            </w:r>
            <w:r w:rsidRPr="004E680E">
              <w:rPr>
                <w:rFonts w:ascii="Constantia" w:eastAsia="Calibri" w:hAnsi="Constantia" w:cs="Arial"/>
                <w:bCs/>
                <w:spacing w:val="8"/>
                <w:szCs w:val="22"/>
                <w:lang w:val="pt-BR"/>
              </w:rPr>
              <w:t>,1821)</w:t>
            </w:r>
          </w:p>
          <w:p w:rsidR="004B071C" w:rsidRPr="004E680E" w:rsidRDefault="004B071C" w:rsidP="00845CCA">
            <w:pPr>
              <w:spacing w:after="0" w:line="280" w:lineRule="exact"/>
              <w:rPr>
                <w:rFonts w:ascii="Constantia" w:eastAsia="Calibri" w:hAnsi="Constantia" w:cs="Arial"/>
                <w:bCs/>
                <w:spacing w:val="8"/>
                <w:szCs w:val="22"/>
                <w:lang w:val="pt-BR"/>
              </w:rPr>
            </w:pPr>
            <w:r w:rsidRPr="004E680E">
              <w:rPr>
                <w:rFonts w:ascii="Constantia" w:eastAsia="Calibri" w:hAnsi="Constantia" w:cs="Arial"/>
                <w:bCs/>
                <w:i/>
                <w:spacing w:val="8"/>
                <w:szCs w:val="22"/>
                <w:lang w:val="pt-BR"/>
              </w:rPr>
              <w:t>Arion subfuscus Lohmander</w:t>
            </w:r>
            <w:r w:rsidRPr="004E680E">
              <w:rPr>
                <w:rFonts w:ascii="Constantia" w:eastAsia="Calibri" w:hAnsi="Constantia" w:cs="Arial"/>
                <w:bCs/>
                <w:spacing w:val="8"/>
                <w:szCs w:val="22"/>
                <w:lang w:val="pt-BR"/>
              </w:rPr>
              <w:t>, 1937</w:t>
            </w:r>
          </w:p>
          <w:p w:rsidR="004B071C" w:rsidRPr="004E680E" w:rsidRDefault="004B071C" w:rsidP="00845CCA">
            <w:pPr>
              <w:spacing w:after="0" w:line="280" w:lineRule="exact"/>
              <w:rPr>
                <w:rFonts w:ascii="Constantia" w:eastAsia="Calibri" w:hAnsi="Constantia" w:cs="Arial"/>
                <w:bCs/>
                <w:spacing w:val="8"/>
                <w:szCs w:val="22"/>
                <w:lang w:val="pt-BR"/>
              </w:rPr>
            </w:pPr>
            <w:r w:rsidRPr="004E680E">
              <w:rPr>
                <w:rFonts w:ascii="Constantia" w:eastAsia="Calibri" w:hAnsi="Constantia" w:cs="Arial"/>
                <w:bCs/>
                <w:i/>
                <w:spacing w:val="8"/>
                <w:szCs w:val="22"/>
                <w:lang w:val="pt-BR"/>
              </w:rPr>
              <w:t>Limax cinereoniger Wolf</w:t>
            </w:r>
            <w:r w:rsidRPr="004E680E">
              <w:rPr>
                <w:rFonts w:ascii="Constantia" w:eastAsia="Calibri" w:hAnsi="Constantia" w:cs="Arial"/>
                <w:bCs/>
                <w:spacing w:val="8"/>
                <w:szCs w:val="22"/>
                <w:lang w:val="pt-BR"/>
              </w:rPr>
              <w:t>,</w:t>
            </w:r>
            <w:r w:rsidR="00845CCA" w:rsidRPr="004E680E">
              <w:rPr>
                <w:rFonts w:ascii="Constantia" w:eastAsia="Calibri" w:hAnsi="Constantia" w:cs="Arial"/>
                <w:bCs/>
                <w:spacing w:val="8"/>
                <w:szCs w:val="22"/>
                <w:lang w:val="pt-BR"/>
              </w:rPr>
              <w:t xml:space="preserve"> </w:t>
            </w:r>
            <w:r w:rsidRPr="004E680E">
              <w:rPr>
                <w:rFonts w:ascii="Constantia" w:eastAsia="Calibri" w:hAnsi="Constantia" w:cs="Arial"/>
                <w:bCs/>
                <w:spacing w:val="8"/>
                <w:szCs w:val="22"/>
                <w:lang w:val="pt-BR"/>
              </w:rPr>
              <w:t>1903</w:t>
            </w:r>
          </w:p>
          <w:p w:rsidR="004B071C" w:rsidRPr="004E680E" w:rsidRDefault="004B071C" w:rsidP="00845CCA">
            <w:pPr>
              <w:spacing w:after="0" w:line="280" w:lineRule="exact"/>
              <w:rPr>
                <w:rFonts w:ascii="Constantia" w:eastAsia="Calibri" w:hAnsi="Constantia" w:cs="Arial"/>
                <w:bCs/>
                <w:spacing w:val="8"/>
                <w:szCs w:val="22"/>
                <w:lang w:val="pt-BR"/>
              </w:rPr>
            </w:pPr>
            <w:r w:rsidRPr="004E680E">
              <w:rPr>
                <w:rFonts w:ascii="Constantia" w:eastAsia="Calibri" w:hAnsi="Constantia" w:cs="Arial"/>
                <w:bCs/>
                <w:i/>
                <w:spacing w:val="8"/>
                <w:szCs w:val="22"/>
                <w:lang w:val="pt-BR"/>
              </w:rPr>
              <w:t xml:space="preserve">Limax maximus Linnaeus, </w:t>
            </w:r>
            <w:r w:rsidRPr="004E680E">
              <w:rPr>
                <w:rFonts w:ascii="Constantia" w:eastAsia="Calibri" w:hAnsi="Constantia" w:cs="Arial"/>
                <w:bCs/>
                <w:spacing w:val="8"/>
                <w:szCs w:val="22"/>
                <w:lang w:val="pt-BR"/>
              </w:rPr>
              <w:t>1758</w:t>
            </w:r>
          </w:p>
          <w:p w:rsidR="004B071C" w:rsidRPr="004E680E" w:rsidRDefault="004B071C" w:rsidP="00845CCA">
            <w:pPr>
              <w:spacing w:after="0" w:line="280" w:lineRule="exact"/>
              <w:rPr>
                <w:rFonts w:ascii="Constantia" w:eastAsia="Calibri" w:hAnsi="Constantia" w:cs="Arial"/>
                <w:bCs/>
                <w:i/>
                <w:spacing w:val="8"/>
                <w:szCs w:val="22"/>
                <w:lang w:val="pt-BR"/>
              </w:rPr>
            </w:pPr>
            <w:r w:rsidRPr="004E680E">
              <w:rPr>
                <w:rFonts w:ascii="Constantia" w:eastAsia="Calibri" w:hAnsi="Constantia" w:cs="Arial"/>
                <w:bCs/>
                <w:i/>
                <w:spacing w:val="8"/>
                <w:szCs w:val="22"/>
                <w:lang w:val="pt-BR"/>
              </w:rPr>
              <w:t xml:space="preserve">Malacolimax mrazeki </w:t>
            </w:r>
            <w:r w:rsidRPr="004E680E">
              <w:rPr>
                <w:rFonts w:ascii="Constantia" w:eastAsia="Calibri" w:hAnsi="Constantia" w:cs="Arial"/>
                <w:bCs/>
                <w:spacing w:val="8"/>
                <w:szCs w:val="22"/>
                <w:lang w:val="pt-BR"/>
              </w:rPr>
              <w:t>(Simroth</w:t>
            </w:r>
            <w:r w:rsidR="00845CCA" w:rsidRPr="004E680E">
              <w:rPr>
                <w:rFonts w:ascii="Constantia" w:eastAsia="Calibri" w:hAnsi="Constantia" w:cs="Arial"/>
                <w:bCs/>
                <w:spacing w:val="8"/>
                <w:szCs w:val="22"/>
                <w:lang w:val="pt-BR"/>
              </w:rPr>
              <w:t xml:space="preserve"> </w:t>
            </w:r>
            <w:r w:rsidRPr="004E680E">
              <w:rPr>
                <w:rFonts w:ascii="Constantia" w:eastAsia="Calibri" w:hAnsi="Constantia" w:cs="Arial"/>
                <w:bCs/>
                <w:spacing w:val="8"/>
                <w:szCs w:val="22"/>
                <w:lang w:val="pt-BR"/>
              </w:rPr>
              <w:t>,1904)</w:t>
            </w:r>
          </w:p>
          <w:p w:rsidR="004B071C" w:rsidRPr="004E680E" w:rsidRDefault="004B071C" w:rsidP="00845CCA">
            <w:pPr>
              <w:spacing w:after="0" w:line="280" w:lineRule="exact"/>
              <w:rPr>
                <w:rFonts w:ascii="Constantia" w:eastAsia="Calibri" w:hAnsi="Constantia" w:cs="Arial"/>
                <w:bCs/>
                <w:i/>
                <w:spacing w:val="8"/>
                <w:szCs w:val="22"/>
                <w:lang w:val="pt-BR"/>
              </w:rPr>
            </w:pPr>
            <w:r w:rsidRPr="004E680E">
              <w:rPr>
                <w:rFonts w:ascii="Constantia" w:eastAsia="Calibri" w:hAnsi="Constantia" w:cs="Arial"/>
                <w:bCs/>
                <w:i/>
                <w:spacing w:val="8"/>
                <w:szCs w:val="22"/>
                <w:lang w:val="pt-BR"/>
              </w:rPr>
              <w:t xml:space="preserve">Deroceras turcicum </w:t>
            </w:r>
            <w:r w:rsidRPr="004E680E">
              <w:rPr>
                <w:rFonts w:ascii="Constantia" w:eastAsia="Calibri" w:hAnsi="Constantia" w:cs="Arial"/>
                <w:bCs/>
                <w:spacing w:val="8"/>
                <w:szCs w:val="22"/>
                <w:lang w:val="pt-BR"/>
              </w:rPr>
              <w:t>(Simroth,</w:t>
            </w:r>
            <w:r w:rsidR="00845CCA" w:rsidRPr="004E680E">
              <w:rPr>
                <w:rFonts w:ascii="Constantia" w:eastAsia="Calibri" w:hAnsi="Constantia" w:cs="Arial"/>
                <w:bCs/>
                <w:spacing w:val="8"/>
                <w:szCs w:val="22"/>
                <w:lang w:val="pt-BR"/>
              </w:rPr>
              <w:t xml:space="preserve"> </w:t>
            </w:r>
            <w:r w:rsidRPr="004E680E">
              <w:rPr>
                <w:rFonts w:ascii="Constantia" w:eastAsia="Calibri" w:hAnsi="Constantia" w:cs="Arial"/>
                <w:bCs/>
                <w:spacing w:val="8"/>
                <w:szCs w:val="22"/>
                <w:lang w:val="pt-BR"/>
              </w:rPr>
              <w:t>1894)</w:t>
            </w:r>
          </w:p>
        </w:tc>
      </w:tr>
    </w:tbl>
    <w:p w:rsidR="004B071C" w:rsidRPr="00845CCA" w:rsidRDefault="00845CCA" w:rsidP="004B071C">
      <w:pPr>
        <w:pStyle w:val="Tabele"/>
        <w:spacing w:before="60" w:after="240"/>
        <w:ind w:left="714" w:hanging="357"/>
        <w:rPr>
          <w:rFonts w:ascii="Constantia" w:hAnsi="Constantia"/>
          <w:sz w:val="22"/>
          <w:szCs w:val="22"/>
        </w:rPr>
      </w:pPr>
      <w:r>
        <w:t xml:space="preserve"> </w:t>
      </w:r>
      <w:r w:rsidR="004B071C" w:rsidRPr="00845CCA">
        <w:rPr>
          <w:rFonts w:ascii="Constantia" w:hAnsi="Constantia"/>
          <w:sz w:val="22"/>
          <w:szCs w:val="22"/>
        </w:rPr>
        <w:t>Malakofauna</w:t>
      </w:r>
    </w:p>
    <w:p w:rsidR="00140CFA" w:rsidRDefault="00140CFA" w:rsidP="004B071C">
      <w:pPr>
        <w:rPr>
          <w:sz w:val="20"/>
          <w:szCs w:val="20"/>
          <w:lang w:val="sr-Latn-CS"/>
        </w:rPr>
      </w:pPr>
    </w:p>
    <w:p w:rsidR="00140CFA" w:rsidRDefault="00140CFA" w:rsidP="004B071C">
      <w:pPr>
        <w:rPr>
          <w:sz w:val="20"/>
          <w:szCs w:val="20"/>
          <w:lang w:val="sr-Latn-CS"/>
        </w:rPr>
      </w:pPr>
    </w:p>
    <w:p w:rsidR="004B071C" w:rsidRPr="00140CFA" w:rsidRDefault="00786869" w:rsidP="004B071C">
      <w:pPr>
        <w:rPr>
          <w:b/>
          <w:sz w:val="20"/>
          <w:szCs w:val="20"/>
          <w:lang w:val="sr-Latn-CS"/>
        </w:rPr>
      </w:pPr>
      <w:r w:rsidRPr="00140CFA">
        <w:rPr>
          <w:b/>
          <w:sz w:val="20"/>
          <w:szCs w:val="20"/>
          <w:lang w:val="sr-Latn-CS"/>
        </w:rPr>
        <w:lastRenderedPageBreak/>
        <w:t xml:space="preserve">6.3.1.4.2 </w:t>
      </w:r>
      <w:r w:rsidR="004B071C" w:rsidRPr="00140CFA">
        <w:rPr>
          <w:b/>
          <w:sz w:val="20"/>
          <w:szCs w:val="20"/>
          <w:lang w:val="sr-Latn-CS"/>
        </w:rPr>
        <w:t xml:space="preserve">- </w:t>
      </w:r>
      <w:r w:rsidR="004B071C" w:rsidRPr="00140CFA">
        <w:rPr>
          <w:b/>
          <w:sz w:val="20"/>
          <w:szCs w:val="20"/>
          <w:u w:val="single"/>
          <w:lang w:val="sr-Latn-CS"/>
        </w:rPr>
        <w:t>Insekti</w:t>
      </w:r>
    </w:p>
    <w:p w:rsidR="004B071C" w:rsidRPr="002E3A97" w:rsidRDefault="004B071C" w:rsidP="00786869">
      <w:pPr>
        <w:spacing w:after="0"/>
        <w:rPr>
          <w:szCs w:val="22"/>
          <w:lang w:val="sr-Latn-CS"/>
        </w:rPr>
      </w:pPr>
    </w:p>
    <w:tbl>
      <w:tblPr>
        <w:tblW w:w="9016" w:type="dxa"/>
        <w:jc w:val="center"/>
        <w:tblInd w:w="1023"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1E0" w:firstRow="1" w:lastRow="1" w:firstColumn="1" w:lastColumn="1" w:noHBand="0" w:noVBand="0"/>
      </w:tblPr>
      <w:tblGrid>
        <w:gridCol w:w="1412"/>
        <w:gridCol w:w="1980"/>
        <w:gridCol w:w="5624"/>
      </w:tblGrid>
      <w:tr w:rsidR="004B071C" w:rsidRPr="00140CFA" w:rsidTr="00786869">
        <w:trPr>
          <w:jc w:val="center"/>
        </w:trPr>
        <w:tc>
          <w:tcPr>
            <w:tcW w:w="1412" w:type="dxa"/>
            <w:shd w:val="clear" w:color="auto" w:fill="E6EED5"/>
            <w:hideMark/>
          </w:tcPr>
          <w:p w:rsidR="004B071C" w:rsidRPr="00140CFA" w:rsidRDefault="004B071C" w:rsidP="00786869">
            <w:pPr>
              <w:tabs>
                <w:tab w:val="left" w:pos="7380"/>
              </w:tabs>
              <w:spacing w:after="0" w:line="260" w:lineRule="exact"/>
              <w:jc w:val="center"/>
              <w:rPr>
                <w:rFonts w:ascii="Constantia" w:hAnsi="Constantia" w:cs="Arial"/>
                <w:b/>
                <w:bCs/>
                <w:spacing w:val="6"/>
                <w:szCs w:val="22"/>
                <w:lang w:val="sr-Latn-CS"/>
              </w:rPr>
            </w:pPr>
            <w:r w:rsidRPr="00140CFA">
              <w:rPr>
                <w:rFonts w:ascii="Constantia" w:hAnsi="Constantia" w:cs="Arial"/>
                <w:b/>
                <w:bCs/>
                <w:spacing w:val="6"/>
                <w:szCs w:val="22"/>
                <w:lang w:val="sr-Latn-CS"/>
              </w:rPr>
              <w:t>Lokaliteti</w:t>
            </w:r>
          </w:p>
        </w:tc>
        <w:tc>
          <w:tcPr>
            <w:tcW w:w="1980" w:type="dxa"/>
            <w:shd w:val="clear" w:color="auto" w:fill="CDDDAC"/>
            <w:hideMark/>
          </w:tcPr>
          <w:p w:rsidR="004B071C" w:rsidRPr="00140CFA" w:rsidRDefault="004B071C" w:rsidP="00786869">
            <w:pPr>
              <w:tabs>
                <w:tab w:val="left" w:pos="7380"/>
              </w:tabs>
              <w:spacing w:after="0" w:line="260" w:lineRule="exact"/>
              <w:jc w:val="center"/>
              <w:rPr>
                <w:rFonts w:ascii="Constantia" w:hAnsi="Constantia" w:cs="Arial"/>
                <w:b/>
                <w:bCs/>
                <w:spacing w:val="6"/>
                <w:szCs w:val="22"/>
                <w:lang w:val="sr-Latn-CS"/>
              </w:rPr>
            </w:pPr>
            <w:r w:rsidRPr="00140CFA">
              <w:rPr>
                <w:rFonts w:ascii="Constantia" w:hAnsi="Constantia" w:cs="Arial"/>
                <w:b/>
                <w:bCs/>
                <w:spacing w:val="6"/>
                <w:szCs w:val="22"/>
                <w:lang w:val="sr-Latn-CS"/>
              </w:rPr>
              <w:t>Koordinate</w:t>
            </w:r>
          </w:p>
        </w:tc>
        <w:tc>
          <w:tcPr>
            <w:tcW w:w="5624" w:type="dxa"/>
            <w:shd w:val="clear" w:color="auto" w:fill="E6EED5"/>
            <w:hideMark/>
          </w:tcPr>
          <w:p w:rsidR="004B071C" w:rsidRPr="00140CFA" w:rsidRDefault="004B071C" w:rsidP="00786869">
            <w:pPr>
              <w:tabs>
                <w:tab w:val="left" w:pos="7380"/>
              </w:tabs>
              <w:spacing w:after="0" w:line="260" w:lineRule="exact"/>
              <w:jc w:val="center"/>
              <w:rPr>
                <w:rFonts w:ascii="Constantia" w:hAnsi="Constantia" w:cs="Arial"/>
                <w:b/>
                <w:bCs/>
                <w:spacing w:val="6"/>
                <w:szCs w:val="22"/>
                <w:lang w:val="sr-Latn-CS"/>
              </w:rPr>
            </w:pPr>
            <w:r w:rsidRPr="00140CFA">
              <w:rPr>
                <w:rFonts w:ascii="Constantia" w:hAnsi="Constantia" w:cs="Arial"/>
                <w:b/>
                <w:bCs/>
                <w:spacing w:val="6"/>
                <w:szCs w:val="22"/>
                <w:lang w:val="sr-Latn-CS"/>
              </w:rPr>
              <w:t>Identifikovani taksoni/Utvrđeno stanje</w:t>
            </w:r>
          </w:p>
        </w:tc>
      </w:tr>
      <w:tr w:rsidR="004B071C" w:rsidRPr="00140CFA" w:rsidTr="00786869">
        <w:trPr>
          <w:jc w:val="center"/>
        </w:trPr>
        <w:tc>
          <w:tcPr>
            <w:tcW w:w="1412" w:type="dxa"/>
            <w:shd w:val="clear" w:color="auto" w:fill="CDDDAC"/>
            <w:hideMark/>
          </w:tcPr>
          <w:p w:rsidR="004B071C" w:rsidRPr="00140CFA" w:rsidRDefault="004B071C" w:rsidP="004E680E">
            <w:pPr>
              <w:tabs>
                <w:tab w:val="left" w:pos="7380"/>
              </w:tabs>
              <w:spacing w:after="0" w:line="260" w:lineRule="exact"/>
              <w:jc w:val="right"/>
              <w:rPr>
                <w:rFonts w:ascii="Constantia" w:hAnsi="Constantia" w:cs="Arial"/>
                <w:b/>
                <w:bCs/>
                <w:smallCaps/>
                <w:spacing w:val="6"/>
                <w:szCs w:val="22"/>
                <w:lang w:val="sr-Latn-CS"/>
              </w:rPr>
            </w:pPr>
          </w:p>
        </w:tc>
        <w:tc>
          <w:tcPr>
            <w:tcW w:w="1980" w:type="dxa"/>
            <w:shd w:val="clear" w:color="auto" w:fill="CDDDAC"/>
            <w:hideMark/>
          </w:tcPr>
          <w:p w:rsidR="004B071C" w:rsidRPr="00140CFA" w:rsidRDefault="004B071C" w:rsidP="004E680E">
            <w:pPr>
              <w:spacing w:after="0" w:line="260" w:lineRule="exact"/>
              <w:rPr>
                <w:rFonts w:ascii="Constantia" w:eastAsia="Calibri" w:hAnsi="Constantia" w:cs="Arial"/>
                <w:spacing w:val="10"/>
                <w:szCs w:val="22"/>
                <w:lang w:val="sr-Latn-CS"/>
              </w:rPr>
            </w:pPr>
          </w:p>
        </w:tc>
        <w:tc>
          <w:tcPr>
            <w:tcW w:w="5624" w:type="dxa"/>
            <w:shd w:val="clear" w:color="auto" w:fill="CDDDAC"/>
            <w:hideMark/>
          </w:tcPr>
          <w:p w:rsidR="004B071C" w:rsidRPr="00140CFA" w:rsidRDefault="004B071C" w:rsidP="004E680E">
            <w:pPr>
              <w:spacing w:after="60" w:line="280" w:lineRule="exact"/>
              <w:rPr>
                <w:rFonts w:ascii="Constantia" w:hAnsi="Constantia" w:cs="Arial"/>
                <w:bCs/>
                <w:spacing w:val="10"/>
                <w:szCs w:val="22"/>
              </w:rPr>
            </w:pPr>
          </w:p>
        </w:tc>
      </w:tr>
      <w:tr w:rsidR="004B071C" w:rsidRPr="00140CFA" w:rsidTr="00786869">
        <w:trPr>
          <w:trHeight w:val="3909"/>
          <w:jc w:val="center"/>
        </w:trPr>
        <w:tc>
          <w:tcPr>
            <w:tcW w:w="1412" w:type="dxa"/>
            <w:shd w:val="clear" w:color="auto" w:fill="E6EED5"/>
            <w:hideMark/>
          </w:tcPr>
          <w:p w:rsidR="004B071C" w:rsidRPr="00140CFA" w:rsidRDefault="004B071C" w:rsidP="004E680E">
            <w:pPr>
              <w:spacing w:after="0"/>
              <w:rPr>
                <w:rFonts w:ascii="Constantia" w:hAnsi="Constantia" w:cs="Arial"/>
                <w:szCs w:val="22"/>
              </w:rPr>
            </w:pPr>
            <w:r w:rsidRPr="00140CFA">
              <w:rPr>
                <w:rFonts w:ascii="Constantia" w:hAnsi="Constantia" w:cs="Arial"/>
                <w:szCs w:val="22"/>
              </w:rPr>
              <w:t>Zlatica, Mrke,  Bioče,  Milunovići, Raslovići, Radunovići, Kupina, Manastir Morača.</w:t>
            </w:r>
          </w:p>
          <w:p w:rsidR="004B071C" w:rsidRPr="00140CFA" w:rsidRDefault="004B071C" w:rsidP="004E680E">
            <w:pPr>
              <w:tabs>
                <w:tab w:val="left" w:pos="7380"/>
              </w:tabs>
              <w:spacing w:after="0" w:line="260" w:lineRule="exact"/>
              <w:jc w:val="right"/>
              <w:rPr>
                <w:rFonts w:ascii="Constantia" w:hAnsi="Constantia" w:cs="Arial"/>
                <w:b/>
                <w:bCs/>
                <w:smallCaps/>
                <w:spacing w:val="6"/>
                <w:szCs w:val="22"/>
                <w:lang w:val="sr-Latn-CS"/>
              </w:rPr>
            </w:pPr>
          </w:p>
        </w:tc>
        <w:tc>
          <w:tcPr>
            <w:tcW w:w="1980" w:type="dxa"/>
            <w:shd w:val="clear" w:color="auto" w:fill="CDDDAC"/>
            <w:hideMark/>
          </w:tcPr>
          <w:p w:rsidR="00D43417" w:rsidRDefault="004B071C" w:rsidP="004E680E">
            <w:pPr>
              <w:spacing w:after="0"/>
              <w:rPr>
                <w:rFonts w:ascii="Constantia" w:hAnsi="Constantia" w:cs="Arial"/>
                <w:szCs w:val="22"/>
              </w:rPr>
            </w:pPr>
            <w:r w:rsidRPr="00140CFA">
              <w:rPr>
                <w:rFonts w:ascii="Constantia" w:hAnsi="Constantia" w:cs="Arial"/>
                <w:szCs w:val="22"/>
              </w:rPr>
              <w:t xml:space="preserve">Od:  </w:t>
            </w:r>
          </w:p>
          <w:p w:rsidR="00D43417" w:rsidRDefault="004B071C" w:rsidP="004E680E">
            <w:pPr>
              <w:spacing w:after="0"/>
              <w:rPr>
                <w:rFonts w:ascii="Constantia" w:hAnsi="Constantia" w:cs="Arial"/>
                <w:szCs w:val="22"/>
              </w:rPr>
            </w:pPr>
            <w:r w:rsidRPr="00140CFA">
              <w:rPr>
                <w:rFonts w:ascii="Constantia" w:hAnsi="Constantia" w:cs="Arial"/>
                <w:szCs w:val="22"/>
              </w:rPr>
              <w:t xml:space="preserve">N  </w:t>
            </w:r>
            <w:r w:rsidR="00D43417" w:rsidRPr="00140CFA">
              <w:rPr>
                <w:rFonts w:ascii="Constantia" w:hAnsi="Constantia" w:cs="Arial"/>
                <w:szCs w:val="22"/>
              </w:rPr>
              <w:t>42</w:t>
            </w:r>
            <w:r w:rsidR="00D43417" w:rsidRPr="00140CFA">
              <w:rPr>
                <w:rFonts w:ascii="Constantia" w:hAnsi="Constantia" w:cs="Arial"/>
                <w:szCs w:val="22"/>
                <w:vertAlign w:val="superscript"/>
              </w:rPr>
              <w:t>0</w:t>
            </w:r>
            <w:r w:rsidR="00D43417" w:rsidRPr="00140CFA">
              <w:rPr>
                <w:rFonts w:ascii="Constantia" w:hAnsi="Constantia" w:cs="Arial"/>
                <w:szCs w:val="22"/>
              </w:rPr>
              <w:t xml:space="preserve"> 28</w:t>
            </w:r>
            <w:r w:rsidR="00D43417" w:rsidRPr="00140CFA">
              <w:rPr>
                <w:rFonts w:ascii="Constantia" w:hAnsi="Constantia" w:cs="Arial"/>
                <w:bCs/>
                <w:szCs w:val="22"/>
              </w:rPr>
              <w:t>’</w:t>
            </w:r>
            <w:r w:rsidR="00D43417" w:rsidRPr="00140CFA">
              <w:rPr>
                <w:rFonts w:ascii="Constantia" w:hAnsi="Constantia" w:cs="Arial"/>
                <w:szCs w:val="22"/>
              </w:rPr>
              <w:t xml:space="preserve"> 27.47</w:t>
            </w:r>
            <w:r w:rsidR="00D43417" w:rsidRPr="00140CFA">
              <w:rPr>
                <w:rFonts w:ascii="Constantia" w:hAnsi="Constantia" w:cs="Arial"/>
                <w:bCs/>
                <w:szCs w:val="22"/>
              </w:rPr>
              <w:t>’’</w:t>
            </w:r>
            <w:r w:rsidR="00D43417" w:rsidRPr="00140CFA">
              <w:rPr>
                <w:rFonts w:ascii="Constantia" w:hAnsi="Constantia" w:cs="Arial"/>
                <w:szCs w:val="22"/>
              </w:rPr>
              <w:t xml:space="preserve"> </w:t>
            </w:r>
            <w:r w:rsidRPr="00140CFA">
              <w:rPr>
                <w:rFonts w:ascii="Constantia" w:hAnsi="Constantia" w:cs="Arial"/>
                <w:szCs w:val="22"/>
              </w:rPr>
              <w:t xml:space="preserve">   </w:t>
            </w:r>
          </w:p>
          <w:p w:rsidR="004B071C" w:rsidRPr="00140CFA" w:rsidRDefault="004B071C" w:rsidP="004E680E">
            <w:pPr>
              <w:spacing w:after="0"/>
              <w:rPr>
                <w:rFonts w:ascii="Constantia" w:hAnsi="Constantia" w:cs="Arial"/>
                <w:szCs w:val="22"/>
              </w:rPr>
            </w:pPr>
            <w:r w:rsidRPr="00140CFA">
              <w:rPr>
                <w:rFonts w:ascii="Constantia" w:hAnsi="Constantia" w:cs="Arial"/>
                <w:szCs w:val="22"/>
              </w:rPr>
              <w:t>E</w:t>
            </w:r>
            <w:r w:rsidR="00D43417" w:rsidRPr="00140CFA">
              <w:rPr>
                <w:rFonts w:ascii="Constantia" w:hAnsi="Constantia" w:cs="Arial"/>
                <w:szCs w:val="22"/>
              </w:rPr>
              <w:t>19</w:t>
            </w:r>
            <w:r w:rsidR="00D43417" w:rsidRPr="00140CFA">
              <w:rPr>
                <w:rFonts w:ascii="Constantia" w:hAnsi="Constantia" w:cs="Arial"/>
                <w:szCs w:val="22"/>
                <w:vertAlign w:val="superscript"/>
              </w:rPr>
              <w:t>0</w:t>
            </w:r>
            <w:r w:rsidR="00D43417" w:rsidRPr="00140CFA">
              <w:rPr>
                <w:rFonts w:ascii="Constantia" w:hAnsi="Constantia" w:cs="Arial"/>
                <w:szCs w:val="22"/>
              </w:rPr>
              <w:t>18</w:t>
            </w:r>
            <w:r w:rsidR="00D43417" w:rsidRPr="00140CFA">
              <w:rPr>
                <w:rFonts w:ascii="Constantia" w:hAnsi="Constantia" w:cs="Arial"/>
                <w:bCs/>
                <w:szCs w:val="22"/>
              </w:rPr>
              <w:t>’</w:t>
            </w:r>
            <w:r w:rsidR="00D43417" w:rsidRPr="00140CFA">
              <w:rPr>
                <w:rFonts w:ascii="Constantia" w:hAnsi="Constantia" w:cs="Arial"/>
                <w:szCs w:val="22"/>
              </w:rPr>
              <w:t xml:space="preserve"> 03.88</w:t>
            </w:r>
            <w:r w:rsidR="00D43417" w:rsidRPr="00140CFA">
              <w:rPr>
                <w:rFonts w:ascii="Constantia" w:hAnsi="Constantia" w:cs="Arial"/>
                <w:bCs/>
                <w:szCs w:val="22"/>
              </w:rPr>
              <w:t>’’</w:t>
            </w:r>
          </w:p>
          <w:p w:rsidR="00D43417" w:rsidRDefault="004B071C" w:rsidP="00D43417">
            <w:pPr>
              <w:spacing w:line="260" w:lineRule="exact"/>
              <w:rPr>
                <w:rFonts w:ascii="Constantia" w:hAnsi="Constantia" w:cs="Arial"/>
                <w:szCs w:val="22"/>
              </w:rPr>
            </w:pPr>
            <w:r w:rsidRPr="00140CFA">
              <w:rPr>
                <w:rFonts w:ascii="Constantia" w:hAnsi="Constantia" w:cs="Arial"/>
                <w:szCs w:val="22"/>
              </w:rPr>
              <w:t xml:space="preserve">Do:  </w:t>
            </w:r>
          </w:p>
          <w:p w:rsidR="00D43417" w:rsidRDefault="004B071C" w:rsidP="00D43417">
            <w:pPr>
              <w:spacing w:line="260" w:lineRule="exact"/>
              <w:rPr>
                <w:rFonts w:ascii="Constantia" w:hAnsi="Constantia" w:cs="Arial"/>
                <w:szCs w:val="22"/>
              </w:rPr>
            </w:pPr>
            <w:r w:rsidRPr="00140CFA">
              <w:rPr>
                <w:rFonts w:ascii="Constantia" w:hAnsi="Constantia" w:cs="Arial"/>
                <w:szCs w:val="22"/>
              </w:rPr>
              <w:t xml:space="preserve">N  </w:t>
            </w:r>
            <w:r w:rsidR="00D43417" w:rsidRPr="00140CFA">
              <w:rPr>
                <w:rFonts w:ascii="Constantia" w:hAnsi="Constantia" w:cs="Arial"/>
                <w:szCs w:val="22"/>
              </w:rPr>
              <w:t>42</w:t>
            </w:r>
            <w:r w:rsidR="00D43417" w:rsidRPr="00140CFA">
              <w:rPr>
                <w:rFonts w:ascii="Constantia" w:hAnsi="Constantia" w:cs="Arial"/>
                <w:szCs w:val="22"/>
                <w:vertAlign w:val="superscript"/>
              </w:rPr>
              <w:t>0</w:t>
            </w:r>
            <w:r w:rsidR="00D43417" w:rsidRPr="00140CFA">
              <w:rPr>
                <w:rFonts w:ascii="Constantia" w:hAnsi="Constantia" w:cs="Arial"/>
                <w:szCs w:val="22"/>
              </w:rPr>
              <w:t xml:space="preserve"> 45</w:t>
            </w:r>
            <w:r w:rsidR="00D43417" w:rsidRPr="00140CFA">
              <w:rPr>
                <w:rFonts w:ascii="Constantia" w:hAnsi="Constantia" w:cs="Arial"/>
                <w:bCs/>
                <w:szCs w:val="22"/>
              </w:rPr>
              <w:t>’</w:t>
            </w:r>
            <w:r w:rsidR="00D43417" w:rsidRPr="00140CFA">
              <w:rPr>
                <w:rFonts w:ascii="Constantia" w:hAnsi="Constantia" w:cs="Arial"/>
                <w:szCs w:val="22"/>
              </w:rPr>
              <w:t xml:space="preserve"> 58.44</w:t>
            </w:r>
            <w:r w:rsidR="00D43417" w:rsidRPr="00140CFA">
              <w:rPr>
                <w:rFonts w:ascii="Constantia" w:hAnsi="Constantia" w:cs="Arial"/>
                <w:bCs/>
                <w:szCs w:val="22"/>
              </w:rPr>
              <w:t>’’</w:t>
            </w:r>
            <w:r w:rsidR="00D43417" w:rsidRPr="00140CFA">
              <w:rPr>
                <w:rFonts w:ascii="Constantia" w:hAnsi="Constantia" w:cs="Arial"/>
                <w:szCs w:val="22"/>
              </w:rPr>
              <w:t xml:space="preserve"> </w:t>
            </w:r>
            <w:r w:rsidRPr="00140CFA">
              <w:rPr>
                <w:rFonts w:ascii="Constantia" w:hAnsi="Constantia" w:cs="Arial"/>
                <w:szCs w:val="22"/>
              </w:rPr>
              <w:t xml:space="preserve">   </w:t>
            </w:r>
          </w:p>
          <w:p w:rsidR="004B071C" w:rsidRPr="00140CFA" w:rsidRDefault="004B071C" w:rsidP="00D43417">
            <w:pPr>
              <w:spacing w:line="260" w:lineRule="exact"/>
              <w:rPr>
                <w:rFonts w:ascii="Constantia" w:hAnsi="Constantia" w:cs="Arial"/>
                <w:szCs w:val="22"/>
              </w:rPr>
            </w:pPr>
            <w:r w:rsidRPr="00140CFA">
              <w:rPr>
                <w:rFonts w:ascii="Constantia" w:hAnsi="Constantia" w:cs="Arial"/>
                <w:szCs w:val="22"/>
              </w:rPr>
              <w:t>E</w:t>
            </w:r>
            <w:r w:rsidR="00D43417">
              <w:rPr>
                <w:rFonts w:ascii="Constantia" w:hAnsi="Constantia" w:cs="Arial"/>
                <w:szCs w:val="22"/>
              </w:rPr>
              <w:t xml:space="preserve"> </w:t>
            </w:r>
            <w:r w:rsidR="00D43417" w:rsidRPr="00140CFA">
              <w:rPr>
                <w:rFonts w:ascii="Constantia" w:hAnsi="Constantia" w:cs="Arial"/>
                <w:szCs w:val="22"/>
              </w:rPr>
              <w:t>19</w:t>
            </w:r>
            <w:r w:rsidR="00D43417" w:rsidRPr="00140CFA">
              <w:rPr>
                <w:rFonts w:ascii="Constantia" w:hAnsi="Constantia" w:cs="Arial"/>
                <w:szCs w:val="22"/>
                <w:vertAlign w:val="superscript"/>
              </w:rPr>
              <w:t>0</w:t>
            </w:r>
            <w:r w:rsidR="00D43417" w:rsidRPr="00140CFA">
              <w:rPr>
                <w:rFonts w:ascii="Constantia" w:hAnsi="Constantia" w:cs="Arial"/>
                <w:szCs w:val="22"/>
              </w:rPr>
              <w:t>23</w:t>
            </w:r>
            <w:r w:rsidR="00D43417" w:rsidRPr="00140CFA">
              <w:rPr>
                <w:rFonts w:ascii="Constantia" w:hAnsi="Constantia" w:cs="Arial"/>
                <w:bCs/>
                <w:szCs w:val="22"/>
              </w:rPr>
              <w:t>’</w:t>
            </w:r>
            <w:r w:rsidR="00D43417" w:rsidRPr="00140CFA">
              <w:rPr>
                <w:rFonts w:ascii="Constantia" w:hAnsi="Constantia" w:cs="Arial"/>
                <w:szCs w:val="22"/>
              </w:rPr>
              <w:t xml:space="preserve"> 32.30</w:t>
            </w:r>
            <w:r w:rsidR="00D43417" w:rsidRPr="00140CFA">
              <w:rPr>
                <w:rFonts w:ascii="Constantia" w:hAnsi="Constantia" w:cs="Arial"/>
                <w:bCs/>
                <w:szCs w:val="22"/>
              </w:rPr>
              <w:t>’’</w:t>
            </w:r>
          </w:p>
        </w:tc>
        <w:tc>
          <w:tcPr>
            <w:tcW w:w="5624" w:type="dxa"/>
            <w:shd w:val="clear" w:color="auto" w:fill="E6EED5"/>
          </w:tcPr>
          <w:p w:rsidR="004B071C" w:rsidRPr="00140CFA" w:rsidRDefault="004B071C" w:rsidP="004E680E">
            <w:pPr>
              <w:spacing w:after="0"/>
              <w:rPr>
                <w:rFonts w:ascii="Constantia" w:hAnsi="Constantia" w:cs="Arial"/>
                <w:i/>
                <w:szCs w:val="22"/>
              </w:rPr>
            </w:pPr>
            <w:r w:rsidRPr="00140CFA">
              <w:rPr>
                <w:rFonts w:ascii="Constantia" w:hAnsi="Constantia" w:cs="Arial"/>
                <w:bCs/>
                <w:iCs/>
                <w:color w:val="000000"/>
                <w:szCs w:val="22"/>
                <w:lang w:val="sr-Latn-CS"/>
              </w:rPr>
              <w:t xml:space="preserve">Lepidoptera: </w:t>
            </w:r>
            <w:r w:rsidRPr="00140CFA">
              <w:rPr>
                <w:rFonts w:ascii="Constantia" w:hAnsi="Constantia" w:cs="Arial"/>
                <w:i/>
                <w:szCs w:val="22"/>
              </w:rPr>
              <w:t xml:space="preserve">Gonepteryx  ramni, Limenitis reducta, Libythea celtis, Maniola jurtina, Aporia crataegi, Vanessa cardui, </w:t>
            </w:r>
            <w:r w:rsidRPr="00140CFA">
              <w:rPr>
                <w:rFonts w:ascii="Constantia" w:hAnsi="Constantia" w:cs="Arial"/>
                <w:i/>
                <w:szCs w:val="22"/>
                <w:lang w:val="sr-Latn-CS"/>
              </w:rPr>
              <w:t>Papilio machaon, Iphiclides podalirius</w:t>
            </w:r>
          </w:p>
          <w:p w:rsidR="004B071C" w:rsidRPr="00140CFA" w:rsidRDefault="004B071C" w:rsidP="004E680E">
            <w:pPr>
              <w:spacing w:after="0"/>
              <w:rPr>
                <w:rFonts w:ascii="Constantia" w:hAnsi="Constantia" w:cs="Arial"/>
                <w:i/>
                <w:szCs w:val="22"/>
                <w:lang w:val="sr-Latn-CS"/>
              </w:rPr>
            </w:pPr>
            <w:r w:rsidRPr="00140CFA">
              <w:rPr>
                <w:rFonts w:ascii="Constantia" w:hAnsi="Constantia" w:cs="Arial"/>
                <w:i/>
                <w:szCs w:val="22"/>
                <w:lang w:val="sr-Latn-CS"/>
              </w:rPr>
              <w:t>Coleoptera, Lucanidae: Lucanus cervus</w:t>
            </w:r>
          </w:p>
          <w:p w:rsidR="004B071C" w:rsidRPr="00140CFA" w:rsidRDefault="004B071C" w:rsidP="004E680E">
            <w:pPr>
              <w:spacing w:after="60" w:line="280" w:lineRule="exact"/>
              <w:rPr>
                <w:rFonts w:ascii="Constantia" w:hAnsi="Constantia" w:cs="Arial"/>
                <w:i/>
                <w:szCs w:val="22"/>
                <w:lang w:val="sr-Latn-CS"/>
              </w:rPr>
            </w:pPr>
            <w:r w:rsidRPr="00140CFA">
              <w:rPr>
                <w:rFonts w:ascii="Constantia" w:hAnsi="Constantia" w:cs="Arial"/>
                <w:i/>
                <w:szCs w:val="22"/>
                <w:lang w:val="sr-Latn-CS"/>
              </w:rPr>
              <w:t>Hymenoptera, Formicidae: Formica rufa</w:t>
            </w:r>
          </w:p>
          <w:p w:rsidR="004B071C" w:rsidRPr="00140CFA" w:rsidRDefault="004B071C" w:rsidP="004E680E">
            <w:pPr>
              <w:spacing w:after="0"/>
              <w:rPr>
                <w:rFonts w:ascii="Constantia" w:hAnsi="Constantia" w:cs="Arial"/>
                <w:i/>
                <w:szCs w:val="22"/>
                <w:lang w:val="sr-Latn-CS"/>
              </w:rPr>
            </w:pPr>
            <w:r w:rsidRPr="00140CFA">
              <w:rPr>
                <w:rFonts w:ascii="Constantia" w:hAnsi="Constantia" w:cs="Arial"/>
                <w:i/>
                <w:szCs w:val="22"/>
                <w:lang w:val="sr-Latn-CS"/>
              </w:rPr>
              <w:t xml:space="preserve">Lepidoptera, Papilionidae: </w:t>
            </w:r>
            <w:r w:rsidR="00140CFA">
              <w:rPr>
                <w:rFonts w:ascii="Constantia" w:hAnsi="Constantia" w:cs="Arial"/>
                <w:i/>
                <w:szCs w:val="22"/>
                <w:lang w:val="sr-Latn-CS"/>
              </w:rPr>
              <w:t xml:space="preserve"> </w:t>
            </w:r>
            <w:r w:rsidRPr="00140CFA">
              <w:rPr>
                <w:rFonts w:ascii="Constantia" w:hAnsi="Constantia" w:cs="Arial"/>
                <w:b/>
                <w:i/>
                <w:szCs w:val="22"/>
                <w:lang w:val="sr-Latn-CS"/>
              </w:rPr>
              <w:t>Papilio machaon</w:t>
            </w:r>
            <w:r w:rsidRPr="00140CFA">
              <w:rPr>
                <w:rFonts w:ascii="Constantia" w:hAnsi="Constantia" w:cs="Arial"/>
                <w:i/>
                <w:szCs w:val="22"/>
                <w:lang w:val="sr-Latn-CS"/>
              </w:rPr>
              <w:t xml:space="preserve"> - </w:t>
            </w:r>
            <w:r w:rsidRPr="00140CFA">
              <w:rPr>
                <w:rFonts w:ascii="Constantia" w:hAnsi="Constantia" w:cs="Arial"/>
                <w:szCs w:val="22"/>
                <w:lang w:val="sr-Latn-CS"/>
              </w:rPr>
              <w:t xml:space="preserve">5 jedinki, konstatovane su obodom kanjona na lokalitetima: Bioče (2 jedinke), Milunovići (1 jedinka) i Raslovići (2 jedinke); </w:t>
            </w:r>
            <w:r w:rsidRPr="00140CFA">
              <w:rPr>
                <w:rFonts w:ascii="Constantia" w:hAnsi="Constantia" w:cs="Arial"/>
                <w:i/>
                <w:szCs w:val="22"/>
                <w:lang w:val="sr-Latn-CS"/>
              </w:rPr>
              <w:t xml:space="preserve"> </w:t>
            </w:r>
            <w:r w:rsidRPr="00140CFA">
              <w:rPr>
                <w:rFonts w:ascii="Constantia" w:hAnsi="Constantia" w:cs="Arial"/>
                <w:b/>
                <w:i/>
                <w:szCs w:val="22"/>
                <w:lang w:val="sr-Latn-CS"/>
              </w:rPr>
              <w:t>Iphiclides podalirius</w:t>
            </w:r>
            <w:r w:rsidRPr="00140CFA">
              <w:rPr>
                <w:rFonts w:ascii="Constantia" w:hAnsi="Constantia" w:cs="Arial"/>
                <w:i/>
                <w:szCs w:val="22"/>
                <w:lang w:val="sr-Latn-CS"/>
              </w:rPr>
              <w:t xml:space="preserve"> - </w:t>
            </w:r>
            <w:r w:rsidRPr="00140CFA">
              <w:rPr>
                <w:rFonts w:ascii="Constantia" w:hAnsi="Constantia" w:cs="Arial"/>
                <w:szCs w:val="22"/>
                <w:lang w:val="sr-Latn-CS"/>
              </w:rPr>
              <w:t>2 jedinke</w:t>
            </w:r>
            <w:r w:rsidR="00786869" w:rsidRPr="00140CFA">
              <w:rPr>
                <w:rFonts w:ascii="Constantia" w:hAnsi="Constantia" w:cs="Arial"/>
                <w:szCs w:val="22"/>
                <w:lang w:val="sr-Latn-CS"/>
              </w:rPr>
              <w:t xml:space="preserve"> u k</w:t>
            </w:r>
            <w:r w:rsidRPr="00140CFA">
              <w:rPr>
                <w:rFonts w:ascii="Constantia" w:hAnsi="Constantia" w:cs="Arial"/>
                <w:szCs w:val="22"/>
                <w:lang w:val="sr-Latn-CS"/>
              </w:rPr>
              <w:t>anjonu rijeke na lokalitetu Bioče.</w:t>
            </w:r>
          </w:p>
          <w:p w:rsidR="004B071C" w:rsidRPr="00140CFA" w:rsidRDefault="004B071C" w:rsidP="004E680E">
            <w:pPr>
              <w:spacing w:after="0"/>
              <w:rPr>
                <w:rFonts w:ascii="Constantia" w:hAnsi="Constantia" w:cs="Arial"/>
                <w:i/>
                <w:szCs w:val="22"/>
                <w:lang w:val="sr-Latn-CS"/>
              </w:rPr>
            </w:pPr>
            <w:r w:rsidRPr="00140CFA">
              <w:rPr>
                <w:rFonts w:ascii="Constantia" w:hAnsi="Constantia" w:cs="Arial"/>
                <w:i/>
                <w:szCs w:val="22"/>
                <w:lang w:val="sr-Latn-CS"/>
              </w:rPr>
              <w:t xml:space="preserve">Hymenoptera, Formicidae: </w:t>
            </w:r>
            <w:r w:rsidRPr="00140CFA">
              <w:rPr>
                <w:rFonts w:ascii="Constantia" w:hAnsi="Constantia" w:cs="Arial"/>
                <w:b/>
                <w:i/>
                <w:szCs w:val="22"/>
                <w:lang w:val="sr-Latn-CS"/>
              </w:rPr>
              <w:t>Formica rufa</w:t>
            </w:r>
            <w:r w:rsidRPr="00140CFA">
              <w:rPr>
                <w:rFonts w:ascii="Constantia" w:hAnsi="Constantia" w:cs="Arial"/>
                <w:i/>
                <w:szCs w:val="22"/>
                <w:lang w:val="sr-Latn-CS"/>
              </w:rPr>
              <w:t xml:space="preserve">, </w:t>
            </w:r>
            <w:r w:rsidRPr="00140CFA">
              <w:rPr>
                <w:rFonts w:ascii="Constantia" w:hAnsi="Constantia" w:cs="Arial"/>
                <w:szCs w:val="22"/>
                <w:lang w:val="sr-Latn-CS"/>
              </w:rPr>
              <w:t>konstatovan jedan mravinjak na lokalitetu Manastir Morača.</w:t>
            </w:r>
            <w:r w:rsidRPr="00140CFA">
              <w:rPr>
                <w:rFonts w:ascii="Constantia" w:hAnsi="Constantia" w:cs="Arial"/>
                <w:i/>
                <w:szCs w:val="22"/>
                <w:lang w:val="sr-Latn-CS"/>
              </w:rPr>
              <w:t xml:space="preserve"> </w:t>
            </w:r>
          </w:p>
          <w:p w:rsidR="004B071C" w:rsidRPr="00140CFA" w:rsidRDefault="004B071C" w:rsidP="004E680E">
            <w:pPr>
              <w:spacing w:after="60" w:line="280" w:lineRule="exact"/>
              <w:rPr>
                <w:rFonts w:ascii="Constantia" w:eastAsia="Calibri" w:hAnsi="Constantia" w:cs="Arial"/>
                <w:bCs/>
                <w:i/>
                <w:spacing w:val="8"/>
                <w:szCs w:val="22"/>
                <w:lang w:val="pt-BR"/>
              </w:rPr>
            </w:pPr>
            <w:r w:rsidRPr="00140CFA">
              <w:rPr>
                <w:rFonts w:ascii="Constantia" w:hAnsi="Constantia" w:cs="Arial"/>
                <w:i/>
                <w:szCs w:val="22"/>
              </w:rPr>
              <w:t xml:space="preserve">Coleoptera, Lucanidae: </w:t>
            </w:r>
            <w:r w:rsidRPr="00140CFA">
              <w:rPr>
                <w:rFonts w:ascii="Constantia" w:hAnsi="Constantia" w:cs="Arial"/>
                <w:b/>
                <w:i/>
                <w:szCs w:val="22"/>
              </w:rPr>
              <w:t>Lucanus cervus</w:t>
            </w:r>
            <w:r w:rsidRPr="00140CFA">
              <w:rPr>
                <w:rFonts w:ascii="Constantia" w:hAnsi="Constantia" w:cs="Arial"/>
                <w:szCs w:val="22"/>
              </w:rPr>
              <w:t xml:space="preserve"> 1 imago na lokalitetu Bioče</w:t>
            </w:r>
            <w:r w:rsidR="00786869" w:rsidRPr="00140CFA">
              <w:rPr>
                <w:rFonts w:ascii="Constantia" w:hAnsi="Constantia" w:cs="Arial"/>
                <w:szCs w:val="22"/>
              </w:rPr>
              <w:t>.</w:t>
            </w:r>
          </w:p>
        </w:tc>
      </w:tr>
    </w:tbl>
    <w:p w:rsidR="004B071C" w:rsidRPr="00215500" w:rsidRDefault="00215500" w:rsidP="00215500">
      <w:pPr>
        <w:pStyle w:val="Tabele"/>
        <w:spacing w:after="240"/>
        <w:ind w:left="714" w:hanging="357"/>
        <w:rPr>
          <w:rFonts w:ascii="Constantia" w:hAnsi="Constantia"/>
          <w:sz w:val="22"/>
          <w:szCs w:val="22"/>
        </w:rPr>
      </w:pPr>
      <w:r>
        <w:rPr>
          <w:rFonts w:ascii="Constantia" w:hAnsi="Constantia"/>
          <w:sz w:val="22"/>
          <w:szCs w:val="22"/>
        </w:rPr>
        <w:t xml:space="preserve"> </w:t>
      </w:r>
      <w:r w:rsidR="004B071C" w:rsidRPr="00215500">
        <w:rPr>
          <w:rFonts w:ascii="Constantia" w:hAnsi="Constantia"/>
          <w:sz w:val="22"/>
          <w:szCs w:val="22"/>
        </w:rPr>
        <w:t>Insekti</w:t>
      </w:r>
    </w:p>
    <w:p w:rsidR="004B071C" w:rsidRDefault="004B071C" w:rsidP="00F61EEE">
      <w:pPr>
        <w:pStyle w:val="Heading4"/>
        <w:ind w:left="900" w:hanging="900"/>
        <w:rPr>
          <w:sz w:val="22"/>
          <w:szCs w:val="22"/>
          <w:lang w:val="sr-Latn-CS"/>
        </w:rPr>
      </w:pPr>
      <w:r>
        <w:rPr>
          <w:sz w:val="22"/>
          <w:szCs w:val="22"/>
          <w:lang w:val="sr-Latn-CS"/>
        </w:rPr>
        <w:t>Ihtiofauna</w:t>
      </w:r>
    </w:p>
    <w:p w:rsidR="004B071C" w:rsidRDefault="004B071C" w:rsidP="004B071C">
      <w:pPr>
        <w:rPr>
          <w:lang w:val="sr-Latn-CS"/>
        </w:rPr>
      </w:pPr>
    </w:p>
    <w:p w:rsidR="004B071C" w:rsidRPr="00F61EEE" w:rsidRDefault="004B071C" w:rsidP="00F61EEE">
      <w:pPr>
        <w:rPr>
          <w:rFonts w:ascii="Constantia" w:hAnsi="Constantia"/>
          <w:lang w:val="sr-Latn-CS"/>
        </w:rPr>
      </w:pPr>
      <w:r w:rsidRPr="00F61EEE">
        <w:rPr>
          <w:rFonts w:ascii="Constantia" w:hAnsi="Constantia"/>
          <w:lang w:val="sr-Latn-CS"/>
        </w:rPr>
        <w:t>Datumi terenskih istraživanja:</w:t>
      </w:r>
      <w:r w:rsidRPr="00F61EEE">
        <w:rPr>
          <w:rFonts w:ascii="Constantia" w:hAnsi="Constantia"/>
        </w:rPr>
        <w:t xml:space="preserve"> </w:t>
      </w:r>
    </w:p>
    <w:p w:rsidR="004B071C" w:rsidRPr="00F61EEE" w:rsidRDefault="004B071C" w:rsidP="00F61EEE">
      <w:pPr>
        <w:spacing w:after="0"/>
        <w:rPr>
          <w:rFonts w:ascii="Constantia" w:hAnsi="Constantia"/>
          <w:lang w:val="sr-Latn-CS"/>
        </w:rPr>
      </w:pPr>
      <w:r w:rsidRPr="00F61EEE">
        <w:rPr>
          <w:rFonts w:ascii="Constantia" w:hAnsi="Constantia"/>
          <w:lang w:val="sr-Latn-CS"/>
        </w:rPr>
        <w:t>Mrtvica :  24.05.2013.</w:t>
      </w:r>
    </w:p>
    <w:p w:rsidR="004B071C" w:rsidRPr="00F61EEE" w:rsidRDefault="004B071C" w:rsidP="00F61EEE">
      <w:pPr>
        <w:spacing w:after="0"/>
        <w:rPr>
          <w:rFonts w:ascii="Constantia" w:hAnsi="Constantia"/>
          <w:lang w:val="sr-Latn-CS"/>
        </w:rPr>
      </w:pPr>
      <w:r w:rsidRPr="00F61EEE">
        <w:rPr>
          <w:rFonts w:ascii="Constantia" w:hAnsi="Constantia"/>
          <w:lang w:val="sr-Latn-CS"/>
        </w:rPr>
        <w:t>Ibrištica: 22.07.2013: 9.08.2013: 06.09.2013.</w:t>
      </w:r>
    </w:p>
    <w:p w:rsidR="004B071C" w:rsidRPr="00F61EEE" w:rsidRDefault="004B071C" w:rsidP="00F61EEE">
      <w:pPr>
        <w:spacing w:after="0"/>
        <w:rPr>
          <w:rFonts w:ascii="Constantia" w:hAnsi="Constantia"/>
          <w:lang w:val="sr-Latn-CS"/>
        </w:rPr>
      </w:pPr>
      <w:r w:rsidRPr="00F61EEE">
        <w:rPr>
          <w:rFonts w:ascii="Constantia" w:hAnsi="Constantia"/>
          <w:lang w:val="sr-Latn-CS"/>
        </w:rPr>
        <w:t>Morača:  22.07.2013.</w:t>
      </w:r>
    </w:p>
    <w:p w:rsidR="004B071C" w:rsidRDefault="004B071C" w:rsidP="00F61EEE">
      <w:pPr>
        <w:spacing w:after="0"/>
        <w:rPr>
          <w:lang w:val="sr-Latn-CS"/>
        </w:rPr>
      </w:pPr>
    </w:p>
    <w:p w:rsidR="004B071C" w:rsidRPr="00F61EEE" w:rsidRDefault="004B071C" w:rsidP="00140CFA">
      <w:pPr>
        <w:spacing w:line="276" w:lineRule="auto"/>
        <w:jc w:val="left"/>
        <w:rPr>
          <w:rFonts w:ascii="Constantia" w:eastAsia="Calibri" w:hAnsi="Constantia"/>
          <w:b/>
          <w:szCs w:val="22"/>
          <w:lang w:val="sr-Latn-CS"/>
        </w:rPr>
      </w:pPr>
      <w:r w:rsidRPr="00F61EEE">
        <w:rPr>
          <w:rFonts w:ascii="Constantia" w:eastAsia="Calibri" w:hAnsi="Constantia"/>
          <w:b/>
          <w:szCs w:val="22"/>
        </w:rPr>
        <w:t>Popis vrsta po lokalitetima u slivu rijeke Mora</w:t>
      </w:r>
      <w:r w:rsidRPr="00F61EEE">
        <w:rPr>
          <w:rFonts w:ascii="Constantia" w:eastAsia="Calibri" w:hAnsi="Constantia"/>
          <w:b/>
          <w:szCs w:val="22"/>
          <w:lang w:val="sr-Latn-CS"/>
        </w:rPr>
        <w:t>če</w:t>
      </w:r>
      <w:r w:rsidR="00F61EEE">
        <w:rPr>
          <w:rFonts w:ascii="Constantia" w:eastAsia="Calibri" w:hAnsi="Constantia"/>
          <w:b/>
          <w:szCs w:val="22"/>
          <w:lang w:val="sr-Latn-CS"/>
        </w:rPr>
        <w:t>:</w:t>
      </w:r>
    </w:p>
    <w:tbl>
      <w:tblPr>
        <w:tblW w:w="0" w:type="auto"/>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firstRow="1" w:lastRow="0" w:firstColumn="1" w:lastColumn="0" w:noHBand="0" w:noVBand="1"/>
      </w:tblPr>
      <w:tblGrid>
        <w:gridCol w:w="5710"/>
        <w:gridCol w:w="446"/>
        <w:gridCol w:w="446"/>
        <w:gridCol w:w="445"/>
        <w:gridCol w:w="445"/>
        <w:gridCol w:w="445"/>
        <w:gridCol w:w="445"/>
        <w:gridCol w:w="445"/>
        <w:gridCol w:w="462"/>
      </w:tblGrid>
      <w:tr w:rsidR="004B071C" w:rsidRPr="00140CFA" w:rsidTr="004E680E">
        <w:tc>
          <w:tcPr>
            <w:tcW w:w="5710" w:type="dxa"/>
            <w:shd w:val="clear" w:color="auto" w:fill="E6EED5"/>
          </w:tcPr>
          <w:p w:rsidR="004B071C" w:rsidRPr="00140CFA" w:rsidRDefault="004B071C" w:rsidP="004E680E">
            <w:pPr>
              <w:spacing w:after="200"/>
              <w:contextualSpacing/>
              <w:jc w:val="left"/>
              <w:rPr>
                <w:rFonts w:ascii="Constantia" w:eastAsia="Calibri" w:hAnsi="Constantia"/>
                <w:bCs/>
                <w:szCs w:val="22"/>
              </w:rPr>
            </w:pPr>
          </w:p>
        </w:tc>
        <w:tc>
          <w:tcPr>
            <w:tcW w:w="3579" w:type="dxa"/>
            <w:gridSpan w:val="8"/>
            <w:shd w:val="clear" w:color="auto" w:fill="E6EED5"/>
          </w:tcPr>
          <w:p w:rsidR="004B071C" w:rsidRPr="00140CFA" w:rsidRDefault="004B071C" w:rsidP="004E680E">
            <w:pPr>
              <w:spacing w:after="200"/>
              <w:contextualSpacing/>
              <w:jc w:val="center"/>
              <w:rPr>
                <w:rFonts w:ascii="Constantia" w:eastAsia="Calibri" w:hAnsi="Constantia"/>
                <w:b/>
                <w:bCs/>
                <w:szCs w:val="22"/>
              </w:rPr>
            </w:pPr>
            <w:r w:rsidRPr="00140CFA">
              <w:rPr>
                <w:rFonts w:ascii="Constantia" w:eastAsia="Calibri" w:hAnsi="Constantia"/>
                <w:b/>
                <w:bCs/>
                <w:szCs w:val="22"/>
              </w:rPr>
              <w:t>Lokalitet</w:t>
            </w:r>
          </w:p>
        </w:tc>
      </w:tr>
      <w:tr w:rsidR="004B071C" w:rsidRPr="00140CFA" w:rsidTr="004E680E">
        <w:tc>
          <w:tcPr>
            <w:tcW w:w="5710" w:type="dxa"/>
            <w:shd w:val="clear" w:color="auto" w:fill="CDDDAC"/>
          </w:tcPr>
          <w:p w:rsidR="004B071C" w:rsidRPr="00140CFA" w:rsidRDefault="004B071C" w:rsidP="004E680E">
            <w:pPr>
              <w:spacing w:after="200"/>
              <w:contextualSpacing/>
              <w:jc w:val="left"/>
              <w:rPr>
                <w:rFonts w:ascii="Constantia" w:eastAsia="Calibri" w:hAnsi="Constantia"/>
                <w:b/>
                <w:bCs/>
                <w:szCs w:val="22"/>
              </w:rPr>
            </w:pPr>
            <w:r w:rsidRPr="00140CFA">
              <w:rPr>
                <w:rFonts w:ascii="Constantia" w:eastAsia="Calibri" w:hAnsi="Constantia"/>
                <w:b/>
                <w:bCs/>
                <w:szCs w:val="22"/>
              </w:rPr>
              <w:t>Vrsta</w:t>
            </w:r>
          </w:p>
        </w:tc>
        <w:tc>
          <w:tcPr>
            <w:tcW w:w="446" w:type="dxa"/>
            <w:shd w:val="clear" w:color="auto" w:fill="CDDDAC"/>
          </w:tcPr>
          <w:p w:rsidR="004B071C" w:rsidRPr="00140CFA" w:rsidRDefault="004B071C" w:rsidP="004E680E">
            <w:pPr>
              <w:spacing w:after="200"/>
              <w:contextualSpacing/>
              <w:jc w:val="center"/>
              <w:rPr>
                <w:rFonts w:ascii="Constantia" w:eastAsia="Calibri" w:hAnsi="Constantia"/>
                <w:szCs w:val="22"/>
              </w:rPr>
            </w:pPr>
            <w:r w:rsidRPr="00140CFA">
              <w:rPr>
                <w:rFonts w:ascii="Constantia" w:eastAsia="Calibri" w:hAnsi="Constantia"/>
                <w:szCs w:val="22"/>
              </w:rPr>
              <w:t>1.</w:t>
            </w:r>
          </w:p>
        </w:tc>
        <w:tc>
          <w:tcPr>
            <w:tcW w:w="446" w:type="dxa"/>
            <w:shd w:val="clear" w:color="auto" w:fill="CDDDAC"/>
          </w:tcPr>
          <w:p w:rsidR="004B071C" w:rsidRPr="00140CFA" w:rsidRDefault="004B071C" w:rsidP="004E680E">
            <w:pPr>
              <w:spacing w:after="200"/>
              <w:contextualSpacing/>
              <w:jc w:val="center"/>
              <w:rPr>
                <w:rFonts w:ascii="Constantia" w:eastAsia="Calibri" w:hAnsi="Constantia"/>
                <w:szCs w:val="22"/>
              </w:rPr>
            </w:pPr>
            <w:r w:rsidRPr="00140CFA">
              <w:rPr>
                <w:rFonts w:ascii="Constantia" w:eastAsia="Calibri" w:hAnsi="Constantia"/>
                <w:szCs w:val="22"/>
              </w:rPr>
              <w:t>2.</w:t>
            </w:r>
          </w:p>
        </w:tc>
        <w:tc>
          <w:tcPr>
            <w:tcW w:w="445" w:type="dxa"/>
            <w:shd w:val="clear" w:color="auto" w:fill="CDDDAC"/>
          </w:tcPr>
          <w:p w:rsidR="004B071C" w:rsidRPr="00140CFA" w:rsidRDefault="004B071C" w:rsidP="004E680E">
            <w:pPr>
              <w:spacing w:after="200"/>
              <w:contextualSpacing/>
              <w:jc w:val="center"/>
              <w:rPr>
                <w:rFonts w:ascii="Constantia" w:eastAsia="Calibri" w:hAnsi="Constantia"/>
                <w:szCs w:val="22"/>
              </w:rPr>
            </w:pPr>
            <w:r w:rsidRPr="00140CFA">
              <w:rPr>
                <w:rFonts w:ascii="Constantia" w:eastAsia="Calibri" w:hAnsi="Constantia"/>
                <w:szCs w:val="22"/>
              </w:rPr>
              <w:t>3.</w:t>
            </w:r>
          </w:p>
        </w:tc>
        <w:tc>
          <w:tcPr>
            <w:tcW w:w="445" w:type="dxa"/>
            <w:shd w:val="clear" w:color="auto" w:fill="CDDDAC"/>
          </w:tcPr>
          <w:p w:rsidR="004B071C" w:rsidRPr="00140CFA" w:rsidRDefault="004B071C" w:rsidP="004E680E">
            <w:pPr>
              <w:spacing w:after="200"/>
              <w:contextualSpacing/>
              <w:jc w:val="center"/>
              <w:rPr>
                <w:rFonts w:ascii="Constantia" w:eastAsia="Calibri" w:hAnsi="Constantia"/>
                <w:szCs w:val="22"/>
              </w:rPr>
            </w:pPr>
            <w:r w:rsidRPr="00140CFA">
              <w:rPr>
                <w:rFonts w:ascii="Constantia" w:eastAsia="Calibri" w:hAnsi="Constantia"/>
                <w:szCs w:val="22"/>
              </w:rPr>
              <w:t>4.</w:t>
            </w:r>
          </w:p>
        </w:tc>
        <w:tc>
          <w:tcPr>
            <w:tcW w:w="445" w:type="dxa"/>
            <w:shd w:val="clear" w:color="auto" w:fill="CDDDAC"/>
          </w:tcPr>
          <w:p w:rsidR="004B071C" w:rsidRPr="00140CFA" w:rsidRDefault="004B071C" w:rsidP="004E680E">
            <w:pPr>
              <w:spacing w:after="200"/>
              <w:contextualSpacing/>
              <w:jc w:val="center"/>
              <w:rPr>
                <w:rFonts w:ascii="Constantia" w:eastAsia="Calibri" w:hAnsi="Constantia"/>
                <w:szCs w:val="22"/>
              </w:rPr>
            </w:pPr>
            <w:r w:rsidRPr="00140CFA">
              <w:rPr>
                <w:rFonts w:ascii="Constantia" w:eastAsia="Calibri" w:hAnsi="Constantia"/>
                <w:szCs w:val="22"/>
              </w:rPr>
              <w:t>5.</w:t>
            </w:r>
          </w:p>
        </w:tc>
        <w:tc>
          <w:tcPr>
            <w:tcW w:w="445" w:type="dxa"/>
            <w:shd w:val="clear" w:color="auto" w:fill="CDDDAC"/>
          </w:tcPr>
          <w:p w:rsidR="004B071C" w:rsidRPr="00140CFA" w:rsidRDefault="004B071C" w:rsidP="004E680E">
            <w:pPr>
              <w:spacing w:after="200"/>
              <w:contextualSpacing/>
              <w:jc w:val="center"/>
              <w:rPr>
                <w:rFonts w:ascii="Constantia" w:eastAsia="Calibri" w:hAnsi="Constantia"/>
                <w:szCs w:val="22"/>
              </w:rPr>
            </w:pPr>
            <w:r w:rsidRPr="00140CFA">
              <w:rPr>
                <w:rFonts w:ascii="Constantia" w:eastAsia="Calibri" w:hAnsi="Constantia"/>
                <w:szCs w:val="22"/>
              </w:rPr>
              <w:t>6.</w:t>
            </w:r>
          </w:p>
        </w:tc>
        <w:tc>
          <w:tcPr>
            <w:tcW w:w="445" w:type="dxa"/>
            <w:shd w:val="clear" w:color="auto" w:fill="CDDDAC"/>
          </w:tcPr>
          <w:p w:rsidR="004B071C" w:rsidRPr="00140CFA" w:rsidRDefault="004B071C" w:rsidP="004E680E">
            <w:pPr>
              <w:spacing w:after="200"/>
              <w:contextualSpacing/>
              <w:jc w:val="center"/>
              <w:rPr>
                <w:rFonts w:ascii="Constantia" w:eastAsia="Calibri" w:hAnsi="Constantia"/>
                <w:szCs w:val="22"/>
              </w:rPr>
            </w:pPr>
            <w:r w:rsidRPr="00140CFA">
              <w:rPr>
                <w:rFonts w:ascii="Constantia" w:eastAsia="Calibri" w:hAnsi="Constantia"/>
                <w:szCs w:val="22"/>
              </w:rPr>
              <w:t>7.</w:t>
            </w:r>
          </w:p>
        </w:tc>
        <w:tc>
          <w:tcPr>
            <w:tcW w:w="462" w:type="dxa"/>
            <w:shd w:val="clear" w:color="auto" w:fill="CDDDAC"/>
          </w:tcPr>
          <w:p w:rsidR="004B071C" w:rsidRPr="00140CFA" w:rsidRDefault="004B071C" w:rsidP="004E680E">
            <w:pPr>
              <w:spacing w:after="200"/>
              <w:contextualSpacing/>
              <w:jc w:val="center"/>
              <w:rPr>
                <w:rFonts w:ascii="Constantia" w:eastAsia="Calibri" w:hAnsi="Constantia"/>
                <w:szCs w:val="22"/>
              </w:rPr>
            </w:pPr>
            <w:r w:rsidRPr="00140CFA">
              <w:rPr>
                <w:rFonts w:ascii="Constantia" w:eastAsia="Calibri" w:hAnsi="Constantia"/>
                <w:szCs w:val="22"/>
              </w:rPr>
              <w:t>8.</w:t>
            </w:r>
          </w:p>
        </w:tc>
      </w:tr>
      <w:tr w:rsidR="004B071C" w:rsidRPr="00140CFA" w:rsidTr="00140CFA">
        <w:trPr>
          <w:trHeight w:val="3224"/>
        </w:trPr>
        <w:tc>
          <w:tcPr>
            <w:tcW w:w="5710" w:type="dxa"/>
            <w:shd w:val="clear" w:color="auto" w:fill="E6EED5"/>
          </w:tcPr>
          <w:p w:rsidR="004B071C" w:rsidRPr="00140CFA" w:rsidRDefault="004B071C" w:rsidP="004E680E">
            <w:pPr>
              <w:spacing w:after="0"/>
              <w:contextualSpacing/>
              <w:jc w:val="left"/>
              <w:rPr>
                <w:rFonts w:ascii="Constantia" w:eastAsia="Calibri" w:hAnsi="Constantia"/>
                <w:bCs/>
                <w:szCs w:val="22"/>
                <w:lang w:val="sr-Latn-CS"/>
              </w:rPr>
            </w:pPr>
            <w:r w:rsidRPr="00140CFA">
              <w:rPr>
                <w:rFonts w:ascii="Constantia" w:eastAsia="Calibri" w:hAnsi="Constantia"/>
                <w:bCs/>
                <w:i/>
                <w:szCs w:val="22"/>
                <w:lang w:val="sr-Latn-CS"/>
              </w:rPr>
              <w:t xml:space="preserve">Anguilla anguilla – </w:t>
            </w:r>
            <w:r w:rsidRPr="00140CFA">
              <w:rPr>
                <w:rFonts w:ascii="Constantia" w:eastAsia="Calibri" w:hAnsi="Constantia"/>
                <w:bCs/>
                <w:szCs w:val="22"/>
                <w:lang w:val="sr-Latn-CS"/>
              </w:rPr>
              <w:t>jegulja</w:t>
            </w:r>
          </w:p>
          <w:p w:rsidR="004B071C" w:rsidRPr="00140CFA" w:rsidRDefault="004B071C" w:rsidP="004E680E">
            <w:pPr>
              <w:spacing w:after="0"/>
              <w:contextualSpacing/>
              <w:jc w:val="left"/>
              <w:rPr>
                <w:rFonts w:ascii="Constantia" w:eastAsia="Calibri" w:hAnsi="Constantia"/>
                <w:bCs/>
                <w:i/>
                <w:szCs w:val="22"/>
                <w:lang w:val="sr-Latn-CS"/>
              </w:rPr>
            </w:pPr>
            <w:r w:rsidRPr="00140CFA">
              <w:rPr>
                <w:rFonts w:ascii="Constantia" w:eastAsia="Calibri" w:hAnsi="Constantia"/>
                <w:bCs/>
                <w:i/>
                <w:szCs w:val="22"/>
                <w:lang w:val="sr-Latn-CS"/>
              </w:rPr>
              <w:t xml:space="preserve">Salmo farioides – </w:t>
            </w:r>
            <w:r w:rsidRPr="00140CFA">
              <w:rPr>
                <w:rFonts w:ascii="Constantia" w:eastAsia="Calibri" w:hAnsi="Constantia"/>
                <w:bCs/>
                <w:szCs w:val="22"/>
                <w:lang w:val="sr-Latn-CS"/>
              </w:rPr>
              <w:t>primorska potočna pastrmka</w:t>
            </w:r>
          </w:p>
          <w:p w:rsidR="004B071C" w:rsidRPr="00140CFA" w:rsidRDefault="004B071C" w:rsidP="004E680E">
            <w:pPr>
              <w:spacing w:after="0"/>
              <w:contextualSpacing/>
              <w:jc w:val="left"/>
              <w:rPr>
                <w:rFonts w:ascii="Constantia" w:eastAsia="Calibri" w:hAnsi="Constantia"/>
                <w:bCs/>
                <w:i/>
                <w:szCs w:val="22"/>
                <w:lang w:val="sr-Latn-CS"/>
              </w:rPr>
            </w:pPr>
            <w:r w:rsidRPr="00140CFA">
              <w:rPr>
                <w:rFonts w:ascii="Constantia" w:eastAsia="Calibri" w:hAnsi="Constantia"/>
                <w:bCs/>
                <w:i/>
                <w:szCs w:val="22"/>
                <w:lang w:val="sr-Latn-CS"/>
              </w:rPr>
              <w:t xml:space="preserve">Thymallus thymallus – </w:t>
            </w:r>
            <w:r w:rsidRPr="00140CFA">
              <w:rPr>
                <w:rFonts w:ascii="Constantia" w:eastAsia="Calibri" w:hAnsi="Constantia"/>
                <w:bCs/>
                <w:szCs w:val="22"/>
                <w:lang w:val="sr-Latn-CS"/>
              </w:rPr>
              <w:t>lipljen</w:t>
            </w:r>
          </w:p>
          <w:p w:rsidR="004B071C" w:rsidRPr="00140CFA" w:rsidRDefault="004B071C" w:rsidP="004E680E">
            <w:pPr>
              <w:spacing w:after="0"/>
              <w:contextualSpacing/>
              <w:jc w:val="left"/>
              <w:rPr>
                <w:rFonts w:ascii="Constantia" w:eastAsia="Calibri" w:hAnsi="Constantia"/>
                <w:bCs/>
                <w:i/>
                <w:iCs/>
                <w:szCs w:val="22"/>
                <w:lang w:val="sr-Latn-CS"/>
              </w:rPr>
            </w:pPr>
            <w:r w:rsidRPr="00140CFA">
              <w:rPr>
                <w:rFonts w:ascii="Constantia" w:eastAsia="Calibri" w:hAnsi="Constantia"/>
                <w:bCs/>
                <w:i/>
                <w:iCs/>
                <w:szCs w:val="22"/>
                <w:lang w:val="sr-Latn-CS"/>
              </w:rPr>
              <w:t xml:space="preserve">Barbus rebeli – </w:t>
            </w:r>
            <w:r w:rsidRPr="00140CFA">
              <w:rPr>
                <w:rFonts w:ascii="Constantia" w:eastAsia="Calibri" w:hAnsi="Constantia"/>
                <w:bCs/>
                <w:iCs/>
                <w:szCs w:val="22"/>
                <w:lang w:val="sr-Latn-CS"/>
              </w:rPr>
              <w:t>primorska mrena</w:t>
            </w:r>
          </w:p>
          <w:p w:rsidR="004B071C" w:rsidRPr="00140CFA" w:rsidRDefault="004B071C" w:rsidP="004E680E">
            <w:pPr>
              <w:spacing w:after="0"/>
              <w:contextualSpacing/>
              <w:jc w:val="left"/>
              <w:rPr>
                <w:rFonts w:ascii="Constantia" w:eastAsia="Calibri" w:hAnsi="Constantia"/>
                <w:bCs/>
                <w:i/>
                <w:szCs w:val="22"/>
                <w:lang w:val="sr-Latn-CS"/>
              </w:rPr>
            </w:pPr>
            <w:r w:rsidRPr="00140CFA">
              <w:rPr>
                <w:rFonts w:ascii="Constantia" w:eastAsia="Calibri" w:hAnsi="Constantia"/>
                <w:bCs/>
                <w:i/>
                <w:szCs w:val="22"/>
                <w:lang w:val="sr-Latn-CS"/>
              </w:rPr>
              <w:t xml:space="preserve">Gobio gobio – </w:t>
            </w:r>
            <w:r w:rsidRPr="00140CFA">
              <w:rPr>
                <w:rFonts w:ascii="Constantia" w:eastAsia="Calibri" w:hAnsi="Constantia"/>
                <w:bCs/>
                <w:szCs w:val="22"/>
                <w:lang w:val="sr-Latn-CS"/>
              </w:rPr>
              <w:t xml:space="preserve"> mrena</w:t>
            </w:r>
          </w:p>
          <w:p w:rsidR="004B071C" w:rsidRPr="00140CFA" w:rsidRDefault="004B071C" w:rsidP="004E680E">
            <w:pPr>
              <w:spacing w:after="0"/>
              <w:contextualSpacing/>
              <w:jc w:val="left"/>
              <w:rPr>
                <w:rFonts w:ascii="Constantia" w:eastAsia="Calibri" w:hAnsi="Constantia"/>
                <w:bCs/>
                <w:i/>
                <w:szCs w:val="22"/>
                <w:lang w:val="sr-Latn-CS"/>
              </w:rPr>
            </w:pPr>
            <w:r w:rsidRPr="00140CFA">
              <w:rPr>
                <w:rFonts w:ascii="Constantia" w:eastAsia="Calibri" w:hAnsi="Constantia"/>
                <w:bCs/>
                <w:i/>
                <w:szCs w:val="22"/>
                <w:lang w:val="sr-Latn-CS"/>
              </w:rPr>
              <w:t xml:space="preserve">Pachychilon pictum - </w:t>
            </w:r>
            <w:r w:rsidRPr="00140CFA">
              <w:rPr>
                <w:rFonts w:ascii="Constantia" w:eastAsia="Calibri" w:hAnsi="Constantia"/>
                <w:bCs/>
                <w:szCs w:val="22"/>
                <w:lang w:val="sr-Latn-CS"/>
              </w:rPr>
              <w:t>šaradan</w:t>
            </w:r>
          </w:p>
          <w:p w:rsidR="004B071C" w:rsidRPr="00140CFA" w:rsidRDefault="004B071C" w:rsidP="004E680E">
            <w:pPr>
              <w:spacing w:after="0"/>
              <w:contextualSpacing/>
              <w:jc w:val="left"/>
              <w:rPr>
                <w:rFonts w:ascii="Constantia" w:eastAsia="Calibri" w:hAnsi="Constantia"/>
                <w:bCs/>
                <w:i/>
                <w:szCs w:val="22"/>
                <w:lang w:val="sr-Latn-CS"/>
              </w:rPr>
            </w:pPr>
            <w:r w:rsidRPr="00140CFA">
              <w:rPr>
                <w:rFonts w:ascii="Constantia" w:eastAsia="Calibri" w:hAnsi="Constantia"/>
                <w:bCs/>
                <w:i/>
                <w:szCs w:val="22"/>
                <w:lang w:val="sr-Latn-CS"/>
              </w:rPr>
              <w:t>Phoxinus phoxinus –</w:t>
            </w:r>
            <w:r w:rsidRPr="00140CFA">
              <w:rPr>
                <w:rFonts w:ascii="Constantia" w:eastAsia="Calibri" w:hAnsi="Constantia"/>
                <w:bCs/>
                <w:szCs w:val="22"/>
                <w:lang w:val="sr-Latn-CS"/>
              </w:rPr>
              <w:t>gaovica</w:t>
            </w:r>
          </w:p>
          <w:p w:rsidR="004B071C" w:rsidRPr="00140CFA" w:rsidRDefault="004B071C" w:rsidP="004E680E">
            <w:pPr>
              <w:spacing w:after="0"/>
              <w:contextualSpacing/>
              <w:jc w:val="left"/>
              <w:rPr>
                <w:rFonts w:ascii="Constantia" w:eastAsia="Calibri" w:hAnsi="Constantia"/>
                <w:bCs/>
                <w:i/>
                <w:szCs w:val="22"/>
                <w:lang w:val="sr-Latn-CS"/>
              </w:rPr>
            </w:pPr>
            <w:r w:rsidRPr="00140CFA">
              <w:rPr>
                <w:rFonts w:ascii="Constantia" w:eastAsia="Calibri" w:hAnsi="Constantia"/>
                <w:bCs/>
                <w:i/>
                <w:szCs w:val="22"/>
                <w:lang w:val="sr-Latn-CS"/>
              </w:rPr>
              <w:t xml:space="preserve">Rutilus prespensis – </w:t>
            </w:r>
            <w:r w:rsidRPr="00140CFA">
              <w:rPr>
                <w:rFonts w:ascii="Constantia" w:eastAsia="Calibri" w:hAnsi="Constantia"/>
                <w:bCs/>
                <w:szCs w:val="22"/>
                <w:lang w:val="sr-Latn-CS"/>
              </w:rPr>
              <w:t>žutalj, brona</w:t>
            </w:r>
          </w:p>
          <w:p w:rsidR="004B071C" w:rsidRPr="00140CFA" w:rsidRDefault="004B071C" w:rsidP="004E680E">
            <w:pPr>
              <w:spacing w:after="0"/>
              <w:contextualSpacing/>
              <w:jc w:val="left"/>
              <w:rPr>
                <w:rFonts w:ascii="Constantia" w:eastAsia="Calibri" w:hAnsi="Constantia"/>
                <w:bCs/>
                <w:i/>
                <w:szCs w:val="22"/>
                <w:lang w:val="sr-Latn-CS"/>
              </w:rPr>
            </w:pPr>
            <w:r w:rsidRPr="00140CFA">
              <w:rPr>
                <w:rFonts w:ascii="Constantia" w:eastAsia="Calibri" w:hAnsi="Constantia"/>
                <w:bCs/>
                <w:i/>
                <w:szCs w:val="22"/>
                <w:lang w:val="sr-Latn-CS"/>
              </w:rPr>
              <w:t xml:space="preserve">Squalius platyceps- </w:t>
            </w:r>
            <w:r w:rsidRPr="00140CFA">
              <w:rPr>
                <w:rFonts w:ascii="Constantia" w:eastAsia="Calibri" w:hAnsi="Constantia"/>
                <w:bCs/>
                <w:szCs w:val="22"/>
                <w:lang w:val="sr-Latn-CS"/>
              </w:rPr>
              <w:t>skadarski klen</w:t>
            </w:r>
          </w:p>
          <w:p w:rsidR="004B071C" w:rsidRPr="00140CFA" w:rsidRDefault="004B071C" w:rsidP="004E680E">
            <w:pPr>
              <w:spacing w:after="0"/>
              <w:contextualSpacing/>
              <w:jc w:val="left"/>
              <w:rPr>
                <w:rFonts w:ascii="Constantia" w:eastAsia="Calibri" w:hAnsi="Constantia"/>
                <w:bCs/>
                <w:i/>
                <w:szCs w:val="22"/>
                <w:lang w:val="sr-Latn-CS"/>
              </w:rPr>
            </w:pPr>
            <w:r w:rsidRPr="00140CFA">
              <w:rPr>
                <w:rFonts w:ascii="Constantia" w:eastAsia="Calibri" w:hAnsi="Constantia"/>
                <w:bCs/>
                <w:i/>
                <w:szCs w:val="22"/>
                <w:lang w:val="sr-Latn-CS"/>
              </w:rPr>
              <w:t xml:space="preserve">Telestes montenigrinus - </w:t>
            </w:r>
            <w:r w:rsidRPr="00140CFA">
              <w:rPr>
                <w:rFonts w:ascii="Constantia" w:eastAsia="Calibri" w:hAnsi="Constantia"/>
                <w:bCs/>
                <w:szCs w:val="22"/>
                <w:lang w:val="sr-Latn-CS"/>
              </w:rPr>
              <w:t>mekiš</w:t>
            </w:r>
          </w:p>
          <w:p w:rsidR="004B071C" w:rsidRPr="00140CFA" w:rsidRDefault="004B071C" w:rsidP="004E680E">
            <w:pPr>
              <w:spacing w:after="0"/>
              <w:contextualSpacing/>
              <w:jc w:val="left"/>
              <w:rPr>
                <w:rFonts w:ascii="Constantia" w:eastAsia="Calibri" w:hAnsi="Constantia"/>
                <w:bCs/>
                <w:i/>
                <w:szCs w:val="22"/>
                <w:lang w:val="sr-Latn-CS"/>
              </w:rPr>
            </w:pPr>
            <w:r w:rsidRPr="00140CFA">
              <w:rPr>
                <w:rFonts w:ascii="Constantia" w:eastAsia="Calibri" w:hAnsi="Constantia"/>
                <w:bCs/>
                <w:i/>
                <w:szCs w:val="22"/>
                <w:lang w:val="hr-HR"/>
              </w:rPr>
              <w:t xml:space="preserve">Cobitis ohridana – </w:t>
            </w:r>
            <w:r w:rsidRPr="00140CFA">
              <w:rPr>
                <w:rFonts w:ascii="Constantia" w:eastAsia="Calibri" w:hAnsi="Constantia"/>
                <w:bCs/>
                <w:szCs w:val="22"/>
                <w:lang w:val="hr-HR"/>
              </w:rPr>
              <w:t>ohridski-skadarski  vijun</w:t>
            </w:r>
          </w:p>
        </w:tc>
        <w:tc>
          <w:tcPr>
            <w:tcW w:w="446" w:type="dxa"/>
            <w:shd w:val="clear" w:color="auto" w:fill="E6EED5"/>
          </w:tcPr>
          <w:p w:rsidR="004B071C" w:rsidRPr="00140CFA" w:rsidRDefault="004B071C" w:rsidP="001C02D6">
            <w:pPr>
              <w:spacing w:after="200"/>
              <w:contextualSpacing/>
              <w:jc w:val="center"/>
              <w:rPr>
                <w:rFonts w:ascii="Constantia" w:eastAsia="Calibri" w:hAnsi="Constantia"/>
                <w:szCs w:val="22"/>
              </w:rPr>
            </w:pPr>
            <w:r w:rsidRPr="00140CFA">
              <w:rPr>
                <w:rFonts w:ascii="Constantia" w:eastAsia="Calibri" w:hAnsi="Constantia"/>
                <w:szCs w:val="22"/>
              </w:rPr>
              <w:t xml:space="preserve">-               +                         +      +     -    -    -  -  -  +  -                                           </w:t>
            </w:r>
          </w:p>
        </w:tc>
        <w:tc>
          <w:tcPr>
            <w:tcW w:w="446" w:type="dxa"/>
            <w:shd w:val="clear" w:color="auto" w:fill="E6EED5"/>
          </w:tcPr>
          <w:p w:rsidR="004B071C" w:rsidRPr="00140CFA" w:rsidRDefault="004B071C" w:rsidP="004E680E">
            <w:pPr>
              <w:spacing w:after="200"/>
              <w:contextualSpacing/>
              <w:jc w:val="center"/>
              <w:rPr>
                <w:rFonts w:ascii="Constantia" w:eastAsia="Calibri" w:hAnsi="Constantia"/>
                <w:szCs w:val="22"/>
              </w:rPr>
            </w:pPr>
            <w:r w:rsidRPr="00140CFA">
              <w:rPr>
                <w:rFonts w:ascii="Constantia" w:eastAsia="Calibri" w:hAnsi="Constantia"/>
                <w:szCs w:val="22"/>
              </w:rPr>
              <w:t xml:space="preserve">+ +                   +  -  -  +  -      -  +  -  -                                                            </w:t>
            </w:r>
          </w:p>
        </w:tc>
        <w:tc>
          <w:tcPr>
            <w:tcW w:w="445" w:type="dxa"/>
            <w:shd w:val="clear" w:color="auto" w:fill="E6EED5"/>
          </w:tcPr>
          <w:p w:rsidR="004B071C" w:rsidRPr="00140CFA" w:rsidRDefault="004B071C" w:rsidP="001C02D6">
            <w:pPr>
              <w:spacing w:after="200"/>
              <w:contextualSpacing/>
              <w:jc w:val="center"/>
              <w:rPr>
                <w:rFonts w:ascii="Constantia" w:eastAsia="Calibri" w:hAnsi="Constantia"/>
                <w:szCs w:val="22"/>
              </w:rPr>
            </w:pPr>
            <w:r w:rsidRPr="00140CFA">
              <w:rPr>
                <w:rFonts w:ascii="Constantia" w:eastAsia="Calibri" w:hAnsi="Constantia"/>
                <w:szCs w:val="22"/>
              </w:rPr>
              <w:t xml:space="preserve">+ +    + +  -  -  +  -  -  +  -  </w:t>
            </w:r>
          </w:p>
        </w:tc>
        <w:tc>
          <w:tcPr>
            <w:tcW w:w="445" w:type="dxa"/>
            <w:shd w:val="clear" w:color="auto" w:fill="E6EED5"/>
          </w:tcPr>
          <w:p w:rsidR="004B071C" w:rsidRPr="00140CFA" w:rsidRDefault="004B071C" w:rsidP="004E680E">
            <w:pPr>
              <w:spacing w:after="200"/>
              <w:contextualSpacing/>
              <w:jc w:val="center"/>
              <w:rPr>
                <w:rFonts w:ascii="Constantia" w:eastAsia="Calibri" w:hAnsi="Constantia"/>
                <w:szCs w:val="22"/>
              </w:rPr>
            </w:pPr>
            <w:r w:rsidRPr="00140CFA">
              <w:rPr>
                <w:rFonts w:ascii="Constantia" w:eastAsia="Calibri" w:hAnsi="Constantia"/>
                <w:szCs w:val="22"/>
              </w:rPr>
              <w:t>+ +        +  -  -  +  -  -  +  -  -</w:t>
            </w:r>
          </w:p>
        </w:tc>
        <w:tc>
          <w:tcPr>
            <w:tcW w:w="445" w:type="dxa"/>
            <w:shd w:val="clear" w:color="auto" w:fill="E6EED5"/>
          </w:tcPr>
          <w:p w:rsidR="004B071C" w:rsidRPr="00140CFA" w:rsidRDefault="004B071C" w:rsidP="001C02D6">
            <w:pPr>
              <w:spacing w:after="200"/>
              <w:contextualSpacing/>
              <w:jc w:val="center"/>
              <w:rPr>
                <w:rFonts w:ascii="Constantia" w:eastAsia="Calibri" w:hAnsi="Constantia"/>
                <w:szCs w:val="22"/>
              </w:rPr>
            </w:pPr>
            <w:r w:rsidRPr="00140CFA">
              <w:rPr>
                <w:rFonts w:ascii="Constantia" w:eastAsia="Calibri" w:hAnsi="Constantia"/>
                <w:szCs w:val="22"/>
              </w:rPr>
              <w:t xml:space="preserve">-  +    + +  -  -  +  -  -  +  -  </w:t>
            </w:r>
          </w:p>
        </w:tc>
        <w:tc>
          <w:tcPr>
            <w:tcW w:w="445" w:type="dxa"/>
            <w:shd w:val="clear" w:color="auto" w:fill="E6EED5"/>
          </w:tcPr>
          <w:p w:rsidR="004B071C" w:rsidRPr="00140CFA" w:rsidRDefault="004B071C" w:rsidP="001C02D6">
            <w:pPr>
              <w:spacing w:after="200"/>
              <w:contextualSpacing/>
              <w:jc w:val="center"/>
              <w:rPr>
                <w:rFonts w:ascii="Constantia" w:eastAsia="Calibri" w:hAnsi="Constantia"/>
                <w:szCs w:val="22"/>
              </w:rPr>
            </w:pPr>
            <w:r w:rsidRPr="00140CFA">
              <w:rPr>
                <w:rFonts w:ascii="Constantia" w:eastAsia="Calibri" w:hAnsi="Constantia"/>
                <w:szCs w:val="22"/>
              </w:rPr>
              <w:t xml:space="preserve">+ +    +  +  -  -  +  -  -  +  -  </w:t>
            </w:r>
          </w:p>
        </w:tc>
        <w:tc>
          <w:tcPr>
            <w:tcW w:w="445" w:type="dxa"/>
            <w:shd w:val="clear" w:color="auto" w:fill="E6EED5"/>
          </w:tcPr>
          <w:p w:rsidR="004B071C" w:rsidRPr="00140CFA" w:rsidRDefault="004B071C" w:rsidP="004E680E">
            <w:pPr>
              <w:spacing w:after="200"/>
              <w:contextualSpacing/>
              <w:jc w:val="center"/>
              <w:rPr>
                <w:rFonts w:ascii="Constantia" w:eastAsia="Calibri" w:hAnsi="Constantia"/>
                <w:szCs w:val="22"/>
              </w:rPr>
            </w:pPr>
            <w:r w:rsidRPr="00140CFA">
              <w:rPr>
                <w:rFonts w:ascii="Constantia" w:eastAsia="Calibri" w:hAnsi="Constantia"/>
                <w:szCs w:val="22"/>
              </w:rPr>
              <w:t>+ +    -  +  -  + +  +  -  +    +</w:t>
            </w:r>
          </w:p>
        </w:tc>
        <w:tc>
          <w:tcPr>
            <w:tcW w:w="462" w:type="dxa"/>
            <w:shd w:val="clear" w:color="auto" w:fill="E6EED5"/>
          </w:tcPr>
          <w:p w:rsidR="004B071C" w:rsidRPr="00140CFA" w:rsidRDefault="004B071C" w:rsidP="004E680E">
            <w:pPr>
              <w:spacing w:after="200"/>
              <w:contextualSpacing/>
              <w:jc w:val="center"/>
              <w:rPr>
                <w:rFonts w:ascii="Constantia" w:eastAsia="Calibri" w:hAnsi="Constantia"/>
                <w:szCs w:val="22"/>
              </w:rPr>
            </w:pPr>
            <w:r w:rsidRPr="00140CFA">
              <w:rPr>
                <w:rFonts w:ascii="Constantia" w:eastAsia="Calibri" w:hAnsi="Constantia"/>
                <w:szCs w:val="22"/>
              </w:rPr>
              <w:t>+                      +        -  + + + + + + +  +</w:t>
            </w:r>
          </w:p>
        </w:tc>
      </w:tr>
    </w:tbl>
    <w:p w:rsidR="004B071C" w:rsidRPr="00140CFA" w:rsidRDefault="004B071C" w:rsidP="00F61EEE">
      <w:pPr>
        <w:spacing w:after="0"/>
        <w:rPr>
          <w:rFonts w:ascii="Constantia" w:hAnsi="Constantia"/>
          <w:szCs w:val="22"/>
          <w:lang w:val="sr-Latn-CS"/>
        </w:rPr>
      </w:pPr>
      <w:r w:rsidRPr="00140CFA">
        <w:rPr>
          <w:rFonts w:ascii="Constantia" w:hAnsi="Constantia"/>
          <w:szCs w:val="22"/>
          <w:lang w:val="sr-Latn-CS"/>
        </w:rPr>
        <w:t>*</w:t>
      </w:r>
      <w:r w:rsidR="00286271" w:rsidRPr="00140CFA">
        <w:rPr>
          <w:rFonts w:ascii="Constantia" w:hAnsi="Constantia"/>
          <w:szCs w:val="22"/>
          <w:lang w:val="sr-Latn-CS"/>
        </w:rPr>
        <w:t xml:space="preserve"> </w:t>
      </w:r>
      <w:r w:rsidRPr="00140CFA">
        <w:rPr>
          <w:rFonts w:ascii="Constantia" w:hAnsi="Constantia"/>
          <w:szCs w:val="22"/>
          <w:lang w:val="sr-Latn-CS"/>
        </w:rPr>
        <w:t>1.</w:t>
      </w:r>
      <w:r w:rsidR="00F61EEE" w:rsidRPr="00140CFA">
        <w:rPr>
          <w:rFonts w:ascii="Constantia" w:hAnsi="Constantia"/>
          <w:szCs w:val="22"/>
          <w:lang w:val="sr-Latn-CS"/>
        </w:rPr>
        <w:t xml:space="preserve"> </w:t>
      </w:r>
      <w:r w:rsidRPr="00140CFA">
        <w:rPr>
          <w:rFonts w:ascii="Constantia" w:hAnsi="Constantia"/>
          <w:szCs w:val="22"/>
          <w:lang w:val="sr-Latn-CS"/>
        </w:rPr>
        <w:t>Mioska, 2. Koštanica, 3. Manastir Morača, 4. Sjevernica, 5.</w:t>
      </w:r>
      <w:r w:rsidR="00F61EEE" w:rsidRPr="00140CFA">
        <w:rPr>
          <w:rFonts w:ascii="Constantia" w:hAnsi="Constantia"/>
          <w:szCs w:val="22"/>
          <w:lang w:val="sr-Latn-CS"/>
        </w:rPr>
        <w:t xml:space="preserve"> </w:t>
      </w:r>
      <w:r w:rsidRPr="00140CFA">
        <w:rPr>
          <w:rFonts w:ascii="Constantia" w:hAnsi="Constantia"/>
          <w:szCs w:val="22"/>
          <w:lang w:val="sr-Latn-CS"/>
        </w:rPr>
        <w:t>Međurječje, 6. Dromira, 7. Bioče</w:t>
      </w:r>
      <w:r w:rsidR="00F61EEE" w:rsidRPr="00140CFA">
        <w:rPr>
          <w:rFonts w:ascii="Constantia" w:hAnsi="Constantia"/>
          <w:szCs w:val="22"/>
          <w:lang w:val="sr-Latn-CS"/>
        </w:rPr>
        <w:t xml:space="preserve"> </w:t>
      </w:r>
      <w:r w:rsidRPr="00140CFA">
        <w:rPr>
          <w:rFonts w:ascii="Constantia" w:hAnsi="Constantia"/>
          <w:szCs w:val="22"/>
          <w:lang w:val="sr-Latn-CS"/>
        </w:rPr>
        <w:t>-</w:t>
      </w:r>
      <w:r w:rsidR="00F61EEE" w:rsidRPr="00140CFA">
        <w:rPr>
          <w:rFonts w:ascii="Constantia" w:hAnsi="Constantia"/>
          <w:szCs w:val="22"/>
          <w:lang w:val="sr-Latn-CS"/>
        </w:rPr>
        <w:t xml:space="preserve"> </w:t>
      </w:r>
      <w:r w:rsidRPr="00140CFA">
        <w:rPr>
          <w:rFonts w:ascii="Constantia" w:hAnsi="Constantia"/>
          <w:szCs w:val="22"/>
          <w:lang w:val="sr-Latn-CS"/>
        </w:rPr>
        <w:t>Kuće Piletića</w:t>
      </w:r>
      <w:r w:rsidR="00F61EEE" w:rsidRPr="00140CFA">
        <w:rPr>
          <w:rFonts w:ascii="Constantia" w:hAnsi="Constantia"/>
          <w:szCs w:val="22"/>
          <w:lang w:val="sr-Latn-CS"/>
        </w:rPr>
        <w:t>,</w:t>
      </w:r>
      <w:r w:rsidRPr="00140CFA">
        <w:rPr>
          <w:rFonts w:ascii="Constantia" w:hAnsi="Constantia"/>
          <w:szCs w:val="22"/>
          <w:lang w:val="sr-Latn-CS"/>
        </w:rPr>
        <w:t xml:space="preserve"> 8. Smokovac  </w:t>
      </w:r>
    </w:p>
    <w:p w:rsidR="00F61EEE" w:rsidRDefault="00F61EEE" w:rsidP="00F61EEE">
      <w:pPr>
        <w:pStyle w:val="Tabele"/>
        <w:spacing w:before="60" w:after="240"/>
        <w:ind w:left="714" w:hanging="357"/>
        <w:rPr>
          <w:rFonts w:ascii="Constantia" w:hAnsi="Constantia"/>
          <w:sz w:val="22"/>
          <w:szCs w:val="22"/>
        </w:rPr>
      </w:pPr>
      <w:r>
        <w:rPr>
          <w:rFonts w:ascii="Constantia" w:hAnsi="Constantia"/>
          <w:sz w:val="22"/>
          <w:szCs w:val="22"/>
        </w:rPr>
        <w:t xml:space="preserve"> </w:t>
      </w:r>
      <w:r w:rsidR="004B071C" w:rsidRPr="00F61EEE">
        <w:rPr>
          <w:rFonts w:ascii="Constantia" w:hAnsi="Constantia"/>
          <w:sz w:val="22"/>
          <w:szCs w:val="22"/>
        </w:rPr>
        <w:t>Ribe</w:t>
      </w:r>
      <w:r>
        <w:rPr>
          <w:rFonts w:ascii="Constantia" w:hAnsi="Constantia"/>
          <w:sz w:val="22"/>
          <w:szCs w:val="22"/>
        </w:rPr>
        <w:t xml:space="preserve"> </w:t>
      </w:r>
    </w:p>
    <w:p w:rsidR="00F61EEE" w:rsidRDefault="00F61EEE" w:rsidP="00F61EEE">
      <w:pPr>
        <w:pStyle w:val="Tabele"/>
        <w:numPr>
          <w:ilvl w:val="0"/>
          <w:numId w:val="0"/>
        </w:numPr>
        <w:spacing w:before="0" w:after="0"/>
        <w:ind w:left="357"/>
        <w:jc w:val="both"/>
        <w:rPr>
          <w:rFonts w:ascii="Constantia" w:hAnsi="Constantia"/>
          <w:sz w:val="22"/>
          <w:szCs w:val="22"/>
        </w:rPr>
      </w:pPr>
    </w:p>
    <w:p w:rsidR="00140CFA" w:rsidRDefault="00140CFA" w:rsidP="00F61EEE">
      <w:pPr>
        <w:pStyle w:val="Tabele"/>
        <w:numPr>
          <w:ilvl w:val="0"/>
          <w:numId w:val="0"/>
        </w:numPr>
        <w:spacing w:before="0" w:after="0"/>
        <w:ind w:left="357"/>
        <w:jc w:val="both"/>
        <w:rPr>
          <w:rFonts w:ascii="Constantia" w:hAnsi="Constantia"/>
          <w:sz w:val="22"/>
          <w:szCs w:val="22"/>
        </w:rPr>
      </w:pPr>
    </w:p>
    <w:p w:rsidR="00140CFA" w:rsidRPr="00F61EEE" w:rsidRDefault="00140CFA" w:rsidP="00F61EEE">
      <w:pPr>
        <w:pStyle w:val="Tabele"/>
        <w:numPr>
          <w:ilvl w:val="0"/>
          <w:numId w:val="0"/>
        </w:numPr>
        <w:spacing w:before="0" w:after="0"/>
        <w:ind w:left="357"/>
        <w:jc w:val="both"/>
        <w:rPr>
          <w:rFonts w:ascii="Constantia" w:hAnsi="Constantia"/>
          <w:sz w:val="22"/>
          <w:szCs w:val="22"/>
        </w:rPr>
      </w:pPr>
    </w:p>
    <w:tbl>
      <w:tblPr>
        <w:tblW w:w="9288" w:type="dxa"/>
        <w:tblBorders>
          <w:top w:val="single" w:sz="8" w:space="0" w:color="DAEFC3"/>
          <w:left w:val="single" w:sz="8" w:space="0" w:color="DAEFC3"/>
          <w:bottom w:val="single" w:sz="8" w:space="0" w:color="DAEFC3"/>
          <w:right w:val="single" w:sz="8" w:space="0" w:color="DAEFC3"/>
          <w:insideH w:val="single" w:sz="8" w:space="0" w:color="DAEFC3"/>
          <w:insideV w:val="single" w:sz="8" w:space="0" w:color="DAEFC3"/>
        </w:tblBorders>
        <w:tblLayout w:type="fixed"/>
        <w:tblLook w:val="04A0" w:firstRow="1" w:lastRow="0" w:firstColumn="1" w:lastColumn="0" w:noHBand="0" w:noVBand="1"/>
      </w:tblPr>
      <w:tblGrid>
        <w:gridCol w:w="2250"/>
        <w:gridCol w:w="1368"/>
        <w:gridCol w:w="2340"/>
        <w:gridCol w:w="3330"/>
      </w:tblGrid>
      <w:tr w:rsidR="004B071C" w:rsidRPr="00140CFA" w:rsidTr="00B378F3">
        <w:trPr>
          <w:trHeight w:val="48"/>
        </w:trPr>
        <w:tc>
          <w:tcPr>
            <w:tcW w:w="2250" w:type="dxa"/>
            <w:shd w:val="clear" w:color="auto" w:fill="F2F9EB"/>
          </w:tcPr>
          <w:p w:rsidR="004B071C" w:rsidRPr="00140CFA" w:rsidRDefault="004B071C" w:rsidP="00F61EEE">
            <w:pPr>
              <w:spacing w:after="0"/>
              <w:jc w:val="center"/>
              <w:rPr>
                <w:rFonts w:ascii="Constantia" w:hAnsi="Constantia"/>
                <w:b/>
                <w:bCs/>
                <w:szCs w:val="22"/>
                <w:lang w:val="sr-Latn-CS"/>
              </w:rPr>
            </w:pPr>
            <w:r w:rsidRPr="00140CFA">
              <w:rPr>
                <w:rFonts w:ascii="Constantia" w:hAnsi="Constantia"/>
                <w:b/>
                <w:bCs/>
                <w:color w:val="000000"/>
                <w:szCs w:val="22"/>
              </w:rPr>
              <w:lastRenderedPageBreak/>
              <w:t>Latinski naziv vrste</w:t>
            </w:r>
          </w:p>
        </w:tc>
        <w:tc>
          <w:tcPr>
            <w:tcW w:w="1368" w:type="dxa"/>
            <w:shd w:val="clear" w:color="auto" w:fill="F2F9EB"/>
          </w:tcPr>
          <w:p w:rsidR="004B071C" w:rsidRPr="00140CFA" w:rsidRDefault="004B071C" w:rsidP="00F61EEE">
            <w:pPr>
              <w:spacing w:after="0"/>
              <w:jc w:val="center"/>
              <w:rPr>
                <w:rFonts w:ascii="Constantia" w:hAnsi="Constantia"/>
                <w:b/>
                <w:bCs/>
                <w:color w:val="000000"/>
                <w:szCs w:val="22"/>
              </w:rPr>
            </w:pPr>
            <w:r w:rsidRPr="00140CFA">
              <w:rPr>
                <w:rFonts w:ascii="Constantia" w:hAnsi="Constantia"/>
                <w:b/>
                <w:bCs/>
                <w:color w:val="000000"/>
                <w:szCs w:val="22"/>
              </w:rPr>
              <w:t>Nacionalni naziv</w:t>
            </w:r>
          </w:p>
        </w:tc>
        <w:tc>
          <w:tcPr>
            <w:tcW w:w="2340" w:type="dxa"/>
            <w:shd w:val="clear" w:color="auto" w:fill="F2F9EB"/>
          </w:tcPr>
          <w:p w:rsidR="004B071C" w:rsidRPr="00140CFA" w:rsidRDefault="004B071C" w:rsidP="00F61EEE">
            <w:pPr>
              <w:spacing w:after="0"/>
              <w:jc w:val="center"/>
              <w:rPr>
                <w:rFonts w:ascii="Constantia" w:hAnsi="Constantia"/>
                <w:b/>
                <w:bCs/>
                <w:color w:val="000000"/>
                <w:szCs w:val="22"/>
              </w:rPr>
            </w:pPr>
            <w:r w:rsidRPr="00140CFA">
              <w:rPr>
                <w:rFonts w:ascii="Constantia" w:hAnsi="Constantia"/>
                <w:b/>
                <w:bCs/>
                <w:color w:val="000000"/>
                <w:szCs w:val="22"/>
              </w:rPr>
              <w:t>Lokacija (mikro)</w:t>
            </w:r>
          </w:p>
        </w:tc>
        <w:tc>
          <w:tcPr>
            <w:tcW w:w="3330" w:type="dxa"/>
            <w:shd w:val="clear" w:color="auto" w:fill="F2F9EB"/>
          </w:tcPr>
          <w:p w:rsidR="004B071C" w:rsidRPr="00140CFA" w:rsidRDefault="004B071C" w:rsidP="00F61EEE">
            <w:pPr>
              <w:spacing w:after="0"/>
              <w:jc w:val="center"/>
              <w:rPr>
                <w:rFonts w:ascii="Constantia" w:hAnsi="Constantia"/>
                <w:b/>
                <w:bCs/>
                <w:szCs w:val="22"/>
                <w:lang w:val="sr-Latn-CS"/>
              </w:rPr>
            </w:pPr>
            <w:r w:rsidRPr="00140CFA">
              <w:rPr>
                <w:rFonts w:ascii="Constantia" w:hAnsi="Constantia"/>
                <w:b/>
                <w:bCs/>
                <w:szCs w:val="22"/>
                <w:lang w:val="sr-Latn-CS"/>
              </w:rPr>
              <w:t>Ocjena stanja populacije</w:t>
            </w:r>
          </w:p>
        </w:tc>
      </w:tr>
      <w:tr w:rsidR="004B071C" w:rsidRPr="00140CFA" w:rsidTr="00B378F3">
        <w:trPr>
          <w:trHeight w:val="48"/>
        </w:trPr>
        <w:tc>
          <w:tcPr>
            <w:tcW w:w="2250" w:type="dxa"/>
            <w:shd w:val="clear" w:color="auto" w:fill="E6F4D7"/>
          </w:tcPr>
          <w:p w:rsidR="004B071C" w:rsidRPr="00140CFA" w:rsidRDefault="004B071C" w:rsidP="004E680E">
            <w:pPr>
              <w:spacing w:after="0"/>
              <w:jc w:val="center"/>
              <w:rPr>
                <w:rFonts w:ascii="Constantia" w:hAnsi="Constantia"/>
                <w:b/>
                <w:bCs/>
                <w:color w:val="000000"/>
                <w:szCs w:val="22"/>
              </w:rPr>
            </w:pPr>
            <w:r w:rsidRPr="00140CFA">
              <w:rPr>
                <w:rFonts w:ascii="Constantia" w:hAnsi="Constantia"/>
                <w:b/>
                <w:bCs/>
                <w:i/>
                <w:szCs w:val="22"/>
              </w:rPr>
              <w:t>Cobitis taenia ohridana</w:t>
            </w:r>
          </w:p>
        </w:tc>
        <w:tc>
          <w:tcPr>
            <w:tcW w:w="1368" w:type="dxa"/>
            <w:shd w:val="clear" w:color="auto" w:fill="E6F4D7"/>
          </w:tcPr>
          <w:p w:rsidR="004B071C" w:rsidRPr="00140CFA" w:rsidRDefault="004B071C" w:rsidP="004E680E">
            <w:pPr>
              <w:spacing w:after="0"/>
              <w:jc w:val="center"/>
              <w:rPr>
                <w:rFonts w:ascii="Constantia" w:hAnsi="Constantia"/>
                <w:szCs w:val="22"/>
                <w:lang w:val="sr-Latn-CS"/>
              </w:rPr>
            </w:pPr>
            <w:r w:rsidRPr="00140CFA">
              <w:rPr>
                <w:rFonts w:ascii="Constantia" w:hAnsi="Constantia"/>
                <w:szCs w:val="22"/>
              </w:rPr>
              <w:t>vijun</w:t>
            </w:r>
          </w:p>
        </w:tc>
        <w:tc>
          <w:tcPr>
            <w:tcW w:w="2340" w:type="dxa"/>
            <w:shd w:val="clear" w:color="auto" w:fill="E6F4D7"/>
          </w:tcPr>
          <w:p w:rsidR="004B071C" w:rsidRPr="00140CFA" w:rsidRDefault="004B071C" w:rsidP="004E680E">
            <w:pPr>
              <w:spacing w:after="0"/>
              <w:jc w:val="center"/>
              <w:rPr>
                <w:rFonts w:ascii="Constantia" w:hAnsi="Constantia"/>
                <w:szCs w:val="22"/>
                <w:lang w:val="sr-Latn-CS"/>
              </w:rPr>
            </w:pPr>
            <w:r w:rsidRPr="00140CFA">
              <w:rPr>
                <w:rFonts w:ascii="Constantia" w:hAnsi="Constantia"/>
                <w:szCs w:val="22"/>
                <w:lang w:val="sr-Latn-CS"/>
              </w:rPr>
              <w:t>Morača</w:t>
            </w:r>
          </w:p>
        </w:tc>
        <w:tc>
          <w:tcPr>
            <w:tcW w:w="3330" w:type="dxa"/>
            <w:shd w:val="clear" w:color="auto" w:fill="E6F4D7"/>
          </w:tcPr>
          <w:p w:rsidR="004B071C" w:rsidRPr="00140CFA" w:rsidRDefault="004B071C" w:rsidP="004E680E">
            <w:pPr>
              <w:spacing w:after="0"/>
              <w:jc w:val="center"/>
              <w:rPr>
                <w:rFonts w:ascii="Constantia" w:hAnsi="Constantia"/>
                <w:szCs w:val="22"/>
                <w:lang w:val="sr-Latn-CS"/>
              </w:rPr>
            </w:pPr>
            <w:r w:rsidRPr="00140CFA">
              <w:rPr>
                <w:rFonts w:ascii="Constantia" w:hAnsi="Constantia"/>
                <w:szCs w:val="22"/>
                <w:lang w:val="sr-Latn-CS"/>
              </w:rPr>
              <w:t>brojna</w:t>
            </w:r>
          </w:p>
        </w:tc>
      </w:tr>
      <w:tr w:rsidR="004B071C" w:rsidRPr="00140CFA" w:rsidTr="00B378F3">
        <w:trPr>
          <w:trHeight w:val="222"/>
        </w:trPr>
        <w:tc>
          <w:tcPr>
            <w:tcW w:w="2250" w:type="dxa"/>
            <w:shd w:val="clear" w:color="auto" w:fill="F2F9EB"/>
          </w:tcPr>
          <w:p w:rsidR="004B071C" w:rsidRPr="00140CFA" w:rsidRDefault="004B071C" w:rsidP="004E680E">
            <w:pPr>
              <w:spacing w:after="0"/>
              <w:jc w:val="center"/>
              <w:rPr>
                <w:rFonts w:ascii="Constantia" w:hAnsi="Constantia"/>
                <w:b/>
                <w:bCs/>
                <w:i/>
                <w:szCs w:val="22"/>
              </w:rPr>
            </w:pPr>
            <w:r w:rsidRPr="00140CFA">
              <w:rPr>
                <w:rFonts w:ascii="Constantia" w:hAnsi="Constantia"/>
                <w:b/>
                <w:bCs/>
                <w:i/>
                <w:szCs w:val="22"/>
              </w:rPr>
              <w:t>Phoxinus phoxinus</w:t>
            </w:r>
          </w:p>
          <w:p w:rsidR="004B071C" w:rsidRPr="00140CFA" w:rsidRDefault="004B071C" w:rsidP="004E680E">
            <w:pPr>
              <w:spacing w:after="0"/>
              <w:jc w:val="center"/>
              <w:rPr>
                <w:rFonts w:ascii="Constantia" w:hAnsi="Constantia"/>
                <w:b/>
                <w:bCs/>
                <w:color w:val="000000"/>
                <w:szCs w:val="22"/>
              </w:rPr>
            </w:pPr>
          </w:p>
        </w:tc>
        <w:tc>
          <w:tcPr>
            <w:tcW w:w="1368" w:type="dxa"/>
            <w:shd w:val="clear" w:color="auto" w:fill="F2F9EB"/>
          </w:tcPr>
          <w:p w:rsidR="004B071C" w:rsidRPr="00140CFA" w:rsidRDefault="004B071C" w:rsidP="004E680E">
            <w:pPr>
              <w:spacing w:after="0"/>
              <w:jc w:val="center"/>
              <w:rPr>
                <w:rFonts w:ascii="Constantia" w:hAnsi="Constantia"/>
                <w:szCs w:val="22"/>
                <w:lang w:val="sr-Latn-CS"/>
              </w:rPr>
            </w:pPr>
            <w:r w:rsidRPr="00140CFA">
              <w:rPr>
                <w:rFonts w:ascii="Constantia" w:hAnsi="Constantia"/>
                <w:szCs w:val="22"/>
              </w:rPr>
              <w:t>gaovica</w:t>
            </w:r>
          </w:p>
        </w:tc>
        <w:tc>
          <w:tcPr>
            <w:tcW w:w="2340" w:type="dxa"/>
            <w:shd w:val="clear" w:color="auto" w:fill="F2F9EB"/>
          </w:tcPr>
          <w:p w:rsidR="004B071C" w:rsidRPr="00140CFA" w:rsidRDefault="004B071C" w:rsidP="004E680E">
            <w:pPr>
              <w:spacing w:after="0"/>
              <w:jc w:val="center"/>
              <w:rPr>
                <w:rFonts w:ascii="Constantia" w:hAnsi="Constantia"/>
                <w:szCs w:val="22"/>
                <w:lang w:val="sr-Latn-CS"/>
              </w:rPr>
            </w:pPr>
            <w:r w:rsidRPr="00140CFA">
              <w:rPr>
                <w:rFonts w:ascii="Constantia" w:eastAsia="Calibri" w:hAnsi="Constantia"/>
                <w:szCs w:val="22"/>
                <w:lang w:val="sr-Latn-CS"/>
              </w:rPr>
              <w:t>U Morači nađena uzvodno do mjesta Mioska i u svim njenim pritokama nizvodno do Skadarskog jezera. U rijeci Zeti do Slapa i svim malim pritokama, zatim Cijevni u cijelom toku</w:t>
            </w:r>
          </w:p>
        </w:tc>
        <w:tc>
          <w:tcPr>
            <w:tcW w:w="3330" w:type="dxa"/>
            <w:shd w:val="clear" w:color="auto" w:fill="F2F9EB"/>
          </w:tcPr>
          <w:p w:rsidR="004B071C" w:rsidRPr="00140CFA" w:rsidRDefault="00172746" w:rsidP="00172746">
            <w:pPr>
              <w:spacing w:after="0"/>
              <w:jc w:val="center"/>
              <w:rPr>
                <w:rFonts w:ascii="Constantia" w:hAnsi="Constantia"/>
                <w:szCs w:val="22"/>
                <w:lang w:val="sr-Latn-CS"/>
              </w:rPr>
            </w:pPr>
            <w:r w:rsidRPr="00140CFA">
              <w:rPr>
                <w:rFonts w:ascii="Constantia" w:hAnsi="Constantia"/>
                <w:szCs w:val="22"/>
                <w:lang w:val="sr-Latn-CS"/>
              </w:rPr>
              <w:t>b</w:t>
            </w:r>
            <w:r w:rsidR="004B071C" w:rsidRPr="00140CFA">
              <w:rPr>
                <w:rFonts w:ascii="Constantia" w:hAnsi="Constantia"/>
                <w:szCs w:val="22"/>
                <w:lang w:val="sr-Latn-CS"/>
              </w:rPr>
              <w:t>rojna</w:t>
            </w:r>
          </w:p>
        </w:tc>
      </w:tr>
      <w:tr w:rsidR="004B071C" w:rsidRPr="00140CFA" w:rsidTr="0082411F">
        <w:trPr>
          <w:trHeight w:val="452"/>
        </w:trPr>
        <w:tc>
          <w:tcPr>
            <w:tcW w:w="2250" w:type="dxa"/>
            <w:shd w:val="clear" w:color="auto" w:fill="E6F4D7"/>
          </w:tcPr>
          <w:p w:rsidR="004B071C" w:rsidRPr="00140CFA" w:rsidRDefault="004B071C" w:rsidP="0082411F">
            <w:pPr>
              <w:spacing w:after="0"/>
              <w:jc w:val="center"/>
              <w:rPr>
                <w:rFonts w:ascii="Constantia" w:hAnsi="Constantia"/>
                <w:b/>
                <w:bCs/>
                <w:i/>
                <w:szCs w:val="22"/>
              </w:rPr>
            </w:pPr>
            <w:r w:rsidRPr="00140CFA">
              <w:rPr>
                <w:rFonts w:ascii="Constantia" w:hAnsi="Constantia"/>
                <w:b/>
                <w:bCs/>
                <w:i/>
                <w:szCs w:val="22"/>
              </w:rPr>
              <w:t>Rhodeus sericeus amarus</w:t>
            </w:r>
          </w:p>
        </w:tc>
        <w:tc>
          <w:tcPr>
            <w:tcW w:w="1368" w:type="dxa"/>
            <w:shd w:val="clear" w:color="auto" w:fill="E6F4D7"/>
          </w:tcPr>
          <w:p w:rsidR="004B071C" w:rsidRPr="00140CFA" w:rsidRDefault="004B071C" w:rsidP="004E680E">
            <w:pPr>
              <w:spacing w:after="0"/>
              <w:jc w:val="center"/>
              <w:rPr>
                <w:rFonts w:ascii="Constantia" w:hAnsi="Constantia"/>
                <w:szCs w:val="22"/>
                <w:lang w:val="sr-Latn-CS"/>
              </w:rPr>
            </w:pPr>
            <w:r w:rsidRPr="00140CFA">
              <w:rPr>
                <w:rFonts w:ascii="Constantia" w:hAnsi="Constantia"/>
                <w:szCs w:val="22"/>
              </w:rPr>
              <w:t>gavčica</w:t>
            </w:r>
          </w:p>
        </w:tc>
        <w:tc>
          <w:tcPr>
            <w:tcW w:w="2340" w:type="dxa"/>
            <w:shd w:val="clear" w:color="auto" w:fill="E6F4D7"/>
          </w:tcPr>
          <w:p w:rsidR="004B071C" w:rsidRPr="00140CFA" w:rsidRDefault="004B071C" w:rsidP="004E680E">
            <w:pPr>
              <w:spacing w:after="0"/>
              <w:jc w:val="center"/>
              <w:rPr>
                <w:rFonts w:ascii="Constantia" w:hAnsi="Constantia"/>
                <w:szCs w:val="22"/>
                <w:lang w:val="sr-Latn-CS"/>
              </w:rPr>
            </w:pPr>
            <w:r w:rsidRPr="00140CFA">
              <w:rPr>
                <w:rFonts w:ascii="Constantia" w:hAnsi="Constantia"/>
                <w:szCs w:val="22"/>
                <w:lang w:val="sr-Latn-CS"/>
              </w:rPr>
              <w:t>Moraca</w:t>
            </w:r>
            <w:r w:rsidRPr="00140CFA">
              <w:rPr>
                <w:rFonts w:ascii="Constantia" w:eastAsia="Calibri" w:hAnsi="Constantia"/>
                <w:szCs w:val="22"/>
              </w:rPr>
              <w:t xml:space="preserve"> Ljevišta</w:t>
            </w:r>
          </w:p>
        </w:tc>
        <w:tc>
          <w:tcPr>
            <w:tcW w:w="3330" w:type="dxa"/>
            <w:shd w:val="clear" w:color="auto" w:fill="E6F4D7"/>
          </w:tcPr>
          <w:p w:rsidR="004B071C" w:rsidRPr="00140CFA" w:rsidRDefault="004B071C" w:rsidP="004E680E">
            <w:pPr>
              <w:spacing w:after="0"/>
              <w:jc w:val="center"/>
              <w:rPr>
                <w:rFonts w:ascii="Constantia" w:hAnsi="Constantia"/>
                <w:szCs w:val="22"/>
                <w:lang w:val="sr-Latn-CS"/>
              </w:rPr>
            </w:pPr>
          </w:p>
        </w:tc>
      </w:tr>
      <w:tr w:rsidR="004B071C" w:rsidRPr="00140CFA" w:rsidTr="00B378F3">
        <w:trPr>
          <w:trHeight w:val="274"/>
        </w:trPr>
        <w:tc>
          <w:tcPr>
            <w:tcW w:w="2250" w:type="dxa"/>
            <w:shd w:val="clear" w:color="auto" w:fill="F2F9EB"/>
          </w:tcPr>
          <w:p w:rsidR="004B071C" w:rsidRPr="00140CFA" w:rsidRDefault="004B071C" w:rsidP="004E680E">
            <w:pPr>
              <w:spacing w:after="0"/>
              <w:jc w:val="center"/>
              <w:rPr>
                <w:rFonts w:ascii="Constantia" w:hAnsi="Constantia"/>
                <w:b/>
                <w:bCs/>
                <w:i/>
                <w:szCs w:val="22"/>
              </w:rPr>
            </w:pPr>
            <w:r w:rsidRPr="00140CFA">
              <w:rPr>
                <w:rFonts w:ascii="Constantia" w:hAnsi="Constantia"/>
                <w:b/>
                <w:bCs/>
                <w:i/>
                <w:szCs w:val="22"/>
              </w:rPr>
              <w:t>Rutilus prespensis vukovici</w:t>
            </w:r>
          </w:p>
          <w:p w:rsidR="004B071C" w:rsidRPr="00140CFA" w:rsidRDefault="004B071C" w:rsidP="004E680E">
            <w:pPr>
              <w:spacing w:after="0"/>
              <w:jc w:val="center"/>
              <w:rPr>
                <w:rFonts w:ascii="Constantia" w:hAnsi="Constantia"/>
                <w:b/>
                <w:bCs/>
                <w:color w:val="000000"/>
                <w:szCs w:val="22"/>
              </w:rPr>
            </w:pPr>
          </w:p>
        </w:tc>
        <w:tc>
          <w:tcPr>
            <w:tcW w:w="1368" w:type="dxa"/>
            <w:shd w:val="clear" w:color="auto" w:fill="F2F9EB"/>
          </w:tcPr>
          <w:p w:rsidR="004B071C" w:rsidRPr="00140CFA" w:rsidRDefault="004B071C" w:rsidP="004E680E">
            <w:pPr>
              <w:spacing w:after="0"/>
              <w:jc w:val="center"/>
              <w:rPr>
                <w:rFonts w:ascii="Constantia" w:hAnsi="Constantia"/>
                <w:szCs w:val="22"/>
                <w:lang w:val="sr-Latn-CS"/>
              </w:rPr>
            </w:pPr>
            <w:r w:rsidRPr="00140CFA">
              <w:rPr>
                <w:rFonts w:ascii="Constantia" w:hAnsi="Constantia"/>
                <w:szCs w:val="22"/>
              </w:rPr>
              <w:t>žuti brcak</w:t>
            </w:r>
          </w:p>
        </w:tc>
        <w:tc>
          <w:tcPr>
            <w:tcW w:w="2340" w:type="dxa"/>
            <w:shd w:val="clear" w:color="auto" w:fill="F2F9EB"/>
          </w:tcPr>
          <w:p w:rsidR="004B071C" w:rsidRPr="00140CFA" w:rsidRDefault="00B378F3" w:rsidP="004E680E">
            <w:pPr>
              <w:spacing w:after="0"/>
              <w:jc w:val="center"/>
              <w:rPr>
                <w:rFonts w:ascii="Constantia" w:hAnsi="Constantia"/>
                <w:szCs w:val="22"/>
                <w:lang w:val="sr-Latn-CS"/>
              </w:rPr>
            </w:pPr>
            <w:r w:rsidRPr="00140CFA">
              <w:rPr>
                <w:rFonts w:ascii="Constantia" w:hAnsi="Constantia"/>
                <w:szCs w:val="22"/>
                <w:lang w:val="sr-Latn-CS"/>
              </w:rPr>
              <w:t>Morač</w:t>
            </w:r>
            <w:r w:rsidR="004B071C" w:rsidRPr="00140CFA">
              <w:rPr>
                <w:rFonts w:ascii="Constantia" w:hAnsi="Constantia"/>
                <w:szCs w:val="22"/>
                <w:lang w:val="sr-Latn-CS"/>
              </w:rPr>
              <w:t>a</w:t>
            </w:r>
            <w:r w:rsidR="004B071C" w:rsidRPr="00140CFA">
              <w:rPr>
                <w:rFonts w:ascii="Constantia" w:eastAsia="Calibri" w:hAnsi="Constantia"/>
                <w:szCs w:val="22"/>
                <w:lang w:val="sr-Latn-CS"/>
              </w:rPr>
              <w:t xml:space="preserve"> do Smokovca, rijeku Zetu i njene manje pritoke do Danilovgrada</w:t>
            </w:r>
          </w:p>
        </w:tc>
        <w:tc>
          <w:tcPr>
            <w:tcW w:w="3330" w:type="dxa"/>
            <w:vMerge w:val="restart"/>
            <w:shd w:val="clear" w:color="auto" w:fill="F2F9EB"/>
          </w:tcPr>
          <w:p w:rsidR="004B071C" w:rsidRPr="00140CFA" w:rsidRDefault="004B071C" w:rsidP="00B378F3">
            <w:pPr>
              <w:spacing w:after="200"/>
              <w:contextualSpacing/>
              <w:rPr>
                <w:rFonts w:ascii="Constantia" w:hAnsi="Constantia"/>
                <w:szCs w:val="22"/>
                <w:lang w:val="sr-Latn-CS"/>
              </w:rPr>
            </w:pPr>
            <w:r w:rsidRPr="00140CFA">
              <w:rPr>
                <w:rFonts w:ascii="Constantia" w:eastAsia="Calibri" w:hAnsi="Constantia"/>
                <w:szCs w:val="22"/>
                <w:lang w:val="sr-Latn-CS"/>
              </w:rPr>
              <w:t xml:space="preserve">Vrste iz roda </w:t>
            </w:r>
            <w:r w:rsidRPr="00140CFA">
              <w:rPr>
                <w:rFonts w:ascii="Constantia" w:eastAsia="Calibri" w:hAnsi="Constantia"/>
                <w:i/>
                <w:szCs w:val="22"/>
                <w:lang w:val="sr-Latn-CS"/>
              </w:rPr>
              <w:t>Rutilus</w:t>
            </w:r>
            <w:r w:rsidRPr="00140CFA">
              <w:rPr>
                <w:rFonts w:ascii="Constantia" w:eastAsia="Calibri" w:hAnsi="Constantia"/>
                <w:szCs w:val="22"/>
                <w:lang w:val="sr-Latn-CS"/>
              </w:rPr>
              <w:t xml:space="preserve"> koje naseljavaju vode zapadno balkanskog poluostrva su još uvijek nedovoljno proučene, tako da postoji dosta konfuzije u taksonomsko-sistematskom statusu.</w:t>
            </w:r>
            <w:r w:rsidR="00B378F3" w:rsidRPr="00140CFA">
              <w:rPr>
                <w:rFonts w:ascii="Constantia" w:eastAsia="Calibri" w:hAnsi="Constantia"/>
                <w:szCs w:val="22"/>
                <w:lang w:val="sr-Latn-CS"/>
              </w:rPr>
              <w:t xml:space="preserve"> </w:t>
            </w:r>
            <w:r w:rsidRPr="00140CFA">
              <w:rPr>
                <w:rFonts w:ascii="Constantia" w:eastAsia="Calibri" w:hAnsi="Constantia"/>
                <w:szCs w:val="22"/>
                <w:lang w:val="sr-Latn-CS"/>
              </w:rPr>
              <w:t xml:space="preserve">U Skadarskom jezeru je u tom periodu opisivana samo jedna, a u Ohridskom dvije vrste. Ovdje se zastupa mišljenje (Milošević et al., in press) da Prespansko i Skadarsko jezero naseljava vrsta </w:t>
            </w:r>
            <w:r w:rsidRPr="00140CFA">
              <w:rPr>
                <w:rFonts w:ascii="Constantia" w:eastAsia="Calibri" w:hAnsi="Constantia"/>
                <w:i/>
                <w:szCs w:val="22"/>
                <w:lang w:val="sr-Latn-CS"/>
              </w:rPr>
              <w:t xml:space="preserve">R. prespensis </w:t>
            </w:r>
            <w:r w:rsidRPr="00140CFA">
              <w:rPr>
                <w:rFonts w:ascii="Constantia" w:eastAsia="Calibri" w:hAnsi="Constantia"/>
                <w:szCs w:val="22"/>
                <w:lang w:val="sr-Latn-CS"/>
              </w:rPr>
              <w:t xml:space="preserve"> Karaman, 1924, i da osim nje Skadarsko jezero naseljava još jedna vrsta i to </w:t>
            </w:r>
            <w:r w:rsidRPr="00140CFA">
              <w:rPr>
                <w:rFonts w:ascii="Constantia" w:eastAsia="Calibri" w:hAnsi="Constantia"/>
                <w:i/>
                <w:szCs w:val="22"/>
                <w:lang w:val="sr-Latn-CS"/>
              </w:rPr>
              <w:t>R. albus</w:t>
            </w:r>
            <w:r w:rsidRPr="00140CFA">
              <w:rPr>
                <w:rFonts w:ascii="Constantia" w:eastAsia="Calibri" w:hAnsi="Constantia"/>
                <w:szCs w:val="22"/>
                <w:lang w:val="sr-Latn-CS"/>
              </w:rPr>
              <w:t xml:space="preserve">. </w:t>
            </w:r>
            <w:r w:rsidRPr="00140CFA">
              <w:rPr>
                <w:rFonts w:ascii="Constantia" w:eastAsia="Calibri" w:hAnsi="Constantia"/>
                <w:i/>
                <w:szCs w:val="22"/>
                <w:lang w:val="sr-Latn-CS"/>
              </w:rPr>
              <w:t>R. prespensis</w:t>
            </w:r>
            <w:r w:rsidRPr="00140CFA">
              <w:rPr>
                <w:rFonts w:ascii="Constantia" w:eastAsia="Calibri" w:hAnsi="Constantia"/>
                <w:szCs w:val="22"/>
                <w:lang w:val="sr-Latn-CS"/>
              </w:rPr>
              <w:t xml:space="preserve"> je u Skadars</w:t>
            </w:r>
            <w:r w:rsidR="00B378F3" w:rsidRPr="00140CFA">
              <w:rPr>
                <w:rFonts w:ascii="Constantia" w:eastAsia="Calibri" w:hAnsi="Constantia"/>
                <w:szCs w:val="22"/>
                <w:lang w:val="sr-Latn-CS"/>
              </w:rPr>
              <w:t>kom jezeru znatno brojnija vrsta</w:t>
            </w:r>
            <w:r w:rsidRPr="00140CFA">
              <w:rPr>
                <w:rFonts w:ascii="Constantia" w:eastAsia="Calibri" w:hAnsi="Constantia"/>
                <w:szCs w:val="22"/>
                <w:lang w:val="sr-Latn-CS"/>
              </w:rPr>
              <w:t xml:space="preserve"> u poređenju sa </w:t>
            </w:r>
            <w:r w:rsidRPr="00140CFA">
              <w:rPr>
                <w:rFonts w:ascii="Constantia" w:eastAsia="Calibri" w:hAnsi="Constantia"/>
                <w:i/>
                <w:szCs w:val="22"/>
                <w:lang w:val="sr-Latn-CS"/>
              </w:rPr>
              <w:t>R. albus</w:t>
            </w:r>
            <w:r w:rsidRPr="00140CFA">
              <w:rPr>
                <w:rFonts w:ascii="Constantia" w:eastAsia="Calibri" w:hAnsi="Constantia"/>
                <w:szCs w:val="22"/>
                <w:lang w:val="sr-Latn-CS"/>
              </w:rPr>
              <w:t>. Takođe</w:t>
            </w:r>
            <w:r w:rsidR="00B378F3" w:rsidRPr="00140CFA">
              <w:rPr>
                <w:rFonts w:ascii="Constantia" w:eastAsia="Calibri" w:hAnsi="Constantia"/>
                <w:szCs w:val="22"/>
                <w:lang w:val="sr-Latn-CS"/>
              </w:rPr>
              <w:t xml:space="preserve">, </w:t>
            </w:r>
            <w:r w:rsidRPr="00140CFA">
              <w:rPr>
                <w:rFonts w:ascii="Constantia" w:eastAsia="Calibri" w:hAnsi="Constantia"/>
                <w:szCs w:val="22"/>
                <w:lang w:val="sr-Latn-CS"/>
              </w:rPr>
              <w:t>treba</w:t>
            </w:r>
            <w:r w:rsidR="00B378F3" w:rsidRPr="00140CFA">
              <w:rPr>
                <w:rFonts w:ascii="Constantia" w:eastAsia="Calibri" w:hAnsi="Constantia"/>
                <w:szCs w:val="22"/>
                <w:lang w:val="sr-Latn-CS"/>
              </w:rPr>
              <w:t xml:space="preserve"> </w:t>
            </w:r>
            <w:r w:rsidRPr="00140CFA">
              <w:rPr>
                <w:rFonts w:ascii="Constantia" w:eastAsia="Calibri" w:hAnsi="Constantia"/>
                <w:szCs w:val="22"/>
                <w:lang w:val="sr-Latn-CS"/>
              </w:rPr>
              <w:t>istaći da je najveća vjerovatnoća da su u prošlosti (do 1988</w:t>
            </w:r>
            <w:r w:rsidR="00B378F3" w:rsidRPr="00140CFA">
              <w:rPr>
                <w:rFonts w:ascii="Constantia" w:eastAsia="Calibri" w:hAnsi="Constantia"/>
                <w:szCs w:val="22"/>
                <w:lang w:val="sr-Latn-CS"/>
              </w:rPr>
              <w:t>. g.</w:t>
            </w:r>
            <w:r w:rsidRPr="00140CFA">
              <w:rPr>
                <w:rFonts w:ascii="Constantia" w:eastAsia="Calibri" w:hAnsi="Constantia"/>
                <w:szCs w:val="22"/>
                <w:lang w:val="sr-Latn-CS"/>
              </w:rPr>
              <w:t xml:space="preserve">) proučavane zapravo samo jedinke </w:t>
            </w:r>
            <w:r w:rsidRPr="00140CFA">
              <w:rPr>
                <w:rFonts w:ascii="Constantia" w:eastAsia="Calibri" w:hAnsi="Constantia"/>
                <w:i/>
                <w:szCs w:val="22"/>
                <w:lang w:val="sr-Latn-CS"/>
              </w:rPr>
              <w:t>R. prespensis</w:t>
            </w:r>
            <w:r w:rsidRPr="00140CFA">
              <w:rPr>
                <w:rFonts w:ascii="Constantia" w:eastAsia="Calibri" w:hAnsi="Constantia"/>
                <w:szCs w:val="22"/>
                <w:lang w:val="sr-Latn-CS"/>
              </w:rPr>
              <w:t xml:space="preserve"> (citirani autori).</w:t>
            </w:r>
          </w:p>
        </w:tc>
      </w:tr>
      <w:tr w:rsidR="004B071C" w:rsidRPr="00140CFA" w:rsidTr="00B378F3">
        <w:trPr>
          <w:trHeight w:val="1816"/>
        </w:trPr>
        <w:tc>
          <w:tcPr>
            <w:tcW w:w="2250" w:type="dxa"/>
            <w:shd w:val="clear" w:color="auto" w:fill="E6F4D7"/>
          </w:tcPr>
          <w:p w:rsidR="004B071C" w:rsidRPr="00140CFA" w:rsidRDefault="004B071C" w:rsidP="004E680E">
            <w:pPr>
              <w:spacing w:after="0"/>
              <w:jc w:val="center"/>
              <w:rPr>
                <w:rFonts w:ascii="Constantia" w:hAnsi="Constantia"/>
                <w:b/>
                <w:bCs/>
                <w:i/>
                <w:szCs w:val="22"/>
              </w:rPr>
            </w:pPr>
            <w:r w:rsidRPr="00140CFA">
              <w:rPr>
                <w:rFonts w:ascii="Constantia" w:hAnsi="Constantia"/>
                <w:b/>
                <w:bCs/>
                <w:i/>
                <w:szCs w:val="22"/>
              </w:rPr>
              <w:t>Rutilus basak ohridanus</w:t>
            </w:r>
          </w:p>
        </w:tc>
        <w:tc>
          <w:tcPr>
            <w:tcW w:w="1368" w:type="dxa"/>
            <w:shd w:val="clear" w:color="auto" w:fill="E6F4D7"/>
          </w:tcPr>
          <w:p w:rsidR="004B071C" w:rsidRPr="00140CFA" w:rsidRDefault="004B071C" w:rsidP="004E680E">
            <w:pPr>
              <w:spacing w:after="0"/>
              <w:jc w:val="center"/>
              <w:rPr>
                <w:rFonts w:ascii="Constantia" w:hAnsi="Constantia"/>
                <w:szCs w:val="22"/>
                <w:lang w:val="sr-Latn-CS"/>
              </w:rPr>
            </w:pPr>
            <w:r w:rsidRPr="00140CFA">
              <w:rPr>
                <w:rFonts w:ascii="Constantia" w:hAnsi="Constantia"/>
                <w:szCs w:val="22"/>
              </w:rPr>
              <w:t>bijeli brcak</w:t>
            </w:r>
          </w:p>
        </w:tc>
        <w:tc>
          <w:tcPr>
            <w:tcW w:w="2340" w:type="dxa"/>
            <w:shd w:val="clear" w:color="auto" w:fill="E6F4D7"/>
          </w:tcPr>
          <w:p w:rsidR="004B071C" w:rsidRPr="00140CFA" w:rsidRDefault="00B378F3" w:rsidP="004E680E">
            <w:pPr>
              <w:spacing w:after="0"/>
              <w:jc w:val="center"/>
              <w:rPr>
                <w:rFonts w:ascii="Constantia" w:hAnsi="Constantia"/>
                <w:szCs w:val="22"/>
                <w:lang w:val="sr-Latn-CS"/>
              </w:rPr>
            </w:pPr>
            <w:r w:rsidRPr="00140CFA">
              <w:rPr>
                <w:rFonts w:ascii="Constantia" w:hAnsi="Constantia"/>
                <w:szCs w:val="22"/>
                <w:lang w:val="sr-Latn-CS"/>
              </w:rPr>
              <w:t>Morač</w:t>
            </w:r>
            <w:r w:rsidR="004B071C" w:rsidRPr="00140CFA">
              <w:rPr>
                <w:rFonts w:ascii="Constantia" w:hAnsi="Constantia"/>
                <w:szCs w:val="22"/>
                <w:lang w:val="sr-Latn-CS"/>
              </w:rPr>
              <w:t>a</w:t>
            </w:r>
          </w:p>
        </w:tc>
        <w:tc>
          <w:tcPr>
            <w:tcW w:w="3330" w:type="dxa"/>
            <w:vMerge/>
            <w:shd w:val="clear" w:color="auto" w:fill="E6F4D7"/>
          </w:tcPr>
          <w:p w:rsidR="004B071C" w:rsidRPr="00140CFA" w:rsidRDefault="004B071C" w:rsidP="004E680E">
            <w:pPr>
              <w:spacing w:after="0"/>
              <w:jc w:val="center"/>
              <w:rPr>
                <w:rFonts w:ascii="Constantia" w:hAnsi="Constantia"/>
                <w:szCs w:val="22"/>
                <w:lang w:val="sr-Latn-CS"/>
              </w:rPr>
            </w:pPr>
          </w:p>
        </w:tc>
      </w:tr>
      <w:tr w:rsidR="004B071C" w:rsidRPr="00140CFA" w:rsidTr="00B378F3">
        <w:trPr>
          <w:trHeight w:val="261"/>
        </w:trPr>
        <w:tc>
          <w:tcPr>
            <w:tcW w:w="2250" w:type="dxa"/>
            <w:shd w:val="clear" w:color="auto" w:fill="F2F9EB"/>
          </w:tcPr>
          <w:p w:rsidR="004B071C" w:rsidRPr="00140CFA" w:rsidRDefault="004B071C" w:rsidP="0082411F">
            <w:pPr>
              <w:spacing w:after="0"/>
              <w:jc w:val="center"/>
              <w:rPr>
                <w:rFonts w:ascii="Constantia" w:hAnsi="Constantia"/>
                <w:b/>
                <w:bCs/>
                <w:szCs w:val="22"/>
              </w:rPr>
            </w:pPr>
            <w:r w:rsidRPr="00140CFA">
              <w:rPr>
                <w:rFonts w:ascii="Constantia" w:hAnsi="Constantia"/>
                <w:b/>
                <w:bCs/>
                <w:i/>
                <w:szCs w:val="22"/>
              </w:rPr>
              <w:t>Alburnus alburnus alborella</w:t>
            </w:r>
          </w:p>
        </w:tc>
        <w:tc>
          <w:tcPr>
            <w:tcW w:w="1368" w:type="dxa"/>
            <w:shd w:val="clear" w:color="auto" w:fill="F2F9EB"/>
          </w:tcPr>
          <w:p w:rsidR="004B071C" w:rsidRPr="00140CFA" w:rsidRDefault="004B071C" w:rsidP="004E680E">
            <w:pPr>
              <w:spacing w:after="0"/>
              <w:jc w:val="center"/>
              <w:rPr>
                <w:rFonts w:ascii="Constantia" w:hAnsi="Constantia"/>
                <w:szCs w:val="22"/>
              </w:rPr>
            </w:pPr>
            <w:r w:rsidRPr="00140CFA">
              <w:rPr>
                <w:rFonts w:ascii="Constantia" w:hAnsi="Constantia"/>
                <w:szCs w:val="22"/>
              </w:rPr>
              <w:t>ukljeva</w:t>
            </w:r>
          </w:p>
          <w:p w:rsidR="004B071C" w:rsidRPr="00140CFA" w:rsidRDefault="004B071C" w:rsidP="004E680E">
            <w:pPr>
              <w:spacing w:after="0"/>
              <w:jc w:val="center"/>
              <w:rPr>
                <w:rFonts w:ascii="Constantia" w:hAnsi="Constantia"/>
                <w:szCs w:val="22"/>
                <w:lang w:val="sr-Latn-CS"/>
              </w:rPr>
            </w:pPr>
          </w:p>
        </w:tc>
        <w:tc>
          <w:tcPr>
            <w:tcW w:w="2340" w:type="dxa"/>
            <w:shd w:val="clear" w:color="auto" w:fill="F2F9EB"/>
          </w:tcPr>
          <w:p w:rsidR="004B071C" w:rsidRPr="00140CFA" w:rsidRDefault="004B071C" w:rsidP="00B378F3">
            <w:pPr>
              <w:spacing w:after="0"/>
              <w:jc w:val="center"/>
              <w:rPr>
                <w:rFonts w:ascii="Constantia" w:hAnsi="Constantia"/>
                <w:szCs w:val="22"/>
                <w:lang w:val="sr-Latn-CS"/>
              </w:rPr>
            </w:pPr>
            <w:r w:rsidRPr="00140CFA">
              <w:rPr>
                <w:rFonts w:ascii="Constantia" w:hAnsi="Constantia"/>
                <w:szCs w:val="22"/>
                <w:lang w:val="sr-Latn-CS"/>
              </w:rPr>
              <w:t>Mora</w:t>
            </w:r>
            <w:r w:rsidR="00B378F3" w:rsidRPr="00140CFA">
              <w:rPr>
                <w:rFonts w:ascii="Constantia" w:hAnsi="Constantia"/>
                <w:szCs w:val="22"/>
                <w:lang w:val="sr-Latn-CS"/>
              </w:rPr>
              <w:t>č</w:t>
            </w:r>
            <w:r w:rsidRPr="00140CFA">
              <w:rPr>
                <w:rFonts w:ascii="Constantia" w:hAnsi="Constantia"/>
                <w:szCs w:val="22"/>
                <w:lang w:val="sr-Latn-CS"/>
              </w:rPr>
              <w:t>a</w:t>
            </w:r>
            <w:r w:rsidRPr="00140CFA">
              <w:rPr>
                <w:rFonts w:ascii="Constantia" w:eastAsia="Calibri" w:hAnsi="Constantia"/>
                <w:szCs w:val="22"/>
              </w:rPr>
              <w:t xml:space="preserve"> Međurečje</w:t>
            </w:r>
          </w:p>
        </w:tc>
        <w:tc>
          <w:tcPr>
            <w:tcW w:w="3330" w:type="dxa"/>
            <w:shd w:val="clear" w:color="auto" w:fill="F2F9EB"/>
          </w:tcPr>
          <w:p w:rsidR="004B071C" w:rsidRPr="00140CFA" w:rsidRDefault="004B071C" w:rsidP="004E680E">
            <w:pPr>
              <w:spacing w:after="0"/>
              <w:jc w:val="center"/>
              <w:rPr>
                <w:rFonts w:ascii="Constantia" w:hAnsi="Constantia"/>
                <w:szCs w:val="22"/>
                <w:lang w:val="sr-Latn-CS"/>
              </w:rPr>
            </w:pPr>
            <w:r w:rsidRPr="00140CFA">
              <w:rPr>
                <w:rFonts w:ascii="Constantia" w:hAnsi="Constantia"/>
                <w:szCs w:val="22"/>
                <w:lang w:val="sr-Latn-CS"/>
              </w:rPr>
              <w:t>brojna</w:t>
            </w:r>
          </w:p>
        </w:tc>
      </w:tr>
      <w:tr w:rsidR="004B071C" w:rsidRPr="00140CFA" w:rsidTr="00B378F3">
        <w:trPr>
          <w:trHeight w:val="281"/>
        </w:trPr>
        <w:tc>
          <w:tcPr>
            <w:tcW w:w="2250" w:type="dxa"/>
            <w:shd w:val="clear" w:color="auto" w:fill="E6F4D7"/>
          </w:tcPr>
          <w:p w:rsidR="004B071C" w:rsidRPr="00140CFA" w:rsidRDefault="004B071C" w:rsidP="004E680E">
            <w:pPr>
              <w:spacing w:after="0"/>
              <w:jc w:val="center"/>
              <w:rPr>
                <w:rFonts w:ascii="Constantia" w:hAnsi="Constantia"/>
                <w:b/>
                <w:bCs/>
                <w:color w:val="000000"/>
                <w:szCs w:val="22"/>
              </w:rPr>
            </w:pPr>
            <w:r w:rsidRPr="00140CFA">
              <w:rPr>
                <w:rFonts w:ascii="Constantia" w:hAnsi="Constantia"/>
                <w:b/>
                <w:bCs/>
                <w:i/>
                <w:szCs w:val="22"/>
              </w:rPr>
              <w:t>Alosa fallax nilotica</w:t>
            </w:r>
          </w:p>
        </w:tc>
        <w:tc>
          <w:tcPr>
            <w:tcW w:w="1368" w:type="dxa"/>
            <w:shd w:val="clear" w:color="auto" w:fill="E6F4D7"/>
          </w:tcPr>
          <w:p w:rsidR="004B071C" w:rsidRPr="00140CFA" w:rsidRDefault="004B071C" w:rsidP="004E680E">
            <w:pPr>
              <w:spacing w:after="0"/>
              <w:jc w:val="center"/>
              <w:rPr>
                <w:rFonts w:ascii="Constantia" w:hAnsi="Constantia"/>
                <w:szCs w:val="22"/>
                <w:lang w:val="sr-Latn-CS"/>
              </w:rPr>
            </w:pPr>
            <w:r w:rsidRPr="00140CFA">
              <w:rPr>
                <w:rFonts w:ascii="Constantia" w:hAnsi="Constantia"/>
                <w:szCs w:val="22"/>
                <w:lang w:val="sr-Latn-CS"/>
              </w:rPr>
              <w:t>kubla</w:t>
            </w:r>
          </w:p>
        </w:tc>
        <w:tc>
          <w:tcPr>
            <w:tcW w:w="2340" w:type="dxa"/>
            <w:shd w:val="clear" w:color="auto" w:fill="E6F4D7"/>
          </w:tcPr>
          <w:p w:rsidR="004B071C" w:rsidRPr="00140CFA" w:rsidRDefault="00B378F3" w:rsidP="004E680E">
            <w:pPr>
              <w:spacing w:after="0"/>
              <w:jc w:val="center"/>
              <w:rPr>
                <w:rFonts w:ascii="Constantia" w:hAnsi="Constantia"/>
                <w:szCs w:val="22"/>
                <w:lang w:val="sr-Latn-CS"/>
              </w:rPr>
            </w:pPr>
            <w:r w:rsidRPr="00140CFA">
              <w:rPr>
                <w:rFonts w:ascii="Constantia" w:hAnsi="Constantia"/>
                <w:szCs w:val="22"/>
                <w:lang w:val="sr-Latn-CS"/>
              </w:rPr>
              <w:t>Donji tok Morač</w:t>
            </w:r>
            <w:r w:rsidR="004B071C" w:rsidRPr="00140CFA">
              <w:rPr>
                <w:rFonts w:ascii="Constantia" w:hAnsi="Constantia"/>
                <w:szCs w:val="22"/>
                <w:lang w:val="sr-Latn-CS"/>
              </w:rPr>
              <w:t>a</w:t>
            </w:r>
          </w:p>
        </w:tc>
        <w:tc>
          <w:tcPr>
            <w:tcW w:w="3330" w:type="dxa"/>
            <w:shd w:val="clear" w:color="auto" w:fill="E6F4D7"/>
          </w:tcPr>
          <w:p w:rsidR="004B071C" w:rsidRPr="00140CFA" w:rsidRDefault="004B071C" w:rsidP="004E680E">
            <w:pPr>
              <w:spacing w:after="0"/>
              <w:jc w:val="center"/>
              <w:rPr>
                <w:rFonts w:ascii="Constantia" w:hAnsi="Constantia"/>
                <w:szCs w:val="22"/>
                <w:lang w:val="sr-Latn-CS"/>
              </w:rPr>
            </w:pPr>
            <w:r w:rsidRPr="00140CFA">
              <w:rPr>
                <w:rFonts w:ascii="Constantia" w:hAnsi="Constantia"/>
                <w:szCs w:val="22"/>
                <w:lang w:val="sr-Latn-CS"/>
              </w:rPr>
              <w:t>rijetka</w:t>
            </w:r>
          </w:p>
        </w:tc>
      </w:tr>
      <w:tr w:rsidR="004B071C" w:rsidRPr="00140CFA" w:rsidTr="00B378F3">
        <w:trPr>
          <w:trHeight w:val="48"/>
        </w:trPr>
        <w:tc>
          <w:tcPr>
            <w:tcW w:w="2250" w:type="dxa"/>
            <w:shd w:val="clear" w:color="auto" w:fill="F2F9EB"/>
          </w:tcPr>
          <w:p w:rsidR="004B071C" w:rsidRPr="00140CFA" w:rsidRDefault="004B071C" w:rsidP="004E680E">
            <w:pPr>
              <w:spacing w:after="0"/>
              <w:jc w:val="center"/>
              <w:rPr>
                <w:rFonts w:ascii="Constantia" w:hAnsi="Constantia"/>
                <w:b/>
                <w:bCs/>
                <w:color w:val="000000"/>
                <w:szCs w:val="22"/>
              </w:rPr>
            </w:pPr>
            <w:r w:rsidRPr="00140CFA">
              <w:rPr>
                <w:rFonts w:ascii="Constantia" w:hAnsi="Constantia"/>
                <w:b/>
                <w:bCs/>
                <w:i/>
                <w:szCs w:val="22"/>
              </w:rPr>
              <w:t>Alburnoides bipunctatus</w:t>
            </w:r>
          </w:p>
        </w:tc>
        <w:tc>
          <w:tcPr>
            <w:tcW w:w="1368" w:type="dxa"/>
            <w:shd w:val="clear" w:color="auto" w:fill="F2F9EB"/>
          </w:tcPr>
          <w:p w:rsidR="004B071C" w:rsidRPr="00140CFA" w:rsidRDefault="004B071C" w:rsidP="004E680E">
            <w:pPr>
              <w:spacing w:after="0"/>
              <w:jc w:val="center"/>
              <w:rPr>
                <w:rFonts w:ascii="Constantia" w:hAnsi="Constantia"/>
                <w:szCs w:val="22"/>
                <w:lang w:val="sr-Latn-CS"/>
              </w:rPr>
            </w:pPr>
            <w:r w:rsidRPr="00140CFA">
              <w:rPr>
                <w:rFonts w:ascii="Constantia" w:hAnsi="Constantia"/>
                <w:szCs w:val="22"/>
              </w:rPr>
              <w:t>ukljevica</w:t>
            </w:r>
          </w:p>
        </w:tc>
        <w:tc>
          <w:tcPr>
            <w:tcW w:w="2340" w:type="dxa"/>
            <w:shd w:val="clear" w:color="auto" w:fill="F2F9EB"/>
          </w:tcPr>
          <w:p w:rsidR="004B071C" w:rsidRPr="00140CFA" w:rsidRDefault="00172746" w:rsidP="004E680E">
            <w:pPr>
              <w:spacing w:after="0"/>
              <w:jc w:val="center"/>
              <w:rPr>
                <w:rFonts w:ascii="Constantia" w:hAnsi="Constantia"/>
                <w:szCs w:val="22"/>
                <w:lang w:val="sr-Latn-CS"/>
              </w:rPr>
            </w:pPr>
            <w:r w:rsidRPr="00140CFA">
              <w:rPr>
                <w:rFonts w:ascii="Constantia" w:hAnsi="Constantia"/>
                <w:szCs w:val="22"/>
                <w:lang w:val="sr-Latn-CS"/>
              </w:rPr>
              <w:t>Morač</w:t>
            </w:r>
            <w:r w:rsidR="004B071C" w:rsidRPr="00140CFA">
              <w:rPr>
                <w:rFonts w:ascii="Constantia" w:hAnsi="Constantia"/>
                <w:szCs w:val="22"/>
                <w:lang w:val="sr-Latn-CS"/>
              </w:rPr>
              <w:t>a</w:t>
            </w:r>
          </w:p>
          <w:p w:rsidR="004B071C" w:rsidRPr="00140CFA" w:rsidRDefault="004B071C" w:rsidP="004E680E">
            <w:pPr>
              <w:spacing w:after="0"/>
              <w:jc w:val="center"/>
              <w:rPr>
                <w:rFonts w:ascii="Constantia" w:hAnsi="Constantia"/>
                <w:szCs w:val="22"/>
                <w:lang w:val="sr-Latn-CS"/>
              </w:rPr>
            </w:pPr>
            <w:r w:rsidRPr="00140CFA">
              <w:rPr>
                <w:rFonts w:ascii="Constantia" w:hAnsi="Constantia"/>
                <w:szCs w:val="22"/>
                <w:lang w:val="sr-Latn-CS"/>
              </w:rPr>
              <w:t>S</w:t>
            </w:r>
            <w:r w:rsidRPr="00140CFA">
              <w:rPr>
                <w:rFonts w:ascii="Constantia" w:eastAsia="Calibri" w:hAnsi="Constantia"/>
                <w:szCs w:val="22"/>
              </w:rPr>
              <w:t>mokovac</w:t>
            </w:r>
          </w:p>
        </w:tc>
        <w:tc>
          <w:tcPr>
            <w:tcW w:w="3330" w:type="dxa"/>
            <w:shd w:val="clear" w:color="auto" w:fill="F2F9EB"/>
          </w:tcPr>
          <w:p w:rsidR="004B071C" w:rsidRPr="00140CFA" w:rsidRDefault="00172746" w:rsidP="004E680E">
            <w:pPr>
              <w:spacing w:after="0"/>
              <w:jc w:val="center"/>
              <w:rPr>
                <w:rFonts w:ascii="Constantia" w:hAnsi="Constantia"/>
                <w:szCs w:val="22"/>
                <w:lang w:val="sr-Latn-CS"/>
              </w:rPr>
            </w:pPr>
            <w:r w:rsidRPr="00140CFA">
              <w:rPr>
                <w:rFonts w:ascii="Constantia" w:hAnsi="Constantia"/>
                <w:szCs w:val="22"/>
                <w:lang w:val="sr-Latn-CS"/>
              </w:rPr>
              <w:t>v</w:t>
            </w:r>
            <w:r w:rsidR="004B071C" w:rsidRPr="00140CFA">
              <w:rPr>
                <w:rFonts w:ascii="Constantia" w:hAnsi="Constantia"/>
                <w:szCs w:val="22"/>
                <w:lang w:val="sr-Latn-CS"/>
              </w:rPr>
              <w:t>rlo brojna</w:t>
            </w:r>
          </w:p>
        </w:tc>
      </w:tr>
      <w:tr w:rsidR="004B071C" w:rsidRPr="00140CFA" w:rsidTr="00B378F3">
        <w:trPr>
          <w:trHeight w:val="48"/>
        </w:trPr>
        <w:tc>
          <w:tcPr>
            <w:tcW w:w="2250" w:type="dxa"/>
            <w:shd w:val="clear" w:color="auto" w:fill="E6F4D7"/>
          </w:tcPr>
          <w:p w:rsidR="004B071C" w:rsidRPr="00140CFA" w:rsidRDefault="004B071C" w:rsidP="004E680E">
            <w:pPr>
              <w:spacing w:after="0"/>
              <w:jc w:val="center"/>
              <w:rPr>
                <w:rFonts w:ascii="Constantia" w:hAnsi="Constantia"/>
                <w:b/>
                <w:bCs/>
                <w:color w:val="000000"/>
                <w:szCs w:val="22"/>
              </w:rPr>
            </w:pPr>
            <w:r w:rsidRPr="00140CFA">
              <w:rPr>
                <w:rFonts w:ascii="Constantia" w:hAnsi="Constantia"/>
                <w:b/>
                <w:bCs/>
                <w:i/>
                <w:szCs w:val="22"/>
              </w:rPr>
              <w:t>Pachychilon pictum</w:t>
            </w:r>
          </w:p>
        </w:tc>
        <w:tc>
          <w:tcPr>
            <w:tcW w:w="1368" w:type="dxa"/>
            <w:shd w:val="clear" w:color="auto" w:fill="E6F4D7"/>
          </w:tcPr>
          <w:p w:rsidR="004B071C" w:rsidRPr="00140CFA" w:rsidRDefault="004B071C" w:rsidP="004E680E">
            <w:pPr>
              <w:spacing w:after="0"/>
              <w:jc w:val="center"/>
              <w:rPr>
                <w:rFonts w:ascii="Constantia" w:hAnsi="Constantia"/>
                <w:szCs w:val="22"/>
                <w:lang w:val="sr-Latn-CS"/>
              </w:rPr>
            </w:pPr>
            <w:r w:rsidRPr="00140CFA">
              <w:rPr>
                <w:rFonts w:ascii="Constantia" w:hAnsi="Constantia"/>
                <w:szCs w:val="22"/>
              </w:rPr>
              <w:t>šaradan</w:t>
            </w:r>
          </w:p>
        </w:tc>
        <w:tc>
          <w:tcPr>
            <w:tcW w:w="2340" w:type="dxa"/>
            <w:shd w:val="clear" w:color="auto" w:fill="E6F4D7"/>
          </w:tcPr>
          <w:p w:rsidR="004B071C" w:rsidRPr="00140CFA" w:rsidRDefault="00430863" w:rsidP="004E680E">
            <w:pPr>
              <w:spacing w:after="0"/>
              <w:jc w:val="center"/>
              <w:rPr>
                <w:rFonts w:ascii="Constantia" w:hAnsi="Constantia"/>
                <w:szCs w:val="22"/>
                <w:lang w:val="sr-Latn-CS"/>
              </w:rPr>
            </w:pPr>
            <w:r w:rsidRPr="00140CFA">
              <w:rPr>
                <w:rFonts w:ascii="Constantia" w:hAnsi="Constantia"/>
                <w:szCs w:val="22"/>
                <w:lang w:val="sr-Latn-CS"/>
              </w:rPr>
              <w:t>Morač</w:t>
            </w:r>
            <w:r w:rsidR="004B071C" w:rsidRPr="00140CFA">
              <w:rPr>
                <w:rFonts w:ascii="Constantia" w:hAnsi="Constantia"/>
                <w:szCs w:val="22"/>
                <w:lang w:val="sr-Latn-CS"/>
              </w:rPr>
              <w:t>a</w:t>
            </w:r>
            <w:r w:rsidR="004B071C" w:rsidRPr="00140CFA">
              <w:rPr>
                <w:rFonts w:ascii="Constantia" w:eastAsia="Calibri" w:hAnsi="Constantia"/>
                <w:szCs w:val="22"/>
                <w:lang w:val="sr-Latn-CS"/>
              </w:rPr>
              <w:t xml:space="preserve"> do Bioča i Zeti do Danilovgrada. Naseljava i manje pritoke ovih rijeka</w:t>
            </w:r>
          </w:p>
        </w:tc>
        <w:tc>
          <w:tcPr>
            <w:tcW w:w="3330" w:type="dxa"/>
            <w:shd w:val="clear" w:color="auto" w:fill="E6F4D7"/>
          </w:tcPr>
          <w:p w:rsidR="004B071C" w:rsidRPr="00140CFA" w:rsidRDefault="004B071C" w:rsidP="004E680E">
            <w:pPr>
              <w:spacing w:after="0"/>
              <w:jc w:val="center"/>
              <w:rPr>
                <w:rFonts w:ascii="Constantia" w:hAnsi="Constantia"/>
                <w:szCs w:val="22"/>
                <w:lang w:val="sr-Latn-CS"/>
              </w:rPr>
            </w:pPr>
          </w:p>
        </w:tc>
      </w:tr>
      <w:tr w:rsidR="004B071C" w:rsidRPr="00140CFA" w:rsidTr="00B378F3">
        <w:trPr>
          <w:trHeight w:val="48"/>
        </w:trPr>
        <w:tc>
          <w:tcPr>
            <w:tcW w:w="2250" w:type="dxa"/>
            <w:shd w:val="clear" w:color="auto" w:fill="F2F9EB"/>
          </w:tcPr>
          <w:p w:rsidR="00140CFA" w:rsidRDefault="00140CFA" w:rsidP="004E680E">
            <w:pPr>
              <w:spacing w:after="0"/>
              <w:jc w:val="center"/>
              <w:rPr>
                <w:rFonts w:ascii="Constantia" w:hAnsi="Constantia"/>
                <w:b/>
                <w:bCs/>
                <w:i/>
                <w:szCs w:val="22"/>
              </w:rPr>
            </w:pPr>
          </w:p>
          <w:p w:rsidR="004B071C" w:rsidRPr="00140CFA" w:rsidRDefault="004B071C" w:rsidP="004E680E">
            <w:pPr>
              <w:spacing w:after="0"/>
              <w:jc w:val="center"/>
              <w:rPr>
                <w:rFonts w:ascii="Constantia" w:hAnsi="Constantia"/>
                <w:b/>
                <w:bCs/>
                <w:color w:val="000000"/>
                <w:szCs w:val="22"/>
              </w:rPr>
            </w:pPr>
            <w:r w:rsidRPr="00140CFA">
              <w:rPr>
                <w:rFonts w:ascii="Constantia" w:hAnsi="Constantia"/>
                <w:b/>
                <w:bCs/>
                <w:i/>
                <w:szCs w:val="22"/>
              </w:rPr>
              <w:lastRenderedPageBreak/>
              <w:t>Barbus peloponnesius rebeli</w:t>
            </w:r>
          </w:p>
        </w:tc>
        <w:tc>
          <w:tcPr>
            <w:tcW w:w="1368" w:type="dxa"/>
            <w:shd w:val="clear" w:color="auto" w:fill="F2F9EB"/>
          </w:tcPr>
          <w:p w:rsidR="00140CFA" w:rsidRDefault="00140CFA" w:rsidP="004E680E">
            <w:pPr>
              <w:spacing w:after="0"/>
              <w:jc w:val="center"/>
              <w:rPr>
                <w:rFonts w:ascii="Constantia" w:hAnsi="Constantia"/>
                <w:szCs w:val="22"/>
                <w:lang w:val="sr-Latn-CS"/>
              </w:rPr>
            </w:pPr>
          </w:p>
          <w:p w:rsidR="004B071C" w:rsidRPr="00140CFA" w:rsidRDefault="00430863" w:rsidP="004E680E">
            <w:pPr>
              <w:spacing w:after="0"/>
              <w:jc w:val="center"/>
              <w:rPr>
                <w:rFonts w:ascii="Constantia" w:hAnsi="Constantia"/>
                <w:szCs w:val="22"/>
                <w:lang w:val="sr-Latn-CS"/>
              </w:rPr>
            </w:pPr>
            <w:r w:rsidRPr="00140CFA">
              <w:rPr>
                <w:rFonts w:ascii="Constantia" w:hAnsi="Constantia"/>
                <w:szCs w:val="22"/>
                <w:lang w:val="sr-Latn-CS"/>
              </w:rPr>
              <w:lastRenderedPageBreak/>
              <w:t>potoč</w:t>
            </w:r>
            <w:r w:rsidR="004B071C" w:rsidRPr="00140CFA">
              <w:rPr>
                <w:rFonts w:ascii="Constantia" w:hAnsi="Constantia"/>
                <w:szCs w:val="22"/>
                <w:lang w:val="sr-Latn-CS"/>
              </w:rPr>
              <w:t>na mrena</w:t>
            </w:r>
          </w:p>
        </w:tc>
        <w:tc>
          <w:tcPr>
            <w:tcW w:w="2340" w:type="dxa"/>
            <w:shd w:val="clear" w:color="auto" w:fill="F2F9EB"/>
          </w:tcPr>
          <w:p w:rsidR="00140CFA" w:rsidRDefault="00140CFA" w:rsidP="0082411F">
            <w:pPr>
              <w:spacing w:after="0"/>
              <w:jc w:val="center"/>
              <w:rPr>
                <w:rFonts w:ascii="Constantia" w:hAnsi="Constantia"/>
                <w:szCs w:val="22"/>
                <w:lang w:val="sr-Latn-CS"/>
              </w:rPr>
            </w:pPr>
          </w:p>
          <w:p w:rsidR="004B071C" w:rsidRPr="00140CFA" w:rsidRDefault="00430863" w:rsidP="0082411F">
            <w:pPr>
              <w:spacing w:after="0"/>
              <w:jc w:val="center"/>
              <w:rPr>
                <w:rFonts w:ascii="Constantia" w:hAnsi="Constantia"/>
                <w:szCs w:val="22"/>
                <w:lang w:val="sr-Latn-CS"/>
              </w:rPr>
            </w:pPr>
            <w:r w:rsidRPr="00140CFA">
              <w:rPr>
                <w:rFonts w:ascii="Constantia" w:hAnsi="Constantia"/>
                <w:szCs w:val="22"/>
                <w:lang w:val="sr-Latn-CS"/>
              </w:rPr>
              <w:lastRenderedPageBreak/>
              <w:t>Morač</w:t>
            </w:r>
            <w:r w:rsidR="004B071C" w:rsidRPr="00140CFA">
              <w:rPr>
                <w:rFonts w:ascii="Constantia" w:hAnsi="Constantia"/>
                <w:szCs w:val="22"/>
                <w:lang w:val="sr-Latn-CS"/>
              </w:rPr>
              <w:t>a</w:t>
            </w:r>
            <w:r w:rsidR="004B071C" w:rsidRPr="00140CFA">
              <w:rPr>
                <w:rFonts w:ascii="Constantia" w:eastAsia="Calibri" w:hAnsi="Constantia"/>
                <w:szCs w:val="22"/>
                <w:lang w:val="sr-Latn-CS"/>
              </w:rPr>
              <w:t xml:space="preserve"> uzvodno do Mioske i njenim pritokama Maloj rijeci, Sjevernici i Koštanici, Cijevni</w:t>
            </w:r>
          </w:p>
        </w:tc>
        <w:tc>
          <w:tcPr>
            <w:tcW w:w="3330" w:type="dxa"/>
            <w:shd w:val="clear" w:color="auto" w:fill="F2F9EB"/>
          </w:tcPr>
          <w:p w:rsidR="00140CFA" w:rsidRDefault="00140CFA" w:rsidP="004E680E">
            <w:pPr>
              <w:spacing w:after="0"/>
              <w:jc w:val="center"/>
              <w:rPr>
                <w:rFonts w:ascii="Constantia" w:hAnsi="Constantia"/>
                <w:szCs w:val="22"/>
                <w:lang w:val="sr-Latn-CS"/>
              </w:rPr>
            </w:pPr>
          </w:p>
          <w:p w:rsidR="004B071C" w:rsidRPr="00140CFA" w:rsidRDefault="004B071C" w:rsidP="004E680E">
            <w:pPr>
              <w:spacing w:after="0"/>
              <w:jc w:val="center"/>
              <w:rPr>
                <w:rFonts w:ascii="Constantia" w:hAnsi="Constantia"/>
                <w:szCs w:val="22"/>
                <w:lang w:val="sr-Latn-CS"/>
              </w:rPr>
            </w:pPr>
            <w:r w:rsidRPr="00140CFA">
              <w:rPr>
                <w:rFonts w:ascii="Constantia" w:hAnsi="Constantia"/>
                <w:szCs w:val="22"/>
                <w:lang w:val="sr-Latn-CS"/>
              </w:rPr>
              <w:lastRenderedPageBreak/>
              <w:t>Brojna u srednjem</w:t>
            </w:r>
            <w:r w:rsidR="00172746" w:rsidRPr="00140CFA">
              <w:rPr>
                <w:rFonts w:ascii="Constantia" w:hAnsi="Constantia"/>
                <w:szCs w:val="22"/>
                <w:lang w:val="sr-Latn-CS"/>
              </w:rPr>
              <w:t>,</w:t>
            </w:r>
          </w:p>
          <w:p w:rsidR="004B071C" w:rsidRPr="00140CFA" w:rsidRDefault="00172746" w:rsidP="004E680E">
            <w:pPr>
              <w:spacing w:after="0"/>
              <w:jc w:val="center"/>
              <w:rPr>
                <w:rFonts w:ascii="Constantia" w:hAnsi="Constantia"/>
                <w:szCs w:val="22"/>
                <w:lang w:val="sr-Latn-CS"/>
              </w:rPr>
            </w:pPr>
            <w:r w:rsidRPr="00140CFA">
              <w:rPr>
                <w:rFonts w:ascii="Constantia" w:hAnsi="Constantia"/>
                <w:szCs w:val="22"/>
                <w:lang w:val="sr-Latn-CS"/>
              </w:rPr>
              <w:t>m</w:t>
            </w:r>
            <w:r w:rsidR="004B071C" w:rsidRPr="00140CFA">
              <w:rPr>
                <w:rFonts w:ascii="Constantia" w:hAnsi="Constantia"/>
                <w:szCs w:val="22"/>
                <w:lang w:val="sr-Latn-CS"/>
              </w:rPr>
              <w:t>alobrojna u donjem toku</w:t>
            </w:r>
          </w:p>
        </w:tc>
      </w:tr>
      <w:tr w:rsidR="004B071C" w:rsidRPr="00140CFA" w:rsidTr="00B378F3">
        <w:trPr>
          <w:trHeight w:val="48"/>
        </w:trPr>
        <w:tc>
          <w:tcPr>
            <w:tcW w:w="2250" w:type="dxa"/>
            <w:shd w:val="clear" w:color="auto" w:fill="E6F4D7"/>
          </w:tcPr>
          <w:p w:rsidR="004B071C" w:rsidRPr="00140CFA" w:rsidRDefault="004B071C" w:rsidP="004E680E">
            <w:pPr>
              <w:spacing w:after="0"/>
              <w:jc w:val="center"/>
              <w:rPr>
                <w:rFonts w:ascii="Constantia" w:hAnsi="Constantia"/>
                <w:b/>
                <w:bCs/>
                <w:color w:val="000000"/>
                <w:szCs w:val="22"/>
              </w:rPr>
            </w:pPr>
            <w:r w:rsidRPr="00140CFA">
              <w:rPr>
                <w:rFonts w:ascii="Constantia" w:hAnsi="Constantia"/>
                <w:b/>
                <w:bCs/>
                <w:i/>
                <w:szCs w:val="22"/>
              </w:rPr>
              <w:lastRenderedPageBreak/>
              <w:t>Leuciscus souffia</w:t>
            </w:r>
            <w:r w:rsidRPr="00140CFA">
              <w:rPr>
                <w:rFonts w:ascii="Constantia" w:hAnsi="Constantia"/>
                <w:b/>
                <w:bCs/>
                <w:szCs w:val="22"/>
              </w:rPr>
              <w:t xml:space="preserve"> </w:t>
            </w:r>
            <w:r w:rsidRPr="00140CFA">
              <w:rPr>
                <w:rFonts w:ascii="Constantia" w:hAnsi="Constantia"/>
                <w:b/>
                <w:bCs/>
                <w:i/>
                <w:szCs w:val="22"/>
              </w:rPr>
              <w:t>montenegrinus</w:t>
            </w:r>
          </w:p>
        </w:tc>
        <w:tc>
          <w:tcPr>
            <w:tcW w:w="1368" w:type="dxa"/>
            <w:shd w:val="clear" w:color="auto" w:fill="E6F4D7"/>
          </w:tcPr>
          <w:p w:rsidR="004B071C" w:rsidRPr="00140CFA" w:rsidRDefault="004B071C" w:rsidP="004E680E">
            <w:pPr>
              <w:spacing w:after="0"/>
              <w:jc w:val="center"/>
              <w:rPr>
                <w:rFonts w:ascii="Constantia" w:hAnsi="Constantia"/>
                <w:szCs w:val="22"/>
                <w:lang w:val="sr-Latn-CS"/>
              </w:rPr>
            </w:pPr>
            <w:r w:rsidRPr="00140CFA">
              <w:rPr>
                <w:rFonts w:ascii="Constantia" w:hAnsi="Constantia"/>
                <w:szCs w:val="22"/>
              </w:rPr>
              <w:t>mekiš, moračka jelšovka</w:t>
            </w:r>
          </w:p>
        </w:tc>
        <w:tc>
          <w:tcPr>
            <w:tcW w:w="2340" w:type="dxa"/>
            <w:shd w:val="clear" w:color="auto" w:fill="E6F4D7"/>
          </w:tcPr>
          <w:p w:rsidR="004B071C" w:rsidRPr="00140CFA" w:rsidRDefault="00430863" w:rsidP="004E680E">
            <w:pPr>
              <w:spacing w:after="0"/>
              <w:jc w:val="center"/>
              <w:rPr>
                <w:rFonts w:ascii="Constantia" w:hAnsi="Constantia"/>
                <w:szCs w:val="22"/>
                <w:lang w:val="sr-Latn-CS"/>
              </w:rPr>
            </w:pPr>
            <w:r w:rsidRPr="00140CFA">
              <w:rPr>
                <w:rFonts w:ascii="Constantia" w:hAnsi="Constantia"/>
                <w:szCs w:val="22"/>
                <w:lang w:val="sr-Latn-CS"/>
              </w:rPr>
              <w:t>Morač</w:t>
            </w:r>
            <w:r w:rsidR="004B071C" w:rsidRPr="00140CFA">
              <w:rPr>
                <w:rFonts w:ascii="Constantia" w:hAnsi="Constantia"/>
                <w:szCs w:val="22"/>
                <w:lang w:val="sr-Latn-CS"/>
              </w:rPr>
              <w:t>a</w:t>
            </w:r>
            <w:r w:rsidRPr="00140CFA">
              <w:rPr>
                <w:rFonts w:ascii="Constantia" w:hAnsi="Constantia"/>
                <w:szCs w:val="22"/>
                <w:lang w:val="sr-Latn-CS"/>
              </w:rPr>
              <w:t xml:space="preserve"> </w:t>
            </w:r>
            <w:r w:rsidR="004B071C" w:rsidRPr="00140CFA">
              <w:rPr>
                <w:rFonts w:ascii="Constantia" w:hAnsi="Constantia"/>
                <w:szCs w:val="22"/>
                <w:lang w:val="sr-Latn-CS"/>
              </w:rPr>
              <w:t>-</w:t>
            </w:r>
            <w:r w:rsidRPr="00140CFA">
              <w:rPr>
                <w:rFonts w:ascii="Constantia" w:hAnsi="Constantia"/>
                <w:szCs w:val="22"/>
                <w:lang w:val="sr-Latn-CS"/>
              </w:rPr>
              <w:t xml:space="preserve"> </w:t>
            </w:r>
            <w:r w:rsidR="004B071C" w:rsidRPr="00140CFA">
              <w:rPr>
                <w:rFonts w:ascii="Constantia" w:hAnsi="Constantia"/>
                <w:szCs w:val="22"/>
                <w:lang w:val="sr-Latn-CS"/>
              </w:rPr>
              <w:t>Sjevernica</w:t>
            </w:r>
            <w:r w:rsidR="004B071C" w:rsidRPr="00140CFA">
              <w:rPr>
                <w:rFonts w:ascii="Constantia" w:eastAsia="Calibri" w:hAnsi="Constantia"/>
                <w:szCs w:val="22"/>
              </w:rPr>
              <w:t xml:space="preserve"> Dromira</w:t>
            </w:r>
            <w:r w:rsidR="004B071C" w:rsidRPr="00140CFA">
              <w:rPr>
                <w:rFonts w:ascii="Constantia" w:eastAsia="Calibri" w:hAnsi="Constantia"/>
                <w:szCs w:val="22"/>
                <w:lang w:val="sr-Latn-CS"/>
              </w:rPr>
              <w:t xml:space="preserve"> </w:t>
            </w:r>
          </w:p>
          <w:p w:rsidR="004B071C" w:rsidRPr="00140CFA" w:rsidRDefault="004B071C" w:rsidP="004E680E">
            <w:pPr>
              <w:spacing w:after="0"/>
              <w:jc w:val="center"/>
              <w:rPr>
                <w:rFonts w:ascii="Constantia" w:hAnsi="Constantia"/>
                <w:szCs w:val="22"/>
                <w:lang w:val="sr-Latn-CS"/>
              </w:rPr>
            </w:pPr>
          </w:p>
        </w:tc>
        <w:tc>
          <w:tcPr>
            <w:tcW w:w="3330" w:type="dxa"/>
            <w:shd w:val="clear" w:color="auto" w:fill="E6F4D7"/>
          </w:tcPr>
          <w:p w:rsidR="004B071C" w:rsidRPr="00140CFA" w:rsidRDefault="004B071C" w:rsidP="004E680E">
            <w:pPr>
              <w:spacing w:after="0"/>
              <w:jc w:val="center"/>
              <w:rPr>
                <w:rFonts w:ascii="Constantia" w:hAnsi="Constantia"/>
                <w:szCs w:val="22"/>
                <w:lang w:val="sr-Latn-CS"/>
              </w:rPr>
            </w:pPr>
            <w:r w:rsidRPr="00140CFA">
              <w:rPr>
                <w:rFonts w:ascii="Constantia" w:hAnsi="Constantia"/>
                <w:szCs w:val="22"/>
                <w:lang w:val="sr-Latn-CS"/>
              </w:rPr>
              <w:t>Brojna,</w:t>
            </w:r>
            <w:r w:rsidR="00172746" w:rsidRPr="00140CFA">
              <w:rPr>
                <w:rFonts w:ascii="Constantia" w:eastAsia="Calibri" w:hAnsi="Constantia"/>
                <w:szCs w:val="22"/>
                <w:lang w:val="sr-Latn-CS"/>
              </w:rPr>
              <w:t xml:space="preserve"> v</w:t>
            </w:r>
            <w:r w:rsidRPr="00140CFA">
              <w:rPr>
                <w:rFonts w:ascii="Constantia" w:eastAsia="Calibri" w:hAnsi="Constantia"/>
                <w:szCs w:val="22"/>
                <w:lang w:val="sr-Latn-CS"/>
              </w:rPr>
              <w:t>rsta je brojna u srednjem toku rijeke Morače, u rijekama Zeti i Cijevni</w:t>
            </w:r>
          </w:p>
        </w:tc>
      </w:tr>
      <w:tr w:rsidR="004B071C" w:rsidRPr="00140CFA" w:rsidTr="00B378F3">
        <w:trPr>
          <w:trHeight w:val="48"/>
        </w:trPr>
        <w:tc>
          <w:tcPr>
            <w:tcW w:w="2250" w:type="dxa"/>
            <w:shd w:val="clear" w:color="auto" w:fill="F2F9EB"/>
          </w:tcPr>
          <w:p w:rsidR="004B071C" w:rsidRPr="00140CFA" w:rsidRDefault="004B071C" w:rsidP="004E680E">
            <w:pPr>
              <w:spacing w:after="0"/>
              <w:jc w:val="center"/>
              <w:rPr>
                <w:rFonts w:ascii="Constantia" w:hAnsi="Constantia"/>
                <w:b/>
                <w:bCs/>
                <w:i/>
                <w:szCs w:val="22"/>
              </w:rPr>
            </w:pPr>
            <w:r w:rsidRPr="00140CFA">
              <w:rPr>
                <w:rFonts w:ascii="Constantia" w:hAnsi="Constantia"/>
                <w:b/>
                <w:bCs/>
                <w:i/>
                <w:szCs w:val="22"/>
              </w:rPr>
              <w:t>Scardinius erythrophthalmus</w:t>
            </w:r>
            <w:r w:rsidRPr="00140CFA">
              <w:rPr>
                <w:rFonts w:ascii="Constantia" w:hAnsi="Constantia"/>
                <w:b/>
                <w:bCs/>
                <w:szCs w:val="22"/>
              </w:rPr>
              <w:t xml:space="preserve"> </w:t>
            </w:r>
            <w:r w:rsidRPr="00140CFA">
              <w:rPr>
                <w:rFonts w:ascii="Constantia" w:hAnsi="Constantia"/>
                <w:b/>
                <w:bCs/>
                <w:i/>
                <w:szCs w:val="22"/>
              </w:rPr>
              <w:t>scardafa</w:t>
            </w:r>
          </w:p>
        </w:tc>
        <w:tc>
          <w:tcPr>
            <w:tcW w:w="1368" w:type="dxa"/>
            <w:shd w:val="clear" w:color="auto" w:fill="F2F9EB"/>
          </w:tcPr>
          <w:p w:rsidR="004B071C" w:rsidRPr="00140CFA" w:rsidRDefault="004B071C" w:rsidP="004E680E">
            <w:pPr>
              <w:spacing w:after="0"/>
              <w:jc w:val="center"/>
              <w:rPr>
                <w:rFonts w:ascii="Constantia" w:hAnsi="Constantia"/>
                <w:szCs w:val="22"/>
                <w:lang w:val="sr-Latn-CS"/>
              </w:rPr>
            </w:pPr>
            <w:r w:rsidRPr="00140CFA">
              <w:rPr>
                <w:rFonts w:ascii="Constantia" w:hAnsi="Constantia"/>
                <w:szCs w:val="22"/>
              </w:rPr>
              <w:t>ljolja</w:t>
            </w:r>
          </w:p>
        </w:tc>
        <w:tc>
          <w:tcPr>
            <w:tcW w:w="2340" w:type="dxa"/>
            <w:shd w:val="clear" w:color="auto" w:fill="F2F9EB"/>
          </w:tcPr>
          <w:p w:rsidR="004B071C" w:rsidRPr="00140CFA" w:rsidRDefault="004B071C" w:rsidP="00430863">
            <w:pPr>
              <w:spacing w:after="0"/>
              <w:jc w:val="center"/>
              <w:rPr>
                <w:rFonts w:ascii="Constantia" w:hAnsi="Constantia"/>
                <w:szCs w:val="22"/>
                <w:lang w:val="sr-Latn-CS"/>
              </w:rPr>
            </w:pPr>
            <w:r w:rsidRPr="00140CFA">
              <w:rPr>
                <w:rFonts w:ascii="Constantia" w:hAnsi="Constantia"/>
                <w:szCs w:val="22"/>
                <w:lang w:val="sr-Latn-CS"/>
              </w:rPr>
              <w:t>Mora</w:t>
            </w:r>
            <w:r w:rsidR="00430863" w:rsidRPr="00140CFA">
              <w:rPr>
                <w:rFonts w:ascii="Constantia" w:hAnsi="Constantia"/>
                <w:szCs w:val="22"/>
                <w:lang w:val="sr-Latn-CS"/>
              </w:rPr>
              <w:t>ča Međ</w:t>
            </w:r>
            <w:r w:rsidRPr="00140CFA">
              <w:rPr>
                <w:rFonts w:ascii="Constantia" w:hAnsi="Constantia"/>
                <w:szCs w:val="22"/>
                <w:lang w:val="sr-Latn-CS"/>
              </w:rPr>
              <w:t>urije</w:t>
            </w:r>
            <w:r w:rsidR="00430863" w:rsidRPr="00140CFA">
              <w:rPr>
                <w:rFonts w:ascii="Constantia" w:hAnsi="Constantia"/>
                <w:szCs w:val="22"/>
                <w:lang w:val="sr-Latn-CS"/>
              </w:rPr>
              <w:t>č</w:t>
            </w:r>
            <w:r w:rsidRPr="00140CFA">
              <w:rPr>
                <w:rFonts w:ascii="Constantia" w:hAnsi="Constantia"/>
                <w:szCs w:val="22"/>
                <w:lang w:val="sr-Latn-CS"/>
              </w:rPr>
              <w:t>je</w:t>
            </w:r>
          </w:p>
        </w:tc>
        <w:tc>
          <w:tcPr>
            <w:tcW w:w="3330" w:type="dxa"/>
            <w:shd w:val="clear" w:color="auto" w:fill="F2F9EB"/>
          </w:tcPr>
          <w:p w:rsidR="004B071C" w:rsidRPr="00140CFA" w:rsidRDefault="004B071C" w:rsidP="004E680E">
            <w:pPr>
              <w:spacing w:after="0"/>
              <w:jc w:val="center"/>
              <w:rPr>
                <w:rFonts w:ascii="Constantia" w:hAnsi="Constantia"/>
                <w:szCs w:val="22"/>
                <w:lang w:val="sr-Latn-CS"/>
              </w:rPr>
            </w:pPr>
          </w:p>
        </w:tc>
      </w:tr>
      <w:tr w:rsidR="004B071C" w:rsidRPr="00140CFA" w:rsidTr="00B378F3">
        <w:trPr>
          <w:trHeight w:val="48"/>
        </w:trPr>
        <w:tc>
          <w:tcPr>
            <w:tcW w:w="2250" w:type="dxa"/>
            <w:shd w:val="clear" w:color="auto" w:fill="E6F4D7"/>
          </w:tcPr>
          <w:p w:rsidR="004B071C" w:rsidRPr="00140CFA" w:rsidRDefault="004B071C" w:rsidP="004E680E">
            <w:pPr>
              <w:spacing w:after="0"/>
              <w:jc w:val="center"/>
              <w:rPr>
                <w:rFonts w:ascii="Constantia" w:hAnsi="Constantia"/>
                <w:b/>
                <w:bCs/>
                <w:i/>
                <w:szCs w:val="22"/>
              </w:rPr>
            </w:pPr>
            <w:r w:rsidRPr="00140CFA">
              <w:rPr>
                <w:rFonts w:ascii="Constantia" w:hAnsi="Constantia"/>
                <w:b/>
                <w:bCs/>
                <w:i/>
                <w:szCs w:val="22"/>
              </w:rPr>
              <w:t>Gobio gobio</w:t>
            </w:r>
          </w:p>
        </w:tc>
        <w:tc>
          <w:tcPr>
            <w:tcW w:w="1368" w:type="dxa"/>
            <w:shd w:val="clear" w:color="auto" w:fill="E6F4D7"/>
          </w:tcPr>
          <w:p w:rsidR="004B071C" w:rsidRPr="00140CFA" w:rsidRDefault="004B071C" w:rsidP="004E680E">
            <w:pPr>
              <w:spacing w:after="0"/>
              <w:jc w:val="center"/>
              <w:rPr>
                <w:rFonts w:ascii="Constantia" w:hAnsi="Constantia"/>
                <w:szCs w:val="22"/>
                <w:lang w:val="sr-Latn-CS"/>
              </w:rPr>
            </w:pPr>
            <w:r w:rsidRPr="00140CFA">
              <w:rPr>
                <w:rFonts w:ascii="Constantia" w:hAnsi="Constantia"/>
                <w:szCs w:val="22"/>
                <w:lang w:val="sr-Latn-CS"/>
              </w:rPr>
              <w:t>mrena</w:t>
            </w:r>
          </w:p>
        </w:tc>
        <w:tc>
          <w:tcPr>
            <w:tcW w:w="2340" w:type="dxa"/>
            <w:shd w:val="clear" w:color="auto" w:fill="E6F4D7"/>
          </w:tcPr>
          <w:p w:rsidR="004B071C" w:rsidRPr="00140CFA" w:rsidRDefault="00430863" w:rsidP="004E680E">
            <w:pPr>
              <w:spacing w:after="0"/>
              <w:jc w:val="center"/>
              <w:rPr>
                <w:rFonts w:ascii="Constantia" w:hAnsi="Constantia"/>
                <w:szCs w:val="22"/>
                <w:lang w:val="sr-Latn-CS"/>
              </w:rPr>
            </w:pPr>
            <w:r w:rsidRPr="00140CFA">
              <w:rPr>
                <w:rFonts w:ascii="Constantia" w:hAnsi="Constantia"/>
                <w:szCs w:val="22"/>
                <w:lang w:val="sr-Latn-CS"/>
              </w:rPr>
              <w:t>Morač</w:t>
            </w:r>
            <w:r w:rsidR="004B071C" w:rsidRPr="00140CFA">
              <w:rPr>
                <w:rFonts w:ascii="Constantia" w:hAnsi="Constantia"/>
                <w:szCs w:val="22"/>
                <w:lang w:val="sr-Latn-CS"/>
              </w:rPr>
              <w:t>a</w:t>
            </w:r>
          </w:p>
        </w:tc>
        <w:tc>
          <w:tcPr>
            <w:tcW w:w="3330" w:type="dxa"/>
            <w:shd w:val="clear" w:color="auto" w:fill="E6F4D7"/>
          </w:tcPr>
          <w:p w:rsidR="004B071C" w:rsidRPr="00140CFA" w:rsidRDefault="004B071C" w:rsidP="004E680E">
            <w:pPr>
              <w:spacing w:after="0"/>
              <w:jc w:val="center"/>
              <w:rPr>
                <w:rFonts w:ascii="Constantia" w:hAnsi="Constantia"/>
                <w:szCs w:val="22"/>
                <w:lang w:val="sr-Latn-CS"/>
              </w:rPr>
            </w:pPr>
            <w:r w:rsidRPr="00140CFA">
              <w:rPr>
                <w:rFonts w:ascii="Constantia" w:hAnsi="Constantia"/>
                <w:szCs w:val="22"/>
                <w:lang w:val="sr-Latn-CS"/>
              </w:rPr>
              <w:t>brojna</w:t>
            </w:r>
          </w:p>
        </w:tc>
      </w:tr>
      <w:tr w:rsidR="004B071C" w:rsidRPr="00140CFA" w:rsidTr="00B378F3">
        <w:trPr>
          <w:trHeight w:val="48"/>
        </w:trPr>
        <w:tc>
          <w:tcPr>
            <w:tcW w:w="2250" w:type="dxa"/>
            <w:shd w:val="clear" w:color="auto" w:fill="F2F9EB"/>
          </w:tcPr>
          <w:p w:rsidR="004B071C" w:rsidRPr="00140CFA" w:rsidRDefault="004B071C" w:rsidP="004E680E">
            <w:pPr>
              <w:spacing w:after="0"/>
              <w:jc w:val="center"/>
              <w:rPr>
                <w:rFonts w:ascii="Constantia" w:hAnsi="Constantia"/>
                <w:b/>
                <w:bCs/>
                <w:i/>
                <w:szCs w:val="22"/>
              </w:rPr>
            </w:pPr>
            <w:r w:rsidRPr="00140CFA">
              <w:rPr>
                <w:rFonts w:ascii="Constantia" w:hAnsi="Constantia"/>
                <w:b/>
                <w:bCs/>
                <w:i/>
                <w:szCs w:val="22"/>
              </w:rPr>
              <w:t>Perca fluviatilis</w:t>
            </w:r>
          </w:p>
        </w:tc>
        <w:tc>
          <w:tcPr>
            <w:tcW w:w="1368" w:type="dxa"/>
            <w:shd w:val="clear" w:color="auto" w:fill="F2F9EB"/>
          </w:tcPr>
          <w:p w:rsidR="004B071C" w:rsidRPr="00140CFA" w:rsidRDefault="004B071C" w:rsidP="004E680E">
            <w:pPr>
              <w:spacing w:after="0"/>
              <w:jc w:val="center"/>
              <w:rPr>
                <w:rFonts w:ascii="Constantia" w:hAnsi="Constantia"/>
                <w:szCs w:val="22"/>
                <w:lang w:val="sr-Latn-CS"/>
              </w:rPr>
            </w:pPr>
            <w:r w:rsidRPr="00140CFA">
              <w:rPr>
                <w:rFonts w:ascii="Constantia" w:hAnsi="Constantia"/>
                <w:szCs w:val="22"/>
              </w:rPr>
              <w:t>grgeč</w:t>
            </w:r>
          </w:p>
        </w:tc>
        <w:tc>
          <w:tcPr>
            <w:tcW w:w="2340" w:type="dxa"/>
            <w:shd w:val="clear" w:color="auto" w:fill="F2F9EB"/>
          </w:tcPr>
          <w:p w:rsidR="004B071C" w:rsidRPr="00140CFA" w:rsidRDefault="00430863" w:rsidP="004E680E">
            <w:pPr>
              <w:spacing w:after="0"/>
              <w:jc w:val="center"/>
              <w:rPr>
                <w:rFonts w:ascii="Constantia" w:hAnsi="Constantia"/>
                <w:szCs w:val="22"/>
                <w:lang w:val="sr-Latn-CS"/>
              </w:rPr>
            </w:pPr>
            <w:r w:rsidRPr="00140CFA">
              <w:rPr>
                <w:rFonts w:ascii="Constantia" w:hAnsi="Constantia"/>
                <w:szCs w:val="22"/>
              </w:rPr>
              <w:t xml:space="preserve">U </w:t>
            </w:r>
            <w:r w:rsidR="004B071C" w:rsidRPr="00140CFA">
              <w:rPr>
                <w:rFonts w:ascii="Constantia" w:hAnsi="Constantia"/>
                <w:szCs w:val="22"/>
              </w:rPr>
              <w:t>donjem toku rijeke Cijevne i Morače</w:t>
            </w:r>
          </w:p>
        </w:tc>
        <w:tc>
          <w:tcPr>
            <w:tcW w:w="3330" w:type="dxa"/>
            <w:shd w:val="clear" w:color="auto" w:fill="F2F9EB"/>
          </w:tcPr>
          <w:p w:rsidR="004B071C" w:rsidRPr="00140CFA" w:rsidRDefault="004B071C" w:rsidP="004E680E">
            <w:pPr>
              <w:spacing w:after="0"/>
              <w:jc w:val="center"/>
              <w:rPr>
                <w:rFonts w:ascii="Constantia" w:hAnsi="Constantia"/>
                <w:szCs w:val="22"/>
                <w:lang w:val="sr-Latn-CS"/>
              </w:rPr>
            </w:pPr>
          </w:p>
        </w:tc>
      </w:tr>
      <w:tr w:rsidR="004B071C" w:rsidRPr="00140CFA" w:rsidTr="00B378F3">
        <w:trPr>
          <w:trHeight w:val="378"/>
        </w:trPr>
        <w:tc>
          <w:tcPr>
            <w:tcW w:w="2250" w:type="dxa"/>
            <w:shd w:val="clear" w:color="auto" w:fill="E6F4D7"/>
          </w:tcPr>
          <w:p w:rsidR="004B071C" w:rsidRPr="00140CFA" w:rsidRDefault="004B071C" w:rsidP="004E680E">
            <w:pPr>
              <w:spacing w:after="0"/>
              <w:jc w:val="center"/>
              <w:rPr>
                <w:rFonts w:ascii="Constantia" w:hAnsi="Constantia"/>
                <w:b/>
                <w:bCs/>
                <w:i/>
                <w:szCs w:val="22"/>
              </w:rPr>
            </w:pPr>
            <w:r w:rsidRPr="00140CFA">
              <w:rPr>
                <w:rFonts w:ascii="Constantia" w:hAnsi="Constantia"/>
                <w:b/>
                <w:bCs/>
                <w:i/>
                <w:szCs w:val="22"/>
              </w:rPr>
              <w:t>Anguilla anguilla</w:t>
            </w:r>
          </w:p>
        </w:tc>
        <w:tc>
          <w:tcPr>
            <w:tcW w:w="1368" w:type="dxa"/>
            <w:shd w:val="clear" w:color="auto" w:fill="E6F4D7"/>
          </w:tcPr>
          <w:p w:rsidR="004B071C" w:rsidRPr="00140CFA" w:rsidRDefault="004B071C" w:rsidP="004E680E">
            <w:pPr>
              <w:spacing w:after="0"/>
              <w:jc w:val="center"/>
              <w:rPr>
                <w:rFonts w:ascii="Constantia" w:hAnsi="Constantia"/>
                <w:szCs w:val="22"/>
                <w:lang w:val="sr-Latn-CS"/>
              </w:rPr>
            </w:pPr>
            <w:r w:rsidRPr="00140CFA">
              <w:rPr>
                <w:rFonts w:ascii="Constantia" w:hAnsi="Constantia"/>
                <w:szCs w:val="22"/>
                <w:lang w:val="sr-Latn-CS"/>
              </w:rPr>
              <w:t>jegulja</w:t>
            </w:r>
          </w:p>
        </w:tc>
        <w:tc>
          <w:tcPr>
            <w:tcW w:w="2340" w:type="dxa"/>
            <w:shd w:val="clear" w:color="auto" w:fill="E6F4D7"/>
          </w:tcPr>
          <w:p w:rsidR="004B071C" w:rsidRPr="00140CFA" w:rsidRDefault="004B071C" w:rsidP="004E680E">
            <w:pPr>
              <w:spacing w:after="0"/>
              <w:jc w:val="center"/>
              <w:rPr>
                <w:rFonts w:ascii="Constantia" w:hAnsi="Constantia"/>
                <w:szCs w:val="22"/>
              </w:rPr>
            </w:pPr>
            <w:r w:rsidRPr="00140CFA">
              <w:rPr>
                <w:rFonts w:ascii="Constantia" w:hAnsi="Constantia"/>
                <w:szCs w:val="22"/>
              </w:rPr>
              <w:t>Morači Koštanic.</w:t>
            </w:r>
          </w:p>
          <w:p w:rsidR="004B071C" w:rsidRPr="00140CFA" w:rsidRDefault="004B071C" w:rsidP="004E680E">
            <w:pPr>
              <w:spacing w:after="0"/>
              <w:jc w:val="center"/>
              <w:rPr>
                <w:rFonts w:ascii="Constantia" w:hAnsi="Constantia"/>
                <w:szCs w:val="22"/>
                <w:lang w:val="sr-Latn-CS"/>
              </w:rPr>
            </w:pPr>
            <w:r w:rsidRPr="00140CFA">
              <w:rPr>
                <w:rFonts w:ascii="Constantia" w:hAnsi="Constantia"/>
                <w:szCs w:val="22"/>
              </w:rPr>
              <w:t>Morače,</w:t>
            </w:r>
          </w:p>
        </w:tc>
        <w:tc>
          <w:tcPr>
            <w:tcW w:w="3330" w:type="dxa"/>
            <w:shd w:val="clear" w:color="auto" w:fill="E6F4D7"/>
          </w:tcPr>
          <w:p w:rsidR="004B071C" w:rsidRPr="00140CFA" w:rsidRDefault="00430863" w:rsidP="00430863">
            <w:pPr>
              <w:spacing w:after="0"/>
              <w:jc w:val="center"/>
              <w:rPr>
                <w:rFonts w:ascii="Constantia" w:hAnsi="Constantia"/>
                <w:szCs w:val="22"/>
                <w:lang w:val="sr-Latn-CS"/>
              </w:rPr>
            </w:pPr>
            <w:r w:rsidRPr="00140CFA">
              <w:rPr>
                <w:rFonts w:ascii="Constantia" w:hAnsi="Constantia"/>
                <w:szCs w:val="22"/>
                <w:lang w:val="sr-Latn-CS"/>
              </w:rPr>
              <w:t>b</w:t>
            </w:r>
            <w:r w:rsidR="004B071C" w:rsidRPr="00140CFA">
              <w:rPr>
                <w:rFonts w:ascii="Constantia" w:hAnsi="Constantia"/>
                <w:szCs w:val="22"/>
                <w:lang w:val="sr-Latn-CS"/>
              </w:rPr>
              <w:t>rojna</w:t>
            </w:r>
            <w:r w:rsidR="004B071C" w:rsidRPr="00140CFA">
              <w:rPr>
                <w:rFonts w:ascii="Constantia" w:eastAsia="Calibri" w:hAnsi="Constantia"/>
                <w:szCs w:val="22"/>
                <w:lang w:val="sr-Latn-CS"/>
              </w:rPr>
              <w:t xml:space="preserve"> </w:t>
            </w:r>
          </w:p>
        </w:tc>
      </w:tr>
      <w:tr w:rsidR="004B071C" w:rsidRPr="00140CFA" w:rsidTr="00B378F3">
        <w:trPr>
          <w:trHeight w:val="250"/>
        </w:trPr>
        <w:tc>
          <w:tcPr>
            <w:tcW w:w="2250" w:type="dxa"/>
            <w:shd w:val="clear" w:color="auto" w:fill="F2F9EB"/>
          </w:tcPr>
          <w:p w:rsidR="004B071C" w:rsidRPr="00140CFA" w:rsidRDefault="004B071C" w:rsidP="004E680E">
            <w:pPr>
              <w:spacing w:after="0"/>
              <w:jc w:val="center"/>
              <w:rPr>
                <w:rFonts w:ascii="Constantia" w:hAnsi="Constantia"/>
                <w:b/>
                <w:bCs/>
                <w:i/>
                <w:szCs w:val="22"/>
              </w:rPr>
            </w:pPr>
            <w:r w:rsidRPr="00140CFA">
              <w:rPr>
                <w:rFonts w:ascii="Constantia" w:eastAsia="Calibri" w:hAnsi="Constantia"/>
                <w:b/>
                <w:bCs/>
                <w:i/>
                <w:szCs w:val="22"/>
              </w:rPr>
              <w:t>Salmo farioides</w:t>
            </w:r>
          </w:p>
        </w:tc>
        <w:tc>
          <w:tcPr>
            <w:tcW w:w="1368" w:type="dxa"/>
            <w:shd w:val="clear" w:color="auto" w:fill="F2F9EB"/>
          </w:tcPr>
          <w:p w:rsidR="004B071C" w:rsidRPr="00140CFA" w:rsidRDefault="004B071C" w:rsidP="004E680E">
            <w:pPr>
              <w:spacing w:after="0"/>
              <w:jc w:val="center"/>
              <w:rPr>
                <w:rFonts w:ascii="Constantia" w:eastAsia="Calibri" w:hAnsi="Constantia"/>
                <w:szCs w:val="22"/>
              </w:rPr>
            </w:pPr>
            <w:r w:rsidRPr="00140CFA">
              <w:rPr>
                <w:rFonts w:ascii="Constantia" w:eastAsia="Calibri" w:hAnsi="Constantia"/>
                <w:szCs w:val="22"/>
              </w:rPr>
              <w:t>primorska p. pastrmka</w:t>
            </w:r>
          </w:p>
          <w:p w:rsidR="004B071C" w:rsidRPr="00140CFA" w:rsidRDefault="004B071C" w:rsidP="004E680E">
            <w:pPr>
              <w:spacing w:after="0"/>
              <w:jc w:val="center"/>
              <w:rPr>
                <w:rFonts w:ascii="Constantia" w:hAnsi="Constantia"/>
                <w:szCs w:val="22"/>
                <w:lang w:val="sr-Latn-CS"/>
              </w:rPr>
            </w:pPr>
          </w:p>
          <w:p w:rsidR="004B071C" w:rsidRPr="00140CFA" w:rsidRDefault="004B071C" w:rsidP="004E680E">
            <w:pPr>
              <w:spacing w:after="0"/>
              <w:jc w:val="center"/>
              <w:rPr>
                <w:rFonts w:ascii="Constantia" w:hAnsi="Constantia"/>
                <w:szCs w:val="22"/>
                <w:lang w:val="sr-Latn-CS"/>
              </w:rPr>
            </w:pPr>
          </w:p>
        </w:tc>
        <w:tc>
          <w:tcPr>
            <w:tcW w:w="2340" w:type="dxa"/>
            <w:shd w:val="clear" w:color="auto" w:fill="F2F9EB"/>
          </w:tcPr>
          <w:p w:rsidR="004B071C" w:rsidRPr="00140CFA" w:rsidRDefault="004B071C" w:rsidP="00430863">
            <w:pPr>
              <w:spacing w:after="0"/>
              <w:jc w:val="center"/>
              <w:rPr>
                <w:rFonts w:ascii="Constantia" w:hAnsi="Constantia"/>
                <w:szCs w:val="22"/>
                <w:lang w:val="sr-Latn-CS"/>
              </w:rPr>
            </w:pPr>
            <w:r w:rsidRPr="00140CFA">
              <w:rPr>
                <w:rFonts w:ascii="Constantia" w:eastAsia="Calibri" w:hAnsi="Constantia"/>
                <w:szCs w:val="22"/>
                <w:lang w:val="sr-Latn-CS"/>
              </w:rPr>
              <w:t xml:space="preserve">gornji, srednji i povremeno donji tok rijeke </w:t>
            </w:r>
            <w:r w:rsidR="00430863" w:rsidRPr="00140CFA">
              <w:rPr>
                <w:rFonts w:ascii="Constantia" w:hAnsi="Constantia"/>
                <w:szCs w:val="22"/>
                <w:lang w:val="sr-Latn-CS"/>
              </w:rPr>
              <w:t>Morača Međuriječ</w:t>
            </w:r>
            <w:r w:rsidRPr="00140CFA">
              <w:rPr>
                <w:rFonts w:ascii="Constantia" w:hAnsi="Constantia"/>
                <w:szCs w:val="22"/>
                <w:lang w:val="sr-Latn-CS"/>
              </w:rPr>
              <w:t>je</w:t>
            </w:r>
            <w:r w:rsidRPr="00140CFA">
              <w:rPr>
                <w:rFonts w:ascii="Constantia" w:eastAsia="Calibri" w:hAnsi="Constantia"/>
                <w:szCs w:val="22"/>
                <w:lang w:val="sr-Latn-CS"/>
              </w:rPr>
              <w:t xml:space="preserve"> i sve njene pritoke</w:t>
            </w:r>
          </w:p>
        </w:tc>
        <w:tc>
          <w:tcPr>
            <w:tcW w:w="3330" w:type="dxa"/>
            <w:shd w:val="clear" w:color="auto" w:fill="F2F9EB"/>
          </w:tcPr>
          <w:p w:rsidR="004B071C" w:rsidRPr="00140CFA" w:rsidRDefault="004B071C" w:rsidP="004E680E">
            <w:pPr>
              <w:spacing w:after="0"/>
              <w:jc w:val="center"/>
              <w:rPr>
                <w:rFonts w:ascii="Constantia" w:hAnsi="Constantia"/>
                <w:szCs w:val="22"/>
                <w:lang w:val="sr-Latn-CS"/>
              </w:rPr>
            </w:pPr>
            <w:r w:rsidRPr="00140CFA">
              <w:rPr>
                <w:rFonts w:ascii="Constantia" w:eastAsia="Calibri" w:hAnsi="Constantia"/>
                <w:szCs w:val="22"/>
                <w:lang w:val="sr-Latn-CS"/>
              </w:rPr>
              <w:t>najbrojnija je u gornjim djelovima rije</w:t>
            </w:r>
            <w:r w:rsidR="00D64814" w:rsidRPr="00140CFA">
              <w:rPr>
                <w:rFonts w:ascii="Constantia" w:eastAsia="Calibri" w:hAnsi="Constantia"/>
                <w:szCs w:val="22"/>
                <w:lang w:val="sr-Latn-CS"/>
              </w:rPr>
              <w:t>t</w:t>
            </w:r>
            <w:r w:rsidRPr="00140CFA">
              <w:rPr>
                <w:rFonts w:ascii="Constantia" w:eastAsia="Calibri" w:hAnsi="Constantia"/>
                <w:szCs w:val="22"/>
                <w:lang w:val="sr-Latn-CS"/>
              </w:rPr>
              <w:t>ka</w:t>
            </w:r>
          </w:p>
        </w:tc>
      </w:tr>
      <w:tr w:rsidR="004B071C" w:rsidRPr="00140CFA" w:rsidTr="00430863">
        <w:trPr>
          <w:trHeight w:val="335"/>
        </w:trPr>
        <w:tc>
          <w:tcPr>
            <w:tcW w:w="2250" w:type="dxa"/>
            <w:shd w:val="clear" w:color="auto" w:fill="E6F4D7"/>
          </w:tcPr>
          <w:p w:rsidR="004B071C" w:rsidRPr="00140CFA" w:rsidRDefault="004B071C" w:rsidP="004E680E">
            <w:pPr>
              <w:spacing w:after="0"/>
              <w:jc w:val="center"/>
              <w:rPr>
                <w:rFonts w:ascii="Constantia" w:hAnsi="Constantia"/>
                <w:b/>
                <w:bCs/>
                <w:i/>
                <w:szCs w:val="22"/>
              </w:rPr>
            </w:pPr>
            <w:r w:rsidRPr="00140CFA">
              <w:rPr>
                <w:rFonts w:ascii="Constantia" w:eastAsia="Calibri" w:hAnsi="Constantia"/>
                <w:b/>
                <w:bCs/>
                <w:i/>
                <w:szCs w:val="22"/>
              </w:rPr>
              <w:t>Salmo trutto fario</w:t>
            </w:r>
          </w:p>
        </w:tc>
        <w:tc>
          <w:tcPr>
            <w:tcW w:w="1368" w:type="dxa"/>
            <w:shd w:val="clear" w:color="auto" w:fill="E6F4D7"/>
          </w:tcPr>
          <w:p w:rsidR="004B071C" w:rsidRPr="00140CFA" w:rsidRDefault="00430863" w:rsidP="0082411F">
            <w:pPr>
              <w:spacing w:after="0"/>
              <w:jc w:val="center"/>
              <w:rPr>
                <w:rFonts w:ascii="Constantia" w:hAnsi="Constantia"/>
                <w:szCs w:val="22"/>
              </w:rPr>
            </w:pPr>
            <w:r w:rsidRPr="00140CFA">
              <w:rPr>
                <w:rFonts w:ascii="Constantia" w:hAnsi="Constantia"/>
                <w:szCs w:val="22"/>
              </w:rPr>
              <w:t>p. pastrmka</w:t>
            </w:r>
          </w:p>
        </w:tc>
        <w:tc>
          <w:tcPr>
            <w:tcW w:w="2340" w:type="dxa"/>
            <w:shd w:val="clear" w:color="auto" w:fill="E6F4D7"/>
          </w:tcPr>
          <w:p w:rsidR="004B071C" w:rsidRPr="00140CFA" w:rsidRDefault="004B071C" w:rsidP="004E680E">
            <w:pPr>
              <w:spacing w:after="0"/>
              <w:jc w:val="center"/>
              <w:rPr>
                <w:rFonts w:ascii="Constantia" w:hAnsi="Constantia"/>
                <w:szCs w:val="22"/>
                <w:lang w:val="sr-Latn-CS"/>
              </w:rPr>
            </w:pPr>
            <w:r w:rsidRPr="00140CFA">
              <w:rPr>
                <w:rFonts w:ascii="Constantia" w:hAnsi="Constantia"/>
                <w:szCs w:val="22"/>
                <w:lang w:val="sr-Latn-CS"/>
              </w:rPr>
              <w:t>Mrtvica, Ibristica</w:t>
            </w:r>
          </w:p>
        </w:tc>
        <w:tc>
          <w:tcPr>
            <w:tcW w:w="3330" w:type="dxa"/>
            <w:shd w:val="clear" w:color="auto" w:fill="E6F4D7"/>
          </w:tcPr>
          <w:p w:rsidR="004B071C" w:rsidRPr="00140CFA" w:rsidRDefault="004B071C" w:rsidP="004E680E">
            <w:pPr>
              <w:spacing w:after="0"/>
              <w:jc w:val="left"/>
              <w:rPr>
                <w:rFonts w:ascii="Constantia" w:hAnsi="Constantia"/>
                <w:szCs w:val="22"/>
                <w:lang w:val="sr-Latn-CS"/>
              </w:rPr>
            </w:pPr>
          </w:p>
        </w:tc>
      </w:tr>
      <w:tr w:rsidR="004B071C" w:rsidRPr="00140CFA" w:rsidTr="00B378F3">
        <w:trPr>
          <w:trHeight w:val="165"/>
        </w:trPr>
        <w:tc>
          <w:tcPr>
            <w:tcW w:w="2250" w:type="dxa"/>
            <w:shd w:val="clear" w:color="auto" w:fill="F2F9EB"/>
          </w:tcPr>
          <w:p w:rsidR="004B071C" w:rsidRPr="00140CFA" w:rsidRDefault="004B071C" w:rsidP="00430863">
            <w:pPr>
              <w:spacing w:after="0"/>
              <w:jc w:val="center"/>
              <w:rPr>
                <w:rFonts w:ascii="Constantia" w:hAnsi="Constantia"/>
                <w:b/>
                <w:bCs/>
                <w:i/>
                <w:szCs w:val="22"/>
              </w:rPr>
            </w:pPr>
            <w:r w:rsidRPr="00140CFA">
              <w:rPr>
                <w:rFonts w:ascii="Constantia" w:hAnsi="Constantia"/>
                <w:b/>
                <w:bCs/>
                <w:i/>
                <w:szCs w:val="22"/>
              </w:rPr>
              <w:t>Hucho hucho</w:t>
            </w:r>
          </w:p>
        </w:tc>
        <w:tc>
          <w:tcPr>
            <w:tcW w:w="1368" w:type="dxa"/>
            <w:shd w:val="clear" w:color="auto" w:fill="F2F9EB"/>
          </w:tcPr>
          <w:p w:rsidR="004B071C" w:rsidRPr="00140CFA" w:rsidRDefault="004B071C" w:rsidP="004E680E">
            <w:pPr>
              <w:spacing w:after="0"/>
              <w:jc w:val="center"/>
              <w:rPr>
                <w:rFonts w:ascii="Constantia" w:hAnsi="Constantia"/>
                <w:szCs w:val="22"/>
              </w:rPr>
            </w:pPr>
            <w:r w:rsidRPr="00140CFA">
              <w:rPr>
                <w:rFonts w:ascii="Constantia" w:hAnsi="Constantia"/>
                <w:szCs w:val="22"/>
              </w:rPr>
              <w:t>mladica</w:t>
            </w:r>
          </w:p>
        </w:tc>
        <w:tc>
          <w:tcPr>
            <w:tcW w:w="2340" w:type="dxa"/>
            <w:shd w:val="clear" w:color="auto" w:fill="F2F9EB"/>
          </w:tcPr>
          <w:p w:rsidR="004B071C" w:rsidRPr="00140CFA" w:rsidRDefault="004B071C" w:rsidP="004E680E">
            <w:pPr>
              <w:spacing w:after="0"/>
              <w:jc w:val="center"/>
              <w:rPr>
                <w:rFonts w:ascii="Constantia" w:hAnsi="Constantia"/>
                <w:szCs w:val="22"/>
                <w:lang w:val="sr-Latn-CS"/>
              </w:rPr>
            </w:pPr>
            <w:r w:rsidRPr="00140CFA">
              <w:rPr>
                <w:rFonts w:ascii="Constantia" w:hAnsi="Constantia"/>
                <w:szCs w:val="22"/>
                <w:lang w:val="sr-Latn-CS"/>
              </w:rPr>
              <w:t>Mrtvica</w:t>
            </w:r>
          </w:p>
        </w:tc>
        <w:tc>
          <w:tcPr>
            <w:tcW w:w="3330" w:type="dxa"/>
            <w:shd w:val="clear" w:color="auto" w:fill="F2F9EB"/>
          </w:tcPr>
          <w:p w:rsidR="004B071C" w:rsidRPr="00140CFA" w:rsidRDefault="004B071C" w:rsidP="004E680E">
            <w:pPr>
              <w:spacing w:after="0"/>
              <w:jc w:val="left"/>
              <w:rPr>
                <w:rFonts w:ascii="Constantia" w:hAnsi="Constantia"/>
                <w:szCs w:val="22"/>
                <w:lang w:val="sr-Latn-CS"/>
              </w:rPr>
            </w:pPr>
          </w:p>
        </w:tc>
      </w:tr>
      <w:tr w:rsidR="004B071C" w:rsidRPr="00140CFA" w:rsidTr="00B378F3">
        <w:trPr>
          <w:trHeight w:val="200"/>
        </w:trPr>
        <w:tc>
          <w:tcPr>
            <w:tcW w:w="2250" w:type="dxa"/>
            <w:shd w:val="clear" w:color="auto" w:fill="E6F4D7"/>
          </w:tcPr>
          <w:p w:rsidR="004B071C" w:rsidRPr="00140CFA" w:rsidRDefault="004B071C" w:rsidP="00430863">
            <w:pPr>
              <w:spacing w:after="0"/>
              <w:jc w:val="center"/>
              <w:rPr>
                <w:rFonts w:ascii="Constantia" w:hAnsi="Constantia"/>
                <w:b/>
                <w:bCs/>
                <w:i/>
                <w:szCs w:val="22"/>
              </w:rPr>
            </w:pPr>
            <w:r w:rsidRPr="00140CFA">
              <w:rPr>
                <w:rFonts w:ascii="Constantia" w:hAnsi="Constantia"/>
                <w:b/>
                <w:bCs/>
                <w:i/>
                <w:szCs w:val="22"/>
              </w:rPr>
              <w:t>Thymulus thymulus</w:t>
            </w:r>
          </w:p>
        </w:tc>
        <w:tc>
          <w:tcPr>
            <w:tcW w:w="1368" w:type="dxa"/>
            <w:shd w:val="clear" w:color="auto" w:fill="E6F4D7"/>
          </w:tcPr>
          <w:p w:rsidR="004B071C" w:rsidRPr="00140CFA" w:rsidRDefault="00430863" w:rsidP="004E680E">
            <w:pPr>
              <w:spacing w:after="0"/>
              <w:jc w:val="center"/>
              <w:rPr>
                <w:rFonts w:ascii="Constantia" w:hAnsi="Constantia"/>
                <w:szCs w:val="22"/>
              </w:rPr>
            </w:pPr>
            <w:r w:rsidRPr="00140CFA">
              <w:rPr>
                <w:rFonts w:ascii="Constantia" w:hAnsi="Constantia"/>
                <w:szCs w:val="22"/>
              </w:rPr>
              <w:t>lipljan</w:t>
            </w:r>
          </w:p>
        </w:tc>
        <w:tc>
          <w:tcPr>
            <w:tcW w:w="2340" w:type="dxa"/>
            <w:shd w:val="clear" w:color="auto" w:fill="E6F4D7"/>
          </w:tcPr>
          <w:p w:rsidR="004B071C" w:rsidRPr="00140CFA" w:rsidRDefault="004B071C" w:rsidP="004E680E">
            <w:pPr>
              <w:spacing w:after="0"/>
              <w:jc w:val="center"/>
              <w:rPr>
                <w:rFonts w:ascii="Constantia" w:hAnsi="Constantia"/>
                <w:szCs w:val="22"/>
                <w:lang w:val="sr-Latn-CS"/>
              </w:rPr>
            </w:pPr>
            <w:r w:rsidRPr="00140CFA">
              <w:rPr>
                <w:rFonts w:ascii="Constantia" w:hAnsi="Constantia"/>
                <w:szCs w:val="22"/>
                <w:lang w:val="sr-Latn-CS"/>
              </w:rPr>
              <w:t>Mrtvica</w:t>
            </w:r>
          </w:p>
        </w:tc>
        <w:tc>
          <w:tcPr>
            <w:tcW w:w="3330" w:type="dxa"/>
            <w:shd w:val="clear" w:color="auto" w:fill="E6F4D7"/>
          </w:tcPr>
          <w:p w:rsidR="004B071C" w:rsidRPr="00140CFA" w:rsidRDefault="004B071C" w:rsidP="00430863">
            <w:pPr>
              <w:spacing w:after="0"/>
              <w:jc w:val="center"/>
              <w:rPr>
                <w:rFonts w:ascii="Constantia" w:hAnsi="Constantia"/>
                <w:szCs w:val="22"/>
                <w:lang w:val="sr-Latn-CS"/>
              </w:rPr>
            </w:pPr>
            <w:r w:rsidRPr="00140CFA">
              <w:rPr>
                <w:rFonts w:ascii="Constantia" w:hAnsi="Constantia"/>
                <w:szCs w:val="22"/>
                <w:lang w:val="sr-Latn-CS"/>
              </w:rPr>
              <w:t>malobrojna</w:t>
            </w:r>
          </w:p>
        </w:tc>
      </w:tr>
    </w:tbl>
    <w:p w:rsidR="004B071C" w:rsidRPr="00430863" w:rsidRDefault="00430863" w:rsidP="004B071C">
      <w:pPr>
        <w:pStyle w:val="Tabele"/>
        <w:spacing w:before="60" w:after="240"/>
        <w:ind w:left="714" w:hanging="357"/>
        <w:rPr>
          <w:rFonts w:ascii="Constantia" w:hAnsi="Constantia"/>
          <w:sz w:val="22"/>
          <w:szCs w:val="22"/>
        </w:rPr>
      </w:pPr>
      <w:r>
        <w:rPr>
          <w:rFonts w:ascii="Constantia" w:hAnsi="Constantia"/>
          <w:sz w:val="22"/>
          <w:szCs w:val="22"/>
        </w:rPr>
        <w:t xml:space="preserve"> </w:t>
      </w:r>
      <w:r w:rsidR="004B071C" w:rsidRPr="00430863">
        <w:rPr>
          <w:rFonts w:ascii="Constantia" w:hAnsi="Constantia"/>
          <w:sz w:val="22"/>
          <w:szCs w:val="22"/>
        </w:rPr>
        <w:t>Ribe</w:t>
      </w:r>
      <w:r w:rsidR="00172746" w:rsidRPr="00430863">
        <w:rPr>
          <w:rFonts w:ascii="Constantia" w:hAnsi="Constantia"/>
          <w:sz w:val="22"/>
          <w:szCs w:val="22"/>
        </w:rPr>
        <w:t xml:space="preserve"> </w:t>
      </w:r>
      <w:r w:rsidR="004B071C" w:rsidRPr="00430863">
        <w:rPr>
          <w:rFonts w:ascii="Constantia" w:hAnsi="Constantia"/>
          <w:sz w:val="22"/>
          <w:szCs w:val="22"/>
        </w:rPr>
        <w:t>-</w:t>
      </w:r>
      <w:r w:rsidR="00172746" w:rsidRPr="00430863">
        <w:rPr>
          <w:rFonts w:ascii="Constantia" w:hAnsi="Constantia"/>
          <w:sz w:val="22"/>
          <w:szCs w:val="22"/>
        </w:rPr>
        <w:t xml:space="preserve"> </w:t>
      </w:r>
      <w:r w:rsidR="004B071C" w:rsidRPr="00430863">
        <w:rPr>
          <w:rFonts w:ascii="Constantia" w:hAnsi="Constantia"/>
          <w:sz w:val="22"/>
          <w:szCs w:val="22"/>
        </w:rPr>
        <w:t>utvrđeno stanje</w:t>
      </w:r>
    </w:p>
    <w:p w:rsidR="004B071C" w:rsidRPr="00C40428" w:rsidRDefault="004B071C" w:rsidP="004B071C">
      <w:pPr>
        <w:rPr>
          <w:lang w:val="sr-Latn-CS"/>
        </w:rPr>
      </w:pPr>
    </w:p>
    <w:p w:rsidR="004B071C" w:rsidRPr="002E3A97" w:rsidRDefault="004B071C" w:rsidP="00430863">
      <w:pPr>
        <w:pStyle w:val="Heading4"/>
        <w:ind w:left="990" w:hanging="990"/>
        <w:rPr>
          <w:sz w:val="22"/>
          <w:szCs w:val="22"/>
          <w:lang w:val="sr-Latn-CS"/>
        </w:rPr>
      </w:pPr>
      <w:r w:rsidRPr="002E3A97">
        <w:rPr>
          <w:sz w:val="22"/>
          <w:szCs w:val="22"/>
          <w:lang w:val="sr-Latn-CS"/>
        </w:rPr>
        <w:t>Herpetofauna (gmizavci i vodozemci)</w:t>
      </w:r>
    </w:p>
    <w:p w:rsidR="004B071C" w:rsidRDefault="004B071C" w:rsidP="009C68D4">
      <w:pPr>
        <w:pStyle w:val="Tabele"/>
        <w:numPr>
          <w:ilvl w:val="0"/>
          <w:numId w:val="0"/>
        </w:numPr>
        <w:spacing w:after="0"/>
        <w:jc w:val="both"/>
        <w:rPr>
          <w:sz w:val="22"/>
          <w:szCs w:val="22"/>
        </w:rPr>
      </w:pPr>
    </w:p>
    <w:tbl>
      <w:tblPr>
        <w:tblW w:w="9289"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firstRow="1" w:lastRow="0" w:firstColumn="1" w:lastColumn="0" w:noHBand="0" w:noVBand="1"/>
      </w:tblPr>
      <w:tblGrid>
        <w:gridCol w:w="2608"/>
        <w:gridCol w:w="2525"/>
        <w:gridCol w:w="2154"/>
        <w:gridCol w:w="2002"/>
      </w:tblGrid>
      <w:tr w:rsidR="004B071C" w:rsidRPr="00140CFA" w:rsidTr="00EC35D7">
        <w:trPr>
          <w:trHeight w:val="434"/>
        </w:trPr>
        <w:tc>
          <w:tcPr>
            <w:tcW w:w="2608" w:type="dxa"/>
            <w:shd w:val="clear" w:color="auto" w:fill="E6EED5"/>
          </w:tcPr>
          <w:p w:rsidR="004B071C" w:rsidRPr="00140CFA" w:rsidRDefault="004B071C" w:rsidP="00EC35D7">
            <w:pPr>
              <w:tabs>
                <w:tab w:val="left" w:pos="1415"/>
              </w:tabs>
              <w:jc w:val="center"/>
              <w:rPr>
                <w:rFonts w:ascii="Constantia" w:hAnsi="Constantia"/>
                <w:b/>
                <w:bCs/>
                <w:szCs w:val="22"/>
              </w:rPr>
            </w:pPr>
            <w:r w:rsidRPr="00140CFA">
              <w:rPr>
                <w:rFonts w:ascii="Constantia" w:hAnsi="Constantia"/>
                <w:b/>
                <w:bCs/>
                <w:szCs w:val="22"/>
              </w:rPr>
              <w:t>Lokalitet</w:t>
            </w:r>
          </w:p>
        </w:tc>
        <w:tc>
          <w:tcPr>
            <w:tcW w:w="2525" w:type="dxa"/>
            <w:shd w:val="clear" w:color="auto" w:fill="E6EED5"/>
          </w:tcPr>
          <w:p w:rsidR="004B071C" w:rsidRPr="00140CFA" w:rsidRDefault="004B071C" w:rsidP="00EC35D7">
            <w:pPr>
              <w:jc w:val="center"/>
              <w:rPr>
                <w:rFonts w:ascii="Constantia" w:hAnsi="Constantia"/>
                <w:b/>
                <w:bCs/>
                <w:szCs w:val="22"/>
              </w:rPr>
            </w:pPr>
            <w:r w:rsidRPr="00140CFA">
              <w:rPr>
                <w:rFonts w:ascii="Constantia" w:hAnsi="Constantia"/>
                <w:b/>
                <w:bCs/>
                <w:szCs w:val="22"/>
              </w:rPr>
              <w:t>Koordinate</w:t>
            </w:r>
          </w:p>
        </w:tc>
        <w:tc>
          <w:tcPr>
            <w:tcW w:w="2154" w:type="dxa"/>
            <w:shd w:val="clear" w:color="auto" w:fill="E6EED5"/>
          </w:tcPr>
          <w:p w:rsidR="004B071C" w:rsidRPr="00140CFA" w:rsidRDefault="004B071C" w:rsidP="00140CFA">
            <w:pPr>
              <w:spacing w:after="0"/>
              <w:jc w:val="center"/>
              <w:outlineLvl w:val="3"/>
              <w:rPr>
                <w:rFonts w:ascii="Constantia" w:hAnsi="Constantia"/>
                <w:b/>
                <w:bCs/>
                <w:szCs w:val="22"/>
              </w:rPr>
            </w:pPr>
            <w:r w:rsidRPr="00140CFA">
              <w:rPr>
                <w:rFonts w:ascii="Constantia" w:hAnsi="Constantia"/>
                <w:b/>
                <w:bCs/>
                <w:szCs w:val="22"/>
              </w:rPr>
              <w:t>Datum terenskih istraživanja</w:t>
            </w:r>
          </w:p>
        </w:tc>
        <w:tc>
          <w:tcPr>
            <w:tcW w:w="2002" w:type="dxa"/>
            <w:shd w:val="clear" w:color="auto" w:fill="E6EED5"/>
          </w:tcPr>
          <w:p w:rsidR="004B071C" w:rsidRPr="00140CFA" w:rsidRDefault="004B071C" w:rsidP="00140CFA">
            <w:pPr>
              <w:jc w:val="center"/>
              <w:rPr>
                <w:rFonts w:ascii="Constantia" w:hAnsi="Constantia"/>
                <w:b/>
                <w:szCs w:val="22"/>
              </w:rPr>
            </w:pPr>
            <w:r w:rsidRPr="00140CFA">
              <w:rPr>
                <w:rFonts w:ascii="Constantia" w:hAnsi="Constantia"/>
                <w:b/>
                <w:szCs w:val="22"/>
              </w:rPr>
              <w:t>Nadmorska visina</w:t>
            </w:r>
          </w:p>
        </w:tc>
      </w:tr>
      <w:tr w:rsidR="004B071C" w:rsidRPr="00140CFA" w:rsidTr="004E680E">
        <w:tc>
          <w:tcPr>
            <w:tcW w:w="2608" w:type="dxa"/>
            <w:shd w:val="clear" w:color="auto" w:fill="CDDDAC"/>
          </w:tcPr>
          <w:p w:rsidR="004B071C" w:rsidRPr="00140CFA" w:rsidRDefault="004B071C" w:rsidP="00EC35D7">
            <w:pPr>
              <w:spacing w:after="0"/>
              <w:rPr>
                <w:rFonts w:ascii="Constantia" w:hAnsi="Constantia"/>
                <w:b/>
                <w:bCs/>
                <w:szCs w:val="22"/>
              </w:rPr>
            </w:pPr>
            <w:r w:rsidRPr="00140CFA">
              <w:rPr>
                <w:rFonts w:ascii="Constantia" w:hAnsi="Constantia"/>
                <w:b/>
                <w:bCs/>
                <w:szCs w:val="22"/>
              </w:rPr>
              <w:t>Zlatica</w:t>
            </w:r>
          </w:p>
        </w:tc>
        <w:tc>
          <w:tcPr>
            <w:tcW w:w="2525" w:type="dxa"/>
            <w:shd w:val="clear" w:color="auto" w:fill="CDDDAC"/>
          </w:tcPr>
          <w:p w:rsidR="004B071C" w:rsidRPr="00140CFA" w:rsidRDefault="004B071C" w:rsidP="00EC35D7">
            <w:pPr>
              <w:spacing w:after="0"/>
              <w:jc w:val="center"/>
              <w:rPr>
                <w:rFonts w:ascii="Constantia" w:hAnsi="Constantia"/>
                <w:bCs/>
                <w:szCs w:val="22"/>
              </w:rPr>
            </w:pPr>
            <w:r w:rsidRPr="00140CFA">
              <w:rPr>
                <w:rFonts w:ascii="Constantia" w:hAnsi="Constantia"/>
                <w:bCs/>
                <w:szCs w:val="22"/>
              </w:rPr>
              <w:t>42</w:t>
            </w:r>
            <w:r w:rsidRPr="00140CFA">
              <w:rPr>
                <w:rFonts w:ascii="Constantia" w:hAnsi="Constantia" w:cs="Cambria Math"/>
                <w:bCs/>
                <w:szCs w:val="22"/>
              </w:rPr>
              <w:t>⁰</w:t>
            </w:r>
            <w:r w:rsidRPr="00140CFA">
              <w:rPr>
                <w:rFonts w:ascii="Constantia" w:hAnsi="Constantia"/>
                <w:bCs/>
                <w:szCs w:val="22"/>
              </w:rPr>
              <w:t xml:space="preserve"> 28.630</w:t>
            </w:r>
            <w:r w:rsidRPr="00140CFA">
              <w:rPr>
                <w:rFonts w:ascii="Constantia" w:hAnsi="Constantia" w:cs="Arial"/>
                <w:bCs/>
                <w:szCs w:val="22"/>
              </w:rPr>
              <w:t>’</w:t>
            </w:r>
          </w:p>
          <w:p w:rsidR="004B071C" w:rsidRPr="00140CFA" w:rsidRDefault="004B071C" w:rsidP="00EC35D7">
            <w:pPr>
              <w:spacing w:after="0"/>
              <w:jc w:val="center"/>
              <w:rPr>
                <w:rFonts w:ascii="Constantia" w:hAnsi="Constantia"/>
                <w:bCs/>
                <w:szCs w:val="22"/>
              </w:rPr>
            </w:pPr>
            <w:r w:rsidRPr="00140CFA">
              <w:rPr>
                <w:rFonts w:ascii="Constantia" w:hAnsi="Constantia"/>
                <w:bCs/>
                <w:szCs w:val="22"/>
              </w:rPr>
              <w:t>19</w:t>
            </w:r>
            <w:r w:rsidRPr="00140CFA">
              <w:rPr>
                <w:rFonts w:ascii="Constantia" w:hAnsi="Constantia" w:cs="Cambria Math"/>
                <w:bCs/>
                <w:szCs w:val="22"/>
              </w:rPr>
              <w:t>⁰</w:t>
            </w:r>
            <w:r w:rsidRPr="00140CFA">
              <w:rPr>
                <w:rFonts w:ascii="Constantia" w:hAnsi="Constantia"/>
                <w:bCs/>
                <w:szCs w:val="22"/>
              </w:rPr>
              <w:t xml:space="preserve"> 18.311</w:t>
            </w:r>
            <w:r w:rsidRPr="00140CFA">
              <w:rPr>
                <w:rFonts w:ascii="Constantia" w:hAnsi="Constantia" w:cs="Arial"/>
                <w:bCs/>
                <w:szCs w:val="22"/>
              </w:rPr>
              <w:t>’</w:t>
            </w:r>
          </w:p>
        </w:tc>
        <w:tc>
          <w:tcPr>
            <w:tcW w:w="2154" w:type="dxa"/>
            <w:shd w:val="clear" w:color="auto" w:fill="CDDDAC"/>
          </w:tcPr>
          <w:p w:rsidR="004B071C" w:rsidRPr="00140CFA" w:rsidRDefault="004B071C" w:rsidP="00EC35D7">
            <w:pPr>
              <w:spacing w:after="0"/>
              <w:jc w:val="center"/>
              <w:rPr>
                <w:rFonts w:ascii="Constantia" w:hAnsi="Constantia"/>
                <w:color w:val="000000"/>
                <w:szCs w:val="22"/>
              </w:rPr>
            </w:pPr>
            <w:r w:rsidRPr="00140CFA">
              <w:rPr>
                <w:rFonts w:ascii="Constantia" w:hAnsi="Constantia"/>
                <w:color w:val="000000"/>
                <w:szCs w:val="22"/>
              </w:rPr>
              <w:t>02.06.2013.</w:t>
            </w:r>
          </w:p>
        </w:tc>
        <w:tc>
          <w:tcPr>
            <w:tcW w:w="2002" w:type="dxa"/>
            <w:shd w:val="clear" w:color="auto" w:fill="CDDDAC"/>
          </w:tcPr>
          <w:p w:rsidR="004B071C" w:rsidRPr="00140CFA" w:rsidRDefault="004B071C" w:rsidP="00EC35D7">
            <w:pPr>
              <w:spacing w:after="0"/>
              <w:jc w:val="center"/>
              <w:rPr>
                <w:rFonts w:ascii="Constantia" w:hAnsi="Constantia"/>
                <w:szCs w:val="22"/>
              </w:rPr>
            </w:pPr>
            <w:r w:rsidRPr="00140CFA">
              <w:rPr>
                <w:rFonts w:ascii="Constantia" w:hAnsi="Constantia"/>
                <w:szCs w:val="22"/>
              </w:rPr>
              <w:t>42 mnv</w:t>
            </w:r>
          </w:p>
        </w:tc>
      </w:tr>
      <w:tr w:rsidR="004B071C" w:rsidRPr="00140CFA" w:rsidTr="004E680E">
        <w:tc>
          <w:tcPr>
            <w:tcW w:w="2608" w:type="dxa"/>
            <w:shd w:val="clear" w:color="auto" w:fill="E6EED5"/>
          </w:tcPr>
          <w:p w:rsidR="004B071C" w:rsidRPr="00140CFA" w:rsidRDefault="004B071C" w:rsidP="00EC35D7">
            <w:pPr>
              <w:spacing w:after="0"/>
              <w:rPr>
                <w:rFonts w:ascii="Constantia" w:hAnsi="Constantia"/>
                <w:b/>
                <w:bCs/>
                <w:szCs w:val="22"/>
              </w:rPr>
            </w:pPr>
            <w:r w:rsidRPr="00140CFA">
              <w:rPr>
                <w:rFonts w:ascii="Constantia" w:hAnsi="Constantia"/>
                <w:b/>
                <w:bCs/>
                <w:szCs w:val="22"/>
              </w:rPr>
              <w:t>Milunovići</w:t>
            </w:r>
          </w:p>
        </w:tc>
        <w:tc>
          <w:tcPr>
            <w:tcW w:w="2525" w:type="dxa"/>
            <w:shd w:val="clear" w:color="auto" w:fill="E6EED5"/>
          </w:tcPr>
          <w:p w:rsidR="004B071C" w:rsidRPr="00140CFA" w:rsidRDefault="004B071C" w:rsidP="00EC35D7">
            <w:pPr>
              <w:spacing w:after="0"/>
              <w:jc w:val="center"/>
              <w:rPr>
                <w:rFonts w:ascii="Constantia" w:hAnsi="Constantia"/>
                <w:bCs/>
                <w:szCs w:val="22"/>
              </w:rPr>
            </w:pPr>
            <w:r w:rsidRPr="00140CFA">
              <w:rPr>
                <w:rFonts w:ascii="Constantia" w:hAnsi="Constantia"/>
                <w:bCs/>
                <w:szCs w:val="22"/>
              </w:rPr>
              <w:t>42</w:t>
            </w:r>
            <w:r w:rsidRPr="00140CFA">
              <w:rPr>
                <w:rFonts w:ascii="Constantia" w:hAnsi="Constantia" w:cs="Cambria Math"/>
                <w:bCs/>
                <w:szCs w:val="22"/>
              </w:rPr>
              <w:t>⁰</w:t>
            </w:r>
            <w:r w:rsidRPr="00140CFA">
              <w:rPr>
                <w:rFonts w:ascii="Constantia" w:hAnsi="Constantia"/>
                <w:bCs/>
                <w:szCs w:val="22"/>
              </w:rPr>
              <w:t xml:space="preserve">  33.358</w:t>
            </w:r>
            <w:r w:rsidRPr="00140CFA">
              <w:rPr>
                <w:rFonts w:ascii="Constantia" w:hAnsi="Constantia" w:cs="Arial"/>
                <w:bCs/>
                <w:szCs w:val="22"/>
              </w:rPr>
              <w:t>’</w:t>
            </w:r>
          </w:p>
          <w:p w:rsidR="004B071C" w:rsidRPr="00140CFA" w:rsidRDefault="004B071C" w:rsidP="00EC35D7">
            <w:pPr>
              <w:spacing w:after="0"/>
              <w:jc w:val="center"/>
              <w:rPr>
                <w:rFonts w:ascii="Constantia" w:hAnsi="Constantia"/>
                <w:bCs/>
                <w:szCs w:val="22"/>
              </w:rPr>
            </w:pPr>
            <w:r w:rsidRPr="00140CFA">
              <w:rPr>
                <w:rFonts w:ascii="Constantia" w:hAnsi="Constantia"/>
                <w:bCs/>
                <w:szCs w:val="22"/>
              </w:rPr>
              <w:t>19</w:t>
            </w:r>
            <w:r w:rsidRPr="00140CFA">
              <w:rPr>
                <w:rFonts w:ascii="Constantia" w:hAnsi="Constantia" w:cs="Cambria Math"/>
                <w:bCs/>
                <w:szCs w:val="22"/>
              </w:rPr>
              <w:t>⁰</w:t>
            </w:r>
            <w:r w:rsidRPr="00140CFA">
              <w:rPr>
                <w:rFonts w:ascii="Constantia" w:hAnsi="Constantia"/>
                <w:bCs/>
                <w:szCs w:val="22"/>
              </w:rPr>
              <w:t xml:space="preserve">  20.179</w:t>
            </w:r>
            <w:r w:rsidRPr="00140CFA">
              <w:rPr>
                <w:rFonts w:ascii="Constantia" w:hAnsi="Constantia" w:cs="Arial"/>
                <w:bCs/>
                <w:szCs w:val="22"/>
              </w:rPr>
              <w:t>’</w:t>
            </w:r>
          </w:p>
        </w:tc>
        <w:tc>
          <w:tcPr>
            <w:tcW w:w="2154" w:type="dxa"/>
            <w:shd w:val="clear" w:color="auto" w:fill="E6EED5"/>
          </w:tcPr>
          <w:p w:rsidR="004B071C" w:rsidRPr="00140CFA" w:rsidRDefault="004B071C" w:rsidP="00EC35D7">
            <w:pPr>
              <w:spacing w:after="0"/>
              <w:jc w:val="center"/>
              <w:rPr>
                <w:rFonts w:ascii="Constantia" w:hAnsi="Constantia"/>
                <w:color w:val="000000"/>
                <w:szCs w:val="22"/>
              </w:rPr>
            </w:pPr>
            <w:r w:rsidRPr="00140CFA">
              <w:rPr>
                <w:rFonts w:ascii="Constantia" w:hAnsi="Constantia"/>
                <w:color w:val="000000"/>
                <w:szCs w:val="22"/>
              </w:rPr>
              <w:t>02.06.2013.</w:t>
            </w:r>
          </w:p>
        </w:tc>
        <w:tc>
          <w:tcPr>
            <w:tcW w:w="2002" w:type="dxa"/>
            <w:shd w:val="clear" w:color="auto" w:fill="E6EED5"/>
          </w:tcPr>
          <w:p w:rsidR="004B071C" w:rsidRPr="00140CFA" w:rsidRDefault="004B071C" w:rsidP="00EC35D7">
            <w:pPr>
              <w:spacing w:after="0"/>
              <w:jc w:val="center"/>
              <w:rPr>
                <w:rFonts w:ascii="Constantia" w:hAnsi="Constantia"/>
                <w:szCs w:val="22"/>
              </w:rPr>
            </w:pPr>
            <w:r w:rsidRPr="00140CFA">
              <w:rPr>
                <w:rFonts w:ascii="Constantia" w:hAnsi="Constantia"/>
                <w:szCs w:val="22"/>
              </w:rPr>
              <w:t>159 mnv</w:t>
            </w:r>
          </w:p>
        </w:tc>
      </w:tr>
      <w:tr w:rsidR="004B071C" w:rsidRPr="00140CFA" w:rsidTr="004E680E">
        <w:tc>
          <w:tcPr>
            <w:tcW w:w="2608" w:type="dxa"/>
            <w:shd w:val="clear" w:color="auto" w:fill="E6EED5"/>
          </w:tcPr>
          <w:p w:rsidR="004B071C" w:rsidRPr="00140CFA" w:rsidRDefault="004B071C" w:rsidP="00EC35D7">
            <w:pPr>
              <w:spacing w:after="0"/>
              <w:rPr>
                <w:rFonts w:ascii="Constantia" w:hAnsi="Constantia"/>
                <w:b/>
                <w:bCs/>
                <w:szCs w:val="22"/>
              </w:rPr>
            </w:pPr>
            <w:r w:rsidRPr="00140CFA">
              <w:rPr>
                <w:rFonts w:ascii="Constantia" w:hAnsi="Constantia"/>
                <w:b/>
                <w:bCs/>
                <w:szCs w:val="22"/>
              </w:rPr>
              <w:t>Andrijevo</w:t>
            </w:r>
          </w:p>
          <w:p w:rsidR="004B071C" w:rsidRPr="00140CFA" w:rsidRDefault="004B071C" w:rsidP="00EC35D7">
            <w:pPr>
              <w:spacing w:after="0"/>
              <w:rPr>
                <w:rFonts w:ascii="Constantia" w:hAnsi="Constantia"/>
                <w:b/>
                <w:bCs/>
                <w:szCs w:val="22"/>
              </w:rPr>
            </w:pPr>
          </w:p>
        </w:tc>
        <w:tc>
          <w:tcPr>
            <w:tcW w:w="2525" w:type="dxa"/>
            <w:shd w:val="clear" w:color="auto" w:fill="E6EED5"/>
          </w:tcPr>
          <w:p w:rsidR="004B071C" w:rsidRPr="00140CFA" w:rsidRDefault="004B071C" w:rsidP="00EC35D7">
            <w:pPr>
              <w:spacing w:after="0"/>
              <w:jc w:val="center"/>
              <w:rPr>
                <w:rFonts w:ascii="Constantia" w:hAnsi="Constantia"/>
                <w:bCs/>
                <w:szCs w:val="22"/>
              </w:rPr>
            </w:pPr>
            <w:r w:rsidRPr="00140CFA">
              <w:rPr>
                <w:rFonts w:ascii="Constantia" w:hAnsi="Constantia"/>
                <w:bCs/>
                <w:szCs w:val="22"/>
              </w:rPr>
              <w:t>42</w:t>
            </w:r>
            <w:r w:rsidRPr="00140CFA">
              <w:rPr>
                <w:rFonts w:ascii="Constantia" w:hAnsi="Constantia" w:cs="Cambria Math"/>
                <w:bCs/>
                <w:szCs w:val="22"/>
              </w:rPr>
              <w:t>⁰</w:t>
            </w:r>
            <w:r w:rsidRPr="00140CFA">
              <w:rPr>
                <w:rFonts w:ascii="Constantia" w:hAnsi="Constantia"/>
                <w:bCs/>
                <w:szCs w:val="22"/>
              </w:rPr>
              <w:t xml:space="preserve">  41.665</w:t>
            </w:r>
            <w:r w:rsidRPr="00140CFA">
              <w:rPr>
                <w:rFonts w:ascii="Constantia" w:hAnsi="Constantia" w:cs="Arial"/>
                <w:bCs/>
                <w:szCs w:val="22"/>
              </w:rPr>
              <w:t>’</w:t>
            </w:r>
          </w:p>
          <w:p w:rsidR="004B071C" w:rsidRPr="00140CFA" w:rsidRDefault="004B071C" w:rsidP="00EC35D7">
            <w:pPr>
              <w:spacing w:after="0"/>
              <w:jc w:val="center"/>
              <w:rPr>
                <w:rFonts w:ascii="Constantia" w:hAnsi="Constantia"/>
                <w:bCs/>
                <w:szCs w:val="22"/>
              </w:rPr>
            </w:pPr>
            <w:r w:rsidRPr="00140CFA">
              <w:rPr>
                <w:rFonts w:ascii="Constantia" w:hAnsi="Constantia"/>
                <w:bCs/>
                <w:szCs w:val="22"/>
              </w:rPr>
              <w:t>19</w:t>
            </w:r>
            <w:r w:rsidRPr="00140CFA">
              <w:rPr>
                <w:rFonts w:ascii="Constantia" w:hAnsi="Constantia" w:cs="Cambria Math"/>
                <w:bCs/>
                <w:szCs w:val="22"/>
              </w:rPr>
              <w:t>⁰</w:t>
            </w:r>
            <w:r w:rsidRPr="00140CFA">
              <w:rPr>
                <w:rFonts w:ascii="Constantia" w:hAnsi="Constantia"/>
                <w:bCs/>
                <w:szCs w:val="22"/>
              </w:rPr>
              <w:t xml:space="preserve">  22.394</w:t>
            </w:r>
            <w:r w:rsidRPr="00140CFA">
              <w:rPr>
                <w:rFonts w:ascii="Constantia" w:hAnsi="Constantia" w:cs="Arial"/>
                <w:bCs/>
                <w:szCs w:val="22"/>
              </w:rPr>
              <w:t>’</w:t>
            </w:r>
          </w:p>
        </w:tc>
        <w:tc>
          <w:tcPr>
            <w:tcW w:w="2154" w:type="dxa"/>
            <w:shd w:val="clear" w:color="auto" w:fill="E6EED5"/>
          </w:tcPr>
          <w:p w:rsidR="004B071C" w:rsidRPr="00140CFA" w:rsidRDefault="004B071C" w:rsidP="00EC35D7">
            <w:pPr>
              <w:spacing w:after="0"/>
              <w:jc w:val="center"/>
              <w:rPr>
                <w:rFonts w:ascii="Constantia" w:hAnsi="Constantia"/>
                <w:color w:val="000000"/>
                <w:szCs w:val="22"/>
              </w:rPr>
            </w:pPr>
            <w:r w:rsidRPr="00140CFA">
              <w:rPr>
                <w:rFonts w:ascii="Constantia" w:hAnsi="Constantia"/>
                <w:color w:val="000000"/>
                <w:szCs w:val="22"/>
              </w:rPr>
              <w:t>02.06.2013.</w:t>
            </w:r>
          </w:p>
        </w:tc>
        <w:tc>
          <w:tcPr>
            <w:tcW w:w="2002" w:type="dxa"/>
            <w:shd w:val="clear" w:color="auto" w:fill="E6EED5"/>
          </w:tcPr>
          <w:p w:rsidR="004B071C" w:rsidRPr="00140CFA" w:rsidRDefault="004B071C" w:rsidP="00EC35D7">
            <w:pPr>
              <w:spacing w:after="0"/>
              <w:jc w:val="center"/>
              <w:rPr>
                <w:rFonts w:ascii="Constantia" w:hAnsi="Constantia"/>
                <w:szCs w:val="22"/>
              </w:rPr>
            </w:pPr>
            <w:r w:rsidRPr="00140CFA">
              <w:rPr>
                <w:rFonts w:ascii="Constantia" w:hAnsi="Constantia"/>
                <w:szCs w:val="22"/>
              </w:rPr>
              <w:t>214 mnv</w:t>
            </w:r>
          </w:p>
        </w:tc>
      </w:tr>
    </w:tbl>
    <w:p w:rsidR="004B071C" w:rsidRPr="009C68D4" w:rsidRDefault="00EC35D7" w:rsidP="00EC35D7">
      <w:pPr>
        <w:pStyle w:val="Tabele"/>
        <w:spacing w:before="60" w:after="0"/>
        <w:ind w:left="714" w:hanging="357"/>
        <w:rPr>
          <w:rFonts w:ascii="Constantia" w:hAnsi="Constantia"/>
          <w:sz w:val="22"/>
          <w:szCs w:val="22"/>
        </w:rPr>
      </w:pPr>
      <w:r>
        <w:t xml:space="preserve"> </w:t>
      </w:r>
      <w:r w:rsidR="004B071C" w:rsidRPr="009C68D4">
        <w:rPr>
          <w:rFonts w:ascii="Constantia" w:hAnsi="Constantia"/>
          <w:sz w:val="22"/>
          <w:szCs w:val="22"/>
        </w:rPr>
        <w:t>Opšti podaci o istra</w:t>
      </w:r>
      <w:r w:rsidR="00140CFA">
        <w:rPr>
          <w:rFonts w:ascii="Constantia" w:hAnsi="Constantia"/>
          <w:sz w:val="22"/>
          <w:szCs w:val="22"/>
        </w:rPr>
        <w:t>živanim lokalitetima herpetofaune</w:t>
      </w:r>
    </w:p>
    <w:p w:rsidR="00EC35D7" w:rsidRDefault="00EC35D7" w:rsidP="00EC35D7">
      <w:pPr>
        <w:pStyle w:val="Tabele"/>
        <w:numPr>
          <w:ilvl w:val="0"/>
          <w:numId w:val="0"/>
        </w:numPr>
        <w:spacing w:before="60"/>
        <w:ind w:left="714"/>
        <w:jc w:val="both"/>
      </w:pPr>
    </w:p>
    <w:tbl>
      <w:tblPr>
        <w:tblW w:w="9288"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firstRow="1" w:lastRow="0" w:firstColumn="1" w:lastColumn="0" w:noHBand="0" w:noVBand="1"/>
      </w:tblPr>
      <w:tblGrid>
        <w:gridCol w:w="2078"/>
        <w:gridCol w:w="2501"/>
        <w:gridCol w:w="2507"/>
        <w:gridCol w:w="2202"/>
      </w:tblGrid>
      <w:tr w:rsidR="004B071C" w:rsidRPr="00BC76D0" w:rsidTr="004E680E">
        <w:trPr>
          <w:trHeight w:val="369"/>
        </w:trPr>
        <w:tc>
          <w:tcPr>
            <w:tcW w:w="2078" w:type="dxa"/>
            <w:shd w:val="clear" w:color="auto" w:fill="E6EED5"/>
          </w:tcPr>
          <w:p w:rsidR="004B071C" w:rsidRPr="00BC76D0" w:rsidRDefault="004B071C" w:rsidP="009C68D4">
            <w:pPr>
              <w:jc w:val="center"/>
              <w:rPr>
                <w:rFonts w:ascii="Constantia" w:hAnsi="Constantia"/>
                <w:b/>
                <w:bCs/>
                <w:szCs w:val="22"/>
              </w:rPr>
            </w:pPr>
            <w:r w:rsidRPr="00BC76D0">
              <w:rPr>
                <w:rFonts w:ascii="Constantia" w:hAnsi="Constantia"/>
                <w:b/>
                <w:bCs/>
                <w:szCs w:val="22"/>
              </w:rPr>
              <w:t>Vrsta</w:t>
            </w:r>
          </w:p>
        </w:tc>
        <w:tc>
          <w:tcPr>
            <w:tcW w:w="2501" w:type="dxa"/>
            <w:shd w:val="clear" w:color="auto" w:fill="E6EED5"/>
          </w:tcPr>
          <w:p w:rsidR="004B071C" w:rsidRPr="00BC76D0" w:rsidRDefault="004B071C" w:rsidP="009C68D4">
            <w:pPr>
              <w:jc w:val="center"/>
              <w:rPr>
                <w:rFonts w:ascii="Constantia" w:hAnsi="Constantia"/>
                <w:b/>
                <w:bCs/>
                <w:szCs w:val="22"/>
              </w:rPr>
            </w:pPr>
            <w:r w:rsidRPr="00BC76D0">
              <w:rPr>
                <w:rFonts w:ascii="Constantia" w:hAnsi="Constantia"/>
                <w:b/>
                <w:bCs/>
                <w:szCs w:val="22"/>
              </w:rPr>
              <w:t>Karakter prisustva vrste</w:t>
            </w:r>
          </w:p>
        </w:tc>
        <w:tc>
          <w:tcPr>
            <w:tcW w:w="2507" w:type="dxa"/>
            <w:shd w:val="clear" w:color="auto" w:fill="E6EED5"/>
          </w:tcPr>
          <w:p w:rsidR="004B071C" w:rsidRPr="00BC76D0" w:rsidRDefault="004B071C" w:rsidP="009C68D4">
            <w:pPr>
              <w:jc w:val="center"/>
              <w:rPr>
                <w:rFonts w:ascii="Constantia" w:hAnsi="Constantia"/>
                <w:b/>
                <w:bCs/>
                <w:szCs w:val="22"/>
              </w:rPr>
            </w:pPr>
            <w:r w:rsidRPr="00BC76D0">
              <w:rPr>
                <w:rFonts w:ascii="Constantia" w:hAnsi="Constantia"/>
                <w:b/>
                <w:bCs/>
                <w:szCs w:val="22"/>
              </w:rPr>
              <w:t>Opisno</w:t>
            </w:r>
          </w:p>
        </w:tc>
        <w:tc>
          <w:tcPr>
            <w:tcW w:w="2202" w:type="dxa"/>
            <w:shd w:val="clear" w:color="auto" w:fill="E6EED5"/>
          </w:tcPr>
          <w:p w:rsidR="004B071C" w:rsidRPr="00BC76D0" w:rsidRDefault="004B071C" w:rsidP="00BC76D0">
            <w:pPr>
              <w:jc w:val="center"/>
              <w:rPr>
                <w:rFonts w:ascii="Constantia" w:hAnsi="Constantia"/>
                <w:b/>
                <w:bCs/>
                <w:szCs w:val="22"/>
              </w:rPr>
            </w:pPr>
            <w:r w:rsidRPr="00BC76D0">
              <w:rPr>
                <w:rFonts w:ascii="Constantia" w:hAnsi="Constantia"/>
                <w:b/>
                <w:bCs/>
                <w:szCs w:val="22"/>
              </w:rPr>
              <w:t>Ocjena stepena očuvanosti</w:t>
            </w:r>
          </w:p>
        </w:tc>
      </w:tr>
      <w:tr w:rsidR="004B071C" w:rsidRPr="00BC76D0" w:rsidTr="009C68D4">
        <w:trPr>
          <w:trHeight w:val="569"/>
        </w:trPr>
        <w:tc>
          <w:tcPr>
            <w:tcW w:w="2078" w:type="dxa"/>
            <w:shd w:val="clear" w:color="auto" w:fill="CDDDAC"/>
          </w:tcPr>
          <w:p w:rsidR="004B071C" w:rsidRPr="00BC76D0" w:rsidRDefault="004B071C" w:rsidP="004E680E">
            <w:pPr>
              <w:spacing w:after="0"/>
              <w:jc w:val="left"/>
              <w:rPr>
                <w:rFonts w:ascii="Constantia" w:hAnsi="Constantia"/>
                <w:b/>
                <w:bCs/>
                <w:color w:val="000000"/>
                <w:szCs w:val="22"/>
              </w:rPr>
            </w:pPr>
            <w:r w:rsidRPr="00BC76D0">
              <w:rPr>
                <w:rFonts w:ascii="Constantia" w:hAnsi="Constantia"/>
                <w:b/>
                <w:bCs/>
                <w:color w:val="000000"/>
                <w:szCs w:val="22"/>
              </w:rPr>
              <w:t> </w:t>
            </w:r>
            <w:r w:rsidRPr="00BC76D0">
              <w:rPr>
                <w:rFonts w:ascii="Constantia" w:hAnsi="Constantia"/>
                <w:b/>
                <w:bCs/>
                <w:i/>
                <w:color w:val="000000"/>
                <w:szCs w:val="22"/>
              </w:rPr>
              <w:t>Podarcis muralis</w:t>
            </w:r>
            <w:r w:rsidRPr="00BC76D0">
              <w:rPr>
                <w:rFonts w:ascii="Constantia" w:hAnsi="Constantia"/>
                <w:b/>
                <w:bCs/>
                <w:color w:val="000000"/>
                <w:szCs w:val="22"/>
              </w:rPr>
              <w:t xml:space="preserve"> </w:t>
            </w:r>
          </w:p>
        </w:tc>
        <w:tc>
          <w:tcPr>
            <w:tcW w:w="2501" w:type="dxa"/>
            <w:shd w:val="clear" w:color="auto" w:fill="CDDDAC"/>
          </w:tcPr>
          <w:p w:rsidR="004B071C" w:rsidRPr="00BC76D0" w:rsidRDefault="004B071C" w:rsidP="009C68D4">
            <w:pPr>
              <w:spacing w:after="0" w:line="276" w:lineRule="auto"/>
              <w:jc w:val="center"/>
              <w:rPr>
                <w:rFonts w:ascii="Constantia" w:eastAsia="Calibri" w:hAnsi="Constantia"/>
                <w:szCs w:val="22"/>
              </w:rPr>
            </w:pPr>
            <w:r w:rsidRPr="00BC76D0">
              <w:rPr>
                <w:rFonts w:ascii="Constantia" w:eastAsia="Calibri" w:hAnsi="Constantia"/>
                <w:szCs w:val="22"/>
              </w:rPr>
              <w:t>Uzgoj/reprodukcija</w:t>
            </w:r>
          </w:p>
        </w:tc>
        <w:tc>
          <w:tcPr>
            <w:tcW w:w="2507" w:type="dxa"/>
            <w:shd w:val="clear" w:color="auto" w:fill="CDDDAC"/>
          </w:tcPr>
          <w:p w:rsidR="004B071C" w:rsidRPr="00BC76D0" w:rsidRDefault="004B071C" w:rsidP="009C68D4">
            <w:pPr>
              <w:spacing w:after="0"/>
              <w:contextualSpacing/>
              <w:jc w:val="left"/>
              <w:rPr>
                <w:rFonts w:ascii="Constantia" w:hAnsi="Constantia"/>
                <w:szCs w:val="22"/>
              </w:rPr>
            </w:pPr>
            <w:r w:rsidRPr="00BC76D0">
              <w:rPr>
                <w:rFonts w:ascii="Constantia" w:hAnsi="Constantia"/>
                <w:szCs w:val="22"/>
              </w:rPr>
              <w:t>Populacija u odličnom stanju</w:t>
            </w:r>
          </w:p>
        </w:tc>
        <w:tc>
          <w:tcPr>
            <w:tcW w:w="2202" w:type="dxa"/>
            <w:shd w:val="clear" w:color="auto" w:fill="CDDDAC"/>
          </w:tcPr>
          <w:p w:rsidR="004B071C" w:rsidRPr="00BC76D0" w:rsidRDefault="004B071C" w:rsidP="00BC76D0">
            <w:pPr>
              <w:spacing w:after="0" w:line="276" w:lineRule="auto"/>
              <w:jc w:val="center"/>
              <w:rPr>
                <w:rFonts w:ascii="Constantia" w:eastAsia="Calibri" w:hAnsi="Constantia"/>
                <w:szCs w:val="22"/>
              </w:rPr>
            </w:pPr>
            <w:r w:rsidRPr="00BC76D0">
              <w:rPr>
                <w:rFonts w:ascii="Constantia" w:eastAsia="Calibri" w:hAnsi="Constantia"/>
                <w:szCs w:val="22"/>
              </w:rPr>
              <w:t>Ocjena stepena zaštite (Očuvanost)</w:t>
            </w:r>
          </w:p>
        </w:tc>
      </w:tr>
      <w:tr w:rsidR="004B071C" w:rsidRPr="00BC76D0" w:rsidTr="004E680E">
        <w:trPr>
          <w:trHeight w:val="369"/>
        </w:trPr>
        <w:tc>
          <w:tcPr>
            <w:tcW w:w="2078" w:type="dxa"/>
            <w:shd w:val="clear" w:color="auto" w:fill="E6EED5"/>
          </w:tcPr>
          <w:p w:rsidR="004B071C" w:rsidRPr="00BC76D0" w:rsidRDefault="004B071C" w:rsidP="004E680E">
            <w:pPr>
              <w:spacing w:after="0"/>
              <w:jc w:val="left"/>
              <w:rPr>
                <w:rFonts w:ascii="Constantia" w:hAnsi="Constantia"/>
                <w:b/>
                <w:bCs/>
                <w:i/>
                <w:color w:val="000000"/>
                <w:szCs w:val="22"/>
              </w:rPr>
            </w:pPr>
            <w:r w:rsidRPr="00BC76D0">
              <w:rPr>
                <w:rFonts w:ascii="Constantia" w:hAnsi="Constantia"/>
                <w:b/>
                <w:bCs/>
                <w:i/>
                <w:color w:val="000000"/>
                <w:szCs w:val="22"/>
              </w:rPr>
              <w:t>Podarcis melliselensis</w:t>
            </w:r>
          </w:p>
        </w:tc>
        <w:tc>
          <w:tcPr>
            <w:tcW w:w="2501" w:type="dxa"/>
            <w:shd w:val="clear" w:color="auto" w:fill="E6EED5"/>
          </w:tcPr>
          <w:p w:rsidR="004B071C" w:rsidRPr="00BC76D0" w:rsidRDefault="004B071C" w:rsidP="009C68D4">
            <w:pPr>
              <w:spacing w:after="200" w:line="276" w:lineRule="auto"/>
              <w:jc w:val="center"/>
              <w:rPr>
                <w:rFonts w:ascii="Constantia" w:eastAsia="Calibri" w:hAnsi="Constantia"/>
                <w:szCs w:val="22"/>
              </w:rPr>
            </w:pPr>
            <w:r w:rsidRPr="00BC76D0">
              <w:rPr>
                <w:rFonts w:ascii="Constantia" w:eastAsia="Calibri" w:hAnsi="Constantia"/>
                <w:szCs w:val="22"/>
              </w:rPr>
              <w:t>Uzgoj/reprodukcija</w:t>
            </w:r>
          </w:p>
        </w:tc>
        <w:tc>
          <w:tcPr>
            <w:tcW w:w="2507" w:type="dxa"/>
            <w:shd w:val="clear" w:color="auto" w:fill="E6EED5"/>
          </w:tcPr>
          <w:p w:rsidR="004B071C" w:rsidRPr="00BC76D0" w:rsidRDefault="004B071C" w:rsidP="004E680E">
            <w:pPr>
              <w:contextualSpacing/>
              <w:jc w:val="left"/>
              <w:rPr>
                <w:rFonts w:ascii="Constantia" w:hAnsi="Constantia"/>
                <w:szCs w:val="22"/>
              </w:rPr>
            </w:pPr>
            <w:r w:rsidRPr="00BC76D0">
              <w:rPr>
                <w:rFonts w:ascii="Constantia" w:hAnsi="Constantia"/>
                <w:szCs w:val="22"/>
              </w:rPr>
              <w:t>Populacija u odličnom stanju</w:t>
            </w:r>
          </w:p>
        </w:tc>
        <w:tc>
          <w:tcPr>
            <w:tcW w:w="2202" w:type="dxa"/>
            <w:shd w:val="clear" w:color="auto" w:fill="E6EED5"/>
          </w:tcPr>
          <w:p w:rsidR="004B071C" w:rsidRPr="00BC76D0" w:rsidRDefault="004B071C" w:rsidP="00BC76D0">
            <w:pPr>
              <w:spacing w:after="200" w:line="276" w:lineRule="auto"/>
              <w:jc w:val="center"/>
              <w:rPr>
                <w:rFonts w:ascii="Constantia" w:eastAsia="Calibri" w:hAnsi="Constantia"/>
                <w:szCs w:val="22"/>
              </w:rPr>
            </w:pPr>
            <w:r w:rsidRPr="00BC76D0">
              <w:rPr>
                <w:rFonts w:ascii="Constantia" w:eastAsia="Calibri" w:hAnsi="Constantia"/>
                <w:szCs w:val="22"/>
              </w:rPr>
              <w:t>II (B)</w:t>
            </w:r>
          </w:p>
        </w:tc>
      </w:tr>
      <w:tr w:rsidR="004B071C" w:rsidRPr="00BC76D0" w:rsidTr="004E680E">
        <w:trPr>
          <w:trHeight w:val="369"/>
        </w:trPr>
        <w:tc>
          <w:tcPr>
            <w:tcW w:w="2078" w:type="dxa"/>
            <w:shd w:val="clear" w:color="auto" w:fill="CDDDAC"/>
          </w:tcPr>
          <w:p w:rsidR="004B071C" w:rsidRPr="00BC76D0" w:rsidRDefault="004B071C" w:rsidP="004E680E">
            <w:pPr>
              <w:spacing w:after="0"/>
              <w:jc w:val="left"/>
              <w:rPr>
                <w:rFonts w:ascii="Constantia" w:hAnsi="Constantia"/>
                <w:b/>
                <w:bCs/>
                <w:color w:val="000000"/>
                <w:szCs w:val="22"/>
              </w:rPr>
            </w:pPr>
            <w:r w:rsidRPr="00BC76D0">
              <w:rPr>
                <w:rFonts w:ascii="Constantia" w:hAnsi="Constantia"/>
                <w:b/>
                <w:bCs/>
                <w:i/>
                <w:color w:val="000000"/>
                <w:szCs w:val="22"/>
              </w:rPr>
              <w:lastRenderedPageBreak/>
              <w:t>Adriolacerta oxycephala</w:t>
            </w:r>
            <w:r w:rsidRPr="00BC76D0">
              <w:rPr>
                <w:rFonts w:ascii="Constantia" w:hAnsi="Constantia"/>
                <w:b/>
                <w:bCs/>
                <w:color w:val="000000"/>
                <w:szCs w:val="22"/>
              </w:rPr>
              <w:t xml:space="preserve"> </w:t>
            </w:r>
          </w:p>
        </w:tc>
        <w:tc>
          <w:tcPr>
            <w:tcW w:w="2501" w:type="dxa"/>
            <w:shd w:val="clear" w:color="auto" w:fill="CDDDAC"/>
          </w:tcPr>
          <w:p w:rsidR="004B071C" w:rsidRPr="00BC76D0" w:rsidRDefault="004B071C" w:rsidP="009C68D4">
            <w:pPr>
              <w:spacing w:after="200" w:line="276" w:lineRule="auto"/>
              <w:jc w:val="center"/>
              <w:rPr>
                <w:rFonts w:ascii="Constantia" w:eastAsia="Calibri" w:hAnsi="Constantia"/>
                <w:szCs w:val="22"/>
              </w:rPr>
            </w:pPr>
            <w:r w:rsidRPr="00BC76D0">
              <w:rPr>
                <w:rFonts w:ascii="Constantia" w:eastAsia="Calibri" w:hAnsi="Constantia"/>
                <w:szCs w:val="22"/>
              </w:rPr>
              <w:t>Uzgoj/reprodukcija</w:t>
            </w:r>
          </w:p>
        </w:tc>
        <w:tc>
          <w:tcPr>
            <w:tcW w:w="2507" w:type="dxa"/>
            <w:shd w:val="clear" w:color="auto" w:fill="CDDDAC"/>
          </w:tcPr>
          <w:p w:rsidR="004B071C" w:rsidRPr="00BC76D0" w:rsidRDefault="004B071C" w:rsidP="004E680E">
            <w:pPr>
              <w:contextualSpacing/>
              <w:jc w:val="left"/>
              <w:rPr>
                <w:rFonts w:ascii="Constantia" w:hAnsi="Constantia"/>
                <w:szCs w:val="22"/>
              </w:rPr>
            </w:pPr>
            <w:r w:rsidRPr="00BC76D0">
              <w:rPr>
                <w:rFonts w:ascii="Constantia" w:hAnsi="Constantia"/>
                <w:szCs w:val="22"/>
              </w:rPr>
              <w:t>Zadovoljavajuće stanje populacije</w:t>
            </w:r>
          </w:p>
        </w:tc>
        <w:tc>
          <w:tcPr>
            <w:tcW w:w="2202" w:type="dxa"/>
            <w:shd w:val="clear" w:color="auto" w:fill="CDDDAC"/>
          </w:tcPr>
          <w:p w:rsidR="004B071C" w:rsidRPr="00BC76D0" w:rsidRDefault="004B071C" w:rsidP="00BC76D0">
            <w:pPr>
              <w:spacing w:after="200" w:line="276" w:lineRule="auto"/>
              <w:jc w:val="center"/>
              <w:rPr>
                <w:rFonts w:ascii="Constantia" w:eastAsia="Calibri" w:hAnsi="Constantia"/>
                <w:szCs w:val="22"/>
              </w:rPr>
            </w:pPr>
            <w:r w:rsidRPr="00BC76D0">
              <w:rPr>
                <w:rFonts w:ascii="Constantia" w:eastAsia="Calibri" w:hAnsi="Constantia"/>
                <w:szCs w:val="22"/>
              </w:rPr>
              <w:t>II (B)</w:t>
            </w:r>
          </w:p>
        </w:tc>
      </w:tr>
      <w:tr w:rsidR="004B071C" w:rsidRPr="00BC76D0" w:rsidTr="004E680E">
        <w:trPr>
          <w:trHeight w:val="369"/>
        </w:trPr>
        <w:tc>
          <w:tcPr>
            <w:tcW w:w="2078" w:type="dxa"/>
            <w:shd w:val="clear" w:color="auto" w:fill="E6EED5"/>
          </w:tcPr>
          <w:p w:rsidR="004B071C" w:rsidRPr="00BC76D0" w:rsidRDefault="004B071C" w:rsidP="004E680E">
            <w:pPr>
              <w:spacing w:after="0"/>
              <w:jc w:val="left"/>
              <w:rPr>
                <w:rFonts w:ascii="Constantia" w:hAnsi="Constantia"/>
                <w:b/>
                <w:bCs/>
                <w:color w:val="000000"/>
                <w:szCs w:val="22"/>
              </w:rPr>
            </w:pPr>
            <w:r w:rsidRPr="00BC76D0">
              <w:rPr>
                <w:rFonts w:ascii="Constantia" w:hAnsi="Constantia"/>
                <w:b/>
                <w:bCs/>
                <w:i/>
                <w:color w:val="000000"/>
                <w:szCs w:val="22"/>
              </w:rPr>
              <w:t>Lacerta trilineata</w:t>
            </w:r>
            <w:r w:rsidRPr="00BC76D0">
              <w:rPr>
                <w:rFonts w:ascii="Constantia" w:hAnsi="Constantia"/>
                <w:b/>
                <w:bCs/>
                <w:color w:val="000000"/>
                <w:szCs w:val="22"/>
              </w:rPr>
              <w:t xml:space="preserve"> </w:t>
            </w:r>
          </w:p>
        </w:tc>
        <w:tc>
          <w:tcPr>
            <w:tcW w:w="2501" w:type="dxa"/>
            <w:shd w:val="clear" w:color="auto" w:fill="E6EED5"/>
          </w:tcPr>
          <w:p w:rsidR="004B071C" w:rsidRPr="00BC76D0" w:rsidRDefault="004B071C" w:rsidP="009C68D4">
            <w:pPr>
              <w:spacing w:after="200" w:line="276" w:lineRule="auto"/>
              <w:jc w:val="center"/>
              <w:rPr>
                <w:rFonts w:ascii="Constantia" w:eastAsia="Calibri" w:hAnsi="Constantia"/>
                <w:szCs w:val="22"/>
              </w:rPr>
            </w:pPr>
            <w:r w:rsidRPr="00BC76D0">
              <w:rPr>
                <w:rFonts w:ascii="Constantia" w:eastAsia="Calibri" w:hAnsi="Constantia"/>
                <w:szCs w:val="22"/>
              </w:rPr>
              <w:t>Uzgoj/reprodukcija</w:t>
            </w:r>
          </w:p>
        </w:tc>
        <w:tc>
          <w:tcPr>
            <w:tcW w:w="2507" w:type="dxa"/>
            <w:shd w:val="clear" w:color="auto" w:fill="E6EED5"/>
          </w:tcPr>
          <w:p w:rsidR="004B071C" w:rsidRPr="00BC76D0" w:rsidRDefault="004B071C" w:rsidP="004E680E">
            <w:pPr>
              <w:contextualSpacing/>
              <w:jc w:val="left"/>
              <w:rPr>
                <w:rFonts w:ascii="Constantia" w:hAnsi="Constantia"/>
                <w:szCs w:val="22"/>
              </w:rPr>
            </w:pPr>
            <w:r w:rsidRPr="00BC76D0">
              <w:rPr>
                <w:rFonts w:ascii="Constantia" w:hAnsi="Constantia"/>
                <w:szCs w:val="22"/>
              </w:rPr>
              <w:t>Zadovoljavajuće stanje populacije</w:t>
            </w:r>
          </w:p>
        </w:tc>
        <w:tc>
          <w:tcPr>
            <w:tcW w:w="2202" w:type="dxa"/>
            <w:shd w:val="clear" w:color="auto" w:fill="E6EED5"/>
          </w:tcPr>
          <w:p w:rsidR="004B071C" w:rsidRPr="00BC76D0" w:rsidRDefault="004B071C" w:rsidP="00BC76D0">
            <w:pPr>
              <w:spacing w:after="200" w:line="276" w:lineRule="auto"/>
              <w:jc w:val="center"/>
              <w:rPr>
                <w:rFonts w:ascii="Constantia" w:eastAsia="Calibri" w:hAnsi="Constantia"/>
                <w:szCs w:val="22"/>
              </w:rPr>
            </w:pPr>
            <w:r w:rsidRPr="00BC76D0">
              <w:rPr>
                <w:rFonts w:ascii="Constantia" w:eastAsia="Calibri" w:hAnsi="Constantia"/>
                <w:szCs w:val="22"/>
              </w:rPr>
              <w:t>II (B)</w:t>
            </w:r>
          </w:p>
        </w:tc>
      </w:tr>
      <w:tr w:rsidR="004B071C" w:rsidRPr="00BC76D0" w:rsidTr="004E680E">
        <w:trPr>
          <w:trHeight w:val="369"/>
        </w:trPr>
        <w:tc>
          <w:tcPr>
            <w:tcW w:w="2078" w:type="dxa"/>
            <w:shd w:val="clear" w:color="auto" w:fill="CDDDAC"/>
          </w:tcPr>
          <w:p w:rsidR="004B071C" w:rsidRPr="00BC76D0" w:rsidRDefault="004B071C" w:rsidP="004E680E">
            <w:pPr>
              <w:spacing w:after="0"/>
              <w:jc w:val="left"/>
              <w:rPr>
                <w:rFonts w:ascii="Constantia" w:hAnsi="Constantia"/>
                <w:b/>
                <w:bCs/>
                <w:color w:val="000000"/>
                <w:szCs w:val="22"/>
              </w:rPr>
            </w:pPr>
            <w:r w:rsidRPr="00BC76D0">
              <w:rPr>
                <w:rFonts w:ascii="Constantia" w:hAnsi="Constantia"/>
                <w:b/>
                <w:bCs/>
                <w:i/>
                <w:color w:val="000000"/>
                <w:szCs w:val="22"/>
              </w:rPr>
              <w:t>Testudo hermanni</w:t>
            </w:r>
            <w:r w:rsidRPr="00BC76D0">
              <w:rPr>
                <w:rFonts w:ascii="Constantia" w:hAnsi="Constantia"/>
                <w:b/>
                <w:bCs/>
                <w:color w:val="000000"/>
                <w:szCs w:val="22"/>
              </w:rPr>
              <w:t xml:space="preserve"> </w:t>
            </w:r>
          </w:p>
        </w:tc>
        <w:tc>
          <w:tcPr>
            <w:tcW w:w="2501" w:type="dxa"/>
            <w:shd w:val="clear" w:color="auto" w:fill="CDDDAC"/>
          </w:tcPr>
          <w:p w:rsidR="004B071C" w:rsidRPr="00BC76D0" w:rsidRDefault="004B071C" w:rsidP="009C68D4">
            <w:pPr>
              <w:spacing w:after="200" w:line="276" w:lineRule="auto"/>
              <w:jc w:val="center"/>
              <w:rPr>
                <w:rFonts w:ascii="Constantia" w:eastAsia="Calibri" w:hAnsi="Constantia"/>
                <w:szCs w:val="22"/>
              </w:rPr>
            </w:pPr>
            <w:r w:rsidRPr="00BC76D0">
              <w:rPr>
                <w:rFonts w:ascii="Constantia" w:eastAsia="Calibri" w:hAnsi="Constantia"/>
                <w:szCs w:val="22"/>
              </w:rPr>
              <w:t>Uzgoj/reprodukcija</w:t>
            </w:r>
          </w:p>
        </w:tc>
        <w:tc>
          <w:tcPr>
            <w:tcW w:w="2507" w:type="dxa"/>
            <w:shd w:val="clear" w:color="auto" w:fill="CDDDAC"/>
          </w:tcPr>
          <w:p w:rsidR="004B071C" w:rsidRPr="00BC76D0" w:rsidRDefault="004B071C" w:rsidP="004E680E">
            <w:pPr>
              <w:contextualSpacing/>
              <w:jc w:val="left"/>
              <w:rPr>
                <w:rFonts w:ascii="Constantia" w:hAnsi="Constantia"/>
                <w:szCs w:val="22"/>
              </w:rPr>
            </w:pPr>
            <w:r w:rsidRPr="00BC76D0">
              <w:rPr>
                <w:rFonts w:ascii="Constantia" w:hAnsi="Constantia"/>
                <w:szCs w:val="22"/>
              </w:rPr>
              <w:t>Zadovoljavajuće stanje populacije</w:t>
            </w:r>
          </w:p>
        </w:tc>
        <w:tc>
          <w:tcPr>
            <w:tcW w:w="2202" w:type="dxa"/>
            <w:shd w:val="clear" w:color="auto" w:fill="CDDDAC"/>
          </w:tcPr>
          <w:p w:rsidR="004B071C" w:rsidRPr="00BC76D0" w:rsidRDefault="004B071C" w:rsidP="00BC76D0">
            <w:pPr>
              <w:spacing w:after="200" w:line="276" w:lineRule="auto"/>
              <w:jc w:val="center"/>
              <w:rPr>
                <w:rFonts w:ascii="Constantia" w:eastAsia="Calibri" w:hAnsi="Constantia"/>
                <w:szCs w:val="22"/>
              </w:rPr>
            </w:pPr>
            <w:r w:rsidRPr="00BC76D0">
              <w:rPr>
                <w:rFonts w:ascii="Constantia" w:eastAsia="Calibri" w:hAnsi="Constantia"/>
                <w:szCs w:val="22"/>
              </w:rPr>
              <w:t>II (B)</w:t>
            </w:r>
          </w:p>
        </w:tc>
      </w:tr>
      <w:tr w:rsidR="004B071C" w:rsidRPr="00BC76D0" w:rsidTr="004E680E">
        <w:trPr>
          <w:trHeight w:val="369"/>
        </w:trPr>
        <w:tc>
          <w:tcPr>
            <w:tcW w:w="2078" w:type="dxa"/>
            <w:shd w:val="clear" w:color="auto" w:fill="E6EED5"/>
          </w:tcPr>
          <w:p w:rsidR="004B071C" w:rsidRPr="00BC76D0" w:rsidRDefault="004B071C" w:rsidP="004E680E">
            <w:pPr>
              <w:spacing w:after="0"/>
              <w:jc w:val="left"/>
              <w:rPr>
                <w:rFonts w:ascii="Constantia" w:hAnsi="Constantia"/>
                <w:b/>
                <w:bCs/>
                <w:i/>
                <w:color w:val="000000"/>
                <w:szCs w:val="22"/>
              </w:rPr>
            </w:pPr>
            <w:r w:rsidRPr="00BC76D0">
              <w:rPr>
                <w:rFonts w:ascii="Constantia" w:hAnsi="Constantia"/>
                <w:b/>
                <w:bCs/>
                <w:i/>
                <w:color w:val="000000"/>
                <w:szCs w:val="22"/>
              </w:rPr>
              <w:t>Vipera ammodytes</w:t>
            </w:r>
          </w:p>
        </w:tc>
        <w:tc>
          <w:tcPr>
            <w:tcW w:w="2501" w:type="dxa"/>
            <w:shd w:val="clear" w:color="auto" w:fill="E6EED5"/>
          </w:tcPr>
          <w:p w:rsidR="004B071C" w:rsidRPr="00BC76D0" w:rsidRDefault="004B071C" w:rsidP="009C68D4">
            <w:pPr>
              <w:spacing w:after="200" w:line="276" w:lineRule="auto"/>
              <w:jc w:val="center"/>
              <w:rPr>
                <w:rFonts w:ascii="Constantia" w:eastAsia="Calibri" w:hAnsi="Constantia"/>
                <w:szCs w:val="22"/>
              </w:rPr>
            </w:pPr>
            <w:r w:rsidRPr="00BC76D0">
              <w:rPr>
                <w:rFonts w:ascii="Constantia" w:eastAsia="Calibri" w:hAnsi="Constantia"/>
                <w:szCs w:val="22"/>
              </w:rPr>
              <w:t>Uzgoj/reprodukcija</w:t>
            </w:r>
          </w:p>
        </w:tc>
        <w:tc>
          <w:tcPr>
            <w:tcW w:w="2507" w:type="dxa"/>
            <w:shd w:val="clear" w:color="auto" w:fill="E6EED5"/>
          </w:tcPr>
          <w:p w:rsidR="004B071C" w:rsidRPr="00BC76D0" w:rsidRDefault="004B071C" w:rsidP="004E680E">
            <w:pPr>
              <w:contextualSpacing/>
              <w:jc w:val="left"/>
              <w:rPr>
                <w:rFonts w:ascii="Constantia" w:hAnsi="Constantia"/>
                <w:szCs w:val="22"/>
              </w:rPr>
            </w:pPr>
            <w:r w:rsidRPr="00BC76D0">
              <w:rPr>
                <w:rFonts w:ascii="Constantia" w:hAnsi="Constantia"/>
                <w:szCs w:val="22"/>
              </w:rPr>
              <w:t>Populacija u odličnom stanju</w:t>
            </w:r>
          </w:p>
        </w:tc>
        <w:tc>
          <w:tcPr>
            <w:tcW w:w="2202" w:type="dxa"/>
            <w:shd w:val="clear" w:color="auto" w:fill="E6EED5"/>
          </w:tcPr>
          <w:p w:rsidR="004B071C" w:rsidRPr="00BC76D0" w:rsidRDefault="004B071C" w:rsidP="00BC76D0">
            <w:pPr>
              <w:spacing w:after="200" w:line="276" w:lineRule="auto"/>
              <w:jc w:val="center"/>
              <w:rPr>
                <w:rFonts w:ascii="Constantia" w:eastAsia="Calibri" w:hAnsi="Constantia"/>
                <w:szCs w:val="22"/>
              </w:rPr>
            </w:pPr>
            <w:r w:rsidRPr="00BC76D0">
              <w:rPr>
                <w:rFonts w:ascii="Constantia" w:eastAsia="Calibri" w:hAnsi="Constantia"/>
                <w:szCs w:val="22"/>
              </w:rPr>
              <w:t>II (B)</w:t>
            </w:r>
          </w:p>
        </w:tc>
      </w:tr>
    </w:tbl>
    <w:p w:rsidR="004B071C" w:rsidRPr="009C68D4" w:rsidRDefault="004B071C" w:rsidP="004B071C">
      <w:pPr>
        <w:pStyle w:val="Tabele"/>
        <w:spacing w:before="60" w:after="240"/>
        <w:ind w:left="714" w:hanging="357"/>
        <w:rPr>
          <w:rFonts w:ascii="Constantia" w:hAnsi="Constantia"/>
          <w:sz w:val="22"/>
          <w:szCs w:val="22"/>
        </w:rPr>
      </w:pPr>
      <w:r>
        <w:t xml:space="preserve"> </w:t>
      </w:r>
      <w:r w:rsidRPr="002E3A97">
        <w:t xml:space="preserve"> </w:t>
      </w:r>
      <w:r w:rsidRPr="009C68D4">
        <w:rPr>
          <w:rFonts w:ascii="Constantia" w:hAnsi="Constantia"/>
          <w:sz w:val="22"/>
          <w:szCs w:val="22"/>
        </w:rPr>
        <w:t>Gmizavci i vodozemci</w:t>
      </w:r>
    </w:p>
    <w:p w:rsidR="009C68D4" w:rsidRDefault="009C68D4" w:rsidP="004B071C">
      <w:pPr>
        <w:pStyle w:val="Heading3"/>
        <w:rPr>
          <w:sz w:val="22"/>
          <w:szCs w:val="22"/>
        </w:rPr>
      </w:pPr>
    </w:p>
    <w:p w:rsidR="004B071C" w:rsidRPr="002E3A97" w:rsidRDefault="004B071C" w:rsidP="009C68D4">
      <w:pPr>
        <w:pStyle w:val="Heading3"/>
        <w:numPr>
          <w:ilvl w:val="2"/>
          <w:numId w:val="2"/>
        </w:numPr>
      </w:pPr>
      <w:bookmarkStart w:id="141" w:name="_Toc393897923"/>
      <w:r w:rsidRPr="009C68D4">
        <w:t>Komarnica</w:t>
      </w:r>
      <w:bookmarkEnd w:id="141"/>
    </w:p>
    <w:p w:rsidR="009C68D4" w:rsidRPr="009C68D4" w:rsidRDefault="009C68D4" w:rsidP="009C68D4">
      <w:pPr>
        <w:pStyle w:val="Heading4"/>
        <w:numPr>
          <w:ilvl w:val="0"/>
          <w:numId w:val="0"/>
        </w:numPr>
        <w:spacing w:before="0"/>
        <w:ind w:left="1134"/>
        <w:rPr>
          <w:sz w:val="22"/>
          <w:szCs w:val="22"/>
          <w:lang w:val="sr-Latn-CS"/>
        </w:rPr>
      </w:pPr>
    </w:p>
    <w:p w:rsidR="004B071C" w:rsidRPr="009C68D4" w:rsidRDefault="004B071C" w:rsidP="00BC76D0">
      <w:pPr>
        <w:pStyle w:val="Heading4"/>
        <w:spacing w:before="0"/>
        <w:ind w:left="990" w:hanging="990"/>
        <w:rPr>
          <w:sz w:val="22"/>
          <w:szCs w:val="22"/>
          <w:lang w:val="sr-Latn-CS"/>
        </w:rPr>
      </w:pPr>
      <w:r w:rsidRPr="009C68D4">
        <w:rPr>
          <w:sz w:val="22"/>
          <w:szCs w:val="22"/>
        </w:rPr>
        <w:t>Flora</w:t>
      </w:r>
    </w:p>
    <w:p w:rsidR="004B071C" w:rsidRPr="002E3A97" w:rsidRDefault="004B071C" w:rsidP="009C68D4">
      <w:pPr>
        <w:spacing w:before="60" w:after="0"/>
        <w:rPr>
          <w:i/>
          <w:szCs w:val="22"/>
          <w:lang w:val="sr-Latn-CS"/>
        </w:rPr>
      </w:pPr>
    </w:p>
    <w:tbl>
      <w:tblPr>
        <w:tblW w:w="9126" w:type="dxa"/>
        <w:jc w:val="center"/>
        <w:tblInd w:w="162"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firstRow="1" w:lastRow="0" w:firstColumn="1" w:lastColumn="0" w:noHBand="0" w:noVBand="1"/>
      </w:tblPr>
      <w:tblGrid>
        <w:gridCol w:w="1795"/>
        <w:gridCol w:w="1849"/>
        <w:gridCol w:w="2319"/>
        <w:gridCol w:w="3163"/>
      </w:tblGrid>
      <w:tr w:rsidR="004B071C" w:rsidRPr="000D2DE9" w:rsidTr="00AE0D84">
        <w:trPr>
          <w:jc w:val="center"/>
        </w:trPr>
        <w:tc>
          <w:tcPr>
            <w:tcW w:w="1795" w:type="dxa"/>
            <w:shd w:val="clear" w:color="auto" w:fill="E6EED5"/>
          </w:tcPr>
          <w:p w:rsidR="004B071C" w:rsidRPr="000D2DE9" w:rsidRDefault="004B071C" w:rsidP="009C68D4">
            <w:pPr>
              <w:jc w:val="center"/>
              <w:rPr>
                <w:rFonts w:ascii="Constantia" w:hAnsi="Constantia"/>
                <w:b/>
                <w:bCs/>
                <w:szCs w:val="22"/>
              </w:rPr>
            </w:pPr>
            <w:r w:rsidRPr="000D2DE9">
              <w:rPr>
                <w:rFonts w:ascii="Constantia" w:hAnsi="Constantia"/>
                <w:b/>
                <w:bCs/>
                <w:szCs w:val="22"/>
              </w:rPr>
              <w:t>Lokacija</w:t>
            </w:r>
          </w:p>
        </w:tc>
        <w:tc>
          <w:tcPr>
            <w:tcW w:w="1849" w:type="dxa"/>
            <w:shd w:val="clear" w:color="auto" w:fill="E6EED5"/>
          </w:tcPr>
          <w:p w:rsidR="004B071C" w:rsidRPr="000D2DE9" w:rsidRDefault="004B071C" w:rsidP="009C68D4">
            <w:pPr>
              <w:jc w:val="center"/>
              <w:rPr>
                <w:rFonts w:ascii="Constantia" w:hAnsi="Constantia"/>
                <w:b/>
                <w:bCs/>
                <w:szCs w:val="22"/>
              </w:rPr>
            </w:pPr>
            <w:r w:rsidRPr="000D2DE9">
              <w:rPr>
                <w:rFonts w:ascii="Constantia" w:hAnsi="Constantia"/>
                <w:b/>
                <w:bCs/>
                <w:szCs w:val="22"/>
              </w:rPr>
              <w:t>Koordinate</w:t>
            </w:r>
          </w:p>
        </w:tc>
        <w:tc>
          <w:tcPr>
            <w:tcW w:w="2319" w:type="dxa"/>
            <w:shd w:val="clear" w:color="auto" w:fill="E6EED5"/>
          </w:tcPr>
          <w:p w:rsidR="004B071C" w:rsidRPr="000D2DE9" w:rsidRDefault="004B071C" w:rsidP="009C68D4">
            <w:pPr>
              <w:spacing w:after="0" w:line="280" w:lineRule="exact"/>
              <w:jc w:val="center"/>
              <w:outlineLvl w:val="3"/>
              <w:rPr>
                <w:rFonts w:ascii="Constantia" w:hAnsi="Constantia"/>
                <w:b/>
                <w:bCs/>
                <w:szCs w:val="22"/>
              </w:rPr>
            </w:pPr>
            <w:r w:rsidRPr="000D2DE9">
              <w:rPr>
                <w:rFonts w:ascii="Constantia" w:hAnsi="Constantia"/>
                <w:b/>
                <w:bCs/>
                <w:szCs w:val="22"/>
              </w:rPr>
              <w:t>Datum terenskih istraživanja</w:t>
            </w:r>
          </w:p>
        </w:tc>
        <w:tc>
          <w:tcPr>
            <w:tcW w:w="3163" w:type="dxa"/>
            <w:shd w:val="clear" w:color="auto" w:fill="E6EED5"/>
          </w:tcPr>
          <w:p w:rsidR="004B071C" w:rsidRPr="000D2DE9" w:rsidRDefault="004B071C" w:rsidP="009C68D4">
            <w:pPr>
              <w:spacing w:after="0" w:line="280" w:lineRule="exact"/>
              <w:jc w:val="center"/>
              <w:outlineLvl w:val="3"/>
              <w:rPr>
                <w:rFonts w:ascii="Constantia" w:hAnsi="Constantia"/>
                <w:b/>
                <w:bCs/>
                <w:szCs w:val="22"/>
              </w:rPr>
            </w:pPr>
            <w:r w:rsidRPr="000D2DE9">
              <w:rPr>
                <w:rFonts w:ascii="Constantia" w:hAnsi="Constantia"/>
                <w:b/>
                <w:bCs/>
                <w:szCs w:val="22"/>
              </w:rPr>
              <w:t>Nadmorska visina</w:t>
            </w:r>
          </w:p>
        </w:tc>
      </w:tr>
      <w:tr w:rsidR="004B071C" w:rsidRPr="000D2DE9" w:rsidTr="00AE0D84">
        <w:trPr>
          <w:jc w:val="center"/>
        </w:trPr>
        <w:tc>
          <w:tcPr>
            <w:tcW w:w="1795" w:type="dxa"/>
            <w:shd w:val="clear" w:color="auto" w:fill="CDDDAC"/>
          </w:tcPr>
          <w:p w:rsidR="004B071C" w:rsidRPr="000D2DE9" w:rsidRDefault="004B071C" w:rsidP="004E680E">
            <w:pPr>
              <w:rPr>
                <w:rFonts w:ascii="Constantia" w:hAnsi="Constantia"/>
                <w:b/>
                <w:bCs/>
                <w:szCs w:val="22"/>
              </w:rPr>
            </w:pPr>
            <w:r w:rsidRPr="000D2DE9">
              <w:rPr>
                <w:rFonts w:ascii="Constantia" w:hAnsi="Constantia"/>
                <w:b/>
                <w:bCs/>
                <w:szCs w:val="22"/>
              </w:rPr>
              <w:t>Kanjon Komarnice</w:t>
            </w:r>
          </w:p>
        </w:tc>
        <w:tc>
          <w:tcPr>
            <w:tcW w:w="1849" w:type="dxa"/>
            <w:shd w:val="clear" w:color="auto" w:fill="CDDDAC"/>
          </w:tcPr>
          <w:p w:rsidR="004B071C" w:rsidRPr="000D2DE9" w:rsidRDefault="004B071C" w:rsidP="00AE0D84">
            <w:pPr>
              <w:jc w:val="center"/>
              <w:rPr>
                <w:rFonts w:ascii="Constantia" w:hAnsi="Constantia"/>
                <w:bCs/>
                <w:szCs w:val="22"/>
              </w:rPr>
            </w:pPr>
            <w:r w:rsidRPr="000D2DE9">
              <w:rPr>
                <w:rFonts w:ascii="Constantia" w:hAnsi="Constantia"/>
                <w:bCs/>
                <w:szCs w:val="22"/>
              </w:rPr>
              <w:t>N 420 59 061</w:t>
            </w:r>
          </w:p>
          <w:p w:rsidR="004B071C" w:rsidRPr="000D2DE9" w:rsidRDefault="004B071C" w:rsidP="00AE0D84">
            <w:pPr>
              <w:jc w:val="center"/>
              <w:rPr>
                <w:rFonts w:ascii="Constantia" w:hAnsi="Constantia"/>
                <w:bCs/>
                <w:szCs w:val="22"/>
              </w:rPr>
            </w:pPr>
            <w:r w:rsidRPr="000D2DE9">
              <w:rPr>
                <w:rFonts w:ascii="Constantia" w:hAnsi="Constantia"/>
                <w:bCs/>
                <w:szCs w:val="22"/>
              </w:rPr>
              <w:t>E 0190 04 032;  N 420 58 979</w:t>
            </w:r>
          </w:p>
          <w:p w:rsidR="004B071C" w:rsidRPr="000D2DE9" w:rsidRDefault="004B071C" w:rsidP="00AE0D84">
            <w:pPr>
              <w:spacing w:after="0"/>
              <w:jc w:val="center"/>
              <w:rPr>
                <w:rFonts w:ascii="Constantia" w:hAnsi="Constantia"/>
                <w:b/>
                <w:bCs/>
                <w:szCs w:val="22"/>
              </w:rPr>
            </w:pPr>
            <w:r w:rsidRPr="000D2DE9">
              <w:rPr>
                <w:rFonts w:ascii="Constantia" w:hAnsi="Constantia"/>
                <w:bCs/>
                <w:szCs w:val="22"/>
              </w:rPr>
              <w:t>E 0190 03 386</w:t>
            </w:r>
          </w:p>
        </w:tc>
        <w:tc>
          <w:tcPr>
            <w:tcW w:w="2319" w:type="dxa"/>
            <w:shd w:val="clear" w:color="auto" w:fill="CDDDAC"/>
          </w:tcPr>
          <w:p w:rsidR="004B071C" w:rsidRPr="000D2DE9" w:rsidRDefault="004B071C" w:rsidP="00AE0D84">
            <w:pPr>
              <w:jc w:val="center"/>
              <w:rPr>
                <w:rFonts w:ascii="Constantia" w:hAnsi="Constantia"/>
                <w:szCs w:val="22"/>
              </w:rPr>
            </w:pPr>
            <w:r w:rsidRPr="000D2DE9">
              <w:rPr>
                <w:rFonts w:ascii="Constantia" w:hAnsi="Constantia"/>
                <w:szCs w:val="22"/>
              </w:rPr>
              <w:t>18. 07. 2013.</w:t>
            </w:r>
          </w:p>
        </w:tc>
        <w:tc>
          <w:tcPr>
            <w:tcW w:w="3163" w:type="dxa"/>
            <w:shd w:val="clear" w:color="auto" w:fill="CDDDAC"/>
          </w:tcPr>
          <w:p w:rsidR="004B071C" w:rsidRPr="000D2DE9" w:rsidRDefault="004B071C" w:rsidP="00AE0D84">
            <w:pPr>
              <w:jc w:val="center"/>
              <w:rPr>
                <w:rFonts w:ascii="Constantia" w:hAnsi="Constantia"/>
                <w:szCs w:val="22"/>
              </w:rPr>
            </w:pPr>
            <w:r w:rsidRPr="000D2DE9">
              <w:rPr>
                <w:rFonts w:ascii="Constantia" w:hAnsi="Constantia"/>
                <w:szCs w:val="22"/>
              </w:rPr>
              <w:t>968 m</w:t>
            </w:r>
          </w:p>
        </w:tc>
      </w:tr>
    </w:tbl>
    <w:p w:rsidR="004B071C" w:rsidRDefault="00AE0D84" w:rsidP="004B071C">
      <w:pPr>
        <w:pStyle w:val="Tabele"/>
        <w:spacing w:before="60" w:after="240"/>
        <w:ind w:left="714" w:hanging="357"/>
        <w:rPr>
          <w:rFonts w:ascii="Constantia" w:hAnsi="Constantia"/>
          <w:sz w:val="22"/>
          <w:szCs w:val="22"/>
        </w:rPr>
      </w:pPr>
      <w:r>
        <w:rPr>
          <w:rFonts w:ascii="Constantia" w:hAnsi="Constantia"/>
          <w:sz w:val="22"/>
          <w:szCs w:val="22"/>
        </w:rPr>
        <w:t xml:space="preserve"> </w:t>
      </w:r>
      <w:r w:rsidR="004B071C" w:rsidRPr="00AE0D84">
        <w:rPr>
          <w:rFonts w:ascii="Constantia" w:hAnsi="Constantia"/>
          <w:sz w:val="22"/>
          <w:szCs w:val="22"/>
        </w:rPr>
        <w:t xml:space="preserve">Opšti podaci o istraživanim lokalitetima </w:t>
      </w:r>
      <w:r w:rsidR="00341013">
        <w:rPr>
          <w:rFonts w:ascii="Constantia" w:hAnsi="Constantia"/>
          <w:sz w:val="22"/>
          <w:szCs w:val="22"/>
        </w:rPr>
        <w:t xml:space="preserve">– </w:t>
      </w:r>
      <w:r w:rsidR="004B071C" w:rsidRPr="00AE0D84">
        <w:rPr>
          <w:rFonts w:ascii="Constantia" w:hAnsi="Constantia"/>
          <w:sz w:val="22"/>
          <w:szCs w:val="22"/>
        </w:rPr>
        <w:t>biljke</w:t>
      </w:r>
    </w:p>
    <w:p w:rsidR="00341013" w:rsidRPr="00AE0D84" w:rsidRDefault="00341013" w:rsidP="00341013">
      <w:pPr>
        <w:pStyle w:val="Tabele"/>
        <w:numPr>
          <w:ilvl w:val="0"/>
          <w:numId w:val="0"/>
        </w:numPr>
        <w:spacing w:before="60" w:after="0"/>
        <w:ind w:left="714"/>
        <w:jc w:val="both"/>
        <w:rPr>
          <w:rFonts w:ascii="Constantia" w:hAnsi="Constantia"/>
          <w:sz w:val="22"/>
          <w:szCs w:val="22"/>
        </w:rPr>
      </w:pPr>
    </w:p>
    <w:tbl>
      <w:tblPr>
        <w:tblW w:w="9090" w:type="dxa"/>
        <w:tblInd w:w="108"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firstRow="1" w:lastRow="0" w:firstColumn="1" w:lastColumn="0" w:noHBand="0" w:noVBand="1"/>
      </w:tblPr>
      <w:tblGrid>
        <w:gridCol w:w="1439"/>
        <w:gridCol w:w="2101"/>
        <w:gridCol w:w="5550"/>
      </w:tblGrid>
      <w:tr w:rsidR="004B071C" w:rsidRPr="000D2DE9" w:rsidTr="00341013">
        <w:tc>
          <w:tcPr>
            <w:tcW w:w="1426" w:type="dxa"/>
            <w:shd w:val="clear" w:color="auto" w:fill="E6EED5"/>
          </w:tcPr>
          <w:p w:rsidR="004B071C" w:rsidRPr="000D2DE9" w:rsidRDefault="004B071C" w:rsidP="00341013">
            <w:pPr>
              <w:spacing w:after="0"/>
              <w:jc w:val="center"/>
              <w:rPr>
                <w:rFonts w:ascii="Constantia" w:hAnsi="Constantia"/>
                <w:b/>
                <w:bCs/>
                <w:iCs/>
                <w:color w:val="000000"/>
                <w:spacing w:val="8"/>
                <w:szCs w:val="22"/>
                <w:lang w:val="sr-Latn-CS"/>
              </w:rPr>
            </w:pPr>
            <w:r w:rsidRPr="000D2DE9">
              <w:rPr>
                <w:rFonts w:ascii="Constantia" w:hAnsi="Constantia"/>
                <w:b/>
                <w:bCs/>
                <w:iCs/>
                <w:color w:val="000000"/>
                <w:spacing w:val="8"/>
                <w:szCs w:val="22"/>
                <w:lang w:val="sr-Latn-CS"/>
              </w:rPr>
              <w:t>Lokalitet</w:t>
            </w:r>
          </w:p>
        </w:tc>
        <w:tc>
          <w:tcPr>
            <w:tcW w:w="2102" w:type="dxa"/>
            <w:shd w:val="clear" w:color="auto" w:fill="E6EED5"/>
          </w:tcPr>
          <w:p w:rsidR="004B071C" w:rsidRPr="000D2DE9" w:rsidRDefault="004B071C" w:rsidP="00341013">
            <w:pPr>
              <w:spacing w:after="0"/>
              <w:jc w:val="center"/>
              <w:rPr>
                <w:rFonts w:ascii="Constantia" w:hAnsi="Constantia"/>
                <w:b/>
                <w:bCs/>
                <w:iCs/>
                <w:color w:val="000000"/>
                <w:spacing w:val="8"/>
                <w:szCs w:val="22"/>
                <w:lang w:val="sr-Latn-CS"/>
              </w:rPr>
            </w:pPr>
            <w:r w:rsidRPr="000D2DE9">
              <w:rPr>
                <w:rFonts w:ascii="Constantia" w:hAnsi="Constantia"/>
                <w:b/>
                <w:bCs/>
                <w:iCs/>
                <w:color w:val="000000"/>
                <w:spacing w:val="8"/>
                <w:szCs w:val="22"/>
                <w:lang w:val="sr-Latn-CS"/>
              </w:rPr>
              <w:t>Kategorija</w:t>
            </w:r>
          </w:p>
        </w:tc>
        <w:tc>
          <w:tcPr>
            <w:tcW w:w="5562" w:type="dxa"/>
            <w:shd w:val="clear" w:color="auto" w:fill="E6EED5"/>
          </w:tcPr>
          <w:p w:rsidR="004B071C" w:rsidRPr="000D2DE9" w:rsidRDefault="004B071C" w:rsidP="00341013">
            <w:pPr>
              <w:spacing w:after="0"/>
              <w:jc w:val="center"/>
              <w:rPr>
                <w:rFonts w:ascii="Constantia" w:hAnsi="Constantia"/>
                <w:b/>
                <w:bCs/>
                <w:iCs/>
                <w:color w:val="000000"/>
                <w:spacing w:val="8"/>
                <w:szCs w:val="22"/>
                <w:lang w:val="sr-Latn-CS"/>
              </w:rPr>
            </w:pPr>
            <w:r w:rsidRPr="000D2DE9">
              <w:rPr>
                <w:rFonts w:ascii="Constantia" w:hAnsi="Constantia"/>
                <w:b/>
                <w:bCs/>
                <w:iCs/>
                <w:color w:val="000000"/>
                <w:spacing w:val="8"/>
                <w:szCs w:val="22"/>
                <w:lang w:val="sr-Latn-CS"/>
              </w:rPr>
              <w:t>Vrste</w:t>
            </w:r>
          </w:p>
        </w:tc>
      </w:tr>
      <w:tr w:rsidR="004B071C" w:rsidRPr="000D2DE9" w:rsidTr="00341013">
        <w:trPr>
          <w:trHeight w:val="641"/>
        </w:trPr>
        <w:tc>
          <w:tcPr>
            <w:tcW w:w="1426" w:type="dxa"/>
            <w:vMerge w:val="restart"/>
            <w:shd w:val="clear" w:color="auto" w:fill="CDDDAC"/>
          </w:tcPr>
          <w:p w:rsidR="004B071C" w:rsidRPr="000D2DE9" w:rsidRDefault="004B071C" w:rsidP="00341013">
            <w:pPr>
              <w:spacing w:after="0"/>
              <w:rPr>
                <w:rFonts w:ascii="Constantia" w:hAnsi="Constantia"/>
                <w:b/>
                <w:bCs/>
                <w:iCs/>
                <w:color w:val="000000"/>
                <w:spacing w:val="8"/>
                <w:szCs w:val="22"/>
                <w:lang w:val="sr-Latn-CS"/>
              </w:rPr>
            </w:pPr>
            <w:r w:rsidRPr="000D2DE9">
              <w:rPr>
                <w:rFonts w:ascii="Constantia" w:hAnsi="Constantia"/>
                <w:b/>
                <w:bCs/>
                <w:iCs/>
                <w:color w:val="000000"/>
                <w:spacing w:val="8"/>
                <w:szCs w:val="22"/>
                <w:lang w:val="sr-Latn-CS"/>
              </w:rPr>
              <w:t>Kanjon Komarnice</w:t>
            </w:r>
          </w:p>
        </w:tc>
        <w:tc>
          <w:tcPr>
            <w:tcW w:w="2102" w:type="dxa"/>
            <w:shd w:val="clear" w:color="auto" w:fill="CDDDAC"/>
          </w:tcPr>
          <w:p w:rsidR="004B071C" w:rsidRPr="000D2DE9" w:rsidRDefault="004B071C" w:rsidP="00341013">
            <w:pPr>
              <w:spacing w:after="0"/>
              <w:rPr>
                <w:rFonts w:ascii="Constantia" w:hAnsi="Constantia"/>
                <w:bCs/>
                <w:iCs/>
                <w:color w:val="000000"/>
                <w:spacing w:val="8"/>
                <w:szCs w:val="22"/>
                <w:lang w:val="sr-Latn-CS"/>
              </w:rPr>
            </w:pPr>
            <w:r w:rsidRPr="000D2DE9">
              <w:rPr>
                <w:rFonts w:ascii="Constantia" w:hAnsi="Constantia"/>
                <w:bCs/>
                <w:iCs/>
                <w:color w:val="000000"/>
                <w:spacing w:val="8"/>
                <w:szCs w:val="22"/>
                <w:lang w:val="sr-Latn-CS"/>
              </w:rPr>
              <w:t>Ostale vrste/staništa:</w:t>
            </w:r>
          </w:p>
        </w:tc>
        <w:tc>
          <w:tcPr>
            <w:tcW w:w="5562" w:type="dxa"/>
            <w:shd w:val="clear" w:color="auto" w:fill="CDDDAC"/>
          </w:tcPr>
          <w:p w:rsidR="004B071C" w:rsidRPr="000D2DE9" w:rsidRDefault="004B071C" w:rsidP="00341013">
            <w:pPr>
              <w:spacing w:after="0"/>
              <w:rPr>
                <w:rFonts w:ascii="Constantia" w:hAnsi="Constantia"/>
                <w:bCs/>
                <w:i/>
                <w:iCs/>
                <w:color w:val="000000"/>
                <w:spacing w:val="8"/>
                <w:szCs w:val="22"/>
                <w:lang w:val="sr-Latn-CS"/>
              </w:rPr>
            </w:pPr>
            <w:r w:rsidRPr="000D2DE9">
              <w:rPr>
                <w:rFonts w:ascii="Constantia" w:hAnsi="Constantia"/>
                <w:bCs/>
                <w:i/>
                <w:iCs/>
                <w:color w:val="000000"/>
                <w:spacing w:val="8"/>
                <w:szCs w:val="22"/>
                <w:lang w:val="sr-Latn-CS"/>
              </w:rPr>
              <w:t xml:space="preserve">Ostrya carpinifolia Scop. </w:t>
            </w:r>
          </w:p>
          <w:p w:rsidR="004B071C" w:rsidRPr="000D2DE9" w:rsidRDefault="004B071C" w:rsidP="00341013">
            <w:pPr>
              <w:spacing w:after="0"/>
              <w:rPr>
                <w:rFonts w:ascii="Constantia" w:hAnsi="Constantia"/>
                <w:bCs/>
                <w:iCs/>
                <w:color w:val="000000"/>
                <w:spacing w:val="8"/>
                <w:szCs w:val="22"/>
                <w:lang w:val="sr-Latn-CS"/>
              </w:rPr>
            </w:pPr>
            <w:r w:rsidRPr="000D2DE9">
              <w:rPr>
                <w:rFonts w:ascii="Constantia" w:hAnsi="Constantia"/>
                <w:bCs/>
                <w:i/>
                <w:iCs/>
                <w:color w:val="000000"/>
                <w:spacing w:val="8"/>
                <w:szCs w:val="22"/>
                <w:lang w:val="sr-Latn-CS"/>
              </w:rPr>
              <w:t>Quercus cerris</w:t>
            </w:r>
          </w:p>
        </w:tc>
      </w:tr>
      <w:tr w:rsidR="004B071C" w:rsidRPr="000D2DE9" w:rsidTr="00341013">
        <w:tc>
          <w:tcPr>
            <w:tcW w:w="1426" w:type="dxa"/>
            <w:vMerge/>
            <w:shd w:val="clear" w:color="auto" w:fill="E6EED5"/>
          </w:tcPr>
          <w:p w:rsidR="004B071C" w:rsidRPr="000D2DE9" w:rsidRDefault="004B071C" w:rsidP="00341013">
            <w:pPr>
              <w:spacing w:after="0"/>
              <w:rPr>
                <w:rFonts w:ascii="Constantia" w:hAnsi="Constantia"/>
                <w:b/>
                <w:bCs/>
                <w:iCs/>
                <w:color w:val="000000"/>
                <w:spacing w:val="8"/>
                <w:szCs w:val="22"/>
                <w:lang w:val="sr-Latn-CS"/>
              </w:rPr>
            </w:pPr>
          </w:p>
        </w:tc>
        <w:tc>
          <w:tcPr>
            <w:tcW w:w="2102" w:type="dxa"/>
            <w:shd w:val="clear" w:color="auto" w:fill="E6EED5"/>
          </w:tcPr>
          <w:p w:rsidR="004B071C" w:rsidRPr="000D2DE9" w:rsidRDefault="004B071C" w:rsidP="00341013">
            <w:pPr>
              <w:spacing w:after="0"/>
              <w:rPr>
                <w:rFonts w:ascii="Constantia" w:hAnsi="Constantia"/>
                <w:b/>
                <w:bCs/>
                <w:iCs/>
                <w:color w:val="000000"/>
                <w:spacing w:val="8"/>
                <w:szCs w:val="22"/>
                <w:lang w:val="sr-Latn-CS"/>
              </w:rPr>
            </w:pPr>
            <w:r w:rsidRPr="000D2DE9">
              <w:rPr>
                <w:rFonts w:ascii="Constantia" w:hAnsi="Constantia"/>
                <w:iCs/>
                <w:color w:val="000000"/>
                <w:spacing w:val="8"/>
                <w:szCs w:val="22"/>
                <w:lang w:val="sr-Latn-CS"/>
              </w:rPr>
              <w:t>Utvrđeno stanje</w:t>
            </w:r>
          </w:p>
        </w:tc>
        <w:tc>
          <w:tcPr>
            <w:tcW w:w="5562" w:type="dxa"/>
            <w:shd w:val="clear" w:color="auto" w:fill="E6EED5"/>
          </w:tcPr>
          <w:p w:rsidR="004B071C" w:rsidRPr="000D2DE9" w:rsidRDefault="004B071C" w:rsidP="00341013">
            <w:pPr>
              <w:spacing w:after="0"/>
              <w:rPr>
                <w:rFonts w:ascii="Constantia" w:hAnsi="Constantia"/>
                <w:bCs/>
                <w:iCs/>
                <w:color w:val="000000"/>
                <w:spacing w:val="8"/>
                <w:szCs w:val="22"/>
                <w:lang w:val="sr-Latn-CS"/>
              </w:rPr>
            </w:pPr>
            <w:r w:rsidRPr="000D2DE9">
              <w:rPr>
                <w:rFonts w:ascii="Constantia" w:hAnsi="Constantia"/>
                <w:bCs/>
                <w:iCs/>
                <w:color w:val="000000"/>
                <w:spacing w:val="8"/>
                <w:szCs w:val="22"/>
                <w:lang w:val="sr-Latn-CS"/>
              </w:rPr>
              <w:t>Kanjon Komarnice odlikuje prisustvo termofilnih staništa u gornjem dijelu kanjona prema površi</w:t>
            </w:r>
            <w:r w:rsidR="00341013" w:rsidRPr="000D2DE9">
              <w:rPr>
                <w:rFonts w:ascii="Constantia" w:hAnsi="Constantia"/>
                <w:bCs/>
                <w:iCs/>
                <w:color w:val="000000"/>
                <w:spacing w:val="8"/>
                <w:szCs w:val="22"/>
                <w:lang w:val="sr-Latn-CS"/>
              </w:rPr>
              <w:t>,</w:t>
            </w:r>
            <w:r w:rsidRPr="000D2DE9">
              <w:rPr>
                <w:rFonts w:ascii="Constantia" w:hAnsi="Constantia"/>
                <w:bCs/>
                <w:iCs/>
                <w:color w:val="000000"/>
                <w:spacing w:val="8"/>
                <w:szCs w:val="22"/>
                <w:lang w:val="sr-Latn-CS"/>
              </w:rPr>
              <w:t xml:space="preserve"> dok su u donjem dijelu kanjona blizu rijeke staništa znatno hladnija na šta ukazuje i prisustvo bukve (</w:t>
            </w:r>
            <w:r w:rsidRPr="000D2DE9">
              <w:rPr>
                <w:rFonts w:ascii="Constantia" w:hAnsi="Constantia"/>
                <w:bCs/>
                <w:i/>
                <w:iCs/>
                <w:color w:val="000000"/>
                <w:spacing w:val="8"/>
                <w:szCs w:val="22"/>
                <w:lang w:val="sr-Latn-CS"/>
              </w:rPr>
              <w:t>Fagus moesiaca</w:t>
            </w:r>
            <w:r w:rsidRPr="000D2DE9">
              <w:rPr>
                <w:rFonts w:ascii="Constantia" w:hAnsi="Constantia"/>
                <w:bCs/>
                <w:iCs/>
                <w:color w:val="000000"/>
                <w:spacing w:val="8"/>
                <w:szCs w:val="22"/>
                <w:lang w:val="sr-Latn-CS"/>
              </w:rPr>
              <w:t xml:space="preserve">). </w:t>
            </w:r>
          </w:p>
          <w:p w:rsidR="004B071C" w:rsidRPr="000D2DE9" w:rsidRDefault="004B071C" w:rsidP="000D2DE9">
            <w:pPr>
              <w:rPr>
                <w:rFonts w:ascii="Constantia" w:hAnsi="Constantia"/>
                <w:b/>
                <w:bCs/>
                <w:iCs/>
                <w:color w:val="000000"/>
                <w:spacing w:val="8"/>
                <w:szCs w:val="22"/>
                <w:lang w:val="sr-Latn-CS"/>
              </w:rPr>
            </w:pPr>
            <w:r w:rsidRPr="000D2DE9">
              <w:rPr>
                <w:rFonts w:ascii="Constantia" w:hAnsi="Constantia"/>
                <w:bCs/>
                <w:iCs/>
                <w:color w:val="000000"/>
                <w:spacing w:val="8"/>
                <w:szCs w:val="22"/>
                <w:lang w:val="sr-Latn-CS"/>
              </w:rPr>
              <w:t xml:space="preserve">Dominantne biljne vrste u kanjonu Komarnice su </w:t>
            </w:r>
            <w:r w:rsidRPr="000D2DE9">
              <w:rPr>
                <w:rFonts w:ascii="Constantia" w:hAnsi="Constantia"/>
                <w:bCs/>
                <w:i/>
                <w:iCs/>
                <w:color w:val="000000"/>
                <w:spacing w:val="8"/>
                <w:szCs w:val="22"/>
                <w:lang w:val="sr-Latn-CS"/>
              </w:rPr>
              <w:t xml:space="preserve">Ostrya carpinifolia Scop., Quercus cerris, Cotinus coggygria, Fraxinus ornus, Sesleria autumnalis, Silene alba, Trifolium sp., Dactylis glomerata L., Tunica saxifrage, Helianthemum obscurum, Potentilla recta, Achillea millefolium, Clinopodium vulgare, Phleum pretense, Trifolium campestre, Viola odorata, Silene italica, Convolvulus arvensis, Asperula sp., Euphrasia stricta, Bupleurum baldense, Teucrium montanum, Eryngium campestre, Vicia sp., Geranium sp., Stachys officinalis, Campanula rapunculus, Eryngium palmatum, Galium molugo, Campanula rapunculus, Thymus sp., Allium dalmaticum, Allium flavum, Origanum vulgare, Hieracium pilosella s. l., Inula oculus christii, Galium verum, Scabiosa sp., Satureja </w:t>
            </w:r>
            <w:r w:rsidRPr="000D2DE9">
              <w:rPr>
                <w:rFonts w:ascii="Constantia" w:hAnsi="Constantia"/>
                <w:bCs/>
                <w:i/>
                <w:iCs/>
                <w:color w:val="000000"/>
                <w:spacing w:val="8"/>
                <w:szCs w:val="22"/>
                <w:lang w:val="sr-Latn-CS"/>
              </w:rPr>
              <w:lastRenderedPageBreak/>
              <w:t>montana. U nižem dijelu prema prema rijeci javljaju se Fagus moesiaca, Carpinus betulus, Hedera helix, Tilia platiphyllos, Fragaria vesca, Acer campestre, Acer platanoides, Phyllitis scolopendrium, Vicia sp., Hepatica triloba, Calamintha sylvatica.</w:t>
            </w:r>
          </w:p>
        </w:tc>
      </w:tr>
    </w:tbl>
    <w:p w:rsidR="004B071C" w:rsidRPr="00D7042A" w:rsidRDefault="004B071C" w:rsidP="00341013">
      <w:pPr>
        <w:pStyle w:val="Tabele"/>
        <w:spacing w:before="60" w:after="0"/>
        <w:ind w:left="714" w:hanging="357"/>
        <w:rPr>
          <w:rFonts w:ascii="Constantia" w:hAnsi="Constantia"/>
          <w:sz w:val="22"/>
          <w:szCs w:val="22"/>
        </w:rPr>
      </w:pPr>
      <w:r w:rsidRPr="00D7042A">
        <w:rPr>
          <w:rFonts w:ascii="Constantia" w:hAnsi="Constantia"/>
          <w:sz w:val="22"/>
          <w:szCs w:val="22"/>
        </w:rPr>
        <w:lastRenderedPageBreak/>
        <w:t>Biljne vrste</w:t>
      </w:r>
    </w:p>
    <w:p w:rsidR="004B071C" w:rsidRPr="002E3A97" w:rsidRDefault="004B071C" w:rsidP="004B071C">
      <w:pPr>
        <w:spacing w:before="60" w:after="240"/>
        <w:rPr>
          <w:i/>
          <w:szCs w:val="22"/>
          <w:lang w:val="sr-Latn-CS"/>
        </w:rPr>
      </w:pPr>
    </w:p>
    <w:p w:rsidR="004B071C" w:rsidRPr="00196552" w:rsidRDefault="004B071C" w:rsidP="00196552">
      <w:pPr>
        <w:pStyle w:val="Heading4"/>
        <w:ind w:left="990" w:hanging="990"/>
        <w:rPr>
          <w:sz w:val="22"/>
          <w:szCs w:val="22"/>
        </w:rPr>
      </w:pPr>
      <w:r w:rsidRPr="00196552">
        <w:rPr>
          <w:sz w:val="22"/>
          <w:szCs w:val="22"/>
        </w:rPr>
        <w:t>Dend</w:t>
      </w:r>
      <w:r w:rsidR="007F5821">
        <w:rPr>
          <w:sz w:val="22"/>
          <w:szCs w:val="22"/>
        </w:rPr>
        <w:t>r</w:t>
      </w:r>
      <w:r w:rsidRPr="00196552">
        <w:rPr>
          <w:sz w:val="22"/>
          <w:szCs w:val="22"/>
        </w:rPr>
        <w:t xml:space="preserve">oflora </w:t>
      </w:r>
    </w:p>
    <w:p w:rsidR="004B071C" w:rsidRPr="002E3A97" w:rsidRDefault="004B071C" w:rsidP="00196552">
      <w:pPr>
        <w:spacing w:before="60" w:after="0"/>
        <w:rPr>
          <w:i/>
          <w:szCs w:val="22"/>
          <w:lang w:val="sr-Latn-CS"/>
        </w:rPr>
      </w:pPr>
    </w:p>
    <w:tbl>
      <w:tblPr>
        <w:tblW w:w="9090" w:type="dxa"/>
        <w:tblInd w:w="108"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firstRow="1" w:lastRow="0" w:firstColumn="1" w:lastColumn="0" w:noHBand="0" w:noVBand="1"/>
      </w:tblPr>
      <w:tblGrid>
        <w:gridCol w:w="2802"/>
        <w:gridCol w:w="1849"/>
        <w:gridCol w:w="2319"/>
        <w:gridCol w:w="2120"/>
      </w:tblGrid>
      <w:tr w:rsidR="004B071C" w:rsidRPr="000D2DE9" w:rsidTr="005F13EA">
        <w:tc>
          <w:tcPr>
            <w:tcW w:w="2802" w:type="dxa"/>
            <w:shd w:val="clear" w:color="auto" w:fill="E6EED5"/>
          </w:tcPr>
          <w:p w:rsidR="004B071C" w:rsidRPr="000D2DE9" w:rsidRDefault="004B071C" w:rsidP="00230D0F">
            <w:pPr>
              <w:rPr>
                <w:rFonts w:ascii="Constantia" w:hAnsi="Constantia"/>
                <w:b/>
                <w:bCs/>
                <w:szCs w:val="22"/>
              </w:rPr>
            </w:pPr>
            <w:r w:rsidRPr="000D2DE9">
              <w:rPr>
                <w:rFonts w:ascii="Constantia" w:hAnsi="Constantia"/>
                <w:b/>
                <w:bCs/>
                <w:szCs w:val="22"/>
              </w:rPr>
              <w:t>Lokalitet</w:t>
            </w:r>
          </w:p>
        </w:tc>
        <w:tc>
          <w:tcPr>
            <w:tcW w:w="1849" w:type="dxa"/>
            <w:shd w:val="clear" w:color="auto" w:fill="E6EED5"/>
          </w:tcPr>
          <w:p w:rsidR="004B071C" w:rsidRPr="000D2DE9" w:rsidRDefault="004B071C" w:rsidP="00230D0F">
            <w:pPr>
              <w:rPr>
                <w:rFonts w:ascii="Constantia" w:hAnsi="Constantia"/>
                <w:b/>
                <w:bCs/>
                <w:szCs w:val="22"/>
              </w:rPr>
            </w:pPr>
            <w:r w:rsidRPr="000D2DE9">
              <w:rPr>
                <w:rFonts w:ascii="Constantia" w:hAnsi="Constantia"/>
                <w:b/>
                <w:bCs/>
                <w:szCs w:val="22"/>
              </w:rPr>
              <w:t>Koordinate</w:t>
            </w:r>
          </w:p>
        </w:tc>
        <w:tc>
          <w:tcPr>
            <w:tcW w:w="2319" w:type="dxa"/>
            <w:shd w:val="clear" w:color="auto" w:fill="E6EED5"/>
          </w:tcPr>
          <w:p w:rsidR="004B071C" w:rsidRPr="000D2DE9" w:rsidRDefault="004B071C" w:rsidP="00230D0F">
            <w:pPr>
              <w:spacing w:line="280" w:lineRule="exact"/>
              <w:outlineLvl w:val="3"/>
              <w:rPr>
                <w:rFonts w:ascii="Constantia" w:hAnsi="Constantia"/>
                <w:b/>
                <w:bCs/>
                <w:szCs w:val="22"/>
              </w:rPr>
            </w:pPr>
            <w:r w:rsidRPr="000D2DE9">
              <w:rPr>
                <w:rFonts w:ascii="Constantia" w:hAnsi="Constantia"/>
                <w:b/>
                <w:bCs/>
                <w:szCs w:val="22"/>
              </w:rPr>
              <w:t>Datum terenskih istraživanja</w:t>
            </w:r>
          </w:p>
        </w:tc>
        <w:tc>
          <w:tcPr>
            <w:tcW w:w="2120" w:type="dxa"/>
            <w:shd w:val="clear" w:color="auto" w:fill="E6EED5"/>
          </w:tcPr>
          <w:p w:rsidR="004B071C" w:rsidRPr="000D2DE9" w:rsidRDefault="004B071C" w:rsidP="00230D0F">
            <w:pPr>
              <w:spacing w:line="280" w:lineRule="exact"/>
              <w:outlineLvl w:val="3"/>
              <w:rPr>
                <w:rFonts w:ascii="Constantia" w:hAnsi="Constantia"/>
                <w:b/>
                <w:bCs/>
                <w:szCs w:val="22"/>
              </w:rPr>
            </w:pPr>
            <w:r w:rsidRPr="000D2DE9">
              <w:rPr>
                <w:rFonts w:ascii="Constantia" w:hAnsi="Constantia"/>
                <w:b/>
                <w:bCs/>
                <w:szCs w:val="22"/>
              </w:rPr>
              <w:t>Nadmorska visina</w:t>
            </w:r>
          </w:p>
        </w:tc>
      </w:tr>
      <w:tr w:rsidR="004B071C" w:rsidRPr="000D2DE9" w:rsidTr="005F13EA">
        <w:tc>
          <w:tcPr>
            <w:tcW w:w="2802" w:type="dxa"/>
            <w:shd w:val="clear" w:color="auto" w:fill="CDDDAC"/>
          </w:tcPr>
          <w:p w:rsidR="004B071C" w:rsidRPr="000D2DE9" w:rsidRDefault="004B071C" w:rsidP="00230D0F">
            <w:pPr>
              <w:jc w:val="left"/>
              <w:rPr>
                <w:rFonts w:ascii="Constantia" w:hAnsi="Constantia"/>
                <w:b/>
                <w:bCs/>
                <w:szCs w:val="22"/>
              </w:rPr>
            </w:pPr>
            <w:r w:rsidRPr="000D2DE9">
              <w:rPr>
                <w:rFonts w:ascii="Constantia" w:hAnsi="Constantia"/>
                <w:b/>
                <w:bCs/>
                <w:szCs w:val="22"/>
              </w:rPr>
              <w:t>Kanjon Komarcice:  kanjon Nevidio kod sela Pošćenje</w:t>
            </w:r>
          </w:p>
        </w:tc>
        <w:tc>
          <w:tcPr>
            <w:tcW w:w="1849" w:type="dxa"/>
            <w:shd w:val="clear" w:color="auto" w:fill="CDDDAC"/>
          </w:tcPr>
          <w:p w:rsidR="004B071C" w:rsidRPr="000D2DE9" w:rsidRDefault="004B071C" w:rsidP="00230D0F">
            <w:pPr>
              <w:rPr>
                <w:rFonts w:ascii="Constantia" w:hAnsi="Constantia"/>
                <w:bCs/>
                <w:szCs w:val="22"/>
              </w:rPr>
            </w:pPr>
            <w:r w:rsidRPr="000D2DE9">
              <w:rPr>
                <w:rFonts w:ascii="Constantia" w:hAnsi="Constantia"/>
                <w:bCs/>
                <w:szCs w:val="22"/>
              </w:rPr>
              <w:t>N 42°58’98.2’’, EO 19°03’65.9’’</w:t>
            </w:r>
          </w:p>
        </w:tc>
        <w:tc>
          <w:tcPr>
            <w:tcW w:w="2319" w:type="dxa"/>
            <w:shd w:val="clear" w:color="auto" w:fill="CDDDAC"/>
          </w:tcPr>
          <w:p w:rsidR="004B071C" w:rsidRPr="000D2DE9" w:rsidRDefault="004B071C" w:rsidP="00230D0F">
            <w:pPr>
              <w:jc w:val="center"/>
              <w:rPr>
                <w:rFonts w:ascii="Constantia" w:hAnsi="Constantia"/>
                <w:szCs w:val="22"/>
              </w:rPr>
            </w:pPr>
            <w:r w:rsidRPr="000D2DE9">
              <w:rPr>
                <w:rFonts w:ascii="Constantia" w:hAnsi="Constantia"/>
                <w:szCs w:val="22"/>
              </w:rPr>
              <w:t>18. 07. 2013.</w:t>
            </w:r>
          </w:p>
        </w:tc>
        <w:tc>
          <w:tcPr>
            <w:tcW w:w="2120" w:type="dxa"/>
            <w:shd w:val="clear" w:color="auto" w:fill="CDDDAC"/>
          </w:tcPr>
          <w:p w:rsidR="004B071C" w:rsidRPr="000D2DE9" w:rsidRDefault="004B071C" w:rsidP="00230D0F">
            <w:pPr>
              <w:jc w:val="center"/>
              <w:rPr>
                <w:rFonts w:ascii="Constantia" w:hAnsi="Constantia"/>
                <w:szCs w:val="22"/>
              </w:rPr>
            </w:pPr>
            <w:r w:rsidRPr="000D2DE9">
              <w:rPr>
                <w:rFonts w:ascii="Constantia" w:hAnsi="Constantia"/>
                <w:szCs w:val="22"/>
              </w:rPr>
              <w:t>1030 m</w:t>
            </w:r>
          </w:p>
        </w:tc>
      </w:tr>
      <w:tr w:rsidR="004B071C" w:rsidRPr="000D2DE9" w:rsidTr="005F13EA">
        <w:tc>
          <w:tcPr>
            <w:tcW w:w="2802" w:type="dxa"/>
            <w:shd w:val="clear" w:color="auto" w:fill="CDDDAC"/>
          </w:tcPr>
          <w:p w:rsidR="004B071C" w:rsidRPr="000D2DE9" w:rsidRDefault="004B071C" w:rsidP="00230D0F">
            <w:pPr>
              <w:spacing w:after="0"/>
              <w:jc w:val="left"/>
              <w:rPr>
                <w:rFonts w:ascii="Constantia" w:hAnsi="Constantia"/>
                <w:b/>
                <w:bCs/>
                <w:szCs w:val="22"/>
              </w:rPr>
            </w:pPr>
            <w:r w:rsidRPr="000D2DE9">
              <w:rPr>
                <w:rFonts w:ascii="Constantia" w:hAnsi="Constantia"/>
                <w:b/>
                <w:bCs/>
                <w:szCs w:val="22"/>
              </w:rPr>
              <w:t>Korito rijeke Komarnice na izlazu iz kanjona Nevidio</w:t>
            </w:r>
          </w:p>
        </w:tc>
        <w:tc>
          <w:tcPr>
            <w:tcW w:w="1849" w:type="dxa"/>
            <w:shd w:val="clear" w:color="auto" w:fill="CDDDAC"/>
          </w:tcPr>
          <w:p w:rsidR="004B071C" w:rsidRPr="000D2DE9" w:rsidRDefault="004B071C" w:rsidP="00230D0F">
            <w:pPr>
              <w:rPr>
                <w:rFonts w:ascii="Constantia" w:hAnsi="Constantia"/>
                <w:bCs/>
                <w:szCs w:val="22"/>
              </w:rPr>
            </w:pPr>
            <w:r w:rsidRPr="000D2DE9">
              <w:rPr>
                <w:rFonts w:ascii="Constantia" w:hAnsi="Constantia"/>
                <w:bCs/>
                <w:szCs w:val="22"/>
              </w:rPr>
              <w:t>N 42°58’97.9’’, EO 19°03’45.7''</w:t>
            </w:r>
          </w:p>
        </w:tc>
        <w:tc>
          <w:tcPr>
            <w:tcW w:w="2319" w:type="dxa"/>
            <w:shd w:val="clear" w:color="auto" w:fill="CDDDAC"/>
          </w:tcPr>
          <w:p w:rsidR="004B071C" w:rsidRPr="000D2DE9" w:rsidRDefault="004B071C" w:rsidP="00230D0F">
            <w:pPr>
              <w:jc w:val="center"/>
              <w:rPr>
                <w:rFonts w:ascii="Constantia" w:hAnsi="Constantia"/>
                <w:szCs w:val="22"/>
              </w:rPr>
            </w:pPr>
            <w:r w:rsidRPr="000D2DE9">
              <w:rPr>
                <w:rFonts w:ascii="Constantia" w:hAnsi="Constantia"/>
                <w:szCs w:val="22"/>
              </w:rPr>
              <w:t>18. 07. 2013.</w:t>
            </w:r>
          </w:p>
        </w:tc>
        <w:tc>
          <w:tcPr>
            <w:tcW w:w="2120" w:type="dxa"/>
            <w:shd w:val="clear" w:color="auto" w:fill="CDDDAC"/>
          </w:tcPr>
          <w:p w:rsidR="004B071C" w:rsidRPr="000D2DE9" w:rsidRDefault="004B071C" w:rsidP="00230D0F">
            <w:pPr>
              <w:jc w:val="center"/>
              <w:rPr>
                <w:rFonts w:ascii="Constantia" w:hAnsi="Constantia"/>
                <w:szCs w:val="22"/>
              </w:rPr>
            </w:pPr>
            <w:r w:rsidRPr="000D2DE9">
              <w:rPr>
                <w:rFonts w:ascii="Constantia" w:hAnsi="Constantia"/>
                <w:szCs w:val="22"/>
              </w:rPr>
              <w:t>825 m</w:t>
            </w:r>
          </w:p>
        </w:tc>
      </w:tr>
    </w:tbl>
    <w:p w:rsidR="004B071C" w:rsidRDefault="004B071C" w:rsidP="00230D0F">
      <w:pPr>
        <w:pStyle w:val="Tabele"/>
        <w:spacing w:before="60" w:after="120"/>
        <w:ind w:left="714" w:hanging="357"/>
        <w:rPr>
          <w:rFonts w:ascii="Constantia" w:hAnsi="Constantia"/>
          <w:sz w:val="22"/>
          <w:szCs w:val="22"/>
        </w:rPr>
      </w:pPr>
      <w:r w:rsidRPr="00230D0F">
        <w:rPr>
          <w:rFonts w:ascii="Constantia" w:hAnsi="Constantia"/>
          <w:sz w:val="22"/>
          <w:szCs w:val="22"/>
        </w:rPr>
        <w:t>Opšti podaci o istraživanim lokalitetima za dendrofloru</w:t>
      </w:r>
    </w:p>
    <w:p w:rsidR="00D64814" w:rsidRDefault="00D64814" w:rsidP="00D64814">
      <w:pPr>
        <w:pStyle w:val="Tabele"/>
        <w:numPr>
          <w:ilvl w:val="0"/>
          <w:numId w:val="0"/>
        </w:numPr>
        <w:spacing w:before="60" w:after="120"/>
        <w:ind w:left="714"/>
        <w:jc w:val="both"/>
        <w:rPr>
          <w:rFonts w:ascii="Constantia" w:hAnsi="Constantia"/>
          <w:sz w:val="22"/>
          <w:szCs w:val="22"/>
        </w:rPr>
      </w:pPr>
    </w:p>
    <w:p w:rsidR="005319D7" w:rsidRPr="00230D0F" w:rsidRDefault="005319D7" w:rsidP="005319D7">
      <w:pPr>
        <w:pStyle w:val="Tabele"/>
        <w:numPr>
          <w:ilvl w:val="0"/>
          <w:numId w:val="0"/>
        </w:numPr>
        <w:spacing w:before="0" w:after="0"/>
        <w:ind w:left="714"/>
        <w:jc w:val="both"/>
        <w:rPr>
          <w:rFonts w:ascii="Constantia" w:hAnsi="Constantia"/>
          <w:sz w:val="22"/>
          <w:szCs w:val="22"/>
        </w:rPr>
      </w:pPr>
    </w:p>
    <w:tbl>
      <w:tblPr>
        <w:tblW w:w="9090" w:type="dxa"/>
        <w:tblInd w:w="108"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firstRow="1" w:lastRow="0" w:firstColumn="1" w:lastColumn="0" w:noHBand="0" w:noVBand="1"/>
      </w:tblPr>
      <w:tblGrid>
        <w:gridCol w:w="2430"/>
        <w:gridCol w:w="2430"/>
        <w:gridCol w:w="4230"/>
      </w:tblGrid>
      <w:tr w:rsidR="004B071C" w:rsidRPr="007F727D" w:rsidTr="005319D7">
        <w:tc>
          <w:tcPr>
            <w:tcW w:w="2430" w:type="dxa"/>
            <w:shd w:val="clear" w:color="auto" w:fill="E6EED5"/>
          </w:tcPr>
          <w:p w:rsidR="004B071C" w:rsidRPr="007F727D" w:rsidRDefault="004B071C" w:rsidP="00866A2D">
            <w:pPr>
              <w:spacing w:after="0"/>
              <w:jc w:val="center"/>
              <w:rPr>
                <w:rFonts w:ascii="Constantia" w:hAnsi="Constantia"/>
                <w:b/>
                <w:bCs/>
                <w:iCs/>
                <w:color w:val="000000"/>
                <w:spacing w:val="8"/>
                <w:szCs w:val="22"/>
                <w:lang w:val="sr-Latn-CS"/>
              </w:rPr>
            </w:pPr>
            <w:r w:rsidRPr="007F727D">
              <w:rPr>
                <w:rFonts w:ascii="Constantia" w:hAnsi="Constantia"/>
                <w:b/>
                <w:bCs/>
                <w:iCs/>
                <w:color w:val="000000"/>
                <w:spacing w:val="8"/>
                <w:szCs w:val="22"/>
                <w:lang w:val="sr-Latn-CS"/>
              </w:rPr>
              <w:t>Lokalitet</w:t>
            </w:r>
          </w:p>
        </w:tc>
        <w:tc>
          <w:tcPr>
            <w:tcW w:w="2430" w:type="dxa"/>
            <w:shd w:val="clear" w:color="auto" w:fill="E6EED5"/>
          </w:tcPr>
          <w:p w:rsidR="004B071C" w:rsidRPr="007F727D" w:rsidRDefault="004B071C" w:rsidP="00866A2D">
            <w:pPr>
              <w:spacing w:after="0"/>
              <w:jc w:val="center"/>
              <w:rPr>
                <w:rFonts w:ascii="Constantia" w:hAnsi="Constantia"/>
                <w:b/>
                <w:bCs/>
                <w:iCs/>
                <w:color w:val="000000"/>
                <w:spacing w:val="8"/>
                <w:szCs w:val="22"/>
                <w:lang w:val="sr-Latn-CS"/>
              </w:rPr>
            </w:pPr>
            <w:r w:rsidRPr="007F727D">
              <w:rPr>
                <w:rFonts w:ascii="Constantia" w:hAnsi="Constantia"/>
                <w:b/>
                <w:bCs/>
                <w:iCs/>
                <w:color w:val="000000"/>
                <w:spacing w:val="8"/>
                <w:szCs w:val="22"/>
                <w:lang w:val="sr-Latn-CS"/>
              </w:rPr>
              <w:t>Kategorija</w:t>
            </w:r>
          </w:p>
        </w:tc>
        <w:tc>
          <w:tcPr>
            <w:tcW w:w="4230" w:type="dxa"/>
            <w:shd w:val="clear" w:color="auto" w:fill="E6EED5"/>
          </w:tcPr>
          <w:p w:rsidR="004B071C" w:rsidRPr="007F727D" w:rsidRDefault="004B071C" w:rsidP="00866A2D">
            <w:pPr>
              <w:spacing w:after="0"/>
              <w:jc w:val="center"/>
              <w:rPr>
                <w:rFonts w:ascii="Constantia" w:hAnsi="Constantia"/>
                <w:b/>
                <w:bCs/>
                <w:iCs/>
                <w:color w:val="000000"/>
                <w:spacing w:val="8"/>
                <w:szCs w:val="22"/>
                <w:lang w:val="sr-Latn-CS"/>
              </w:rPr>
            </w:pPr>
            <w:r w:rsidRPr="007F727D">
              <w:rPr>
                <w:rFonts w:ascii="Constantia" w:hAnsi="Constantia"/>
                <w:b/>
                <w:bCs/>
                <w:iCs/>
                <w:color w:val="000000"/>
                <w:spacing w:val="8"/>
                <w:szCs w:val="22"/>
                <w:lang w:val="sr-Latn-CS"/>
              </w:rPr>
              <w:t>Vrste</w:t>
            </w:r>
          </w:p>
        </w:tc>
      </w:tr>
      <w:tr w:rsidR="004B071C" w:rsidRPr="007F727D" w:rsidTr="005319D7">
        <w:tc>
          <w:tcPr>
            <w:tcW w:w="2430" w:type="dxa"/>
            <w:vMerge w:val="restart"/>
            <w:shd w:val="clear" w:color="auto" w:fill="CDDDAC"/>
          </w:tcPr>
          <w:p w:rsidR="00866A2D" w:rsidRPr="007F727D" w:rsidRDefault="00866A2D" w:rsidP="00866A2D">
            <w:pPr>
              <w:spacing w:after="0"/>
              <w:jc w:val="left"/>
              <w:rPr>
                <w:rFonts w:ascii="Constantia" w:hAnsi="Constantia"/>
                <w:b/>
                <w:bCs/>
                <w:iCs/>
                <w:color w:val="000000"/>
                <w:spacing w:val="8"/>
                <w:szCs w:val="22"/>
                <w:lang w:val="sr-Latn-CS"/>
              </w:rPr>
            </w:pPr>
          </w:p>
          <w:p w:rsidR="004B071C" w:rsidRPr="007F727D" w:rsidRDefault="004B071C" w:rsidP="00866A2D">
            <w:pPr>
              <w:spacing w:after="0"/>
              <w:jc w:val="left"/>
              <w:rPr>
                <w:rFonts w:ascii="Constantia" w:hAnsi="Constantia"/>
                <w:b/>
                <w:bCs/>
                <w:iCs/>
                <w:color w:val="000000"/>
                <w:spacing w:val="8"/>
                <w:szCs w:val="22"/>
                <w:lang w:val="sr-Latn-CS"/>
              </w:rPr>
            </w:pPr>
            <w:r w:rsidRPr="007F727D">
              <w:rPr>
                <w:rFonts w:ascii="Constantia" w:hAnsi="Constantia"/>
                <w:b/>
                <w:bCs/>
                <w:iCs/>
                <w:color w:val="000000"/>
                <w:spacing w:val="8"/>
                <w:szCs w:val="22"/>
                <w:lang w:val="sr-Latn-CS"/>
              </w:rPr>
              <w:t>Kanjon Komarcice:  kanjon Nevidio kod sela Pošćenje do kod korita rijeke Komarnice na izlazu iz kanjona Nevidio</w:t>
            </w:r>
          </w:p>
        </w:tc>
        <w:tc>
          <w:tcPr>
            <w:tcW w:w="2430" w:type="dxa"/>
            <w:shd w:val="clear" w:color="auto" w:fill="CDDDAC"/>
          </w:tcPr>
          <w:p w:rsidR="004B071C" w:rsidRPr="007F727D" w:rsidRDefault="004B071C" w:rsidP="00866A2D">
            <w:pPr>
              <w:spacing w:after="0"/>
              <w:rPr>
                <w:rFonts w:ascii="Constantia" w:hAnsi="Constantia"/>
                <w:bCs/>
                <w:iCs/>
                <w:color w:val="000000"/>
                <w:spacing w:val="8"/>
                <w:szCs w:val="22"/>
                <w:lang w:val="sr-Latn-CS"/>
              </w:rPr>
            </w:pPr>
            <w:r w:rsidRPr="007F727D">
              <w:rPr>
                <w:rFonts w:ascii="Constantia" w:hAnsi="Constantia"/>
                <w:iCs/>
                <w:color w:val="000000"/>
                <w:spacing w:val="8"/>
                <w:szCs w:val="22"/>
                <w:lang w:val="sr-Latn-CS"/>
              </w:rPr>
              <w:t>Indi</w:t>
            </w:r>
            <w:r w:rsidRPr="007F727D">
              <w:rPr>
                <w:rFonts w:ascii="Constantia" w:hAnsi="Constantia"/>
                <w:bCs/>
                <w:iCs/>
                <w:color w:val="000000"/>
                <w:spacing w:val="8"/>
                <w:szCs w:val="22"/>
                <w:lang w:val="sr-Latn-CS"/>
              </w:rPr>
              <w:t>katorske vrste (status zaštite)</w:t>
            </w:r>
          </w:p>
        </w:tc>
        <w:tc>
          <w:tcPr>
            <w:tcW w:w="4230" w:type="dxa"/>
            <w:shd w:val="clear" w:color="auto" w:fill="CDDDAC"/>
          </w:tcPr>
          <w:p w:rsidR="004B071C" w:rsidRPr="007F727D" w:rsidRDefault="004B071C" w:rsidP="00866A2D">
            <w:pPr>
              <w:spacing w:after="0"/>
              <w:rPr>
                <w:rFonts w:ascii="Constantia" w:hAnsi="Constantia"/>
                <w:bCs/>
                <w:iCs/>
                <w:color w:val="000000"/>
                <w:spacing w:val="8"/>
                <w:szCs w:val="22"/>
                <w:lang w:val="sr-Latn-CS"/>
              </w:rPr>
            </w:pPr>
            <w:r w:rsidRPr="007F727D">
              <w:rPr>
                <w:rFonts w:ascii="Constantia" w:hAnsi="Constantia"/>
                <w:bCs/>
                <w:iCs/>
                <w:color w:val="000000"/>
                <w:spacing w:val="8"/>
                <w:szCs w:val="22"/>
                <w:lang w:val="sr-Latn-CS"/>
              </w:rPr>
              <w:t>Nisu registrovane</w:t>
            </w:r>
          </w:p>
        </w:tc>
      </w:tr>
      <w:tr w:rsidR="004B071C" w:rsidRPr="007F727D" w:rsidTr="005319D7">
        <w:tc>
          <w:tcPr>
            <w:tcW w:w="2430" w:type="dxa"/>
            <w:vMerge/>
            <w:shd w:val="clear" w:color="auto" w:fill="E6EED5"/>
          </w:tcPr>
          <w:p w:rsidR="004B071C" w:rsidRPr="007F727D" w:rsidRDefault="004B071C" w:rsidP="00866A2D">
            <w:pPr>
              <w:spacing w:after="0"/>
              <w:rPr>
                <w:rFonts w:ascii="Constantia" w:hAnsi="Constantia"/>
                <w:b/>
                <w:bCs/>
                <w:iCs/>
                <w:color w:val="000000"/>
                <w:spacing w:val="8"/>
                <w:szCs w:val="22"/>
                <w:lang w:val="sr-Latn-CS"/>
              </w:rPr>
            </w:pPr>
          </w:p>
        </w:tc>
        <w:tc>
          <w:tcPr>
            <w:tcW w:w="2430" w:type="dxa"/>
            <w:shd w:val="clear" w:color="auto" w:fill="E6EED5"/>
          </w:tcPr>
          <w:p w:rsidR="004B071C" w:rsidRPr="007F727D" w:rsidRDefault="004B071C" w:rsidP="00866A2D">
            <w:pPr>
              <w:spacing w:after="0"/>
              <w:rPr>
                <w:rFonts w:ascii="Constantia" w:hAnsi="Constantia"/>
                <w:b/>
                <w:bCs/>
                <w:iCs/>
                <w:color w:val="000000"/>
                <w:spacing w:val="8"/>
                <w:szCs w:val="22"/>
                <w:lang w:val="sr-Latn-CS"/>
              </w:rPr>
            </w:pPr>
            <w:r w:rsidRPr="007F727D">
              <w:rPr>
                <w:rFonts w:ascii="Constantia" w:hAnsi="Constantia"/>
                <w:iCs/>
                <w:color w:val="000000"/>
                <w:spacing w:val="8"/>
                <w:szCs w:val="22"/>
                <w:lang w:val="sr-Latn-CS"/>
              </w:rPr>
              <w:t>Ostale vrste/staništa</w:t>
            </w:r>
          </w:p>
        </w:tc>
        <w:tc>
          <w:tcPr>
            <w:tcW w:w="4230" w:type="dxa"/>
            <w:shd w:val="clear" w:color="auto" w:fill="E6EED5"/>
          </w:tcPr>
          <w:p w:rsidR="004B071C" w:rsidRPr="007F727D" w:rsidRDefault="00866A2D" w:rsidP="00866A2D">
            <w:pPr>
              <w:spacing w:after="0"/>
              <w:rPr>
                <w:rFonts w:ascii="Constantia" w:hAnsi="Constantia"/>
                <w:bCs/>
                <w:iCs/>
                <w:color w:val="000000"/>
                <w:spacing w:val="8"/>
                <w:szCs w:val="22"/>
                <w:lang w:val="sr-Latn-CS"/>
              </w:rPr>
            </w:pPr>
            <w:r w:rsidRPr="007F727D">
              <w:rPr>
                <w:rFonts w:ascii="Constantia" w:hAnsi="Constantia"/>
                <w:bCs/>
                <w:iCs/>
                <w:color w:val="000000"/>
                <w:spacing w:val="8"/>
                <w:szCs w:val="22"/>
                <w:lang w:val="sr-Latn-CS"/>
              </w:rPr>
              <w:t>H</w:t>
            </w:r>
            <w:r w:rsidR="004B071C" w:rsidRPr="007F727D">
              <w:rPr>
                <w:rFonts w:ascii="Constantia" w:hAnsi="Constantia"/>
                <w:bCs/>
                <w:iCs/>
                <w:color w:val="000000"/>
                <w:spacing w:val="8"/>
                <w:szCs w:val="22"/>
                <w:lang w:val="sr-Latn-CS"/>
              </w:rPr>
              <w:t>rast medunac (</w:t>
            </w:r>
            <w:r w:rsidR="004B071C" w:rsidRPr="007F727D">
              <w:rPr>
                <w:rFonts w:ascii="Constantia" w:hAnsi="Constantia"/>
                <w:bCs/>
                <w:i/>
                <w:iCs/>
                <w:color w:val="000000"/>
                <w:spacing w:val="8"/>
                <w:szCs w:val="22"/>
                <w:lang w:val="sr-Latn-CS"/>
              </w:rPr>
              <w:t>Quercus pubescens</w:t>
            </w:r>
            <w:r w:rsidR="004B071C" w:rsidRPr="007F727D">
              <w:rPr>
                <w:rFonts w:ascii="Constantia" w:hAnsi="Constantia"/>
                <w:bCs/>
                <w:iCs/>
                <w:color w:val="000000"/>
                <w:spacing w:val="8"/>
                <w:szCs w:val="22"/>
                <w:lang w:val="sr-Latn-CS"/>
              </w:rPr>
              <w:t>), obični grab (</w:t>
            </w:r>
            <w:r w:rsidR="004B071C" w:rsidRPr="007F727D">
              <w:rPr>
                <w:rFonts w:ascii="Constantia" w:hAnsi="Constantia"/>
                <w:bCs/>
                <w:i/>
                <w:iCs/>
                <w:color w:val="000000"/>
                <w:spacing w:val="8"/>
                <w:szCs w:val="22"/>
                <w:lang w:val="sr-Latn-CS"/>
              </w:rPr>
              <w:t>Carpinus betulus</w:t>
            </w:r>
            <w:r w:rsidR="004B071C" w:rsidRPr="007F727D">
              <w:rPr>
                <w:rFonts w:ascii="Constantia" w:hAnsi="Constantia"/>
                <w:bCs/>
                <w:iCs/>
                <w:color w:val="000000"/>
                <w:spacing w:val="8"/>
                <w:szCs w:val="22"/>
                <w:lang w:val="sr-Latn-CS"/>
              </w:rPr>
              <w:t>), crni grab (</w:t>
            </w:r>
            <w:r w:rsidR="004B071C" w:rsidRPr="007F727D">
              <w:rPr>
                <w:rFonts w:ascii="Constantia" w:hAnsi="Constantia"/>
                <w:bCs/>
                <w:i/>
                <w:iCs/>
                <w:color w:val="000000"/>
                <w:spacing w:val="8"/>
                <w:szCs w:val="22"/>
                <w:lang w:val="sr-Latn-CS"/>
              </w:rPr>
              <w:t>Ostrya carpinifolia</w:t>
            </w:r>
            <w:r w:rsidR="004B071C" w:rsidRPr="007F727D">
              <w:rPr>
                <w:rFonts w:ascii="Constantia" w:hAnsi="Constantia"/>
                <w:bCs/>
                <w:iCs/>
                <w:color w:val="000000"/>
                <w:spacing w:val="8"/>
                <w:szCs w:val="22"/>
                <w:lang w:val="sr-Latn-CS"/>
              </w:rPr>
              <w:t>), crni jasen (</w:t>
            </w:r>
            <w:r w:rsidR="004B071C" w:rsidRPr="007F727D">
              <w:rPr>
                <w:rFonts w:ascii="Constantia" w:hAnsi="Constantia"/>
                <w:bCs/>
                <w:i/>
                <w:iCs/>
                <w:color w:val="000000"/>
                <w:spacing w:val="8"/>
                <w:szCs w:val="22"/>
                <w:lang w:val="sr-Latn-CS"/>
              </w:rPr>
              <w:t>Fraxinus ornus</w:t>
            </w:r>
            <w:r w:rsidR="004B071C" w:rsidRPr="007F727D">
              <w:rPr>
                <w:rFonts w:ascii="Constantia" w:hAnsi="Constantia"/>
                <w:bCs/>
                <w:iCs/>
                <w:color w:val="000000"/>
                <w:spacing w:val="8"/>
                <w:szCs w:val="22"/>
                <w:lang w:val="sr-Latn-CS"/>
              </w:rPr>
              <w:t>), drijen (</w:t>
            </w:r>
            <w:r w:rsidR="004B071C" w:rsidRPr="007F727D">
              <w:rPr>
                <w:rFonts w:ascii="Constantia" w:hAnsi="Constantia"/>
                <w:bCs/>
                <w:i/>
                <w:iCs/>
                <w:color w:val="000000"/>
                <w:spacing w:val="8"/>
                <w:szCs w:val="22"/>
                <w:lang w:val="sr-Latn-CS"/>
              </w:rPr>
              <w:t>Cornus mas</w:t>
            </w:r>
            <w:r w:rsidR="004B071C" w:rsidRPr="007F727D">
              <w:rPr>
                <w:rFonts w:ascii="Constantia" w:hAnsi="Constantia"/>
                <w:bCs/>
                <w:iCs/>
                <w:color w:val="000000"/>
                <w:spacing w:val="8"/>
                <w:szCs w:val="22"/>
                <w:lang w:val="sr-Latn-CS"/>
              </w:rPr>
              <w:t>), lijeska (</w:t>
            </w:r>
            <w:r w:rsidR="004B071C" w:rsidRPr="007F727D">
              <w:rPr>
                <w:rFonts w:ascii="Constantia" w:hAnsi="Constantia"/>
                <w:bCs/>
                <w:i/>
                <w:iCs/>
                <w:color w:val="000000"/>
                <w:spacing w:val="8"/>
                <w:szCs w:val="22"/>
                <w:lang w:val="sr-Latn-CS"/>
              </w:rPr>
              <w:t>Corylus avellana</w:t>
            </w:r>
            <w:r w:rsidR="004B071C" w:rsidRPr="007F727D">
              <w:rPr>
                <w:rFonts w:ascii="Constantia" w:hAnsi="Constantia"/>
                <w:bCs/>
                <w:iCs/>
                <w:color w:val="000000"/>
                <w:spacing w:val="8"/>
                <w:szCs w:val="22"/>
                <w:lang w:val="sr-Latn-CS"/>
              </w:rPr>
              <w:t xml:space="preserve">), ruj </w:t>
            </w:r>
            <w:r w:rsidRPr="007F727D">
              <w:rPr>
                <w:rFonts w:ascii="Constantia" w:hAnsi="Constantia"/>
                <w:bCs/>
                <w:iCs/>
                <w:color w:val="000000"/>
                <w:spacing w:val="8"/>
                <w:szCs w:val="22"/>
                <w:lang w:val="sr-Latn-CS"/>
              </w:rPr>
              <w:t>(</w:t>
            </w:r>
            <w:r w:rsidR="004B071C" w:rsidRPr="007F727D">
              <w:rPr>
                <w:rFonts w:ascii="Constantia" w:hAnsi="Constantia"/>
                <w:bCs/>
                <w:i/>
                <w:iCs/>
                <w:color w:val="000000"/>
                <w:spacing w:val="8"/>
                <w:szCs w:val="22"/>
                <w:lang w:val="sr-Latn-CS"/>
              </w:rPr>
              <w:t>Cotinus coggygria</w:t>
            </w:r>
            <w:r w:rsidR="004B071C" w:rsidRPr="007F727D">
              <w:rPr>
                <w:rFonts w:ascii="Constantia" w:hAnsi="Constantia"/>
                <w:bCs/>
                <w:iCs/>
                <w:color w:val="000000"/>
                <w:spacing w:val="8"/>
                <w:szCs w:val="22"/>
                <w:lang w:val="sr-Latn-CS"/>
              </w:rPr>
              <w:t>).</w:t>
            </w:r>
          </w:p>
        </w:tc>
      </w:tr>
      <w:tr w:rsidR="004B071C" w:rsidRPr="007F727D" w:rsidTr="005319D7">
        <w:trPr>
          <w:trHeight w:val="766"/>
        </w:trPr>
        <w:tc>
          <w:tcPr>
            <w:tcW w:w="2430" w:type="dxa"/>
            <w:vMerge/>
            <w:shd w:val="clear" w:color="auto" w:fill="CDDDAC"/>
          </w:tcPr>
          <w:p w:rsidR="004B071C" w:rsidRPr="007F727D" w:rsidRDefault="004B071C" w:rsidP="00866A2D">
            <w:pPr>
              <w:spacing w:after="0"/>
              <w:rPr>
                <w:rFonts w:ascii="Constantia" w:hAnsi="Constantia"/>
                <w:b/>
                <w:bCs/>
                <w:iCs/>
                <w:color w:val="000000"/>
                <w:spacing w:val="8"/>
                <w:szCs w:val="22"/>
                <w:lang w:val="sr-Latn-CS"/>
              </w:rPr>
            </w:pPr>
          </w:p>
        </w:tc>
        <w:tc>
          <w:tcPr>
            <w:tcW w:w="2430" w:type="dxa"/>
            <w:shd w:val="clear" w:color="auto" w:fill="CDDDAC"/>
          </w:tcPr>
          <w:p w:rsidR="004B071C" w:rsidRPr="007F727D" w:rsidRDefault="004B071C" w:rsidP="00866A2D">
            <w:pPr>
              <w:spacing w:after="0"/>
              <w:rPr>
                <w:rFonts w:ascii="Constantia" w:hAnsi="Constantia"/>
                <w:b/>
                <w:bCs/>
                <w:iCs/>
                <w:color w:val="000000"/>
                <w:spacing w:val="8"/>
                <w:szCs w:val="22"/>
                <w:lang w:val="sr-Latn-CS"/>
              </w:rPr>
            </w:pPr>
            <w:r w:rsidRPr="007F727D">
              <w:rPr>
                <w:rFonts w:ascii="Constantia" w:hAnsi="Constantia"/>
                <w:iCs/>
                <w:color w:val="000000"/>
                <w:spacing w:val="8"/>
                <w:szCs w:val="22"/>
                <w:lang w:val="sr-Latn-CS"/>
              </w:rPr>
              <w:t>Utvrđeno stanje</w:t>
            </w:r>
          </w:p>
        </w:tc>
        <w:tc>
          <w:tcPr>
            <w:tcW w:w="4230" w:type="dxa"/>
            <w:shd w:val="clear" w:color="auto" w:fill="CDDDAC"/>
          </w:tcPr>
          <w:p w:rsidR="004B071C" w:rsidRPr="007F727D" w:rsidRDefault="004B071C" w:rsidP="00866A2D">
            <w:pPr>
              <w:spacing w:after="0"/>
              <w:rPr>
                <w:rFonts w:ascii="Constantia" w:hAnsi="Constantia"/>
                <w:bCs/>
                <w:iCs/>
                <w:color w:val="000000"/>
                <w:spacing w:val="8"/>
                <w:szCs w:val="22"/>
                <w:lang w:val="sr-Latn-CS"/>
              </w:rPr>
            </w:pPr>
            <w:r w:rsidRPr="007F727D">
              <w:rPr>
                <w:rFonts w:ascii="Constantia" w:hAnsi="Constantia"/>
                <w:bCs/>
                <w:iCs/>
                <w:color w:val="000000"/>
                <w:spacing w:val="8"/>
                <w:szCs w:val="22"/>
                <w:lang w:val="sr-Latn-CS"/>
              </w:rPr>
              <w:t>Dominantne vrste dendroflore na ovom lokalitetu pri vrhu brda su: hrast medunac (</w:t>
            </w:r>
            <w:r w:rsidRPr="007F727D">
              <w:rPr>
                <w:rFonts w:ascii="Constantia" w:hAnsi="Constantia"/>
                <w:bCs/>
                <w:i/>
                <w:iCs/>
                <w:color w:val="000000"/>
                <w:spacing w:val="8"/>
                <w:szCs w:val="22"/>
                <w:lang w:val="sr-Latn-CS"/>
              </w:rPr>
              <w:t>Quercus pubescens</w:t>
            </w:r>
            <w:r w:rsidRPr="007F727D">
              <w:rPr>
                <w:rFonts w:ascii="Constantia" w:hAnsi="Constantia"/>
                <w:bCs/>
                <w:iCs/>
                <w:color w:val="000000"/>
                <w:spacing w:val="8"/>
                <w:szCs w:val="22"/>
                <w:lang w:val="sr-Latn-CS"/>
              </w:rPr>
              <w:t>), crni grab (</w:t>
            </w:r>
            <w:r w:rsidRPr="007F727D">
              <w:rPr>
                <w:rFonts w:ascii="Constantia" w:hAnsi="Constantia"/>
                <w:bCs/>
                <w:i/>
                <w:iCs/>
                <w:color w:val="000000"/>
                <w:spacing w:val="8"/>
                <w:szCs w:val="22"/>
                <w:lang w:val="sr-Latn-CS"/>
              </w:rPr>
              <w:t>Ostrya carpinifolia</w:t>
            </w:r>
            <w:r w:rsidRPr="007F727D">
              <w:rPr>
                <w:rFonts w:ascii="Constantia" w:hAnsi="Constantia"/>
                <w:bCs/>
                <w:iCs/>
                <w:color w:val="000000"/>
                <w:spacing w:val="8"/>
                <w:szCs w:val="22"/>
                <w:lang w:val="sr-Latn-CS"/>
              </w:rPr>
              <w:t>), crni jasen (</w:t>
            </w:r>
            <w:r w:rsidRPr="007F727D">
              <w:rPr>
                <w:rFonts w:ascii="Constantia" w:hAnsi="Constantia"/>
                <w:bCs/>
                <w:i/>
                <w:iCs/>
                <w:color w:val="000000"/>
                <w:spacing w:val="8"/>
                <w:szCs w:val="22"/>
                <w:lang w:val="sr-Latn-CS"/>
              </w:rPr>
              <w:t>Fraxinus ornus</w:t>
            </w:r>
            <w:r w:rsidRPr="007F727D">
              <w:rPr>
                <w:rFonts w:ascii="Constantia" w:hAnsi="Constantia"/>
                <w:bCs/>
                <w:iCs/>
                <w:color w:val="000000"/>
                <w:spacing w:val="8"/>
                <w:szCs w:val="22"/>
                <w:lang w:val="sr-Latn-CS"/>
              </w:rPr>
              <w:t>), lijeska (</w:t>
            </w:r>
            <w:r w:rsidRPr="007F727D">
              <w:rPr>
                <w:rFonts w:ascii="Constantia" w:hAnsi="Constantia"/>
                <w:bCs/>
                <w:i/>
                <w:iCs/>
                <w:color w:val="000000"/>
                <w:spacing w:val="8"/>
                <w:szCs w:val="22"/>
                <w:lang w:val="sr-Latn-CS"/>
              </w:rPr>
              <w:t>Corylus avellana</w:t>
            </w:r>
            <w:r w:rsidRPr="007F727D">
              <w:rPr>
                <w:rFonts w:ascii="Constantia" w:hAnsi="Constantia"/>
                <w:bCs/>
                <w:iCs/>
                <w:color w:val="000000"/>
                <w:spacing w:val="8"/>
                <w:szCs w:val="22"/>
                <w:lang w:val="sr-Latn-CS"/>
              </w:rPr>
              <w:t>), ruj (</w:t>
            </w:r>
            <w:r w:rsidRPr="007F727D">
              <w:rPr>
                <w:rFonts w:ascii="Constantia" w:hAnsi="Constantia"/>
                <w:bCs/>
                <w:i/>
                <w:iCs/>
                <w:color w:val="000000"/>
                <w:spacing w:val="8"/>
                <w:szCs w:val="22"/>
                <w:lang w:val="sr-Latn-CS"/>
              </w:rPr>
              <w:t>Cotinus coggygria</w:t>
            </w:r>
            <w:r w:rsidR="00866A2D" w:rsidRPr="007F727D">
              <w:rPr>
                <w:rFonts w:ascii="Constantia" w:hAnsi="Constantia"/>
                <w:bCs/>
                <w:iCs/>
                <w:color w:val="000000"/>
                <w:spacing w:val="8"/>
                <w:szCs w:val="22"/>
                <w:lang w:val="sr-Latn-CS"/>
              </w:rPr>
              <w:t>). Sredinom brda i u nižim d</w:t>
            </w:r>
            <w:r w:rsidRPr="007F727D">
              <w:rPr>
                <w:rFonts w:ascii="Constantia" w:hAnsi="Constantia"/>
                <w:bCs/>
                <w:iCs/>
                <w:color w:val="000000"/>
                <w:spacing w:val="8"/>
                <w:szCs w:val="22"/>
                <w:lang w:val="sr-Latn-CS"/>
              </w:rPr>
              <w:t>jelovima brda</w:t>
            </w:r>
            <w:r w:rsidR="00866A2D" w:rsidRPr="007F727D">
              <w:rPr>
                <w:rFonts w:ascii="Constantia" w:hAnsi="Constantia"/>
                <w:bCs/>
                <w:iCs/>
                <w:color w:val="000000"/>
                <w:spacing w:val="8"/>
                <w:szCs w:val="22"/>
                <w:lang w:val="sr-Latn-CS"/>
              </w:rPr>
              <w:t>,</w:t>
            </w:r>
            <w:r w:rsidRPr="007F727D">
              <w:rPr>
                <w:rFonts w:ascii="Constantia" w:hAnsi="Constantia"/>
                <w:bCs/>
                <w:iCs/>
                <w:color w:val="000000"/>
                <w:spacing w:val="8"/>
                <w:szCs w:val="22"/>
                <w:lang w:val="sr-Latn-CS"/>
              </w:rPr>
              <w:t xml:space="preserve"> prema koritu rijeke Komarnice</w:t>
            </w:r>
            <w:r w:rsidR="00866A2D" w:rsidRPr="007F727D">
              <w:rPr>
                <w:rFonts w:ascii="Constantia" w:hAnsi="Constantia"/>
                <w:bCs/>
                <w:iCs/>
                <w:color w:val="000000"/>
                <w:spacing w:val="8"/>
                <w:szCs w:val="22"/>
                <w:lang w:val="sr-Latn-CS"/>
              </w:rPr>
              <w:t>, dominiraju sl</w:t>
            </w:r>
            <w:r w:rsidRPr="007F727D">
              <w:rPr>
                <w:rFonts w:ascii="Constantia" w:hAnsi="Constantia"/>
                <w:bCs/>
                <w:iCs/>
                <w:color w:val="000000"/>
                <w:spacing w:val="8"/>
                <w:szCs w:val="22"/>
                <w:lang w:val="sr-Latn-CS"/>
              </w:rPr>
              <w:t>edeće vrste dendroflore: obični grab (</w:t>
            </w:r>
            <w:r w:rsidRPr="007F727D">
              <w:rPr>
                <w:rFonts w:ascii="Constantia" w:hAnsi="Constantia"/>
                <w:bCs/>
                <w:i/>
                <w:iCs/>
                <w:color w:val="000000"/>
                <w:spacing w:val="8"/>
                <w:szCs w:val="22"/>
                <w:lang w:val="sr-Latn-CS"/>
              </w:rPr>
              <w:t>Carpinus betulus</w:t>
            </w:r>
            <w:r w:rsidRPr="007F727D">
              <w:rPr>
                <w:rFonts w:ascii="Constantia" w:hAnsi="Constantia"/>
                <w:bCs/>
                <w:iCs/>
                <w:color w:val="000000"/>
                <w:spacing w:val="8"/>
                <w:szCs w:val="22"/>
                <w:lang w:val="sr-Latn-CS"/>
              </w:rPr>
              <w:t>), crni grab (</w:t>
            </w:r>
            <w:r w:rsidRPr="007F727D">
              <w:rPr>
                <w:rFonts w:ascii="Constantia" w:hAnsi="Constantia"/>
                <w:bCs/>
                <w:i/>
                <w:iCs/>
                <w:color w:val="000000"/>
                <w:spacing w:val="8"/>
                <w:szCs w:val="22"/>
                <w:lang w:val="sr-Latn-CS"/>
              </w:rPr>
              <w:t>Ostrya carpinifolia</w:t>
            </w:r>
            <w:r w:rsidRPr="007F727D">
              <w:rPr>
                <w:rFonts w:ascii="Constantia" w:hAnsi="Constantia"/>
                <w:bCs/>
                <w:iCs/>
                <w:color w:val="000000"/>
                <w:spacing w:val="8"/>
                <w:szCs w:val="22"/>
                <w:lang w:val="sr-Latn-CS"/>
              </w:rPr>
              <w:t>), drijen (</w:t>
            </w:r>
            <w:r w:rsidRPr="007F727D">
              <w:rPr>
                <w:rFonts w:ascii="Constantia" w:hAnsi="Constantia"/>
                <w:bCs/>
                <w:i/>
                <w:iCs/>
                <w:color w:val="000000"/>
                <w:spacing w:val="8"/>
                <w:szCs w:val="22"/>
                <w:lang w:val="sr-Latn-CS"/>
              </w:rPr>
              <w:t>Cornus mas</w:t>
            </w:r>
            <w:r w:rsidRPr="007F727D">
              <w:rPr>
                <w:rFonts w:ascii="Constantia" w:hAnsi="Constantia"/>
                <w:bCs/>
                <w:iCs/>
                <w:color w:val="000000"/>
                <w:spacing w:val="8"/>
                <w:szCs w:val="22"/>
                <w:lang w:val="sr-Latn-CS"/>
              </w:rPr>
              <w:t>), crni jasen (</w:t>
            </w:r>
            <w:r w:rsidRPr="007F727D">
              <w:rPr>
                <w:rFonts w:ascii="Constantia" w:hAnsi="Constantia"/>
                <w:bCs/>
                <w:i/>
                <w:iCs/>
                <w:color w:val="000000"/>
                <w:spacing w:val="8"/>
                <w:szCs w:val="22"/>
                <w:lang w:val="sr-Latn-CS"/>
              </w:rPr>
              <w:t>Fraxinus ornus</w:t>
            </w:r>
            <w:r w:rsidRPr="007F727D">
              <w:rPr>
                <w:rFonts w:ascii="Constantia" w:hAnsi="Constantia"/>
                <w:bCs/>
                <w:iCs/>
                <w:color w:val="000000"/>
                <w:spacing w:val="8"/>
                <w:szCs w:val="22"/>
                <w:lang w:val="sr-Latn-CS"/>
              </w:rPr>
              <w:t xml:space="preserve">). </w:t>
            </w:r>
          </w:p>
        </w:tc>
      </w:tr>
    </w:tbl>
    <w:p w:rsidR="004B071C" w:rsidRPr="00866A2D" w:rsidRDefault="004B071C" w:rsidP="00866A2D">
      <w:pPr>
        <w:pStyle w:val="Tabele"/>
        <w:spacing w:before="60" w:after="0"/>
        <w:ind w:left="714" w:hanging="357"/>
        <w:rPr>
          <w:rFonts w:ascii="Constantia" w:hAnsi="Constantia"/>
          <w:sz w:val="22"/>
          <w:szCs w:val="22"/>
        </w:rPr>
      </w:pPr>
      <w:r w:rsidRPr="00866A2D">
        <w:rPr>
          <w:rFonts w:ascii="Constantia" w:hAnsi="Constantia"/>
          <w:sz w:val="22"/>
          <w:szCs w:val="22"/>
        </w:rPr>
        <w:t>Dend</w:t>
      </w:r>
      <w:r w:rsidR="00866A2D" w:rsidRPr="00866A2D">
        <w:rPr>
          <w:rFonts w:ascii="Constantia" w:hAnsi="Constantia"/>
          <w:sz w:val="22"/>
          <w:szCs w:val="22"/>
        </w:rPr>
        <w:t>r</w:t>
      </w:r>
      <w:r w:rsidRPr="00866A2D">
        <w:rPr>
          <w:rFonts w:ascii="Constantia" w:hAnsi="Constantia"/>
          <w:sz w:val="22"/>
          <w:szCs w:val="22"/>
        </w:rPr>
        <w:t>oflora</w:t>
      </w:r>
    </w:p>
    <w:p w:rsidR="004B071C" w:rsidRDefault="004B071C" w:rsidP="004B071C">
      <w:pPr>
        <w:spacing w:before="60" w:after="240"/>
        <w:rPr>
          <w:i/>
          <w:szCs w:val="22"/>
          <w:lang w:val="sr-Latn-CS"/>
        </w:rPr>
      </w:pPr>
    </w:p>
    <w:p w:rsidR="004B071C" w:rsidRPr="002E3A97" w:rsidRDefault="004B071C" w:rsidP="00E36299">
      <w:pPr>
        <w:pStyle w:val="Heading4"/>
        <w:spacing w:after="240"/>
        <w:rPr>
          <w:sz w:val="22"/>
          <w:szCs w:val="22"/>
          <w:lang w:val="sr-Latn-CS"/>
        </w:rPr>
      </w:pPr>
      <w:r w:rsidRPr="002E3A97">
        <w:rPr>
          <w:sz w:val="22"/>
          <w:szCs w:val="22"/>
          <w:lang w:val="sr-Latn-CS"/>
        </w:rPr>
        <w:lastRenderedPageBreak/>
        <w:t>Gljive</w:t>
      </w:r>
    </w:p>
    <w:tbl>
      <w:tblPr>
        <w:tblW w:w="9090" w:type="dxa"/>
        <w:tblInd w:w="108"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firstRow="1" w:lastRow="0" w:firstColumn="1" w:lastColumn="0" w:noHBand="0" w:noVBand="1"/>
      </w:tblPr>
      <w:tblGrid>
        <w:gridCol w:w="2802"/>
        <w:gridCol w:w="2693"/>
        <w:gridCol w:w="3595"/>
      </w:tblGrid>
      <w:tr w:rsidR="004B071C" w:rsidRPr="005319D7" w:rsidTr="00E36299">
        <w:tc>
          <w:tcPr>
            <w:tcW w:w="2802" w:type="dxa"/>
            <w:shd w:val="clear" w:color="auto" w:fill="E6EED5"/>
          </w:tcPr>
          <w:p w:rsidR="004B071C" w:rsidRPr="005319D7" w:rsidRDefault="004B071C" w:rsidP="00E36299">
            <w:pPr>
              <w:jc w:val="center"/>
              <w:rPr>
                <w:rFonts w:ascii="Constantia" w:hAnsi="Constantia"/>
                <w:b/>
                <w:bCs/>
                <w:szCs w:val="22"/>
              </w:rPr>
            </w:pPr>
            <w:r w:rsidRPr="005319D7">
              <w:rPr>
                <w:rFonts w:ascii="Constantia" w:hAnsi="Constantia"/>
                <w:b/>
                <w:bCs/>
                <w:szCs w:val="22"/>
              </w:rPr>
              <w:t>Lokalitet</w:t>
            </w:r>
          </w:p>
        </w:tc>
        <w:tc>
          <w:tcPr>
            <w:tcW w:w="2693" w:type="dxa"/>
            <w:shd w:val="clear" w:color="auto" w:fill="E6EED5"/>
          </w:tcPr>
          <w:p w:rsidR="004B071C" w:rsidRPr="005319D7" w:rsidRDefault="004B071C" w:rsidP="00E36299">
            <w:pPr>
              <w:jc w:val="center"/>
              <w:rPr>
                <w:rFonts w:ascii="Constantia" w:hAnsi="Constantia"/>
                <w:b/>
                <w:bCs/>
                <w:szCs w:val="22"/>
              </w:rPr>
            </w:pPr>
            <w:r w:rsidRPr="005319D7">
              <w:rPr>
                <w:rFonts w:ascii="Constantia" w:hAnsi="Constantia"/>
                <w:b/>
                <w:bCs/>
                <w:szCs w:val="22"/>
              </w:rPr>
              <w:t>Koordinate</w:t>
            </w:r>
          </w:p>
        </w:tc>
        <w:tc>
          <w:tcPr>
            <w:tcW w:w="3595" w:type="dxa"/>
            <w:shd w:val="clear" w:color="auto" w:fill="E6EED5"/>
          </w:tcPr>
          <w:p w:rsidR="004B071C" w:rsidRPr="005319D7" w:rsidRDefault="004B071C" w:rsidP="00E36299">
            <w:pPr>
              <w:spacing w:line="280" w:lineRule="exact"/>
              <w:jc w:val="center"/>
              <w:outlineLvl w:val="3"/>
              <w:rPr>
                <w:rFonts w:ascii="Constantia" w:hAnsi="Constantia"/>
                <w:b/>
                <w:bCs/>
                <w:szCs w:val="22"/>
              </w:rPr>
            </w:pPr>
            <w:r w:rsidRPr="005319D7">
              <w:rPr>
                <w:rFonts w:ascii="Constantia" w:hAnsi="Constantia"/>
                <w:b/>
                <w:bCs/>
                <w:szCs w:val="22"/>
              </w:rPr>
              <w:t>Datum terenskih istraživanja</w:t>
            </w:r>
          </w:p>
        </w:tc>
      </w:tr>
      <w:tr w:rsidR="004B071C" w:rsidRPr="005319D7" w:rsidTr="00E36299">
        <w:tc>
          <w:tcPr>
            <w:tcW w:w="2802" w:type="dxa"/>
            <w:shd w:val="clear" w:color="auto" w:fill="CDDDAC"/>
          </w:tcPr>
          <w:p w:rsidR="004B071C" w:rsidRPr="005319D7" w:rsidRDefault="004B071C" w:rsidP="00E36299">
            <w:pPr>
              <w:rPr>
                <w:rFonts w:ascii="Constantia" w:hAnsi="Constantia"/>
                <w:b/>
                <w:bCs/>
                <w:szCs w:val="22"/>
              </w:rPr>
            </w:pPr>
            <w:r w:rsidRPr="005319D7">
              <w:rPr>
                <w:rFonts w:ascii="Constantia" w:hAnsi="Constantia"/>
                <w:b/>
                <w:bCs/>
                <w:szCs w:val="22"/>
              </w:rPr>
              <w:t>Selo Pošćenje – kanjon Nevidio</w:t>
            </w:r>
          </w:p>
        </w:tc>
        <w:tc>
          <w:tcPr>
            <w:tcW w:w="2693" w:type="dxa"/>
            <w:shd w:val="clear" w:color="auto" w:fill="CDDDAC"/>
          </w:tcPr>
          <w:p w:rsidR="004B071C" w:rsidRPr="005319D7" w:rsidRDefault="004B071C" w:rsidP="00E36299">
            <w:pPr>
              <w:jc w:val="center"/>
              <w:rPr>
                <w:rFonts w:ascii="Constantia" w:hAnsi="Constantia"/>
                <w:bCs/>
                <w:szCs w:val="22"/>
              </w:rPr>
            </w:pPr>
            <w:r w:rsidRPr="005319D7">
              <w:rPr>
                <w:rFonts w:ascii="Constantia" w:hAnsi="Constantia"/>
                <w:bCs/>
                <w:szCs w:val="22"/>
              </w:rPr>
              <w:t>42°59’06.1’’,</w:t>
            </w:r>
          </w:p>
          <w:p w:rsidR="004B071C" w:rsidRPr="005319D7" w:rsidRDefault="004B071C" w:rsidP="00E36299">
            <w:pPr>
              <w:jc w:val="center"/>
              <w:rPr>
                <w:rFonts w:ascii="Constantia" w:hAnsi="Constantia"/>
                <w:bCs/>
                <w:szCs w:val="22"/>
              </w:rPr>
            </w:pPr>
            <w:r w:rsidRPr="005319D7">
              <w:rPr>
                <w:rFonts w:ascii="Constantia" w:hAnsi="Constantia"/>
                <w:bCs/>
                <w:szCs w:val="22"/>
              </w:rPr>
              <w:t>EO 19°04’03.2</w:t>
            </w:r>
          </w:p>
          <w:p w:rsidR="004B071C" w:rsidRPr="005319D7" w:rsidRDefault="004B071C" w:rsidP="00E36299">
            <w:pPr>
              <w:jc w:val="center"/>
              <w:rPr>
                <w:rFonts w:ascii="Constantia" w:hAnsi="Constantia"/>
                <w:bCs/>
                <w:szCs w:val="22"/>
              </w:rPr>
            </w:pPr>
            <w:r w:rsidRPr="005319D7">
              <w:rPr>
                <w:rFonts w:ascii="Constantia" w:hAnsi="Constantia"/>
                <w:bCs/>
                <w:szCs w:val="22"/>
              </w:rPr>
              <w:t>N 42°58’97.9’’,</w:t>
            </w:r>
          </w:p>
          <w:p w:rsidR="004B071C" w:rsidRPr="005319D7" w:rsidRDefault="004B071C" w:rsidP="00E36299">
            <w:pPr>
              <w:spacing w:after="0"/>
              <w:jc w:val="center"/>
              <w:rPr>
                <w:rFonts w:ascii="Constantia" w:hAnsi="Constantia"/>
                <w:bCs/>
                <w:szCs w:val="22"/>
              </w:rPr>
            </w:pPr>
            <w:r w:rsidRPr="005319D7">
              <w:rPr>
                <w:rFonts w:ascii="Constantia" w:hAnsi="Constantia"/>
                <w:bCs/>
                <w:szCs w:val="22"/>
              </w:rPr>
              <w:t>EO 19°03’38.6’’</w:t>
            </w:r>
          </w:p>
        </w:tc>
        <w:tc>
          <w:tcPr>
            <w:tcW w:w="3595" w:type="dxa"/>
            <w:shd w:val="clear" w:color="auto" w:fill="CDDDAC"/>
          </w:tcPr>
          <w:p w:rsidR="004B071C" w:rsidRPr="005319D7" w:rsidRDefault="004B071C" w:rsidP="00E36299">
            <w:pPr>
              <w:jc w:val="center"/>
              <w:rPr>
                <w:rFonts w:ascii="Constantia" w:hAnsi="Constantia"/>
                <w:szCs w:val="22"/>
              </w:rPr>
            </w:pPr>
            <w:r w:rsidRPr="005319D7">
              <w:rPr>
                <w:rFonts w:ascii="Constantia" w:hAnsi="Constantia"/>
                <w:szCs w:val="22"/>
              </w:rPr>
              <w:t>18. 07. 2013.</w:t>
            </w:r>
          </w:p>
        </w:tc>
      </w:tr>
    </w:tbl>
    <w:p w:rsidR="004B071C" w:rsidRPr="00E36299" w:rsidRDefault="004B071C" w:rsidP="00E36299">
      <w:pPr>
        <w:pStyle w:val="Tabele"/>
        <w:spacing w:before="60" w:after="120"/>
        <w:ind w:left="714" w:hanging="357"/>
        <w:rPr>
          <w:rFonts w:ascii="Constantia" w:hAnsi="Constantia"/>
          <w:sz w:val="22"/>
          <w:szCs w:val="22"/>
        </w:rPr>
      </w:pPr>
      <w:r w:rsidRPr="00E36299">
        <w:rPr>
          <w:rFonts w:ascii="Constantia" w:hAnsi="Constantia"/>
          <w:sz w:val="22"/>
          <w:szCs w:val="22"/>
        </w:rPr>
        <w:t>Opšti podaci o istraživanim lokalitetima za gljive</w:t>
      </w:r>
    </w:p>
    <w:p w:rsidR="005319D7" w:rsidRDefault="005319D7" w:rsidP="00E36299">
      <w:pPr>
        <w:pStyle w:val="Tabele"/>
        <w:numPr>
          <w:ilvl w:val="0"/>
          <w:numId w:val="0"/>
        </w:numPr>
        <w:spacing w:before="60" w:after="120"/>
        <w:ind w:left="714"/>
        <w:jc w:val="both"/>
      </w:pPr>
    </w:p>
    <w:p w:rsidR="005319D7" w:rsidRDefault="005319D7" w:rsidP="00E36299">
      <w:pPr>
        <w:pStyle w:val="Tabele"/>
        <w:numPr>
          <w:ilvl w:val="0"/>
          <w:numId w:val="0"/>
        </w:numPr>
        <w:spacing w:before="60" w:after="120"/>
        <w:ind w:left="714"/>
        <w:jc w:val="both"/>
      </w:pPr>
    </w:p>
    <w:tbl>
      <w:tblPr>
        <w:tblW w:w="9090" w:type="dxa"/>
        <w:tblInd w:w="108"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firstRow="1" w:lastRow="0" w:firstColumn="1" w:lastColumn="0" w:noHBand="0" w:noVBand="1"/>
      </w:tblPr>
      <w:tblGrid>
        <w:gridCol w:w="1372"/>
        <w:gridCol w:w="2048"/>
        <w:gridCol w:w="5670"/>
      </w:tblGrid>
      <w:tr w:rsidR="004B071C" w:rsidRPr="005319D7" w:rsidTr="00E36299">
        <w:tc>
          <w:tcPr>
            <w:tcW w:w="1372" w:type="dxa"/>
            <w:shd w:val="clear" w:color="auto" w:fill="E6EED5"/>
          </w:tcPr>
          <w:p w:rsidR="004B071C" w:rsidRPr="005319D7" w:rsidRDefault="004B071C" w:rsidP="004E680E">
            <w:pPr>
              <w:rPr>
                <w:rFonts w:ascii="Constantia" w:hAnsi="Constantia"/>
                <w:b/>
                <w:bCs/>
                <w:iCs/>
                <w:color w:val="000000"/>
                <w:spacing w:val="8"/>
                <w:szCs w:val="22"/>
                <w:lang w:val="sr-Latn-CS"/>
              </w:rPr>
            </w:pPr>
            <w:r w:rsidRPr="005319D7">
              <w:rPr>
                <w:rFonts w:ascii="Constantia" w:hAnsi="Constantia"/>
                <w:b/>
                <w:bCs/>
                <w:iCs/>
                <w:color w:val="000000"/>
                <w:spacing w:val="8"/>
                <w:szCs w:val="22"/>
                <w:lang w:val="sr-Latn-CS"/>
              </w:rPr>
              <w:t>Lokalitet</w:t>
            </w:r>
          </w:p>
        </w:tc>
        <w:tc>
          <w:tcPr>
            <w:tcW w:w="2048" w:type="dxa"/>
            <w:shd w:val="clear" w:color="auto" w:fill="E6EED5"/>
          </w:tcPr>
          <w:p w:rsidR="004B071C" w:rsidRPr="005319D7" w:rsidRDefault="004B071C" w:rsidP="004E680E">
            <w:pPr>
              <w:rPr>
                <w:rFonts w:ascii="Constantia" w:hAnsi="Constantia"/>
                <w:b/>
                <w:bCs/>
                <w:iCs/>
                <w:color w:val="000000"/>
                <w:spacing w:val="8"/>
                <w:szCs w:val="22"/>
                <w:lang w:val="sr-Latn-CS"/>
              </w:rPr>
            </w:pPr>
            <w:r w:rsidRPr="005319D7">
              <w:rPr>
                <w:rFonts w:ascii="Constantia" w:hAnsi="Constantia"/>
                <w:b/>
                <w:bCs/>
                <w:iCs/>
                <w:color w:val="000000"/>
                <w:spacing w:val="8"/>
                <w:szCs w:val="22"/>
                <w:lang w:val="sr-Latn-CS"/>
              </w:rPr>
              <w:t>Kategorija</w:t>
            </w:r>
          </w:p>
        </w:tc>
        <w:tc>
          <w:tcPr>
            <w:tcW w:w="5670" w:type="dxa"/>
            <w:shd w:val="clear" w:color="auto" w:fill="E6EED5"/>
          </w:tcPr>
          <w:p w:rsidR="004B071C" w:rsidRPr="005319D7" w:rsidRDefault="004B071C" w:rsidP="004E680E">
            <w:pPr>
              <w:rPr>
                <w:rFonts w:ascii="Constantia" w:hAnsi="Constantia"/>
                <w:b/>
                <w:bCs/>
                <w:iCs/>
                <w:color w:val="000000"/>
                <w:spacing w:val="8"/>
                <w:szCs w:val="22"/>
                <w:lang w:val="sr-Latn-CS"/>
              </w:rPr>
            </w:pPr>
            <w:r w:rsidRPr="005319D7">
              <w:rPr>
                <w:rFonts w:ascii="Constantia" w:hAnsi="Constantia"/>
                <w:b/>
                <w:bCs/>
                <w:iCs/>
                <w:color w:val="000000"/>
                <w:spacing w:val="8"/>
                <w:szCs w:val="22"/>
                <w:lang w:val="sr-Latn-CS"/>
              </w:rPr>
              <w:t>Vrste</w:t>
            </w:r>
          </w:p>
        </w:tc>
      </w:tr>
      <w:tr w:rsidR="004B071C" w:rsidRPr="005319D7" w:rsidTr="00E36299">
        <w:tc>
          <w:tcPr>
            <w:tcW w:w="1372" w:type="dxa"/>
            <w:vMerge w:val="restart"/>
            <w:shd w:val="clear" w:color="auto" w:fill="CDDDAC"/>
          </w:tcPr>
          <w:p w:rsidR="004B071C" w:rsidRPr="005319D7" w:rsidRDefault="004B071C" w:rsidP="004E680E">
            <w:pPr>
              <w:rPr>
                <w:rFonts w:ascii="Constantia" w:hAnsi="Constantia"/>
                <w:b/>
                <w:bCs/>
                <w:iCs/>
                <w:color w:val="000000"/>
                <w:spacing w:val="8"/>
                <w:szCs w:val="22"/>
                <w:lang w:val="sr-Latn-CS"/>
              </w:rPr>
            </w:pPr>
            <w:r w:rsidRPr="005319D7">
              <w:rPr>
                <w:rFonts w:ascii="Constantia" w:hAnsi="Constantia"/>
                <w:b/>
                <w:bCs/>
                <w:szCs w:val="22"/>
              </w:rPr>
              <w:t>Selo Pošćenje – kanjon Nevidio</w:t>
            </w:r>
          </w:p>
        </w:tc>
        <w:tc>
          <w:tcPr>
            <w:tcW w:w="2048" w:type="dxa"/>
            <w:shd w:val="clear" w:color="auto" w:fill="CDDDAC"/>
          </w:tcPr>
          <w:p w:rsidR="004B071C" w:rsidRPr="005319D7" w:rsidRDefault="004B071C" w:rsidP="004E680E">
            <w:pPr>
              <w:rPr>
                <w:rFonts w:ascii="Constantia" w:hAnsi="Constantia"/>
                <w:bCs/>
                <w:iCs/>
                <w:color w:val="000000"/>
                <w:spacing w:val="8"/>
                <w:szCs w:val="22"/>
                <w:lang w:val="sr-Latn-CS"/>
              </w:rPr>
            </w:pPr>
            <w:r w:rsidRPr="005319D7">
              <w:rPr>
                <w:rFonts w:ascii="Constantia" w:hAnsi="Constantia"/>
                <w:iCs/>
                <w:color w:val="000000"/>
                <w:spacing w:val="8"/>
                <w:szCs w:val="22"/>
                <w:lang w:val="sr-Latn-CS"/>
              </w:rPr>
              <w:t>Indi</w:t>
            </w:r>
            <w:r w:rsidRPr="005319D7">
              <w:rPr>
                <w:rFonts w:ascii="Constantia" w:hAnsi="Constantia"/>
                <w:bCs/>
                <w:iCs/>
                <w:color w:val="000000"/>
                <w:spacing w:val="8"/>
                <w:szCs w:val="22"/>
                <w:lang w:val="sr-Latn-CS"/>
              </w:rPr>
              <w:t xml:space="preserve">katorske vrste </w:t>
            </w:r>
          </w:p>
        </w:tc>
        <w:tc>
          <w:tcPr>
            <w:tcW w:w="5670" w:type="dxa"/>
            <w:shd w:val="clear" w:color="auto" w:fill="CDDDAC"/>
          </w:tcPr>
          <w:p w:rsidR="004B071C" w:rsidRPr="005319D7" w:rsidRDefault="00E36299" w:rsidP="00E36299">
            <w:pPr>
              <w:autoSpaceDE w:val="0"/>
              <w:autoSpaceDN w:val="0"/>
              <w:adjustRightInd w:val="0"/>
              <w:spacing w:after="0"/>
              <w:rPr>
                <w:rFonts w:ascii="Constantia" w:hAnsi="Constantia"/>
                <w:bCs/>
                <w:iCs/>
                <w:color w:val="000000"/>
                <w:spacing w:val="8"/>
                <w:szCs w:val="22"/>
                <w:lang w:val="sr-Latn-CS"/>
              </w:rPr>
            </w:pPr>
            <w:r w:rsidRPr="005319D7">
              <w:rPr>
                <w:rFonts w:ascii="Constantia" w:hAnsi="Constantia"/>
                <w:bCs/>
                <w:iCs/>
                <w:color w:val="000000"/>
                <w:spacing w:val="8"/>
                <w:szCs w:val="22"/>
                <w:lang w:val="sr-Latn-CS"/>
              </w:rPr>
              <w:t>N</w:t>
            </w:r>
            <w:r w:rsidR="004B071C" w:rsidRPr="005319D7">
              <w:rPr>
                <w:rFonts w:ascii="Constantia" w:hAnsi="Constantia"/>
                <w:bCs/>
                <w:iCs/>
                <w:color w:val="000000"/>
                <w:spacing w:val="8"/>
                <w:szCs w:val="22"/>
                <w:lang w:val="sr-Latn-CS"/>
              </w:rPr>
              <w:t>isu registrovane</w:t>
            </w:r>
          </w:p>
        </w:tc>
      </w:tr>
      <w:tr w:rsidR="004B071C" w:rsidRPr="005319D7" w:rsidTr="00E36299">
        <w:tc>
          <w:tcPr>
            <w:tcW w:w="1372" w:type="dxa"/>
            <w:vMerge/>
            <w:shd w:val="clear" w:color="auto" w:fill="E6EED5"/>
          </w:tcPr>
          <w:p w:rsidR="004B071C" w:rsidRPr="005319D7" w:rsidRDefault="004B071C" w:rsidP="004E680E">
            <w:pPr>
              <w:rPr>
                <w:rFonts w:ascii="Constantia" w:hAnsi="Constantia"/>
                <w:b/>
                <w:bCs/>
                <w:iCs/>
                <w:color w:val="000000"/>
                <w:spacing w:val="8"/>
                <w:szCs w:val="22"/>
                <w:lang w:val="sr-Latn-CS"/>
              </w:rPr>
            </w:pPr>
          </w:p>
        </w:tc>
        <w:tc>
          <w:tcPr>
            <w:tcW w:w="2048" w:type="dxa"/>
            <w:shd w:val="clear" w:color="auto" w:fill="E6EED5"/>
          </w:tcPr>
          <w:p w:rsidR="004B071C" w:rsidRPr="005319D7" w:rsidRDefault="004B071C" w:rsidP="004E680E">
            <w:pPr>
              <w:rPr>
                <w:rFonts w:ascii="Constantia" w:hAnsi="Constantia"/>
                <w:b/>
                <w:bCs/>
                <w:iCs/>
                <w:color w:val="000000"/>
                <w:spacing w:val="8"/>
                <w:szCs w:val="22"/>
                <w:lang w:val="sr-Latn-CS"/>
              </w:rPr>
            </w:pPr>
            <w:r w:rsidRPr="005319D7">
              <w:rPr>
                <w:rFonts w:ascii="Constantia" w:hAnsi="Constantia"/>
                <w:iCs/>
                <w:color w:val="000000"/>
                <w:spacing w:val="8"/>
                <w:szCs w:val="22"/>
                <w:lang w:val="sr-Latn-CS"/>
              </w:rPr>
              <w:t>Ostale vrste/staništa</w:t>
            </w:r>
          </w:p>
        </w:tc>
        <w:tc>
          <w:tcPr>
            <w:tcW w:w="5670" w:type="dxa"/>
            <w:shd w:val="clear" w:color="auto" w:fill="E6EED5"/>
          </w:tcPr>
          <w:p w:rsidR="004B071C" w:rsidRPr="005319D7" w:rsidRDefault="004B071C" w:rsidP="004E680E">
            <w:pPr>
              <w:spacing w:after="0"/>
              <w:rPr>
                <w:rFonts w:ascii="Constantia" w:hAnsi="Constantia"/>
                <w:bCs/>
                <w:i/>
                <w:iCs/>
                <w:color w:val="000000"/>
                <w:spacing w:val="8"/>
                <w:szCs w:val="22"/>
                <w:lang w:val="sr-Latn-CS"/>
              </w:rPr>
            </w:pPr>
            <w:r w:rsidRPr="005319D7">
              <w:rPr>
                <w:rFonts w:ascii="Constantia" w:hAnsi="Constantia"/>
                <w:bCs/>
                <w:i/>
                <w:iCs/>
                <w:color w:val="000000"/>
                <w:spacing w:val="8"/>
                <w:szCs w:val="22"/>
                <w:lang w:val="sr-Latn-CS"/>
              </w:rPr>
              <w:t>Boletus luridus, Trametes versicolor</w:t>
            </w:r>
          </w:p>
        </w:tc>
      </w:tr>
      <w:tr w:rsidR="004B071C" w:rsidRPr="005319D7" w:rsidTr="00E36299">
        <w:trPr>
          <w:trHeight w:val="524"/>
        </w:trPr>
        <w:tc>
          <w:tcPr>
            <w:tcW w:w="1372" w:type="dxa"/>
            <w:vMerge/>
            <w:shd w:val="clear" w:color="auto" w:fill="CDDDAC"/>
          </w:tcPr>
          <w:p w:rsidR="004B071C" w:rsidRPr="005319D7" w:rsidRDefault="004B071C" w:rsidP="004E680E">
            <w:pPr>
              <w:rPr>
                <w:rFonts w:ascii="Constantia" w:hAnsi="Constantia"/>
                <w:b/>
                <w:bCs/>
                <w:iCs/>
                <w:color w:val="000000"/>
                <w:spacing w:val="8"/>
                <w:szCs w:val="22"/>
                <w:lang w:val="sr-Latn-CS"/>
              </w:rPr>
            </w:pPr>
          </w:p>
        </w:tc>
        <w:tc>
          <w:tcPr>
            <w:tcW w:w="2048" w:type="dxa"/>
            <w:shd w:val="clear" w:color="auto" w:fill="CDDDAC"/>
          </w:tcPr>
          <w:p w:rsidR="004B071C" w:rsidRPr="005319D7" w:rsidRDefault="004B071C" w:rsidP="004E680E">
            <w:pPr>
              <w:rPr>
                <w:rFonts w:ascii="Constantia" w:hAnsi="Constantia"/>
                <w:b/>
                <w:bCs/>
                <w:iCs/>
                <w:color w:val="000000"/>
                <w:spacing w:val="8"/>
                <w:szCs w:val="22"/>
                <w:lang w:val="sr-Latn-CS"/>
              </w:rPr>
            </w:pPr>
            <w:r w:rsidRPr="005319D7">
              <w:rPr>
                <w:rFonts w:ascii="Constantia" w:hAnsi="Constantia"/>
                <w:iCs/>
                <w:color w:val="000000"/>
                <w:spacing w:val="8"/>
                <w:szCs w:val="22"/>
                <w:lang w:val="sr-Latn-CS"/>
              </w:rPr>
              <w:t>Utvrđeno stanje</w:t>
            </w:r>
          </w:p>
        </w:tc>
        <w:tc>
          <w:tcPr>
            <w:tcW w:w="5670" w:type="dxa"/>
            <w:shd w:val="clear" w:color="auto" w:fill="CDDDAC"/>
          </w:tcPr>
          <w:p w:rsidR="004B071C" w:rsidRPr="005319D7" w:rsidRDefault="004B071C" w:rsidP="00E36299">
            <w:pPr>
              <w:spacing w:after="0"/>
              <w:rPr>
                <w:rFonts w:ascii="Constantia" w:hAnsi="Constantia"/>
                <w:b/>
                <w:bCs/>
                <w:iCs/>
                <w:color w:val="000000"/>
                <w:spacing w:val="8"/>
                <w:szCs w:val="22"/>
                <w:lang w:val="sr-Latn-CS"/>
              </w:rPr>
            </w:pPr>
            <w:r w:rsidRPr="005319D7">
              <w:rPr>
                <w:rFonts w:ascii="Constantia" w:hAnsi="Constantia"/>
                <w:szCs w:val="22"/>
                <w:lang w:val="sr-Latn-CS"/>
              </w:rPr>
              <w:t xml:space="preserve">Urađeno je rekognosciranje određenih lokacija u kanjonu rijeke Komarnice i obavljena </w:t>
            </w:r>
            <w:r w:rsidR="00E36299" w:rsidRPr="005319D7">
              <w:rPr>
                <w:rFonts w:ascii="Constantia" w:hAnsi="Constantia"/>
                <w:szCs w:val="22"/>
                <w:lang w:val="sr-Latn-CS"/>
              </w:rPr>
              <w:t xml:space="preserve">su </w:t>
            </w:r>
            <w:r w:rsidRPr="005319D7">
              <w:rPr>
                <w:rFonts w:ascii="Constantia" w:hAnsi="Constantia"/>
                <w:szCs w:val="22"/>
                <w:lang w:val="sr-Latn-CS"/>
              </w:rPr>
              <w:t>terenska istraživanja na lokalitetu kod sela Pošćenje – kanjon Nevidio (kordinate N 42°59’06.1’’, EO 19°04’03.2 i N 42°58’97.9’’, EO 19°03’38.6’’). Zbog nedovoljne količine vlažnosti u supstratu</w:t>
            </w:r>
            <w:r w:rsidR="00E36299" w:rsidRPr="005319D7">
              <w:rPr>
                <w:rFonts w:ascii="Constantia" w:hAnsi="Constantia"/>
                <w:szCs w:val="22"/>
                <w:lang w:val="sr-Latn-CS"/>
              </w:rPr>
              <w:t>,</w:t>
            </w:r>
            <w:r w:rsidRPr="005319D7">
              <w:rPr>
                <w:rFonts w:ascii="Constantia" w:hAnsi="Constantia"/>
                <w:szCs w:val="22"/>
                <w:lang w:val="sr-Latn-CS"/>
              </w:rPr>
              <w:t xml:space="preserve"> </w:t>
            </w:r>
            <w:r w:rsidR="00E36299" w:rsidRPr="005319D7">
              <w:rPr>
                <w:rFonts w:ascii="Constantia" w:hAnsi="Constantia"/>
                <w:szCs w:val="22"/>
                <w:lang w:val="sr-Latn-CS"/>
              </w:rPr>
              <w:t>kao i perioda istraživanja (jul),</w:t>
            </w:r>
            <w:r w:rsidRPr="005319D7">
              <w:rPr>
                <w:rFonts w:ascii="Constantia" w:hAnsi="Constantia"/>
                <w:szCs w:val="22"/>
                <w:lang w:val="sr-Latn-CS"/>
              </w:rPr>
              <w:t xml:space="preserve"> registrovan je relativno mali broj vrsta gljiva (</w:t>
            </w:r>
            <w:r w:rsidRPr="005319D7">
              <w:rPr>
                <w:rFonts w:ascii="Constantia" w:hAnsi="Constantia"/>
                <w:i/>
                <w:iCs/>
                <w:spacing w:val="12"/>
                <w:szCs w:val="22"/>
                <w:lang w:val="sr-Latn-CS"/>
              </w:rPr>
              <w:t>Boletus luridus</w:t>
            </w:r>
            <w:r w:rsidRPr="005319D7">
              <w:rPr>
                <w:rFonts w:ascii="Constantia" w:hAnsi="Constantia"/>
                <w:spacing w:val="12"/>
                <w:szCs w:val="22"/>
                <w:lang w:val="sr-Latn-CS"/>
              </w:rPr>
              <w:t xml:space="preserve">, </w:t>
            </w:r>
            <w:r w:rsidRPr="005319D7">
              <w:rPr>
                <w:rFonts w:ascii="Constantia" w:hAnsi="Constantia"/>
                <w:i/>
                <w:iCs/>
                <w:spacing w:val="12"/>
                <w:szCs w:val="22"/>
                <w:lang w:val="sr-Latn-CS"/>
              </w:rPr>
              <w:t>Trametes versicolor</w:t>
            </w:r>
            <w:r w:rsidRPr="005319D7">
              <w:rPr>
                <w:rFonts w:ascii="Constantia" w:hAnsi="Constantia"/>
                <w:spacing w:val="12"/>
                <w:szCs w:val="22"/>
                <w:lang w:val="sr-Latn-CS"/>
              </w:rPr>
              <w:t>)</w:t>
            </w:r>
            <w:r w:rsidRPr="005319D7">
              <w:rPr>
                <w:rFonts w:ascii="Constantia" w:hAnsi="Constantia"/>
                <w:szCs w:val="22"/>
                <w:lang w:val="sr-Latn-CS"/>
              </w:rPr>
              <w:t>. Plodonošenje najvećeg broja vrsta gljiva se očekuje u jesenjim mjesecima</w:t>
            </w:r>
            <w:r w:rsidR="00E36299" w:rsidRPr="005319D7">
              <w:rPr>
                <w:rFonts w:ascii="Constantia" w:hAnsi="Constantia"/>
                <w:szCs w:val="22"/>
                <w:lang w:val="sr-Latn-CS"/>
              </w:rPr>
              <w:t>,</w:t>
            </w:r>
            <w:r w:rsidRPr="005319D7">
              <w:rPr>
                <w:rFonts w:ascii="Constantia" w:hAnsi="Constantia"/>
                <w:szCs w:val="22"/>
                <w:lang w:val="sr-Latn-CS"/>
              </w:rPr>
              <w:t xml:space="preserve"> kao i registrovanje vrsta značajnih sa međunarodnog i nacionalnog aspekta. Shodno međunarodnim kritetijumima</w:t>
            </w:r>
            <w:r w:rsidR="00E36299" w:rsidRPr="005319D7">
              <w:rPr>
                <w:rFonts w:ascii="Constantia" w:hAnsi="Constantia"/>
                <w:szCs w:val="22"/>
                <w:lang w:val="sr-Latn-CS"/>
              </w:rPr>
              <w:t>,</w:t>
            </w:r>
            <w:r w:rsidRPr="005319D7">
              <w:rPr>
                <w:rFonts w:ascii="Constantia" w:hAnsi="Constantia"/>
                <w:szCs w:val="22"/>
                <w:lang w:val="sr-Latn-CS"/>
              </w:rPr>
              <w:t xml:space="preserve"> stanište na ovom lokalitetu (kordinate N 42°58’97.9’’, EO 19°03’38.6’’) gdje dominiraju vrste drveća </w:t>
            </w:r>
            <w:r w:rsidRPr="005319D7">
              <w:rPr>
                <w:rFonts w:ascii="Constantia" w:hAnsi="Constantia"/>
                <w:i/>
                <w:iCs/>
                <w:szCs w:val="22"/>
                <w:lang w:val="sr-Latn-CS"/>
              </w:rPr>
              <w:t>Ostrya carpinifolia, Carpinus betulus, Corylus avellana</w:t>
            </w:r>
            <w:r w:rsidRPr="005319D7">
              <w:rPr>
                <w:rFonts w:ascii="Constantia" w:hAnsi="Constantia"/>
                <w:szCs w:val="22"/>
                <w:lang w:val="sr-Latn-CS"/>
              </w:rPr>
              <w:t xml:space="preserve"> su značajna sa aspekta gljiva.</w:t>
            </w:r>
          </w:p>
        </w:tc>
      </w:tr>
    </w:tbl>
    <w:p w:rsidR="004B071C" w:rsidRDefault="004B071C" w:rsidP="004B071C">
      <w:pPr>
        <w:pStyle w:val="Tabele"/>
        <w:spacing w:before="60" w:after="240"/>
        <w:ind w:left="714" w:hanging="357"/>
        <w:rPr>
          <w:rFonts w:ascii="Constantia" w:hAnsi="Constantia"/>
          <w:sz w:val="22"/>
          <w:szCs w:val="22"/>
        </w:rPr>
      </w:pPr>
      <w:r w:rsidRPr="0082411F">
        <w:rPr>
          <w:rFonts w:ascii="Constantia" w:hAnsi="Constantia"/>
          <w:sz w:val="22"/>
          <w:szCs w:val="22"/>
        </w:rPr>
        <w:t>Gljive</w:t>
      </w:r>
    </w:p>
    <w:p w:rsidR="005319D7" w:rsidRPr="0082411F" w:rsidRDefault="005319D7" w:rsidP="005319D7">
      <w:pPr>
        <w:pStyle w:val="Tabele"/>
        <w:numPr>
          <w:ilvl w:val="0"/>
          <w:numId w:val="0"/>
        </w:numPr>
        <w:spacing w:before="60" w:after="240"/>
        <w:ind w:left="714"/>
        <w:jc w:val="both"/>
        <w:rPr>
          <w:rFonts w:ascii="Constantia" w:hAnsi="Constantia"/>
          <w:sz w:val="22"/>
          <w:szCs w:val="22"/>
        </w:rPr>
      </w:pPr>
    </w:p>
    <w:p w:rsidR="004B071C" w:rsidRPr="002E3A97" w:rsidRDefault="004B071C" w:rsidP="004B071C">
      <w:pPr>
        <w:pStyle w:val="Heading4"/>
        <w:rPr>
          <w:sz w:val="22"/>
          <w:szCs w:val="22"/>
          <w:lang w:val="sr-Latn-CS"/>
        </w:rPr>
      </w:pPr>
      <w:r w:rsidRPr="002E3A97">
        <w:rPr>
          <w:sz w:val="22"/>
          <w:szCs w:val="22"/>
          <w:lang w:val="sr-Latn-CS"/>
        </w:rPr>
        <w:t>Invertebrate (beskičmenjaci)</w:t>
      </w:r>
    </w:p>
    <w:p w:rsidR="00D64814" w:rsidRPr="005319D7" w:rsidRDefault="00D64814" w:rsidP="00D64814">
      <w:pPr>
        <w:spacing w:before="240"/>
        <w:rPr>
          <w:b/>
          <w:i/>
          <w:sz w:val="20"/>
          <w:szCs w:val="20"/>
          <w:lang w:val="sr-Latn-CS"/>
        </w:rPr>
      </w:pPr>
      <w:r w:rsidRPr="005319D7">
        <w:rPr>
          <w:b/>
          <w:sz w:val="20"/>
          <w:szCs w:val="20"/>
          <w:lang w:val="sr-Latn-CS"/>
        </w:rPr>
        <w:t xml:space="preserve">6.3.2.4.1 - </w:t>
      </w:r>
      <w:r w:rsidR="00FF60C4" w:rsidRPr="005319D7">
        <w:rPr>
          <w:b/>
          <w:sz w:val="20"/>
          <w:szCs w:val="20"/>
          <w:lang w:val="sr-Latn-CS"/>
        </w:rPr>
        <w:t xml:space="preserve"> </w:t>
      </w:r>
      <w:r w:rsidRPr="005319D7">
        <w:rPr>
          <w:b/>
          <w:sz w:val="20"/>
          <w:szCs w:val="20"/>
          <w:u w:val="single"/>
          <w:lang w:val="sr-Latn-CS"/>
        </w:rPr>
        <w:t>Malakofauna</w:t>
      </w:r>
      <w:r w:rsidRPr="005319D7">
        <w:rPr>
          <w:b/>
          <w:sz w:val="20"/>
          <w:szCs w:val="20"/>
          <w:lang w:val="sr-Latn-CS"/>
        </w:rPr>
        <w:t xml:space="preserve"> </w:t>
      </w:r>
      <w:r w:rsidRPr="005319D7">
        <w:rPr>
          <w:b/>
          <w:i/>
          <w:sz w:val="20"/>
          <w:szCs w:val="20"/>
          <w:lang w:val="sr-Latn-CS"/>
        </w:rPr>
        <w:t>(Gastropoda i Bivalvia)</w:t>
      </w:r>
    </w:p>
    <w:p w:rsidR="004B071C" w:rsidRDefault="004B071C" w:rsidP="00D64814">
      <w:pPr>
        <w:spacing w:before="240"/>
        <w:rPr>
          <w:rFonts w:ascii="Constantia" w:hAnsi="Constantia"/>
          <w:color w:val="000000"/>
          <w:szCs w:val="22"/>
        </w:rPr>
      </w:pPr>
      <w:r w:rsidRPr="0006514A">
        <w:rPr>
          <w:rFonts w:ascii="Constantia" w:hAnsi="Constantia"/>
          <w:color w:val="000000"/>
          <w:szCs w:val="22"/>
          <w:lang w:val="sr-Latn-CS"/>
        </w:rPr>
        <w:t>Datumi terenskih istraživanja</w:t>
      </w:r>
      <w:r w:rsidRPr="0006514A">
        <w:rPr>
          <w:rFonts w:ascii="Constantia" w:hAnsi="Constantia"/>
          <w:color w:val="000000"/>
          <w:szCs w:val="22"/>
        </w:rPr>
        <w:t>: 17.06., 08.08., 19.09., 20.11., 12.12.2013.</w:t>
      </w:r>
    </w:p>
    <w:p w:rsidR="005319D7" w:rsidRDefault="005319D7" w:rsidP="00D64814">
      <w:pPr>
        <w:spacing w:before="240"/>
        <w:rPr>
          <w:rFonts w:ascii="Constantia" w:hAnsi="Constantia"/>
          <w:color w:val="000000"/>
          <w:szCs w:val="22"/>
        </w:rPr>
      </w:pPr>
    </w:p>
    <w:p w:rsidR="005319D7" w:rsidRDefault="005319D7" w:rsidP="00D64814">
      <w:pPr>
        <w:spacing w:before="240"/>
        <w:rPr>
          <w:rFonts w:ascii="Constantia" w:hAnsi="Constantia"/>
          <w:color w:val="000000"/>
          <w:szCs w:val="22"/>
        </w:rPr>
      </w:pPr>
    </w:p>
    <w:p w:rsidR="005319D7" w:rsidRDefault="005319D7" w:rsidP="00D64814">
      <w:pPr>
        <w:spacing w:before="240"/>
        <w:rPr>
          <w:rFonts w:ascii="Constantia" w:hAnsi="Constantia"/>
          <w:color w:val="000000"/>
          <w:szCs w:val="22"/>
        </w:rPr>
      </w:pPr>
    </w:p>
    <w:p w:rsidR="005319D7" w:rsidRDefault="005319D7" w:rsidP="00D64814">
      <w:pPr>
        <w:spacing w:before="240"/>
        <w:rPr>
          <w:rFonts w:ascii="Constantia" w:hAnsi="Constantia"/>
          <w:color w:val="000000"/>
          <w:szCs w:val="22"/>
        </w:rPr>
      </w:pPr>
    </w:p>
    <w:tbl>
      <w:tblPr>
        <w:tblW w:w="8971" w:type="dxa"/>
        <w:jc w:val="center"/>
        <w:tblInd w:w="-903"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1E0" w:firstRow="1" w:lastRow="1" w:firstColumn="1" w:lastColumn="1" w:noHBand="0" w:noVBand="0"/>
      </w:tblPr>
      <w:tblGrid>
        <w:gridCol w:w="2739"/>
        <w:gridCol w:w="6232"/>
      </w:tblGrid>
      <w:tr w:rsidR="004B071C" w:rsidRPr="005319D7" w:rsidTr="0006514A">
        <w:trPr>
          <w:jc w:val="center"/>
        </w:trPr>
        <w:tc>
          <w:tcPr>
            <w:tcW w:w="2739" w:type="dxa"/>
            <w:shd w:val="clear" w:color="auto" w:fill="E6EED5"/>
            <w:hideMark/>
          </w:tcPr>
          <w:p w:rsidR="004B071C" w:rsidRPr="005319D7" w:rsidRDefault="004B071C" w:rsidP="0006514A">
            <w:pPr>
              <w:tabs>
                <w:tab w:val="left" w:pos="7380"/>
              </w:tabs>
              <w:spacing w:after="0" w:line="260" w:lineRule="exact"/>
              <w:jc w:val="center"/>
              <w:rPr>
                <w:rFonts w:ascii="Constantia" w:hAnsi="Constantia" w:cs="Arial"/>
                <w:b/>
                <w:bCs/>
                <w:color w:val="000000"/>
                <w:spacing w:val="6"/>
                <w:szCs w:val="22"/>
                <w:lang w:val="sr-Latn-CS"/>
              </w:rPr>
            </w:pPr>
            <w:r w:rsidRPr="005319D7">
              <w:rPr>
                <w:rFonts w:ascii="Constantia" w:hAnsi="Constantia" w:cs="Arial"/>
                <w:b/>
                <w:bCs/>
                <w:color w:val="000000"/>
                <w:spacing w:val="6"/>
                <w:szCs w:val="22"/>
                <w:lang w:val="sr-Latn-CS"/>
              </w:rPr>
              <w:lastRenderedPageBreak/>
              <w:t>Lokaliteti</w:t>
            </w:r>
          </w:p>
        </w:tc>
        <w:tc>
          <w:tcPr>
            <w:tcW w:w="6232" w:type="dxa"/>
            <w:shd w:val="clear" w:color="auto" w:fill="E6EED5"/>
            <w:hideMark/>
          </w:tcPr>
          <w:p w:rsidR="004B071C" w:rsidRPr="005319D7" w:rsidRDefault="004B071C" w:rsidP="0006514A">
            <w:pPr>
              <w:tabs>
                <w:tab w:val="left" w:pos="7380"/>
              </w:tabs>
              <w:spacing w:after="0" w:line="260" w:lineRule="exact"/>
              <w:jc w:val="center"/>
              <w:rPr>
                <w:rFonts w:ascii="Constantia" w:hAnsi="Constantia" w:cs="Arial"/>
                <w:b/>
                <w:bCs/>
                <w:color w:val="000000"/>
                <w:spacing w:val="6"/>
                <w:szCs w:val="22"/>
                <w:lang w:val="sr-Latn-CS"/>
              </w:rPr>
            </w:pPr>
            <w:r w:rsidRPr="005319D7">
              <w:rPr>
                <w:rFonts w:ascii="Constantia" w:hAnsi="Constantia" w:cs="Arial"/>
                <w:b/>
                <w:bCs/>
                <w:color w:val="000000"/>
                <w:spacing w:val="6"/>
                <w:szCs w:val="22"/>
                <w:lang w:val="sr-Latn-CS"/>
              </w:rPr>
              <w:t>Identifikovani taksoni/Utvrđeno stanje</w:t>
            </w:r>
          </w:p>
        </w:tc>
      </w:tr>
      <w:tr w:rsidR="004B071C" w:rsidRPr="005319D7" w:rsidTr="0006514A">
        <w:trPr>
          <w:jc w:val="center"/>
        </w:trPr>
        <w:tc>
          <w:tcPr>
            <w:tcW w:w="2739" w:type="dxa"/>
            <w:shd w:val="clear" w:color="auto" w:fill="CDDDAC"/>
            <w:hideMark/>
          </w:tcPr>
          <w:p w:rsidR="004B071C" w:rsidRPr="005319D7" w:rsidRDefault="004B071C" w:rsidP="004E680E">
            <w:pPr>
              <w:tabs>
                <w:tab w:val="left" w:pos="7380"/>
              </w:tabs>
              <w:spacing w:after="0" w:line="260" w:lineRule="exact"/>
              <w:jc w:val="right"/>
              <w:rPr>
                <w:rFonts w:ascii="Constantia" w:hAnsi="Constantia" w:cs="Arial"/>
                <w:b/>
                <w:bCs/>
                <w:smallCaps/>
                <w:color w:val="FF0000"/>
                <w:spacing w:val="6"/>
                <w:szCs w:val="22"/>
                <w:lang w:val="sr-Latn-CS"/>
              </w:rPr>
            </w:pPr>
          </w:p>
        </w:tc>
        <w:tc>
          <w:tcPr>
            <w:tcW w:w="6232" w:type="dxa"/>
            <w:shd w:val="clear" w:color="auto" w:fill="CDDDAC"/>
            <w:hideMark/>
          </w:tcPr>
          <w:p w:rsidR="004B071C" w:rsidRPr="005319D7" w:rsidRDefault="004B071C" w:rsidP="004E680E">
            <w:pPr>
              <w:spacing w:after="60" w:line="280" w:lineRule="exact"/>
              <w:rPr>
                <w:rFonts w:ascii="Constantia" w:hAnsi="Constantia" w:cs="Arial"/>
                <w:bCs/>
                <w:color w:val="FF0000"/>
                <w:spacing w:val="10"/>
                <w:szCs w:val="22"/>
              </w:rPr>
            </w:pPr>
          </w:p>
        </w:tc>
      </w:tr>
      <w:tr w:rsidR="004B071C" w:rsidRPr="005319D7" w:rsidTr="0006514A">
        <w:trPr>
          <w:trHeight w:val="3494"/>
          <w:jc w:val="center"/>
        </w:trPr>
        <w:tc>
          <w:tcPr>
            <w:tcW w:w="2739" w:type="dxa"/>
            <w:shd w:val="clear" w:color="auto" w:fill="E6EED5"/>
            <w:hideMark/>
          </w:tcPr>
          <w:p w:rsidR="004B071C" w:rsidRPr="005319D7" w:rsidRDefault="004B071C" w:rsidP="004E680E">
            <w:pPr>
              <w:spacing w:after="0"/>
              <w:rPr>
                <w:rFonts w:ascii="Constantia" w:hAnsi="Constantia" w:cs="Arial"/>
                <w:b/>
                <w:bCs/>
                <w:smallCaps/>
                <w:color w:val="000000"/>
                <w:spacing w:val="6"/>
                <w:szCs w:val="22"/>
                <w:lang w:val="sr-Latn-CS"/>
              </w:rPr>
            </w:pPr>
            <w:r w:rsidRPr="005319D7">
              <w:rPr>
                <w:rFonts w:ascii="Constantia" w:hAnsi="Constantia" w:cs="Arial"/>
                <w:b/>
                <w:bCs/>
                <w:smallCaps/>
                <w:color w:val="000000"/>
                <w:spacing w:val="6"/>
                <w:szCs w:val="22"/>
                <w:lang w:val="sr-Latn-CS"/>
              </w:rPr>
              <w:t>Kanjon Komarnice</w:t>
            </w:r>
          </w:p>
        </w:tc>
        <w:tc>
          <w:tcPr>
            <w:tcW w:w="6232" w:type="dxa"/>
            <w:shd w:val="clear" w:color="auto" w:fill="E6EED5"/>
          </w:tcPr>
          <w:p w:rsidR="004B071C" w:rsidRPr="005319D7" w:rsidRDefault="004B071C" w:rsidP="005319D7">
            <w:pPr>
              <w:spacing w:after="0" w:line="280" w:lineRule="exact"/>
              <w:rPr>
                <w:rFonts w:ascii="Constantia" w:eastAsia="Calibri" w:hAnsi="Constantia" w:cs="Arial"/>
                <w:bCs/>
                <w:color w:val="000000"/>
                <w:spacing w:val="8"/>
                <w:szCs w:val="22"/>
                <w:lang w:val="pt-BR"/>
              </w:rPr>
            </w:pPr>
            <w:r w:rsidRPr="005319D7">
              <w:rPr>
                <w:rFonts w:ascii="Constantia" w:eastAsia="Calibri" w:hAnsi="Constantia" w:cs="Arial"/>
                <w:bCs/>
                <w:i/>
                <w:color w:val="000000"/>
                <w:spacing w:val="8"/>
                <w:szCs w:val="22"/>
                <w:lang w:val="pt-BR"/>
              </w:rPr>
              <w:t>Helicella obvia</w:t>
            </w:r>
            <w:r w:rsidRPr="005319D7">
              <w:rPr>
                <w:rFonts w:ascii="Constantia" w:eastAsia="Calibri" w:hAnsi="Constantia" w:cs="Arial"/>
                <w:bCs/>
                <w:color w:val="000000"/>
                <w:spacing w:val="8"/>
                <w:szCs w:val="22"/>
                <w:lang w:val="pt-BR"/>
              </w:rPr>
              <w:t xml:space="preserve"> (Menke, 1828) </w:t>
            </w:r>
          </w:p>
          <w:p w:rsidR="004B071C" w:rsidRPr="005319D7" w:rsidRDefault="004B071C" w:rsidP="005319D7">
            <w:pPr>
              <w:spacing w:after="0" w:line="280" w:lineRule="exact"/>
              <w:rPr>
                <w:rFonts w:ascii="Constantia" w:eastAsia="Calibri" w:hAnsi="Constantia" w:cs="Arial"/>
                <w:bCs/>
                <w:color w:val="000000"/>
                <w:spacing w:val="8"/>
                <w:szCs w:val="22"/>
                <w:lang w:val="pt-BR"/>
              </w:rPr>
            </w:pPr>
            <w:r w:rsidRPr="005319D7">
              <w:rPr>
                <w:rFonts w:ascii="Constantia" w:eastAsia="Calibri" w:hAnsi="Constantia" w:cs="Arial"/>
                <w:bCs/>
                <w:i/>
                <w:color w:val="000000"/>
                <w:spacing w:val="8"/>
                <w:szCs w:val="22"/>
                <w:lang w:val="pt-BR"/>
              </w:rPr>
              <w:t>Monacha cartusiana</w:t>
            </w:r>
            <w:r w:rsidRPr="005319D7">
              <w:rPr>
                <w:rFonts w:ascii="Constantia" w:eastAsia="Calibri" w:hAnsi="Constantia" w:cs="Arial"/>
                <w:bCs/>
                <w:color w:val="000000"/>
                <w:spacing w:val="8"/>
                <w:szCs w:val="22"/>
                <w:lang w:val="pt-BR"/>
              </w:rPr>
              <w:t xml:space="preserve"> (Hartmann) 1842 </w:t>
            </w:r>
          </w:p>
          <w:p w:rsidR="004B071C" w:rsidRPr="005319D7" w:rsidRDefault="004B071C" w:rsidP="005319D7">
            <w:pPr>
              <w:spacing w:after="0" w:line="280" w:lineRule="exact"/>
              <w:rPr>
                <w:rFonts w:ascii="Constantia" w:eastAsia="Calibri" w:hAnsi="Constantia" w:cs="Arial"/>
                <w:bCs/>
                <w:color w:val="000000"/>
                <w:spacing w:val="8"/>
                <w:szCs w:val="22"/>
                <w:lang w:val="pt-BR"/>
              </w:rPr>
            </w:pPr>
            <w:r w:rsidRPr="005319D7">
              <w:rPr>
                <w:rFonts w:ascii="Constantia" w:eastAsia="Calibri" w:hAnsi="Constantia" w:cs="Arial"/>
                <w:bCs/>
                <w:i/>
                <w:color w:val="000000"/>
                <w:spacing w:val="8"/>
                <w:szCs w:val="22"/>
                <w:lang w:val="pt-BR"/>
              </w:rPr>
              <w:t>Helix secernenda Rosm</w:t>
            </w:r>
            <w:r w:rsidRPr="005319D7">
              <w:rPr>
                <w:rFonts w:ascii="Constantia" w:eastAsia="Calibri" w:hAnsi="Constantia" w:cs="Arial"/>
                <w:bCs/>
                <w:color w:val="000000"/>
                <w:spacing w:val="8"/>
                <w:szCs w:val="22"/>
                <w:lang w:val="pt-BR"/>
              </w:rPr>
              <w:t>.</w:t>
            </w:r>
            <w:r w:rsidR="0006514A" w:rsidRPr="005319D7">
              <w:rPr>
                <w:rFonts w:ascii="Constantia" w:eastAsia="Calibri" w:hAnsi="Constantia" w:cs="Arial"/>
                <w:bCs/>
                <w:color w:val="000000"/>
                <w:spacing w:val="8"/>
                <w:szCs w:val="22"/>
                <w:lang w:val="pt-BR"/>
              </w:rPr>
              <w:t xml:space="preserve"> </w:t>
            </w:r>
            <w:r w:rsidRPr="005319D7">
              <w:rPr>
                <w:rFonts w:ascii="Constantia" w:eastAsia="Calibri" w:hAnsi="Constantia" w:cs="Arial"/>
                <w:bCs/>
                <w:color w:val="000000"/>
                <w:spacing w:val="8"/>
                <w:szCs w:val="22"/>
                <w:lang w:val="pt-BR"/>
              </w:rPr>
              <w:t xml:space="preserve">1847 </w:t>
            </w:r>
          </w:p>
          <w:p w:rsidR="004B071C" w:rsidRPr="005319D7" w:rsidRDefault="004B071C" w:rsidP="005319D7">
            <w:pPr>
              <w:spacing w:after="0" w:line="280" w:lineRule="exact"/>
              <w:rPr>
                <w:rFonts w:ascii="Constantia" w:eastAsia="Calibri" w:hAnsi="Constantia" w:cs="Arial"/>
                <w:bCs/>
                <w:color w:val="000000"/>
                <w:spacing w:val="8"/>
                <w:szCs w:val="22"/>
                <w:lang w:val="pt-BR"/>
              </w:rPr>
            </w:pPr>
            <w:r w:rsidRPr="005319D7">
              <w:rPr>
                <w:rFonts w:ascii="Constantia" w:eastAsia="Calibri" w:hAnsi="Constantia" w:cs="Arial"/>
                <w:bCs/>
                <w:i/>
                <w:color w:val="000000"/>
                <w:spacing w:val="8"/>
                <w:szCs w:val="22"/>
                <w:lang w:val="pt-BR"/>
              </w:rPr>
              <w:t>Helix vladika</w:t>
            </w:r>
            <w:r w:rsidRPr="005319D7">
              <w:rPr>
                <w:rFonts w:ascii="Constantia" w:eastAsia="Calibri" w:hAnsi="Constantia" w:cs="Arial"/>
                <w:bCs/>
                <w:color w:val="000000"/>
                <w:spacing w:val="8"/>
                <w:szCs w:val="22"/>
                <w:lang w:val="pt-BR"/>
              </w:rPr>
              <w:t xml:space="preserve"> (Kob.) 1890 </w:t>
            </w:r>
          </w:p>
          <w:p w:rsidR="004B071C" w:rsidRPr="005319D7" w:rsidRDefault="004B071C" w:rsidP="005319D7">
            <w:pPr>
              <w:spacing w:after="0" w:line="280" w:lineRule="exact"/>
              <w:rPr>
                <w:rFonts w:ascii="Constantia" w:eastAsia="Calibri" w:hAnsi="Constantia" w:cs="Arial"/>
                <w:bCs/>
                <w:color w:val="000000"/>
                <w:spacing w:val="8"/>
                <w:szCs w:val="22"/>
                <w:lang w:val="pt-BR"/>
              </w:rPr>
            </w:pPr>
            <w:r w:rsidRPr="005319D7">
              <w:rPr>
                <w:rFonts w:ascii="Constantia" w:eastAsia="Calibri" w:hAnsi="Constantia" w:cs="Arial"/>
                <w:bCs/>
                <w:i/>
                <w:color w:val="000000"/>
                <w:spacing w:val="8"/>
                <w:szCs w:val="22"/>
                <w:lang w:val="pt-BR"/>
              </w:rPr>
              <w:t>Zebrina detrita Muell</w:t>
            </w:r>
            <w:r w:rsidRPr="005319D7">
              <w:rPr>
                <w:rFonts w:ascii="Constantia" w:eastAsia="Calibri" w:hAnsi="Constantia" w:cs="Arial"/>
                <w:bCs/>
                <w:color w:val="000000"/>
                <w:spacing w:val="8"/>
                <w:szCs w:val="22"/>
                <w:lang w:val="pt-BR"/>
              </w:rPr>
              <w:t>.</w:t>
            </w:r>
            <w:r w:rsidR="0006514A" w:rsidRPr="005319D7">
              <w:rPr>
                <w:rFonts w:ascii="Constantia" w:eastAsia="Calibri" w:hAnsi="Constantia" w:cs="Arial"/>
                <w:bCs/>
                <w:color w:val="000000"/>
                <w:spacing w:val="8"/>
                <w:szCs w:val="22"/>
                <w:lang w:val="pt-BR"/>
              </w:rPr>
              <w:t xml:space="preserve"> </w:t>
            </w:r>
            <w:r w:rsidRPr="005319D7">
              <w:rPr>
                <w:rFonts w:ascii="Constantia" w:eastAsia="Calibri" w:hAnsi="Constantia" w:cs="Arial"/>
                <w:bCs/>
                <w:color w:val="000000"/>
                <w:spacing w:val="8"/>
                <w:szCs w:val="22"/>
                <w:lang w:val="pt-BR"/>
              </w:rPr>
              <w:t xml:space="preserve">1774 </w:t>
            </w:r>
          </w:p>
          <w:p w:rsidR="004B071C" w:rsidRPr="005319D7" w:rsidRDefault="004B071C" w:rsidP="005319D7">
            <w:pPr>
              <w:spacing w:after="0" w:line="280" w:lineRule="exact"/>
              <w:rPr>
                <w:rFonts w:ascii="Constantia" w:eastAsia="Calibri" w:hAnsi="Constantia" w:cs="Arial"/>
                <w:bCs/>
                <w:color w:val="000000"/>
                <w:spacing w:val="8"/>
                <w:szCs w:val="22"/>
                <w:lang w:val="pt-BR"/>
              </w:rPr>
            </w:pPr>
            <w:r w:rsidRPr="005319D7">
              <w:rPr>
                <w:rFonts w:ascii="Constantia" w:eastAsia="Calibri" w:hAnsi="Constantia" w:cs="Arial"/>
                <w:bCs/>
                <w:i/>
                <w:color w:val="000000"/>
                <w:spacing w:val="8"/>
                <w:szCs w:val="22"/>
                <w:lang w:val="pt-BR"/>
              </w:rPr>
              <w:t>Paraegopis albanicus</w:t>
            </w:r>
            <w:r w:rsidRPr="005319D7">
              <w:rPr>
                <w:rFonts w:ascii="Constantia" w:eastAsia="Calibri" w:hAnsi="Constantia" w:cs="Arial"/>
                <w:bCs/>
                <w:color w:val="000000"/>
                <w:spacing w:val="8"/>
                <w:szCs w:val="22"/>
                <w:lang w:val="pt-BR"/>
              </w:rPr>
              <w:t xml:space="preserve"> (Rosm.) 1836 </w:t>
            </w:r>
          </w:p>
          <w:p w:rsidR="004B071C" w:rsidRPr="005319D7" w:rsidRDefault="004B071C" w:rsidP="005319D7">
            <w:pPr>
              <w:spacing w:after="0" w:line="280" w:lineRule="exact"/>
              <w:rPr>
                <w:rFonts w:ascii="Constantia" w:eastAsia="Calibri" w:hAnsi="Constantia" w:cs="Arial"/>
                <w:bCs/>
                <w:color w:val="000000"/>
                <w:spacing w:val="8"/>
                <w:szCs w:val="22"/>
                <w:lang w:val="pt-BR"/>
              </w:rPr>
            </w:pPr>
            <w:r w:rsidRPr="005319D7">
              <w:rPr>
                <w:rFonts w:ascii="Constantia" w:eastAsia="Calibri" w:hAnsi="Constantia" w:cs="Arial"/>
                <w:bCs/>
                <w:i/>
                <w:color w:val="000000"/>
                <w:spacing w:val="8"/>
                <w:szCs w:val="22"/>
                <w:lang w:val="pt-BR"/>
              </w:rPr>
              <w:t>Malacolimax mrazeki Simroth</w:t>
            </w:r>
            <w:r w:rsidRPr="005319D7">
              <w:rPr>
                <w:rFonts w:ascii="Constantia" w:eastAsia="Calibri" w:hAnsi="Constantia" w:cs="Arial"/>
                <w:bCs/>
                <w:color w:val="000000"/>
                <w:spacing w:val="8"/>
                <w:szCs w:val="22"/>
                <w:lang w:val="pt-BR"/>
              </w:rPr>
              <w:t xml:space="preserve">, 1904 </w:t>
            </w:r>
          </w:p>
          <w:p w:rsidR="004B071C" w:rsidRPr="005319D7" w:rsidRDefault="004B071C" w:rsidP="002A0DF6">
            <w:pPr>
              <w:spacing w:line="280" w:lineRule="exact"/>
              <w:rPr>
                <w:rFonts w:ascii="Constantia" w:eastAsia="Calibri" w:hAnsi="Constantia" w:cs="Arial"/>
                <w:bCs/>
                <w:color w:val="000000"/>
                <w:spacing w:val="8"/>
                <w:szCs w:val="22"/>
                <w:lang w:val="pt-BR"/>
              </w:rPr>
            </w:pPr>
            <w:r w:rsidRPr="005319D7">
              <w:rPr>
                <w:rFonts w:ascii="Constantia" w:eastAsia="Calibri" w:hAnsi="Constantia" w:cs="Arial"/>
                <w:bCs/>
                <w:i/>
                <w:color w:val="000000"/>
                <w:spacing w:val="8"/>
                <w:szCs w:val="22"/>
                <w:lang w:val="pt-BR"/>
              </w:rPr>
              <w:t>Pomatias elegans</w:t>
            </w:r>
            <w:r w:rsidRPr="005319D7">
              <w:rPr>
                <w:rFonts w:ascii="Constantia" w:eastAsia="Calibri" w:hAnsi="Constantia" w:cs="Arial"/>
                <w:bCs/>
                <w:color w:val="000000"/>
                <w:spacing w:val="8"/>
                <w:szCs w:val="22"/>
                <w:lang w:val="pt-BR"/>
              </w:rPr>
              <w:t xml:space="preserve"> (O.F.Müller,</w:t>
            </w:r>
            <w:r w:rsidR="0006514A" w:rsidRPr="005319D7">
              <w:rPr>
                <w:rFonts w:ascii="Constantia" w:eastAsia="Calibri" w:hAnsi="Constantia" w:cs="Arial"/>
                <w:bCs/>
                <w:color w:val="000000"/>
                <w:spacing w:val="8"/>
                <w:szCs w:val="22"/>
                <w:lang w:val="pt-BR"/>
              </w:rPr>
              <w:t xml:space="preserve"> </w:t>
            </w:r>
            <w:r w:rsidRPr="005319D7">
              <w:rPr>
                <w:rFonts w:ascii="Constantia" w:eastAsia="Calibri" w:hAnsi="Constantia" w:cs="Arial"/>
                <w:bCs/>
                <w:color w:val="000000"/>
                <w:spacing w:val="8"/>
                <w:szCs w:val="22"/>
                <w:lang w:val="pt-BR"/>
              </w:rPr>
              <w:t>1774)</w:t>
            </w:r>
          </w:p>
          <w:p w:rsidR="004B071C" w:rsidRPr="005319D7" w:rsidRDefault="004B071C" w:rsidP="005319D7">
            <w:pPr>
              <w:spacing w:line="280" w:lineRule="exact"/>
              <w:rPr>
                <w:rFonts w:ascii="Constantia" w:eastAsia="Calibri" w:hAnsi="Constantia" w:cs="Arial"/>
                <w:bCs/>
                <w:i/>
                <w:color w:val="FF0000"/>
                <w:spacing w:val="8"/>
                <w:szCs w:val="22"/>
                <w:lang w:val="pt-BR"/>
              </w:rPr>
            </w:pPr>
            <w:r w:rsidRPr="005319D7">
              <w:rPr>
                <w:rFonts w:ascii="Constantia" w:eastAsia="Calibri" w:hAnsi="Constantia" w:cs="Arial"/>
                <w:bCs/>
                <w:color w:val="000000"/>
                <w:spacing w:val="8"/>
                <w:szCs w:val="22"/>
                <w:lang w:val="pt-BR"/>
              </w:rPr>
              <w:t xml:space="preserve">Najveći broj jedinki i kućica pripada familiji </w:t>
            </w:r>
            <w:r w:rsidRPr="005319D7">
              <w:rPr>
                <w:rFonts w:ascii="Constantia" w:eastAsia="Calibri" w:hAnsi="Constantia" w:cs="Arial"/>
                <w:bCs/>
                <w:i/>
                <w:color w:val="000000"/>
                <w:spacing w:val="8"/>
                <w:szCs w:val="22"/>
                <w:lang w:val="pt-BR"/>
              </w:rPr>
              <w:t>Helicdae</w:t>
            </w:r>
            <w:r w:rsidR="0006514A" w:rsidRPr="005319D7">
              <w:rPr>
                <w:rFonts w:ascii="Constantia" w:eastAsia="Calibri" w:hAnsi="Constantia" w:cs="Arial"/>
                <w:bCs/>
                <w:i/>
                <w:color w:val="000000"/>
                <w:spacing w:val="8"/>
                <w:szCs w:val="22"/>
                <w:lang w:val="pt-BR"/>
              </w:rPr>
              <w:t>.</w:t>
            </w:r>
            <w:r w:rsidRPr="005319D7">
              <w:rPr>
                <w:rFonts w:ascii="Constantia" w:eastAsia="Calibri" w:hAnsi="Constantia" w:cs="Arial"/>
                <w:bCs/>
                <w:i/>
                <w:color w:val="000000"/>
                <w:spacing w:val="8"/>
                <w:szCs w:val="22"/>
                <w:lang w:val="pt-BR"/>
              </w:rPr>
              <w:t xml:space="preserve"> </w:t>
            </w:r>
            <w:r w:rsidRPr="005319D7">
              <w:rPr>
                <w:rFonts w:ascii="Constantia" w:eastAsia="Calibri" w:hAnsi="Constantia" w:cs="Arial"/>
                <w:bCs/>
                <w:color w:val="000000"/>
                <w:spacing w:val="8"/>
                <w:szCs w:val="22"/>
                <w:lang w:val="pt-BR"/>
              </w:rPr>
              <w:t xml:space="preserve">Najbrojnija vrsta je </w:t>
            </w:r>
            <w:r w:rsidRPr="005319D7">
              <w:rPr>
                <w:rFonts w:ascii="Constantia" w:eastAsia="Calibri" w:hAnsi="Constantia" w:cs="Arial"/>
                <w:bCs/>
                <w:i/>
                <w:color w:val="000000"/>
                <w:spacing w:val="8"/>
                <w:szCs w:val="22"/>
                <w:lang w:val="pt-BR"/>
              </w:rPr>
              <w:t>Xerolenta obvia</w:t>
            </w:r>
            <w:r w:rsidR="0006514A" w:rsidRPr="005319D7">
              <w:rPr>
                <w:rFonts w:ascii="Constantia" w:eastAsia="Calibri" w:hAnsi="Constantia" w:cs="Arial"/>
                <w:bCs/>
                <w:color w:val="000000"/>
                <w:spacing w:val="8"/>
                <w:szCs w:val="22"/>
                <w:lang w:val="pt-BR"/>
              </w:rPr>
              <w:t>,</w:t>
            </w:r>
            <w:r w:rsidRPr="005319D7">
              <w:rPr>
                <w:rFonts w:ascii="Constantia" w:eastAsia="Calibri" w:hAnsi="Constantia" w:cs="Arial"/>
                <w:bCs/>
                <w:color w:val="000000"/>
                <w:spacing w:val="8"/>
                <w:szCs w:val="22"/>
                <w:lang w:val="pt-BR"/>
              </w:rPr>
              <w:t xml:space="preserve"> naročito na obr</w:t>
            </w:r>
            <w:r w:rsidR="0006514A" w:rsidRPr="005319D7">
              <w:rPr>
                <w:rFonts w:ascii="Constantia" w:eastAsia="Calibri" w:hAnsi="Constantia" w:cs="Arial"/>
                <w:bCs/>
                <w:color w:val="000000"/>
                <w:spacing w:val="8"/>
                <w:szCs w:val="22"/>
                <w:lang w:val="pt-BR"/>
              </w:rPr>
              <w:t>oncima livada pored jezera. Međ</w:t>
            </w:r>
            <w:r w:rsidRPr="005319D7">
              <w:rPr>
                <w:rFonts w:ascii="Constantia" w:eastAsia="Calibri" w:hAnsi="Constantia" w:cs="Arial"/>
                <w:bCs/>
                <w:color w:val="000000"/>
                <w:spacing w:val="8"/>
                <w:szCs w:val="22"/>
                <w:lang w:val="pt-BR"/>
              </w:rPr>
              <w:t>u oblike koj</w:t>
            </w:r>
            <w:r w:rsidR="0006514A" w:rsidRPr="005319D7">
              <w:rPr>
                <w:rFonts w:ascii="Constantia" w:eastAsia="Calibri" w:hAnsi="Constantia" w:cs="Arial"/>
                <w:bCs/>
                <w:color w:val="000000"/>
                <w:spacing w:val="8"/>
                <w:szCs w:val="22"/>
                <w:lang w:val="pt-BR"/>
              </w:rPr>
              <w:t>i se javljaju u više geobiocenoza kanjona</w:t>
            </w:r>
            <w:r w:rsidRPr="005319D7">
              <w:rPr>
                <w:rFonts w:ascii="Constantia" w:eastAsia="Calibri" w:hAnsi="Constantia" w:cs="Arial"/>
                <w:bCs/>
                <w:color w:val="000000"/>
                <w:spacing w:val="8"/>
                <w:szCs w:val="22"/>
                <w:lang w:val="pt-BR"/>
              </w:rPr>
              <w:t xml:space="preserve"> spadaju vrste </w:t>
            </w:r>
            <w:r w:rsidRPr="005319D7">
              <w:rPr>
                <w:rFonts w:ascii="Constantia" w:eastAsia="Calibri" w:hAnsi="Constantia" w:cs="Arial"/>
                <w:bCs/>
                <w:i/>
                <w:color w:val="000000"/>
                <w:spacing w:val="8"/>
                <w:szCs w:val="22"/>
                <w:lang w:val="pt-BR"/>
              </w:rPr>
              <w:t>Pomatias elegans</w:t>
            </w:r>
            <w:r w:rsidRPr="005319D7">
              <w:rPr>
                <w:rFonts w:ascii="Constantia" w:eastAsia="Calibri" w:hAnsi="Constantia" w:cs="Arial"/>
                <w:bCs/>
                <w:color w:val="000000"/>
                <w:spacing w:val="8"/>
                <w:szCs w:val="22"/>
                <w:lang w:val="pt-BR"/>
              </w:rPr>
              <w:t xml:space="preserve"> i </w:t>
            </w:r>
            <w:r w:rsidRPr="005319D7">
              <w:rPr>
                <w:rFonts w:ascii="Constantia" w:eastAsia="Calibri" w:hAnsi="Constantia" w:cs="Arial"/>
                <w:bCs/>
                <w:i/>
                <w:color w:val="000000"/>
                <w:spacing w:val="8"/>
                <w:szCs w:val="22"/>
                <w:lang w:val="pt-BR"/>
              </w:rPr>
              <w:t>Cepaea vindobonensis</w:t>
            </w:r>
            <w:r w:rsidRPr="005319D7">
              <w:rPr>
                <w:rFonts w:ascii="Constantia" w:eastAsia="Calibri" w:hAnsi="Constantia" w:cs="Arial"/>
                <w:bCs/>
                <w:color w:val="000000"/>
                <w:spacing w:val="8"/>
                <w:szCs w:val="22"/>
                <w:lang w:val="pt-BR"/>
              </w:rPr>
              <w:t>.</w:t>
            </w:r>
            <w:r w:rsidR="0006514A" w:rsidRPr="005319D7">
              <w:rPr>
                <w:rFonts w:ascii="Constantia" w:eastAsia="Calibri" w:hAnsi="Constantia" w:cs="Arial"/>
                <w:bCs/>
                <w:color w:val="000000"/>
                <w:spacing w:val="8"/>
                <w:szCs w:val="22"/>
                <w:lang w:val="pt-BR"/>
              </w:rPr>
              <w:t xml:space="preserve"> Prva je obično predstavljena s</w:t>
            </w:r>
            <w:r w:rsidRPr="005319D7">
              <w:rPr>
                <w:rFonts w:ascii="Constantia" w:eastAsia="Calibri" w:hAnsi="Constantia" w:cs="Arial"/>
                <w:bCs/>
                <w:color w:val="000000"/>
                <w:spacing w:val="8"/>
                <w:szCs w:val="22"/>
                <w:lang w:val="pt-BR"/>
              </w:rPr>
              <w:t xml:space="preserve"> više primjeraka u uzorku. Ona, zajedno sa vrstom </w:t>
            </w:r>
            <w:r w:rsidRPr="005319D7">
              <w:rPr>
                <w:rFonts w:ascii="Constantia" w:eastAsia="Calibri" w:hAnsi="Constantia" w:cs="Arial"/>
                <w:bCs/>
                <w:i/>
                <w:color w:val="000000"/>
                <w:spacing w:val="8"/>
                <w:szCs w:val="22"/>
                <w:lang w:val="pt-BR"/>
              </w:rPr>
              <w:t>Poiretia algira</w:t>
            </w:r>
            <w:r w:rsidR="0006514A" w:rsidRPr="005319D7">
              <w:rPr>
                <w:rFonts w:ascii="Constantia" w:eastAsia="Calibri" w:hAnsi="Constantia" w:cs="Arial"/>
                <w:bCs/>
                <w:i/>
                <w:color w:val="000000"/>
                <w:spacing w:val="8"/>
                <w:szCs w:val="22"/>
                <w:lang w:val="pt-BR"/>
              </w:rPr>
              <w:t>,</w:t>
            </w:r>
            <w:r w:rsidRPr="005319D7">
              <w:rPr>
                <w:rFonts w:ascii="Constantia" w:eastAsia="Calibri" w:hAnsi="Constantia" w:cs="Arial"/>
                <w:bCs/>
                <w:color w:val="000000"/>
                <w:spacing w:val="8"/>
                <w:szCs w:val="22"/>
                <w:lang w:val="pt-BR"/>
              </w:rPr>
              <w:t xml:space="preserve"> dolazi u uzorcima uz obale rijeka, a nema ih </w:t>
            </w:r>
            <w:r w:rsidR="0006514A" w:rsidRPr="005319D7">
              <w:rPr>
                <w:rFonts w:ascii="Constantia" w:eastAsia="Calibri" w:hAnsi="Constantia" w:cs="Arial"/>
                <w:bCs/>
                <w:color w:val="000000"/>
                <w:spacing w:val="8"/>
                <w:szCs w:val="22"/>
                <w:lang w:val="pt-BR"/>
              </w:rPr>
              <w:t xml:space="preserve">na </w:t>
            </w:r>
            <w:r w:rsidRPr="005319D7">
              <w:rPr>
                <w:rFonts w:ascii="Constantia" w:eastAsia="Calibri" w:hAnsi="Constantia" w:cs="Arial"/>
                <w:bCs/>
                <w:color w:val="000000"/>
                <w:spacing w:val="8"/>
                <w:szCs w:val="22"/>
                <w:lang w:val="pt-BR"/>
              </w:rPr>
              <w:t>gornjim rubovima kanjona, niti na platoima. Sve tri vrste su termofilni oblici, i po starosti rodova i njihovih srodnika, te po adaptacionim karaktestikama predstavljaj</w:t>
            </w:r>
            <w:r w:rsidR="0006514A" w:rsidRPr="005319D7">
              <w:rPr>
                <w:rFonts w:ascii="Constantia" w:eastAsia="Calibri" w:hAnsi="Constantia" w:cs="Arial"/>
                <w:bCs/>
                <w:color w:val="000000"/>
                <w:spacing w:val="8"/>
                <w:szCs w:val="22"/>
                <w:lang w:val="pt-BR"/>
              </w:rPr>
              <w:t xml:space="preserve">u komponente faune Tercijera, i </w:t>
            </w:r>
            <w:r w:rsidRPr="005319D7">
              <w:rPr>
                <w:rFonts w:ascii="Constantia" w:eastAsia="Calibri" w:hAnsi="Constantia" w:cs="Arial"/>
                <w:bCs/>
                <w:color w:val="000000"/>
                <w:spacing w:val="8"/>
                <w:szCs w:val="22"/>
                <w:lang w:val="pt-BR"/>
              </w:rPr>
              <w:t>dominiraju na ivicama šuma pored puteva.</w:t>
            </w:r>
          </w:p>
        </w:tc>
      </w:tr>
    </w:tbl>
    <w:p w:rsidR="004B071C" w:rsidRPr="0006514A" w:rsidRDefault="00E05D7E" w:rsidP="004B071C">
      <w:pPr>
        <w:pStyle w:val="Tabele"/>
        <w:spacing w:before="60" w:after="240"/>
        <w:ind w:left="714" w:hanging="357"/>
        <w:rPr>
          <w:rFonts w:ascii="Constantia" w:hAnsi="Constantia"/>
          <w:sz w:val="22"/>
          <w:szCs w:val="22"/>
        </w:rPr>
      </w:pPr>
      <w:r>
        <w:rPr>
          <w:rFonts w:ascii="Constantia" w:hAnsi="Constantia"/>
          <w:sz w:val="22"/>
          <w:szCs w:val="22"/>
        </w:rPr>
        <w:t xml:space="preserve"> </w:t>
      </w:r>
      <w:r w:rsidR="004B071C" w:rsidRPr="0006514A">
        <w:rPr>
          <w:rFonts w:ascii="Constantia" w:hAnsi="Constantia"/>
          <w:sz w:val="22"/>
          <w:szCs w:val="22"/>
        </w:rPr>
        <w:t>Malakofauna</w:t>
      </w:r>
    </w:p>
    <w:p w:rsidR="004B071C" w:rsidRPr="00A72C00" w:rsidRDefault="004B071C" w:rsidP="00A66B1E">
      <w:pPr>
        <w:spacing w:after="0"/>
        <w:rPr>
          <w:color w:val="FF0000"/>
          <w:szCs w:val="22"/>
          <w:lang w:val="sr-Latn-CS"/>
        </w:rPr>
      </w:pPr>
    </w:p>
    <w:p w:rsidR="00A66B1E" w:rsidRPr="005319D7" w:rsidRDefault="00A66B1E" w:rsidP="00A66B1E">
      <w:pPr>
        <w:rPr>
          <w:b/>
          <w:sz w:val="20"/>
          <w:szCs w:val="20"/>
          <w:u w:val="single"/>
          <w:lang w:val="sr-Latn-CS"/>
        </w:rPr>
      </w:pPr>
      <w:r w:rsidRPr="005319D7">
        <w:rPr>
          <w:b/>
          <w:sz w:val="20"/>
          <w:szCs w:val="20"/>
          <w:lang w:val="sr-Latn-CS"/>
        </w:rPr>
        <w:t>6.3.</w:t>
      </w:r>
      <w:r w:rsidR="00F10E52" w:rsidRPr="005319D7">
        <w:rPr>
          <w:b/>
          <w:sz w:val="20"/>
          <w:szCs w:val="20"/>
          <w:lang w:val="sr-Latn-CS"/>
        </w:rPr>
        <w:t>2</w:t>
      </w:r>
      <w:r w:rsidRPr="005319D7">
        <w:rPr>
          <w:b/>
          <w:sz w:val="20"/>
          <w:szCs w:val="20"/>
          <w:lang w:val="sr-Latn-CS"/>
        </w:rPr>
        <w:t xml:space="preserve">.4.2 - </w:t>
      </w:r>
      <w:r w:rsidR="00FF60C4" w:rsidRPr="005319D7">
        <w:rPr>
          <w:b/>
          <w:sz w:val="20"/>
          <w:szCs w:val="20"/>
          <w:lang w:val="sr-Latn-CS"/>
        </w:rPr>
        <w:t xml:space="preserve"> </w:t>
      </w:r>
      <w:r w:rsidRPr="005319D7">
        <w:rPr>
          <w:b/>
          <w:sz w:val="20"/>
          <w:szCs w:val="20"/>
          <w:u w:val="single"/>
          <w:lang w:val="sr-Latn-CS"/>
        </w:rPr>
        <w:t>Insekti</w:t>
      </w:r>
    </w:p>
    <w:p w:rsidR="004B071C" w:rsidRPr="00A66B1E" w:rsidRDefault="004B071C" w:rsidP="004B071C">
      <w:pPr>
        <w:rPr>
          <w:rFonts w:ascii="Constantia" w:hAnsi="Constantia"/>
          <w:color w:val="000000"/>
          <w:szCs w:val="22"/>
          <w:lang w:val="sr-Latn-CS"/>
        </w:rPr>
      </w:pPr>
      <w:r w:rsidRPr="00A66B1E">
        <w:rPr>
          <w:rFonts w:ascii="Constantia" w:hAnsi="Constantia"/>
          <w:color w:val="000000"/>
          <w:szCs w:val="22"/>
          <w:lang w:val="sr-Latn-CS"/>
        </w:rPr>
        <w:t>Datum terenskih istraživanja:</w:t>
      </w:r>
      <w:r w:rsidRPr="00A66B1E">
        <w:rPr>
          <w:rFonts w:ascii="Constantia" w:hAnsi="Constantia"/>
          <w:szCs w:val="22"/>
        </w:rPr>
        <w:t xml:space="preserve"> </w:t>
      </w:r>
      <w:r w:rsidRPr="00A66B1E">
        <w:rPr>
          <w:rFonts w:ascii="Constantia" w:hAnsi="Constantia"/>
          <w:color w:val="000000"/>
          <w:szCs w:val="22"/>
          <w:lang w:val="sr-Latn-CS"/>
        </w:rPr>
        <w:t>18.07.2013</w:t>
      </w:r>
      <w:r w:rsidR="00A66B1E">
        <w:rPr>
          <w:rFonts w:ascii="Constantia" w:hAnsi="Constantia"/>
          <w:color w:val="000000"/>
          <w:szCs w:val="22"/>
          <w:lang w:val="sr-Latn-CS"/>
        </w:rPr>
        <w:t>.</w:t>
      </w:r>
    </w:p>
    <w:p w:rsidR="004B071C" w:rsidRPr="00A72C00" w:rsidRDefault="004B071C" w:rsidP="00BB7261">
      <w:pPr>
        <w:spacing w:after="0"/>
        <w:rPr>
          <w:color w:val="FF0000"/>
          <w:szCs w:val="22"/>
          <w:lang w:val="sr-Latn-CS"/>
        </w:rPr>
      </w:pPr>
    </w:p>
    <w:tbl>
      <w:tblPr>
        <w:tblW w:w="9283" w:type="dxa"/>
        <w:jc w:val="center"/>
        <w:tblInd w:w="1504"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1E0" w:firstRow="1" w:lastRow="1" w:firstColumn="1" w:lastColumn="1" w:noHBand="0" w:noVBand="0"/>
      </w:tblPr>
      <w:tblGrid>
        <w:gridCol w:w="1815"/>
        <w:gridCol w:w="2160"/>
        <w:gridCol w:w="2610"/>
        <w:gridCol w:w="2698"/>
      </w:tblGrid>
      <w:tr w:rsidR="004B071C" w:rsidRPr="005319D7" w:rsidTr="005319D7">
        <w:trPr>
          <w:jc w:val="center"/>
        </w:trPr>
        <w:tc>
          <w:tcPr>
            <w:tcW w:w="1815" w:type="dxa"/>
            <w:shd w:val="clear" w:color="auto" w:fill="E6EED5"/>
            <w:hideMark/>
          </w:tcPr>
          <w:p w:rsidR="004B071C" w:rsidRPr="005319D7" w:rsidRDefault="004B071C" w:rsidP="00BB7261">
            <w:pPr>
              <w:tabs>
                <w:tab w:val="left" w:pos="7380"/>
              </w:tabs>
              <w:spacing w:after="0" w:line="260" w:lineRule="exact"/>
              <w:jc w:val="center"/>
              <w:rPr>
                <w:rFonts w:ascii="Constantia" w:hAnsi="Constantia" w:cs="Arial"/>
                <w:b/>
                <w:bCs/>
                <w:color w:val="000000"/>
                <w:spacing w:val="6"/>
                <w:szCs w:val="22"/>
                <w:lang w:val="sr-Latn-CS"/>
              </w:rPr>
            </w:pPr>
            <w:r w:rsidRPr="005319D7">
              <w:rPr>
                <w:rFonts w:ascii="Constantia" w:hAnsi="Constantia" w:cs="Arial"/>
                <w:b/>
                <w:bCs/>
                <w:color w:val="000000"/>
                <w:spacing w:val="6"/>
                <w:szCs w:val="22"/>
                <w:lang w:val="sr-Latn-CS"/>
              </w:rPr>
              <w:t>Lokaliteti</w:t>
            </w:r>
          </w:p>
        </w:tc>
        <w:tc>
          <w:tcPr>
            <w:tcW w:w="2160" w:type="dxa"/>
            <w:shd w:val="clear" w:color="auto" w:fill="CDDDAC"/>
            <w:hideMark/>
          </w:tcPr>
          <w:p w:rsidR="004B071C" w:rsidRPr="005319D7" w:rsidRDefault="004B071C" w:rsidP="00BB7261">
            <w:pPr>
              <w:tabs>
                <w:tab w:val="left" w:pos="7380"/>
              </w:tabs>
              <w:spacing w:after="0" w:line="260" w:lineRule="exact"/>
              <w:jc w:val="center"/>
              <w:rPr>
                <w:rFonts w:ascii="Constantia" w:hAnsi="Constantia" w:cs="Arial"/>
                <w:b/>
                <w:bCs/>
                <w:color w:val="000000"/>
                <w:spacing w:val="6"/>
                <w:szCs w:val="22"/>
                <w:lang w:val="sr-Latn-CS"/>
              </w:rPr>
            </w:pPr>
            <w:r w:rsidRPr="005319D7">
              <w:rPr>
                <w:rFonts w:ascii="Constantia" w:hAnsi="Constantia" w:cs="Arial"/>
                <w:b/>
                <w:bCs/>
                <w:color w:val="000000"/>
                <w:spacing w:val="6"/>
                <w:szCs w:val="22"/>
                <w:lang w:val="sr-Latn-CS"/>
              </w:rPr>
              <w:t>Koordinate</w:t>
            </w:r>
          </w:p>
        </w:tc>
        <w:tc>
          <w:tcPr>
            <w:tcW w:w="2610" w:type="dxa"/>
            <w:shd w:val="clear" w:color="auto" w:fill="E6EED5"/>
            <w:hideMark/>
          </w:tcPr>
          <w:p w:rsidR="004B071C" w:rsidRPr="005319D7" w:rsidRDefault="004B071C" w:rsidP="00BB7261">
            <w:pPr>
              <w:tabs>
                <w:tab w:val="left" w:pos="7380"/>
              </w:tabs>
              <w:spacing w:after="0" w:line="260" w:lineRule="exact"/>
              <w:jc w:val="center"/>
              <w:rPr>
                <w:rFonts w:ascii="Constantia" w:hAnsi="Constantia" w:cs="Arial"/>
                <w:b/>
                <w:bCs/>
                <w:color w:val="000000"/>
                <w:spacing w:val="6"/>
                <w:szCs w:val="22"/>
                <w:lang w:val="sr-Latn-CS"/>
              </w:rPr>
            </w:pPr>
            <w:r w:rsidRPr="005319D7">
              <w:rPr>
                <w:rFonts w:ascii="Constantia" w:hAnsi="Constantia" w:cs="Arial"/>
                <w:b/>
                <w:bCs/>
                <w:color w:val="000000"/>
                <w:spacing w:val="6"/>
                <w:szCs w:val="22"/>
                <w:lang w:val="sr-Latn-CS"/>
              </w:rPr>
              <w:t>Identifikovani taksoni</w:t>
            </w:r>
          </w:p>
        </w:tc>
        <w:tc>
          <w:tcPr>
            <w:tcW w:w="2698" w:type="dxa"/>
            <w:shd w:val="clear" w:color="auto" w:fill="E6EED5"/>
          </w:tcPr>
          <w:p w:rsidR="004B071C" w:rsidRPr="005319D7" w:rsidRDefault="004B071C" w:rsidP="00BB7261">
            <w:pPr>
              <w:tabs>
                <w:tab w:val="left" w:pos="7380"/>
              </w:tabs>
              <w:spacing w:after="0" w:line="260" w:lineRule="exact"/>
              <w:jc w:val="center"/>
              <w:rPr>
                <w:rFonts w:ascii="Constantia" w:hAnsi="Constantia" w:cs="Arial"/>
                <w:b/>
                <w:bCs/>
                <w:color w:val="000000"/>
                <w:spacing w:val="6"/>
                <w:szCs w:val="22"/>
                <w:lang w:val="sr-Latn-CS"/>
              </w:rPr>
            </w:pPr>
            <w:r w:rsidRPr="005319D7">
              <w:rPr>
                <w:rFonts w:ascii="Constantia" w:hAnsi="Constantia" w:cs="Arial"/>
                <w:b/>
                <w:bCs/>
                <w:color w:val="000000"/>
                <w:spacing w:val="6"/>
                <w:szCs w:val="22"/>
                <w:lang w:val="sr-Latn-CS"/>
              </w:rPr>
              <w:t>Utvrđeno stanje</w:t>
            </w:r>
          </w:p>
        </w:tc>
      </w:tr>
      <w:tr w:rsidR="004B071C" w:rsidRPr="005319D7" w:rsidTr="005319D7">
        <w:trPr>
          <w:jc w:val="center"/>
        </w:trPr>
        <w:tc>
          <w:tcPr>
            <w:tcW w:w="1815" w:type="dxa"/>
            <w:shd w:val="clear" w:color="auto" w:fill="CDDDAC"/>
            <w:hideMark/>
          </w:tcPr>
          <w:p w:rsidR="004B071C" w:rsidRPr="005319D7" w:rsidRDefault="004B071C" w:rsidP="004E680E">
            <w:pPr>
              <w:tabs>
                <w:tab w:val="left" w:pos="7380"/>
              </w:tabs>
              <w:spacing w:after="0" w:line="260" w:lineRule="exact"/>
              <w:jc w:val="right"/>
              <w:rPr>
                <w:rFonts w:ascii="Constantia" w:hAnsi="Constantia" w:cs="Arial"/>
                <w:b/>
                <w:bCs/>
                <w:smallCaps/>
                <w:color w:val="000000"/>
                <w:spacing w:val="6"/>
                <w:szCs w:val="22"/>
                <w:lang w:val="sr-Latn-CS"/>
              </w:rPr>
            </w:pPr>
          </w:p>
        </w:tc>
        <w:tc>
          <w:tcPr>
            <w:tcW w:w="2160" w:type="dxa"/>
            <w:shd w:val="clear" w:color="auto" w:fill="CDDDAC"/>
            <w:hideMark/>
          </w:tcPr>
          <w:p w:rsidR="004B071C" w:rsidRPr="005319D7" w:rsidRDefault="004B071C" w:rsidP="004E680E">
            <w:pPr>
              <w:spacing w:after="0" w:line="260" w:lineRule="exact"/>
              <w:rPr>
                <w:rFonts w:ascii="Constantia" w:eastAsia="Calibri" w:hAnsi="Constantia" w:cs="Arial"/>
                <w:color w:val="000000"/>
                <w:spacing w:val="10"/>
                <w:szCs w:val="22"/>
                <w:lang w:val="sr-Latn-CS"/>
              </w:rPr>
            </w:pPr>
          </w:p>
        </w:tc>
        <w:tc>
          <w:tcPr>
            <w:tcW w:w="5308" w:type="dxa"/>
            <w:gridSpan w:val="2"/>
            <w:shd w:val="clear" w:color="auto" w:fill="CDDDAC"/>
            <w:hideMark/>
          </w:tcPr>
          <w:p w:rsidR="004B071C" w:rsidRPr="005319D7" w:rsidRDefault="004B071C" w:rsidP="004E680E">
            <w:pPr>
              <w:spacing w:after="60" w:line="280" w:lineRule="exact"/>
              <w:rPr>
                <w:rFonts w:ascii="Constantia" w:hAnsi="Constantia" w:cs="Arial"/>
                <w:bCs/>
                <w:color w:val="000000"/>
                <w:spacing w:val="10"/>
                <w:szCs w:val="22"/>
              </w:rPr>
            </w:pPr>
          </w:p>
        </w:tc>
      </w:tr>
      <w:tr w:rsidR="004B071C" w:rsidRPr="005319D7" w:rsidTr="005319D7">
        <w:trPr>
          <w:trHeight w:val="335"/>
          <w:jc w:val="center"/>
        </w:trPr>
        <w:tc>
          <w:tcPr>
            <w:tcW w:w="1815" w:type="dxa"/>
            <w:vMerge w:val="restart"/>
            <w:shd w:val="clear" w:color="auto" w:fill="E6EED5"/>
            <w:hideMark/>
          </w:tcPr>
          <w:p w:rsidR="004B071C" w:rsidRPr="005319D7" w:rsidRDefault="004B071C" w:rsidP="00BB7261">
            <w:pPr>
              <w:spacing w:after="0"/>
              <w:jc w:val="left"/>
              <w:rPr>
                <w:rFonts w:ascii="Constantia" w:hAnsi="Constantia" w:cs="Arial"/>
                <w:b/>
                <w:bCs/>
                <w:smallCaps/>
                <w:color w:val="000000"/>
                <w:spacing w:val="6"/>
                <w:szCs w:val="22"/>
                <w:lang w:val="sr-Latn-CS"/>
              </w:rPr>
            </w:pPr>
            <w:r w:rsidRPr="005319D7">
              <w:rPr>
                <w:rFonts w:ascii="Constantia" w:hAnsi="Constantia" w:cs="Arial"/>
                <w:b/>
                <w:bCs/>
                <w:smallCaps/>
                <w:color w:val="000000"/>
                <w:spacing w:val="6"/>
                <w:szCs w:val="22"/>
                <w:lang w:val="sr-Latn-CS"/>
              </w:rPr>
              <w:t>Kanjon Rijeke Komarnice – Pošćenje - Kanjon Nevidio</w:t>
            </w:r>
          </w:p>
        </w:tc>
        <w:tc>
          <w:tcPr>
            <w:tcW w:w="2160" w:type="dxa"/>
            <w:vMerge w:val="restart"/>
            <w:shd w:val="clear" w:color="auto" w:fill="CDDDAC"/>
            <w:hideMark/>
          </w:tcPr>
          <w:p w:rsidR="004B071C" w:rsidRPr="005319D7" w:rsidRDefault="004B071C" w:rsidP="004E680E">
            <w:pPr>
              <w:spacing w:line="260" w:lineRule="exact"/>
              <w:rPr>
                <w:rFonts w:ascii="Constantia" w:hAnsi="Constantia" w:cs="Arial"/>
                <w:color w:val="000000"/>
                <w:szCs w:val="22"/>
              </w:rPr>
            </w:pPr>
            <w:r w:rsidRPr="005319D7">
              <w:rPr>
                <w:rFonts w:ascii="Constantia" w:hAnsi="Constantia" w:cs="Arial"/>
                <w:color w:val="000000"/>
                <w:szCs w:val="22"/>
              </w:rPr>
              <w:t xml:space="preserve">N 42°59’06.1’’, </w:t>
            </w:r>
          </w:p>
          <w:p w:rsidR="00567238" w:rsidRPr="005319D7" w:rsidRDefault="004B071C" w:rsidP="004E680E">
            <w:pPr>
              <w:spacing w:line="260" w:lineRule="exact"/>
              <w:rPr>
                <w:rFonts w:ascii="Constantia" w:hAnsi="Constantia" w:cs="Arial"/>
                <w:color w:val="000000"/>
                <w:szCs w:val="22"/>
              </w:rPr>
            </w:pPr>
            <w:r w:rsidRPr="005319D7">
              <w:rPr>
                <w:rFonts w:ascii="Constantia" w:hAnsi="Constantia" w:cs="Arial"/>
                <w:color w:val="000000"/>
                <w:szCs w:val="22"/>
              </w:rPr>
              <w:t xml:space="preserve">E 19°04’03.2 na 1079 mnm  </w:t>
            </w:r>
          </w:p>
          <w:p w:rsidR="004B071C" w:rsidRPr="005319D7" w:rsidRDefault="004B071C" w:rsidP="004E680E">
            <w:pPr>
              <w:spacing w:line="260" w:lineRule="exact"/>
              <w:rPr>
                <w:rFonts w:ascii="Constantia" w:hAnsi="Constantia" w:cs="Arial"/>
                <w:color w:val="000000"/>
                <w:szCs w:val="22"/>
              </w:rPr>
            </w:pPr>
            <w:r w:rsidRPr="005319D7">
              <w:rPr>
                <w:rFonts w:ascii="Constantia" w:hAnsi="Constantia" w:cs="Arial"/>
                <w:color w:val="000000"/>
                <w:szCs w:val="22"/>
              </w:rPr>
              <w:t xml:space="preserve">i  </w:t>
            </w:r>
          </w:p>
          <w:p w:rsidR="004B071C" w:rsidRPr="005319D7" w:rsidRDefault="004B071C" w:rsidP="004E680E">
            <w:pPr>
              <w:spacing w:line="260" w:lineRule="exact"/>
              <w:rPr>
                <w:rFonts w:ascii="Constantia" w:hAnsi="Constantia" w:cs="Arial"/>
                <w:color w:val="000000"/>
                <w:szCs w:val="22"/>
              </w:rPr>
            </w:pPr>
            <w:r w:rsidRPr="005319D7">
              <w:rPr>
                <w:rFonts w:ascii="Constantia" w:hAnsi="Constantia" w:cs="Arial"/>
                <w:color w:val="000000"/>
                <w:szCs w:val="22"/>
              </w:rPr>
              <w:t xml:space="preserve">N 42°58’97.9’’, </w:t>
            </w:r>
          </w:p>
          <w:p w:rsidR="004B071C" w:rsidRPr="005319D7" w:rsidRDefault="004B071C" w:rsidP="004E680E">
            <w:pPr>
              <w:spacing w:line="260" w:lineRule="exact"/>
              <w:rPr>
                <w:rFonts w:ascii="Constantia" w:hAnsi="Constantia" w:cs="Arial"/>
                <w:color w:val="000000"/>
                <w:szCs w:val="22"/>
              </w:rPr>
            </w:pPr>
            <w:r w:rsidRPr="005319D7">
              <w:rPr>
                <w:rFonts w:ascii="Constantia" w:hAnsi="Constantia" w:cs="Arial"/>
                <w:color w:val="000000"/>
                <w:szCs w:val="22"/>
              </w:rPr>
              <w:t>EO 19°03’38.6’’ na 825 mnm</w:t>
            </w:r>
          </w:p>
        </w:tc>
        <w:tc>
          <w:tcPr>
            <w:tcW w:w="2610" w:type="dxa"/>
            <w:shd w:val="clear" w:color="auto" w:fill="E6EED5"/>
          </w:tcPr>
          <w:p w:rsidR="004B071C" w:rsidRPr="005319D7" w:rsidRDefault="004B071C" w:rsidP="004E680E">
            <w:pPr>
              <w:spacing w:after="60" w:line="280" w:lineRule="exact"/>
              <w:rPr>
                <w:rFonts w:ascii="Constantia" w:eastAsia="Calibri" w:hAnsi="Constantia" w:cs="Arial"/>
                <w:bCs/>
                <w:i/>
                <w:color w:val="000000"/>
                <w:spacing w:val="8"/>
                <w:szCs w:val="22"/>
                <w:lang w:val="pt-BR"/>
              </w:rPr>
            </w:pPr>
            <w:r w:rsidRPr="005319D7">
              <w:rPr>
                <w:rFonts w:ascii="Constantia" w:eastAsia="Calibri" w:hAnsi="Constantia" w:cs="Arial"/>
                <w:bCs/>
                <w:i/>
                <w:color w:val="000000"/>
                <w:spacing w:val="8"/>
                <w:szCs w:val="22"/>
                <w:lang w:val="pt-BR"/>
              </w:rPr>
              <w:t>Cerambyx cerdo</w:t>
            </w:r>
          </w:p>
        </w:tc>
        <w:tc>
          <w:tcPr>
            <w:tcW w:w="2698" w:type="dxa"/>
            <w:shd w:val="clear" w:color="auto" w:fill="E6EED5"/>
          </w:tcPr>
          <w:p w:rsidR="004B071C" w:rsidRPr="005319D7" w:rsidRDefault="004B071C" w:rsidP="007D3121">
            <w:pPr>
              <w:spacing w:after="60" w:line="280" w:lineRule="exact"/>
              <w:jc w:val="center"/>
              <w:rPr>
                <w:rFonts w:ascii="Constantia" w:eastAsia="Calibri" w:hAnsi="Constantia" w:cs="Arial"/>
                <w:bCs/>
                <w:color w:val="000000"/>
                <w:spacing w:val="8"/>
                <w:szCs w:val="22"/>
                <w:lang w:val="pt-BR"/>
              </w:rPr>
            </w:pPr>
            <w:r w:rsidRPr="005319D7">
              <w:rPr>
                <w:rFonts w:ascii="Constantia" w:eastAsia="Calibri" w:hAnsi="Constantia" w:cs="Arial"/>
                <w:bCs/>
                <w:color w:val="000000"/>
                <w:spacing w:val="8"/>
                <w:szCs w:val="22"/>
                <w:lang w:val="pt-BR"/>
              </w:rPr>
              <w:t>1 jedinka</w:t>
            </w:r>
          </w:p>
        </w:tc>
      </w:tr>
      <w:tr w:rsidR="004B071C" w:rsidRPr="005319D7" w:rsidTr="005319D7">
        <w:trPr>
          <w:trHeight w:val="1344"/>
          <w:jc w:val="center"/>
        </w:trPr>
        <w:tc>
          <w:tcPr>
            <w:tcW w:w="1815" w:type="dxa"/>
            <w:vMerge/>
            <w:shd w:val="clear" w:color="auto" w:fill="E6EED5"/>
          </w:tcPr>
          <w:p w:rsidR="004B071C" w:rsidRPr="005319D7" w:rsidRDefault="004B071C" w:rsidP="004E680E">
            <w:pPr>
              <w:spacing w:after="0"/>
              <w:rPr>
                <w:rFonts w:ascii="Constantia" w:hAnsi="Constantia" w:cs="Arial"/>
                <w:bCs/>
                <w:smallCaps/>
                <w:color w:val="000000"/>
                <w:spacing w:val="6"/>
                <w:szCs w:val="22"/>
                <w:lang w:val="sr-Latn-CS"/>
              </w:rPr>
            </w:pPr>
          </w:p>
        </w:tc>
        <w:tc>
          <w:tcPr>
            <w:tcW w:w="2160" w:type="dxa"/>
            <w:vMerge/>
            <w:shd w:val="clear" w:color="auto" w:fill="CDDDAC"/>
          </w:tcPr>
          <w:p w:rsidR="004B071C" w:rsidRPr="005319D7" w:rsidRDefault="004B071C" w:rsidP="004E680E">
            <w:pPr>
              <w:spacing w:line="260" w:lineRule="exact"/>
              <w:rPr>
                <w:rFonts w:ascii="Constantia" w:hAnsi="Constantia" w:cs="Arial"/>
                <w:color w:val="000000"/>
                <w:szCs w:val="22"/>
              </w:rPr>
            </w:pPr>
          </w:p>
        </w:tc>
        <w:tc>
          <w:tcPr>
            <w:tcW w:w="2610" w:type="dxa"/>
            <w:shd w:val="clear" w:color="auto" w:fill="E6EED5"/>
          </w:tcPr>
          <w:p w:rsidR="004B071C" w:rsidRPr="005319D7" w:rsidRDefault="004B071C" w:rsidP="004E680E">
            <w:pPr>
              <w:spacing w:after="60" w:line="280" w:lineRule="exact"/>
              <w:rPr>
                <w:rFonts w:ascii="Constantia" w:eastAsia="Calibri" w:hAnsi="Constantia" w:cs="Arial"/>
                <w:bCs/>
                <w:i/>
                <w:color w:val="000000"/>
                <w:spacing w:val="8"/>
                <w:szCs w:val="22"/>
                <w:lang w:val="pt-BR"/>
              </w:rPr>
            </w:pPr>
            <w:r w:rsidRPr="005319D7">
              <w:rPr>
                <w:rFonts w:ascii="Constantia" w:eastAsia="Calibri" w:hAnsi="Constantia" w:cs="Arial"/>
                <w:bCs/>
                <w:i/>
                <w:color w:val="000000"/>
                <w:spacing w:val="8"/>
                <w:szCs w:val="22"/>
                <w:lang w:val="pt-BR"/>
              </w:rPr>
              <w:t xml:space="preserve">Papilio machaon  </w:t>
            </w:r>
          </w:p>
        </w:tc>
        <w:tc>
          <w:tcPr>
            <w:tcW w:w="2698" w:type="dxa"/>
            <w:shd w:val="clear" w:color="auto" w:fill="E6EED5"/>
          </w:tcPr>
          <w:p w:rsidR="004B071C" w:rsidRPr="005319D7" w:rsidRDefault="004B071C" w:rsidP="007D3121">
            <w:pPr>
              <w:spacing w:after="60" w:line="280" w:lineRule="exact"/>
              <w:jc w:val="center"/>
              <w:rPr>
                <w:rFonts w:ascii="Constantia" w:eastAsia="Calibri" w:hAnsi="Constantia" w:cs="Arial"/>
                <w:bCs/>
                <w:color w:val="000000"/>
                <w:spacing w:val="8"/>
                <w:szCs w:val="22"/>
                <w:lang w:val="pt-BR"/>
              </w:rPr>
            </w:pPr>
            <w:r w:rsidRPr="005319D7">
              <w:rPr>
                <w:rFonts w:ascii="Constantia" w:eastAsia="Calibri" w:hAnsi="Constantia" w:cs="Arial"/>
                <w:bCs/>
                <w:color w:val="000000"/>
                <w:spacing w:val="8"/>
                <w:szCs w:val="22"/>
                <w:lang w:val="pt-BR"/>
              </w:rPr>
              <w:t>3 jedinke</w:t>
            </w:r>
          </w:p>
          <w:p w:rsidR="004B071C" w:rsidRPr="005319D7" w:rsidRDefault="004B071C" w:rsidP="007D3121">
            <w:pPr>
              <w:spacing w:after="60" w:line="280" w:lineRule="exact"/>
              <w:jc w:val="center"/>
              <w:rPr>
                <w:rFonts w:ascii="Constantia" w:eastAsia="Calibri" w:hAnsi="Constantia" w:cs="Arial"/>
                <w:bCs/>
                <w:color w:val="000000"/>
                <w:spacing w:val="8"/>
                <w:szCs w:val="22"/>
                <w:lang w:val="pt-BR"/>
              </w:rPr>
            </w:pPr>
          </w:p>
        </w:tc>
      </w:tr>
      <w:tr w:rsidR="004B071C" w:rsidRPr="005319D7" w:rsidTr="005319D7">
        <w:trPr>
          <w:trHeight w:val="852"/>
          <w:jc w:val="center"/>
        </w:trPr>
        <w:tc>
          <w:tcPr>
            <w:tcW w:w="1815" w:type="dxa"/>
            <w:vMerge/>
            <w:shd w:val="clear" w:color="auto" w:fill="E6EED5"/>
          </w:tcPr>
          <w:p w:rsidR="004B071C" w:rsidRPr="005319D7" w:rsidRDefault="004B071C" w:rsidP="004E680E">
            <w:pPr>
              <w:spacing w:after="0"/>
              <w:rPr>
                <w:rFonts w:ascii="Constantia" w:hAnsi="Constantia" w:cs="Arial"/>
                <w:bCs/>
                <w:smallCaps/>
                <w:color w:val="000000"/>
                <w:spacing w:val="6"/>
                <w:szCs w:val="22"/>
                <w:lang w:val="sr-Latn-CS"/>
              </w:rPr>
            </w:pPr>
          </w:p>
        </w:tc>
        <w:tc>
          <w:tcPr>
            <w:tcW w:w="2160" w:type="dxa"/>
            <w:vMerge/>
            <w:shd w:val="clear" w:color="auto" w:fill="CDDDAC"/>
          </w:tcPr>
          <w:p w:rsidR="004B071C" w:rsidRPr="005319D7" w:rsidRDefault="004B071C" w:rsidP="004E680E">
            <w:pPr>
              <w:spacing w:line="260" w:lineRule="exact"/>
              <w:rPr>
                <w:rFonts w:ascii="Constantia" w:hAnsi="Constantia" w:cs="Arial"/>
                <w:color w:val="000000"/>
                <w:szCs w:val="22"/>
              </w:rPr>
            </w:pPr>
          </w:p>
        </w:tc>
        <w:tc>
          <w:tcPr>
            <w:tcW w:w="2610" w:type="dxa"/>
            <w:shd w:val="clear" w:color="auto" w:fill="E6EED5"/>
          </w:tcPr>
          <w:p w:rsidR="004B071C" w:rsidRPr="005319D7" w:rsidRDefault="004B071C" w:rsidP="004E680E">
            <w:pPr>
              <w:spacing w:after="60" w:line="280" w:lineRule="exact"/>
              <w:rPr>
                <w:rFonts w:ascii="Constantia" w:eastAsia="Calibri" w:hAnsi="Constantia" w:cs="Arial"/>
                <w:bCs/>
                <w:i/>
                <w:color w:val="000000"/>
                <w:spacing w:val="8"/>
                <w:szCs w:val="22"/>
                <w:lang w:val="pt-BR"/>
              </w:rPr>
            </w:pPr>
            <w:r w:rsidRPr="005319D7">
              <w:rPr>
                <w:rFonts w:ascii="Constantia" w:eastAsia="Calibri" w:hAnsi="Constantia" w:cs="Arial"/>
                <w:bCs/>
                <w:i/>
                <w:color w:val="000000"/>
                <w:spacing w:val="8"/>
                <w:szCs w:val="22"/>
                <w:lang w:val="pt-BR"/>
              </w:rPr>
              <w:t>Iphiclides podalirius</w:t>
            </w:r>
          </w:p>
        </w:tc>
        <w:tc>
          <w:tcPr>
            <w:tcW w:w="2698" w:type="dxa"/>
            <w:shd w:val="clear" w:color="auto" w:fill="E6EED5"/>
          </w:tcPr>
          <w:p w:rsidR="004B071C" w:rsidRPr="005319D7" w:rsidRDefault="00567238" w:rsidP="00567238">
            <w:pPr>
              <w:spacing w:after="60" w:line="280" w:lineRule="exact"/>
              <w:jc w:val="left"/>
              <w:rPr>
                <w:rFonts w:ascii="Constantia" w:eastAsia="Calibri" w:hAnsi="Constantia" w:cs="Arial"/>
                <w:bCs/>
                <w:color w:val="000000"/>
                <w:spacing w:val="8"/>
                <w:szCs w:val="22"/>
                <w:lang w:val="pt-BR"/>
              </w:rPr>
            </w:pPr>
            <w:r w:rsidRPr="005319D7">
              <w:rPr>
                <w:rFonts w:ascii="Constantia" w:eastAsia="Calibri" w:hAnsi="Constantia" w:cs="Arial"/>
                <w:bCs/>
                <w:color w:val="000000"/>
                <w:spacing w:val="8"/>
                <w:szCs w:val="22"/>
                <w:lang w:val="pt-BR"/>
              </w:rPr>
              <w:t>2 jedinke - jedinke ob</w:t>
            </w:r>
            <w:r w:rsidR="004B071C" w:rsidRPr="005319D7">
              <w:rPr>
                <w:rFonts w:ascii="Constantia" w:eastAsia="Calibri" w:hAnsi="Constantia" w:cs="Arial"/>
                <w:bCs/>
                <w:color w:val="000000"/>
                <w:spacing w:val="8"/>
                <w:szCs w:val="22"/>
                <w:lang w:val="pt-BR"/>
              </w:rPr>
              <w:t xml:space="preserve">je vrste su konstatovane na obodu šume tj. </w:t>
            </w:r>
            <w:r w:rsidRPr="005319D7">
              <w:rPr>
                <w:rFonts w:ascii="Constantia" w:eastAsia="Calibri" w:hAnsi="Constantia" w:cs="Arial"/>
                <w:bCs/>
                <w:color w:val="000000"/>
                <w:spacing w:val="8"/>
                <w:szCs w:val="22"/>
                <w:lang w:val="pt-BR"/>
              </w:rPr>
              <w:t xml:space="preserve">na </w:t>
            </w:r>
            <w:r w:rsidR="004B071C" w:rsidRPr="005319D7">
              <w:rPr>
                <w:rFonts w:ascii="Constantia" w:eastAsia="Calibri" w:hAnsi="Constantia" w:cs="Arial"/>
                <w:bCs/>
                <w:color w:val="000000"/>
                <w:spacing w:val="8"/>
                <w:szCs w:val="22"/>
                <w:lang w:val="pt-BR"/>
              </w:rPr>
              <w:t>livadi iznad kanjona.</w:t>
            </w:r>
          </w:p>
        </w:tc>
      </w:tr>
      <w:tr w:rsidR="004B071C" w:rsidRPr="005319D7" w:rsidTr="005319D7">
        <w:trPr>
          <w:trHeight w:val="704"/>
          <w:jc w:val="center"/>
        </w:trPr>
        <w:tc>
          <w:tcPr>
            <w:tcW w:w="1815" w:type="dxa"/>
            <w:vMerge/>
            <w:shd w:val="clear" w:color="auto" w:fill="E6EED5"/>
          </w:tcPr>
          <w:p w:rsidR="004B071C" w:rsidRPr="005319D7" w:rsidRDefault="004B071C" w:rsidP="004E680E">
            <w:pPr>
              <w:spacing w:after="0"/>
              <w:rPr>
                <w:rFonts w:ascii="Constantia" w:hAnsi="Constantia" w:cs="Arial"/>
                <w:bCs/>
                <w:smallCaps/>
                <w:color w:val="000000"/>
                <w:spacing w:val="6"/>
                <w:szCs w:val="22"/>
                <w:lang w:val="sr-Latn-CS"/>
              </w:rPr>
            </w:pPr>
          </w:p>
        </w:tc>
        <w:tc>
          <w:tcPr>
            <w:tcW w:w="2160" w:type="dxa"/>
            <w:vMerge/>
            <w:shd w:val="clear" w:color="auto" w:fill="CDDDAC"/>
          </w:tcPr>
          <w:p w:rsidR="004B071C" w:rsidRPr="005319D7" w:rsidRDefault="004B071C" w:rsidP="004E680E">
            <w:pPr>
              <w:spacing w:line="260" w:lineRule="exact"/>
              <w:rPr>
                <w:rFonts w:ascii="Constantia" w:hAnsi="Constantia" w:cs="Arial"/>
                <w:color w:val="000000"/>
                <w:szCs w:val="22"/>
              </w:rPr>
            </w:pPr>
          </w:p>
        </w:tc>
        <w:tc>
          <w:tcPr>
            <w:tcW w:w="2610" w:type="dxa"/>
            <w:shd w:val="clear" w:color="auto" w:fill="E6EED5"/>
          </w:tcPr>
          <w:p w:rsidR="004B071C" w:rsidRPr="005319D7" w:rsidRDefault="004B071C" w:rsidP="005319D7">
            <w:pPr>
              <w:spacing w:after="0" w:line="280" w:lineRule="exact"/>
              <w:rPr>
                <w:rFonts w:ascii="Constantia" w:eastAsia="Calibri" w:hAnsi="Constantia" w:cs="Arial"/>
                <w:bCs/>
                <w:i/>
                <w:color w:val="000000"/>
                <w:spacing w:val="8"/>
                <w:szCs w:val="22"/>
                <w:lang w:val="pt-BR"/>
              </w:rPr>
            </w:pPr>
            <w:r w:rsidRPr="005319D7">
              <w:rPr>
                <w:rFonts w:ascii="Constantia" w:eastAsia="Calibri" w:hAnsi="Constantia" w:cs="Arial"/>
                <w:bCs/>
                <w:i/>
                <w:color w:val="000000"/>
                <w:spacing w:val="8"/>
                <w:szCs w:val="22"/>
                <w:lang w:val="pt-BR"/>
              </w:rPr>
              <w:t>Parnassius mnemosynae</w:t>
            </w:r>
          </w:p>
        </w:tc>
        <w:tc>
          <w:tcPr>
            <w:tcW w:w="2698" w:type="dxa"/>
            <w:shd w:val="clear" w:color="auto" w:fill="E6EED5"/>
          </w:tcPr>
          <w:p w:rsidR="004B071C" w:rsidRPr="005319D7" w:rsidRDefault="004B071C" w:rsidP="00567238">
            <w:pPr>
              <w:spacing w:after="0" w:line="280" w:lineRule="exact"/>
              <w:rPr>
                <w:rFonts w:ascii="Constantia" w:eastAsia="Calibri" w:hAnsi="Constantia" w:cs="Arial"/>
                <w:bCs/>
                <w:color w:val="000000"/>
                <w:spacing w:val="8"/>
                <w:szCs w:val="22"/>
                <w:lang w:val="pt-BR"/>
              </w:rPr>
            </w:pPr>
            <w:r w:rsidRPr="005319D7">
              <w:rPr>
                <w:rFonts w:ascii="Constantia" w:eastAsia="Calibri" w:hAnsi="Constantia" w:cs="Arial"/>
                <w:bCs/>
                <w:color w:val="000000"/>
                <w:spacing w:val="8"/>
                <w:szCs w:val="22"/>
                <w:lang w:val="pt-BR"/>
              </w:rPr>
              <w:t>1 jedinka na livadi iznad kanjona</w:t>
            </w:r>
          </w:p>
        </w:tc>
      </w:tr>
      <w:tr w:rsidR="004B071C" w:rsidRPr="005319D7" w:rsidTr="005319D7">
        <w:trPr>
          <w:trHeight w:val="851"/>
          <w:jc w:val="center"/>
        </w:trPr>
        <w:tc>
          <w:tcPr>
            <w:tcW w:w="1815" w:type="dxa"/>
            <w:vMerge/>
            <w:shd w:val="clear" w:color="auto" w:fill="E6EED5"/>
          </w:tcPr>
          <w:p w:rsidR="004B071C" w:rsidRPr="005319D7" w:rsidRDefault="004B071C" w:rsidP="004E680E">
            <w:pPr>
              <w:spacing w:after="0"/>
              <w:rPr>
                <w:rFonts w:ascii="Constantia" w:hAnsi="Constantia" w:cs="Arial"/>
                <w:bCs/>
                <w:smallCaps/>
                <w:color w:val="000000"/>
                <w:spacing w:val="6"/>
                <w:szCs w:val="22"/>
                <w:lang w:val="sr-Latn-CS"/>
              </w:rPr>
            </w:pPr>
          </w:p>
        </w:tc>
        <w:tc>
          <w:tcPr>
            <w:tcW w:w="2160" w:type="dxa"/>
            <w:vMerge/>
            <w:shd w:val="clear" w:color="auto" w:fill="CDDDAC"/>
          </w:tcPr>
          <w:p w:rsidR="004B071C" w:rsidRPr="005319D7" w:rsidRDefault="004B071C" w:rsidP="004E680E">
            <w:pPr>
              <w:spacing w:line="260" w:lineRule="exact"/>
              <w:rPr>
                <w:rFonts w:ascii="Constantia" w:hAnsi="Constantia" w:cs="Arial"/>
                <w:color w:val="000000"/>
                <w:szCs w:val="22"/>
              </w:rPr>
            </w:pPr>
          </w:p>
        </w:tc>
        <w:tc>
          <w:tcPr>
            <w:tcW w:w="5308" w:type="dxa"/>
            <w:gridSpan w:val="2"/>
            <w:shd w:val="clear" w:color="auto" w:fill="E6EED5"/>
          </w:tcPr>
          <w:p w:rsidR="004B071C" w:rsidRPr="005319D7" w:rsidRDefault="00BB7261" w:rsidP="004E680E">
            <w:pPr>
              <w:spacing w:after="60" w:line="280" w:lineRule="exact"/>
              <w:rPr>
                <w:rFonts w:ascii="Constantia" w:eastAsia="Calibri" w:hAnsi="Constantia" w:cs="Arial"/>
                <w:bCs/>
                <w:color w:val="000000"/>
                <w:spacing w:val="8"/>
                <w:szCs w:val="22"/>
                <w:lang w:val="pt-BR"/>
              </w:rPr>
            </w:pPr>
            <w:r w:rsidRPr="005319D7">
              <w:rPr>
                <w:rFonts w:ascii="Constantia" w:eastAsia="Calibri" w:hAnsi="Constantia" w:cs="Arial"/>
                <w:bCs/>
                <w:color w:val="000000"/>
                <w:spacing w:val="8"/>
                <w:szCs w:val="22"/>
                <w:lang w:val="pt-BR"/>
              </w:rPr>
              <w:t>Konstatovane su i sl</w:t>
            </w:r>
            <w:r w:rsidR="004B071C" w:rsidRPr="005319D7">
              <w:rPr>
                <w:rFonts w:ascii="Constantia" w:eastAsia="Calibri" w:hAnsi="Constantia" w:cs="Arial"/>
                <w:bCs/>
                <w:color w:val="000000"/>
                <w:spacing w:val="8"/>
                <w:szCs w:val="22"/>
                <w:lang w:val="pt-BR"/>
              </w:rPr>
              <w:t xml:space="preserve">edeće vrste insekata: </w:t>
            </w:r>
          </w:p>
          <w:p w:rsidR="004B071C" w:rsidRPr="005319D7" w:rsidRDefault="004B071C" w:rsidP="00BB7261">
            <w:pPr>
              <w:spacing w:after="60" w:line="280" w:lineRule="exact"/>
              <w:rPr>
                <w:rFonts w:ascii="Constantia" w:eastAsia="Calibri" w:hAnsi="Constantia" w:cs="Arial"/>
                <w:bCs/>
                <w:i/>
                <w:color w:val="000000"/>
                <w:spacing w:val="8"/>
                <w:szCs w:val="22"/>
                <w:lang w:val="pt-BR"/>
              </w:rPr>
            </w:pPr>
            <w:r w:rsidRPr="005319D7">
              <w:rPr>
                <w:rFonts w:ascii="Constantia" w:eastAsia="Calibri" w:hAnsi="Constantia" w:cs="Arial"/>
                <w:bCs/>
                <w:i/>
                <w:color w:val="000000"/>
                <w:spacing w:val="8"/>
                <w:szCs w:val="22"/>
                <w:lang w:val="pt-BR"/>
              </w:rPr>
              <w:t>Lepidoptera: Satyrium acaciae, Satyrium w-album, Gonepteryx rhamni, Pieris rapae, Pieris brassicae  Erebia oeme, Nymphalis polychloros</w:t>
            </w:r>
            <w:r w:rsidR="00BB7261" w:rsidRPr="005319D7">
              <w:rPr>
                <w:rFonts w:ascii="Constantia" w:eastAsia="Calibri" w:hAnsi="Constantia" w:cs="Arial"/>
                <w:bCs/>
                <w:i/>
                <w:color w:val="000000"/>
                <w:spacing w:val="8"/>
                <w:szCs w:val="22"/>
                <w:lang w:val="pt-BR"/>
              </w:rPr>
              <w:t>.</w:t>
            </w:r>
            <w:r w:rsidRPr="005319D7">
              <w:rPr>
                <w:rFonts w:ascii="Constantia" w:eastAsia="Calibri" w:hAnsi="Constantia" w:cs="Arial"/>
                <w:bCs/>
                <w:i/>
                <w:color w:val="000000"/>
                <w:spacing w:val="8"/>
                <w:szCs w:val="22"/>
                <w:lang w:val="pt-BR"/>
              </w:rPr>
              <w:t xml:space="preserve"> </w:t>
            </w:r>
          </w:p>
        </w:tc>
      </w:tr>
    </w:tbl>
    <w:p w:rsidR="004B071C" w:rsidRPr="00567238" w:rsidRDefault="00567238" w:rsidP="004B071C">
      <w:pPr>
        <w:pStyle w:val="Tabele"/>
        <w:spacing w:before="60" w:after="240"/>
        <w:ind w:left="714" w:hanging="357"/>
        <w:rPr>
          <w:rFonts w:ascii="Constantia" w:hAnsi="Constantia"/>
          <w:sz w:val="22"/>
          <w:szCs w:val="22"/>
        </w:rPr>
      </w:pPr>
      <w:r>
        <w:rPr>
          <w:rFonts w:ascii="Constantia" w:hAnsi="Constantia"/>
          <w:sz w:val="22"/>
          <w:szCs w:val="22"/>
        </w:rPr>
        <w:t xml:space="preserve"> </w:t>
      </w:r>
      <w:r w:rsidR="004B071C" w:rsidRPr="00567238">
        <w:rPr>
          <w:rFonts w:ascii="Constantia" w:hAnsi="Constantia"/>
          <w:sz w:val="22"/>
          <w:szCs w:val="22"/>
        </w:rPr>
        <w:t>Insekti</w:t>
      </w:r>
    </w:p>
    <w:p w:rsidR="008A1F77" w:rsidRPr="005319D7" w:rsidRDefault="008A1F77" w:rsidP="008A1F77">
      <w:pPr>
        <w:rPr>
          <w:b/>
          <w:i/>
          <w:sz w:val="20"/>
          <w:szCs w:val="20"/>
          <w:lang w:val="sr-Latn-CS"/>
        </w:rPr>
      </w:pPr>
      <w:r w:rsidRPr="005319D7">
        <w:rPr>
          <w:b/>
          <w:sz w:val="20"/>
          <w:szCs w:val="20"/>
          <w:lang w:val="sr-Latn-CS"/>
        </w:rPr>
        <w:lastRenderedPageBreak/>
        <w:t>6.3.2.4.2 -</w:t>
      </w:r>
      <w:r w:rsidR="005319D7">
        <w:rPr>
          <w:b/>
          <w:sz w:val="20"/>
          <w:szCs w:val="20"/>
          <w:lang w:val="sr-Latn-CS"/>
        </w:rPr>
        <w:t xml:space="preserve"> </w:t>
      </w:r>
      <w:r w:rsidRPr="005319D7">
        <w:rPr>
          <w:b/>
          <w:sz w:val="20"/>
          <w:szCs w:val="20"/>
          <w:u w:val="single"/>
          <w:lang w:val="sr-Latn-CS"/>
        </w:rPr>
        <w:t>Vodeni beskičmenjaci</w:t>
      </w:r>
      <w:r w:rsidRPr="005319D7">
        <w:rPr>
          <w:b/>
          <w:sz w:val="20"/>
          <w:szCs w:val="20"/>
          <w:lang w:val="sr-Latn-CS"/>
        </w:rPr>
        <w:t xml:space="preserve"> </w:t>
      </w:r>
      <w:r w:rsidRPr="005319D7">
        <w:rPr>
          <w:b/>
          <w:i/>
          <w:sz w:val="20"/>
          <w:szCs w:val="20"/>
          <w:lang w:val="sr-Latn-CS"/>
        </w:rPr>
        <w:t xml:space="preserve">(Cladocera, Copepoda, Plecoptera, Trichoptera, Ephemeroptera i </w:t>
      </w:r>
      <w:r w:rsidR="005319D7" w:rsidRPr="005319D7">
        <w:rPr>
          <w:b/>
          <w:i/>
          <w:sz w:val="20"/>
          <w:szCs w:val="20"/>
          <w:lang w:val="sr-Latn-CS"/>
        </w:rPr>
        <w:t>Odo</w:t>
      </w:r>
      <w:r w:rsidRPr="005319D7">
        <w:rPr>
          <w:b/>
          <w:i/>
          <w:sz w:val="20"/>
          <w:szCs w:val="20"/>
          <w:lang w:val="sr-Latn-CS"/>
        </w:rPr>
        <w:t>nata)</w:t>
      </w:r>
    </w:p>
    <w:p w:rsidR="004B071C" w:rsidRDefault="004B071C" w:rsidP="008A1F77">
      <w:pPr>
        <w:pStyle w:val="Heading5"/>
        <w:numPr>
          <w:ilvl w:val="0"/>
          <w:numId w:val="0"/>
        </w:numPr>
        <w:ind w:left="1008" w:hanging="1008"/>
        <w:rPr>
          <w:lang w:val="sr-Latn-CS"/>
        </w:rPr>
      </w:pPr>
    </w:p>
    <w:tbl>
      <w:tblPr>
        <w:tblW w:w="9180" w:type="dxa"/>
        <w:tblInd w:w="108" w:type="dxa"/>
        <w:tblBorders>
          <w:top w:val="single" w:sz="8" w:space="0" w:color="DAEFC3"/>
          <w:left w:val="single" w:sz="8" w:space="0" w:color="DAEFC3"/>
          <w:bottom w:val="single" w:sz="8" w:space="0" w:color="DAEFC3"/>
          <w:right w:val="single" w:sz="8" w:space="0" w:color="DAEFC3"/>
          <w:insideH w:val="single" w:sz="8" w:space="0" w:color="DAEFC3"/>
          <w:insideV w:val="single" w:sz="8" w:space="0" w:color="DAEFC3"/>
        </w:tblBorders>
        <w:tblLook w:val="04A0" w:firstRow="1" w:lastRow="0" w:firstColumn="1" w:lastColumn="0" w:noHBand="0" w:noVBand="1"/>
      </w:tblPr>
      <w:tblGrid>
        <w:gridCol w:w="1710"/>
        <w:gridCol w:w="3060"/>
        <w:gridCol w:w="2430"/>
        <w:gridCol w:w="1980"/>
      </w:tblGrid>
      <w:tr w:rsidR="004B071C" w:rsidRPr="005319D7" w:rsidTr="000A7800">
        <w:tc>
          <w:tcPr>
            <w:tcW w:w="1710" w:type="dxa"/>
            <w:shd w:val="clear" w:color="auto" w:fill="F2F9EB"/>
          </w:tcPr>
          <w:p w:rsidR="004B071C" w:rsidRPr="005319D7" w:rsidRDefault="004B071C" w:rsidP="000A7800">
            <w:pPr>
              <w:jc w:val="center"/>
              <w:rPr>
                <w:rFonts w:ascii="Constantia" w:hAnsi="Constantia"/>
                <w:b/>
                <w:bCs/>
                <w:szCs w:val="22"/>
              </w:rPr>
            </w:pPr>
            <w:r w:rsidRPr="005319D7">
              <w:rPr>
                <w:rFonts w:ascii="Constantia" w:hAnsi="Constantia"/>
                <w:b/>
                <w:bCs/>
                <w:szCs w:val="22"/>
              </w:rPr>
              <w:t>Datum istraživanja</w:t>
            </w:r>
          </w:p>
        </w:tc>
        <w:tc>
          <w:tcPr>
            <w:tcW w:w="3060" w:type="dxa"/>
            <w:shd w:val="clear" w:color="auto" w:fill="F2F9EB"/>
          </w:tcPr>
          <w:p w:rsidR="004B071C" w:rsidRPr="005319D7" w:rsidRDefault="004B071C" w:rsidP="000A7800">
            <w:pPr>
              <w:tabs>
                <w:tab w:val="left" w:pos="2079"/>
              </w:tabs>
              <w:spacing w:before="60" w:after="240"/>
              <w:jc w:val="center"/>
              <w:rPr>
                <w:rFonts w:ascii="Constantia" w:hAnsi="Constantia"/>
                <w:b/>
                <w:bCs/>
                <w:szCs w:val="22"/>
                <w:lang w:val="sr-Latn-CS"/>
              </w:rPr>
            </w:pPr>
            <w:r w:rsidRPr="005319D7">
              <w:rPr>
                <w:rFonts w:ascii="Constantia" w:hAnsi="Constantia"/>
                <w:b/>
                <w:bCs/>
                <w:szCs w:val="22"/>
                <w:lang w:val="sr-Latn-CS"/>
              </w:rPr>
              <w:t>Lokacija (mikro)</w:t>
            </w:r>
          </w:p>
        </w:tc>
        <w:tc>
          <w:tcPr>
            <w:tcW w:w="2430" w:type="dxa"/>
            <w:shd w:val="clear" w:color="auto" w:fill="F2F9EB"/>
          </w:tcPr>
          <w:p w:rsidR="004B071C" w:rsidRPr="005319D7" w:rsidRDefault="004B071C" w:rsidP="000A7800">
            <w:pPr>
              <w:spacing w:before="60" w:after="240"/>
              <w:jc w:val="center"/>
              <w:rPr>
                <w:rFonts w:ascii="Constantia" w:hAnsi="Constantia"/>
                <w:b/>
                <w:bCs/>
                <w:szCs w:val="22"/>
                <w:lang w:val="sr-Latn-CS"/>
              </w:rPr>
            </w:pPr>
            <w:r w:rsidRPr="005319D7">
              <w:rPr>
                <w:rFonts w:ascii="Constantia" w:hAnsi="Constantia"/>
                <w:b/>
                <w:bCs/>
                <w:szCs w:val="22"/>
                <w:lang w:val="sr-Latn-CS"/>
              </w:rPr>
              <w:t>Koordinate</w:t>
            </w:r>
          </w:p>
        </w:tc>
        <w:tc>
          <w:tcPr>
            <w:tcW w:w="1980" w:type="dxa"/>
            <w:shd w:val="clear" w:color="auto" w:fill="F2F9EB"/>
          </w:tcPr>
          <w:p w:rsidR="004B071C" w:rsidRPr="005319D7" w:rsidRDefault="004B071C" w:rsidP="000A7800">
            <w:pPr>
              <w:spacing w:before="60" w:after="0"/>
              <w:jc w:val="center"/>
              <w:rPr>
                <w:rFonts w:ascii="Constantia" w:hAnsi="Constantia"/>
                <w:b/>
                <w:bCs/>
                <w:szCs w:val="22"/>
                <w:lang w:val="sr-Latn-CS"/>
              </w:rPr>
            </w:pPr>
            <w:r w:rsidRPr="005319D7">
              <w:rPr>
                <w:rFonts w:ascii="Constantia" w:hAnsi="Constantia"/>
                <w:b/>
                <w:bCs/>
                <w:szCs w:val="22"/>
                <w:lang w:val="sr-Latn-CS"/>
              </w:rPr>
              <w:t>Nadmorska visina</w:t>
            </w:r>
          </w:p>
        </w:tc>
      </w:tr>
      <w:tr w:rsidR="004B071C" w:rsidRPr="005319D7" w:rsidTr="000A7800">
        <w:tc>
          <w:tcPr>
            <w:tcW w:w="1710" w:type="dxa"/>
            <w:shd w:val="clear" w:color="auto" w:fill="E6F4D7"/>
          </w:tcPr>
          <w:p w:rsidR="000A7800" w:rsidRPr="005319D7" w:rsidRDefault="004B071C" w:rsidP="000A7800">
            <w:pPr>
              <w:jc w:val="center"/>
              <w:rPr>
                <w:rFonts w:ascii="Constantia" w:hAnsi="Constantia"/>
                <w:bCs/>
                <w:szCs w:val="22"/>
              </w:rPr>
            </w:pPr>
            <w:r w:rsidRPr="005319D7">
              <w:rPr>
                <w:rFonts w:ascii="Constantia" w:hAnsi="Constantia"/>
                <w:bCs/>
                <w:szCs w:val="22"/>
              </w:rPr>
              <w:t xml:space="preserve">17.06., </w:t>
            </w:r>
          </w:p>
          <w:p w:rsidR="000A7800" w:rsidRPr="005319D7" w:rsidRDefault="004B071C" w:rsidP="000A7800">
            <w:pPr>
              <w:jc w:val="center"/>
              <w:rPr>
                <w:rFonts w:ascii="Constantia" w:hAnsi="Constantia"/>
                <w:bCs/>
                <w:szCs w:val="22"/>
              </w:rPr>
            </w:pPr>
            <w:r w:rsidRPr="005319D7">
              <w:rPr>
                <w:rFonts w:ascii="Constantia" w:hAnsi="Constantia"/>
                <w:bCs/>
                <w:szCs w:val="22"/>
              </w:rPr>
              <w:t xml:space="preserve">08.08.,  </w:t>
            </w:r>
          </w:p>
          <w:p w:rsidR="000A7800" w:rsidRPr="005319D7" w:rsidRDefault="004B071C" w:rsidP="000A7800">
            <w:pPr>
              <w:jc w:val="center"/>
              <w:rPr>
                <w:rFonts w:ascii="Constantia" w:hAnsi="Constantia"/>
                <w:bCs/>
                <w:szCs w:val="22"/>
              </w:rPr>
            </w:pPr>
            <w:r w:rsidRPr="005319D7">
              <w:rPr>
                <w:rFonts w:ascii="Constantia" w:hAnsi="Constantia"/>
                <w:bCs/>
                <w:szCs w:val="22"/>
              </w:rPr>
              <w:t>19.09.</w:t>
            </w:r>
            <w:r w:rsidR="000A7800" w:rsidRPr="005319D7">
              <w:rPr>
                <w:rFonts w:ascii="Constantia" w:hAnsi="Constantia"/>
                <w:bCs/>
                <w:szCs w:val="22"/>
              </w:rPr>
              <w:t>,</w:t>
            </w:r>
          </w:p>
          <w:p w:rsidR="000A7800" w:rsidRPr="005319D7" w:rsidRDefault="004B071C" w:rsidP="000A7800">
            <w:pPr>
              <w:jc w:val="center"/>
              <w:rPr>
                <w:rFonts w:ascii="Constantia" w:hAnsi="Constantia"/>
                <w:bCs/>
                <w:szCs w:val="22"/>
              </w:rPr>
            </w:pPr>
            <w:r w:rsidRPr="005319D7">
              <w:rPr>
                <w:rFonts w:ascii="Constantia" w:hAnsi="Constantia"/>
                <w:bCs/>
                <w:szCs w:val="22"/>
              </w:rPr>
              <w:t xml:space="preserve"> 20.11.</w:t>
            </w:r>
            <w:r w:rsidR="000A7800" w:rsidRPr="005319D7">
              <w:rPr>
                <w:rFonts w:ascii="Constantia" w:hAnsi="Constantia"/>
                <w:bCs/>
                <w:szCs w:val="22"/>
              </w:rPr>
              <w:t>,</w:t>
            </w:r>
          </w:p>
          <w:p w:rsidR="004B071C" w:rsidRPr="005319D7" w:rsidRDefault="004B071C" w:rsidP="000A7800">
            <w:pPr>
              <w:jc w:val="center"/>
              <w:rPr>
                <w:rFonts w:ascii="Constantia" w:hAnsi="Constantia"/>
                <w:b/>
                <w:bCs/>
                <w:szCs w:val="22"/>
              </w:rPr>
            </w:pPr>
            <w:r w:rsidRPr="005319D7">
              <w:rPr>
                <w:rFonts w:ascii="Constantia" w:hAnsi="Constantia"/>
                <w:bCs/>
                <w:szCs w:val="22"/>
              </w:rPr>
              <w:t xml:space="preserve"> 12.12. 2013.</w:t>
            </w:r>
          </w:p>
        </w:tc>
        <w:tc>
          <w:tcPr>
            <w:tcW w:w="3060" w:type="dxa"/>
            <w:shd w:val="clear" w:color="auto" w:fill="E6F4D7"/>
          </w:tcPr>
          <w:p w:rsidR="004B071C" w:rsidRPr="005319D7" w:rsidRDefault="004B071C" w:rsidP="004E680E">
            <w:pPr>
              <w:spacing w:before="60" w:after="240"/>
              <w:rPr>
                <w:rFonts w:ascii="Constantia" w:hAnsi="Constantia"/>
                <w:szCs w:val="22"/>
                <w:lang w:val="sr-Latn-CS"/>
              </w:rPr>
            </w:pPr>
            <w:r w:rsidRPr="005319D7">
              <w:rPr>
                <w:rFonts w:ascii="Constantia" w:hAnsi="Constantia"/>
                <w:szCs w:val="22"/>
                <w:lang w:val="sr-Latn-CS"/>
              </w:rPr>
              <w:t>Veliko i Malo Pošćensko jezero, Rijeka Komarnica</w:t>
            </w:r>
          </w:p>
        </w:tc>
        <w:tc>
          <w:tcPr>
            <w:tcW w:w="2430" w:type="dxa"/>
            <w:shd w:val="clear" w:color="auto" w:fill="E6F4D7"/>
          </w:tcPr>
          <w:p w:rsidR="004B071C" w:rsidRPr="005319D7" w:rsidRDefault="004B071C" w:rsidP="005319D7">
            <w:pPr>
              <w:spacing w:before="60" w:after="0"/>
              <w:jc w:val="center"/>
              <w:rPr>
                <w:rFonts w:ascii="Constantia" w:hAnsi="Constantia"/>
                <w:szCs w:val="22"/>
                <w:lang w:val="sr-Latn-CS"/>
              </w:rPr>
            </w:pPr>
            <w:r w:rsidRPr="005319D7">
              <w:rPr>
                <w:rFonts w:ascii="Constantia" w:hAnsi="Constantia"/>
                <w:szCs w:val="22"/>
                <w:lang w:val="sr-Latn-CS"/>
              </w:rPr>
              <w:t>42˚58,910</w:t>
            </w:r>
            <w:r w:rsidRPr="005319D7">
              <w:rPr>
                <w:rFonts w:ascii="Times New Roman" w:hAnsi="Times New Roman"/>
                <w:szCs w:val="22"/>
                <w:lang w:val="sr-Latn-CS"/>
              </w:rPr>
              <w:t>ʹ</w:t>
            </w:r>
          </w:p>
          <w:p w:rsidR="004B071C" w:rsidRPr="005319D7" w:rsidRDefault="004B071C" w:rsidP="005319D7">
            <w:pPr>
              <w:spacing w:before="60" w:after="0"/>
              <w:jc w:val="center"/>
              <w:rPr>
                <w:rFonts w:ascii="Constantia" w:hAnsi="Constantia"/>
                <w:szCs w:val="22"/>
                <w:lang w:val="sr-Latn-CS"/>
              </w:rPr>
            </w:pPr>
            <w:r w:rsidRPr="005319D7">
              <w:rPr>
                <w:rFonts w:ascii="Constantia" w:hAnsi="Constantia"/>
                <w:szCs w:val="22"/>
                <w:lang w:val="sr-Latn-CS"/>
              </w:rPr>
              <w:t>19˚04,097</w:t>
            </w:r>
            <w:r w:rsidRPr="005319D7">
              <w:rPr>
                <w:rFonts w:ascii="Times New Roman" w:hAnsi="Times New Roman"/>
                <w:szCs w:val="22"/>
                <w:lang w:val="sr-Latn-CS"/>
              </w:rPr>
              <w:t>ʹ</w:t>
            </w:r>
          </w:p>
          <w:p w:rsidR="004B071C" w:rsidRPr="005319D7" w:rsidRDefault="004B071C" w:rsidP="005319D7">
            <w:pPr>
              <w:spacing w:before="60" w:after="0"/>
              <w:jc w:val="center"/>
              <w:rPr>
                <w:rFonts w:ascii="Constantia" w:hAnsi="Constantia"/>
                <w:szCs w:val="22"/>
                <w:lang w:val="sr-Latn-CS"/>
              </w:rPr>
            </w:pPr>
            <w:r w:rsidRPr="005319D7">
              <w:rPr>
                <w:rFonts w:ascii="Constantia" w:hAnsi="Constantia"/>
                <w:szCs w:val="22"/>
                <w:lang w:val="sr-Latn-CS"/>
              </w:rPr>
              <w:t>42˚58,713</w:t>
            </w:r>
            <w:r w:rsidRPr="005319D7">
              <w:rPr>
                <w:rFonts w:ascii="Times New Roman" w:hAnsi="Times New Roman"/>
                <w:szCs w:val="22"/>
                <w:lang w:val="sr-Latn-CS"/>
              </w:rPr>
              <w:t>ʹ</w:t>
            </w:r>
          </w:p>
          <w:p w:rsidR="004B071C" w:rsidRPr="005319D7" w:rsidRDefault="004B071C" w:rsidP="005319D7">
            <w:pPr>
              <w:spacing w:before="60" w:after="0"/>
              <w:jc w:val="center"/>
              <w:rPr>
                <w:rFonts w:ascii="Constantia" w:hAnsi="Constantia"/>
                <w:szCs w:val="22"/>
                <w:lang w:val="sr-Latn-CS"/>
              </w:rPr>
            </w:pPr>
            <w:r w:rsidRPr="005319D7">
              <w:rPr>
                <w:rFonts w:ascii="Constantia" w:hAnsi="Constantia"/>
                <w:szCs w:val="22"/>
                <w:lang w:val="sr-Latn-CS"/>
              </w:rPr>
              <w:t>19˚04,225</w:t>
            </w:r>
            <w:r w:rsidRPr="005319D7">
              <w:rPr>
                <w:rFonts w:ascii="Times New Roman" w:hAnsi="Times New Roman"/>
                <w:szCs w:val="22"/>
                <w:lang w:val="sr-Latn-CS"/>
              </w:rPr>
              <w:t>ʹ</w:t>
            </w:r>
          </w:p>
          <w:p w:rsidR="004B071C" w:rsidRPr="005319D7" w:rsidRDefault="004B071C" w:rsidP="005319D7">
            <w:pPr>
              <w:spacing w:before="60" w:after="0"/>
              <w:jc w:val="center"/>
              <w:rPr>
                <w:rFonts w:ascii="Constantia" w:hAnsi="Constantia"/>
                <w:szCs w:val="22"/>
                <w:lang w:val="sr-Latn-CS"/>
              </w:rPr>
            </w:pPr>
            <w:r w:rsidRPr="005319D7">
              <w:rPr>
                <w:rFonts w:ascii="Constantia" w:hAnsi="Constantia"/>
                <w:szCs w:val="22"/>
                <w:lang w:val="sr-Latn-CS"/>
              </w:rPr>
              <w:t>42˚59,245</w:t>
            </w:r>
            <w:r w:rsidRPr="005319D7">
              <w:rPr>
                <w:rFonts w:ascii="Times New Roman" w:hAnsi="Times New Roman"/>
                <w:szCs w:val="22"/>
                <w:lang w:val="sr-Latn-CS"/>
              </w:rPr>
              <w:t>ʹ</w:t>
            </w:r>
          </w:p>
          <w:p w:rsidR="004B071C" w:rsidRPr="005319D7" w:rsidRDefault="004B071C" w:rsidP="005319D7">
            <w:pPr>
              <w:spacing w:before="60" w:after="0"/>
              <w:jc w:val="center"/>
              <w:rPr>
                <w:rFonts w:ascii="Constantia" w:hAnsi="Constantia"/>
                <w:szCs w:val="22"/>
                <w:lang w:val="sr-Latn-CS"/>
              </w:rPr>
            </w:pPr>
            <w:r w:rsidRPr="005319D7">
              <w:rPr>
                <w:rFonts w:ascii="Constantia" w:hAnsi="Constantia"/>
                <w:szCs w:val="22"/>
                <w:lang w:val="sr-Latn-CS"/>
              </w:rPr>
              <w:t>19˚03,973</w:t>
            </w:r>
            <w:r w:rsidRPr="005319D7">
              <w:rPr>
                <w:rFonts w:ascii="Times New Roman" w:hAnsi="Times New Roman"/>
                <w:szCs w:val="22"/>
                <w:lang w:val="sr-Latn-CS"/>
              </w:rPr>
              <w:t>ʹ</w:t>
            </w:r>
          </w:p>
        </w:tc>
        <w:tc>
          <w:tcPr>
            <w:tcW w:w="1980" w:type="dxa"/>
            <w:shd w:val="clear" w:color="auto" w:fill="E6F4D7"/>
          </w:tcPr>
          <w:p w:rsidR="004B071C" w:rsidRPr="005319D7" w:rsidRDefault="004B071C" w:rsidP="000A7800">
            <w:pPr>
              <w:spacing w:before="60" w:after="240"/>
              <w:jc w:val="center"/>
              <w:rPr>
                <w:rFonts w:ascii="Constantia" w:hAnsi="Constantia"/>
                <w:szCs w:val="22"/>
                <w:lang w:val="sr-Latn-CS"/>
              </w:rPr>
            </w:pPr>
            <w:r w:rsidRPr="005319D7">
              <w:rPr>
                <w:rFonts w:ascii="Constantia" w:hAnsi="Constantia"/>
                <w:szCs w:val="22"/>
                <w:lang w:val="sr-Latn-CS"/>
              </w:rPr>
              <w:t>1014m</w:t>
            </w:r>
          </w:p>
          <w:p w:rsidR="004B071C" w:rsidRPr="005319D7" w:rsidRDefault="004B071C" w:rsidP="000A7800">
            <w:pPr>
              <w:spacing w:before="60" w:after="240"/>
              <w:jc w:val="center"/>
              <w:rPr>
                <w:rFonts w:ascii="Constantia" w:hAnsi="Constantia"/>
                <w:szCs w:val="22"/>
                <w:lang w:val="sr-Latn-CS"/>
              </w:rPr>
            </w:pPr>
            <w:r w:rsidRPr="005319D7">
              <w:rPr>
                <w:rFonts w:ascii="Constantia" w:hAnsi="Constantia"/>
                <w:szCs w:val="22"/>
                <w:lang w:val="sr-Latn-CS"/>
              </w:rPr>
              <w:t>1018m</w:t>
            </w:r>
          </w:p>
          <w:p w:rsidR="004B071C" w:rsidRPr="005319D7" w:rsidRDefault="004B071C" w:rsidP="000A7800">
            <w:pPr>
              <w:spacing w:before="60" w:after="240"/>
              <w:jc w:val="center"/>
              <w:rPr>
                <w:rFonts w:ascii="Constantia" w:hAnsi="Constantia"/>
                <w:szCs w:val="22"/>
                <w:lang w:val="sr-Latn-CS"/>
              </w:rPr>
            </w:pPr>
            <w:r w:rsidRPr="005319D7">
              <w:rPr>
                <w:rFonts w:ascii="Constantia" w:hAnsi="Constantia"/>
                <w:szCs w:val="22"/>
                <w:lang w:val="sr-Latn-CS"/>
              </w:rPr>
              <w:t>1008m</w:t>
            </w:r>
          </w:p>
          <w:p w:rsidR="004B071C" w:rsidRPr="005319D7" w:rsidRDefault="004B071C" w:rsidP="000A7800">
            <w:pPr>
              <w:spacing w:before="60" w:after="240"/>
              <w:jc w:val="center"/>
              <w:rPr>
                <w:rFonts w:ascii="Constantia" w:hAnsi="Constantia"/>
                <w:szCs w:val="22"/>
                <w:lang w:val="sr-Latn-CS"/>
              </w:rPr>
            </w:pPr>
          </w:p>
        </w:tc>
      </w:tr>
    </w:tbl>
    <w:p w:rsidR="004B071C" w:rsidRPr="000A7800" w:rsidRDefault="004B071C" w:rsidP="004B071C">
      <w:pPr>
        <w:pStyle w:val="Tabele"/>
        <w:spacing w:before="60" w:after="240"/>
        <w:ind w:left="714" w:hanging="357"/>
        <w:rPr>
          <w:rFonts w:ascii="Constantia" w:hAnsi="Constantia"/>
          <w:sz w:val="22"/>
          <w:szCs w:val="22"/>
        </w:rPr>
      </w:pPr>
      <w:r w:rsidRPr="000A7800">
        <w:rPr>
          <w:rFonts w:ascii="Constantia" w:hAnsi="Constantia"/>
          <w:sz w:val="22"/>
          <w:szCs w:val="22"/>
        </w:rPr>
        <w:t>Opšti podaci o istraživanim lokalitetima vodeni beskičmenjaci</w:t>
      </w:r>
    </w:p>
    <w:p w:rsidR="000A7800" w:rsidRDefault="000A7800" w:rsidP="00235AB7">
      <w:pPr>
        <w:pStyle w:val="Tabele"/>
        <w:numPr>
          <w:ilvl w:val="0"/>
          <w:numId w:val="0"/>
        </w:numPr>
        <w:spacing w:before="60" w:after="0"/>
        <w:ind w:left="714"/>
        <w:jc w:val="both"/>
      </w:pPr>
    </w:p>
    <w:p w:rsidR="005319D7" w:rsidRDefault="005319D7" w:rsidP="00235AB7">
      <w:pPr>
        <w:pStyle w:val="Tabele"/>
        <w:numPr>
          <w:ilvl w:val="0"/>
          <w:numId w:val="0"/>
        </w:numPr>
        <w:spacing w:before="60" w:after="0"/>
        <w:ind w:left="714"/>
        <w:jc w:val="both"/>
      </w:pPr>
    </w:p>
    <w:tbl>
      <w:tblPr>
        <w:tblpPr w:leftFromText="180" w:rightFromText="180" w:vertAnchor="text" w:tblpXSpec="center" w:tblpY="1"/>
        <w:tblOverlap w:val="never"/>
        <w:tblW w:w="9018" w:type="dxa"/>
        <w:jc w:val="center"/>
        <w:tblBorders>
          <w:top w:val="single" w:sz="8" w:space="0" w:color="DAEFC3"/>
          <w:left w:val="single" w:sz="8" w:space="0" w:color="DAEFC3"/>
          <w:bottom w:val="single" w:sz="8" w:space="0" w:color="DAEFC3"/>
          <w:right w:val="single" w:sz="8" w:space="0" w:color="DAEFC3"/>
          <w:insideH w:val="single" w:sz="8" w:space="0" w:color="DAEFC3"/>
          <w:insideV w:val="single" w:sz="8" w:space="0" w:color="DAEFC3"/>
        </w:tblBorders>
        <w:tblLook w:val="04A0" w:firstRow="1" w:lastRow="0" w:firstColumn="1" w:lastColumn="0" w:noHBand="0" w:noVBand="1"/>
      </w:tblPr>
      <w:tblGrid>
        <w:gridCol w:w="2718"/>
        <w:gridCol w:w="6300"/>
      </w:tblGrid>
      <w:tr w:rsidR="004B071C" w:rsidRPr="005319D7" w:rsidTr="00235AB7">
        <w:trPr>
          <w:trHeight w:val="429"/>
          <w:jc w:val="center"/>
        </w:trPr>
        <w:tc>
          <w:tcPr>
            <w:tcW w:w="2718" w:type="dxa"/>
            <w:shd w:val="clear" w:color="auto" w:fill="F2F9EB"/>
          </w:tcPr>
          <w:p w:rsidR="004B071C" w:rsidRPr="005319D7" w:rsidRDefault="004B071C" w:rsidP="00235AB7">
            <w:pPr>
              <w:spacing w:before="60" w:after="0"/>
              <w:jc w:val="center"/>
              <w:rPr>
                <w:rFonts w:ascii="Constantia" w:hAnsi="Constantia"/>
                <w:b/>
                <w:bCs/>
                <w:szCs w:val="22"/>
                <w:lang w:val="sr-Latn-CS"/>
              </w:rPr>
            </w:pPr>
            <w:r w:rsidRPr="005319D7">
              <w:rPr>
                <w:rFonts w:ascii="Constantia" w:hAnsi="Constantia"/>
                <w:b/>
                <w:bCs/>
                <w:szCs w:val="22"/>
                <w:lang w:val="sr-Latn-CS"/>
              </w:rPr>
              <w:t>Lokalitet</w:t>
            </w:r>
          </w:p>
        </w:tc>
        <w:tc>
          <w:tcPr>
            <w:tcW w:w="6300" w:type="dxa"/>
            <w:shd w:val="clear" w:color="auto" w:fill="F2F9EB"/>
          </w:tcPr>
          <w:p w:rsidR="004B071C" w:rsidRPr="005319D7" w:rsidRDefault="004B071C" w:rsidP="00235AB7">
            <w:pPr>
              <w:spacing w:after="0"/>
              <w:jc w:val="center"/>
              <w:rPr>
                <w:rFonts w:ascii="Constantia" w:hAnsi="Constantia"/>
                <w:b/>
                <w:bCs/>
                <w:szCs w:val="22"/>
                <w:lang w:val="sr-Latn-CS"/>
              </w:rPr>
            </w:pPr>
            <w:r w:rsidRPr="005319D7">
              <w:rPr>
                <w:rFonts w:ascii="Constantia" w:hAnsi="Constantia"/>
                <w:b/>
                <w:bCs/>
                <w:szCs w:val="22"/>
                <w:lang w:val="sr-Latn-CS"/>
              </w:rPr>
              <w:t>Utvrđeno stanje</w:t>
            </w:r>
          </w:p>
        </w:tc>
      </w:tr>
      <w:tr w:rsidR="004B071C" w:rsidRPr="005319D7" w:rsidTr="00235AB7">
        <w:trPr>
          <w:trHeight w:val="6098"/>
          <w:jc w:val="center"/>
        </w:trPr>
        <w:tc>
          <w:tcPr>
            <w:tcW w:w="2718" w:type="dxa"/>
            <w:shd w:val="clear" w:color="auto" w:fill="E6F4D7"/>
          </w:tcPr>
          <w:p w:rsidR="004B071C" w:rsidRPr="005319D7" w:rsidRDefault="004B071C" w:rsidP="00962FD5">
            <w:pPr>
              <w:spacing w:before="60" w:after="240"/>
              <w:jc w:val="left"/>
              <w:rPr>
                <w:rFonts w:ascii="Constantia" w:hAnsi="Constantia"/>
                <w:b/>
                <w:bCs/>
                <w:szCs w:val="22"/>
                <w:lang w:val="sr-Latn-CS"/>
              </w:rPr>
            </w:pPr>
            <w:r w:rsidRPr="005319D7">
              <w:rPr>
                <w:rFonts w:ascii="Constantia" w:hAnsi="Constantia"/>
                <w:b/>
                <w:bCs/>
                <w:szCs w:val="22"/>
                <w:lang w:val="sr-Latn-CS"/>
              </w:rPr>
              <w:t>Veliko i Malo Pošćensko jezero, Rijeka Komarnica</w:t>
            </w:r>
          </w:p>
        </w:tc>
        <w:tc>
          <w:tcPr>
            <w:tcW w:w="6300" w:type="dxa"/>
            <w:shd w:val="clear" w:color="auto" w:fill="E6F4D7"/>
          </w:tcPr>
          <w:p w:rsidR="004B071C" w:rsidRPr="005319D7" w:rsidRDefault="004B071C" w:rsidP="00235AB7">
            <w:pPr>
              <w:spacing w:before="60" w:after="0"/>
              <w:rPr>
                <w:rFonts w:ascii="Constantia" w:hAnsi="Constantia"/>
                <w:i/>
                <w:szCs w:val="22"/>
                <w:lang w:val="sr-Latn-CS"/>
              </w:rPr>
            </w:pPr>
            <w:r w:rsidRPr="005319D7">
              <w:rPr>
                <w:rFonts w:ascii="Constantia" w:hAnsi="Constantia"/>
                <w:i/>
                <w:szCs w:val="22"/>
                <w:lang w:val="sr-Latn-CS"/>
              </w:rPr>
              <w:t>Cladocera: Daphnia cucullata, Daphnia longispina, Bosmina Longirostris, Ceriodaphnia sp., Sida crystalina , Macrothrix laticornis, Alona costata, Chydorus sphericus, Alonella nana, Acroperus harpe</w:t>
            </w:r>
          </w:p>
          <w:p w:rsidR="004B071C" w:rsidRPr="005319D7" w:rsidRDefault="004B071C" w:rsidP="00235AB7">
            <w:pPr>
              <w:spacing w:before="60" w:after="0"/>
              <w:rPr>
                <w:rFonts w:ascii="Constantia" w:hAnsi="Constantia"/>
                <w:i/>
                <w:szCs w:val="22"/>
                <w:lang w:val="sr-Latn-CS"/>
              </w:rPr>
            </w:pPr>
            <w:r w:rsidRPr="005319D7">
              <w:rPr>
                <w:rFonts w:ascii="Constantia" w:hAnsi="Constantia"/>
                <w:i/>
                <w:szCs w:val="22"/>
                <w:lang w:val="sr-Latn-CS"/>
              </w:rPr>
              <w:t>Copepoda: Mesocyclops sp.,</w:t>
            </w:r>
            <w:r w:rsidR="00235AB7" w:rsidRPr="005319D7">
              <w:rPr>
                <w:rFonts w:ascii="Constantia" w:hAnsi="Constantia"/>
                <w:i/>
                <w:szCs w:val="22"/>
                <w:lang w:val="sr-Latn-CS"/>
              </w:rPr>
              <w:t xml:space="preserve"> </w:t>
            </w:r>
            <w:r w:rsidRPr="005319D7">
              <w:rPr>
                <w:rFonts w:ascii="Constantia" w:hAnsi="Constantia"/>
                <w:i/>
                <w:szCs w:val="22"/>
                <w:lang w:val="sr-Latn-CS"/>
              </w:rPr>
              <w:t>Eudiaptomus sp.</w:t>
            </w:r>
          </w:p>
          <w:p w:rsidR="004B071C" w:rsidRPr="005319D7" w:rsidRDefault="004B071C" w:rsidP="00235AB7">
            <w:pPr>
              <w:spacing w:before="60" w:after="0"/>
              <w:rPr>
                <w:rFonts w:ascii="Constantia" w:hAnsi="Constantia"/>
                <w:i/>
                <w:szCs w:val="22"/>
                <w:lang w:val="sr-Latn-CS"/>
              </w:rPr>
            </w:pPr>
            <w:r w:rsidRPr="005319D7">
              <w:rPr>
                <w:rFonts w:ascii="Constantia" w:hAnsi="Constantia"/>
                <w:i/>
                <w:szCs w:val="22"/>
                <w:lang w:val="sr-Latn-CS"/>
              </w:rPr>
              <w:t>Odonata: Libellula depressa, Libellula quadrimaculata, Coenagrion puella, Calopteryx virgo, Platycnemis pennipes, Orthetrum brunneum, Sympetrum fonscolombii i Sympetrum striolatum</w:t>
            </w:r>
          </w:p>
          <w:p w:rsidR="004B071C" w:rsidRPr="005319D7" w:rsidRDefault="004B071C" w:rsidP="00235AB7">
            <w:pPr>
              <w:spacing w:before="60" w:after="0"/>
              <w:rPr>
                <w:rFonts w:ascii="Constantia" w:hAnsi="Constantia"/>
                <w:i/>
                <w:szCs w:val="22"/>
                <w:lang w:val="sr-Latn-CS"/>
              </w:rPr>
            </w:pPr>
            <w:r w:rsidRPr="005319D7">
              <w:rPr>
                <w:rFonts w:ascii="Constantia" w:hAnsi="Constantia"/>
                <w:i/>
                <w:szCs w:val="22"/>
                <w:lang w:val="sr-Latn-CS"/>
              </w:rPr>
              <w:t>Epheromeroptera: Rhitrogena sp.</w:t>
            </w:r>
          </w:p>
          <w:p w:rsidR="004B071C" w:rsidRPr="005319D7" w:rsidRDefault="004B071C" w:rsidP="00235AB7">
            <w:pPr>
              <w:spacing w:before="60" w:after="0"/>
              <w:rPr>
                <w:rFonts w:ascii="Constantia" w:hAnsi="Constantia"/>
                <w:i/>
                <w:szCs w:val="22"/>
                <w:lang w:val="sr-Latn-CS"/>
              </w:rPr>
            </w:pPr>
            <w:r w:rsidRPr="005319D7">
              <w:rPr>
                <w:rFonts w:ascii="Constantia" w:hAnsi="Constantia"/>
                <w:i/>
                <w:szCs w:val="22"/>
                <w:lang w:val="sr-Latn-CS"/>
              </w:rPr>
              <w:t>Trichoptera: Hydropsyche sp.</w:t>
            </w:r>
          </w:p>
          <w:p w:rsidR="004B071C" w:rsidRPr="005319D7" w:rsidRDefault="004B071C" w:rsidP="00235AB7">
            <w:pPr>
              <w:spacing w:before="60" w:after="0"/>
              <w:rPr>
                <w:rFonts w:ascii="Constantia" w:hAnsi="Constantia"/>
                <w:i/>
                <w:szCs w:val="22"/>
                <w:lang w:val="sr-Latn-CS"/>
              </w:rPr>
            </w:pPr>
            <w:r w:rsidRPr="005319D7">
              <w:rPr>
                <w:rFonts w:ascii="Constantia" w:hAnsi="Constantia"/>
                <w:i/>
                <w:szCs w:val="22"/>
                <w:lang w:val="sr-Latn-CS"/>
              </w:rPr>
              <w:t>Plecoptera: Isoperla sp., Nemoura sp.</w:t>
            </w:r>
          </w:p>
          <w:p w:rsidR="004B071C" w:rsidRPr="005319D7" w:rsidRDefault="004B071C" w:rsidP="005319D7">
            <w:pPr>
              <w:spacing w:before="60"/>
              <w:rPr>
                <w:rFonts w:ascii="Constantia" w:hAnsi="Constantia"/>
                <w:szCs w:val="22"/>
                <w:lang w:val="sr-Latn-CS"/>
              </w:rPr>
            </w:pPr>
            <w:r w:rsidRPr="005319D7">
              <w:rPr>
                <w:rFonts w:ascii="Constantia" w:hAnsi="Constantia"/>
                <w:szCs w:val="22"/>
                <w:lang w:val="sr-Latn-CS"/>
              </w:rPr>
              <w:t>U fauni jezera u planktonu dominiraju dvije vrste</w:t>
            </w:r>
            <w:r w:rsidR="00235AB7" w:rsidRPr="005319D7">
              <w:rPr>
                <w:rFonts w:ascii="Constantia" w:hAnsi="Constantia"/>
                <w:szCs w:val="22"/>
                <w:lang w:val="sr-Latn-CS"/>
              </w:rPr>
              <w:t>:</w:t>
            </w:r>
            <w:r w:rsidRPr="005319D7">
              <w:rPr>
                <w:rFonts w:ascii="Constantia" w:hAnsi="Constantia"/>
                <w:szCs w:val="22"/>
                <w:lang w:val="sr-Latn-CS"/>
              </w:rPr>
              <w:t xml:space="preserve"> </w:t>
            </w:r>
            <w:r w:rsidRPr="005319D7">
              <w:rPr>
                <w:rFonts w:ascii="Constantia" w:hAnsi="Constantia"/>
                <w:i/>
                <w:szCs w:val="22"/>
                <w:lang w:val="sr-Latn-CS"/>
              </w:rPr>
              <w:t>Daphnia cucullata</w:t>
            </w:r>
            <w:r w:rsidRPr="005319D7">
              <w:rPr>
                <w:rFonts w:ascii="Constantia" w:hAnsi="Constantia"/>
                <w:szCs w:val="22"/>
                <w:lang w:val="sr-Latn-CS"/>
              </w:rPr>
              <w:t xml:space="preserve"> i </w:t>
            </w:r>
            <w:r w:rsidRPr="005319D7">
              <w:rPr>
                <w:rFonts w:ascii="Constantia" w:hAnsi="Constantia"/>
                <w:i/>
                <w:szCs w:val="22"/>
                <w:lang w:val="sr-Latn-CS"/>
              </w:rPr>
              <w:t>Bosmina longirostris</w:t>
            </w:r>
            <w:r w:rsidRPr="005319D7">
              <w:rPr>
                <w:rFonts w:ascii="Constantia" w:hAnsi="Constantia"/>
                <w:szCs w:val="22"/>
                <w:lang w:val="sr-Latn-CS"/>
              </w:rPr>
              <w:t xml:space="preserve">, a u planktonu još su zabilježene </w:t>
            </w:r>
            <w:r w:rsidRPr="005319D7">
              <w:rPr>
                <w:rFonts w:ascii="Constantia" w:hAnsi="Constantia"/>
                <w:i/>
                <w:szCs w:val="22"/>
                <w:lang w:val="sr-Latn-CS"/>
              </w:rPr>
              <w:t>Daphnia longispina, Ce</w:t>
            </w:r>
            <w:r w:rsidR="00235AB7" w:rsidRPr="005319D7">
              <w:rPr>
                <w:rFonts w:ascii="Constantia" w:hAnsi="Constantia"/>
                <w:i/>
                <w:szCs w:val="22"/>
                <w:lang w:val="sr-Latn-CS"/>
              </w:rPr>
              <w:t>riodaphnia sp., Sida crystalina</w:t>
            </w:r>
            <w:r w:rsidRPr="005319D7">
              <w:rPr>
                <w:rFonts w:ascii="Constantia" w:hAnsi="Constantia"/>
                <w:i/>
                <w:szCs w:val="22"/>
                <w:lang w:val="sr-Latn-CS"/>
              </w:rPr>
              <w:t xml:space="preserve">, Macrothrix laticornis, Alonella nana, </w:t>
            </w:r>
            <w:r w:rsidRPr="005319D7">
              <w:rPr>
                <w:rFonts w:ascii="Constantia" w:hAnsi="Constantia"/>
                <w:szCs w:val="22"/>
                <w:lang w:val="sr-Latn-CS"/>
              </w:rPr>
              <w:t>od</w:t>
            </w:r>
            <w:r w:rsidR="00235AB7" w:rsidRPr="005319D7">
              <w:rPr>
                <w:rFonts w:ascii="Constantia" w:hAnsi="Constantia"/>
                <w:i/>
                <w:szCs w:val="22"/>
                <w:lang w:val="sr-Latn-CS"/>
              </w:rPr>
              <w:t xml:space="preserve"> Copepoda: Mesocyclops sp. </w:t>
            </w:r>
            <w:r w:rsidR="00235AB7" w:rsidRPr="005319D7">
              <w:rPr>
                <w:rFonts w:ascii="Constantia" w:hAnsi="Constantia"/>
                <w:szCs w:val="22"/>
                <w:lang w:val="sr-Latn-CS"/>
              </w:rPr>
              <w:t>i</w:t>
            </w:r>
            <w:r w:rsidR="00235AB7" w:rsidRPr="005319D7">
              <w:rPr>
                <w:rFonts w:ascii="Constantia" w:hAnsi="Constantia"/>
                <w:i/>
                <w:szCs w:val="22"/>
                <w:lang w:val="sr-Latn-CS"/>
              </w:rPr>
              <w:t xml:space="preserve"> </w:t>
            </w:r>
            <w:r w:rsidRPr="005319D7">
              <w:rPr>
                <w:rFonts w:ascii="Constantia" w:hAnsi="Constantia"/>
                <w:i/>
                <w:szCs w:val="22"/>
                <w:lang w:val="sr-Latn-CS"/>
              </w:rPr>
              <w:t>Eudiaptomus sp..</w:t>
            </w:r>
            <w:r w:rsidRPr="005319D7">
              <w:rPr>
                <w:rFonts w:ascii="Constantia" w:hAnsi="Constantia"/>
                <w:szCs w:val="22"/>
                <w:lang w:val="sr-Latn-CS"/>
              </w:rPr>
              <w:t xml:space="preserve"> U litorarlu jezera je zabilježena veća raznovrsnost </w:t>
            </w:r>
            <w:r w:rsidRPr="005319D7">
              <w:rPr>
                <w:rFonts w:ascii="Constantia" w:hAnsi="Constantia"/>
                <w:i/>
                <w:szCs w:val="22"/>
                <w:lang w:val="sr-Latn-CS"/>
              </w:rPr>
              <w:t>Cladocera</w:t>
            </w:r>
            <w:r w:rsidRPr="005319D7">
              <w:rPr>
                <w:rFonts w:ascii="Constantia" w:hAnsi="Constantia"/>
                <w:szCs w:val="22"/>
                <w:lang w:val="sr-Latn-CS"/>
              </w:rPr>
              <w:t xml:space="preserve">, javljaju se i larve insekata </w:t>
            </w:r>
            <w:r w:rsidRPr="005319D7">
              <w:rPr>
                <w:rFonts w:ascii="Constantia" w:hAnsi="Constantia"/>
                <w:i/>
                <w:szCs w:val="22"/>
                <w:lang w:val="sr-Latn-CS"/>
              </w:rPr>
              <w:t>Ephmeroptera</w:t>
            </w:r>
            <w:r w:rsidRPr="005319D7">
              <w:rPr>
                <w:rFonts w:ascii="Constantia" w:hAnsi="Constantia"/>
                <w:szCs w:val="22"/>
                <w:lang w:val="sr-Latn-CS"/>
              </w:rPr>
              <w:t xml:space="preserve"> i </w:t>
            </w:r>
            <w:r w:rsidRPr="005319D7">
              <w:rPr>
                <w:rFonts w:ascii="Constantia" w:hAnsi="Constantia"/>
                <w:i/>
                <w:szCs w:val="22"/>
                <w:lang w:val="sr-Latn-CS"/>
              </w:rPr>
              <w:t>Odonata</w:t>
            </w:r>
            <w:r w:rsidRPr="005319D7">
              <w:rPr>
                <w:rFonts w:ascii="Constantia" w:hAnsi="Constantia"/>
                <w:szCs w:val="22"/>
                <w:lang w:val="sr-Latn-CS"/>
              </w:rPr>
              <w:t xml:space="preserve">. U rijeci Komarnici u zajednici dominira fauna </w:t>
            </w:r>
            <w:r w:rsidRPr="005319D7">
              <w:rPr>
                <w:rFonts w:ascii="Constantia" w:hAnsi="Constantia"/>
                <w:i/>
                <w:szCs w:val="22"/>
                <w:lang w:val="sr-Latn-CS"/>
              </w:rPr>
              <w:t>Plecoptera</w:t>
            </w:r>
            <w:r w:rsidRPr="005319D7">
              <w:rPr>
                <w:rFonts w:ascii="Constantia" w:hAnsi="Constantia"/>
                <w:szCs w:val="22"/>
                <w:lang w:val="sr-Latn-CS"/>
              </w:rPr>
              <w:t xml:space="preserve">, koja je vrlo brojna. Takođe su zabilježene i larve insekata </w:t>
            </w:r>
            <w:r w:rsidRPr="005319D7">
              <w:rPr>
                <w:rFonts w:ascii="Constantia" w:hAnsi="Constantia"/>
                <w:i/>
                <w:szCs w:val="22"/>
                <w:lang w:val="sr-Latn-CS"/>
              </w:rPr>
              <w:t>Ephemeroptera, Trichoptera, Odonata</w:t>
            </w:r>
            <w:r w:rsidRPr="005319D7">
              <w:rPr>
                <w:rFonts w:ascii="Constantia" w:hAnsi="Constantia"/>
                <w:szCs w:val="22"/>
                <w:lang w:val="sr-Latn-CS"/>
              </w:rPr>
              <w:t xml:space="preserve"> i </w:t>
            </w:r>
            <w:r w:rsidRPr="005319D7">
              <w:rPr>
                <w:rFonts w:ascii="Constantia" w:hAnsi="Constantia"/>
                <w:i/>
                <w:szCs w:val="22"/>
                <w:lang w:val="sr-Latn-CS"/>
              </w:rPr>
              <w:t>Chydorus sphericus</w:t>
            </w:r>
            <w:r w:rsidRPr="005319D7">
              <w:rPr>
                <w:rFonts w:ascii="Constantia" w:hAnsi="Constantia"/>
                <w:szCs w:val="22"/>
                <w:lang w:val="sr-Latn-CS"/>
              </w:rPr>
              <w:t xml:space="preserve">. Od adultnih formi </w:t>
            </w:r>
            <w:r w:rsidRPr="005319D7">
              <w:rPr>
                <w:rFonts w:ascii="Constantia" w:hAnsi="Constantia"/>
                <w:i/>
                <w:szCs w:val="22"/>
                <w:lang w:val="sr-Latn-CS"/>
              </w:rPr>
              <w:t>Odonata</w:t>
            </w:r>
            <w:r w:rsidRPr="005319D7">
              <w:rPr>
                <w:rFonts w:ascii="Constantia" w:hAnsi="Constantia"/>
                <w:szCs w:val="22"/>
                <w:lang w:val="sr-Latn-CS"/>
              </w:rPr>
              <w:t xml:space="preserve"> na obalama jezera dominirale su vrste </w:t>
            </w:r>
            <w:r w:rsidRPr="005319D7">
              <w:rPr>
                <w:rFonts w:ascii="Constantia" w:hAnsi="Constantia"/>
                <w:i/>
                <w:szCs w:val="22"/>
                <w:lang w:val="sr-Latn-CS"/>
              </w:rPr>
              <w:t>Libellula depressa</w:t>
            </w:r>
            <w:r w:rsidRPr="005319D7">
              <w:rPr>
                <w:rFonts w:ascii="Constantia" w:hAnsi="Constantia"/>
                <w:szCs w:val="22"/>
                <w:lang w:val="sr-Latn-CS"/>
              </w:rPr>
              <w:t xml:space="preserve"> i </w:t>
            </w:r>
            <w:r w:rsidRPr="005319D7">
              <w:rPr>
                <w:rFonts w:ascii="Constantia" w:hAnsi="Constantia"/>
                <w:i/>
                <w:szCs w:val="22"/>
                <w:lang w:val="sr-Latn-CS"/>
              </w:rPr>
              <w:t>Coenagrion puella</w:t>
            </w:r>
            <w:r w:rsidRPr="005319D7">
              <w:rPr>
                <w:rFonts w:ascii="Constantia" w:hAnsi="Constantia"/>
                <w:szCs w:val="22"/>
                <w:lang w:val="sr-Latn-CS"/>
              </w:rPr>
              <w:t xml:space="preserve">, dok su se ostale vrste javljale u primjercima 1-3. Na rijeci Komarnici zabilježeni su 1-3 primjerka </w:t>
            </w:r>
            <w:r w:rsidRPr="005319D7">
              <w:rPr>
                <w:rFonts w:ascii="Constantia" w:hAnsi="Constantia"/>
                <w:i/>
                <w:szCs w:val="22"/>
                <w:lang w:val="sr-Latn-CS"/>
              </w:rPr>
              <w:t xml:space="preserve">Calopteryx virgo, Sympetrum fonscolombii </w:t>
            </w:r>
            <w:r w:rsidRPr="005319D7">
              <w:rPr>
                <w:rFonts w:ascii="Constantia" w:hAnsi="Constantia"/>
                <w:szCs w:val="22"/>
                <w:lang w:val="sr-Latn-CS"/>
              </w:rPr>
              <w:t>i</w:t>
            </w:r>
            <w:r w:rsidRPr="005319D7">
              <w:rPr>
                <w:rFonts w:ascii="Constantia" w:hAnsi="Constantia"/>
                <w:i/>
                <w:szCs w:val="22"/>
                <w:lang w:val="sr-Latn-CS"/>
              </w:rPr>
              <w:t xml:space="preserve"> Orthetrum brunneum</w:t>
            </w:r>
            <w:r w:rsidRPr="005319D7">
              <w:rPr>
                <w:rFonts w:ascii="Constantia" w:hAnsi="Constantia"/>
                <w:szCs w:val="22"/>
                <w:lang w:val="sr-Latn-CS"/>
              </w:rPr>
              <w:t>.</w:t>
            </w:r>
          </w:p>
        </w:tc>
      </w:tr>
    </w:tbl>
    <w:p w:rsidR="004B071C" w:rsidRPr="00235AB7" w:rsidRDefault="004B071C" w:rsidP="004B071C">
      <w:pPr>
        <w:pStyle w:val="Tabele"/>
        <w:spacing w:before="60" w:after="240"/>
        <w:ind w:left="714" w:hanging="357"/>
        <w:rPr>
          <w:rFonts w:ascii="Constantia" w:hAnsi="Constantia"/>
          <w:sz w:val="22"/>
          <w:szCs w:val="22"/>
        </w:rPr>
      </w:pPr>
      <w:r w:rsidRPr="00235AB7">
        <w:rPr>
          <w:rFonts w:ascii="Constantia" w:hAnsi="Constantia"/>
          <w:sz w:val="22"/>
          <w:szCs w:val="22"/>
        </w:rPr>
        <w:t>Vodeni beskičmenjaci</w:t>
      </w:r>
    </w:p>
    <w:p w:rsidR="004B071C" w:rsidRDefault="004B071C" w:rsidP="00235AB7">
      <w:pPr>
        <w:spacing w:before="60" w:after="0"/>
        <w:rPr>
          <w:szCs w:val="22"/>
          <w:lang w:val="sr-Latn-CS"/>
        </w:rPr>
      </w:pPr>
    </w:p>
    <w:p w:rsidR="004B071C" w:rsidRDefault="004B071C" w:rsidP="00235AB7">
      <w:pPr>
        <w:pStyle w:val="Heading4"/>
        <w:spacing w:after="240"/>
        <w:rPr>
          <w:sz w:val="22"/>
          <w:szCs w:val="22"/>
          <w:lang w:val="sr-Latn-CS"/>
        </w:rPr>
      </w:pPr>
      <w:r>
        <w:rPr>
          <w:sz w:val="22"/>
          <w:szCs w:val="22"/>
          <w:lang w:val="sr-Latn-CS"/>
        </w:rPr>
        <w:lastRenderedPageBreak/>
        <w:t>Herpetofauna</w:t>
      </w:r>
    </w:p>
    <w:tbl>
      <w:tblPr>
        <w:tblW w:w="9090" w:type="dxa"/>
        <w:tblInd w:w="108"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firstRow="1" w:lastRow="0" w:firstColumn="1" w:lastColumn="0" w:noHBand="0" w:noVBand="1"/>
      </w:tblPr>
      <w:tblGrid>
        <w:gridCol w:w="2070"/>
        <w:gridCol w:w="3063"/>
        <w:gridCol w:w="2154"/>
        <w:gridCol w:w="1803"/>
      </w:tblGrid>
      <w:tr w:rsidR="004B071C" w:rsidRPr="00990B04" w:rsidTr="00990B04">
        <w:tc>
          <w:tcPr>
            <w:tcW w:w="2070" w:type="dxa"/>
            <w:shd w:val="clear" w:color="auto" w:fill="E6EED5"/>
          </w:tcPr>
          <w:p w:rsidR="004B071C" w:rsidRPr="00990B04" w:rsidRDefault="004B071C" w:rsidP="00303DA3">
            <w:pPr>
              <w:spacing w:after="0"/>
              <w:jc w:val="center"/>
              <w:rPr>
                <w:rFonts w:ascii="Constantia" w:hAnsi="Constantia"/>
                <w:b/>
                <w:bCs/>
                <w:szCs w:val="22"/>
              </w:rPr>
            </w:pPr>
            <w:r w:rsidRPr="00990B04">
              <w:rPr>
                <w:rFonts w:ascii="Constantia" w:hAnsi="Constantia"/>
                <w:b/>
                <w:bCs/>
                <w:szCs w:val="22"/>
              </w:rPr>
              <w:t>Lokalitet</w:t>
            </w:r>
          </w:p>
        </w:tc>
        <w:tc>
          <w:tcPr>
            <w:tcW w:w="3063" w:type="dxa"/>
            <w:shd w:val="clear" w:color="auto" w:fill="E6EED5"/>
          </w:tcPr>
          <w:p w:rsidR="004B071C" w:rsidRPr="00990B04" w:rsidRDefault="004B071C" w:rsidP="00303DA3">
            <w:pPr>
              <w:spacing w:after="0"/>
              <w:jc w:val="center"/>
              <w:rPr>
                <w:rFonts w:ascii="Constantia" w:hAnsi="Constantia"/>
                <w:b/>
                <w:bCs/>
                <w:szCs w:val="22"/>
              </w:rPr>
            </w:pPr>
            <w:r w:rsidRPr="00990B04">
              <w:rPr>
                <w:rFonts w:ascii="Constantia" w:hAnsi="Constantia"/>
                <w:b/>
                <w:bCs/>
                <w:szCs w:val="22"/>
              </w:rPr>
              <w:t>Koordinate</w:t>
            </w:r>
          </w:p>
        </w:tc>
        <w:tc>
          <w:tcPr>
            <w:tcW w:w="2154" w:type="dxa"/>
            <w:shd w:val="clear" w:color="auto" w:fill="E6EED5"/>
          </w:tcPr>
          <w:p w:rsidR="004B071C" w:rsidRPr="00990B04" w:rsidRDefault="004B071C" w:rsidP="00303DA3">
            <w:pPr>
              <w:spacing w:after="0" w:line="280" w:lineRule="exact"/>
              <w:jc w:val="center"/>
              <w:outlineLvl w:val="3"/>
              <w:rPr>
                <w:rFonts w:ascii="Constantia" w:hAnsi="Constantia"/>
                <w:b/>
                <w:bCs/>
                <w:szCs w:val="22"/>
              </w:rPr>
            </w:pPr>
            <w:r w:rsidRPr="00990B04">
              <w:rPr>
                <w:rFonts w:ascii="Constantia" w:hAnsi="Constantia"/>
                <w:b/>
                <w:bCs/>
                <w:szCs w:val="22"/>
              </w:rPr>
              <w:t>Datum terenskih istraživanja</w:t>
            </w:r>
          </w:p>
        </w:tc>
        <w:tc>
          <w:tcPr>
            <w:tcW w:w="1803" w:type="dxa"/>
            <w:shd w:val="clear" w:color="auto" w:fill="E6EED5"/>
          </w:tcPr>
          <w:p w:rsidR="004B071C" w:rsidRPr="00990B04" w:rsidRDefault="004B071C" w:rsidP="00303DA3">
            <w:pPr>
              <w:spacing w:after="0"/>
              <w:jc w:val="center"/>
              <w:rPr>
                <w:rFonts w:ascii="Constantia" w:hAnsi="Constantia"/>
                <w:b/>
                <w:szCs w:val="22"/>
              </w:rPr>
            </w:pPr>
            <w:r w:rsidRPr="00990B04">
              <w:rPr>
                <w:rFonts w:ascii="Constantia" w:hAnsi="Constantia"/>
                <w:b/>
                <w:szCs w:val="22"/>
              </w:rPr>
              <w:t>Nadmorska visina</w:t>
            </w:r>
          </w:p>
        </w:tc>
      </w:tr>
      <w:tr w:rsidR="004B071C" w:rsidRPr="00990B04" w:rsidTr="00990B04">
        <w:tc>
          <w:tcPr>
            <w:tcW w:w="2070" w:type="dxa"/>
            <w:shd w:val="clear" w:color="auto" w:fill="CDDDAC"/>
          </w:tcPr>
          <w:p w:rsidR="004B071C" w:rsidRPr="00990B04" w:rsidRDefault="004B071C" w:rsidP="00990B04">
            <w:pPr>
              <w:spacing w:after="0"/>
              <w:jc w:val="left"/>
              <w:rPr>
                <w:rFonts w:ascii="Constantia" w:hAnsi="Constantia"/>
                <w:b/>
                <w:bCs/>
                <w:szCs w:val="22"/>
              </w:rPr>
            </w:pPr>
            <w:r w:rsidRPr="00990B04">
              <w:rPr>
                <w:rFonts w:ascii="Constantia" w:hAnsi="Constantia"/>
                <w:b/>
                <w:bCs/>
                <w:szCs w:val="22"/>
              </w:rPr>
              <w:t>Komarnica (Nedajno)</w:t>
            </w:r>
          </w:p>
        </w:tc>
        <w:tc>
          <w:tcPr>
            <w:tcW w:w="3063" w:type="dxa"/>
            <w:shd w:val="clear" w:color="auto" w:fill="CDDDAC"/>
          </w:tcPr>
          <w:p w:rsidR="004B071C" w:rsidRPr="00990B04" w:rsidRDefault="004B071C" w:rsidP="00303DA3">
            <w:pPr>
              <w:spacing w:after="0"/>
              <w:jc w:val="center"/>
              <w:rPr>
                <w:rFonts w:ascii="Constantia" w:hAnsi="Constantia" w:cs="Arial"/>
                <w:bCs/>
                <w:szCs w:val="22"/>
              </w:rPr>
            </w:pPr>
            <w:r w:rsidRPr="00990B04">
              <w:rPr>
                <w:rFonts w:ascii="Constantia" w:hAnsi="Constantia"/>
                <w:bCs/>
                <w:szCs w:val="22"/>
              </w:rPr>
              <w:t>42</w:t>
            </w:r>
            <w:r w:rsidRPr="00990B04">
              <w:rPr>
                <w:rFonts w:ascii="Constantia" w:hAnsi="Constantia" w:cs="Cambria Math"/>
                <w:bCs/>
                <w:szCs w:val="22"/>
              </w:rPr>
              <w:t>⁰</w:t>
            </w:r>
            <w:r w:rsidRPr="00990B04">
              <w:rPr>
                <w:rFonts w:ascii="Constantia" w:hAnsi="Constantia"/>
                <w:bCs/>
                <w:szCs w:val="22"/>
              </w:rPr>
              <w:t xml:space="preserve"> 59.245</w:t>
            </w:r>
            <w:r w:rsidRPr="00990B04">
              <w:rPr>
                <w:rFonts w:ascii="Constantia" w:hAnsi="Constantia" w:cs="Arial"/>
                <w:bCs/>
                <w:szCs w:val="22"/>
              </w:rPr>
              <w:t>’</w:t>
            </w:r>
          </w:p>
          <w:p w:rsidR="004B071C" w:rsidRPr="00990B04" w:rsidRDefault="004B071C" w:rsidP="00303DA3">
            <w:pPr>
              <w:spacing w:after="0"/>
              <w:jc w:val="center"/>
              <w:rPr>
                <w:rFonts w:ascii="Constantia" w:hAnsi="Constantia"/>
                <w:bCs/>
                <w:szCs w:val="22"/>
              </w:rPr>
            </w:pPr>
            <w:r w:rsidRPr="00990B04">
              <w:rPr>
                <w:rFonts w:ascii="Constantia" w:hAnsi="Constantia"/>
                <w:bCs/>
                <w:szCs w:val="22"/>
              </w:rPr>
              <w:t>19</w:t>
            </w:r>
            <w:r w:rsidRPr="00990B04">
              <w:rPr>
                <w:rFonts w:ascii="Constantia" w:hAnsi="Constantia" w:cs="Cambria Math"/>
                <w:bCs/>
                <w:szCs w:val="22"/>
              </w:rPr>
              <w:t>⁰</w:t>
            </w:r>
            <w:r w:rsidRPr="00990B04">
              <w:rPr>
                <w:rFonts w:ascii="Constantia" w:hAnsi="Constantia"/>
                <w:bCs/>
                <w:szCs w:val="22"/>
              </w:rPr>
              <w:t xml:space="preserve"> 03.973</w:t>
            </w:r>
            <w:r w:rsidRPr="00990B04">
              <w:rPr>
                <w:rFonts w:ascii="Constantia" w:hAnsi="Constantia" w:cs="Arial"/>
                <w:bCs/>
                <w:szCs w:val="22"/>
              </w:rPr>
              <w:t>’</w:t>
            </w:r>
          </w:p>
          <w:p w:rsidR="004B071C" w:rsidRPr="00990B04" w:rsidRDefault="004B071C" w:rsidP="00303DA3">
            <w:pPr>
              <w:spacing w:after="0"/>
              <w:jc w:val="center"/>
              <w:rPr>
                <w:rFonts w:ascii="Constantia" w:hAnsi="Constantia"/>
                <w:bCs/>
                <w:szCs w:val="22"/>
              </w:rPr>
            </w:pPr>
          </w:p>
        </w:tc>
        <w:tc>
          <w:tcPr>
            <w:tcW w:w="2154" w:type="dxa"/>
            <w:shd w:val="clear" w:color="auto" w:fill="CDDDAC"/>
          </w:tcPr>
          <w:p w:rsidR="004B071C" w:rsidRPr="00990B04" w:rsidRDefault="004B071C" w:rsidP="00303DA3">
            <w:pPr>
              <w:spacing w:after="0"/>
              <w:jc w:val="center"/>
              <w:rPr>
                <w:rFonts w:ascii="Constantia" w:hAnsi="Constantia"/>
                <w:color w:val="000000"/>
                <w:szCs w:val="22"/>
              </w:rPr>
            </w:pPr>
            <w:r w:rsidRPr="00990B04">
              <w:rPr>
                <w:rFonts w:ascii="Constantia" w:hAnsi="Constantia"/>
                <w:color w:val="000000"/>
                <w:szCs w:val="22"/>
              </w:rPr>
              <w:t>17.06.2013.</w:t>
            </w:r>
          </w:p>
          <w:p w:rsidR="004B071C" w:rsidRPr="00990B04" w:rsidRDefault="004B071C" w:rsidP="00303DA3">
            <w:pPr>
              <w:spacing w:after="0"/>
              <w:jc w:val="center"/>
              <w:rPr>
                <w:rFonts w:ascii="Constantia" w:hAnsi="Constantia"/>
                <w:color w:val="000000"/>
                <w:szCs w:val="22"/>
              </w:rPr>
            </w:pPr>
            <w:r w:rsidRPr="00990B04">
              <w:rPr>
                <w:rFonts w:ascii="Constantia" w:hAnsi="Constantia"/>
                <w:color w:val="000000"/>
                <w:szCs w:val="22"/>
              </w:rPr>
              <w:t>19.09.2013.</w:t>
            </w:r>
          </w:p>
          <w:p w:rsidR="004B071C" w:rsidRPr="00990B04" w:rsidRDefault="004B071C" w:rsidP="00303DA3">
            <w:pPr>
              <w:spacing w:after="0"/>
              <w:jc w:val="center"/>
              <w:rPr>
                <w:rFonts w:ascii="Constantia" w:hAnsi="Constantia"/>
                <w:color w:val="000000"/>
                <w:szCs w:val="22"/>
              </w:rPr>
            </w:pPr>
            <w:r w:rsidRPr="00990B04">
              <w:rPr>
                <w:rFonts w:ascii="Constantia" w:hAnsi="Constantia"/>
                <w:color w:val="000000"/>
                <w:szCs w:val="22"/>
              </w:rPr>
              <w:t>20.11.2013.</w:t>
            </w:r>
          </w:p>
          <w:p w:rsidR="004B071C" w:rsidRPr="00990B04" w:rsidRDefault="004B071C" w:rsidP="00303DA3">
            <w:pPr>
              <w:spacing w:after="0"/>
              <w:jc w:val="center"/>
              <w:rPr>
                <w:rFonts w:ascii="Constantia" w:hAnsi="Constantia"/>
                <w:color w:val="000000"/>
                <w:szCs w:val="22"/>
              </w:rPr>
            </w:pPr>
            <w:r w:rsidRPr="00990B04">
              <w:rPr>
                <w:rFonts w:ascii="Constantia" w:hAnsi="Constantia"/>
                <w:color w:val="000000"/>
                <w:szCs w:val="22"/>
              </w:rPr>
              <w:t>20.12.2013.</w:t>
            </w:r>
          </w:p>
        </w:tc>
        <w:tc>
          <w:tcPr>
            <w:tcW w:w="1803" w:type="dxa"/>
            <w:shd w:val="clear" w:color="auto" w:fill="CDDDAC"/>
          </w:tcPr>
          <w:p w:rsidR="004B071C" w:rsidRPr="00990B04" w:rsidRDefault="004B071C" w:rsidP="00303DA3">
            <w:pPr>
              <w:spacing w:after="0"/>
              <w:jc w:val="center"/>
              <w:rPr>
                <w:rFonts w:ascii="Constantia" w:hAnsi="Constantia"/>
                <w:szCs w:val="22"/>
              </w:rPr>
            </w:pPr>
            <w:r w:rsidRPr="00990B04">
              <w:rPr>
                <w:rFonts w:ascii="Constantia" w:hAnsi="Constantia"/>
                <w:szCs w:val="22"/>
              </w:rPr>
              <w:t>1008 mnv</w:t>
            </w:r>
          </w:p>
        </w:tc>
      </w:tr>
      <w:tr w:rsidR="004B071C" w:rsidRPr="00990B04" w:rsidTr="00990B04">
        <w:tc>
          <w:tcPr>
            <w:tcW w:w="2070" w:type="dxa"/>
            <w:shd w:val="clear" w:color="auto" w:fill="CDDDAC"/>
          </w:tcPr>
          <w:p w:rsidR="004B071C" w:rsidRPr="00990B04" w:rsidRDefault="004B071C" w:rsidP="00990B04">
            <w:pPr>
              <w:spacing w:after="0"/>
              <w:jc w:val="left"/>
              <w:rPr>
                <w:rFonts w:ascii="Constantia" w:hAnsi="Constantia"/>
                <w:b/>
                <w:bCs/>
                <w:szCs w:val="22"/>
              </w:rPr>
            </w:pPr>
            <w:r w:rsidRPr="00990B04">
              <w:rPr>
                <w:rFonts w:ascii="Constantia" w:hAnsi="Constantia"/>
                <w:b/>
                <w:bCs/>
                <w:szCs w:val="22"/>
              </w:rPr>
              <w:t>Veliko Pošćensko jezero</w:t>
            </w:r>
          </w:p>
        </w:tc>
        <w:tc>
          <w:tcPr>
            <w:tcW w:w="3063" w:type="dxa"/>
            <w:shd w:val="clear" w:color="auto" w:fill="CDDDAC"/>
          </w:tcPr>
          <w:p w:rsidR="004B071C" w:rsidRPr="00990B04" w:rsidRDefault="004B071C" w:rsidP="00303DA3">
            <w:pPr>
              <w:spacing w:after="0"/>
              <w:jc w:val="center"/>
              <w:rPr>
                <w:rFonts w:ascii="Constantia" w:hAnsi="Constantia"/>
                <w:bCs/>
                <w:szCs w:val="22"/>
              </w:rPr>
            </w:pPr>
            <w:r w:rsidRPr="00990B04">
              <w:rPr>
                <w:rFonts w:ascii="Constantia" w:hAnsi="Constantia"/>
                <w:bCs/>
                <w:szCs w:val="22"/>
              </w:rPr>
              <w:t>42</w:t>
            </w:r>
            <w:r w:rsidRPr="00990B04">
              <w:rPr>
                <w:rFonts w:ascii="Constantia" w:hAnsi="Constantia" w:cs="Cambria Math"/>
                <w:bCs/>
                <w:szCs w:val="22"/>
              </w:rPr>
              <w:t>⁰</w:t>
            </w:r>
            <w:r w:rsidRPr="00990B04">
              <w:rPr>
                <w:rFonts w:ascii="Constantia" w:hAnsi="Constantia"/>
                <w:bCs/>
                <w:szCs w:val="22"/>
              </w:rPr>
              <w:t xml:space="preserve">  58.713</w:t>
            </w:r>
            <w:r w:rsidRPr="00990B04">
              <w:rPr>
                <w:rFonts w:ascii="Constantia" w:hAnsi="Constantia" w:cs="Arial"/>
                <w:bCs/>
                <w:szCs w:val="22"/>
              </w:rPr>
              <w:t>’</w:t>
            </w:r>
          </w:p>
          <w:p w:rsidR="004B071C" w:rsidRPr="00990B04" w:rsidRDefault="004B071C" w:rsidP="00303DA3">
            <w:pPr>
              <w:spacing w:after="0"/>
              <w:jc w:val="center"/>
              <w:rPr>
                <w:rFonts w:ascii="Constantia" w:hAnsi="Constantia"/>
                <w:bCs/>
                <w:szCs w:val="22"/>
              </w:rPr>
            </w:pPr>
            <w:r w:rsidRPr="00990B04">
              <w:rPr>
                <w:rFonts w:ascii="Constantia" w:hAnsi="Constantia"/>
                <w:bCs/>
                <w:szCs w:val="22"/>
              </w:rPr>
              <w:t>19</w:t>
            </w:r>
            <w:r w:rsidRPr="00990B04">
              <w:rPr>
                <w:rFonts w:ascii="Constantia" w:hAnsi="Constantia" w:cs="Cambria Math"/>
                <w:bCs/>
                <w:szCs w:val="22"/>
              </w:rPr>
              <w:t>⁰</w:t>
            </w:r>
            <w:r w:rsidRPr="00990B04">
              <w:rPr>
                <w:rFonts w:ascii="Constantia" w:hAnsi="Constantia"/>
                <w:bCs/>
                <w:szCs w:val="22"/>
              </w:rPr>
              <w:t xml:space="preserve">  04.225</w:t>
            </w:r>
            <w:r w:rsidRPr="00990B04">
              <w:rPr>
                <w:rFonts w:ascii="Constantia" w:hAnsi="Constantia" w:cs="Arial"/>
                <w:bCs/>
                <w:szCs w:val="22"/>
              </w:rPr>
              <w:t>’</w:t>
            </w:r>
          </w:p>
          <w:p w:rsidR="004B071C" w:rsidRPr="00990B04" w:rsidRDefault="004B071C" w:rsidP="00303DA3">
            <w:pPr>
              <w:spacing w:after="0"/>
              <w:jc w:val="center"/>
              <w:rPr>
                <w:rFonts w:ascii="Constantia" w:hAnsi="Constantia"/>
                <w:bCs/>
                <w:szCs w:val="22"/>
              </w:rPr>
            </w:pPr>
          </w:p>
        </w:tc>
        <w:tc>
          <w:tcPr>
            <w:tcW w:w="2154" w:type="dxa"/>
            <w:shd w:val="clear" w:color="auto" w:fill="CDDDAC"/>
          </w:tcPr>
          <w:p w:rsidR="004B071C" w:rsidRPr="00990B04" w:rsidRDefault="004B071C" w:rsidP="00303DA3">
            <w:pPr>
              <w:spacing w:after="0"/>
              <w:jc w:val="center"/>
              <w:rPr>
                <w:rFonts w:ascii="Constantia" w:hAnsi="Constantia"/>
                <w:color w:val="000000"/>
                <w:szCs w:val="22"/>
              </w:rPr>
            </w:pPr>
            <w:r w:rsidRPr="00990B04">
              <w:rPr>
                <w:rFonts w:ascii="Constantia" w:hAnsi="Constantia"/>
                <w:color w:val="000000"/>
                <w:szCs w:val="22"/>
              </w:rPr>
              <w:t>17.06.2013.</w:t>
            </w:r>
          </w:p>
          <w:p w:rsidR="004B071C" w:rsidRPr="00990B04" w:rsidRDefault="004B071C" w:rsidP="00303DA3">
            <w:pPr>
              <w:spacing w:after="0"/>
              <w:jc w:val="center"/>
              <w:rPr>
                <w:rFonts w:ascii="Constantia" w:hAnsi="Constantia"/>
                <w:color w:val="000000"/>
                <w:szCs w:val="22"/>
              </w:rPr>
            </w:pPr>
            <w:r w:rsidRPr="00990B04">
              <w:rPr>
                <w:rFonts w:ascii="Constantia" w:hAnsi="Constantia"/>
                <w:color w:val="000000"/>
                <w:szCs w:val="22"/>
              </w:rPr>
              <w:t>08.08.2013.</w:t>
            </w:r>
          </w:p>
        </w:tc>
        <w:tc>
          <w:tcPr>
            <w:tcW w:w="1803" w:type="dxa"/>
            <w:shd w:val="clear" w:color="auto" w:fill="CDDDAC"/>
          </w:tcPr>
          <w:p w:rsidR="004B071C" w:rsidRPr="00990B04" w:rsidRDefault="004B071C" w:rsidP="00303DA3">
            <w:pPr>
              <w:spacing w:after="0"/>
              <w:jc w:val="center"/>
              <w:rPr>
                <w:rFonts w:ascii="Constantia" w:hAnsi="Constantia"/>
                <w:szCs w:val="22"/>
              </w:rPr>
            </w:pPr>
            <w:r w:rsidRPr="00990B04">
              <w:rPr>
                <w:rFonts w:ascii="Constantia" w:hAnsi="Constantia"/>
                <w:szCs w:val="22"/>
              </w:rPr>
              <w:t>1018  mnv</w:t>
            </w:r>
          </w:p>
        </w:tc>
      </w:tr>
      <w:tr w:rsidR="004B071C" w:rsidRPr="00990B04" w:rsidTr="00990B04">
        <w:tc>
          <w:tcPr>
            <w:tcW w:w="2070" w:type="dxa"/>
            <w:shd w:val="clear" w:color="auto" w:fill="CDDDAC"/>
          </w:tcPr>
          <w:p w:rsidR="004B071C" w:rsidRPr="00990B04" w:rsidRDefault="004B071C" w:rsidP="00990B04">
            <w:pPr>
              <w:spacing w:after="0"/>
              <w:jc w:val="left"/>
              <w:rPr>
                <w:rFonts w:ascii="Constantia" w:hAnsi="Constantia"/>
                <w:b/>
                <w:bCs/>
                <w:szCs w:val="22"/>
              </w:rPr>
            </w:pPr>
            <w:r w:rsidRPr="00990B04">
              <w:rPr>
                <w:rFonts w:ascii="Constantia" w:hAnsi="Constantia"/>
                <w:b/>
                <w:bCs/>
                <w:szCs w:val="22"/>
              </w:rPr>
              <w:t>Malo Pošćensko jezeo</w:t>
            </w:r>
          </w:p>
        </w:tc>
        <w:tc>
          <w:tcPr>
            <w:tcW w:w="3063" w:type="dxa"/>
            <w:shd w:val="clear" w:color="auto" w:fill="CDDDAC"/>
          </w:tcPr>
          <w:p w:rsidR="004B071C" w:rsidRPr="00990B04" w:rsidRDefault="004B071C" w:rsidP="00303DA3">
            <w:pPr>
              <w:spacing w:after="0"/>
              <w:jc w:val="center"/>
              <w:rPr>
                <w:rFonts w:ascii="Constantia" w:hAnsi="Constantia"/>
                <w:bCs/>
                <w:szCs w:val="22"/>
              </w:rPr>
            </w:pPr>
            <w:r w:rsidRPr="00990B04">
              <w:rPr>
                <w:rFonts w:ascii="Constantia" w:hAnsi="Constantia"/>
                <w:bCs/>
                <w:szCs w:val="22"/>
              </w:rPr>
              <w:t>42</w:t>
            </w:r>
            <w:r w:rsidRPr="00990B04">
              <w:rPr>
                <w:rFonts w:ascii="Constantia" w:hAnsi="Constantia" w:cs="Cambria Math"/>
                <w:bCs/>
                <w:szCs w:val="22"/>
              </w:rPr>
              <w:t>⁰</w:t>
            </w:r>
            <w:r w:rsidRPr="00990B04">
              <w:rPr>
                <w:rFonts w:ascii="Constantia" w:hAnsi="Constantia"/>
                <w:bCs/>
                <w:szCs w:val="22"/>
              </w:rPr>
              <w:t xml:space="preserve">  58.910</w:t>
            </w:r>
            <w:r w:rsidRPr="00990B04">
              <w:rPr>
                <w:rFonts w:ascii="Constantia" w:hAnsi="Constantia" w:cs="Arial"/>
                <w:bCs/>
                <w:szCs w:val="22"/>
              </w:rPr>
              <w:t>’</w:t>
            </w:r>
          </w:p>
          <w:p w:rsidR="004B071C" w:rsidRPr="00990B04" w:rsidRDefault="004B071C" w:rsidP="00303DA3">
            <w:pPr>
              <w:spacing w:after="0"/>
              <w:jc w:val="center"/>
              <w:rPr>
                <w:rFonts w:ascii="Constantia" w:hAnsi="Constantia"/>
                <w:bCs/>
                <w:szCs w:val="22"/>
              </w:rPr>
            </w:pPr>
            <w:r w:rsidRPr="00990B04">
              <w:rPr>
                <w:rFonts w:ascii="Constantia" w:hAnsi="Constantia"/>
                <w:bCs/>
                <w:szCs w:val="22"/>
              </w:rPr>
              <w:t>19</w:t>
            </w:r>
            <w:r w:rsidRPr="00990B04">
              <w:rPr>
                <w:rFonts w:ascii="Constantia" w:hAnsi="Constantia" w:cs="Cambria Math"/>
                <w:bCs/>
                <w:szCs w:val="22"/>
              </w:rPr>
              <w:t>⁰</w:t>
            </w:r>
            <w:r w:rsidRPr="00990B04">
              <w:rPr>
                <w:rFonts w:ascii="Constantia" w:hAnsi="Constantia"/>
                <w:bCs/>
                <w:szCs w:val="22"/>
              </w:rPr>
              <w:t xml:space="preserve">  04.097</w:t>
            </w:r>
            <w:r w:rsidRPr="00990B04">
              <w:rPr>
                <w:rFonts w:ascii="Constantia" w:hAnsi="Constantia" w:cs="Arial"/>
                <w:bCs/>
                <w:szCs w:val="22"/>
              </w:rPr>
              <w:t>’</w:t>
            </w:r>
          </w:p>
          <w:p w:rsidR="004B071C" w:rsidRPr="00990B04" w:rsidRDefault="004B071C" w:rsidP="00303DA3">
            <w:pPr>
              <w:spacing w:after="0"/>
              <w:jc w:val="center"/>
              <w:rPr>
                <w:rFonts w:ascii="Constantia" w:hAnsi="Constantia"/>
                <w:bCs/>
                <w:szCs w:val="22"/>
              </w:rPr>
            </w:pPr>
          </w:p>
        </w:tc>
        <w:tc>
          <w:tcPr>
            <w:tcW w:w="2154" w:type="dxa"/>
            <w:shd w:val="clear" w:color="auto" w:fill="CDDDAC"/>
          </w:tcPr>
          <w:p w:rsidR="004B071C" w:rsidRPr="00990B04" w:rsidRDefault="004B071C" w:rsidP="00303DA3">
            <w:pPr>
              <w:spacing w:after="0"/>
              <w:jc w:val="center"/>
              <w:rPr>
                <w:rFonts w:ascii="Constantia" w:hAnsi="Constantia"/>
                <w:color w:val="000000"/>
                <w:szCs w:val="22"/>
              </w:rPr>
            </w:pPr>
            <w:r w:rsidRPr="00990B04">
              <w:rPr>
                <w:rFonts w:ascii="Constantia" w:hAnsi="Constantia"/>
                <w:color w:val="000000"/>
                <w:szCs w:val="22"/>
              </w:rPr>
              <w:t>17.06.2013.</w:t>
            </w:r>
          </w:p>
          <w:p w:rsidR="004B071C" w:rsidRPr="00990B04" w:rsidRDefault="004B071C" w:rsidP="00303DA3">
            <w:pPr>
              <w:spacing w:after="0"/>
              <w:jc w:val="center"/>
              <w:rPr>
                <w:rFonts w:ascii="Constantia" w:hAnsi="Constantia"/>
                <w:color w:val="000000"/>
                <w:szCs w:val="22"/>
              </w:rPr>
            </w:pPr>
            <w:r w:rsidRPr="00990B04">
              <w:rPr>
                <w:rFonts w:ascii="Constantia" w:hAnsi="Constantia"/>
                <w:color w:val="000000"/>
                <w:szCs w:val="22"/>
              </w:rPr>
              <w:t>08.08.2013.</w:t>
            </w:r>
          </w:p>
        </w:tc>
        <w:tc>
          <w:tcPr>
            <w:tcW w:w="1803" w:type="dxa"/>
            <w:shd w:val="clear" w:color="auto" w:fill="CDDDAC"/>
          </w:tcPr>
          <w:p w:rsidR="004B071C" w:rsidRPr="00990B04" w:rsidRDefault="004B071C" w:rsidP="00303DA3">
            <w:pPr>
              <w:spacing w:after="0"/>
              <w:jc w:val="center"/>
              <w:rPr>
                <w:rFonts w:ascii="Constantia" w:hAnsi="Constantia"/>
                <w:szCs w:val="22"/>
              </w:rPr>
            </w:pPr>
            <w:r w:rsidRPr="00990B04">
              <w:rPr>
                <w:rFonts w:ascii="Constantia" w:hAnsi="Constantia"/>
                <w:szCs w:val="22"/>
              </w:rPr>
              <w:t>1014 mnv</w:t>
            </w:r>
          </w:p>
        </w:tc>
      </w:tr>
    </w:tbl>
    <w:p w:rsidR="004B071C" w:rsidRPr="00303DA3" w:rsidRDefault="004B071C" w:rsidP="00303DA3">
      <w:pPr>
        <w:pStyle w:val="Tabele"/>
        <w:spacing w:before="60" w:after="0"/>
        <w:ind w:left="714" w:hanging="357"/>
        <w:rPr>
          <w:rFonts w:ascii="Constantia" w:hAnsi="Constantia"/>
          <w:sz w:val="22"/>
          <w:szCs w:val="22"/>
        </w:rPr>
      </w:pPr>
      <w:r w:rsidRPr="00303DA3">
        <w:rPr>
          <w:rFonts w:ascii="Constantia" w:hAnsi="Constantia"/>
          <w:sz w:val="22"/>
          <w:szCs w:val="22"/>
        </w:rPr>
        <w:t>Opšti podaci o istraživanim lokalitetima herpetofaune</w:t>
      </w:r>
    </w:p>
    <w:p w:rsidR="00303DA3" w:rsidRPr="00E10011" w:rsidRDefault="00303DA3" w:rsidP="00303DA3">
      <w:pPr>
        <w:pStyle w:val="Tabele"/>
        <w:numPr>
          <w:ilvl w:val="0"/>
          <w:numId w:val="0"/>
        </w:numPr>
        <w:spacing w:before="60"/>
        <w:ind w:left="714"/>
        <w:jc w:val="both"/>
      </w:pPr>
    </w:p>
    <w:tbl>
      <w:tblPr>
        <w:tblW w:w="9090" w:type="dxa"/>
        <w:tblInd w:w="108"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firstRow="1" w:lastRow="0" w:firstColumn="1" w:lastColumn="0" w:noHBand="0" w:noVBand="1"/>
      </w:tblPr>
      <w:tblGrid>
        <w:gridCol w:w="2790"/>
        <w:gridCol w:w="3060"/>
        <w:gridCol w:w="3240"/>
      </w:tblGrid>
      <w:tr w:rsidR="004B071C" w:rsidRPr="00284515" w:rsidTr="00303DA3">
        <w:trPr>
          <w:trHeight w:val="369"/>
        </w:trPr>
        <w:tc>
          <w:tcPr>
            <w:tcW w:w="2790" w:type="dxa"/>
            <w:shd w:val="clear" w:color="auto" w:fill="E6EED5"/>
          </w:tcPr>
          <w:p w:rsidR="004B071C" w:rsidRPr="00284515" w:rsidRDefault="004B071C" w:rsidP="00303DA3">
            <w:pPr>
              <w:spacing w:after="0"/>
              <w:jc w:val="center"/>
              <w:rPr>
                <w:rFonts w:ascii="Constantia" w:hAnsi="Constantia"/>
                <w:b/>
                <w:bCs/>
                <w:szCs w:val="22"/>
              </w:rPr>
            </w:pPr>
            <w:r w:rsidRPr="00284515">
              <w:rPr>
                <w:rFonts w:ascii="Constantia" w:hAnsi="Constantia"/>
                <w:b/>
                <w:bCs/>
                <w:szCs w:val="22"/>
              </w:rPr>
              <w:t>Vrsta</w:t>
            </w:r>
          </w:p>
        </w:tc>
        <w:tc>
          <w:tcPr>
            <w:tcW w:w="3060" w:type="dxa"/>
            <w:shd w:val="clear" w:color="auto" w:fill="E6EED5"/>
          </w:tcPr>
          <w:p w:rsidR="004B071C" w:rsidRPr="00284515" w:rsidRDefault="004B071C" w:rsidP="00303DA3">
            <w:pPr>
              <w:spacing w:after="0"/>
              <w:jc w:val="center"/>
              <w:rPr>
                <w:rFonts w:ascii="Constantia" w:hAnsi="Constantia"/>
                <w:b/>
                <w:bCs/>
                <w:szCs w:val="22"/>
              </w:rPr>
            </w:pPr>
            <w:r w:rsidRPr="00284515">
              <w:rPr>
                <w:rFonts w:ascii="Constantia" w:hAnsi="Constantia"/>
                <w:b/>
                <w:bCs/>
                <w:szCs w:val="22"/>
              </w:rPr>
              <w:t>Karakter prisustva vrste</w:t>
            </w:r>
          </w:p>
        </w:tc>
        <w:tc>
          <w:tcPr>
            <w:tcW w:w="3240" w:type="dxa"/>
            <w:shd w:val="clear" w:color="auto" w:fill="E6EED5"/>
          </w:tcPr>
          <w:p w:rsidR="004B071C" w:rsidRPr="00284515" w:rsidRDefault="004B071C" w:rsidP="00303DA3">
            <w:pPr>
              <w:spacing w:after="0"/>
              <w:jc w:val="center"/>
              <w:rPr>
                <w:rFonts w:ascii="Constantia" w:hAnsi="Constantia"/>
                <w:b/>
                <w:bCs/>
                <w:szCs w:val="22"/>
              </w:rPr>
            </w:pPr>
            <w:r w:rsidRPr="00284515">
              <w:rPr>
                <w:rFonts w:ascii="Constantia" w:hAnsi="Constantia"/>
                <w:b/>
                <w:bCs/>
                <w:szCs w:val="22"/>
              </w:rPr>
              <w:t>Ocjena stepena očuvanosti</w:t>
            </w:r>
          </w:p>
        </w:tc>
      </w:tr>
      <w:tr w:rsidR="004B071C" w:rsidRPr="00284515" w:rsidTr="00303DA3">
        <w:trPr>
          <w:trHeight w:val="369"/>
        </w:trPr>
        <w:tc>
          <w:tcPr>
            <w:tcW w:w="2790" w:type="dxa"/>
            <w:shd w:val="clear" w:color="auto" w:fill="CDDDAC"/>
          </w:tcPr>
          <w:p w:rsidR="004B071C" w:rsidRPr="00284515" w:rsidRDefault="004B071C" w:rsidP="00303DA3">
            <w:pPr>
              <w:spacing w:after="0"/>
              <w:jc w:val="left"/>
              <w:rPr>
                <w:rFonts w:ascii="Constantia" w:hAnsi="Constantia"/>
                <w:i/>
                <w:szCs w:val="22"/>
              </w:rPr>
            </w:pPr>
            <w:r w:rsidRPr="00284515">
              <w:rPr>
                <w:rFonts w:ascii="Constantia" w:hAnsi="Constantia"/>
                <w:i/>
                <w:szCs w:val="22"/>
              </w:rPr>
              <w:t xml:space="preserve">Bombina (variagata) scabra </w:t>
            </w:r>
          </w:p>
        </w:tc>
        <w:tc>
          <w:tcPr>
            <w:tcW w:w="3060" w:type="dxa"/>
            <w:shd w:val="clear" w:color="auto" w:fill="CDDDAC"/>
          </w:tcPr>
          <w:p w:rsidR="004B071C" w:rsidRPr="00284515" w:rsidRDefault="004B071C" w:rsidP="00303DA3">
            <w:pPr>
              <w:spacing w:after="0"/>
              <w:jc w:val="center"/>
              <w:rPr>
                <w:rFonts w:ascii="Constantia" w:hAnsi="Constantia"/>
                <w:szCs w:val="22"/>
              </w:rPr>
            </w:pPr>
            <w:r w:rsidRPr="00284515">
              <w:rPr>
                <w:rFonts w:ascii="Constantia" w:hAnsi="Constantia"/>
                <w:szCs w:val="22"/>
              </w:rPr>
              <w:t>Uzgoj/reprodukcija</w:t>
            </w:r>
          </w:p>
        </w:tc>
        <w:tc>
          <w:tcPr>
            <w:tcW w:w="3240" w:type="dxa"/>
            <w:shd w:val="clear" w:color="auto" w:fill="CDDDAC"/>
          </w:tcPr>
          <w:p w:rsidR="004B071C" w:rsidRPr="00284515" w:rsidRDefault="004B071C" w:rsidP="00303DA3">
            <w:pPr>
              <w:spacing w:after="0"/>
              <w:jc w:val="center"/>
              <w:rPr>
                <w:rFonts w:ascii="Constantia" w:hAnsi="Constantia"/>
                <w:szCs w:val="22"/>
              </w:rPr>
            </w:pPr>
            <w:r w:rsidRPr="00284515">
              <w:rPr>
                <w:rFonts w:ascii="Constantia" w:hAnsi="Constantia"/>
                <w:szCs w:val="22"/>
              </w:rPr>
              <w:t>II (B)</w:t>
            </w:r>
          </w:p>
        </w:tc>
      </w:tr>
      <w:tr w:rsidR="004B071C" w:rsidRPr="00284515" w:rsidTr="00303DA3">
        <w:trPr>
          <w:trHeight w:val="369"/>
        </w:trPr>
        <w:tc>
          <w:tcPr>
            <w:tcW w:w="2790" w:type="dxa"/>
            <w:shd w:val="clear" w:color="auto" w:fill="CDDDAC"/>
          </w:tcPr>
          <w:p w:rsidR="004B071C" w:rsidRPr="00284515" w:rsidRDefault="004B071C" w:rsidP="00303DA3">
            <w:pPr>
              <w:spacing w:after="0"/>
              <w:rPr>
                <w:rFonts w:ascii="Constantia" w:hAnsi="Constantia"/>
                <w:i/>
                <w:szCs w:val="22"/>
              </w:rPr>
            </w:pPr>
            <w:r w:rsidRPr="00284515">
              <w:rPr>
                <w:rFonts w:ascii="Constantia" w:hAnsi="Constantia"/>
                <w:i/>
                <w:szCs w:val="22"/>
              </w:rPr>
              <w:t xml:space="preserve">Bufo  bufo </w:t>
            </w:r>
          </w:p>
        </w:tc>
        <w:tc>
          <w:tcPr>
            <w:tcW w:w="3060" w:type="dxa"/>
            <w:shd w:val="clear" w:color="auto" w:fill="CDDDAC"/>
          </w:tcPr>
          <w:p w:rsidR="004B071C" w:rsidRPr="00284515" w:rsidRDefault="004B071C" w:rsidP="00303DA3">
            <w:pPr>
              <w:spacing w:after="0"/>
              <w:jc w:val="center"/>
              <w:rPr>
                <w:rFonts w:ascii="Constantia" w:hAnsi="Constantia"/>
                <w:szCs w:val="22"/>
              </w:rPr>
            </w:pPr>
            <w:r w:rsidRPr="00284515">
              <w:rPr>
                <w:rFonts w:ascii="Constantia" w:hAnsi="Constantia"/>
                <w:szCs w:val="22"/>
              </w:rPr>
              <w:t>Uzgoj/reprodukcija</w:t>
            </w:r>
          </w:p>
        </w:tc>
        <w:tc>
          <w:tcPr>
            <w:tcW w:w="3240" w:type="dxa"/>
            <w:shd w:val="clear" w:color="auto" w:fill="CDDDAC"/>
          </w:tcPr>
          <w:p w:rsidR="004B071C" w:rsidRPr="00284515" w:rsidRDefault="004B071C" w:rsidP="00303DA3">
            <w:pPr>
              <w:spacing w:after="0"/>
              <w:jc w:val="center"/>
              <w:rPr>
                <w:rFonts w:ascii="Constantia" w:hAnsi="Constantia"/>
                <w:szCs w:val="22"/>
              </w:rPr>
            </w:pPr>
            <w:r w:rsidRPr="00284515">
              <w:rPr>
                <w:rFonts w:ascii="Constantia" w:hAnsi="Constantia"/>
                <w:szCs w:val="22"/>
              </w:rPr>
              <w:t>II (B)</w:t>
            </w:r>
          </w:p>
        </w:tc>
      </w:tr>
      <w:tr w:rsidR="004B071C" w:rsidRPr="00284515" w:rsidTr="00303DA3">
        <w:trPr>
          <w:trHeight w:val="369"/>
        </w:trPr>
        <w:tc>
          <w:tcPr>
            <w:tcW w:w="2790" w:type="dxa"/>
            <w:shd w:val="clear" w:color="auto" w:fill="CDDDAC"/>
          </w:tcPr>
          <w:p w:rsidR="004B071C" w:rsidRPr="00284515" w:rsidRDefault="004B071C" w:rsidP="00303DA3">
            <w:pPr>
              <w:spacing w:after="0"/>
              <w:rPr>
                <w:rFonts w:ascii="Constantia" w:hAnsi="Constantia"/>
                <w:i/>
                <w:szCs w:val="22"/>
              </w:rPr>
            </w:pPr>
            <w:r w:rsidRPr="00284515">
              <w:rPr>
                <w:rFonts w:ascii="Constantia" w:hAnsi="Constantia"/>
                <w:i/>
                <w:szCs w:val="22"/>
              </w:rPr>
              <w:t>Epidalea  viridis</w:t>
            </w:r>
          </w:p>
        </w:tc>
        <w:tc>
          <w:tcPr>
            <w:tcW w:w="3060" w:type="dxa"/>
            <w:shd w:val="clear" w:color="auto" w:fill="CDDDAC"/>
          </w:tcPr>
          <w:p w:rsidR="004B071C" w:rsidRPr="00284515" w:rsidRDefault="004B071C" w:rsidP="00303DA3">
            <w:pPr>
              <w:spacing w:after="0"/>
              <w:jc w:val="center"/>
              <w:rPr>
                <w:rFonts w:ascii="Constantia" w:hAnsi="Constantia"/>
                <w:szCs w:val="22"/>
              </w:rPr>
            </w:pPr>
            <w:r w:rsidRPr="00284515">
              <w:rPr>
                <w:rFonts w:ascii="Constantia" w:hAnsi="Constantia"/>
                <w:szCs w:val="22"/>
              </w:rPr>
              <w:t>Uzgoj/reprodukcija</w:t>
            </w:r>
          </w:p>
        </w:tc>
        <w:tc>
          <w:tcPr>
            <w:tcW w:w="3240" w:type="dxa"/>
            <w:shd w:val="clear" w:color="auto" w:fill="CDDDAC"/>
          </w:tcPr>
          <w:p w:rsidR="004B071C" w:rsidRPr="00284515" w:rsidRDefault="004B071C" w:rsidP="00303DA3">
            <w:pPr>
              <w:spacing w:after="0"/>
              <w:jc w:val="center"/>
              <w:rPr>
                <w:rFonts w:ascii="Constantia" w:hAnsi="Constantia"/>
                <w:szCs w:val="22"/>
              </w:rPr>
            </w:pPr>
            <w:r w:rsidRPr="00284515">
              <w:rPr>
                <w:rFonts w:ascii="Constantia" w:hAnsi="Constantia"/>
                <w:szCs w:val="22"/>
              </w:rPr>
              <w:t>II (B)</w:t>
            </w:r>
          </w:p>
        </w:tc>
      </w:tr>
      <w:tr w:rsidR="004B071C" w:rsidRPr="00284515" w:rsidTr="00303DA3">
        <w:trPr>
          <w:trHeight w:val="369"/>
        </w:trPr>
        <w:tc>
          <w:tcPr>
            <w:tcW w:w="2790" w:type="dxa"/>
            <w:shd w:val="clear" w:color="auto" w:fill="CDDDAC"/>
          </w:tcPr>
          <w:p w:rsidR="004B071C" w:rsidRPr="00284515" w:rsidRDefault="004B071C" w:rsidP="00303DA3">
            <w:pPr>
              <w:spacing w:after="0"/>
              <w:rPr>
                <w:rFonts w:ascii="Constantia" w:hAnsi="Constantia"/>
                <w:i/>
                <w:szCs w:val="22"/>
              </w:rPr>
            </w:pPr>
            <w:r w:rsidRPr="00284515">
              <w:rPr>
                <w:rFonts w:ascii="Constantia" w:hAnsi="Constantia"/>
                <w:i/>
                <w:szCs w:val="22"/>
              </w:rPr>
              <w:t>Hyla arborea</w:t>
            </w:r>
          </w:p>
        </w:tc>
        <w:tc>
          <w:tcPr>
            <w:tcW w:w="3060" w:type="dxa"/>
            <w:shd w:val="clear" w:color="auto" w:fill="CDDDAC"/>
          </w:tcPr>
          <w:p w:rsidR="004B071C" w:rsidRPr="00284515" w:rsidRDefault="004B071C" w:rsidP="00303DA3">
            <w:pPr>
              <w:spacing w:after="0"/>
              <w:jc w:val="center"/>
              <w:rPr>
                <w:rFonts w:ascii="Constantia" w:hAnsi="Constantia"/>
                <w:szCs w:val="22"/>
              </w:rPr>
            </w:pPr>
            <w:r w:rsidRPr="00284515">
              <w:rPr>
                <w:rFonts w:ascii="Constantia" w:hAnsi="Constantia"/>
                <w:szCs w:val="22"/>
              </w:rPr>
              <w:t>Uzgoj/reprodukcija</w:t>
            </w:r>
          </w:p>
        </w:tc>
        <w:tc>
          <w:tcPr>
            <w:tcW w:w="3240" w:type="dxa"/>
            <w:shd w:val="clear" w:color="auto" w:fill="CDDDAC"/>
          </w:tcPr>
          <w:p w:rsidR="004B071C" w:rsidRPr="00284515" w:rsidRDefault="004B071C" w:rsidP="00303DA3">
            <w:pPr>
              <w:spacing w:after="0"/>
              <w:jc w:val="center"/>
              <w:rPr>
                <w:rFonts w:ascii="Constantia" w:hAnsi="Constantia"/>
                <w:szCs w:val="22"/>
              </w:rPr>
            </w:pPr>
            <w:r w:rsidRPr="00284515">
              <w:rPr>
                <w:rFonts w:ascii="Constantia" w:hAnsi="Constantia"/>
                <w:szCs w:val="22"/>
              </w:rPr>
              <w:t>II (B)</w:t>
            </w:r>
          </w:p>
        </w:tc>
      </w:tr>
      <w:tr w:rsidR="004B071C" w:rsidRPr="00284515" w:rsidTr="00303DA3">
        <w:trPr>
          <w:trHeight w:val="369"/>
        </w:trPr>
        <w:tc>
          <w:tcPr>
            <w:tcW w:w="2790" w:type="dxa"/>
            <w:shd w:val="clear" w:color="auto" w:fill="CDDDAC"/>
          </w:tcPr>
          <w:p w:rsidR="004B071C" w:rsidRPr="00284515" w:rsidRDefault="004B071C" w:rsidP="00303DA3">
            <w:pPr>
              <w:spacing w:after="0"/>
              <w:rPr>
                <w:rFonts w:ascii="Constantia" w:hAnsi="Constantia"/>
                <w:i/>
                <w:szCs w:val="22"/>
              </w:rPr>
            </w:pPr>
            <w:r w:rsidRPr="00284515">
              <w:rPr>
                <w:rFonts w:ascii="Constantia" w:hAnsi="Constantia"/>
                <w:i/>
                <w:szCs w:val="22"/>
              </w:rPr>
              <w:t>Pelophylax ridibunda</w:t>
            </w:r>
          </w:p>
        </w:tc>
        <w:tc>
          <w:tcPr>
            <w:tcW w:w="3060" w:type="dxa"/>
            <w:shd w:val="clear" w:color="auto" w:fill="CDDDAC"/>
          </w:tcPr>
          <w:p w:rsidR="004B071C" w:rsidRPr="00284515" w:rsidRDefault="004B071C" w:rsidP="00303DA3">
            <w:pPr>
              <w:spacing w:after="0"/>
              <w:jc w:val="center"/>
              <w:rPr>
                <w:rFonts w:ascii="Constantia" w:hAnsi="Constantia"/>
                <w:szCs w:val="22"/>
              </w:rPr>
            </w:pPr>
            <w:r w:rsidRPr="00284515">
              <w:rPr>
                <w:rFonts w:ascii="Constantia" w:hAnsi="Constantia"/>
                <w:szCs w:val="22"/>
              </w:rPr>
              <w:t>Uzgoj/reprodukcija</w:t>
            </w:r>
          </w:p>
        </w:tc>
        <w:tc>
          <w:tcPr>
            <w:tcW w:w="3240" w:type="dxa"/>
            <w:shd w:val="clear" w:color="auto" w:fill="CDDDAC"/>
          </w:tcPr>
          <w:p w:rsidR="004B071C" w:rsidRPr="00284515" w:rsidRDefault="004B071C" w:rsidP="00303DA3">
            <w:pPr>
              <w:spacing w:after="0"/>
              <w:jc w:val="center"/>
              <w:rPr>
                <w:rFonts w:ascii="Constantia" w:hAnsi="Constantia"/>
                <w:szCs w:val="22"/>
              </w:rPr>
            </w:pPr>
            <w:r w:rsidRPr="00284515">
              <w:rPr>
                <w:rFonts w:ascii="Constantia" w:hAnsi="Constantia"/>
                <w:szCs w:val="22"/>
              </w:rPr>
              <w:t>II (B)</w:t>
            </w:r>
          </w:p>
        </w:tc>
      </w:tr>
      <w:tr w:rsidR="004B071C" w:rsidRPr="00284515" w:rsidTr="00303DA3">
        <w:trPr>
          <w:trHeight w:val="369"/>
        </w:trPr>
        <w:tc>
          <w:tcPr>
            <w:tcW w:w="2790" w:type="dxa"/>
            <w:shd w:val="clear" w:color="auto" w:fill="CDDDAC"/>
          </w:tcPr>
          <w:p w:rsidR="004B071C" w:rsidRPr="00284515" w:rsidRDefault="004B071C" w:rsidP="00303DA3">
            <w:pPr>
              <w:spacing w:after="0"/>
              <w:rPr>
                <w:rFonts w:ascii="Constantia" w:hAnsi="Constantia"/>
                <w:i/>
                <w:szCs w:val="22"/>
              </w:rPr>
            </w:pPr>
            <w:r w:rsidRPr="00284515">
              <w:rPr>
                <w:rFonts w:ascii="Constantia" w:hAnsi="Constantia"/>
                <w:i/>
                <w:szCs w:val="22"/>
              </w:rPr>
              <w:t xml:space="preserve">Podarcis muralis </w:t>
            </w:r>
          </w:p>
        </w:tc>
        <w:tc>
          <w:tcPr>
            <w:tcW w:w="3060" w:type="dxa"/>
            <w:shd w:val="clear" w:color="auto" w:fill="CDDDAC"/>
          </w:tcPr>
          <w:p w:rsidR="004B071C" w:rsidRPr="00284515" w:rsidRDefault="004B071C" w:rsidP="00303DA3">
            <w:pPr>
              <w:spacing w:after="0"/>
              <w:jc w:val="center"/>
              <w:rPr>
                <w:rFonts w:ascii="Constantia" w:hAnsi="Constantia"/>
                <w:szCs w:val="22"/>
              </w:rPr>
            </w:pPr>
            <w:r w:rsidRPr="00284515">
              <w:rPr>
                <w:rFonts w:ascii="Constantia" w:hAnsi="Constantia"/>
                <w:szCs w:val="22"/>
              </w:rPr>
              <w:t>Uzgoj/reprodukcija</w:t>
            </w:r>
          </w:p>
        </w:tc>
        <w:tc>
          <w:tcPr>
            <w:tcW w:w="3240" w:type="dxa"/>
            <w:shd w:val="clear" w:color="auto" w:fill="CDDDAC"/>
          </w:tcPr>
          <w:p w:rsidR="004B071C" w:rsidRPr="00284515" w:rsidRDefault="004B071C" w:rsidP="00303DA3">
            <w:pPr>
              <w:spacing w:after="0"/>
              <w:jc w:val="center"/>
              <w:rPr>
                <w:rFonts w:ascii="Constantia" w:hAnsi="Constantia"/>
                <w:szCs w:val="22"/>
              </w:rPr>
            </w:pPr>
            <w:r w:rsidRPr="00284515">
              <w:rPr>
                <w:rFonts w:ascii="Constantia" w:hAnsi="Constantia"/>
                <w:szCs w:val="22"/>
              </w:rPr>
              <w:t>II (B)</w:t>
            </w:r>
          </w:p>
        </w:tc>
      </w:tr>
      <w:tr w:rsidR="004B071C" w:rsidRPr="00284515" w:rsidTr="00303DA3">
        <w:trPr>
          <w:trHeight w:val="369"/>
        </w:trPr>
        <w:tc>
          <w:tcPr>
            <w:tcW w:w="2790" w:type="dxa"/>
            <w:shd w:val="clear" w:color="auto" w:fill="CDDDAC"/>
          </w:tcPr>
          <w:p w:rsidR="004B071C" w:rsidRPr="00284515" w:rsidRDefault="004B071C" w:rsidP="00303DA3">
            <w:pPr>
              <w:spacing w:after="0"/>
              <w:rPr>
                <w:rFonts w:ascii="Constantia" w:hAnsi="Constantia"/>
                <w:i/>
                <w:szCs w:val="22"/>
              </w:rPr>
            </w:pPr>
            <w:r w:rsidRPr="00284515">
              <w:rPr>
                <w:rFonts w:ascii="Constantia" w:hAnsi="Constantia"/>
                <w:i/>
                <w:szCs w:val="22"/>
              </w:rPr>
              <w:t xml:space="preserve">Testudo hermanni </w:t>
            </w:r>
          </w:p>
        </w:tc>
        <w:tc>
          <w:tcPr>
            <w:tcW w:w="3060" w:type="dxa"/>
            <w:shd w:val="clear" w:color="auto" w:fill="CDDDAC"/>
          </w:tcPr>
          <w:p w:rsidR="004B071C" w:rsidRPr="00284515" w:rsidRDefault="004B071C" w:rsidP="00303DA3">
            <w:pPr>
              <w:spacing w:after="0"/>
              <w:jc w:val="center"/>
              <w:rPr>
                <w:rFonts w:ascii="Constantia" w:hAnsi="Constantia"/>
                <w:szCs w:val="22"/>
              </w:rPr>
            </w:pPr>
            <w:r w:rsidRPr="00284515">
              <w:rPr>
                <w:rFonts w:ascii="Constantia" w:hAnsi="Constantia"/>
                <w:szCs w:val="22"/>
              </w:rPr>
              <w:t>Uzgoj/reprodukcija</w:t>
            </w:r>
          </w:p>
        </w:tc>
        <w:tc>
          <w:tcPr>
            <w:tcW w:w="3240" w:type="dxa"/>
            <w:shd w:val="clear" w:color="auto" w:fill="CDDDAC"/>
          </w:tcPr>
          <w:p w:rsidR="004B071C" w:rsidRPr="00284515" w:rsidRDefault="004B071C" w:rsidP="00303DA3">
            <w:pPr>
              <w:spacing w:after="0"/>
              <w:jc w:val="center"/>
              <w:rPr>
                <w:rFonts w:ascii="Constantia" w:hAnsi="Constantia"/>
                <w:szCs w:val="22"/>
              </w:rPr>
            </w:pPr>
            <w:r w:rsidRPr="00284515">
              <w:rPr>
                <w:rFonts w:ascii="Constantia" w:hAnsi="Constantia"/>
                <w:szCs w:val="22"/>
              </w:rPr>
              <w:t>II (B)</w:t>
            </w:r>
          </w:p>
        </w:tc>
      </w:tr>
      <w:tr w:rsidR="004B071C" w:rsidRPr="00284515" w:rsidTr="00303DA3">
        <w:trPr>
          <w:trHeight w:val="369"/>
        </w:trPr>
        <w:tc>
          <w:tcPr>
            <w:tcW w:w="2790" w:type="dxa"/>
            <w:shd w:val="clear" w:color="auto" w:fill="CDDDAC"/>
          </w:tcPr>
          <w:p w:rsidR="004B071C" w:rsidRPr="00284515" w:rsidRDefault="004B071C" w:rsidP="00303DA3">
            <w:pPr>
              <w:spacing w:after="0"/>
              <w:rPr>
                <w:rFonts w:ascii="Constantia" w:hAnsi="Constantia"/>
                <w:i/>
                <w:szCs w:val="22"/>
              </w:rPr>
            </w:pPr>
            <w:r w:rsidRPr="00284515">
              <w:rPr>
                <w:rFonts w:ascii="Constantia" w:hAnsi="Constantia"/>
                <w:i/>
                <w:szCs w:val="22"/>
              </w:rPr>
              <w:t>Emys orbicularis</w:t>
            </w:r>
          </w:p>
        </w:tc>
        <w:tc>
          <w:tcPr>
            <w:tcW w:w="3060" w:type="dxa"/>
            <w:shd w:val="clear" w:color="auto" w:fill="CDDDAC"/>
          </w:tcPr>
          <w:p w:rsidR="004B071C" w:rsidRPr="00284515" w:rsidRDefault="004B071C" w:rsidP="00303DA3">
            <w:pPr>
              <w:spacing w:after="0"/>
              <w:jc w:val="center"/>
              <w:rPr>
                <w:rFonts w:ascii="Constantia" w:hAnsi="Constantia"/>
                <w:szCs w:val="22"/>
              </w:rPr>
            </w:pPr>
            <w:r w:rsidRPr="00284515">
              <w:rPr>
                <w:rFonts w:ascii="Constantia" w:hAnsi="Constantia"/>
                <w:szCs w:val="22"/>
              </w:rPr>
              <w:t>Uzgoj/reprodukcija</w:t>
            </w:r>
          </w:p>
        </w:tc>
        <w:tc>
          <w:tcPr>
            <w:tcW w:w="3240" w:type="dxa"/>
            <w:shd w:val="clear" w:color="auto" w:fill="CDDDAC"/>
          </w:tcPr>
          <w:p w:rsidR="004B071C" w:rsidRPr="00284515" w:rsidRDefault="004B071C" w:rsidP="00303DA3">
            <w:pPr>
              <w:spacing w:after="0"/>
              <w:jc w:val="center"/>
              <w:rPr>
                <w:rFonts w:ascii="Constantia" w:hAnsi="Constantia"/>
                <w:szCs w:val="22"/>
              </w:rPr>
            </w:pPr>
            <w:r w:rsidRPr="00284515">
              <w:rPr>
                <w:rFonts w:ascii="Constantia" w:hAnsi="Constantia"/>
                <w:szCs w:val="22"/>
              </w:rPr>
              <w:t>II (B)</w:t>
            </w:r>
          </w:p>
        </w:tc>
      </w:tr>
      <w:tr w:rsidR="004B071C" w:rsidRPr="00284515" w:rsidTr="00303DA3">
        <w:trPr>
          <w:trHeight w:val="369"/>
        </w:trPr>
        <w:tc>
          <w:tcPr>
            <w:tcW w:w="2790" w:type="dxa"/>
            <w:shd w:val="clear" w:color="auto" w:fill="CDDDAC"/>
          </w:tcPr>
          <w:p w:rsidR="004B071C" w:rsidRPr="00284515" w:rsidRDefault="004B071C" w:rsidP="00303DA3">
            <w:pPr>
              <w:spacing w:after="0"/>
              <w:rPr>
                <w:rFonts w:ascii="Constantia" w:hAnsi="Constantia"/>
                <w:i/>
                <w:szCs w:val="22"/>
              </w:rPr>
            </w:pPr>
            <w:r w:rsidRPr="00284515">
              <w:rPr>
                <w:rFonts w:ascii="Constantia" w:hAnsi="Constantia"/>
                <w:i/>
                <w:szCs w:val="22"/>
              </w:rPr>
              <w:t>Natrix natrix</w:t>
            </w:r>
          </w:p>
        </w:tc>
        <w:tc>
          <w:tcPr>
            <w:tcW w:w="3060" w:type="dxa"/>
            <w:shd w:val="clear" w:color="auto" w:fill="CDDDAC"/>
          </w:tcPr>
          <w:p w:rsidR="004B071C" w:rsidRPr="00284515" w:rsidRDefault="004B071C" w:rsidP="00303DA3">
            <w:pPr>
              <w:spacing w:after="0"/>
              <w:jc w:val="center"/>
              <w:rPr>
                <w:rFonts w:ascii="Constantia" w:hAnsi="Constantia"/>
                <w:szCs w:val="22"/>
              </w:rPr>
            </w:pPr>
            <w:r w:rsidRPr="00284515">
              <w:rPr>
                <w:rFonts w:ascii="Constantia" w:hAnsi="Constantia"/>
                <w:szCs w:val="22"/>
              </w:rPr>
              <w:t>Uzgoj/reprodukcija</w:t>
            </w:r>
          </w:p>
        </w:tc>
        <w:tc>
          <w:tcPr>
            <w:tcW w:w="3240" w:type="dxa"/>
            <w:shd w:val="clear" w:color="auto" w:fill="CDDDAC"/>
          </w:tcPr>
          <w:p w:rsidR="004B071C" w:rsidRPr="00284515" w:rsidRDefault="004B071C" w:rsidP="00303DA3">
            <w:pPr>
              <w:spacing w:after="0"/>
              <w:jc w:val="center"/>
              <w:rPr>
                <w:rFonts w:ascii="Constantia" w:hAnsi="Constantia"/>
                <w:szCs w:val="22"/>
              </w:rPr>
            </w:pPr>
            <w:r w:rsidRPr="00284515">
              <w:rPr>
                <w:rFonts w:ascii="Constantia" w:hAnsi="Constantia"/>
                <w:szCs w:val="22"/>
              </w:rPr>
              <w:t>II (B)</w:t>
            </w:r>
          </w:p>
        </w:tc>
      </w:tr>
      <w:tr w:rsidR="004B071C" w:rsidRPr="00284515" w:rsidTr="00303DA3">
        <w:trPr>
          <w:trHeight w:val="369"/>
        </w:trPr>
        <w:tc>
          <w:tcPr>
            <w:tcW w:w="2790" w:type="dxa"/>
            <w:shd w:val="clear" w:color="auto" w:fill="CDDDAC"/>
          </w:tcPr>
          <w:p w:rsidR="004B071C" w:rsidRPr="00284515" w:rsidRDefault="004B071C" w:rsidP="00303DA3">
            <w:pPr>
              <w:spacing w:after="0"/>
              <w:rPr>
                <w:rFonts w:ascii="Constantia" w:hAnsi="Constantia"/>
                <w:i/>
                <w:szCs w:val="22"/>
              </w:rPr>
            </w:pPr>
            <w:r w:rsidRPr="00284515">
              <w:rPr>
                <w:rFonts w:ascii="Constantia" w:hAnsi="Constantia"/>
                <w:i/>
                <w:szCs w:val="22"/>
              </w:rPr>
              <w:t>Vipera ammodytes</w:t>
            </w:r>
          </w:p>
        </w:tc>
        <w:tc>
          <w:tcPr>
            <w:tcW w:w="3060" w:type="dxa"/>
            <w:shd w:val="clear" w:color="auto" w:fill="CDDDAC"/>
          </w:tcPr>
          <w:p w:rsidR="004B071C" w:rsidRPr="00284515" w:rsidRDefault="004B071C" w:rsidP="00303DA3">
            <w:pPr>
              <w:spacing w:after="0"/>
              <w:jc w:val="center"/>
              <w:rPr>
                <w:rFonts w:ascii="Constantia" w:hAnsi="Constantia"/>
                <w:szCs w:val="22"/>
              </w:rPr>
            </w:pPr>
            <w:r w:rsidRPr="00284515">
              <w:rPr>
                <w:rFonts w:ascii="Constantia" w:hAnsi="Constantia"/>
                <w:szCs w:val="22"/>
              </w:rPr>
              <w:t>Uzgoj/reprodukcija</w:t>
            </w:r>
          </w:p>
        </w:tc>
        <w:tc>
          <w:tcPr>
            <w:tcW w:w="3240" w:type="dxa"/>
            <w:shd w:val="clear" w:color="auto" w:fill="CDDDAC"/>
          </w:tcPr>
          <w:p w:rsidR="004B071C" w:rsidRPr="00284515" w:rsidRDefault="004B071C" w:rsidP="00303DA3">
            <w:pPr>
              <w:spacing w:after="0"/>
              <w:jc w:val="center"/>
              <w:rPr>
                <w:rFonts w:ascii="Constantia" w:hAnsi="Constantia"/>
                <w:szCs w:val="22"/>
              </w:rPr>
            </w:pPr>
            <w:r w:rsidRPr="00284515">
              <w:rPr>
                <w:rFonts w:ascii="Constantia" w:hAnsi="Constantia"/>
                <w:szCs w:val="22"/>
              </w:rPr>
              <w:t>II (B)</w:t>
            </w:r>
          </w:p>
        </w:tc>
      </w:tr>
    </w:tbl>
    <w:p w:rsidR="004B071C" w:rsidRDefault="004B071C" w:rsidP="00303DA3">
      <w:pPr>
        <w:pStyle w:val="Tabele"/>
        <w:spacing w:before="60" w:after="0"/>
        <w:ind w:left="714" w:hanging="357"/>
        <w:rPr>
          <w:rFonts w:ascii="Constantia" w:hAnsi="Constantia"/>
          <w:sz w:val="22"/>
          <w:szCs w:val="22"/>
        </w:rPr>
      </w:pPr>
      <w:r w:rsidRPr="00303DA3">
        <w:rPr>
          <w:rFonts w:ascii="Constantia" w:hAnsi="Constantia"/>
          <w:sz w:val="22"/>
          <w:szCs w:val="22"/>
        </w:rPr>
        <w:t>Herpetofauna</w:t>
      </w:r>
    </w:p>
    <w:p w:rsidR="00303DA3" w:rsidRPr="00303DA3" w:rsidRDefault="00303DA3" w:rsidP="00303DA3">
      <w:pPr>
        <w:pStyle w:val="Tabele"/>
        <w:numPr>
          <w:ilvl w:val="0"/>
          <w:numId w:val="0"/>
        </w:numPr>
        <w:spacing w:before="60" w:after="0"/>
        <w:ind w:left="714"/>
        <w:jc w:val="both"/>
        <w:rPr>
          <w:rFonts w:ascii="Constantia" w:hAnsi="Constantia"/>
          <w:sz w:val="22"/>
          <w:szCs w:val="22"/>
        </w:rPr>
      </w:pPr>
    </w:p>
    <w:p w:rsidR="004B071C" w:rsidRDefault="004B071C" w:rsidP="004B071C">
      <w:pPr>
        <w:pStyle w:val="Heading4"/>
        <w:rPr>
          <w:sz w:val="22"/>
          <w:szCs w:val="22"/>
          <w:lang w:val="sr-Latn-CS"/>
        </w:rPr>
      </w:pPr>
      <w:r>
        <w:rPr>
          <w:sz w:val="22"/>
          <w:szCs w:val="22"/>
          <w:lang w:val="sr-Latn-CS"/>
        </w:rPr>
        <w:t>Ornitofauna</w:t>
      </w:r>
    </w:p>
    <w:p w:rsidR="004B071C" w:rsidRDefault="004B071C" w:rsidP="004B071C">
      <w:pPr>
        <w:rPr>
          <w:lang w:val="sr-Latn-CS"/>
        </w:rPr>
      </w:pPr>
    </w:p>
    <w:tbl>
      <w:tblPr>
        <w:tblW w:w="9090" w:type="dxa"/>
        <w:tblInd w:w="108"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firstRow="1" w:lastRow="0" w:firstColumn="1" w:lastColumn="0" w:noHBand="0" w:noVBand="1"/>
      </w:tblPr>
      <w:tblGrid>
        <w:gridCol w:w="1960"/>
        <w:gridCol w:w="7130"/>
      </w:tblGrid>
      <w:tr w:rsidR="004B071C" w:rsidRPr="00284515" w:rsidTr="00303DA3">
        <w:tc>
          <w:tcPr>
            <w:tcW w:w="1960" w:type="dxa"/>
            <w:shd w:val="clear" w:color="auto" w:fill="E6EED5"/>
          </w:tcPr>
          <w:p w:rsidR="004B071C" w:rsidRPr="00284515" w:rsidRDefault="004B071C" w:rsidP="004E680E">
            <w:pPr>
              <w:spacing w:after="0"/>
              <w:jc w:val="left"/>
              <w:rPr>
                <w:rFonts w:ascii="Constantia" w:hAnsi="Constantia" w:cs="Arial"/>
                <w:b/>
                <w:bCs/>
                <w:color w:val="000000"/>
                <w:szCs w:val="22"/>
              </w:rPr>
            </w:pPr>
            <w:r w:rsidRPr="00284515">
              <w:rPr>
                <w:rFonts w:ascii="Constantia" w:hAnsi="Constantia" w:cs="Arial"/>
                <w:b/>
                <w:bCs/>
                <w:color w:val="000000"/>
                <w:szCs w:val="22"/>
              </w:rPr>
              <w:t>Lokacija</w:t>
            </w:r>
          </w:p>
        </w:tc>
        <w:tc>
          <w:tcPr>
            <w:tcW w:w="7130" w:type="dxa"/>
            <w:shd w:val="clear" w:color="auto" w:fill="E6EED5"/>
          </w:tcPr>
          <w:p w:rsidR="004B071C" w:rsidRPr="00284515" w:rsidRDefault="004B071C" w:rsidP="004E680E">
            <w:pPr>
              <w:spacing w:after="0"/>
              <w:jc w:val="left"/>
              <w:rPr>
                <w:rFonts w:ascii="Constantia" w:hAnsi="Constantia" w:cs="Arial"/>
                <w:b/>
                <w:bCs/>
                <w:color w:val="000000"/>
                <w:szCs w:val="22"/>
              </w:rPr>
            </w:pPr>
            <w:r w:rsidRPr="00284515">
              <w:rPr>
                <w:rFonts w:ascii="Constantia" w:hAnsi="Constantia" w:cs="Arial"/>
                <w:b/>
                <w:bCs/>
                <w:color w:val="000000"/>
                <w:szCs w:val="22"/>
              </w:rPr>
              <w:t xml:space="preserve">Registrovane vrste </w:t>
            </w:r>
          </w:p>
        </w:tc>
      </w:tr>
      <w:tr w:rsidR="004B071C" w:rsidRPr="00284515" w:rsidTr="00303DA3">
        <w:tc>
          <w:tcPr>
            <w:tcW w:w="1960" w:type="dxa"/>
            <w:shd w:val="clear" w:color="auto" w:fill="CDDDAC"/>
          </w:tcPr>
          <w:p w:rsidR="004B071C" w:rsidRPr="00284515" w:rsidRDefault="004B071C" w:rsidP="004E680E">
            <w:pPr>
              <w:spacing w:after="0"/>
              <w:jc w:val="left"/>
              <w:rPr>
                <w:rFonts w:ascii="Constantia" w:hAnsi="Constantia" w:cs="Arial"/>
                <w:b/>
                <w:bCs/>
                <w:color w:val="000000"/>
                <w:szCs w:val="22"/>
              </w:rPr>
            </w:pPr>
            <w:r w:rsidRPr="00284515">
              <w:rPr>
                <w:rFonts w:ascii="Constantia" w:hAnsi="Constantia" w:cs="Arial"/>
                <w:b/>
                <w:bCs/>
                <w:color w:val="000000"/>
                <w:szCs w:val="22"/>
              </w:rPr>
              <w:t>Bukova šuma</w:t>
            </w:r>
          </w:p>
        </w:tc>
        <w:tc>
          <w:tcPr>
            <w:tcW w:w="7130" w:type="dxa"/>
            <w:shd w:val="clear" w:color="auto" w:fill="CDDDAC"/>
          </w:tcPr>
          <w:p w:rsidR="004B071C" w:rsidRPr="00284515" w:rsidRDefault="004B071C" w:rsidP="004E680E">
            <w:pPr>
              <w:spacing w:after="0"/>
              <w:jc w:val="left"/>
              <w:rPr>
                <w:rFonts w:ascii="Constantia" w:hAnsi="Constantia" w:cs="Arial"/>
                <w:bCs/>
                <w:i/>
                <w:color w:val="000000"/>
                <w:szCs w:val="22"/>
              </w:rPr>
            </w:pPr>
            <w:r w:rsidRPr="00284515">
              <w:rPr>
                <w:rFonts w:ascii="Constantia" w:hAnsi="Constantia" w:cs="Arial"/>
                <w:bCs/>
                <w:i/>
                <w:color w:val="000000"/>
                <w:szCs w:val="22"/>
              </w:rPr>
              <w:t>Dendrocopos leucotos, Dendrocopos medius, Dryocopus martius, Ficedula albicollis, Ficedula parva</w:t>
            </w:r>
          </w:p>
        </w:tc>
      </w:tr>
      <w:tr w:rsidR="004B071C" w:rsidRPr="00284515" w:rsidTr="00303DA3">
        <w:tc>
          <w:tcPr>
            <w:tcW w:w="1960" w:type="dxa"/>
            <w:shd w:val="clear" w:color="auto" w:fill="E6EED5"/>
          </w:tcPr>
          <w:p w:rsidR="004B071C" w:rsidRPr="00284515" w:rsidRDefault="004B071C" w:rsidP="004E680E">
            <w:pPr>
              <w:spacing w:after="0"/>
              <w:jc w:val="left"/>
              <w:rPr>
                <w:rFonts w:ascii="Constantia" w:hAnsi="Constantia" w:cs="Arial"/>
                <w:b/>
                <w:bCs/>
                <w:color w:val="000000"/>
                <w:szCs w:val="22"/>
              </w:rPr>
            </w:pPr>
            <w:r w:rsidRPr="00284515">
              <w:rPr>
                <w:rFonts w:ascii="Constantia" w:hAnsi="Constantia" w:cs="Arial"/>
                <w:b/>
                <w:bCs/>
                <w:color w:val="000000"/>
                <w:szCs w:val="22"/>
              </w:rPr>
              <w:t>Kanjon u najužem smislu</w:t>
            </w:r>
          </w:p>
        </w:tc>
        <w:tc>
          <w:tcPr>
            <w:tcW w:w="7130" w:type="dxa"/>
            <w:shd w:val="clear" w:color="auto" w:fill="E6EED5"/>
          </w:tcPr>
          <w:p w:rsidR="004B071C" w:rsidRPr="00284515" w:rsidRDefault="004B071C" w:rsidP="004E680E">
            <w:pPr>
              <w:spacing w:after="0"/>
              <w:jc w:val="left"/>
              <w:rPr>
                <w:rFonts w:ascii="Constantia" w:hAnsi="Constantia" w:cs="Arial"/>
                <w:bCs/>
                <w:i/>
                <w:color w:val="000000"/>
                <w:szCs w:val="22"/>
              </w:rPr>
            </w:pPr>
            <w:r w:rsidRPr="00284515">
              <w:rPr>
                <w:rFonts w:ascii="Constantia" w:hAnsi="Constantia" w:cs="Arial"/>
                <w:bCs/>
                <w:i/>
                <w:color w:val="000000"/>
                <w:szCs w:val="22"/>
              </w:rPr>
              <w:t>Mergus merganser, Aquila chrysaetos, Bubo bubo, Falco peregrinus, Ptyoinoprogone rupestris, Tichodroma muraria, Monticola saxatilis</w:t>
            </w:r>
          </w:p>
        </w:tc>
      </w:tr>
      <w:tr w:rsidR="004B071C" w:rsidRPr="00284515" w:rsidTr="00303DA3">
        <w:tc>
          <w:tcPr>
            <w:tcW w:w="1960" w:type="dxa"/>
            <w:shd w:val="clear" w:color="auto" w:fill="CDDDAC"/>
          </w:tcPr>
          <w:p w:rsidR="004B071C" w:rsidRPr="00284515" w:rsidRDefault="004B071C" w:rsidP="004E680E">
            <w:pPr>
              <w:spacing w:after="0"/>
              <w:jc w:val="left"/>
              <w:rPr>
                <w:rFonts w:ascii="Constantia" w:hAnsi="Constantia" w:cs="Arial"/>
                <w:b/>
                <w:bCs/>
                <w:color w:val="000000"/>
                <w:szCs w:val="22"/>
              </w:rPr>
            </w:pPr>
            <w:r w:rsidRPr="00284515">
              <w:rPr>
                <w:rFonts w:ascii="Constantia" w:hAnsi="Constantia" w:cs="Arial"/>
                <w:b/>
                <w:bCs/>
                <w:color w:val="000000"/>
                <w:szCs w:val="22"/>
              </w:rPr>
              <w:t>Sela Duži, Bajovo polje, Donja Brezna</w:t>
            </w:r>
          </w:p>
        </w:tc>
        <w:tc>
          <w:tcPr>
            <w:tcW w:w="7130" w:type="dxa"/>
            <w:shd w:val="clear" w:color="auto" w:fill="CDDDAC"/>
          </w:tcPr>
          <w:p w:rsidR="004B071C" w:rsidRPr="00284515" w:rsidRDefault="004B071C" w:rsidP="004E680E">
            <w:pPr>
              <w:spacing w:after="0"/>
              <w:jc w:val="left"/>
              <w:rPr>
                <w:rFonts w:ascii="Constantia" w:hAnsi="Constantia" w:cs="Arial"/>
                <w:bCs/>
                <w:i/>
                <w:color w:val="000000"/>
                <w:szCs w:val="22"/>
              </w:rPr>
            </w:pPr>
            <w:r w:rsidRPr="00284515">
              <w:rPr>
                <w:rFonts w:ascii="Constantia" w:hAnsi="Constantia" w:cs="Arial"/>
                <w:bCs/>
                <w:i/>
                <w:color w:val="000000"/>
                <w:szCs w:val="22"/>
              </w:rPr>
              <w:t>Otus scops, Caprimulgus europeus, Dendrocopos syriacus, Upupa epops, Picus canus, Jynx torquilla, Oenanthe oenanthe, Parus lugubris, Lanius minor, Lanius collurio, Emberiza cia, Emberiza cirlus, Emberiza citrinella, Miliaria calandra</w:t>
            </w:r>
          </w:p>
        </w:tc>
      </w:tr>
    </w:tbl>
    <w:p w:rsidR="004B071C" w:rsidRPr="00303DA3" w:rsidRDefault="004B071C" w:rsidP="004B071C">
      <w:pPr>
        <w:pStyle w:val="Tabele"/>
        <w:spacing w:before="60" w:after="240"/>
        <w:ind w:left="714" w:hanging="357"/>
        <w:rPr>
          <w:rFonts w:ascii="Constantia" w:hAnsi="Constantia"/>
          <w:sz w:val="22"/>
          <w:szCs w:val="22"/>
        </w:rPr>
      </w:pPr>
      <w:r w:rsidRPr="00303DA3">
        <w:rPr>
          <w:rFonts w:ascii="Constantia" w:hAnsi="Constantia"/>
          <w:sz w:val="22"/>
          <w:szCs w:val="22"/>
        </w:rPr>
        <w:t>Ptice</w:t>
      </w:r>
    </w:p>
    <w:p w:rsidR="004B071C" w:rsidRDefault="004B071C" w:rsidP="00734273">
      <w:pPr>
        <w:spacing w:before="60" w:after="0"/>
        <w:rPr>
          <w:i/>
          <w:szCs w:val="22"/>
          <w:lang w:val="sr-Latn-CS"/>
        </w:rPr>
      </w:pPr>
    </w:p>
    <w:p w:rsidR="004B071C" w:rsidRPr="00734273" w:rsidRDefault="004B071C" w:rsidP="00734273">
      <w:pPr>
        <w:pStyle w:val="Heading4"/>
        <w:spacing w:after="240"/>
        <w:rPr>
          <w:sz w:val="22"/>
          <w:szCs w:val="22"/>
          <w:lang w:val="sr-Latn-CS"/>
        </w:rPr>
      </w:pPr>
      <w:r w:rsidRPr="00734273">
        <w:rPr>
          <w:sz w:val="22"/>
          <w:szCs w:val="22"/>
          <w:lang w:val="sr-Latn-CS"/>
        </w:rPr>
        <w:lastRenderedPageBreak/>
        <w:t>Sisari (Mammalia)</w:t>
      </w:r>
    </w:p>
    <w:p w:rsidR="004B071C" w:rsidRPr="00734273" w:rsidRDefault="004B071C" w:rsidP="004B071C">
      <w:pPr>
        <w:spacing w:before="60" w:after="240"/>
        <w:rPr>
          <w:rFonts w:ascii="Constantia" w:hAnsi="Constantia"/>
          <w:szCs w:val="22"/>
        </w:rPr>
      </w:pPr>
      <w:r w:rsidRPr="00734273">
        <w:rPr>
          <w:rFonts w:ascii="Constantia" w:hAnsi="Constantia"/>
          <w:szCs w:val="22"/>
          <w:lang w:val="sr-Latn-CS"/>
        </w:rPr>
        <w:t>Datum</w:t>
      </w:r>
      <w:r w:rsidR="007C12D1">
        <w:rPr>
          <w:rFonts w:ascii="Constantia" w:hAnsi="Constantia"/>
          <w:szCs w:val="22"/>
          <w:lang w:val="sr-Latn-CS"/>
        </w:rPr>
        <w:t>i</w:t>
      </w:r>
      <w:r w:rsidRPr="00734273">
        <w:rPr>
          <w:rFonts w:ascii="Constantia" w:hAnsi="Constantia"/>
          <w:szCs w:val="22"/>
          <w:lang w:val="sr-Latn-CS"/>
        </w:rPr>
        <w:t xml:space="preserve"> istraživanja</w:t>
      </w:r>
      <w:r w:rsidRPr="00734273">
        <w:rPr>
          <w:rFonts w:ascii="Constantia" w:hAnsi="Constantia"/>
          <w:szCs w:val="22"/>
        </w:rPr>
        <w:t>: 17.6.2013., 19.9.2013., 20.11.2013.</w:t>
      </w:r>
      <w:r w:rsidR="00734273">
        <w:rPr>
          <w:rFonts w:ascii="Constantia" w:hAnsi="Constantia"/>
          <w:szCs w:val="22"/>
        </w:rPr>
        <w:t xml:space="preserve"> </w:t>
      </w:r>
      <w:r w:rsidRPr="00734273">
        <w:rPr>
          <w:rFonts w:ascii="Constantia" w:hAnsi="Constantia"/>
          <w:szCs w:val="22"/>
        </w:rPr>
        <w:t>i 20.12.2013.</w:t>
      </w:r>
    </w:p>
    <w:tbl>
      <w:tblPr>
        <w:tblW w:w="9000" w:type="dxa"/>
        <w:tblInd w:w="108"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firstRow="1" w:lastRow="0" w:firstColumn="1" w:lastColumn="0" w:noHBand="0" w:noVBand="1"/>
      </w:tblPr>
      <w:tblGrid>
        <w:gridCol w:w="2700"/>
        <w:gridCol w:w="6300"/>
      </w:tblGrid>
      <w:tr w:rsidR="004B071C" w:rsidRPr="00284515" w:rsidTr="00734273">
        <w:tc>
          <w:tcPr>
            <w:tcW w:w="2700" w:type="dxa"/>
            <w:shd w:val="clear" w:color="auto" w:fill="E6EED5"/>
          </w:tcPr>
          <w:p w:rsidR="004B071C" w:rsidRPr="00284515" w:rsidRDefault="004B071C" w:rsidP="00734273">
            <w:pPr>
              <w:tabs>
                <w:tab w:val="left" w:pos="1227"/>
              </w:tabs>
              <w:spacing w:after="0"/>
              <w:jc w:val="left"/>
              <w:rPr>
                <w:rFonts w:ascii="Constantia" w:hAnsi="Constantia" w:cs="Arial"/>
                <w:b/>
                <w:bCs/>
                <w:color w:val="000000"/>
                <w:szCs w:val="22"/>
              </w:rPr>
            </w:pPr>
            <w:r w:rsidRPr="00284515">
              <w:rPr>
                <w:rFonts w:ascii="Constantia" w:hAnsi="Constantia" w:cs="Arial"/>
                <w:b/>
                <w:bCs/>
                <w:color w:val="000000"/>
                <w:szCs w:val="22"/>
              </w:rPr>
              <w:t>Lokacija</w:t>
            </w:r>
          </w:p>
        </w:tc>
        <w:tc>
          <w:tcPr>
            <w:tcW w:w="6300" w:type="dxa"/>
            <w:shd w:val="clear" w:color="auto" w:fill="E6EED5"/>
          </w:tcPr>
          <w:p w:rsidR="004B071C" w:rsidRPr="00284515" w:rsidRDefault="004B071C" w:rsidP="00734273">
            <w:pPr>
              <w:spacing w:after="0"/>
              <w:jc w:val="left"/>
              <w:rPr>
                <w:rFonts w:ascii="Constantia" w:hAnsi="Constantia" w:cs="Arial"/>
                <w:b/>
                <w:bCs/>
                <w:color w:val="000000"/>
                <w:szCs w:val="22"/>
              </w:rPr>
            </w:pPr>
            <w:r w:rsidRPr="00284515">
              <w:rPr>
                <w:rFonts w:ascii="Constantia" w:hAnsi="Constantia" w:cs="Arial"/>
                <w:b/>
                <w:bCs/>
                <w:color w:val="000000"/>
                <w:szCs w:val="22"/>
              </w:rPr>
              <w:t>Registrovane vrste</w:t>
            </w:r>
          </w:p>
        </w:tc>
      </w:tr>
      <w:tr w:rsidR="004B071C" w:rsidRPr="00284515" w:rsidTr="00734273">
        <w:tc>
          <w:tcPr>
            <w:tcW w:w="2700" w:type="dxa"/>
            <w:shd w:val="clear" w:color="auto" w:fill="CDDDAC"/>
          </w:tcPr>
          <w:p w:rsidR="004B071C" w:rsidRPr="00284515" w:rsidRDefault="00734273" w:rsidP="00734273">
            <w:pPr>
              <w:spacing w:after="0"/>
              <w:jc w:val="left"/>
              <w:rPr>
                <w:rFonts w:ascii="Constantia" w:hAnsi="Constantia" w:cs="Arial"/>
                <w:b/>
                <w:bCs/>
                <w:color w:val="000000"/>
                <w:szCs w:val="22"/>
              </w:rPr>
            </w:pPr>
            <w:r w:rsidRPr="00284515">
              <w:rPr>
                <w:rFonts w:ascii="Constantia" w:hAnsi="Constantia" w:cs="Arial"/>
                <w:b/>
                <w:bCs/>
                <w:color w:val="000000"/>
                <w:szCs w:val="22"/>
              </w:rPr>
              <w:t>Kanjon K</w:t>
            </w:r>
            <w:r w:rsidR="004B071C" w:rsidRPr="00284515">
              <w:rPr>
                <w:rFonts w:ascii="Constantia" w:hAnsi="Constantia" w:cs="Arial"/>
                <w:b/>
                <w:bCs/>
                <w:color w:val="000000"/>
                <w:szCs w:val="22"/>
              </w:rPr>
              <w:t>omarnice</w:t>
            </w:r>
          </w:p>
        </w:tc>
        <w:tc>
          <w:tcPr>
            <w:tcW w:w="6300" w:type="dxa"/>
            <w:shd w:val="clear" w:color="auto" w:fill="CDDDAC"/>
          </w:tcPr>
          <w:p w:rsidR="004B071C" w:rsidRPr="00284515" w:rsidRDefault="004B071C" w:rsidP="00734273">
            <w:pPr>
              <w:spacing w:after="0"/>
              <w:jc w:val="left"/>
              <w:rPr>
                <w:rFonts w:ascii="Constantia" w:hAnsi="Constantia" w:cs="Arial"/>
                <w:bCs/>
                <w:i/>
                <w:color w:val="000000"/>
                <w:szCs w:val="22"/>
              </w:rPr>
            </w:pPr>
            <w:r w:rsidRPr="00284515">
              <w:rPr>
                <w:rFonts w:ascii="Constantia" w:hAnsi="Constantia" w:cs="Arial"/>
                <w:bCs/>
                <w:i/>
                <w:color w:val="000000"/>
                <w:szCs w:val="22"/>
              </w:rPr>
              <w:t>Vulpes vulpes</w:t>
            </w:r>
          </w:p>
          <w:p w:rsidR="004B071C" w:rsidRPr="00284515" w:rsidRDefault="004B071C" w:rsidP="00734273">
            <w:pPr>
              <w:spacing w:after="0"/>
              <w:jc w:val="left"/>
              <w:rPr>
                <w:rFonts w:ascii="Constantia" w:hAnsi="Constantia" w:cs="Arial"/>
                <w:bCs/>
                <w:i/>
                <w:color w:val="000000"/>
                <w:szCs w:val="22"/>
              </w:rPr>
            </w:pPr>
            <w:r w:rsidRPr="00284515">
              <w:rPr>
                <w:rFonts w:ascii="Constantia" w:hAnsi="Constantia" w:cs="Arial"/>
                <w:bCs/>
                <w:i/>
                <w:color w:val="000000"/>
                <w:szCs w:val="22"/>
              </w:rPr>
              <w:t>Canis lupus</w:t>
            </w:r>
          </w:p>
          <w:p w:rsidR="004B071C" w:rsidRPr="00284515" w:rsidRDefault="004B071C" w:rsidP="00734273">
            <w:pPr>
              <w:spacing w:after="0"/>
              <w:jc w:val="left"/>
              <w:rPr>
                <w:rFonts w:ascii="Constantia" w:hAnsi="Constantia" w:cs="Arial"/>
                <w:bCs/>
                <w:i/>
                <w:color w:val="000000"/>
                <w:szCs w:val="22"/>
              </w:rPr>
            </w:pPr>
            <w:r w:rsidRPr="00284515">
              <w:rPr>
                <w:rFonts w:ascii="Constantia" w:hAnsi="Constantia" w:cs="Arial"/>
                <w:bCs/>
                <w:i/>
                <w:color w:val="000000"/>
                <w:szCs w:val="22"/>
              </w:rPr>
              <w:t>Lepus europaeus</w:t>
            </w:r>
          </w:p>
          <w:p w:rsidR="004B071C" w:rsidRPr="00284515" w:rsidRDefault="004B071C" w:rsidP="00734273">
            <w:pPr>
              <w:spacing w:after="0"/>
              <w:jc w:val="left"/>
              <w:rPr>
                <w:rFonts w:ascii="Constantia" w:hAnsi="Constantia" w:cs="Arial"/>
                <w:bCs/>
                <w:i/>
                <w:color w:val="000000"/>
                <w:szCs w:val="22"/>
              </w:rPr>
            </w:pPr>
            <w:r w:rsidRPr="00284515">
              <w:rPr>
                <w:rFonts w:ascii="Constantia" w:hAnsi="Constantia" w:cs="Arial"/>
                <w:bCs/>
                <w:i/>
                <w:color w:val="000000"/>
                <w:szCs w:val="22"/>
              </w:rPr>
              <w:t>Ursus arctos</w:t>
            </w:r>
          </w:p>
        </w:tc>
      </w:tr>
    </w:tbl>
    <w:p w:rsidR="004B071C" w:rsidRDefault="00267089" w:rsidP="004B071C">
      <w:pPr>
        <w:pStyle w:val="Tabele"/>
        <w:spacing w:before="60" w:after="240"/>
        <w:ind w:left="714" w:hanging="357"/>
        <w:rPr>
          <w:rFonts w:ascii="Constantia" w:hAnsi="Constantia"/>
          <w:sz w:val="22"/>
          <w:szCs w:val="22"/>
        </w:rPr>
      </w:pPr>
      <w:r>
        <w:rPr>
          <w:rFonts w:ascii="Constantia" w:hAnsi="Constantia"/>
          <w:sz w:val="22"/>
          <w:szCs w:val="22"/>
        </w:rPr>
        <w:t xml:space="preserve"> </w:t>
      </w:r>
      <w:r w:rsidR="004B071C" w:rsidRPr="00734273">
        <w:rPr>
          <w:rFonts w:ascii="Constantia" w:hAnsi="Constantia"/>
          <w:sz w:val="22"/>
          <w:szCs w:val="22"/>
        </w:rPr>
        <w:t>Sisari</w:t>
      </w:r>
    </w:p>
    <w:p w:rsidR="00734273" w:rsidRPr="00734273" w:rsidRDefault="00734273" w:rsidP="00734273">
      <w:pPr>
        <w:pStyle w:val="Tabele"/>
        <w:numPr>
          <w:ilvl w:val="0"/>
          <w:numId w:val="0"/>
        </w:numPr>
        <w:spacing w:before="0" w:after="0"/>
        <w:ind w:left="714"/>
        <w:jc w:val="both"/>
        <w:rPr>
          <w:rFonts w:ascii="Constantia" w:hAnsi="Constantia"/>
          <w:sz w:val="22"/>
          <w:szCs w:val="22"/>
        </w:rPr>
      </w:pPr>
    </w:p>
    <w:p w:rsidR="004B071C" w:rsidRDefault="004B071C" w:rsidP="007C12D1">
      <w:pPr>
        <w:pStyle w:val="Heading3"/>
        <w:numPr>
          <w:ilvl w:val="2"/>
          <w:numId w:val="2"/>
        </w:numPr>
        <w:spacing w:before="0"/>
      </w:pPr>
      <w:bookmarkStart w:id="142" w:name="_Toc393897924"/>
      <w:r w:rsidRPr="00EA05D6">
        <w:t>Kanjon rijeke Mrtvice</w:t>
      </w:r>
      <w:bookmarkEnd w:id="142"/>
    </w:p>
    <w:p w:rsidR="007C12D1" w:rsidRDefault="007C12D1" w:rsidP="007C12D1">
      <w:pPr>
        <w:pStyle w:val="Heading4"/>
        <w:numPr>
          <w:ilvl w:val="0"/>
          <w:numId w:val="0"/>
        </w:numPr>
        <w:ind w:left="1134"/>
        <w:rPr>
          <w:lang w:val="sr-Latn-CS"/>
        </w:rPr>
      </w:pPr>
    </w:p>
    <w:p w:rsidR="004B071C" w:rsidRPr="007C12D1" w:rsidRDefault="004B071C" w:rsidP="00284515">
      <w:pPr>
        <w:pStyle w:val="Heading4"/>
        <w:spacing w:before="0" w:after="240"/>
        <w:rPr>
          <w:sz w:val="22"/>
          <w:szCs w:val="22"/>
          <w:lang w:val="sr-Latn-CS"/>
        </w:rPr>
      </w:pPr>
      <w:r w:rsidRPr="007C12D1">
        <w:rPr>
          <w:sz w:val="22"/>
          <w:szCs w:val="22"/>
          <w:lang w:val="sr-Latn-CS"/>
        </w:rPr>
        <w:t>Flora</w:t>
      </w:r>
    </w:p>
    <w:tbl>
      <w:tblPr>
        <w:tblW w:w="9000" w:type="dxa"/>
        <w:tblInd w:w="108"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firstRow="1" w:lastRow="0" w:firstColumn="1" w:lastColumn="0" w:noHBand="0" w:noVBand="1"/>
      </w:tblPr>
      <w:tblGrid>
        <w:gridCol w:w="2088"/>
        <w:gridCol w:w="2340"/>
        <w:gridCol w:w="2160"/>
        <w:gridCol w:w="2412"/>
      </w:tblGrid>
      <w:tr w:rsidR="004B071C" w:rsidRPr="00284515" w:rsidTr="00267089">
        <w:tc>
          <w:tcPr>
            <w:tcW w:w="2088" w:type="dxa"/>
            <w:shd w:val="clear" w:color="auto" w:fill="E6EED5"/>
          </w:tcPr>
          <w:p w:rsidR="004B071C" w:rsidRPr="00284515" w:rsidRDefault="004B071C" w:rsidP="00267089">
            <w:pPr>
              <w:spacing w:after="0"/>
              <w:jc w:val="center"/>
              <w:rPr>
                <w:rFonts w:ascii="Constantia" w:hAnsi="Constantia"/>
                <w:b/>
                <w:bCs/>
                <w:szCs w:val="22"/>
              </w:rPr>
            </w:pPr>
            <w:r w:rsidRPr="00284515">
              <w:rPr>
                <w:rFonts w:ascii="Constantia" w:hAnsi="Constantia"/>
                <w:b/>
                <w:bCs/>
                <w:szCs w:val="22"/>
              </w:rPr>
              <w:t>Lokacija</w:t>
            </w:r>
          </w:p>
        </w:tc>
        <w:tc>
          <w:tcPr>
            <w:tcW w:w="2340" w:type="dxa"/>
            <w:shd w:val="clear" w:color="auto" w:fill="E6EED5"/>
          </w:tcPr>
          <w:p w:rsidR="004B071C" w:rsidRPr="00284515" w:rsidRDefault="004B071C" w:rsidP="00267089">
            <w:pPr>
              <w:spacing w:after="0"/>
              <w:jc w:val="center"/>
              <w:rPr>
                <w:rFonts w:ascii="Constantia" w:hAnsi="Constantia"/>
                <w:b/>
                <w:bCs/>
                <w:szCs w:val="22"/>
              </w:rPr>
            </w:pPr>
            <w:r w:rsidRPr="00284515">
              <w:rPr>
                <w:rFonts w:ascii="Constantia" w:hAnsi="Constantia"/>
                <w:b/>
                <w:bCs/>
                <w:szCs w:val="22"/>
              </w:rPr>
              <w:t>Koordinate</w:t>
            </w:r>
          </w:p>
        </w:tc>
        <w:tc>
          <w:tcPr>
            <w:tcW w:w="2160" w:type="dxa"/>
            <w:shd w:val="clear" w:color="auto" w:fill="E6EED5"/>
          </w:tcPr>
          <w:p w:rsidR="004B071C" w:rsidRPr="00284515" w:rsidRDefault="004B071C" w:rsidP="00267089">
            <w:pPr>
              <w:spacing w:after="0"/>
              <w:jc w:val="center"/>
              <w:outlineLvl w:val="3"/>
              <w:rPr>
                <w:rFonts w:ascii="Constantia" w:hAnsi="Constantia"/>
                <w:b/>
                <w:bCs/>
                <w:szCs w:val="22"/>
              </w:rPr>
            </w:pPr>
            <w:r w:rsidRPr="00284515">
              <w:rPr>
                <w:rFonts w:ascii="Constantia" w:hAnsi="Constantia"/>
                <w:b/>
                <w:bCs/>
                <w:szCs w:val="22"/>
              </w:rPr>
              <w:t>Datum terenskih istraživanja</w:t>
            </w:r>
          </w:p>
        </w:tc>
        <w:tc>
          <w:tcPr>
            <w:tcW w:w="2412" w:type="dxa"/>
            <w:shd w:val="clear" w:color="auto" w:fill="E6EED5"/>
          </w:tcPr>
          <w:p w:rsidR="004B071C" w:rsidRPr="00284515" w:rsidRDefault="004B071C" w:rsidP="00267089">
            <w:pPr>
              <w:spacing w:after="0" w:line="280" w:lineRule="exact"/>
              <w:jc w:val="center"/>
              <w:outlineLvl w:val="3"/>
              <w:rPr>
                <w:rFonts w:ascii="Constantia" w:hAnsi="Constantia"/>
                <w:b/>
                <w:bCs/>
                <w:szCs w:val="22"/>
              </w:rPr>
            </w:pPr>
            <w:r w:rsidRPr="00284515">
              <w:rPr>
                <w:rFonts w:ascii="Constantia" w:hAnsi="Constantia"/>
                <w:b/>
                <w:bCs/>
                <w:szCs w:val="22"/>
              </w:rPr>
              <w:t>Nadmorska visina</w:t>
            </w:r>
          </w:p>
        </w:tc>
      </w:tr>
      <w:tr w:rsidR="004B071C" w:rsidRPr="00284515" w:rsidTr="00267089">
        <w:tc>
          <w:tcPr>
            <w:tcW w:w="2088" w:type="dxa"/>
            <w:shd w:val="clear" w:color="auto" w:fill="CDDDAC"/>
          </w:tcPr>
          <w:p w:rsidR="004B071C" w:rsidRPr="00284515" w:rsidRDefault="004B071C" w:rsidP="00267089">
            <w:pPr>
              <w:spacing w:after="0"/>
              <w:rPr>
                <w:rFonts w:ascii="Constantia" w:hAnsi="Constantia"/>
                <w:b/>
                <w:bCs/>
                <w:szCs w:val="22"/>
              </w:rPr>
            </w:pPr>
            <w:r w:rsidRPr="00284515">
              <w:rPr>
                <w:rFonts w:ascii="Constantia" w:hAnsi="Constantia"/>
                <w:b/>
                <w:bCs/>
                <w:szCs w:val="22"/>
              </w:rPr>
              <w:t>Kanjon Mrtvice:  Međurječje</w:t>
            </w:r>
          </w:p>
        </w:tc>
        <w:tc>
          <w:tcPr>
            <w:tcW w:w="2340" w:type="dxa"/>
            <w:shd w:val="clear" w:color="auto" w:fill="CDDDAC"/>
          </w:tcPr>
          <w:p w:rsidR="004B071C" w:rsidRPr="00284515" w:rsidRDefault="004B071C" w:rsidP="00267089">
            <w:pPr>
              <w:spacing w:after="0"/>
              <w:jc w:val="center"/>
              <w:rPr>
                <w:rFonts w:ascii="Constantia" w:hAnsi="Constantia"/>
                <w:bCs/>
                <w:szCs w:val="22"/>
              </w:rPr>
            </w:pPr>
            <w:r w:rsidRPr="00284515">
              <w:rPr>
                <w:rFonts w:ascii="Constantia" w:hAnsi="Constantia"/>
                <w:bCs/>
                <w:szCs w:val="22"/>
              </w:rPr>
              <w:t>N 42° 44 385</w:t>
            </w:r>
          </w:p>
          <w:p w:rsidR="004B071C" w:rsidRPr="00284515" w:rsidRDefault="004B071C" w:rsidP="00267089">
            <w:pPr>
              <w:spacing w:after="0"/>
              <w:jc w:val="center"/>
              <w:rPr>
                <w:rFonts w:ascii="Constantia" w:hAnsi="Constantia"/>
                <w:bCs/>
                <w:szCs w:val="22"/>
              </w:rPr>
            </w:pPr>
            <w:r w:rsidRPr="00284515">
              <w:rPr>
                <w:rFonts w:ascii="Constantia" w:hAnsi="Constantia"/>
                <w:bCs/>
                <w:szCs w:val="22"/>
              </w:rPr>
              <w:t>E 019° 21 595 i</w:t>
            </w:r>
          </w:p>
          <w:p w:rsidR="004B071C" w:rsidRPr="00284515" w:rsidRDefault="004B071C" w:rsidP="00267089">
            <w:pPr>
              <w:spacing w:after="0"/>
              <w:jc w:val="center"/>
              <w:rPr>
                <w:rFonts w:ascii="Constantia" w:hAnsi="Constantia"/>
                <w:bCs/>
                <w:szCs w:val="22"/>
              </w:rPr>
            </w:pPr>
            <w:r w:rsidRPr="00284515">
              <w:rPr>
                <w:rFonts w:ascii="Constantia" w:hAnsi="Constantia"/>
                <w:bCs/>
                <w:szCs w:val="22"/>
              </w:rPr>
              <w:t>N 42° 43 253</w:t>
            </w:r>
          </w:p>
          <w:p w:rsidR="004B071C" w:rsidRPr="00284515" w:rsidRDefault="004B071C" w:rsidP="00267089">
            <w:pPr>
              <w:spacing w:after="0"/>
              <w:jc w:val="center"/>
              <w:rPr>
                <w:rFonts w:ascii="Constantia" w:hAnsi="Constantia"/>
                <w:b/>
                <w:bCs/>
                <w:szCs w:val="22"/>
              </w:rPr>
            </w:pPr>
            <w:r w:rsidRPr="00284515">
              <w:rPr>
                <w:rFonts w:ascii="Constantia" w:hAnsi="Constantia"/>
                <w:bCs/>
                <w:szCs w:val="22"/>
              </w:rPr>
              <w:t>E 019° 22 368</w:t>
            </w:r>
          </w:p>
        </w:tc>
        <w:tc>
          <w:tcPr>
            <w:tcW w:w="2160" w:type="dxa"/>
            <w:shd w:val="clear" w:color="auto" w:fill="CDDDAC"/>
          </w:tcPr>
          <w:p w:rsidR="004B071C" w:rsidRPr="00284515" w:rsidRDefault="004B071C" w:rsidP="00267089">
            <w:pPr>
              <w:spacing w:after="0"/>
              <w:jc w:val="center"/>
              <w:rPr>
                <w:rFonts w:ascii="Constantia" w:hAnsi="Constantia"/>
                <w:szCs w:val="22"/>
              </w:rPr>
            </w:pPr>
            <w:r w:rsidRPr="00284515">
              <w:rPr>
                <w:rFonts w:ascii="Constantia" w:hAnsi="Constantia"/>
                <w:szCs w:val="22"/>
              </w:rPr>
              <w:t>23. 09. 2013.</w:t>
            </w:r>
          </w:p>
        </w:tc>
        <w:tc>
          <w:tcPr>
            <w:tcW w:w="2412" w:type="dxa"/>
            <w:shd w:val="clear" w:color="auto" w:fill="CDDDAC"/>
          </w:tcPr>
          <w:p w:rsidR="004B071C" w:rsidRPr="00284515" w:rsidRDefault="004B071C" w:rsidP="00267089">
            <w:pPr>
              <w:spacing w:after="0"/>
              <w:jc w:val="center"/>
              <w:rPr>
                <w:rFonts w:ascii="Constantia" w:hAnsi="Constantia"/>
                <w:szCs w:val="22"/>
              </w:rPr>
            </w:pPr>
            <w:r w:rsidRPr="00284515">
              <w:rPr>
                <w:rFonts w:ascii="Constantia" w:hAnsi="Constantia"/>
                <w:szCs w:val="22"/>
              </w:rPr>
              <w:t>775 m</w:t>
            </w:r>
          </w:p>
          <w:p w:rsidR="004B071C" w:rsidRPr="00284515" w:rsidRDefault="004B071C" w:rsidP="00267089">
            <w:pPr>
              <w:spacing w:after="0"/>
              <w:jc w:val="center"/>
              <w:rPr>
                <w:rFonts w:ascii="Constantia" w:hAnsi="Constantia"/>
                <w:szCs w:val="22"/>
              </w:rPr>
            </w:pPr>
            <w:r w:rsidRPr="00284515">
              <w:rPr>
                <w:rFonts w:ascii="Constantia" w:hAnsi="Constantia"/>
                <w:szCs w:val="22"/>
              </w:rPr>
              <w:t>303 m</w:t>
            </w:r>
          </w:p>
        </w:tc>
      </w:tr>
    </w:tbl>
    <w:p w:rsidR="004B071C" w:rsidRPr="00267089" w:rsidRDefault="004B071C" w:rsidP="00267089">
      <w:pPr>
        <w:pStyle w:val="Tabele"/>
        <w:spacing w:before="60" w:after="0"/>
        <w:ind w:left="714" w:hanging="357"/>
        <w:rPr>
          <w:rFonts w:ascii="Constantia" w:hAnsi="Constantia"/>
          <w:sz w:val="22"/>
          <w:szCs w:val="22"/>
        </w:rPr>
      </w:pPr>
      <w:r w:rsidRPr="00267089">
        <w:rPr>
          <w:rFonts w:ascii="Constantia" w:hAnsi="Constantia"/>
          <w:sz w:val="22"/>
          <w:szCs w:val="22"/>
        </w:rPr>
        <w:t>Opšti podaci o istraživanim lokalitetima za biljke</w:t>
      </w:r>
    </w:p>
    <w:p w:rsidR="00267089" w:rsidRDefault="00267089" w:rsidP="00267089">
      <w:pPr>
        <w:pStyle w:val="Tabele"/>
        <w:numPr>
          <w:ilvl w:val="0"/>
          <w:numId w:val="0"/>
        </w:numPr>
        <w:spacing w:before="60" w:after="0"/>
        <w:ind w:left="714"/>
        <w:jc w:val="both"/>
      </w:pPr>
    </w:p>
    <w:p w:rsidR="00267089" w:rsidRDefault="00267089" w:rsidP="00267089">
      <w:pPr>
        <w:pStyle w:val="Tabele"/>
        <w:numPr>
          <w:ilvl w:val="0"/>
          <w:numId w:val="0"/>
        </w:numPr>
        <w:spacing w:before="60" w:after="0"/>
        <w:ind w:left="714"/>
        <w:jc w:val="both"/>
      </w:pPr>
    </w:p>
    <w:tbl>
      <w:tblPr>
        <w:tblW w:w="9000" w:type="dxa"/>
        <w:tblInd w:w="108"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firstRow="1" w:lastRow="0" w:firstColumn="1" w:lastColumn="0" w:noHBand="0" w:noVBand="1"/>
      </w:tblPr>
      <w:tblGrid>
        <w:gridCol w:w="1710"/>
        <w:gridCol w:w="2070"/>
        <w:gridCol w:w="5220"/>
      </w:tblGrid>
      <w:tr w:rsidR="004B071C" w:rsidRPr="00284515" w:rsidTr="00C658E7">
        <w:tc>
          <w:tcPr>
            <w:tcW w:w="1710" w:type="dxa"/>
            <w:shd w:val="clear" w:color="auto" w:fill="E6EED5"/>
          </w:tcPr>
          <w:p w:rsidR="004B071C" w:rsidRPr="00284515" w:rsidRDefault="004B071C" w:rsidP="00C658E7">
            <w:pPr>
              <w:jc w:val="center"/>
              <w:rPr>
                <w:rFonts w:ascii="Constantia" w:hAnsi="Constantia"/>
                <w:b/>
                <w:bCs/>
                <w:iCs/>
                <w:color w:val="000000"/>
                <w:spacing w:val="8"/>
                <w:szCs w:val="22"/>
                <w:lang w:val="sr-Latn-CS"/>
              </w:rPr>
            </w:pPr>
            <w:r w:rsidRPr="00284515">
              <w:rPr>
                <w:rFonts w:ascii="Constantia" w:hAnsi="Constantia"/>
                <w:b/>
                <w:bCs/>
                <w:iCs/>
                <w:color w:val="000000"/>
                <w:spacing w:val="8"/>
                <w:szCs w:val="22"/>
                <w:lang w:val="sr-Latn-CS"/>
              </w:rPr>
              <w:t>Lokalitet</w:t>
            </w:r>
          </w:p>
        </w:tc>
        <w:tc>
          <w:tcPr>
            <w:tcW w:w="2070" w:type="dxa"/>
            <w:shd w:val="clear" w:color="auto" w:fill="E6EED5"/>
          </w:tcPr>
          <w:p w:rsidR="004B071C" w:rsidRPr="00284515" w:rsidRDefault="004B071C" w:rsidP="00C658E7">
            <w:pPr>
              <w:jc w:val="center"/>
              <w:rPr>
                <w:rFonts w:ascii="Constantia" w:hAnsi="Constantia"/>
                <w:b/>
                <w:bCs/>
                <w:iCs/>
                <w:color w:val="000000"/>
                <w:spacing w:val="8"/>
                <w:szCs w:val="22"/>
                <w:lang w:val="sr-Latn-CS"/>
              </w:rPr>
            </w:pPr>
            <w:r w:rsidRPr="00284515">
              <w:rPr>
                <w:rFonts w:ascii="Constantia" w:hAnsi="Constantia"/>
                <w:b/>
                <w:bCs/>
                <w:iCs/>
                <w:color w:val="000000"/>
                <w:spacing w:val="8"/>
                <w:szCs w:val="22"/>
                <w:lang w:val="sr-Latn-CS"/>
              </w:rPr>
              <w:t>Kategorija</w:t>
            </w:r>
          </w:p>
        </w:tc>
        <w:tc>
          <w:tcPr>
            <w:tcW w:w="5220" w:type="dxa"/>
            <w:shd w:val="clear" w:color="auto" w:fill="E6EED5"/>
          </w:tcPr>
          <w:p w:rsidR="004B071C" w:rsidRPr="00284515" w:rsidRDefault="004B071C" w:rsidP="00C658E7">
            <w:pPr>
              <w:jc w:val="center"/>
              <w:rPr>
                <w:rFonts w:ascii="Constantia" w:hAnsi="Constantia"/>
                <w:b/>
                <w:bCs/>
                <w:iCs/>
                <w:color w:val="000000"/>
                <w:spacing w:val="8"/>
                <w:szCs w:val="22"/>
                <w:lang w:val="sr-Latn-CS"/>
              </w:rPr>
            </w:pPr>
            <w:r w:rsidRPr="00284515">
              <w:rPr>
                <w:rFonts w:ascii="Constantia" w:hAnsi="Constantia"/>
                <w:b/>
                <w:bCs/>
                <w:iCs/>
                <w:color w:val="000000"/>
                <w:spacing w:val="8"/>
                <w:szCs w:val="22"/>
                <w:lang w:val="sr-Latn-CS"/>
              </w:rPr>
              <w:t>Vrste</w:t>
            </w:r>
          </w:p>
        </w:tc>
      </w:tr>
      <w:tr w:rsidR="004B071C" w:rsidRPr="00284515" w:rsidTr="00C658E7">
        <w:trPr>
          <w:trHeight w:val="614"/>
        </w:trPr>
        <w:tc>
          <w:tcPr>
            <w:tcW w:w="1710" w:type="dxa"/>
            <w:vMerge w:val="restart"/>
            <w:shd w:val="clear" w:color="auto" w:fill="CDDDAC"/>
          </w:tcPr>
          <w:p w:rsidR="004B071C" w:rsidRPr="00284515" w:rsidRDefault="004B071C" w:rsidP="004E680E">
            <w:pPr>
              <w:rPr>
                <w:rFonts w:ascii="Constantia" w:hAnsi="Constantia"/>
                <w:b/>
                <w:bCs/>
                <w:iCs/>
                <w:color w:val="000000"/>
                <w:spacing w:val="8"/>
                <w:szCs w:val="22"/>
                <w:lang w:val="sr-Latn-CS"/>
              </w:rPr>
            </w:pPr>
            <w:r w:rsidRPr="00284515">
              <w:rPr>
                <w:rFonts w:ascii="Constantia" w:hAnsi="Constantia"/>
                <w:b/>
                <w:bCs/>
                <w:iCs/>
                <w:color w:val="000000"/>
                <w:spacing w:val="8"/>
                <w:szCs w:val="22"/>
                <w:lang w:val="sr-Latn-CS"/>
              </w:rPr>
              <w:t>Kanjon Mrtvice:  Međurječje</w:t>
            </w:r>
          </w:p>
        </w:tc>
        <w:tc>
          <w:tcPr>
            <w:tcW w:w="2070" w:type="dxa"/>
            <w:shd w:val="clear" w:color="auto" w:fill="CDDDAC"/>
          </w:tcPr>
          <w:p w:rsidR="004B071C" w:rsidRPr="00284515" w:rsidRDefault="004B071C" w:rsidP="00C658E7">
            <w:pPr>
              <w:spacing w:after="0"/>
              <w:rPr>
                <w:rFonts w:ascii="Constantia" w:hAnsi="Constantia"/>
                <w:bCs/>
                <w:iCs/>
                <w:color w:val="000000"/>
                <w:spacing w:val="8"/>
                <w:szCs w:val="22"/>
                <w:lang w:val="sr-Latn-CS"/>
              </w:rPr>
            </w:pPr>
            <w:r w:rsidRPr="00284515">
              <w:rPr>
                <w:rFonts w:ascii="Constantia" w:hAnsi="Constantia"/>
                <w:bCs/>
                <w:iCs/>
                <w:color w:val="000000"/>
                <w:spacing w:val="8"/>
                <w:szCs w:val="22"/>
                <w:lang w:val="sr-Latn-CS"/>
              </w:rPr>
              <w:t>Ostale vrste/staništa:</w:t>
            </w:r>
          </w:p>
        </w:tc>
        <w:tc>
          <w:tcPr>
            <w:tcW w:w="5220" w:type="dxa"/>
            <w:shd w:val="clear" w:color="auto" w:fill="CDDDAC"/>
          </w:tcPr>
          <w:p w:rsidR="004B071C" w:rsidRPr="00284515" w:rsidRDefault="004B071C" w:rsidP="00C658E7">
            <w:pPr>
              <w:spacing w:after="0"/>
              <w:rPr>
                <w:rFonts w:ascii="Constantia" w:hAnsi="Constantia"/>
                <w:bCs/>
                <w:i/>
                <w:iCs/>
                <w:color w:val="000000"/>
                <w:spacing w:val="8"/>
                <w:szCs w:val="22"/>
                <w:lang w:val="sr-Latn-CS"/>
              </w:rPr>
            </w:pPr>
            <w:r w:rsidRPr="00284515">
              <w:rPr>
                <w:rFonts w:ascii="Constantia" w:hAnsi="Constantia"/>
                <w:bCs/>
                <w:i/>
                <w:iCs/>
                <w:color w:val="000000"/>
                <w:spacing w:val="8"/>
                <w:szCs w:val="22"/>
                <w:lang w:val="sr-Latn-CS"/>
              </w:rPr>
              <w:t>Quercus cerris</w:t>
            </w:r>
          </w:p>
          <w:p w:rsidR="004B071C" w:rsidRPr="00284515" w:rsidRDefault="004B071C" w:rsidP="00C658E7">
            <w:pPr>
              <w:spacing w:after="0"/>
              <w:rPr>
                <w:rFonts w:ascii="Constantia" w:hAnsi="Constantia"/>
                <w:bCs/>
                <w:iCs/>
                <w:color w:val="000000"/>
                <w:spacing w:val="8"/>
                <w:szCs w:val="22"/>
                <w:lang w:val="sr-Latn-CS"/>
              </w:rPr>
            </w:pPr>
            <w:r w:rsidRPr="00284515">
              <w:rPr>
                <w:rFonts w:ascii="Constantia" w:hAnsi="Constantia"/>
                <w:bCs/>
                <w:i/>
                <w:iCs/>
                <w:color w:val="000000"/>
                <w:spacing w:val="8"/>
                <w:szCs w:val="22"/>
                <w:lang w:val="sr-Latn-CS"/>
              </w:rPr>
              <w:t>Ostrya carpinifolia</w:t>
            </w:r>
          </w:p>
        </w:tc>
      </w:tr>
      <w:tr w:rsidR="004B071C" w:rsidRPr="00284515" w:rsidTr="00C658E7">
        <w:tc>
          <w:tcPr>
            <w:tcW w:w="1710" w:type="dxa"/>
            <w:vMerge/>
            <w:shd w:val="clear" w:color="auto" w:fill="E6EED5"/>
          </w:tcPr>
          <w:p w:rsidR="004B071C" w:rsidRPr="00284515" w:rsidRDefault="004B071C" w:rsidP="004E680E">
            <w:pPr>
              <w:rPr>
                <w:rFonts w:ascii="Constantia" w:hAnsi="Constantia"/>
                <w:b/>
                <w:bCs/>
                <w:iCs/>
                <w:color w:val="000000"/>
                <w:spacing w:val="8"/>
                <w:szCs w:val="22"/>
                <w:lang w:val="sr-Latn-CS"/>
              </w:rPr>
            </w:pPr>
          </w:p>
        </w:tc>
        <w:tc>
          <w:tcPr>
            <w:tcW w:w="2070" w:type="dxa"/>
            <w:shd w:val="clear" w:color="auto" w:fill="E6EED5"/>
          </w:tcPr>
          <w:p w:rsidR="004B071C" w:rsidRPr="00284515" w:rsidRDefault="004B071C" w:rsidP="004E680E">
            <w:pPr>
              <w:rPr>
                <w:rFonts w:ascii="Constantia" w:hAnsi="Constantia"/>
                <w:b/>
                <w:bCs/>
                <w:iCs/>
                <w:color w:val="000000"/>
                <w:spacing w:val="8"/>
                <w:szCs w:val="22"/>
                <w:lang w:val="sr-Latn-CS"/>
              </w:rPr>
            </w:pPr>
            <w:r w:rsidRPr="00284515">
              <w:rPr>
                <w:rFonts w:ascii="Constantia" w:hAnsi="Constantia"/>
                <w:iCs/>
                <w:color w:val="000000"/>
                <w:spacing w:val="8"/>
                <w:szCs w:val="22"/>
                <w:lang w:val="sr-Latn-CS"/>
              </w:rPr>
              <w:t>Utvrđeno stanje</w:t>
            </w:r>
          </w:p>
        </w:tc>
        <w:tc>
          <w:tcPr>
            <w:tcW w:w="5220" w:type="dxa"/>
            <w:shd w:val="clear" w:color="auto" w:fill="E6EED5"/>
          </w:tcPr>
          <w:p w:rsidR="004B071C" w:rsidRPr="00284515" w:rsidRDefault="004B071C" w:rsidP="004E680E">
            <w:pPr>
              <w:rPr>
                <w:rFonts w:ascii="Constantia" w:hAnsi="Constantia"/>
                <w:b/>
                <w:bCs/>
                <w:iCs/>
                <w:color w:val="000000"/>
                <w:spacing w:val="8"/>
                <w:szCs w:val="22"/>
                <w:lang w:val="sr-Latn-CS"/>
              </w:rPr>
            </w:pPr>
            <w:r w:rsidRPr="00284515">
              <w:rPr>
                <w:rFonts w:ascii="Constantia" w:hAnsi="Constantia"/>
                <w:szCs w:val="22"/>
                <w:lang w:val="sr-Latn-CS"/>
              </w:rPr>
              <w:t xml:space="preserve">Na ovom lokalitetu dominiraju vrste drveća </w:t>
            </w:r>
            <w:r w:rsidRPr="00284515">
              <w:rPr>
                <w:rFonts w:ascii="Constantia" w:hAnsi="Constantia"/>
                <w:i/>
                <w:iCs/>
                <w:szCs w:val="22"/>
                <w:lang w:val="sr-Latn-CS"/>
              </w:rPr>
              <w:t>Quercus cerris, Ostrya carpinifolia, Carpinus betulus, Corylus avellana, Populus tremula</w:t>
            </w:r>
            <w:r w:rsidRPr="00284515">
              <w:rPr>
                <w:rFonts w:ascii="Constantia" w:hAnsi="Constantia"/>
                <w:szCs w:val="22"/>
                <w:lang w:val="sr-Latn-CS"/>
              </w:rPr>
              <w:t xml:space="preserve"> (na prvoj koordinati su registrovana pojedinačna stabla ili grupe stabala </w:t>
            </w:r>
            <w:r w:rsidRPr="00284515">
              <w:rPr>
                <w:rFonts w:ascii="Constantia" w:hAnsi="Constantia"/>
                <w:i/>
                <w:iCs/>
                <w:szCs w:val="22"/>
                <w:lang w:val="sr-Latn-CS"/>
              </w:rPr>
              <w:t>Pinus sylvestris</w:t>
            </w:r>
            <w:r w:rsidRPr="00284515">
              <w:rPr>
                <w:rFonts w:ascii="Constantia" w:hAnsi="Constantia"/>
                <w:szCs w:val="22"/>
                <w:lang w:val="sr-Latn-CS"/>
              </w:rPr>
              <w:t xml:space="preserve"> i </w:t>
            </w:r>
            <w:r w:rsidRPr="00284515">
              <w:rPr>
                <w:rFonts w:ascii="Constantia" w:hAnsi="Constantia"/>
                <w:i/>
                <w:iCs/>
                <w:szCs w:val="22"/>
                <w:lang w:val="sr-Latn-CS"/>
              </w:rPr>
              <w:t>Picea abies</w:t>
            </w:r>
            <w:r w:rsidRPr="00284515">
              <w:rPr>
                <w:rFonts w:ascii="Constantia" w:hAnsi="Constantia"/>
                <w:szCs w:val="22"/>
                <w:lang w:val="sr-Latn-CS"/>
              </w:rPr>
              <w:t>)</w:t>
            </w:r>
            <w:r w:rsidR="00C658E7" w:rsidRPr="00284515">
              <w:rPr>
                <w:rFonts w:ascii="Constantia" w:hAnsi="Constantia"/>
                <w:szCs w:val="22"/>
                <w:lang w:val="sr-Latn-CS"/>
              </w:rPr>
              <w:t>.</w:t>
            </w:r>
          </w:p>
        </w:tc>
      </w:tr>
    </w:tbl>
    <w:p w:rsidR="004B071C" w:rsidRDefault="00284515" w:rsidP="004B071C">
      <w:pPr>
        <w:pStyle w:val="Tabele"/>
        <w:spacing w:before="60" w:after="240"/>
        <w:ind w:left="714" w:hanging="357"/>
        <w:rPr>
          <w:rFonts w:ascii="Constantia" w:hAnsi="Constantia"/>
          <w:sz w:val="22"/>
          <w:szCs w:val="22"/>
        </w:rPr>
      </w:pPr>
      <w:r>
        <w:rPr>
          <w:rFonts w:ascii="Constantia" w:hAnsi="Constantia"/>
          <w:sz w:val="22"/>
          <w:szCs w:val="22"/>
        </w:rPr>
        <w:t xml:space="preserve"> </w:t>
      </w:r>
      <w:r w:rsidR="004B071C" w:rsidRPr="00C658E7">
        <w:rPr>
          <w:rFonts w:ascii="Constantia" w:hAnsi="Constantia"/>
          <w:sz w:val="22"/>
          <w:szCs w:val="22"/>
        </w:rPr>
        <w:t>Biljne vrste</w:t>
      </w:r>
    </w:p>
    <w:p w:rsidR="00C14DA4" w:rsidRPr="00C658E7" w:rsidRDefault="00C14DA4" w:rsidP="00C14DA4">
      <w:pPr>
        <w:pStyle w:val="Tabele"/>
        <w:numPr>
          <w:ilvl w:val="0"/>
          <w:numId w:val="0"/>
        </w:numPr>
        <w:spacing w:before="60" w:after="0"/>
        <w:jc w:val="both"/>
        <w:rPr>
          <w:rFonts w:ascii="Constantia" w:hAnsi="Constantia"/>
          <w:sz w:val="22"/>
          <w:szCs w:val="22"/>
        </w:rPr>
      </w:pPr>
    </w:p>
    <w:p w:rsidR="004B071C" w:rsidRPr="00CD3B12" w:rsidRDefault="004B071C" w:rsidP="00CD3B12">
      <w:pPr>
        <w:pStyle w:val="Heading4"/>
        <w:rPr>
          <w:sz w:val="22"/>
          <w:szCs w:val="22"/>
        </w:rPr>
      </w:pPr>
      <w:r w:rsidRPr="00CD3B12">
        <w:rPr>
          <w:sz w:val="22"/>
          <w:szCs w:val="22"/>
        </w:rPr>
        <w:t>Dend</w:t>
      </w:r>
      <w:r w:rsidR="00CD3B12">
        <w:rPr>
          <w:sz w:val="22"/>
          <w:szCs w:val="22"/>
        </w:rPr>
        <w:t>r</w:t>
      </w:r>
      <w:r w:rsidRPr="00CD3B12">
        <w:rPr>
          <w:sz w:val="22"/>
          <w:szCs w:val="22"/>
        </w:rPr>
        <w:t xml:space="preserve">oflora </w:t>
      </w:r>
    </w:p>
    <w:p w:rsidR="004B071C" w:rsidRDefault="004B071C" w:rsidP="00306859">
      <w:pPr>
        <w:spacing w:before="60" w:after="0"/>
        <w:rPr>
          <w:i/>
          <w:szCs w:val="22"/>
          <w:lang w:val="sr-Latn-CS"/>
        </w:rPr>
      </w:pPr>
    </w:p>
    <w:tbl>
      <w:tblPr>
        <w:tblW w:w="8910" w:type="dxa"/>
        <w:tblInd w:w="198"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firstRow="1" w:lastRow="0" w:firstColumn="1" w:lastColumn="0" w:noHBand="0" w:noVBand="1"/>
      </w:tblPr>
      <w:tblGrid>
        <w:gridCol w:w="2802"/>
        <w:gridCol w:w="1849"/>
        <w:gridCol w:w="2319"/>
        <w:gridCol w:w="1940"/>
      </w:tblGrid>
      <w:tr w:rsidR="004B071C" w:rsidRPr="00C14DA4" w:rsidTr="00306859">
        <w:tc>
          <w:tcPr>
            <w:tcW w:w="2802" w:type="dxa"/>
            <w:shd w:val="clear" w:color="auto" w:fill="E6EED5"/>
          </w:tcPr>
          <w:p w:rsidR="004B071C" w:rsidRPr="00C14DA4" w:rsidRDefault="004B071C" w:rsidP="00306859">
            <w:pPr>
              <w:jc w:val="center"/>
              <w:rPr>
                <w:rFonts w:ascii="Constantia" w:hAnsi="Constantia"/>
                <w:b/>
                <w:bCs/>
                <w:szCs w:val="22"/>
              </w:rPr>
            </w:pPr>
            <w:r w:rsidRPr="00C14DA4">
              <w:rPr>
                <w:rFonts w:ascii="Constantia" w:hAnsi="Constantia"/>
                <w:b/>
                <w:bCs/>
                <w:szCs w:val="22"/>
              </w:rPr>
              <w:t>Lokalitet</w:t>
            </w:r>
          </w:p>
        </w:tc>
        <w:tc>
          <w:tcPr>
            <w:tcW w:w="1849" w:type="dxa"/>
            <w:shd w:val="clear" w:color="auto" w:fill="E6EED5"/>
          </w:tcPr>
          <w:p w:rsidR="004B071C" w:rsidRPr="00C14DA4" w:rsidRDefault="004B071C" w:rsidP="00306859">
            <w:pPr>
              <w:jc w:val="center"/>
              <w:rPr>
                <w:rFonts w:ascii="Constantia" w:hAnsi="Constantia"/>
                <w:b/>
                <w:bCs/>
                <w:szCs w:val="22"/>
              </w:rPr>
            </w:pPr>
            <w:r w:rsidRPr="00C14DA4">
              <w:rPr>
                <w:rFonts w:ascii="Constantia" w:hAnsi="Constantia"/>
                <w:b/>
                <w:bCs/>
                <w:szCs w:val="22"/>
              </w:rPr>
              <w:t>Koordinate</w:t>
            </w:r>
          </w:p>
        </w:tc>
        <w:tc>
          <w:tcPr>
            <w:tcW w:w="2319" w:type="dxa"/>
            <w:shd w:val="clear" w:color="auto" w:fill="E6EED5"/>
          </w:tcPr>
          <w:p w:rsidR="004B071C" w:rsidRPr="00C14DA4" w:rsidRDefault="004B071C" w:rsidP="00306859">
            <w:pPr>
              <w:spacing w:after="0"/>
              <w:jc w:val="center"/>
              <w:outlineLvl w:val="3"/>
              <w:rPr>
                <w:rFonts w:ascii="Constantia" w:hAnsi="Constantia"/>
                <w:b/>
                <w:bCs/>
                <w:szCs w:val="22"/>
              </w:rPr>
            </w:pPr>
            <w:r w:rsidRPr="00C14DA4">
              <w:rPr>
                <w:rFonts w:ascii="Constantia" w:hAnsi="Constantia"/>
                <w:b/>
                <w:bCs/>
                <w:szCs w:val="22"/>
              </w:rPr>
              <w:t>Datum terenskih istraživanja</w:t>
            </w:r>
          </w:p>
        </w:tc>
        <w:tc>
          <w:tcPr>
            <w:tcW w:w="1940" w:type="dxa"/>
            <w:shd w:val="clear" w:color="auto" w:fill="E6EED5"/>
          </w:tcPr>
          <w:p w:rsidR="004B071C" w:rsidRPr="00C14DA4" w:rsidRDefault="004B071C" w:rsidP="00306859">
            <w:pPr>
              <w:spacing w:after="0" w:line="280" w:lineRule="exact"/>
              <w:jc w:val="center"/>
              <w:outlineLvl w:val="3"/>
              <w:rPr>
                <w:rFonts w:ascii="Constantia" w:hAnsi="Constantia"/>
                <w:b/>
                <w:bCs/>
                <w:szCs w:val="22"/>
              </w:rPr>
            </w:pPr>
            <w:r w:rsidRPr="00C14DA4">
              <w:rPr>
                <w:rFonts w:ascii="Constantia" w:hAnsi="Constantia"/>
                <w:b/>
                <w:bCs/>
                <w:szCs w:val="22"/>
              </w:rPr>
              <w:t>Nadmorska visina</w:t>
            </w:r>
          </w:p>
        </w:tc>
      </w:tr>
      <w:tr w:rsidR="004B071C" w:rsidRPr="00C14DA4" w:rsidTr="00306859">
        <w:tc>
          <w:tcPr>
            <w:tcW w:w="2802" w:type="dxa"/>
            <w:shd w:val="clear" w:color="auto" w:fill="CDDDAC"/>
          </w:tcPr>
          <w:p w:rsidR="004B071C" w:rsidRPr="00C14DA4" w:rsidRDefault="004B071C" w:rsidP="00306859">
            <w:pPr>
              <w:jc w:val="left"/>
              <w:rPr>
                <w:rFonts w:ascii="Constantia" w:hAnsi="Constantia"/>
                <w:b/>
                <w:bCs/>
                <w:szCs w:val="22"/>
              </w:rPr>
            </w:pPr>
            <w:r w:rsidRPr="00C14DA4">
              <w:rPr>
                <w:rFonts w:ascii="Constantia" w:hAnsi="Constantia"/>
                <w:b/>
                <w:bCs/>
                <w:szCs w:val="22"/>
              </w:rPr>
              <w:t>Kanjon Mrtvice:  Međurječje</w:t>
            </w:r>
          </w:p>
        </w:tc>
        <w:tc>
          <w:tcPr>
            <w:tcW w:w="1849" w:type="dxa"/>
            <w:shd w:val="clear" w:color="auto" w:fill="CDDDAC"/>
          </w:tcPr>
          <w:p w:rsidR="004B071C" w:rsidRPr="00C14DA4" w:rsidRDefault="004B071C" w:rsidP="00306859">
            <w:pPr>
              <w:jc w:val="center"/>
              <w:rPr>
                <w:rFonts w:ascii="Constantia" w:hAnsi="Constantia"/>
                <w:bCs/>
                <w:szCs w:val="22"/>
              </w:rPr>
            </w:pPr>
            <w:r w:rsidRPr="00C14DA4">
              <w:rPr>
                <w:rFonts w:ascii="Constantia" w:hAnsi="Constantia"/>
                <w:bCs/>
                <w:szCs w:val="22"/>
              </w:rPr>
              <w:t>N 42° 44’ 38.5’’, EO 19° 21’ 5952</w:t>
            </w:r>
          </w:p>
        </w:tc>
        <w:tc>
          <w:tcPr>
            <w:tcW w:w="2319" w:type="dxa"/>
            <w:shd w:val="clear" w:color="auto" w:fill="CDDDAC"/>
          </w:tcPr>
          <w:p w:rsidR="004B071C" w:rsidRPr="00C14DA4" w:rsidRDefault="004B071C" w:rsidP="00306859">
            <w:pPr>
              <w:jc w:val="center"/>
              <w:rPr>
                <w:rFonts w:ascii="Constantia" w:hAnsi="Constantia"/>
                <w:szCs w:val="22"/>
              </w:rPr>
            </w:pPr>
            <w:r w:rsidRPr="00C14DA4">
              <w:rPr>
                <w:rFonts w:ascii="Constantia" w:hAnsi="Constantia"/>
                <w:szCs w:val="22"/>
              </w:rPr>
              <w:t>23. 09. 2013.</w:t>
            </w:r>
          </w:p>
        </w:tc>
        <w:tc>
          <w:tcPr>
            <w:tcW w:w="1940" w:type="dxa"/>
            <w:shd w:val="clear" w:color="auto" w:fill="CDDDAC"/>
          </w:tcPr>
          <w:p w:rsidR="004B071C" w:rsidRPr="00C14DA4" w:rsidRDefault="004B071C" w:rsidP="00306859">
            <w:pPr>
              <w:jc w:val="center"/>
              <w:rPr>
                <w:rFonts w:ascii="Constantia" w:hAnsi="Constantia"/>
                <w:szCs w:val="22"/>
              </w:rPr>
            </w:pPr>
            <w:r w:rsidRPr="00C14DA4">
              <w:rPr>
                <w:rFonts w:ascii="Constantia" w:hAnsi="Constantia"/>
                <w:szCs w:val="22"/>
              </w:rPr>
              <w:t>775 m</w:t>
            </w:r>
          </w:p>
        </w:tc>
      </w:tr>
      <w:tr w:rsidR="004B071C" w:rsidRPr="00C14DA4" w:rsidTr="00306859">
        <w:tc>
          <w:tcPr>
            <w:tcW w:w="2802" w:type="dxa"/>
            <w:shd w:val="clear" w:color="auto" w:fill="CDDDAC"/>
          </w:tcPr>
          <w:p w:rsidR="004B071C" w:rsidRPr="00C14DA4" w:rsidRDefault="004B071C" w:rsidP="004E680E">
            <w:pPr>
              <w:rPr>
                <w:rFonts w:ascii="Constantia" w:hAnsi="Constantia"/>
                <w:b/>
                <w:bCs/>
                <w:szCs w:val="22"/>
              </w:rPr>
            </w:pPr>
          </w:p>
        </w:tc>
        <w:tc>
          <w:tcPr>
            <w:tcW w:w="1849" w:type="dxa"/>
            <w:shd w:val="clear" w:color="auto" w:fill="CDDDAC"/>
          </w:tcPr>
          <w:p w:rsidR="004B071C" w:rsidRPr="00C14DA4" w:rsidRDefault="004B071C" w:rsidP="00306859">
            <w:pPr>
              <w:jc w:val="center"/>
              <w:rPr>
                <w:rFonts w:ascii="Constantia" w:hAnsi="Constantia"/>
                <w:bCs/>
                <w:szCs w:val="22"/>
              </w:rPr>
            </w:pPr>
            <w:r w:rsidRPr="00C14DA4">
              <w:rPr>
                <w:rFonts w:ascii="Constantia" w:hAnsi="Constantia"/>
                <w:bCs/>
                <w:szCs w:val="22"/>
              </w:rPr>
              <w:t>N 42° 43’ 25.3’’, EO 19° 22’ 36.8’’</w:t>
            </w:r>
          </w:p>
        </w:tc>
        <w:tc>
          <w:tcPr>
            <w:tcW w:w="2319" w:type="dxa"/>
            <w:shd w:val="clear" w:color="auto" w:fill="CDDDAC"/>
          </w:tcPr>
          <w:p w:rsidR="004B071C" w:rsidRPr="00C14DA4" w:rsidRDefault="004B071C" w:rsidP="00306859">
            <w:pPr>
              <w:jc w:val="center"/>
              <w:rPr>
                <w:rFonts w:ascii="Constantia" w:hAnsi="Constantia"/>
                <w:szCs w:val="22"/>
              </w:rPr>
            </w:pPr>
            <w:r w:rsidRPr="00C14DA4">
              <w:rPr>
                <w:rFonts w:ascii="Constantia" w:hAnsi="Constantia"/>
                <w:szCs w:val="22"/>
              </w:rPr>
              <w:t>23. 09. 2013.</w:t>
            </w:r>
          </w:p>
        </w:tc>
        <w:tc>
          <w:tcPr>
            <w:tcW w:w="1940" w:type="dxa"/>
            <w:shd w:val="clear" w:color="auto" w:fill="CDDDAC"/>
          </w:tcPr>
          <w:p w:rsidR="004B071C" w:rsidRPr="00C14DA4" w:rsidRDefault="004B071C" w:rsidP="00306859">
            <w:pPr>
              <w:jc w:val="center"/>
              <w:rPr>
                <w:rFonts w:ascii="Constantia" w:hAnsi="Constantia"/>
                <w:szCs w:val="22"/>
              </w:rPr>
            </w:pPr>
            <w:r w:rsidRPr="00C14DA4">
              <w:rPr>
                <w:rFonts w:ascii="Constantia" w:hAnsi="Constantia"/>
                <w:szCs w:val="22"/>
              </w:rPr>
              <w:t>303 m</w:t>
            </w:r>
          </w:p>
        </w:tc>
      </w:tr>
    </w:tbl>
    <w:p w:rsidR="004B071C" w:rsidRPr="00306859" w:rsidRDefault="004B071C" w:rsidP="004B071C">
      <w:pPr>
        <w:pStyle w:val="Tabele"/>
        <w:spacing w:before="60" w:after="240"/>
        <w:ind w:left="714" w:hanging="357"/>
        <w:rPr>
          <w:rFonts w:ascii="Constantia" w:hAnsi="Constantia"/>
          <w:sz w:val="22"/>
          <w:szCs w:val="22"/>
        </w:rPr>
      </w:pPr>
      <w:r w:rsidRPr="00306859">
        <w:rPr>
          <w:rFonts w:ascii="Constantia" w:hAnsi="Constantia"/>
          <w:sz w:val="22"/>
          <w:szCs w:val="22"/>
        </w:rPr>
        <w:t>Opšti podaci o istraživanim lokalitetima dend</w:t>
      </w:r>
      <w:r w:rsidR="00C654C2">
        <w:rPr>
          <w:rFonts w:ascii="Constantia" w:hAnsi="Constantia"/>
          <w:sz w:val="22"/>
          <w:szCs w:val="22"/>
        </w:rPr>
        <w:t>roflore</w:t>
      </w:r>
    </w:p>
    <w:p w:rsidR="004B071C" w:rsidRDefault="004B071C" w:rsidP="00F26CC9">
      <w:pPr>
        <w:spacing w:before="60"/>
        <w:rPr>
          <w:i/>
          <w:szCs w:val="22"/>
          <w:lang w:val="sr-Latn-CS"/>
        </w:rPr>
      </w:pPr>
    </w:p>
    <w:tbl>
      <w:tblPr>
        <w:tblW w:w="8910" w:type="dxa"/>
        <w:tblInd w:w="198"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firstRow="1" w:lastRow="0" w:firstColumn="1" w:lastColumn="0" w:noHBand="0" w:noVBand="1"/>
      </w:tblPr>
      <w:tblGrid>
        <w:gridCol w:w="1472"/>
        <w:gridCol w:w="2437"/>
        <w:gridCol w:w="5001"/>
      </w:tblGrid>
      <w:tr w:rsidR="004B071C" w:rsidRPr="00796A74" w:rsidTr="00254530">
        <w:tc>
          <w:tcPr>
            <w:tcW w:w="1446" w:type="dxa"/>
            <w:shd w:val="clear" w:color="auto" w:fill="E6EED5"/>
          </w:tcPr>
          <w:p w:rsidR="004B071C" w:rsidRPr="00796A74" w:rsidRDefault="004B071C" w:rsidP="00254530">
            <w:pPr>
              <w:jc w:val="center"/>
              <w:rPr>
                <w:rFonts w:ascii="Constantia" w:hAnsi="Constantia"/>
                <w:b/>
                <w:bCs/>
                <w:iCs/>
                <w:color w:val="000000"/>
                <w:spacing w:val="8"/>
                <w:szCs w:val="22"/>
                <w:lang w:val="sr-Latn-CS"/>
              </w:rPr>
            </w:pPr>
            <w:r w:rsidRPr="00796A74">
              <w:rPr>
                <w:rFonts w:ascii="Constantia" w:hAnsi="Constantia"/>
                <w:b/>
                <w:bCs/>
                <w:iCs/>
                <w:color w:val="000000"/>
                <w:spacing w:val="8"/>
                <w:szCs w:val="22"/>
                <w:lang w:val="sr-Latn-CS"/>
              </w:rPr>
              <w:lastRenderedPageBreak/>
              <w:t>Lokalitet</w:t>
            </w:r>
          </w:p>
        </w:tc>
        <w:tc>
          <w:tcPr>
            <w:tcW w:w="2442" w:type="dxa"/>
            <w:shd w:val="clear" w:color="auto" w:fill="E6EED5"/>
          </w:tcPr>
          <w:p w:rsidR="004B071C" w:rsidRPr="00796A74" w:rsidRDefault="004B071C" w:rsidP="00254530">
            <w:pPr>
              <w:jc w:val="center"/>
              <w:rPr>
                <w:rFonts w:ascii="Constantia" w:hAnsi="Constantia"/>
                <w:b/>
                <w:bCs/>
                <w:iCs/>
                <w:color w:val="000000"/>
                <w:spacing w:val="8"/>
                <w:szCs w:val="22"/>
                <w:lang w:val="sr-Latn-CS"/>
              </w:rPr>
            </w:pPr>
            <w:r w:rsidRPr="00796A74">
              <w:rPr>
                <w:rFonts w:ascii="Constantia" w:hAnsi="Constantia"/>
                <w:b/>
                <w:bCs/>
                <w:iCs/>
                <w:color w:val="000000"/>
                <w:spacing w:val="8"/>
                <w:szCs w:val="22"/>
                <w:lang w:val="sr-Latn-CS"/>
              </w:rPr>
              <w:t>Kategorija</w:t>
            </w:r>
          </w:p>
        </w:tc>
        <w:tc>
          <w:tcPr>
            <w:tcW w:w="5022" w:type="dxa"/>
            <w:shd w:val="clear" w:color="auto" w:fill="E6EED5"/>
          </w:tcPr>
          <w:p w:rsidR="004B071C" w:rsidRPr="00796A74" w:rsidRDefault="004B071C" w:rsidP="00254530">
            <w:pPr>
              <w:jc w:val="center"/>
              <w:rPr>
                <w:rFonts w:ascii="Constantia" w:hAnsi="Constantia"/>
                <w:b/>
                <w:bCs/>
                <w:iCs/>
                <w:color w:val="000000"/>
                <w:spacing w:val="8"/>
                <w:szCs w:val="22"/>
                <w:lang w:val="sr-Latn-CS"/>
              </w:rPr>
            </w:pPr>
            <w:r w:rsidRPr="00796A74">
              <w:rPr>
                <w:rFonts w:ascii="Constantia" w:hAnsi="Constantia"/>
                <w:b/>
                <w:bCs/>
                <w:iCs/>
                <w:color w:val="000000"/>
                <w:spacing w:val="8"/>
                <w:szCs w:val="22"/>
                <w:lang w:val="sr-Latn-CS"/>
              </w:rPr>
              <w:t>Vrste</w:t>
            </w:r>
          </w:p>
        </w:tc>
      </w:tr>
      <w:tr w:rsidR="004B071C" w:rsidRPr="00796A74" w:rsidTr="00254530">
        <w:trPr>
          <w:trHeight w:val="650"/>
        </w:trPr>
        <w:tc>
          <w:tcPr>
            <w:tcW w:w="1446" w:type="dxa"/>
            <w:vMerge w:val="restart"/>
            <w:shd w:val="clear" w:color="auto" w:fill="CDDDAC"/>
          </w:tcPr>
          <w:p w:rsidR="004B071C" w:rsidRPr="00796A74" w:rsidRDefault="004B071C" w:rsidP="004E680E">
            <w:pPr>
              <w:rPr>
                <w:rFonts w:ascii="Constantia" w:hAnsi="Constantia"/>
                <w:b/>
                <w:bCs/>
                <w:iCs/>
                <w:color w:val="000000"/>
                <w:spacing w:val="8"/>
                <w:szCs w:val="22"/>
                <w:lang w:val="sr-Latn-CS"/>
              </w:rPr>
            </w:pPr>
            <w:r w:rsidRPr="00796A74">
              <w:rPr>
                <w:rFonts w:ascii="Constantia" w:hAnsi="Constantia"/>
                <w:b/>
                <w:bCs/>
                <w:iCs/>
                <w:color w:val="000000"/>
                <w:spacing w:val="8"/>
                <w:szCs w:val="22"/>
                <w:lang w:val="sr-Latn-CS"/>
              </w:rPr>
              <w:t>Kanjon Mrtvice:  Međurječje</w:t>
            </w:r>
          </w:p>
        </w:tc>
        <w:tc>
          <w:tcPr>
            <w:tcW w:w="2442" w:type="dxa"/>
            <w:shd w:val="clear" w:color="auto" w:fill="CDDDAC"/>
          </w:tcPr>
          <w:p w:rsidR="004B071C" w:rsidRPr="00796A74" w:rsidRDefault="004B071C" w:rsidP="00254530">
            <w:pPr>
              <w:spacing w:after="0"/>
              <w:rPr>
                <w:rFonts w:ascii="Constantia" w:hAnsi="Constantia"/>
                <w:bCs/>
                <w:iCs/>
                <w:color w:val="000000"/>
                <w:spacing w:val="8"/>
                <w:szCs w:val="22"/>
                <w:lang w:val="sr-Latn-CS"/>
              </w:rPr>
            </w:pPr>
            <w:r w:rsidRPr="00796A74">
              <w:rPr>
                <w:rFonts w:ascii="Constantia" w:hAnsi="Constantia"/>
                <w:bCs/>
                <w:iCs/>
                <w:color w:val="000000"/>
                <w:spacing w:val="8"/>
                <w:szCs w:val="22"/>
                <w:lang w:val="sr-Latn-CS"/>
              </w:rPr>
              <w:t>Ostale vrste/staništa:</w:t>
            </w:r>
          </w:p>
        </w:tc>
        <w:tc>
          <w:tcPr>
            <w:tcW w:w="5022" w:type="dxa"/>
            <w:shd w:val="clear" w:color="auto" w:fill="CDDDAC"/>
          </w:tcPr>
          <w:p w:rsidR="004B071C" w:rsidRPr="00796A74" w:rsidRDefault="00254530" w:rsidP="00254530">
            <w:pPr>
              <w:spacing w:after="0"/>
              <w:rPr>
                <w:rFonts w:ascii="Constantia" w:hAnsi="Constantia"/>
                <w:bCs/>
                <w:iCs/>
                <w:color w:val="000000"/>
                <w:spacing w:val="8"/>
                <w:szCs w:val="22"/>
                <w:lang w:val="sr-Latn-CS"/>
              </w:rPr>
            </w:pPr>
            <w:r w:rsidRPr="00796A74">
              <w:rPr>
                <w:rFonts w:ascii="Constantia" w:hAnsi="Constantia"/>
                <w:bCs/>
                <w:iCs/>
                <w:color w:val="000000"/>
                <w:spacing w:val="8"/>
                <w:szCs w:val="22"/>
                <w:lang w:val="sr-Latn-CS"/>
              </w:rPr>
              <w:t>H</w:t>
            </w:r>
            <w:r w:rsidR="004B071C" w:rsidRPr="00796A74">
              <w:rPr>
                <w:rFonts w:ascii="Constantia" w:hAnsi="Constantia"/>
                <w:bCs/>
                <w:iCs/>
                <w:color w:val="000000"/>
                <w:spacing w:val="8"/>
                <w:szCs w:val="22"/>
                <w:lang w:val="sr-Latn-CS"/>
              </w:rPr>
              <w:t>rast cer (</w:t>
            </w:r>
            <w:r w:rsidR="004B071C" w:rsidRPr="00796A74">
              <w:rPr>
                <w:rFonts w:ascii="Constantia" w:hAnsi="Constantia"/>
                <w:bCs/>
                <w:i/>
                <w:iCs/>
                <w:color w:val="000000"/>
                <w:spacing w:val="8"/>
                <w:szCs w:val="22"/>
                <w:lang w:val="sr-Latn-CS"/>
              </w:rPr>
              <w:t>Quercus cerris</w:t>
            </w:r>
            <w:r w:rsidR="004B071C" w:rsidRPr="00796A74">
              <w:rPr>
                <w:rFonts w:ascii="Constantia" w:hAnsi="Constantia"/>
                <w:bCs/>
                <w:iCs/>
                <w:color w:val="000000"/>
                <w:spacing w:val="8"/>
                <w:szCs w:val="22"/>
                <w:lang w:val="sr-Latn-CS"/>
              </w:rPr>
              <w:t>) i obični grab (</w:t>
            </w:r>
            <w:r w:rsidR="004B071C" w:rsidRPr="00796A74">
              <w:rPr>
                <w:rFonts w:ascii="Constantia" w:hAnsi="Constantia"/>
                <w:bCs/>
                <w:i/>
                <w:iCs/>
                <w:color w:val="000000"/>
                <w:spacing w:val="8"/>
                <w:szCs w:val="22"/>
                <w:lang w:val="sr-Latn-CS"/>
              </w:rPr>
              <w:t>Carpinus betulus</w:t>
            </w:r>
            <w:r w:rsidR="004B071C" w:rsidRPr="00796A74">
              <w:rPr>
                <w:rFonts w:ascii="Constantia" w:hAnsi="Constantia"/>
                <w:bCs/>
                <w:iCs/>
                <w:color w:val="000000"/>
                <w:spacing w:val="8"/>
                <w:szCs w:val="22"/>
                <w:lang w:val="sr-Latn-CS"/>
              </w:rPr>
              <w:t>)</w:t>
            </w:r>
          </w:p>
        </w:tc>
      </w:tr>
      <w:tr w:rsidR="004B071C" w:rsidRPr="00796A74" w:rsidTr="00254530">
        <w:tc>
          <w:tcPr>
            <w:tcW w:w="1446" w:type="dxa"/>
            <w:vMerge/>
            <w:shd w:val="clear" w:color="auto" w:fill="E6EED5"/>
          </w:tcPr>
          <w:p w:rsidR="004B071C" w:rsidRPr="00796A74" w:rsidRDefault="004B071C" w:rsidP="004E680E">
            <w:pPr>
              <w:rPr>
                <w:rFonts w:ascii="Constantia" w:hAnsi="Constantia"/>
                <w:b/>
                <w:bCs/>
                <w:iCs/>
                <w:color w:val="000000"/>
                <w:spacing w:val="8"/>
                <w:szCs w:val="22"/>
                <w:lang w:val="sr-Latn-CS"/>
              </w:rPr>
            </w:pPr>
          </w:p>
        </w:tc>
        <w:tc>
          <w:tcPr>
            <w:tcW w:w="2442" w:type="dxa"/>
            <w:shd w:val="clear" w:color="auto" w:fill="E6EED5"/>
          </w:tcPr>
          <w:p w:rsidR="004B071C" w:rsidRPr="00796A74" w:rsidRDefault="004B071C" w:rsidP="004E680E">
            <w:pPr>
              <w:rPr>
                <w:rFonts w:ascii="Constantia" w:hAnsi="Constantia"/>
                <w:b/>
                <w:bCs/>
                <w:iCs/>
                <w:color w:val="000000"/>
                <w:spacing w:val="8"/>
                <w:szCs w:val="22"/>
                <w:lang w:val="sr-Latn-CS"/>
              </w:rPr>
            </w:pPr>
            <w:r w:rsidRPr="00796A74">
              <w:rPr>
                <w:rFonts w:ascii="Constantia" w:hAnsi="Constantia"/>
                <w:iCs/>
                <w:color w:val="000000"/>
                <w:spacing w:val="8"/>
                <w:szCs w:val="22"/>
                <w:lang w:val="sr-Latn-CS"/>
              </w:rPr>
              <w:t>Utvrđeno stanje</w:t>
            </w:r>
          </w:p>
        </w:tc>
        <w:tc>
          <w:tcPr>
            <w:tcW w:w="5022" w:type="dxa"/>
            <w:shd w:val="clear" w:color="auto" w:fill="E6EED5"/>
          </w:tcPr>
          <w:p w:rsidR="004B071C" w:rsidRPr="00796A74" w:rsidRDefault="004B071C" w:rsidP="004E680E">
            <w:pPr>
              <w:spacing w:after="0"/>
              <w:rPr>
                <w:rFonts w:ascii="Constantia" w:eastAsia="Calibri" w:hAnsi="Constantia"/>
                <w:bCs/>
                <w:iCs/>
                <w:szCs w:val="22"/>
                <w:lang w:val="sr-Latn-CS"/>
              </w:rPr>
            </w:pPr>
            <w:r w:rsidRPr="00796A74">
              <w:rPr>
                <w:rFonts w:ascii="Constantia" w:eastAsia="Calibri" w:hAnsi="Constantia"/>
                <w:bCs/>
                <w:iCs/>
                <w:szCs w:val="22"/>
                <w:lang w:val="sr-Latn-CS"/>
              </w:rPr>
              <w:t xml:space="preserve">Na lokalitetu čije koordinate su </w:t>
            </w:r>
            <w:r w:rsidRPr="00796A74">
              <w:rPr>
                <w:rFonts w:ascii="Constantia" w:eastAsia="Calibri" w:hAnsi="Constantia"/>
                <w:szCs w:val="22"/>
                <w:lang w:val="sr-Latn-CS"/>
              </w:rPr>
              <w:t>N 42° 44’ 38.5’’, EO 19° 21’ 5952 (775 mnv) je prisutna jedna veća sastojina cerove šume (</w:t>
            </w:r>
            <w:r w:rsidRPr="00796A74">
              <w:rPr>
                <w:rFonts w:ascii="Constantia" w:eastAsia="Calibri" w:hAnsi="Constantia"/>
                <w:i/>
                <w:szCs w:val="22"/>
                <w:lang w:val="sr-Latn-CS"/>
              </w:rPr>
              <w:t>Quercus cerris</w:t>
            </w:r>
            <w:r w:rsidR="0002210E" w:rsidRPr="00796A74">
              <w:rPr>
                <w:rFonts w:ascii="Constantia" w:eastAsia="Calibri" w:hAnsi="Constantia"/>
                <w:szCs w:val="22"/>
                <w:lang w:val="sr-Latn-CS"/>
              </w:rPr>
              <w:t>) s</w:t>
            </w:r>
            <w:r w:rsidRPr="00796A74">
              <w:rPr>
                <w:rFonts w:ascii="Constantia" w:eastAsia="Calibri" w:hAnsi="Constantia"/>
                <w:szCs w:val="22"/>
                <w:lang w:val="sr-Latn-CS"/>
              </w:rPr>
              <w:t xml:space="preserve"> primjesom ponekog stabla bukve (</w:t>
            </w:r>
            <w:r w:rsidRPr="00796A74">
              <w:rPr>
                <w:rFonts w:ascii="Constantia" w:eastAsia="Calibri" w:hAnsi="Constantia"/>
                <w:i/>
                <w:szCs w:val="22"/>
                <w:lang w:val="sr-Latn-CS"/>
              </w:rPr>
              <w:t>Fagus moesiaca</w:t>
            </w:r>
            <w:r w:rsidRPr="00796A74">
              <w:rPr>
                <w:rFonts w:ascii="Constantia" w:eastAsia="Calibri" w:hAnsi="Constantia"/>
                <w:szCs w:val="22"/>
                <w:lang w:val="sr-Latn-CS"/>
              </w:rPr>
              <w:t>), jasike (</w:t>
            </w:r>
            <w:r w:rsidRPr="00796A74">
              <w:rPr>
                <w:rFonts w:ascii="Constantia" w:eastAsia="Calibri" w:hAnsi="Constantia"/>
                <w:i/>
                <w:szCs w:val="22"/>
                <w:lang w:val="sr-Latn-CS"/>
              </w:rPr>
              <w:t>Populus tremula</w:t>
            </w:r>
            <w:r w:rsidRPr="00796A74">
              <w:rPr>
                <w:rFonts w:ascii="Constantia" w:eastAsia="Calibri" w:hAnsi="Constantia"/>
                <w:szCs w:val="22"/>
                <w:lang w:val="sr-Latn-CS"/>
              </w:rPr>
              <w:t>), divlje ruže (</w:t>
            </w:r>
            <w:r w:rsidRPr="00796A74">
              <w:rPr>
                <w:rFonts w:ascii="Constantia" w:eastAsia="Calibri" w:hAnsi="Constantia"/>
                <w:i/>
                <w:szCs w:val="22"/>
                <w:lang w:val="sr-Latn-CS"/>
              </w:rPr>
              <w:t>Rosa canina</w:t>
            </w:r>
            <w:r w:rsidRPr="00796A74">
              <w:rPr>
                <w:rFonts w:ascii="Constantia" w:eastAsia="Calibri" w:hAnsi="Constantia"/>
                <w:szCs w:val="22"/>
                <w:lang w:val="sr-Latn-CS"/>
              </w:rPr>
              <w:t>), crnog jasena (</w:t>
            </w:r>
            <w:r w:rsidRPr="00796A74">
              <w:rPr>
                <w:rFonts w:ascii="Constantia" w:eastAsia="Calibri" w:hAnsi="Constantia"/>
                <w:i/>
                <w:szCs w:val="22"/>
                <w:lang w:val="sr-Latn-CS"/>
              </w:rPr>
              <w:t>Fraxinus ornus</w:t>
            </w:r>
            <w:r w:rsidRPr="00796A74">
              <w:rPr>
                <w:rFonts w:ascii="Constantia" w:eastAsia="Calibri" w:hAnsi="Constantia"/>
                <w:szCs w:val="22"/>
                <w:lang w:val="sr-Latn-CS"/>
              </w:rPr>
              <w:t xml:space="preserve">). </w:t>
            </w:r>
          </w:p>
          <w:p w:rsidR="004B071C" w:rsidRPr="00796A74" w:rsidRDefault="004B071C" w:rsidP="00796A74">
            <w:pPr>
              <w:rPr>
                <w:rFonts w:ascii="Constantia" w:eastAsia="Calibri" w:hAnsi="Constantia"/>
                <w:szCs w:val="22"/>
                <w:lang w:val="sr-Latn-CS"/>
              </w:rPr>
            </w:pPr>
            <w:r w:rsidRPr="00796A74">
              <w:rPr>
                <w:rFonts w:ascii="Constantia" w:eastAsia="Calibri" w:hAnsi="Constantia"/>
                <w:bCs/>
                <w:iCs/>
                <w:szCs w:val="22"/>
                <w:lang w:val="sr-Latn-CS"/>
              </w:rPr>
              <w:t xml:space="preserve">Na lokalitetu čije koordinate su </w:t>
            </w:r>
            <w:r w:rsidRPr="00796A74">
              <w:rPr>
                <w:rFonts w:ascii="Constantia" w:eastAsia="Calibri" w:hAnsi="Constantia"/>
                <w:szCs w:val="22"/>
                <w:lang w:val="sr-Latn-CS"/>
              </w:rPr>
              <w:t>N 42° 43’ 25.3’’, EO 19° 22’ 36.8’’ (303 mnv) je prisutna jedna manja sastojina običnog graba (</w:t>
            </w:r>
            <w:r w:rsidRPr="00796A74">
              <w:rPr>
                <w:rFonts w:ascii="Constantia" w:eastAsia="Calibri" w:hAnsi="Constantia"/>
                <w:i/>
                <w:szCs w:val="22"/>
                <w:lang w:val="sr-Latn-CS"/>
              </w:rPr>
              <w:t>Carpinus betulus</w:t>
            </w:r>
            <w:r w:rsidRPr="00796A74">
              <w:rPr>
                <w:rFonts w:ascii="Constantia" w:eastAsia="Calibri" w:hAnsi="Constantia"/>
                <w:szCs w:val="22"/>
                <w:lang w:val="sr-Latn-CS"/>
              </w:rPr>
              <w:t>) i crnog graba (</w:t>
            </w:r>
            <w:r w:rsidRPr="00796A74">
              <w:rPr>
                <w:rFonts w:ascii="Constantia" w:eastAsia="Calibri" w:hAnsi="Constantia"/>
                <w:i/>
                <w:szCs w:val="22"/>
                <w:lang w:val="sr-Latn-CS"/>
              </w:rPr>
              <w:t>Ostrya carpinifolia</w:t>
            </w:r>
            <w:r w:rsidR="0002210E" w:rsidRPr="00796A74">
              <w:rPr>
                <w:rFonts w:ascii="Constantia" w:eastAsia="Calibri" w:hAnsi="Constantia"/>
                <w:szCs w:val="22"/>
                <w:lang w:val="sr-Latn-CS"/>
              </w:rPr>
              <w:t>) s</w:t>
            </w:r>
            <w:r w:rsidRPr="00796A74">
              <w:rPr>
                <w:rFonts w:ascii="Constantia" w:eastAsia="Calibri" w:hAnsi="Constantia"/>
                <w:szCs w:val="22"/>
                <w:lang w:val="sr-Latn-CS"/>
              </w:rPr>
              <w:t xml:space="preserve"> primjesom ponekog stabla bjelograbića (</w:t>
            </w:r>
            <w:r w:rsidRPr="00796A74">
              <w:rPr>
                <w:rFonts w:ascii="Constantia" w:eastAsia="Calibri" w:hAnsi="Constantia"/>
                <w:i/>
                <w:szCs w:val="22"/>
                <w:lang w:val="sr-Latn-CS"/>
              </w:rPr>
              <w:t>Carpinus orientalis</w:t>
            </w:r>
            <w:r w:rsidRPr="00796A74">
              <w:rPr>
                <w:rFonts w:ascii="Constantia" w:eastAsia="Calibri" w:hAnsi="Constantia"/>
                <w:szCs w:val="22"/>
                <w:lang w:val="sr-Latn-CS"/>
              </w:rPr>
              <w:t>), crnog jasena (</w:t>
            </w:r>
            <w:r w:rsidRPr="00796A74">
              <w:rPr>
                <w:rFonts w:ascii="Constantia" w:eastAsia="Calibri" w:hAnsi="Constantia"/>
                <w:i/>
                <w:szCs w:val="22"/>
                <w:lang w:val="sr-Latn-CS"/>
              </w:rPr>
              <w:t>Fraxinus ornus</w:t>
            </w:r>
            <w:r w:rsidRPr="00796A74">
              <w:rPr>
                <w:rFonts w:ascii="Constantia" w:eastAsia="Calibri" w:hAnsi="Constantia"/>
                <w:szCs w:val="22"/>
                <w:lang w:val="sr-Latn-CS"/>
              </w:rPr>
              <w:t>), lijeske (</w:t>
            </w:r>
            <w:r w:rsidRPr="00796A74">
              <w:rPr>
                <w:rFonts w:ascii="Constantia" w:eastAsia="Calibri" w:hAnsi="Constantia"/>
                <w:i/>
                <w:szCs w:val="22"/>
                <w:lang w:val="sr-Latn-CS"/>
              </w:rPr>
              <w:t>Corylus avllana</w:t>
            </w:r>
            <w:r w:rsidRPr="00796A74">
              <w:rPr>
                <w:rFonts w:ascii="Constantia" w:eastAsia="Calibri" w:hAnsi="Constantia"/>
                <w:szCs w:val="22"/>
                <w:lang w:val="sr-Latn-CS"/>
              </w:rPr>
              <w:t>), divlje jabuke (</w:t>
            </w:r>
            <w:r w:rsidRPr="00796A74">
              <w:rPr>
                <w:rFonts w:ascii="Constantia" w:eastAsia="Calibri" w:hAnsi="Constantia"/>
                <w:i/>
                <w:szCs w:val="22"/>
                <w:lang w:val="sr-Latn-CS"/>
              </w:rPr>
              <w:t>Malus sylvestris</w:t>
            </w:r>
            <w:r w:rsidRPr="00796A74">
              <w:rPr>
                <w:rFonts w:ascii="Constantia" w:eastAsia="Calibri" w:hAnsi="Constantia"/>
                <w:szCs w:val="22"/>
                <w:lang w:val="sr-Latn-CS"/>
              </w:rPr>
              <w:t>), divlje ruže (</w:t>
            </w:r>
            <w:r w:rsidRPr="00796A74">
              <w:rPr>
                <w:rFonts w:ascii="Constantia" w:eastAsia="Calibri" w:hAnsi="Constantia"/>
                <w:i/>
                <w:szCs w:val="22"/>
                <w:lang w:val="sr-Latn-CS"/>
              </w:rPr>
              <w:t>Rosa canina</w:t>
            </w:r>
            <w:r w:rsidRPr="00796A74">
              <w:rPr>
                <w:rFonts w:ascii="Constantia" w:eastAsia="Calibri" w:hAnsi="Constantia"/>
                <w:szCs w:val="22"/>
                <w:lang w:val="sr-Latn-CS"/>
              </w:rPr>
              <w:t>) i kupine (</w:t>
            </w:r>
            <w:r w:rsidRPr="00796A74">
              <w:rPr>
                <w:rFonts w:ascii="Constantia" w:eastAsia="Calibri" w:hAnsi="Constantia"/>
                <w:i/>
                <w:szCs w:val="22"/>
                <w:lang w:val="sr-Latn-CS"/>
              </w:rPr>
              <w:t>Rubus fruticosus</w:t>
            </w:r>
            <w:r w:rsidRPr="00796A74">
              <w:rPr>
                <w:rFonts w:ascii="Constantia" w:eastAsia="Calibri" w:hAnsi="Constantia"/>
                <w:szCs w:val="22"/>
                <w:lang w:val="sr-Latn-CS"/>
              </w:rPr>
              <w:t>).</w:t>
            </w:r>
          </w:p>
        </w:tc>
      </w:tr>
    </w:tbl>
    <w:p w:rsidR="004B071C" w:rsidRDefault="0002210E" w:rsidP="004B071C">
      <w:pPr>
        <w:pStyle w:val="Tabele"/>
        <w:spacing w:before="60" w:after="240"/>
        <w:ind w:left="714" w:hanging="357"/>
        <w:rPr>
          <w:rFonts w:ascii="Constantia" w:hAnsi="Constantia"/>
          <w:sz w:val="22"/>
          <w:szCs w:val="22"/>
        </w:rPr>
      </w:pPr>
      <w:r>
        <w:rPr>
          <w:rFonts w:ascii="Constantia" w:hAnsi="Constantia"/>
          <w:sz w:val="22"/>
          <w:szCs w:val="22"/>
        </w:rPr>
        <w:t xml:space="preserve"> </w:t>
      </w:r>
      <w:r w:rsidR="004B071C" w:rsidRPr="0002210E">
        <w:rPr>
          <w:rFonts w:ascii="Constantia" w:hAnsi="Constantia"/>
          <w:sz w:val="22"/>
          <w:szCs w:val="22"/>
        </w:rPr>
        <w:t>Dend</w:t>
      </w:r>
      <w:r>
        <w:rPr>
          <w:rFonts w:ascii="Constantia" w:hAnsi="Constantia"/>
          <w:sz w:val="22"/>
          <w:szCs w:val="22"/>
        </w:rPr>
        <w:t>r</w:t>
      </w:r>
      <w:r w:rsidR="004B071C" w:rsidRPr="0002210E">
        <w:rPr>
          <w:rFonts w:ascii="Constantia" w:hAnsi="Constantia"/>
          <w:sz w:val="22"/>
          <w:szCs w:val="22"/>
        </w:rPr>
        <w:t>oflora</w:t>
      </w:r>
    </w:p>
    <w:p w:rsidR="009C43FC" w:rsidRPr="0002210E" w:rsidRDefault="009C43FC" w:rsidP="00961E20">
      <w:pPr>
        <w:pStyle w:val="Tabele"/>
        <w:numPr>
          <w:ilvl w:val="0"/>
          <w:numId w:val="0"/>
        </w:numPr>
        <w:spacing w:before="0"/>
        <w:ind w:left="714"/>
        <w:jc w:val="both"/>
        <w:rPr>
          <w:rFonts w:ascii="Constantia" w:hAnsi="Constantia"/>
          <w:sz w:val="22"/>
          <w:szCs w:val="22"/>
        </w:rPr>
      </w:pPr>
    </w:p>
    <w:p w:rsidR="004B071C" w:rsidRPr="002E3A97" w:rsidRDefault="004B071C" w:rsidP="009C43FC">
      <w:pPr>
        <w:pStyle w:val="Heading4"/>
        <w:spacing w:after="240"/>
        <w:rPr>
          <w:sz w:val="22"/>
          <w:szCs w:val="22"/>
          <w:lang w:val="sr-Latn-CS"/>
        </w:rPr>
      </w:pPr>
      <w:r w:rsidRPr="002E3A97">
        <w:rPr>
          <w:sz w:val="22"/>
          <w:szCs w:val="22"/>
          <w:lang w:val="sr-Latn-CS"/>
        </w:rPr>
        <w:t>Gljive</w:t>
      </w:r>
    </w:p>
    <w:tbl>
      <w:tblPr>
        <w:tblW w:w="8910" w:type="dxa"/>
        <w:tblInd w:w="198"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firstRow="1" w:lastRow="0" w:firstColumn="1" w:lastColumn="0" w:noHBand="0" w:noVBand="1"/>
      </w:tblPr>
      <w:tblGrid>
        <w:gridCol w:w="2802"/>
        <w:gridCol w:w="3138"/>
        <w:gridCol w:w="2970"/>
      </w:tblGrid>
      <w:tr w:rsidR="004B071C" w:rsidRPr="00961E20" w:rsidTr="00E43BFD">
        <w:tc>
          <w:tcPr>
            <w:tcW w:w="2802" w:type="dxa"/>
            <w:shd w:val="clear" w:color="auto" w:fill="E6EED5"/>
          </w:tcPr>
          <w:p w:rsidR="004B071C" w:rsidRPr="00961E20" w:rsidRDefault="004B071C" w:rsidP="009C43FC">
            <w:pPr>
              <w:jc w:val="center"/>
              <w:rPr>
                <w:rFonts w:ascii="Constantia" w:hAnsi="Constantia"/>
                <w:b/>
                <w:bCs/>
                <w:szCs w:val="22"/>
              </w:rPr>
            </w:pPr>
            <w:r w:rsidRPr="00961E20">
              <w:rPr>
                <w:rFonts w:ascii="Constantia" w:hAnsi="Constantia"/>
                <w:b/>
                <w:bCs/>
                <w:szCs w:val="22"/>
              </w:rPr>
              <w:t>Lokalitet</w:t>
            </w:r>
          </w:p>
        </w:tc>
        <w:tc>
          <w:tcPr>
            <w:tcW w:w="3138" w:type="dxa"/>
            <w:shd w:val="clear" w:color="auto" w:fill="E6EED5"/>
          </w:tcPr>
          <w:p w:rsidR="004B071C" w:rsidRPr="00961E20" w:rsidRDefault="004B071C" w:rsidP="009C43FC">
            <w:pPr>
              <w:jc w:val="center"/>
              <w:rPr>
                <w:rFonts w:ascii="Constantia" w:hAnsi="Constantia"/>
                <w:b/>
                <w:bCs/>
                <w:szCs w:val="22"/>
              </w:rPr>
            </w:pPr>
            <w:r w:rsidRPr="00961E20">
              <w:rPr>
                <w:rFonts w:ascii="Constantia" w:hAnsi="Constantia"/>
                <w:b/>
                <w:bCs/>
                <w:szCs w:val="22"/>
              </w:rPr>
              <w:t>Koordinate</w:t>
            </w:r>
          </w:p>
        </w:tc>
        <w:tc>
          <w:tcPr>
            <w:tcW w:w="2970" w:type="dxa"/>
            <w:shd w:val="clear" w:color="auto" w:fill="E6EED5"/>
          </w:tcPr>
          <w:p w:rsidR="004B071C" w:rsidRPr="00961E20" w:rsidRDefault="009C43FC" w:rsidP="009C43FC">
            <w:pPr>
              <w:spacing w:after="0" w:line="280" w:lineRule="exact"/>
              <w:jc w:val="center"/>
              <w:outlineLvl w:val="3"/>
              <w:rPr>
                <w:rFonts w:ascii="Constantia" w:hAnsi="Constantia"/>
                <w:b/>
                <w:bCs/>
                <w:szCs w:val="22"/>
              </w:rPr>
            </w:pPr>
            <w:r w:rsidRPr="00961E20">
              <w:rPr>
                <w:rFonts w:ascii="Constantia" w:hAnsi="Constantia"/>
                <w:b/>
                <w:bCs/>
                <w:szCs w:val="22"/>
              </w:rPr>
              <w:t>Nadmorska visina</w:t>
            </w:r>
          </w:p>
        </w:tc>
      </w:tr>
      <w:tr w:rsidR="004B071C" w:rsidRPr="00961E20" w:rsidTr="00E43BFD">
        <w:tc>
          <w:tcPr>
            <w:tcW w:w="2802" w:type="dxa"/>
            <w:shd w:val="clear" w:color="auto" w:fill="CDDDAC"/>
          </w:tcPr>
          <w:p w:rsidR="004B071C" w:rsidRPr="00961E20" w:rsidRDefault="004B071C" w:rsidP="009C43FC">
            <w:pPr>
              <w:spacing w:after="0"/>
              <w:rPr>
                <w:rFonts w:ascii="Constantia" w:hAnsi="Constantia"/>
                <w:b/>
                <w:bCs/>
                <w:szCs w:val="22"/>
              </w:rPr>
            </w:pPr>
            <w:r w:rsidRPr="00961E20">
              <w:rPr>
                <w:rFonts w:ascii="Constantia" w:hAnsi="Constantia"/>
                <w:b/>
                <w:bCs/>
                <w:szCs w:val="22"/>
              </w:rPr>
              <w:t>Međurječje</w:t>
            </w:r>
          </w:p>
        </w:tc>
        <w:tc>
          <w:tcPr>
            <w:tcW w:w="3138" w:type="dxa"/>
            <w:shd w:val="clear" w:color="auto" w:fill="CDDDAC"/>
          </w:tcPr>
          <w:p w:rsidR="004B071C" w:rsidRPr="00961E20" w:rsidRDefault="004B071C" w:rsidP="009C43FC">
            <w:pPr>
              <w:spacing w:after="0"/>
              <w:jc w:val="center"/>
              <w:rPr>
                <w:rFonts w:ascii="Constantia" w:hAnsi="Constantia"/>
                <w:bCs/>
                <w:szCs w:val="22"/>
              </w:rPr>
            </w:pPr>
            <w:r w:rsidRPr="00961E20">
              <w:rPr>
                <w:rFonts w:ascii="Constantia" w:hAnsi="Constantia"/>
                <w:bCs/>
                <w:szCs w:val="22"/>
              </w:rPr>
              <w:t>N 42° 44’ 38.5’’,</w:t>
            </w:r>
          </w:p>
          <w:p w:rsidR="004B071C" w:rsidRPr="00961E20" w:rsidRDefault="004B071C" w:rsidP="009C43FC">
            <w:pPr>
              <w:spacing w:after="0"/>
              <w:jc w:val="center"/>
              <w:rPr>
                <w:rFonts w:ascii="Constantia" w:hAnsi="Constantia"/>
                <w:bCs/>
                <w:szCs w:val="22"/>
              </w:rPr>
            </w:pPr>
            <w:r w:rsidRPr="00961E20">
              <w:rPr>
                <w:rFonts w:ascii="Constantia" w:hAnsi="Constantia"/>
                <w:bCs/>
                <w:szCs w:val="22"/>
              </w:rPr>
              <w:t>EO 19° 21’ 5952</w:t>
            </w:r>
          </w:p>
          <w:p w:rsidR="004B071C" w:rsidRPr="00961E20" w:rsidRDefault="004B071C" w:rsidP="009C43FC">
            <w:pPr>
              <w:spacing w:after="0"/>
              <w:jc w:val="center"/>
              <w:rPr>
                <w:rFonts w:ascii="Constantia" w:hAnsi="Constantia"/>
                <w:bCs/>
                <w:szCs w:val="22"/>
              </w:rPr>
            </w:pPr>
            <w:r w:rsidRPr="00961E20">
              <w:rPr>
                <w:rFonts w:ascii="Constantia" w:hAnsi="Constantia"/>
                <w:bCs/>
                <w:szCs w:val="22"/>
              </w:rPr>
              <w:t>N 42° 43’ 25.3’’,</w:t>
            </w:r>
          </w:p>
          <w:p w:rsidR="004B071C" w:rsidRPr="00961E20" w:rsidRDefault="004B071C" w:rsidP="00961E20">
            <w:pPr>
              <w:jc w:val="center"/>
              <w:rPr>
                <w:rFonts w:ascii="Constantia" w:hAnsi="Constantia"/>
                <w:bCs/>
                <w:szCs w:val="22"/>
              </w:rPr>
            </w:pPr>
            <w:r w:rsidRPr="00961E20">
              <w:rPr>
                <w:rFonts w:ascii="Constantia" w:hAnsi="Constantia"/>
                <w:bCs/>
                <w:szCs w:val="22"/>
              </w:rPr>
              <w:t>EO 19° 22’ 36.8’’</w:t>
            </w:r>
          </w:p>
        </w:tc>
        <w:tc>
          <w:tcPr>
            <w:tcW w:w="2970" w:type="dxa"/>
            <w:shd w:val="clear" w:color="auto" w:fill="CDDDAC"/>
          </w:tcPr>
          <w:p w:rsidR="004B071C" w:rsidRPr="00961E20" w:rsidRDefault="004B071C" w:rsidP="009C43FC">
            <w:pPr>
              <w:spacing w:after="0"/>
              <w:jc w:val="center"/>
              <w:rPr>
                <w:rFonts w:ascii="Constantia" w:hAnsi="Constantia"/>
                <w:szCs w:val="22"/>
              </w:rPr>
            </w:pPr>
            <w:r w:rsidRPr="00961E20">
              <w:rPr>
                <w:rFonts w:ascii="Constantia" w:hAnsi="Constantia"/>
                <w:szCs w:val="22"/>
              </w:rPr>
              <w:t>775mnv</w:t>
            </w:r>
          </w:p>
          <w:p w:rsidR="004B071C" w:rsidRPr="00961E20" w:rsidRDefault="004B071C" w:rsidP="009C43FC">
            <w:pPr>
              <w:spacing w:after="0"/>
              <w:jc w:val="center"/>
              <w:rPr>
                <w:rFonts w:ascii="Constantia" w:hAnsi="Constantia"/>
                <w:szCs w:val="22"/>
              </w:rPr>
            </w:pPr>
          </w:p>
          <w:p w:rsidR="004B071C" w:rsidRPr="00961E20" w:rsidRDefault="004B071C" w:rsidP="009C43FC">
            <w:pPr>
              <w:spacing w:after="0"/>
              <w:jc w:val="center"/>
              <w:rPr>
                <w:rFonts w:ascii="Constantia" w:hAnsi="Constantia"/>
                <w:szCs w:val="22"/>
              </w:rPr>
            </w:pPr>
            <w:r w:rsidRPr="00961E20">
              <w:rPr>
                <w:rFonts w:ascii="Constantia" w:hAnsi="Constantia"/>
                <w:szCs w:val="22"/>
              </w:rPr>
              <w:t>303 mnv</w:t>
            </w:r>
          </w:p>
        </w:tc>
      </w:tr>
    </w:tbl>
    <w:p w:rsidR="004B071C" w:rsidRPr="009C43FC" w:rsidRDefault="004B071C" w:rsidP="009C43FC">
      <w:pPr>
        <w:pStyle w:val="Tabele"/>
        <w:spacing w:before="60" w:after="0"/>
        <w:ind w:left="714" w:hanging="357"/>
        <w:rPr>
          <w:rFonts w:ascii="Constantia" w:hAnsi="Constantia"/>
          <w:sz w:val="22"/>
          <w:szCs w:val="22"/>
        </w:rPr>
      </w:pPr>
      <w:r w:rsidRPr="009C43FC">
        <w:rPr>
          <w:rFonts w:ascii="Constantia" w:hAnsi="Constantia"/>
          <w:sz w:val="22"/>
          <w:szCs w:val="22"/>
        </w:rPr>
        <w:t>Opšti podaci o istraživanim lokalitetima za gljive</w:t>
      </w:r>
    </w:p>
    <w:p w:rsidR="009C43FC" w:rsidRDefault="009C43FC" w:rsidP="009C43FC">
      <w:pPr>
        <w:pStyle w:val="Tabele"/>
        <w:numPr>
          <w:ilvl w:val="0"/>
          <w:numId w:val="0"/>
        </w:numPr>
        <w:spacing w:before="60" w:after="0"/>
        <w:ind w:left="714"/>
        <w:jc w:val="both"/>
      </w:pPr>
    </w:p>
    <w:p w:rsidR="009C43FC" w:rsidRDefault="009C43FC" w:rsidP="009C43FC">
      <w:pPr>
        <w:pStyle w:val="Tabele"/>
        <w:numPr>
          <w:ilvl w:val="0"/>
          <w:numId w:val="0"/>
        </w:numPr>
        <w:spacing w:before="60" w:after="0"/>
        <w:ind w:left="714"/>
        <w:jc w:val="both"/>
      </w:pPr>
    </w:p>
    <w:p w:rsidR="00961E20" w:rsidRDefault="00961E20" w:rsidP="009C43FC">
      <w:pPr>
        <w:pStyle w:val="Tabele"/>
        <w:numPr>
          <w:ilvl w:val="0"/>
          <w:numId w:val="0"/>
        </w:numPr>
        <w:spacing w:before="60" w:after="0"/>
        <w:ind w:left="714"/>
        <w:jc w:val="both"/>
      </w:pPr>
    </w:p>
    <w:tbl>
      <w:tblPr>
        <w:tblW w:w="8910" w:type="dxa"/>
        <w:tblInd w:w="198"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firstRow="1" w:lastRow="0" w:firstColumn="1" w:lastColumn="0" w:noHBand="0" w:noVBand="1"/>
      </w:tblPr>
      <w:tblGrid>
        <w:gridCol w:w="1472"/>
        <w:gridCol w:w="2062"/>
        <w:gridCol w:w="5376"/>
      </w:tblGrid>
      <w:tr w:rsidR="004B071C" w:rsidRPr="00961E20" w:rsidTr="00D11EC1">
        <w:tc>
          <w:tcPr>
            <w:tcW w:w="1446" w:type="dxa"/>
            <w:shd w:val="clear" w:color="auto" w:fill="E6EED5"/>
          </w:tcPr>
          <w:p w:rsidR="004B071C" w:rsidRPr="00961E20" w:rsidRDefault="004B071C" w:rsidP="00D11EC1">
            <w:pPr>
              <w:jc w:val="center"/>
              <w:rPr>
                <w:rFonts w:ascii="Constantia" w:hAnsi="Constantia"/>
                <w:b/>
                <w:bCs/>
                <w:iCs/>
                <w:color w:val="000000"/>
                <w:spacing w:val="8"/>
                <w:szCs w:val="22"/>
                <w:lang w:val="sr-Latn-CS"/>
              </w:rPr>
            </w:pPr>
            <w:r w:rsidRPr="00961E20">
              <w:rPr>
                <w:rFonts w:ascii="Constantia" w:hAnsi="Constantia"/>
                <w:b/>
                <w:bCs/>
                <w:iCs/>
                <w:color w:val="000000"/>
                <w:spacing w:val="8"/>
                <w:szCs w:val="22"/>
                <w:lang w:val="sr-Latn-CS"/>
              </w:rPr>
              <w:t>Lokalitet</w:t>
            </w:r>
          </w:p>
        </w:tc>
        <w:tc>
          <w:tcPr>
            <w:tcW w:w="2064" w:type="dxa"/>
            <w:shd w:val="clear" w:color="auto" w:fill="E6EED5"/>
          </w:tcPr>
          <w:p w:rsidR="004B071C" w:rsidRPr="00961E20" w:rsidRDefault="004B071C" w:rsidP="00D11EC1">
            <w:pPr>
              <w:jc w:val="center"/>
              <w:rPr>
                <w:rFonts w:ascii="Constantia" w:hAnsi="Constantia"/>
                <w:b/>
                <w:bCs/>
                <w:iCs/>
                <w:color w:val="000000"/>
                <w:spacing w:val="8"/>
                <w:szCs w:val="22"/>
                <w:lang w:val="sr-Latn-CS"/>
              </w:rPr>
            </w:pPr>
            <w:r w:rsidRPr="00961E20">
              <w:rPr>
                <w:rFonts w:ascii="Constantia" w:hAnsi="Constantia"/>
                <w:b/>
                <w:bCs/>
                <w:iCs/>
                <w:color w:val="000000"/>
                <w:spacing w:val="8"/>
                <w:szCs w:val="22"/>
                <w:lang w:val="sr-Latn-CS"/>
              </w:rPr>
              <w:t>Kategorija</w:t>
            </w:r>
          </w:p>
        </w:tc>
        <w:tc>
          <w:tcPr>
            <w:tcW w:w="5400" w:type="dxa"/>
            <w:shd w:val="clear" w:color="auto" w:fill="E6EED5"/>
          </w:tcPr>
          <w:p w:rsidR="004B071C" w:rsidRPr="00961E20" w:rsidRDefault="004B071C" w:rsidP="00D11EC1">
            <w:pPr>
              <w:jc w:val="center"/>
              <w:rPr>
                <w:rFonts w:ascii="Constantia" w:hAnsi="Constantia"/>
                <w:b/>
                <w:bCs/>
                <w:iCs/>
                <w:color w:val="000000"/>
                <w:spacing w:val="8"/>
                <w:szCs w:val="22"/>
                <w:lang w:val="sr-Latn-CS"/>
              </w:rPr>
            </w:pPr>
            <w:r w:rsidRPr="00961E20">
              <w:rPr>
                <w:rFonts w:ascii="Constantia" w:hAnsi="Constantia"/>
                <w:b/>
                <w:bCs/>
                <w:iCs/>
                <w:color w:val="000000"/>
                <w:spacing w:val="8"/>
                <w:szCs w:val="22"/>
                <w:lang w:val="sr-Latn-CS"/>
              </w:rPr>
              <w:t>Vrste</w:t>
            </w:r>
          </w:p>
        </w:tc>
      </w:tr>
      <w:tr w:rsidR="004B071C" w:rsidRPr="00961E20" w:rsidTr="00D11EC1">
        <w:tc>
          <w:tcPr>
            <w:tcW w:w="1446" w:type="dxa"/>
            <w:shd w:val="clear" w:color="auto" w:fill="E6EED5"/>
          </w:tcPr>
          <w:p w:rsidR="004B071C" w:rsidRPr="00961E20" w:rsidRDefault="004B071C" w:rsidP="004E680E">
            <w:pPr>
              <w:rPr>
                <w:rFonts w:ascii="Constantia" w:hAnsi="Constantia"/>
                <w:b/>
                <w:bCs/>
                <w:iCs/>
                <w:color w:val="000000"/>
                <w:spacing w:val="8"/>
                <w:szCs w:val="22"/>
                <w:lang w:val="sr-Latn-CS"/>
              </w:rPr>
            </w:pPr>
          </w:p>
        </w:tc>
        <w:tc>
          <w:tcPr>
            <w:tcW w:w="2064" w:type="dxa"/>
            <w:shd w:val="clear" w:color="auto" w:fill="E6EED5"/>
          </w:tcPr>
          <w:p w:rsidR="004B071C" w:rsidRPr="00961E20" w:rsidRDefault="004B071C" w:rsidP="004E680E">
            <w:pPr>
              <w:rPr>
                <w:rFonts w:ascii="Constantia" w:hAnsi="Constantia"/>
                <w:bCs/>
                <w:iCs/>
                <w:color w:val="000000"/>
                <w:spacing w:val="8"/>
                <w:szCs w:val="22"/>
                <w:lang w:val="sr-Latn-CS"/>
              </w:rPr>
            </w:pPr>
            <w:r w:rsidRPr="00961E20">
              <w:rPr>
                <w:rFonts w:ascii="Constantia" w:hAnsi="Constantia"/>
                <w:bCs/>
                <w:iCs/>
                <w:color w:val="000000"/>
                <w:spacing w:val="8"/>
                <w:szCs w:val="22"/>
                <w:lang w:val="sr-Latn-CS"/>
              </w:rPr>
              <w:t>Indikatorske vrste</w:t>
            </w:r>
          </w:p>
        </w:tc>
        <w:tc>
          <w:tcPr>
            <w:tcW w:w="5400" w:type="dxa"/>
            <w:shd w:val="clear" w:color="auto" w:fill="E6EED5"/>
          </w:tcPr>
          <w:p w:rsidR="004B071C" w:rsidRPr="00961E20" w:rsidRDefault="004B071C" w:rsidP="004E680E">
            <w:pPr>
              <w:rPr>
                <w:rFonts w:ascii="Constantia" w:hAnsi="Constantia"/>
                <w:bCs/>
                <w:i/>
                <w:iCs/>
                <w:color w:val="000000"/>
                <w:spacing w:val="8"/>
                <w:szCs w:val="22"/>
                <w:lang w:val="sr-Latn-CS"/>
              </w:rPr>
            </w:pPr>
            <w:r w:rsidRPr="00961E20">
              <w:rPr>
                <w:rFonts w:ascii="Constantia" w:hAnsi="Constantia"/>
                <w:bCs/>
                <w:i/>
                <w:iCs/>
                <w:color w:val="000000"/>
                <w:spacing w:val="8"/>
                <w:szCs w:val="22"/>
                <w:lang w:val="sr-Latn-CS"/>
              </w:rPr>
              <w:t>Amanita caesareai, Chroogomphus helveticus</w:t>
            </w:r>
          </w:p>
        </w:tc>
      </w:tr>
      <w:tr w:rsidR="004B071C" w:rsidRPr="00961E20" w:rsidTr="00D11EC1">
        <w:trPr>
          <w:trHeight w:val="677"/>
        </w:trPr>
        <w:tc>
          <w:tcPr>
            <w:tcW w:w="1446" w:type="dxa"/>
            <w:vMerge w:val="restart"/>
            <w:shd w:val="clear" w:color="auto" w:fill="CDDDAC"/>
          </w:tcPr>
          <w:p w:rsidR="004B071C" w:rsidRPr="00961E20" w:rsidRDefault="004B071C" w:rsidP="004E680E">
            <w:pPr>
              <w:rPr>
                <w:rFonts w:ascii="Constantia" w:hAnsi="Constantia"/>
                <w:b/>
                <w:bCs/>
                <w:iCs/>
                <w:color w:val="000000"/>
                <w:spacing w:val="8"/>
                <w:szCs w:val="22"/>
                <w:lang w:val="sr-Latn-CS"/>
              </w:rPr>
            </w:pPr>
            <w:r w:rsidRPr="00961E20">
              <w:rPr>
                <w:rFonts w:ascii="Constantia" w:hAnsi="Constantia"/>
                <w:b/>
                <w:bCs/>
                <w:iCs/>
                <w:color w:val="000000"/>
                <w:spacing w:val="8"/>
                <w:szCs w:val="22"/>
                <w:lang w:val="sr-Latn-CS"/>
              </w:rPr>
              <w:t>Kanjon Mrtvice:  Međurječje</w:t>
            </w:r>
          </w:p>
        </w:tc>
        <w:tc>
          <w:tcPr>
            <w:tcW w:w="2064" w:type="dxa"/>
            <w:shd w:val="clear" w:color="auto" w:fill="CDDDAC"/>
          </w:tcPr>
          <w:p w:rsidR="004B071C" w:rsidRPr="00961E20" w:rsidRDefault="004B071C" w:rsidP="00D11EC1">
            <w:pPr>
              <w:spacing w:after="0"/>
              <w:rPr>
                <w:rFonts w:ascii="Constantia" w:hAnsi="Constantia"/>
                <w:bCs/>
                <w:iCs/>
                <w:color w:val="000000"/>
                <w:spacing w:val="8"/>
                <w:szCs w:val="22"/>
                <w:lang w:val="sr-Latn-CS"/>
              </w:rPr>
            </w:pPr>
            <w:r w:rsidRPr="00961E20">
              <w:rPr>
                <w:rFonts w:ascii="Constantia" w:hAnsi="Constantia"/>
                <w:bCs/>
                <w:iCs/>
                <w:color w:val="000000"/>
                <w:spacing w:val="8"/>
                <w:szCs w:val="22"/>
                <w:lang w:val="sr-Latn-CS"/>
              </w:rPr>
              <w:t>Ostale vrste/staništa:</w:t>
            </w:r>
          </w:p>
        </w:tc>
        <w:tc>
          <w:tcPr>
            <w:tcW w:w="5400" w:type="dxa"/>
            <w:shd w:val="clear" w:color="auto" w:fill="CDDDAC"/>
          </w:tcPr>
          <w:p w:rsidR="004B071C" w:rsidRPr="00961E20" w:rsidRDefault="004B071C" w:rsidP="00D11EC1">
            <w:pPr>
              <w:spacing w:after="0"/>
              <w:rPr>
                <w:rFonts w:ascii="Constantia" w:hAnsi="Constantia"/>
                <w:bCs/>
                <w:i/>
                <w:iCs/>
                <w:color w:val="000000"/>
                <w:spacing w:val="8"/>
                <w:szCs w:val="22"/>
                <w:lang w:val="sr-Latn-CS"/>
              </w:rPr>
            </w:pPr>
            <w:r w:rsidRPr="00961E20">
              <w:rPr>
                <w:rFonts w:ascii="Constantia" w:hAnsi="Constantia"/>
                <w:bCs/>
                <w:i/>
                <w:iCs/>
                <w:color w:val="000000"/>
                <w:spacing w:val="8"/>
                <w:szCs w:val="22"/>
                <w:lang w:val="sr-Latn-CS"/>
              </w:rPr>
              <w:t>Clitocybe odora,</w:t>
            </w:r>
            <w:r w:rsidR="00D11EC1" w:rsidRPr="00961E20">
              <w:rPr>
                <w:rFonts w:ascii="Constantia" w:hAnsi="Constantia"/>
                <w:bCs/>
                <w:i/>
                <w:iCs/>
                <w:color w:val="000000"/>
                <w:spacing w:val="8"/>
                <w:szCs w:val="22"/>
                <w:lang w:val="sr-Latn-CS"/>
              </w:rPr>
              <w:t xml:space="preserve"> </w:t>
            </w:r>
            <w:r w:rsidRPr="00961E20">
              <w:rPr>
                <w:rFonts w:ascii="Constantia" w:hAnsi="Constantia"/>
                <w:bCs/>
                <w:i/>
                <w:iCs/>
                <w:color w:val="000000"/>
                <w:spacing w:val="8"/>
                <w:szCs w:val="22"/>
                <w:lang w:val="sr-Latn-CS"/>
              </w:rPr>
              <w:t>Lactarius controversus, Leccinum aurantiacum, Paxillus involutus</w:t>
            </w:r>
          </w:p>
        </w:tc>
      </w:tr>
      <w:tr w:rsidR="004B071C" w:rsidRPr="00961E20" w:rsidTr="00D11EC1">
        <w:tc>
          <w:tcPr>
            <w:tcW w:w="1446" w:type="dxa"/>
            <w:vMerge/>
            <w:shd w:val="clear" w:color="auto" w:fill="E6EED5"/>
          </w:tcPr>
          <w:p w:rsidR="004B071C" w:rsidRPr="00961E20" w:rsidRDefault="004B071C" w:rsidP="004E680E">
            <w:pPr>
              <w:rPr>
                <w:rFonts w:ascii="Constantia" w:hAnsi="Constantia"/>
                <w:b/>
                <w:bCs/>
                <w:iCs/>
                <w:color w:val="000000"/>
                <w:spacing w:val="8"/>
                <w:szCs w:val="22"/>
                <w:lang w:val="sr-Latn-CS"/>
              </w:rPr>
            </w:pPr>
          </w:p>
        </w:tc>
        <w:tc>
          <w:tcPr>
            <w:tcW w:w="2064" w:type="dxa"/>
            <w:shd w:val="clear" w:color="auto" w:fill="E6EED5"/>
          </w:tcPr>
          <w:p w:rsidR="004B071C" w:rsidRPr="00961E20" w:rsidRDefault="004B071C" w:rsidP="004E680E">
            <w:pPr>
              <w:rPr>
                <w:rFonts w:ascii="Constantia" w:hAnsi="Constantia"/>
                <w:b/>
                <w:bCs/>
                <w:iCs/>
                <w:color w:val="000000"/>
                <w:spacing w:val="8"/>
                <w:szCs w:val="22"/>
                <w:lang w:val="sr-Latn-CS"/>
              </w:rPr>
            </w:pPr>
            <w:r w:rsidRPr="00961E20">
              <w:rPr>
                <w:rFonts w:ascii="Constantia" w:hAnsi="Constantia"/>
                <w:iCs/>
                <w:color w:val="000000"/>
                <w:spacing w:val="8"/>
                <w:szCs w:val="22"/>
                <w:lang w:val="sr-Latn-CS"/>
              </w:rPr>
              <w:t>Utvrđeno stanje</w:t>
            </w:r>
          </w:p>
        </w:tc>
        <w:tc>
          <w:tcPr>
            <w:tcW w:w="5400" w:type="dxa"/>
            <w:shd w:val="clear" w:color="auto" w:fill="E6EED5"/>
          </w:tcPr>
          <w:p w:rsidR="004B071C" w:rsidRPr="00961E20" w:rsidRDefault="004B071C" w:rsidP="004E680E">
            <w:pPr>
              <w:spacing w:after="0"/>
              <w:rPr>
                <w:rFonts w:ascii="Constantia" w:hAnsi="Constantia"/>
                <w:bCs/>
                <w:iCs/>
                <w:color w:val="000000"/>
                <w:spacing w:val="8"/>
                <w:szCs w:val="22"/>
                <w:lang w:val="sr-Latn-CS"/>
              </w:rPr>
            </w:pPr>
            <w:r w:rsidRPr="00961E20">
              <w:rPr>
                <w:rFonts w:ascii="Constantia" w:hAnsi="Constantia"/>
                <w:bCs/>
                <w:iCs/>
                <w:color w:val="000000"/>
                <w:spacing w:val="8"/>
                <w:szCs w:val="22"/>
                <w:lang w:val="sr-Latn-CS"/>
              </w:rPr>
              <w:t xml:space="preserve">Postojeća subpopulacija vrste </w:t>
            </w:r>
            <w:r w:rsidRPr="00961E20">
              <w:rPr>
                <w:rFonts w:ascii="Constantia" w:hAnsi="Constantia"/>
                <w:bCs/>
                <w:i/>
                <w:iCs/>
                <w:color w:val="000000"/>
                <w:spacing w:val="8"/>
                <w:szCs w:val="22"/>
                <w:lang w:val="sr-Latn-CS"/>
              </w:rPr>
              <w:t>Amanita caesarea</w:t>
            </w:r>
            <w:r w:rsidRPr="00961E20">
              <w:rPr>
                <w:rFonts w:ascii="Constantia" w:hAnsi="Constantia"/>
                <w:bCs/>
                <w:iCs/>
                <w:color w:val="000000"/>
                <w:spacing w:val="8"/>
                <w:szCs w:val="22"/>
                <w:lang w:val="sr-Latn-CS"/>
              </w:rPr>
              <w:t xml:space="preserve"> na navedenom lokalitetu je stabilna.</w:t>
            </w:r>
          </w:p>
          <w:p w:rsidR="004B071C" w:rsidRPr="00961E20" w:rsidRDefault="004B071C" w:rsidP="004E680E">
            <w:pPr>
              <w:spacing w:after="0"/>
              <w:rPr>
                <w:rFonts w:ascii="Constantia" w:hAnsi="Constantia"/>
                <w:b/>
                <w:bCs/>
                <w:iCs/>
                <w:color w:val="000000"/>
                <w:spacing w:val="8"/>
                <w:szCs w:val="22"/>
                <w:lang w:val="sr-Latn-CS"/>
              </w:rPr>
            </w:pPr>
            <w:r w:rsidRPr="00961E20">
              <w:rPr>
                <w:rFonts w:ascii="Constantia" w:hAnsi="Constantia"/>
                <w:bCs/>
                <w:iCs/>
                <w:color w:val="000000"/>
                <w:spacing w:val="8"/>
                <w:szCs w:val="22"/>
                <w:lang w:val="sr-Latn-CS"/>
              </w:rPr>
              <w:t xml:space="preserve">Postojeća subpopulacija vrste na </w:t>
            </w:r>
            <w:r w:rsidRPr="00961E20">
              <w:rPr>
                <w:rFonts w:ascii="Constantia" w:hAnsi="Constantia"/>
                <w:bCs/>
                <w:i/>
                <w:iCs/>
                <w:color w:val="000000"/>
                <w:spacing w:val="8"/>
                <w:szCs w:val="22"/>
                <w:lang w:val="sr-Latn-CS"/>
              </w:rPr>
              <w:t>Chroogomphus helveticus</w:t>
            </w:r>
            <w:r w:rsidRPr="00961E20">
              <w:rPr>
                <w:rFonts w:ascii="Constantia" w:hAnsi="Constantia"/>
                <w:bCs/>
                <w:iCs/>
                <w:color w:val="000000"/>
                <w:spacing w:val="8"/>
                <w:szCs w:val="22"/>
                <w:lang w:val="sr-Latn-CS"/>
              </w:rPr>
              <w:t xml:space="preserve"> navedenom lokalitetu je stabilna.</w:t>
            </w:r>
          </w:p>
        </w:tc>
      </w:tr>
    </w:tbl>
    <w:p w:rsidR="004B071C" w:rsidRPr="00D11EC1" w:rsidRDefault="00D11EC1" w:rsidP="004B071C">
      <w:pPr>
        <w:pStyle w:val="Tabele"/>
        <w:spacing w:before="60" w:after="240"/>
        <w:ind w:left="714" w:hanging="357"/>
        <w:rPr>
          <w:rFonts w:ascii="Constantia" w:hAnsi="Constantia"/>
          <w:sz w:val="22"/>
          <w:szCs w:val="22"/>
        </w:rPr>
      </w:pPr>
      <w:r>
        <w:t xml:space="preserve"> </w:t>
      </w:r>
      <w:r w:rsidR="004B071C" w:rsidRPr="00D11EC1">
        <w:rPr>
          <w:rFonts w:ascii="Constantia" w:hAnsi="Constantia"/>
          <w:sz w:val="22"/>
          <w:szCs w:val="22"/>
        </w:rPr>
        <w:t>Gljive</w:t>
      </w:r>
    </w:p>
    <w:p w:rsidR="004B071C" w:rsidRDefault="004B071C" w:rsidP="00D11EC1">
      <w:pPr>
        <w:spacing w:before="60" w:after="0"/>
        <w:rPr>
          <w:i/>
          <w:szCs w:val="22"/>
          <w:lang w:val="sr-Latn-CS"/>
        </w:rPr>
      </w:pPr>
    </w:p>
    <w:p w:rsidR="00961E20" w:rsidRDefault="00961E20" w:rsidP="00D11EC1">
      <w:pPr>
        <w:spacing w:before="60" w:after="0"/>
        <w:rPr>
          <w:i/>
          <w:szCs w:val="22"/>
          <w:lang w:val="sr-Latn-CS"/>
        </w:rPr>
      </w:pPr>
    </w:p>
    <w:p w:rsidR="00961E20" w:rsidRDefault="00961E20" w:rsidP="00D11EC1">
      <w:pPr>
        <w:spacing w:before="60" w:after="0"/>
        <w:rPr>
          <w:i/>
          <w:szCs w:val="22"/>
          <w:lang w:val="sr-Latn-CS"/>
        </w:rPr>
      </w:pPr>
    </w:p>
    <w:p w:rsidR="004B071C" w:rsidRPr="002E3A97" w:rsidRDefault="004B071C" w:rsidP="00D11EC1">
      <w:pPr>
        <w:pStyle w:val="Heading4"/>
        <w:spacing w:after="240"/>
        <w:rPr>
          <w:sz w:val="22"/>
          <w:szCs w:val="22"/>
          <w:lang w:val="sr-Latn-CS"/>
        </w:rPr>
      </w:pPr>
      <w:r w:rsidRPr="002E3A97">
        <w:rPr>
          <w:sz w:val="22"/>
          <w:szCs w:val="22"/>
          <w:lang w:val="sr-Latn-CS"/>
        </w:rPr>
        <w:lastRenderedPageBreak/>
        <w:t>Invertebrate (beskičmenjaci)</w:t>
      </w:r>
    </w:p>
    <w:p w:rsidR="004B071C" w:rsidRPr="00CE67E0" w:rsidRDefault="00D11EC1" w:rsidP="004B071C">
      <w:pPr>
        <w:rPr>
          <w:b/>
          <w:i/>
          <w:color w:val="000000"/>
          <w:sz w:val="20"/>
          <w:szCs w:val="20"/>
          <w:lang w:val="sr-Latn-CS"/>
        </w:rPr>
      </w:pPr>
      <w:r w:rsidRPr="00961E20">
        <w:rPr>
          <w:b/>
          <w:sz w:val="20"/>
          <w:szCs w:val="20"/>
          <w:lang w:val="sr-Latn-CS"/>
        </w:rPr>
        <w:t xml:space="preserve">6.3.3.4.1  </w:t>
      </w:r>
      <w:r w:rsidR="004B071C" w:rsidRPr="00961E20">
        <w:rPr>
          <w:b/>
          <w:sz w:val="20"/>
          <w:szCs w:val="20"/>
          <w:lang w:val="sr-Latn-CS"/>
        </w:rPr>
        <w:t xml:space="preserve">- </w:t>
      </w:r>
      <w:r w:rsidRPr="00961E20">
        <w:rPr>
          <w:b/>
          <w:sz w:val="20"/>
          <w:szCs w:val="20"/>
          <w:lang w:val="sr-Latn-CS"/>
        </w:rPr>
        <w:t xml:space="preserve"> </w:t>
      </w:r>
      <w:r w:rsidR="004B071C" w:rsidRPr="00961E20">
        <w:rPr>
          <w:b/>
          <w:color w:val="000000"/>
          <w:sz w:val="20"/>
          <w:szCs w:val="20"/>
          <w:u w:val="single"/>
          <w:lang w:val="sr-Latn-CS"/>
        </w:rPr>
        <w:t xml:space="preserve">Malakofauna </w:t>
      </w:r>
      <w:r w:rsidR="004B071C" w:rsidRPr="00CE67E0">
        <w:rPr>
          <w:b/>
          <w:i/>
          <w:color w:val="000000"/>
          <w:sz w:val="20"/>
          <w:szCs w:val="20"/>
          <w:lang w:val="sr-Latn-CS"/>
        </w:rPr>
        <w:t>(Gastropoda i Bivalvia)</w:t>
      </w:r>
    </w:p>
    <w:p w:rsidR="004B071C" w:rsidRDefault="004B071C" w:rsidP="00D11EC1">
      <w:pPr>
        <w:spacing w:before="240"/>
        <w:rPr>
          <w:rFonts w:ascii="Constantia" w:hAnsi="Constantia"/>
          <w:color w:val="000000"/>
          <w:szCs w:val="22"/>
        </w:rPr>
      </w:pPr>
      <w:r w:rsidRPr="00D11EC1">
        <w:rPr>
          <w:rFonts w:ascii="Constantia" w:hAnsi="Constantia"/>
          <w:color w:val="000000"/>
          <w:szCs w:val="22"/>
          <w:lang w:val="sr-Latn-CS"/>
        </w:rPr>
        <w:t>Datum terenskih istraživanja</w:t>
      </w:r>
      <w:r w:rsidRPr="00D11EC1">
        <w:rPr>
          <w:rFonts w:ascii="Constantia" w:hAnsi="Constantia"/>
          <w:color w:val="000000"/>
          <w:szCs w:val="22"/>
        </w:rPr>
        <w:t xml:space="preserve">: </w:t>
      </w:r>
      <w:r w:rsidR="00D11EC1">
        <w:rPr>
          <w:rFonts w:ascii="Constantia" w:hAnsi="Constantia"/>
          <w:color w:val="000000"/>
          <w:szCs w:val="22"/>
        </w:rPr>
        <w:t>02.06.13</w:t>
      </w:r>
      <w:r w:rsidRPr="00D11EC1">
        <w:rPr>
          <w:rFonts w:ascii="Constantia" w:hAnsi="Constantia"/>
          <w:color w:val="000000"/>
          <w:szCs w:val="22"/>
        </w:rPr>
        <w:t>.</w:t>
      </w:r>
    </w:p>
    <w:p w:rsidR="00CE67E0" w:rsidRPr="00D11EC1" w:rsidRDefault="00CE67E0" w:rsidP="00CE67E0">
      <w:pPr>
        <w:spacing w:after="0"/>
        <w:rPr>
          <w:rFonts w:ascii="Constantia" w:hAnsi="Constantia"/>
          <w:color w:val="FF0000"/>
          <w:szCs w:val="22"/>
          <w:lang w:val="sr-Latn-CS"/>
        </w:rPr>
      </w:pPr>
    </w:p>
    <w:tbl>
      <w:tblPr>
        <w:tblW w:w="8949" w:type="dxa"/>
        <w:jc w:val="center"/>
        <w:tblInd w:w="-903"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1E0" w:firstRow="1" w:lastRow="1" w:firstColumn="1" w:lastColumn="1" w:noHBand="0" w:noVBand="0"/>
      </w:tblPr>
      <w:tblGrid>
        <w:gridCol w:w="2368"/>
        <w:gridCol w:w="3060"/>
        <w:gridCol w:w="3521"/>
      </w:tblGrid>
      <w:tr w:rsidR="004B071C" w:rsidRPr="00CE67E0" w:rsidTr="00B0085F">
        <w:trPr>
          <w:jc w:val="center"/>
        </w:trPr>
        <w:tc>
          <w:tcPr>
            <w:tcW w:w="2368" w:type="dxa"/>
            <w:shd w:val="clear" w:color="auto" w:fill="E6EED5"/>
            <w:hideMark/>
          </w:tcPr>
          <w:p w:rsidR="004B071C" w:rsidRPr="00CE67E0" w:rsidRDefault="004B071C" w:rsidP="00B0085F">
            <w:pPr>
              <w:tabs>
                <w:tab w:val="left" w:pos="7380"/>
              </w:tabs>
              <w:spacing w:after="0" w:line="260" w:lineRule="exact"/>
              <w:jc w:val="center"/>
              <w:rPr>
                <w:rFonts w:ascii="Constantia" w:hAnsi="Constantia" w:cs="Arial"/>
                <w:b/>
                <w:bCs/>
                <w:color w:val="000000"/>
                <w:spacing w:val="6"/>
                <w:szCs w:val="22"/>
                <w:lang w:val="sr-Latn-CS"/>
              </w:rPr>
            </w:pPr>
            <w:r w:rsidRPr="00CE67E0">
              <w:rPr>
                <w:rFonts w:ascii="Constantia" w:hAnsi="Constantia" w:cs="Arial"/>
                <w:b/>
                <w:bCs/>
                <w:color w:val="000000"/>
                <w:spacing w:val="6"/>
                <w:szCs w:val="22"/>
                <w:lang w:val="sr-Latn-CS"/>
              </w:rPr>
              <w:t>Lokaliteti</w:t>
            </w:r>
          </w:p>
        </w:tc>
        <w:tc>
          <w:tcPr>
            <w:tcW w:w="3060" w:type="dxa"/>
            <w:shd w:val="clear" w:color="auto" w:fill="E6EED5"/>
            <w:hideMark/>
          </w:tcPr>
          <w:p w:rsidR="004B071C" w:rsidRPr="00CE67E0" w:rsidRDefault="004B071C" w:rsidP="00B0085F">
            <w:pPr>
              <w:tabs>
                <w:tab w:val="left" w:pos="7380"/>
              </w:tabs>
              <w:spacing w:after="0" w:line="260" w:lineRule="exact"/>
              <w:jc w:val="center"/>
              <w:rPr>
                <w:rFonts w:ascii="Constantia" w:hAnsi="Constantia" w:cs="Arial"/>
                <w:b/>
                <w:bCs/>
                <w:color w:val="000000"/>
                <w:spacing w:val="6"/>
                <w:szCs w:val="22"/>
                <w:lang w:val="sr-Latn-CS"/>
              </w:rPr>
            </w:pPr>
            <w:r w:rsidRPr="00CE67E0">
              <w:rPr>
                <w:rFonts w:ascii="Constantia" w:hAnsi="Constantia" w:cs="Arial"/>
                <w:b/>
                <w:bCs/>
                <w:color w:val="000000"/>
                <w:spacing w:val="6"/>
                <w:szCs w:val="22"/>
                <w:lang w:val="sr-Latn-CS"/>
              </w:rPr>
              <w:t>Identifikovani taksoni</w:t>
            </w:r>
          </w:p>
        </w:tc>
        <w:tc>
          <w:tcPr>
            <w:tcW w:w="3521" w:type="dxa"/>
            <w:shd w:val="clear" w:color="auto" w:fill="E6EED5"/>
          </w:tcPr>
          <w:p w:rsidR="004B071C" w:rsidRPr="00CE67E0" w:rsidRDefault="004B071C" w:rsidP="00B0085F">
            <w:pPr>
              <w:tabs>
                <w:tab w:val="left" w:pos="7380"/>
              </w:tabs>
              <w:spacing w:after="0" w:line="260" w:lineRule="exact"/>
              <w:jc w:val="center"/>
              <w:rPr>
                <w:rFonts w:ascii="Constantia" w:hAnsi="Constantia" w:cs="Arial"/>
                <w:b/>
                <w:bCs/>
                <w:color w:val="000000"/>
                <w:spacing w:val="6"/>
                <w:szCs w:val="22"/>
                <w:lang w:val="sr-Latn-CS"/>
              </w:rPr>
            </w:pPr>
            <w:r w:rsidRPr="00CE67E0">
              <w:rPr>
                <w:rFonts w:ascii="Constantia" w:hAnsi="Constantia" w:cs="Arial"/>
                <w:b/>
                <w:bCs/>
                <w:color w:val="000000"/>
                <w:spacing w:val="6"/>
                <w:szCs w:val="22"/>
                <w:lang w:val="sr-Latn-CS"/>
              </w:rPr>
              <w:t>Utvrđeno stanje</w:t>
            </w:r>
          </w:p>
        </w:tc>
      </w:tr>
      <w:tr w:rsidR="004B071C" w:rsidRPr="00CE67E0" w:rsidTr="00B0085F">
        <w:trPr>
          <w:jc w:val="center"/>
        </w:trPr>
        <w:tc>
          <w:tcPr>
            <w:tcW w:w="2368" w:type="dxa"/>
            <w:shd w:val="clear" w:color="auto" w:fill="CDDDAC"/>
            <w:hideMark/>
          </w:tcPr>
          <w:p w:rsidR="004B071C" w:rsidRPr="00CE67E0" w:rsidRDefault="004B071C" w:rsidP="004E680E">
            <w:pPr>
              <w:tabs>
                <w:tab w:val="left" w:pos="7380"/>
              </w:tabs>
              <w:spacing w:after="0" w:line="260" w:lineRule="exact"/>
              <w:jc w:val="right"/>
              <w:rPr>
                <w:rFonts w:ascii="Constantia" w:hAnsi="Constantia" w:cs="Arial"/>
                <w:b/>
                <w:bCs/>
                <w:smallCaps/>
                <w:color w:val="FF0000"/>
                <w:spacing w:val="6"/>
                <w:szCs w:val="22"/>
                <w:lang w:val="sr-Latn-CS"/>
              </w:rPr>
            </w:pPr>
          </w:p>
        </w:tc>
        <w:tc>
          <w:tcPr>
            <w:tcW w:w="6581" w:type="dxa"/>
            <w:gridSpan w:val="2"/>
            <w:shd w:val="clear" w:color="auto" w:fill="CDDDAC"/>
            <w:hideMark/>
          </w:tcPr>
          <w:p w:rsidR="004B071C" w:rsidRPr="00CE67E0" w:rsidRDefault="004B071C" w:rsidP="004E680E">
            <w:pPr>
              <w:spacing w:after="60" w:line="280" w:lineRule="exact"/>
              <w:rPr>
                <w:rFonts w:ascii="Constantia" w:hAnsi="Constantia" w:cs="Arial"/>
                <w:bCs/>
                <w:color w:val="FF0000"/>
                <w:spacing w:val="10"/>
                <w:szCs w:val="22"/>
              </w:rPr>
            </w:pPr>
          </w:p>
        </w:tc>
      </w:tr>
      <w:tr w:rsidR="004B071C" w:rsidRPr="00CE67E0" w:rsidTr="00867738">
        <w:trPr>
          <w:trHeight w:val="2999"/>
          <w:jc w:val="center"/>
        </w:trPr>
        <w:tc>
          <w:tcPr>
            <w:tcW w:w="2368" w:type="dxa"/>
            <w:shd w:val="clear" w:color="auto" w:fill="E6EED5"/>
            <w:hideMark/>
          </w:tcPr>
          <w:p w:rsidR="004B071C" w:rsidRPr="00CE67E0" w:rsidRDefault="004B071C" w:rsidP="004E680E">
            <w:pPr>
              <w:spacing w:after="0"/>
              <w:rPr>
                <w:rFonts w:ascii="Constantia" w:hAnsi="Constantia" w:cs="Arial"/>
                <w:b/>
                <w:bCs/>
                <w:smallCaps/>
                <w:color w:val="000000"/>
                <w:spacing w:val="6"/>
                <w:szCs w:val="22"/>
                <w:lang w:val="sr-Latn-CS"/>
              </w:rPr>
            </w:pPr>
            <w:r w:rsidRPr="00CE67E0">
              <w:rPr>
                <w:rFonts w:ascii="Constantia" w:hAnsi="Constantia" w:cs="Arial"/>
                <w:b/>
                <w:bCs/>
                <w:smallCaps/>
                <w:color w:val="000000"/>
                <w:spacing w:val="6"/>
                <w:szCs w:val="22"/>
                <w:lang w:val="sr-Latn-CS"/>
              </w:rPr>
              <w:t>Kanjon Mrtvice</w:t>
            </w:r>
          </w:p>
        </w:tc>
        <w:tc>
          <w:tcPr>
            <w:tcW w:w="3060" w:type="dxa"/>
            <w:shd w:val="clear" w:color="auto" w:fill="E6EED5"/>
          </w:tcPr>
          <w:p w:rsidR="004B071C" w:rsidRPr="00CE67E0" w:rsidRDefault="004B071C" w:rsidP="00B0085F">
            <w:pPr>
              <w:spacing w:after="60" w:line="280" w:lineRule="exact"/>
              <w:jc w:val="left"/>
              <w:rPr>
                <w:rFonts w:ascii="Constantia" w:eastAsia="Calibri" w:hAnsi="Constantia" w:cs="Arial"/>
                <w:bCs/>
                <w:i/>
                <w:color w:val="000000"/>
                <w:spacing w:val="8"/>
                <w:szCs w:val="22"/>
                <w:lang w:val="pt-BR"/>
              </w:rPr>
            </w:pPr>
            <w:r w:rsidRPr="00CE67E0">
              <w:rPr>
                <w:rFonts w:ascii="Constantia" w:eastAsia="Calibri" w:hAnsi="Constantia" w:cs="Arial"/>
                <w:bCs/>
                <w:i/>
                <w:color w:val="000000"/>
                <w:spacing w:val="8"/>
                <w:szCs w:val="22"/>
                <w:lang w:val="pt-BR"/>
              </w:rPr>
              <w:t>Pomatias elegans</w:t>
            </w:r>
          </w:p>
          <w:p w:rsidR="004B071C" w:rsidRPr="00CE67E0" w:rsidRDefault="004B071C" w:rsidP="00B0085F">
            <w:pPr>
              <w:spacing w:after="60" w:line="280" w:lineRule="exact"/>
              <w:jc w:val="left"/>
              <w:rPr>
                <w:rFonts w:ascii="Constantia" w:eastAsia="Calibri" w:hAnsi="Constantia" w:cs="Arial"/>
                <w:bCs/>
                <w:i/>
                <w:color w:val="000000"/>
                <w:spacing w:val="8"/>
                <w:szCs w:val="22"/>
                <w:lang w:val="pt-BR"/>
              </w:rPr>
            </w:pPr>
            <w:r w:rsidRPr="00CE67E0">
              <w:rPr>
                <w:rFonts w:ascii="Constantia" w:eastAsia="Calibri" w:hAnsi="Constantia" w:cs="Arial"/>
                <w:bCs/>
                <w:i/>
                <w:color w:val="000000"/>
                <w:spacing w:val="8"/>
                <w:szCs w:val="22"/>
                <w:lang w:val="pt-BR"/>
              </w:rPr>
              <w:t>Paraegopis albanicus</w:t>
            </w:r>
          </w:p>
          <w:p w:rsidR="004B071C" w:rsidRPr="00CE67E0" w:rsidRDefault="004B071C" w:rsidP="00B0085F">
            <w:pPr>
              <w:spacing w:after="60" w:line="280" w:lineRule="exact"/>
              <w:jc w:val="left"/>
              <w:rPr>
                <w:rFonts w:ascii="Constantia" w:eastAsia="Calibri" w:hAnsi="Constantia" w:cs="Arial"/>
                <w:bCs/>
                <w:i/>
                <w:color w:val="000000"/>
                <w:spacing w:val="8"/>
                <w:szCs w:val="22"/>
                <w:lang w:val="pt-BR"/>
              </w:rPr>
            </w:pPr>
            <w:r w:rsidRPr="00CE67E0">
              <w:rPr>
                <w:rFonts w:ascii="Constantia" w:eastAsia="Calibri" w:hAnsi="Constantia" w:cs="Arial"/>
                <w:bCs/>
                <w:i/>
                <w:color w:val="000000"/>
                <w:spacing w:val="8"/>
                <w:szCs w:val="22"/>
                <w:lang w:val="pt-BR"/>
              </w:rPr>
              <w:t>Malkolimax mrazeki</w:t>
            </w:r>
          </w:p>
          <w:p w:rsidR="004B071C" w:rsidRPr="00CE67E0" w:rsidRDefault="004B071C" w:rsidP="00B0085F">
            <w:pPr>
              <w:spacing w:after="60" w:line="280" w:lineRule="exact"/>
              <w:jc w:val="left"/>
              <w:rPr>
                <w:rFonts w:ascii="Constantia" w:eastAsia="Calibri" w:hAnsi="Constantia" w:cs="Arial"/>
                <w:bCs/>
                <w:i/>
                <w:color w:val="000000"/>
                <w:spacing w:val="8"/>
                <w:szCs w:val="22"/>
                <w:lang w:val="pt-BR"/>
              </w:rPr>
            </w:pPr>
            <w:r w:rsidRPr="00CE67E0">
              <w:rPr>
                <w:rFonts w:ascii="Constantia" w:eastAsia="Calibri" w:hAnsi="Constantia" w:cs="Arial"/>
                <w:bCs/>
                <w:i/>
                <w:color w:val="000000"/>
                <w:spacing w:val="8"/>
                <w:szCs w:val="22"/>
                <w:lang w:val="pt-BR"/>
              </w:rPr>
              <w:t>Deroceras turcicum</w:t>
            </w:r>
          </w:p>
          <w:p w:rsidR="004B071C" w:rsidRPr="00CE67E0" w:rsidRDefault="004B071C" w:rsidP="00B0085F">
            <w:pPr>
              <w:spacing w:after="0" w:line="280" w:lineRule="exact"/>
              <w:jc w:val="left"/>
              <w:rPr>
                <w:rFonts w:ascii="Constantia" w:eastAsia="Calibri" w:hAnsi="Constantia" w:cs="Arial"/>
                <w:bCs/>
                <w:color w:val="000000"/>
                <w:spacing w:val="8"/>
                <w:szCs w:val="22"/>
                <w:lang w:val="pt-BR"/>
              </w:rPr>
            </w:pPr>
            <w:r w:rsidRPr="00CE67E0">
              <w:rPr>
                <w:rFonts w:ascii="Constantia" w:eastAsia="Calibri" w:hAnsi="Constantia" w:cs="Arial"/>
                <w:bCs/>
                <w:i/>
                <w:color w:val="000000"/>
                <w:spacing w:val="8"/>
                <w:szCs w:val="22"/>
                <w:lang w:val="pt-BR"/>
              </w:rPr>
              <w:t>Ena montana</w:t>
            </w:r>
          </w:p>
        </w:tc>
        <w:tc>
          <w:tcPr>
            <w:tcW w:w="3521" w:type="dxa"/>
            <w:shd w:val="clear" w:color="auto" w:fill="E6EED5"/>
          </w:tcPr>
          <w:p w:rsidR="004B071C" w:rsidRPr="00CE67E0" w:rsidRDefault="004B071C" w:rsidP="00CE67E0">
            <w:pPr>
              <w:spacing w:line="280" w:lineRule="exact"/>
              <w:rPr>
                <w:rFonts w:ascii="Constantia" w:eastAsia="Calibri" w:hAnsi="Constantia" w:cs="Arial"/>
                <w:bCs/>
                <w:color w:val="000000"/>
                <w:spacing w:val="8"/>
                <w:szCs w:val="22"/>
                <w:lang w:val="pt-BR"/>
              </w:rPr>
            </w:pPr>
            <w:r w:rsidRPr="00CE67E0">
              <w:rPr>
                <w:rFonts w:ascii="Constantia" w:eastAsia="Calibri" w:hAnsi="Constantia" w:cs="Arial"/>
                <w:bCs/>
                <w:color w:val="000000"/>
                <w:spacing w:val="8"/>
                <w:szCs w:val="22"/>
                <w:lang w:val="pt-BR"/>
              </w:rPr>
              <w:t>Na datom lokalitetu</w:t>
            </w:r>
            <w:r w:rsidR="00B0085F" w:rsidRPr="00CE67E0">
              <w:rPr>
                <w:rFonts w:ascii="Constantia" w:eastAsia="Calibri" w:hAnsi="Constantia" w:cs="Arial"/>
                <w:bCs/>
                <w:color w:val="000000"/>
                <w:spacing w:val="8"/>
                <w:szCs w:val="22"/>
                <w:lang w:val="pt-BR"/>
              </w:rPr>
              <w:t>,</w:t>
            </w:r>
            <w:r w:rsidRPr="00CE67E0">
              <w:rPr>
                <w:rFonts w:ascii="Constantia" w:eastAsia="Calibri" w:hAnsi="Constantia" w:cs="Arial"/>
                <w:bCs/>
                <w:color w:val="000000"/>
                <w:spacing w:val="8"/>
                <w:szCs w:val="22"/>
                <w:lang w:val="pt-BR"/>
              </w:rPr>
              <w:t xml:space="preserve"> vrsta </w:t>
            </w:r>
            <w:r w:rsidRPr="00CE67E0">
              <w:rPr>
                <w:rFonts w:ascii="Constantia" w:eastAsia="Calibri" w:hAnsi="Constantia" w:cs="Arial"/>
                <w:bCs/>
                <w:i/>
                <w:color w:val="000000"/>
                <w:spacing w:val="8"/>
                <w:szCs w:val="22"/>
                <w:lang w:val="pt-BR"/>
              </w:rPr>
              <w:t>Pomatias elegans</w:t>
            </w:r>
            <w:r w:rsidRPr="00CE67E0">
              <w:rPr>
                <w:rFonts w:ascii="Constantia" w:eastAsia="Calibri" w:hAnsi="Constantia" w:cs="Arial"/>
                <w:bCs/>
                <w:color w:val="000000"/>
                <w:spacing w:val="8"/>
                <w:szCs w:val="22"/>
                <w:lang w:val="pt-BR"/>
              </w:rPr>
              <w:t xml:space="preserve"> se odlikuje jako brojnom populacijom, naročito na padinama pored puta, jako veliki broj jedinki. Dok su ostale vrste konstat</w:t>
            </w:r>
            <w:r w:rsidR="00B0085F" w:rsidRPr="00CE67E0">
              <w:rPr>
                <w:rFonts w:ascii="Constantia" w:eastAsia="Calibri" w:hAnsi="Constantia" w:cs="Arial"/>
                <w:bCs/>
                <w:color w:val="000000"/>
                <w:spacing w:val="8"/>
                <w:szCs w:val="22"/>
                <w:lang w:val="pt-BR"/>
              </w:rPr>
              <w:t xml:space="preserve">ovane u po nekoliko primjeraka, </w:t>
            </w:r>
            <w:r w:rsidRPr="00CE67E0">
              <w:rPr>
                <w:rFonts w:ascii="Constantia" w:eastAsia="Calibri" w:hAnsi="Constantia" w:cs="Arial"/>
                <w:bCs/>
                <w:color w:val="000000"/>
                <w:spacing w:val="8"/>
                <w:szCs w:val="22"/>
                <w:lang w:val="pt-BR"/>
              </w:rPr>
              <w:t>što je inače karakteristika i za ostale kanjone, pogotovo kada se ima u vidu da</w:t>
            </w:r>
            <w:r w:rsidR="00B0085F" w:rsidRPr="00CE67E0">
              <w:rPr>
                <w:rFonts w:ascii="Constantia" w:eastAsia="Calibri" w:hAnsi="Constantia" w:cs="Arial"/>
                <w:bCs/>
                <w:color w:val="000000"/>
                <w:spacing w:val="8"/>
                <w:szCs w:val="22"/>
                <w:lang w:val="pt-BR"/>
              </w:rPr>
              <w:t xml:space="preserve"> s</w:t>
            </w:r>
            <w:r w:rsidRPr="00CE67E0">
              <w:rPr>
                <w:rFonts w:ascii="Constantia" w:eastAsia="Calibri" w:hAnsi="Constantia" w:cs="Arial"/>
                <w:bCs/>
                <w:color w:val="000000"/>
                <w:spacing w:val="8"/>
                <w:szCs w:val="22"/>
                <w:lang w:val="pt-BR"/>
              </w:rPr>
              <w:t>e radi o endemima koji nisu tako brojni.</w:t>
            </w:r>
          </w:p>
        </w:tc>
      </w:tr>
    </w:tbl>
    <w:p w:rsidR="004B071C" w:rsidRPr="00B0085F" w:rsidRDefault="00CE67E0" w:rsidP="00F62E46">
      <w:pPr>
        <w:pStyle w:val="Tabele"/>
        <w:spacing w:before="60" w:after="0"/>
        <w:ind w:left="714" w:hanging="357"/>
        <w:rPr>
          <w:rFonts w:ascii="Constantia" w:hAnsi="Constantia"/>
          <w:sz w:val="22"/>
          <w:szCs w:val="22"/>
        </w:rPr>
      </w:pPr>
      <w:r>
        <w:rPr>
          <w:rFonts w:ascii="Constantia" w:hAnsi="Constantia"/>
          <w:sz w:val="22"/>
          <w:szCs w:val="22"/>
        </w:rPr>
        <w:t xml:space="preserve"> </w:t>
      </w:r>
      <w:r w:rsidR="004B071C" w:rsidRPr="00B0085F">
        <w:rPr>
          <w:rFonts w:ascii="Constantia" w:hAnsi="Constantia"/>
          <w:sz w:val="22"/>
          <w:szCs w:val="22"/>
        </w:rPr>
        <w:t>Malakofauna</w:t>
      </w:r>
    </w:p>
    <w:p w:rsidR="00F62E46" w:rsidRDefault="00F62E46" w:rsidP="004B071C">
      <w:pPr>
        <w:spacing w:before="60" w:after="240"/>
        <w:rPr>
          <w:sz w:val="20"/>
          <w:szCs w:val="20"/>
          <w:lang w:val="sr-Latn-CS"/>
        </w:rPr>
      </w:pPr>
    </w:p>
    <w:p w:rsidR="004B071C" w:rsidRPr="00CE67E0" w:rsidRDefault="00867738" w:rsidP="004B071C">
      <w:pPr>
        <w:spacing w:after="240"/>
        <w:rPr>
          <w:b/>
          <w:szCs w:val="22"/>
          <w:u w:val="single"/>
          <w:lang w:val="sr-Latn-CS"/>
        </w:rPr>
      </w:pPr>
      <w:r w:rsidRPr="00CE67E0">
        <w:rPr>
          <w:b/>
          <w:sz w:val="20"/>
          <w:szCs w:val="20"/>
          <w:lang w:val="sr-Latn-CS"/>
        </w:rPr>
        <w:t xml:space="preserve">6.3.3.4.2  -  </w:t>
      </w:r>
      <w:r w:rsidRPr="00CE67E0">
        <w:rPr>
          <w:b/>
          <w:color w:val="000000"/>
          <w:sz w:val="20"/>
          <w:szCs w:val="20"/>
          <w:u w:val="single"/>
          <w:lang w:val="sr-Latn-CS"/>
        </w:rPr>
        <w:t>Insekti</w:t>
      </w:r>
    </w:p>
    <w:p w:rsidR="004B071C" w:rsidRPr="00867738" w:rsidRDefault="004B071C" w:rsidP="00F62E46">
      <w:pPr>
        <w:spacing w:before="60" w:after="0"/>
        <w:rPr>
          <w:rFonts w:ascii="Constantia" w:hAnsi="Constantia"/>
          <w:szCs w:val="22"/>
          <w:lang w:val="sr-Latn-CS"/>
        </w:rPr>
      </w:pPr>
      <w:r w:rsidRPr="00867738">
        <w:rPr>
          <w:rFonts w:ascii="Constantia" w:hAnsi="Constantia"/>
          <w:szCs w:val="22"/>
          <w:lang w:val="sr-Latn-CS"/>
        </w:rPr>
        <w:t>Datum terenskih istraživanja: 18.07.2013</w:t>
      </w:r>
      <w:r w:rsidR="00867738">
        <w:rPr>
          <w:rFonts w:ascii="Constantia" w:hAnsi="Constantia"/>
          <w:szCs w:val="22"/>
          <w:lang w:val="sr-Latn-CS"/>
        </w:rPr>
        <w:t>.</w:t>
      </w:r>
    </w:p>
    <w:p w:rsidR="004B071C" w:rsidRDefault="004B071C" w:rsidP="00F62E46">
      <w:pPr>
        <w:spacing w:after="0"/>
        <w:rPr>
          <w:i/>
          <w:szCs w:val="22"/>
          <w:lang w:val="sr-Latn-CS"/>
        </w:rPr>
      </w:pPr>
    </w:p>
    <w:tbl>
      <w:tblPr>
        <w:tblW w:w="8881" w:type="dxa"/>
        <w:jc w:val="center"/>
        <w:tblInd w:w="724"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1E0" w:firstRow="1" w:lastRow="1" w:firstColumn="1" w:lastColumn="1" w:noHBand="0" w:noVBand="0"/>
      </w:tblPr>
      <w:tblGrid>
        <w:gridCol w:w="1756"/>
        <w:gridCol w:w="1896"/>
        <w:gridCol w:w="1477"/>
        <w:gridCol w:w="3752"/>
      </w:tblGrid>
      <w:tr w:rsidR="004B071C" w:rsidRPr="0024111B" w:rsidTr="00F62E46">
        <w:trPr>
          <w:jc w:val="center"/>
        </w:trPr>
        <w:tc>
          <w:tcPr>
            <w:tcW w:w="1756" w:type="dxa"/>
            <w:shd w:val="clear" w:color="auto" w:fill="E6EED5"/>
            <w:hideMark/>
          </w:tcPr>
          <w:p w:rsidR="004B071C" w:rsidRPr="0024111B" w:rsidRDefault="004B071C" w:rsidP="00F62E46">
            <w:pPr>
              <w:tabs>
                <w:tab w:val="left" w:pos="7380"/>
              </w:tabs>
              <w:spacing w:after="0" w:line="260" w:lineRule="exact"/>
              <w:jc w:val="center"/>
              <w:rPr>
                <w:rFonts w:ascii="Constantia" w:hAnsi="Constantia" w:cs="Arial"/>
                <w:b/>
                <w:bCs/>
                <w:spacing w:val="6"/>
                <w:szCs w:val="22"/>
                <w:lang w:val="sr-Latn-CS"/>
              </w:rPr>
            </w:pPr>
            <w:r w:rsidRPr="0024111B">
              <w:rPr>
                <w:rFonts w:ascii="Constantia" w:hAnsi="Constantia" w:cs="Arial"/>
                <w:b/>
                <w:bCs/>
                <w:spacing w:val="6"/>
                <w:szCs w:val="22"/>
                <w:lang w:val="sr-Latn-CS"/>
              </w:rPr>
              <w:t>Lokaliteti</w:t>
            </w:r>
          </w:p>
        </w:tc>
        <w:tc>
          <w:tcPr>
            <w:tcW w:w="1898" w:type="dxa"/>
            <w:shd w:val="clear" w:color="auto" w:fill="CDDDAC"/>
            <w:hideMark/>
          </w:tcPr>
          <w:p w:rsidR="004B071C" w:rsidRPr="0024111B" w:rsidRDefault="004B071C" w:rsidP="00F62E46">
            <w:pPr>
              <w:tabs>
                <w:tab w:val="left" w:pos="7380"/>
              </w:tabs>
              <w:spacing w:after="0" w:line="260" w:lineRule="exact"/>
              <w:jc w:val="center"/>
              <w:rPr>
                <w:rFonts w:ascii="Constantia" w:hAnsi="Constantia" w:cs="Arial"/>
                <w:b/>
                <w:bCs/>
                <w:spacing w:val="6"/>
                <w:szCs w:val="22"/>
                <w:lang w:val="sr-Latn-CS"/>
              </w:rPr>
            </w:pPr>
            <w:r w:rsidRPr="0024111B">
              <w:rPr>
                <w:rFonts w:ascii="Constantia" w:hAnsi="Constantia" w:cs="Arial"/>
                <w:b/>
                <w:bCs/>
                <w:spacing w:val="6"/>
                <w:szCs w:val="22"/>
                <w:lang w:val="sr-Latn-CS"/>
              </w:rPr>
              <w:t>Koordinate</w:t>
            </w:r>
          </w:p>
        </w:tc>
        <w:tc>
          <w:tcPr>
            <w:tcW w:w="1469" w:type="dxa"/>
            <w:shd w:val="clear" w:color="auto" w:fill="CDDDAC"/>
          </w:tcPr>
          <w:p w:rsidR="004B071C" w:rsidRPr="0024111B" w:rsidRDefault="004B071C" w:rsidP="00F62E46">
            <w:pPr>
              <w:tabs>
                <w:tab w:val="left" w:pos="7380"/>
              </w:tabs>
              <w:spacing w:after="0" w:line="260" w:lineRule="exact"/>
              <w:jc w:val="center"/>
              <w:rPr>
                <w:rFonts w:ascii="Constantia" w:hAnsi="Constantia" w:cs="Arial"/>
                <w:b/>
                <w:bCs/>
                <w:spacing w:val="6"/>
                <w:szCs w:val="22"/>
                <w:lang w:val="sr-Latn-CS"/>
              </w:rPr>
            </w:pPr>
            <w:r w:rsidRPr="0024111B">
              <w:rPr>
                <w:rFonts w:ascii="Constantia" w:hAnsi="Constantia" w:cs="Arial"/>
                <w:b/>
                <w:bCs/>
                <w:spacing w:val="6"/>
                <w:szCs w:val="22"/>
                <w:lang w:val="sr-Latn-CS"/>
              </w:rPr>
              <w:t>Nadmorska visina</w:t>
            </w:r>
          </w:p>
        </w:tc>
        <w:tc>
          <w:tcPr>
            <w:tcW w:w="3758" w:type="dxa"/>
            <w:shd w:val="clear" w:color="auto" w:fill="E6EED5"/>
            <w:hideMark/>
          </w:tcPr>
          <w:p w:rsidR="004B071C" w:rsidRPr="0024111B" w:rsidRDefault="004B071C" w:rsidP="00F62E46">
            <w:pPr>
              <w:tabs>
                <w:tab w:val="left" w:pos="7380"/>
              </w:tabs>
              <w:spacing w:after="0" w:line="260" w:lineRule="exact"/>
              <w:jc w:val="center"/>
              <w:rPr>
                <w:rFonts w:ascii="Constantia" w:hAnsi="Constantia" w:cs="Arial"/>
                <w:b/>
                <w:bCs/>
                <w:spacing w:val="6"/>
                <w:szCs w:val="22"/>
                <w:lang w:val="sr-Latn-CS"/>
              </w:rPr>
            </w:pPr>
            <w:r w:rsidRPr="0024111B">
              <w:rPr>
                <w:rFonts w:ascii="Constantia" w:hAnsi="Constantia" w:cs="Arial"/>
                <w:b/>
                <w:bCs/>
                <w:spacing w:val="6"/>
                <w:szCs w:val="22"/>
                <w:lang w:val="sr-Latn-CS"/>
              </w:rPr>
              <w:t>Identifikovani taksoni/Utvrđeno stanje</w:t>
            </w:r>
          </w:p>
        </w:tc>
      </w:tr>
      <w:tr w:rsidR="004B071C" w:rsidRPr="0024111B" w:rsidTr="00F62E46">
        <w:trPr>
          <w:jc w:val="center"/>
        </w:trPr>
        <w:tc>
          <w:tcPr>
            <w:tcW w:w="1756" w:type="dxa"/>
            <w:shd w:val="clear" w:color="auto" w:fill="CDDDAC"/>
            <w:hideMark/>
          </w:tcPr>
          <w:p w:rsidR="004B071C" w:rsidRPr="0024111B" w:rsidRDefault="004B071C" w:rsidP="004E680E">
            <w:pPr>
              <w:tabs>
                <w:tab w:val="left" w:pos="7380"/>
              </w:tabs>
              <w:spacing w:after="0" w:line="260" w:lineRule="exact"/>
              <w:jc w:val="right"/>
              <w:rPr>
                <w:rFonts w:ascii="Constantia" w:hAnsi="Constantia" w:cs="Arial"/>
                <w:b/>
                <w:bCs/>
                <w:smallCaps/>
                <w:spacing w:val="6"/>
                <w:szCs w:val="22"/>
                <w:lang w:val="sr-Latn-CS"/>
              </w:rPr>
            </w:pPr>
          </w:p>
        </w:tc>
        <w:tc>
          <w:tcPr>
            <w:tcW w:w="3367" w:type="dxa"/>
            <w:gridSpan w:val="2"/>
            <w:shd w:val="clear" w:color="auto" w:fill="CDDDAC"/>
            <w:hideMark/>
          </w:tcPr>
          <w:p w:rsidR="004B071C" w:rsidRPr="0024111B" w:rsidRDefault="004B071C" w:rsidP="004E680E">
            <w:pPr>
              <w:spacing w:after="0" w:line="260" w:lineRule="exact"/>
              <w:rPr>
                <w:rFonts w:ascii="Constantia" w:eastAsia="Calibri" w:hAnsi="Constantia" w:cs="Arial"/>
                <w:spacing w:val="10"/>
                <w:szCs w:val="22"/>
                <w:lang w:val="sr-Latn-CS"/>
              </w:rPr>
            </w:pPr>
          </w:p>
        </w:tc>
        <w:tc>
          <w:tcPr>
            <w:tcW w:w="3758" w:type="dxa"/>
            <w:shd w:val="clear" w:color="auto" w:fill="CDDDAC"/>
            <w:hideMark/>
          </w:tcPr>
          <w:p w:rsidR="004B071C" w:rsidRPr="0024111B" w:rsidRDefault="004B071C" w:rsidP="004E680E">
            <w:pPr>
              <w:spacing w:after="60" w:line="280" w:lineRule="exact"/>
              <w:rPr>
                <w:rFonts w:ascii="Constantia" w:hAnsi="Constantia" w:cs="Arial"/>
                <w:bCs/>
                <w:spacing w:val="10"/>
                <w:szCs w:val="22"/>
              </w:rPr>
            </w:pPr>
          </w:p>
        </w:tc>
      </w:tr>
      <w:tr w:rsidR="004B071C" w:rsidRPr="0024111B" w:rsidTr="00F62E46">
        <w:trPr>
          <w:trHeight w:val="2900"/>
          <w:jc w:val="center"/>
        </w:trPr>
        <w:tc>
          <w:tcPr>
            <w:tcW w:w="1756" w:type="dxa"/>
            <w:shd w:val="clear" w:color="auto" w:fill="E6EED5"/>
            <w:hideMark/>
          </w:tcPr>
          <w:p w:rsidR="004B071C" w:rsidRPr="0024111B" w:rsidRDefault="004B071C" w:rsidP="004E680E">
            <w:pPr>
              <w:spacing w:after="0"/>
              <w:rPr>
                <w:rFonts w:ascii="Constantia" w:hAnsi="Constantia" w:cs="Arial"/>
                <w:b/>
                <w:bCs/>
                <w:smallCaps/>
                <w:spacing w:val="6"/>
                <w:szCs w:val="22"/>
                <w:lang w:val="sr-Latn-CS"/>
              </w:rPr>
            </w:pPr>
            <w:r w:rsidRPr="0024111B">
              <w:rPr>
                <w:rFonts w:ascii="Constantia" w:hAnsi="Constantia" w:cs="Arial"/>
                <w:b/>
                <w:bCs/>
                <w:smallCaps/>
                <w:spacing w:val="6"/>
                <w:szCs w:val="22"/>
                <w:lang w:val="sr-Latn-CS"/>
              </w:rPr>
              <w:t>Kanjon Rijeke Mrtvice - Međuriječje</w:t>
            </w:r>
          </w:p>
        </w:tc>
        <w:tc>
          <w:tcPr>
            <w:tcW w:w="1898" w:type="dxa"/>
            <w:shd w:val="clear" w:color="auto" w:fill="CDDDAC"/>
            <w:hideMark/>
          </w:tcPr>
          <w:p w:rsidR="004B071C" w:rsidRPr="0024111B" w:rsidRDefault="004B071C" w:rsidP="00F62E46">
            <w:pPr>
              <w:spacing w:line="260" w:lineRule="exact"/>
              <w:jc w:val="center"/>
              <w:rPr>
                <w:rFonts w:ascii="Constantia" w:hAnsi="Constantia" w:cs="Arial"/>
                <w:szCs w:val="22"/>
              </w:rPr>
            </w:pPr>
            <w:r w:rsidRPr="0024111B">
              <w:rPr>
                <w:rFonts w:ascii="Constantia" w:hAnsi="Constantia" w:cs="Arial"/>
                <w:szCs w:val="22"/>
              </w:rPr>
              <w:t>N 42° 44’ 38.5’’</w:t>
            </w:r>
          </w:p>
          <w:p w:rsidR="004B071C" w:rsidRPr="0024111B" w:rsidRDefault="004B071C" w:rsidP="00F62E46">
            <w:pPr>
              <w:spacing w:line="260" w:lineRule="exact"/>
              <w:jc w:val="center"/>
              <w:rPr>
                <w:rFonts w:ascii="Constantia" w:hAnsi="Constantia" w:cs="Arial"/>
                <w:szCs w:val="22"/>
              </w:rPr>
            </w:pPr>
            <w:r w:rsidRPr="0024111B">
              <w:rPr>
                <w:rFonts w:ascii="Constantia" w:hAnsi="Constantia" w:cs="Arial"/>
                <w:szCs w:val="22"/>
              </w:rPr>
              <w:t>E 19° 21’ 5952</w:t>
            </w:r>
          </w:p>
          <w:p w:rsidR="004B071C" w:rsidRPr="0024111B" w:rsidRDefault="004B071C" w:rsidP="00F62E46">
            <w:pPr>
              <w:spacing w:line="260" w:lineRule="exact"/>
              <w:jc w:val="center"/>
              <w:rPr>
                <w:rFonts w:ascii="Constantia" w:hAnsi="Constantia" w:cs="Arial"/>
                <w:szCs w:val="22"/>
              </w:rPr>
            </w:pPr>
          </w:p>
          <w:p w:rsidR="004B071C" w:rsidRPr="0024111B" w:rsidRDefault="004B071C" w:rsidP="00F62E46">
            <w:pPr>
              <w:spacing w:line="260" w:lineRule="exact"/>
              <w:jc w:val="center"/>
              <w:rPr>
                <w:rFonts w:ascii="Constantia" w:hAnsi="Constantia" w:cs="Arial"/>
                <w:szCs w:val="22"/>
              </w:rPr>
            </w:pPr>
            <w:r w:rsidRPr="0024111B">
              <w:rPr>
                <w:rFonts w:ascii="Constantia" w:hAnsi="Constantia" w:cs="Arial"/>
                <w:szCs w:val="22"/>
              </w:rPr>
              <w:t>N 42° 43’ 25.3’’,</w:t>
            </w:r>
          </w:p>
          <w:p w:rsidR="004B071C" w:rsidRPr="0024111B" w:rsidRDefault="004B071C" w:rsidP="00F62E46">
            <w:pPr>
              <w:spacing w:line="260" w:lineRule="exact"/>
              <w:jc w:val="center"/>
              <w:rPr>
                <w:rFonts w:ascii="Constantia" w:hAnsi="Constantia" w:cs="Arial"/>
                <w:szCs w:val="22"/>
              </w:rPr>
            </w:pPr>
            <w:r w:rsidRPr="0024111B">
              <w:rPr>
                <w:rFonts w:ascii="Constantia" w:hAnsi="Constantia" w:cs="Arial"/>
                <w:szCs w:val="22"/>
              </w:rPr>
              <w:t>E 19° 22’ 36.8’’</w:t>
            </w:r>
          </w:p>
        </w:tc>
        <w:tc>
          <w:tcPr>
            <w:tcW w:w="1469" w:type="dxa"/>
            <w:shd w:val="clear" w:color="auto" w:fill="CDDDAC"/>
          </w:tcPr>
          <w:p w:rsidR="004B071C" w:rsidRPr="0024111B" w:rsidRDefault="004B071C" w:rsidP="00F62E46">
            <w:pPr>
              <w:spacing w:line="260" w:lineRule="exact"/>
              <w:jc w:val="center"/>
              <w:rPr>
                <w:rFonts w:ascii="Constantia" w:hAnsi="Constantia" w:cs="Arial"/>
                <w:szCs w:val="22"/>
              </w:rPr>
            </w:pPr>
            <w:r w:rsidRPr="0024111B">
              <w:rPr>
                <w:rFonts w:ascii="Constantia" w:hAnsi="Constantia" w:cs="Arial"/>
                <w:szCs w:val="22"/>
              </w:rPr>
              <w:t>775</w:t>
            </w:r>
            <w:r w:rsidR="0024111B">
              <w:rPr>
                <w:rFonts w:ascii="Constantia" w:hAnsi="Constantia" w:cs="Arial"/>
                <w:szCs w:val="22"/>
              </w:rPr>
              <w:t xml:space="preserve"> </w:t>
            </w:r>
            <w:r w:rsidRPr="0024111B">
              <w:rPr>
                <w:rFonts w:ascii="Constantia" w:hAnsi="Constantia" w:cs="Arial"/>
                <w:szCs w:val="22"/>
              </w:rPr>
              <w:t>mnm</w:t>
            </w:r>
          </w:p>
          <w:p w:rsidR="004B071C" w:rsidRPr="0024111B" w:rsidRDefault="004B071C" w:rsidP="00F62E46">
            <w:pPr>
              <w:spacing w:line="260" w:lineRule="exact"/>
              <w:jc w:val="center"/>
              <w:rPr>
                <w:rFonts w:ascii="Constantia" w:hAnsi="Constantia" w:cs="Arial"/>
                <w:szCs w:val="22"/>
              </w:rPr>
            </w:pPr>
          </w:p>
          <w:p w:rsidR="004B071C" w:rsidRPr="0024111B" w:rsidRDefault="004B071C" w:rsidP="00F62E46">
            <w:pPr>
              <w:spacing w:line="260" w:lineRule="exact"/>
              <w:jc w:val="center"/>
              <w:rPr>
                <w:rFonts w:ascii="Constantia" w:hAnsi="Constantia" w:cs="Arial"/>
                <w:szCs w:val="22"/>
              </w:rPr>
            </w:pPr>
          </w:p>
          <w:p w:rsidR="004B071C" w:rsidRPr="0024111B" w:rsidRDefault="004B071C" w:rsidP="00F62E46">
            <w:pPr>
              <w:spacing w:line="260" w:lineRule="exact"/>
              <w:jc w:val="center"/>
              <w:rPr>
                <w:rFonts w:ascii="Constantia" w:hAnsi="Constantia" w:cs="Arial"/>
                <w:szCs w:val="22"/>
              </w:rPr>
            </w:pPr>
          </w:p>
          <w:p w:rsidR="004B071C" w:rsidRPr="0024111B" w:rsidRDefault="004B071C" w:rsidP="00F62E46">
            <w:pPr>
              <w:spacing w:line="260" w:lineRule="exact"/>
              <w:jc w:val="center"/>
              <w:rPr>
                <w:rFonts w:ascii="Constantia" w:hAnsi="Constantia" w:cs="Arial"/>
                <w:szCs w:val="22"/>
              </w:rPr>
            </w:pPr>
            <w:r w:rsidRPr="0024111B">
              <w:rPr>
                <w:rFonts w:ascii="Constantia" w:hAnsi="Constantia" w:cs="Arial"/>
                <w:szCs w:val="22"/>
              </w:rPr>
              <w:t>303 mnm</w:t>
            </w:r>
          </w:p>
        </w:tc>
        <w:tc>
          <w:tcPr>
            <w:tcW w:w="3758" w:type="dxa"/>
            <w:shd w:val="clear" w:color="auto" w:fill="E6EED5"/>
          </w:tcPr>
          <w:p w:rsidR="004B071C" w:rsidRPr="0024111B" w:rsidRDefault="004B071C" w:rsidP="004E680E">
            <w:pPr>
              <w:spacing w:after="60" w:line="280" w:lineRule="exact"/>
              <w:rPr>
                <w:rFonts w:ascii="Constantia" w:eastAsia="Calibri" w:hAnsi="Constantia" w:cs="Arial"/>
                <w:bCs/>
                <w:i/>
                <w:spacing w:val="8"/>
                <w:szCs w:val="22"/>
                <w:lang w:val="pt-BR"/>
              </w:rPr>
            </w:pPr>
            <w:r w:rsidRPr="0024111B">
              <w:rPr>
                <w:rFonts w:ascii="Constantia" w:eastAsia="Calibri" w:hAnsi="Constantia" w:cs="Arial"/>
                <w:bCs/>
                <w:i/>
                <w:spacing w:val="8"/>
                <w:szCs w:val="22"/>
                <w:lang w:val="pt-BR"/>
              </w:rPr>
              <w:t>Lucanus cervus</w:t>
            </w:r>
            <w:r w:rsidR="00F62E46" w:rsidRPr="0024111B">
              <w:rPr>
                <w:rFonts w:ascii="Constantia" w:eastAsia="Calibri" w:hAnsi="Constantia" w:cs="Arial"/>
                <w:bCs/>
                <w:i/>
                <w:spacing w:val="8"/>
                <w:szCs w:val="22"/>
                <w:lang w:val="pt-BR"/>
              </w:rPr>
              <w:t xml:space="preserve"> </w:t>
            </w:r>
            <w:r w:rsidRPr="0024111B">
              <w:rPr>
                <w:rFonts w:ascii="Constantia" w:eastAsia="Calibri" w:hAnsi="Constantia" w:cs="Arial"/>
                <w:bCs/>
                <w:i/>
                <w:spacing w:val="8"/>
                <w:szCs w:val="22"/>
                <w:lang w:val="pt-BR"/>
              </w:rPr>
              <w:t xml:space="preserve">- </w:t>
            </w:r>
            <w:r w:rsidRPr="0024111B">
              <w:rPr>
                <w:rFonts w:ascii="Constantia" w:eastAsia="Calibri" w:hAnsi="Constantia" w:cs="Arial"/>
                <w:bCs/>
                <w:spacing w:val="8"/>
                <w:szCs w:val="22"/>
                <w:lang w:val="pt-BR"/>
              </w:rPr>
              <w:t>konstatovan 1 imago u sastojini hrasta</w:t>
            </w:r>
          </w:p>
          <w:p w:rsidR="004B071C" w:rsidRPr="0024111B" w:rsidRDefault="004B071C" w:rsidP="004E680E">
            <w:pPr>
              <w:spacing w:after="60" w:line="280" w:lineRule="exact"/>
              <w:rPr>
                <w:rFonts w:ascii="Constantia" w:eastAsia="Calibri" w:hAnsi="Constantia" w:cs="Arial"/>
                <w:bCs/>
                <w:i/>
                <w:spacing w:val="8"/>
                <w:szCs w:val="22"/>
                <w:lang w:val="pt-BR"/>
              </w:rPr>
            </w:pPr>
          </w:p>
          <w:p w:rsidR="004B071C" w:rsidRPr="0024111B" w:rsidRDefault="004B071C" w:rsidP="004E680E">
            <w:pPr>
              <w:spacing w:after="60" w:line="280" w:lineRule="exact"/>
              <w:rPr>
                <w:rFonts w:ascii="Constantia" w:eastAsia="Calibri" w:hAnsi="Constantia" w:cs="Arial"/>
                <w:bCs/>
                <w:spacing w:val="8"/>
                <w:szCs w:val="22"/>
                <w:lang w:val="pt-BR"/>
              </w:rPr>
            </w:pPr>
            <w:r w:rsidRPr="0024111B">
              <w:rPr>
                <w:rFonts w:ascii="Constantia" w:eastAsia="Calibri" w:hAnsi="Constantia" w:cs="Arial"/>
                <w:bCs/>
                <w:i/>
                <w:spacing w:val="8"/>
                <w:szCs w:val="22"/>
                <w:lang w:val="pt-BR"/>
              </w:rPr>
              <w:t>Morimus funereus –</w:t>
            </w:r>
            <w:r w:rsidRPr="0024111B">
              <w:rPr>
                <w:rFonts w:ascii="Constantia" w:eastAsia="Calibri" w:hAnsi="Constantia" w:cs="Arial"/>
                <w:bCs/>
                <w:spacing w:val="8"/>
                <w:szCs w:val="22"/>
                <w:lang w:val="pt-BR"/>
              </w:rPr>
              <w:t>konstatovana dva primjerka (</w:t>
            </w:r>
            <w:r w:rsidRPr="0024111B">
              <w:rPr>
                <w:rFonts w:ascii="Times New Roman" w:eastAsia="Calibri" w:hAnsi="Times New Roman"/>
                <w:bCs/>
                <w:spacing w:val="8"/>
                <w:szCs w:val="22"/>
                <w:lang w:val="pt-BR"/>
              </w:rPr>
              <w:t>♂</w:t>
            </w:r>
            <w:r w:rsidRPr="0024111B">
              <w:rPr>
                <w:rFonts w:ascii="Constantia" w:eastAsia="Calibri" w:hAnsi="Constantia" w:cs="Arial"/>
                <w:bCs/>
                <w:spacing w:val="8"/>
                <w:szCs w:val="22"/>
                <w:lang w:val="pt-BR"/>
              </w:rPr>
              <w:t xml:space="preserve"> i </w:t>
            </w:r>
            <w:r w:rsidRPr="0024111B">
              <w:rPr>
                <w:rFonts w:ascii="Times New Roman" w:eastAsia="Calibri" w:hAnsi="Times New Roman"/>
                <w:bCs/>
                <w:spacing w:val="8"/>
                <w:szCs w:val="22"/>
                <w:lang w:val="pt-BR"/>
              </w:rPr>
              <w:t>♀</w:t>
            </w:r>
            <w:r w:rsidRPr="0024111B">
              <w:rPr>
                <w:rFonts w:ascii="Constantia" w:eastAsia="Calibri" w:hAnsi="Constantia" w:cs="Arial"/>
                <w:bCs/>
                <w:spacing w:val="8"/>
                <w:szCs w:val="22"/>
                <w:lang w:val="pt-BR"/>
              </w:rPr>
              <w:t>) u zoni bukove sastojine</w:t>
            </w:r>
          </w:p>
          <w:p w:rsidR="004B071C" w:rsidRPr="0024111B" w:rsidRDefault="004B071C" w:rsidP="004E680E">
            <w:pPr>
              <w:spacing w:after="60" w:line="280" w:lineRule="exact"/>
              <w:rPr>
                <w:rFonts w:ascii="Constantia" w:eastAsia="Calibri" w:hAnsi="Constantia" w:cs="Arial"/>
                <w:bCs/>
                <w:i/>
                <w:spacing w:val="8"/>
                <w:szCs w:val="22"/>
                <w:lang w:val="pt-BR"/>
              </w:rPr>
            </w:pPr>
          </w:p>
          <w:p w:rsidR="004B071C" w:rsidRPr="0024111B" w:rsidRDefault="004B071C" w:rsidP="004E680E">
            <w:pPr>
              <w:spacing w:after="60" w:line="280" w:lineRule="exact"/>
              <w:rPr>
                <w:rFonts w:ascii="Constantia" w:eastAsia="Calibri" w:hAnsi="Constantia" w:cs="Arial"/>
                <w:bCs/>
                <w:i/>
                <w:spacing w:val="8"/>
                <w:szCs w:val="22"/>
                <w:lang w:val="pt-BR"/>
              </w:rPr>
            </w:pPr>
            <w:r w:rsidRPr="0024111B">
              <w:rPr>
                <w:rFonts w:ascii="Constantia" w:eastAsia="Calibri" w:hAnsi="Constantia" w:cs="Arial"/>
                <w:bCs/>
                <w:i/>
                <w:spacing w:val="8"/>
                <w:szCs w:val="22"/>
                <w:lang w:val="pt-BR"/>
              </w:rPr>
              <w:t>Oxythirea funesta</w:t>
            </w:r>
          </w:p>
          <w:p w:rsidR="004B071C" w:rsidRPr="0024111B" w:rsidRDefault="004B071C" w:rsidP="00F62E46">
            <w:pPr>
              <w:spacing w:after="0" w:line="280" w:lineRule="exact"/>
              <w:rPr>
                <w:rFonts w:ascii="Constantia" w:eastAsia="Calibri" w:hAnsi="Constantia" w:cs="Arial"/>
                <w:bCs/>
                <w:i/>
                <w:spacing w:val="8"/>
                <w:szCs w:val="22"/>
                <w:lang w:val="pt-BR"/>
              </w:rPr>
            </w:pPr>
            <w:r w:rsidRPr="0024111B">
              <w:rPr>
                <w:rFonts w:ascii="Constantia" w:eastAsia="Calibri" w:hAnsi="Constantia" w:cs="Arial"/>
                <w:bCs/>
                <w:i/>
                <w:spacing w:val="8"/>
                <w:szCs w:val="22"/>
                <w:lang w:val="pt-BR"/>
              </w:rPr>
              <w:t>Cetonia aurata</w:t>
            </w:r>
          </w:p>
        </w:tc>
      </w:tr>
    </w:tbl>
    <w:p w:rsidR="004B071C" w:rsidRDefault="004B071C" w:rsidP="004B071C">
      <w:pPr>
        <w:pStyle w:val="Tabele"/>
        <w:spacing w:before="60" w:after="240"/>
        <w:ind w:left="714" w:hanging="357"/>
        <w:rPr>
          <w:rFonts w:ascii="Constantia" w:hAnsi="Constantia"/>
          <w:sz w:val="22"/>
          <w:szCs w:val="22"/>
        </w:rPr>
      </w:pPr>
      <w:r w:rsidRPr="00F62E46">
        <w:rPr>
          <w:rFonts w:ascii="Constantia" w:hAnsi="Constantia"/>
          <w:sz w:val="22"/>
          <w:szCs w:val="22"/>
        </w:rPr>
        <w:t>Insekti</w:t>
      </w:r>
    </w:p>
    <w:p w:rsidR="0014587B" w:rsidRPr="00F62E46" w:rsidRDefault="0014587B" w:rsidP="0014587B">
      <w:pPr>
        <w:pStyle w:val="Tabele"/>
        <w:numPr>
          <w:ilvl w:val="0"/>
          <w:numId w:val="0"/>
        </w:numPr>
        <w:spacing w:before="60" w:after="240"/>
        <w:ind w:left="714"/>
        <w:jc w:val="both"/>
        <w:rPr>
          <w:rFonts w:ascii="Constantia" w:hAnsi="Constantia"/>
          <w:sz w:val="22"/>
          <w:szCs w:val="22"/>
        </w:rPr>
      </w:pPr>
    </w:p>
    <w:p w:rsidR="004B071C" w:rsidRPr="0014587B" w:rsidRDefault="009B1252" w:rsidP="004B071C">
      <w:pPr>
        <w:spacing w:before="60" w:after="240"/>
        <w:rPr>
          <w:b/>
          <w:i/>
          <w:sz w:val="20"/>
          <w:szCs w:val="20"/>
          <w:lang w:val="sr-Latn-CS"/>
        </w:rPr>
      </w:pPr>
      <w:r w:rsidRPr="0014587B">
        <w:rPr>
          <w:b/>
          <w:sz w:val="20"/>
          <w:szCs w:val="20"/>
          <w:lang w:val="sr-Latn-CS"/>
        </w:rPr>
        <w:t xml:space="preserve">6.3.3.4.3 </w:t>
      </w:r>
      <w:r w:rsidR="004B071C" w:rsidRPr="0014587B">
        <w:rPr>
          <w:b/>
          <w:sz w:val="20"/>
          <w:szCs w:val="20"/>
          <w:lang w:val="sr-Latn-CS"/>
        </w:rPr>
        <w:t>-</w:t>
      </w:r>
      <w:r w:rsidR="004B071C" w:rsidRPr="0014587B">
        <w:rPr>
          <w:b/>
          <w:szCs w:val="22"/>
          <w:lang w:val="sr-Latn-CS"/>
        </w:rPr>
        <w:t xml:space="preserve"> </w:t>
      </w:r>
      <w:r w:rsidR="004B071C" w:rsidRPr="0014587B">
        <w:rPr>
          <w:b/>
          <w:sz w:val="20"/>
          <w:szCs w:val="20"/>
          <w:u w:val="single"/>
          <w:lang w:val="sr-Latn-CS"/>
        </w:rPr>
        <w:t>Vodeni beskičmenjaci</w:t>
      </w:r>
      <w:r w:rsidR="004B071C" w:rsidRPr="0014587B">
        <w:rPr>
          <w:b/>
          <w:sz w:val="20"/>
          <w:szCs w:val="20"/>
          <w:lang w:val="sr-Latn-CS"/>
        </w:rPr>
        <w:t xml:space="preserve"> </w:t>
      </w:r>
      <w:r w:rsidR="004B071C" w:rsidRPr="0014587B">
        <w:rPr>
          <w:b/>
          <w:i/>
          <w:sz w:val="20"/>
          <w:szCs w:val="20"/>
          <w:lang w:val="sr-Latn-CS"/>
        </w:rPr>
        <w:t>(Cladocera, Copepoda, Plecoptera, Trichoptera, Ephemeroptera i Odonata)</w:t>
      </w:r>
    </w:p>
    <w:p w:rsidR="004B071C" w:rsidRPr="009B1252" w:rsidRDefault="004B071C" w:rsidP="004B071C">
      <w:pPr>
        <w:spacing w:before="60" w:after="240"/>
        <w:rPr>
          <w:rFonts w:ascii="Constantia" w:hAnsi="Constantia"/>
          <w:szCs w:val="22"/>
          <w:lang w:val="sr-Latn-CS"/>
        </w:rPr>
      </w:pPr>
      <w:r w:rsidRPr="009B1252">
        <w:rPr>
          <w:rFonts w:ascii="Constantia" w:hAnsi="Constantia"/>
          <w:szCs w:val="22"/>
          <w:lang w:val="sr-Latn-CS"/>
        </w:rPr>
        <w:t>Datum terenskih istraživanja:</w:t>
      </w:r>
      <w:r w:rsidRPr="009B1252">
        <w:rPr>
          <w:rFonts w:ascii="Constantia" w:hAnsi="Constantia"/>
        </w:rPr>
        <w:t xml:space="preserve"> </w:t>
      </w:r>
      <w:r w:rsidR="0068523E">
        <w:rPr>
          <w:rFonts w:ascii="Constantia" w:hAnsi="Constantia"/>
        </w:rPr>
        <w:t>0</w:t>
      </w:r>
      <w:r w:rsidRPr="009B1252">
        <w:rPr>
          <w:rFonts w:ascii="Constantia" w:hAnsi="Constantia"/>
          <w:szCs w:val="22"/>
          <w:lang w:val="sr-Latn-CS"/>
        </w:rPr>
        <w:t>2.06.2013</w:t>
      </w:r>
      <w:r w:rsidR="0068523E">
        <w:rPr>
          <w:rFonts w:ascii="Constantia" w:hAnsi="Constantia"/>
          <w:szCs w:val="22"/>
          <w:lang w:val="sr-Latn-CS"/>
        </w:rPr>
        <w:t>.</w:t>
      </w:r>
    </w:p>
    <w:p w:rsidR="004B071C" w:rsidRPr="009B1252" w:rsidRDefault="004B071C" w:rsidP="004B071C">
      <w:pPr>
        <w:spacing w:before="60" w:after="240"/>
        <w:rPr>
          <w:rFonts w:ascii="Constantia" w:hAnsi="Constantia"/>
          <w:szCs w:val="22"/>
          <w:lang w:val="sr-Latn-CS"/>
        </w:rPr>
      </w:pPr>
      <w:r w:rsidRPr="009B1252">
        <w:rPr>
          <w:rFonts w:ascii="Constantia" w:hAnsi="Constantia"/>
          <w:szCs w:val="22"/>
          <w:lang w:val="sr-Latn-CS"/>
        </w:rPr>
        <w:t>Napomena:</w:t>
      </w:r>
      <w:r w:rsidRPr="009B1252">
        <w:rPr>
          <w:rFonts w:ascii="Constantia" w:hAnsi="Constantia"/>
        </w:rPr>
        <w:t xml:space="preserve"> </w:t>
      </w:r>
      <w:r w:rsidRPr="009B1252">
        <w:rPr>
          <w:rFonts w:ascii="Constantia" w:hAnsi="Constantia"/>
          <w:szCs w:val="22"/>
          <w:lang w:val="sr-Latn-CS"/>
        </w:rPr>
        <w:t>Zbog vremenske ograničenosti za istraživanje, na ovom lokalitetu je vršeno jednodnevno uzimanje uzorka tako da se ne može steći potpuni uvid o sasta</w:t>
      </w:r>
      <w:r w:rsidR="0068523E">
        <w:rPr>
          <w:rFonts w:ascii="Constantia" w:hAnsi="Constantia"/>
          <w:szCs w:val="22"/>
          <w:lang w:val="sr-Latn-CS"/>
        </w:rPr>
        <w:t>vu i stanju faune ovih područja. P</w:t>
      </w:r>
      <w:r w:rsidRPr="009B1252">
        <w:rPr>
          <w:rFonts w:ascii="Constantia" w:hAnsi="Constantia"/>
          <w:szCs w:val="22"/>
          <w:lang w:val="sr-Latn-CS"/>
        </w:rPr>
        <w:t>otrebno je organizovati dodatna terenska istraživanja.</w:t>
      </w:r>
    </w:p>
    <w:tbl>
      <w:tblPr>
        <w:tblpPr w:leftFromText="180" w:rightFromText="180" w:vertAnchor="text" w:tblpXSpec="center" w:tblpY="1"/>
        <w:tblOverlap w:val="never"/>
        <w:tblW w:w="9018" w:type="dxa"/>
        <w:jc w:val="center"/>
        <w:tblBorders>
          <w:top w:val="single" w:sz="8" w:space="0" w:color="DAEFC3"/>
          <w:left w:val="single" w:sz="8" w:space="0" w:color="DAEFC3"/>
          <w:bottom w:val="single" w:sz="8" w:space="0" w:color="DAEFC3"/>
          <w:right w:val="single" w:sz="8" w:space="0" w:color="DAEFC3"/>
          <w:insideH w:val="single" w:sz="8" w:space="0" w:color="DAEFC3"/>
          <w:insideV w:val="single" w:sz="8" w:space="0" w:color="DAEFC3"/>
        </w:tblBorders>
        <w:tblLook w:val="04A0" w:firstRow="1" w:lastRow="0" w:firstColumn="1" w:lastColumn="0" w:noHBand="0" w:noVBand="1"/>
      </w:tblPr>
      <w:tblGrid>
        <w:gridCol w:w="2538"/>
        <w:gridCol w:w="6480"/>
      </w:tblGrid>
      <w:tr w:rsidR="004B071C" w:rsidRPr="0014587B" w:rsidTr="0068523E">
        <w:trPr>
          <w:jc w:val="center"/>
        </w:trPr>
        <w:tc>
          <w:tcPr>
            <w:tcW w:w="2538" w:type="dxa"/>
            <w:shd w:val="clear" w:color="auto" w:fill="F2F9EB"/>
          </w:tcPr>
          <w:p w:rsidR="004B071C" w:rsidRPr="0014587B" w:rsidRDefault="004B071C" w:rsidP="004E680E">
            <w:pPr>
              <w:spacing w:before="60" w:after="240"/>
              <w:rPr>
                <w:rFonts w:ascii="Constantia" w:hAnsi="Constantia"/>
                <w:b/>
                <w:bCs/>
                <w:szCs w:val="22"/>
                <w:lang w:val="sr-Latn-CS"/>
              </w:rPr>
            </w:pPr>
            <w:r w:rsidRPr="0014587B">
              <w:rPr>
                <w:rFonts w:ascii="Constantia" w:hAnsi="Constantia"/>
                <w:b/>
                <w:bCs/>
                <w:szCs w:val="22"/>
                <w:lang w:val="sr-Latn-CS"/>
              </w:rPr>
              <w:lastRenderedPageBreak/>
              <w:t>Lokalitet</w:t>
            </w:r>
          </w:p>
        </w:tc>
        <w:tc>
          <w:tcPr>
            <w:tcW w:w="6480" w:type="dxa"/>
            <w:shd w:val="clear" w:color="auto" w:fill="F2F9EB"/>
          </w:tcPr>
          <w:p w:rsidR="004B071C" w:rsidRPr="0014587B" w:rsidRDefault="004B071C" w:rsidP="004E680E">
            <w:pPr>
              <w:spacing w:before="60" w:after="240"/>
              <w:rPr>
                <w:rFonts w:ascii="Constantia" w:hAnsi="Constantia"/>
                <w:b/>
                <w:bCs/>
                <w:szCs w:val="22"/>
                <w:lang w:val="sr-Latn-CS"/>
              </w:rPr>
            </w:pPr>
            <w:r w:rsidRPr="0014587B">
              <w:rPr>
                <w:rFonts w:ascii="Constantia" w:hAnsi="Constantia"/>
                <w:b/>
                <w:bCs/>
                <w:szCs w:val="22"/>
                <w:lang w:val="sr-Latn-CS"/>
              </w:rPr>
              <w:t>Utvrđeno stanje</w:t>
            </w:r>
          </w:p>
        </w:tc>
      </w:tr>
      <w:tr w:rsidR="004B071C" w:rsidRPr="0014587B" w:rsidTr="0068523E">
        <w:trPr>
          <w:jc w:val="center"/>
        </w:trPr>
        <w:tc>
          <w:tcPr>
            <w:tcW w:w="2538" w:type="dxa"/>
            <w:shd w:val="clear" w:color="auto" w:fill="F2F9EB"/>
          </w:tcPr>
          <w:p w:rsidR="004B071C" w:rsidRPr="0014587B" w:rsidRDefault="004B071C" w:rsidP="004E680E">
            <w:pPr>
              <w:spacing w:before="60" w:after="240"/>
              <w:rPr>
                <w:rFonts w:ascii="Constantia" w:hAnsi="Constantia"/>
                <w:b/>
                <w:bCs/>
                <w:szCs w:val="22"/>
                <w:lang w:val="sr-Latn-CS"/>
              </w:rPr>
            </w:pPr>
            <w:r w:rsidRPr="0014587B">
              <w:rPr>
                <w:rFonts w:ascii="Constantia" w:hAnsi="Constantia"/>
                <w:b/>
                <w:bCs/>
                <w:szCs w:val="22"/>
                <w:lang w:val="sr-Latn-CS"/>
              </w:rPr>
              <w:t>Kanjon Mrtvice</w:t>
            </w:r>
          </w:p>
        </w:tc>
        <w:tc>
          <w:tcPr>
            <w:tcW w:w="6480" w:type="dxa"/>
            <w:shd w:val="clear" w:color="auto" w:fill="F2F9EB"/>
          </w:tcPr>
          <w:p w:rsidR="004B071C" w:rsidRPr="0014587B" w:rsidRDefault="004B071C" w:rsidP="004E680E">
            <w:pPr>
              <w:spacing w:before="60" w:after="240"/>
              <w:rPr>
                <w:rFonts w:ascii="Constantia" w:hAnsi="Constantia"/>
                <w:bCs/>
                <w:szCs w:val="22"/>
                <w:lang w:val="sr-Latn-CS"/>
              </w:rPr>
            </w:pPr>
            <w:r w:rsidRPr="0014587B">
              <w:rPr>
                <w:rFonts w:ascii="Constantia" w:hAnsi="Constantia"/>
                <w:bCs/>
                <w:szCs w:val="22"/>
                <w:lang w:val="sr-Latn-CS"/>
              </w:rPr>
              <w:t xml:space="preserve">U uzorcima iz vode uglavnom je dominirala grupa </w:t>
            </w:r>
            <w:r w:rsidRPr="0014587B">
              <w:rPr>
                <w:rFonts w:ascii="Constantia" w:hAnsi="Constantia"/>
                <w:bCs/>
                <w:i/>
                <w:szCs w:val="22"/>
                <w:lang w:val="sr-Latn-CS"/>
              </w:rPr>
              <w:t>Plecoptera</w:t>
            </w:r>
            <w:r w:rsidRPr="0014587B">
              <w:rPr>
                <w:rFonts w:ascii="Constantia" w:hAnsi="Constantia"/>
                <w:bCs/>
                <w:szCs w:val="22"/>
                <w:lang w:val="sr-Latn-CS"/>
              </w:rPr>
              <w:t xml:space="preserve">, dok su se </w:t>
            </w:r>
            <w:r w:rsidRPr="0014587B">
              <w:rPr>
                <w:rFonts w:ascii="Constantia" w:hAnsi="Constantia"/>
                <w:bCs/>
                <w:i/>
                <w:szCs w:val="22"/>
                <w:lang w:val="sr-Latn-CS"/>
              </w:rPr>
              <w:t>Cladocera</w:t>
            </w:r>
            <w:r w:rsidRPr="0014587B">
              <w:rPr>
                <w:rFonts w:ascii="Constantia" w:hAnsi="Constantia"/>
                <w:bCs/>
                <w:szCs w:val="22"/>
                <w:lang w:val="sr-Latn-CS"/>
              </w:rPr>
              <w:t xml:space="preserve"> i </w:t>
            </w:r>
            <w:r w:rsidRPr="0014587B">
              <w:rPr>
                <w:rFonts w:ascii="Constantia" w:hAnsi="Constantia"/>
                <w:bCs/>
                <w:i/>
                <w:szCs w:val="22"/>
                <w:lang w:val="sr-Latn-CS"/>
              </w:rPr>
              <w:t>Odonata</w:t>
            </w:r>
            <w:r w:rsidRPr="0014587B">
              <w:rPr>
                <w:rFonts w:ascii="Constantia" w:hAnsi="Constantia"/>
                <w:bCs/>
                <w:szCs w:val="22"/>
                <w:lang w:val="sr-Latn-CS"/>
              </w:rPr>
              <w:t xml:space="preserve"> (larve) javljale pojedinačno, a </w:t>
            </w:r>
            <w:r w:rsidRPr="0014587B">
              <w:rPr>
                <w:rFonts w:ascii="Constantia" w:hAnsi="Constantia"/>
                <w:bCs/>
                <w:i/>
                <w:szCs w:val="22"/>
                <w:lang w:val="sr-Latn-CS"/>
              </w:rPr>
              <w:t>Copepode</w:t>
            </w:r>
            <w:r w:rsidRPr="0014587B">
              <w:rPr>
                <w:rFonts w:ascii="Constantia" w:hAnsi="Constantia"/>
                <w:bCs/>
                <w:szCs w:val="22"/>
                <w:lang w:val="sr-Latn-CS"/>
              </w:rPr>
              <w:t xml:space="preserve">, </w:t>
            </w:r>
            <w:r w:rsidRPr="0014587B">
              <w:rPr>
                <w:rFonts w:ascii="Constantia" w:hAnsi="Constantia"/>
                <w:bCs/>
                <w:i/>
                <w:szCs w:val="22"/>
                <w:lang w:val="sr-Latn-CS"/>
              </w:rPr>
              <w:t>Ephemeroptere</w:t>
            </w:r>
            <w:r w:rsidRPr="0014587B">
              <w:rPr>
                <w:rFonts w:ascii="Constantia" w:hAnsi="Constantia"/>
                <w:bCs/>
                <w:szCs w:val="22"/>
                <w:lang w:val="sr-Latn-CS"/>
              </w:rPr>
              <w:t xml:space="preserve"> i </w:t>
            </w:r>
            <w:r w:rsidRPr="0014587B">
              <w:rPr>
                <w:rFonts w:ascii="Constantia" w:hAnsi="Constantia"/>
                <w:bCs/>
                <w:i/>
                <w:szCs w:val="22"/>
                <w:lang w:val="sr-Latn-CS"/>
              </w:rPr>
              <w:t>Trichoptera</w:t>
            </w:r>
            <w:r w:rsidRPr="0014587B">
              <w:rPr>
                <w:rFonts w:ascii="Constantia" w:hAnsi="Constantia"/>
                <w:bCs/>
                <w:szCs w:val="22"/>
                <w:lang w:val="sr-Latn-CS"/>
              </w:rPr>
              <w:t xml:space="preserve"> nisu registrovane. Zbog nepovoljnih vremenskih prilika nije registrovana veća raznovrsnost adultnih formi </w:t>
            </w:r>
            <w:r w:rsidRPr="0014587B">
              <w:rPr>
                <w:rFonts w:ascii="Constantia" w:hAnsi="Constantia"/>
                <w:bCs/>
                <w:i/>
                <w:szCs w:val="22"/>
                <w:lang w:val="sr-Latn-CS"/>
              </w:rPr>
              <w:t>Odonata</w:t>
            </w:r>
            <w:r w:rsidRPr="0014587B">
              <w:rPr>
                <w:rFonts w:ascii="Constantia" w:hAnsi="Constantia"/>
                <w:bCs/>
                <w:szCs w:val="22"/>
                <w:lang w:val="sr-Latn-CS"/>
              </w:rPr>
              <w:t xml:space="preserve">, zabilježene su vrste </w:t>
            </w:r>
            <w:r w:rsidRPr="0014587B">
              <w:rPr>
                <w:rFonts w:ascii="Constantia" w:hAnsi="Constantia"/>
                <w:bCs/>
                <w:i/>
                <w:szCs w:val="22"/>
                <w:lang w:val="sr-Latn-CS"/>
              </w:rPr>
              <w:t>Calopteryx virgo</w:t>
            </w:r>
            <w:r w:rsidRPr="0014587B">
              <w:rPr>
                <w:rFonts w:ascii="Constantia" w:hAnsi="Constantia"/>
                <w:bCs/>
                <w:szCs w:val="22"/>
                <w:lang w:val="sr-Latn-CS"/>
              </w:rPr>
              <w:t xml:space="preserve"> i </w:t>
            </w:r>
            <w:r w:rsidRPr="0014587B">
              <w:rPr>
                <w:rFonts w:ascii="Constantia" w:hAnsi="Constantia"/>
                <w:bCs/>
                <w:i/>
                <w:szCs w:val="22"/>
                <w:lang w:val="sr-Latn-CS"/>
              </w:rPr>
              <w:t>Ischnura elegans</w:t>
            </w:r>
            <w:r w:rsidR="009B1252" w:rsidRPr="0014587B">
              <w:rPr>
                <w:rFonts w:ascii="Constantia" w:hAnsi="Constantia"/>
                <w:bCs/>
                <w:szCs w:val="22"/>
                <w:lang w:val="sr-Latn-CS"/>
              </w:rPr>
              <w:t>.</w:t>
            </w:r>
          </w:p>
        </w:tc>
      </w:tr>
    </w:tbl>
    <w:p w:rsidR="004B071C" w:rsidRDefault="004B071C" w:rsidP="004B071C">
      <w:pPr>
        <w:pStyle w:val="Tabele"/>
        <w:spacing w:before="60" w:after="240"/>
        <w:ind w:left="714" w:hanging="357"/>
        <w:rPr>
          <w:rFonts w:ascii="Constantia" w:hAnsi="Constantia"/>
          <w:sz w:val="22"/>
          <w:szCs w:val="22"/>
        </w:rPr>
      </w:pPr>
      <w:r w:rsidRPr="0068523E">
        <w:rPr>
          <w:rFonts w:ascii="Constantia" w:hAnsi="Constantia"/>
          <w:sz w:val="22"/>
          <w:szCs w:val="22"/>
        </w:rPr>
        <w:t>Vodeni beskičmenjaci</w:t>
      </w:r>
    </w:p>
    <w:p w:rsidR="00BC2D76" w:rsidRPr="0068523E" w:rsidRDefault="00BC2D76" w:rsidP="00BC2D76">
      <w:pPr>
        <w:pStyle w:val="Tabele"/>
        <w:numPr>
          <w:ilvl w:val="0"/>
          <w:numId w:val="0"/>
        </w:numPr>
        <w:spacing w:before="0" w:after="0"/>
        <w:ind w:left="714"/>
        <w:jc w:val="both"/>
        <w:rPr>
          <w:rFonts w:ascii="Constantia" w:hAnsi="Constantia"/>
          <w:sz w:val="22"/>
          <w:szCs w:val="22"/>
        </w:rPr>
      </w:pPr>
    </w:p>
    <w:p w:rsidR="004B071C" w:rsidRPr="00BC79D4" w:rsidRDefault="004B071C" w:rsidP="00BC2D76">
      <w:pPr>
        <w:pStyle w:val="Heading4"/>
        <w:spacing w:after="240"/>
        <w:rPr>
          <w:sz w:val="22"/>
          <w:szCs w:val="22"/>
          <w:lang w:val="sr-Latn-CS"/>
        </w:rPr>
      </w:pPr>
      <w:r>
        <w:rPr>
          <w:sz w:val="22"/>
          <w:szCs w:val="22"/>
          <w:lang w:val="sr-Latn-CS"/>
        </w:rPr>
        <w:t>Ihtiofauna</w:t>
      </w:r>
    </w:p>
    <w:p w:rsidR="004B071C" w:rsidRPr="00BC2D76" w:rsidRDefault="004B071C" w:rsidP="004B071C">
      <w:pPr>
        <w:rPr>
          <w:rFonts w:ascii="Constantia" w:hAnsi="Constantia"/>
          <w:lang w:val="sr-Latn-CS"/>
        </w:rPr>
      </w:pPr>
      <w:r w:rsidRPr="00BC2D76">
        <w:rPr>
          <w:rFonts w:ascii="Constantia" w:hAnsi="Constantia"/>
          <w:lang w:val="sr-Latn-CS"/>
        </w:rPr>
        <w:t>Datumi terenskih istraživanja:</w:t>
      </w:r>
      <w:r w:rsidRPr="00BC2D76">
        <w:rPr>
          <w:rFonts w:ascii="Constantia" w:hAnsi="Constantia"/>
        </w:rPr>
        <w:t xml:space="preserve"> </w:t>
      </w:r>
    </w:p>
    <w:p w:rsidR="004B071C" w:rsidRPr="00BC2D76" w:rsidRDefault="004B071C" w:rsidP="004B071C">
      <w:pPr>
        <w:rPr>
          <w:rFonts w:ascii="Constantia" w:hAnsi="Constantia"/>
          <w:lang w:val="sr-Latn-CS"/>
        </w:rPr>
      </w:pPr>
      <w:r w:rsidRPr="00BC2D76">
        <w:rPr>
          <w:rFonts w:ascii="Constantia" w:hAnsi="Constantia"/>
          <w:lang w:val="sr-Latn-CS"/>
        </w:rPr>
        <w:t>Mrtvica :  24.05.2013.</w:t>
      </w:r>
    </w:p>
    <w:p w:rsidR="00BC2D76" w:rsidRPr="0014587B" w:rsidRDefault="004B071C" w:rsidP="004B071C">
      <w:pPr>
        <w:spacing w:before="60" w:after="240"/>
        <w:rPr>
          <w:rFonts w:ascii="Constantia" w:hAnsi="Constantia"/>
          <w:szCs w:val="22"/>
          <w:lang w:val="sr-Latn-CS"/>
        </w:rPr>
      </w:pPr>
      <w:r w:rsidRPr="00BC2D76">
        <w:rPr>
          <w:rFonts w:ascii="Constantia" w:hAnsi="Constantia"/>
          <w:szCs w:val="22"/>
          <w:lang w:val="sr-Latn-CS"/>
        </w:rPr>
        <w:t xml:space="preserve">Podaci za o istraživanju ihtiofaune na ovoj lokaciji dati su u kumulativnoj </w:t>
      </w:r>
      <w:r w:rsidRPr="0014587B">
        <w:rPr>
          <w:rFonts w:ascii="Constantia" w:hAnsi="Constantia"/>
          <w:i/>
          <w:szCs w:val="22"/>
          <w:lang w:val="sr-Latn-CS"/>
        </w:rPr>
        <w:t xml:space="preserve">Tabeli </w:t>
      </w:r>
      <w:r w:rsidR="00BC2D76" w:rsidRPr="0014587B">
        <w:rPr>
          <w:rFonts w:ascii="Constantia" w:hAnsi="Constantia"/>
          <w:i/>
          <w:szCs w:val="22"/>
          <w:lang w:val="sr-Latn-CS"/>
        </w:rPr>
        <w:t>27</w:t>
      </w:r>
      <w:r w:rsidRPr="0014587B">
        <w:rPr>
          <w:rFonts w:ascii="Constantia" w:hAnsi="Constantia"/>
          <w:szCs w:val="22"/>
          <w:lang w:val="sr-Latn-CS"/>
        </w:rPr>
        <w:t>.</w:t>
      </w:r>
    </w:p>
    <w:p w:rsidR="004B071C" w:rsidRPr="00BC2D76" w:rsidRDefault="004B071C" w:rsidP="00BC2D76">
      <w:pPr>
        <w:spacing w:after="0"/>
        <w:rPr>
          <w:rFonts w:ascii="Constantia" w:hAnsi="Constantia"/>
          <w:szCs w:val="22"/>
          <w:lang w:val="sr-Latn-CS"/>
        </w:rPr>
      </w:pPr>
      <w:r w:rsidRPr="00BC2D76">
        <w:rPr>
          <w:rFonts w:ascii="Constantia" w:hAnsi="Constantia"/>
          <w:color w:val="FF0000"/>
          <w:szCs w:val="22"/>
          <w:lang w:val="sr-Latn-CS"/>
        </w:rPr>
        <w:t xml:space="preserve"> </w:t>
      </w:r>
    </w:p>
    <w:p w:rsidR="004B071C" w:rsidRDefault="004B071C" w:rsidP="00BC2D76">
      <w:pPr>
        <w:pStyle w:val="Heading4"/>
        <w:spacing w:after="240"/>
        <w:rPr>
          <w:sz w:val="22"/>
          <w:szCs w:val="22"/>
          <w:lang w:val="sr-Latn-CS"/>
        </w:rPr>
      </w:pPr>
      <w:r>
        <w:rPr>
          <w:sz w:val="22"/>
          <w:szCs w:val="22"/>
          <w:lang w:val="sr-Latn-CS"/>
        </w:rPr>
        <w:t>Herpetofauna</w:t>
      </w:r>
    </w:p>
    <w:tbl>
      <w:tblPr>
        <w:tblW w:w="8910" w:type="dxa"/>
        <w:tblInd w:w="108"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firstRow="1" w:lastRow="0" w:firstColumn="1" w:lastColumn="0" w:noHBand="0" w:noVBand="1"/>
      </w:tblPr>
      <w:tblGrid>
        <w:gridCol w:w="1908"/>
        <w:gridCol w:w="3225"/>
        <w:gridCol w:w="2154"/>
        <w:gridCol w:w="1623"/>
      </w:tblGrid>
      <w:tr w:rsidR="004B071C" w:rsidRPr="0014587B" w:rsidTr="00E43BFD">
        <w:tc>
          <w:tcPr>
            <w:tcW w:w="1908" w:type="dxa"/>
            <w:shd w:val="clear" w:color="auto" w:fill="E6EED5"/>
          </w:tcPr>
          <w:p w:rsidR="004B071C" w:rsidRPr="0014587B" w:rsidRDefault="004B071C" w:rsidP="00E20AA9">
            <w:pPr>
              <w:spacing w:after="0"/>
              <w:jc w:val="center"/>
              <w:rPr>
                <w:rFonts w:ascii="Constantia" w:hAnsi="Constantia"/>
                <w:b/>
                <w:bCs/>
                <w:szCs w:val="22"/>
              </w:rPr>
            </w:pPr>
            <w:r w:rsidRPr="0014587B">
              <w:rPr>
                <w:rFonts w:ascii="Constantia" w:hAnsi="Constantia"/>
                <w:b/>
                <w:bCs/>
                <w:szCs w:val="22"/>
              </w:rPr>
              <w:t>Lokalitet</w:t>
            </w:r>
          </w:p>
        </w:tc>
        <w:tc>
          <w:tcPr>
            <w:tcW w:w="3225" w:type="dxa"/>
            <w:shd w:val="clear" w:color="auto" w:fill="E6EED5"/>
          </w:tcPr>
          <w:p w:rsidR="004B071C" w:rsidRPr="0014587B" w:rsidRDefault="004B071C" w:rsidP="00E20AA9">
            <w:pPr>
              <w:spacing w:after="0"/>
              <w:jc w:val="center"/>
              <w:rPr>
                <w:rFonts w:ascii="Constantia" w:hAnsi="Constantia"/>
                <w:b/>
                <w:bCs/>
                <w:szCs w:val="22"/>
              </w:rPr>
            </w:pPr>
            <w:r w:rsidRPr="0014587B">
              <w:rPr>
                <w:rFonts w:ascii="Constantia" w:hAnsi="Constantia"/>
                <w:b/>
                <w:bCs/>
                <w:szCs w:val="22"/>
              </w:rPr>
              <w:t>Koordinate</w:t>
            </w:r>
          </w:p>
        </w:tc>
        <w:tc>
          <w:tcPr>
            <w:tcW w:w="2154" w:type="dxa"/>
            <w:shd w:val="clear" w:color="auto" w:fill="E6EED5"/>
          </w:tcPr>
          <w:p w:rsidR="004B071C" w:rsidRPr="0014587B" w:rsidRDefault="004B071C" w:rsidP="00E20AA9">
            <w:pPr>
              <w:spacing w:after="0"/>
              <w:jc w:val="center"/>
              <w:outlineLvl w:val="3"/>
              <w:rPr>
                <w:rFonts w:ascii="Constantia" w:hAnsi="Constantia"/>
                <w:b/>
                <w:bCs/>
                <w:szCs w:val="22"/>
              </w:rPr>
            </w:pPr>
            <w:r w:rsidRPr="0014587B">
              <w:rPr>
                <w:rFonts w:ascii="Constantia" w:hAnsi="Constantia"/>
                <w:b/>
                <w:bCs/>
                <w:szCs w:val="22"/>
              </w:rPr>
              <w:t>Datum terenskih istraživanja</w:t>
            </w:r>
          </w:p>
        </w:tc>
        <w:tc>
          <w:tcPr>
            <w:tcW w:w="1623" w:type="dxa"/>
            <w:shd w:val="clear" w:color="auto" w:fill="E6EED5"/>
          </w:tcPr>
          <w:p w:rsidR="004B071C" w:rsidRPr="0014587B" w:rsidRDefault="004B071C" w:rsidP="00E20AA9">
            <w:pPr>
              <w:spacing w:after="0"/>
              <w:jc w:val="center"/>
              <w:rPr>
                <w:rFonts w:ascii="Constantia" w:hAnsi="Constantia"/>
                <w:b/>
                <w:szCs w:val="22"/>
              </w:rPr>
            </w:pPr>
            <w:r w:rsidRPr="0014587B">
              <w:rPr>
                <w:rFonts w:ascii="Constantia" w:hAnsi="Constantia"/>
                <w:b/>
                <w:szCs w:val="22"/>
              </w:rPr>
              <w:t>Nadmorska visina</w:t>
            </w:r>
          </w:p>
        </w:tc>
      </w:tr>
      <w:tr w:rsidR="004B071C" w:rsidRPr="0014587B" w:rsidTr="00E20AA9">
        <w:trPr>
          <w:trHeight w:val="3566"/>
        </w:trPr>
        <w:tc>
          <w:tcPr>
            <w:tcW w:w="1908" w:type="dxa"/>
            <w:shd w:val="clear" w:color="auto" w:fill="CDDDAC"/>
          </w:tcPr>
          <w:p w:rsidR="004B071C" w:rsidRPr="0014587B" w:rsidRDefault="004B071C" w:rsidP="00E20AA9">
            <w:pPr>
              <w:spacing w:after="0"/>
              <w:rPr>
                <w:rFonts w:ascii="Constantia" w:hAnsi="Constantia"/>
                <w:b/>
                <w:bCs/>
                <w:szCs w:val="22"/>
              </w:rPr>
            </w:pPr>
            <w:r w:rsidRPr="0014587B">
              <w:rPr>
                <w:rFonts w:ascii="Constantia" w:hAnsi="Constantia"/>
                <w:b/>
                <w:bCs/>
                <w:szCs w:val="22"/>
              </w:rPr>
              <w:t>Kanjon Mrtvice</w:t>
            </w:r>
          </w:p>
        </w:tc>
        <w:tc>
          <w:tcPr>
            <w:tcW w:w="3225" w:type="dxa"/>
            <w:shd w:val="clear" w:color="auto" w:fill="CDDDAC"/>
          </w:tcPr>
          <w:p w:rsidR="004B071C" w:rsidRPr="0014587B" w:rsidRDefault="004B071C" w:rsidP="00E20AA9">
            <w:pPr>
              <w:jc w:val="center"/>
              <w:rPr>
                <w:rFonts w:ascii="Constantia" w:hAnsi="Constantia"/>
                <w:bCs/>
                <w:szCs w:val="22"/>
              </w:rPr>
            </w:pPr>
            <w:r w:rsidRPr="0014587B">
              <w:rPr>
                <w:rFonts w:ascii="Constantia" w:hAnsi="Constantia"/>
                <w:bCs/>
                <w:szCs w:val="22"/>
              </w:rPr>
              <w:t>42</w:t>
            </w:r>
            <w:r w:rsidRPr="0014587B">
              <w:rPr>
                <w:rFonts w:ascii="Constantia" w:hAnsi="Constantia" w:cs="Cambria Math"/>
                <w:bCs/>
                <w:szCs w:val="22"/>
              </w:rPr>
              <w:t>⁰</w:t>
            </w:r>
            <w:r w:rsidRPr="0014587B">
              <w:rPr>
                <w:rFonts w:ascii="Constantia" w:hAnsi="Constantia"/>
                <w:bCs/>
                <w:szCs w:val="22"/>
              </w:rPr>
              <w:t xml:space="preserve"> 44.231</w:t>
            </w:r>
            <w:r w:rsidRPr="0014587B">
              <w:rPr>
                <w:rFonts w:ascii="Constantia" w:hAnsi="Constantia" w:cs="Arial"/>
                <w:bCs/>
                <w:szCs w:val="22"/>
              </w:rPr>
              <w:t>’</w:t>
            </w:r>
          </w:p>
          <w:p w:rsidR="004B071C" w:rsidRPr="0014587B" w:rsidRDefault="004B071C" w:rsidP="00E20AA9">
            <w:pPr>
              <w:jc w:val="center"/>
              <w:rPr>
                <w:rFonts w:ascii="Constantia" w:hAnsi="Constantia"/>
                <w:bCs/>
                <w:szCs w:val="22"/>
              </w:rPr>
            </w:pPr>
            <w:r w:rsidRPr="0014587B">
              <w:rPr>
                <w:rFonts w:ascii="Constantia" w:hAnsi="Constantia"/>
                <w:bCs/>
                <w:szCs w:val="22"/>
              </w:rPr>
              <w:t>19</w:t>
            </w:r>
            <w:r w:rsidRPr="0014587B">
              <w:rPr>
                <w:rFonts w:ascii="Constantia" w:hAnsi="Constantia" w:cs="Cambria Math"/>
                <w:bCs/>
                <w:szCs w:val="22"/>
              </w:rPr>
              <w:t>⁰</w:t>
            </w:r>
            <w:r w:rsidRPr="0014587B">
              <w:rPr>
                <w:rFonts w:ascii="Constantia" w:hAnsi="Constantia"/>
                <w:bCs/>
                <w:szCs w:val="22"/>
              </w:rPr>
              <w:t xml:space="preserve">  20.188</w:t>
            </w:r>
            <w:r w:rsidRPr="0014587B">
              <w:rPr>
                <w:rFonts w:ascii="Constantia" w:hAnsi="Constantia" w:cs="Arial"/>
                <w:bCs/>
                <w:szCs w:val="22"/>
              </w:rPr>
              <w:t>’</w:t>
            </w:r>
          </w:p>
          <w:p w:rsidR="004B071C" w:rsidRPr="0014587B" w:rsidRDefault="004B071C" w:rsidP="00E20AA9">
            <w:pPr>
              <w:jc w:val="center"/>
              <w:rPr>
                <w:rFonts w:ascii="Constantia" w:hAnsi="Constantia"/>
                <w:bCs/>
                <w:szCs w:val="22"/>
              </w:rPr>
            </w:pPr>
            <w:r w:rsidRPr="0014587B">
              <w:rPr>
                <w:rFonts w:ascii="Constantia" w:hAnsi="Constantia"/>
                <w:bCs/>
                <w:szCs w:val="22"/>
              </w:rPr>
              <w:t>42</w:t>
            </w:r>
            <w:r w:rsidRPr="0014587B">
              <w:rPr>
                <w:rFonts w:ascii="Constantia" w:hAnsi="Constantia" w:cs="Cambria Math"/>
                <w:bCs/>
                <w:szCs w:val="22"/>
              </w:rPr>
              <w:t>⁰</w:t>
            </w:r>
            <w:r w:rsidRPr="0014587B">
              <w:rPr>
                <w:rFonts w:ascii="Constantia" w:hAnsi="Constantia"/>
                <w:bCs/>
                <w:szCs w:val="22"/>
              </w:rPr>
              <w:t xml:space="preserve"> 43.174</w:t>
            </w:r>
            <w:r w:rsidRPr="0014587B">
              <w:rPr>
                <w:rFonts w:ascii="Constantia" w:hAnsi="Constantia" w:cs="Arial"/>
                <w:bCs/>
                <w:szCs w:val="22"/>
              </w:rPr>
              <w:t>’</w:t>
            </w:r>
          </w:p>
          <w:p w:rsidR="004B071C" w:rsidRPr="0014587B" w:rsidRDefault="004B071C" w:rsidP="00E20AA9">
            <w:pPr>
              <w:jc w:val="center"/>
              <w:rPr>
                <w:rFonts w:ascii="Constantia" w:hAnsi="Constantia"/>
                <w:bCs/>
                <w:szCs w:val="22"/>
              </w:rPr>
            </w:pPr>
            <w:r w:rsidRPr="0014587B">
              <w:rPr>
                <w:rFonts w:ascii="Constantia" w:hAnsi="Constantia"/>
                <w:bCs/>
                <w:szCs w:val="22"/>
              </w:rPr>
              <w:t>19</w:t>
            </w:r>
            <w:r w:rsidRPr="0014587B">
              <w:rPr>
                <w:rFonts w:ascii="Constantia" w:hAnsi="Constantia" w:cs="Cambria Math"/>
                <w:bCs/>
                <w:szCs w:val="22"/>
              </w:rPr>
              <w:t>⁰</w:t>
            </w:r>
            <w:r w:rsidRPr="0014587B">
              <w:rPr>
                <w:rFonts w:ascii="Constantia" w:hAnsi="Constantia"/>
                <w:bCs/>
                <w:szCs w:val="22"/>
              </w:rPr>
              <w:t xml:space="preserve">  22.230</w:t>
            </w:r>
            <w:r w:rsidRPr="0014587B">
              <w:rPr>
                <w:rFonts w:ascii="Constantia" w:hAnsi="Constantia" w:cs="Arial"/>
                <w:bCs/>
                <w:szCs w:val="22"/>
              </w:rPr>
              <w:t>’</w:t>
            </w:r>
          </w:p>
          <w:p w:rsidR="004B071C" w:rsidRPr="0014587B" w:rsidRDefault="004B071C" w:rsidP="00E20AA9">
            <w:pPr>
              <w:jc w:val="center"/>
              <w:rPr>
                <w:rFonts w:ascii="Constantia" w:hAnsi="Constantia"/>
                <w:bCs/>
                <w:szCs w:val="22"/>
              </w:rPr>
            </w:pPr>
            <w:r w:rsidRPr="0014587B">
              <w:rPr>
                <w:rFonts w:ascii="Constantia" w:hAnsi="Constantia"/>
                <w:bCs/>
                <w:szCs w:val="22"/>
              </w:rPr>
              <w:t>42</w:t>
            </w:r>
            <w:r w:rsidRPr="0014587B">
              <w:rPr>
                <w:rFonts w:ascii="Constantia" w:hAnsi="Constantia" w:cs="Cambria Math"/>
                <w:bCs/>
                <w:szCs w:val="22"/>
              </w:rPr>
              <w:t>⁰</w:t>
            </w:r>
            <w:r w:rsidRPr="0014587B">
              <w:rPr>
                <w:rFonts w:ascii="Constantia" w:hAnsi="Constantia"/>
                <w:bCs/>
                <w:szCs w:val="22"/>
              </w:rPr>
              <w:t xml:space="preserve">  43.192</w:t>
            </w:r>
            <w:r w:rsidRPr="0014587B">
              <w:rPr>
                <w:rFonts w:ascii="Constantia" w:hAnsi="Constantia" w:cs="Arial"/>
                <w:bCs/>
                <w:szCs w:val="22"/>
              </w:rPr>
              <w:t>’</w:t>
            </w:r>
          </w:p>
          <w:p w:rsidR="004B071C" w:rsidRPr="0014587B" w:rsidRDefault="004B071C" w:rsidP="00E20AA9">
            <w:pPr>
              <w:jc w:val="center"/>
              <w:rPr>
                <w:rFonts w:ascii="Constantia" w:hAnsi="Constantia"/>
                <w:bCs/>
                <w:szCs w:val="22"/>
              </w:rPr>
            </w:pPr>
            <w:r w:rsidRPr="0014587B">
              <w:rPr>
                <w:rFonts w:ascii="Constantia" w:hAnsi="Constantia"/>
                <w:bCs/>
                <w:szCs w:val="22"/>
              </w:rPr>
              <w:t>19</w:t>
            </w:r>
            <w:r w:rsidRPr="0014587B">
              <w:rPr>
                <w:rFonts w:ascii="Constantia" w:hAnsi="Constantia" w:cs="Cambria Math"/>
                <w:bCs/>
                <w:szCs w:val="22"/>
              </w:rPr>
              <w:t>⁰</w:t>
            </w:r>
            <w:r w:rsidRPr="0014587B">
              <w:rPr>
                <w:rFonts w:ascii="Constantia" w:hAnsi="Constantia"/>
                <w:bCs/>
                <w:szCs w:val="22"/>
              </w:rPr>
              <w:t xml:space="preserve">  22.176</w:t>
            </w:r>
            <w:r w:rsidRPr="0014587B">
              <w:rPr>
                <w:rFonts w:ascii="Constantia" w:hAnsi="Constantia" w:cs="Arial"/>
                <w:bCs/>
                <w:szCs w:val="22"/>
              </w:rPr>
              <w:t>’</w:t>
            </w:r>
          </w:p>
          <w:p w:rsidR="004B071C" w:rsidRPr="0014587B" w:rsidRDefault="004B071C" w:rsidP="00E20AA9">
            <w:pPr>
              <w:jc w:val="center"/>
              <w:rPr>
                <w:rFonts w:ascii="Constantia" w:hAnsi="Constantia"/>
                <w:bCs/>
                <w:szCs w:val="22"/>
              </w:rPr>
            </w:pPr>
            <w:r w:rsidRPr="0014587B">
              <w:rPr>
                <w:rFonts w:ascii="Constantia" w:hAnsi="Constantia"/>
                <w:bCs/>
                <w:szCs w:val="22"/>
              </w:rPr>
              <w:t>42</w:t>
            </w:r>
            <w:r w:rsidRPr="0014587B">
              <w:rPr>
                <w:rFonts w:ascii="Constantia" w:hAnsi="Constantia" w:cs="Cambria Math"/>
                <w:bCs/>
                <w:szCs w:val="22"/>
              </w:rPr>
              <w:t>⁰</w:t>
            </w:r>
            <w:r w:rsidRPr="0014587B">
              <w:rPr>
                <w:rFonts w:ascii="Constantia" w:hAnsi="Constantia"/>
                <w:bCs/>
                <w:szCs w:val="22"/>
              </w:rPr>
              <w:t xml:space="preserve">  45.002</w:t>
            </w:r>
            <w:r w:rsidRPr="0014587B">
              <w:rPr>
                <w:rFonts w:ascii="Constantia" w:hAnsi="Constantia" w:cs="Arial"/>
                <w:bCs/>
                <w:szCs w:val="22"/>
              </w:rPr>
              <w:t>’</w:t>
            </w:r>
          </w:p>
          <w:p w:rsidR="004B071C" w:rsidRPr="0014587B" w:rsidRDefault="004B071C" w:rsidP="00E20AA9">
            <w:pPr>
              <w:jc w:val="center"/>
              <w:rPr>
                <w:rFonts w:ascii="Constantia" w:hAnsi="Constantia"/>
                <w:bCs/>
                <w:szCs w:val="22"/>
              </w:rPr>
            </w:pPr>
            <w:r w:rsidRPr="0014587B">
              <w:rPr>
                <w:rFonts w:ascii="Constantia" w:hAnsi="Constantia"/>
                <w:bCs/>
                <w:szCs w:val="22"/>
              </w:rPr>
              <w:t>19</w:t>
            </w:r>
            <w:r w:rsidRPr="0014587B">
              <w:rPr>
                <w:rFonts w:ascii="Constantia" w:hAnsi="Constantia" w:cs="Cambria Math"/>
                <w:bCs/>
                <w:szCs w:val="22"/>
              </w:rPr>
              <w:t>⁰</w:t>
            </w:r>
            <w:r w:rsidRPr="0014587B">
              <w:rPr>
                <w:rFonts w:ascii="Constantia" w:hAnsi="Constantia"/>
                <w:bCs/>
                <w:szCs w:val="22"/>
              </w:rPr>
              <w:t xml:space="preserve">  21.178</w:t>
            </w:r>
            <w:r w:rsidRPr="0014587B">
              <w:rPr>
                <w:rFonts w:ascii="Constantia" w:hAnsi="Constantia" w:cs="Arial"/>
                <w:bCs/>
                <w:szCs w:val="22"/>
              </w:rPr>
              <w:t>’</w:t>
            </w:r>
          </w:p>
          <w:p w:rsidR="004B071C" w:rsidRPr="0014587B" w:rsidRDefault="004B071C" w:rsidP="00E20AA9">
            <w:pPr>
              <w:jc w:val="center"/>
              <w:rPr>
                <w:rFonts w:ascii="Constantia" w:hAnsi="Constantia"/>
                <w:bCs/>
                <w:szCs w:val="22"/>
              </w:rPr>
            </w:pPr>
            <w:r w:rsidRPr="0014587B">
              <w:rPr>
                <w:rFonts w:ascii="Constantia" w:hAnsi="Constantia"/>
                <w:bCs/>
                <w:szCs w:val="22"/>
              </w:rPr>
              <w:t>42</w:t>
            </w:r>
            <w:r w:rsidRPr="0014587B">
              <w:rPr>
                <w:rFonts w:ascii="Constantia" w:hAnsi="Constantia" w:cs="Cambria Math"/>
                <w:bCs/>
                <w:szCs w:val="22"/>
              </w:rPr>
              <w:t>⁰</w:t>
            </w:r>
            <w:r w:rsidRPr="0014587B">
              <w:rPr>
                <w:rFonts w:ascii="Constantia" w:hAnsi="Constantia"/>
                <w:bCs/>
                <w:szCs w:val="22"/>
              </w:rPr>
              <w:t xml:space="preserve">  44.993</w:t>
            </w:r>
            <w:r w:rsidRPr="0014587B">
              <w:rPr>
                <w:rFonts w:ascii="Constantia" w:hAnsi="Constantia" w:cs="Arial"/>
                <w:bCs/>
                <w:szCs w:val="22"/>
              </w:rPr>
              <w:t>’</w:t>
            </w:r>
          </w:p>
          <w:p w:rsidR="004B071C" w:rsidRPr="0014587B" w:rsidRDefault="004B071C" w:rsidP="00E20AA9">
            <w:pPr>
              <w:jc w:val="center"/>
              <w:rPr>
                <w:rFonts w:ascii="Constantia" w:hAnsi="Constantia"/>
                <w:bCs/>
                <w:szCs w:val="22"/>
              </w:rPr>
            </w:pPr>
            <w:r w:rsidRPr="0014587B">
              <w:rPr>
                <w:rFonts w:ascii="Constantia" w:hAnsi="Constantia"/>
                <w:bCs/>
                <w:szCs w:val="22"/>
              </w:rPr>
              <w:t>19</w:t>
            </w:r>
            <w:r w:rsidRPr="0014587B">
              <w:rPr>
                <w:rFonts w:ascii="Constantia" w:hAnsi="Constantia" w:cs="Cambria Math"/>
                <w:bCs/>
                <w:szCs w:val="22"/>
              </w:rPr>
              <w:t>⁰</w:t>
            </w:r>
            <w:r w:rsidRPr="0014587B">
              <w:rPr>
                <w:rFonts w:ascii="Constantia" w:hAnsi="Constantia"/>
                <w:bCs/>
                <w:szCs w:val="22"/>
              </w:rPr>
              <w:t xml:space="preserve">  21.130</w:t>
            </w:r>
            <w:r w:rsidRPr="0014587B">
              <w:rPr>
                <w:rFonts w:ascii="Constantia" w:hAnsi="Constantia" w:cs="Arial"/>
                <w:bCs/>
                <w:szCs w:val="22"/>
              </w:rPr>
              <w:t>’</w:t>
            </w:r>
          </w:p>
        </w:tc>
        <w:tc>
          <w:tcPr>
            <w:tcW w:w="2154" w:type="dxa"/>
            <w:shd w:val="clear" w:color="auto" w:fill="CDDDAC"/>
          </w:tcPr>
          <w:p w:rsidR="00E20AA9" w:rsidRPr="0014587B" w:rsidRDefault="00E20AA9" w:rsidP="00E20AA9">
            <w:pPr>
              <w:jc w:val="center"/>
              <w:rPr>
                <w:rFonts w:ascii="Constantia" w:hAnsi="Constantia"/>
                <w:szCs w:val="22"/>
              </w:rPr>
            </w:pPr>
          </w:p>
          <w:p w:rsidR="004B071C" w:rsidRPr="0014587B" w:rsidRDefault="004B071C" w:rsidP="00E20AA9">
            <w:pPr>
              <w:jc w:val="center"/>
              <w:rPr>
                <w:rFonts w:ascii="Constantia" w:hAnsi="Constantia"/>
                <w:szCs w:val="22"/>
              </w:rPr>
            </w:pPr>
            <w:r w:rsidRPr="0014587B">
              <w:rPr>
                <w:rFonts w:ascii="Constantia" w:hAnsi="Constantia"/>
                <w:szCs w:val="22"/>
              </w:rPr>
              <w:t>02.06.2013.</w:t>
            </w:r>
          </w:p>
        </w:tc>
        <w:tc>
          <w:tcPr>
            <w:tcW w:w="1623" w:type="dxa"/>
            <w:shd w:val="clear" w:color="auto" w:fill="CDDDAC"/>
          </w:tcPr>
          <w:p w:rsidR="00E20AA9" w:rsidRPr="0014587B" w:rsidRDefault="004B071C" w:rsidP="004E680E">
            <w:pPr>
              <w:rPr>
                <w:rFonts w:ascii="Constantia" w:hAnsi="Constantia"/>
                <w:szCs w:val="22"/>
              </w:rPr>
            </w:pPr>
            <w:r w:rsidRPr="0014587B">
              <w:rPr>
                <w:rFonts w:ascii="Constantia" w:hAnsi="Constantia"/>
                <w:szCs w:val="22"/>
              </w:rPr>
              <w:t xml:space="preserve"> </w:t>
            </w:r>
          </w:p>
          <w:p w:rsidR="004B071C" w:rsidRPr="0014587B" w:rsidRDefault="004B071C" w:rsidP="00E20AA9">
            <w:pPr>
              <w:jc w:val="center"/>
              <w:rPr>
                <w:rFonts w:ascii="Constantia" w:hAnsi="Constantia"/>
                <w:szCs w:val="22"/>
              </w:rPr>
            </w:pPr>
            <w:r w:rsidRPr="0014587B">
              <w:rPr>
                <w:rFonts w:ascii="Constantia" w:hAnsi="Constantia"/>
                <w:szCs w:val="22"/>
              </w:rPr>
              <w:t>268 mnv</w:t>
            </w:r>
          </w:p>
        </w:tc>
      </w:tr>
    </w:tbl>
    <w:p w:rsidR="004B071C" w:rsidRDefault="004B071C" w:rsidP="004B071C">
      <w:pPr>
        <w:pStyle w:val="Tabele"/>
        <w:spacing w:before="60" w:after="240"/>
        <w:ind w:left="714" w:hanging="357"/>
        <w:rPr>
          <w:rFonts w:ascii="Constantia" w:hAnsi="Constantia"/>
          <w:sz w:val="22"/>
          <w:szCs w:val="22"/>
        </w:rPr>
      </w:pPr>
      <w:r w:rsidRPr="005C1D25">
        <w:rPr>
          <w:rFonts w:ascii="Constantia" w:hAnsi="Constantia"/>
          <w:sz w:val="22"/>
          <w:szCs w:val="22"/>
        </w:rPr>
        <w:t>Opšti podaci o istraživanim lokalitetima</w:t>
      </w:r>
      <w:r w:rsidR="005C1D25">
        <w:rPr>
          <w:rFonts w:ascii="Constantia" w:hAnsi="Constantia"/>
          <w:sz w:val="22"/>
          <w:szCs w:val="22"/>
        </w:rPr>
        <w:t xml:space="preserve"> herpetofaune</w:t>
      </w:r>
    </w:p>
    <w:p w:rsidR="005C1D25" w:rsidRDefault="005C1D25" w:rsidP="005C1D25">
      <w:pPr>
        <w:pStyle w:val="Tabele"/>
        <w:numPr>
          <w:ilvl w:val="0"/>
          <w:numId w:val="0"/>
        </w:numPr>
        <w:spacing w:before="60" w:after="0"/>
        <w:ind w:left="714"/>
        <w:jc w:val="both"/>
        <w:rPr>
          <w:rFonts w:ascii="Constantia" w:hAnsi="Constantia"/>
          <w:sz w:val="22"/>
          <w:szCs w:val="22"/>
        </w:rPr>
      </w:pPr>
    </w:p>
    <w:p w:rsidR="0014587B" w:rsidRPr="005C1D25" w:rsidRDefault="0014587B" w:rsidP="005C1D25">
      <w:pPr>
        <w:pStyle w:val="Tabele"/>
        <w:numPr>
          <w:ilvl w:val="0"/>
          <w:numId w:val="0"/>
        </w:numPr>
        <w:spacing w:before="60" w:after="0"/>
        <w:ind w:left="714"/>
        <w:jc w:val="both"/>
        <w:rPr>
          <w:rFonts w:ascii="Constantia" w:hAnsi="Constantia"/>
          <w:sz w:val="22"/>
          <w:szCs w:val="22"/>
        </w:rPr>
      </w:pPr>
    </w:p>
    <w:tbl>
      <w:tblPr>
        <w:tblW w:w="8910" w:type="dxa"/>
        <w:tblInd w:w="108"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firstRow="1" w:lastRow="0" w:firstColumn="1" w:lastColumn="0" w:noHBand="0" w:noVBand="1"/>
      </w:tblPr>
      <w:tblGrid>
        <w:gridCol w:w="2078"/>
        <w:gridCol w:w="2501"/>
        <w:gridCol w:w="2507"/>
        <w:gridCol w:w="1824"/>
      </w:tblGrid>
      <w:tr w:rsidR="004B071C" w:rsidRPr="0014587B" w:rsidTr="005C1D25">
        <w:trPr>
          <w:trHeight w:val="369"/>
        </w:trPr>
        <w:tc>
          <w:tcPr>
            <w:tcW w:w="2078" w:type="dxa"/>
            <w:shd w:val="clear" w:color="auto" w:fill="E6EED5"/>
          </w:tcPr>
          <w:p w:rsidR="004B071C" w:rsidRPr="0014587B" w:rsidRDefault="004B071C" w:rsidP="005C1D25">
            <w:pPr>
              <w:jc w:val="center"/>
              <w:rPr>
                <w:rFonts w:ascii="Constantia" w:hAnsi="Constantia"/>
                <w:b/>
                <w:bCs/>
                <w:szCs w:val="22"/>
              </w:rPr>
            </w:pPr>
            <w:r w:rsidRPr="0014587B">
              <w:rPr>
                <w:rFonts w:ascii="Constantia" w:hAnsi="Constantia"/>
                <w:b/>
                <w:bCs/>
                <w:szCs w:val="22"/>
              </w:rPr>
              <w:t>Vrsta</w:t>
            </w:r>
          </w:p>
        </w:tc>
        <w:tc>
          <w:tcPr>
            <w:tcW w:w="2501" w:type="dxa"/>
            <w:shd w:val="clear" w:color="auto" w:fill="E6EED5"/>
          </w:tcPr>
          <w:p w:rsidR="004B071C" w:rsidRPr="0014587B" w:rsidRDefault="004B071C" w:rsidP="005C1D25">
            <w:pPr>
              <w:jc w:val="center"/>
              <w:rPr>
                <w:rFonts w:ascii="Constantia" w:hAnsi="Constantia"/>
                <w:b/>
                <w:bCs/>
                <w:szCs w:val="22"/>
              </w:rPr>
            </w:pPr>
            <w:r w:rsidRPr="0014587B">
              <w:rPr>
                <w:rFonts w:ascii="Constantia" w:hAnsi="Constantia"/>
                <w:b/>
                <w:bCs/>
                <w:szCs w:val="22"/>
              </w:rPr>
              <w:t>Karakter prisustva vrste</w:t>
            </w:r>
          </w:p>
        </w:tc>
        <w:tc>
          <w:tcPr>
            <w:tcW w:w="2507" w:type="dxa"/>
            <w:shd w:val="clear" w:color="auto" w:fill="E6EED5"/>
          </w:tcPr>
          <w:p w:rsidR="004B071C" w:rsidRPr="0014587B" w:rsidRDefault="004B071C" w:rsidP="005C1D25">
            <w:pPr>
              <w:jc w:val="center"/>
              <w:rPr>
                <w:rFonts w:ascii="Constantia" w:hAnsi="Constantia"/>
                <w:b/>
                <w:bCs/>
                <w:szCs w:val="22"/>
              </w:rPr>
            </w:pPr>
            <w:r w:rsidRPr="0014587B">
              <w:rPr>
                <w:rFonts w:ascii="Constantia" w:hAnsi="Constantia"/>
                <w:b/>
                <w:bCs/>
                <w:szCs w:val="22"/>
              </w:rPr>
              <w:t>Opisno</w:t>
            </w:r>
          </w:p>
        </w:tc>
        <w:tc>
          <w:tcPr>
            <w:tcW w:w="1824" w:type="dxa"/>
            <w:shd w:val="clear" w:color="auto" w:fill="E6EED5"/>
          </w:tcPr>
          <w:p w:rsidR="004B071C" w:rsidRPr="0014587B" w:rsidRDefault="004B071C" w:rsidP="005C1D25">
            <w:pPr>
              <w:spacing w:after="0"/>
              <w:jc w:val="center"/>
              <w:rPr>
                <w:rFonts w:ascii="Constantia" w:hAnsi="Constantia"/>
                <w:b/>
                <w:bCs/>
                <w:szCs w:val="22"/>
              </w:rPr>
            </w:pPr>
            <w:r w:rsidRPr="0014587B">
              <w:rPr>
                <w:rFonts w:ascii="Constantia" w:hAnsi="Constantia"/>
                <w:b/>
                <w:bCs/>
                <w:szCs w:val="22"/>
              </w:rPr>
              <w:t>Ocjena stepena očuvanosti</w:t>
            </w:r>
          </w:p>
        </w:tc>
      </w:tr>
      <w:tr w:rsidR="004B071C" w:rsidRPr="0014587B" w:rsidTr="005C1D25">
        <w:trPr>
          <w:trHeight w:val="369"/>
        </w:trPr>
        <w:tc>
          <w:tcPr>
            <w:tcW w:w="2078" w:type="dxa"/>
            <w:shd w:val="clear" w:color="auto" w:fill="CDDDAC"/>
          </w:tcPr>
          <w:p w:rsidR="004B071C" w:rsidRPr="0014587B" w:rsidRDefault="004B071C" w:rsidP="005C1D25">
            <w:pPr>
              <w:spacing w:after="0"/>
              <w:rPr>
                <w:rFonts w:ascii="Constantia" w:hAnsi="Constantia"/>
                <w:i/>
                <w:szCs w:val="22"/>
              </w:rPr>
            </w:pPr>
            <w:r w:rsidRPr="0014587B">
              <w:rPr>
                <w:rFonts w:ascii="Constantia" w:hAnsi="Constantia"/>
                <w:i/>
                <w:szCs w:val="22"/>
              </w:rPr>
              <w:t xml:space="preserve">Rana graeca  </w:t>
            </w:r>
          </w:p>
        </w:tc>
        <w:tc>
          <w:tcPr>
            <w:tcW w:w="2501" w:type="dxa"/>
            <w:shd w:val="clear" w:color="auto" w:fill="CDDDAC"/>
          </w:tcPr>
          <w:p w:rsidR="004B071C" w:rsidRPr="0014587B" w:rsidRDefault="004B071C" w:rsidP="005C1D25">
            <w:pPr>
              <w:spacing w:after="0"/>
              <w:jc w:val="center"/>
              <w:rPr>
                <w:rFonts w:ascii="Constantia" w:hAnsi="Constantia"/>
                <w:szCs w:val="22"/>
              </w:rPr>
            </w:pPr>
            <w:r w:rsidRPr="0014587B">
              <w:rPr>
                <w:rFonts w:ascii="Constantia" w:hAnsi="Constantia"/>
                <w:szCs w:val="22"/>
              </w:rPr>
              <w:t>Uzgoj/reprodukcija</w:t>
            </w:r>
          </w:p>
        </w:tc>
        <w:tc>
          <w:tcPr>
            <w:tcW w:w="2507" w:type="dxa"/>
            <w:shd w:val="clear" w:color="auto" w:fill="CDDDAC"/>
          </w:tcPr>
          <w:p w:rsidR="004B071C" w:rsidRPr="0014587B" w:rsidRDefault="004B071C" w:rsidP="005C1D25">
            <w:pPr>
              <w:jc w:val="left"/>
              <w:rPr>
                <w:rFonts w:ascii="Constantia" w:hAnsi="Constantia"/>
                <w:szCs w:val="22"/>
              </w:rPr>
            </w:pPr>
            <w:r w:rsidRPr="0014587B">
              <w:rPr>
                <w:rFonts w:ascii="Constantia" w:hAnsi="Constantia"/>
                <w:szCs w:val="22"/>
              </w:rPr>
              <w:t>Populacija u odličnom stanju</w:t>
            </w:r>
          </w:p>
        </w:tc>
        <w:tc>
          <w:tcPr>
            <w:tcW w:w="1824" w:type="dxa"/>
            <w:shd w:val="clear" w:color="auto" w:fill="CDDDAC"/>
          </w:tcPr>
          <w:p w:rsidR="004B071C" w:rsidRPr="0014587B" w:rsidRDefault="004B071C" w:rsidP="005C1D25">
            <w:pPr>
              <w:spacing w:after="0"/>
              <w:jc w:val="center"/>
              <w:rPr>
                <w:rFonts w:ascii="Constantia" w:hAnsi="Constantia"/>
                <w:szCs w:val="22"/>
              </w:rPr>
            </w:pPr>
            <w:r w:rsidRPr="0014587B">
              <w:rPr>
                <w:rFonts w:ascii="Constantia" w:hAnsi="Constantia"/>
                <w:szCs w:val="22"/>
              </w:rPr>
              <w:t>I (A)</w:t>
            </w:r>
          </w:p>
        </w:tc>
      </w:tr>
      <w:tr w:rsidR="004B071C" w:rsidRPr="0014587B" w:rsidTr="005C1D25">
        <w:trPr>
          <w:trHeight w:val="369"/>
        </w:trPr>
        <w:tc>
          <w:tcPr>
            <w:tcW w:w="2078" w:type="dxa"/>
            <w:shd w:val="clear" w:color="auto" w:fill="CDDDAC"/>
          </w:tcPr>
          <w:p w:rsidR="004B071C" w:rsidRPr="0014587B" w:rsidRDefault="004B071C" w:rsidP="005C1D25">
            <w:pPr>
              <w:spacing w:after="0"/>
              <w:rPr>
                <w:rFonts w:ascii="Constantia" w:hAnsi="Constantia"/>
                <w:i/>
                <w:szCs w:val="22"/>
              </w:rPr>
            </w:pPr>
            <w:r w:rsidRPr="0014587B">
              <w:rPr>
                <w:rFonts w:ascii="Constantia" w:hAnsi="Constantia"/>
                <w:i/>
                <w:szCs w:val="22"/>
              </w:rPr>
              <w:t xml:space="preserve"> Podarcis muralis </w:t>
            </w:r>
          </w:p>
        </w:tc>
        <w:tc>
          <w:tcPr>
            <w:tcW w:w="2501" w:type="dxa"/>
            <w:shd w:val="clear" w:color="auto" w:fill="CDDDAC"/>
          </w:tcPr>
          <w:p w:rsidR="004B071C" w:rsidRPr="0014587B" w:rsidRDefault="004B071C" w:rsidP="005C1D25">
            <w:pPr>
              <w:spacing w:after="0"/>
              <w:jc w:val="center"/>
              <w:rPr>
                <w:rFonts w:ascii="Constantia" w:hAnsi="Constantia"/>
                <w:szCs w:val="22"/>
              </w:rPr>
            </w:pPr>
            <w:r w:rsidRPr="0014587B">
              <w:rPr>
                <w:rFonts w:ascii="Constantia" w:hAnsi="Constantia"/>
                <w:szCs w:val="22"/>
              </w:rPr>
              <w:t>Uzgoj/reprodukcija</w:t>
            </w:r>
          </w:p>
        </w:tc>
        <w:tc>
          <w:tcPr>
            <w:tcW w:w="2507" w:type="dxa"/>
            <w:shd w:val="clear" w:color="auto" w:fill="CDDDAC"/>
          </w:tcPr>
          <w:p w:rsidR="004B071C" w:rsidRPr="0014587B" w:rsidRDefault="004B071C" w:rsidP="005C1D25">
            <w:pPr>
              <w:spacing w:after="0"/>
              <w:jc w:val="left"/>
              <w:rPr>
                <w:rFonts w:ascii="Constantia" w:hAnsi="Constantia"/>
                <w:szCs w:val="22"/>
              </w:rPr>
            </w:pPr>
            <w:r w:rsidRPr="0014587B">
              <w:rPr>
                <w:rFonts w:ascii="Constantia" w:hAnsi="Constantia"/>
                <w:szCs w:val="22"/>
              </w:rPr>
              <w:t>Populacija u odličnom stanju</w:t>
            </w:r>
          </w:p>
        </w:tc>
        <w:tc>
          <w:tcPr>
            <w:tcW w:w="1824" w:type="dxa"/>
            <w:shd w:val="clear" w:color="auto" w:fill="CDDDAC"/>
          </w:tcPr>
          <w:p w:rsidR="004B071C" w:rsidRPr="0014587B" w:rsidRDefault="004B071C" w:rsidP="005C1D25">
            <w:pPr>
              <w:spacing w:after="0"/>
              <w:jc w:val="center"/>
              <w:rPr>
                <w:rFonts w:ascii="Constantia" w:hAnsi="Constantia"/>
                <w:szCs w:val="22"/>
              </w:rPr>
            </w:pPr>
            <w:r w:rsidRPr="0014587B">
              <w:rPr>
                <w:rFonts w:ascii="Constantia" w:hAnsi="Constantia"/>
                <w:szCs w:val="22"/>
              </w:rPr>
              <w:t>II (B)</w:t>
            </w:r>
          </w:p>
        </w:tc>
      </w:tr>
      <w:tr w:rsidR="004B071C" w:rsidRPr="0014587B" w:rsidTr="005C1D25">
        <w:trPr>
          <w:trHeight w:val="369"/>
        </w:trPr>
        <w:tc>
          <w:tcPr>
            <w:tcW w:w="2078" w:type="dxa"/>
            <w:shd w:val="clear" w:color="auto" w:fill="CDDDAC"/>
          </w:tcPr>
          <w:p w:rsidR="004B071C" w:rsidRPr="0014587B" w:rsidRDefault="004B071C" w:rsidP="005C1D25">
            <w:pPr>
              <w:spacing w:after="0"/>
              <w:rPr>
                <w:rFonts w:ascii="Constantia" w:hAnsi="Constantia"/>
                <w:i/>
                <w:szCs w:val="22"/>
              </w:rPr>
            </w:pPr>
            <w:r w:rsidRPr="0014587B">
              <w:rPr>
                <w:rFonts w:ascii="Constantia" w:hAnsi="Constantia"/>
                <w:i/>
                <w:szCs w:val="22"/>
              </w:rPr>
              <w:lastRenderedPageBreak/>
              <w:t xml:space="preserve">Adriolacerta oxycephala </w:t>
            </w:r>
          </w:p>
        </w:tc>
        <w:tc>
          <w:tcPr>
            <w:tcW w:w="2501" w:type="dxa"/>
            <w:shd w:val="clear" w:color="auto" w:fill="CDDDAC"/>
          </w:tcPr>
          <w:p w:rsidR="004B071C" w:rsidRPr="0014587B" w:rsidRDefault="004B071C" w:rsidP="005C1D25">
            <w:pPr>
              <w:spacing w:after="0"/>
              <w:jc w:val="center"/>
              <w:rPr>
                <w:rFonts w:ascii="Constantia" w:hAnsi="Constantia"/>
                <w:szCs w:val="22"/>
              </w:rPr>
            </w:pPr>
            <w:r w:rsidRPr="0014587B">
              <w:rPr>
                <w:rFonts w:ascii="Constantia" w:hAnsi="Constantia"/>
                <w:szCs w:val="22"/>
              </w:rPr>
              <w:t>Uzgoj/reprodukcija</w:t>
            </w:r>
          </w:p>
        </w:tc>
        <w:tc>
          <w:tcPr>
            <w:tcW w:w="2507" w:type="dxa"/>
            <w:shd w:val="clear" w:color="auto" w:fill="CDDDAC"/>
          </w:tcPr>
          <w:p w:rsidR="004B071C" w:rsidRPr="0014587B" w:rsidRDefault="004B071C" w:rsidP="005C1D25">
            <w:pPr>
              <w:spacing w:after="0"/>
              <w:jc w:val="left"/>
              <w:rPr>
                <w:rFonts w:ascii="Constantia" w:hAnsi="Constantia"/>
                <w:szCs w:val="22"/>
              </w:rPr>
            </w:pPr>
            <w:r w:rsidRPr="0014587B">
              <w:rPr>
                <w:rFonts w:ascii="Constantia" w:hAnsi="Constantia"/>
                <w:szCs w:val="22"/>
              </w:rPr>
              <w:t>Zadovoljavajuće stanje populacije</w:t>
            </w:r>
          </w:p>
        </w:tc>
        <w:tc>
          <w:tcPr>
            <w:tcW w:w="1824" w:type="dxa"/>
            <w:shd w:val="clear" w:color="auto" w:fill="CDDDAC"/>
          </w:tcPr>
          <w:p w:rsidR="004B071C" w:rsidRPr="0014587B" w:rsidRDefault="004B071C" w:rsidP="005C1D25">
            <w:pPr>
              <w:spacing w:after="0"/>
              <w:jc w:val="center"/>
              <w:rPr>
                <w:rFonts w:ascii="Constantia" w:hAnsi="Constantia"/>
                <w:szCs w:val="22"/>
              </w:rPr>
            </w:pPr>
            <w:r w:rsidRPr="0014587B">
              <w:rPr>
                <w:rFonts w:ascii="Constantia" w:hAnsi="Constantia"/>
                <w:szCs w:val="22"/>
              </w:rPr>
              <w:t>II (B)</w:t>
            </w:r>
          </w:p>
        </w:tc>
      </w:tr>
      <w:tr w:rsidR="004B071C" w:rsidRPr="0014587B" w:rsidTr="005C1D25">
        <w:trPr>
          <w:trHeight w:val="369"/>
        </w:trPr>
        <w:tc>
          <w:tcPr>
            <w:tcW w:w="2078" w:type="dxa"/>
            <w:shd w:val="clear" w:color="auto" w:fill="CDDDAC"/>
          </w:tcPr>
          <w:p w:rsidR="004B071C" w:rsidRPr="0014587B" w:rsidRDefault="004B071C" w:rsidP="005C1D25">
            <w:pPr>
              <w:spacing w:after="0"/>
              <w:rPr>
                <w:rFonts w:ascii="Constantia" w:hAnsi="Constantia"/>
                <w:i/>
                <w:szCs w:val="22"/>
              </w:rPr>
            </w:pPr>
            <w:r w:rsidRPr="0014587B">
              <w:rPr>
                <w:rFonts w:ascii="Constantia" w:hAnsi="Constantia"/>
                <w:i/>
                <w:szCs w:val="22"/>
              </w:rPr>
              <w:t xml:space="preserve">Pseudopodus apodus </w:t>
            </w:r>
          </w:p>
        </w:tc>
        <w:tc>
          <w:tcPr>
            <w:tcW w:w="2501" w:type="dxa"/>
            <w:shd w:val="clear" w:color="auto" w:fill="CDDDAC"/>
          </w:tcPr>
          <w:p w:rsidR="004B071C" w:rsidRPr="0014587B" w:rsidRDefault="004B071C" w:rsidP="005C1D25">
            <w:pPr>
              <w:spacing w:after="0"/>
              <w:jc w:val="center"/>
              <w:rPr>
                <w:rFonts w:ascii="Constantia" w:hAnsi="Constantia"/>
                <w:szCs w:val="22"/>
              </w:rPr>
            </w:pPr>
            <w:r w:rsidRPr="0014587B">
              <w:rPr>
                <w:rFonts w:ascii="Constantia" w:hAnsi="Constantia"/>
                <w:szCs w:val="22"/>
              </w:rPr>
              <w:t>Uzgoj/reprodukcija</w:t>
            </w:r>
          </w:p>
        </w:tc>
        <w:tc>
          <w:tcPr>
            <w:tcW w:w="2507" w:type="dxa"/>
            <w:shd w:val="clear" w:color="auto" w:fill="CDDDAC"/>
          </w:tcPr>
          <w:p w:rsidR="004B071C" w:rsidRPr="0014587B" w:rsidRDefault="004B071C" w:rsidP="005C1D25">
            <w:pPr>
              <w:spacing w:after="0"/>
              <w:jc w:val="left"/>
              <w:rPr>
                <w:rFonts w:ascii="Constantia" w:hAnsi="Constantia"/>
                <w:szCs w:val="22"/>
              </w:rPr>
            </w:pPr>
            <w:r w:rsidRPr="0014587B">
              <w:rPr>
                <w:rFonts w:ascii="Constantia" w:hAnsi="Constantia"/>
                <w:szCs w:val="22"/>
              </w:rPr>
              <w:t>Populacija u odličnom stanju</w:t>
            </w:r>
          </w:p>
        </w:tc>
        <w:tc>
          <w:tcPr>
            <w:tcW w:w="1824" w:type="dxa"/>
            <w:shd w:val="clear" w:color="auto" w:fill="CDDDAC"/>
          </w:tcPr>
          <w:p w:rsidR="004B071C" w:rsidRPr="0014587B" w:rsidRDefault="004B071C" w:rsidP="005C1D25">
            <w:pPr>
              <w:spacing w:after="0"/>
              <w:jc w:val="center"/>
              <w:rPr>
                <w:rFonts w:ascii="Constantia" w:hAnsi="Constantia"/>
                <w:szCs w:val="22"/>
              </w:rPr>
            </w:pPr>
            <w:r w:rsidRPr="0014587B">
              <w:rPr>
                <w:rFonts w:ascii="Constantia" w:hAnsi="Constantia"/>
                <w:szCs w:val="22"/>
              </w:rPr>
              <w:t>II (B)</w:t>
            </w:r>
          </w:p>
        </w:tc>
      </w:tr>
      <w:tr w:rsidR="004B071C" w:rsidRPr="0014587B" w:rsidTr="005C1D25">
        <w:trPr>
          <w:trHeight w:val="369"/>
        </w:trPr>
        <w:tc>
          <w:tcPr>
            <w:tcW w:w="2078" w:type="dxa"/>
            <w:shd w:val="clear" w:color="auto" w:fill="CDDDAC"/>
          </w:tcPr>
          <w:p w:rsidR="004B071C" w:rsidRPr="0014587B" w:rsidRDefault="004B071C" w:rsidP="005C1D25">
            <w:pPr>
              <w:spacing w:after="0"/>
              <w:rPr>
                <w:rFonts w:ascii="Constantia" w:hAnsi="Constantia"/>
                <w:i/>
                <w:szCs w:val="22"/>
              </w:rPr>
            </w:pPr>
            <w:r w:rsidRPr="0014587B">
              <w:rPr>
                <w:rFonts w:ascii="Constantia" w:hAnsi="Constantia"/>
                <w:i/>
                <w:szCs w:val="22"/>
              </w:rPr>
              <w:t xml:space="preserve">Testudo hermanni </w:t>
            </w:r>
          </w:p>
        </w:tc>
        <w:tc>
          <w:tcPr>
            <w:tcW w:w="2501" w:type="dxa"/>
            <w:shd w:val="clear" w:color="auto" w:fill="CDDDAC"/>
          </w:tcPr>
          <w:p w:rsidR="004B071C" w:rsidRPr="0014587B" w:rsidRDefault="004B071C" w:rsidP="005C1D25">
            <w:pPr>
              <w:spacing w:after="0"/>
              <w:jc w:val="center"/>
              <w:rPr>
                <w:rFonts w:ascii="Constantia" w:hAnsi="Constantia"/>
                <w:szCs w:val="22"/>
              </w:rPr>
            </w:pPr>
            <w:r w:rsidRPr="0014587B">
              <w:rPr>
                <w:rFonts w:ascii="Constantia" w:hAnsi="Constantia"/>
                <w:szCs w:val="22"/>
              </w:rPr>
              <w:t>Uzgoj/reprodukcija</w:t>
            </w:r>
          </w:p>
        </w:tc>
        <w:tc>
          <w:tcPr>
            <w:tcW w:w="2507" w:type="dxa"/>
            <w:shd w:val="clear" w:color="auto" w:fill="CDDDAC"/>
          </w:tcPr>
          <w:p w:rsidR="004B071C" w:rsidRPr="0014587B" w:rsidRDefault="004B071C" w:rsidP="005C1D25">
            <w:pPr>
              <w:spacing w:after="0"/>
              <w:jc w:val="left"/>
              <w:rPr>
                <w:rFonts w:ascii="Constantia" w:hAnsi="Constantia"/>
                <w:szCs w:val="22"/>
              </w:rPr>
            </w:pPr>
            <w:r w:rsidRPr="0014587B">
              <w:rPr>
                <w:rFonts w:ascii="Constantia" w:hAnsi="Constantia"/>
                <w:szCs w:val="22"/>
              </w:rPr>
              <w:t>Zadovoljavajuće stanje populacije</w:t>
            </w:r>
          </w:p>
        </w:tc>
        <w:tc>
          <w:tcPr>
            <w:tcW w:w="1824" w:type="dxa"/>
            <w:shd w:val="clear" w:color="auto" w:fill="CDDDAC"/>
          </w:tcPr>
          <w:p w:rsidR="004B071C" w:rsidRPr="0014587B" w:rsidRDefault="004B071C" w:rsidP="005C1D25">
            <w:pPr>
              <w:spacing w:after="0"/>
              <w:jc w:val="center"/>
              <w:rPr>
                <w:rFonts w:ascii="Constantia" w:hAnsi="Constantia"/>
                <w:szCs w:val="22"/>
              </w:rPr>
            </w:pPr>
            <w:r w:rsidRPr="0014587B">
              <w:rPr>
                <w:rFonts w:ascii="Constantia" w:hAnsi="Constantia"/>
                <w:szCs w:val="22"/>
              </w:rPr>
              <w:t>II (B)</w:t>
            </w:r>
          </w:p>
        </w:tc>
      </w:tr>
      <w:tr w:rsidR="004B071C" w:rsidRPr="0014587B" w:rsidTr="005C1D25">
        <w:trPr>
          <w:trHeight w:val="369"/>
        </w:trPr>
        <w:tc>
          <w:tcPr>
            <w:tcW w:w="2078" w:type="dxa"/>
            <w:shd w:val="clear" w:color="auto" w:fill="CDDDAC"/>
          </w:tcPr>
          <w:p w:rsidR="004B071C" w:rsidRPr="0014587B" w:rsidRDefault="004B071C" w:rsidP="005C1D25">
            <w:pPr>
              <w:spacing w:after="0"/>
              <w:rPr>
                <w:rFonts w:ascii="Constantia" w:hAnsi="Constantia"/>
                <w:i/>
                <w:szCs w:val="22"/>
              </w:rPr>
            </w:pPr>
            <w:r w:rsidRPr="0014587B">
              <w:rPr>
                <w:rFonts w:ascii="Constantia" w:hAnsi="Constantia"/>
                <w:i/>
                <w:szCs w:val="22"/>
              </w:rPr>
              <w:t>Vipera ammodytes</w:t>
            </w:r>
          </w:p>
        </w:tc>
        <w:tc>
          <w:tcPr>
            <w:tcW w:w="2501" w:type="dxa"/>
            <w:shd w:val="clear" w:color="auto" w:fill="CDDDAC"/>
          </w:tcPr>
          <w:p w:rsidR="004B071C" w:rsidRPr="0014587B" w:rsidRDefault="004B071C" w:rsidP="005C1D25">
            <w:pPr>
              <w:spacing w:after="0"/>
              <w:jc w:val="center"/>
              <w:rPr>
                <w:rFonts w:ascii="Constantia" w:hAnsi="Constantia"/>
                <w:szCs w:val="22"/>
              </w:rPr>
            </w:pPr>
            <w:r w:rsidRPr="0014587B">
              <w:rPr>
                <w:rFonts w:ascii="Constantia" w:hAnsi="Constantia"/>
                <w:szCs w:val="22"/>
              </w:rPr>
              <w:t>Uzgoj/reprodukcija</w:t>
            </w:r>
          </w:p>
        </w:tc>
        <w:tc>
          <w:tcPr>
            <w:tcW w:w="2507" w:type="dxa"/>
            <w:shd w:val="clear" w:color="auto" w:fill="CDDDAC"/>
          </w:tcPr>
          <w:p w:rsidR="004B071C" w:rsidRPr="0014587B" w:rsidRDefault="004B071C" w:rsidP="005C1D25">
            <w:pPr>
              <w:spacing w:after="0"/>
              <w:jc w:val="left"/>
              <w:rPr>
                <w:rFonts w:ascii="Constantia" w:hAnsi="Constantia"/>
                <w:szCs w:val="22"/>
              </w:rPr>
            </w:pPr>
            <w:r w:rsidRPr="0014587B">
              <w:rPr>
                <w:rFonts w:ascii="Constantia" w:hAnsi="Constantia"/>
                <w:szCs w:val="22"/>
              </w:rPr>
              <w:t>Populacija u odličnom stanju</w:t>
            </w:r>
          </w:p>
        </w:tc>
        <w:tc>
          <w:tcPr>
            <w:tcW w:w="1824" w:type="dxa"/>
            <w:shd w:val="clear" w:color="auto" w:fill="CDDDAC"/>
          </w:tcPr>
          <w:p w:rsidR="004B071C" w:rsidRPr="0014587B" w:rsidRDefault="004B071C" w:rsidP="005C1D25">
            <w:pPr>
              <w:spacing w:after="0"/>
              <w:jc w:val="center"/>
              <w:rPr>
                <w:rFonts w:ascii="Constantia" w:hAnsi="Constantia"/>
                <w:szCs w:val="22"/>
              </w:rPr>
            </w:pPr>
            <w:r w:rsidRPr="0014587B">
              <w:rPr>
                <w:rFonts w:ascii="Constantia" w:hAnsi="Constantia"/>
                <w:szCs w:val="22"/>
              </w:rPr>
              <w:t>I (A)</w:t>
            </w:r>
          </w:p>
        </w:tc>
      </w:tr>
    </w:tbl>
    <w:p w:rsidR="004B071C" w:rsidRDefault="0014587B" w:rsidP="005C1D25">
      <w:pPr>
        <w:pStyle w:val="Tabele"/>
        <w:spacing w:before="60" w:after="0"/>
        <w:ind w:left="714" w:hanging="357"/>
        <w:rPr>
          <w:rFonts w:ascii="Constantia" w:hAnsi="Constantia"/>
          <w:sz w:val="22"/>
          <w:szCs w:val="22"/>
        </w:rPr>
      </w:pPr>
      <w:r>
        <w:rPr>
          <w:rFonts w:ascii="Constantia" w:hAnsi="Constantia"/>
          <w:sz w:val="22"/>
          <w:szCs w:val="22"/>
        </w:rPr>
        <w:t xml:space="preserve"> </w:t>
      </w:r>
      <w:r w:rsidR="004B071C" w:rsidRPr="005C1D25">
        <w:rPr>
          <w:rFonts w:ascii="Constantia" w:hAnsi="Constantia"/>
          <w:sz w:val="22"/>
          <w:szCs w:val="22"/>
        </w:rPr>
        <w:t>Herpetofauna</w:t>
      </w:r>
    </w:p>
    <w:p w:rsidR="005C1D25" w:rsidRDefault="005C1D25" w:rsidP="005C1D25">
      <w:pPr>
        <w:pStyle w:val="Tabele"/>
        <w:numPr>
          <w:ilvl w:val="0"/>
          <w:numId w:val="0"/>
        </w:numPr>
        <w:spacing w:before="60" w:after="0"/>
        <w:ind w:left="714"/>
        <w:jc w:val="both"/>
        <w:rPr>
          <w:rFonts w:ascii="Constantia" w:hAnsi="Constantia"/>
          <w:sz w:val="22"/>
          <w:szCs w:val="22"/>
        </w:rPr>
      </w:pPr>
    </w:p>
    <w:p w:rsidR="0014587B" w:rsidRPr="005C1D25" w:rsidRDefault="0014587B" w:rsidP="0014587B">
      <w:pPr>
        <w:pStyle w:val="Tabele"/>
        <w:numPr>
          <w:ilvl w:val="0"/>
          <w:numId w:val="0"/>
        </w:numPr>
        <w:spacing w:before="0" w:after="0"/>
        <w:ind w:left="714"/>
        <w:jc w:val="both"/>
        <w:rPr>
          <w:rFonts w:ascii="Constantia" w:hAnsi="Constantia"/>
          <w:sz w:val="22"/>
          <w:szCs w:val="22"/>
        </w:rPr>
      </w:pPr>
    </w:p>
    <w:p w:rsidR="004B071C" w:rsidRPr="00F41D69" w:rsidRDefault="004B071C" w:rsidP="00F41D69">
      <w:pPr>
        <w:pStyle w:val="Heading4"/>
        <w:rPr>
          <w:sz w:val="22"/>
          <w:szCs w:val="22"/>
          <w:lang w:val="sr-Latn-CS"/>
        </w:rPr>
      </w:pPr>
      <w:r w:rsidRPr="00F41D69">
        <w:rPr>
          <w:sz w:val="22"/>
          <w:szCs w:val="22"/>
          <w:lang w:val="sr-Latn-CS"/>
        </w:rPr>
        <w:t>Sisari (Mammalia)</w:t>
      </w:r>
    </w:p>
    <w:p w:rsidR="004B071C" w:rsidRPr="00EA05D6" w:rsidRDefault="004B071C" w:rsidP="00F41D69">
      <w:pPr>
        <w:spacing w:before="60" w:after="0"/>
        <w:rPr>
          <w:szCs w:val="22"/>
          <w:lang w:val="sr-Latn-CS"/>
        </w:rPr>
      </w:pPr>
    </w:p>
    <w:tbl>
      <w:tblPr>
        <w:tblW w:w="8910" w:type="dxa"/>
        <w:tblInd w:w="108"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firstRow="1" w:lastRow="0" w:firstColumn="1" w:lastColumn="0" w:noHBand="0" w:noVBand="1"/>
      </w:tblPr>
      <w:tblGrid>
        <w:gridCol w:w="2790"/>
        <w:gridCol w:w="6120"/>
      </w:tblGrid>
      <w:tr w:rsidR="004B071C" w:rsidRPr="0014587B" w:rsidTr="00F41D69">
        <w:tc>
          <w:tcPr>
            <w:tcW w:w="2790" w:type="dxa"/>
            <w:shd w:val="clear" w:color="auto" w:fill="E6EED5"/>
          </w:tcPr>
          <w:p w:rsidR="004B071C" w:rsidRPr="0014587B" w:rsidRDefault="004B071C" w:rsidP="004E680E">
            <w:pPr>
              <w:spacing w:after="0"/>
              <w:jc w:val="left"/>
              <w:rPr>
                <w:rFonts w:ascii="Constantia" w:hAnsi="Constantia" w:cs="Arial"/>
                <w:b/>
                <w:bCs/>
                <w:color w:val="000000"/>
                <w:szCs w:val="22"/>
              </w:rPr>
            </w:pPr>
            <w:r w:rsidRPr="0014587B">
              <w:rPr>
                <w:rFonts w:ascii="Constantia" w:hAnsi="Constantia" w:cs="Arial"/>
                <w:b/>
                <w:bCs/>
                <w:color w:val="000000"/>
                <w:szCs w:val="22"/>
              </w:rPr>
              <w:t>Lokacija</w:t>
            </w:r>
          </w:p>
        </w:tc>
        <w:tc>
          <w:tcPr>
            <w:tcW w:w="6120" w:type="dxa"/>
            <w:shd w:val="clear" w:color="auto" w:fill="E6EED5"/>
          </w:tcPr>
          <w:p w:rsidR="004B071C" w:rsidRPr="0014587B" w:rsidRDefault="004B071C" w:rsidP="004E680E">
            <w:pPr>
              <w:jc w:val="left"/>
              <w:rPr>
                <w:rFonts w:ascii="Constantia" w:hAnsi="Constantia" w:cs="Arial"/>
                <w:b/>
                <w:bCs/>
                <w:color w:val="000000"/>
                <w:szCs w:val="22"/>
              </w:rPr>
            </w:pPr>
            <w:r w:rsidRPr="0014587B">
              <w:rPr>
                <w:rFonts w:ascii="Constantia" w:hAnsi="Constantia" w:cs="Arial"/>
                <w:b/>
                <w:bCs/>
                <w:color w:val="000000"/>
                <w:szCs w:val="22"/>
              </w:rPr>
              <w:t xml:space="preserve">Registrovane vrste </w:t>
            </w:r>
          </w:p>
        </w:tc>
      </w:tr>
      <w:tr w:rsidR="004B071C" w:rsidRPr="0014587B" w:rsidTr="00F41D69">
        <w:tc>
          <w:tcPr>
            <w:tcW w:w="2790" w:type="dxa"/>
            <w:shd w:val="clear" w:color="auto" w:fill="CDDDAC"/>
          </w:tcPr>
          <w:p w:rsidR="004B071C" w:rsidRPr="0014587B" w:rsidRDefault="004B071C" w:rsidP="004E680E">
            <w:pPr>
              <w:spacing w:after="0"/>
              <w:jc w:val="left"/>
              <w:rPr>
                <w:rFonts w:ascii="Constantia" w:hAnsi="Constantia" w:cs="Arial"/>
                <w:b/>
                <w:bCs/>
                <w:color w:val="000000"/>
                <w:szCs w:val="22"/>
              </w:rPr>
            </w:pPr>
            <w:r w:rsidRPr="0014587B">
              <w:rPr>
                <w:rFonts w:ascii="Constantia" w:hAnsi="Constantia" w:cs="Arial"/>
                <w:b/>
                <w:bCs/>
                <w:color w:val="000000"/>
                <w:szCs w:val="22"/>
              </w:rPr>
              <w:t>Kanjon rijeke Mrtvice</w:t>
            </w:r>
          </w:p>
        </w:tc>
        <w:tc>
          <w:tcPr>
            <w:tcW w:w="6120" w:type="dxa"/>
            <w:shd w:val="clear" w:color="auto" w:fill="CDDDAC"/>
          </w:tcPr>
          <w:p w:rsidR="004B071C" w:rsidRPr="0014587B" w:rsidRDefault="004B071C" w:rsidP="004E680E">
            <w:pPr>
              <w:spacing w:after="0"/>
              <w:rPr>
                <w:rFonts w:ascii="Constantia" w:hAnsi="Constantia" w:cs="Arial"/>
                <w:bCs/>
                <w:i/>
                <w:color w:val="000000"/>
                <w:szCs w:val="22"/>
              </w:rPr>
            </w:pPr>
            <w:r w:rsidRPr="0014587B">
              <w:rPr>
                <w:rFonts w:ascii="Constantia" w:hAnsi="Constantia" w:cs="Arial"/>
                <w:bCs/>
                <w:color w:val="000000"/>
                <w:szCs w:val="22"/>
              </w:rPr>
              <w:t>Divokoza</w:t>
            </w:r>
            <w:r w:rsidRPr="0014587B">
              <w:rPr>
                <w:rFonts w:ascii="Constantia" w:hAnsi="Constantia" w:cs="Arial"/>
                <w:bCs/>
                <w:i/>
                <w:color w:val="000000"/>
                <w:szCs w:val="22"/>
              </w:rPr>
              <w:t xml:space="preserve"> (Rupicarpa rupicarpa), </w:t>
            </w:r>
          </w:p>
          <w:p w:rsidR="004B071C" w:rsidRPr="0014587B" w:rsidRDefault="004B071C" w:rsidP="004E680E">
            <w:pPr>
              <w:spacing w:after="0"/>
              <w:rPr>
                <w:rFonts w:ascii="Constantia" w:hAnsi="Constantia" w:cs="Arial"/>
                <w:bCs/>
                <w:i/>
                <w:color w:val="000000"/>
                <w:szCs w:val="22"/>
              </w:rPr>
            </w:pPr>
            <w:r w:rsidRPr="0014587B">
              <w:rPr>
                <w:rFonts w:ascii="Constantia" w:hAnsi="Constantia" w:cs="Arial"/>
                <w:bCs/>
                <w:color w:val="000000"/>
                <w:szCs w:val="22"/>
              </w:rPr>
              <w:t xml:space="preserve">Srna </w:t>
            </w:r>
            <w:r w:rsidRPr="0014587B">
              <w:rPr>
                <w:rFonts w:ascii="Constantia" w:hAnsi="Constantia" w:cs="Arial"/>
                <w:bCs/>
                <w:i/>
                <w:color w:val="000000"/>
                <w:szCs w:val="22"/>
              </w:rPr>
              <w:t>(Capreolus capreolus),</w:t>
            </w:r>
          </w:p>
          <w:p w:rsidR="004B071C" w:rsidRPr="0014587B" w:rsidRDefault="004B071C" w:rsidP="004E680E">
            <w:pPr>
              <w:spacing w:after="0"/>
              <w:rPr>
                <w:rFonts w:ascii="Constantia" w:hAnsi="Constantia" w:cs="Arial"/>
                <w:bCs/>
                <w:i/>
                <w:color w:val="000000"/>
                <w:szCs w:val="22"/>
              </w:rPr>
            </w:pPr>
            <w:r w:rsidRPr="0014587B">
              <w:rPr>
                <w:rFonts w:ascii="Constantia" w:hAnsi="Constantia" w:cs="Arial"/>
                <w:bCs/>
                <w:color w:val="000000"/>
                <w:szCs w:val="22"/>
              </w:rPr>
              <w:t>Divlja svinja</w:t>
            </w:r>
            <w:r w:rsidRPr="0014587B">
              <w:rPr>
                <w:rFonts w:ascii="Constantia" w:hAnsi="Constantia" w:cs="Arial"/>
                <w:bCs/>
                <w:i/>
                <w:color w:val="000000"/>
                <w:szCs w:val="22"/>
              </w:rPr>
              <w:t xml:space="preserve"> (Sus scrofa), </w:t>
            </w:r>
          </w:p>
          <w:p w:rsidR="004B071C" w:rsidRPr="0014587B" w:rsidRDefault="004B071C" w:rsidP="004E680E">
            <w:pPr>
              <w:spacing w:after="0"/>
              <w:rPr>
                <w:rFonts w:ascii="Constantia" w:hAnsi="Constantia" w:cs="Arial"/>
                <w:bCs/>
                <w:i/>
                <w:color w:val="000000"/>
                <w:szCs w:val="22"/>
              </w:rPr>
            </w:pPr>
            <w:r w:rsidRPr="0014587B">
              <w:rPr>
                <w:rFonts w:ascii="Constantia" w:hAnsi="Constantia" w:cs="Arial"/>
                <w:bCs/>
                <w:color w:val="000000"/>
                <w:szCs w:val="22"/>
              </w:rPr>
              <w:t>Zec</w:t>
            </w:r>
            <w:r w:rsidRPr="0014587B">
              <w:rPr>
                <w:rFonts w:ascii="Constantia" w:hAnsi="Constantia" w:cs="Arial"/>
                <w:bCs/>
                <w:i/>
                <w:color w:val="000000"/>
                <w:szCs w:val="22"/>
              </w:rPr>
              <w:t xml:space="preserve"> (Lepus europeus), </w:t>
            </w:r>
            <w:r w:rsidR="00F41D69" w:rsidRPr="0014587B">
              <w:rPr>
                <w:rFonts w:ascii="Constantia" w:hAnsi="Constantia" w:cs="Arial"/>
                <w:bCs/>
                <w:color w:val="000000"/>
                <w:szCs w:val="22"/>
              </w:rPr>
              <w:t>medv</w:t>
            </w:r>
            <w:r w:rsidRPr="0014587B">
              <w:rPr>
                <w:rFonts w:ascii="Constantia" w:hAnsi="Constantia" w:cs="Arial"/>
                <w:bCs/>
                <w:color w:val="000000"/>
                <w:szCs w:val="22"/>
              </w:rPr>
              <w:t>ed</w:t>
            </w:r>
            <w:r w:rsidRPr="0014587B">
              <w:rPr>
                <w:rFonts w:ascii="Constantia" w:hAnsi="Constantia" w:cs="Arial"/>
                <w:bCs/>
                <w:i/>
                <w:color w:val="000000"/>
                <w:szCs w:val="22"/>
              </w:rPr>
              <w:t xml:space="preserve"> (Ursus arctos) ,</w:t>
            </w:r>
          </w:p>
          <w:p w:rsidR="004B071C" w:rsidRPr="0014587B" w:rsidRDefault="004B071C" w:rsidP="004E680E">
            <w:pPr>
              <w:spacing w:after="0"/>
              <w:rPr>
                <w:rFonts w:ascii="Constantia" w:hAnsi="Constantia" w:cs="Arial"/>
                <w:bCs/>
                <w:i/>
                <w:color w:val="000000"/>
                <w:szCs w:val="22"/>
              </w:rPr>
            </w:pPr>
            <w:r w:rsidRPr="0014587B">
              <w:rPr>
                <w:rFonts w:ascii="Constantia" w:hAnsi="Constantia" w:cs="Arial"/>
                <w:bCs/>
                <w:color w:val="000000"/>
                <w:szCs w:val="22"/>
              </w:rPr>
              <w:t>Vuk</w:t>
            </w:r>
            <w:r w:rsidRPr="0014587B">
              <w:rPr>
                <w:rFonts w:ascii="Constantia" w:hAnsi="Constantia" w:cs="Arial"/>
                <w:bCs/>
                <w:i/>
                <w:color w:val="000000"/>
                <w:szCs w:val="22"/>
              </w:rPr>
              <w:t xml:space="preserve"> (Canis lupus),</w:t>
            </w:r>
          </w:p>
          <w:p w:rsidR="004B071C" w:rsidRPr="0014587B" w:rsidRDefault="004B071C" w:rsidP="004E680E">
            <w:pPr>
              <w:spacing w:after="0"/>
              <w:rPr>
                <w:rFonts w:ascii="Constantia" w:hAnsi="Constantia" w:cs="Arial"/>
                <w:bCs/>
                <w:i/>
                <w:color w:val="000000"/>
                <w:szCs w:val="22"/>
              </w:rPr>
            </w:pPr>
            <w:r w:rsidRPr="0014587B">
              <w:rPr>
                <w:rFonts w:ascii="Constantia" w:hAnsi="Constantia" w:cs="Arial"/>
                <w:bCs/>
                <w:color w:val="000000"/>
                <w:szCs w:val="22"/>
              </w:rPr>
              <w:t>Lisica</w:t>
            </w:r>
            <w:r w:rsidRPr="0014587B">
              <w:rPr>
                <w:rFonts w:ascii="Constantia" w:hAnsi="Constantia" w:cs="Arial"/>
                <w:bCs/>
                <w:i/>
                <w:color w:val="000000"/>
                <w:szCs w:val="22"/>
              </w:rPr>
              <w:t xml:space="preserve"> (Vulpes vulpes)</w:t>
            </w:r>
          </w:p>
          <w:p w:rsidR="004B071C" w:rsidRPr="0014587B" w:rsidRDefault="004B071C" w:rsidP="004E680E">
            <w:pPr>
              <w:spacing w:after="0"/>
              <w:rPr>
                <w:rFonts w:ascii="Constantia" w:hAnsi="Constantia" w:cs="Arial"/>
                <w:bCs/>
                <w:i/>
                <w:color w:val="000000"/>
                <w:szCs w:val="22"/>
              </w:rPr>
            </w:pPr>
            <w:r w:rsidRPr="0014587B">
              <w:rPr>
                <w:rFonts w:ascii="Constantia" w:hAnsi="Constantia" w:cs="Arial"/>
                <w:bCs/>
                <w:color w:val="000000"/>
                <w:szCs w:val="22"/>
              </w:rPr>
              <w:t>Kuna</w:t>
            </w:r>
            <w:r w:rsidRPr="0014587B">
              <w:rPr>
                <w:rFonts w:ascii="Constantia" w:hAnsi="Constantia" w:cs="Arial"/>
                <w:bCs/>
                <w:i/>
                <w:color w:val="000000"/>
                <w:szCs w:val="22"/>
              </w:rPr>
              <w:t xml:space="preserve"> (Martes sp.),</w:t>
            </w:r>
          </w:p>
          <w:p w:rsidR="004B071C" w:rsidRPr="0014587B" w:rsidRDefault="004B071C" w:rsidP="004E680E">
            <w:pPr>
              <w:spacing w:after="0"/>
              <w:rPr>
                <w:rFonts w:ascii="Constantia" w:hAnsi="Constantia" w:cs="Arial"/>
                <w:bCs/>
                <w:i/>
                <w:color w:val="000000"/>
                <w:szCs w:val="22"/>
              </w:rPr>
            </w:pPr>
            <w:r w:rsidRPr="0014587B">
              <w:rPr>
                <w:rFonts w:ascii="Constantia" w:hAnsi="Constantia" w:cs="Arial"/>
                <w:bCs/>
                <w:color w:val="000000"/>
                <w:szCs w:val="22"/>
              </w:rPr>
              <w:t xml:space="preserve">Puh </w:t>
            </w:r>
            <w:r w:rsidRPr="0014587B">
              <w:rPr>
                <w:rFonts w:ascii="Constantia" w:hAnsi="Constantia" w:cs="Arial"/>
                <w:bCs/>
                <w:i/>
                <w:color w:val="000000"/>
                <w:szCs w:val="22"/>
              </w:rPr>
              <w:t>(Glis glis),</w:t>
            </w:r>
          </w:p>
          <w:p w:rsidR="004B071C" w:rsidRPr="0014587B" w:rsidRDefault="004B071C" w:rsidP="004E680E">
            <w:pPr>
              <w:spacing w:after="0"/>
              <w:rPr>
                <w:rFonts w:ascii="Constantia" w:hAnsi="Constantia" w:cs="Arial"/>
                <w:bCs/>
                <w:i/>
                <w:color w:val="000000"/>
                <w:szCs w:val="22"/>
              </w:rPr>
            </w:pPr>
            <w:r w:rsidRPr="0014587B">
              <w:rPr>
                <w:rFonts w:ascii="Constantia" w:hAnsi="Constantia" w:cs="Arial"/>
                <w:bCs/>
                <w:color w:val="000000"/>
                <w:szCs w:val="22"/>
              </w:rPr>
              <w:t>Vjeverica</w:t>
            </w:r>
            <w:r w:rsidRPr="0014587B">
              <w:rPr>
                <w:rFonts w:ascii="Constantia" w:hAnsi="Constantia" w:cs="Arial"/>
                <w:bCs/>
                <w:i/>
                <w:color w:val="000000"/>
                <w:szCs w:val="22"/>
              </w:rPr>
              <w:t xml:space="preserve"> (Sciurus vulgaris),</w:t>
            </w:r>
          </w:p>
          <w:p w:rsidR="004B071C" w:rsidRPr="0014587B" w:rsidRDefault="004B071C" w:rsidP="004E680E">
            <w:pPr>
              <w:spacing w:after="0"/>
              <w:rPr>
                <w:rFonts w:ascii="Constantia" w:hAnsi="Constantia" w:cs="Arial"/>
                <w:bCs/>
                <w:i/>
                <w:color w:val="000000"/>
                <w:szCs w:val="22"/>
              </w:rPr>
            </w:pPr>
            <w:r w:rsidRPr="0014587B">
              <w:rPr>
                <w:rFonts w:ascii="Constantia" w:hAnsi="Constantia" w:cs="Arial"/>
                <w:bCs/>
                <w:color w:val="000000"/>
                <w:szCs w:val="22"/>
              </w:rPr>
              <w:t>Lasica</w:t>
            </w:r>
            <w:r w:rsidRPr="0014587B">
              <w:rPr>
                <w:rFonts w:ascii="Constantia" w:hAnsi="Constantia" w:cs="Arial"/>
                <w:bCs/>
                <w:i/>
                <w:color w:val="000000"/>
                <w:szCs w:val="22"/>
              </w:rPr>
              <w:t xml:space="preserve"> (Mustela sp.),</w:t>
            </w:r>
          </w:p>
          <w:p w:rsidR="004B071C" w:rsidRPr="0014587B" w:rsidRDefault="004B071C" w:rsidP="004E680E">
            <w:pPr>
              <w:spacing w:after="0"/>
              <w:rPr>
                <w:rFonts w:ascii="Constantia" w:hAnsi="Constantia" w:cs="Arial"/>
                <w:bCs/>
                <w:i/>
                <w:color w:val="000000"/>
                <w:szCs w:val="22"/>
              </w:rPr>
            </w:pPr>
            <w:r w:rsidRPr="0014587B">
              <w:rPr>
                <w:rFonts w:ascii="Constantia" w:hAnsi="Constantia" w:cs="Arial"/>
                <w:bCs/>
                <w:color w:val="000000"/>
                <w:szCs w:val="22"/>
              </w:rPr>
              <w:t>Vidra</w:t>
            </w:r>
            <w:r w:rsidRPr="0014587B">
              <w:rPr>
                <w:rFonts w:ascii="Constantia" w:hAnsi="Constantia" w:cs="Arial"/>
                <w:bCs/>
                <w:i/>
                <w:color w:val="000000"/>
                <w:szCs w:val="22"/>
              </w:rPr>
              <w:t xml:space="preserve"> (Lutra lutra)</w:t>
            </w:r>
            <w:r w:rsidR="00F41D69" w:rsidRPr="0014587B">
              <w:rPr>
                <w:rFonts w:ascii="Constantia" w:hAnsi="Constantia" w:cs="Arial"/>
                <w:bCs/>
                <w:i/>
                <w:color w:val="000000"/>
                <w:szCs w:val="22"/>
              </w:rPr>
              <w:t>.</w:t>
            </w:r>
          </w:p>
        </w:tc>
      </w:tr>
    </w:tbl>
    <w:p w:rsidR="004B071C" w:rsidRDefault="006930D7" w:rsidP="004B071C">
      <w:pPr>
        <w:pStyle w:val="Tabele"/>
        <w:spacing w:before="60" w:after="240"/>
        <w:ind w:left="714" w:hanging="357"/>
        <w:rPr>
          <w:rFonts w:ascii="Constantia" w:hAnsi="Constantia"/>
          <w:sz w:val="22"/>
          <w:szCs w:val="22"/>
        </w:rPr>
      </w:pPr>
      <w:r>
        <w:rPr>
          <w:rFonts w:ascii="Constantia" w:hAnsi="Constantia"/>
          <w:sz w:val="22"/>
          <w:szCs w:val="22"/>
        </w:rPr>
        <w:t xml:space="preserve"> </w:t>
      </w:r>
      <w:r w:rsidR="004B071C" w:rsidRPr="00F41D69">
        <w:rPr>
          <w:rFonts w:ascii="Constantia" w:hAnsi="Constantia"/>
          <w:sz w:val="22"/>
          <w:szCs w:val="22"/>
        </w:rPr>
        <w:t>Sisari</w:t>
      </w:r>
    </w:p>
    <w:p w:rsidR="00F41D69" w:rsidRPr="00F41D69" w:rsidRDefault="00F41D69" w:rsidP="00F41D69">
      <w:pPr>
        <w:pStyle w:val="Tabele"/>
        <w:numPr>
          <w:ilvl w:val="0"/>
          <w:numId w:val="0"/>
        </w:numPr>
        <w:spacing w:before="0" w:after="0"/>
        <w:ind w:left="714"/>
        <w:jc w:val="both"/>
        <w:rPr>
          <w:rFonts w:ascii="Constantia" w:hAnsi="Constantia"/>
          <w:sz w:val="22"/>
          <w:szCs w:val="22"/>
        </w:rPr>
      </w:pPr>
    </w:p>
    <w:p w:rsidR="004B071C" w:rsidRDefault="00F41D69" w:rsidP="00F41D69">
      <w:pPr>
        <w:pStyle w:val="Heading3"/>
        <w:spacing w:before="0"/>
      </w:pPr>
      <w:bookmarkStart w:id="143" w:name="_Toc393897925"/>
      <w:r>
        <w:t xml:space="preserve">6.3.4    </w:t>
      </w:r>
      <w:r w:rsidR="004B071C" w:rsidRPr="00F41D69">
        <w:rPr>
          <w:szCs w:val="22"/>
        </w:rPr>
        <w:t>Rijeka</w:t>
      </w:r>
      <w:r w:rsidR="004B071C">
        <w:t xml:space="preserve"> Lim sa pritokama</w:t>
      </w:r>
      <w:bookmarkEnd w:id="143"/>
    </w:p>
    <w:p w:rsidR="004B071C" w:rsidRDefault="004B071C" w:rsidP="00F41D69">
      <w:pPr>
        <w:spacing w:before="60" w:after="0"/>
        <w:rPr>
          <w:i/>
          <w:szCs w:val="22"/>
          <w:lang w:val="sr-Latn-CS"/>
        </w:rPr>
      </w:pPr>
    </w:p>
    <w:p w:rsidR="004B071C" w:rsidRPr="00F41D69" w:rsidRDefault="00F41D69" w:rsidP="00F41D69">
      <w:pPr>
        <w:pStyle w:val="Heading4"/>
        <w:numPr>
          <w:ilvl w:val="0"/>
          <w:numId w:val="0"/>
        </w:numPr>
        <w:ind w:left="1134" w:hanging="1134"/>
        <w:rPr>
          <w:sz w:val="22"/>
          <w:szCs w:val="22"/>
          <w:lang w:val="sr-Latn-CS"/>
        </w:rPr>
      </w:pPr>
      <w:r w:rsidRPr="00F41D69">
        <w:rPr>
          <w:sz w:val="22"/>
          <w:szCs w:val="22"/>
          <w:lang w:val="sr-Latn-CS"/>
        </w:rPr>
        <w:t xml:space="preserve">6.3.4.1   </w:t>
      </w:r>
      <w:r w:rsidR="004B071C" w:rsidRPr="00F41D69">
        <w:rPr>
          <w:sz w:val="22"/>
          <w:szCs w:val="22"/>
        </w:rPr>
        <w:t>Flora</w:t>
      </w:r>
    </w:p>
    <w:p w:rsidR="004B071C" w:rsidRPr="002E3A97" w:rsidRDefault="004B071C" w:rsidP="00F41D69">
      <w:pPr>
        <w:spacing w:after="0"/>
        <w:rPr>
          <w:szCs w:val="22"/>
          <w:lang w:val="sr-Latn-CS"/>
        </w:rPr>
      </w:pPr>
    </w:p>
    <w:tbl>
      <w:tblPr>
        <w:tblW w:w="8910" w:type="dxa"/>
        <w:tblInd w:w="108"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firstRow="1" w:lastRow="0" w:firstColumn="1" w:lastColumn="0" w:noHBand="0" w:noVBand="1"/>
      </w:tblPr>
      <w:tblGrid>
        <w:gridCol w:w="2802"/>
        <w:gridCol w:w="1849"/>
        <w:gridCol w:w="2319"/>
        <w:gridCol w:w="1940"/>
      </w:tblGrid>
      <w:tr w:rsidR="004B071C" w:rsidRPr="005B6B15" w:rsidTr="00F41D69">
        <w:tc>
          <w:tcPr>
            <w:tcW w:w="2802" w:type="dxa"/>
            <w:shd w:val="clear" w:color="auto" w:fill="E6EED5"/>
          </w:tcPr>
          <w:p w:rsidR="004B071C" w:rsidRPr="005B6B15" w:rsidRDefault="004B071C" w:rsidP="00F41D69">
            <w:pPr>
              <w:jc w:val="center"/>
              <w:rPr>
                <w:rFonts w:ascii="Constantia" w:hAnsi="Constantia"/>
                <w:b/>
                <w:bCs/>
                <w:szCs w:val="22"/>
              </w:rPr>
            </w:pPr>
            <w:r w:rsidRPr="005B6B15">
              <w:rPr>
                <w:rFonts w:ascii="Constantia" w:hAnsi="Constantia"/>
                <w:b/>
                <w:bCs/>
                <w:szCs w:val="22"/>
              </w:rPr>
              <w:t>Lokalitet</w:t>
            </w:r>
          </w:p>
        </w:tc>
        <w:tc>
          <w:tcPr>
            <w:tcW w:w="1849" w:type="dxa"/>
            <w:shd w:val="clear" w:color="auto" w:fill="E6EED5"/>
          </w:tcPr>
          <w:p w:rsidR="004B071C" w:rsidRPr="005B6B15" w:rsidRDefault="004B071C" w:rsidP="00F41D69">
            <w:pPr>
              <w:jc w:val="center"/>
              <w:rPr>
                <w:rFonts w:ascii="Constantia" w:hAnsi="Constantia"/>
                <w:b/>
                <w:bCs/>
                <w:szCs w:val="22"/>
              </w:rPr>
            </w:pPr>
            <w:r w:rsidRPr="005B6B15">
              <w:rPr>
                <w:rFonts w:ascii="Constantia" w:hAnsi="Constantia"/>
                <w:b/>
                <w:bCs/>
                <w:szCs w:val="22"/>
              </w:rPr>
              <w:t>Koordinate</w:t>
            </w:r>
          </w:p>
        </w:tc>
        <w:tc>
          <w:tcPr>
            <w:tcW w:w="2319" w:type="dxa"/>
            <w:shd w:val="clear" w:color="auto" w:fill="E6EED5"/>
          </w:tcPr>
          <w:p w:rsidR="004B071C" w:rsidRPr="005B6B15" w:rsidRDefault="004B071C" w:rsidP="00762CD8">
            <w:pPr>
              <w:spacing w:after="0"/>
              <w:jc w:val="center"/>
              <w:outlineLvl w:val="3"/>
              <w:rPr>
                <w:rFonts w:ascii="Constantia" w:hAnsi="Constantia"/>
                <w:b/>
                <w:bCs/>
                <w:szCs w:val="22"/>
              </w:rPr>
            </w:pPr>
            <w:r w:rsidRPr="005B6B15">
              <w:rPr>
                <w:rFonts w:ascii="Constantia" w:hAnsi="Constantia"/>
                <w:b/>
                <w:bCs/>
                <w:szCs w:val="22"/>
              </w:rPr>
              <w:t>Datum terenskih istraživanja</w:t>
            </w:r>
          </w:p>
        </w:tc>
        <w:tc>
          <w:tcPr>
            <w:tcW w:w="1940" w:type="dxa"/>
            <w:shd w:val="clear" w:color="auto" w:fill="E6EED5"/>
          </w:tcPr>
          <w:p w:rsidR="004B071C" w:rsidRPr="005B6B15" w:rsidRDefault="004B071C" w:rsidP="00F41D69">
            <w:pPr>
              <w:spacing w:after="0" w:line="280" w:lineRule="exact"/>
              <w:jc w:val="center"/>
              <w:outlineLvl w:val="3"/>
              <w:rPr>
                <w:rFonts w:ascii="Constantia" w:hAnsi="Constantia"/>
                <w:b/>
                <w:bCs/>
                <w:szCs w:val="22"/>
              </w:rPr>
            </w:pPr>
            <w:r w:rsidRPr="005B6B15">
              <w:rPr>
                <w:rFonts w:ascii="Constantia" w:hAnsi="Constantia"/>
                <w:b/>
                <w:bCs/>
                <w:szCs w:val="22"/>
              </w:rPr>
              <w:t>Nadmorska visina</w:t>
            </w:r>
          </w:p>
        </w:tc>
      </w:tr>
      <w:tr w:rsidR="004B071C" w:rsidRPr="005B6B15" w:rsidTr="00F41D69">
        <w:tc>
          <w:tcPr>
            <w:tcW w:w="2802" w:type="dxa"/>
            <w:shd w:val="clear" w:color="auto" w:fill="CDDDAC"/>
          </w:tcPr>
          <w:p w:rsidR="004B071C" w:rsidRPr="005B6B15" w:rsidRDefault="004B071C" w:rsidP="004E680E">
            <w:pPr>
              <w:rPr>
                <w:rFonts w:ascii="Constantia" w:hAnsi="Constantia"/>
                <w:b/>
                <w:bCs/>
                <w:szCs w:val="22"/>
              </w:rPr>
            </w:pPr>
            <w:r w:rsidRPr="005B6B15">
              <w:rPr>
                <w:rFonts w:ascii="Constantia" w:hAnsi="Constantia"/>
                <w:b/>
                <w:szCs w:val="22"/>
              </w:rPr>
              <w:t>Murinska rijeka</w:t>
            </w:r>
          </w:p>
        </w:tc>
        <w:tc>
          <w:tcPr>
            <w:tcW w:w="1849" w:type="dxa"/>
            <w:shd w:val="clear" w:color="auto" w:fill="CDDDAC"/>
          </w:tcPr>
          <w:p w:rsidR="004B071C" w:rsidRPr="005B6B15" w:rsidRDefault="004B071C" w:rsidP="00F41D69">
            <w:pPr>
              <w:jc w:val="center"/>
              <w:rPr>
                <w:rFonts w:ascii="Constantia" w:hAnsi="Constantia"/>
                <w:szCs w:val="22"/>
              </w:rPr>
            </w:pPr>
            <w:r w:rsidRPr="005B6B15">
              <w:rPr>
                <w:rFonts w:ascii="Constantia" w:hAnsi="Constantia"/>
                <w:szCs w:val="22"/>
              </w:rPr>
              <w:t>N 42</w:t>
            </w:r>
            <w:r w:rsidRPr="005B6B15">
              <w:rPr>
                <w:rFonts w:ascii="Constantia" w:hAnsi="Constantia"/>
                <w:szCs w:val="22"/>
                <w:vertAlign w:val="superscript"/>
              </w:rPr>
              <w:t>0</w:t>
            </w:r>
            <w:r w:rsidRPr="005B6B15">
              <w:rPr>
                <w:rFonts w:ascii="Constantia" w:hAnsi="Constantia"/>
                <w:szCs w:val="22"/>
              </w:rPr>
              <w:t xml:space="preserve"> 38 458</w:t>
            </w:r>
          </w:p>
          <w:p w:rsidR="004B071C" w:rsidRPr="005B6B15" w:rsidRDefault="004B071C" w:rsidP="00F41D69">
            <w:pPr>
              <w:jc w:val="center"/>
              <w:rPr>
                <w:rFonts w:ascii="Constantia" w:hAnsi="Constantia"/>
                <w:b/>
                <w:bCs/>
                <w:szCs w:val="22"/>
              </w:rPr>
            </w:pPr>
            <w:r w:rsidRPr="005B6B15">
              <w:rPr>
                <w:rFonts w:ascii="Constantia" w:hAnsi="Constantia"/>
                <w:szCs w:val="22"/>
              </w:rPr>
              <w:t>E 019</w:t>
            </w:r>
            <w:r w:rsidRPr="005B6B15">
              <w:rPr>
                <w:rFonts w:ascii="Constantia" w:hAnsi="Constantia"/>
                <w:szCs w:val="22"/>
                <w:vertAlign w:val="superscript"/>
              </w:rPr>
              <w:t>0</w:t>
            </w:r>
            <w:r w:rsidRPr="005B6B15">
              <w:rPr>
                <w:rFonts w:ascii="Constantia" w:hAnsi="Constantia"/>
                <w:szCs w:val="22"/>
              </w:rPr>
              <w:t xml:space="preserve"> 51 113</w:t>
            </w:r>
          </w:p>
        </w:tc>
        <w:tc>
          <w:tcPr>
            <w:tcW w:w="2319" w:type="dxa"/>
            <w:shd w:val="clear" w:color="auto" w:fill="CDDDAC"/>
          </w:tcPr>
          <w:p w:rsidR="004B071C" w:rsidRPr="005B6B15" w:rsidRDefault="004B071C" w:rsidP="00F41D69">
            <w:pPr>
              <w:jc w:val="center"/>
              <w:rPr>
                <w:rFonts w:ascii="Constantia" w:hAnsi="Constantia"/>
                <w:szCs w:val="22"/>
              </w:rPr>
            </w:pPr>
            <w:r w:rsidRPr="005B6B15">
              <w:rPr>
                <w:rFonts w:ascii="Constantia" w:hAnsi="Constantia"/>
                <w:szCs w:val="22"/>
                <w:lang w:val="sr-Latn-CS"/>
              </w:rPr>
              <w:t>03. 09. 2013.</w:t>
            </w:r>
          </w:p>
        </w:tc>
        <w:tc>
          <w:tcPr>
            <w:tcW w:w="1940" w:type="dxa"/>
            <w:shd w:val="clear" w:color="auto" w:fill="CDDDAC"/>
          </w:tcPr>
          <w:p w:rsidR="004B071C" w:rsidRPr="005B6B15" w:rsidRDefault="004B071C" w:rsidP="00F41D69">
            <w:pPr>
              <w:jc w:val="center"/>
              <w:rPr>
                <w:rFonts w:ascii="Constantia" w:hAnsi="Constantia"/>
                <w:szCs w:val="22"/>
              </w:rPr>
            </w:pPr>
            <w:r w:rsidRPr="005B6B15">
              <w:rPr>
                <w:rFonts w:ascii="Constantia" w:hAnsi="Constantia"/>
                <w:szCs w:val="22"/>
              </w:rPr>
              <w:t>955 m</w:t>
            </w:r>
          </w:p>
        </w:tc>
      </w:tr>
      <w:tr w:rsidR="004B071C" w:rsidRPr="005B6B15" w:rsidTr="00F41D69">
        <w:trPr>
          <w:trHeight w:val="596"/>
        </w:trPr>
        <w:tc>
          <w:tcPr>
            <w:tcW w:w="2802" w:type="dxa"/>
            <w:shd w:val="clear" w:color="auto" w:fill="E6EED5"/>
          </w:tcPr>
          <w:p w:rsidR="004B071C" w:rsidRPr="005B6B15" w:rsidRDefault="004B071C" w:rsidP="004E680E">
            <w:pPr>
              <w:rPr>
                <w:rFonts w:ascii="Constantia" w:hAnsi="Constantia"/>
                <w:b/>
                <w:bCs/>
                <w:szCs w:val="22"/>
              </w:rPr>
            </w:pPr>
            <w:r w:rsidRPr="005B6B15">
              <w:rPr>
                <w:rFonts w:ascii="Constantia" w:hAnsi="Constantia"/>
                <w:b/>
                <w:szCs w:val="22"/>
                <w:lang w:val="sr-Latn-CS"/>
              </w:rPr>
              <w:t>Kanjon Trepačke rijeke</w:t>
            </w:r>
          </w:p>
        </w:tc>
        <w:tc>
          <w:tcPr>
            <w:tcW w:w="1849" w:type="dxa"/>
            <w:shd w:val="clear" w:color="auto" w:fill="E6EED5"/>
          </w:tcPr>
          <w:p w:rsidR="004B071C" w:rsidRPr="005B6B15" w:rsidRDefault="004B071C" w:rsidP="00F41D69">
            <w:pPr>
              <w:jc w:val="center"/>
              <w:rPr>
                <w:rFonts w:ascii="Constantia" w:hAnsi="Constantia"/>
                <w:bCs/>
                <w:szCs w:val="22"/>
              </w:rPr>
            </w:pPr>
            <w:r w:rsidRPr="005B6B15">
              <w:rPr>
                <w:rFonts w:ascii="Constantia" w:hAnsi="Constantia"/>
                <w:bCs/>
                <w:szCs w:val="22"/>
              </w:rPr>
              <w:t>N 42</w:t>
            </w:r>
            <w:r w:rsidRPr="005B6B15">
              <w:rPr>
                <w:rFonts w:ascii="Constantia" w:hAnsi="Constantia"/>
                <w:bCs/>
                <w:szCs w:val="22"/>
                <w:vertAlign w:val="superscript"/>
              </w:rPr>
              <w:t>0</w:t>
            </w:r>
            <w:r w:rsidRPr="005B6B15">
              <w:rPr>
                <w:rFonts w:ascii="Constantia" w:hAnsi="Constantia"/>
                <w:bCs/>
                <w:szCs w:val="22"/>
              </w:rPr>
              <w:t xml:space="preserve"> 46 600</w:t>
            </w:r>
          </w:p>
          <w:p w:rsidR="004B071C" w:rsidRPr="005B6B15" w:rsidRDefault="004B071C" w:rsidP="00F41D69">
            <w:pPr>
              <w:jc w:val="center"/>
              <w:rPr>
                <w:rFonts w:ascii="Constantia" w:hAnsi="Constantia"/>
                <w:b/>
                <w:bCs/>
                <w:szCs w:val="22"/>
              </w:rPr>
            </w:pPr>
            <w:r w:rsidRPr="005B6B15">
              <w:rPr>
                <w:rFonts w:ascii="Constantia" w:hAnsi="Constantia"/>
                <w:bCs/>
                <w:szCs w:val="22"/>
              </w:rPr>
              <w:t>E 019</w:t>
            </w:r>
            <w:r w:rsidRPr="005B6B15">
              <w:rPr>
                <w:rFonts w:ascii="Constantia" w:hAnsi="Constantia"/>
                <w:bCs/>
                <w:szCs w:val="22"/>
                <w:vertAlign w:val="superscript"/>
              </w:rPr>
              <w:t>0</w:t>
            </w:r>
            <w:r w:rsidRPr="005B6B15">
              <w:rPr>
                <w:rFonts w:ascii="Constantia" w:hAnsi="Constantia"/>
                <w:bCs/>
                <w:szCs w:val="22"/>
              </w:rPr>
              <w:t xml:space="preserve"> 49 211</w:t>
            </w:r>
          </w:p>
        </w:tc>
        <w:tc>
          <w:tcPr>
            <w:tcW w:w="2319" w:type="dxa"/>
            <w:shd w:val="clear" w:color="auto" w:fill="E6EED5"/>
          </w:tcPr>
          <w:p w:rsidR="004B071C" w:rsidRPr="005B6B15" w:rsidRDefault="004B071C" w:rsidP="00F41D69">
            <w:pPr>
              <w:jc w:val="center"/>
              <w:rPr>
                <w:rFonts w:ascii="Constantia" w:hAnsi="Constantia"/>
                <w:szCs w:val="22"/>
              </w:rPr>
            </w:pPr>
            <w:r w:rsidRPr="005B6B15">
              <w:rPr>
                <w:rFonts w:ascii="Constantia" w:hAnsi="Constantia"/>
                <w:szCs w:val="22"/>
                <w:lang w:val="sr-Latn-CS"/>
              </w:rPr>
              <w:t>18. 09. 2013.</w:t>
            </w:r>
          </w:p>
        </w:tc>
        <w:tc>
          <w:tcPr>
            <w:tcW w:w="1940" w:type="dxa"/>
            <w:shd w:val="clear" w:color="auto" w:fill="E6EED5"/>
          </w:tcPr>
          <w:p w:rsidR="004B071C" w:rsidRPr="005B6B15" w:rsidRDefault="004B071C" w:rsidP="00F41D69">
            <w:pPr>
              <w:jc w:val="center"/>
              <w:rPr>
                <w:rFonts w:ascii="Constantia" w:hAnsi="Constantia"/>
                <w:szCs w:val="22"/>
              </w:rPr>
            </w:pPr>
            <w:r w:rsidRPr="005B6B15">
              <w:rPr>
                <w:rFonts w:ascii="Constantia" w:hAnsi="Constantia"/>
                <w:szCs w:val="22"/>
                <w:lang w:val="sr-Latn-CS"/>
              </w:rPr>
              <w:t>740 m</w:t>
            </w:r>
          </w:p>
        </w:tc>
      </w:tr>
    </w:tbl>
    <w:p w:rsidR="004B071C" w:rsidRPr="00F41D69" w:rsidRDefault="005B6B15" w:rsidP="004B071C">
      <w:pPr>
        <w:pStyle w:val="Tabele"/>
        <w:spacing w:before="60" w:after="240"/>
        <w:ind w:left="714" w:hanging="357"/>
        <w:rPr>
          <w:rFonts w:ascii="Constantia" w:hAnsi="Constantia"/>
          <w:sz w:val="22"/>
          <w:szCs w:val="22"/>
        </w:rPr>
      </w:pPr>
      <w:r>
        <w:rPr>
          <w:rFonts w:ascii="Constantia" w:hAnsi="Constantia"/>
          <w:sz w:val="22"/>
          <w:szCs w:val="22"/>
        </w:rPr>
        <w:t xml:space="preserve"> </w:t>
      </w:r>
      <w:r w:rsidR="004B071C" w:rsidRPr="00F41D69">
        <w:rPr>
          <w:rFonts w:ascii="Constantia" w:hAnsi="Constantia"/>
          <w:sz w:val="22"/>
          <w:szCs w:val="22"/>
        </w:rPr>
        <w:t>Opšti podaci o istraživanim lokalitetima za biljke</w:t>
      </w:r>
    </w:p>
    <w:p w:rsidR="00F41D69" w:rsidRPr="002E3A97" w:rsidRDefault="00F41D69" w:rsidP="00F41D69">
      <w:pPr>
        <w:pStyle w:val="Tabele"/>
        <w:numPr>
          <w:ilvl w:val="0"/>
          <w:numId w:val="0"/>
        </w:numPr>
        <w:spacing w:before="60" w:after="240"/>
        <w:ind w:left="714"/>
        <w:jc w:val="both"/>
      </w:pPr>
    </w:p>
    <w:tbl>
      <w:tblPr>
        <w:tblW w:w="8910" w:type="dxa"/>
        <w:tblInd w:w="108"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firstRow="1" w:lastRow="0" w:firstColumn="1" w:lastColumn="0" w:noHBand="0" w:noVBand="1"/>
      </w:tblPr>
      <w:tblGrid>
        <w:gridCol w:w="1800"/>
        <w:gridCol w:w="1350"/>
        <w:gridCol w:w="1170"/>
        <w:gridCol w:w="4590"/>
      </w:tblGrid>
      <w:tr w:rsidR="004B071C" w:rsidRPr="00633889" w:rsidTr="00633889">
        <w:tc>
          <w:tcPr>
            <w:tcW w:w="1800" w:type="dxa"/>
            <w:shd w:val="clear" w:color="auto" w:fill="E6EED5"/>
          </w:tcPr>
          <w:p w:rsidR="004B071C" w:rsidRPr="00633889" w:rsidRDefault="004B071C" w:rsidP="003D1F33">
            <w:pPr>
              <w:jc w:val="center"/>
              <w:rPr>
                <w:rFonts w:ascii="Constantia" w:hAnsi="Constantia"/>
                <w:b/>
                <w:bCs/>
                <w:iCs/>
                <w:color w:val="000000"/>
                <w:spacing w:val="8"/>
                <w:szCs w:val="22"/>
                <w:lang w:val="sr-Latn-CS"/>
              </w:rPr>
            </w:pPr>
            <w:r w:rsidRPr="00633889">
              <w:rPr>
                <w:rFonts w:ascii="Constantia" w:hAnsi="Constantia"/>
                <w:b/>
                <w:bCs/>
                <w:iCs/>
                <w:color w:val="000000"/>
                <w:spacing w:val="8"/>
                <w:szCs w:val="22"/>
                <w:lang w:val="sr-Latn-CS"/>
              </w:rPr>
              <w:t>Lokalitet</w:t>
            </w:r>
          </w:p>
        </w:tc>
        <w:tc>
          <w:tcPr>
            <w:tcW w:w="2520" w:type="dxa"/>
            <w:gridSpan w:val="2"/>
            <w:shd w:val="clear" w:color="auto" w:fill="E6EED5"/>
          </w:tcPr>
          <w:p w:rsidR="004B071C" w:rsidRPr="00633889" w:rsidRDefault="004B071C" w:rsidP="003D1F33">
            <w:pPr>
              <w:jc w:val="center"/>
              <w:rPr>
                <w:rFonts w:ascii="Constantia" w:hAnsi="Constantia"/>
                <w:b/>
                <w:bCs/>
                <w:iCs/>
                <w:color w:val="000000"/>
                <w:spacing w:val="8"/>
                <w:szCs w:val="22"/>
                <w:lang w:val="sr-Latn-CS"/>
              </w:rPr>
            </w:pPr>
            <w:r w:rsidRPr="00633889">
              <w:rPr>
                <w:rFonts w:ascii="Constantia" w:hAnsi="Constantia"/>
                <w:b/>
                <w:bCs/>
                <w:iCs/>
                <w:color w:val="000000"/>
                <w:spacing w:val="8"/>
                <w:szCs w:val="22"/>
                <w:lang w:val="sr-Latn-CS"/>
              </w:rPr>
              <w:t>Kategorija</w:t>
            </w:r>
          </w:p>
        </w:tc>
        <w:tc>
          <w:tcPr>
            <w:tcW w:w="4590" w:type="dxa"/>
            <w:shd w:val="clear" w:color="auto" w:fill="E6EED5"/>
          </w:tcPr>
          <w:p w:rsidR="004B071C" w:rsidRPr="00633889" w:rsidRDefault="004B071C" w:rsidP="003D1F33">
            <w:pPr>
              <w:jc w:val="center"/>
              <w:rPr>
                <w:rFonts w:ascii="Constantia" w:hAnsi="Constantia"/>
                <w:b/>
                <w:bCs/>
                <w:iCs/>
                <w:color w:val="000000"/>
                <w:spacing w:val="8"/>
                <w:szCs w:val="22"/>
                <w:lang w:val="sr-Latn-CS"/>
              </w:rPr>
            </w:pPr>
            <w:r w:rsidRPr="00633889">
              <w:rPr>
                <w:rFonts w:ascii="Constantia" w:hAnsi="Constantia"/>
                <w:b/>
                <w:bCs/>
                <w:iCs/>
                <w:color w:val="000000"/>
                <w:spacing w:val="8"/>
                <w:szCs w:val="22"/>
                <w:lang w:val="sr-Latn-CS"/>
              </w:rPr>
              <w:t>Vrste</w:t>
            </w:r>
          </w:p>
        </w:tc>
      </w:tr>
      <w:tr w:rsidR="004B071C" w:rsidRPr="00633889" w:rsidTr="00633889">
        <w:tc>
          <w:tcPr>
            <w:tcW w:w="1800" w:type="dxa"/>
            <w:shd w:val="clear" w:color="auto" w:fill="CDDDAC"/>
          </w:tcPr>
          <w:p w:rsidR="004B071C" w:rsidRPr="00633889" w:rsidRDefault="004B071C" w:rsidP="004E680E">
            <w:pPr>
              <w:rPr>
                <w:rFonts w:ascii="Constantia" w:hAnsi="Constantia"/>
                <w:b/>
                <w:bCs/>
                <w:iCs/>
                <w:color w:val="000000"/>
                <w:spacing w:val="8"/>
                <w:szCs w:val="22"/>
                <w:lang w:val="sr-Latn-CS"/>
              </w:rPr>
            </w:pPr>
            <w:r w:rsidRPr="00633889">
              <w:rPr>
                <w:rFonts w:ascii="Constantia" w:hAnsi="Constantia"/>
                <w:szCs w:val="22"/>
              </w:rPr>
              <w:t>Murinska rijeka</w:t>
            </w:r>
          </w:p>
        </w:tc>
        <w:tc>
          <w:tcPr>
            <w:tcW w:w="2520" w:type="dxa"/>
            <w:gridSpan w:val="2"/>
            <w:shd w:val="clear" w:color="auto" w:fill="E6EED5"/>
          </w:tcPr>
          <w:p w:rsidR="004B071C" w:rsidRPr="00633889" w:rsidRDefault="004B071C" w:rsidP="004E680E">
            <w:pPr>
              <w:rPr>
                <w:rFonts w:ascii="Constantia" w:hAnsi="Constantia"/>
                <w:b/>
                <w:bCs/>
                <w:iCs/>
                <w:color w:val="000000"/>
                <w:spacing w:val="8"/>
                <w:szCs w:val="22"/>
                <w:lang w:val="sr-Latn-CS"/>
              </w:rPr>
            </w:pPr>
            <w:r w:rsidRPr="00633889">
              <w:rPr>
                <w:rFonts w:ascii="Constantia" w:hAnsi="Constantia"/>
                <w:iCs/>
                <w:color w:val="000000"/>
                <w:spacing w:val="8"/>
                <w:szCs w:val="22"/>
                <w:lang w:val="sr-Latn-CS"/>
              </w:rPr>
              <w:t>Utvrđeno stanje</w:t>
            </w:r>
          </w:p>
        </w:tc>
        <w:tc>
          <w:tcPr>
            <w:tcW w:w="4590" w:type="dxa"/>
            <w:shd w:val="clear" w:color="auto" w:fill="E6EED5"/>
          </w:tcPr>
          <w:p w:rsidR="004B071C" w:rsidRPr="00633889" w:rsidRDefault="004B071C" w:rsidP="004E680E">
            <w:pPr>
              <w:rPr>
                <w:rFonts w:ascii="Constantia" w:hAnsi="Constantia"/>
                <w:b/>
                <w:bCs/>
                <w:iCs/>
                <w:color w:val="000000"/>
                <w:spacing w:val="8"/>
                <w:szCs w:val="22"/>
                <w:lang w:val="sr-Latn-CS"/>
              </w:rPr>
            </w:pPr>
          </w:p>
        </w:tc>
      </w:tr>
      <w:tr w:rsidR="004B071C" w:rsidRPr="00633889" w:rsidTr="00633889">
        <w:trPr>
          <w:trHeight w:val="597"/>
        </w:trPr>
        <w:tc>
          <w:tcPr>
            <w:tcW w:w="1800" w:type="dxa"/>
            <w:vMerge w:val="restart"/>
            <w:shd w:val="clear" w:color="auto" w:fill="CDDDAC"/>
          </w:tcPr>
          <w:p w:rsidR="004B071C" w:rsidRPr="00633889" w:rsidRDefault="004B071C" w:rsidP="003D1F33">
            <w:pPr>
              <w:jc w:val="left"/>
              <w:rPr>
                <w:rFonts w:ascii="Constantia" w:hAnsi="Constantia"/>
                <w:szCs w:val="22"/>
                <w:lang w:val="sr-Latn-CS"/>
              </w:rPr>
            </w:pPr>
            <w:r w:rsidRPr="00633889">
              <w:rPr>
                <w:rFonts w:ascii="Constantia" w:hAnsi="Constantia"/>
                <w:szCs w:val="22"/>
                <w:lang w:val="sr-Latn-CS"/>
              </w:rPr>
              <w:t xml:space="preserve">Kanjon </w:t>
            </w:r>
            <w:r w:rsidRPr="00633889">
              <w:rPr>
                <w:rFonts w:ascii="Constantia" w:hAnsi="Constantia"/>
                <w:szCs w:val="22"/>
                <w:lang w:val="sr-Latn-CS"/>
              </w:rPr>
              <w:lastRenderedPageBreak/>
              <w:t>Trepačke rijeke</w:t>
            </w:r>
          </w:p>
        </w:tc>
        <w:tc>
          <w:tcPr>
            <w:tcW w:w="2520" w:type="dxa"/>
            <w:gridSpan w:val="2"/>
            <w:shd w:val="clear" w:color="auto" w:fill="E6EED5"/>
          </w:tcPr>
          <w:p w:rsidR="004B071C" w:rsidRPr="00633889" w:rsidRDefault="004B071C" w:rsidP="004E680E">
            <w:pPr>
              <w:rPr>
                <w:rFonts w:ascii="Constantia" w:hAnsi="Constantia"/>
                <w:iCs/>
                <w:color w:val="000000"/>
                <w:spacing w:val="8"/>
                <w:szCs w:val="22"/>
                <w:lang w:val="sr-Latn-CS"/>
              </w:rPr>
            </w:pPr>
            <w:r w:rsidRPr="00633889">
              <w:rPr>
                <w:rFonts w:ascii="Constantia" w:hAnsi="Constantia"/>
                <w:iCs/>
                <w:color w:val="000000"/>
                <w:spacing w:val="8"/>
                <w:szCs w:val="22"/>
                <w:lang w:val="sr-Latn-CS"/>
              </w:rPr>
              <w:lastRenderedPageBreak/>
              <w:t>Dominantne vrste</w:t>
            </w:r>
          </w:p>
        </w:tc>
        <w:tc>
          <w:tcPr>
            <w:tcW w:w="4590" w:type="dxa"/>
            <w:shd w:val="clear" w:color="auto" w:fill="E6EED5"/>
          </w:tcPr>
          <w:p w:rsidR="004B071C" w:rsidRPr="00633889" w:rsidRDefault="004B071C" w:rsidP="004E680E">
            <w:pPr>
              <w:rPr>
                <w:rFonts w:ascii="Constantia" w:hAnsi="Constantia"/>
                <w:bCs/>
                <w:i/>
                <w:iCs/>
                <w:color w:val="000000"/>
                <w:spacing w:val="8"/>
                <w:szCs w:val="22"/>
                <w:lang w:val="sr-Latn-CS"/>
              </w:rPr>
            </w:pPr>
            <w:r w:rsidRPr="00633889">
              <w:rPr>
                <w:rFonts w:ascii="Constantia" w:hAnsi="Constantia"/>
                <w:bCs/>
                <w:i/>
                <w:iCs/>
                <w:color w:val="000000"/>
                <w:spacing w:val="8"/>
                <w:szCs w:val="22"/>
                <w:lang w:val="sr-Latn-CS"/>
              </w:rPr>
              <w:t xml:space="preserve">Alnusincana, Salix viminalis, Oxalis acetosela, Coryllusavellana, Acer </w:t>
            </w:r>
            <w:r w:rsidRPr="00633889">
              <w:rPr>
                <w:rFonts w:ascii="Constantia" w:hAnsi="Constantia"/>
                <w:bCs/>
                <w:i/>
                <w:iCs/>
                <w:color w:val="000000"/>
                <w:spacing w:val="8"/>
                <w:szCs w:val="22"/>
                <w:lang w:val="sr-Latn-CS"/>
              </w:rPr>
              <w:lastRenderedPageBreak/>
              <w:t>pseudoplatanus, Quercuscerris, Thymus pulegium, Daucuscarota, Echiumvulgare, Frangulaalnus, Clematis vitalba,</w:t>
            </w:r>
            <w:r w:rsidR="003D1F33" w:rsidRPr="00633889">
              <w:rPr>
                <w:rFonts w:ascii="Constantia" w:hAnsi="Constantia"/>
                <w:bCs/>
                <w:i/>
                <w:iCs/>
                <w:color w:val="000000"/>
                <w:spacing w:val="8"/>
                <w:szCs w:val="22"/>
                <w:lang w:val="sr-Latn-CS"/>
              </w:rPr>
              <w:t xml:space="preserve"> </w:t>
            </w:r>
            <w:r w:rsidRPr="00633889">
              <w:rPr>
                <w:rFonts w:ascii="Constantia" w:hAnsi="Constantia"/>
                <w:bCs/>
                <w:i/>
                <w:iCs/>
                <w:color w:val="000000"/>
                <w:spacing w:val="8"/>
                <w:szCs w:val="22"/>
                <w:lang w:val="sr-Latn-CS"/>
              </w:rPr>
              <w:t>Rubus sp., Pinusnigra, Agrostiscastellana, Prunella vulgaris, Fragariavesca</w:t>
            </w:r>
          </w:p>
        </w:tc>
      </w:tr>
      <w:tr w:rsidR="004B071C" w:rsidRPr="00633889" w:rsidTr="00633889">
        <w:trPr>
          <w:trHeight w:val="597"/>
        </w:trPr>
        <w:tc>
          <w:tcPr>
            <w:tcW w:w="1800" w:type="dxa"/>
            <w:vMerge/>
            <w:shd w:val="clear" w:color="auto" w:fill="CDDDAC"/>
          </w:tcPr>
          <w:p w:rsidR="004B071C" w:rsidRPr="00633889" w:rsidRDefault="004B071C" w:rsidP="004E680E">
            <w:pPr>
              <w:rPr>
                <w:rFonts w:ascii="Constantia" w:hAnsi="Constantia"/>
                <w:b/>
                <w:bCs/>
                <w:iCs/>
                <w:color w:val="000000"/>
                <w:spacing w:val="8"/>
                <w:szCs w:val="22"/>
                <w:lang w:val="sr-Latn-CS"/>
              </w:rPr>
            </w:pPr>
          </w:p>
        </w:tc>
        <w:tc>
          <w:tcPr>
            <w:tcW w:w="1350" w:type="dxa"/>
            <w:vMerge w:val="restart"/>
            <w:shd w:val="clear" w:color="auto" w:fill="E6EED5"/>
          </w:tcPr>
          <w:p w:rsidR="004B071C" w:rsidRPr="00633889" w:rsidRDefault="004B071C" w:rsidP="004E680E">
            <w:pPr>
              <w:rPr>
                <w:rFonts w:ascii="Constantia" w:hAnsi="Constantia"/>
                <w:iCs/>
                <w:color w:val="000000"/>
                <w:spacing w:val="8"/>
                <w:szCs w:val="22"/>
                <w:lang w:val="sr-Latn-CS"/>
              </w:rPr>
            </w:pPr>
            <w:r w:rsidRPr="00633889">
              <w:rPr>
                <w:rFonts w:ascii="Constantia" w:hAnsi="Constantia"/>
                <w:iCs/>
                <w:color w:val="000000"/>
                <w:spacing w:val="8"/>
                <w:szCs w:val="22"/>
                <w:lang w:val="sr-Latn-CS"/>
              </w:rPr>
              <w:t>Utvrđeno stanje</w:t>
            </w:r>
          </w:p>
        </w:tc>
        <w:tc>
          <w:tcPr>
            <w:tcW w:w="1170" w:type="dxa"/>
            <w:shd w:val="clear" w:color="auto" w:fill="E6EED5"/>
          </w:tcPr>
          <w:p w:rsidR="004B071C" w:rsidRPr="00633889" w:rsidRDefault="004B071C" w:rsidP="004E680E">
            <w:pPr>
              <w:rPr>
                <w:rFonts w:ascii="Constantia" w:hAnsi="Constantia"/>
                <w:iCs/>
                <w:color w:val="000000"/>
                <w:spacing w:val="8"/>
                <w:szCs w:val="22"/>
                <w:lang w:val="sr-Latn-CS"/>
              </w:rPr>
            </w:pPr>
            <w:r w:rsidRPr="00633889">
              <w:rPr>
                <w:rFonts w:ascii="Constantia" w:hAnsi="Constantia"/>
                <w:iCs/>
                <w:color w:val="000000"/>
                <w:spacing w:val="8"/>
                <w:szCs w:val="22"/>
                <w:lang w:val="sr-Latn-CS"/>
              </w:rPr>
              <w:t>Desna obala</w:t>
            </w:r>
          </w:p>
        </w:tc>
        <w:tc>
          <w:tcPr>
            <w:tcW w:w="4590" w:type="dxa"/>
            <w:shd w:val="clear" w:color="auto" w:fill="E6EED5"/>
          </w:tcPr>
          <w:p w:rsidR="004B071C" w:rsidRPr="00633889" w:rsidRDefault="004B071C" w:rsidP="003D1F33">
            <w:pPr>
              <w:jc w:val="left"/>
              <w:rPr>
                <w:rFonts w:ascii="Constantia" w:hAnsi="Constantia"/>
                <w:bCs/>
                <w:i/>
                <w:iCs/>
                <w:color w:val="000000"/>
                <w:spacing w:val="8"/>
                <w:szCs w:val="22"/>
                <w:lang w:val="sr-Latn-CS"/>
              </w:rPr>
            </w:pPr>
            <w:r w:rsidRPr="00633889">
              <w:rPr>
                <w:rFonts w:ascii="Constantia" w:hAnsi="Constantia"/>
                <w:bCs/>
                <w:i/>
                <w:iCs/>
                <w:color w:val="000000"/>
                <w:spacing w:val="8"/>
                <w:szCs w:val="22"/>
                <w:lang w:val="sr-Latn-CS"/>
              </w:rPr>
              <w:t>Alnusglutinosa, Sambucusnigra, Pteridiumaquilinum, Coryllusavellana, Clematis vitalba, Agrostiscastellana, Brachypodiumslvaticum, Urticadioica</w:t>
            </w:r>
            <w:r w:rsidR="003D1F33" w:rsidRPr="00633889">
              <w:rPr>
                <w:rFonts w:ascii="Constantia" w:hAnsi="Constantia"/>
                <w:bCs/>
                <w:i/>
                <w:iCs/>
                <w:color w:val="000000"/>
                <w:spacing w:val="8"/>
                <w:szCs w:val="22"/>
                <w:lang w:val="sr-Latn-CS"/>
              </w:rPr>
              <w:t>, Prunus sp., Dactylusglomerata</w:t>
            </w:r>
          </w:p>
        </w:tc>
      </w:tr>
      <w:tr w:rsidR="004B071C" w:rsidRPr="00633889" w:rsidTr="00633889">
        <w:trPr>
          <w:trHeight w:val="597"/>
        </w:trPr>
        <w:tc>
          <w:tcPr>
            <w:tcW w:w="1800" w:type="dxa"/>
            <w:vMerge/>
            <w:shd w:val="clear" w:color="auto" w:fill="CDDDAC"/>
          </w:tcPr>
          <w:p w:rsidR="004B071C" w:rsidRPr="00633889" w:rsidRDefault="004B071C" w:rsidP="004E680E">
            <w:pPr>
              <w:rPr>
                <w:rFonts w:ascii="Constantia" w:hAnsi="Constantia"/>
                <w:szCs w:val="22"/>
                <w:lang w:val="sr-Latn-CS"/>
              </w:rPr>
            </w:pPr>
          </w:p>
        </w:tc>
        <w:tc>
          <w:tcPr>
            <w:tcW w:w="1350" w:type="dxa"/>
            <w:vMerge/>
            <w:shd w:val="clear" w:color="auto" w:fill="E6EED5"/>
          </w:tcPr>
          <w:p w:rsidR="004B071C" w:rsidRPr="00633889" w:rsidRDefault="004B071C" w:rsidP="004E680E">
            <w:pPr>
              <w:rPr>
                <w:rFonts w:ascii="Constantia" w:hAnsi="Constantia"/>
                <w:iCs/>
                <w:color w:val="000000"/>
                <w:spacing w:val="8"/>
                <w:szCs w:val="22"/>
                <w:lang w:val="sr-Latn-CS"/>
              </w:rPr>
            </w:pPr>
          </w:p>
        </w:tc>
        <w:tc>
          <w:tcPr>
            <w:tcW w:w="1170" w:type="dxa"/>
            <w:shd w:val="clear" w:color="auto" w:fill="E6EED5"/>
          </w:tcPr>
          <w:p w:rsidR="004B071C" w:rsidRPr="00633889" w:rsidRDefault="004B071C" w:rsidP="004E680E">
            <w:pPr>
              <w:rPr>
                <w:rFonts w:ascii="Constantia" w:hAnsi="Constantia"/>
                <w:iCs/>
                <w:color w:val="000000"/>
                <w:spacing w:val="8"/>
                <w:szCs w:val="22"/>
                <w:lang w:val="sr-Latn-CS"/>
              </w:rPr>
            </w:pPr>
            <w:r w:rsidRPr="00633889">
              <w:rPr>
                <w:rFonts w:ascii="Constantia" w:hAnsi="Constantia"/>
                <w:iCs/>
                <w:color w:val="000000"/>
                <w:spacing w:val="8"/>
                <w:szCs w:val="22"/>
                <w:lang w:val="sr-Latn-CS"/>
              </w:rPr>
              <w:t>Lijeva obala</w:t>
            </w:r>
          </w:p>
        </w:tc>
        <w:tc>
          <w:tcPr>
            <w:tcW w:w="4590" w:type="dxa"/>
            <w:shd w:val="clear" w:color="auto" w:fill="E6EED5"/>
          </w:tcPr>
          <w:p w:rsidR="004B071C" w:rsidRPr="00633889" w:rsidRDefault="004B071C" w:rsidP="003D1F33">
            <w:pPr>
              <w:jc w:val="left"/>
              <w:rPr>
                <w:rFonts w:ascii="Constantia" w:hAnsi="Constantia"/>
                <w:bCs/>
                <w:iCs/>
                <w:color w:val="000000"/>
                <w:spacing w:val="8"/>
                <w:szCs w:val="22"/>
                <w:lang w:val="sr-Latn-CS"/>
              </w:rPr>
            </w:pPr>
            <w:r w:rsidRPr="00633889">
              <w:rPr>
                <w:rFonts w:ascii="Constantia" w:hAnsi="Constantia"/>
                <w:bCs/>
                <w:i/>
                <w:iCs/>
                <w:color w:val="000000"/>
                <w:spacing w:val="8"/>
                <w:szCs w:val="22"/>
                <w:lang w:val="sr-Latn-CS"/>
              </w:rPr>
              <w:t>Salix viminalis, Salix purpurea, Salix sp., Petasiteshybridus, Salvia glutinosa, Colchicum autumnale, Juglansregia, Achilleamillefolium</w:t>
            </w:r>
            <w:r w:rsidR="003D1F33" w:rsidRPr="00633889">
              <w:rPr>
                <w:rFonts w:ascii="Constantia" w:hAnsi="Constantia"/>
                <w:bCs/>
                <w:iCs/>
                <w:color w:val="000000"/>
                <w:spacing w:val="8"/>
                <w:szCs w:val="22"/>
                <w:lang w:val="sr-Latn-CS"/>
              </w:rPr>
              <w:t xml:space="preserve"> </w:t>
            </w:r>
            <w:r w:rsidRPr="00633889">
              <w:rPr>
                <w:rFonts w:ascii="Constantia" w:hAnsi="Constantia"/>
                <w:bCs/>
                <w:iCs/>
                <w:color w:val="000000"/>
                <w:spacing w:val="8"/>
                <w:szCs w:val="22"/>
                <w:lang w:val="sr-Latn-CS"/>
              </w:rPr>
              <w:t>i dr.</w:t>
            </w:r>
          </w:p>
        </w:tc>
      </w:tr>
    </w:tbl>
    <w:p w:rsidR="004B071C" w:rsidRDefault="00633889" w:rsidP="004B071C">
      <w:pPr>
        <w:pStyle w:val="Tabele"/>
        <w:spacing w:before="60" w:after="240"/>
        <w:ind w:left="714" w:hanging="357"/>
        <w:rPr>
          <w:rFonts w:ascii="Constantia" w:hAnsi="Constantia"/>
          <w:sz w:val="22"/>
          <w:szCs w:val="22"/>
        </w:rPr>
      </w:pPr>
      <w:r>
        <w:rPr>
          <w:rFonts w:ascii="Constantia" w:hAnsi="Constantia"/>
          <w:sz w:val="22"/>
          <w:szCs w:val="22"/>
        </w:rPr>
        <w:t xml:space="preserve"> </w:t>
      </w:r>
      <w:r w:rsidR="004B071C" w:rsidRPr="003D1F33">
        <w:rPr>
          <w:rFonts w:ascii="Constantia" w:hAnsi="Constantia"/>
          <w:sz w:val="22"/>
          <w:szCs w:val="22"/>
        </w:rPr>
        <w:t>Biljne vrste</w:t>
      </w:r>
    </w:p>
    <w:p w:rsidR="00633889" w:rsidRPr="003D1F33" w:rsidRDefault="00633889" w:rsidP="00633889">
      <w:pPr>
        <w:pStyle w:val="Tabele"/>
        <w:numPr>
          <w:ilvl w:val="0"/>
          <w:numId w:val="0"/>
        </w:numPr>
        <w:spacing w:before="60" w:after="240"/>
        <w:ind w:left="714"/>
        <w:jc w:val="both"/>
        <w:rPr>
          <w:rFonts w:ascii="Constantia" w:hAnsi="Constantia"/>
          <w:sz w:val="22"/>
          <w:szCs w:val="22"/>
        </w:rPr>
      </w:pPr>
    </w:p>
    <w:p w:rsidR="004B071C" w:rsidRPr="008A0989" w:rsidRDefault="008A0989" w:rsidP="004B071C">
      <w:pPr>
        <w:spacing w:before="60" w:after="240"/>
        <w:rPr>
          <w:b/>
          <w:szCs w:val="22"/>
          <w:lang w:val="sr-Latn-CS"/>
        </w:rPr>
      </w:pPr>
      <w:r w:rsidRPr="008A0989">
        <w:rPr>
          <w:b/>
          <w:szCs w:val="22"/>
          <w:lang w:val="sr-Latn-CS"/>
        </w:rPr>
        <w:t>6.3.4.2  Dendroflora</w:t>
      </w:r>
    </w:p>
    <w:tbl>
      <w:tblPr>
        <w:tblW w:w="8910" w:type="dxa"/>
        <w:tblInd w:w="108"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firstRow="1" w:lastRow="0" w:firstColumn="1" w:lastColumn="0" w:noHBand="0" w:noVBand="1"/>
      </w:tblPr>
      <w:tblGrid>
        <w:gridCol w:w="2610"/>
        <w:gridCol w:w="2250"/>
        <w:gridCol w:w="2110"/>
        <w:gridCol w:w="1940"/>
      </w:tblGrid>
      <w:tr w:rsidR="004B071C" w:rsidRPr="00633889" w:rsidTr="00430FBA">
        <w:tc>
          <w:tcPr>
            <w:tcW w:w="2610" w:type="dxa"/>
            <w:shd w:val="clear" w:color="auto" w:fill="E6EED5"/>
          </w:tcPr>
          <w:p w:rsidR="004B071C" w:rsidRPr="00633889" w:rsidRDefault="004B071C" w:rsidP="00430FBA">
            <w:pPr>
              <w:jc w:val="center"/>
              <w:rPr>
                <w:rFonts w:ascii="Constantia" w:hAnsi="Constantia"/>
                <w:b/>
                <w:bCs/>
                <w:szCs w:val="22"/>
              </w:rPr>
            </w:pPr>
            <w:r w:rsidRPr="00633889">
              <w:rPr>
                <w:rFonts w:ascii="Constantia" w:hAnsi="Constantia"/>
                <w:b/>
                <w:bCs/>
                <w:szCs w:val="22"/>
              </w:rPr>
              <w:t>Lokalitet</w:t>
            </w:r>
          </w:p>
        </w:tc>
        <w:tc>
          <w:tcPr>
            <w:tcW w:w="2250" w:type="dxa"/>
            <w:shd w:val="clear" w:color="auto" w:fill="E6EED5"/>
          </w:tcPr>
          <w:p w:rsidR="004B071C" w:rsidRPr="00633889" w:rsidRDefault="004B071C" w:rsidP="00430FBA">
            <w:pPr>
              <w:jc w:val="center"/>
              <w:rPr>
                <w:rFonts w:ascii="Constantia" w:hAnsi="Constantia"/>
                <w:b/>
                <w:bCs/>
                <w:szCs w:val="22"/>
              </w:rPr>
            </w:pPr>
            <w:r w:rsidRPr="00633889">
              <w:rPr>
                <w:rFonts w:ascii="Constantia" w:hAnsi="Constantia"/>
                <w:b/>
                <w:bCs/>
                <w:szCs w:val="22"/>
              </w:rPr>
              <w:t>Koordinate</w:t>
            </w:r>
          </w:p>
        </w:tc>
        <w:tc>
          <w:tcPr>
            <w:tcW w:w="2110" w:type="dxa"/>
            <w:shd w:val="clear" w:color="auto" w:fill="E6EED5"/>
          </w:tcPr>
          <w:p w:rsidR="004B071C" w:rsidRPr="00633889" w:rsidRDefault="004B071C" w:rsidP="00430FBA">
            <w:pPr>
              <w:spacing w:after="0"/>
              <w:jc w:val="center"/>
              <w:outlineLvl w:val="3"/>
              <w:rPr>
                <w:rFonts w:ascii="Constantia" w:hAnsi="Constantia"/>
                <w:b/>
                <w:bCs/>
                <w:szCs w:val="22"/>
              </w:rPr>
            </w:pPr>
            <w:r w:rsidRPr="00633889">
              <w:rPr>
                <w:rFonts w:ascii="Constantia" w:hAnsi="Constantia"/>
                <w:b/>
                <w:bCs/>
                <w:szCs w:val="22"/>
              </w:rPr>
              <w:t>Datum terenskih istraživanja</w:t>
            </w:r>
          </w:p>
        </w:tc>
        <w:tc>
          <w:tcPr>
            <w:tcW w:w="1940" w:type="dxa"/>
            <w:shd w:val="clear" w:color="auto" w:fill="E6EED5"/>
          </w:tcPr>
          <w:p w:rsidR="004B071C" w:rsidRPr="00633889" w:rsidRDefault="004B071C" w:rsidP="00430FBA">
            <w:pPr>
              <w:spacing w:after="0" w:line="280" w:lineRule="exact"/>
              <w:jc w:val="center"/>
              <w:outlineLvl w:val="3"/>
              <w:rPr>
                <w:rFonts w:ascii="Constantia" w:hAnsi="Constantia"/>
                <w:b/>
                <w:bCs/>
                <w:szCs w:val="22"/>
              </w:rPr>
            </w:pPr>
            <w:r w:rsidRPr="00633889">
              <w:rPr>
                <w:rFonts w:ascii="Constantia" w:hAnsi="Constantia"/>
                <w:b/>
                <w:bCs/>
                <w:szCs w:val="22"/>
              </w:rPr>
              <w:t>Nadmorska visina</w:t>
            </w:r>
          </w:p>
        </w:tc>
      </w:tr>
      <w:tr w:rsidR="004B071C" w:rsidRPr="00633889" w:rsidTr="00430FBA">
        <w:tc>
          <w:tcPr>
            <w:tcW w:w="2610" w:type="dxa"/>
            <w:shd w:val="clear" w:color="auto" w:fill="CDDDAC"/>
          </w:tcPr>
          <w:p w:rsidR="004B071C" w:rsidRPr="00633889" w:rsidRDefault="004B071C" w:rsidP="00633889">
            <w:pPr>
              <w:jc w:val="left"/>
              <w:rPr>
                <w:rFonts w:ascii="Constantia" w:hAnsi="Constantia"/>
                <w:b/>
                <w:bCs/>
                <w:szCs w:val="22"/>
              </w:rPr>
            </w:pPr>
            <w:r w:rsidRPr="00633889">
              <w:rPr>
                <w:rFonts w:ascii="Constantia" w:eastAsia="Calibri" w:hAnsi="Constantia"/>
                <w:b/>
                <w:szCs w:val="22"/>
                <w:lang w:val="sr-Latn-CS"/>
              </w:rPr>
              <w:t>Kanjon Murinske rijeke</w:t>
            </w:r>
          </w:p>
        </w:tc>
        <w:tc>
          <w:tcPr>
            <w:tcW w:w="2250" w:type="dxa"/>
            <w:shd w:val="clear" w:color="auto" w:fill="CDDDAC"/>
          </w:tcPr>
          <w:p w:rsidR="00430FBA" w:rsidRPr="00633889" w:rsidRDefault="004B071C" w:rsidP="00430FBA">
            <w:pPr>
              <w:jc w:val="center"/>
              <w:rPr>
                <w:rFonts w:ascii="Constantia" w:eastAsia="Calibri" w:hAnsi="Constantia"/>
                <w:szCs w:val="22"/>
                <w:lang w:val="sr-Latn-CS"/>
              </w:rPr>
            </w:pPr>
            <w:r w:rsidRPr="00633889">
              <w:rPr>
                <w:rFonts w:ascii="Constantia" w:eastAsia="Calibri" w:hAnsi="Constantia"/>
                <w:szCs w:val="22"/>
                <w:lang w:val="sr-Latn-CS"/>
              </w:rPr>
              <w:t>N 42° 38' 57.8´´ EO</w:t>
            </w:r>
          </w:p>
          <w:p w:rsidR="004B071C" w:rsidRPr="00633889" w:rsidRDefault="004B071C" w:rsidP="00541693">
            <w:pPr>
              <w:jc w:val="center"/>
              <w:rPr>
                <w:rFonts w:ascii="Constantia" w:hAnsi="Constantia"/>
                <w:b/>
                <w:bCs/>
                <w:szCs w:val="22"/>
              </w:rPr>
            </w:pPr>
            <w:r w:rsidRPr="00633889">
              <w:rPr>
                <w:rFonts w:ascii="Constantia" w:eastAsia="Calibri" w:hAnsi="Constantia"/>
                <w:szCs w:val="22"/>
                <w:lang w:val="sr-Latn-CS"/>
              </w:rPr>
              <w:t xml:space="preserve"> 19° 52' 50.9''</w:t>
            </w:r>
          </w:p>
        </w:tc>
        <w:tc>
          <w:tcPr>
            <w:tcW w:w="2110" w:type="dxa"/>
            <w:shd w:val="clear" w:color="auto" w:fill="CDDDAC"/>
          </w:tcPr>
          <w:p w:rsidR="004B071C" w:rsidRPr="00633889" w:rsidRDefault="004B071C" w:rsidP="00430FBA">
            <w:pPr>
              <w:jc w:val="center"/>
              <w:rPr>
                <w:rFonts w:ascii="Constantia" w:hAnsi="Constantia"/>
                <w:szCs w:val="22"/>
              </w:rPr>
            </w:pPr>
            <w:r w:rsidRPr="00633889">
              <w:rPr>
                <w:rFonts w:ascii="Constantia" w:eastAsia="Calibri" w:hAnsi="Constantia"/>
                <w:szCs w:val="22"/>
                <w:lang w:val="sr-Latn-CS"/>
              </w:rPr>
              <w:t>03. 09. 2013.</w:t>
            </w:r>
          </w:p>
        </w:tc>
        <w:tc>
          <w:tcPr>
            <w:tcW w:w="1940" w:type="dxa"/>
            <w:shd w:val="clear" w:color="auto" w:fill="CDDDAC"/>
          </w:tcPr>
          <w:p w:rsidR="004B071C" w:rsidRPr="00633889" w:rsidRDefault="004B071C" w:rsidP="00430FBA">
            <w:pPr>
              <w:jc w:val="center"/>
              <w:rPr>
                <w:rFonts w:ascii="Constantia" w:hAnsi="Constantia"/>
                <w:szCs w:val="22"/>
              </w:rPr>
            </w:pPr>
            <w:r w:rsidRPr="00633889">
              <w:rPr>
                <w:rFonts w:ascii="Constantia" w:eastAsia="Calibri" w:hAnsi="Constantia"/>
                <w:szCs w:val="22"/>
                <w:lang w:val="sr-Latn-CS"/>
              </w:rPr>
              <w:t>903 m</w:t>
            </w:r>
          </w:p>
        </w:tc>
      </w:tr>
      <w:tr w:rsidR="004B071C" w:rsidRPr="00633889" w:rsidTr="00430FBA">
        <w:tc>
          <w:tcPr>
            <w:tcW w:w="2610" w:type="dxa"/>
            <w:shd w:val="clear" w:color="auto" w:fill="CDDDAC"/>
          </w:tcPr>
          <w:p w:rsidR="004B071C" w:rsidRPr="00633889" w:rsidRDefault="004B071C" w:rsidP="00633889">
            <w:pPr>
              <w:jc w:val="left"/>
              <w:rPr>
                <w:rFonts w:ascii="Constantia" w:hAnsi="Constantia"/>
                <w:b/>
                <w:bCs/>
                <w:szCs w:val="22"/>
              </w:rPr>
            </w:pPr>
            <w:r w:rsidRPr="00633889">
              <w:rPr>
                <w:rFonts w:ascii="Constantia" w:eastAsia="Calibri" w:hAnsi="Constantia"/>
                <w:b/>
                <w:szCs w:val="22"/>
                <w:lang w:val="sr-Latn-CS"/>
              </w:rPr>
              <w:t>Kanjon Trepačke rijeke</w:t>
            </w:r>
          </w:p>
        </w:tc>
        <w:tc>
          <w:tcPr>
            <w:tcW w:w="2250" w:type="dxa"/>
            <w:shd w:val="clear" w:color="auto" w:fill="CDDDAC"/>
          </w:tcPr>
          <w:p w:rsidR="00430FBA" w:rsidRPr="00633889" w:rsidRDefault="004B071C" w:rsidP="00430FBA">
            <w:pPr>
              <w:jc w:val="center"/>
              <w:rPr>
                <w:rFonts w:ascii="Constantia" w:eastAsia="Calibri" w:hAnsi="Constantia"/>
                <w:szCs w:val="22"/>
                <w:lang w:val="sr-Latn-CS"/>
              </w:rPr>
            </w:pPr>
            <w:r w:rsidRPr="00633889">
              <w:rPr>
                <w:rFonts w:ascii="Constantia" w:eastAsia="Calibri" w:hAnsi="Constantia"/>
                <w:szCs w:val="22"/>
                <w:lang w:val="sr-Latn-CS"/>
              </w:rPr>
              <w:t xml:space="preserve">N 42° 46' 34.9´´ </w:t>
            </w:r>
          </w:p>
          <w:p w:rsidR="004B071C" w:rsidRPr="00633889" w:rsidRDefault="004B071C" w:rsidP="00541693">
            <w:pPr>
              <w:jc w:val="center"/>
              <w:rPr>
                <w:rFonts w:ascii="Constantia" w:hAnsi="Constantia"/>
                <w:b/>
                <w:bCs/>
                <w:szCs w:val="22"/>
              </w:rPr>
            </w:pPr>
            <w:r w:rsidRPr="00633889">
              <w:rPr>
                <w:rFonts w:ascii="Constantia" w:eastAsia="Calibri" w:hAnsi="Constantia"/>
                <w:szCs w:val="22"/>
                <w:lang w:val="sr-Latn-CS"/>
              </w:rPr>
              <w:t>EO 19° 49' 31.0''</w:t>
            </w:r>
          </w:p>
        </w:tc>
        <w:tc>
          <w:tcPr>
            <w:tcW w:w="2110" w:type="dxa"/>
            <w:shd w:val="clear" w:color="auto" w:fill="CDDDAC"/>
          </w:tcPr>
          <w:p w:rsidR="004B071C" w:rsidRPr="00633889" w:rsidRDefault="004B071C" w:rsidP="00430FBA">
            <w:pPr>
              <w:jc w:val="center"/>
              <w:rPr>
                <w:rFonts w:ascii="Constantia" w:hAnsi="Constantia"/>
                <w:szCs w:val="22"/>
              </w:rPr>
            </w:pPr>
            <w:r w:rsidRPr="00633889">
              <w:rPr>
                <w:rFonts w:ascii="Constantia" w:eastAsia="Calibri" w:hAnsi="Constantia"/>
                <w:szCs w:val="22"/>
                <w:lang w:val="sr-Latn-CS"/>
              </w:rPr>
              <w:t>18. 09. 2013.</w:t>
            </w:r>
          </w:p>
        </w:tc>
        <w:tc>
          <w:tcPr>
            <w:tcW w:w="1940" w:type="dxa"/>
            <w:shd w:val="clear" w:color="auto" w:fill="CDDDAC"/>
          </w:tcPr>
          <w:p w:rsidR="004B071C" w:rsidRPr="00633889" w:rsidRDefault="004B071C" w:rsidP="00430FBA">
            <w:pPr>
              <w:jc w:val="center"/>
              <w:rPr>
                <w:rFonts w:ascii="Constantia" w:hAnsi="Constantia"/>
                <w:szCs w:val="22"/>
              </w:rPr>
            </w:pPr>
            <w:r w:rsidRPr="00633889">
              <w:rPr>
                <w:rFonts w:ascii="Constantia" w:eastAsia="Calibri" w:hAnsi="Constantia"/>
                <w:szCs w:val="22"/>
                <w:lang w:val="sr-Latn-CS"/>
              </w:rPr>
              <w:t>740 m</w:t>
            </w:r>
          </w:p>
        </w:tc>
      </w:tr>
    </w:tbl>
    <w:p w:rsidR="004B071C" w:rsidRPr="0054237D" w:rsidRDefault="004B071C" w:rsidP="004B071C">
      <w:pPr>
        <w:pStyle w:val="Tabele"/>
        <w:spacing w:before="60" w:after="240"/>
        <w:ind w:left="714" w:hanging="357"/>
        <w:rPr>
          <w:rFonts w:ascii="Constantia" w:hAnsi="Constantia"/>
          <w:sz w:val="22"/>
          <w:szCs w:val="22"/>
        </w:rPr>
      </w:pPr>
      <w:r w:rsidRPr="0054237D">
        <w:rPr>
          <w:rFonts w:ascii="Constantia" w:hAnsi="Constantia"/>
          <w:sz w:val="22"/>
          <w:szCs w:val="22"/>
        </w:rPr>
        <w:t>Opšti podaci o istraživanim lokalitetima za dend</w:t>
      </w:r>
      <w:r w:rsidR="00430FBA" w:rsidRPr="0054237D">
        <w:rPr>
          <w:rFonts w:ascii="Constantia" w:hAnsi="Constantia"/>
          <w:sz w:val="22"/>
          <w:szCs w:val="22"/>
        </w:rPr>
        <w:t>r</w:t>
      </w:r>
      <w:r w:rsidRPr="0054237D">
        <w:rPr>
          <w:rFonts w:ascii="Constantia" w:hAnsi="Constantia"/>
          <w:sz w:val="22"/>
          <w:szCs w:val="22"/>
        </w:rPr>
        <w:t>ofloru</w:t>
      </w:r>
    </w:p>
    <w:p w:rsidR="00430FBA" w:rsidRPr="00951AE5" w:rsidRDefault="00430FBA" w:rsidP="00430FBA">
      <w:pPr>
        <w:pStyle w:val="Tabele"/>
        <w:numPr>
          <w:ilvl w:val="0"/>
          <w:numId w:val="0"/>
        </w:numPr>
        <w:spacing w:before="60" w:after="240"/>
        <w:ind w:left="714"/>
        <w:jc w:val="both"/>
      </w:pPr>
    </w:p>
    <w:tbl>
      <w:tblPr>
        <w:tblW w:w="8910" w:type="dxa"/>
        <w:tblInd w:w="108"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firstRow="1" w:lastRow="0" w:firstColumn="1" w:lastColumn="0" w:noHBand="0" w:noVBand="1"/>
      </w:tblPr>
      <w:tblGrid>
        <w:gridCol w:w="1890"/>
        <w:gridCol w:w="1800"/>
        <w:gridCol w:w="5220"/>
      </w:tblGrid>
      <w:tr w:rsidR="004B071C" w:rsidRPr="00541693" w:rsidTr="002A4048">
        <w:tc>
          <w:tcPr>
            <w:tcW w:w="1890" w:type="dxa"/>
            <w:shd w:val="clear" w:color="auto" w:fill="E6EED5"/>
          </w:tcPr>
          <w:p w:rsidR="004B071C" w:rsidRPr="00541693" w:rsidRDefault="004B071C" w:rsidP="002A4048">
            <w:pPr>
              <w:jc w:val="center"/>
              <w:rPr>
                <w:rFonts w:ascii="Constantia" w:hAnsi="Constantia"/>
                <w:b/>
                <w:bCs/>
                <w:iCs/>
                <w:color w:val="000000"/>
                <w:spacing w:val="8"/>
                <w:szCs w:val="22"/>
                <w:lang w:val="sr-Latn-CS"/>
              </w:rPr>
            </w:pPr>
            <w:r w:rsidRPr="00541693">
              <w:rPr>
                <w:rFonts w:ascii="Constantia" w:hAnsi="Constantia"/>
                <w:b/>
                <w:bCs/>
                <w:iCs/>
                <w:color w:val="000000"/>
                <w:spacing w:val="8"/>
                <w:szCs w:val="22"/>
                <w:lang w:val="sr-Latn-CS"/>
              </w:rPr>
              <w:t>Lokalitet</w:t>
            </w:r>
          </w:p>
        </w:tc>
        <w:tc>
          <w:tcPr>
            <w:tcW w:w="1800" w:type="dxa"/>
            <w:shd w:val="clear" w:color="auto" w:fill="E6EED5"/>
          </w:tcPr>
          <w:p w:rsidR="004B071C" w:rsidRPr="00541693" w:rsidRDefault="004B071C" w:rsidP="002A4048">
            <w:pPr>
              <w:jc w:val="center"/>
              <w:rPr>
                <w:rFonts w:ascii="Constantia" w:hAnsi="Constantia"/>
                <w:b/>
                <w:bCs/>
                <w:iCs/>
                <w:color w:val="000000"/>
                <w:spacing w:val="8"/>
                <w:szCs w:val="22"/>
                <w:lang w:val="sr-Latn-CS"/>
              </w:rPr>
            </w:pPr>
            <w:r w:rsidRPr="00541693">
              <w:rPr>
                <w:rFonts w:ascii="Constantia" w:hAnsi="Constantia"/>
                <w:b/>
                <w:bCs/>
                <w:iCs/>
                <w:color w:val="000000"/>
                <w:spacing w:val="8"/>
                <w:szCs w:val="22"/>
                <w:lang w:val="sr-Latn-CS"/>
              </w:rPr>
              <w:t>Kategorija</w:t>
            </w:r>
          </w:p>
        </w:tc>
        <w:tc>
          <w:tcPr>
            <w:tcW w:w="5220" w:type="dxa"/>
            <w:shd w:val="clear" w:color="auto" w:fill="E6EED5"/>
          </w:tcPr>
          <w:p w:rsidR="004B071C" w:rsidRPr="00541693" w:rsidRDefault="004B071C" w:rsidP="002A4048">
            <w:pPr>
              <w:jc w:val="center"/>
              <w:rPr>
                <w:rFonts w:ascii="Constantia" w:hAnsi="Constantia"/>
                <w:b/>
                <w:bCs/>
                <w:iCs/>
                <w:color w:val="000000"/>
                <w:spacing w:val="8"/>
                <w:szCs w:val="22"/>
                <w:lang w:val="sr-Latn-CS"/>
              </w:rPr>
            </w:pPr>
            <w:r w:rsidRPr="00541693">
              <w:rPr>
                <w:rFonts w:ascii="Constantia" w:hAnsi="Constantia"/>
                <w:b/>
                <w:bCs/>
                <w:iCs/>
                <w:color w:val="000000"/>
                <w:spacing w:val="8"/>
                <w:szCs w:val="22"/>
                <w:lang w:val="sr-Latn-CS"/>
              </w:rPr>
              <w:t>Vrste</w:t>
            </w:r>
          </w:p>
        </w:tc>
      </w:tr>
      <w:tr w:rsidR="004B071C" w:rsidRPr="00541693" w:rsidTr="002A4048">
        <w:tc>
          <w:tcPr>
            <w:tcW w:w="1890" w:type="dxa"/>
            <w:vMerge w:val="restart"/>
            <w:shd w:val="clear" w:color="auto" w:fill="CDDDAC"/>
          </w:tcPr>
          <w:p w:rsidR="004B071C" w:rsidRPr="00541693" w:rsidRDefault="004B071C" w:rsidP="002A4048">
            <w:pPr>
              <w:jc w:val="left"/>
              <w:rPr>
                <w:rFonts w:ascii="Constantia" w:hAnsi="Constantia"/>
                <w:b/>
                <w:bCs/>
                <w:iCs/>
                <w:color w:val="000000"/>
                <w:spacing w:val="8"/>
                <w:szCs w:val="22"/>
                <w:lang w:val="sr-Latn-CS"/>
              </w:rPr>
            </w:pPr>
            <w:r w:rsidRPr="00541693">
              <w:rPr>
                <w:rFonts w:ascii="Constantia" w:eastAsia="Calibri" w:hAnsi="Constantia"/>
                <w:b/>
                <w:szCs w:val="22"/>
                <w:lang w:val="sr-Latn-CS"/>
              </w:rPr>
              <w:t>Kanjon Murinske rijeke</w:t>
            </w:r>
          </w:p>
        </w:tc>
        <w:tc>
          <w:tcPr>
            <w:tcW w:w="1800" w:type="dxa"/>
            <w:shd w:val="clear" w:color="auto" w:fill="CDDDAC"/>
          </w:tcPr>
          <w:p w:rsidR="004B071C" w:rsidRPr="00541693" w:rsidRDefault="004B071C" w:rsidP="002A4048">
            <w:pPr>
              <w:jc w:val="left"/>
              <w:rPr>
                <w:rFonts w:ascii="Constantia" w:hAnsi="Constantia"/>
                <w:bCs/>
                <w:iCs/>
                <w:color w:val="000000"/>
                <w:spacing w:val="8"/>
                <w:szCs w:val="22"/>
                <w:lang w:val="sr-Latn-CS"/>
              </w:rPr>
            </w:pPr>
            <w:r w:rsidRPr="00541693">
              <w:rPr>
                <w:rFonts w:ascii="Constantia" w:hAnsi="Constantia"/>
                <w:iCs/>
                <w:color w:val="000000"/>
                <w:spacing w:val="8"/>
                <w:szCs w:val="22"/>
                <w:lang w:val="sr-Latn-CS"/>
              </w:rPr>
              <w:t>Indi</w:t>
            </w:r>
            <w:r w:rsidRPr="00541693">
              <w:rPr>
                <w:rFonts w:ascii="Constantia" w:hAnsi="Constantia"/>
                <w:bCs/>
                <w:iCs/>
                <w:color w:val="000000"/>
                <w:spacing w:val="8"/>
                <w:szCs w:val="22"/>
                <w:lang w:val="sr-Latn-CS"/>
              </w:rPr>
              <w:t>katorske vrste</w:t>
            </w:r>
            <w:r w:rsidR="002A4048" w:rsidRPr="00541693">
              <w:rPr>
                <w:rFonts w:ascii="Constantia" w:hAnsi="Constantia"/>
                <w:bCs/>
                <w:iCs/>
                <w:color w:val="000000"/>
                <w:spacing w:val="8"/>
                <w:szCs w:val="22"/>
                <w:lang w:val="sr-Latn-CS"/>
              </w:rPr>
              <w:t xml:space="preserve"> </w:t>
            </w:r>
            <w:r w:rsidRPr="00541693">
              <w:rPr>
                <w:rFonts w:ascii="Constantia" w:hAnsi="Constantia"/>
                <w:bCs/>
                <w:iCs/>
                <w:color w:val="000000"/>
                <w:spacing w:val="8"/>
                <w:szCs w:val="22"/>
                <w:lang w:val="sr-Latn-CS"/>
              </w:rPr>
              <w:t>(status zaštite)</w:t>
            </w:r>
          </w:p>
        </w:tc>
        <w:tc>
          <w:tcPr>
            <w:tcW w:w="5220" w:type="dxa"/>
            <w:shd w:val="clear" w:color="auto" w:fill="CDDDAC"/>
          </w:tcPr>
          <w:p w:rsidR="004B071C" w:rsidRPr="00541693" w:rsidRDefault="004B071C" w:rsidP="00541693">
            <w:pPr>
              <w:autoSpaceDE w:val="0"/>
              <w:autoSpaceDN w:val="0"/>
              <w:adjustRightInd w:val="0"/>
              <w:rPr>
                <w:rFonts w:ascii="Constantia" w:eastAsia="Calibri" w:hAnsi="Constantia"/>
                <w:b/>
                <w:bCs/>
                <w:i/>
                <w:iCs/>
                <w:szCs w:val="22"/>
                <w:lang w:val="sr-Latn-CS" w:eastAsia="ko-KR"/>
              </w:rPr>
            </w:pPr>
            <w:r w:rsidRPr="00541693">
              <w:rPr>
                <w:rFonts w:ascii="Constantia" w:eastAsia="Calibri" w:hAnsi="Constantia"/>
                <w:i/>
                <w:iCs/>
                <w:szCs w:val="22"/>
                <w:lang w:val="sr-Latn-CS"/>
              </w:rPr>
              <w:t>Acer intermedium</w:t>
            </w:r>
            <w:r w:rsidR="002A4048" w:rsidRPr="00541693">
              <w:rPr>
                <w:rFonts w:ascii="Constantia" w:eastAsia="Calibri" w:hAnsi="Constantia"/>
                <w:i/>
                <w:iCs/>
                <w:szCs w:val="22"/>
                <w:lang w:val="sr-Latn-CS"/>
              </w:rPr>
              <w:t xml:space="preserve"> </w:t>
            </w:r>
            <w:r w:rsidRPr="00541693">
              <w:rPr>
                <w:rFonts w:ascii="Constantia" w:eastAsia="Calibri" w:hAnsi="Constantia"/>
                <w:i/>
                <w:iCs/>
                <w:szCs w:val="22"/>
                <w:lang w:val="sr-Latn-CS"/>
              </w:rPr>
              <w:t xml:space="preserve">- </w:t>
            </w:r>
            <w:r w:rsidRPr="00541693">
              <w:rPr>
                <w:rFonts w:ascii="Constantia" w:eastAsia="Calibri" w:hAnsi="Constantia"/>
                <w:iCs/>
                <w:szCs w:val="22"/>
                <w:lang w:val="sr-Latn-CS"/>
              </w:rPr>
              <w:t>vrsta je</w:t>
            </w:r>
            <w:r w:rsidRPr="00541693">
              <w:rPr>
                <w:rFonts w:ascii="Constantia" w:eastAsia="Calibri" w:hAnsi="Constantia"/>
                <w:i/>
                <w:iCs/>
                <w:szCs w:val="22"/>
                <w:lang w:val="sr-Latn-CS"/>
              </w:rPr>
              <w:t xml:space="preserve"> </w:t>
            </w:r>
            <w:r w:rsidR="002A4048" w:rsidRPr="00541693">
              <w:rPr>
                <w:rFonts w:ascii="Constantia" w:eastAsia="Calibri" w:hAnsi="Constantia"/>
                <w:szCs w:val="22"/>
                <w:lang w:val="sr-Latn-CS" w:eastAsia="ko-KR"/>
              </w:rPr>
              <w:t>konstatovana na manjem siparu s</w:t>
            </w:r>
            <w:r w:rsidRPr="00541693">
              <w:rPr>
                <w:rFonts w:ascii="Constantia" w:eastAsia="Calibri" w:hAnsi="Constantia"/>
                <w:szCs w:val="22"/>
                <w:lang w:val="sr-Latn-CS" w:eastAsia="ko-KR"/>
              </w:rPr>
              <w:t xml:space="preserve"> lijeve strane toka Murinske rijeke (koordinate</w:t>
            </w:r>
            <w:r w:rsidR="002A4048" w:rsidRPr="00541693">
              <w:rPr>
                <w:rFonts w:ascii="Constantia" w:eastAsia="Calibri" w:hAnsi="Constantia"/>
                <w:szCs w:val="22"/>
                <w:lang w:val="sr-Latn-CS" w:eastAsia="ko-KR"/>
              </w:rPr>
              <w:t xml:space="preserve"> </w:t>
            </w:r>
            <w:r w:rsidRPr="00541693">
              <w:rPr>
                <w:rFonts w:ascii="Constantia" w:eastAsia="Calibri" w:hAnsi="Constantia"/>
                <w:szCs w:val="22"/>
                <w:lang w:val="sr-Latn-CS"/>
              </w:rPr>
              <w:t>N 42°38’63.1’’, EO 19°52’17.3’’, nadmorska visina 963 m, jugoistočna ekspozicija.</w:t>
            </w:r>
          </w:p>
        </w:tc>
      </w:tr>
      <w:tr w:rsidR="004B071C" w:rsidRPr="00541693" w:rsidTr="002A4048">
        <w:tc>
          <w:tcPr>
            <w:tcW w:w="1890" w:type="dxa"/>
            <w:vMerge/>
            <w:shd w:val="clear" w:color="auto" w:fill="E6EED5"/>
          </w:tcPr>
          <w:p w:rsidR="004B071C" w:rsidRPr="00541693" w:rsidRDefault="004B071C" w:rsidP="004E680E">
            <w:pPr>
              <w:rPr>
                <w:rFonts w:ascii="Constantia" w:hAnsi="Constantia"/>
                <w:b/>
                <w:bCs/>
                <w:iCs/>
                <w:color w:val="000000"/>
                <w:spacing w:val="8"/>
                <w:szCs w:val="22"/>
                <w:lang w:val="sr-Latn-CS"/>
              </w:rPr>
            </w:pPr>
          </w:p>
        </w:tc>
        <w:tc>
          <w:tcPr>
            <w:tcW w:w="1800" w:type="dxa"/>
            <w:shd w:val="clear" w:color="auto" w:fill="E6EED5"/>
          </w:tcPr>
          <w:p w:rsidR="004B071C" w:rsidRPr="00541693" w:rsidRDefault="004B071C" w:rsidP="004E680E">
            <w:pPr>
              <w:rPr>
                <w:rFonts w:ascii="Constantia" w:hAnsi="Constantia"/>
                <w:b/>
                <w:bCs/>
                <w:iCs/>
                <w:color w:val="000000"/>
                <w:spacing w:val="8"/>
                <w:szCs w:val="22"/>
                <w:lang w:val="sr-Latn-CS"/>
              </w:rPr>
            </w:pPr>
            <w:r w:rsidRPr="00541693">
              <w:rPr>
                <w:rFonts w:ascii="Constantia" w:hAnsi="Constantia"/>
                <w:iCs/>
                <w:color w:val="000000"/>
                <w:spacing w:val="8"/>
                <w:szCs w:val="22"/>
                <w:lang w:val="sr-Latn-CS"/>
              </w:rPr>
              <w:t>Ostale vrste/staništa</w:t>
            </w:r>
          </w:p>
        </w:tc>
        <w:tc>
          <w:tcPr>
            <w:tcW w:w="5220" w:type="dxa"/>
            <w:shd w:val="clear" w:color="auto" w:fill="E6EED5"/>
          </w:tcPr>
          <w:p w:rsidR="004B071C" w:rsidRPr="00541693" w:rsidRDefault="002A4048" w:rsidP="00541693">
            <w:pPr>
              <w:rPr>
                <w:rFonts w:ascii="Constantia" w:hAnsi="Constantia"/>
                <w:bCs/>
                <w:iCs/>
                <w:color w:val="000000"/>
                <w:spacing w:val="8"/>
                <w:szCs w:val="22"/>
                <w:lang w:val="sr-Latn-CS"/>
              </w:rPr>
            </w:pPr>
            <w:r w:rsidRPr="00541693">
              <w:rPr>
                <w:rFonts w:ascii="Constantia" w:eastAsia="Calibri" w:hAnsi="Constantia"/>
                <w:iCs/>
                <w:szCs w:val="22"/>
                <w:lang w:val="sr-Latn-CS"/>
              </w:rPr>
              <w:t>S</w:t>
            </w:r>
            <w:r w:rsidR="004B071C" w:rsidRPr="00541693">
              <w:rPr>
                <w:rFonts w:ascii="Constantia" w:eastAsia="Calibri" w:hAnsi="Constantia"/>
                <w:iCs/>
                <w:szCs w:val="22"/>
                <w:lang w:val="sr-Latn-CS"/>
              </w:rPr>
              <w:t>iva joha</w:t>
            </w:r>
            <w:r w:rsidR="004B071C" w:rsidRPr="00541693">
              <w:rPr>
                <w:rFonts w:ascii="Constantia" w:eastAsia="Calibri" w:hAnsi="Constantia"/>
                <w:i/>
                <w:iCs/>
                <w:szCs w:val="22"/>
                <w:lang w:val="sr-Latn-CS"/>
              </w:rPr>
              <w:t xml:space="preserve"> (Alnus incana</w:t>
            </w:r>
            <w:r w:rsidR="004B071C" w:rsidRPr="00541693">
              <w:rPr>
                <w:rFonts w:ascii="Constantia" w:eastAsia="Calibri" w:hAnsi="Constantia"/>
                <w:iCs/>
                <w:szCs w:val="22"/>
                <w:lang w:val="sr-Latn-CS"/>
              </w:rPr>
              <w:t>), košarasta vrba (</w:t>
            </w:r>
            <w:r w:rsidR="004B071C" w:rsidRPr="00541693">
              <w:rPr>
                <w:rFonts w:ascii="Constantia" w:eastAsia="Calibri" w:hAnsi="Constantia"/>
                <w:i/>
                <w:iCs/>
                <w:szCs w:val="22"/>
                <w:lang w:val="sr-Latn-CS"/>
              </w:rPr>
              <w:t>Salix viminalis</w:t>
            </w:r>
            <w:r w:rsidR="004B071C" w:rsidRPr="00541693">
              <w:rPr>
                <w:rFonts w:ascii="Constantia" w:eastAsia="Calibri" w:hAnsi="Constantia"/>
                <w:iCs/>
                <w:szCs w:val="22"/>
                <w:lang w:val="sr-Latn-CS"/>
              </w:rPr>
              <w:t>), lijeska (Corylus avellana), bukva (</w:t>
            </w:r>
            <w:r w:rsidR="004B071C" w:rsidRPr="00541693">
              <w:rPr>
                <w:rFonts w:ascii="Constantia" w:eastAsia="Calibri" w:hAnsi="Constantia"/>
                <w:i/>
                <w:iCs/>
                <w:szCs w:val="22"/>
                <w:lang w:val="sr-Latn-CS"/>
              </w:rPr>
              <w:t>Fagus moesiaca</w:t>
            </w:r>
            <w:r w:rsidR="004B071C" w:rsidRPr="00541693">
              <w:rPr>
                <w:rFonts w:ascii="Constantia" w:eastAsia="Calibri" w:hAnsi="Constantia"/>
                <w:iCs/>
                <w:szCs w:val="22"/>
                <w:lang w:val="sr-Latn-CS"/>
              </w:rPr>
              <w:t>), crni grab (</w:t>
            </w:r>
            <w:r w:rsidR="004B071C" w:rsidRPr="00541693">
              <w:rPr>
                <w:rFonts w:ascii="Constantia" w:eastAsia="Calibri" w:hAnsi="Constantia"/>
                <w:i/>
                <w:iCs/>
                <w:szCs w:val="22"/>
                <w:lang w:val="sr-Latn-CS"/>
              </w:rPr>
              <w:t>Ostrya carpinifolia</w:t>
            </w:r>
            <w:r w:rsidR="004B071C" w:rsidRPr="00541693">
              <w:rPr>
                <w:rFonts w:ascii="Constantia" w:eastAsia="Calibri" w:hAnsi="Constantia"/>
                <w:iCs/>
                <w:szCs w:val="22"/>
                <w:lang w:val="sr-Latn-CS"/>
              </w:rPr>
              <w:t>)</w:t>
            </w:r>
          </w:p>
        </w:tc>
      </w:tr>
      <w:tr w:rsidR="004B071C" w:rsidRPr="00541693" w:rsidTr="002A4048">
        <w:trPr>
          <w:trHeight w:val="766"/>
        </w:trPr>
        <w:tc>
          <w:tcPr>
            <w:tcW w:w="1890" w:type="dxa"/>
            <w:vMerge/>
            <w:shd w:val="clear" w:color="auto" w:fill="CDDDAC"/>
          </w:tcPr>
          <w:p w:rsidR="004B071C" w:rsidRPr="00541693" w:rsidRDefault="004B071C" w:rsidP="004E680E">
            <w:pPr>
              <w:rPr>
                <w:rFonts w:ascii="Constantia" w:hAnsi="Constantia"/>
                <w:b/>
                <w:bCs/>
                <w:iCs/>
                <w:color w:val="000000"/>
                <w:spacing w:val="8"/>
                <w:szCs w:val="22"/>
                <w:lang w:val="sr-Latn-CS"/>
              </w:rPr>
            </w:pPr>
          </w:p>
        </w:tc>
        <w:tc>
          <w:tcPr>
            <w:tcW w:w="1800" w:type="dxa"/>
            <w:shd w:val="clear" w:color="auto" w:fill="CDDDAC"/>
          </w:tcPr>
          <w:p w:rsidR="004B071C" w:rsidRPr="00541693" w:rsidRDefault="004B071C" w:rsidP="004E680E">
            <w:pPr>
              <w:rPr>
                <w:rFonts w:ascii="Constantia" w:hAnsi="Constantia"/>
                <w:b/>
                <w:bCs/>
                <w:iCs/>
                <w:color w:val="000000"/>
                <w:spacing w:val="8"/>
                <w:szCs w:val="22"/>
                <w:lang w:val="sr-Latn-CS"/>
              </w:rPr>
            </w:pPr>
            <w:r w:rsidRPr="00541693">
              <w:rPr>
                <w:rFonts w:ascii="Constantia" w:hAnsi="Constantia"/>
                <w:iCs/>
                <w:color w:val="000000"/>
                <w:spacing w:val="8"/>
                <w:szCs w:val="22"/>
                <w:lang w:val="sr-Latn-CS"/>
              </w:rPr>
              <w:t>Utvrđeno stanje</w:t>
            </w:r>
          </w:p>
        </w:tc>
        <w:tc>
          <w:tcPr>
            <w:tcW w:w="5220" w:type="dxa"/>
            <w:shd w:val="clear" w:color="auto" w:fill="CDDDAC"/>
          </w:tcPr>
          <w:p w:rsidR="004B071C" w:rsidRPr="00541693" w:rsidRDefault="002A4048" w:rsidP="00541693">
            <w:pPr>
              <w:rPr>
                <w:rFonts w:ascii="Constantia" w:eastAsia="Calibri" w:hAnsi="Constantia"/>
                <w:szCs w:val="22"/>
                <w:lang w:val="sr-Latn-CS"/>
              </w:rPr>
            </w:pPr>
            <w:r w:rsidRPr="00541693">
              <w:rPr>
                <w:rFonts w:ascii="Constantia" w:eastAsia="Calibri" w:hAnsi="Constantia"/>
                <w:iCs/>
                <w:szCs w:val="22"/>
                <w:lang w:val="sr-Latn-CS"/>
              </w:rPr>
              <w:t xml:space="preserve">Siva </w:t>
            </w:r>
            <w:r w:rsidR="004B071C" w:rsidRPr="00541693">
              <w:rPr>
                <w:rFonts w:ascii="Constantia" w:eastAsia="Calibri" w:hAnsi="Constantia"/>
                <w:iCs/>
                <w:szCs w:val="22"/>
                <w:lang w:val="sr-Latn-CS"/>
              </w:rPr>
              <w:t>joha</w:t>
            </w:r>
            <w:r w:rsidR="004B071C" w:rsidRPr="00541693">
              <w:rPr>
                <w:rFonts w:ascii="Constantia" w:eastAsia="Calibri" w:hAnsi="Constantia"/>
                <w:i/>
                <w:iCs/>
                <w:szCs w:val="22"/>
                <w:lang w:val="sr-Latn-CS"/>
              </w:rPr>
              <w:t xml:space="preserve"> (Alnus incana</w:t>
            </w:r>
            <w:r w:rsidR="004B071C" w:rsidRPr="00541693">
              <w:rPr>
                <w:rFonts w:ascii="Constantia" w:eastAsia="Calibri" w:hAnsi="Constantia"/>
                <w:iCs/>
                <w:szCs w:val="22"/>
                <w:lang w:val="sr-Latn-CS"/>
              </w:rPr>
              <w:t>), košarasta vrba (</w:t>
            </w:r>
            <w:r w:rsidR="004B071C" w:rsidRPr="00541693">
              <w:rPr>
                <w:rFonts w:ascii="Constantia" w:eastAsia="Calibri" w:hAnsi="Constantia"/>
                <w:i/>
                <w:iCs/>
                <w:szCs w:val="22"/>
                <w:lang w:val="sr-Latn-CS"/>
              </w:rPr>
              <w:t>Salix viminalis</w:t>
            </w:r>
            <w:r w:rsidR="004B071C" w:rsidRPr="00541693">
              <w:rPr>
                <w:rFonts w:ascii="Constantia" w:eastAsia="Calibri" w:hAnsi="Constantia"/>
                <w:iCs/>
                <w:szCs w:val="22"/>
                <w:lang w:val="sr-Latn-CS"/>
              </w:rPr>
              <w:t>) i lijeska (</w:t>
            </w:r>
            <w:r w:rsidR="004B071C" w:rsidRPr="00541693">
              <w:rPr>
                <w:rFonts w:ascii="Constantia" w:eastAsia="Calibri" w:hAnsi="Constantia"/>
                <w:i/>
                <w:iCs/>
                <w:szCs w:val="22"/>
                <w:lang w:val="sr-Latn-CS"/>
              </w:rPr>
              <w:t>Corylus avellana</w:t>
            </w:r>
            <w:r w:rsidR="004B071C" w:rsidRPr="00541693">
              <w:rPr>
                <w:rFonts w:ascii="Constantia" w:eastAsia="Calibri" w:hAnsi="Constantia"/>
                <w:iCs/>
                <w:szCs w:val="22"/>
                <w:lang w:val="sr-Latn-CS"/>
              </w:rPr>
              <w:t xml:space="preserve">). Od ostalih vrsta dendroflore s manjom brojnošću tu su zastupljene: </w:t>
            </w:r>
            <w:r w:rsidR="004B071C" w:rsidRPr="00541693">
              <w:rPr>
                <w:rFonts w:ascii="Constantia" w:eastAsia="Calibri" w:hAnsi="Constantia"/>
                <w:szCs w:val="22"/>
                <w:lang w:val="sr-Latn-CS"/>
              </w:rPr>
              <w:t>siva vrba (</w:t>
            </w:r>
            <w:r w:rsidR="004B071C" w:rsidRPr="00541693">
              <w:rPr>
                <w:rFonts w:ascii="Constantia" w:eastAsia="Calibri" w:hAnsi="Constantia"/>
                <w:i/>
                <w:szCs w:val="22"/>
                <w:lang w:val="sr-Latn-CS"/>
              </w:rPr>
              <w:t>Salix cinerea</w:t>
            </w:r>
            <w:r w:rsidR="004B071C" w:rsidRPr="00541693">
              <w:rPr>
                <w:rFonts w:ascii="Constantia" w:eastAsia="Calibri" w:hAnsi="Constantia"/>
                <w:szCs w:val="22"/>
                <w:lang w:val="sr-Latn-CS"/>
              </w:rPr>
              <w:t>), krvovina (</w:t>
            </w:r>
            <w:r w:rsidR="004B071C" w:rsidRPr="00541693">
              <w:rPr>
                <w:rFonts w:ascii="Constantia" w:eastAsia="Calibri" w:hAnsi="Constantia"/>
                <w:i/>
                <w:szCs w:val="22"/>
                <w:lang w:val="sr-Latn-CS"/>
              </w:rPr>
              <w:t>Cornus sanguinea</w:t>
            </w:r>
            <w:r w:rsidR="004B071C" w:rsidRPr="00541693">
              <w:rPr>
                <w:rFonts w:ascii="Constantia" w:eastAsia="Calibri" w:hAnsi="Constantia"/>
                <w:szCs w:val="22"/>
                <w:lang w:val="sr-Latn-CS"/>
              </w:rPr>
              <w:t>), pavit (</w:t>
            </w:r>
            <w:r w:rsidR="004B071C" w:rsidRPr="00541693">
              <w:rPr>
                <w:rFonts w:ascii="Constantia" w:eastAsia="Calibri" w:hAnsi="Constantia"/>
                <w:i/>
                <w:szCs w:val="22"/>
                <w:lang w:val="sr-Latn-CS"/>
              </w:rPr>
              <w:t>Clematis vitalba</w:t>
            </w:r>
            <w:r w:rsidR="004B071C" w:rsidRPr="00541693">
              <w:rPr>
                <w:rFonts w:ascii="Constantia" w:eastAsia="Calibri" w:hAnsi="Constantia"/>
                <w:szCs w:val="22"/>
                <w:lang w:val="sr-Latn-CS"/>
              </w:rPr>
              <w:t>) i kupina (</w:t>
            </w:r>
            <w:r w:rsidR="004B071C" w:rsidRPr="00541693">
              <w:rPr>
                <w:rFonts w:ascii="Constantia" w:eastAsia="Calibri" w:hAnsi="Constantia"/>
                <w:i/>
                <w:szCs w:val="22"/>
                <w:lang w:val="sr-Latn-CS"/>
              </w:rPr>
              <w:t>Rubus discolor</w:t>
            </w:r>
            <w:r w:rsidR="004B071C" w:rsidRPr="00541693">
              <w:rPr>
                <w:rFonts w:ascii="Constantia" w:eastAsia="Calibri" w:hAnsi="Constantia"/>
                <w:szCs w:val="22"/>
                <w:lang w:val="sr-Latn-CS"/>
              </w:rPr>
              <w:t>) s ponekim stablom crnog graba (</w:t>
            </w:r>
            <w:r w:rsidR="004B071C" w:rsidRPr="00541693">
              <w:rPr>
                <w:rFonts w:ascii="Constantia" w:eastAsia="Calibri" w:hAnsi="Constantia"/>
                <w:i/>
                <w:szCs w:val="22"/>
                <w:lang w:val="sr-Latn-CS"/>
              </w:rPr>
              <w:t>Ostrya carpinifolia</w:t>
            </w:r>
            <w:r w:rsidR="004B071C" w:rsidRPr="00541693">
              <w:rPr>
                <w:rFonts w:ascii="Constantia" w:eastAsia="Calibri" w:hAnsi="Constantia"/>
                <w:szCs w:val="22"/>
                <w:lang w:val="sr-Latn-CS"/>
              </w:rPr>
              <w:t>), jasike trepetljike (</w:t>
            </w:r>
            <w:r w:rsidR="004B071C" w:rsidRPr="00541693">
              <w:rPr>
                <w:rFonts w:ascii="Constantia" w:eastAsia="Calibri" w:hAnsi="Constantia"/>
                <w:i/>
                <w:szCs w:val="22"/>
                <w:lang w:val="sr-Latn-CS"/>
              </w:rPr>
              <w:t>Populus tremula</w:t>
            </w:r>
            <w:r w:rsidR="004B071C" w:rsidRPr="00541693">
              <w:rPr>
                <w:rFonts w:ascii="Constantia" w:eastAsia="Calibri" w:hAnsi="Constantia"/>
                <w:szCs w:val="22"/>
                <w:lang w:val="sr-Latn-CS"/>
              </w:rPr>
              <w:t>),</w:t>
            </w:r>
            <w:r w:rsidRPr="00541693">
              <w:rPr>
                <w:rFonts w:ascii="Constantia" w:eastAsia="Calibri" w:hAnsi="Constantia"/>
                <w:szCs w:val="22"/>
                <w:lang w:val="sr-Latn-CS"/>
              </w:rPr>
              <w:t xml:space="preserve"> </w:t>
            </w:r>
            <w:r w:rsidR="004B071C" w:rsidRPr="00541693">
              <w:rPr>
                <w:rFonts w:ascii="Constantia" w:eastAsia="Calibri" w:hAnsi="Constantia"/>
                <w:szCs w:val="22"/>
                <w:lang w:val="sr-Latn-CS"/>
              </w:rPr>
              <w:t>gorskog jasena (</w:t>
            </w:r>
            <w:r w:rsidR="004B071C" w:rsidRPr="00541693">
              <w:rPr>
                <w:rFonts w:ascii="Constantia" w:eastAsia="Calibri" w:hAnsi="Constantia"/>
                <w:i/>
                <w:szCs w:val="22"/>
                <w:lang w:val="sr-Latn-CS"/>
              </w:rPr>
              <w:t xml:space="preserve">Fraxinus </w:t>
            </w:r>
            <w:r w:rsidR="004B071C" w:rsidRPr="00541693">
              <w:rPr>
                <w:rFonts w:ascii="Constantia" w:eastAsia="Calibri" w:hAnsi="Constantia"/>
                <w:i/>
                <w:szCs w:val="22"/>
                <w:lang w:val="sr-Latn-CS"/>
              </w:rPr>
              <w:lastRenderedPageBreak/>
              <w:t>excelsior</w:t>
            </w:r>
            <w:r w:rsidR="004B071C" w:rsidRPr="00541693">
              <w:rPr>
                <w:rFonts w:ascii="Constantia" w:eastAsia="Calibri" w:hAnsi="Constantia"/>
                <w:szCs w:val="22"/>
                <w:lang w:val="sr-Latn-CS"/>
              </w:rPr>
              <w:t>), divlje jabuke (</w:t>
            </w:r>
            <w:r w:rsidR="004B071C" w:rsidRPr="00541693">
              <w:rPr>
                <w:rFonts w:ascii="Constantia" w:eastAsia="Calibri" w:hAnsi="Constantia"/>
                <w:i/>
                <w:szCs w:val="22"/>
                <w:lang w:val="sr-Latn-CS"/>
              </w:rPr>
              <w:t>Malus sylvestris</w:t>
            </w:r>
            <w:r w:rsidR="004B071C" w:rsidRPr="00541693">
              <w:rPr>
                <w:rFonts w:ascii="Constantia" w:eastAsia="Calibri" w:hAnsi="Constantia"/>
                <w:szCs w:val="22"/>
                <w:lang w:val="sr-Latn-CS"/>
              </w:rPr>
              <w:t>), te ponekim žbunom crne zove (</w:t>
            </w:r>
            <w:r w:rsidR="004B071C" w:rsidRPr="00541693">
              <w:rPr>
                <w:rFonts w:ascii="Constantia" w:eastAsia="Calibri" w:hAnsi="Constantia"/>
                <w:i/>
                <w:szCs w:val="22"/>
                <w:lang w:val="sr-Latn-CS"/>
              </w:rPr>
              <w:t>Sambucus nigra</w:t>
            </w:r>
            <w:r w:rsidR="004B071C" w:rsidRPr="00541693">
              <w:rPr>
                <w:rFonts w:ascii="Constantia" w:eastAsia="Calibri" w:hAnsi="Constantia"/>
                <w:szCs w:val="22"/>
                <w:lang w:val="sr-Latn-CS"/>
              </w:rPr>
              <w:t>), divlje ruže (</w:t>
            </w:r>
            <w:r w:rsidR="004B071C" w:rsidRPr="00541693">
              <w:rPr>
                <w:rFonts w:ascii="Constantia" w:eastAsia="Calibri" w:hAnsi="Constantia"/>
                <w:i/>
                <w:szCs w:val="22"/>
                <w:lang w:val="sr-Latn-CS"/>
              </w:rPr>
              <w:t>Rosa canina</w:t>
            </w:r>
            <w:r w:rsidR="004B071C" w:rsidRPr="00541693">
              <w:rPr>
                <w:rFonts w:ascii="Constantia" w:eastAsia="Calibri" w:hAnsi="Constantia"/>
                <w:szCs w:val="22"/>
                <w:lang w:val="sr-Latn-CS"/>
              </w:rPr>
              <w:t>),</w:t>
            </w:r>
            <w:r w:rsidRPr="00541693">
              <w:rPr>
                <w:rFonts w:ascii="Constantia" w:eastAsia="Calibri" w:hAnsi="Constantia"/>
                <w:szCs w:val="22"/>
                <w:lang w:val="sr-Latn-CS"/>
              </w:rPr>
              <w:t xml:space="preserve"> </w:t>
            </w:r>
            <w:r w:rsidR="004B071C" w:rsidRPr="00541693">
              <w:rPr>
                <w:rFonts w:ascii="Constantia" w:eastAsia="Calibri" w:hAnsi="Constantia"/>
                <w:szCs w:val="22"/>
                <w:lang w:val="sr-Latn-CS"/>
              </w:rPr>
              <w:t>gloga (</w:t>
            </w:r>
            <w:r w:rsidR="004B071C" w:rsidRPr="00541693">
              <w:rPr>
                <w:rFonts w:ascii="Constantia" w:eastAsia="Calibri" w:hAnsi="Constantia"/>
                <w:i/>
                <w:szCs w:val="22"/>
                <w:lang w:val="sr-Latn-CS"/>
              </w:rPr>
              <w:t>Crataegus monogyna</w:t>
            </w:r>
            <w:r w:rsidR="004B071C" w:rsidRPr="00541693">
              <w:rPr>
                <w:rFonts w:ascii="Constantia" w:eastAsia="Calibri" w:hAnsi="Constantia"/>
                <w:szCs w:val="22"/>
                <w:lang w:val="sr-Latn-CS"/>
              </w:rPr>
              <w:t>), obične kurike (</w:t>
            </w:r>
            <w:r w:rsidR="004B071C" w:rsidRPr="00541693">
              <w:rPr>
                <w:rFonts w:ascii="Constantia" w:eastAsia="Calibri" w:hAnsi="Constantia"/>
                <w:i/>
                <w:szCs w:val="22"/>
                <w:lang w:val="sr-Latn-CS"/>
              </w:rPr>
              <w:t>Evonymus europaea</w:t>
            </w:r>
            <w:r w:rsidR="004B071C" w:rsidRPr="00541693">
              <w:rPr>
                <w:rFonts w:ascii="Constantia" w:eastAsia="Calibri" w:hAnsi="Constantia"/>
                <w:szCs w:val="22"/>
                <w:lang w:val="sr-Latn-CS"/>
              </w:rPr>
              <w:t>) i drijena (</w:t>
            </w:r>
            <w:r w:rsidR="004B071C" w:rsidRPr="00541693">
              <w:rPr>
                <w:rFonts w:ascii="Constantia" w:eastAsia="Calibri" w:hAnsi="Constantia"/>
                <w:i/>
                <w:szCs w:val="22"/>
                <w:lang w:val="sr-Latn-CS"/>
              </w:rPr>
              <w:t>Cornus mas</w:t>
            </w:r>
            <w:r w:rsidR="004B071C" w:rsidRPr="00541693">
              <w:rPr>
                <w:rFonts w:ascii="Constantia" w:eastAsia="Calibri" w:hAnsi="Constantia"/>
                <w:szCs w:val="22"/>
                <w:lang w:val="sr-Latn-CS"/>
              </w:rPr>
              <w:t>).</w:t>
            </w:r>
          </w:p>
        </w:tc>
      </w:tr>
      <w:tr w:rsidR="004B071C" w:rsidRPr="00541693" w:rsidTr="002A4048">
        <w:trPr>
          <w:trHeight w:val="766"/>
        </w:trPr>
        <w:tc>
          <w:tcPr>
            <w:tcW w:w="1890" w:type="dxa"/>
            <w:vMerge w:val="restart"/>
            <w:shd w:val="clear" w:color="auto" w:fill="CDDDAC"/>
          </w:tcPr>
          <w:p w:rsidR="004B071C" w:rsidRPr="00541693" w:rsidRDefault="004B071C" w:rsidP="004E680E">
            <w:pPr>
              <w:rPr>
                <w:rFonts w:ascii="Constantia" w:hAnsi="Constantia"/>
                <w:b/>
                <w:bCs/>
                <w:iCs/>
                <w:color w:val="000000"/>
                <w:spacing w:val="8"/>
                <w:szCs w:val="22"/>
                <w:lang w:val="sr-Latn-CS"/>
              </w:rPr>
            </w:pPr>
            <w:r w:rsidRPr="00541693">
              <w:rPr>
                <w:rFonts w:ascii="Constantia" w:eastAsia="Calibri" w:hAnsi="Constantia"/>
                <w:szCs w:val="22"/>
                <w:lang w:val="sr-Latn-CS"/>
              </w:rPr>
              <w:lastRenderedPageBreak/>
              <w:t>Kanjon Trepačke rijeke</w:t>
            </w:r>
          </w:p>
        </w:tc>
        <w:tc>
          <w:tcPr>
            <w:tcW w:w="1800" w:type="dxa"/>
            <w:shd w:val="clear" w:color="auto" w:fill="CDDDAC"/>
          </w:tcPr>
          <w:p w:rsidR="004B071C" w:rsidRPr="00541693" w:rsidRDefault="004B071C" w:rsidP="002A4048">
            <w:pPr>
              <w:spacing w:after="0"/>
              <w:jc w:val="left"/>
              <w:rPr>
                <w:rFonts w:ascii="Constantia" w:hAnsi="Constantia"/>
                <w:bCs/>
                <w:iCs/>
                <w:color w:val="000000"/>
                <w:spacing w:val="8"/>
                <w:szCs w:val="22"/>
                <w:lang w:val="sr-Latn-CS"/>
              </w:rPr>
            </w:pPr>
            <w:r w:rsidRPr="00541693">
              <w:rPr>
                <w:rFonts w:ascii="Constantia" w:hAnsi="Constantia"/>
                <w:iCs/>
                <w:color w:val="000000"/>
                <w:spacing w:val="8"/>
                <w:szCs w:val="22"/>
                <w:lang w:val="sr-Latn-CS"/>
              </w:rPr>
              <w:t>Indi</w:t>
            </w:r>
            <w:r w:rsidRPr="00541693">
              <w:rPr>
                <w:rFonts w:ascii="Constantia" w:hAnsi="Constantia"/>
                <w:bCs/>
                <w:iCs/>
                <w:color w:val="000000"/>
                <w:spacing w:val="8"/>
                <w:szCs w:val="22"/>
                <w:lang w:val="sr-Latn-CS"/>
              </w:rPr>
              <w:t>katorske vrste (status zaštite)</w:t>
            </w:r>
          </w:p>
        </w:tc>
        <w:tc>
          <w:tcPr>
            <w:tcW w:w="5220" w:type="dxa"/>
            <w:shd w:val="clear" w:color="auto" w:fill="CDDDAC"/>
          </w:tcPr>
          <w:p w:rsidR="004B071C" w:rsidRPr="00541693" w:rsidRDefault="002A4048" w:rsidP="004E680E">
            <w:pPr>
              <w:spacing w:after="0"/>
              <w:rPr>
                <w:rFonts w:ascii="Constantia" w:hAnsi="Constantia"/>
                <w:bCs/>
                <w:iCs/>
                <w:color w:val="000000"/>
                <w:spacing w:val="8"/>
                <w:szCs w:val="22"/>
                <w:lang w:val="sr-Latn-CS"/>
              </w:rPr>
            </w:pPr>
            <w:r w:rsidRPr="00541693">
              <w:rPr>
                <w:rFonts w:ascii="Constantia" w:eastAsia="Calibri" w:hAnsi="Constantia"/>
                <w:szCs w:val="22"/>
                <w:lang w:val="sr-Latn-CS"/>
              </w:rPr>
              <w:t>N</w:t>
            </w:r>
            <w:r w:rsidR="004B071C" w:rsidRPr="00541693">
              <w:rPr>
                <w:rFonts w:ascii="Constantia" w:eastAsia="Calibri" w:hAnsi="Constantia"/>
                <w:szCs w:val="22"/>
                <w:lang w:val="sr-Latn-CS"/>
              </w:rPr>
              <w:t>isu registrovane</w:t>
            </w:r>
          </w:p>
        </w:tc>
      </w:tr>
      <w:tr w:rsidR="004B071C" w:rsidRPr="00541693" w:rsidTr="002A4048">
        <w:trPr>
          <w:trHeight w:val="766"/>
        </w:trPr>
        <w:tc>
          <w:tcPr>
            <w:tcW w:w="1890" w:type="dxa"/>
            <w:vMerge/>
            <w:shd w:val="clear" w:color="auto" w:fill="CDDDAC"/>
          </w:tcPr>
          <w:p w:rsidR="004B071C" w:rsidRPr="00541693" w:rsidRDefault="004B071C" w:rsidP="004E680E">
            <w:pPr>
              <w:rPr>
                <w:rFonts w:ascii="Constantia" w:hAnsi="Constantia"/>
                <w:b/>
                <w:bCs/>
                <w:iCs/>
                <w:color w:val="000000"/>
                <w:spacing w:val="8"/>
                <w:szCs w:val="22"/>
                <w:lang w:val="sr-Latn-CS"/>
              </w:rPr>
            </w:pPr>
          </w:p>
        </w:tc>
        <w:tc>
          <w:tcPr>
            <w:tcW w:w="1800" w:type="dxa"/>
            <w:shd w:val="clear" w:color="auto" w:fill="CDDDAC"/>
          </w:tcPr>
          <w:p w:rsidR="004B071C" w:rsidRPr="00541693" w:rsidRDefault="004B071C" w:rsidP="004E680E">
            <w:pPr>
              <w:rPr>
                <w:rFonts w:ascii="Constantia" w:hAnsi="Constantia"/>
                <w:b/>
                <w:bCs/>
                <w:iCs/>
                <w:color w:val="000000"/>
                <w:spacing w:val="8"/>
                <w:szCs w:val="22"/>
                <w:lang w:val="sr-Latn-CS"/>
              </w:rPr>
            </w:pPr>
            <w:r w:rsidRPr="00541693">
              <w:rPr>
                <w:rFonts w:ascii="Constantia" w:hAnsi="Constantia"/>
                <w:iCs/>
                <w:color w:val="000000"/>
                <w:spacing w:val="8"/>
                <w:szCs w:val="22"/>
                <w:lang w:val="sr-Latn-CS"/>
              </w:rPr>
              <w:t>Ostale vrste/staništa</w:t>
            </w:r>
          </w:p>
        </w:tc>
        <w:tc>
          <w:tcPr>
            <w:tcW w:w="5220" w:type="dxa"/>
            <w:shd w:val="clear" w:color="auto" w:fill="CDDDAC"/>
          </w:tcPr>
          <w:p w:rsidR="004B071C" w:rsidRPr="00541693" w:rsidRDefault="002A4048" w:rsidP="00541693">
            <w:pPr>
              <w:rPr>
                <w:rFonts w:ascii="Constantia" w:eastAsia="Calibri" w:hAnsi="Constantia"/>
                <w:bCs/>
                <w:iCs/>
                <w:szCs w:val="22"/>
                <w:lang w:val="sr-Latn-CS"/>
              </w:rPr>
            </w:pPr>
            <w:r w:rsidRPr="00541693">
              <w:rPr>
                <w:rFonts w:ascii="Constantia" w:eastAsia="Calibri" w:hAnsi="Constantia"/>
                <w:bCs/>
                <w:iCs/>
                <w:szCs w:val="22"/>
                <w:lang w:val="sr-Latn-CS"/>
              </w:rPr>
              <w:t>C</w:t>
            </w:r>
            <w:r w:rsidR="004B071C" w:rsidRPr="00541693">
              <w:rPr>
                <w:rFonts w:ascii="Constantia" w:eastAsia="Calibri" w:hAnsi="Constantia"/>
                <w:bCs/>
                <w:iCs/>
                <w:szCs w:val="22"/>
                <w:lang w:val="sr-Latn-CS"/>
              </w:rPr>
              <w:t>rna joha (</w:t>
            </w:r>
            <w:r w:rsidR="004B071C" w:rsidRPr="00541693">
              <w:rPr>
                <w:rFonts w:ascii="Constantia" w:eastAsia="Calibri" w:hAnsi="Constantia"/>
                <w:bCs/>
                <w:i/>
                <w:iCs/>
                <w:szCs w:val="22"/>
                <w:lang w:val="sr-Latn-CS"/>
              </w:rPr>
              <w:t>Alnus glutinosa</w:t>
            </w:r>
            <w:r w:rsidR="004B071C" w:rsidRPr="00541693">
              <w:rPr>
                <w:rFonts w:ascii="Constantia" w:eastAsia="Calibri" w:hAnsi="Constantia"/>
                <w:bCs/>
                <w:iCs/>
                <w:szCs w:val="22"/>
                <w:lang w:val="sr-Latn-CS"/>
              </w:rPr>
              <w:t>), vrba rakita (</w:t>
            </w:r>
            <w:r w:rsidR="004B071C" w:rsidRPr="00541693">
              <w:rPr>
                <w:rFonts w:ascii="Constantia" w:eastAsia="Calibri" w:hAnsi="Constantia"/>
                <w:bCs/>
                <w:i/>
                <w:iCs/>
                <w:szCs w:val="22"/>
                <w:lang w:val="sr-Latn-CS"/>
              </w:rPr>
              <w:t>Salix purpurea</w:t>
            </w:r>
            <w:r w:rsidR="004B071C" w:rsidRPr="00541693">
              <w:rPr>
                <w:rFonts w:ascii="Constantia" w:eastAsia="Calibri" w:hAnsi="Constantia"/>
                <w:bCs/>
                <w:iCs/>
                <w:szCs w:val="22"/>
                <w:lang w:val="sr-Latn-CS"/>
              </w:rPr>
              <w:t>), lijeska (</w:t>
            </w:r>
            <w:r w:rsidR="004B071C" w:rsidRPr="00541693">
              <w:rPr>
                <w:rFonts w:ascii="Constantia" w:eastAsia="Calibri" w:hAnsi="Constantia"/>
                <w:bCs/>
                <w:i/>
                <w:iCs/>
                <w:szCs w:val="22"/>
                <w:lang w:val="sr-Latn-CS"/>
              </w:rPr>
              <w:t>Corylus avellana</w:t>
            </w:r>
            <w:r w:rsidR="004B071C" w:rsidRPr="00541693">
              <w:rPr>
                <w:rFonts w:ascii="Constantia" w:eastAsia="Calibri" w:hAnsi="Constantia"/>
                <w:bCs/>
                <w:iCs/>
                <w:szCs w:val="22"/>
                <w:lang w:val="sr-Latn-CS"/>
              </w:rPr>
              <w:t>), hrast cer (</w:t>
            </w:r>
            <w:r w:rsidR="004B071C" w:rsidRPr="00541693">
              <w:rPr>
                <w:rFonts w:ascii="Constantia" w:eastAsia="Calibri" w:hAnsi="Constantia"/>
                <w:bCs/>
                <w:i/>
                <w:iCs/>
                <w:szCs w:val="22"/>
                <w:lang w:val="sr-Latn-CS"/>
              </w:rPr>
              <w:t>Quercus cerris</w:t>
            </w:r>
            <w:r w:rsidR="004B071C" w:rsidRPr="00541693">
              <w:rPr>
                <w:rFonts w:ascii="Constantia" w:eastAsia="Calibri" w:hAnsi="Constantia"/>
                <w:bCs/>
                <w:iCs/>
                <w:szCs w:val="22"/>
                <w:lang w:val="sr-Latn-CS"/>
              </w:rPr>
              <w:t>), crna zova (</w:t>
            </w:r>
            <w:r w:rsidR="004B071C" w:rsidRPr="00541693">
              <w:rPr>
                <w:rFonts w:ascii="Constantia" w:eastAsia="Calibri" w:hAnsi="Constantia"/>
                <w:bCs/>
                <w:i/>
                <w:iCs/>
                <w:szCs w:val="22"/>
                <w:lang w:val="sr-Latn-CS"/>
              </w:rPr>
              <w:t>Sambucus nigra</w:t>
            </w:r>
            <w:r w:rsidR="004B071C" w:rsidRPr="00541693">
              <w:rPr>
                <w:rFonts w:ascii="Constantia" w:eastAsia="Calibri" w:hAnsi="Constantia"/>
                <w:bCs/>
                <w:iCs/>
                <w:szCs w:val="22"/>
                <w:lang w:val="sr-Latn-CS"/>
              </w:rPr>
              <w:t>), pavit (</w:t>
            </w:r>
            <w:r w:rsidR="004B071C" w:rsidRPr="00541693">
              <w:rPr>
                <w:rFonts w:ascii="Constantia" w:eastAsia="Calibri" w:hAnsi="Constantia"/>
                <w:bCs/>
                <w:i/>
                <w:iCs/>
                <w:szCs w:val="22"/>
                <w:lang w:val="sr-Latn-CS"/>
              </w:rPr>
              <w:t>Clematis vitalba</w:t>
            </w:r>
            <w:r w:rsidR="004B071C" w:rsidRPr="00541693">
              <w:rPr>
                <w:rFonts w:ascii="Constantia" w:eastAsia="Calibri" w:hAnsi="Constantia"/>
                <w:bCs/>
                <w:iCs/>
                <w:szCs w:val="22"/>
                <w:lang w:val="sr-Latn-CS"/>
              </w:rPr>
              <w:t>).</w:t>
            </w:r>
          </w:p>
        </w:tc>
      </w:tr>
      <w:tr w:rsidR="004B071C" w:rsidRPr="00541693" w:rsidTr="002A4048">
        <w:trPr>
          <w:trHeight w:val="766"/>
        </w:trPr>
        <w:tc>
          <w:tcPr>
            <w:tcW w:w="1890" w:type="dxa"/>
            <w:vMerge/>
            <w:shd w:val="clear" w:color="auto" w:fill="CDDDAC"/>
          </w:tcPr>
          <w:p w:rsidR="004B071C" w:rsidRPr="00541693" w:rsidRDefault="004B071C" w:rsidP="004E680E">
            <w:pPr>
              <w:rPr>
                <w:rFonts w:ascii="Constantia" w:hAnsi="Constantia"/>
                <w:b/>
                <w:bCs/>
                <w:iCs/>
                <w:color w:val="000000"/>
                <w:spacing w:val="8"/>
                <w:szCs w:val="22"/>
                <w:lang w:val="sr-Latn-CS"/>
              </w:rPr>
            </w:pPr>
          </w:p>
        </w:tc>
        <w:tc>
          <w:tcPr>
            <w:tcW w:w="1800" w:type="dxa"/>
            <w:shd w:val="clear" w:color="auto" w:fill="CDDDAC"/>
          </w:tcPr>
          <w:p w:rsidR="004B071C" w:rsidRPr="00541693" w:rsidRDefault="004B071C" w:rsidP="004E680E">
            <w:pPr>
              <w:rPr>
                <w:rFonts w:ascii="Constantia" w:hAnsi="Constantia"/>
                <w:b/>
                <w:bCs/>
                <w:iCs/>
                <w:color w:val="000000"/>
                <w:spacing w:val="8"/>
                <w:szCs w:val="22"/>
                <w:lang w:val="sr-Latn-CS"/>
              </w:rPr>
            </w:pPr>
            <w:r w:rsidRPr="00541693">
              <w:rPr>
                <w:rFonts w:ascii="Constantia" w:hAnsi="Constantia"/>
                <w:iCs/>
                <w:color w:val="000000"/>
                <w:spacing w:val="8"/>
                <w:szCs w:val="22"/>
                <w:lang w:val="sr-Latn-CS"/>
              </w:rPr>
              <w:t>Utvrđeno stanje</w:t>
            </w:r>
          </w:p>
        </w:tc>
        <w:tc>
          <w:tcPr>
            <w:tcW w:w="5220" w:type="dxa"/>
            <w:shd w:val="clear" w:color="auto" w:fill="CDDDAC"/>
          </w:tcPr>
          <w:p w:rsidR="004B071C" w:rsidRPr="00541693" w:rsidRDefault="002A4048" w:rsidP="004E680E">
            <w:pPr>
              <w:spacing w:after="0"/>
              <w:rPr>
                <w:rFonts w:ascii="Constantia" w:eastAsia="Calibri" w:hAnsi="Constantia"/>
                <w:szCs w:val="22"/>
                <w:lang w:val="sr-Latn-CS"/>
              </w:rPr>
            </w:pPr>
            <w:r w:rsidRPr="00541693">
              <w:rPr>
                <w:rFonts w:ascii="Constantia" w:eastAsia="Calibri" w:hAnsi="Constantia"/>
                <w:szCs w:val="22"/>
                <w:lang w:val="sr-Latn-CS"/>
              </w:rPr>
              <w:t>(Alnus glutinosa) s</w:t>
            </w:r>
            <w:r w:rsidR="004B071C" w:rsidRPr="00541693">
              <w:rPr>
                <w:rFonts w:ascii="Constantia" w:eastAsia="Calibri" w:hAnsi="Constantia"/>
                <w:szCs w:val="22"/>
                <w:lang w:val="sr-Latn-CS"/>
              </w:rPr>
              <w:t xml:space="preserve"> nešto brojnijim učešćem vrbe rakite (</w:t>
            </w:r>
            <w:r w:rsidR="004B071C" w:rsidRPr="00541693">
              <w:rPr>
                <w:rFonts w:ascii="Constantia" w:eastAsia="Calibri" w:hAnsi="Constantia"/>
                <w:i/>
                <w:szCs w:val="22"/>
                <w:lang w:val="sr-Latn-CS"/>
              </w:rPr>
              <w:t>Salix purpurea</w:t>
            </w:r>
            <w:r w:rsidR="004B071C" w:rsidRPr="00541693">
              <w:rPr>
                <w:rFonts w:ascii="Constantia" w:eastAsia="Calibri" w:hAnsi="Constantia"/>
                <w:szCs w:val="22"/>
                <w:lang w:val="sr-Latn-CS"/>
              </w:rPr>
              <w:t>), crne zove (</w:t>
            </w:r>
            <w:r w:rsidR="004B071C" w:rsidRPr="00541693">
              <w:rPr>
                <w:rFonts w:ascii="Constantia" w:eastAsia="Calibri" w:hAnsi="Constantia"/>
                <w:i/>
                <w:szCs w:val="22"/>
                <w:lang w:val="sr-Latn-CS"/>
              </w:rPr>
              <w:t>Sambucus nigra</w:t>
            </w:r>
            <w:r w:rsidR="004B071C" w:rsidRPr="00541693">
              <w:rPr>
                <w:rFonts w:ascii="Constantia" w:eastAsia="Calibri" w:hAnsi="Constantia"/>
                <w:szCs w:val="22"/>
                <w:lang w:val="sr-Latn-CS"/>
              </w:rPr>
              <w:t>), paviti (</w:t>
            </w:r>
            <w:r w:rsidR="004B071C" w:rsidRPr="00541693">
              <w:rPr>
                <w:rFonts w:ascii="Constantia" w:eastAsia="Calibri" w:hAnsi="Constantia"/>
                <w:i/>
                <w:szCs w:val="22"/>
                <w:lang w:val="sr-Latn-CS"/>
              </w:rPr>
              <w:t>Clematis vitalba</w:t>
            </w:r>
            <w:r w:rsidR="004B071C" w:rsidRPr="00541693">
              <w:rPr>
                <w:rFonts w:ascii="Constantia" w:eastAsia="Calibri" w:hAnsi="Constantia"/>
                <w:szCs w:val="22"/>
                <w:lang w:val="sr-Latn-CS"/>
              </w:rPr>
              <w:t xml:space="preserve">), </w:t>
            </w:r>
            <w:r w:rsidR="004B071C" w:rsidRPr="00541693">
              <w:rPr>
                <w:rFonts w:ascii="Constantia" w:eastAsia="Calibri" w:hAnsi="Constantia"/>
                <w:bCs/>
                <w:iCs/>
                <w:szCs w:val="22"/>
                <w:lang w:val="sr-Latn-CS"/>
              </w:rPr>
              <w:t>lijeske (</w:t>
            </w:r>
            <w:r w:rsidR="004B071C" w:rsidRPr="00541693">
              <w:rPr>
                <w:rFonts w:ascii="Constantia" w:eastAsia="Calibri" w:hAnsi="Constantia"/>
                <w:bCs/>
                <w:i/>
                <w:iCs/>
                <w:szCs w:val="22"/>
                <w:lang w:val="sr-Latn-CS"/>
              </w:rPr>
              <w:t>Corylus avellana</w:t>
            </w:r>
            <w:r w:rsidR="004B071C" w:rsidRPr="00541693">
              <w:rPr>
                <w:rFonts w:ascii="Constantia" w:eastAsia="Calibri" w:hAnsi="Constantia"/>
                <w:bCs/>
                <w:iCs/>
                <w:szCs w:val="22"/>
                <w:lang w:val="sr-Latn-CS"/>
              </w:rPr>
              <w:t>)</w:t>
            </w:r>
            <w:r w:rsidR="004B071C" w:rsidRPr="00541693">
              <w:rPr>
                <w:rFonts w:ascii="Constantia" w:eastAsia="Calibri" w:hAnsi="Constantia"/>
                <w:szCs w:val="22"/>
                <w:lang w:val="sr-Latn-CS"/>
              </w:rPr>
              <w:t>,</w:t>
            </w:r>
            <w:r w:rsidRPr="00541693">
              <w:rPr>
                <w:rFonts w:ascii="Constantia" w:eastAsia="Calibri" w:hAnsi="Constantia"/>
                <w:szCs w:val="22"/>
                <w:lang w:val="sr-Latn-CS"/>
              </w:rPr>
              <w:t xml:space="preserve"> </w:t>
            </w:r>
            <w:r w:rsidR="004B071C" w:rsidRPr="00541693">
              <w:rPr>
                <w:rFonts w:ascii="Constantia" w:eastAsia="Calibri" w:hAnsi="Constantia"/>
                <w:szCs w:val="22"/>
                <w:lang w:val="sr-Latn-CS"/>
              </w:rPr>
              <w:t>te ponekim stablom sive vrbe (Salix cinerea), košaraste vrbe (</w:t>
            </w:r>
            <w:r w:rsidR="004B071C" w:rsidRPr="00541693">
              <w:rPr>
                <w:rFonts w:ascii="Constantia" w:eastAsia="Calibri" w:hAnsi="Constantia"/>
                <w:i/>
                <w:szCs w:val="22"/>
                <w:lang w:val="sr-Latn-CS"/>
              </w:rPr>
              <w:t>Salix viminalis</w:t>
            </w:r>
            <w:r w:rsidR="004B071C" w:rsidRPr="00541693">
              <w:rPr>
                <w:rFonts w:ascii="Constantia" w:eastAsia="Calibri" w:hAnsi="Constantia"/>
                <w:szCs w:val="22"/>
                <w:lang w:val="sr-Latn-CS"/>
              </w:rPr>
              <w:t>),</w:t>
            </w:r>
            <w:r w:rsidRPr="00541693">
              <w:rPr>
                <w:rFonts w:ascii="Constantia" w:eastAsia="Calibri" w:hAnsi="Constantia"/>
                <w:szCs w:val="22"/>
                <w:lang w:val="sr-Latn-CS"/>
              </w:rPr>
              <w:t xml:space="preserve"> </w:t>
            </w:r>
            <w:r w:rsidR="004B071C" w:rsidRPr="00541693">
              <w:rPr>
                <w:rFonts w:ascii="Constantia" w:eastAsia="Calibri" w:hAnsi="Constantia"/>
                <w:szCs w:val="22"/>
                <w:lang w:val="sr-Latn-CS"/>
              </w:rPr>
              <w:t>klena (</w:t>
            </w:r>
            <w:r w:rsidR="004B071C" w:rsidRPr="00541693">
              <w:rPr>
                <w:rFonts w:ascii="Constantia" w:eastAsia="Calibri" w:hAnsi="Constantia"/>
                <w:i/>
                <w:szCs w:val="22"/>
                <w:lang w:val="sr-Latn-CS"/>
              </w:rPr>
              <w:t>Acer campestre</w:t>
            </w:r>
            <w:r w:rsidR="004B071C" w:rsidRPr="00541693">
              <w:rPr>
                <w:rFonts w:ascii="Constantia" w:eastAsia="Calibri" w:hAnsi="Constantia"/>
                <w:szCs w:val="22"/>
                <w:lang w:val="sr-Latn-CS"/>
              </w:rPr>
              <w:t>), običnog oraha (</w:t>
            </w:r>
            <w:r w:rsidR="004B071C" w:rsidRPr="00541693">
              <w:rPr>
                <w:rFonts w:ascii="Constantia" w:eastAsia="Calibri" w:hAnsi="Constantia"/>
                <w:i/>
                <w:szCs w:val="22"/>
                <w:lang w:val="sr-Latn-CS"/>
              </w:rPr>
              <w:t>Juglans regia</w:t>
            </w:r>
            <w:r w:rsidR="004B071C" w:rsidRPr="00541693">
              <w:rPr>
                <w:rFonts w:ascii="Constantia" w:eastAsia="Calibri" w:hAnsi="Constantia"/>
                <w:szCs w:val="22"/>
                <w:lang w:val="sr-Latn-CS"/>
              </w:rPr>
              <w:t>), i ponekim žbunom kupine (</w:t>
            </w:r>
            <w:r w:rsidR="004B071C" w:rsidRPr="00541693">
              <w:rPr>
                <w:rFonts w:ascii="Constantia" w:eastAsia="Calibri" w:hAnsi="Constantia"/>
                <w:i/>
                <w:szCs w:val="22"/>
                <w:lang w:val="sr-Latn-CS"/>
              </w:rPr>
              <w:t>Rubus discolor</w:t>
            </w:r>
            <w:r w:rsidR="004B071C" w:rsidRPr="00541693">
              <w:rPr>
                <w:rFonts w:ascii="Constantia" w:eastAsia="Calibri" w:hAnsi="Constantia"/>
                <w:szCs w:val="22"/>
                <w:lang w:val="sr-Latn-CS"/>
              </w:rPr>
              <w:t xml:space="preserve">) i </w:t>
            </w:r>
            <w:r w:rsidRPr="00541693">
              <w:rPr>
                <w:rFonts w:ascii="Constantia" w:eastAsia="Calibri" w:hAnsi="Constantia"/>
                <w:szCs w:val="22"/>
                <w:lang w:val="sr-Latn-CS"/>
              </w:rPr>
              <w:t>(</w:t>
            </w:r>
            <w:r w:rsidR="004B071C" w:rsidRPr="00541693">
              <w:rPr>
                <w:rFonts w:ascii="Constantia" w:eastAsia="Calibri" w:hAnsi="Constantia"/>
                <w:i/>
                <w:szCs w:val="22"/>
                <w:lang w:val="sr-Latn-CS"/>
              </w:rPr>
              <w:t>Rubus caesius</w:t>
            </w:r>
            <w:r w:rsidR="004B071C" w:rsidRPr="00541693">
              <w:rPr>
                <w:rFonts w:ascii="Constantia" w:eastAsia="Calibri" w:hAnsi="Constantia"/>
                <w:szCs w:val="22"/>
                <w:lang w:val="sr-Latn-CS"/>
              </w:rPr>
              <w:t>), divlje ruže (</w:t>
            </w:r>
            <w:r w:rsidR="004B071C" w:rsidRPr="00541693">
              <w:rPr>
                <w:rFonts w:ascii="Constantia" w:eastAsia="Calibri" w:hAnsi="Constantia"/>
                <w:i/>
                <w:szCs w:val="22"/>
                <w:lang w:val="sr-Latn-CS"/>
              </w:rPr>
              <w:t>Rosa canina</w:t>
            </w:r>
            <w:r w:rsidR="004B071C" w:rsidRPr="00541693">
              <w:rPr>
                <w:rFonts w:ascii="Constantia" w:eastAsia="Calibri" w:hAnsi="Constantia"/>
                <w:szCs w:val="22"/>
                <w:lang w:val="sr-Latn-CS"/>
              </w:rPr>
              <w:t>), krvovine (</w:t>
            </w:r>
            <w:r w:rsidR="004B071C" w:rsidRPr="00541693">
              <w:rPr>
                <w:rFonts w:ascii="Constantia" w:eastAsia="Calibri" w:hAnsi="Constantia"/>
                <w:i/>
                <w:szCs w:val="22"/>
                <w:lang w:val="sr-Latn-CS"/>
              </w:rPr>
              <w:t>Cornus sanguinea</w:t>
            </w:r>
            <w:r w:rsidR="004B071C" w:rsidRPr="00541693">
              <w:rPr>
                <w:rFonts w:ascii="Constantia" w:eastAsia="Calibri" w:hAnsi="Constantia"/>
                <w:szCs w:val="22"/>
                <w:lang w:val="sr-Latn-CS"/>
              </w:rPr>
              <w:t>), obične kurike (</w:t>
            </w:r>
            <w:r w:rsidR="004B071C" w:rsidRPr="00541693">
              <w:rPr>
                <w:rFonts w:ascii="Constantia" w:eastAsia="Calibri" w:hAnsi="Constantia"/>
                <w:i/>
                <w:szCs w:val="22"/>
                <w:lang w:val="sr-Latn-CS"/>
              </w:rPr>
              <w:t>Evonymus europaea</w:t>
            </w:r>
            <w:r w:rsidR="004B071C" w:rsidRPr="00541693">
              <w:rPr>
                <w:rFonts w:ascii="Constantia" w:eastAsia="Calibri" w:hAnsi="Constantia"/>
                <w:szCs w:val="22"/>
                <w:lang w:val="sr-Latn-CS"/>
              </w:rPr>
              <w:t>) i maline (</w:t>
            </w:r>
            <w:r w:rsidR="004B071C" w:rsidRPr="00541693">
              <w:rPr>
                <w:rFonts w:ascii="Constantia" w:eastAsia="Calibri" w:hAnsi="Constantia"/>
                <w:i/>
                <w:szCs w:val="22"/>
                <w:lang w:val="sr-Latn-CS"/>
              </w:rPr>
              <w:t>Rubus idaeus</w:t>
            </w:r>
            <w:r w:rsidR="004B071C" w:rsidRPr="00541693">
              <w:rPr>
                <w:rFonts w:ascii="Constantia" w:eastAsia="Calibri" w:hAnsi="Constantia"/>
                <w:szCs w:val="22"/>
                <w:lang w:val="sr-Latn-CS"/>
              </w:rPr>
              <w:t>).</w:t>
            </w:r>
          </w:p>
          <w:p w:rsidR="004B071C" w:rsidRPr="00541693" w:rsidRDefault="004B071C" w:rsidP="004E680E">
            <w:pPr>
              <w:spacing w:after="0"/>
              <w:rPr>
                <w:rFonts w:ascii="Constantia" w:eastAsia="Calibri" w:hAnsi="Constantia"/>
                <w:szCs w:val="22"/>
                <w:lang w:val="sr-Latn-CS"/>
              </w:rPr>
            </w:pPr>
            <w:r w:rsidRPr="00541693">
              <w:rPr>
                <w:rFonts w:ascii="Constantia" w:eastAsia="Calibri" w:hAnsi="Constantia"/>
                <w:szCs w:val="22"/>
                <w:lang w:val="sr-Latn-CS"/>
              </w:rPr>
              <w:t>S desne strane toka rijeke (sjeverna ekspozicija), na 745 m nadm</w:t>
            </w:r>
            <w:r w:rsidR="002A4048" w:rsidRPr="00541693">
              <w:rPr>
                <w:rFonts w:ascii="Constantia" w:eastAsia="Calibri" w:hAnsi="Constantia"/>
                <w:szCs w:val="22"/>
                <w:lang w:val="sr-Latn-CS"/>
              </w:rPr>
              <w:t>.</w:t>
            </w:r>
            <w:r w:rsidRPr="00541693">
              <w:rPr>
                <w:rFonts w:ascii="Constantia" w:eastAsia="Calibri" w:hAnsi="Constantia"/>
                <w:szCs w:val="22"/>
                <w:lang w:val="sr-Latn-CS"/>
              </w:rPr>
              <w:t xml:space="preserve"> visine, konstatovana je mala sastojina ariša (</w:t>
            </w:r>
            <w:r w:rsidRPr="00541693">
              <w:rPr>
                <w:rFonts w:ascii="Constantia" w:eastAsia="Calibri" w:hAnsi="Constantia"/>
                <w:i/>
                <w:szCs w:val="22"/>
                <w:lang w:val="sr-Latn-CS"/>
              </w:rPr>
              <w:t>Larix decidua</w:t>
            </w:r>
            <w:r w:rsidRPr="00541693">
              <w:rPr>
                <w:rFonts w:ascii="Constantia" w:eastAsia="Calibri" w:hAnsi="Constantia"/>
                <w:szCs w:val="22"/>
                <w:lang w:val="sr-Latn-CS"/>
              </w:rPr>
              <w:t>) a odmah iznad nje je veća sastojina lijeske (</w:t>
            </w:r>
            <w:r w:rsidRPr="00541693">
              <w:rPr>
                <w:rFonts w:ascii="Constantia" w:eastAsia="Calibri" w:hAnsi="Constantia"/>
                <w:i/>
                <w:szCs w:val="22"/>
                <w:lang w:val="sr-Latn-CS"/>
              </w:rPr>
              <w:t>Corylus avellana</w:t>
            </w:r>
            <w:r w:rsidR="002A4048" w:rsidRPr="00541693">
              <w:rPr>
                <w:rFonts w:ascii="Constantia" w:eastAsia="Calibri" w:hAnsi="Constantia"/>
                <w:szCs w:val="22"/>
                <w:lang w:val="sr-Latn-CS"/>
              </w:rPr>
              <w:t xml:space="preserve">). Iznad ove sastojina, na 795 </w:t>
            </w:r>
            <w:r w:rsidRPr="00541693">
              <w:rPr>
                <w:rFonts w:ascii="Constantia" w:eastAsia="Calibri" w:hAnsi="Constantia"/>
                <w:szCs w:val="22"/>
                <w:lang w:val="sr-Latn-CS"/>
              </w:rPr>
              <w:t>m nadmorske visine je blaža zaravan sa velikom sastojinom običnog graba (</w:t>
            </w:r>
            <w:r w:rsidRPr="00541693">
              <w:rPr>
                <w:rFonts w:ascii="Constantia" w:eastAsia="Calibri" w:hAnsi="Constantia"/>
                <w:i/>
                <w:szCs w:val="22"/>
                <w:lang w:val="sr-Latn-CS"/>
              </w:rPr>
              <w:t>Carpinus betulus</w:t>
            </w:r>
            <w:r w:rsidRPr="00541693">
              <w:rPr>
                <w:rFonts w:ascii="Constantia" w:eastAsia="Calibri" w:hAnsi="Constantia"/>
                <w:szCs w:val="22"/>
                <w:lang w:val="sr-Latn-CS"/>
              </w:rPr>
              <w:t>) i ponekim stablom jasike trepetljike (</w:t>
            </w:r>
            <w:r w:rsidRPr="00541693">
              <w:rPr>
                <w:rFonts w:ascii="Constantia" w:eastAsia="Calibri" w:hAnsi="Constantia"/>
                <w:i/>
                <w:szCs w:val="22"/>
                <w:lang w:val="sr-Latn-CS"/>
              </w:rPr>
              <w:t>Populus tremula</w:t>
            </w:r>
            <w:r w:rsidRPr="00541693">
              <w:rPr>
                <w:rFonts w:ascii="Constantia" w:eastAsia="Calibri" w:hAnsi="Constantia"/>
                <w:szCs w:val="22"/>
                <w:lang w:val="sr-Latn-CS"/>
              </w:rPr>
              <w:t>). Iznad ove sastojine su velike sastojine mezijske bukve (</w:t>
            </w:r>
            <w:r w:rsidRPr="00541693">
              <w:rPr>
                <w:rFonts w:ascii="Constantia" w:eastAsia="Calibri" w:hAnsi="Constantia"/>
                <w:i/>
                <w:szCs w:val="22"/>
                <w:lang w:val="sr-Latn-CS"/>
              </w:rPr>
              <w:t>Fagus moesiaca</w:t>
            </w:r>
            <w:r w:rsidRPr="00541693">
              <w:rPr>
                <w:rFonts w:ascii="Constantia" w:eastAsia="Calibri" w:hAnsi="Constantia"/>
                <w:szCs w:val="22"/>
                <w:lang w:val="sr-Latn-CS"/>
              </w:rPr>
              <w:t xml:space="preserve">). </w:t>
            </w:r>
          </w:p>
          <w:p w:rsidR="004B071C" w:rsidRPr="00541693" w:rsidRDefault="002A4048" w:rsidP="00541693">
            <w:pPr>
              <w:rPr>
                <w:rFonts w:ascii="Constantia" w:eastAsia="Calibri" w:hAnsi="Constantia"/>
                <w:szCs w:val="22"/>
                <w:lang w:val="sr-Latn-CS"/>
              </w:rPr>
            </w:pPr>
            <w:r w:rsidRPr="00541693">
              <w:rPr>
                <w:rFonts w:ascii="Constantia" w:eastAsia="Calibri" w:hAnsi="Constantia"/>
                <w:szCs w:val="22"/>
                <w:lang w:val="sr-Latn-CS"/>
              </w:rPr>
              <w:t>S</w:t>
            </w:r>
            <w:r w:rsidR="004B071C" w:rsidRPr="00541693">
              <w:rPr>
                <w:rFonts w:ascii="Constantia" w:eastAsia="Calibri" w:hAnsi="Constantia"/>
                <w:szCs w:val="22"/>
                <w:lang w:val="sr-Latn-CS"/>
              </w:rPr>
              <w:t xml:space="preserve"> lijeve strane toka rijeke (južna ekspozicija), neposredno uz cestu je manja sastojina crnog bora (</w:t>
            </w:r>
            <w:r w:rsidR="004B071C" w:rsidRPr="00541693">
              <w:rPr>
                <w:rFonts w:ascii="Constantia" w:eastAsia="Calibri" w:hAnsi="Constantia"/>
                <w:i/>
                <w:szCs w:val="22"/>
                <w:lang w:val="sr-Latn-CS"/>
              </w:rPr>
              <w:t>Pinus nigra</w:t>
            </w:r>
            <w:r w:rsidR="004B071C" w:rsidRPr="00541693">
              <w:rPr>
                <w:rFonts w:ascii="Constantia" w:eastAsia="Calibri" w:hAnsi="Constantia"/>
                <w:szCs w:val="22"/>
                <w:lang w:val="sr-Latn-CS"/>
              </w:rPr>
              <w:t>) a iznad nje je velika sastojina hrasta cera (</w:t>
            </w:r>
            <w:r w:rsidR="004B071C" w:rsidRPr="00541693">
              <w:rPr>
                <w:rFonts w:ascii="Constantia" w:eastAsia="Calibri" w:hAnsi="Constantia"/>
                <w:i/>
                <w:szCs w:val="22"/>
                <w:lang w:val="sr-Latn-CS"/>
              </w:rPr>
              <w:t>Quercus cerris)</w:t>
            </w:r>
            <w:r w:rsidR="004B071C" w:rsidRPr="00541693">
              <w:rPr>
                <w:rFonts w:ascii="Constantia" w:eastAsia="Calibri" w:hAnsi="Constantia"/>
                <w:szCs w:val="22"/>
                <w:lang w:val="sr-Latn-CS"/>
              </w:rPr>
              <w:t xml:space="preserve"> s nešto brojnijim učrešćem paviti (</w:t>
            </w:r>
            <w:r w:rsidR="004B071C" w:rsidRPr="00541693">
              <w:rPr>
                <w:rFonts w:ascii="Constantia" w:eastAsia="Calibri" w:hAnsi="Constantia"/>
                <w:i/>
                <w:szCs w:val="22"/>
                <w:lang w:val="sr-Latn-CS"/>
              </w:rPr>
              <w:t>Clematis vitalba</w:t>
            </w:r>
            <w:r w:rsidR="004B071C" w:rsidRPr="00541693">
              <w:rPr>
                <w:rFonts w:ascii="Constantia" w:eastAsia="Calibri" w:hAnsi="Constantia"/>
                <w:szCs w:val="22"/>
                <w:lang w:val="sr-Latn-CS"/>
              </w:rPr>
              <w:t>), ponekim stablom klena (</w:t>
            </w:r>
            <w:r w:rsidR="004B071C" w:rsidRPr="00541693">
              <w:rPr>
                <w:rFonts w:ascii="Constantia" w:eastAsia="Calibri" w:hAnsi="Constantia"/>
                <w:i/>
                <w:szCs w:val="22"/>
                <w:lang w:val="sr-Latn-CS"/>
              </w:rPr>
              <w:t>Acer campestre</w:t>
            </w:r>
            <w:r w:rsidR="004B071C" w:rsidRPr="00541693">
              <w:rPr>
                <w:rFonts w:ascii="Constantia" w:eastAsia="Calibri" w:hAnsi="Constantia"/>
                <w:szCs w:val="22"/>
                <w:lang w:val="sr-Latn-CS"/>
              </w:rPr>
              <w:t>), običnog graba (</w:t>
            </w:r>
            <w:r w:rsidR="004B071C" w:rsidRPr="00541693">
              <w:rPr>
                <w:rFonts w:ascii="Constantia" w:eastAsia="Calibri" w:hAnsi="Constantia"/>
                <w:i/>
                <w:szCs w:val="22"/>
                <w:lang w:val="sr-Latn-CS"/>
              </w:rPr>
              <w:t>Carpinus betulus</w:t>
            </w:r>
            <w:r w:rsidR="004B071C" w:rsidRPr="00541693">
              <w:rPr>
                <w:rFonts w:ascii="Constantia" w:eastAsia="Calibri" w:hAnsi="Constantia"/>
                <w:szCs w:val="22"/>
                <w:lang w:val="sr-Latn-CS"/>
              </w:rPr>
              <w:t>), gorskog jasena (</w:t>
            </w:r>
            <w:r w:rsidR="004B071C" w:rsidRPr="00541693">
              <w:rPr>
                <w:rFonts w:ascii="Constantia" w:eastAsia="Calibri" w:hAnsi="Constantia"/>
                <w:i/>
                <w:szCs w:val="22"/>
                <w:lang w:val="sr-Latn-CS"/>
              </w:rPr>
              <w:t>Fraxinus excelsior</w:t>
            </w:r>
            <w:r w:rsidR="004B071C" w:rsidRPr="00541693">
              <w:rPr>
                <w:rFonts w:ascii="Constantia" w:eastAsia="Calibri" w:hAnsi="Constantia"/>
                <w:szCs w:val="22"/>
                <w:lang w:val="sr-Latn-CS"/>
              </w:rPr>
              <w:t>), sive vrbe (</w:t>
            </w:r>
            <w:r w:rsidR="004B071C" w:rsidRPr="00541693">
              <w:rPr>
                <w:rFonts w:ascii="Constantia" w:eastAsia="Calibri" w:hAnsi="Constantia"/>
                <w:i/>
                <w:szCs w:val="22"/>
                <w:lang w:val="sr-Latn-CS"/>
              </w:rPr>
              <w:t>Salix cinerea</w:t>
            </w:r>
            <w:r w:rsidR="004B071C" w:rsidRPr="00541693">
              <w:rPr>
                <w:rFonts w:ascii="Constantia" w:eastAsia="Calibri" w:hAnsi="Constantia"/>
                <w:szCs w:val="22"/>
                <w:lang w:val="sr-Latn-CS"/>
              </w:rPr>
              <w:t>), divlje jabuke (</w:t>
            </w:r>
            <w:r w:rsidR="004B071C" w:rsidRPr="00541693">
              <w:rPr>
                <w:rFonts w:ascii="Constantia" w:eastAsia="Calibri" w:hAnsi="Constantia"/>
                <w:i/>
                <w:szCs w:val="22"/>
                <w:lang w:val="sr-Latn-CS"/>
              </w:rPr>
              <w:t>Malus sylvestris</w:t>
            </w:r>
            <w:r w:rsidR="004B071C" w:rsidRPr="00541693">
              <w:rPr>
                <w:rFonts w:ascii="Constantia" w:eastAsia="Calibri" w:hAnsi="Constantia"/>
                <w:szCs w:val="22"/>
                <w:lang w:val="sr-Latn-CS"/>
              </w:rPr>
              <w:t>) i ponekim žbunom lijeske (</w:t>
            </w:r>
            <w:r w:rsidR="004B071C" w:rsidRPr="00541693">
              <w:rPr>
                <w:rFonts w:ascii="Constantia" w:eastAsia="Calibri" w:hAnsi="Constantia"/>
                <w:i/>
                <w:szCs w:val="22"/>
                <w:lang w:val="sr-Latn-CS"/>
              </w:rPr>
              <w:t>Corylus avellana</w:t>
            </w:r>
            <w:r w:rsidR="004B071C" w:rsidRPr="00541693">
              <w:rPr>
                <w:rFonts w:ascii="Constantia" w:eastAsia="Calibri" w:hAnsi="Constantia"/>
                <w:szCs w:val="22"/>
                <w:lang w:val="sr-Latn-CS"/>
              </w:rPr>
              <w:t>), divlje ruže (</w:t>
            </w:r>
            <w:r w:rsidR="004B071C" w:rsidRPr="00541693">
              <w:rPr>
                <w:rFonts w:ascii="Constantia" w:eastAsia="Calibri" w:hAnsi="Constantia"/>
                <w:i/>
                <w:szCs w:val="22"/>
                <w:lang w:val="sr-Latn-CS"/>
              </w:rPr>
              <w:t>Rosa canina</w:t>
            </w:r>
            <w:r w:rsidR="004B071C" w:rsidRPr="00541693">
              <w:rPr>
                <w:rFonts w:ascii="Constantia" w:eastAsia="Calibri" w:hAnsi="Constantia"/>
                <w:szCs w:val="22"/>
                <w:lang w:val="sr-Latn-CS"/>
              </w:rPr>
              <w:t>), gloga (</w:t>
            </w:r>
            <w:r w:rsidR="004B071C" w:rsidRPr="00541693">
              <w:rPr>
                <w:rFonts w:ascii="Constantia" w:eastAsia="Calibri" w:hAnsi="Constantia"/>
                <w:i/>
                <w:szCs w:val="22"/>
                <w:lang w:val="sr-Latn-CS"/>
              </w:rPr>
              <w:t>Crataegus monogyna</w:t>
            </w:r>
            <w:r w:rsidR="004B071C" w:rsidRPr="00541693">
              <w:rPr>
                <w:rFonts w:ascii="Constantia" w:eastAsia="Calibri" w:hAnsi="Constantia"/>
                <w:szCs w:val="22"/>
                <w:lang w:val="sr-Latn-CS"/>
              </w:rPr>
              <w:t>), krvovine (</w:t>
            </w:r>
            <w:r w:rsidR="004B071C" w:rsidRPr="00541693">
              <w:rPr>
                <w:rFonts w:ascii="Constantia" w:eastAsia="Calibri" w:hAnsi="Constantia"/>
                <w:i/>
                <w:szCs w:val="22"/>
                <w:lang w:val="sr-Latn-CS"/>
              </w:rPr>
              <w:t>Cornus sanguinea</w:t>
            </w:r>
            <w:r w:rsidR="004B071C" w:rsidRPr="00541693">
              <w:rPr>
                <w:rFonts w:ascii="Constantia" w:eastAsia="Calibri" w:hAnsi="Constantia"/>
                <w:szCs w:val="22"/>
                <w:lang w:val="sr-Latn-CS"/>
              </w:rPr>
              <w:t>) i kupine (</w:t>
            </w:r>
            <w:r w:rsidR="004B071C" w:rsidRPr="00541693">
              <w:rPr>
                <w:rFonts w:ascii="Constantia" w:eastAsia="Calibri" w:hAnsi="Constantia"/>
                <w:i/>
                <w:szCs w:val="22"/>
                <w:lang w:val="sr-Latn-CS"/>
              </w:rPr>
              <w:t>Rubus discolor</w:t>
            </w:r>
            <w:r w:rsidR="004B071C" w:rsidRPr="00541693">
              <w:rPr>
                <w:rFonts w:ascii="Constantia" w:eastAsia="Calibri" w:hAnsi="Constantia"/>
                <w:szCs w:val="22"/>
                <w:lang w:val="sr-Latn-CS"/>
              </w:rPr>
              <w:t>).</w:t>
            </w:r>
          </w:p>
        </w:tc>
      </w:tr>
    </w:tbl>
    <w:p w:rsidR="004B071C" w:rsidRDefault="00541693" w:rsidP="004B071C">
      <w:pPr>
        <w:pStyle w:val="Tabele"/>
        <w:spacing w:before="60" w:after="240"/>
        <w:ind w:left="714" w:hanging="357"/>
        <w:rPr>
          <w:rFonts w:ascii="Constantia" w:hAnsi="Constantia"/>
          <w:sz w:val="22"/>
          <w:szCs w:val="22"/>
        </w:rPr>
      </w:pPr>
      <w:r>
        <w:rPr>
          <w:rFonts w:ascii="Constantia" w:hAnsi="Constantia"/>
          <w:sz w:val="22"/>
          <w:szCs w:val="22"/>
        </w:rPr>
        <w:t xml:space="preserve"> </w:t>
      </w:r>
      <w:r w:rsidR="004B071C" w:rsidRPr="002A4048">
        <w:rPr>
          <w:rFonts w:ascii="Constantia" w:hAnsi="Constantia"/>
          <w:sz w:val="22"/>
          <w:szCs w:val="22"/>
        </w:rPr>
        <w:t>Dend</w:t>
      </w:r>
      <w:r w:rsidR="002A4048">
        <w:rPr>
          <w:rFonts w:ascii="Constantia" w:hAnsi="Constantia"/>
          <w:sz w:val="22"/>
          <w:szCs w:val="22"/>
        </w:rPr>
        <w:t>r</w:t>
      </w:r>
      <w:r w:rsidR="004B071C" w:rsidRPr="002A4048">
        <w:rPr>
          <w:rFonts w:ascii="Constantia" w:hAnsi="Constantia"/>
          <w:sz w:val="22"/>
          <w:szCs w:val="22"/>
        </w:rPr>
        <w:t>oflora</w:t>
      </w:r>
    </w:p>
    <w:p w:rsidR="00541693" w:rsidRDefault="00541693" w:rsidP="00541693">
      <w:pPr>
        <w:pStyle w:val="Tabele"/>
        <w:numPr>
          <w:ilvl w:val="0"/>
          <w:numId w:val="0"/>
        </w:numPr>
        <w:spacing w:before="60" w:after="240"/>
        <w:ind w:left="714"/>
        <w:jc w:val="both"/>
        <w:rPr>
          <w:rFonts w:ascii="Constantia" w:hAnsi="Constantia"/>
          <w:sz w:val="22"/>
          <w:szCs w:val="22"/>
        </w:rPr>
      </w:pPr>
    </w:p>
    <w:p w:rsidR="00541693" w:rsidRDefault="00541693" w:rsidP="00541693">
      <w:pPr>
        <w:pStyle w:val="Tabele"/>
        <w:numPr>
          <w:ilvl w:val="0"/>
          <w:numId w:val="0"/>
        </w:numPr>
        <w:spacing w:before="60" w:after="240"/>
        <w:ind w:left="714"/>
        <w:jc w:val="both"/>
        <w:rPr>
          <w:rFonts w:ascii="Constantia" w:hAnsi="Constantia"/>
          <w:sz w:val="22"/>
          <w:szCs w:val="22"/>
        </w:rPr>
      </w:pPr>
    </w:p>
    <w:p w:rsidR="00541693" w:rsidRPr="002A4048" w:rsidRDefault="00541693" w:rsidP="00541693">
      <w:pPr>
        <w:pStyle w:val="Tabele"/>
        <w:numPr>
          <w:ilvl w:val="0"/>
          <w:numId w:val="0"/>
        </w:numPr>
        <w:spacing w:before="60" w:after="240"/>
        <w:ind w:left="714"/>
        <w:jc w:val="both"/>
        <w:rPr>
          <w:rFonts w:ascii="Constantia" w:hAnsi="Constantia"/>
          <w:sz w:val="22"/>
          <w:szCs w:val="22"/>
        </w:rPr>
      </w:pPr>
    </w:p>
    <w:p w:rsidR="004B071C" w:rsidRPr="00667A3F" w:rsidRDefault="00667A3F" w:rsidP="00667A3F">
      <w:pPr>
        <w:pStyle w:val="Heading4"/>
        <w:numPr>
          <w:ilvl w:val="0"/>
          <w:numId w:val="0"/>
        </w:numPr>
        <w:ind w:left="1134" w:hanging="1134"/>
        <w:rPr>
          <w:sz w:val="22"/>
          <w:szCs w:val="22"/>
        </w:rPr>
      </w:pPr>
      <w:r>
        <w:rPr>
          <w:sz w:val="22"/>
          <w:szCs w:val="22"/>
        </w:rPr>
        <w:lastRenderedPageBreak/>
        <w:t xml:space="preserve">6.3.4.3  </w:t>
      </w:r>
      <w:r w:rsidR="004B071C" w:rsidRPr="00667A3F">
        <w:rPr>
          <w:sz w:val="22"/>
          <w:szCs w:val="22"/>
        </w:rPr>
        <w:t>Gljive</w:t>
      </w:r>
    </w:p>
    <w:p w:rsidR="004B071C" w:rsidRDefault="004B071C" w:rsidP="00667A3F">
      <w:pPr>
        <w:spacing w:before="60" w:after="0"/>
        <w:rPr>
          <w:i/>
          <w:szCs w:val="22"/>
          <w:lang w:val="sr-Latn-CS"/>
        </w:rPr>
      </w:pPr>
    </w:p>
    <w:tbl>
      <w:tblPr>
        <w:tblW w:w="8910" w:type="dxa"/>
        <w:tblInd w:w="108"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firstRow="1" w:lastRow="0" w:firstColumn="1" w:lastColumn="0" w:noHBand="0" w:noVBand="1"/>
      </w:tblPr>
      <w:tblGrid>
        <w:gridCol w:w="2430"/>
        <w:gridCol w:w="2340"/>
        <w:gridCol w:w="2200"/>
        <w:gridCol w:w="1940"/>
      </w:tblGrid>
      <w:tr w:rsidR="004B071C" w:rsidRPr="00CF6E9E" w:rsidTr="00667A3F">
        <w:tc>
          <w:tcPr>
            <w:tcW w:w="2430" w:type="dxa"/>
            <w:shd w:val="clear" w:color="auto" w:fill="E6EED5"/>
          </w:tcPr>
          <w:p w:rsidR="004B071C" w:rsidRPr="00CF6E9E" w:rsidRDefault="004B071C" w:rsidP="00667A3F">
            <w:pPr>
              <w:jc w:val="center"/>
              <w:rPr>
                <w:rFonts w:ascii="Constantia" w:hAnsi="Constantia"/>
                <w:b/>
                <w:bCs/>
                <w:szCs w:val="22"/>
              </w:rPr>
            </w:pPr>
            <w:r w:rsidRPr="00CF6E9E">
              <w:rPr>
                <w:rFonts w:ascii="Constantia" w:hAnsi="Constantia"/>
                <w:b/>
                <w:bCs/>
                <w:szCs w:val="22"/>
              </w:rPr>
              <w:t>Lokalitet</w:t>
            </w:r>
          </w:p>
        </w:tc>
        <w:tc>
          <w:tcPr>
            <w:tcW w:w="2340" w:type="dxa"/>
            <w:shd w:val="clear" w:color="auto" w:fill="E6EED5"/>
          </w:tcPr>
          <w:p w:rsidR="004B071C" w:rsidRPr="00CF6E9E" w:rsidRDefault="004B071C" w:rsidP="00667A3F">
            <w:pPr>
              <w:jc w:val="center"/>
              <w:rPr>
                <w:rFonts w:ascii="Constantia" w:hAnsi="Constantia"/>
                <w:b/>
                <w:bCs/>
                <w:szCs w:val="22"/>
              </w:rPr>
            </w:pPr>
            <w:r w:rsidRPr="00CF6E9E">
              <w:rPr>
                <w:rFonts w:ascii="Constantia" w:hAnsi="Constantia"/>
                <w:b/>
                <w:bCs/>
                <w:szCs w:val="22"/>
              </w:rPr>
              <w:t>Koordinate</w:t>
            </w:r>
          </w:p>
        </w:tc>
        <w:tc>
          <w:tcPr>
            <w:tcW w:w="2200" w:type="dxa"/>
            <w:shd w:val="clear" w:color="auto" w:fill="E6EED5"/>
          </w:tcPr>
          <w:p w:rsidR="004B071C" w:rsidRPr="00CF6E9E" w:rsidRDefault="004B071C" w:rsidP="00667A3F">
            <w:pPr>
              <w:spacing w:after="0"/>
              <w:jc w:val="center"/>
              <w:outlineLvl w:val="3"/>
              <w:rPr>
                <w:rFonts w:ascii="Constantia" w:hAnsi="Constantia"/>
                <w:b/>
                <w:bCs/>
                <w:szCs w:val="22"/>
              </w:rPr>
            </w:pPr>
            <w:r w:rsidRPr="00CF6E9E">
              <w:rPr>
                <w:rFonts w:ascii="Constantia" w:hAnsi="Constantia"/>
                <w:b/>
                <w:bCs/>
                <w:szCs w:val="22"/>
              </w:rPr>
              <w:t>Datum terenskih istraživanja</w:t>
            </w:r>
          </w:p>
        </w:tc>
        <w:tc>
          <w:tcPr>
            <w:tcW w:w="1940" w:type="dxa"/>
            <w:shd w:val="clear" w:color="auto" w:fill="E6EED5"/>
          </w:tcPr>
          <w:p w:rsidR="004B071C" w:rsidRPr="00CF6E9E" w:rsidRDefault="004B071C" w:rsidP="00667A3F">
            <w:pPr>
              <w:spacing w:after="0" w:line="280" w:lineRule="exact"/>
              <w:jc w:val="center"/>
              <w:outlineLvl w:val="3"/>
              <w:rPr>
                <w:rFonts w:ascii="Constantia" w:hAnsi="Constantia"/>
                <w:b/>
                <w:bCs/>
                <w:szCs w:val="22"/>
              </w:rPr>
            </w:pPr>
            <w:r w:rsidRPr="00CF6E9E">
              <w:rPr>
                <w:rFonts w:ascii="Constantia" w:hAnsi="Constantia"/>
                <w:b/>
                <w:bCs/>
                <w:szCs w:val="22"/>
              </w:rPr>
              <w:t>Nadmorska visina</w:t>
            </w:r>
          </w:p>
        </w:tc>
      </w:tr>
      <w:tr w:rsidR="004B071C" w:rsidRPr="00CF6E9E" w:rsidTr="00667A3F">
        <w:tc>
          <w:tcPr>
            <w:tcW w:w="2430" w:type="dxa"/>
            <w:shd w:val="clear" w:color="auto" w:fill="CDDDAC"/>
          </w:tcPr>
          <w:p w:rsidR="004B071C" w:rsidRPr="00CF6E9E" w:rsidRDefault="004B071C" w:rsidP="00720299">
            <w:pPr>
              <w:spacing w:after="0"/>
              <w:jc w:val="left"/>
              <w:rPr>
                <w:rFonts w:ascii="Constantia" w:hAnsi="Constantia"/>
                <w:b/>
                <w:bCs/>
                <w:szCs w:val="22"/>
              </w:rPr>
            </w:pPr>
            <w:r w:rsidRPr="00CF6E9E">
              <w:rPr>
                <w:rFonts w:ascii="Constantia" w:eastAsia="Calibri" w:hAnsi="Constantia"/>
                <w:b/>
                <w:szCs w:val="22"/>
                <w:lang w:val="sr-Latn-CS"/>
              </w:rPr>
              <w:t>Kanjon Murinske rijeke</w:t>
            </w:r>
          </w:p>
        </w:tc>
        <w:tc>
          <w:tcPr>
            <w:tcW w:w="2340" w:type="dxa"/>
            <w:shd w:val="clear" w:color="auto" w:fill="CDDDAC"/>
          </w:tcPr>
          <w:p w:rsidR="00667A3F" w:rsidRPr="00CF6E9E" w:rsidRDefault="004B071C" w:rsidP="00720299">
            <w:pPr>
              <w:spacing w:after="0"/>
              <w:jc w:val="center"/>
              <w:rPr>
                <w:rFonts w:ascii="Constantia" w:eastAsia="Calibri" w:hAnsi="Constantia"/>
                <w:szCs w:val="22"/>
                <w:lang w:val="sr-Latn-CS"/>
              </w:rPr>
            </w:pPr>
            <w:r w:rsidRPr="00CF6E9E">
              <w:rPr>
                <w:rFonts w:ascii="Constantia" w:eastAsia="Calibri" w:hAnsi="Constantia"/>
                <w:szCs w:val="22"/>
                <w:lang w:val="sr-Latn-CS"/>
              </w:rPr>
              <w:t xml:space="preserve">N 42° 38' 57.8´´ </w:t>
            </w:r>
          </w:p>
          <w:p w:rsidR="004B071C" w:rsidRPr="00CF6E9E" w:rsidRDefault="004B071C" w:rsidP="00720299">
            <w:pPr>
              <w:spacing w:after="0"/>
              <w:jc w:val="center"/>
              <w:rPr>
                <w:rFonts w:ascii="Constantia" w:hAnsi="Constantia"/>
                <w:b/>
                <w:bCs/>
                <w:szCs w:val="22"/>
              </w:rPr>
            </w:pPr>
            <w:r w:rsidRPr="00CF6E9E">
              <w:rPr>
                <w:rFonts w:ascii="Constantia" w:eastAsia="Calibri" w:hAnsi="Constantia"/>
                <w:szCs w:val="22"/>
                <w:lang w:val="sr-Latn-CS"/>
              </w:rPr>
              <w:t>EO 19° 52' 50.9''</w:t>
            </w:r>
          </w:p>
        </w:tc>
        <w:tc>
          <w:tcPr>
            <w:tcW w:w="2200" w:type="dxa"/>
            <w:shd w:val="clear" w:color="auto" w:fill="CDDDAC"/>
          </w:tcPr>
          <w:p w:rsidR="004B071C" w:rsidRPr="00CF6E9E" w:rsidRDefault="004B071C" w:rsidP="00720299">
            <w:pPr>
              <w:spacing w:after="0"/>
              <w:jc w:val="center"/>
              <w:rPr>
                <w:rFonts w:ascii="Constantia" w:hAnsi="Constantia"/>
                <w:szCs w:val="22"/>
              </w:rPr>
            </w:pPr>
            <w:r w:rsidRPr="00CF6E9E">
              <w:rPr>
                <w:rFonts w:ascii="Constantia" w:eastAsia="Calibri" w:hAnsi="Constantia"/>
                <w:szCs w:val="22"/>
                <w:lang w:val="sr-Latn-CS"/>
              </w:rPr>
              <w:t>03. 09. 2013.</w:t>
            </w:r>
          </w:p>
        </w:tc>
        <w:tc>
          <w:tcPr>
            <w:tcW w:w="1940" w:type="dxa"/>
            <w:shd w:val="clear" w:color="auto" w:fill="CDDDAC"/>
          </w:tcPr>
          <w:p w:rsidR="004B071C" w:rsidRPr="00CF6E9E" w:rsidRDefault="004B071C" w:rsidP="00720299">
            <w:pPr>
              <w:spacing w:after="0"/>
              <w:jc w:val="center"/>
              <w:rPr>
                <w:rFonts w:ascii="Constantia" w:hAnsi="Constantia"/>
                <w:szCs w:val="22"/>
              </w:rPr>
            </w:pPr>
            <w:r w:rsidRPr="00CF6E9E">
              <w:rPr>
                <w:rFonts w:ascii="Constantia" w:eastAsia="Calibri" w:hAnsi="Constantia"/>
                <w:szCs w:val="22"/>
                <w:lang w:val="sr-Latn-CS"/>
              </w:rPr>
              <w:t>903 m</w:t>
            </w:r>
          </w:p>
        </w:tc>
      </w:tr>
      <w:tr w:rsidR="004B071C" w:rsidRPr="00CF6E9E" w:rsidTr="00667A3F">
        <w:tc>
          <w:tcPr>
            <w:tcW w:w="2430" w:type="dxa"/>
            <w:shd w:val="clear" w:color="auto" w:fill="CDDDAC"/>
          </w:tcPr>
          <w:p w:rsidR="004B071C" w:rsidRPr="00CF6E9E" w:rsidRDefault="004B071C" w:rsidP="00720299">
            <w:pPr>
              <w:spacing w:after="0"/>
              <w:jc w:val="left"/>
              <w:rPr>
                <w:rFonts w:ascii="Constantia" w:hAnsi="Constantia"/>
                <w:b/>
                <w:bCs/>
                <w:szCs w:val="22"/>
              </w:rPr>
            </w:pPr>
            <w:r w:rsidRPr="00CF6E9E">
              <w:rPr>
                <w:rFonts w:ascii="Constantia" w:eastAsia="Calibri" w:hAnsi="Constantia"/>
                <w:b/>
                <w:szCs w:val="22"/>
                <w:lang w:val="sr-Latn-CS"/>
              </w:rPr>
              <w:t>Kanjon Trepačke rijeke</w:t>
            </w:r>
          </w:p>
        </w:tc>
        <w:tc>
          <w:tcPr>
            <w:tcW w:w="2340" w:type="dxa"/>
            <w:shd w:val="clear" w:color="auto" w:fill="CDDDAC"/>
          </w:tcPr>
          <w:p w:rsidR="00667A3F" w:rsidRPr="00CF6E9E" w:rsidRDefault="004B071C" w:rsidP="00720299">
            <w:pPr>
              <w:spacing w:after="0"/>
              <w:jc w:val="center"/>
              <w:rPr>
                <w:rFonts w:ascii="Constantia" w:eastAsia="Calibri" w:hAnsi="Constantia"/>
                <w:szCs w:val="22"/>
                <w:lang w:val="sr-Latn-CS"/>
              </w:rPr>
            </w:pPr>
            <w:r w:rsidRPr="00CF6E9E">
              <w:rPr>
                <w:rFonts w:ascii="Constantia" w:eastAsia="Calibri" w:hAnsi="Constantia"/>
                <w:szCs w:val="22"/>
                <w:lang w:val="sr-Latn-CS"/>
              </w:rPr>
              <w:t>N 42° 46' 34.9´´</w:t>
            </w:r>
          </w:p>
          <w:p w:rsidR="004B071C" w:rsidRPr="00CF6E9E" w:rsidRDefault="004B071C" w:rsidP="00720299">
            <w:pPr>
              <w:spacing w:after="0"/>
              <w:jc w:val="center"/>
              <w:rPr>
                <w:rFonts w:ascii="Constantia" w:hAnsi="Constantia"/>
                <w:b/>
                <w:bCs/>
                <w:szCs w:val="22"/>
              </w:rPr>
            </w:pPr>
            <w:r w:rsidRPr="00CF6E9E">
              <w:rPr>
                <w:rFonts w:ascii="Constantia" w:eastAsia="Calibri" w:hAnsi="Constantia"/>
                <w:szCs w:val="22"/>
                <w:lang w:val="sr-Latn-CS"/>
              </w:rPr>
              <w:t>EO 19° 49' 31.0''</w:t>
            </w:r>
          </w:p>
        </w:tc>
        <w:tc>
          <w:tcPr>
            <w:tcW w:w="2200" w:type="dxa"/>
            <w:shd w:val="clear" w:color="auto" w:fill="CDDDAC"/>
          </w:tcPr>
          <w:p w:rsidR="004B071C" w:rsidRPr="00CF6E9E" w:rsidRDefault="004B071C" w:rsidP="00720299">
            <w:pPr>
              <w:spacing w:after="0"/>
              <w:jc w:val="center"/>
              <w:rPr>
                <w:rFonts w:ascii="Constantia" w:hAnsi="Constantia"/>
                <w:szCs w:val="22"/>
              </w:rPr>
            </w:pPr>
            <w:r w:rsidRPr="00CF6E9E">
              <w:rPr>
                <w:rFonts w:ascii="Constantia" w:eastAsia="Calibri" w:hAnsi="Constantia"/>
                <w:szCs w:val="22"/>
                <w:lang w:val="sr-Latn-CS"/>
              </w:rPr>
              <w:t>18. 09. 2013.</w:t>
            </w:r>
          </w:p>
        </w:tc>
        <w:tc>
          <w:tcPr>
            <w:tcW w:w="1940" w:type="dxa"/>
            <w:shd w:val="clear" w:color="auto" w:fill="CDDDAC"/>
          </w:tcPr>
          <w:p w:rsidR="004B071C" w:rsidRPr="00CF6E9E" w:rsidRDefault="004B071C" w:rsidP="00720299">
            <w:pPr>
              <w:spacing w:after="0"/>
              <w:jc w:val="center"/>
              <w:rPr>
                <w:rFonts w:ascii="Constantia" w:hAnsi="Constantia"/>
                <w:szCs w:val="22"/>
              </w:rPr>
            </w:pPr>
            <w:r w:rsidRPr="00CF6E9E">
              <w:rPr>
                <w:rFonts w:ascii="Constantia" w:eastAsia="Calibri" w:hAnsi="Constantia"/>
                <w:szCs w:val="22"/>
                <w:lang w:val="sr-Latn-CS"/>
              </w:rPr>
              <w:t>740 m</w:t>
            </w:r>
          </w:p>
        </w:tc>
      </w:tr>
    </w:tbl>
    <w:p w:rsidR="004B071C" w:rsidRPr="00667A3F" w:rsidRDefault="00667A3F" w:rsidP="00720299">
      <w:pPr>
        <w:pStyle w:val="Tabele"/>
        <w:spacing w:before="60" w:after="0"/>
        <w:ind w:left="714" w:hanging="357"/>
        <w:rPr>
          <w:rFonts w:ascii="Constantia" w:hAnsi="Constantia"/>
          <w:sz w:val="22"/>
          <w:szCs w:val="22"/>
        </w:rPr>
      </w:pPr>
      <w:r>
        <w:rPr>
          <w:rFonts w:ascii="Constantia" w:hAnsi="Constantia"/>
          <w:sz w:val="22"/>
          <w:szCs w:val="22"/>
        </w:rPr>
        <w:t xml:space="preserve"> </w:t>
      </w:r>
      <w:r w:rsidR="00CF6E9E">
        <w:rPr>
          <w:rFonts w:ascii="Constantia" w:hAnsi="Constantia"/>
          <w:sz w:val="22"/>
          <w:szCs w:val="22"/>
        </w:rPr>
        <w:t xml:space="preserve"> </w:t>
      </w:r>
      <w:r w:rsidR="004B071C" w:rsidRPr="00667A3F">
        <w:rPr>
          <w:rFonts w:ascii="Constantia" w:hAnsi="Constantia"/>
          <w:sz w:val="22"/>
          <w:szCs w:val="22"/>
        </w:rPr>
        <w:t>Opšti podaci o istraživanim lokalitetima za gljive</w:t>
      </w:r>
    </w:p>
    <w:p w:rsidR="00667A3F" w:rsidRDefault="00667A3F" w:rsidP="00667A3F">
      <w:pPr>
        <w:pStyle w:val="Tabele"/>
        <w:numPr>
          <w:ilvl w:val="0"/>
          <w:numId w:val="0"/>
        </w:numPr>
        <w:spacing w:before="60" w:after="0"/>
        <w:ind w:left="714"/>
        <w:jc w:val="both"/>
      </w:pPr>
    </w:p>
    <w:p w:rsidR="00720299" w:rsidRPr="00951AE5" w:rsidRDefault="00720299" w:rsidP="00667A3F">
      <w:pPr>
        <w:pStyle w:val="Tabele"/>
        <w:numPr>
          <w:ilvl w:val="0"/>
          <w:numId w:val="0"/>
        </w:numPr>
        <w:spacing w:before="60" w:after="0"/>
        <w:ind w:left="714"/>
        <w:jc w:val="both"/>
      </w:pPr>
    </w:p>
    <w:tbl>
      <w:tblPr>
        <w:tblW w:w="8910" w:type="dxa"/>
        <w:tblInd w:w="108"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firstRow="1" w:lastRow="0" w:firstColumn="1" w:lastColumn="0" w:noHBand="0" w:noVBand="1"/>
      </w:tblPr>
      <w:tblGrid>
        <w:gridCol w:w="1620"/>
        <w:gridCol w:w="2160"/>
        <w:gridCol w:w="5130"/>
      </w:tblGrid>
      <w:tr w:rsidR="004B071C" w:rsidRPr="00CF6E9E" w:rsidTr="00AC06F9">
        <w:tc>
          <w:tcPr>
            <w:tcW w:w="1620" w:type="dxa"/>
            <w:shd w:val="clear" w:color="auto" w:fill="E6EED5"/>
          </w:tcPr>
          <w:p w:rsidR="004B071C" w:rsidRPr="00CF6E9E" w:rsidRDefault="004B071C" w:rsidP="005546CA">
            <w:pPr>
              <w:jc w:val="center"/>
              <w:rPr>
                <w:rFonts w:ascii="Constantia" w:hAnsi="Constantia"/>
                <w:b/>
                <w:bCs/>
                <w:iCs/>
                <w:color w:val="000000"/>
                <w:spacing w:val="8"/>
                <w:szCs w:val="22"/>
                <w:lang w:val="sr-Latn-CS"/>
              </w:rPr>
            </w:pPr>
            <w:r w:rsidRPr="00CF6E9E">
              <w:rPr>
                <w:rFonts w:ascii="Constantia" w:hAnsi="Constantia"/>
                <w:b/>
                <w:bCs/>
                <w:iCs/>
                <w:color w:val="000000"/>
                <w:spacing w:val="8"/>
                <w:szCs w:val="22"/>
                <w:lang w:val="sr-Latn-CS"/>
              </w:rPr>
              <w:t>Lokalitet</w:t>
            </w:r>
          </w:p>
        </w:tc>
        <w:tc>
          <w:tcPr>
            <w:tcW w:w="2160" w:type="dxa"/>
            <w:shd w:val="clear" w:color="auto" w:fill="E6EED5"/>
          </w:tcPr>
          <w:p w:rsidR="004B071C" w:rsidRPr="00CF6E9E" w:rsidRDefault="004B071C" w:rsidP="005546CA">
            <w:pPr>
              <w:jc w:val="center"/>
              <w:rPr>
                <w:rFonts w:ascii="Constantia" w:hAnsi="Constantia"/>
                <w:b/>
                <w:bCs/>
                <w:iCs/>
                <w:color w:val="000000"/>
                <w:spacing w:val="8"/>
                <w:szCs w:val="22"/>
                <w:lang w:val="sr-Latn-CS"/>
              </w:rPr>
            </w:pPr>
            <w:r w:rsidRPr="00CF6E9E">
              <w:rPr>
                <w:rFonts w:ascii="Constantia" w:hAnsi="Constantia"/>
                <w:b/>
                <w:bCs/>
                <w:iCs/>
                <w:color w:val="000000"/>
                <w:spacing w:val="8"/>
                <w:szCs w:val="22"/>
                <w:lang w:val="sr-Latn-CS"/>
              </w:rPr>
              <w:t>Kategorija</w:t>
            </w:r>
          </w:p>
        </w:tc>
        <w:tc>
          <w:tcPr>
            <w:tcW w:w="5130" w:type="dxa"/>
            <w:shd w:val="clear" w:color="auto" w:fill="E6EED5"/>
          </w:tcPr>
          <w:p w:rsidR="004B071C" w:rsidRPr="00CF6E9E" w:rsidRDefault="004B071C" w:rsidP="005546CA">
            <w:pPr>
              <w:jc w:val="center"/>
              <w:rPr>
                <w:rFonts w:ascii="Constantia" w:hAnsi="Constantia"/>
                <w:b/>
                <w:bCs/>
                <w:iCs/>
                <w:color w:val="000000"/>
                <w:spacing w:val="8"/>
                <w:szCs w:val="22"/>
                <w:lang w:val="sr-Latn-CS"/>
              </w:rPr>
            </w:pPr>
            <w:r w:rsidRPr="00CF6E9E">
              <w:rPr>
                <w:rFonts w:ascii="Constantia" w:hAnsi="Constantia"/>
                <w:b/>
                <w:bCs/>
                <w:iCs/>
                <w:color w:val="000000"/>
                <w:spacing w:val="8"/>
                <w:szCs w:val="22"/>
                <w:lang w:val="sr-Latn-CS"/>
              </w:rPr>
              <w:t>Vrste</w:t>
            </w:r>
          </w:p>
        </w:tc>
      </w:tr>
      <w:tr w:rsidR="004B071C" w:rsidRPr="00CF6E9E" w:rsidTr="00AC06F9">
        <w:tc>
          <w:tcPr>
            <w:tcW w:w="1620" w:type="dxa"/>
            <w:vMerge w:val="restart"/>
            <w:shd w:val="clear" w:color="auto" w:fill="CDDDAC"/>
          </w:tcPr>
          <w:p w:rsidR="004B071C" w:rsidRPr="00CF6E9E" w:rsidRDefault="004B071C" w:rsidP="004E680E">
            <w:pPr>
              <w:rPr>
                <w:rFonts w:ascii="Constantia" w:hAnsi="Constantia"/>
                <w:b/>
                <w:bCs/>
                <w:iCs/>
                <w:color w:val="000000"/>
                <w:spacing w:val="8"/>
                <w:szCs w:val="22"/>
                <w:lang w:val="sr-Latn-CS"/>
              </w:rPr>
            </w:pPr>
            <w:r w:rsidRPr="00CF6E9E">
              <w:rPr>
                <w:rFonts w:ascii="Constantia" w:eastAsia="Calibri" w:hAnsi="Constantia"/>
                <w:b/>
                <w:szCs w:val="22"/>
                <w:lang w:val="sr-Latn-CS"/>
              </w:rPr>
              <w:t>Kanjon Murinske rijeke</w:t>
            </w:r>
          </w:p>
        </w:tc>
        <w:tc>
          <w:tcPr>
            <w:tcW w:w="2160" w:type="dxa"/>
            <w:shd w:val="clear" w:color="auto" w:fill="CDDDAC"/>
          </w:tcPr>
          <w:p w:rsidR="004B071C" w:rsidRPr="00CF6E9E" w:rsidRDefault="004B071C" w:rsidP="004E680E">
            <w:pPr>
              <w:rPr>
                <w:rFonts w:ascii="Constantia" w:hAnsi="Constantia"/>
                <w:bCs/>
                <w:iCs/>
                <w:color w:val="000000"/>
                <w:spacing w:val="8"/>
                <w:szCs w:val="22"/>
                <w:lang w:val="sr-Latn-CS"/>
              </w:rPr>
            </w:pPr>
            <w:r w:rsidRPr="00CF6E9E">
              <w:rPr>
                <w:rFonts w:ascii="Constantia" w:hAnsi="Constantia"/>
                <w:iCs/>
                <w:color w:val="000000"/>
                <w:spacing w:val="8"/>
                <w:szCs w:val="22"/>
                <w:lang w:val="sr-Latn-CS"/>
              </w:rPr>
              <w:t>Indi</w:t>
            </w:r>
            <w:r w:rsidRPr="00CF6E9E">
              <w:rPr>
                <w:rFonts w:ascii="Constantia" w:hAnsi="Constantia"/>
                <w:bCs/>
                <w:iCs/>
                <w:color w:val="000000"/>
                <w:spacing w:val="8"/>
                <w:szCs w:val="22"/>
                <w:lang w:val="sr-Latn-CS"/>
              </w:rPr>
              <w:t>katorske vrste (status zaštite)</w:t>
            </w:r>
          </w:p>
        </w:tc>
        <w:tc>
          <w:tcPr>
            <w:tcW w:w="5130" w:type="dxa"/>
            <w:shd w:val="clear" w:color="auto" w:fill="CDDDAC"/>
          </w:tcPr>
          <w:p w:rsidR="004B071C" w:rsidRPr="00CF6E9E" w:rsidRDefault="004B071C" w:rsidP="004E680E">
            <w:pPr>
              <w:autoSpaceDE w:val="0"/>
              <w:autoSpaceDN w:val="0"/>
              <w:adjustRightInd w:val="0"/>
              <w:spacing w:after="0"/>
              <w:rPr>
                <w:rFonts w:ascii="Constantia" w:hAnsi="Constantia"/>
                <w:szCs w:val="22"/>
                <w:lang w:val="sr-Latn-CS" w:eastAsia="ko-KR"/>
              </w:rPr>
            </w:pPr>
            <w:r w:rsidRPr="00CF6E9E">
              <w:rPr>
                <w:rFonts w:ascii="Constantia" w:hAnsi="Constantia"/>
                <w:i/>
                <w:iCs/>
                <w:szCs w:val="22"/>
                <w:lang w:val="sr-Latn-CS"/>
              </w:rPr>
              <w:t>Lactarius lilacinus</w:t>
            </w:r>
            <w:r w:rsidR="005546CA" w:rsidRPr="00CF6E9E">
              <w:rPr>
                <w:rFonts w:ascii="Constantia" w:hAnsi="Constantia"/>
                <w:i/>
                <w:iCs/>
                <w:szCs w:val="22"/>
                <w:lang w:val="sr-Latn-CS"/>
              </w:rPr>
              <w:t xml:space="preserve"> </w:t>
            </w:r>
            <w:r w:rsidRPr="00CF6E9E">
              <w:rPr>
                <w:rFonts w:ascii="Constantia" w:hAnsi="Constantia"/>
                <w:i/>
                <w:iCs/>
                <w:szCs w:val="22"/>
                <w:lang w:val="sr-Latn-CS"/>
              </w:rPr>
              <w:t>-</w:t>
            </w:r>
            <w:r w:rsidRPr="00CF6E9E">
              <w:rPr>
                <w:rFonts w:ascii="Constantia" w:hAnsi="Constantia"/>
                <w:szCs w:val="22"/>
                <w:lang w:val="sr-Latn-CS" w:eastAsia="ko-KR"/>
              </w:rPr>
              <w:t xml:space="preserve"> Postojeća subpopulacija</w:t>
            </w:r>
            <w:r w:rsidR="000766F2" w:rsidRPr="00CF6E9E">
              <w:rPr>
                <w:rFonts w:ascii="Constantia" w:hAnsi="Constantia"/>
                <w:szCs w:val="22"/>
                <w:lang w:val="sr-Latn-CS" w:eastAsia="ko-KR"/>
              </w:rPr>
              <w:t xml:space="preserve"> </w:t>
            </w:r>
            <w:r w:rsidRPr="00CF6E9E">
              <w:rPr>
                <w:rFonts w:ascii="Constantia" w:hAnsi="Constantia"/>
                <w:szCs w:val="22"/>
                <w:lang w:val="sr-Latn-CS" w:eastAsia="ko-KR"/>
              </w:rPr>
              <w:t>vrste na navedenom lokalitetu je stabilna.</w:t>
            </w:r>
          </w:p>
        </w:tc>
      </w:tr>
      <w:tr w:rsidR="004B071C" w:rsidRPr="00CF6E9E" w:rsidTr="00AC06F9">
        <w:tc>
          <w:tcPr>
            <w:tcW w:w="1620" w:type="dxa"/>
            <w:vMerge/>
            <w:shd w:val="clear" w:color="auto" w:fill="E6EED5"/>
          </w:tcPr>
          <w:p w:rsidR="004B071C" w:rsidRPr="00CF6E9E" w:rsidRDefault="004B071C" w:rsidP="004E680E">
            <w:pPr>
              <w:rPr>
                <w:rFonts w:ascii="Constantia" w:hAnsi="Constantia"/>
                <w:b/>
                <w:bCs/>
                <w:iCs/>
                <w:color w:val="000000"/>
                <w:spacing w:val="8"/>
                <w:szCs w:val="22"/>
                <w:lang w:val="sr-Latn-CS"/>
              </w:rPr>
            </w:pPr>
          </w:p>
        </w:tc>
        <w:tc>
          <w:tcPr>
            <w:tcW w:w="2160" w:type="dxa"/>
            <w:shd w:val="clear" w:color="auto" w:fill="E6EED5"/>
          </w:tcPr>
          <w:p w:rsidR="004B071C" w:rsidRPr="00CF6E9E" w:rsidRDefault="004B071C" w:rsidP="004E680E">
            <w:pPr>
              <w:rPr>
                <w:rFonts w:ascii="Constantia" w:hAnsi="Constantia"/>
                <w:b/>
                <w:bCs/>
                <w:iCs/>
                <w:color w:val="000000"/>
                <w:spacing w:val="8"/>
                <w:szCs w:val="22"/>
                <w:lang w:val="sr-Latn-CS"/>
              </w:rPr>
            </w:pPr>
            <w:r w:rsidRPr="00CF6E9E">
              <w:rPr>
                <w:rFonts w:ascii="Constantia" w:hAnsi="Constantia"/>
                <w:iCs/>
                <w:color w:val="000000"/>
                <w:spacing w:val="8"/>
                <w:szCs w:val="22"/>
                <w:lang w:val="sr-Latn-CS"/>
              </w:rPr>
              <w:t>Ostale vrste/staništa</w:t>
            </w:r>
          </w:p>
        </w:tc>
        <w:tc>
          <w:tcPr>
            <w:tcW w:w="5130" w:type="dxa"/>
            <w:shd w:val="clear" w:color="auto" w:fill="E6EED5"/>
          </w:tcPr>
          <w:p w:rsidR="004B071C" w:rsidRPr="00CF6E9E" w:rsidRDefault="004B071C" w:rsidP="000766F2">
            <w:pPr>
              <w:spacing w:after="0"/>
              <w:rPr>
                <w:rFonts w:ascii="Constantia" w:hAnsi="Constantia"/>
                <w:i/>
                <w:iCs/>
                <w:szCs w:val="22"/>
                <w:lang w:val="sr-Latn-CS"/>
              </w:rPr>
            </w:pPr>
            <w:r w:rsidRPr="00CF6E9E">
              <w:rPr>
                <w:rFonts w:ascii="Constantia" w:hAnsi="Constantia"/>
                <w:i/>
                <w:iCs/>
                <w:szCs w:val="22"/>
                <w:lang w:val="sr-Latn-CS"/>
              </w:rPr>
              <w:t xml:space="preserve">Lactarius pallidus, </w:t>
            </w:r>
          </w:p>
          <w:p w:rsidR="004B071C" w:rsidRPr="00CF6E9E" w:rsidRDefault="004B071C" w:rsidP="000766F2">
            <w:pPr>
              <w:spacing w:after="0"/>
              <w:rPr>
                <w:rFonts w:ascii="Constantia" w:hAnsi="Constantia"/>
                <w:bCs/>
                <w:iCs/>
                <w:color w:val="000000"/>
                <w:spacing w:val="8"/>
                <w:szCs w:val="22"/>
                <w:lang w:val="sr-Latn-CS"/>
              </w:rPr>
            </w:pPr>
            <w:r w:rsidRPr="00CF6E9E">
              <w:rPr>
                <w:rFonts w:ascii="Constantia" w:hAnsi="Constantia"/>
                <w:i/>
                <w:iCs/>
                <w:szCs w:val="22"/>
                <w:lang w:val="sr-Latn-CS"/>
              </w:rPr>
              <w:t>Paxillus rubicundulus</w:t>
            </w:r>
          </w:p>
        </w:tc>
      </w:tr>
      <w:tr w:rsidR="004B071C" w:rsidRPr="00CF6E9E" w:rsidTr="00AC06F9">
        <w:trPr>
          <w:trHeight w:val="766"/>
        </w:trPr>
        <w:tc>
          <w:tcPr>
            <w:tcW w:w="1620" w:type="dxa"/>
            <w:vMerge/>
            <w:shd w:val="clear" w:color="auto" w:fill="CDDDAC"/>
          </w:tcPr>
          <w:p w:rsidR="004B071C" w:rsidRPr="00CF6E9E" w:rsidRDefault="004B071C" w:rsidP="004E680E">
            <w:pPr>
              <w:rPr>
                <w:rFonts w:ascii="Constantia" w:hAnsi="Constantia"/>
                <w:b/>
                <w:bCs/>
                <w:iCs/>
                <w:color w:val="000000"/>
                <w:spacing w:val="8"/>
                <w:szCs w:val="22"/>
                <w:lang w:val="sr-Latn-CS"/>
              </w:rPr>
            </w:pPr>
          </w:p>
        </w:tc>
        <w:tc>
          <w:tcPr>
            <w:tcW w:w="2160" w:type="dxa"/>
            <w:shd w:val="clear" w:color="auto" w:fill="CDDDAC"/>
          </w:tcPr>
          <w:p w:rsidR="004B071C" w:rsidRPr="00CF6E9E" w:rsidRDefault="004B071C" w:rsidP="004E680E">
            <w:pPr>
              <w:rPr>
                <w:rFonts w:ascii="Constantia" w:hAnsi="Constantia"/>
                <w:b/>
                <w:bCs/>
                <w:iCs/>
                <w:color w:val="000000"/>
                <w:spacing w:val="8"/>
                <w:szCs w:val="22"/>
                <w:lang w:val="sr-Latn-CS"/>
              </w:rPr>
            </w:pPr>
            <w:r w:rsidRPr="00CF6E9E">
              <w:rPr>
                <w:rFonts w:ascii="Constantia" w:hAnsi="Constantia"/>
                <w:iCs/>
                <w:color w:val="000000"/>
                <w:spacing w:val="8"/>
                <w:szCs w:val="22"/>
                <w:lang w:val="sr-Latn-CS"/>
              </w:rPr>
              <w:t>Utvrđeno stanje</w:t>
            </w:r>
          </w:p>
        </w:tc>
        <w:tc>
          <w:tcPr>
            <w:tcW w:w="5130" w:type="dxa"/>
            <w:shd w:val="clear" w:color="auto" w:fill="CDDDAC"/>
          </w:tcPr>
          <w:p w:rsidR="004B071C" w:rsidRPr="00CF6E9E" w:rsidRDefault="004B071C" w:rsidP="00CF6E9E">
            <w:pPr>
              <w:rPr>
                <w:rFonts w:ascii="Constantia" w:hAnsi="Constantia"/>
                <w:szCs w:val="22"/>
                <w:lang w:val="sr-Latn-CS"/>
              </w:rPr>
            </w:pPr>
            <w:r w:rsidRPr="00CF6E9E">
              <w:rPr>
                <w:rFonts w:ascii="Constantia" w:hAnsi="Constantia"/>
                <w:szCs w:val="22"/>
                <w:lang w:val="sr-Latn-CS"/>
              </w:rPr>
              <w:t xml:space="preserve">Shodno međunarodnim kriterijumima stanište na ovom lokalitetu su značajna sa aspekta gljiva i prestavljaju Važna staništa gljiva (IFA - Important fungus areas). Na ovom lokalitetu su dominantne vrste drveća </w:t>
            </w:r>
            <w:r w:rsidRPr="00CF6E9E">
              <w:rPr>
                <w:rFonts w:ascii="Constantia" w:hAnsi="Constantia"/>
                <w:i/>
                <w:iCs/>
                <w:szCs w:val="22"/>
                <w:lang w:val="sr-Latn-CS"/>
              </w:rPr>
              <w:t xml:space="preserve">Alnus incana, Corylus avellana </w:t>
            </w:r>
            <w:r w:rsidRPr="00CF6E9E">
              <w:rPr>
                <w:rFonts w:ascii="Constantia" w:hAnsi="Constantia"/>
                <w:szCs w:val="22"/>
                <w:lang w:val="sr-Latn-CS"/>
              </w:rPr>
              <w:t>i</w:t>
            </w:r>
            <w:r w:rsidRPr="00CF6E9E">
              <w:rPr>
                <w:rFonts w:ascii="Constantia" w:hAnsi="Constantia"/>
                <w:i/>
                <w:iCs/>
                <w:szCs w:val="22"/>
                <w:lang w:val="sr-Latn-CS"/>
              </w:rPr>
              <w:t xml:space="preserve"> Fagus sylvatica</w:t>
            </w:r>
            <w:r w:rsidRPr="00CF6E9E">
              <w:rPr>
                <w:rFonts w:ascii="Constantia" w:hAnsi="Constantia"/>
                <w:szCs w:val="22"/>
                <w:lang w:val="sr-Latn-CS"/>
              </w:rPr>
              <w:t xml:space="preserve">. U kanjonu Murinske rijeke neophodno je sprovesti višednevna terenska istraživanja zbog činjenice da se na ovom području očekuje registrovanje većeg broja značajnih vrsta gljiva sa nacionalnog i međunarodnog aspekta. Ovo prevashodno zbog prisustva reprezentativnih staništa sa </w:t>
            </w:r>
            <w:r w:rsidRPr="00CF6E9E">
              <w:rPr>
                <w:rFonts w:ascii="Constantia" w:hAnsi="Constantia"/>
                <w:i/>
                <w:iCs/>
                <w:szCs w:val="22"/>
                <w:lang w:val="sr-Latn-CS"/>
              </w:rPr>
              <w:t>Alnus incana</w:t>
            </w:r>
            <w:r w:rsidRPr="00CF6E9E">
              <w:rPr>
                <w:rFonts w:ascii="Constantia" w:hAnsi="Constantia"/>
                <w:szCs w:val="22"/>
                <w:lang w:val="sr-Latn-CS"/>
              </w:rPr>
              <w:t>. Tokom jednodevnog terenskog dana nemoguće je obaviti bilo koja ozbiljnija istraživanja naročito na lokalitetima koja su prilično udaljena od Podgorice.</w:t>
            </w:r>
          </w:p>
        </w:tc>
      </w:tr>
      <w:tr w:rsidR="004B071C" w:rsidRPr="00CF6E9E" w:rsidTr="00AC06F9">
        <w:trPr>
          <w:trHeight w:val="560"/>
        </w:trPr>
        <w:tc>
          <w:tcPr>
            <w:tcW w:w="1620" w:type="dxa"/>
            <w:vMerge w:val="restart"/>
            <w:shd w:val="clear" w:color="auto" w:fill="CDDDAC"/>
          </w:tcPr>
          <w:p w:rsidR="004B071C" w:rsidRPr="00CF6E9E" w:rsidRDefault="004B071C" w:rsidP="004E680E">
            <w:pPr>
              <w:rPr>
                <w:rFonts w:ascii="Constantia" w:hAnsi="Constantia"/>
                <w:b/>
                <w:bCs/>
                <w:iCs/>
                <w:color w:val="000000"/>
                <w:spacing w:val="8"/>
                <w:szCs w:val="22"/>
                <w:lang w:val="sr-Latn-CS"/>
              </w:rPr>
            </w:pPr>
            <w:r w:rsidRPr="00CF6E9E">
              <w:rPr>
                <w:rFonts w:ascii="Constantia" w:eastAsia="Calibri" w:hAnsi="Constantia"/>
                <w:b/>
                <w:szCs w:val="22"/>
                <w:lang w:val="sr-Latn-CS"/>
              </w:rPr>
              <w:t>Kanjon Trepačke rijeke</w:t>
            </w:r>
          </w:p>
        </w:tc>
        <w:tc>
          <w:tcPr>
            <w:tcW w:w="2160" w:type="dxa"/>
            <w:shd w:val="clear" w:color="auto" w:fill="CDDDAC"/>
          </w:tcPr>
          <w:p w:rsidR="004B071C" w:rsidRPr="00CF6E9E" w:rsidRDefault="004B071C" w:rsidP="00AC06F9">
            <w:pPr>
              <w:spacing w:after="0"/>
              <w:rPr>
                <w:rFonts w:ascii="Constantia" w:hAnsi="Constantia"/>
                <w:bCs/>
                <w:iCs/>
                <w:color w:val="000000"/>
                <w:spacing w:val="8"/>
                <w:szCs w:val="22"/>
                <w:lang w:val="sr-Latn-CS"/>
              </w:rPr>
            </w:pPr>
            <w:r w:rsidRPr="00CF6E9E">
              <w:rPr>
                <w:rFonts w:ascii="Constantia" w:hAnsi="Constantia"/>
                <w:iCs/>
                <w:color w:val="000000"/>
                <w:spacing w:val="8"/>
                <w:szCs w:val="22"/>
                <w:lang w:val="sr-Latn-CS"/>
              </w:rPr>
              <w:t>Indi</w:t>
            </w:r>
            <w:r w:rsidRPr="00CF6E9E">
              <w:rPr>
                <w:rFonts w:ascii="Constantia" w:hAnsi="Constantia"/>
                <w:bCs/>
                <w:iCs/>
                <w:color w:val="000000"/>
                <w:spacing w:val="8"/>
                <w:szCs w:val="22"/>
                <w:lang w:val="sr-Latn-CS"/>
              </w:rPr>
              <w:t>katorske vrste (status zaštite)</w:t>
            </w:r>
          </w:p>
        </w:tc>
        <w:tc>
          <w:tcPr>
            <w:tcW w:w="5130" w:type="dxa"/>
            <w:shd w:val="clear" w:color="auto" w:fill="CDDDAC"/>
          </w:tcPr>
          <w:p w:rsidR="004B071C" w:rsidRPr="00CF6E9E" w:rsidRDefault="00AC06F9" w:rsidP="00AC06F9">
            <w:pPr>
              <w:spacing w:after="0"/>
              <w:rPr>
                <w:rFonts w:ascii="Constantia" w:hAnsi="Constantia"/>
                <w:bCs/>
                <w:iCs/>
                <w:color w:val="000000"/>
                <w:spacing w:val="8"/>
                <w:szCs w:val="22"/>
                <w:lang w:val="sr-Latn-CS"/>
              </w:rPr>
            </w:pPr>
            <w:r w:rsidRPr="00CF6E9E">
              <w:rPr>
                <w:rFonts w:ascii="Constantia" w:hAnsi="Constantia"/>
                <w:szCs w:val="22"/>
                <w:lang w:val="sr-Latn-CS"/>
              </w:rPr>
              <w:t>Ni</w:t>
            </w:r>
            <w:r w:rsidR="004B071C" w:rsidRPr="00CF6E9E">
              <w:rPr>
                <w:rFonts w:ascii="Constantia" w:hAnsi="Constantia"/>
                <w:szCs w:val="22"/>
                <w:lang w:val="sr-Latn-CS"/>
              </w:rPr>
              <w:t>su registrovane</w:t>
            </w:r>
          </w:p>
        </w:tc>
      </w:tr>
      <w:tr w:rsidR="004B071C" w:rsidRPr="00CF6E9E" w:rsidTr="00AC06F9">
        <w:trPr>
          <w:trHeight w:val="560"/>
        </w:trPr>
        <w:tc>
          <w:tcPr>
            <w:tcW w:w="1620" w:type="dxa"/>
            <w:vMerge/>
            <w:shd w:val="clear" w:color="auto" w:fill="CDDDAC"/>
          </w:tcPr>
          <w:p w:rsidR="004B071C" w:rsidRPr="00CF6E9E" w:rsidRDefault="004B071C" w:rsidP="004E680E">
            <w:pPr>
              <w:rPr>
                <w:rFonts w:ascii="Constantia" w:hAnsi="Constantia"/>
                <w:b/>
                <w:bCs/>
                <w:iCs/>
                <w:color w:val="000000"/>
                <w:spacing w:val="8"/>
                <w:szCs w:val="22"/>
                <w:lang w:val="sr-Latn-CS"/>
              </w:rPr>
            </w:pPr>
          </w:p>
        </w:tc>
        <w:tc>
          <w:tcPr>
            <w:tcW w:w="2160" w:type="dxa"/>
            <w:shd w:val="clear" w:color="auto" w:fill="CDDDAC"/>
          </w:tcPr>
          <w:p w:rsidR="004B071C" w:rsidRPr="00CF6E9E" w:rsidRDefault="004B071C" w:rsidP="00AC06F9">
            <w:pPr>
              <w:spacing w:after="0"/>
              <w:rPr>
                <w:rFonts w:ascii="Constantia" w:hAnsi="Constantia"/>
                <w:b/>
                <w:bCs/>
                <w:iCs/>
                <w:color w:val="000000"/>
                <w:spacing w:val="8"/>
                <w:szCs w:val="22"/>
                <w:lang w:val="sr-Latn-CS"/>
              </w:rPr>
            </w:pPr>
            <w:r w:rsidRPr="00CF6E9E">
              <w:rPr>
                <w:rFonts w:ascii="Constantia" w:hAnsi="Constantia"/>
                <w:iCs/>
                <w:color w:val="000000"/>
                <w:spacing w:val="8"/>
                <w:szCs w:val="22"/>
                <w:lang w:val="sr-Latn-CS"/>
              </w:rPr>
              <w:t>Ostale vrste/staništa</w:t>
            </w:r>
          </w:p>
        </w:tc>
        <w:tc>
          <w:tcPr>
            <w:tcW w:w="5130" w:type="dxa"/>
            <w:shd w:val="clear" w:color="auto" w:fill="CDDDAC"/>
          </w:tcPr>
          <w:p w:rsidR="004B071C" w:rsidRPr="00CF6E9E" w:rsidRDefault="004B071C" w:rsidP="004E680E">
            <w:pPr>
              <w:spacing w:after="0"/>
              <w:rPr>
                <w:rFonts w:ascii="Constantia" w:hAnsi="Constantia"/>
                <w:bCs/>
                <w:iCs/>
                <w:color w:val="000000"/>
                <w:spacing w:val="8"/>
                <w:szCs w:val="22"/>
                <w:lang w:val="sr-Latn-CS"/>
              </w:rPr>
            </w:pPr>
            <w:r w:rsidRPr="00CF6E9E">
              <w:rPr>
                <w:rFonts w:ascii="Constantia" w:hAnsi="Constantia"/>
                <w:i/>
                <w:iCs/>
                <w:szCs w:val="22"/>
                <w:lang w:val="sr-Latn-CS"/>
              </w:rPr>
              <w:t>Bolbitius titubans</w:t>
            </w:r>
            <w:r w:rsidRPr="00CF6E9E">
              <w:rPr>
                <w:rFonts w:ascii="Constantia" w:hAnsi="Constantia"/>
                <w:szCs w:val="22"/>
                <w:lang w:val="sr-Latn-CS"/>
              </w:rPr>
              <w:t>,</w:t>
            </w:r>
            <w:r w:rsidR="00AC06F9" w:rsidRPr="00CF6E9E">
              <w:rPr>
                <w:rFonts w:ascii="Constantia" w:hAnsi="Constantia"/>
                <w:szCs w:val="22"/>
                <w:lang w:val="sr-Latn-CS"/>
              </w:rPr>
              <w:t xml:space="preserve"> </w:t>
            </w:r>
            <w:r w:rsidRPr="00CF6E9E">
              <w:rPr>
                <w:rFonts w:ascii="Constantia" w:hAnsi="Constantia"/>
                <w:i/>
                <w:iCs/>
                <w:szCs w:val="22"/>
                <w:lang w:val="sr-Latn-CS"/>
              </w:rPr>
              <w:t>Fomitopsis pinicola</w:t>
            </w:r>
            <w:r w:rsidRPr="00CF6E9E">
              <w:rPr>
                <w:rFonts w:ascii="Constantia" w:hAnsi="Constantia"/>
                <w:szCs w:val="22"/>
                <w:lang w:val="sr-Latn-CS"/>
              </w:rPr>
              <w:t xml:space="preserve">, </w:t>
            </w:r>
            <w:r w:rsidRPr="00CF6E9E">
              <w:rPr>
                <w:rFonts w:ascii="Constantia" w:hAnsi="Constantia"/>
                <w:i/>
                <w:iCs/>
                <w:szCs w:val="22"/>
                <w:lang w:val="sr-Latn-CS"/>
              </w:rPr>
              <w:t>Lycoperdon pyriforme</w:t>
            </w:r>
          </w:p>
        </w:tc>
      </w:tr>
      <w:tr w:rsidR="004B071C" w:rsidRPr="00CF6E9E" w:rsidTr="00AC06F9">
        <w:trPr>
          <w:trHeight w:val="766"/>
        </w:trPr>
        <w:tc>
          <w:tcPr>
            <w:tcW w:w="1620" w:type="dxa"/>
            <w:vMerge/>
            <w:shd w:val="clear" w:color="auto" w:fill="CDDDAC"/>
          </w:tcPr>
          <w:p w:rsidR="004B071C" w:rsidRPr="00CF6E9E" w:rsidRDefault="004B071C" w:rsidP="004E680E">
            <w:pPr>
              <w:rPr>
                <w:rFonts w:ascii="Constantia" w:hAnsi="Constantia"/>
                <w:b/>
                <w:bCs/>
                <w:iCs/>
                <w:color w:val="000000"/>
                <w:spacing w:val="8"/>
                <w:szCs w:val="22"/>
                <w:lang w:val="sr-Latn-CS"/>
              </w:rPr>
            </w:pPr>
          </w:p>
        </w:tc>
        <w:tc>
          <w:tcPr>
            <w:tcW w:w="2160" w:type="dxa"/>
            <w:shd w:val="clear" w:color="auto" w:fill="CDDDAC"/>
          </w:tcPr>
          <w:p w:rsidR="004B071C" w:rsidRPr="00CF6E9E" w:rsidRDefault="004B071C" w:rsidP="004E680E">
            <w:pPr>
              <w:rPr>
                <w:rFonts w:ascii="Constantia" w:hAnsi="Constantia"/>
                <w:b/>
                <w:bCs/>
                <w:iCs/>
                <w:color w:val="000000"/>
                <w:spacing w:val="8"/>
                <w:szCs w:val="22"/>
                <w:lang w:val="sr-Latn-CS"/>
              </w:rPr>
            </w:pPr>
            <w:r w:rsidRPr="00CF6E9E">
              <w:rPr>
                <w:rFonts w:ascii="Constantia" w:hAnsi="Constantia"/>
                <w:iCs/>
                <w:color w:val="000000"/>
                <w:spacing w:val="8"/>
                <w:szCs w:val="22"/>
                <w:lang w:val="sr-Latn-CS"/>
              </w:rPr>
              <w:t>Utvrđeno stanje</w:t>
            </w:r>
          </w:p>
        </w:tc>
        <w:tc>
          <w:tcPr>
            <w:tcW w:w="5130" w:type="dxa"/>
            <w:shd w:val="clear" w:color="auto" w:fill="CDDDAC"/>
          </w:tcPr>
          <w:p w:rsidR="004B071C" w:rsidRPr="00CF6E9E" w:rsidRDefault="004B071C" w:rsidP="00083709">
            <w:pPr>
              <w:spacing w:after="0"/>
              <w:rPr>
                <w:rFonts w:ascii="Constantia" w:hAnsi="Constantia"/>
                <w:bCs/>
                <w:iCs/>
                <w:color w:val="000000"/>
                <w:spacing w:val="8"/>
                <w:szCs w:val="22"/>
                <w:lang w:val="sr-Latn-CS"/>
              </w:rPr>
            </w:pPr>
            <w:r w:rsidRPr="00CF6E9E">
              <w:rPr>
                <w:rFonts w:ascii="Constantia" w:hAnsi="Constantia"/>
                <w:szCs w:val="22"/>
                <w:lang w:val="sr-Latn-CS"/>
              </w:rPr>
              <w:t>Obavljena su terenska istraživanja u dolini rijeke Lim: Trepačka rijeka –  kordinate  N  42° 46' 34.9´´ EO 19° 49' 31.0'' (740 mnv).</w:t>
            </w:r>
            <w:r w:rsidR="00083709" w:rsidRPr="00CF6E9E">
              <w:rPr>
                <w:rFonts w:ascii="Constantia" w:hAnsi="Constantia"/>
                <w:szCs w:val="22"/>
                <w:lang w:val="sr-Latn-CS"/>
              </w:rPr>
              <w:t xml:space="preserve"> </w:t>
            </w:r>
            <w:r w:rsidRPr="00CF6E9E">
              <w:rPr>
                <w:rFonts w:ascii="Constantia" w:hAnsi="Constantia"/>
                <w:szCs w:val="22"/>
                <w:lang w:val="sr-Latn-CS"/>
              </w:rPr>
              <w:t>Na ovoj koo</w:t>
            </w:r>
            <w:r w:rsidR="00083709" w:rsidRPr="00CF6E9E">
              <w:rPr>
                <w:rFonts w:ascii="Constantia" w:hAnsi="Constantia"/>
                <w:szCs w:val="22"/>
                <w:lang w:val="sr-Latn-CS"/>
              </w:rPr>
              <w:t>rdinati u toku istraživanja ni</w:t>
            </w:r>
            <w:r w:rsidRPr="00CF6E9E">
              <w:rPr>
                <w:rFonts w:ascii="Constantia" w:hAnsi="Constantia"/>
                <w:szCs w:val="22"/>
                <w:lang w:val="sr-Latn-CS"/>
              </w:rPr>
              <w:t xml:space="preserve">su konstatovane vrste koje su zaštićene nacionalnim ili međunarodnim zakonodastvom. </w:t>
            </w:r>
            <w:r w:rsidR="00083709" w:rsidRPr="00CF6E9E">
              <w:rPr>
                <w:rFonts w:ascii="Constantia" w:hAnsi="Constantia"/>
                <w:szCs w:val="22"/>
                <w:lang w:val="sr-Latn-CS"/>
              </w:rPr>
              <w:t>Ipak, s</w:t>
            </w:r>
            <w:r w:rsidRPr="00CF6E9E">
              <w:rPr>
                <w:rFonts w:ascii="Constantia" w:hAnsi="Constantia"/>
                <w:szCs w:val="22"/>
                <w:lang w:val="sr-Latn-CS"/>
              </w:rPr>
              <w:t xml:space="preserve"> obzirom da su na ovom području dominantne vrste drveća </w:t>
            </w:r>
            <w:r w:rsidRPr="00CF6E9E">
              <w:rPr>
                <w:rFonts w:ascii="Constantia" w:hAnsi="Constantia"/>
                <w:i/>
                <w:iCs/>
                <w:szCs w:val="22"/>
                <w:lang w:val="sr-Latn-CS"/>
              </w:rPr>
              <w:t>Alnus glutinosa, Quercus cerris</w:t>
            </w:r>
            <w:r w:rsidRPr="00CF6E9E">
              <w:rPr>
                <w:rFonts w:ascii="Constantia" w:hAnsi="Constantia"/>
                <w:szCs w:val="22"/>
                <w:lang w:val="sr-Latn-CS"/>
              </w:rPr>
              <w:t xml:space="preserve">, </w:t>
            </w:r>
            <w:r w:rsidRPr="00CF6E9E">
              <w:rPr>
                <w:rFonts w:ascii="Constantia" w:hAnsi="Constantia"/>
                <w:i/>
                <w:iCs/>
                <w:szCs w:val="22"/>
                <w:lang w:val="sr-Latn-CS"/>
              </w:rPr>
              <w:t>Corylus avellana</w:t>
            </w:r>
            <w:r w:rsidRPr="00CF6E9E">
              <w:rPr>
                <w:rFonts w:ascii="Constantia" w:hAnsi="Constantia"/>
                <w:szCs w:val="22"/>
                <w:lang w:val="sr-Latn-CS"/>
              </w:rPr>
              <w:t xml:space="preserve">, </w:t>
            </w:r>
            <w:r w:rsidRPr="00CF6E9E">
              <w:rPr>
                <w:rFonts w:ascii="Constantia" w:hAnsi="Constantia"/>
                <w:i/>
                <w:iCs/>
                <w:szCs w:val="22"/>
                <w:lang w:val="sr-Latn-CS"/>
              </w:rPr>
              <w:t>Salix</w:t>
            </w:r>
            <w:r w:rsidRPr="00CF6E9E">
              <w:rPr>
                <w:rFonts w:ascii="Constantia" w:hAnsi="Constantia"/>
                <w:szCs w:val="22"/>
                <w:lang w:val="sr-Latn-CS"/>
              </w:rPr>
              <w:t xml:space="preserve"> spp., u daljim istraživanjima treba očekivati da se registruju značajne vrste gljiva. Neophodna su dalja istaživanja.</w:t>
            </w:r>
          </w:p>
        </w:tc>
      </w:tr>
    </w:tbl>
    <w:p w:rsidR="004B071C" w:rsidRDefault="004B071C" w:rsidP="004B071C">
      <w:pPr>
        <w:pStyle w:val="Tabele"/>
        <w:spacing w:before="60" w:after="240"/>
        <w:ind w:left="714" w:hanging="357"/>
        <w:rPr>
          <w:rFonts w:ascii="Constantia" w:hAnsi="Constantia"/>
          <w:sz w:val="22"/>
          <w:szCs w:val="22"/>
        </w:rPr>
      </w:pPr>
      <w:r w:rsidRPr="00771C41">
        <w:rPr>
          <w:rFonts w:ascii="Constantia" w:hAnsi="Constantia"/>
          <w:sz w:val="22"/>
          <w:szCs w:val="22"/>
        </w:rPr>
        <w:t>Gljive</w:t>
      </w:r>
    </w:p>
    <w:p w:rsidR="004B071C" w:rsidRPr="002E3A97" w:rsidRDefault="00771C41" w:rsidP="00771C41">
      <w:pPr>
        <w:pStyle w:val="Heading4"/>
        <w:numPr>
          <w:ilvl w:val="0"/>
          <w:numId w:val="0"/>
        </w:numPr>
        <w:spacing w:after="240"/>
        <w:rPr>
          <w:sz w:val="22"/>
          <w:szCs w:val="22"/>
          <w:lang w:val="sr-Latn-CS"/>
        </w:rPr>
      </w:pPr>
      <w:r>
        <w:rPr>
          <w:sz w:val="22"/>
          <w:szCs w:val="22"/>
          <w:lang w:val="sr-Latn-CS"/>
        </w:rPr>
        <w:lastRenderedPageBreak/>
        <w:t xml:space="preserve">6.3.4.4  </w:t>
      </w:r>
      <w:r w:rsidR="004B071C" w:rsidRPr="002E3A97">
        <w:rPr>
          <w:sz w:val="22"/>
          <w:szCs w:val="22"/>
          <w:lang w:val="sr-Latn-CS"/>
        </w:rPr>
        <w:t>Invertebrate (beskičmenjaci)</w:t>
      </w:r>
    </w:p>
    <w:p w:rsidR="00771C41" w:rsidRPr="00CF6E9E" w:rsidRDefault="009B3CB2" w:rsidP="00771C41">
      <w:pPr>
        <w:rPr>
          <w:b/>
          <w:color w:val="000000"/>
          <w:sz w:val="20"/>
          <w:szCs w:val="20"/>
          <w:lang w:val="sr-Latn-CS"/>
        </w:rPr>
      </w:pPr>
      <w:r w:rsidRPr="00CF6E9E">
        <w:rPr>
          <w:b/>
          <w:sz w:val="20"/>
          <w:szCs w:val="20"/>
          <w:lang w:val="sr-Latn-CS"/>
        </w:rPr>
        <w:t>6.3</w:t>
      </w:r>
      <w:r w:rsidR="00771C41" w:rsidRPr="00CF6E9E">
        <w:rPr>
          <w:b/>
          <w:sz w:val="20"/>
          <w:szCs w:val="20"/>
          <w:lang w:val="sr-Latn-CS"/>
        </w:rPr>
        <w:t>.4.</w:t>
      </w:r>
      <w:r w:rsidRPr="00CF6E9E">
        <w:rPr>
          <w:b/>
          <w:sz w:val="20"/>
          <w:szCs w:val="20"/>
          <w:lang w:val="sr-Latn-CS"/>
        </w:rPr>
        <w:t>4.</w:t>
      </w:r>
      <w:r w:rsidR="00771C41" w:rsidRPr="00CF6E9E">
        <w:rPr>
          <w:b/>
          <w:sz w:val="20"/>
          <w:szCs w:val="20"/>
          <w:lang w:val="sr-Latn-CS"/>
        </w:rPr>
        <w:t xml:space="preserve">1  -  </w:t>
      </w:r>
      <w:r w:rsidR="00771C41" w:rsidRPr="00CF6E9E">
        <w:rPr>
          <w:b/>
          <w:color w:val="000000"/>
          <w:sz w:val="20"/>
          <w:szCs w:val="20"/>
          <w:u w:val="single"/>
          <w:lang w:val="sr-Latn-CS"/>
        </w:rPr>
        <w:t xml:space="preserve">Malakofauna </w:t>
      </w:r>
      <w:r w:rsidR="00771C41" w:rsidRPr="00CF6E9E">
        <w:rPr>
          <w:b/>
          <w:i/>
          <w:color w:val="000000"/>
          <w:sz w:val="20"/>
          <w:szCs w:val="20"/>
          <w:lang w:val="sr-Latn-CS"/>
        </w:rPr>
        <w:t>(Gastropoda i Bivalvia)</w:t>
      </w:r>
    </w:p>
    <w:p w:rsidR="00771C41" w:rsidRPr="00D11EC1" w:rsidRDefault="00771C41" w:rsidP="00771C41">
      <w:pPr>
        <w:spacing w:before="240"/>
        <w:rPr>
          <w:rFonts w:ascii="Constantia" w:hAnsi="Constantia"/>
          <w:color w:val="FF0000"/>
          <w:szCs w:val="22"/>
          <w:lang w:val="sr-Latn-CS"/>
        </w:rPr>
      </w:pPr>
      <w:r w:rsidRPr="00D11EC1">
        <w:rPr>
          <w:rFonts w:ascii="Constantia" w:hAnsi="Constantia"/>
          <w:color w:val="000000"/>
          <w:szCs w:val="22"/>
          <w:lang w:val="sr-Latn-CS"/>
        </w:rPr>
        <w:t>Datum</w:t>
      </w:r>
      <w:r w:rsidR="009B3CB2">
        <w:rPr>
          <w:rFonts w:ascii="Constantia" w:hAnsi="Constantia"/>
          <w:color w:val="000000"/>
          <w:szCs w:val="22"/>
          <w:lang w:val="sr-Latn-CS"/>
        </w:rPr>
        <w:t>i</w:t>
      </w:r>
      <w:r w:rsidRPr="00D11EC1">
        <w:rPr>
          <w:rFonts w:ascii="Constantia" w:hAnsi="Constantia"/>
          <w:color w:val="000000"/>
          <w:szCs w:val="22"/>
          <w:lang w:val="sr-Latn-CS"/>
        </w:rPr>
        <w:t xml:space="preserve"> terenskih istraživanja</w:t>
      </w:r>
      <w:r w:rsidRPr="00D11EC1">
        <w:rPr>
          <w:rFonts w:ascii="Constantia" w:hAnsi="Constantia"/>
          <w:color w:val="000000"/>
          <w:szCs w:val="22"/>
        </w:rPr>
        <w:t xml:space="preserve">: </w:t>
      </w:r>
      <w:r w:rsidR="009B3CB2">
        <w:rPr>
          <w:rFonts w:ascii="Constantia" w:hAnsi="Constantia"/>
          <w:color w:val="000000"/>
          <w:szCs w:val="22"/>
        </w:rPr>
        <w:t>17</w:t>
      </w:r>
      <w:r>
        <w:rPr>
          <w:rFonts w:ascii="Constantia" w:hAnsi="Constantia"/>
          <w:color w:val="000000"/>
          <w:szCs w:val="22"/>
        </w:rPr>
        <w:t>.0</w:t>
      </w:r>
      <w:r w:rsidR="009B3CB2">
        <w:rPr>
          <w:rFonts w:ascii="Constantia" w:hAnsi="Constantia"/>
          <w:color w:val="000000"/>
          <w:szCs w:val="22"/>
        </w:rPr>
        <w:t>7</w:t>
      </w:r>
      <w:r>
        <w:rPr>
          <w:rFonts w:ascii="Constantia" w:hAnsi="Constantia"/>
          <w:color w:val="000000"/>
          <w:szCs w:val="22"/>
        </w:rPr>
        <w:t>.1</w:t>
      </w:r>
      <w:r w:rsidR="009B3CB2">
        <w:rPr>
          <w:rFonts w:ascii="Constantia" w:hAnsi="Constantia"/>
          <w:color w:val="000000"/>
          <w:szCs w:val="22"/>
        </w:rPr>
        <w:t>3</w:t>
      </w:r>
      <w:r w:rsidRPr="00D11EC1">
        <w:rPr>
          <w:rFonts w:ascii="Constantia" w:hAnsi="Constantia"/>
          <w:color w:val="000000"/>
          <w:szCs w:val="22"/>
        </w:rPr>
        <w:t>.</w:t>
      </w:r>
      <w:r w:rsidR="009B3CB2">
        <w:rPr>
          <w:rFonts w:ascii="Constantia" w:hAnsi="Constantia"/>
          <w:color w:val="000000"/>
          <w:szCs w:val="22"/>
        </w:rPr>
        <w:t xml:space="preserve"> i 18.10.13.</w:t>
      </w:r>
    </w:p>
    <w:p w:rsidR="004B071C" w:rsidRDefault="004B071C" w:rsidP="00714B04">
      <w:pPr>
        <w:spacing w:after="0"/>
        <w:rPr>
          <w:szCs w:val="22"/>
          <w:lang w:val="sr-Latn-CS"/>
        </w:rPr>
      </w:pPr>
    </w:p>
    <w:tbl>
      <w:tblPr>
        <w:tblW w:w="8859" w:type="dxa"/>
        <w:jc w:val="center"/>
        <w:tblInd w:w="-903"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1E0" w:firstRow="1" w:lastRow="1" w:firstColumn="1" w:lastColumn="1" w:noHBand="0" w:noVBand="0"/>
      </w:tblPr>
      <w:tblGrid>
        <w:gridCol w:w="2683"/>
        <w:gridCol w:w="6176"/>
      </w:tblGrid>
      <w:tr w:rsidR="004B071C" w:rsidRPr="00CF6E9E" w:rsidTr="00714B04">
        <w:trPr>
          <w:jc w:val="center"/>
        </w:trPr>
        <w:tc>
          <w:tcPr>
            <w:tcW w:w="2683" w:type="dxa"/>
            <w:shd w:val="clear" w:color="auto" w:fill="E6EED5"/>
            <w:hideMark/>
          </w:tcPr>
          <w:p w:rsidR="004B071C" w:rsidRPr="00CF6E9E" w:rsidRDefault="004B071C" w:rsidP="00714B04">
            <w:pPr>
              <w:tabs>
                <w:tab w:val="left" w:pos="7380"/>
              </w:tabs>
              <w:spacing w:after="0" w:line="260" w:lineRule="exact"/>
              <w:jc w:val="center"/>
              <w:rPr>
                <w:rFonts w:ascii="Constantia" w:hAnsi="Constantia" w:cs="Arial"/>
                <w:b/>
                <w:bCs/>
                <w:spacing w:val="6"/>
                <w:szCs w:val="22"/>
                <w:lang w:val="sr-Latn-CS"/>
              </w:rPr>
            </w:pPr>
            <w:r w:rsidRPr="00CF6E9E">
              <w:rPr>
                <w:rFonts w:ascii="Constantia" w:hAnsi="Constantia" w:cs="Arial"/>
                <w:b/>
                <w:bCs/>
                <w:spacing w:val="6"/>
                <w:szCs w:val="22"/>
                <w:lang w:val="sr-Latn-CS"/>
              </w:rPr>
              <w:t>Lokaliteti</w:t>
            </w:r>
          </w:p>
        </w:tc>
        <w:tc>
          <w:tcPr>
            <w:tcW w:w="6176" w:type="dxa"/>
            <w:shd w:val="clear" w:color="auto" w:fill="E6EED5"/>
            <w:hideMark/>
          </w:tcPr>
          <w:p w:rsidR="004B071C" w:rsidRPr="00CF6E9E" w:rsidRDefault="004B071C" w:rsidP="00714B04">
            <w:pPr>
              <w:tabs>
                <w:tab w:val="left" w:pos="7380"/>
              </w:tabs>
              <w:spacing w:after="0" w:line="260" w:lineRule="exact"/>
              <w:jc w:val="center"/>
              <w:rPr>
                <w:rFonts w:ascii="Constantia" w:hAnsi="Constantia" w:cs="Arial"/>
                <w:b/>
                <w:bCs/>
                <w:spacing w:val="6"/>
                <w:szCs w:val="22"/>
                <w:lang w:val="sr-Latn-CS"/>
              </w:rPr>
            </w:pPr>
            <w:r w:rsidRPr="00CF6E9E">
              <w:rPr>
                <w:rFonts w:ascii="Constantia" w:hAnsi="Constantia" w:cs="Arial"/>
                <w:b/>
                <w:bCs/>
                <w:spacing w:val="6"/>
                <w:szCs w:val="22"/>
                <w:lang w:val="sr-Latn-CS"/>
              </w:rPr>
              <w:t>Identifikovani taksoni/Utvrđeno stanje</w:t>
            </w:r>
          </w:p>
        </w:tc>
      </w:tr>
      <w:tr w:rsidR="004B071C" w:rsidRPr="00CF6E9E" w:rsidTr="00714B04">
        <w:trPr>
          <w:jc w:val="center"/>
        </w:trPr>
        <w:tc>
          <w:tcPr>
            <w:tcW w:w="2683" w:type="dxa"/>
            <w:shd w:val="clear" w:color="auto" w:fill="CDDDAC"/>
            <w:hideMark/>
          </w:tcPr>
          <w:p w:rsidR="004B071C" w:rsidRPr="00CF6E9E" w:rsidRDefault="004B071C" w:rsidP="004E680E">
            <w:pPr>
              <w:tabs>
                <w:tab w:val="left" w:pos="7380"/>
              </w:tabs>
              <w:spacing w:after="0" w:line="260" w:lineRule="exact"/>
              <w:jc w:val="right"/>
              <w:rPr>
                <w:rFonts w:ascii="Constantia" w:hAnsi="Constantia" w:cs="Arial"/>
                <w:b/>
                <w:bCs/>
                <w:smallCaps/>
                <w:spacing w:val="6"/>
                <w:szCs w:val="22"/>
                <w:lang w:val="sr-Latn-CS"/>
              </w:rPr>
            </w:pPr>
          </w:p>
        </w:tc>
        <w:tc>
          <w:tcPr>
            <w:tcW w:w="6176" w:type="dxa"/>
            <w:shd w:val="clear" w:color="auto" w:fill="CDDDAC"/>
            <w:hideMark/>
          </w:tcPr>
          <w:p w:rsidR="004B071C" w:rsidRPr="00CF6E9E" w:rsidRDefault="004B071C" w:rsidP="004E680E">
            <w:pPr>
              <w:spacing w:after="60" w:line="280" w:lineRule="exact"/>
              <w:rPr>
                <w:rFonts w:ascii="Constantia" w:hAnsi="Constantia" w:cs="Arial"/>
                <w:bCs/>
                <w:spacing w:val="10"/>
                <w:szCs w:val="22"/>
              </w:rPr>
            </w:pPr>
          </w:p>
        </w:tc>
      </w:tr>
      <w:tr w:rsidR="004B071C" w:rsidRPr="00CF6E9E" w:rsidTr="00714B04">
        <w:trPr>
          <w:trHeight w:val="3170"/>
          <w:jc w:val="center"/>
        </w:trPr>
        <w:tc>
          <w:tcPr>
            <w:tcW w:w="2683" w:type="dxa"/>
            <w:shd w:val="clear" w:color="auto" w:fill="E6EED5"/>
            <w:hideMark/>
          </w:tcPr>
          <w:p w:rsidR="004B071C" w:rsidRPr="00CF6E9E" w:rsidRDefault="004B071C" w:rsidP="00714B04">
            <w:pPr>
              <w:spacing w:after="0"/>
              <w:jc w:val="left"/>
              <w:rPr>
                <w:rFonts w:ascii="Constantia" w:hAnsi="Constantia" w:cs="Arial"/>
                <w:b/>
                <w:bCs/>
                <w:smallCaps/>
                <w:spacing w:val="6"/>
                <w:szCs w:val="22"/>
                <w:lang w:val="sr-Latn-CS"/>
              </w:rPr>
            </w:pPr>
            <w:r w:rsidRPr="00CF6E9E">
              <w:rPr>
                <w:rFonts w:ascii="Constantia" w:hAnsi="Constantia"/>
                <w:b/>
                <w:bCs/>
                <w:iCs/>
                <w:color w:val="000000"/>
                <w:szCs w:val="22"/>
              </w:rPr>
              <w:t>Lim sa pritokama Komarača i Murinjska rijeka</w:t>
            </w:r>
          </w:p>
        </w:tc>
        <w:tc>
          <w:tcPr>
            <w:tcW w:w="6176" w:type="dxa"/>
            <w:shd w:val="clear" w:color="auto" w:fill="E6EED5"/>
          </w:tcPr>
          <w:p w:rsidR="004B071C" w:rsidRPr="00CF6E9E" w:rsidRDefault="004B071C" w:rsidP="00714B04">
            <w:pPr>
              <w:spacing w:after="0" w:line="280" w:lineRule="exact"/>
              <w:rPr>
                <w:rFonts w:ascii="Constantia" w:hAnsi="Constantia"/>
                <w:bCs/>
                <w:i/>
                <w:iCs/>
                <w:color w:val="000000"/>
                <w:szCs w:val="22"/>
                <w:lang w:val="sr-Latn-CS"/>
              </w:rPr>
            </w:pPr>
            <w:r w:rsidRPr="00CF6E9E">
              <w:rPr>
                <w:rFonts w:ascii="Constantia" w:hAnsi="Constantia"/>
                <w:bCs/>
                <w:i/>
                <w:iCs/>
                <w:color w:val="000000"/>
                <w:szCs w:val="22"/>
                <w:lang w:val="sr-Latn-CS"/>
              </w:rPr>
              <w:t xml:space="preserve">Cepaea hortensis, </w:t>
            </w:r>
          </w:p>
          <w:p w:rsidR="004B071C" w:rsidRPr="00CF6E9E" w:rsidRDefault="004B071C" w:rsidP="00714B04">
            <w:pPr>
              <w:spacing w:after="0" w:line="280" w:lineRule="exact"/>
              <w:rPr>
                <w:rFonts w:ascii="Constantia" w:hAnsi="Constantia"/>
                <w:bCs/>
                <w:i/>
                <w:iCs/>
                <w:color w:val="000000"/>
                <w:szCs w:val="22"/>
                <w:lang w:val="sr-Latn-CS"/>
              </w:rPr>
            </w:pPr>
            <w:r w:rsidRPr="00CF6E9E">
              <w:rPr>
                <w:rFonts w:ascii="Constantia" w:hAnsi="Constantia"/>
                <w:bCs/>
                <w:i/>
                <w:iCs/>
                <w:color w:val="000000"/>
                <w:szCs w:val="22"/>
                <w:lang w:val="sr-Latn-CS"/>
              </w:rPr>
              <w:t xml:space="preserve">Lymnea stagnalis, </w:t>
            </w:r>
          </w:p>
          <w:p w:rsidR="004B071C" w:rsidRPr="00CF6E9E" w:rsidRDefault="004B071C" w:rsidP="00714B04">
            <w:pPr>
              <w:spacing w:after="0" w:line="280" w:lineRule="exact"/>
              <w:rPr>
                <w:rFonts w:ascii="Constantia" w:hAnsi="Constantia"/>
                <w:bCs/>
                <w:i/>
                <w:iCs/>
                <w:color w:val="000000"/>
                <w:szCs w:val="22"/>
                <w:lang w:val="sr-Latn-CS"/>
              </w:rPr>
            </w:pPr>
            <w:r w:rsidRPr="00CF6E9E">
              <w:rPr>
                <w:rFonts w:ascii="Constantia" w:hAnsi="Constantia"/>
                <w:bCs/>
                <w:i/>
                <w:iCs/>
                <w:color w:val="000000"/>
                <w:szCs w:val="22"/>
                <w:lang w:val="sr-Latn-CS"/>
              </w:rPr>
              <w:t>Radix auricularia,</w:t>
            </w:r>
          </w:p>
          <w:p w:rsidR="004B071C" w:rsidRPr="00CF6E9E" w:rsidRDefault="004B071C" w:rsidP="00714B04">
            <w:pPr>
              <w:spacing w:after="0" w:line="280" w:lineRule="exact"/>
              <w:rPr>
                <w:rFonts w:ascii="Constantia" w:hAnsi="Constantia"/>
                <w:bCs/>
                <w:i/>
                <w:iCs/>
                <w:color w:val="000000"/>
                <w:szCs w:val="22"/>
                <w:lang w:val="sr-Latn-CS"/>
              </w:rPr>
            </w:pPr>
            <w:r w:rsidRPr="00CF6E9E">
              <w:rPr>
                <w:rFonts w:ascii="Constantia" w:hAnsi="Constantia"/>
                <w:bCs/>
                <w:i/>
                <w:iCs/>
                <w:color w:val="000000"/>
                <w:szCs w:val="22"/>
                <w:lang w:val="sr-Latn-CS"/>
              </w:rPr>
              <w:t>Helix pomatia,</w:t>
            </w:r>
          </w:p>
          <w:p w:rsidR="004B071C" w:rsidRPr="00CF6E9E" w:rsidRDefault="004B071C" w:rsidP="00714B04">
            <w:pPr>
              <w:spacing w:after="0" w:line="280" w:lineRule="exact"/>
              <w:rPr>
                <w:rFonts w:ascii="Constantia" w:hAnsi="Constantia"/>
                <w:bCs/>
                <w:i/>
                <w:iCs/>
                <w:color w:val="000000"/>
                <w:szCs w:val="22"/>
                <w:lang w:val="sr-Latn-CS"/>
              </w:rPr>
            </w:pPr>
            <w:r w:rsidRPr="00CF6E9E">
              <w:rPr>
                <w:rFonts w:ascii="Constantia" w:hAnsi="Constantia"/>
                <w:bCs/>
                <w:i/>
                <w:iCs/>
                <w:color w:val="000000"/>
                <w:szCs w:val="22"/>
                <w:lang w:val="sr-Latn-CS"/>
              </w:rPr>
              <w:t xml:space="preserve">Stagnicola palustris, </w:t>
            </w:r>
          </w:p>
          <w:p w:rsidR="004B071C" w:rsidRPr="00CF6E9E" w:rsidRDefault="004B071C" w:rsidP="00714B04">
            <w:pPr>
              <w:spacing w:after="0" w:line="280" w:lineRule="exact"/>
              <w:rPr>
                <w:rFonts w:ascii="Constantia" w:hAnsi="Constantia"/>
                <w:bCs/>
                <w:i/>
                <w:iCs/>
                <w:color w:val="000000"/>
                <w:szCs w:val="22"/>
                <w:lang w:val="sr-Latn-CS"/>
              </w:rPr>
            </w:pPr>
            <w:r w:rsidRPr="00CF6E9E">
              <w:rPr>
                <w:rFonts w:ascii="Constantia" w:hAnsi="Constantia"/>
                <w:bCs/>
                <w:i/>
                <w:iCs/>
                <w:color w:val="000000"/>
                <w:szCs w:val="22"/>
                <w:lang w:val="sr-Latn-CS"/>
              </w:rPr>
              <w:t xml:space="preserve">Ancylus fluviatilis, </w:t>
            </w:r>
          </w:p>
          <w:p w:rsidR="004B071C" w:rsidRPr="00CF6E9E" w:rsidRDefault="004B071C" w:rsidP="00714B04">
            <w:pPr>
              <w:spacing w:after="0" w:line="280" w:lineRule="exact"/>
              <w:rPr>
                <w:rFonts w:ascii="Constantia" w:eastAsia="Calibri" w:hAnsi="Constantia" w:cs="Arial"/>
                <w:bCs/>
                <w:i/>
                <w:spacing w:val="8"/>
                <w:szCs w:val="22"/>
                <w:lang w:val="pt-BR"/>
              </w:rPr>
            </w:pPr>
            <w:r w:rsidRPr="00CF6E9E">
              <w:rPr>
                <w:rFonts w:ascii="Constantia" w:hAnsi="Constantia"/>
                <w:bCs/>
                <w:i/>
                <w:iCs/>
                <w:color w:val="000000"/>
                <w:szCs w:val="22"/>
                <w:lang w:val="sr-Latn-CS"/>
              </w:rPr>
              <w:t>Unio crassus</w:t>
            </w:r>
          </w:p>
          <w:p w:rsidR="004B071C" w:rsidRPr="00CF6E9E" w:rsidRDefault="004B071C" w:rsidP="00714B04">
            <w:pPr>
              <w:spacing w:after="0" w:line="280" w:lineRule="exact"/>
              <w:rPr>
                <w:rFonts w:ascii="Constantia" w:eastAsia="Calibri" w:hAnsi="Constantia" w:cs="Arial"/>
                <w:bCs/>
                <w:i/>
                <w:spacing w:val="8"/>
                <w:szCs w:val="22"/>
                <w:lang w:val="pt-BR"/>
              </w:rPr>
            </w:pPr>
            <w:r w:rsidRPr="00CF6E9E">
              <w:rPr>
                <w:rFonts w:ascii="Constantia" w:hAnsi="Constantia"/>
                <w:szCs w:val="22"/>
              </w:rPr>
              <w:t xml:space="preserve">Vrsta </w:t>
            </w:r>
            <w:r w:rsidRPr="00CF6E9E">
              <w:rPr>
                <w:rFonts w:ascii="Constantia" w:hAnsi="Constantia"/>
                <w:i/>
                <w:szCs w:val="22"/>
              </w:rPr>
              <w:t>Cepaea hortensis</w:t>
            </w:r>
            <w:r w:rsidRPr="00CF6E9E">
              <w:rPr>
                <w:rFonts w:ascii="Constantia" w:hAnsi="Constantia"/>
                <w:szCs w:val="22"/>
              </w:rPr>
              <w:t xml:space="preserve"> je zabilježena u velikom broju, uglavnom sakupljenih na stablima drveća na obali rijeke. Jedinke ove vrste se razlikuju u morfološkom smislu u pogledu boje ljušture, </w:t>
            </w:r>
            <w:r w:rsidR="00714B04" w:rsidRPr="00CF6E9E">
              <w:rPr>
                <w:rFonts w:ascii="Constantia" w:hAnsi="Constantia"/>
                <w:szCs w:val="22"/>
              </w:rPr>
              <w:t>od jednobojnih do prugastih, usl</w:t>
            </w:r>
            <w:r w:rsidRPr="00CF6E9E">
              <w:rPr>
                <w:rFonts w:ascii="Constantia" w:hAnsi="Constantia"/>
                <w:szCs w:val="22"/>
              </w:rPr>
              <w:t>ed utic</w:t>
            </w:r>
            <w:r w:rsidR="00714B04" w:rsidRPr="00CF6E9E">
              <w:rPr>
                <w:rFonts w:ascii="Constantia" w:hAnsi="Constantia"/>
                <w:szCs w:val="22"/>
              </w:rPr>
              <w:t>a</w:t>
            </w:r>
            <w:r w:rsidRPr="00CF6E9E">
              <w:rPr>
                <w:rFonts w:ascii="Constantia" w:hAnsi="Constantia"/>
                <w:szCs w:val="22"/>
              </w:rPr>
              <w:t>ja klimatskih faktora.</w:t>
            </w:r>
          </w:p>
        </w:tc>
      </w:tr>
    </w:tbl>
    <w:p w:rsidR="004B071C" w:rsidRDefault="00CF6E9E" w:rsidP="004B071C">
      <w:pPr>
        <w:pStyle w:val="Tabele"/>
        <w:spacing w:before="60" w:after="240"/>
        <w:ind w:left="714" w:hanging="357"/>
        <w:rPr>
          <w:rFonts w:ascii="Constantia" w:hAnsi="Constantia"/>
          <w:sz w:val="22"/>
          <w:szCs w:val="22"/>
        </w:rPr>
      </w:pPr>
      <w:r>
        <w:rPr>
          <w:rFonts w:ascii="Constantia" w:hAnsi="Constantia"/>
          <w:sz w:val="22"/>
          <w:szCs w:val="22"/>
        </w:rPr>
        <w:t xml:space="preserve"> </w:t>
      </w:r>
      <w:r w:rsidR="004B071C" w:rsidRPr="00714B04">
        <w:rPr>
          <w:rFonts w:ascii="Constantia" w:hAnsi="Constantia"/>
          <w:sz w:val="22"/>
          <w:szCs w:val="22"/>
        </w:rPr>
        <w:t>Malakofauna</w:t>
      </w:r>
    </w:p>
    <w:p w:rsidR="005512AE" w:rsidRPr="00714B04" w:rsidRDefault="005512AE" w:rsidP="005512AE">
      <w:pPr>
        <w:pStyle w:val="Tabele"/>
        <w:numPr>
          <w:ilvl w:val="0"/>
          <w:numId w:val="0"/>
        </w:numPr>
        <w:spacing w:before="0" w:after="0"/>
        <w:ind w:left="714"/>
        <w:jc w:val="both"/>
        <w:rPr>
          <w:rFonts w:ascii="Constantia" w:hAnsi="Constantia"/>
          <w:sz w:val="22"/>
          <w:szCs w:val="22"/>
        </w:rPr>
      </w:pPr>
    </w:p>
    <w:p w:rsidR="004B071C" w:rsidRPr="00682F57" w:rsidRDefault="005512AE" w:rsidP="00682F57">
      <w:pPr>
        <w:pStyle w:val="Tabele"/>
        <w:numPr>
          <w:ilvl w:val="0"/>
          <w:numId w:val="0"/>
        </w:numPr>
        <w:ind w:left="630" w:hanging="360"/>
        <w:jc w:val="both"/>
        <w:rPr>
          <w:b/>
          <w:i w:val="0"/>
          <w:szCs w:val="22"/>
          <w:u w:val="single"/>
        </w:rPr>
      </w:pPr>
      <w:r w:rsidRPr="00682F57">
        <w:rPr>
          <w:b/>
          <w:i w:val="0"/>
        </w:rPr>
        <w:t xml:space="preserve">6.3.4.4.2  -  </w:t>
      </w:r>
      <w:r w:rsidRPr="00682F57">
        <w:rPr>
          <w:b/>
          <w:i w:val="0"/>
          <w:color w:val="000000"/>
          <w:u w:val="single"/>
        </w:rPr>
        <w:t>Insekti</w:t>
      </w:r>
    </w:p>
    <w:tbl>
      <w:tblPr>
        <w:tblW w:w="8859" w:type="dxa"/>
        <w:jc w:val="center"/>
        <w:tblInd w:w="724"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1E0" w:firstRow="1" w:lastRow="1" w:firstColumn="1" w:lastColumn="1" w:noHBand="0" w:noVBand="0"/>
      </w:tblPr>
      <w:tblGrid>
        <w:gridCol w:w="1809"/>
        <w:gridCol w:w="2520"/>
        <w:gridCol w:w="4530"/>
      </w:tblGrid>
      <w:tr w:rsidR="004B071C" w:rsidRPr="00682F57" w:rsidTr="00DA6147">
        <w:trPr>
          <w:jc w:val="center"/>
        </w:trPr>
        <w:tc>
          <w:tcPr>
            <w:tcW w:w="1809" w:type="dxa"/>
            <w:shd w:val="clear" w:color="auto" w:fill="E6EED5"/>
            <w:hideMark/>
          </w:tcPr>
          <w:p w:rsidR="004B071C" w:rsidRPr="00682F57" w:rsidRDefault="004B071C" w:rsidP="00DA6147">
            <w:pPr>
              <w:tabs>
                <w:tab w:val="left" w:pos="7380"/>
              </w:tabs>
              <w:spacing w:line="260" w:lineRule="exact"/>
              <w:jc w:val="center"/>
              <w:rPr>
                <w:rFonts w:ascii="Constantia" w:hAnsi="Constantia" w:cs="Arial"/>
                <w:b/>
                <w:bCs/>
                <w:spacing w:val="6"/>
                <w:szCs w:val="22"/>
                <w:lang w:val="sr-Latn-CS"/>
              </w:rPr>
            </w:pPr>
            <w:r w:rsidRPr="00682F57">
              <w:rPr>
                <w:rFonts w:ascii="Constantia" w:hAnsi="Constantia" w:cs="Arial"/>
                <w:b/>
                <w:bCs/>
                <w:spacing w:val="6"/>
                <w:szCs w:val="22"/>
                <w:lang w:val="sr-Latn-CS"/>
              </w:rPr>
              <w:t>Lokaliteti</w:t>
            </w:r>
          </w:p>
        </w:tc>
        <w:tc>
          <w:tcPr>
            <w:tcW w:w="2520" w:type="dxa"/>
            <w:shd w:val="clear" w:color="auto" w:fill="CDDDAC"/>
            <w:hideMark/>
          </w:tcPr>
          <w:p w:rsidR="004B071C" w:rsidRPr="00682F57" w:rsidRDefault="004B071C" w:rsidP="00DA6147">
            <w:pPr>
              <w:tabs>
                <w:tab w:val="left" w:pos="7380"/>
              </w:tabs>
              <w:spacing w:line="260" w:lineRule="exact"/>
              <w:jc w:val="center"/>
              <w:rPr>
                <w:rFonts w:ascii="Constantia" w:hAnsi="Constantia" w:cs="Arial"/>
                <w:b/>
                <w:bCs/>
                <w:spacing w:val="6"/>
                <w:szCs w:val="22"/>
                <w:lang w:val="sr-Latn-CS"/>
              </w:rPr>
            </w:pPr>
            <w:r w:rsidRPr="00682F57">
              <w:rPr>
                <w:rFonts w:ascii="Constantia" w:hAnsi="Constantia" w:cs="Arial"/>
                <w:b/>
                <w:bCs/>
                <w:spacing w:val="6"/>
                <w:szCs w:val="22"/>
                <w:lang w:val="sr-Latn-CS"/>
              </w:rPr>
              <w:t>Koordinate</w:t>
            </w:r>
          </w:p>
        </w:tc>
        <w:tc>
          <w:tcPr>
            <w:tcW w:w="4530" w:type="dxa"/>
            <w:shd w:val="clear" w:color="auto" w:fill="E6EED5"/>
            <w:hideMark/>
          </w:tcPr>
          <w:p w:rsidR="004B071C" w:rsidRPr="00682F57" w:rsidRDefault="004B071C" w:rsidP="00DA6147">
            <w:pPr>
              <w:tabs>
                <w:tab w:val="left" w:pos="7380"/>
              </w:tabs>
              <w:spacing w:line="260" w:lineRule="exact"/>
              <w:jc w:val="center"/>
              <w:rPr>
                <w:rFonts w:ascii="Constantia" w:hAnsi="Constantia" w:cs="Arial"/>
                <w:b/>
                <w:bCs/>
                <w:spacing w:val="6"/>
                <w:szCs w:val="22"/>
                <w:lang w:val="sr-Latn-CS"/>
              </w:rPr>
            </w:pPr>
            <w:r w:rsidRPr="00682F57">
              <w:rPr>
                <w:rFonts w:ascii="Constantia" w:hAnsi="Constantia" w:cs="Arial"/>
                <w:b/>
                <w:bCs/>
                <w:spacing w:val="6"/>
                <w:szCs w:val="22"/>
                <w:lang w:val="sr-Latn-CS"/>
              </w:rPr>
              <w:t>Konstatovane vrste/Utvrđeno stanje</w:t>
            </w:r>
          </w:p>
        </w:tc>
      </w:tr>
      <w:tr w:rsidR="004B071C" w:rsidRPr="00682F57" w:rsidTr="00DA6147">
        <w:trPr>
          <w:jc w:val="center"/>
        </w:trPr>
        <w:tc>
          <w:tcPr>
            <w:tcW w:w="1809" w:type="dxa"/>
            <w:shd w:val="clear" w:color="auto" w:fill="CDDDAC"/>
            <w:hideMark/>
          </w:tcPr>
          <w:p w:rsidR="004B071C" w:rsidRPr="00682F57" w:rsidRDefault="004B071C" w:rsidP="004E680E">
            <w:pPr>
              <w:tabs>
                <w:tab w:val="left" w:pos="7380"/>
              </w:tabs>
              <w:spacing w:line="260" w:lineRule="exact"/>
              <w:jc w:val="right"/>
              <w:rPr>
                <w:rFonts w:ascii="Constantia" w:hAnsi="Constantia" w:cs="Arial"/>
                <w:b/>
                <w:bCs/>
                <w:smallCaps/>
                <w:spacing w:val="6"/>
                <w:szCs w:val="22"/>
                <w:lang w:val="sr-Latn-CS"/>
              </w:rPr>
            </w:pPr>
          </w:p>
        </w:tc>
        <w:tc>
          <w:tcPr>
            <w:tcW w:w="2520" w:type="dxa"/>
            <w:shd w:val="clear" w:color="auto" w:fill="CDDDAC"/>
            <w:hideMark/>
          </w:tcPr>
          <w:p w:rsidR="004B071C" w:rsidRPr="00682F57" w:rsidRDefault="004B071C" w:rsidP="004E680E">
            <w:pPr>
              <w:spacing w:after="0" w:line="260" w:lineRule="exact"/>
              <w:rPr>
                <w:rFonts w:ascii="Constantia" w:eastAsia="Calibri" w:hAnsi="Constantia" w:cs="Arial"/>
                <w:spacing w:val="10"/>
                <w:szCs w:val="22"/>
                <w:lang w:val="sr-Latn-CS"/>
              </w:rPr>
            </w:pPr>
          </w:p>
        </w:tc>
        <w:tc>
          <w:tcPr>
            <w:tcW w:w="4530" w:type="dxa"/>
            <w:shd w:val="clear" w:color="auto" w:fill="CDDDAC"/>
            <w:hideMark/>
          </w:tcPr>
          <w:p w:rsidR="004B071C" w:rsidRPr="00682F57" w:rsidRDefault="004B071C" w:rsidP="004E680E">
            <w:pPr>
              <w:spacing w:after="60" w:line="280" w:lineRule="exact"/>
              <w:rPr>
                <w:rFonts w:ascii="Constantia" w:hAnsi="Constantia" w:cs="Arial"/>
                <w:bCs/>
                <w:spacing w:val="10"/>
                <w:szCs w:val="22"/>
              </w:rPr>
            </w:pPr>
          </w:p>
        </w:tc>
      </w:tr>
      <w:tr w:rsidR="004B071C" w:rsidRPr="00682F57" w:rsidTr="00DA6147">
        <w:trPr>
          <w:trHeight w:val="713"/>
          <w:jc w:val="center"/>
        </w:trPr>
        <w:tc>
          <w:tcPr>
            <w:tcW w:w="1809" w:type="dxa"/>
            <w:shd w:val="clear" w:color="auto" w:fill="E6EED5"/>
            <w:hideMark/>
          </w:tcPr>
          <w:p w:rsidR="004B071C" w:rsidRPr="00682F57" w:rsidRDefault="004B071C" w:rsidP="004E680E">
            <w:pPr>
              <w:spacing w:after="0"/>
              <w:rPr>
                <w:rFonts w:ascii="Constantia" w:hAnsi="Constantia" w:cs="Arial"/>
                <w:b/>
                <w:bCs/>
                <w:smallCaps/>
                <w:spacing w:val="6"/>
                <w:szCs w:val="22"/>
                <w:lang w:val="sr-Latn-CS"/>
              </w:rPr>
            </w:pPr>
            <w:r w:rsidRPr="00682F57">
              <w:rPr>
                <w:rFonts w:ascii="Constantia" w:hAnsi="Constantia" w:cs="Arial"/>
                <w:b/>
                <w:color w:val="000000"/>
                <w:szCs w:val="22"/>
              </w:rPr>
              <w:t>Murinska rijeka</w:t>
            </w:r>
          </w:p>
        </w:tc>
        <w:tc>
          <w:tcPr>
            <w:tcW w:w="2520" w:type="dxa"/>
            <w:shd w:val="clear" w:color="auto" w:fill="CDDDAC"/>
            <w:hideMark/>
          </w:tcPr>
          <w:p w:rsidR="004B071C" w:rsidRPr="00682F57" w:rsidRDefault="004B071C" w:rsidP="00DA6147">
            <w:pPr>
              <w:spacing w:line="260" w:lineRule="exact"/>
              <w:jc w:val="center"/>
              <w:rPr>
                <w:rFonts w:ascii="Constantia" w:hAnsi="Constantia" w:cs="Arial"/>
                <w:color w:val="000000"/>
                <w:szCs w:val="22"/>
              </w:rPr>
            </w:pPr>
            <w:r w:rsidRPr="00682F57">
              <w:rPr>
                <w:rFonts w:ascii="Constantia" w:hAnsi="Constantia" w:cs="Arial"/>
                <w:color w:val="000000"/>
                <w:szCs w:val="22"/>
              </w:rPr>
              <w:t>N 42° 38' 57.8´´</w:t>
            </w:r>
          </w:p>
          <w:p w:rsidR="004B071C" w:rsidRPr="00682F57" w:rsidRDefault="004B071C" w:rsidP="00DA6147">
            <w:pPr>
              <w:spacing w:line="260" w:lineRule="exact"/>
              <w:jc w:val="center"/>
              <w:rPr>
                <w:rFonts w:ascii="Constantia" w:hAnsi="Constantia" w:cs="Arial"/>
                <w:szCs w:val="22"/>
              </w:rPr>
            </w:pPr>
            <w:r w:rsidRPr="00682F57">
              <w:rPr>
                <w:rFonts w:ascii="Constantia" w:hAnsi="Constantia" w:cs="Arial"/>
                <w:color w:val="000000"/>
                <w:szCs w:val="22"/>
              </w:rPr>
              <w:t>E 19° 52' 50.9''</w:t>
            </w:r>
          </w:p>
        </w:tc>
        <w:tc>
          <w:tcPr>
            <w:tcW w:w="4530" w:type="dxa"/>
            <w:shd w:val="clear" w:color="auto" w:fill="E6EED5"/>
          </w:tcPr>
          <w:p w:rsidR="004B071C" w:rsidRPr="00682F57" w:rsidRDefault="004B071C" w:rsidP="004E680E">
            <w:pPr>
              <w:spacing w:after="60" w:line="280" w:lineRule="exact"/>
              <w:rPr>
                <w:rFonts w:ascii="Constantia" w:eastAsia="Calibri" w:hAnsi="Constantia" w:cs="Arial"/>
                <w:bCs/>
                <w:i/>
                <w:spacing w:val="8"/>
                <w:szCs w:val="22"/>
                <w:lang w:val="pt-BR"/>
              </w:rPr>
            </w:pPr>
            <w:r w:rsidRPr="00682F57">
              <w:rPr>
                <w:rFonts w:ascii="Constantia" w:hAnsi="Constantia" w:cs="Arial"/>
                <w:i/>
                <w:szCs w:val="22"/>
                <w:lang w:val="sr-Latn-CS"/>
              </w:rPr>
              <w:t xml:space="preserve">Formicidae, Hymenoptera: Formica rufa – </w:t>
            </w:r>
            <w:r w:rsidRPr="00682F57">
              <w:rPr>
                <w:rFonts w:ascii="Constantia" w:hAnsi="Constantia" w:cs="Arial"/>
                <w:szCs w:val="22"/>
                <w:lang w:val="sr-Latn-CS"/>
              </w:rPr>
              <w:t>konstatovana dva mravinjaka</w:t>
            </w:r>
          </w:p>
        </w:tc>
      </w:tr>
      <w:tr w:rsidR="004B071C" w:rsidRPr="00682F57" w:rsidTr="00DA6147">
        <w:trPr>
          <w:trHeight w:val="929"/>
          <w:jc w:val="center"/>
        </w:trPr>
        <w:tc>
          <w:tcPr>
            <w:tcW w:w="1809" w:type="dxa"/>
            <w:shd w:val="clear" w:color="auto" w:fill="E6EED5"/>
            <w:hideMark/>
          </w:tcPr>
          <w:p w:rsidR="004B071C" w:rsidRPr="00682F57" w:rsidRDefault="004B071C" w:rsidP="004E680E">
            <w:pPr>
              <w:spacing w:after="0"/>
              <w:rPr>
                <w:rFonts w:ascii="Constantia" w:hAnsi="Constantia" w:cs="Arial"/>
                <w:b/>
                <w:bCs/>
                <w:smallCaps/>
                <w:spacing w:val="6"/>
                <w:szCs w:val="22"/>
                <w:lang w:val="sr-Latn-CS"/>
              </w:rPr>
            </w:pPr>
            <w:r w:rsidRPr="00682F57">
              <w:rPr>
                <w:rFonts w:ascii="Constantia" w:hAnsi="Constantia" w:cs="Arial"/>
                <w:b/>
                <w:color w:val="000000"/>
                <w:szCs w:val="22"/>
              </w:rPr>
              <w:t>Trepačka rijeka</w:t>
            </w:r>
          </w:p>
        </w:tc>
        <w:tc>
          <w:tcPr>
            <w:tcW w:w="2520" w:type="dxa"/>
            <w:shd w:val="clear" w:color="auto" w:fill="CDDDAC"/>
            <w:hideMark/>
          </w:tcPr>
          <w:p w:rsidR="004B071C" w:rsidRPr="00682F57" w:rsidRDefault="004B071C" w:rsidP="00DA6147">
            <w:pPr>
              <w:spacing w:line="260" w:lineRule="exact"/>
              <w:jc w:val="center"/>
              <w:rPr>
                <w:rFonts w:ascii="Constantia" w:hAnsi="Constantia" w:cs="Arial"/>
                <w:color w:val="000000"/>
                <w:szCs w:val="22"/>
              </w:rPr>
            </w:pPr>
            <w:r w:rsidRPr="00682F57">
              <w:rPr>
                <w:rFonts w:ascii="Constantia" w:hAnsi="Constantia" w:cs="Arial"/>
                <w:color w:val="000000"/>
                <w:szCs w:val="22"/>
              </w:rPr>
              <w:t>N 42° 46' 34.9´´</w:t>
            </w:r>
          </w:p>
          <w:p w:rsidR="004B071C" w:rsidRPr="00682F57" w:rsidRDefault="004B071C" w:rsidP="00DA6147">
            <w:pPr>
              <w:spacing w:line="260" w:lineRule="exact"/>
              <w:jc w:val="center"/>
              <w:rPr>
                <w:rFonts w:ascii="Constantia" w:hAnsi="Constantia" w:cs="Arial"/>
                <w:szCs w:val="22"/>
              </w:rPr>
            </w:pPr>
            <w:r w:rsidRPr="00682F57">
              <w:rPr>
                <w:rFonts w:ascii="Constantia" w:hAnsi="Constantia" w:cs="Arial"/>
                <w:color w:val="000000"/>
                <w:szCs w:val="22"/>
              </w:rPr>
              <w:t>E 19° 49' 31.0''</w:t>
            </w:r>
          </w:p>
        </w:tc>
        <w:tc>
          <w:tcPr>
            <w:tcW w:w="4530" w:type="dxa"/>
            <w:shd w:val="clear" w:color="auto" w:fill="E6EED5"/>
          </w:tcPr>
          <w:p w:rsidR="004B071C" w:rsidRPr="00682F57" w:rsidRDefault="004B071C" w:rsidP="004E680E">
            <w:pPr>
              <w:spacing w:after="0"/>
              <w:rPr>
                <w:rFonts w:ascii="Constantia" w:hAnsi="Constantia" w:cs="Arial"/>
                <w:szCs w:val="22"/>
              </w:rPr>
            </w:pPr>
            <w:r w:rsidRPr="00682F57">
              <w:rPr>
                <w:rFonts w:ascii="Constantia" w:hAnsi="Constantia" w:cs="Arial"/>
                <w:i/>
                <w:szCs w:val="22"/>
              </w:rPr>
              <w:t xml:space="preserve">Lepidoptera: Coliascrocea, Aglaisurticae. </w:t>
            </w:r>
          </w:p>
          <w:p w:rsidR="004B071C" w:rsidRPr="00682F57" w:rsidRDefault="004B071C" w:rsidP="004E680E">
            <w:pPr>
              <w:spacing w:after="60" w:line="280" w:lineRule="exact"/>
              <w:rPr>
                <w:rFonts w:ascii="Constantia" w:eastAsia="Calibri" w:hAnsi="Constantia" w:cs="Arial"/>
                <w:bCs/>
                <w:i/>
                <w:spacing w:val="8"/>
                <w:szCs w:val="22"/>
                <w:lang w:val="pt-BR"/>
              </w:rPr>
            </w:pPr>
            <w:r w:rsidRPr="00682F57">
              <w:rPr>
                <w:rFonts w:ascii="Constantia" w:hAnsi="Constantia" w:cs="Arial"/>
                <w:i/>
                <w:szCs w:val="22"/>
              </w:rPr>
              <w:t>Coleoptera, Cerambycidae</w:t>
            </w:r>
            <w:r w:rsidRPr="00682F57">
              <w:rPr>
                <w:rFonts w:ascii="Constantia" w:hAnsi="Constantia" w:cs="Arial"/>
                <w:i/>
                <w:szCs w:val="22"/>
                <w:lang w:val="sr-Latn-CS"/>
              </w:rPr>
              <w:t xml:space="preserve">: Cerambyx cerdo – </w:t>
            </w:r>
            <w:r w:rsidRPr="00682F57">
              <w:rPr>
                <w:rFonts w:ascii="Constantia" w:hAnsi="Constantia" w:cs="Arial"/>
                <w:szCs w:val="22"/>
                <w:lang w:val="sr-Latn-CS"/>
              </w:rPr>
              <w:t>utvrđeni larveni hodnici na stablu hrasta</w:t>
            </w:r>
          </w:p>
        </w:tc>
      </w:tr>
    </w:tbl>
    <w:p w:rsidR="004B071C" w:rsidRDefault="004B071C" w:rsidP="004B071C">
      <w:pPr>
        <w:pStyle w:val="Tabele"/>
        <w:spacing w:before="60" w:after="240"/>
        <w:ind w:left="714" w:hanging="357"/>
        <w:rPr>
          <w:rFonts w:ascii="Constantia" w:hAnsi="Constantia"/>
          <w:sz w:val="22"/>
          <w:szCs w:val="22"/>
        </w:rPr>
      </w:pPr>
      <w:r w:rsidRPr="00DA6147">
        <w:rPr>
          <w:rFonts w:ascii="Constantia" w:hAnsi="Constantia"/>
          <w:sz w:val="22"/>
          <w:szCs w:val="22"/>
        </w:rPr>
        <w:t>Insekti</w:t>
      </w:r>
    </w:p>
    <w:p w:rsidR="00DA6147" w:rsidRPr="00DA6147" w:rsidRDefault="00DA6147" w:rsidP="00DA6147">
      <w:pPr>
        <w:pStyle w:val="Tabele"/>
        <w:numPr>
          <w:ilvl w:val="0"/>
          <w:numId w:val="0"/>
        </w:numPr>
        <w:spacing w:before="0" w:after="0"/>
        <w:ind w:left="714"/>
        <w:jc w:val="both"/>
        <w:rPr>
          <w:rFonts w:ascii="Constantia" w:hAnsi="Constantia"/>
          <w:sz w:val="22"/>
          <w:szCs w:val="22"/>
        </w:rPr>
      </w:pPr>
    </w:p>
    <w:p w:rsidR="00DA6147" w:rsidRPr="00682F57" w:rsidRDefault="00682F57" w:rsidP="00DA6147">
      <w:pPr>
        <w:pStyle w:val="Tabele"/>
        <w:numPr>
          <w:ilvl w:val="0"/>
          <w:numId w:val="0"/>
        </w:numPr>
        <w:jc w:val="both"/>
        <w:rPr>
          <w:b/>
          <w:i w:val="0"/>
          <w:szCs w:val="22"/>
          <w:u w:val="single"/>
        </w:rPr>
      </w:pPr>
      <w:r>
        <w:rPr>
          <w:b/>
          <w:i w:val="0"/>
        </w:rPr>
        <w:t xml:space="preserve">6.3.4.4.2 </w:t>
      </w:r>
      <w:r w:rsidR="00DA6147" w:rsidRPr="00682F57">
        <w:rPr>
          <w:b/>
          <w:i w:val="0"/>
        </w:rPr>
        <w:t>-</w:t>
      </w:r>
      <w:r>
        <w:rPr>
          <w:b/>
          <w:i w:val="0"/>
        </w:rPr>
        <w:t xml:space="preserve"> </w:t>
      </w:r>
      <w:r w:rsidR="00DA6147" w:rsidRPr="00682F57">
        <w:rPr>
          <w:b/>
          <w:i w:val="0"/>
          <w:color w:val="000000"/>
          <w:u w:val="single"/>
        </w:rPr>
        <w:t>Vodeni beskičmenjaci</w:t>
      </w:r>
      <w:r w:rsidR="00DA6147" w:rsidRPr="00682F57">
        <w:rPr>
          <w:b/>
          <w:i w:val="0"/>
          <w:color w:val="000000"/>
        </w:rPr>
        <w:t xml:space="preserve"> </w:t>
      </w:r>
      <w:r w:rsidR="00DA6147" w:rsidRPr="00682F57">
        <w:rPr>
          <w:b/>
          <w:szCs w:val="20"/>
        </w:rPr>
        <w:t>(Cladocera, Copepoda, Plecoptera, Trichoptera, Ephemeroptera i Odonata)</w:t>
      </w:r>
    </w:p>
    <w:tbl>
      <w:tblPr>
        <w:tblW w:w="8820" w:type="dxa"/>
        <w:tblInd w:w="198"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firstRow="1" w:lastRow="0" w:firstColumn="1" w:lastColumn="0" w:noHBand="0" w:noVBand="1"/>
      </w:tblPr>
      <w:tblGrid>
        <w:gridCol w:w="2802"/>
        <w:gridCol w:w="1849"/>
        <w:gridCol w:w="2319"/>
        <w:gridCol w:w="1850"/>
      </w:tblGrid>
      <w:tr w:rsidR="004B071C" w:rsidRPr="00682F57" w:rsidTr="00DA6147">
        <w:tc>
          <w:tcPr>
            <w:tcW w:w="2802" w:type="dxa"/>
            <w:shd w:val="clear" w:color="auto" w:fill="E6EED5"/>
          </w:tcPr>
          <w:p w:rsidR="004B071C" w:rsidRPr="00682F57" w:rsidRDefault="004B071C" w:rsidP="00DA6147">
            <w:pPr>
              <w:jc w:val="center"/>
              <w:rPr>
                <w:rFonts w:ascii="Constantia" w:hAnsi="Constantia"/>
                <w:b/>
                <w:bCs/>
                <w:szCs w:val="22"/>
              </w:rPr>
            </w:pPr>
            <w:r w:rsidRPr="00682F57">
              <w:rPr>
                <w:rFonts w:ascii="Constantia" w:hAnsi="Constantia"/>
                <w:b/>
                <w:bCs/>
                <w:szCs w:val="22"/>
              </w:rPr>
              <w:t>Lokalitet</w:t>
            </w:r>
          </w:p>
        </w:tc>
        <w:tc>
          <w:tcPr>
            <w:tcW w:w="1849" w:type="dxa"/>
            <w:shd w:val="clear" w:color="auto" w:fill="E6EED5"/>
          </w:tcPr>
          <w:p w:rsidR="004B071C" w:rsidRPr="00682F57" w:rsidRDefault="004B071C" w:rsidP="00DA6147">
            <w:pPr>
              <w:jc w:val="center"/>
              <w:rPr>
                <w:rFonts w:ascii="Constantia" w:hAnsi="Constantia"/>
                <w:b/>
                <w:bCs/>
                <w:szCs w:val="22"/>
              </w:rPr>
            </w:pPr>
            <w:r w:rsidRPr="00682F57">
              <w:rPr>
                <w:rFonts w:ascii="Constantia" w:hAnsi="Constantia"/>
                <w:b/>
                <w:bCs/>
                <w:szCs w:val="22"/>
              </w:rPr>
              <w:t>Koordinate</w:t>
            </w:r>
          </w:p>
        </w:tc>
        <w:tc>
          <w:tcPr>
            <w:tcW w:w="2319" w:type="dxa"/>
            <w:shd w:val="clear" w:color="auto" w:fill="E6EED5"/>
          </w:tcPr>
          <w:p w:rsidR="004B071C" w:rsidRPr="00682F57" w:rsidRDefault="004B071C" w:rsidP="00DA6147">
            <w:pPr>
              <w:spacing w:after="0"/>
              <w:jc w:val="center"/>
              <w:outlineLvl w:val="3"/>
              <w:rPr>
                <w:rFonts w:ascii="Constantia" w:hAnsi="Constantia"/>
                <w:b/>
                <w:bCs/>
                <w:szCs w:val="22"/>
              </w:rPr>
            </w:pPr>
            <w:r w:rsidRPr="00682F57">
              <w:rPr>
                <w:rFonts w:ascii="Constantia" w:hAnsi="Constantia"/>
                <w:b/>
                <w:bCs/>
                <w:szCs w:val="22"/>
              </w:rPr>
              <w:t>Datum terenskih istraživanja</w:t>
            </w:r>
          </w:p>
        </w:tc>
        <w:tc>
          <w:tcPr>
            <w:tcW w:w="1850" w:type="dxa"/>
            <w:shd w:val="clear" w:color="auto" w:fill="E6EED5"/>
          </w:tcPr>
          <w:p w:rsidR="004B071C" w:rsidRPr="00682F57" w:rsidRDefault="004B071C" w:rsidP="00DA6147">
            <w:pPr>
              <w:spacing w:after="0"/>
              <w:jc w:val="center"/>
              <w:outlineLvl w:val="3"/>
              <w:rPr>
                <w:rFonts w:ascii="Constantia" w:hAnsi="Constantia"/>
                <w:b/>
                <w:bCs/>
                <w:szCs w:val="22"/>
              </w:rPr>
            </w:pPr>
            <w:r w:rsidRPr="00682F57">
              <w:rPr>
                <w:rFonts w:ascii="Constantia" w:hAnsi="Constantia"/>
                <w:b/>
                <w:bCs/>
                <w:szCs w:val="22"/>
              </w:rPr>
              <w:t>Nadmorska visina</w:t>
            </w:r>
          </w:p>
        </w:tc>
      </w:tr>
      <w:tr w:rsidR="004B071C" w:rsidRPr="00682F57" w:rsidTr="00DA6147">
        <w:tc>
          <w:tcPr>
            <w:tcW w:w="2802" w:type="dxa"/>
            <w:shd w:val="clear" w:color="auto" w:fill="E6EED5"/>
          </w:tcPr>
          <w:p w:rsidR="004B071C" w:rsidRPr="00682F57" w:rsidRDefault="004B071C" w:rsidP="00DA6147">
            <w:pPr>
              <w:spacing w:after="0"/>
              <w:rPr>
                <w:rFonts w:ascii="Constantia" w:hAnsi="Constantia"/>
                <w:b/>
                <w:bCs/>
                <w:szCs w:val="22"/>
              </w:rPr>
            </w:pPr>
            <w:r w:rsidRPr="00682F57">
              <w:rPr>
                <w:rFonts w:ascii="Constantia" w:hAnsi="Constantia"/>
                <w:b/>
                <w:bCs/>
                <w:szCs w:val="22"/>
              </w:rPr>
              <w:t>Lim (Zaton 1, Zaton 2)</w:t>
            </w:r>
          </w:p>
        </w:tc>
        <w:tc>
          <w:tcPr>
            <w:tcW w:w="1849" w:type="dxa"/>
            <w:shd w:val="clear" w:color="auto" w:fill="E6EED5"/>
          </w:tcPr>
          <w:p w:rsidR="004B071C" w:rsidRPr="00682F57" w:rsidRDefault="004B071C" w:rsidP="00DA6147">
            <w:pPr>
              <w:spacing w:after="0"/>
              <w:jc w:val="center"/>
              <w:rPr>
                <w:rFonts w:ascii="Constantia" w:hAnsi="Constantia"/>
                <w:color w:val="000000"/>
                <w:szCs w:val="22"/>
              </w:rPr>
            </w:pPr>
            <w:r w:rsidRPr="00682F57">
              <w:rPr>
                <w:rFonts w:ascii="Constantia" w:hAnsi="Constantia"/>
                <w:color w:val="000000"/>
                <w:szCs w:val="22"/>
              </w:rPr>
              <w:t>N 42˚59,492</w:t>
            </w:r>
            <w:r w:rsidRPr="00682F57">
              <w:rPr>
                <w:color w:val="000000"/>
                <w:szCs w:val="22"/>
              </w:rPr>
              <w:t>ʹ</w:t>
            </w:r>
          </w:p>
          <w:p w:rsidR="004B071C" w:rsidRPr="00682F57" w:rsidRDefault="004B071C" w:rsidP="00DA6147">
            <w:pPr>
              <w:spacing w:after="0"/>
              <w:jc w:val="center"/>
              <w:rPr>
                <w:rFonts w:ascii="Constantia" w:hAnsi="Constantia"/>
                <w:color w:val="000000"/>
                <w:szCs w:val="22"/>
              </w:rPr>
            </w:pPr>
            <w:r w:rsidRPr="00682F57">
              <w:rPr>
                <w:rFonts w:ascii="Constantia" w:hAnsi="Constantia"/>
                <w:color w:val="000000"/>
                <w:szCs w:val="22"/>
              </w:rPr>
              <w:t>E 19˚46,565</w:t>
            </w:r>
            <w:r w:rsidRPr="00682F57">
              <w:rPr>
                <w:color w:val="000000"/>
                <w:szCs w:val="22"/>
              </w:rPr>
              <w:t>ʹ</w:t>
            </w:r>
          </w:p>
          <w:p w:rsidR="004B071C" w:rsidRPr="00682F57" w:rsidRDefault="004B071C" w:rsidP="00DA6147">
            <w:pPr>
              <w:spacing w:after="0"/>
              <w:jc w:val="center"/>
              <w:rPr>
                <w:rFonts w:ascii="Constantia" w:hAnsi="Constantia"/>
                <w:color w:val="000000"/>
                <w:szCs w:val="22"/>
              </w:rPr>
            </w:pPr>
            <w:r w:rsidRPr="00682F57">
              <w:rPr>
                <w:rFonts w:ascii="Constantia" w:hAnsi="Constantia"/>
                <w:color w:val="000000"/>
                <w:szCs w:val="22"/>
              </w:rPr>
              <w:t>N 42˚59,665</w:t>
            </w:r>
            <w:r w:rsidRPr="00682F57">
              <w:rPr>
                <w:color w:val="000000"/>
                <w:szCs w:val="22"/>
              </w:rPr>
              <w:t>ʹ</w:t>
            </w:r>
          </w:p>
          <w:p w:rsidR="004B071C" w:rsidRPr="00682F57" w:rsidRDefault="004B071C" w:rsidP="00DA6147">
            <w:pPr>
              <w:spacing w:after="0"/>
              <w:jc w:val="center"/>
              <w:rPr>
                <w:rFonts w:ascii="Constantia" w:hAnsi="Constantia"/>
                <w:b/>
                <w:bCs/>
                <w:szCs w:val="22"/>
              </w:rPr>
            </w:pPr>
            <w:r w:rsidRPr="00682F57">
              <w:rPr>
                <w:rFonts w:ascii="Constantia" w:hAnsi="Constantia"/>
                <w:color w:val="000000"/>
                <w:szCs w:val="22"/>
              </w:rPr>
              <w:t>E 19˚46,693</w:t>
            </w:r>
            <w:r w:rsidRPr="00682F57">
              <w:rPr>
                <w:color w:val="000000"/>
                <w:szCs w:val="22"/>
              </w:rPr>
              <w:t>ʹ</w:t>
            </w:r>
          </w:p>
        </w:tc>
        <w:tc>
          <w:tcPr>
            <w:tcW w:w="2319" w:type="dxa"/>
            <w:shd w:val="clear" w:color="auto" w:fill="E6EED5"/>
          </w:tcPr>
          <w:p w:rsidR="004B071C" w:rsidRPr="00682F57" w:rsidRDefault="004B071C" w:rsidP="00DA6147">
            <w:pPr>
              <w:spacing w:after="0" w:line="280" w:lineRule="exact"/>
              <w:jc w:val="center"/>
              <w:outlineLvl w:val="3"/>
              <w:rPr>
                <w:rFonts w:ascii="Constantia" w:hAnsi="Constantia"/>
                <w:b/>
                <w:bCs/>
                <w:szCs w:val="22"/>
              </w:rPr>
            </w:pPr>
            <w:r w:rsidRPr="00682F57">
              <w:rPr>
                <w:rFonts w:ascii="Constantia" w:hAnsi="Constantia"/>
                <w:color w:val="000000"/>
                <w:szCs w:val="22"/>
              </w:rPr>
              <w:t>17.07.2013.</w:t>
            </w:r>
          </w:p>
        </w:tc>
        <w:tc>
          <w:tcPr>
            <w:tcW w:w="1850" w:type="dxa"/>
            <w:shd w:val="clear" w:color="auto" w:fill="E6EED5"/>
          </w:tcPr>
          <w:p w:rsidR="004B071C" w:rsidRPr="00682F57" w:rsidRDefault="004B071C" w:rsidP="00DA6147">
            <w:pPr>
              <w:spacing w:after="0"/>
              <w:jc w:val="center"/>
              <w:rPr>
                <w:rFonts w:ascii="Constantia" w:hAnsi="Constantia"/>
                <w:color w:val="000000"/>
                <w:szCs w:val="22"/>
              </w:rPr>
            </w:pPr>
            <w:r w:rsidRPr="00682F57">
              <w:rPr>
                <w:rFonts w:ascii="Constantia" w:hAnsi="Constantia"/>
                <w:color w:val="000000"/>
                <w:szCs w:val="22"/>
              </w:rPr>
              <w:t>583 m</w:t>
            </w:r>
          </w:p>
          <w:p w:rsidR="004B071C" w:rsidRPr="00682F57" w:rsidRDefault="004B071C" w:rsidP="00DA6147">
            <w:pPr>
              <w:spacing w:after="0" w:line="280" w:lineRule="exact"/>
              <w:jc w:val="center"/>
              <w:outlineLvl w:val="3"/>
              <w:rPr>
                <w:rFonts w:ascii="Constantia" w:hAnsi="Constantia"/>
                <w:color w:val="000000"/>
                <w:szCs w:val="22"/>
              </w:rPr>
            </w:pPr>
          </w:p>
          <w:p w:rsidR="004B071C" w:rsidRPr="00682F57" w:rsidRDefault="004B071C" w:rsidP="00DA6147">
            <w:pPr>
              <w:spacing w:after="0" w:line="280" w:lineRule="exact"/>
              <w:jc w:val="center"/>
              <w:outlineLvl w:val="3"/>
              <w:rPr>
                <w:rFonts w:ascii="Constantia" w:hAnsi="Constantia"/>
                <w:b/>
                <w:bCs/>
                <w:szCs w:val="22"/>
              </w:rPr>
            </w:pPr>
            <w:r w:rsidRPr="00682F57">
              <w:rPr>
                <w:rFonts w:ascii="Constantia" w:hAnsi="Constantia"/>
                <w:color w:val="000000"/>
                <w:szCs w:val="22"/>
              </w:rPr>
              <w:t>604 m</w:t>
            </w:r>
          </w:p>
        </w:tc>
      </w:tr>
      <w:tr w:rsidR="004B071C" w:rsidRPr="00682F57" w:rsidTr="00DA6147">
        <w:trPr>
          <w:trHeight w:val="1001"/>
        </w:trPr>
        <w:tc>
          <w:tcPr>
            <w:tcW w:w="2802" w:type="dxa"/>
            <w:shd w:val="clear" w:color="auto" w:fill="CDDDAC"/>
          </w:tcPr>
          <w:p w:rsidR="004B071C" w:rsidRPr="00682F57" w:rsidRDefault="004B071C" w:rsidP="00DA6147">
            <w:pPr>
              <w:spacing w:after="0"/>
              <w:rPr>
                <w:rFonts w:ascii="Constantia" w:hAnsi="Constantia"/>
                <w:b/>
                <w:bCs/>
                <w:szCs w:val="22"/>
              </w:rPr>
            </w:pPr>
            <w:r w:rsidRPr="00682F57">
              <w:rPr>
                <w:rFonts w:ascii="Constantia" w:eastAsia="Calibri" w:hAnsi="Constantia"/>
                <w:b/>
                <w:szCs w:val="22"/>
                <w:lang w:val="sr-Latn-CS"/>
              </w:rPr>
              <w:t>Kanjon Murinske rijeke</w:t>
            </w:r>
          </w:p>
        </w:tc>
        <w:tc>
          <w:tcPr>
            <w:tcW w:w="1849" w:type="dxa"/>
            <w:shd w:val="clear" w:color="auto" w:fill="CDDDAC"/>
          </w:tcPr>
          <w:p w:rsidR="004B071C" w:rsidRPr="00682F57" w:rsidRDefault="004B071C" w:rsidP="00DA6147">
            <w:pPr>
              <w:spacing w:after="0"/>
              <w:jc w:val="center"/>
              <w:rPr>
                <w:rFonts w:ascii="Constantia" w:hAnsi="Constantia"/>
                <w:color w:val="000000"/>
                <w:szCs w:val="22"/>
              </w:rPr>
            </w:pPr>
            <w:r w:rsidRPr="00682F57">
              <w:rPr>
                <w:rFonts w:ascii="Constantia" w:hAnsi="Constantia"/>
                <w:color w:val="000000"/>
                <w:szCs w:val="22"/>
              </w:rPr>
              <w:t>N 42˚36,993</w:t>
            </w:r>
            <w:r w:rsidRPr="00682F57">
              <w:rPr>
                <w:color w:val="000000"/>
                <w:szCs w:val="22"/>
              </w:rPr>
              <w:t>ʹ</w:t>
            </w:r>
          </w:p>
          <w:p w:rsidR="004B071C" w:rsidRPr="00682F57" w:rsidRDefault="004B071C" w:rsidP="00DA6147">
            <w:pPr>
              <w:spacing w:after="0"/>
              <w:jc w:val="center"/>
              <w:rPr>
                <w:rFonts w:ascii="Constantia" w:hAnsi="Constantia"/>
                <w:color w:val="000000"/>
                <w:szCs w:val="22"/>
              </w:rPr>
            </w:pPr>
            <w:r w:rsidRPr="00682F57">
              <w:rPr>
                <w:rFonts w:ascii="Constantia" w:hAnsi="Constantia"/>
                <w:color w:val="000000"/>
                <w:szCs w:val="22"/>
              </w:rPr>
              <w:t>E 19˚58,048</w:t>
            </w:r>
            <w:r w:rsidRPr="00682F57">
              <w:rPr>
                <w:color w:val="000000"/>
                <w:szCs w:val="22"/>
              </w:rPr>
              <w:t>ʹ</w:t>
            </w:r>
          </w:p>
          <w:p w:rsidR="004B071C" w:rsidRPr="00682F57" w:rsidRDefault="004B071C" w:rsidP="00DA6147">
            <w:pPr>
              <w:spacing w:after="0"/>
              <w:jc w:val="center"/>
              <w:rPr>
                <w:rFonts w:ascii="Constantia" w:hAnsi="Constantia"/>
                <w:color w:val="000000"/>
                <w:szCs w:val="22"/>
              </w:rPr>
            </w:pPr>
            <w:r w:rsidRPr="00682F57">
              <w:rPr>
                <w:rFonts w:ascii="Constantia" w:hAnsi="Constantia"/>
                <w:color w:val="000000"/>
                <w:szCs w:val="22"/>
              </w:rPr>
              <w:t>N 42˚55,637</w:t>
            </w:r>
            <w:r w:rsidRPr="00682F57">
              <w:rPr>
                <w:color w:val="000000"/>
                <w:szCs w:val="22"/>
              </w:rPr>
              <w:t>ʹ</w:t>
            </w:r>
          </w:p>
          <w:p w:rsidR="004B071C" w:rsidRPr="00682F57" w:rsidRDefault="004B071C" w:rsidP="00DA6147">
            <w:pPr>
              <w:spacing w:after="0"/>
              <w:jc w:val="center"/>
              <w:rPr>
                <w:rFonts w:ascii="Constantia" w:hAnsi="Constantia"/>
                <w:color w:val="000000"/>
                <w:szCs w:val="22"/>
              </w:rPr>
            </w:pPr>
            <w:r w:rsidRPr="00682F57">
              <w:rPr>
                <w:rFonts w:ascii="Constantia" w:hAnsi="Constantia"/>
                <w:color w:val="000000"/>
                <w:szCs w:val="22"/>
              </w:rPr>
              <w:t>E 19˚52,355</w:t>
            </w:r>
            <w:r w:rsidRPr="00682F57">
              <w:rPr>
                <w:color w:val="000000"/>
                <w:szCs w:val="22"/>
              </w:rPr>
              <w:t>ʹ</w:t>
            </w:r>
          </w:p>
        </w:tc>
        <w:tc>
          <w:tcPr>
            <w:tcW w:w="2319" w:type="dxa"/>
            <w:shd w:val="clear" w:color="auto" w:fill="CDDDAC"/>
          </w:tcPr>
          <w:p w:rsidR="004B071C" w:rsidRPr="00682F57" w:rsidRDefault="004B071C" w:rsidP="00DA6147">
            <w:pPr>
              <w:spacing w:after="0"/>
              <w:jc w:val="center"/>
              <w:rPr>
                <w:rFonts w:ascii="Constantia" w:hAnsi="Constantia"/>
                <w:szCs w:val="22"/>
              </w:rPr>
            </w:pPr>
            <w:r w:rsidRPr="00682F57">
              <w:rPr>
                <w:rFonts w:ascii="Constantia" w:hAnsi="Constantia"/>
                <w:color w:val="000000"/>
                <w:szCs w:val="22"/>
              </w:rPr>
              <w:t>18.10.2013.</w:t>
            </w:r>
          </w:p>
        </w:tc>
        <w:tc>
          <w:tcPr>
            <w:tcW w:w="1850" w:type="dxa"/>
            <w:shd w:val="clear" w:color="auto" w:fill="CDDDAC"/>
          </w:tcPr>
          <w:p w:rsidR="004B071C" w:rsidRPr="00682F57" w:rsidRDefault="004B071C" w:rsidP="00DA6147">
            <w:pPr>
              <w:spacing w:after="0"/>
              <w:jc w:val="center"/>
              <w:rPr>
                <w:rFonts w:ascii="Constantia" w:hAnsi="Constantia"/>
                <w:color w:val="000000"/>
                <w:szCs w:val="22"/>
              </w:rPr>
            </w:pPr>
            <w:r w:rsidRPr="00682F57">
              <w:rPr>
                <w:rFonts w:ascii="Constantia" w:hAnsi="Constantia"/>
                <w:color w:val="000000"/>
                <w:szCs w:val="22"/>
              </w:rPr>
              <w:t>983 m</w:t>
            </w:r>
          </w:p>
          <w:p w:rsidR="004B071C" w:rsidRPr="00682F57" w:rsidRDefault="004B071C" w:rsidP="00DA6147">
            <w:pPr>
              <w:spacing w:after="0"/>
              <w:jc w:val="center"/>
              <w:rPr>
                <w:rFonts w:ascii="Constantia" w:hAnsi="Constantia"/>
                <w:color w:val="000000"/>
                <w:szCs w:val="22"/>
              </w:rPr>
            </w:pPr>
          </w:p>
          <w:p w:rsidR="004B071C" w:rsidRPr="00682F57" w:rsidRDefault="004B071C" w:rsidP="00DA6147">
            <w:pPr>
              <w:spacing w:after="0"/>
              <w:jc w:val="center"/>
              <w:rPr>
                <w:rFonts w:ascii="Constantia" w:hAnsi="Constantia"/>
                <w:szCs w:val="22"/>
              </w:rPr>
            </w:pPr>
            <w:r w:rsidRPr="00682F57">
              <w:rPr>
                <w:rFonts w:ascii="Constantia" w:hAnsi="Constantia"/>
                <w:color w:val="000000"/>
                <w:szCs w:val="22"/>
              </w:rPr>
              <w:t>841 m</w:t>
            </w:r>
          </w:p>
        </w:tc>
      </w:tr>
    </w:tbl>
    <w:p w:rsidR="004B071C" w:rsidRPr="00DA6147" w:rsidRDefault="004B071C" w:rsidP="00DA6147">
      <w:pPr>
        <w:pStyle w:val="Tabele"/>
        <w:spacing w:before="60" w:after="0"/>
        <w:ind w:left="714" w:hanging="357"/>
        <w:rPr>
          <w:rFonts w:ascii="Constantia" w:hAnsi="Constantia"/>
          <w:sz w:val="22"/>
          <w:szCs w:val="22"/>
        </w:rPr>
      </w:pPr>
      <w:r w:rsidRPr="00DA6147">
        <w:rPr>
          <w:rFonts w:ascii="Constantia" w:hAnsi="Constantia"/>
          <w:sz w:val="22"/>
          <w:szCs w:val="22"/>
        </w:rPr>
        <w:t xml:space="preserve">Opšti podaci o istraživanim lokalitetima </w:t>
      </w:r>
      <w:r w:rsidR="00DA6147" w:rsidRPr="00DA6147">
        <w:rPr>
          <w:rFonts w:ascii="Constantia" w:hAnsi="Constantia"/>
          <w:sz w:val="22"/>
          <w:szCs w:val="22"/>
        </w:rPr>
        <w:t>za vodene beskičmenjake</w:t>
      </w:r>
    </w:p>
    <w:p w:rsidR="004B071C" w:rsidRPr="00DA6147" w:rsidRDefault="004B071C" w:rsidP="004B071C">
      <w:pPr>
        <w:rPr>
          <w:rFonts w:ascii="Constantia" w:hAnsi="Constantia"/>
        </w:rPr>
      </w:pPr>
      <w:r w:rsidRPr="004C5739">
        <w:rPr>
          <w:rFonts w:ascii="Constantia" w:hAnsi="Constantia"/>
          <w:b/>
          <w:szCs w:val="22"/>
          <w:lang w:val="sr-Latn-CS"/>
        </w:rPr>
        <w:lastRenderedPageBreak/>
        <w:t>Napomena:</w:t>
      </w:r>
      <w:r w:rsidRPr="00DA6147">
        <w:rPr>
          <w:rFonts w:ascii="Constantia" w:hAnsi="Constantia"/>
        </w:rPr>
        <w:t xml:space="preserve"> Za detaljnije proučavanje sliva rijeke Lim potrebno je više terenskih dana</w:t>
      </w:r>
      <w:r w:rsidR="00DA6147">
        <w:rPr>
          <w:rFonts w:ascii="Constantia" w:hAnsi="Constantia"/>
        </w:rPr>
        <w:t>. S obzirom da je fauna beskič</w:t>
      </w:r>
      <w:r w:rsidRPr="00DA6147">
        <w:rPr>
          <w:rFonts w:ascii="Constantia" w:hAnsi="Constantia"/>
        </w:rPr>
        <w:t>menjaka vrlo raznovrsna</w:t>
      </w:r>
      <w:r w:rsidR="00DA6147">
        <w:rPr>
          <w:rFonts w:ascii="Constantia" w:hAnsi="Constantia"/>
        </w:rPr>
        <w:t>,</w:t>
      </w:r>
      <w:r w:rsidRPr="00DA6147">
        <w:rPr>
          <w:rFonts w:ascii="Constantia" w:hAnsi="Constantia"/>
        </w:rPr>
        <w:t xml:space="preserve"> potrebno je kontinuirano istraživanje od marta do novembra. Za dva dana istraživanja nije se moglo sagledati stanje i brojnost populacije vodenih beskičmenjaka. Uz to</w:t>
      </w:r>
      <w:r w:rsidR="00DA6147">
        <w:rPr>
          <w:rFonts w:ascii="Constantia" w:hAnsi="Constantia"/>
        </w:rPr>
        <w:t>,</w:t>
      </w:r>
      <w:r w:rsidRPr="00DA6147">
        <w:rPr>
          <w:rFonts w:ascii="Constantia" w:hAnsi="Constantia"/>
        </w:rPr>
        <w:t xml:space="preserve"> ne postoje literaturni podaci na osnovu kojih bi se mogle uporediti populacije vrsta. Tokom ovogodišnjih istraživanja</w:t>
      </w:r>
      <w:r w:rsidR="00DA6147">
        <w:rPr>
          <w:rFonts w:ascii="Constantia" w:hAnsi="Constantia"/>
        </w:rPr>
        <w:t>,</w:t>
      </w:r>
      <w:r w:rsidRPr="00DA6147">
        <w:rPr>
          <w:rFonts w:ascii="Constantia" w:hAnsi="Constantia"/>
        </w:rPr>
        <w:t xml:space="preserve"> nije zabilježeno postojanje pojedinih vrsta, što ne znači da one ne nastanjuju dato područje, već samo da nisu registrovane. A spisak datih vrsta predstavlja osnovu za buduća istraživanja.</w:t>
      </w:r>
    </w:p>
    <w:p w:rsidR="004B071C" w:rsidRPr="00BC79D4" w:rsidRDefault="004B071C" w:rsidP="00DA6147">
      <w:pPr>
        <w:spacing w:before="60" w:after="0"/>
        <w:rPr>
          <w:szCs w:val="22"/>
          <w:lang w:val="sr-Latn-CS"/>
        </w:rPr>
      </w:pPr>
    </w:p>
    <w:tbl>
      <w:tblPr>
        <w:tblpPr w:leftFromText="180" w:rightFromText="180" w:vertAnchor="text" w:tblpXSpec="center" w:tblpY="1"/>
        <w:tblOverlap w:val="never"/>
        <w:tblW w:w="9108" w:type="dxa"/>
        <w:jc w:val="center"/>
        <w:tblBorders>
          <w:top w:val="single" w:sz="8" w:space="0" w:color="DAEFC3"/>
          <w:left w:val="single" w:sz="8" w:space="0" w:color="DAEFC3"/>
          <w:bottom w:val="single" w:sz="8" w:space="0" w:color="DAEFC3"/>
          <w:right w:val="single" w:sz="8" w:space="0" w:color="DAEFC3"/>
          <w:insideH w:val="single" w:sz="8" w:space="0" w:color="DAEFC3"/>
          <w:insideV w:val="single" w:sz="8" w:space="0" w:color="DAEFC3"/>
        </w:tblBorders>
        <w:tblLook w:val="04A0" w:firstRow="1" w:lastRow="0" w:firstColumn="1" w:lastColumn="0" w:noHBand="0" w:noVBand="1"/>
      </w:tblPr>
      <w:tblGrid>
        <w:gridCol w:w="2718"/>
        <w:gridCol w:w="6390"/>
      </w:tblGrid>
      <w:tr w:rsidR="004B071C" w:rsidRPr="0031677F" w:rsidTr="00093FCF">
        <w:trPr>
          <w:jc w:val="center"/>
        </w:trPr>
        <w:tc>
          <w:tcPr>
            <w:tcW w:w="2718" w:type="dxa"/>
            <w:shd w:val="clear" w:color="auto" w:fill="F2F9EB"/>
          </w:tcPr>
          <w:p w:rsidR="004B071C" w:rsidRPr="0031677F" w:rsidRDefault="004B071C" w:rsidP="004E680E">
            <w:pPr>
              <w:spacing w:before="60" w:after="240"/>
              <w:rPr>
                <w:rFonts w:ascii="Constantia" w:hAnsi="Constantia"/>
                <w:b/>
                <w:bCs/>
                <w:szCs w:val="22"/>
                <w:lang w:val="sr-Latn-CS"/>
              </w:rPr>
            </w:pPr>
            <w:r w:rsidRPr="0031677F">
              <w:rPr>
                <w:rFonts w:ascii="Constantia" w:hAnsi="Constantia"/>
                <w:b/>
                <w:bCs/>
                <w:szCs w:val="22"/>
                <w:lang w:val="sr-Latn-CS"/>
              </w:rPr>
              <w:t>Lokalitet</w:t>
            </w:r>
          </w:p>
        </w:tc>
        <w:tc>
          <w:tcPr>
            <w:tcW w:w="6390" w:type="dxa"/>
            <w:shd w:val="clear" w:color="auto" w:fill="F2F9EB"/>
          </w:tcPr>
          <w:p w:rsidR="004B071C" w:rsidRPr="0031677F" w:rsidRDefault="004B071C" w:rsidP="004E680E">
            <w:pPr>
              <w:spacing w:before="60" w:after="240"/>
              <w:rPr>
                <w:rFonts w:ascii="Constantia" w:hAnsi="Constantia"/>
                <w:b/>
                <w:bCs/>
                <w:szCs w:val="22"/>
                <w:lang w:val="sr-Latn-CS"/>
              </w:rPr>
            </w:pPr>
            <w:r w:rsidRPr="0031677F">
              <w:rPr>
                <w:rFonts w:ascii="Constantia" w:hAnsi="Constantia"/>
                <w:b/>
                <w:bCs/>
                <w:szCs w:val="22"/>
                <w:lang w:val="sr-Latn-CS"/>
              </w:rPr>
              <w:t>Utvrđeno stanje</w:t>
            </w:r>
          </w:p>
        </w:tc>
      </w:tr>
      <w:tr w:rsidR="004B071C" w:rsidRPr="0031677F" w:rsidTr="00093FCF">
        <w:trPr>
          <w:trHeight w:val="1058"/>
          <w:jc w:val="center"/>
        </w:trPr>
        <w:tc>
          <w:tcPr>
            <w:tcW w:w="2718" w:type="dxa"/>
            <w:shd w:val="clear" w:color="auto" w:fill="F2F9EB"/>
          </w:tcPr>
          <w:p w:rsidR="004B071C" w:rsidRPr="0031677F" w:rsidRDefault="004B071C" w:rsidP="004E680E">
            <w:pPr>
              <w:rPr>
                <w:rFonts w:ascii="Constantia" w:hAnsi="Constantia"/>
                <w:b/>
                <w:bCs/>
                <w:szCs w:val="22"/>
              </w:rPr>
            </w:pPr>
            <w:r w:rsidRPr="0031677F">
              <w:rPr>
                <w:rFonts w:ascii="Constantia" w:hAnsi="Constantia"/>
                <w:b/>
                <w:bCs/>
                <w:szCs w:val="22"/>
              </w:rPr>
              <w:t>Lim (Zaton 1, Zaton 2)</w:t>
            </w:r>
          </w:p>
          <w:p w:rsidR="004B071C" w:rsidRPr="0031677F" w:rsidRDefault="004B071C" w:rsidP="004E680E">
            <w:pPr>
              <w:rPr>
                <w:rFonts w:ascii="Constantia" w:hAnsi="Constantia"/>
                <w:b/>
                <w:bCs/>
                <w:szCs w:val="22"/>
              </w:rPr>
            </w:pPr>
            <w:r w:rsidRPr="0031677F">
              <w:rPr>
                <w:rFonts w:ascii="Constantia" w:eastAsia="Calibri" w:hAnsi="Constantia"/>
                <w:b/>
                <w:szCs w:val="22"/>
                <w:lang w:val="sr-Latn-CS"/>
              </w:rPr>
              <w:t>Kanjon Murinske rijeke</w:t>
            </w:r>
          </w:p>
        </w:tc>
        <w:tc>
          <w:tcPr>
            <w:tcW w:w="6390" w:type="dxa"/>
            <w:shd w:val="clear" w:color="auto" w:fill="F2F9EB"/>
          </w:tcPr>
          <w:p w:rsidR="004B071C" w:rsidRPr="0031677F" w:rsidRDefault="004B071C" w:rsidP="004E680E">
            <w:pPr>
              <w:spacing w:before="60" w:after="240"/>
              <w:rPr>
                <w:rFonts w:ascii="Constantia" w:hAnsi="Constantia"/>
                <w:bCs/>
                <w:szCs w:val="22"/>
                <w:lang w:val="sr-Latn-CS"/>
              </w:rPr>
            </w:pPr>
            <w:r w:rsidRPr="0031677F">
              <w:rPr>
                <w:rFonts w:ascii="Constantia" w:hAnsi="Constantia"/>
                <w:bCs/>
                <w:szCs w:val="22"/>
                <w:lang w:val="sr-Latn-CS"/>
              </w:rPr>
              <w:t xml:space="preserve">U uzorcima iz vode uglavnom je dominirala fauna dna i to grupa </w:t>
            </w:r>
            <w:r w:rsidRPr="0031677F">
              <w:rPr>
                <w:rFonts w:ascii="Constantia" w:hAnsi="Constantia"/>
                <w:bCs/>
                <w:i/>
                <w:szCs w:val="22"/>
                <w:lang w:val="sr-Latn-CS"/>
              </w:rPr>
              <w:t>Trichoptera</w:t>
            </w:r>
            <w:r w:rsidRPr="0031677F">
              <w:rPr>
                <w:rFonts w:ascii="Constantia" w:hAnsi="Constantia"/>
                <w:bCs/>
                <w:szCs w:val="22"/>
                <w:lang w:val="sr-Latn-CS"/>
              </w:rPr>
              <w:t xml:space="preserve"> i </w:t>
            </w:r>
            <w:r w:rsidRPr="0031677F">
              <w:rPr>
                <w:rFonts w:ascii="Constantia" w:hAnsi="Constantia"/>
                <w:bCs/>
                <w:i/>
                <w:szCs w:val="22"/>
                <w:lang w:val="sr-Latn-CS"/>
              </w:rPr>
              <w:t>Plecoptera</w:t>
            </w:r>
            <w:r w:rsidRPr="0031677F">
              <w:rPr>
                <w:rFonts w:ascii="Constantia" w:hAnsi="Constantia"/>
                <w:bCs/>
                <w:szCs w:val="22"/>
                <w:lang w:val="sr-Latn-CS"/>
              </w:rPr>
              <w:t xml:space="preserve"> i one su bile brojne, dok su se </w:t>
            </w:r>
            <w:r w:rsidRPr="0031677F">
              <w:rPr>
                <w:rFonts w:ascii="Constantia" w:hAnsi="Constantia"/>
                <w:bCs/>
                <w:i/>
                <w:szCs w:val="22"/>
                <w:lang w:val="sr-Latn-CS"/>
              </w:rPr>
              <w:t>Cladocera</w:t>
            </w:r>
            <w:r w:rsidRPr="0031677F">
              <w:rPr>
                <w:rFonts w:ascii="Constantia" w:hAnsi="Constantia"/>
                <w:bCs/>
                <w:szCs w:val="22"/>
                <w:lang w:val="sr-Latn-CS"/>
              </w:rPr>
              <w:t xml:space="preserve"> i larve </w:t>
            </w:r>
            <w:r w:rsidRPr="0031677F">
              <w:rPr>
                <w:rFonts w:ascii="Constantia" w:hAnsi="Constantia"/>
                <w:bCs/>
                <w:i/>
                <w:szCs w:val="22"/>
                <w:lang w:val="sr-Latn-CS"/>
              </w:rPr>
              <w:t>Odonata</w:t>
            </w:r>
            <w:r w:rsidRPr="0031677F">
              <w:rPr>
                <w:rFonts w:ascii="Constantia" w:hAnsi="Constantia"/>
                <w:bCs/>
                <w:szCs w:val="22"/>
                <w:lang w:val="sr-Latn-CS"/>
              </w:rPr>
              <w:t xml:space="preserve"> javljale sporadično. </w:t>
            </w:r>
            <w:r w:rsidRPr="0031677F">
              <w:rPr>
                <w:rFonts w:ascii="Constantia" w:hAnsi="Constantia"/>
                <w:bCs/>
                <w:i/>
                <w:szCs w:val="22"/>
                <w:lang w:val="sr-Latn-CS"/>
              </w:rPr>
              <w:t>Copepode</w:t>
            </w:r>
            <w:r w:rsidRPr="0031677F">
              <w:rPr>
                <w:rFonts w:ascii="Constantia" w:hAnsi="Constantia"/>
                <w:bCs/>
                <w:szCs w:val="22"/>
                <w:lang w:val="sr-Latn-CS"/>
              </w:rPr>
              <w:t xml:space="preserve"> nisu registrovane</w:t>
            </w:r>
            <w:r w:rsidR="00093FCF" w:rsidRPr="0031677F">
              <w:rPr>
                <w:rFonts w:ascii="Constantia" w:hAnsi="Constantia"/>
                <w:bCs/>
                <w:szCs w:val="22"/>
                <w:lang w:val="sr-Latn-CS"/>
              </w:rPr>
              <w:t>,</w:t>
            </w:r>
            <w:r w:rsidRPr="0031677F">
              <w:rPr>
                <w:rFonts w:ascii="Constantia" w:hAnsi="Constantia"/>
                <w:bCs/>
                <w:szCs w:val="22"/>
                <w:lang w:val="sr-Latn-CS"/>
              </w:rPr>
              <w:t xml:space="preserve"> mada se one nisu ni očekivale u ovim izorcima</w:t>
            </w:r>
            <w:r w:rsidR="00093FCF" w:rsidRPr="0031677F">
              <w:rPr>
                <w:rFonts w:ascii="Constantia" w:hAnsi="Constantia"/>
                <w:bCs/>
                <w:szCs w:val="22"/>
                <w:lang w:val="sr-Latn-CS"/>
              </w:rPr>
              <w:t>,</w:t>
            </w:r>
            <w:r w:rsidRPr="0031677F">
              <w:rPr>
                <w:rFonts w:ascii="Constantia" w:hAnsi="Constantia"/>
                <w:bCs/>
                <w:szCs w:val="22"/>
                <w:lang w:val="sr-Latn-CS"/>
              </w:rPr>
              <w:t xml:space="preserve"> jer ovo nije njihovo tipično stanište, a larve </w:t>
            </w:r>
            <w:r w:rsidRPr="0031677F">
              <w:rPr>
                <w:rFonts w:ascii="Constantia" w:hAnsi="Constantia"/>
                <w:bCs/>
                <w:i/>
                <w:szCs w:val="22"/>
                <w:lang w:val="sr-Latn-CS"/>
              </w:rPr>
              <w:t>Ephemeroptera</w:t>
            </w:r>
            <w:r w:rsidRPr="0031677F">
              <w:rPr>
                <w:rFonts w:ascii="Constantia" w:hAnsi="Constantia"/>
                <w:bCs/>
                <w:szCs w:val="22"/>
                <w:lang w:val="sr-Latn-CS"/>
              </w:rPr>
              <w:t xml:space="preserve"> ovom prilikom nisu zabilježene. Zajednica adultnih formi </w:t>
            </w:r>
            <w:r w:rsidRPr="0031677F">
              <w:rPr>
                <w:rFonts w:ascii="Constantia" w:hAnsi="Constantia"/>
                <w:bCs/>
                <w:i/>
                <w:szCs w:val="22"/>
                <w:lang w:val="sr-Latn-CS"/>
              </w:rPr>
              <w:t>Odonata</w:t>
            </w:r>
            <w:r w:rsidRPr="0031677F">
              <w:rPr>
                <w:rFonts w:ascii="Constantia" w:hAnsi="Constantia"/>
                <w:bCs/>
                <w:szCs w:val="22"/>
                <w:lang w:val="sr-Latn-CS"/>
              </w:rPr>
              <w:t xml:space="preserve"> predstavljena je široko rasprostranjenim vrstama </w:t>
            </w:r>
            <w:r w:rsidRPr="0031677F">
              <w:rPr>
                <w:rFonts w:ascii="Constantia" w:hAnsi="Constantia"/>
                <w:bCs/>
                <w:i/>
                <w:szCs w:val="22"/>
                <w:lang w:val="sr-Latn-CS"/>
              </w:rPr>
              <w:t>Calopteryx virgo</w:t>
            </w:r>
            <w:r w:rsidRPr="0031677F">
              <w:rPr>
                <w:rFonts w:ascii="Constantia" w:hAnsi="Constantia"/>
                <w:bCs/>
                <w:szCs w:val="22"/>
                <w:lang w:val="sr-Latn-CS"/>
              </w:rPr>
              <w:t xml:space="preserve">, </w:t>
            </w:r>
            <w:r w:rsidRPr="0031677F">
              <w:rPr>
                <w:rFonts w:ascii="Constantia" w:hAnsi="Constantia"/>
                <w:bCs/>
                <w:i/>
                <w:szCs w:val="22"/>
                <w:lang w:val="sr-Latn-CS"/>
              </w:rPr>
              <w:t>Calopteryx splendens, Platycnemis pennipes, Sympetrum fonscolombii</w:t>
            </w:r>
            <w:r w:rsidRPr="0031677F">
              <w:rPr>
                <w:rFonts w:ascii="Constantia" w:hAnsi="Constantia"/>
                <w:bCs/>
                <w:szCs w:val="22"/>
                <w:lang w:val="sr-Latn-CS"/>
              </w:rPr>
              <w:t xml:space="preserve"> i </w:t>
            </w:r>
            <w:r w:rsidRPr="0031677F">
              <w:rPr>
                <w:rFonts w:ascii="Constantia" w:hAnsi="Constantia"/>
                <w:bCs/>
                <w:i/>
                <w:szCs w:val="22"/>
                <w:lang w:val="sr-Latn-CS"/>
              </w:rPr>
              <w:t>Sympetrum striolatum</w:t>
            </w:r>
            <w:r w:rsidRPr="0031677F">
              <w:rPr>
                <w:rFonts w:ascii="Constantia" w:hAnsi="Constantia"/>
                <w:bCs/>
                <w:szCs w:val="22"/>
                <w:lang w:val="sr-Latn-CS"/>
              </w:rPr>
              <w:t xml:space="preserve">. U proljetnjem nalazu dominirale su vrste </w:t>
            </w:r>
            <w:r w:rsidRPr="0031677F">
              <w:rPr>
                <w:rFonts w:ascii="Constantia" w:hAnsi="Constantia"/>
                <w:bCs/>
                <w:i/>
                <w:szCs w:val="22"/>
                <w:lang w:val="sr-Latn-CS"/>
              </w:rPr>
              <w:t>Calopteryx</w:t>
            </w:r>
            <w:r w:rsidRPr="0031677F">
              <w:rPr>
                <w:rFonts w:ascii="Constantia" w:hAnsi="Constantia"/>
                <w:bCs/>
                <w:szCs w:val="22"/>
                <w:lang w:val="sr-Latn-CS"/>
              </w:rPr>
              <w:t xml:space="preserve"> a u jesenjem jesenje forme </w:t>
            </w:r>
            <w:r w:rsidRPr="0031677F">
              <w:rPr>
                <w:rFonts w:ascii="Constantia" w:hAnsi="Constantia"/>
                <w:bCs/>
                <w:i/>
                <w:szCs w:val="22"/>
                <w:lang w:val="sr-Latn-CS"/>
              </w:rPr>
              <w:t>Sympetrum</w:t>
            </w:r>
            <w:r w:rsidRPr="0031677F">
              <w:rPr>
                <w:rFonts w:ascii="Constantia" w:hAnsi="Constantia"/>
                <w:bCs/>
                <w:szCs w:val="22"/>
                <w:lang w:val="sr-Latn-CS"/>
              </w:rPr>
              <w:t>.</w:t>
            </w:r>
          </w:p>
          <w:p w:rsidR="004B071C" w:rsidRPr="0031677F" w:rsidRDefault="004B071C" w:rsidP="004E680E">
            <w:pPr>
              <w:spacing w:before="60" w:after="240"/>
              <w:rPr>
                <w:rFonts w:ascii="Constantia" w:hAnsi="Constantia"/>
                <w:bCs/>
                <w:szCs w:val="22"/>
                <w:lang w:val="sr-Latn-CS"/>
              </w:rPr>
            </w:pPr>
            <w:r w:rsidRPr="0031677F">
              <w:rPr>
                <w:rFonts w:ascii="Constantia" w:hAnsi="Constantia"/>
                <w:bCs/>
                <w:szCs w:val="22"/>
                <w:lang w:val="sr-Latn-CS"/>
              </w:rPr>
              <w:t>Spisak registrovanih vrsta:</w:t>
            </w:r>
          </w:p>
          <w:p w:rsidR="004B071C" w:rsidRPr="0031677F" w:rsidRDefault="004B071C" w:rsidP="00093FCF">
            <w:pPr>
              <w:spacing w:before="60" w:after="0"/>
              <w:rPr>
                <w:rFonts w:ascii="Constantia" w:hAnsi="Constantia"/>
                <w:bCs/>
                <w:i/>
                <w:szCs w:val="22"/>
                <w:lang w:val="sr-Latn-CS"/>
              </w:rPr>
            </w:pPr>
            <w:r w:rsidRPr="0031677F">
              <w:rPr>
                <w:rFonts w:ascii="Constantia" w:hAnsi="Constantia"/>
                <w:bCs/>
                <w:i/>
                <w:szCs w:val="22"/>
                <w:lang w:val="sr-Latn-CS"/>
              </w:rPr>
              <w:t>Cladocera: Bosmina longirostris, Alona sp.</w:t>
            </w:r>
            <w:r w:rsidRPr="0031677F">
              <w:rPr>
                <w:rFonts w:ascii="Constantia" w:hAnsi="Constantia"/>
                <w:bCs/>
                <w:szCs w:val="22"/>
                <w:lang w:val="sr-Latn-CS"/>
              </w:rPr>
              <w:t xml:space="preserve"> i </w:t>
            </w:r>
            <w:r w:rsidRPr="0031677F">
              <w:rPr>
                <w:rFonts w:ascii="Constantia" w:hAnsi="Constantia"/>
                <w:bCs/>
                <w:i/>
                <w:szCs w:val="22"/>
                <w:lang w:val="sr-Latn-CS"/>
              </w:rPr>
              <w:t>Chydorus sphericus</w:t>
            </w:r>
          </w:p>
          <w:p w:rsidR="004B071C" w:rsidRPr="0031677F" w:rsidRDefault="004B071C" w:rsidP="00093FCF">
            <w:pPr>
              <w:spacing w:before="60" w:after="0"/>
              <w:rPr>
                <w:rFonts w:ascii="Constantia" w:hAnsi="Constantia"/>
                <w:bCs/>
                <w:i/>
                <w:szCs w:val="22"/>
                <w:lang w:val="sr-Latn-CS"/>
              </w:rPr>
            </w:pPr>
            <w:r w:rsidRPr="0031677F">
              <w:rPr>
                <w:rFonts w:ascii="Constantia" w:hAnsi="Constantia"/>
                <w:bCs/>
                <w:i/>
                <w:szCs w:val="22"/>
                <w:lang w:val="sr-Latn-CS"/>
              </w:rPr>
              <w:t>Odonata: Calopteryx virgo, Calopteryx splendens, Platycnemis pennipes, Libellula depressa, Sympetrum fonscolombii, Sympetrum striolatum</w:t>
            </w:r>
          </w:p>
          <w:p w:rsidR="004B071C" w:rsidRPr="0031677F" w:rsidRDefault="004B071C" w:rsidP="00093FCF">
            <w:pPr>
              <w:spacing w:before="60" w:after="0"/>
              <w:rPr>
                <w:rFonts w:ascii="Constantia" w:hAnsi="Constantia"/>
                <w:bCs/>
                <w:i/>
                <w:szCs w:val="22"/>
                <w:lang w:val="sr-Latn-CS"/>
              </w:rPr>
            </w:pPr>
            <w:r w:rsidRPr="0031677F">
              <w:rPr>
                <w:rFonts w:ascii="Constantia" w:hAnsi="Constantia"/>
                <w:bCs/>
                <w:i/>
                <w:szCs w:val="22"/>
                <w:lang w:val="sr-Latn-CS"/>
              </w:rPr>
              <w:t xml:space="preserve">Trichoptera: Rhyacophila sp. </w:t>
            </w:r>
          </w:p>
          <w:p w:rsidR="004B071C" w:rsidRPr="0031677F" w:rsidRDefault="004B071C" w:rsidP="00093FCF">
            <w:pPr>
              <w:spacing w:before="60"/>
              <w:rPr>
                <w:rFonts w:ascii="Constantia" w:hAnsi="Constantia"/>
                <w:bCs/>
                <w:i/>
                <w:szCs w:val="22"/>
                <w:lang w:val="sr-Latn-CS"/>
              </w:rPr>
            </w:pPr>
            <w:r w:rsidRPr="0031677F">
              <w:rPr>
                <w:rFonts w:ascii="Constantia" w:hAnsi="Constantia"/>
                <w:bCs/>
                <w:i/>
                <w:szCs w:val="22"/>
                <w:lang w:val="sr-Latn-CS"/>
              </w:rPr>
              <w:t>Plecoptera: Nemoura sp.</w:t>
            </w:r>
          </w:p>
        </w:tc>
      </w:tr>
    </w:tbl>
    <w:p w:rsidR="004B071C" w:rsidRDefault="00B93CFE" w:rsidP="004B071C">
      <w:pPr>
        <w:pStyle w:val="Tabele"/>
        <w:spacing w:before="60" w:after="240"/>
        <w:ind w:left="714" w:hanging="357"/>
        <w:rPr>
          <w:rFonts w:ascii="Constantia" w:hAnsi="Constantia"/>
          <w:sz w:val="22"/>
          <w:szCs w:val="22"/>
        </w:rPr>
      </w:pPr>
      <w:r>
        <w:rPr>
          <w:rFonts w:ascii="Constantia" w:hAnsi="Constantia"/>
          <w:sz w:val="22"/>
          <w:szCs w:val="22"/>
        </w:rPr>
        <w:t xml:space="preserve"> </w:t>
      </w:r>
      <w:r w:rsidR="004B071C" w:rsidRPr="00B54DB1">
        <w:rPr>
          <w:rFonts w:ascii="Constantia" w:hAnsi="Constantia"/>
          <w:sz w:val="22"/>
          <w:szCs w:val="22"/>
        </w:rPr>
        <w:t>Vodeni beskičmenjaci</w:t>
      </w:r>
    </w:p>
    <w:p w:rsidR="00B54DB1" w:rsidRPr="00B54DB1" w:rsidRDefault="00B54DB1" w:rsidP="00B54DB1">
      <w:pPr>
        <w:pStyle w:val="Tabele"/>
        <w:numPr>
          <w:ilvl w:val="0"/>
          <w:numId w:val="0"/>
        </w:numPr>
        <w:spacing w:before="0" w:after="0"/>
        <w:ind w:left="714"/>
        <w:jc w:val="both"/>
        <w:rPr>
          <w:rFonts w:ascii="Constantia" w:hAnsi="Constantia"/>
          <w:sz w:val="22"/>
          <w:szCs w:val="22"/>
        </w:rPr>
      </w:pPr>
    </w:p>
    <w:p w:rsidR="004B071C" w:rsidRPr="00B54DB1" w:rsidRDefault="00B54DB1" w:rsidP="00B54DB1">
      <w:pPr>
        <w:pStyle w:val="Heading4"/>
        <w:numPr>
          <w:ilvl w:val="0"/>
          <w:numId w:val="0"/>
        </w:numPr>
        <w:rPr>
          <w:sz w:val="22"/>
          <w:szCs w:val="22"/>
          <w:lang w:val="sr-Latn-CS"/>
        </w:rPr>
      </w:pPr>
      <w:r>
        <w:rPr>
          <w:sz w:val="22"/>
          <w:szCs w:val="22"/>
          <w:lang w:val="sr-Latn-CS"/>
        </w:rPr>
        <w:t xml:space="preserve">6.3.4.5   </w:t>
      </w:r>
      <w:r w:rsidR="004B071C" w:rsidRPr="00B54DB1">
        <w:rPr>
          <w:sz w:val="22"/>
          <w:szCs w:val="22"/>
          <w:lang w:val="sr-Latn-CS"/>
        </w:rPr>
        <w:t>Ihtiofauna</w:t>
      </w:r>
    </w:p>
    <w:p w:rsidR="004B071C" w:rsidRDefault="004B071C" w:rsidP="004B071C">
      <w:pPr>
        <w:rPr>
          <w:lang w:val="sr-Latn-CS"/>
        </w:rPr>
      </w:pPr>
    </w:p>
    <w:p w:rsidR="004B071C" w:rsidRPr="00B54DB1" w:rsidRDefault="004B071C" w:rsidP="004B071C">
      <w:pPr>
        <w:rPr>
          <w:rFonts w:ascii="Constantia" w:hAnsi="Constantia"/>
          <w:szCs w:val="22"/>
          <w:lang w:val="sr-Latn-CS"/>
        </w:rPr>
      </w:pPr>
      <w:r w:rsidRPr="00B54DB1">
        <w:rPr>
          <w:rFonts w:ascii="Constantia" w:hAnsi="Constantia"/>
          <w:lang w:val="sr-Latn-CS"/>
        </w:rPr>
        <w:t>Datumi terenskih istraživanja:</w:t>
      </w:r>
      <w:r w:rsidRPr="00B54DB1">
        <w:rPr>
          <w:rFonts w:ascii="Constantia" w:hAnsi="Constantia"/>
        </w:rPr>
        <w:t xml:space="preserve"> </w:t>
      </w:r>
      <w:r w:rsidR="00B54DB1">
        <w:rPr>
          <w:rFonts w:ascii="Constantia" w:hAnsi="Constantia"/>
          <w:szCs w:val="22"/>
          <w:lang w:val="sr-Latn-CS"/>
        </w:rPr>
        <w:t>27.06.13., 01.08.</w:t>
      </w:r>
      <w:r w:rsidRPr="00B54DB1">
        <w:rPr>
          <w:rFonts w:ascii="Constantia" w:hAnsi="Constantia"/>
          <w:szCs w:val="22"/>
          <w:lang w:val="sr-Latn-CS"/>
        </w:rPr>
        <w:t>13</w:t>
      </w:r>
      <w:r w:rsidR="00B54DB1">
        <w:rPr>
          <w:rFonts w:ascii="Constantia" w:hAnsi="Constantia"/>
          <w:szCs w:val="22"/>
          <w:lang w:val="sr-Latn-CS"/>
        </w:rPr>
        <w:t>. i</w:t>
      </w:r>
      <w:r w:rsidRPr="00B54DB1">
        <w:rPr>
          <w:rFonts w:ascii="Constantia" w:hAnsi="Constantia"/>
          <w:szCs w:val="22"/>
          <w:lang w:val="sr-Latn-CS"/>
        </w:rPr>
        <w:t xml:space="preserve"> </w:t>
      </w:r>
      <w:r w:rsidR="00B54DB1">
        <w:rPr>
          <w:rFonts w:ascii="Constantia" w:hAnsi="Constantia"/>
          <w:szCs w:val="22"/>
          <w:lang w:val="sr-Latn-CS"/>
        </w:rPr>
        <w:t>03.09.</w:t>
      </w:r>
      <w:r w:rsidRPr="00B54DB1">
        <w:rPr>
          <w:rFonts w:ascii="Constantia" w:hAnsi="Constantia"/>
          <w:szCs w:val="22"/>
          <w:lang w:val="sr-Latn-CS"/>
        </w:rPr>
        <w:t>13</w:t>
      </w:r>
      <w:r w:rsidR="00B54DB1">
        <w:rPr>
          <w:rFonts w:ascii="Constantia" w:hAnsi="Constantia"/>
          <w:szCs w:val="22"/>
          <w:lang w:val="sr-Latn-CS"/>
        </w:rPr>
        <w:t>.</w:t>
      </w:r>
    </w:p>
    <w:p w:rsidR="004B071C" w:rsidRPr="00F21414" w:rsidRDefault="004B071C" w:rsidP="00941ACB">
      <w:pPr>
        <w:spacing w:before="60" w:after="0"/>
        <w:rPr>
          <w:szCs w:val="22"/>
          <w:lang w:val="sr-Latn-CS"/>
        </w:rPr>
      </w:pPr>
    </w:p>
    <w:tbl>
      <w:tblPr>
        <w:tblW w:w="9369" w:type="dxa"/>
        <w:jc w:val="center"/>
        <w:tblInd w:w="1243"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ayout w:type="fixed"/>
        <w:tblLook w:val="04A0" w:firstRow="1" w:lastRow="0" w:firstColumn="1" w:lastColumn="0" w:noHBand="0" w:noVBand="1"/>
      </w:tblPr>
      <w:tblGrid>
        <w:gridCol w:w="2169"/>
        <w:gridCol w:w="1170"/>
        <w:gridCol w:w="1170"/>
        <w:gridCol w:w="1350"/>
        <w:gridCol w:w="1579"/>
        <w:gridCol w:w="1931"/>
      </w:tblGrid>
      <w:tr w:rsidR="004B071C" w:rsidRPr="005C4608" w:rsidTr="00620612">
        <w:trPr>
          <w:trHeight w:val="68"/>
          <w:jc w:val="center"/>
        </w:trPr>
        <w:tc>
          <w:tcPr>
            <w:tcW w:w="2169" w:type="dxa"/>
            <w:shd w:val="clear" w:color="auto" w:fill="E6EED5"/>
          </w:tcPr>
          <w:p w:rsidR="004B071C" w:rsidRPr="005C4608" w:rsidRDefault="004B071C" w:rsidP="004E680E">
            <w:pPr>
              <w:spacing w:after="0"/>
              <w:jc w:val="center"/>
              <w:rPr>
                <w:rFonts w:ascii="Constantia" w:hAnsi="Constantia"/>
                <w:b/>
                <w:bCs/>
                <w:szCs w:val="22"/>
                <w:lang w:val="sr-Latn-CS"/>
              </w:rPr>
            </w:pPr>
            <w:r w:rsidRPr="005C4608">
              <w:rPr>
                <w:rFonts w:ascii="Constantia" w:hAnsi="Constantia"/>
                <w:b/>
                <w:bCs/>
                <w:color w:val="000000"/>
                <w:szCs w:val="22"/>
              </w:rPr>
              <w:t>Latinski naziv vrste</w:t>
            </w:r>
          </w:p>
        </w:tc>
        <w:tc>
          <w:tcPr>
            <w:tcW w:w="1170" w:type="dxa"/>
            <w:shd w:val="clear" w:color="auto" w:fill="E6EED5"/>
          </w:tcPr>
          <w:p w:rsidR="004B071C" w:rsidRPr="005C4608" w:rsidRDefault="004B071C" w:rsidP="004E680E">
            <w:pPr>
              <w:spacing w:after="0"/>
              <w:jc w:val="center"/>
              <w:rPr>
                <w:rFonts w:ascii="Constantia" w:hAnsi="Constantia"/>
                <w:b/>
                <w:bCs/>
                <w:color w:val="000000"/>
                <w:szCs w:val="22"/>
              </w:rPr>
            </w:pPr>
            <w:r w:rsidRPr="005C4608">
              <w:rPr>
                <w:rFonts w:ascii="Constantia" w:hAnsi="Constantia"/>
                <w:b/>
                <w:bCs/>
                <w:color w:val="000000"/>
                <w:szCs w:val="22"/>
              </w:rPr>
              <w:t>Nacionalni naziv</w:t>
            </w:r>
          </w:p>
        </w:tc>
        <w:tc>
          <w:tcPr>
            <w:tcW w:w="1170" w:type="dxa"/>
            <w:shd w:val="clear" w:color="auto" w:fill="E6EED5"/>
          </w:tcPr>
          <w:p w:rsidR="004B071C" w:rsidRPr="005C4608" w:rsidRDefault="004B071C" w:rsidP="004E680E">
            <w:pPr>
              <w:spacing w:after="0"/>
              <w:jc w:val="center"/>
              <w:rPr>
                <w:rFonts w:ascii="Constantia" w:hAnsi="Constantia"/>
                <w:b/>
                <w:bCs/>
                <w:color w:val="000000"/>
                <w:szCs w:val="22"/>
              </w:rPr>
            </w:pPr>
            <w:r w:rsidRPr="005C4608">
              <w:rPr>
                <w:rFonts w:ascii="Constantia" w:hAnsi="Constantia"/>
                <w:b/>
                <w:bCs/>
                <w:color w:val="000000"/>
                <w:szCs w:val="22"/>
              </w:rPr>
              <w:t>Populacija (tačna procjena brojnosti ili opseg min-max)</w:t>
            </w:r>
          </w:p>
        </w:tc>
        <w:tc>
          <w:tcPr>
            <w:tcW w:w="1350" w:type="dxa"/>
            <w:shd w:val="clear" w:color="auto" w:fill="E6EED5"/>
          </w:tcPr>
          <w:p w:rsidR="004B071C" w:rsidRPr="005C4608" w:rsidRDefault="004B071C" w:rsidP="004E680E">
            <w:pPr>
              <w:spacing w:after="0"/>
              <w:jc w:val="center"/>
              <w:rPr>
                <w:rFonts w:ascii="Constantia" w:hAnsi="Constantia"/>
                <w:b/>
                <w:bCs/>
                <w:color w:val="000000"/>
                <w:szCs w:val="22"/>
              </w:rPr>
            </w:pPr>
            <w:r w:rsidRPr="005C4608">
              <w:rPr>
                <w:rFonts w:ascii="Constantia" w:hAnsi="Constantia"/>
                <w:b/>
                <w:bCs/>
                <w:color w:val="000000"/>
                <w:szCs w:val="22"/>
              </w:rPr>
              <w:t>Lokacija (mikro)</w:t>
            </w:r>
          </w:p>
        </w:tc>
        <w:tc>
          <w:tcPr>
            <w:tcW w:w="1579" w:type="dxa"/>
            <w:shd w:val="clear" w:color="auto" w:fill="E6EED5"/>
          </w:tcPr>
          <w:p w:rsidR="004B071C" w:rsidRPr="005C4608" w:rsidRDefault="004B071C" w:rsidP="00941ACB">
            <w:pPr>
              <w:spacing w:after="0"/>
              <w:jc w:val="center"/>
              <w:rPr>
                <w:rFonts w:ascii="Constantia" w:hAnsi="Constantia"/>
                <w:b/>
                <w:bCs/>
                <w:szCs w:val="22"/>
                <w:lang w:val="sr-Latn-CS"/>
              </w:rPr>
            </w:pPr>
            <w:r w:rsidRPr="005C4608">
              <w:rPr>
                <w:rFonts w:ascii="Constantia" w:hAnsi="Constantia"/>
                <w:b/>
                <w:bCs/>
                <w:szCs w:val="22"/>
                <w:lang w:val="sr-Latn-CS"/>
              </w:rPr>
              <w:t>Koordinate</w:t>
            </w:r>
          </w:p>
        </w:tc>
        <w:tc>
          <w:tcPr>
            <w:tcW w:w="1931" w:type="dxa"/>
            <w:shd w:val="clear" w:color="auto" w:fill="E6EED5"/>
          </w:tcPr>
          <w:p w:rsidR="004B071C" w:rsidRPr="005C4608" w:rsidRDefault="004B071C" w:rsidP="004E680E">
            <w:pPr>
              <w:spacing w:after="0"/>
              <w:jc w:val="center"/>
              <w:rPr>
                <w:rFonts w:ascii="Constantia" w:hAnsi="Constantia"/>
                <w:b/>
                <w:bCs/>
                <w:szCs w:val="22"/>
                <w:lang w:val="sr-Latn-CS"/>
              </w:rPr>
            </w:pPr>
            <w:r w:rsidRPr="005C4608">
              <w:rPr>
                <w:rFonts w:ascii="Constantia" w:hAnsi="Constantia"/>
                <w:b/>
                <w:bCs/>
                <w:szCs w:val="22"/>
                <w:lang w:val="sr-Latn-CS"/>
              </w:rPr>
              <w:t>Ocjena stanja populacije</w:t>
            </w:r>
          </w:p>
        </w:tc>
      </w:tr>
      <w:tr w:rsidR="004B071C" w:rsidRPr="005C4608" w:rsidTr="00620612">
        <w:trPr>
          <w:trHeight w:val="350"/>
          <w:jc w:val="center"/>
        </w:trPr>
        <w:tc>
          <w:tcPr>
            <w:tcW w:w="2169" w:type="dxa"/>
            <w:shd w:val="clear" w:color="auto" w:fill="CDDDAC"/>
          </w:tcPr>
          <w:p w:rsidR="004B071C" w:rsidRPr="005C4608" w:rsidRDefault="004B071C" w:rsidP="004E680E">
            <w:pPr>
              <w:spacing w:after="0" w:line="276" w:lineRule="auto"/>
              <w:jc w:val="center"/>
              <w:rPr>
                <w:rFonts w:ascii="Constantia" w:eastAsia="Calibri" w:hAnsi="Constantia"/>
                <w:b/>
                <w:bCs/>
                <w:i/>
                <w:szCs w:val="22"/>
              </w:rPr>
            </w:pPr>
            <w:r w:rsidRPr="005C4608">
              <w:rPr>
                <w:rFonts w:ascii="Constantia" w:eastAsia="Calibri" w:hAnsi="Constantia"/>
                <w:b/>
                <w:bCs/>
                <w:i/>
                <w:szCs w:val="22"/>
              </w:rPr>
              <w:t>Austropotamobius torrentium</w:t>
            </w:r>
          </w:p>
        </w:tc>
        <w:tc>
          <w:tcPr>
            <w:tcW w:w="1170" w:type="dxa"/>
            <w:shd w:val="clear" w:color="auto" w:fill="CDDDAC"/>
          </w:tcPr>
          <w:p w:rsidR="004B071C" w:rsidRPr="005C4608" w:rsidRDefault="004B071C" w:rsidP="00941ACB">
            <w:pPr>
              <w:spacing w:after="0"/>
              <w:jc w:val="center"/>
              <w:rPr>
                <w:rFonts w:ascii="Constantia" w:eastAsia="Calibri" w:hAnsi="Constantia"/>
                <w:szCs w:val="22"/>
              </w:rPr>
            </w:pPr>
            <w:r w:rsidRPr="005C4608">
              <w:rPr>
                <w:rFonts w:ascii="Constantia" w:eastAsia="Calibri" w:hAnsi="Constantia"/>
                <w:szCs w:val="22"/>
              </w:rPr>
              <w:t>Rak kamenjar</w:t>
            </w:r>
          </w:p>
        </w:tc>
        <w:tc>
          <w:tcPr>
            <w:tcW w:w="1170" w:type="dxa"/>
            <w:shd w:val="clear" w:color="auto" w:fill="CDDDAC"/>
          </w:tcPr>
          <w:p w:rsidR="004B071C" w:rsidRPr="005C4608" w:rsidRDefault="004B071C" w:rsidP="004E680E">
            <w:pPr>
              <w:spacing w:after="0"/>
              <w:jc w:val="center"/>
              <w:rPr>
                <w:rFonts w:ascii="Constantia" w:hAnsi="Constantia"/>
                <w:szCs w:val="22"/>
                <w:lang w:val="sr-Latn-CS"/>
              </w:rPr>
            </w:pPr>
            <w:r w:rsidRPr="005C4608">
              <w:rPr>
                <w:rFonts w:ascii="Constantia" w:eastAsia="Calibri" w:hAnsi="Constantia"/>
                <w:color w:val="000000"/>
                <w:szCs w:val="22"/>
                <w:lang w:val="sr-Latn-CS"/>
              </w:rPr>
              <w:t>41-80 mm</w:t>
            </w:r>
          </w:p>
        </w:tc>
        <w:tc>
          <w:tcPr>
            <w:tcW w:w="1350" w:type="dxa"/>
            <w:shd w:val="clear" w:color="auto" w:fill="CDDDAC"/>
          </w:tcPr>
          <w:p w:rsidR="004B071C" w:rsidRPr="005C4608" w:rsidRDefault="004B071C" w:rsidP="004E680E">
            <w:pPr>
              <w:spacing w:after="0"/>
              <w:jc w:val="center"/>
              <w:rPr>
                <w:rFonts w:ascii="Constantia" w:hAnsi="Constantia"/>
                <w:color w:val="000000"/>
                <w:szCs w:val="22"/>
              </w:rPr>
            </w:pPr>
            <w:r w:rsidRPr="005C4608">
              <w:rPr>
                <w:rFonts w:ascii="Constantia" w:hAnsi="Constantia"/>
                <w:color w:val="000000"/>
                <w:szCs w:val="22"/>
              </w:rPr>
              <w:t>Jezero, Cijeli tok Lima</w:t>
            </w:r>
          </w:p>
        </w:tc>
        <w:tc>
          <w:tcPr>
            <w:tcW w:w="1579" w:type="dxa"/>
            <w:shd w:val="clear" w:color="auto" w:fill="CDDDAC"/>
          </w:tcPr>
          <w:p w:rsidR="004B071C" w:rsidRPr="005C4608" w:rsidRDefault="004B071C" w:rsidP="004E680E">
            <w:pPr>
              <w:autoSpaceDE w:val="0"/>
              <w:autoSpaceDN w:val="0"/>
              <w:adjustRightInd w:val="0"/>
              <w:spacing w:after="0"/>
              <w:jc w:val="center"/>
              <w:rPr>
                <w:rFonts w:ascii="Constantia" w:eastAsia="MyriadPro-Regular" w:hAnsi="Constantia"/>
                <w:szCs w:val="22"/>
              </w:rPr>
            </w:pPr>
          </w:p>
        </w:tc>
        <w:tc>
          <w:tcPr>
            <w:tcW w:w="1931" w:type="dxa"/>
            <w:shd w:val="clear" w:color="auto" w:fill="CDDDAC"/>
          </w:tcPr>
          <w:p w:rsidR="004B071C" w:rsidRPr="005C4608" w:rsidRDefault="004B071C" w:rsidP="004E680E">
            <w:pPr>
              <w:autoSpaceDE w:val="0"/>
              <w:autoSpaceDN w:val="0"/>
              <w:adjustRightInd w:val="0"/>
              <w:spacing w:after="0"/>
              <w:jc w:val="center"/>
              <w:rPr>
                <w:rFonts w:ascii="Constantia" w:eastAsia="MyriadPro-Regular" w:hAnsi="Constantia"/>
                <w:szCs w:val="22"/>
              </w:rPr>
            </w:pPr>
            <w:r w:rsidRPr="005C4608">
              <w:rPr>
                <w:rFonts w:ascii="Constantia" w:eastAsia="MyriadPro-Regular" w:hAnsi="Constantia"/>
                <w:szCs w:val="22"/>
              </w:rPr>
              <w:t>Relativ</w:t>
            </w:r>
            <w:r w:rsidR="005C4608">
              <w:rPr>
                <w:rFonts w:ascii="Constantia" w:eastAsia="MyriadPro-Regular" w:hAnsi="Constantia"/>
                <w:szCs w:val="22"/>
              </w:rPr>
              <w:t>no stabilna uzrasna satruktura</w:t>
            </w:r>
          </w:p>
        </w:tc>
      </w:tr>
      <w:tr w:rsidR="004B071C" w:rsidRPr="005C4608" w:rsidTr="00620612">
        <w:trPr>
          <w:trHeight w:val="942"/>
          <w:jc w:val="center"/>
        </w:trPr>
        <w:tc>
          <w:tcPr>
            <w:tcW w:w="2169" w:type="dxa"/>
            <w:shd w:val="clear" w:color="auto" w:fill="E6EED5"/>
          </w:tcPr>
          <w:p w:rsidR="004B071C" w:rsidRPr="005C4608" w:rsidRDefault="004B071C" w:rsidP="004E680E">
            <w:pPr>
              <w:spacing w:after="0" w:line="276" w:lineRule="auto"/>
              <w:jc w:val="center"/>
              <w:rPr>
                <w:rFonts w:ascii="Constantia" w:eastAsia="Calibri" w:hAnsi="Constantia"/>
                <w:b/>
                <w:bCs/>
                <w:szCs w:val="22"/>
              </w:rPr>
            </w:pPr>
            <w:r w:rsidRPr="005C4608">
              <w:rPr>
                <w:rFonts w:ascii="Constantia" w:eastAsia="Calibri" w:hAnsi="Constantia"/>
                <w:b/>
                <w:bCs/>
                <w:i/>
                <w:szCs w:val="22"/>
              </w:rPr>
              <w:lastRenderedPageBreak/>
              <w:t>Barbus peloponesius</w:t>
            </w:r>
          </w:p>
        </w:tc>
        <w:tc>
          <w:tcPr>
            <w:tcW w:w="1170" w:type="dxa"/>
            <w:shd w:val="clear" w:color="auto" w:fill="E6EED5"/>
          </w:tcPr>
          <w:p w:rsidR="004B071C" w:rsidRPr="005C4608" w:rsidRDefault="004B071C" w:rsidP="004E680E">
            <w:pPr>
              <w:spacing w:after="0" w:line="360" w:lineRule="auto"/>
              <w:jc w:val="center"/>
              <w:rPr>
                <w:rFonts w:ascii="Constantia" w:eastAsia="Calibri" w:hAnsi="Constantia"/>
                <w:szCs w:val="22"/>
              </w:rPr>
            </w:pPr>
            <w:r w:rsidRPr="005C4608">
              <w:rPr>
                <w:rFonts w:ascii="Constantia" w:eastAsia="Calibri" w:hAnsi="Constantia"/>
                <w:szCs w:val="22"/>
              </w:rPr>
              <w:t>p. mrena</w:t>
            </w:r>
          </w:p>
          <w:p w:rsidR="004B071C" w:rsidRPr="005C4608" w:rsidRDefault="004B071C" w:rsidP="004E680E">
            <w:pPr>
              <w:spacing w:after="0"/>
              <w:jc w:val="center"/>
              <w:rPr>
                <w:rFonts w:ascii="Constantia" w:hAnsi="Constantia"/>
                <w:szCs w:val="22"/>
                <w:lang w:val="sr-Latn-CS"/>
              </w:rPr>
            </w:pPr>
          </w:p>
        </w:tc>
        <w:tc>
          <w:tcPr>
            <w:tcW w:w="1170" w:type="dxa"/>
            <w:shd w:val="clear" w:color="auto" w:fill="E6EED5"/>
          </w:tcPr>
          <w:p w:rsidR="004B071C" w:rsidRPr="005C4608" w:rsidRDefault="004B071C" w:rsidP="00941ACB">
            <w:pPr>
              <w:jc w:val="center"/>
              <w:rPr>
                <w:rFonts w:ascii="Constantia" w:hAnsi="Constantia"/>
                <w:szCs w:val="22"/>
              </w:rPr>
            </w:pPr>
            <w:r w:rsidRPr="005C4608">
              <w:rPr>
                <w:rFonts w:ascii="Constantia" w:hAnsi="Constantia"/>
                <w:szCs w:val="22"/>
              </w:rPr>
              <w:t>36,98 %</w:t>
            </w:r>
          </w:p>
        </w:tc>
        <w:tc>
          <w:tcPr>
            <w:tcW w:w="1350" w:type="dxa"/>
            <w:shd w:val="clear" w:color="auto" w:fill="E6EED5"/>
          </w:tcPr>
          <w:p w:rsidR="004B071C" w:rsidRPr="005C4608" w:rsidRDefault="00620612" w:rsidP="004E680E">
            <w:pPr>
              <w:spacing w:after="0"/>
              <w:jc w:val="center"/>
              <w:rPr>
                <w:rFonts w:ascii="Constantia" w:hAnsi="Constantia"/>
                <w:color w:val="000000"/>
                <w:szCs w:val="22"/>
              </w:rPr>
            </w:pPr>
            <w:r>
              <w:rPr>
                <w:rFonts w:ascii="Constantia" w:hAnsi="Constantia"/>
                <w:color w:val="000000"/>
                <w:szCs w:val="22"/>
              </w:rPr>
              <w:t>Lim - Brezojevice</w:t>
            </w:r>
            <w:r w:rsidR="004B071C" w:rsidRPr="005C4608">
              <w:rPr>
                <w:rFonts w:ascii="Constantia" w:hAnsi="Constantia"/>
                <w:color w:val="000000"/>
                <w:szCs w:val="22"/>
              </w:rPr>
              <w:t xml:space="preserve">  Lim - Berane</w:t>
            </w:r>
          </w:p>
        </w:tc>
        <w:tc>
          <w:tcPr>
            <w:tcW w:w="1579" w:type="dxa"/>
            <w:shd w:val="clear" w:color="auto" w:fill="E6EED5"/>
          </w:tcPr>
          <w:p w:rsidR="004B071C" w:rsidRPr="005C4608" w:rsidRDefault="004B071C" w:rsidP="004E680E">
            <w:pPr>
              <w:autoSpaceDE w:val="0"/>
              <w:autoSpaceDN w:val="0"/>
              <w:adjustRightInd w:val="0"/>
              <w:spacing w:after="0"/>
              <w:jc w:val="center"/>
              <w:rPr>
                <w:rFonts w:ascii="Constantia" w:eastAsia="MyriadPro-Regular" w:hAnsi="Constantia"/>
                <w:szCs w:val="22"/>
              </w:rPr>
            </w:pPr>
            <w:r w:rsidRPr="005C4608">
              <w:rPr>
                <w:rFonts w:ascii="Constantia" w:eastAsia="MyriadPro-Regular" w:hAnsi="Constantia"/>
                <w:szCs w:val="22"/>
              </w:rPr>
              <w:t>N42.61787660'</w:t>
            </w:r>
          </w:p>
          <w:p w:rsidR="004B071C" w:rsidRPr="005C4608" w:rsidRDefault="004B071C" w:rsidP="004E680E">
            <w:pPr>
              <w:autoSpaceDE w:val="0"/>
              <w:autoSpaceDN w:val="0"/>
              <w:adjustRightInd w:val="0"/>
              <w:spacing w:after="0"/>
              <w:jc w:val="left"/>
              <w:rPr>
                <w:rFonts w:ascii="Constantia" w:eastAsia="MyriadPro-Regular" w:hAnsi="Constantia"/>
                <w:szCs w:val="22"/>
              </w:rPr>
            </w:pPr>
            <w:r w:rsidRPr="005C4608">
              <w:rPr>
                <w:rFonts w:ascii="Constantia" w:eastAsia="MyriadPro-Regular" w:hAnsi="Constantia"/>
                <w:szCs w:val="22"/>
              </w:rPr>
              <w:t>E 19.93744990</w:t>
            </w:r>
          </w:p>
        </w:tc>
        <w:tc>
          <w:tcPr>
            <w:tcW w:w="1931" w:type="dxa"/>
            <w:shd w:val="clear" w:color="auto" w:fill="E6EED5"/>
          </w:tcPr>
          <w:p w:rsidR="004B071C" w:rsidRPr="005C4608" w:rsidRDefault="004B071C" w:rsidP="00941ACB">
            <w:pPr>
              <w:autoSpaceDE w:val="0"/>
              <w:autoSpaceDN w:val="0"/>
              <w:adjustRightInd w:val="0"/>
              <w:spacing w:after="0"/>
              <w:jc w:val="center"/>
              <w:rPr>
                <w:rFonts w:ascii="Constantia" w:eastAsia="MyriadPro-Regular" w:hAnsi="Constantia"/>
                <w:szCs w:val="22"/>
              </w:rPr>
            </w:pPr>
            <w:r w:rsidRPr="005C4608">
              <w:rPr>
                <w:rFonts w:ascii="Constantia" w:eastAsia="MyriadPro-Regular" w:hAnsi="Constantia"/>
                <w:szCs w:val="22"/>
              </w:rPr>
              <w:t>Brojnost velika, stabilna populacija sa svim uzrastnim kategorijama pravilne brojnosti. Trend stabilan.</w:t>
            </w:r>
          </w:p>
        </w:tc>
      </w:tr>
      <w:tr w:rsidR="004B071C" w:rsidRPr="005C4608" w:rsidTr="00620612">
        <w:trPr>
          <w:trHeight w:val="1100"/>
          <w:jc w:val="center"/>
        </w:trPr>
        <w:tc>
          <w:tcPr>
            <w:tcW w:w="2169" w:type="dxa"/>
            <w:shd w:val="clear" w:color="auto" w:fill="CDDDAC"/>
          </w:tcPr>
          <w:p w:rsidR="004B071C" w:rsidRPr="005C4608" w:rsidRDefault="004B071C" w:rsidP="004E680E">
            <w:pPr>
              <w:spacing w:after="0" w:line="276" w:lineRule="auto"/>
              <w:jc w:val="center"/>
              <w:rPr>
                <w:rFonts w:ascii="Constantia" w:eastAsia="Calibri" w:hAnsi="Constantia"/>
                <w:b/>
                <w:bCs/>
                <w:szCs w:val="22"/>
              </w:rPr>
            </w:pPr>
            <w:r w:rsidRPr="005C4608">
              <w:rPr>
                <w:rFonts w:ascii="Constantia" w:eastAsia="Calibri" w:hAnsi="Constantia"/>
                <w:b/>
                <w:bCs/>
                <w:i/>
                <w:szCs w:val="22"/>
              </w:rPr>
              <w:t>Chondrostoma nasus</w:t>
            </w:r>
          </w:p>
        </w:tc>
        <w:tc>
          <w:tcPr>
            <w:tcW w:w="1170" w:type="dxa"/>
            <w:shd w:val="clear" w:color="auto" w:fill="CDDDAC"/>
          </w:tcPr>
          <w:p w:rsidR="004B071C" w:rsidRPr="005C4608" w:rsidRDefault="004B071C" w:rsidP="004E680E">
            <w:pPr>
              <w:spacing w:after="0" w:line="360" w:lineRule="auto"/>
              <w:jc w:val="center"/>
              <w:rPr>
                <w:rFonts w:ascii="Constantia" w:eastAsia="Calibri" w:hAnsi="Constantia"/>
                <w:szCs w:val="22"/>
              </w:rPr>
            </w:pPr>
            <w:r w:rsidRPr="005C4608">
              <w:rPr>
                <w:rFonts w:ascii="Constantia" w:eastAsia="Calibri" w:hAnsi="Constantia"/>
                <w:szCs w:val="22"/>
              </w:rPr>
              <w:t>skobalj</w:t>
            </w:r>
          </w:p>
          <w:p w:rsidR="004B071C" w:rsidRPr="005C4608" w:rsidRDefault="004B071C" w:rsidP="004E680E">
            <w:pPr>
              <w:spacing w:after="0"/>
              <w:jc w:val="center"/>
              <w:rPr>
                <w:rFonts w:ascii="Constantia" w:hAnsi="Constantia"/>
                <w:szCs w:val="22"/>
                <w:lang w:val="sr-Latn-CS"/>
              </w:rPr>
            </w:pPr>
          </w:p>
        </w:tc>
        <w:tc>
          <w:tcPr>
            <w:tcW w:w="1170" w:type="dxa"/>
            <w:shd w:val="clear" w:color="auto" w:fill="CDDDAC"/>
          </w:tcPr>
          <w:p w:rsidR="004B071C" w:rsidRPr="005C4608" w:rsidRDefault="00875CE0" w:rsidP="004E680E">
            <w:pPr>
              <w:spacing w:after="0"/>
              <w:jc w:val="center"/>
              <w:rPr>
                <w:rFonts w:ascii="Constantia" w:hAnsi="Constantia"/>
                <w:szCs w:val="22"/>
                <w:lang w:val="sr-Latn-CS"/>
              </w:rPr>
            </w:pPr>
            <w:r>
              <w:rPr>
                <w:rFonts w:ascii="Constantia" w:hAnsi="Constantia"/>
                <w:szCs w:val="22"/>
                <w:lang w:val="sr-Latn-CS"/>
              </w:rPr>
              <w:t>4,</w:t>
            </w:r>
            <w:r w:rsidR="004B071C" w:rsidRPr="005C4608">
              <w:rPr>
                <w:rFonts w:ascii="Constantia" w:hAnsi="Constantia"/>
                <w:szCs w:val="22"/>
                <w:lang w:val="sr-Latn-CS"/>
              </w:rPr>
              <w:t>50 %</w:t>
            </w:r>
          </w:p>
        </w:tc>
        <w:tc>
          <w:tcPr>
            <w:tcW w:w="1350" w:type="dxa"/>
            <w:shd w:val="clear" w:color="auto" w:fill="CDDDAC"/>
          </w:tcPr>
          <w:p w:rsidR="004B071C" w:rsidRPr="005C4608" w:rsidRDefault="004B071C" w:rsidP="004E680E">
            <w:pPr>
              <w:spacing w:after="0"/>
              <w:jc w:val="center"/>
              <w:rPr>
                <w:rFonts w:ascii="Constantia" w:hAnsi="Constantia"/>
                <w:color w:val="000000"/>
                <w:szCs w:val="22"/>
              </w:rPr>
            </w:pPr>
            <w:r w:rsidRPr="005C4608">
              <w:rPr>
                <w:rFonts w:ascii="Constantia" w:hAnsi="Constantia"/>
                <w:color w:val="000000"/>
                <w:szCs w:val="22"/>
              </w:rPr>
              <w:t>Lim –Andrijevica</w:t>
            </w:r>
          </w:p>
        </w:tc>
        <w:tc>
          <w:tcPr>
            <w:tcW w:w="1579" w:type="dxa"/>
            <w:shd w:val="clear" w:color="auto" w:fill="CDDDAC"/>
          </w:tcPr>
          <w:p w:rsidR="004B071C" w:rsidRPr="005C4608" w:rsidRDefault="004B071C" w:rsidP="004E680E">
            <w:pPr>
              <w:autoSpaceDE w:val="0"/>
              <w:autoSpaceDN w:val="0"/>
              <w:adjustRightInd w:val="0"/>
              <w:spacing w:after="0"/>
              <w:jc w:val="left"/>
              <w:rPr>
                <w:rFonts w:ascii="Constantia" w:eastAsia="MyriadPro-Regular" w:hAnsi="Constantia"/>
                <w:szCs w:val="22"/>
              </w:rPr>
            </w:pPr>
            <w:r w:rsidRPr="005C4608">
              <w:rPr>
                <w:rFonts w:ascii="Constantia" w:eastAsia="MyriadPro-Regular" w:hAnsi="Constantia"/>
                <w:szCs w:val="22"/>
              </w:rPr>
              <w:t>N 42.7225160</w:t>
            </w:r>
          </w:p>
          <w:p w:rsidR="004B071C" w:rsidRPr="005C4608" w:rsidRDefault="004B071C" w:rsidP="004E680E">
            <w:pPr>
              <w:autoSpaceDE w:val="0"/>
              <w:autoSpaceDN w:val="0"/>
              <w:adjustRightInd w:val="0"/>
              <w:spacing w:after="0"/>
              <w:jc w:val="left"/>
              <w:rPr>
                <w:rFonts w:ascii="Constantia" w:eastAsia="MyriadPro-Regular" w:hAnsi="Constantia"/>
                <w:szCs w:val="22"/>
              </w:rPr>
            </w:pPr>
            <w:r w:rsidRPr="005C4608">
              <w:rPr>
                <w:rFonts w:ascii="Constantia" w:eastAsia="MyriadPro-Regular" w:hAnsi="Constantia"/>
                <w:szCs w:val="22"/>
              </w:rPr>
              <w:t>E 19.79325500</w:t>
            </w:r>
          </w:p>
        </w:tc>
        <w:tc>
          <w:tcPr>
            <w:tcW w:w="1931" w:type="dxa"/>
            <w:shd w:val="clear" w:color="auto" w:fill="CDDDAC"/>
          </w:tcPr>
          <w:p w:rsidR="004B071C" w:rsidRPr="005C4608" w:rsidRDefault="004B071C" w:rsidP="00941ACB">
            <w:pPr>
              <w:autoSpaceDE w:val="0"/>
              <w:autoSpaceDN w:val="0"/>
              <w:adjustRightInd w:val="0"/>
              <w:spacing w:after="0"/>
              <w:jc w:val="center"/>
              <w:rPr>
                <w:rFonts w:ascii="Constantia" w:eastAsia="MyriadPro-Regular" w:hAnsi="Constantia"/>
                <w:szCs w:val="22"/>
              </w:rPr>
            </w:pPr>
            <w:r w:rsidRPr="005C4608">
              <w:rPr>
                <w:rFonts w:ascii="Constantia" w:eastAsia="MyriadPro-Regular" w:hAnsi="Constantia"/>
                <w:szCs w:val="22"/>
              </w:rPr>
              <w:t>Populacija izuzetno brojna sa jedinkama svih uzrastnih klasa. Populacija brojna, trend stabilan.</w:t>
            </w:r>
          </w:p>
        </w:tc>
      </w:tr>
      <w:tr w:rsidR="004B071C" w:rsidRPr="005C4608" w:rsidTr="00620612">
        <w:trPr>
          <w:trHeight w:val="404"/>
          <w:jc w:val="center"/>
        </w:trPr>
        <w:tc>
          <w:tcPr>
            <w:tcW w:w="2169" w:type="dxa"/>
            <w:shd w:val="clear" w:color="auto" w:fill="E6EED5"/>
          </w:tcPr>
          <w:p w:rsidR="004B071C" w:rsidRPr="005C4608" w:rsidRDefault="004B071C" w:rsidP="004E680E">
            <w:pPr>
              <w:spacing w:after="0" w:line="276" w:lineRule="auto"/>
              <w:jc w:val="center"/>
              <w:rPr>
                <w:rFonts w:ascii="Constantia" w:eastAsia="Calibri" w:hAnsi="Constantia"/>
                <w:b/>
                <w:bCs/>
                <w:szCs w:val="22"/>
              </w:rPr>
            </w:pPr>
            <w:r w:rsidRPr="005C4608">
              <w:rPr>
                <w:rFonts w:ascii="Constantia" w:eastAsia="Calibri" w:hAnsi="Constantia"/>
                <w:b/>
                <w:bCs/>
                <w:i/>
                <w:szCs w:val="22"/>
              </w:rPr>
              <w:t>Leuciscus cephalus</w:t>
            </w:r>
          </w:p>
        </w:tc>
        <w:tc>
          <w:tcPr>
            <w:tcW w:w="1170" w:type="dxa"/>
            <w:shd w:val="clear" w:color="auto" w:fill="E6EED5"/>
          </w:tcPr>
          <w:p w:rsidR="004B071C" w:rsidRPr="005C4608" w:rsidRDefault="004B071C" w:rsidP="004E680E">
            <w:pPr>
              <w:spacing w:after="0" w:line="360" w:lineRule="auto"/>
              <w:jc w:val="center"/>
              <w:rPr>
                <w:rFonts w:ascii="Constantia" w:eastAsia="Calibri" w:hAnsi="Constantia"/>
                <w:szCs w:val="22"/>
              </w:rPr>
            </w:pPr>
            <w:r w:rsidRPr="005C4608">
              <w:rPr>
                <w:rFonts w:ascii="Constantia" w:eastAsia="Calibri" w:hAnsi="Constantia"/>
                <w:szCs w:val="22"/>
              </w:rPr>
              <w:t>klen</w:t>
            </w:r>
          </w:p>
          <w:p w:rsidR="004B071C" w:rsidRPr="005C4608" w:rsidRDefault="004B071C" w:rsidP="004E680E">
            <w:pPr>
              <w:spacing w:after="0"/>
              <w:jc w:val="center"/>
              <w:rPr>
                <w:rFonts w:ascii="Constantia" w:hAnsi="Constantia"/>
                <w:szCs w:val="22"/>
                <w:lang w:val="sr-Latn-CS"/>
              </w:rPr>
            </w:pPr>
          </w:p>
        </w:tc>
        <w:tc>
          <w:tcPr>
            <w:tcW w:w="1170" w:type="dxa"/>
            <w:shd w:val="clear" w:color="auto" w:fill="E6EED5"/>
          </w:tcPr>
          <w:p w:rsidR="004B071C" w:rsidRPr="005C4608" w:rsidRDefault="00875CE0" w:rsidP="004E680E">
            <w:pPr>
              <w:spacing w:after="0"/>
              <w:jc w:val="center"/>
              <w:rPr>
                <w:rFonts w:ascii="Constantia" w:hAnsi="Constantia"/>
                <w:szCs w:val="22"/>
                <w:lang w:val="sr-Latn-CS"/>
              </w:rPr>
            </w:pPr>
            <w:r>
              <w:rPr>
                <w:rFonts w:ascii="Constantia" w:hAnsi="Constantia"/>
                <w:szCs w:val="22"/>
              </w:rPr>
              <w:t>13,</w:t>
            </w:r>
            <w:r w:rsidR="004B071C" w:rsidRPr="005C4608">
              <w:rPr>
                <w:rFonts w:ascii="Constantia" w:hAnsi="Constantia"/>
                <w:szCs w:val="22"/>
              </w:rPr>
              <w:t>23 %</w:t>
            </w:r>
          </w:p>
        </w:tc>
        <w:tc>
          <w:tcPr>
            <w:tcW w:w="1350" w:type="dxa"/>
            <w:shd w:val="clear" w:color="auto" w:fill="E6EED5"/>
          </w:tcPr>
          <w:p w:rsidR="004B071C" w:rsidRDefault="00620612" w:rsidP="004E680E">
            <w:pPr>
              <w:spacing w:after="0"/>
              <w:jc w:val="center"/>
              <w:rPr>
                <w:rFonts w:ascii="Constantia" w:hAnsi="Constantia"/>
                <w:color w:val="000000"/>
                <w:szCs w:val="22"/>
              </w:rPr>
            </w:pPr>
            <w:r>
              <w:rPr>
                <w:rFonts w:ascii="Constantia" w:hAnsi="Constantia"/>
                <w:color w:val="000000"/>
                <w:szCs w:val="22"/>
              </w:rPr>
              <w:t>Lim – Brezojevice</w:t>
            </w:r>
          </w:p>
          <w:p w:rsidR="00620612" w:rsidRPr="005C4608" w:rsidRDefault="00620612" w:rsidP="004E680E">
            <w:pPr>
              <w:spacing w:after="0"/>
              <w:jc w:val="center"/>
              <w:rPr>
                <w:rFonts w:ascii="Constantia" w:hAnsi="Constantia"/>
                <w:color w:val="000000"/>
                <w:szCs w:val="22"/>
              </w:rPr>
            </w:pPr>
          </w:p>
          <w:p w:rsidR="004B071C" w:rsidRPr="005C4608" w:rsidRDefault="004B071C" w:rsidP="004E680E">
            <w:pPr>
              <w:spacing w:after="0"/>
              <w:jc w:val="center"/>
              <w:rPr>
                <w:rFonts w:ascii="Constantia" w:hAnsi="Constantia"/>
                <w:color w:val="000000"/>
                <w:szCs w:val="22"/>
              </w:rPr>
            </w:pPr>
            <w:r w:rsidRPr="005C4608">
              <w:rPr>
                <w:rFonts w:ascii="Constantia" w:hAnsi="Constantia"/>
                <w:color w:val="000000"/>
                <w:szCs w:val="22"/>
              </w:rPr>
              <w:t>Lim - Berane</w:t>
            </w:r>
          </w:p>
        </w:tc>
        <w:tc>
          <w:tcPr>
            <w:tcW w:w="1579" w:type="dxa"/>
            <w:shd w:val="clear" w:color="auto" w:fill="E6EED5"/>
          </w:tcPr>
          <w:p w:rsidR="004B071C" w:rsidRPr="005C4608" w:rsidRDefault="004B071C" w:rsidP="004E680E">
            <w:pPr>
              <w:autoSpaceDE w:val="0"/>
              <w:autoSpaceDN w:val="0"/>
              <w:adjustRightInd w:val="0"/>
              <w:spacing w:after="0"/>
              <w:jc w:val="left"/>
              <w:rPr>
                <w:rFonts w:ascii="Constantia" w:eastAsia="MyriadPro-Regular" w:hAnsi="Constantia"/>
                <w:szCs w:val="22"/>
              </w:rPr>
            </w:pPr>
            <w:r w:rsidRPr="005C4608">
              <w:rPr>
                <w:rFonts w:ascii="Constantia" w:eastAsia="MyriadPro-Regular" w:hAnsi="Constantia"/>
                <w:szCs w:val="22"/>
              </w:rPr>
              <w:t>42º 48' 7'' N</w:t>
            </w:r>
          </w:p>
          <w:p w:rsidR="004B071C" w:rsidRPr="005C4608" w:rsidRDefault="004B071C" w:rsidP="004E680E">
            <w:pPr>
              <w:autoSpaceDE w:val="0"/>
              <w:autoSpaceDN w:val="0"/>
              <w:adjustRightInd w:val="0"/>
              <w:spacing w:after="0"/>
              <w:jc w:val="left"/>
              <w:rPr>
                <w:rFonts w:ascii="Constantia" w:eastAsia="MyriadPro-Regular" w:hAnsi="Constantia"/>
                <w:szCs w:val="22"/>
              </w:rPr>
            </w:pPr>
            <w:r w:rsidRPr="005C4608">
              <w:rPr>
                <w:rFonts w:ascii="Constantia" w:eastAsia="MyriadPro-Regular" w:hAnsi="Constantia"/>
                <w:szCs w:val="22"/>
              </w:rPr>
              <w:t>19º 49' 05'' E</w:t>
            </w:r>
          </w:p>
        </w:tc>
        <w:tc>
          <w:tcPr>
            <w:tcW w:w="1931" w:type="dxa"/>
            <w:shd w:val="clear" w:color="auto" w:fill="E6EED5"/>
          </w:tcPr>
          <w:p w:rsidR="004B071C" w:rsidRPr="005C4608" w:rsidRDefault="00620612" w:rsidP="00941ACB">
            <w:pPr>
              <w:autoSpaceDE w:val="0"/>
              <w:autoSpaceDN w:val="0"/>
              <w:adjustRightInd w:val="0"/>
              <w:spacing w:after="0"/>
              <w:jc w:val="center"/>
              <w:rPr>
                <w:rFonts w:ascii="Constantia" w:eastAsia="MyriadPro-Regular" w:hAnsi="Constantia"/>
                <w:szCs w:val="22"/>
              </w:rPr>
            </w:pPr>
            <w:r>
              <w:rPr>
                <w:rFonts w:ascii="Constantia" w:eastAsia="MyriadPro-Regular" w:hAnsi="Constantia"/>
                <w:szCs w:val="22"/>
              </w:rPr>
              <w:t>B</w:t>
            </w:r>
            <w:r w:rsidR="004B071C" w:rsidRPr="005C4608">
              <w:rPr>
                <w:rFonts w:ascii="Constantia" w:eastAsia="MyriadPro-Regular" w:hAnsi="Constantia"/>
                <w:szCs w:val="22"/>
              </w:rPr>
              <w:t>rojna sa stabilnim trendom.</w:t>
            </w:r>
          </w:p>
        </w:tc>
      </w:tr>
      <w:tr w:rsidR="004B071C" w:rsidRPr="005C4608" w:rsidTr="00620612">
        <w:trPr>
          <w:trHeight w:val="390"/>
          <w:jc w:val="center"/>
        </w:trPr>
        <w:tc>
          <w:tcPr>
            <w:tcW w:w="2169" w:type="dxa"/>
            <w:shd w:val="clear" w:color="auto" w:fill="CDDDAC"/>
          </w:tcPr>
          <w:p w:rsidR="004B071C" w:rsidRPr="005C4608" w:rsidRDefault="004B071C" w:rsidP="004E680E">
            <w:pPr>
              <w:spacing w:after="0" w:line="276" w:lineRule="auto"/>
              <w:jc w:val="center"/>
              <w:rPr>
                <w:rFonts w:ascii="Constantia" w:eastAsia="Calibri" w:hAnsi="Constantia"/>
                <w:b/>
                <w:bCs/>
                <w:szCs w:val="22"/>
              </w:rPr>
            </w:pPr>
            <w:r w:rsidRPr="005C4608">
              <w:rPr>
                <w:rFonts w:ascii="Constantia" w:eastAsia="Calibri" w:hAnsi="Constantia"/>
                <w:b/>
                <w:bCs/>
                <w:i/>
                <w:szCs w:val="22"/>
              </w:rPr>
              <w:t>Alburnus alburnus</w:t>
            </w:r>
          </w:p>
        </w:tc>
        <w:tc>
          <w:tcPr>
            <w:tcW w:w="1170" w:type="dxa"/>
            <w:shd w:val="clear" w:color="auto" w:fill="CDDDAC"/>
          </w:tcPr>
          <w:p w:rsidR="004B071C" w:rsidRPr="005C4608" w:rsidRDefault="004B071C" w:rsidP="004E680E">
            <w:pPr>
              <w:spacing w:after="0"/>
              <w:jc w:val="center"/>
              <w:rPr>
                <w:rFonts w:ascii="Constantia" w:hAnsi="Constantia"/>
                <w:szCs w:val="22"/>
                <w:lang w:val="sr-Latn-CS"/>
              </w:rPr>
            </w:pPr>
            <w:r w:rsidRPr="005C4608">
              <w:rPr>
                <w:rFonts w:ascii="Constantia" w:eastAsia="Calibri" w:hAnsi="Constantia"/>
                <w:szCs w:val="22"/>
              </w:rPr>
              <w:t>ukljeva, zela</w:t>
            </w:r>
          </w:p>
        </w:tc>
        <w:tc>
          <w:tcPr>
            <w:tcW w:w="1170" w:type="dxa"/>
            <w:shd w:val="clear" w:color="auto" w:fill="CDDDAC"/>
          </w:tcPr>
          <w:p w:rsidR="004B071C" w:rsidRPr="005C4608" w:rsidRDefault="00875CE0" w:rsidP="004E680E">
            <w:pPr>
              <w:rPr>
                <w:rFonts w:ascii="Constantia" w:hAnsi="Constantia"/>
                <w:szCs w:val="22"/>
              </w:rPr>
            </w:pPr>
            <w:r>
              <w:rPr>
                <w:rFonts w:ascii="Constantia" w:hAnsi="Constantia"/>
                <w:szCs w:val="22"/>
              </w:rPr>
              <w:t xml:space="preserve"> 20,</w:t>
            </w:r>
            <w:r w:rsidR="004B071C" w:rsidRPr="005C4608">
              <w:rPr>
                <w:rFonts w:ascii="Constantia" w:hAnsi="Constantia"/>
                <w:szCs w:val="22"/>
              </w:rPr>
              <w:t>29 %</w:t>
            </w:r>
          </w:p>
        </w:tc>
        <w:tc>
          <w:tcPr>
            <w:tcW w:w="1350" w:type="dxa"/>
            <w:shd w:val="clear" w:color="auto" w:fill="CDDDAC"/>
          </w:tcPr>
          <w:p w:rsidR="004B071C" w:rsidRPr="005C4608" w:rsidRDefault="004B071C" w:rsidP="004E680E">
            <w:pPr>
              <w:spacing w:after="0"/>
              <w:jc w:val="center"/>
              <w:rPr>
                <w:rFonts w:ascii="Constantia" w:hAnsi="Constantia"/>
                <w:color w:val="000000"/>
                <w:szCs w:val="22"/>
              </w:rPr>
            </w:pPr>
            <w:r w:rsidRPr="005C4608">
              <w:rPr>
                <w:rFonts w:ascii="Constantia" w:hAnsi="Constantia"/>
                <w:color w:val="000000"/>
                <w:szCs w:val="22"/>
              </w:rPr>
              <w:t>Lim -  Brezojevice,</w:t>
            </w:r>
          </w:p>
          <w:p w:rsidR="004B071C" w:rsidRPr="005C4608" w:rsidRDefault="004B071C" w:rsidP="004E680E">
            <w:pPr>
              <w:spacing w:after="0"/>
              <w:jc w:val="center"/>
              <w:rPr>
                <w:rFonts w:ascii="Constantia" w:hAnsi="Constantia"/>
                <w:color w:val="000000"/>
                <w:szCs w:val="22"/>
              </w:rPr>
            </w:pPr>
            <w:r w:rsidRPr="005C4608">
              <w:rPr>
                <w:rFonts w:ascii="Constantia" w:hAnsi="Constantia"/>
                <w:color w:val="000000"/>
                <w:szCs w:val="22"/>
              </w:rPr>
              <w:t>Lim - Berane</w:t>
            </w:r>
          </w:p>
        </w:tc>
        <w:tc>
          <w:tcPr>
            <w:tcW w:w="1579" w:type="dxa"/>
            <w:shd w:val="clear" w:color="auto" w:fill="CDDDAC"/>
          </w:tcPr>
          <w:p w:rsidR="004B071C" w:rsidRPr="005C4608" w:rsidRDefault="004B071C" w:rsidP="004E680E">
            <w:pPr>
              <w:autoSpaceDE w:val="0"/>
              <w:autoSpaceDN w:val="0"/>
              <w:adjustRightInd w:val="0"/>
              <w:spacing w:after="0"/>
              <w:jc w:val="center"/>
              <w:rPr>
                <w:rFonts w:ascii="Constantia" w:eastAsia="MyriadPro-Regular" w:hAnsi="Constantia"/>
                <w:szCs w:val="22"/>
              </w:rPr>
            </w:pPr>
          </w:p>
        </w:tc>
        <w:tc>
          <w:tcPr>
            <w:tcW w:w="1931" w:type="dxa"/>
            <w:shd w:val="clear" w:color="auto" w:fill="CDDDAC"/>
          </w:tcPr>
          <w:p w:rsidR="004B071C" w:rsidRPr="005C4608" w:rsidRDefault="00620612" w:rsidP="004E680E">
            <w:pPr>
              <w:autoSpaceDE w:val="0"/>
              <w:autoSpaceDN w:val="0"/>
              <w:adjustRightInd w:val="0"/>
              <w:spacing w:after="0"/>
              <w:jc w:val="center"/>
              <w:rPr>
                <w:rFonts w:ascii="Constantia" w:eastAsia="MyriadPro-Regular" w:hAnsi="Constantia"/>
                <w:szCs w:val="22"/>
              </w:rPr>
            </w:pPr>
            <w:r>
              <w:rPr>
                <w:rFonts w:ascii="Constantia" w:eastAsia="MyriadPro-Regular" w:hAnsi="Constantia"/>
                <w:szCs w:val="22"/>
              </w:rPr>
              <w:t>B</w:t>
            </w:r>
            <w:r w:rsidR="004B071C" w:rsidRPr="005C4608">
              <w:rPr>
                <w:rFonts w:ascii="Constantia" w:eastAsia="MyriadPro-Regular" w:hAnsi="Constantia"/>
                <w:szCs w:val="22"/>
              </w:rPr>
              <w:t>rojna sa stabilnim trendom.</w:t>
            </w:r>
          </w:p>
          <w:p w:rsidR="004B071C" w:rsidRPr="005C4608" w:rsidRDefault="004B071C" w:rsidP="004E680E">
            <w:pPr>
              <w:spacing w:after="0"/>
              <w:jc w:val="center"/>
              <w:rPr>
                <w:rFonts w:ascii="Constantia" w:hAnsi="Constantia"/>
                <w:szCs w:val="22"/>
                <w:lang w:val="sr-Latn-CS"/>
              </w:rPr>
            </w:pPr>
          </w:p>
        </w:tc>
      </w:tr>
      <w:tr w:rsidR="004B071C" w:rsidRPr="005C4608" w:rsidTr="00620612">
        <w:trPr>
          <w:trHeight w:val="370"/>
          <w:jc w:val="center"/>
        </w:trPr>
        <w:tc>
          <w:tcPr>
            <w:tcW w:w="2169" w:type="dxa"/>
            <w:shd w:val="clear" w:color="auto" w:fill="E6EED5"/>
          </w:tcPr>
          <w:p w:rsidR="004B071C" w:rsidRPr="005C4608" w:rsidRDefault="004B071C" w:rsidP="004E680E">
            <w:pPr>
              <w:spacing w:after="0" w:line="276" w:lineRule="auto"/>
              <w:jc w:val="center"/>
              <w:rPr>
                <w:rFonts w:ascii="Constantia" w:eastAsia="Calibri" w:hAnsi="Constantia"/>
                <w:b/>
                <w:bCs/>
                <w:szCs w:val="22"/>
              </w:rPr>
            </w:pPr>
            <w:r w:rsidRPr="005C4608">
              <w:rPr>
                <w:rFonts w:ascii="Constantia" w:eastAsia="Calibri" w:hAnsi="Constantia"/>
                <w:b/>
                <w:bCs/>
                <w:i/>
                <w:szCs w:val="22"/>
              </w:rPr>
              <w:t>Lota lota</w:t>
            </w:r>
          </w:p>
        </w:tc>
        <w:tc>
          <w:tcPr>
            <w:tcW w:w="1170" w:type="dxa"/>
            <w:shd w:val="clear" w:color="auto" w:fill="E6EED5"/>
          </w:tcPr>
          <w:p w:rsidR="004B071C" w:rsidRPr="005C4608" w:rsidRDefault="004B071C" w:rsidP="004E680E">
            <w:pPr>
              <w:spacing w:after="0"/>
              <w:jc w:val="center"/>
              <w:rPr>
                <w:rFonts w:ascii="Constantia" w:hAnsi="Constantia"/>
                <w:szCs w:val="22"/>
                <w:lang w:val="sr-Latn-CS"/>
              </w:rPr>
            </w:pPr>
            <w:r w:rsidRPr="005C4608">
              <w:rPr>
                <w:rFonts w:ascii="Constantia" w:eastAsia="Calibri" w:hAnsi="Constantia"/>
                <w:szCs w:val="22"/>
              </w:rPr>
              <w:t>derać, manić</w:t>
            </w:r>
          </w:p>
        </w:tc>
        <w:tc>
          <w:tcPr>
            <w:tcW w:w="1170" w:type="dxa"/>
            <w:shd w:val="clear" w:color="auto" w:fill="E6EED5"/>
          </w:tcPr>
          <w:p w:rsidR="004B071C" w:rsidRPr="005C4608" w:rsidRDefault="00875CE0" w:rsidP="004E680E">
            <w:pPr>
              <w:spacing w:after="0"/>
              <w:jc w:val="center"/>
              <w:rPr>
                <w:rFonts w:ascii="Constantia" w:hAnsi="Constantia"/>
                <w:szCs w:val="22"/>
                <w:lang w:val="sr-Latn-CS"/>
              </w:rPr>
            </w:pPr>
            <w:r>
              <w:rPr>
                <w:rFonts w:ascii="Constantia" w:hAnsi="Constantia"/>
                <w:szCs w:val="22"/>
                <w:lang w:val="sr-Latn-CS"/>
              </w:rPr>
              <w:t>6,</w:t>
            </w:r>
            <w:r w:rsidR="004B071C" w:rsidRPr="005C4608">
              <w:rPr>
                <w:rFonts w:ascii="Constantia" w:hAnsi="Constantia"/>
                <w:szCs w:val="22"/>
                <w:lang w:val="sr-Latn-CS"/>
              </w:rPr>
              <w:t>70 %</w:t>
            </w:r>
          </w:p>
        </w:tc>
        <w:tc>
          <w:tcPr>
            <w:tcW w:w="1350" w:type="dxa"/>
            <w:shd w:val="clear" w:color="auto" w:fill="E6EED5"/>
          </w:tcPr>
          <w:p w:rsidR="004B071C" w:rsidRPr="005C4608" w:rsidRDefault="004B071C" w:rsidP="004E680E">
            <w:pPr>
              <w:spacing w:after="0"/>
              <w:jc w:val="center"/>
              <w:rPr>
                <w:rFonts w:ascii="Constantia" w:hAnsi="Constantia"/>
                <w:color w:val="000000"/>
                <w:szCs w:val="22"/>
              </w:rPr>
            </w:pPr>
            <w:r w:rsidRPr="005C4608">
              <w:rPr>
                <w:rFonts w:ascii="Constantia" w:hAnsi="Constantia"/>
                <w:color w:val="000000"/>
                <w:szCs w:val="22"/>
              </w:rPr>
              <w:t>Lim, Brezojevice</w:t>
            </w:r>
          </w:p>
        </w:tc>
        <w:tc>
          <w:tcPr>
            <w:tcW w:w="1579" w:type="dxa"/>
            <w:shd w:val="clear" w:color="auto" w:fill="E6EED5"/>
          </w:tcPr>
          <w:p w:rsidR="004B071C" w:rsidRPr="005C4608" w:rsidRDefault="004B071C" w:rsidP="004E680E">
            <w:pPr>
              <w:spacing w:after="0"/>
              <w:jc w:val="center"/>
              <w:rPr>
                <w:rFonts w:ascii="Constantia" w:hAnsi="Constantia"/>
                <w:szCs w:val="22"/>
                <w:lang w:val="sr-Latn-CS"/>
              </w:rPr>
            </w:pPr>
          </w:p>
        </w:tc>
        <w:tc>
          <w:tcPr>
            <w:tcW w:w="1931" w:type="dxa"/>
            <w:shd w:val="clear" w:color="auto" w:fill="E6EED5"/>
          </w:tcPr>
          <w:p w:rsidR="004B071C" w:rsidRPr="005C4608" w:rsidRDefault="00620612" w:rsidP="004E680E">
            <w:pPr>
              <w:spacing w:after="0"/>
              <w:jc w:val="center"/>
              <w:rPr>
                <w:rFonts w:ascii="Constantia" w:hAnsi="Constantia"/>
                <w:szCs w:val="22"/>
                <w:lang w:val="sr-Latn-CS"/>
              </w:rPr>
            </w:pPr>
            <w:r>
              <w:rPr>
                <w:rFonts w:ascii="Constantia" w:hAnsi="Constantia"/>
                <w:szCs w:val="22"/>
                <w:lang w:val="sr-Latn-CS"/>
              </w:rPr>
              <w:t>M</w:t>
            </w:r>
            <w:r w:rsidR="004B071C" w:rsidRPr="005C4608">
              <w:rPr>
                <w:rFonts w:ascii="Constantia" w:hAnsi="Constantia"/>
                <w:szCs w:val="22"/>
                <w:lang w:val="sr-Latn-CS"/>
              </w:rPr>
              <w:t>alobrojna</w:t>
            </w:r>
          </w:p>
        </w:tc>
      </w:tr>
      <w:tr w:rsidR="004B071C" w:rsidRPr="005C4608" w:rsidTr="00620612">
        <w:trPr>
          <w:trHeight w:val="68"/>
          <w:jc w:val="center"/>
        </w:trPr>
        <w:tc>
          <w:tcPr>
            <w:tcW w:w="2169" w:type="dxa"/>
            <w:shd w:val="clear" w:color="auto" w:fill="CDDDAC"/>
          </w:tcPr>
          <w:p w:rsidR="004B071C" w:rsidRPr="005C4608" w:rsidRDefault="004B071C" w:rsidP="004E680E">
            <w:pPr>
              <w:spacing w:after="0" w:line="276" w:lineRule="auto"/>
              <w:jc w:val="center"/>
              <w:rPr>
                <w:rFonts w:ascii="Constantia" w:eastAsia="Calibri" w:hAnsi="Constantia"/>
                <w:b/>
                <w:bCs/>
                <w:szCs w:val="22"/>
              </w:rPr>
            </w:pPr>
            <w:r w:rsidRPr="005C4608">
              <w:rPr>
                <w:rFonts w:ascii="Constantia" w:eastAsia="Calibri" w:hAnsi="Constantia"/>
                <w:b/>
                <w:bCs/>
                <w:i/>
                <w:szCs w:val="22"/>
              </w:rPr>
              <w:t>Salmo trutta labrax</w:t>
            </w:r>
          </w:p>
        </w:tc>
        <w:tc>
          <w:tcPr>
            <w:tcW w:w="1170" w:type="dxa"/>
            <w:shd w:val="clear" w:color="auto" w:fill="CDDDAC"/>
          </w:tcPr>
          <w:p w:rsidR="004B071C" w:rsidRPr="005C4608" w:rsidRDefault="004B071C" w:rsidP="004E680E">
            <w:pPr>
              <w:spacing w:after="0"/>
              <w:jc w:val="center"/>
              <w:rPr>
                <w:rFonts w:ascii="Constantia" w:hAnsi="Constantia"/>
                <w:szCs w:val="22"/>
                <w:lang w:val="sr-Latn-CS"/>
              </w:rPr>
            </w:pPr>
            <w:r w:rsidRPr="005C4608">
              <w:rPr>
                <w:rFonts w:ascii="Constantia" w:eastAsia="Calibri" w:hAnsi="Constantia"/>
                <w:szCs w:val="22"/>
              </w:rPr>
              <w:t>pastrmka blatnjača</w:t>
            </w:r>
          </w:p>
        </w:tc>
        <w:tc>
          <w:tcPr>
            <w:tcW w:w="1170" w:type="dxa"/>
            <w:shd w:val="clear" w:color="auto" w:fill="CDDDAC"/>
          </w:tcPr>
          <w:p w:rsidR="004B071C" w:rsidRPr="005C4608" w:rsidRDefault="00875CE0" w:rsidP="004E680E">
            <w:pPr>
              <w:spacing w:after="0"/>
              <w:jc w:val="center"/>
              <w:rPr>
                <w:rFonts w:ascii="Constantia" w:hAnsi="Constantia"/>
                <w:szCs w:val="22"/>
                <w:lang w:val="sr-Latn-CS"/>
              </w:rPr>
            </w:pPr>
            <w:r>
              <w:rPr>
                <w:rFonts w:ascii="Constantia" w:hAnsi="Constantia"/>
                <w:szCs w:val="22"/>
                <w:lang w:val="sr-Latn-CS"/>
              </w:rPr>
              <w:t>12,</w:t>
            </w:r>
            <w:r w:rsidR="004B071C" w:rsidRPr="005C4608">
              <w:rPr>
                <w:rFonts w:ascii="Constantia" w:hAnsi="Constantia"/>
                <w:szCs w:val="22"/>
                <w:lang w:val="sr-Latn-CS"/>
              </w:rPr>
              <w:t>91 %</w:t>
            </w:r>
          </w:p>
        </w:tc>
        <w:tc>
          <w:tcPr>
            <w:tcW w:w="1350" w:type="dxa"/>
            <w:shd w:val="clear" w:color="auto" w:fill="CDDDAC"/>
          </w:tcPr>
          <w:p w:rsidR="004B071C" w:rsidRPr="005C4608" w:rsidRDefault="004B071C" w:rsidP="004E680E">
            <w:pPr>
              <w:spacing w:after="0"/>
              <w:jc w:val="center"/>
              <w:rPr>
                <w:rFonts w:ascii="Constantia" w:hAnsi="Constantia"/>
                <w:color w:val="000000"/>
                <w:szCs w:val="22"/>
              </w:rPr>
            </w:pPr>
            <w:r w:rsidRPr="005C4608">
              <w:rPr>
                <w:rFonts w:ascii="Constantia" w:hAnsi="Constantia"/>
                <w:color w:val="000000"/>
                <w:szCs w:val="22"/>
              </w:rPr>
              <w:t>Lim, Brezojevice, Ljesnica</w:t>
            </w:r>
          </w:p>
        </w:tc>
        <w:tc>
          <w:tcPr>
            <w:tcW w:w="1579" w:type="dxa"/>
            <w:shd w:val="clear" w:color="auto" w:fill="CDDDAC"/>
          </w:tcPr>
          <w:p w:rsidR="004B071C" w:rsidRPr="005C4608" w:rsidRDefault="004B071C" w:rsidP="004E680E">
            <w:pPr>
              <w:autoSpaceDE w:val="0"/>
              <w:autoSpaceDN w:val="0"/>
              <w:adjustRightInd w:val="0"/>
              <w:spacing w:after="0"/>
              <w:jc w:val="center"/>
              <w:rPr>
                <w:rFonts w:ascii="Constantia" w:eastAsia="MyriadPro-Regular" w:hAnsi="Constantia"/>
                <w:szCs w:val="22"/>
              </w:rPr>
            </w:pPr>
          </w:p>
        </w:tc>
        <w:tc>
          <w:tcPr>
            <w:tcW w:w="1931" w:type="dxa"/>
            <w:shd w:val="clear" w:color="auto" w:fill="CDDDAC"/>
          </w:tcPr>
          <w:p w:rsidR="004B071C" w:rsidRPr="005C4608" w:rsidRDefault="00620612" w:rsidP="00941ACB">
            <w:pPr>
              <w:autoSpaceDE w:val="0"/>
              <w:autoSpaceDN w:val="0"/>
              <w:adjustRightInd w:val="0"/>
              <w:spacing w:after="0"/>
              <w:jc w:val="center"/>
              <w:rPr>
                <w:rFonts w:ascii="Constantia" w:eastAsia="MyriadPro-Regular" w:hAnsi="Constantia"/>
                <w:szCs w:val="22"/>
              </w:rPr>
            </w:pPr>
            <w:r>
              <w:rPr>
                <w:rFonts w:ascii="Constantia" w:eastAsia="MyriadPro-Regular" w:hAnsi="Constantia"/>
                <w:szCs w:val="22"/>
              </w:rPr>
              <w:t>J</w:t>
            </w:r>
            <w:r w:rsidR="004B071C" w:rsidRPr="005C4608">
              <w:rPr>
                <w:rFonts w:ascii="Constantia" w:eastAsia="MyriadPro-Regular" w:hAnsi="Constantia"/>
                <w:szCs w:val="22"/>
              </w:rPr>
              <w:t>ezerska forma potočare</w:t>
            </w:r>
          </w:p>
          <w:p w:rsidR="004B071C" w:rsidRPr="005C4608" w:rsidRDefault="004B071C" w:rsidP="00941ACB">
            <w:pPr>
              <w:spacing w:after="0"/>
              <w:jc w:val="center"/>
              <w:rPr>
                <w:rFonts w:ascii="Constantia" w:hAnsi="Constantia"/>
                <w:szCs w:val="22"/>
                <w:lang w:val="sr-Latn-CS"/>
              </w:rPr>
            </w:pPr>
            <w:r w:rsidRPr="005C4608">
              <w:rPr>
                <w:rFonts w:ascii="Constantia" w:eastAsia="MyriadPro-Regular" w:hAnsi="Constantia"/>
                <w:szCs w:val="22"/>
              </w:rPr>
              <w:t>a populacioni trend je uzlazan na skoro svim lokalitetima (veliki broj najmlađih uzrastnih klasa</w:t>
            </w:r>
          </w:p>
        </w:tc>
      </w:tr>
      <w:tr w:rsidR="004B071C" w:rsidRPr="005C4608" w:rsidTr="00620612">
        <w:trPr>
          <w:trHeight w:val="68"/>
          <w:jc w:val="center"/>
        </w:trPr>
        <w:tc>
          <w:tcPr>
            <w:tcW w:w="2169" w:type="dxa"/>
            <w:shd w:val="clear" w:color="auto" w:fill="E6EED5"/>
          </w:tcPr>
          <w:p w:rsidR="004B071C" w:rsidRPr="005C4608" w:rsidRDefault="004B071C" w:rsidP="004E680E">
            <w:pPr>
              <w:spacing w:after="0" w:line="276" w:lineRule="auto"/>
              <w:jc w:val="center"/>
              <w:rPr>
                <w:rFonts w:ascii="Constantia" w:eastAsia="Calibri" w:hAnsi="Constantia"/>
                <w:b/>
                <w:bCs/>
                <w:szCs w:val="22"/>
              </w:rPr>
            </w:pPr>
            <w:r w:rsidRPr="005C4608">
              <w:rPr>
                <w:rFonts w:ascii="Constantia" w:eastAsia="Calibri" w:hAnsi="Constantia"/>
                <w:b/>
                <w:bCs/>
                <w:i/>
                <w:szCs w:val="22"/>
              </w:rPr>
              <w:t>Phoxinus phoxinus</w:t>
            </w:r>
          </w:p>
        </w:tc>
        <w:tc>
          <w:tcPr>
            <w:tcW w:w="1170" w:type="dxa"/>
            <w:shd w:val="clear" w:color="auto" w:fill="E6EED5"/>
          </w:tcPr>
          <w:p w:rsidR="004B071C" w:rsidRPr="005C4608" w:rsidRDefault="004B071C" w:rsidP="00941ACB">
            <w:pPr>
              <w:spacing w:after="0" w:line="360" w:lineRule="auto"/>
              <w:jc w:val="center"/>
              <w:rPr>
                <w:rFonts w:ascii="Constantia" w:eastAsia="Calibri" w:hAnsi="Constantia"/>
                <w:szCs w:val="22"/>
              </w:rPr>
            </w:pPr>
            <w:r w:rsidRPr="005C4608">
              <w:rPr>
                <w:rFonts w:ascii="Constantia" w:eastAsia="Calibri" w:hAnsi="Constantia"/>
                <w:szCs w:val="22"/>
              </w:rPr>
              <w:t>gaovica</w:t>
            </w:r>
          </w:p>
        </w:tc>
        <w:tc>
          <w:tcPr>
            <w:tcW w:w="1170" w:type="dxa"/>
            <w:shd w:val="clear" w:color="auto" w:fill="E6EED5"/>
          </w:tcPr>
          <w:p w:rsidR="004B071C" w:rsidRPr="005C4608" w:rsidRDefault="004B071C" w:rsidP="004E680E">
            <w:pPr>
              <w:spacing w:after="0"/>
              <w:jc w:val="center"/>
              <w:rPr>
                <w:rFonts w:ascii="Constantia" w:hAnsi="Constantia"/>
                <w:szCs w:val="22"/>
                <w:lang w:val="sr-Latn-CS"/>
              </w:rPr>
            </w:pPr>
            <w:r w:rsidRPr="005C4608">
              <w:rPr>
                <w:rFonts w:ascii="Constantia" w:hAnsi="Constantia"/>
                <w:szCs w:val="22"/>
                <w:lang w:val="sr-Latn-CS"/>
              </w:rPr>
              <w:t>-</w:t>
            </w:r>
          </w:p>
        </w:tc>
        <w:tc>
          <w:tcPr>
            <w:tcW w:w="1350" w:type="dxa"/>
            <w:shd w:val="clear" w:color="auto" w:fill="E6EED5"/>
          </w:tcPr>
          <w:p w:rsidR="004B071C" w:rsidRPr="005C4608" w:rsidRDefault="004B071C" w:rsidP="004E680E">
            <w:pPr>
              <w:spacing w:after="0"/>
              <w:jc w:val="center"/>
              <w:rPr>
                <w:rFonts w:ascii="Constantia" w:hAnsi="Constantia"/>
                <w:color w:val="000000"/>
                <w:szCs w:val="22"/>
              </w:rPr>
            </w:pPr>
            <w:r w:rsidRPr="005C4608">
              <w:rPr>
                <w:rFonts w:ascii="Constantia" w:hAnsi="Constantia"/>
                <w:color w:val="000000"/>
                <w:szCs w:val="22"/>
              </w:rPr>
              <w:t>Lim, Brezojevice</w:t>
            </w:r>
          </w:p>
        </w:tc>
        <w:tc>
          <w:tcPr>
            <w:tcW w:w="1579" w:type="dxa"/>
            <w:shd w:val="clear" w:color="auto" w:fill="E6EED5"/>
          </w:tcPr>
          <w:p w:rsidR="004B071C" w:rsidRPr="005C4608" w:rsidRDefault="004B071C" w:rsidP="004E680E">
            <w:pPr>
              <w:spacing w:after="0"/>
              <w:jc w:val="center"/>
              <w:rPr>
                <w:rFonts w:ascii="Constantia" w:hAnsi="Constantia"/>
                <w:szCs w:val="22"/>
                <w:lang w:val="sr-Latn-CS"/>
              </w:rPr>
            </w:pPr>
          </w:p>
        </w:tc>
        <w:tc>
          <w:tcPr>
            <w:tcW w:w="1931" w:type="dxa"/>
            <w:shd w:val="clear" w:color="auto" w:fill="E6EED5"/>
          </w:tcPr>
          <w:p w:rsidR="004B071C" w:rsidRPr="005C4608" w:rsidRDefault="004B071C" w:rsidP="004E680E">
            <w:pPr>
              <w:spacing w:after="0"/>
              <w:jc w:val="center"/>
              <w:rPr>
                <w:rFonts w:ascii="Constantia" w:hAnsi="Constantia"/>
                <w:szCs w:val="22"/>
                <w:lang w:val="sr-Latn-CS"/>
              </w:rPr>
            </w:pPr>
          </w:p>
        </w:tc>
      </w:tr>
      <w:tr w:rsidR="004B071C" w:rsidRPr="005C4608" w:rsidTr="00620612">
        <w:trPr>
          <w:trHeight w:val="68"/>
          <w:jc w:val="center"/>
        </w:trPr>
        <w:tc>
          <w:tcPr>
            <w:tcW w:w="2169" w:type="dxa"/>
            <w:shd w:val="clear" w:color="auto" w:fill="CDDDAC"/>
          </w:tcPr>
          <w:p w:rsidR="004B071C" w:rsidRPr="005C4608" w:rsidRDefault="004B071C" w:rsidP="004E680E">
            <w:pPr>
              <w:spacing w:after="0" w:line="276" w:lineRule="auto"/>
              <w:jc w:val="center"/>
              <w:rPr>
                <w:rFonts w:ascii="Constantia" w:eastAsia="Calibri" w:hAnsi="Constantia"/>
                <w:b/>
                <w:bCs/>
                <w:szCs w:val="22"/>
              </w:rPr>
            </w:pPr>
            <w:r w:rsidRPr="005C4608">
              <w:rPr>
                <w:rFonts w:ascii="Constantia" w:eastAsia="Calibri" w:hAnsi="Constantia"/>
                <w:b/>
                <w:bCs/>
                <w:i/>
                <w:szCs w:val="22"/>
              </w:rPr>
              <w:t>Salmo  labrax m. fario</w:t>
            </w:r>
          </w:p>
        </w:tc>
        <w:tc>
          <w:tcPr>
            <w:tcW w:w="1170" w:type="dxa"/>
            <w:shd w:val="clear" w:color="auto" w:fill="CDDDAC"/>
          </w:tcPr>
          <w:p w:rsidR="004B071C" w:rsidRPr="005C4608" w:rsidRDefault="004B071C" w:rsidP="004E680E">
            <w:pPr>
              <w:spacing w:after="0"/>
              <w:jc w:val="center"/>
              <w:rPr>
                <w:rFonts w:ascii="Constantia" w:hAnsi="Constantia"/>
                <w:szCs w:val="22"/>
                <w:lang w:val="sr-Latn-CS"/>
              </w:rPr>
            </w:pPr>
            <w:r w:rsidRPr="005C4608">
              <w:rPr>
                <w:rFonts w:ascii="Constantia" w:hAnsi="Constantia"/>
                <w:szCs w:val="22"/>
                <w:lang w:val="sr-Latn-CS"/>
              </w:rPr>
              <w:t>Potocna pastrmka</w:t>
            </w:r>
          </w:p>
        </w:tc>
        <w:tc>
          <w:tcPr>
            <w:tcW w:w="1170" w:type="dxa"/>
            <w:shd w:val="clear" w:color="auto" w:fill="CDDDAC"/>
          </w:tcPr>
          <w:p w:rsidR="004B071C" w:rsidRPr="005C4608" w:rsidRDefault="00875CE0" w:rsidP="004E680E">
            <w:pPr>
              <w:spacing w:after="0"/>
              <w:jc w:val="center"/>
              <w:rPr>
                <w:rFonts w:ascii="Constantia" w:hAnsi="Constantia"/>
                <w:szCs w:val="22"/>
                <w:lang w:val="sr-Latn-CS"/>
              </w:rPr>
            </w:pPr>
            <w:r>
              <w:rPr>
                <w:rFonts w:ascii="Constantia" w:hAnsi="Constantia"/>
                <w:szCs w:val="22"/>
              </w:rPr>
              <w:t>73,</w:t>
            </w:r>
            <w:r w:rsidR="004B071C" w:rsidRPr="005C4608">
              <w:rPr>
                <w:rFonts w:ascii="Constantia" w:hAnsi="Constantia"/>
                <w:szCs w:val="22"/>
              </w:rPr>
              <w:t>21 %</w:t>
            </w:r>
          </w:p>
        </w:tc>
        <w:tc>
          <w:tcPr>
            <w:tcW w:w="1350" w:type="dxa"/>
            <w:shd w:val="clear" w:color="auto" w:fill="CDDDAC"/>
          </w:tcPr>
          <w:p w:rsidR="004B071C" w:rsidRPr="005C4608" w:rsidRDefault="004B071C" w:rsidP="004E680E">
            <w:pPr>
              <w:spacing w:after="0"/>
              <w:jc w:val="center"/>
              <w:rPr>
                <w:rFonts w:ascii="Constantia" w:hAnsi="Constantia"/>
                <w:color w:val="000000"/>
                <w:szCs w:val="22"/>
              </w:rPr>
            </w:pPr>
            <w:r w:rsidRPr="005C4608">
              <w:rPr>
                <w:rFonts w:ascii="Constantia" w:hAnsi="Constantia"/>
                <w:color w:val="000000"/>
                <w:szCs w:val="22"/>
              </w:rPr>
              <w:t>Kuckaja  rijeka</w:t>
            </w:r>
            <w:r w:rsidRPr="005C4608">
              <w:rPr>
                <w:rFonts w:ascii="Constantia" w:eastAsia="MyriadPro-Regular" w:hAnsi="Constantia"/>
                <w:szCs w:val="22"/>
              </w:rPr>
              <w:t xml:space="preserve"> Lješnici, Zlorječici i Bistrici.</w:t>
            </w:r>
          </w:p>
        </w:tc>
        <w:tc>
          <w:tcPr>
            <w:tcW w:w="1579" w:type="dxa"/>
            <w:shd w:val="clear" w:color="auto" w:fill="CDDDAC"/>
          </w:tcPr>
          <w:p w:rsidR="004B071C" w:rsidRPr="005C4608" w:rsidRDefault="004B071C" w:rsidP="004E680E">
            <w:pPr>
              <w:autoSpaceDE w:val="0"/>
              <w:autoSpaceDN w:val="0"/>
              <w:adjustRightInd w:val="0"/>
              <w:spacing w:after="0"/>
              <w:jc w:val="left"/>
              <w:rPr>
                <w:rFonts w:ascii="Constantia" w:eastAsia="MyriadPro-Regular" w:hAnsi="Constantia"/>
                <w:szCs w:val="22"/>
              </w:rPr>
            </w:pPr>
            <w:r w:rsidRPr="005C4608">
              <w:rPr>
                <w:rFonts w:ascii="Constantia" w:eastAsia="MyriadPro-Regular" w:hAnsi="Constantia"/>
                <w:szCs w:val="22"/>
              </w:rPr>
              <w:t>42º 49' 30'' N</w:t>
            </w:r>
          </w:p>
          <w:p w:rsidR="004B071C" w:rsidRPr="005C4608" w:rsidRDefault="004B071C" w:rsidP="004E680E">
            <w:pPr>
              <w:autoSpaceDE w:val="0"/>
              <w:autoSpaceDN w:val="0"/>
              <w:adjustRightInd w:val="0"/>
              <w:spacing w:after="0"/>
              <w:jc w:val="left"/>
              <w:rPr>
                <w:rFonts w:ascii="Constantia" w:eastAsia="MyriadPro-Regular" w:hAnsi="Constantia"/>
                <w:szCs w:val="22"/>
              </w:rPr>
            </w:pPr>
            <w:r w:rsidRPr="005C4608">
              <w:rPr>
                <w:rFonts w:ascii="Constantia" w:eastAsia="MyriadPro-Regular" w:hAnsi="Constantia"/>
                <w:szCs w:val="22"/>
              </w:rPr>
              <w:t>19º 52' 11'' E</w:t>
            </w:r>
          </w:p>
          <w:p w:rsidR="004B071C" w:rsidRPr="005C4608" w:rsidRDefault="004B071C" w:rsidP="004E680E">
            <w:pPr>
              <w:autoSpaceDE w:val="0"/>
              <w:autoSpaceDN w:val="0"/>
              <w:adjustRightInd w:val="0"/>
              <w:spacing w:after="0"/>
              <w:jc w:val="left"/>
              <w:rPr>
                <w:rFonts w:ascii="Constantia" w:eastAsia="MyriadPro-Regular" w:hAnsi="Constantia"/>
                <w:szCs w:val="22"/>
              </w:rPr>
            </w:pPr>
            <w:r w:rsidRPr="005C4608">
              <w:rPr>
                <w:rFonts w:ascii="Constantia" w:eastAsia="MyriadPro-Regular" w:hAnsi="Constantia"/>
                <w:szCs w:val="22"/>
              </w:rPr>
              <w:t>42º 55' 34'' N</w:t>
            </w:r>
          </w:p>
          <w:p w:rsidR="004B071C" w:rsidRPr="005C4608" w:rsidRDefault="004B071C" w:rsidP="004E680E">
            <w:pPr>
              <w:autoSpaceDE w:val="0"/>
              <w:autoSpaceDN w:val="0"/>
              <w:adjustRightInd w:val="0"/>
              <w:spacing w:after="0"/>
              <w:jc w:val="left"/>
              <w:rPr>
                <w:rFonts w:ascii="Constantia" w:eastAsia="MyriadPro-Regular" w:hAnsi="Constantia"/>
                <w:szCs w:val="22"/>
              </w:rPr>
            </w:pPr>
            <w:r w:rsidRPr="005C4608">
              <w:rPr>
                <w:rFonts w:ascii="Constantia" w:eastAsia="MyriadPro-Regular" w:hAnsi="Constantia"/>
                <w:szCs w:val="22"/>
              </w:rPr>
              <w:t>20º 00' 48'' E</w:t>
            </w:r>
          </w:p>
        </w:tc>
        <w:tc>
          <w:tcPr>
            <w:tcW w:w="1931" w:type="dxa"/>
            <w:shd w:val="clear" w:color="auto" w:fill="CDDDAC"/>
          </w:tcPr>
          <w:p w:rsidR="004B071C" w:rsidRPr="005C4608" w:rsidRDefault="00620612" w:rsidP="004E680E">
            <w:pPr>
              <w:autoSpaceDE w:val="0"/>
              <w:autoSpaceDN w:val="0"/>
              <w:adjustRightInd w:val="0"/>
              <w:spacing w:after="0"/>
              <w:jc w:val="center"/>
              <w:rPr>
                <w:rFonts w:ascii="Constantia" w:eastAsia="MyriadPro-Regular" w:hAnsi="Constantia"/>
                <w:szCs w:val="22"/>
              </w:rPr>
            </w:pPr>
            <w:r>
              <w:rPr>
                <w:rFonts w:ascii="Constantia" w:eastAsia="MyriadPro-Regular" w:hAnsi="Constantia"/>
                <w:szCs w:val="22"/>
              </w:rPr>
              <w:t>B</w:t>
            </w:r>
            <w:r w:rsidR="004B071C" w:rsidRPr="005C4608">
              <w:rPr>
                <w:rFonts w:ascii="Constantia" w:eastAsia="MyriadPro-Regular" w:hAnsi="Constantia"/>
                <w:szCs w:val="22"/>
              </w:rPr>
              <w:t>rojna sa stabilnim trendom.</w:t>
            </w:r>
          </w:p>
          <w:p w:rsidR="004B071C" w:rsidRPr="005C4608" w:rsidRDefault="004B071C" w:rsidP="004E680E">
            <w:pPr>
              <w:autoSpaceDE w:val="0"/>
              <w:autoSpaceDN w:val="0"/>
              <w:adjustRightInd w:val="0"/>
              <w:spacing w:after="0"/>
              <w:jc w:val="center"/>
              <w:rPr>
                <w:rFonts w:ascii="Constantia" w:hAnsi="Constantia"/>
                <w:szCs w:val="22"/>
                <w:lang w:val="sr-Latn-CS"/>
              </w:rPr>
            </w:pPr>
          </w:p>
        </w:tc>
      </w:tr>
      <w:tr w:rsidR="004B071C" w:rsidRPr="005C4608" w:rsidTr="00620612">
        <w:trPr>
          <w:trHeight w:val="68"/>
          <w:jc w:val="center"/>
        </w:trPr>
        <w:tc>
          <w:tcPr>
            <w:tcW w:w="2169" w:type="dxa"/>
            <w:shd w:val="clear" w:color="auto" w:fill="E6EED5"/>
          </w:tcPr>
          <w:p w:rsidR="004B071C" w:rsidRPr="005C4608" w:rsidRDefault="004B071C" w:rsidP="004E680E">
            <w:pPr>
              <w:spacing w:after="0" w:line="276" w:lineRule="auto"/>
              <w:jc w:val="center"/>
              <w:rPr>
                <w:rFonts w:ascii="Constantia" w:eastAsia="Calibri" w:hAnsi="Constantia"/>
                <w:b/>
                <w:bCs/>
                <w:szCs w:val="22"/>
              </w:rPr>
            </w:pPr>
            <w:r w:rsidRPr="005C4608">
              <w:rPr>
                <w:rFonts w:ascii="Constantia" w:eastAsia="Calibri" w:hAnsi="Constantia"/>
                <w:b/>
                <w:bCs/>
                <w:i/>
                <w:szCs w:val="22"/>
              </w:rPr>
              <w:t>Cottus gobio</w:t>
            </w:r>
          </w:p>
        </w:tc>
        <w:tc>
          <w:tcPr>
            <w:tcW w:w="1170" w:type="dxa"/>
            <w:shd w:val="clear" w:color="auto" w:fill="E6EED5"/>
          </w:tcPr>
          <w:p w:rsidR="004B071C" w:rsidRPr="005C4608" w:rsidRDefault="004B071C" w:rsidP="00941ACB">
            <w:pPr>
              <w:spacing w:after="0" w:line="360" w:lineRule="auto"/>
              <w:jc w:val="center"/>
              <w:rPr>
                <w:rFonts w:ascii="Constantia" w:eastAsia="Calibri" w:hAnsi="Constantia"/>
                <w:szCs w:val="22"/>
              </w:rPr>
            </w:pPr>
            <w:r w:rsidRPr="005C4608">
              <w:rPr>
                <w:rFonts w:ascii="Constantia" w:eastAsia="Calibri" w:hAnsi="Constantia"/>
                <w:szCs w:val="22"/>
              </w:rPr>
              <w:t>peš</w:t>
            </w:r>
          </w:p>
        </w:tc>
        <w:tc>
          <w:tcPr>
            <w:tcW w:w="1170" w:type="dxa"/>
            <w:shd w:val="clear" w:color="auto" w:fill="E6EED5"/>
          </w:tcPr>
          <w:p w:rsidR="004B071C" w:rsidRPr="005C4608" w:rsidRDefault="004B071C" w:rsidP="004E680E">
            <w:pPr>
              <w:spacing w:after="0"/>
              <w:jc w:val="center"/>
              <w:rPr>
                <w:rFonts w:ascii="Constantia" w:hAnsi="Constantia"/>
                <w:szCs w:val="22"/>
                <w:lang w:val="sr-Latn-CS"/>
              </w:rPr>
            </w:pPr>
            <w:r w:rsidRPr="005C4608">
              <w:rPr>
                <w:rFonts w:ascii="Constantia" w:hAnsi="Constantia"/>
                <w:szCs w:val="22"/>
              </w:rPr>
              <w:t>18,85 %</w:t>
            </w:r>
          </w:p>
        </w:tc>
        <w:tc>
          <w:tcPr>
            <w:tcW w:w="1350" w:type="dxa"/>
            <w:shd w:val="clear" w:color="auto" w:fill="E6EED5"/>
          </w:tcPr>
          <w:p w:rsidR="004B071C" w:rsidRPr="005C4608" w:rsidRDefault="004B071C" w:rsidP="004E680E">
            <w:pPr>
              <w:spacing w:after="0"/>
              <w:jc w:val="center"/>
              <w:rPr>
                <w:rFonts w:ascii="Constantia" w:hAnsi="Constantia"/>
                <w:color w:val="000000"/>
                <w:szCs w:val="22"/>
              </w:rPr>
            </w:pPr>
            <w:r w:rsidRPr="005C4608">
              <w:rPr>
                <w:rFonts w:ascii="Constantia" w:hAnsi="Constantia"/>
                <w:color w:val="000000"/>
                <w:szCs w:val="22"/>
              </w:rPr>
              <w:t>Lim, Brezojevice</w:t>
            </w:r>
          </w:p>
        </w:tc>
        <w:tc>
          <w:tcPr>
            <w:tcW w:w="1579" w:type="dxa"/>
            <w:shd w:val="clear" w:color="auto" w:fill="E6EED5"/>
          </w:tcPr>
          <w:p w:rsidR="004B071C" w:rsidRPr="005C4608" w:rsidRDefault="004B071C" w:rsidP="004E680E">
            <w:pPr>
              <w:spacing w:after="0"/>
              <w:jc w:val="center"/>
              <w:rPr>
                <w:rFonts w:ascii="Constantia" w:hAnsi="Constantia"/>
                <w:szCs w:val="22"/>
                <w:lang w:val="sr-Latn-CS"/>
              </w:rPr>
            </w:pPr>
          </w:p>
        </w:tc>
        <w:tc>
          <w:tcPr>
            <w:tcW w:w="1931" w:type="dxa"/>
            <w:shd w:val="clear" w:color="auto" w:fill="E6EED5"/>
          </w:tcPr>
          <w:p w:rsidR="004B071C" w:rsidRPr="005C4608" w:rsidRDefault="00620612" w:rsidP="004E680E">
            <w:pPr>
              <w:spacing w:after="0"/>
              <w:jc w:val="center"/>
              <w:rPr>
                <w:rFonts w:ascii="Constantia" w:hAnsi="Constantia"/>
                <w:szCs w:val="22"/>
                <w:lang w:val="sr-Latn-CS"/>
              </w:rPr>
            </w:pPr>
            <w:r>
              <w:rPr>
                <w:rFonts w:ascii="Constantia" w:hAnsi="Constantia"/>
                <w:szCs w:val="22"/>
                <w:lang w:val="sr-Latn-CS"/>
              </w:rPr>
              <w:t>M</w:t>
            </w:r>
            <w:r w:rsidR="004B071C" w:rsidRPr="005C4608">
              <w:rPr>
                <w:rFonts w:ascii="Constantia" w:hAnsi="Constantia"/>
                <w:szCs w:val="22"/>
                <w:lang w:val="sr-Latn-CS"/>
              </w:rPr>
              <w:t>alobrojna</w:t>
            </w:r>
          </w:p>
        </w:tc>
      </w:tr>
      <w:tr w:rsidR="004B071C" w:rsidRPr="005C4608" w:rsidTr="00620612">
        <w:trPr>
          <w:trHeight w:val="68"/>
          <w:jc w:val="center"/>
        </w:trPr>
        <w:tc>
          <w:tcPr>
            <w:tcW w:w="2169" w:type="dxa"/>
            <w:shd w:val="clear" w:color="auto" w:fill="CDDDAC"/>
          </w:tcPr>
          <w:p w:rsidR="004B071C" w:rsidRPr="005C4608" w:rsidRDefault="004B071C" w:rsidP="004E680E">
            <w:pPr>
              <w:spacing w:after="0" w:line="276" w:lineRule="auto"/>
              <w:jc w:val="center"/>
              <w:rPr>
                <w:rFonts w:ascii="Constantia" w:eastAsia="Calibri" w:hAnsi="Constantia"/>
                <w:b/>
                <w:bCs/>
                <w:szCs w:val="22"/>
              </w:rPr>
            </w:pPr>
            <w:r w:rsidRPr="005C4608">
              <w:rPr>
                <w:rFonts w:ascii="Constantia" w:eastAsia="Calibri" w:hAnsi="Constantia"/>
                <w:b/>
                <w:bCs/>
                <w:i/>
                <w:szCs w:val="22"/>
              </w:rPr>
              <w:t>Alburnoides bipunctatus</w:t>
            </w:r>
          </w:p>
        </w:tc>
        <w:tc>
          <w:tcPr>
            <w:tcW w:w="1170" w:type="dxa"/>
            <w:shd w:val="clear" w:color="auto" w:fill="CDDDAC"/>
          </w:tcPr>
          <w:p w:rsidR="004B071C" w:rsidRPr="005C4608" w:rsidRDefault="004B071C" w:rsidP="004E680E">
            <w:pPr>
              <w:spacing w:after="0"/>
              <w:jc w:val="center"/>
              <w:rPr>
                <w:rFonts w:ascii="Constantia" w:hAnsi="Constantia"/>
                <w:szCs w:val="22"/>
                <w:lang w:val="sr-Latn-CS"/>
              </w:rPr>
            </w:pPr>
            <w:r w:rsidRPr="005C4608">
              <w:rPr>
                <w:rFonts w:ascii="Constantia" w:eastAsia="Calibri" w:hAnsi="Constantia"/>
                <w:szCs w:val="22"/>
              </w:rPr>
              <w:t>ukljevica, pliska</w:t>
            </w:r>
          </w:p>
        </w:tc>
        <w:tc>
          <w:tcPr>
            <w:tcW w:w="1170" w:type="dxa"/>
            <w:shd w:val="clear" w:color="auto" w:fill="CDDDAC"/>
          </w:tcPr>
          <w:p w:rsidR="004B071C" w:rsidRPr="005C4608" w:rsidRDefault="004B071C" w:rsidP="004E680E">
            <w:pPr>
              <w:spacing w:after="0"/>
              <w:jc w:val="center"/>
              <w:rPr>
                <w:rFonts w:ascii="Constantia" w:hAnsi="Constantia"/>
                <w:szCs w:val="22"/>
                <w:lang w:val="sr-Latn-CS"/>
              </w:rPr>
            </w:pPr>
            <w:r w:rsidRPr="005C4608">
              <w:rPr>
                <w:rFonts w:ascii="Constantia" w:hAnsi="Constantia"/>
                <w:szCs w:val="22"/>
              </w:rPr>
              <w:t>4,21 %</w:t>
            </w:r>
          </w:p>
        </w:tc>
        <w:tc>
          <w:tcPr>
            <w:tcW w:w="1350" w:type="dxa"/>
            <w:shd w:val="clear" w:color="auto" w:fill="CDDDAC"/>
          </w:tcPr>
          <w:p w:rsidR="004B071C" w:rsidRPr="005C4608" w:rsidRDefault="004B071C" w:rsidP="004E680E">
            <w:pPr>
              <w:spacing w:after="0"/>
              <w:jc w:val="center"/>
              <w:rPr>
                <w:rFonts w:ascii="Constantia" w:hAnsi="Constantia"/>
                <w:color w:val="000000"/>
                <w:szCs w:val="22"/>
              </w:rPr>
            </w:pPr>
            <w:r w:rsidRPr="005C4608">
              <w:rPr>
                <w:rFonts w:ascii="Constantia" w:hAnsi="Constantia"/>
                <w:color w:val="000000"/>
                <w:szCs w:val="22"/>
              </w:rPr>
              <w:t>Njegnjevo</w:t>
            </w:r>
          </w:p>
        </w:tc>
        <w:tc>
          <w:tcPr>
            <w:tcW w:w="1579" w:type="dxa"/>
            <w:shd w:val="clear" w:color="auto" w:fill="CDDDAC"/>
          </w:tcPr>
          <w:p w:rsidR="004B071C" w:rsidRPr="005C4608" w:rsidRDefault="004B071C" w:rsidP="004E680E">
            <w:pPr>
              <w:spacing w:after="0"/>
              <w:jc w:val="left"/>
              <w:rPr>
                <w:rFonts w:ascii="Constantia" w:hAnsi="Constantia"/>
                <w:szCs w:val="22"/>
                <w:lang w:val="sr-Latn-CS"/>
              </w:rPr>
            </w:pPr>
            <w:r w:rsidRPr="005C4608">
              <w:rPr>
                <w:rFonts w:ascii="Constantia" w:hAnsi="Constantia"/>
                <w:szCs w:val="22"/>
                <w:lang w:val="sr-Latn-CS"/>
              </w:rPr>
              <w:t>42º 51' 15'' N</w:t>
            </w:r>
          </w:p>
          <w:p w:rsidR="004B071C" w:rsidRPr="005C4608" w:rsidRDefault="004B071C" w:rsidP="004E680E">
            <w:pPr>
              <w:spacing w:after="0"/>
              <w:jc w:val="left"/>
              <w:rPr>
                <w:rFonts w:ascii="Constantia" w:hAnsi="Constantia"/>
                <w:szCs w:val="22"/>
                <w:lang w:val="sr-Latn-CS"/>
              </w:rPr>
            </w:pPr>
            <w:r w:rsidRPr="005C4608">
              <w:rPr>
                <w:rFonts w:ascii="Constantia" w:hAnsi="Constantia"/>
                <w:szCs w:val="22"/>
                <w:lang w:val="sr-Latn-CS"/>
              </w:rPr>
              <w:t>19º 47' 46'' E</w:t>
            </w:r>
          </w:p>
        </w:tc>
        <w:tc>
          <w:tcPr>
            <w:tcW w:w="1931" w:type="dxa"/>
            <w:shd w:val="clear" w:color="auto" w:fill="CDDDAC"/>
          </w:tcPr>
          <w:p w:rsidR="004B071C" w:rsidRPr="005C4608" w:rsidRDefault="00620612" w:rsidP="004E680E">
            <w:pPr>
              <w:spacing w:after="0"/>
              <w:jc w:val="center"/>
              <w:rPr>
                <w:rFonts w:ascii="Constantia" w:hAnsi="Constantia"/>
                <w:szCs w:val="22"/>
                <w:lang w:val="sr-Latn-CS"/>
              </w:rPr>
            </w:pPr>
            <w:r>
              <w:rPr>
                <w:rFonts w:ascii="Constantia" w:hAnsi="Constantia"/>
                <w:szCs w:val="22"/>
                <w:lang w:val="sr-Latn-CS"/>
              </w:rPr>
              <w:t>M</w:t>
            </w:r>
            <w:r w:rsidR="004B071C" w:rsidRPr="005C4608">
              <w:rPr>
                <w:rFonts w:ascii="Constantia" w:hAnsi="Constantia"/>
                <w:szCs w:val="22"/>
                <w:lang w:val="sr-Latn-CS"/>
              </w:rPr>
              <w:t>alobrojna</w:t>
            </w:r>
          </w:p>
        </w:tc>
      </w:tr>
      <w:tr w:rsidR="004B071C" w:rsidRPr="005C4608" w:rsidTr="00620612">
        <w:trPr>
          <w:trHeight w:val="68"/>
          <w:jc w:val="center"/>
        </w:trPr>
        <w:tc>
          <w:tcPr>
            <w:tcW w:w="2169" w:type="dxa"/>
            <w:shd w:val="clear" w:color="auto" w:fill="E6EED5"/>
          </w:tcPr>
          <w:p w:rsidR="004B071C" w:rsidRPr="005C4608" w:rsidRDefault="004B071C" w:rsidP="004E680E">
            <w:pPr>
              <w:spacing w:after="0" w:line="276" w:lineRule="auto"/>
              <w:jc w:val="center"/>
              <w:rPr>
                <w:rFonts w:ascii="Constantia" w:eastAsia="Calibri" w:hAnsi="Constantia"/>
                <w:b/>
                <w:bCs/>
                <w:szCs w:val="22"/>
              </w:rPr>
            </w:pPr>
            <w:r w:rsidRPr="005C4608">
              <w:rPr>
                <w:rFonts w:ascii="Constantia" w:eastAsia="Calibri" w:hAnsi="Constantia"/>
                <w:b/>
                <w:bCs/>
                <w:i/>
                <w:szCs w:val="22"/>
              </w:rPr>
              <w:t>Barbus barbus</w:t>
            </w:r>
          </w:p>
        </w:tc>
        <w:tc>
          <w:tcPr>
            <w:tcW w:w="1170" w:type="dxa"/>
            <w:shd w:val="clear" w:color="auto" w:fill="E6EED5"/>
          </w:tcPr>
          <w:p w:rsidR="004B071C" w:rsidRPr="005C4608" w:rsidRDefault="004B071C" w:rsidP="004E680E">
            <w:pPr>
              <w:spacing w:after="0"/>
              <w:jc w:val="center"/>
              <w:rPr>
                <w:rFonts w:ascii="Constantia" w:hAnsi="Constantia"/>
                <w:szCs w:val="22"/>
                <w:lang w:val="sr-Latn-CS"/>
              </w:rPr>
            </w:pPr>
            <w:r w:rsidRPr="005C4608">
              <w:rPr>
                <w:rFonts w:ascii="Constantia" w:eastAsia="Calibri" w:hAnsi="Constantia"/>
                <w:szCs w:val="22"/>
              </w:rPr>
              <w:t>mrena</w:t>
            </w:r>
          </w:p>
        </w:tc>
        <w:tc>
          <w:tcPr>
            <w:tcW w:w="1170" w:type="dxa"/>
            <w:shd w:val="clear" w:color="auto" w:fill="E6EED5"/>
          </w:tcPr>
          <w:p w:rsidR="004B071C" w:rsidRPr="005C4608" w:rsidRDefault="004B071C" w:rsidP="00875CE0">
            <w:pPr>
              <w:spacing w:after="0"/>
              <w:jc w:val="center"/>
              <w:rPr>
                <w:rFonts w:ascii="Constantia" w:hAnsi="Constantia"/>
                <w:szCs w:val="22"/>
                <w:lang w:val="sr-Latn-CS"/>
              </w:rPr>
            </w:pPr>
            <w:r w:rsidRPr="005C4608">
              <w:rPr>
                <w:rFonts w:ascii="Constantia" w:hAnsi="Constantia"/>
                <w:szCs w:val="22"/>
              </w:rPr>
              <w:t>3</w:t>
            </w:r>
            <w:r w:rsidR="00875CE0">
              <w:rPr>
                <w:rFonts w:ascii="Constantia" w:hAnsi="Constantia"/>
                <w:szCs w:val="22"/>
              </w:rPr>
              <w:t>,</w:t>
            </w:r>
            <w:r w:rsidRPr="005C4608">
              <w:rPr>
                <w:rFonts w:ascii="Constantia" w:hAnsi="Constantia"/>
                <w:szCs w:val="22"/>
              </w:rPr>
              <w:t>83 %</w:t>
            </w:r>
          </w:p>
        </w:tc>
        <w:tc>
          <w:tcPr>
            <w:tcW w:w="1350" w:type="dxa"/>
            <w:shd w:val="clear" w:color="auto" w:fill="E6EED5"/>
          </w:tcPr>
          <w:p w:rsidR="004B071C" w:rsidRPr="005C4608" w:rsidRDefault="004B071C" w:rsidP="004E680E">
            <w:pPr>
              <w:spacing w:after="0"/>
              <w:jc w:val="center"/>
              <w:rPr>
                <w:rFonts w:ascii="Constantia" w:hAnsi="Constantia"/>
                <w:color w:val="000000"/>
                <w:szCs w:val="22"/>
              </w:rPr>
            </w:pPr>
            <w:r w:rsidRPr="005C4608">
              <w:rPr>
                <w:rFonts w:ascii="Constantia" w:hAnsi="Constantia"/>
                <w:color w:val="000000"/>
                <w:szCs w:val="22"/>
              </w:rPr>
              <w:t>Njegnjevo</w:t>
            </w:r>
          </w:p>
        </w:tc>
        <w:tc>
          <w:tcPr>
            <w:tcW w:w="1579" w:type="dxa"/>
            <w:shd w:val="clear" w:color="auto" w:fill="E6EED5"/>
          </w:tcPr>
          <w:p w:rsidR="004B071C" w:rsidRPr="005C4608" w:rsidRDefault="004B071C" w:rsidP="004E680E">
            <w:pPr>
              <w:spacing w:after="0"/>
              <w:jc w:val="left"/>
              <w:rPr>
                <w:rFonts w:ascii="Constantia" w:hAnsi="Constantia"/>
                <w:szCs w:val="22"/>
                <w:lang w:val="sr-Latn-CS"/>
              </w:rPr>
            </w:pPr>
            <w:r w:rsidRPr="005C4608">
              <w:rPr>
                <w:rFonts w:ascii="Constantia" w:hAnsi="Constantia"/>
                <w:szCs w:val="22"/>
                <w:lang w:val="sr-Latn-CS"/>
              </w:rPr>
              <w:t>42º 49' 30'' N</w:t>
            </w:r>
          </w:p>
          <w:p w:rsidR="004B071C" w:rsidRPr="005C4608" w:rsidRDefault="004B071C" w:rsidP="004E680E">
            <w:pPr>
              <w:spacing w:after="0"/>
              <w:jc w:val="left"/>
              <w:rPr>
                <w:rFonts w:ascii="Constantia" w:hAnsi="Constantia"/>
                <w:szCs w:val="22"/>
                <w:lang w:val="sr-Latn-CS"/>
              </w:rPr>
            </w:pPr>
            <w:r w:rsidRPr="005C4608">
              <w:rPr>
                <w:rFonts w:ascii="Constantia" w:hAnsi="Constantia"/>
                <w:szCs w:val="22"/>
                <w:lang w:val="sr-Latn-CS"/>
              </w:rPr>
              <w:t>19º 52' 11'' E</w:t>
            </w:r>
          </w:p>
        </w:tc>
        <w:tc>
          <w:tcPr>
            <w:tcW w:w="1931" w:type="dxa"/>
            <w:shd w:val="clear" w:color="auto" w:fill="E6EED5"/>
          </w:tcPr>
          <w:p w:rsidR="004B071C" w:rsidRPr="005C4608" w:rsidRDefault="004B071C" w:rsidP="004E680E">
            <w:pPr>
              <w:spacing w:after="0"/>
              <w:jc w:val="center"/>
              <w:rPr>
                <w:rFonts w:ascii="Constantia" w:hAnsi="Constantia"/>
                <w:szCs w:val="22"/>
                <w:lang w:val="sr-Latn-CS"/>
              </w:rPr>
            </w:pPr>
          </w:p>
        </w:tc>
      </w:tr>
      <w:tr w:rsidR="004B071C" w:rsidRPr="005C4608" w:rsidTr="00620612">
        <w:trPr>
          <w:trHeight w:val="119"/>
          <w:jc w:val="center"/>
        </w:trPr>
        <w:tc>
          <w:tcPr>
            <w:tcW w:w="2169" w:type="dxa"/>
            <w:shd w:val="clear" w:color="auto" w:fill="CDDDAC"/>
          </w:tcPr>
          <w:p w:rsidR="00620612" w:rsidRDefault="00620612" w:rsidP="004E680E">
            <w:pPr>
              <w:spacing w:after="0" w:line="276" w:lineRule="auto"/>
              <w:jc w:val="center"/>
              <w:rPr>
                <w:rFonts w:ascii="Constantia" w:eastAsia="Calibri" w:hAnsi="Constantia"/>
                <w:b/>
                <w:bCs/>
                <w:i/>
                <w:szCs w:val="22"/>
              </w:rPr>
            </w:pPr>
          </w:p>
          <w:p w:rsidR="004B071C" w:rsidRPr="005C4608" w:rsidRDefault="004B071C" w:rsidP="004E680E">
            <w:pPr>
              <w:spacing w:after="0" w:line="276" w:lineRule="auto"/>
              <w:jc w:val="center"/>
              <w:rPr>
                <w:rFonts w:ascii="Constantia" w:eastAsia="Calibri" w:hAnsi="Constantia"/>
                <w:b/>
                <w:bCs/>
                <w:szCs w:val="22"/>
              </w:rPr>
            </w:pPr>
            <w:r w:rsidRPr="005C4608">
              <w:rPr>
                <w:rFonts w:ascii="Constantia" w:eastAsia="Calibri" w:hAnsi="Constantia"/>
                <w:b/>
                <w:bCs/>
                <w:i/>
                <w:szCs w:val="22"/>
              </w:rPr>
              <w:lastRenderedPageBreak/>
              <w:t>Barbatula barbatula</w:t>
            </w:r>
          </w:p>
        </w:tc>
        <w:tc>
          <w:tcPr>
            <w:tcW w:w="1170" w:type="dxa"/>
            <w:shd w:val="clear" w:color="auto" w:fill="CDDDAC"/>
          </w:tcPr>
          <w:p w:rsidR="00620612" w:rsidRDefault="00620612" w:rsidP="00941ACB">
            <w:pPr>
              <w:spacing w:after="0" w:line="360" w:lineRule="auto"/>
              <w:jc w:val="center"/>
              <w:rPr>
                <w:rFonts w:ascii="Constantia" w:eastAsia="Calibri" w:hAnsi="Constantia"/>
                <w:szCs w:val="22"/>
              </w:rPr>
            </w:pPr>
          </w:p>
          <w:p w:rsidR="004B071C" w:rsidRPr="005C4608" w:rsidRDefault="004B071C" w:rsidP="00941ACB">
            <w:pPr>
              <w:spacing w:after="0" w:line="360" w:lineRule="auto"/>
              <w:jc w:val="center"/>
              <w:rPr>
                <w:rFonts w:ascii="Constantia" w:eastAsia="Calibri" w:hAnsi="Constantia"/>
                <w:szCs w:val="22"/>
              </w:rPr>
            </w:pPr>
            <w:r w:rsidRPr="005C4608">
              <w:rPr>
                <w:rFonts w:ascii="Constantia" w:eastAsia="Calibri" w:hAnsi="Constantia"/>
                <w:szCs w:val="22"/>
              </w:rPr>
              <w:lastRenderedPageBreak/>
              <w:t>brkica</w:t>
            </w:r>
          </w:p>
        </w:tc>
        <w:tc>
          <w:tcPr>
            <w:tcW w:w="1170" w:type="dxa"/>
            <w:shd w:val="clear" w:color="auto" w:fill="CDDDAC"/>
          </w:tcPr>
          <w:p w:rsidR="004B071C" w:rsidRPr="005C4608" w:rsidRDefault="004B071C" w:rsidP="004E680E">
            <w:pPr>
              <w:spacing w:after="0"/>
              <w:jc w:val="center"/>
              <w:rPr>
                <w:rFonts w:ascii="Constantia" w:hAnsi="Constantia"/>
                <w:szCs w:val="22"/>
                <w:lang w:val="sr-Latn-CS"/>
              </w:rPr>
            </w:pPr>
          </w:p>
        </w:tc>
        <w:tc>
          <w:tcPr>
            <w:tcW w:w="1350" w:type="dxa"/>
            <w:shd w:val="clear" w:color="auto" w:fill="CDDDAC"/>
          </w:tcPr>
          <w:p w:rsidR="00620612" w:rsidRDefault="00620612" w:rsidP="004E680E">
            <w:pPr>
              <w:spacing w:after="0"/>
              <w:jc w:val="center"/>
              <w:rPr>
                <w:rFonts w:ascii="Constantia" w:hAnsi="Constantia"/>
                <w:color w:val="000000"/>
                <w:szCs w:val="22"/>
              </w:rPr>
            </w:pPr>
          </w:p>
          <w:p w:rsidR="004B071C" w:rsidRPr="005C4608" w:rsidRDefault="004B071C" w:rsidP="004E680E">
            <w:pPr>
              <w:spacing w:after="0"/>
              <w:jc w:val="center"/>
              <w:rPr>
                <w:rFonts w:ascii="Constantia" w:hAnsi="Constantia"/>
                <w:color w:val="000000"/>
                <w:szCs w:val="22"/>
              </w:rPr>
            </w:pPr>
            <w:r w:rsidRPr="005C4608">
              <w:rPr>
                <w:rFonts w:ascii="Constantia" w:hAnsi="Constantia"/>
                <w:color w:val="000000"/>
                <w:szCs w:val="22"/>
              </w:rPr>
              <w:lastRenderedPageBreak/>
              <w:t>Makva</w:t>
            </w:r>
          </w:p>
        </w:tc>
        <w:tc>
          <w:tcPr>
            <w:tcW w:w="1579" w:type="dxa"/>
            <w:shd w:val="clear" w:color="auto" w:fill="CDDDAC"/>
          </w:tcPr>
          <w:p w:rsidR="00620612" w:rsidRDefault="00620612" w:rsidP="004E680E">
            <w:pPr>
              <w:spacing w:after="0"/>
              <w:jc w:val="left"/>
              <w:rPr>
                <w:rFonts w:ascii="Constantia" w:hAnsi="Constantia"/>
                <w:szCs w:val="22"/>
                <w:lang w:val="sr-Latn-CS"/>
              </w:rPr>
            </w:pPr>
          </w:p>
          <w:p w:rsidR="004B071C" w:rsidRPr="005C4608" w:rsidRDefault="004B071C" w:rsidP="004E680E">
            <w:pPr>
              <w:spacing w:after="0"/>
              <w:jc w:val="left"/>
              <w:rPr>
                <w:rFonts w:ascii="Constantia" w:hAnsi="Constantia"/>
                <w:szCs w:val="22"/>
                <w:lang w:val="sr-Latn-CS"/>
              </w:rPr>
            </w:pPr>
            <w:r w:rsidRPr="005C4608">
              <w:rPr>
                <w:rFonts w:ascii="Constantia" w:hAnsi="Constantia"/>
                <w:szCs w:val="22"/>
                <w:lang w:val="sr-Latn-CS"/>
              </w:rPr>
              <w:lastRenderedPageBreak/>
              <w:t>42º 50' 33'' N</w:t>
            </w:r>
          </w:p>
          <w:p w:rsidR="004B071C" w:rsidRPr="005C4608" w:rsidRDefault="004B071C" w:rsidP="004E680E">
            <w:pPr>
              <w:spacing w:after="0"/>
              <w:jc w:val="left"/>
              <w:rPr>
                <w:rFonts w:ascii="Constantia" w:hAnsi="Constantia"/>
                <w:szCs w:val="22"/>
                <w:lang w:val="sr-Latn-CS"/>
              </w:rPr>
            </w:pPr>
            <w:r w:rsidRPr="005C4608">
              <w:rPr>
                <w:rFonts w:ascii="Constantia" w:hAnsi="Constantia"/>
                <w:szCs w:val="22"/>
                <w:lang w:val="sr-Latn-CS"/>
              </w:rPr>
              <w:t>19º 53' 5'' E</w:t>
            </w:r>
          </w:p>
        </w:tc>
        <w:tc>
          <w:tcPr>
            <w:tcW w:w="1931" w:type="dxa"/>
            <w:shd w:val="clear" w:color="auto" w:fill="CDDDAC"/>
          </w:tcPr>
          <w:p w:rsidR="004B071C" w:rsidRPr="005C4608" w:rsidRDefault="004B071C" w:rsidP="004E680E">
            <w:pPr>
              <w:spacing w:after="0"/>
              <w:jc w:val="center"/>
              <w:rPr>
                <w:rFonts w:ascii="Constantia" w:hAnsi="Constantia"/>
                <w:szCs w:val="22"/>
                <w:lang w:val="sr-Latn-CS"/>
              </w:rPr>
            </w:pPr>
          </w:p>
        </w:tc>
      </w:tr>
      <w:tr w:rsidR="004B071C" w:rsidRPr="005C4608" w:rsidTr="00620612">
        <w:trPr>
          <w:trHeight w:val="68"/>
          <w:jc w:val="center"/>
        </w:trPr>
        <w:tc>
          <w:tcPr>
            <w:tcW w:w="2169" w:type="dxa"/>
            <w:shd w:val="clear" w:color="auto" w:fill="E6EED5"/>
          </w:tcPr>
          <w:p w:rsidR="004B071C" w:rsidRPr="005C4608" w:rsidRDefault="004B071C" w:rsidP="004E680E">
            <w:pPr>
              <w:spacing w:after="0" w:line="276" w:lineRule="auto"/>
              <w:jc w:val="center"/>
              <w:rPr>
                <w:rFonts w:ascii="Constantia" w:eastAsia="Calibri" w:hAnsi="Constantia"/>
                <w:b/>
                <w:bCs/>
                <w:szCs w:val="22"/>
              </w:rPr>
            </w:pPr>
            <w:r w:rsidRPr="005C4608">
              <w:rPr>
                <w:rFonts w:ascii="Constantia" w:eastAsia="Calibri" w:hAnsi="Constantia"/>
                <w:b/>
                <w:bCs/>
                <w:i/>
                <w:szCs w:val="22"/>
              </w:rPr>
              <w:lastRenderedPageBreak/>
              <w:t>Cobitis elongata</w:t>
            </w:r>
          </w:p>
        </w:tc>
        <w:tc>
          <w:tcPr>
            <w:tcW w:w="1170" w:type="dxa"/>
            <w:shd w:val="clear" w:color="auto" w:fill="E6EED5"/>
          </w:tcPr>
          <w:p w:rsidR="004B071C" w:rsidRPr="005C4608" w:rsidRDefault="004B071C" w:rsidP="004E680E">
            <w:pPr>
              <w:spacing w:after="0"/>
              <w:jc w:val="center"/>
              <w:rPr>
                <w:rFonts w:ascii="Constantia" w:hAnsi="Constantia"/>
                <w:szCs w:val="22"/>
                <w:lang w:val="sr-Latn-CS"/>
              </w:rPr>
            </w:pPr>
            <w:r w:rsidRPr="005C4608">
              <w:rPr>
                <w:rFonts w:ascii="Constantia" w:eastAsia="Calibri" w:hAnsi="Constantia"/>
                <w:szCs w:val="22"/>
              </w:rPr>
              <w:t>veliki vijun</w:t>
            </w:r>
          </w:p>
        </w:tc>
        <w:tc>
          <w:tcPr>
            <w:tcW w:w="1170" w:type="dxa"/>
            <w:shd w:val="clear" w:color="auto" w:fill="E6EED5"/>
          </w:tcPr>
          <w:p w:rsidR="004B071C" w:rsidRPr="005C4608" w:rsidRDefault="004B071C" w:rsidP="004E680E">
            <w:pPr>
              <w:spacing w:after="0"/>
              <w:jc w:val="center"/>
              <w:rPr>
                <w:rFonts w:ascii="Constantia" w:hAnsi="Constantia"/>
                <w:szCs w:val="22"/>
                <w:lang w:val="sr-Latn-CS"/>
              </w:rPr>
            </w:pPr>
            <w:r w:rsidRPr="005C4608">
              <w:rPr>
                <w:rFonts w:ascii="Constantia" w:hAnsi="Constantia"/>
                <w:szCs w:val="22"/>
              </w:rPr>
              <w:t>11,12 %</w:t>
            </w:r>
          </w:p>
        </w:tc>
        <w:tc>
          <w:tcPr>
            <w:tcW w:w="1350" w:type="dxa"/>
            <w:shd w:val="clear" w:color="auto" w:fill="E6EED5"/>
          </w:tcPr>
          <w:p w:rsidR="004B071C" w:rsidRPr="005C4608" w:rsidRDefault="004B071C" w:rsidP="004E680E">
            <w:pPr>
              <w:spacing w:after="0"/>
              <w:jc w:val="center"/>
              <w:rPr>
                <w:rFonts w:ascii="Constantia" w:hAnsi="Constantia"/>
                <w:color w:val="000000"/>
                <w:szCs w:val="22"/>
              </w:rPr>
            </w:pPr>
            <w:r w:rsidRPr="005C4608">
              <w:rPr>
                <w:rFonts w:ascii="Constantia" w:hAnsi="Constantia"/>
                <w:color w:val="000000"/>
                <w:szCs w:val="22"/>
              </w:rPr>
              <w:t>Lim Berane</w:t>
            </w:r>
          </w:p>
        </w:tc>
        <w:tc>
          <w:tcPr>
            <w:tcW w:w="1579" w:type="dxa"/>
            <w:shd w:val="clear" w:color="auto" w:fill="E6EED5"/>
          </w:tcPr>
          <w:p w:rsidR="004B071C" w:rsidRPr="005C4608" w:rsidRDefault="004B071C" w:rsidP="004E680E">
            <w:pPr>
              <w:spacing w:after="0"/>
              <w:jc w:val="left"/>
              <w:rPr>
                <w:rFonts w:ascii="Constantia" w:eastAsia="MyriadPro-Regular" w:hAnsi="Constantia"/>
                <w:szCs w:val="22"/>
              </w:rPr>
            </w:pPr>
            <w:r w:rsidRPr="005C4608">
              <w:rPr>
                <w:rFonts w:ascii="Constantia" w:eastAsia="MyriadPro-Regular" w:hAnsi="Constantia"/>
                <w:szCs w:val="22"/>
              </w:rPr>
              <w:t>42º 55' 45'' N</w:t>
            </w:r>
          </w:p>
          <w:p w:rsidR="004B071C" w:rsidRPr="005C4608" w:rsidRDefault="004B071C" w:rsidP="004E680E">
            <w:pPr>
              <w:spacing w:after="0"/>
              <w:jc w:val="left"/>
              <w:rPr>
                <w:rFonts w:ascii="Constantia" w:eastAsia="MyriadPro-Regular" w:hAnsi="Constantia"/>
                <w:szCs w:val="22"/>
              </w:rPr>
            </w:pPr>
            <w:r w:rsidRPr="005C4608">
              <w:rPr>
                <w:rFonts w:ascii="Constantia" w:eastAsia="MyriadPro-Regular" w:hAnsi="Constantia"/>
                <w:szCs w:val="22"/>
              </w:rPr>
              <w:t>19º 52' 22'' E</w:t>
            </w:r>
          </w:p>
          <w:p w:rsidR="004B071C" w:rsidRPr="005C4608" w:rsidRDefault="004B071C" w:rsidP="004E680E">
            <w:pPr>
              <w:spacing w:after="0"/>
              <w:jc w:val="left"/>
              <w:rPr>
                <w:rFonts w:ascii="Constantia" w:eastAsia="MyriadPro-Regular" w:hAnsi="Constantia"/>
                <w:szCs w:val="22"/>
              </w:rPr>
            </w:pPr>
            <w:r w:rsidRPr="005C4608">
              <w:rPr>
                <w:rFonts w:ascii="Constantia" w:eastAsia="MyriadPro-Regular" w:hAnsi="Constantia"/>
                <w:szCs w:val="22"/>
              </w:rPr>
              <w:t>42º 55' 34'' N</w:t>
            </w:r>
          </w:p>
          <w:p w:rsidR="004B071C" w:rsidRPr="005C4608" w:rsidRDefault="004B071C" w:rsidP="004E680E">
            <w:pPr>
              <w:spacing w:after="0"/>
              <w:jc w:val="left"/>
              <w:rPr>
                <w:rFonts w:ascii="Constantia" w:eastAsia="MyriadPro-Regular" w:hAnsi="Constantia"/>
                <w:szCs w:val="22"/>
              </w:rPr>
            </w:pPr>
            <w:r w:rsidRPr="005C4608">
              <w:rPr>
                <w:rFonts w:ascii="Constantia" w:eastAsia="MyriadPro-Regular" w:hAnsi="Constantia"/>
                <w:szCs w:val="22"/>
              </w:rPr>
              <w:t>20º 00' 48'' E</w:t>
            </w:r>
          </w:p>
        </w:tc>
        <w:tc>
          <w:tcPr>
            <w:tcW w:w="1931" w:type="dxa"/>
            <w:shd w:val="clear" w:color="auto" w:fill="E6EED5"/>
          </w:tcPr>
          <w:p w:rsidR="004B071C" w:rsidRPr="005C4608" w:rsidRDefault="004B071C" w:rsidP="004E680E">
            <w:pPr>
              <w:spacing w:after="0"/>
              <w:jc w:val="center"/>
              <w:rPr>
                <w:rFonts w:ascii="Constantia" w:hAnsi="Constantia"/>
                <w:szCs w:val="22"/>
                <w:lang w:val="sr-Latn-CS"/>
              </w:rPr>
            </w:pPr>
            <w:r w:rsidRPr="005C4608">
              <w:rPr>
                <w:rFonts w:ascii="Constantia" w:eastAsia="MyriadPro-Regular" w:hAnsi="Constantia"/>
                <w:szCs w:val="22"/>
              </w:rPr>
              <w:t>U Limu i donjim djelovima pritoka na mejstima sa muljevitim substratom. Populacija je brojna i trend je stabilan</w:t>
            </w:r>
          </w:p>
        </w:tc>
      </w:tr>
      <w:tr w:rsidR="004B071C" w:rsidRPr="005C4608" w:rsidTr="00620612">
        <w:trPr>
          <w:trHeight w:val="355"/>
          <w:jc w:val="center"/>
        </w:trPr>
        <w:tc>
          <w:tcPr>
            <w:tcW w:w="2169" w:type="dxa"/>
            <w:shd w:val="clear" w:color="auto" w:fill="CDDDAC"/>
          </w:tcPr>
          <w:p w:rsidR="004B071C" w:rsidRPr="005C4608" w:rsidRDefault="004B071C" w:rsidP="004E680E">
            <w:pPr>
              <w:spacing w:after="0" w:line="276" w:lineRule="auto"/>
              <w:jc w:val="center"/>
              <w:rPr>
                <w:rFonts w:ascii="Constantia" w:eastAsia="Calibri" w:hAnsi="Constantia"/>
                <w:b/>
                <w:bCs/>
                <w:szCs w:val="22"/>
              </w:rPr>
            </w:pPr>
            <w:r w:rsidRPr="005C4608">
              <w:rPr>
                <w:rFonts w:ascii="Constantia" w:eastAsia="Calibri" w:hAnsi="Constantia"/>
                <w:b/>
                <w:bCs/>
                <w:i/>
                <w:szCs w:val="22"/>
              </w:rPr>
              <w:t>Gobio gobio</w:t>
            </w:r>
          </w:p>
        </w:tc>
        <w:tc>
          <w:tcPr>
            <w:tcW w:w="1170" w:type="dxa"/>
            <w:shd w:val="clear" w:color="auto" w:fill="CDDDAC"/>
          </w:tcPr>
          <w:p w:rsidR="004B071C" w:rsidRPr="005C4608" w:rsidRDefault="004B071C" w:rsidP="004E680E">
            <w:pPr>
              <w:spacing w:after="0"/>
              <w:jc w:val="center"/>
              <w:rPr>
                <w:rFonts w:ascii="Constantia" w:hAnsi="Constantia"/>
                <w:szCs w:val="22"/>
                <w:lang w:val="sr-Latn-CS"/>
              </w:rPr>
            </w:pPr>
            <w:r w:rsidRPr="005C4608">
              <w:rPr>
                <w:rFonts w:ascii="Constantia" w:eastAsia="Calibri" w:hAnsi="Constantia"/>
                <w:szCs w:val="22"/>
              </w:rPr>
              <w:t>mrenica, krkuša</w:t>
            </w:r>
          </w:p>
        </w:tc>
        <w:tc>
          <w:tcPr>
            <w:tcW w:w="1170" w:type="dxa"/>
            <w:shd w:val="clear" w:color="auto" w:fill="CDDDAC"/>
          </w:tcPr>
          <w:p w:rsidR="004B071C" w:rsidRPr="005C4608" w:rsidRDefault="004B071C" w:rsidP="004E680E">
            <w:pPr>
              <w:spacing w:after="0"/>
              <w:jc w:val="center"/>
              <w:rPr>
                <w:rFonts w:ascii="Constantia" w:hAnsi="Constantia"/>
                <w:szCs w:val="22"/>
                <w:lang w:val="sr-Latn-CS"/>
              </w:rPr>
            </w:pPr>
            <w:r w:rsidRPr="005C4608">
              <w:rPr>
                <w:rFonts w:ascii="Constantia" w:hAnsi="Constantia"/>
                <w:szCs w:val="22"/>
              </w:rPr>
              <w:t>0,87 %</w:t>
            </w:r>
          </w:p>
        </w:tc>
        <w:tc>
          <w:tcPr>
            <w:tcW w:w="1350" w:type="dxa"/>
            <w:shd w:val="clear" w:color="auto" w:fill="CDDDAC"/>
          </w:tcPr>
          <w:p w:rsidR="004B071C" w:rsidRPr="005C4608" w:rsidRDefault="004B071C" w:rsidP="004E680E">
            <w:pPr>
              <w:spacing w:after="0"/>
              <w:jc w:val="center"/>
              <w:rPr>
                <w:rFonts w:ascii="Constantia" w:hAnsi="Constantia"/>
                <w:color w:val="000000"/>
                <w:szCs w:val="22"/>
              </w:rPr>
            </w:pPr>
            <w:r w:rsidRPr="005C4608">
              <w:rPr>
                <w:rFonts w:ascii="Constantia" w:hAnsi="Constantia"/>
                <w:color w:val="000000"/>
                <w:szCs w:val="22"/>
              </w:rPr>
              <w:t>Njegnjevo</w:t>
            </w:r>
          </w:p>
        </w:tc>
        <w:tc>
          <w:tcPr>
            <w:tcW w:w="1579" w:type="dxa"/>
            <w:shd w:val="clear" w:color="auto" w:fill="CDDDAC"/>
          </w:tcPr>
          <w:p w:rsidR="004B071C" w:rsidRPr="005C4608" w:rsidRDefault="004B071C" w:rsidP="004E680E">
            <w:pPr>
              <w:spacing w:after="0"/>
              <w:jc w:val="left"/>
              <w:rPr>
                <w:rFonts w:ascii="Constantia" w:hAnsi="Constantia"/>
                <w:szCs w:val="22"/>
                <w:lang w:val="sr-Latn-CS"/>
              </w:rPr>
            </w:pPr>
            <w:r w:rsidRPr="005C4608">
              <w:rPr>
                <w:rFonts w:ascii="Constantia" w:hAnsi="Constantia"/>
                <w:szCs w:val="22"/>
                <w:lang w:val="sr-Latn-CS"/>
              </w:rPr>
              <w:t>42º 51' 15'' N</w:t>
            </w:r>
          </w:p>
          <w:p w:rsidR="004B071C" w:rsidRPr="005C4608" w:rsidRDefault="004B071C" w:rsidP="004E680E">
            <w:pPr>
              <w:spacing w:after="0"/>
              <w:jc w:val="left"/>
              <w:rPr>
                <w:rFonts w:ascii="Constantia" w:hAnsi="Constantia"/>
                <w:szCs w:val="22"/>
                <w:lang w:val="sr-Latn-CS"/>
              </w:rPr>
            </w:pPr>
            <w:r w:rsidRPr="005C4608">
              <w:rPr>
                <w:rFonts w:ascii="Constantia" w:hAnsi="Constantia"/>
                <w:szCs w:val="22"/>
                <w:lang w:val="sr-Latn-CS"/>
              </w:rPr>
              <w:t>19º 47' 46'' E</w:t>
            </w:r>
          </w:p>
        </w:tc>
        <w:tc>
          <w:tcPr>
            <w:tcW w:w="1931" w:type="dxa"/>
            <w:shd w:val="clear" w:color="auto" w:fill="CDDDAC"/>
          </w:tcPr>
          <w:p w:rsidR="004B071C" w:rsidRPr="005C4608" w:rsidRDefault="004B071C" w:rsidP="004E680E">
            <w:pPr>
              <w:spacing w:after="0"/>
              <w:jc w:val="center"/>
              <w:rPr>
                <w:rFonts w:ascii="Constantia" w:hAnsi="Constantia"/>
                <w:szCs w:val="22"/>
                <w:lang w:val="sr-Latn-CS"/>
              </w:rPr>
            </w:pPr>
          </w:p>
        </w:tc>
      </w:tr>
      <w:tr w:rsidR="004B071C" w:rsidRPr="005C4608" w:rsidTr="00620612">
        <w:trPr>
          <w:trHeight w:val="355"/>
          <w:jc w:val="center"/>
        </w:trPr>
        <w:tc>
          <w:tcPr>
            <w:tcW w:w="2169" w:type="dxa"/>
            <w:shd w:val="clear" w:color="auto" w:fill="E6EED5"/>
          </w:tcPr>
          <w:p w:rsidR="004B071C" w:rsidRPr="005C4608" w:rsidRDefault="004B071C" w:rsidP="004E680E">
            <w:pPr>
              <w:spacing w:after="0" w:line="276" w:lineRule="auto"/>
              <w:jc w:val="center"/>
              <w:rPr>
                <w:rFonts w:ascii="Constantia" w:eastAsia="Calibri" w:hAnsi="Constantia"/>
                <w:b/>
                <w:bCs/>
                <w:i/>
                <w:szCs w:val="22"/>
              </w:rPr>
            </w:pPr>
            <w:r w:rsidRPr="005C4608">
              <w:rPr>
                <w:rFonts w:ascii="Constantia" w:eastAsia="Calibri" w:hAnsi="Constantia"/>
                <w:b/>
                <w:bCs/>
                <w:i/>
                <w:szCs w:val="22"/>
              </w:rPr>
              <w:t>Oncorhynchus mykiss</w:t>
            </w:r>
          </w:p>
        </w:tc>
        <w:tc>
          <w:tcPr>
            <w:tcW w:w="1170" w:type="dxa"/>
            <w:shd w:val="clear" w:color="auto" w:fill="E6EED5"/>
          </w:tcPr>
          <w:p w:rsidR="004B071C" w:rsidRPr="005C4608" w:rsidRDefault="004B071C" w:rsidP="004E680E">
            <w:pPr>
              <w:spacing w:after="0"/>
              <w:jc w:val="center"/>
              <w:rPr>
                <w:rFonts w:ascii="Constantia" w:eastAsia="Calibri" w:hAnsi="Constantia"/>
                <w:szCs w:val="22"/>
              </w:rPr>
            </w:pPr>
            <w:r w:rsidRPr="005C4608">
              <w:rPr>
                <w:rFonts w:ascii="Constantia" w:eastAsia="Calibri" w:hAnsi="Constantia"/>
                <w:szCs w:val="22"/>
              </w:rPr>
              <w:t>Kaliforniska pastrmka</w:t>
            </w:r>
          </w:p>
        </w:tc>
        <w:tc>
          <w:tcPr>
            <w:tcW w:w="1170" w:type="dxa"/>
            <w:shd w:val="clear" w:color="auto" w:fill="E6EED5"/>
          </w:tcPr>
          <w:p w:rsidR="004B071C" w:rsidRPr="005C4608" w:rsidRDefault="004B071C" w:rsidP="004E680E">
            <w:pPr>
              <w:spacing w:after="0"/>
              <w:jc w:val="center"/>
              <w:rPr>
                <w:rFonts w:ascii="Constantia" w:hAnsi="Constantia"/>
                <w:szCs w:val="22"/>
                <w:lang w:val="sr-Latn-CS"/>
              </w:rPr>
            </w:pPr>
            <w:r w:rsidRPr="005C4608">
              <w:rPr>
                <w:rFonts w:ascii="Constantia" w:hAnsi="Constantia"/>
                <w:szCs w:val="22"/>
                <w:lang w:val="sr-Latn-CS"/>
              </w:rPr>
              <w:t>-</w:t>
            </w:r>
          </w:p>
        </w:tc>
        <w:tc>
          <w:tcPr>
            <w:tcW w:w="1350" w:type="dxa"/>
            <w:shd w:val="clear" w:color="auto" w:fill="E6EED5"/>
          </w:tcPr>
          <w:p w:rsidR="004B071C" w:rsidRPr="005C4608" w:rsidRDefault="004B071C" w:rsidP="004E680E">
            <w:pPr>
              <w:spacing w:after="0"/>
              <w:jc w:val="center"/>
              <w:rPr>
                <w:rFonts w:ascii="Constantia" w:hAnsi="Constantia"/>
                <w:color w:val="000000"/>
                <w:szCs w:val="22"/>
              </w:rPr>
            </w:pPr>
            <w:r w:rsidRPr="005C4608">
              <w:rPr>
                <w:rFonts w:ascii="Constantia" w:hAnsi="Constantia"/>
                <w:color w:val="000000"/>
                <w:szCs w:val="22"/>
              </w:rPr>
              <w:t>Lim, Zlorečica,Bistrica,Lješnica,</w:t>
            </w:r>
          </w:p>
        </w:tc>
        <w:tc>
          <w:tcPr>
            <w:tcW w:w="1579" w:type="dxa"/>
            <w:shd w:val="clear" w:color="auto" w:fill="E6EED5"/>
          </w:tcPr>
          <w:p w:rsidR="004B071C" w:rsidRPr="005C4608" w:rsidRDefault="004B071C" w:rsidP="004E680E">
            <w:pPr>
              <w:spacing w:after="0"/>
              <w:jc w:val="left"/>
              <w:rPr>
                <w:rFonts w:ascii="Constantia" w:hAnsi="Constantia"/>
                <w:szCs w:val="22"/>
                <w:lang w:val="sr-Latn-CS"/>
              </w:rPr>
            </w:pPr>
            <w:r w:rsidRPr="005C4608">
              <w:rPr>
                <w:rFonts w:ascii="Constantia" w:hAnsi="Constantia"/>
                <w:szCs w:val="22"/>
                <w:lang w:val="sr-Latn-CS"/>
              </w:rPr>
              <w:t>42º 44' 25'' N</w:t>
            </w:r>
          </w:p>
          <w:p w:rsidR="004B071C" w:rsidRPr="005C4608" w:rsidRDefault="004B071C" w:rsidP="004E680E">
            <w:pPr>
              <w:spacing w:after="0"/>
              <w:jc w:val="left"/>
              <w:rPr>
                <w:rFonts w:ascii="Constantia" w:hAnsi="Constantia"/>
                <w:szCs w:val="22"/>
                <w:lang w:val="sr-Latn-CS"/>
              </w:rPr>
            </w:pPr>
            <w:r w:rsidRPr="005C4608">
              <w:rPr>
                <w:rFonts w:ascii="Constantia" w:hAnsi="Constantia"/>
                <w:szCs w:val="22"/>
                <w:lang w:val="sr-Latn-CS"/>
              </w:rPr>
              <w:t>19º 47'18'' E</w:t>
            </w:r>
          </w:p>
          <w:p w:rsidR="004B071C" w:rsidRPr="005C4608" w:rsidRDefault="004B071C" w:rsidP="004E680E">
            <w:pPr>
              <w:spacing w:after="0"/>
              <w:jc w:val="left"/>
              <w:rPr>
                <w:rFonts w:ascii="Constantia" w:hAnsi="Constantia"/>
                <w:szCs w:val="22"/>
                <w:lang w:val="sr-Latn-CS"/>
              </w:rPr>
            </w:pPr>
            <w:r w:rsidRPr="005C4608">
              <w:rPr>
                <w:rFonts w:ascii="Constantia" w:hAnsi="Constantia"/>
                <w:szCs w:val="22"/>
                <w:lang w:val="sr-Latn-CS"/>
              </w:rPr>
              <w:t>42º 41' 29'' N</w:t>
            </w:r>
          </w:p>
          <w:p w:rsidR="004B071C" w:rsidRPr="005C4608" w:rsidRDefault="004B071C" w:rsidP="004E680E">
            <w:pPr>
              <w:spacing w:after="0"/>
              <w:jc w:val="left"/>
              <w:rPr>
                <w:rFonts w:ascii="Constantia" w:hAnsi="Constantia"/>
                <w:szCs w:val="22"/>
                <w:lang w:val="sr-Latn-CS"/>
              </w:rPr>
            </w:pPr>
            <w:r w:rsidRPr="005C4608">
              <w:rPr>
                <w:rFonts w:ascii="Constantia" w:hAnsi="Constantia"/>
                <w:szCs w:val="22"/>
                <w:lang w:val="sr-Latn-CS"/>
              </w:rPr>
              <w:t>19º 45'06'' E</w:t>
            </w:r>
          </w:p>
        </w:tc>
        <w:tc>
          <w:tcPr>
            <w:tcW w:w="1931" w:type="dxa"/>
            <w:shd w:val="clear" w:color="auto" w:fill="E6EED5"/>
          </w:tcPr>
          <w:p w:rsidR="004B071C" w:rsidRPr="005C4608" w:rsidRDefault="004B071C" w:rsidP="004E680E">
            <w:pPr>
              <w:spacing w:after="0"/>
              <w:jc w:val="center"/>
              <w:rPr>
                <w:rFonts w:ascii="Constantia" w:hAnsi="Constantia"/>
                <w:szCs w:val="22"/>
                <w:lang w:val="sr-Latn-CS"/>
              </w:rPr>
            </w:pPr>
            <w:r w:rsidRPr="005C4608">
              <w:rPr>
                <w:rFonts w:ascii="Constantia" w:hAnsi="Constantia"/>
                <w:szCs w:val="22"/>
                <w:lang w:val="sr-Latn-CS"/>
              </w:rPr>
              <w:t>Malobrojna</w:t>
            </w:r>
            <w:r w:rsidRPr="005C4608">
              <w:rPr>
                <w:rFonts w:ascii="Constantia" w:eastAsia="MyriadPro-Regular" w:hAnsi="Constantia"/>
                <w:szCs w:val="22"/>
              </w:rPr>
              <w:t xml:space="preserve"> U rijeku su dospjele poribljavanjem neautohtonim materijalom</w:t>
            </w:r>
            <w:r w:rsidRPr="005C4608">
              <w:rPr>
                <w:rFonts w:ascii="Constantia" w:hAnsi="Constantia"/>
                <w:szCs w:val="22"/>
                <w:lang w:val="sr-Latn-CS"/>
              </w:rPr>
              <w:t>,</w:t>
            </w:r>
          </w:p>
        </w:tc>
      </w:tr>
      <w:tr w:rsidR="004B071C" w:rsidRPr="005C4608" w:rsidTr="00620612">
        <w:trPr>
          <w:trHeight w:val="230"/>
          <w:jc w:val="center"/>
        </w:trPr>
        <w:tc>
          <w:tcPr>
            <w:tcW w:w="2169" w:type="dxa"/>
            <w:shd w:val="clear" w:color="auto" w:fill="CDDDAC"/>
          </w:tcPr>
          <w:p w:rsidR="004B071C" w:rsidRPr="005C4608" w:rsidRDefault="004B071C" w:rsidP="004E680E">
            <w:pPr>
              <w:spacing w:after="0" w:line="276" w:lineRule="auto"/>
              <w:jc w:val="center"/>
              <w:rPr>
                <w:rFonts w:ascii="Constantia" w:eastAsia="Calibri" w:hAnsi="Constantia"/>
                <w:b/>
                <w:bCs/>
                <w:szCs w:val="22"/>
              </w:rPr>
            </w:pPr>
            <w:r w:rsidRPr="005C4608">
              <w:rPr>
                <w:rFonts w:ascii="Constantia" w:eastAsia="Calibri" w:hAnsi="Constantia"/>
                <w:b/>
                <w:bCs/>
                <w:i/>
                <w:szCs w:val="22"/>
              </w:rPr>
              <w:t>Sabanajewia balcanica</w:t>
            </w:r>
          </w:p>
        </w:tc>
        <w:tc>
          <w:tcPr>
            <w:tcW w:w="1170" w:type="dxa"/>
            <w:shd w:val="clear" w:color="auto" w:fill="CDDDAC"/>
          </w:tcPr>
          <w:p w:rsidR="004B071C" w:rsidRPr="005C4608" w:rsidRDefault="004B071C" w:rsidP="004E680E">
            <w:pPr>
              <w:spacing w:after="0"/>
              <w:jc w:val="center"/>
              <w:rPr>
                <w:rFonts w:ascii="Constantia" w:hAnsi="Constantia"/>
                <w:szCs w:val="22"/>
                <w:lang w:val="sr-Latn-CS"/>
              </w:rPr>
            </w:pPr>
            <w:r w:rsidRPr="005C4608">
              <w:rPr>
                <w:rFonts w:ascii="Constantia" w:eastAsia="Calibri" w:hAnsi="Constantia"/>
                <w:szCs w:val="22"/>
              </w:rPr>
              <w:t>balkanski vijun</w:t>
            </w:r>
          </w:p>
        </w:tc>
        <w:tc>
          <w:tcPr>
            <w:tcW w:w="1170" w:type="dxa"/>
            <w:shd w:val="clear" w:color="auto" w:fill="CDDDAC"/>
          </w:tcPr>
          <w:p w:rsidR="004B071C" w:rsidRPr="005C4608" w:rsidRDefault="004B071C" w:rsidP="004E680E">
            <w:pPr>
              <w:spacing w:after="0"/>
              <w:jc w:val="center"/>
              <w:rPr>
                <w:rFonts w:ascii="Constantia" w:hAnsi="Constantia"/>
                <w:szCs w:val="22"/>
                <w:lang w:val="sr-Latn-CS"/>
              </w:rPr>
            </w:pPr>
            <w:r w:rsidRPr="005C4608">
              <w:rPr>
                <w:rFonts w:ascii="Constantia" w:hAnsi="Constantia"/>
                <w:szCs w:val="22"/>
              </w:rPr>
              <w:t>3,47 %</w:t>
            </w:r>
          </w:p>
        </w:tc>
        <w:tc>
          <w:tcPr>
            <w:tcW w:w="1350" w:type="dxa"/>
            <w:shd w:val="clear" w:color="auto" w:fill="CDDDAC"/>
          </w:tcPr>
          <w:p w:rsidR="004B071C" w:rsidRPr="005C4608" w:rsidRDefault="004B071C" w:rsidP="004E680E">
            <w:pPr>
              <w:spacing w:after="0"/>
              <w:jc w:val="center"/>
              <w:rPr>
                <w:rFonts w:ascii="Constantia" w:hAnsi="Constantia"/>
                <w:color w:val="000000"/>
                <w:szCs w:val="22"/>
              </w:rPr>
            </w:pPr>
            <w:r w:rsidRPr="005C4608">
              <w:rPr>
                <w:rFonts w:ascii="Constantia" w:hAnsi="Constantia"/>
                <w:color w:val="000000"/>
                <w:szCs w:val="22"/>
              </w:rPr>
              <w:t>Njegnjevo Vinicka</w:t>
            </w:r>
          </w:p>
        </w:tc>
        <w:tc>
          <w:tcPr>
            <w:tcW w:w="1579" w:type="dxa"/>
            <w:shd w:val="clear" w:color="auto" w:fill="CDDDAC"/>
          </w:tcPr>
          <w:p w:rsidR="004B071C" w:rsidRPr="005C4608" w:rsidRDefault="004B071C" w:rsidP="004E680E">
            <w:pPr>
              <w:autoSpaceDE w:val="0"/>
              <w:autoSpaceDN w:val="0"/>
              <w:adjustRightInd w:val="0"/>
              <w:spacing w:after="0"/>
              <w:jc w:val="left"/>
              <w:rPr>
                <w:rFonts w:ascii="Constantia" w:eastAsia="MyriadPro-Regular" w:hAnsi="Constantia"/>
                <w:szCs w:val="22"/>
              </w:rPr>
            </w:pPr>
            <w:r w:rsidRPr="005C4608">
              <w:rPr>
                <w:rFonts w:ascii="Constantia" w:eastAsia="MyriadPro-Regular" w:hAnsi="Constantia"/>
                <w:szCs w:val="22"/>
              </w:rPr>
              <w:t>42º 47' 54'' N</w:t>
            </w:r>
          </w:p>
          <w:p w:rsidR="004B071C" w:rsidRPr="005C4608" w:rsidRDefault="004B071C" w:rsidP="004E680E">
            <w:pPr>
              <w:autoSpaceDE w:val="0"/>
              <w:autoSpaceDN w:val="0"/>
              <w:adjustRightInd w:val="0"/>
              <w:spacing w:after="0"/>
              <w:jc w:val="left"/>
              <w:rPr>
                <w:rFonts w:ascii="Constantia" w:eastAsia="MyriadPro-Regular" w:hAnsi="Constantia"/>
                <w:szCs w:val="22"/>
              </w:rPr>
            </w:pPr>
            <w:r w:rsidRPr="005C4608">
              <w:rPr>
                <w:rFonts w:ascii="Constantia" w:eastAsia="MyriadPro-Regular" w:hAnsi="Constantia"/>
                <w:szCs w:val="22"/>
              </w:rPr>
              <w:t>19º 50' 12'' E</w:t>
            </w:r>
          </w:p>
        </w:tc>
        <w:tc>
          <w:tcPr>
            <w:tcW w:w="1931" w:type="dxa"/>
            <w:shd w:val="clear" w:color="auto" w:fill="CDDDAC"/>
          </w:tcPr>
          <w:p w:rsidR="004B071C" w:rsidRPr="005C4608" w:rsidRDefault="004B071C" w:rsidP="00941ACB">
            <w:pPr>
              <w:autoSpaceDE w:val="0"/>
              <w:autoSpaceDN w:val="0"/>
              <w:adjustRightInd w:val="0"/>
              <w:spacing w:after="0"/>
              <w:jc w:val="center"/>
              <w:rPr>
                <w:rFonts w:ascii="Constantia" w:eastAsia="MyriadPro-Regular" w:hAnsi="Constantia"/>
                <w:szCs w:val="22"/>
              </w:rPr>
            </w:pPr>
            <w:r w:rsidRPr="005C4608">
              <w:rPr>
                <w:rFonts w:ascii="Constantia" w:eastAsia="MyriadPro-Regular" w:hAnsi="Constantia"/>
                <w:szCs w:val="22"/>
              </w:rPr>
              <w:t>Populacija je malobrojna a trend stabilan.</w:t>
            </w:r>
          </w:p>
        </w:tc>
      </w:tr>
      <w:tr w:rsidR="004B071C" w:rsidRPr="005C4608" w:rsidTr="00620612">
        <w:trPr>
          <w:trHeight w:val="230"/>
          <w:jc w:val="center"/>
        </w:trPr>
        <w:tc>
          <w:tcPr>
            <w:tcW w:w="2169" w:type="dxa"/>
            <w:shd w:val="clear" w:color="auto" w:fill="E6EED5"/>
          </w:tcPr>
          <w:p w:rsidR="004B071C" w:rsidRPr="005C4608" w:rsidRDefault="004B071C" w:rsidP="004E680E">
            <w:pPr>
              <w:spacing w:after="0" w:line="276" w:lineRule="auto"/>
              <w:jc w:val="center"/>
              <w:rPr>
                <w:rFonts w:ascii="Constantia" w:eastAsia="Calibri" w:hAnsi="Constantia"/>
                <w:b/>
                <w:bCs/>
                <w:i/>
                <w:szCs w:val="22"/>
              </w:rPr>
            </w:pPr>
            <w:r w:rsidRPr="005C4608">
              <w:rPr>
                <w:rFonts w:ascii="Constantia" w:eastAsia="Calibri" w:hAnsi="Constantia"/>
                <w:b/>
                <w:bCs/>
                <w:i/>
                <w:szCs w:val="22"/>
              </w:rPr>
              <w:t>Husho husho</w:t>
            </w:r>
          </w:p>
        </w:tc>
        <w:tc>
          <w:tcPr>
            <w:tcW w:w="1170" w:type="dxa"/>
            <w:shd w:val="clear" w:color="auto" w:fill="E6EED5"/>
          </w:tcPr>
          <w:p w:rsidR="004B071C" w:rsidRPr="005C4608" w:rsidRDefault="004B071C" w:rsidP="004E680E">
            <w:pPr>
              <w:spacing w:after="0" w:line="360" w:lineRule="auto"/>
              <w:jc w:val="center"/>
              <w:rPr>
                <w:rFonts w:ascii="Constantia" w:eastAsia="Calibri" w:hAnsi="Constantia"/>
                <w:szCs w:val="22"/>
              </w:rPr>
            </w:pPr>
            <w:r w:rsidRPr="005C4608">
              <w:rPr>
                <w:rFonts w:ascii="Constantia" w:eastAsia="Calibri" w:hAnsi="Constantia"/>
                <w:szCs w:val="22"/>
              </w:rPr>
              <w:t>mladica</w:t>
            </w:r>
          </w:p>
          <w:p w:rsidR="004B071C" w:rsidRPr="005C4608" w:rsidRDefault="004B071C" w:rsidP="004E680E">
            <w:pPr>
              <w:spacing w:after="0"/>
              <w:jc w:val="center"/>
              <w:rPr>
                <w:rFonts w:ascii="Constantia" w:hAnsi="Constantia"/>
                <w:szCs w:val="22"/>
                <w:lang w:val="sr-Latn-CS"/>
              </w:rPr>
            </w:pPr>
          </w:p>
        </w:tc>
        <w:tc>
          <w:tcPr>
            <w:tcW w:w="1170" w:type="dxa"/>
            <w:shd w:val="clear" w:color="auto" w:fill="E6EED5"/>
          </w:tcPr>
          <w:p w:rsidR="004B071C" w:rsidRPr="005C4608" w:rsidRDefault="00875CE0" w:rsidP="004E680E">
            <w:pPr>
              <w:spacing w:after="0"/>
              <w:jc w:val="center"/>
              <w:rPr>
                <w:rFonts w:ascii="Constantia" w:hAnsi="Constantia"/>
                <w:szCs w:val="22"/>
                <w:lang w:val="sr-Latn-CS"/>
              </w:rPr>
            </w:pPr>
            <w:r>
              <w:rPr>
                <w:rFonts w:ascii="Constantia" w:hAnsi="Constantia"/>
                <w:szCs w:val="22"/>
              </w:rPr>
              <w:t>3,</w:t>
            </w:r>
            <w:r w:rsidR="004B071C" w:rsidRPr="005C4608">
              <w:rPr>
                <w:rFonts w:ascii="Constantia" w:hAnsi="Constantia"/>
                <w:szCs w:val="22"/>
              </w:rPr>
              <w:t>81  %</w:t>
            </w:r>
          </w:p>
        </w:tc>
        <w:tc>
          <w:tcPr>
            <w:tcW w:w="1350" w:type="dxa"/>
            <w:shd w:val="clear" w:color="auto" w:fill="E6EED5"/>
          </w:tcPr>
          <w:p w:rsidR="004B071C" w:rsidRPr="005C4608" w:rsidRDefault="004B071C" w:rsidP="004E680E">
            <w:pPr>
              <w:spacing w:after="0"/>
              <w:jc w:val="center"/>
              <w:rPr>
                <w:rFonts w:ascii="Constantia" w:hAnsi="Constantia"/>
                <w:color w:val="000000"/>
                <w:szCs w:val="22"/>
              </w:rPr>
            </w:pPr>
            <w:r w:rsidRPr="005C4608">
              <w:rPr>
                <w:rFonts w:ascii="Constantia" w:hAnsi="Constantia"/>
                <w:color w:val="000000"/>
                <w:szCs w:val="22"/>
              </w:rPr>
              <w:t>Ljesnica, Bistrica</w:t>
            </w:r>
          </w:p>
        </w:tc>
        <w:tc>
          <w:tcPr>
            <w:tcW w:w="1579" w:type="dxa"/>
            <w:shd w:val="clear" w:color="auto" w:fill="E6EED5"/>
          </w:tcPr>
          <w:p w:rsidR="004B071C" w:rsidRPr="005C4608" w:rsidRDefault="004B071C" w:rsidP="004E680E">
            <w:pPr>
              <w:autoSpaceDE w:val="0"/>
              <w:autoSpaceDN w:val="0"/>
              <w:adjustRightInd w:val="0"/>
              <w:spacing w:after="0"/>
              <w:jc w:val="left"/>
              <w:rPr>
                <w:rFonts w:ascii="Constantia" w:eastAsia="MyriadPro-Regular" w:hAnsi="Constantia"/>
                <w:szCs w:val="22"/>
              </w:rPr>
            </w:pPr>
            <w:r w:rsidRPr="005C4608">
              <w:rPr>
                <w:rFonts w:ascii="Constantia" w:eastAsia="MyriadPro-Regular" w:hAnsi="Constantia"/>
                <w:szCs w:val="22"/>
              </w:rPr>
              <w:t>42º 55' 60,8'' N</w:t>
            </w:r>
          </w:p>
          <w:p w:rsidR="004B071C" w:rsidRPr="005C4608" w:rsidRDefault="004B071C" w:rsidP="004E680E">
            <w:pPr>
              <w:autoSpaceDE w:val="0"/>
              <w:autoSpaceDN w:val="0"/>
              <w:adjustRightInd w:val="0"/>
              <w:spacing w:after="0"/>
              <w:jc w:val="left"/>
              <w:rPr>
                <w:rFonts w:ascii="Constantia" w:eastAsia="MyriadPro-Regular" w:hAnsi="Constantia"/>
                <w:szCs w:val="22"/>
              </w:rPr>
            </w:pPr>
            <w:r w:rsidRPr="005C4608">
              <w:rPr>
                <w:rFonts w:ascii="Constantia" w:eastAsia="MyriadPro-Regular" w:hAnsi="Constantia"/>
                <w:szCs w:val="22"/>
              </w:rPr>
              <w:t>19º 52' 31,3'' E</w:t>
            </w:r>
          </w:p>
        </w:tc>
        <w:tc>
          <w:tcPr>
            <w:tcW w:w="1931" w:type="dxa"/>
            <w:shd w:val="clear" w:color="auto" w:fill="E6EED5"/>
          </w:tcPr>
          <w:p w:rsidR="004B071C" w:rsidRPr="005C4608" w:rsidRDefault="004B071C" w:rsidP="004E680E">
            <w:pPr>
              <w:autoSpaceDE w:val="0"/>
              <w:autoSpaceDN w:val="0"/>
              <w:adjustRightInd w:val="0"/>
              <w:spacing w:after="0"/>
              <w:jc w:val="center"/>
              <w:rPr>
                <w:rFonts w:ascii="Constantia" w:hAnsi="Constantia"/>
                <w:szCs w:val="22"/>
                <w:lang w:val="sr-Latn-CS"/>
              </w:rPr>
            </w:pPr>
            <w:r w:rsidRPr="005C4608">
              <w:rPr>
                <w:rFonts w:ascii="Constantia" w:eastAsia="MyriadPro-Regular" w:hAnsi="Constantia"/>
                <w:szCs w:val="22"/>
              </w:rPr>
              <w:t>Najbrojnija je u Lješnici mirjesti se u Bistrici . Populaijca</w:t>
            </w:r>
            <w:r w:rsidR="00941ACB" w:rsidRPr="005C4608">
              <w:rPr>
                <w:rFonts w:ascii="Constantia" w:eastAsia="MyriadPro-Regular" w:hAnsi="Constantia"/>
                <w:szCs w:val="22"/>
              </w:rPr>
              <w:t xml:space="preserve"> nije borjna ali je trend </w:t>
            </w:r>
            <w:r w:rsidRPr="005C4608">
              <w:rPr>
                <w:rFonts w:ascii="Constantia" w:eastAsia="MyriadPro-Regular" w:hAnsi="Constantia"/>
                <w:szCs w:val="22"/>
              </w:rPr>
              <w:t>uzlazan.</w:t>
            </w:r>
          </w:p>
        </w:tc>
      </w:tr>
    </w:tbl>
    <w:p w:rsidR="004B071C" w:rsidRPr="00941ACB" w:rsidRDefault="00941ACB" w:rsidP="004B071C">
      <w:pPr>
        <w:pStyle w:val="Tabele"/>
        <w:spacing w:before="60" w:after="240"/>
        <w:ind w:left="714" w:hanging="357"/>
        <w:rPr>
          <w:rFonts w:ascii="Constantia" w:hAnsi="Constantia"/>
          <w:sz w:val="22"/>
          <w:szCs w:val="22"/>
        </w:rPr>
      </w:pPr>
      <w:r>
        <w:t xml:space="preserve"> </w:t>
      </w:r>
      <w:r w:rsidR="00620612">
        <w:t xml:space="preserve"> </w:t>
      </w:r>
      <w:r w:rsidR="004B071C" w:rsidRPr="00941ACB">
        <w:rPr>
          <w:rFonts w:ascii="Constantia" w:hAnsi="Constantia"/>
          <w:sz w:val="22"/>
          <w:szCs w:val="22"/>
        </w:rPr>
        <w:t>Ihtiofauna</w:t>
      </w:r>
    </w:p>
    <w:p w:rsidR="00AC3F7D" w:rsidRDefault="004B071C" w:rsidP="00AC3F7D">
      <w:pPr>
        <w:spacing w:before="240" w:after="0"/>
        <w:rPr>
          <w:rFonts w:ascii="Constantia" w:hAnsi="Constantia"/>
        </w:rPr>
      </w:pPr>
      <w:r w:rsidRPr="000361BD">
        <w:rPr>
          <w:rFonts w:ascii="Constantia" w:hAnsi="Constantia"/>
          <w:b/>
          <w:szCs w:val="22"/>
          <w:lang w:val="sr-Latn-CS"/>
        </w:rPr>
        <w:t>Komentar rezultata</w:t>
      </w:r>
      <w:r w:rsidRPr="000361BD">
        <w:rPr>
          <w:rFonts w:ascii="Constantia" w:hAnsi="Constantia"/>
          <w:b/>
          <w:szCs w:val="22"/>
        </w:rPr>
        <w:t>:</w:t>
      </w:r>
      <w:r w:rsidR="00324CBC">
        <w:rPr>
          <w:rFonts w:ascii="Constantia" w:hAnsi="Constantia"/>
        </w:rPr>
        <w:t xml:space="preserve"> </w:t>
      </w:r>
      <w:r w:rsidR="00AC3F7D">
        <w:rPr>
          <w:rFonts w:ascii="Constantia" w:hAnsi="Constantia"/>
        </w:rPr>
        <w:t xml:space="preserve"> </w:t>
      </w:r>
    </w:p>
    <w:p w:rsidR="004B071C" w:rsidRPr="000361BD" w:rsidRDefault="00941ACB" w:rsidP="00F56F2B">
      <w:pPr>
        <w:spacing w:before="240"/>
        <w:rPr>
          <w:rFonts w:ascii="Constantia" w:hAnsi="Constantia"/>
          <w:szCs w:val="22"/>
        </w:rPr>
      </w:pPr>
      <w:r w:rsidRPr="000361BD">
        <w:rPr>
          <w:rFonts w:ascii="Constantia" w:hAnsi="Constantia"/>
          <w:szCs w:val="22"/>
        </w:rPr>
        <w:t xml:space="preserve">Zanimljivo je istaći da </w:t>
      </w:r>
      <w:r w:rsidRPr="000361BD">
        <w:rPr>
          <w:rFonts w:ascii="Constantia" w:hAnsi="Constantia"/>
          <w:i/>
          <w:szCs w:val="22"/>
        </w:rPr>
        <w:t>S</w:t>
      </w:r>
      <w:r w:rsidR="004B071C" w:rsidRPr="000361BD">
        <w:rPr>
          <w:rFonts w:ascii="Constantia" w:hAnsi="Constantia"/>
          <w:i/>
          <w:szCs w:val="22"/>
        </w:rPr>
        <w:t xml:space="preserve">almonide </w:t>
      </w:r>
      <w:r w:rsidR="004B071C" w:rsidRPr="000361BD">
        <w:rPr>
          <w:rFonts w:ascii="Constantia" w:hAnsi="Constantia"/>
          <w:szCs w:val="22"/>
        </w:rPr>
        <w:t xml:space="preserve">dominiraju u ihtiomasi na gotovo svim lokalitetima gdje su registrovane, kao i u ukupnoj ihtiomasi, bez obzira na to što su zastupljene sa svega dva predstavnika. To se prvenstveno odnosi na vrstu </w:t>
      </w:r>
      <w:r w:rsidR="004B071C" w:rsidRPr="000361BD">
        <w:rPr>
          <w:rFonts w:ascii="Constantia" w:hAnsi="Constantia"/>
          <w:i/>
          <w:szCs w:val="22"/>
        </w:rPr>
        <w:t>Salmo labrax</w:t>
      </w:r>
      <w:r w:rsidR="004B071C" w:rsidRPr="000361BD">
        <w:rPr>
          <w:rFonts w:ascii="Constantia" w:hAnsi="Constantia"/>
          <w:szCs w:val="22"/>
        </w:rPr>
        <w:t xml:space="preserve">, koja u Grlji i Kutskoj Rijeci čini 94,06%, odnosno 95,65% ihtiomase. Na ušću Bistrice i ušću Lješnice, gdje je takođe lovljena ova vrsta, ona čini 41,70%, odnosno 53,17% ihtiomase. Učešće druge salmonidne vrste </w:t>
      </w:r>
      <w:r w:rsidR="004B071C" w:rsidRPr="000361BD">
        <w:rPr>
          <w:rFonts w:ascii="Constantia" w:hAnsi="Constantia"/>
          <w:i/>
          <w:szCs w:val="22"/>
        </w:rPr>
        <w:t>Hucho hucho</w:t>
      </w:r>
      <w:r w:rsidR="004B071C" w:rsidRPr="000361BD">
        <w:rPr>
          <w:rFonts w:ascii="Constantia" w:hAnsi="Constantia"/>
          <w:szCs w:val="22"/>
        </w:rPr>
        <w:t xml:space="preserve"> je daleko manje, svega 0,10% u ukupnoj ihtiomasi. Vrstu </w:t>
      </w:r>
      <w:r w:rsidR="004B071C" w:rsidRPr="000361BD">
        <w:rPr>
          <w:rFonts w:ascii="Constantia" w:hAnsi="Constantia"/>
          <w:i/>
          <w:szCs w:val="22"/>
        </w:rPr>
        <w:t>Salmo labrax</w:t>
      </w:r>
      <w:r w:rsidR="004B071C" w:rsidRPr="000361BD">
        <w:rPr>
          <w:rFonts w:ascii="Constantia" w:hAnsi="Constantia"/>
          <w:szCs w:val="22"/>
        </w:rPr>
        <w:t xml:space="preserve"> navodi DRECUN (1958) kao posebnu salmonidnu formu za Plavsko jezero. Vrsta je u narodu poznata pod imenom “blatnjača” i u mnogome odstupa od formi koje naseljavaju vode ovog sliva, po svojim morfološkim, a donekle i fiziološkim osobinama. DRECUN (1958 ) navodi da ona naseljava uglavnom vode Plavskog jezera i ne pokazuje nikakvu težnju da se raširi u ostal</w:t>
      </w:r>
      <w:r w:rsidRPr="000361BD">
        <w:rPr>
          <w:rFonts w:ascii="Constantia" w:hAnsi="Constantia"/>
          <w:szCs w:val="22"/>
        </w:rPr>
        <w:t>e</w:t>
      </w:r>
      <w:r w:rsidR="004B071C" w:rsidRPr="000361BD">
        <w:rPr>
          <w:rFonts w:ascii="Constantia" w:hAnsi="Constantia"/>
          <w:szCs w:val="22"/>
        </w:rPr>
        <w:t xml:space="preserve"> vod</w:t>
      </w:r>
      <w:r w:rsidRPr="000361BD">
        <w:rPr>
          <w:rFonts w:ascii="Constantia" w:hAnsi="Constantia"/>
          <w:szCs w:val="22"/>
        </w:rPr>
        <w:t>e</w:t>
      </w:r>
      <w:r w:rsidR="004B071C" w:rsidRPr="000361BD">
        <w:rPr>
          <w:rFonts w:ascii="Constantia" w:hAnsi="Constantia"/>
          <w:szCs w:val="22"/>
        </w:rPr>
        <w:t xml:space="preserve"> koje </w:t>
      </w:r>
      <w:r w:rsidRPr="000361BD">
        <w:rPr>
          <w:rFonts w:ascii="Constantia" w:hAnsi="Constantia"/>
          <w:szCs w:val="22"/>
        </w:rPr>
        <w:t>u</w:t>
      </w:r>
      <w:r w:rsidR="004B071C" w:rsidRPr="000361BD">
        <w:rPr>
          <w:rFonts w:ascii="Constantia" w:hAnsi="Constantia"/>
          <w:szCs w:val="22"/>
        </w:rPr>
        <w:t xml:space="preserve">tiču u jezero ili ističu iz njega. </w:t>
      </w:r>
      <w:r w:rsidR="007037FC" w:rsidRPr="000361BD">
        <w:rPr>
          <w:rFonts w:ascii="Constantia" w:hAnsi="Constantia"/>
          <w:szCs w:val="22"/>
        </w:rPr>
        <w:t>Ipak</w:t>
      </w:r>
      <w:r w:rsidR="004B071C" w:rsidRPr="000361BD">
        <w:rPr>
          <w:rFonts w:ascii="Constantia" w:hAnsi="Constantia"/>
          <w:szCs w:val="22"/>
        </w:rPr>
        <w:t>, uvažavajući stav KOTELATT (1997) mi smo je registrovali i na drugim lokalitetima, pre</w:t>
      </w:r>
      <w:r w:rsidR="007037FC" w:rsidRPr="000361BD">
        <w:rPr>
          <w:rFonts w:ascii="Constantia" w:hAnsi="Constantia"/>
          <w:szCs w:val="22"/>
        </w:rPr>
        <w:t>težno u pritokama Lima i nađeni</w:t>
      </w:r>
      <w:r w:rsidR="004B071C" w:rsidRPr="000361BD">
        <w:rPr>
          <w:rFonts w:ascii="Constantia" w:hAnsi="Constantia"/>
          <w:szCs w:val="22"/>
        </w:rPr>
        <w:t xml:space="preserve"> primjer</w:t>
      </w:r>
      <w:r w:rsidR="007037FC" w:rsidRPr="000361BD">
        <w:rPr>
          <w:rFonts w:ascii="Constantia" w:hAnsi="Constantia"/>
          <w:szCs w:val="22"/>
        </w:rPr>
        <w:t>ci se mogu okarakterisati kao ri</w:t>
      </w:r>
      <w:r w:rsidR="004B071C" w:rsidRPr="000361BD">
        <w:rPr>
          <w:rFonts w:ascii="Constantia" w:hAnsi="Constantia"/>
          <w:szCs w:val="22"/>
        </w:rPr>
        <w:t>ječna forma (</w:t>
      </w:r>
      <w:r w:rsidR="004B071C" w:rsidRPr="000361BD">
        <w:rPr>
          <w:rFonts w:ascii="Constantia" w:hAnsi="Constantia"/>
          <w:i/>
          <w:szCs w:val="22"/>
        </w:rPr>
        <w:t>S. labrax m. fario</w:t>
      </w:r>
      <w:r w:rsidR="004B071C" w:rsidRPr="000361BD">
        <w:rPr>
          <w:rFonts w:ascii="Constantia" w:hAnsi="Constantia"/>
          <w:szCs w:val="22"/>
        </w:rPr>
        <w:t xml:space="preserve">). Zanimljiv je podatak da u toku istraživanja nismo </w:t>
      </w:r>
      <w:r w:rsidR="007037FC" w:rsidRPr="000361BD">
        <w:rPr>
          <w:rFonts w:ascii="Constantia" w:hAnsi="Constantia"/>
          <w:szCs w:val="22"/>
        </w:rPr>
        <w:t>ulovili ni</w:t>
      </w:r>
      <w:r w:rsidR="004B071C" w:rsidRPr="000361BD">
        <w:rPr>
          <w:rFonts w:ascii="Constantia" w:hAnsi="Constantia"/>
          <w:szCs w:val="22"/>
        </w:rPr>
        <w:t xml:space="preserve">jedan primjerak lipljena – </w:t>
      </w:r>
      <w:r w:rsidR="004B071C" w:rsidRPr="000361BD">
        <w:rPr>
          <w:rFonts w:ascii="Constantia" w:hAnsi="Constantia"/>
          <w:i/>
          <w:szCs w:val="22"/>
        </w:rPr>
        <w:t>Thymallus thymallus</w:t>
      </w:r>
      <w:r w:rsidR="004B071C" w:rsidRPr="000361BD">
        <w:rPr>
          <w:rFonts w:ascii="Constantia" w:hAnsi="Constantia"/>
          <w:szCs w:val="22"/>
        </w:rPr>
        <w:t>, iako se u literaturi pominje prisustvo ove vrste u Plavskom jezeru. KNEŽEVIĆ, M. (1968) navodi da ovo jezero pripada salmonidnom i timalidnom tipu. Prisustvo lipljena u Limu navodi TALER (1954) i daje podatak da su Lim i Ibar najužnija područja rasprostranjenja ove vrste. Janković (1960) navodi da je ova vrsta prisutna u</w:t>
      </w:r>
      <w:r w:rsidR="004B071C" w:rsidRPr="00247E7E">
        <w:rPr>
          <w:szCs w:val="22"/>
        </w:rPr>
        <w:t xml:space="preserve"> </w:t>
      </w:r>
      <w:r w:rsidR="004B071C" w:rsidRPr="000361BD">
        <w:rPr>
          <w:rFonts w:ascii="Constantia" w:hAnsi="Constantia"/>
          <w:szCs w:val="22"/>
        </w:rPr>
        <w:t>cijelom toku Lima, zatim u Plavskom jezeru</w:t>
      </w:r>
      <w:r w:rsidR="007037FC" w:rsidRPr="000361BD">
        <w:rPr>
          <w:rFonts w:ascii="Constantia" w:hAnsi="Constantia"/>
          <w:szCs w:val="22"/>
        </w:rPr>
        <w:t xml:space="preserve">, a i </w:t>
      </w:r>
      <w:r w:rsidR="004B071C" w:rsidRPr="000361BD">
        <w:rPr>
          <w:rFonts w:ascii="Constantia" w:hAnsi="Constantia"/>
          <w:szCs w:val="22"/>
        </w:rPr>
        <w:t>pri ušću rije</w:t>
      </w:r>
      <w:r w:rsidR="007037FC" w:rsidRPr="000361BD">
        <w:rPr>
          <w:rFonts w:ascii="Constantia" w:hAnsi="Constantia"/>
          <w:szCs w:val="22"/>
        </w:rPr>
        <w:t>ke Ljuče i naročito broj</w:t>
      </w:r>
      <w:r w:rsidR="004B071C" w:rsidRPr="000361BD">
        <w:rPr>
          <w:rFonts w:ascii="Constantia" w:hAnsi="Constantia"/>
          <w:szCs w:val="22"/>
        </w:rPr>
        <w:t>n</w:t>
      </w:r>
      <w:r w:rsidR="007037FC" w:rsidRPr="000361BD">
        <w:rPr>
          <w:rFonts w:ascii="Constantia" w:hAnsi="Constantia"/>
          <w:szCs w:val="22"/>
        </w:rPr>
        <w:t>a</w:t>
      </w:r>
      <w:r w:rsidR="004B071C" w:rsidRPr="000361BD">
        <w:rPr>
          <w:rFonts w:ascii="Constantia" w:hAnsi="Constantia"/>
          <w:szCs w:val="22"/>
        </w:rPr>
        <w:t xml:space="preserve"> u Ljuči koja predstavlja najjužniju i po nadmorskoj visini najvišu tačku u Evropi.  DRECUN (1962) daje popis slatkovodnih riba Crne Gore, među kojima pominje i lipljena za rijeku Lim.</w:t>
      </w:r>
    </w:p>
    <w:p w:rsidR="004B071C" w:rsidRPr="00CA464D" w:rsidRDefault="004B071C" w:rsidP="00F56F2B">
      <w:pPr>
        <w:spacing w:before="60"/>
        <w:rPr>
          <w:rFonts w:ascii="Constantia" w:hAnsi="Constantia"/>
          <w:szCs w:val="22"/>
        </w:rPr>
      </w:pPr>
      <w:r w:rsidRPr="00CA464D">
        <w:rPr>
          <w:rFonts w:ascii="Constantia" w:hAnsi="Constantia"/>
          <w:szCs w:val="22"/>
        </w:rPr>
        <w:lastRenderedPageBreak/>
        <w:t xml:space="preserve">U Evropi vrsta </w:t>
      </w:r>
      <w:r w:rsidRPr="00CA464D">
        <w:rPr>
          <w:rFonts w:ascii="Constantia" w:hAnsi="Constantia"/>
          <w:i/>
          <w:szCs w:val="22"/>
        </w:rPr>
        <w:t>Austropotamobius torrentium</w:t>
      </w:r>
      <w:r w:rsidRPr="00CA464D">
        <w:rPr>
          <w:rFonts w:ascii="Constantia" w:hAnsi="Constantia"/>
          <w:szCs w:val="22"/>
        </w:rPr>
        <w:t xml:space="preserve"> </w:t>
      </w:r>
      <w:r w:rsidR="00CA464D" w:rsidRPr="00CA464D">
        <w:rPr>
          <w:rFonts w:ascii="Constantia" w:hAnsi="Constantia"/>
          <w:szCs w:val="22"/>
        </w:rPr>
        <w:t xml:space="preserve">je </w:t>
      </w:r>
      <w:r w:rsidRPr="00CA464D">
        <w:rPr>
          <w:rFonts w:ascii="Constantia" w:hAnsi="Constantia"/>
          <w:szCs w:val="22"/>
        </w:rPr>
        <w:t>zabilježena na nadmorsk</w:t>
      </w:r>
      <w:r w:rsidR="00CA464D" w:rsidRPr="00CA464D">
        <w:rPr>
          <w:rFonts w:ascii="Constantia" w:hAnsi="Constantia"/>
          <w:szCs w:val="22"/>
        </w:rPr>
        <w:t>im</w:t>
      </w:r>
      <w:r w:rsidRPr="00CA464D">
        <w:rPr>
          <w:rFonts w:ascii="Constantia" w:hAnsi="Constantia"/>
          <w:szCs w:val="22"/>
        </w:rPr>
        <w:t xml:space="preserve"> visina</w:t>
      </w:r>
      <w:r w:rsidR="00CA464D" w:rsidRPr="00CA464D">
        <w:rPr>
          <w:rFonts w:ascii="Constantia" w:hAnsi="Constantia"/>
          <w:szCs w:val="22"/>
        </w:rPr>
        <w:t>ma</w:t>
      </w:r>
      <w:r w:rsidRPr="00CA464D">
        <w:rPr>
          <w:rFonts w:ascii="Constantia" w:hAnsi="Constantia"/>
          <w:szCs w:val="22"/>
        </w:rPr>
        <w:t xml:space="preserve"> 310-820 m (Bohl,1987a; Renz i Breithaupt,</w:t>
      </w:r>
      <w:r w:rsidR="00CA464D" w:rsidRPr="00CA464D">
        <w:rPr>
          <w:rFonts w:ascii="Constantia" w:hAnsi="Constantia"/>
          <w:szCs w:val="22"/>
        </w:rPr>
        <w:t xml:space="preserve"> </w:t>
      </w:r>
      <w:r w:rsidRPr="00CA464D">
        <w:rPr>
          <w:rFonts w:ascii="Constantia" w:hAnsi="Constantia"/>
          <w:szCs w:val="22"/>
        </w:rPr>
        <w:t>2000)</w:t>
      </w:r>
      <w:r w:rsidR="00CA464D" w:rsidRPr="00CA464D">
        <w:rPr>
          <w:rFonts w:ascii="Constantia" w:hAnsi="Constantia"/>
          <w:szCs w:val="22"/>
        </w:rPr>
        <w:t>,</w:t>
      </w:r>
      <w:r w:rsidRPr="00CA464D">
        <w:rPr>
          <w:rFonts w:ascii="Constantia" w:hAnsi="Constantia"/>
          <w:szCs w:val="22"/>
        </w:rPr>
        <w:t xml:space="preserve"> dok se u Crn</w:t>
      </w:r>
      <w:r w:rsidR="00CA464D" w:rsidRPr="00CA464D">
        <w:rPr>
          <w:rFonts w:ascii="Constantia" w:hAnsi="Constantia"/>
          <w:szCs w:val="22"/>
        </w:rPr>
        <w:t>oj Gori nalaze na visini od 600-</w:t>
      </w:r>
      <w:r w:rsidRPr="00CA464D">
        <w:rPr>
          <w:rFonts w:ascii="Constantia" w:hAnsi="Constantia"/>
          <w:szCs w:val="22"/>
        </w:rPr>
        <w:t>950 m, mada je ova vrsta nađena i u niziji na nadmorskoj visini od 40m, kao i u visokim planinskim predjelima od 1422 mnv. Bohl (1987 b) smatra da su rakovi istisnuti sa svojih prirodnih staništa u nizijama na više nadmorske visine zbog antropogenog faktora na njihova staništa što u Crnoj Gori nije potvrđeno</w:t>
      </w:r>
      <w:r w:rsidR="00CA464D" w:rsidRPr="00CA464D">
        <w:rPr>
          <w:rFonts w:ascii="Constantia" w:hAnsi="Constantia"/>
          <w:szCs w:val="22"/>
        </w:rPr>
        <w:t>,</w:t>
      </w:r>
      <w:r w:rsidRPr="00CA464D">
        <w:rPr>
          <w:rFonts w:ascii="Constantia" w:hAnsi="Constantia"/>
          <w:szCs w:val="22"/>
        </w:rPr>
        <w:t xml:space="preserve"> jer većina ovih ekosistema prolazi kroz naseljeni dio. Populacija riječnih rakova vrsta </w:t>
      </w:r>
      <w:r w:rsidRPr="00CA464D">
        <w:rPr>
          <w:rFonts w:ascii="Constantia" w:hAnsi="Constantia"/>
          <w:i/>
          <w:szCs w:val="22"/>
        </w:rPr>
        <w:t>Austropotamobius torrentijum</w:t>
      </w:r>
      <w:r w:rsidRPr="00CA464D">
        <w:rPr>
          <w:rFonts w:ascii="Constantia" w:hAnsi="Constantia"/>
          <w:szCs w:val="22"/>
        </w:rPr>
        <w:t xml:space="preserve"> na istraživanim lokalitetima u rijeci Lim ima relativno stabilnu uzrasnu strukturu</w:t>
      </w:r>
      <w:r w:rsidR="00CA464D" w:rsidRPr="00CA464D">
        <w:rPr>
          <w:rFonts w:ascii="Constantia" w:hAnsi="Constantia"/>
          <w:szCs w:val="22"/>
        </w:rPr>
        <w:t>,</w:t>
      </w:r>
      <w:r w:rsidRPr="00CA464D">
        <w:rPr>
          <w:rFonts w:ascii="Constantia" w:hAnsi="Constantia"/>
          <w:szCs w:val="22"/>
        </w:rPr>
        <w:t xml:space="preserve"> ali je mali broj jedinki u višim</w:t>
      </w:r>
      <w:r w:rsidR="00CA464D" w:rsidRPr="00CA464D">
        <w:rPr>
          <w:rFonts w:ascii="Constantia" w:hAnsi="Constantia"/>
          <w:szCs w:val="22"/>
        </w:rPr>
        <w:t xml:space="preserve"> uzrasnim grupama. Najveća zastupljenost riječ</w:t>
      </w:r>
      <w:r w:rsidRPr="00CA464D">
        <w:rPr>
          <w:rFonts w:ascii="Constantia" w:hAnsi="Constantia"/>
          <w:szCs w:val="22"/>
        </w:rPr>
        <w:t>nih rakova  u rijeci Lim je u du</w:t>
      </w:r>
      <w:r w:rsidR="00CA464D" w:rsidRPr="00CA464D">
        <w:rPr>
          <w:rFonts w:ascii="Constantia" w:hAnsi="Constantia"/>
          <w:szCs w:val="22"/>
        </w:rPr>
        <w:t>ž</w:t>
      </w:r>
      <w:r w:rsidRPr="00CA464D">
        <w:rPr>
          <w:rFonts w:ascii="Constantia" w:hAnsi="Constantia"/>
          <w:szCs w:val="22"/>
        </w:rPr>
        <w:t>inskoj grupi od 41-80 mm. Procena rizika izumiranja i prioriteti zaštite i konzervacije populacije rakova rađena je pomoću modela ES-HIPPO</w:t>
      </w:r>
      <w:r w:rsidR="00CA464D" w:rsidRPr="00CA464D">
        <w:rPr>
          <w:rFonts w:ascii="Constantia" w:hAnsi="Constantia"/>
          <w:szCs w:val="22"/>
        </w:rPr>
        <w:t xml:space="preserve"> </w:t>
      </w:r>
      <w:r w:rsidRPr="00CA464D">
        <w:rPr>
          <w:rFonts w:ascii="Constantia" w:hAnsi="Constantia"/>
          <w:szCs w:val="22"/>
        </w:rPr>
        <w:t>(Simic et al 2007) kom</w:t>
      </w:r>
      <w:r w:rsidR="00CA464D" w:rsidRPr="00CA464D">
        <w:rPr>
          <w:rFonts w:ascii="Constantia" w:hAnsi="Constantia"/>
          <w:szCs w:val="22"/>
        </w:rPr>
        <w:t>e je do</w:t>
      </w:r>
      <w:r w:rsidRPr="00CA464D">
        <w:rPr>
          <w:rFonts w:ascii="Constantia" w:hAnsi="Constantia"/>
          <w:szCs w:val="22"/>
        </w:rPr>
        <w:t>dat i parametar pod nazivom geneticki faktori (GF). Ovako dopunjen model primijenjen je na nivou populacija globalno u</w:t>
      </w:r>
      <w:r w:rsidR="00CA464D" w:rsidRPr="00CA464D">
        <w:rPr>
          <w:rFonts w:ascii="Constantia" w:hAnsi="Constantia"/>
          <w:szCs w:val="22"/>
        </w:rPr>
        <w:t>groženih vrsta/podvrsta rakova i</w:t>
      </w:r>
      <w:r w:rsidRPr="00CA464D">
        <w:rPr>
          <w:rFonts w:ascii="Constantia" w:hAnsi="Constantia"/>
          <w:szCs w:val="22"/>
        </w:rPr>
        <w:t>z fam</w:t>
      </w:r>
      <w:r w:rsidR="00CA464D" w:rsidRPr="00CA464D">
        <w:rPr>
          <w:rFonts w:ascii="Constantia" w:hAnsi="Constantia"/>
          <w:szCs w:val="22"/>
        </w:rPr>
        <w:t>ilije</w:t>
      </w:r>
      <w:r w:rsidR="00CA464D">
        <w:rPr>
          <w:rFonts w:ascii="Constantia" w:hAnsi="Constantia"/>
          <w:szCs w:val="22"/>
        </w:rPr>
        <w:t xml:space="preserve"> </w:t>
      </w:r>
      <w:r w:rsidRPr="00CA464D">
        <w:rPr>
          <w:rFonts w:ascii="Constantia" w:hAnsi="Constantia"/>
          <w:szCs w:val="22"/>
        </w:rPr>
        <w:t xml:space="preserve"> </w:t>
      </w:r>
      <w:r w:rsidRPr="00CA464D">
        <w:rPr>
          <w:rFonts w:ascii="Constantia" w:hAnsi="Constantia"/>
          <w:i/>
          <w:szCs w:val="22"/>
        </w:rPr>
        <w:t>Astacidae</w:t>
      </w:r>
      <w:r w:rsidRPr="00CA464D">
        <w:rPr>
          <w:rFonts w:ascii="Constantia" w:hAnsi="Constantia"/>
          <w:szCs w:val="22"/>
        </w:rPr>
        <w:t xml:space="preserve"> (</w:t>
      </w:r>
      <w:r w:rsidRPr="00CA464D">
        <w:rPr>
          <w:rFonts w:ascii="Constantia" w:hAnsi="Constantia"/>
          <w:i/>
          <w:szCs w:val="22"/>
        </w:rPr>
        <w:t>Austropotamobius torrentium</w:t>
      </w:r>
      <w:r w:rsidRPr="00CA464D">
        <w:rPr>
          <w:rFonts w:ascii="Constantia" w:hAnsi="Constantia"/>
          <w:szCs w:val="22"/>
        </w:rPr>
        <w:t>) na do sada nedovoljno istraženom podru</w:t>
      </w:r>
      <w:r w:rsidR="00CA464D" w:rsidRPr="00CA464D">
        <w:rPr>
          <w:rFonts w:ascii="Constantia" w:hAnsi="Constantia"/>
          <w:szCs w:val="22"/>
        </w:rPr>
        <w:t>čju z</w:t>
      </w:r>
      <w:r w:rsidRPr="00CA464D">
        <w:rPr>
          <w:rFonts w:ascii="Constantia" w:hAnsi="Constantia"/>
          <w:szCs w:val="22"/>
        </w:rPr>
        <w:t xml:space="preserve">apadnog Balkana (Crna Gora i Srbija). Prioritet konzervacije za vrstu </w:t>
      </w:r>
      <w:r w:rsidRPr="00CA464D">
        <w:rPr>
          <w:rFonts w:ascii="Constantia" w:hAnsi="Constantia"/>
          <w:i/>
          <w:szCs w:val="22"/>
        </w:rPr>
        <w:t>Austropotamobius torrentium</w:t>
      </w:r>
      <w:r w:rsidRPr="00CA464D">
        <w:rPr>
          <w:rFonts w:ascii="Constantia" w:hAnsi="Constantia"/>
          <w:szCs w:val="22"/>
        </w:rPr>
        <w:t xml:space="preserve"> iz rijeke Lim je umjeren.</w:t>
      </w:r>
    </w:p>
    <w:p w:rsidR="004B071C" w:rsidRPr="00F56F2B" w:rsidRDefault="004B071C" w:rsidP="004B071C">
      <w:pPr>
        <w:spacing w:before="60" w:after="240"/>
        <w:rPr>
          <w:rFonts w:ascii="Constantia" w:hAnsi="Constantia"/>
          <w:szCs w:val="22"/>
        </w:rPr>
      </w:pPr>
      <w:r w:rsidRPr="00F56F2B">
        <w:rPr>
          <w:rFonts w:ascii="Constantia" w:hAnsi="Constantia"/>
          <w:szCs w:val="22"/>
        </w:rPr>
        <w:t>Na bazi prezentovanih podataka može se vidjeti da je od alohtonih vrsta prisutna samo kalifornijska pastrmka (</w:t>
      </w:r>
      <w:r w:rsidRPr="00F56F2B">
        <w:rPr>
          <w:rFonts w:ascii="Constantia" w:hAnsi="Constantia"/>
          <w:i/>
          <w:iCs/>
          <w:szCs w:val="22"/>
        </w:rPr>
        <w:t>Oncorhynchus mykiss</w:t>
      </w:r>
      <w:r w:rsidRPr="00F56F2B">
        <w:rPr>
          <w:rFonts w:ascii="Constantia" w:hAnsi="Constantia"/>
          <w:szCs w:val="22"/>
        </w:rPr>
        <w:t>). Ovo područje ima prirodno i još uvijek zdravu strukturu ihtiofaune. Zastupljene su tri tzv. “plemenite vrste” (pastrmka, mladica, lipljen) sa još nekoliko za sportski ribolov atraktivnih vrsta (štuka, derać, skobalj, mrena) tako da nema biološkog</w:t>
      </w:r>
      <w:r w:rsidR="00F56F2B" w:rsidRPr="00F56F2B">
        <w:rPr>
          <w:rFonts w:ascii="Constantia" w:hAnsi="Constantia"/>
          <w:szCs w:val="22"/>
        </w:rPr>
        <w:t>,</w:t>
      </w:r>
      <w:r w:rsidRPr="00F56F2B">
        <w:rPr>
          <w:rFonts w:ascii="Constantia" w:hAnsi="Constantia"/>
          <w:szCs w:val="22"/>
        </w:rPr>
        <w:t xml:space="preserve"> a ni ekonomskog opravdanja da se uvode nove vrste. Za autohtone vrste, po dosadašnjim informacijama, možemo konstatovati da je autohtoni genofond sačuvan, sa izuzetkom pastrmke bilo potočne ili jezerske forme. Ovdje je posebno diskutabilna autohtonost potočne pastrmke</w:t>
      </w:r>
      <w:r w:rsidR="00F56F2B" w:rsidRPr="00F56F2B">
        <w:rPr>
          <w:rFonts w:ascii="Constantia" w:hAnsi="Constantia"/>
          <w:szCs w:val="22"/>
        </w:rPr>
        <w:t>,</w:t>
      </w:r>
      <w:r w:rsidRPr="00F56F2B">
        <w:rPr>
          <w:rFonts w:ascii="Constantia" w:hAnsi="Constantia"/>
          <w:szCs w:val="22"/>
        </w:rPr>
        <w:t xml:space="preserve"> jer je poznato da su vršena poribljavanja, ali nemamo precizne podatke iz kojih sve voda, odosno ribnjaka, </w:t>
      </w:r>
      <w:r w:rsidR="00F56F2B" w:rsidRPr="00F56F2B">
        <w:rPr>
          <w:rFonts w:ascii="Constantia" w:hAnsi="Constantia"/>
          <w:szCs w:val="22"/>
        </w:rPr>
        <w:t>j</w:t>
      </w:r>
      <w:r w:rsidRPr="00F56F2B">
        <w:rPr>
          <w:rFonts w:ascii="Constantia" w:hAnsi="Constantia"/>
          <w:szCs w:val="22"/>
        </w:rPr>
        <w:t>e ono vršeno. Dosadašnja morfološko-biološka istraživanja na blatnjači iz ovog sliva ukazuju na specifičan genofond koji se mora sačuvati. Prvi korak u tu svrhu je zabrana poribljavanja sa srodnim pastrmkama u njen areal. Na taj način će se barem sačuvati trenutno stanje. Drugi korak je zabrana lova na ovu vrstu, kako bi se ona shodno prirodnim uslovima namnožila. Sledeći važan korak je da se u ovom području formira reprocentar u kojem bi se proizvodila mlađ od pastrmke iz Plavskog jezera. Na taj način bi se onda moglo poribljavati sa autohtonom populacijom u cijelom slivu.</w:t>
      </w:r>
    </w:p>
    <w:p w:rsidR="004B071C" w:rsidRPr="00247E7E" w:rsidRDefault="004B071C" w:rsidP="00F56F2B">
      <w:pPr>
        <w:spacing w:before="60" w:after="0"/>
        <w:rPr>
          <w:szCs w:val="22"/>
          <w:lang w:val="sr-Latn-CS"/>
        </w:rPr>
      </w:pPr>
    </w:p>
    <w:p w:rsidR="004B071C" w:rsidRPr="00C44912" w:rsidRDefault="00C44912" w:rsidP="00C44912">
      <w:pPr>
        <w:pStyle w:val="Heading4"/>
        <w:numPr>
          <w:ilvl w:val="0"/>
          <w:numId w:val="0"/>
        </w:numPr>
        <w:ind w:left="1134" w:hanging="1134"/>
        <w:rPr>
          <w:sz w:val="22"/>
          <w:szCs w:val="22"/>
          <w:lang w:val="sr-Latn-CS"/>
        </w:rPr>
      </w:pPr>
      <w:r>
        <w:rPr>
          <w:sz w:val="22"/>
          <w:szCs w:val="22"/>
          <w:lang w:val="sr-Latn-CS"/>
        </w:rPr>
        <w:t xml:space="preserve">6.3.4.6   </w:t>
      </w:r>
      <w:r w:rsidR="004B071C" w:rsidRPr="00C44912">
        <w:rPr>
          <w:sz w:val="22"/>
          <w:szCs w:val="22"/>
          <w:lang w:val="sr-Latn-CS"/>
        </w:rPr>
        <w:t>Herpetofauna</w:t>
      </w:r>
    </w:p>
    <w:p w:rsidR="004B071C" w:rsidRPr="00E10011" w:rsidRDefault="004B071C" w:rsidP="00F56F2B">
      <w:pPr>
        <w:spacing w:before="60" w:after="0"/>
        <w:rPr>
          <w:szCs w:val="22"/>
          <w:lang w:val="sr-Latn-CS"/>
        </w:rPr>
      </w:pPr>
    </w:p>
    <w:tbl>
      <w:tblPr>
        <w:tblW w:w="9090" w:type="dxa"/>
        <w:tblInd w:w="108"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firstRow="1" w:lastRow="0" w:firstColumn="1" w:lastColumn="0" w:noHBand="0" w:noVBand="1"/>
      </w:tblPr>
      <w:tblGrid>
        <w:gridCol w:w="2160"/>
        <w:gridCol w:w="2973"/>
        <w:gridCol w:w="2154"/>
        <w:gridCol w:w="1803"/>
      </w:tblGrid>
      <w:tr w:rsidR="004B071C" w:rsidRPr="00324CBC" w:rsidTr="004F13E8">
        <w:tc>
          <w:tcPr>
            <w:tcW w:w="2160" w:type="dxa"/>
            <w:shd w:val="clear" w:color="auto" w:fill="E6EED5"/>
          </w:tcPr>
          <w:p w:rsidR="004B071C" w:rsidRPr="00324CBC" w:rsidRDefault="004B071C" w:rsidP="004F13E8">
            <w:pPr>
              <w:spacing w:after="0"/>
              <w:jc w:val="center"/>
              <w:rPr>
                <w:rFonts w:ascii="Constantia" w:hAnsi="Constantia"/>
                <w:b/>
                <w:bCs/>
                <w:szCs w:val="22"/>
              </w:rPr>
            </w:pPr>
            <w:r w:rsidRPr="00324CBC">
              <w:rPr>
                <w:rFonts w:ascii="Constantia" w:hAnsi="Constantia"/>
                <w:b/>
                <w:bCs/>
                <w:szCs w:val="22"/>
              </w:rPr>
              <w:t>Lokalitet</w:t>
            </w:r>
          </w:p>
        </w:tc>
        <w:tc>
          <w:tcPr>
            <w:tcW w:w="2973" w:type="dxa"/>
            <w:shd w:val="clear" w:color="auto" w:fill="E6EED5"/>
          </w:tcPr>
          <w:p w:rsidR="004B071C" w:rsidRPr="00324CBC" w:rsidRDefault="004B071C" w:rsidP="004F13E8">
            <w:pPr>
              <w:spacing w:after="0"/>
              <w:jc w:val="center"/>
              <w:rPr>
                <w:rFonts w:ascii="Constantia" w:hAnsi="Constantia"/>
                <w:b/>
                <w:bCs/>
                <w:szCs w:val="22"/>
              </w:rPr>
            </w:pPr>
            <w:r w:rsidRPr="00324CBC">
              <w:rPr>
                <w:rFonts w:ascii="Constantia" w:hAnsi="Constantia"/>
                <w:b/>
                <w:bCs/>
                <w:szCs w:val="22"/>
              </w:rPr>
              <w:t>Koordinate</w:t>
            </w:r>
          </w:p>
        </w:tc>
        <w:tc>
          <w:tcPr>
            <w:tcW w:w="2154" w:type="dxa"/>
            <w:shd w:val="clear" w:color="auto" w:fill="E6EED5"/>
          </w:tcPr>
          <w:p w:rsidR="004B071C" w:rsidRPr="00324CBC" w:rsidRDefault="004B071C" w:rsidP="004F13E8">
            <w:pPr>
              <w:spacing w:after="0"/>
              <w:jc w:val="center"/>
              <w:outlineLvl w:val="3"/>
              <w:rPr>
                <w:rFonts w:ascii="Constantia" w:hAnsi="Constantia"/>
                <w:b/>
                <w:bCs/>
                <w:szCs w:val="22"/>
              </w:rPr>
            </w:pPr>
            <w:r w:rsidRPr="00324CBC">
              <w:rPr>
                <w:rFonts w:ascii="Constantia" w:hAnsi="Constantia"/>
                <w:b/>
                <w:bCs/>
                <w:szCs w:val="22"/>
              </w:rPr>
              <w:t>Datum terenskih istraživanja</w:t>
            </w:r>
          </w:p>
        </w:tc>
        <w:tc>
          <w:tcPr>
            <w:tcW w:w="1803" w:type="dxa"/>
            <w:shd w:val="clear" w:color="auto" w:fill="E6EED5"/>
          </w:tcPr>
          <w:p w:rsidR="004B071C" w:rsidRPr="00324CBC" w:rsidRDefault="004B071C" w:rsidP="004F13E8">
            <w:pPr>
              <w:spacing w:after="0"/>
              <w:jc w:val="center"/>
              <w:rPr>
                <w:rFonts w:ascii="Constantia" w:hAnsi="Constantia"/>
                <w:b/>
                <w:szCs w:val="22"/>
              </w:rPr>
            </w:pPr>
            <w:r w:rsidRPr="00324CBC">
              <w:rPr>
                <w:rFonts w:ascii="Constantia" w:hAnsi="Constantia"/>
                <w:b/>
                <w:szCs w:val="22"/>
              </w:rPr>
              <w:t>Nadmorska visina</w:t>
            </w:r>
          </w:p>
        </w:tc>
      </w:tr>
      <w:tr w:rsidR="004B071C" w:rsidRPr="00324CBC" w:rsidTr="004F13E8">
        <w:tc>
          <w:tcPr>
            <w:tcW w:w="2160" w:type="dxa"/>
            <w:shd w:val="clear" w:color="auto" w:fill="CDDDAC"/>
          </w:tcPr>
          <w:p w:rsidR="004B071C" w:rsidRPr="00324CBC" w:rsidRDefault="004B071C" w:rsidP="004F13E8">
            <w:pPr>
              <w:spacing w:after="0"/>
              <w:rPr>
                <w:rFonts w:ascii="Constantia" w:hAnsi="Constantia"/>
                <w:b/>
                <w:szCs w:val="22"/>
              </w:rPr>
            </w:pPr>
            <w:r w:rsidRPr="00324CBC">
              <w:rPr>
                <w:rFonts w:ascii="Constantia" w:hAnsi="Constantia"/>
                <w:b/>
                <w:szCs w:val="22"/>
              </w:rPr>
              <w:t xml:space="preserve">Zaton </w:t>
            </w:r>
          </w:p>
        </w:tc>
        <w:tc>
          <w:tcPr>
            <w:tcW w:w="2973" w:type="dxa"/>
            <w:shd w:val="clear" w:color="auto" w:fill="CDDDAC"/>
          </w:tcPr>
          <w:p w:rsidR="004B071C" w:rsidRPr="00324CBC" w:rsidRDefault="004B071C" w:rsidP="004F13E8">
            <w:pPr>
              <w:jc w:val="center"/>
              <w:rPr>
                <w:rFonts w:ascii="Constantia" w:hAnsi="Constantia" w:cs="Arial"/>
                <w:bCs/>
                <w:szCs w:val="22"/>
              </w:rPr>
            </w:pPr>
            <w:r w:rsidRPr="00324CBC">
              <w:rPr>
                <w:rFonts w:ascii="Constantia" w:hAnsi="Constantia"/>
                <w:bCs/>
                <w:szCs w:val="22"/>
              </w:rPr>
              <w:t>42</w:t>
            </w:r>
            <w:r w:rsidRPr="00324CBC">
              <w:rPr>
                <w:rFonts w:ascii="Constantia" w:hAnsi="Constantia" w:cs="Cambria Math"/>
                <w:bCs/>
                <w:szCs w:val="22"/>
              </w:rPr>
              <w:t>⁰</w:t>
            </w:r>
            <w:r w:rsidRPr="00324CBC">
              <w:rPr>
                <w:rFonts w:ascii="Constantia" w:hAnsi="Constantia"/>
                <w:bCs/>
                <w:szCs w:val="22"/>
              </w:rPr>
              <w:t xml:space="preserve"> 59.665</w:t>
            </w:r>
            <w:r w:rsidRPr="00324CBC">
              <w:rPr>
                <w:rFonts w:ascii="Constantia" w:hAnsi="Constantia" w:cs="Arial"/>
                <w:bCs/>
                <w:szCs w:val="22"/>
              </w:rPr>
              <w:t>’</w:t>
            </w:r>
          </w:p>
          <w:p w:rsidR="004B071C" w:rsidRPr="00324CBC" w:rsidRDefault="004B071C" w:rsidP="004F13E8">
            <w:pPr>
              <w:jc w:val="center"/>
              <w:rPr>
                <w:rFonts w:ascii="Constantia" w:hAnsi="Constantia"/>
                <w:bCs/>
                <w:szCs w:val="22"/>
              </w:rPr>
            </w:pPr>
            <w:r w:rsidRPr="00324CBC">
              <w:rPr>
                <w:rFonts w:ascii="Constantia" w:hAnsi="Constantia"/>
                <w:bCs/>
                <w:szCs w:val="22"/>
              </w:rPr>
              <w:t>19</w:t>
            </w:r>
            <w:r w:rsidRPr="00324CBC">
              <w:rPr>
                <w:rFonts w:ascii="Constantia" w:hAnsi="Constantia" w:cs="Cambria Math"/>
                <w:bCs/>
                <w:szCs w:val="22"/>
              </w:rPr>
              <w:t>⁰</w:t>
            </w:r>
            <w:r w:rsidRPr="00324CBC">
              <w:rPr>
                <w:rFonts w:ascii="Constantia" w:hAnsi="Constantia"/>
                <w:bCs/>
                <w:szCs w:val="22"/>
              </w:rPr>
              <w:t xml:space="preserve"> 46.693</w:t>
            </w:r>
            <w:r w:rsidRPr="00324CBC">
              <w:rPr>
                <w:rFonts w:ascii="Constantia" w:hAnsi="Constantia" w:cs="Arial"/>
                <w:bCs/>
                <w:szCs w:val="22"/>
              </w:rPr>
              <w:t>’</w:t>
            </w:r>
          </w:p>
        </w:tc>
        <w:tc>
          <w:tcPr>
            <w:tcW w:w="2154" w:type="dxa"/>
            <w:shd w:val="clear" w:color="auto" w:fill="CDDDAC"/>
          </w:tcPr>
          <w:p w:rsidR="004B071C" w:rsidRPr="00324CBC" w:rsidRDefault="004B071C" w:rsidP="004F13E8">
            <w:pPr>
              <w:jc w:val="center"/>
              <w:rPr>
                <w:rFonts w:ascii="Constantia" w:hAnsi="Constantia"/>
                <w:szCs w:val="22"/>
              </w:rPr>
            </w:pPr>
            <w:r w:rsidRPr="00324CBC">
              <w:rPr>
                <w:rFonts w:ascii="Constantia" w:hAnsi="Constantia"/>
                <w:szCs w:val="22"/>
              </w:rPr>
              <w:t>17.07.2013.</w:t>
            </w:r>
          </w:p>
        </w:tc>
        <w:tc>
          <w:tcPr>
            <w:tcW w:w="1803" w:type="dxa"/>
            <w:shd w:val="clear" w:color="auto" w:fill="CDDDAC"/>
          </w:tcPr>
          <w:p w:rsidR="004B071C" w:rsidRPr="00324CBC" w:rsidRDefault="004B071C" w:rsidP="004F13E8">
            <w:pPr>
              <w:jc w:val="center"/>
              <w:rPr>
                <w:rFonts w:ascii="Constantia" w:hAnsi="Constantia"/>
                <w:szCs w:val="22"/>
              </w:rPr>
            </w:pPr>
            <w:r w:rsidRPr="00324CBC">
              <w:rPr>
                <w:rFonts w:ascii="Constantia" w:hAnsi="Constantia"/>
                <w:szCs w:val="22"/>
              </w:rPr>
              <w:t>604 mnv</w:t>
            </w:r>
          </w:p>
        </w:tc>
      </w:tr>
      <w:tr w:rsidR="004B071C" w:rsidRPr="00324CBC" w:rsidTr="004F13E8">
        <w:tc>
          <w:tcPr>
            <w:tcW w:w="2160" w:type="dxa"/>
            <w:shd w:val="clear" w:color="auto" w:fill="CDDDAC"/>
          </w:tcPr>
          <w:p w:rsidR="004B071C" w:rsidRPr="00324CBC" w:rsidRDefault="004B071C" w:rsidP="004E680E">
            <w:pPr>
              <w:rPr>
                <w:rFonts w:ascii="Constantia" w:hAnsi="Constantia"/>
                <w:b/>
                <w:szCs w:val="22"/>
              </w:rPr>
            </w:pPr>
            <w:r w:rsidRPr="00324CBC">
              <w:rPr>
                <w:rFonts w:ascii="Constantia" w:hAnsi="Constantia"/>
                <w:b/>
                <w:szCs w:val="22"/>
              </w:rPr>
              <w:t>Zaton (šljunkara)</w:t>
            </w:r>
          </w:p>
        </w:tc>
        <w:tc>
          <w:tcPr>
            <w:tcW w:w="2973" w:type="dxa"/>
            <w:shd w:val="clear" w:color="auto" w:fill="CDDDAC"/>
          </w:tcPr>
          <w:p w:rsidR="004B071C" w:rsidRPr="00324CBC" w:rsidRDefault="004B071C" w:rsidP="004F13E8">
            <w:pPr>
              <w:jc w:val="center"/>
              <w:rPr>
                <w:rFonts w:ascii="Constantia" w:hAnsi="Constantia" w:cs="Arial"/>
                <w:bCs/>
                <w:szCs w:val="22"/>
              </w:rPr>
            </w:pPr>
            <w:r w:rsidRPr="00324CBC">
              <w:rPr>
                <w:rFonts w:ascii="Constantia" w:hAnsi="Constantia"/>
                <w:bCs/>
                <w:szCs w:val="22"/>
              </w:rPr>
              <w:t>42</w:t>
            </w:r>
            <w:r w:rsidRPr="00324CBC">
              <w:rPr>
                <w:rFonts w:ascii="Constantia" w:hAnsi="Constantia" w:cs="Cambria Math"/>
                <w:bCs/>
                <w:szCs w:val="22"/>
              </w:rPr>
              <w:t>⁰</w:t>
            </w:r>
            <w:r w:rsidRPr="00324CBC">
              <w:rPr>
                <w:rFonts w:ascii="Constantia" w:hAnsi="Constantia"/>
                <w:bCs/>
                <w:szCs w:val="22"/>
              </w:rPr>
              <w:t xml:space="preserve"> 59.559</w:t>
            </w:r>
            <w:r w:rsidRPr="00324CBC">
              <w:rPr>
                <w:rFonts w:ascii="Constantia" w:hAnsi="Constantia" w:cs="Arial"/>
                <w:bCs/>
                <w:szCs w:val="22"/>
              </w:rPr>
              <w:t>’</w:t>
            </w:r>
          </w:p>
          <w:p w:rsidR="004B071C" w:rsidRPr="00324CBC" w:rsidRDefault="004B071C" w:rsidP="004F13E8">
            <w:pPr>
              <w:jc w:val="center"/>
              <w:rPr>
                <w:rFonts w:ascii="Constantia" w:hAnsi="Constantia"/>
                <w:bCs/>
                <w:szCs w:val="22"/>
              </w:rPr>
            </w:pPr>
            <w:r w:rsidRPr="00324CBC">
              <w:rPr>
                <w:rFonts w:ascii="Constantia" w:hAnsi="Constantia"/>
                <w:bCs/>
                <w:szCs w:val="22"/>
              </w:rPr>
              <w:t>19</w:t>
            </w:r>
            <w:r w:rsidRPr="00324CBC">
              <w:rPr>
                <w:rFonts w:ascii="Constantia" w:hAnsi="Constantia" w:cs="Cambria Math"/>
                <w:bCs/>
                <w:szCs w:val="22"/>
              </w:rPr>
              <w:t>⁰</w:t>
            </w:r>
            <w:r w:rsidRPr="00324CBC">
              <w:rPr>
                <w:rFonts w:ascii="Constantia" w:hAnsi="Constantia"/>
                <w:bCs/>
                <w:szCs w:val="22"/>
              </w:rPr>
              <w:t xml:space="preserve"> 46.490</w:t>
            </w:r>
            <w:r w:rsidRPr="00324CBC">
              <w:rPr>
                <w:rFonts w:ascii="Constantia" w:hAnsi="Constantia" w:cs="Arial"/>
                <w:bCs/>
                <w:szCs w:val="22"/>
              </w:rPr>
              <w:t>’</w:t>
            </w:r>
          </w:p>
        </w:tc>
        <w:tc>
          <w:tcPr>
            <w:tcW w:w="2154" w:type="dxa"/>
            <w:shd w:val="clear" w:color="auto" w:fill="CDDDAC"/>
          </w:tcPr>
          <w:p w:rsidR="004B071C" w:rsidRPr="00324CBC" w:rsidRDefault="004B071C" w:rsidP="004F13E8">
            <w:pPr>
              <w:jc w:val="center"/>
              <w:rPr>
                <w:rFonts w:ascii="Constantia" w:hAnsi="Constantia"/>
                <w:szCs w:val="22"/>
              </w:rPr>
            </w:pPr>
            <w:r w:rsidRPr="00324CBC">
              <w:rPr>
                <w:rFonts w:ascii="Constantia" w:hAnsi="Constantia"/>
                <w:szCs w:val="22"/>
              </w:rPr>
              <w:t>17.07.2013.</w:t>
            </w:r>
          </w:p>
        </w:tc>
        <w:tc>
          <w:tcPr>
            <w:tcW w:w="1803" w:type="dxa"/>
            <w:shd w:val="clear" w:color="auto" w:fill="CDDDAC"/>
          </w:tcPr>
          <w:p w:rsidR="004B071C" w:rsidRPr="00324CBC" w:rsidRDefault="004B071C" w:rsidP="004F13E8">
            <w:pPr>
              <w:jc w:val="center"/>
              <w:rPr>
                <w:rFonts w:ascii="Constantia" w:hAnsi="Constantia"/>
                <w:szCs w:val="22"/>
              </w:rPr>
            </w:pPr>
            <w:r w:rsidRPr="00324CBC">
              <w:rPr>
                <w:rFonts w:ascii="Constantia" w:hAnsi="Constantia"/>
                <w:szCs w:val="22"/>
              </w:rPr>
              <w:t>563 mnv</w:t>
            </w:r>
          </w:p>
        </w:tc>
      </w:tr>
      <w:tr w:rsidR="004B071C" w:rsidRPr="00324CBC" w:rsidTr="004F13E8">
        <w:tc>
          <w:tcPr>
            <w:tcW w:w="2160" w:type="dxa"/>
            <w:shd w:val="clear" w:color="auto" w:fill="CDDDAC"/>
          </w:tcPr>
          <w:p w:rsidR="004B071C" w:rsidRPr="00324CBC" w:rsidRDefault="004B071C" w:rsidP="004E680E">
            <w:pPr>
              <w:rPr>
                <w:rFonts w:ascii="Constantia" w:hAnsi="Constantia"/>
                <w:b/>
                <w:szCs w:val="22"/>
              </w:rPr>
            </w:pPr>
            <w:r w:rsidRPr="00324CBC">
              <w:rPr>
                <w:rFonts w:ascii="Constantia" w:hAnsi="Constantia"/>
                <w:b/>
                <w:szCs w:val="22"/>
              </w:rPr>
              <w:t>Trebačka rijeka</w:t>
            </w:r>
          </w:p>
        </w:tc>
        <w:tc>
          <w:tcPr>
            <w:tcW w:w="2973" w:type="dxa"/>
            <w:shd w:val="clear" w:color="auto" w:fill="CDDDAC"/>
          </w:tcPr>
          <w:p w:rsidR="004B071C" w:rsidRPr="00324CBC" w:rsidRDefault="004B071C" w:rsidP="004F13E8">
            <w:pPr>
              <w:jc w:val="center"/>
              <w:rPr>
                <w:rFonts w:ascii="Constantia" w:hAnsi="Constantia" w:cs="Arial"/>
                <w:bCs/>
                <w:szCs w:val="22"/>
              </w:rPr>
            </w:pPr>
            <w:r w:rsidRPr="00324CBC">
              <w:rPr>
                <w:rFonts w:ascii="Constantia" w:hAnsi="Constantia"/>
                <w:bCs/>
                <w:szCs w:val="22"/>
              </w:rPr>
              <w:t>42</w:t>
            </w:r>
            <w:r w:rsidRPr="00324CBC">
              <w:rPr>
                <w:rFonts w:ascii="Constantia" w:hAnsi="Constantia" w:cs="Cambria Math"/>
                <w:bCs/>
                <w:szCs w:val="22"/>
              </w:rPr>
              <w:t>⁰</w:t>
            </w:r>
            <w:r w:rsidRPr="00324CBC">
              <w:rPr>
                <w:rFonts w:ascii="Constantia" w:hAnsi="Constantia"/>
                <w:bCs/>
                <w:szCs w:val="22"/>
              </w:rPr>
              <w:t xml:space="preserve">  45.563</w:t>
            </w:r>
            <w:r w:rsidRPr="00324CBC">
              <w:rPr>
                <w:rFonts w:ascii="Constantia" w:hAnsi="Constantia" w:cs="Arial"/>
                <w:bCs/>
                <w:szCs w:val="22"/>
              </w:rPr>
              <w:t>’</w:t>
            </w:r>
          </w:p>
          <w:p w:rsidR="004B071C" w:rsidRPr="00324CBC" w:rsidRDefault="004B071C" w:rsidP="004F13E8">
            <w:pPr>
              <w:jc w:val="center"/>
              <w:rPr>
                <w:rFonts w:ascii="Constantia" w:hAnsi="Constantia"/>
                <w:bCs/>
                <w:szCs w:val="22"/>
              </w:rPr>
            </w:pPr>
            <w:r w:rsidRPr="00324CBC">
              <w:rPr>
                <w:rFonts w:ascii="Constantia" w:hAnsi="Constantia"/>
                <w:bCs/>
                <w:szCs w:val="22"/>
              </w:rPr>
              <w:t>19</w:t>
            </w:r>
            <w:r w:rsidRPr="00324CBC">
              <w:rPr>
                <w:rFonts w:ascii="Constantia" w:hAnsi="Constantia" w:cs="Cambria Math"/>
                <w:bCs/>
                <w:szCs w:val="22"/>
              </w:rPr>
              <w:t>⁰</w:t>
            </w:r>
            <w:r w:rsidRPr="00324CBC">
              <w:rPr>
                <w:rFonts w:ascii="Constantia" w:hAnsi="Constantia"/>
                <w:bCs/>
                <w:szCs w:val="22"/>
              </w:rPr>
              <w:t xml:space="preserve"> 49.438</w:t>
            </w:r>
            <w:r w:rsidRPr="00324CBC">
              <w:rPr>
                <w:rFonts w:ascii="Constantia" w:hAnsi="Constantia" w:cs="Arial"/>
                <w:bCs/>
                <w:szCs w:val="22"/>
              </w:rPr>
              <w:t>’</w:t>
            </w:r>
          </w:p>
        </w:tc>
        <w:tc>
          <w:tcPr>
            <w:tcW w:w="2154" w:type="dxa"/>
            <w:shd w:val="clear" w:color="auto" w:fill="CDDDAC"/>
          </w:tcPr>
          <w:p w:rsidR="004B071C" w:rsidRPr="00324CBC" w:rsidRDefault="004B071C" w:rsidP="004F13E8">
            <w:pPr>
              <w:jc w:val="center"/>
              <w:rPr>
                <w:rFonts w:ascii="Constantia" w:hAnsi="Constantia"/>
                <w:szCs w:val="22"/>
              </w:rPr>
            </w:pPr>
            <w:r w:rsidRPr="00324CBC">
              <w:rPr>
                <w:rFonts w:ascii="Constantia" w:hAnsi="Constantia"/>
                <w:szCs w:val="22"/>
              </w:rPr>
              <w:t>18.10.2013.</w:t>
            </w:r>
          </w:p>
        </w:tc>
        <w:tc>
          <w:tcPr>
            <w:tcW w:w="1803" w:type="dxa"/>
            <w:shd w:val="clear" w:color="auto" w:fill="CDDDAC"/>
          </w:tcPr>
          <w:p w:rsidR="004B071C" w:rsidRPr="00324CBC" w:rsidRDefault="004B071C" w:rsidP="004F13E8">
            <w:pPr>
              <w:jc w:val="center"/>
              <w:rPr>
                <w:rFonts w:ascii="Constantia" w:hAnsi="Constantia"/>
                <w:szCs w:val="22"/>
              </w:rPr>
            </w:pPr>
            <w:r w:rsidRPr="00324CBC">
              <w:rPr>
                <w:rFonts w:ascii="Constantia" w:hAnsi="Constantia"/>
                <w:szCs w:val="22"/>
              </w:rPr>
              <w:t>746 mnv</w:t>
            </w:r>
          </w:p>
        </w:tc>
      </w:tr>
      <w:tr w:rsidR="004B071C" w:rsidRPr="00324CBC" w:rsidTr="004F13E8">
        <w:tc>
          <w:tcPr>
            <w:tcW w:w="2160" w:type="dxa"/>
            <w:shd w:val="clear" w:color="auto" w:fill="CDDDAC"/>
          </w:tcPr>
          <w:p w:rsidR="004B071C" w:rsidRPr="00324CBC" w:rsidRDefault="004B071C" w:rsidP="004E680E">
            <w:pPr>
              <w:rPr>
                <w:rFonts w:ascii="Constantia" w:hAnsi="Constantia"/>
                <w:b/>
                <w:szCs w:val="22"/>
              </w:rPr>
            </w:pPr>
            <w:r w:rsidRPr="00324CBC">
              <w:rPr>
                <w:rFonts w:ascii="Constantia" w:hAnsi="Constantia"/>
                <w:b/>
                <w:szCs w:val="22"/>
              </w:rPr>
              <w:t>Murinska rijeka</w:t>
            </w:r>
          </w:p>
        </w:tc>
        <w:tc>
          <w:tcPr>
            <w:tcW w:w="2973" w:type="dxa"/>
            <w:shd w:val="clear" w:color="auto" w:fill="CDDDAC"/>
          </w:tcPr>
          <w:p w:rsidR="004B071C" w:rsidRPr="00324CBC" w:rsidRDefault="004B071C" w:rsidP="004F13E8">
            <w:pPr>
              <w:jc w:val="center"/>
              <w:rPr>
                <w:rFonts w:ascii="Constantia" w:hAnsi="Constantia" w:cs="Arial"/>
                <w:bCs/>
                <w:szCs w:val="22"/>
              </w:rPr>
            </w:pPr>
            <w:r w:rsidRPr="00324CBC">
              <w:rPr>
                <w:rFonts w:ascii="Constantia" w:hAnsi="Constantia"/>
                <w:bCs/>
                <w:szCs w:val="22"/>
              </w:rPr>
              <w:t>42</w:t>
            </w:r>
            <w:r w:rsidRPr="00324CBC">
              <w:rPr>
                <w:rFonts w:ascii="Constantia" w:hAnsi="Constantia" w:cs="Cambria Math"/>
                <w:bCs/>
                <w:szCs w:val="22"/>
              </w:rPr>
              <w:t>⁰</w:t>
            </w:r>
            <w:r w:rsidRPr="00324CBC">
              <w:rPr>
                <w:rFonts w:ascii="Constantia" w:hAnsi="Constantia"/>
                <w:bCs/>
                <w:szCs w:val="22"/>
              </w:rPr>
              <w:t xml:space="preserve">  55.673</w:t>
            </w:r>
            <w:r w:rsidRPr="00324CBC">
              <w:rPr>
                <w:rFonts w:ascii="Constantia" w:hAnsi="Constantia" w:cs="Arial"/>
                <w:bCs/>
                <w:szCs w:val="22"/>
              </w:rPr>
              <w:t>’</w:t>
            </w:r>
          </w:p>
          <w:p w:rsidR="004B071C" w:rsidRPr="00324CBC" w:rsidRDefault="004B071C" w:rsidP="004F13E8">
            <w:pPr>
              <w:jc w:val="center"/>
              <w:rPr>
                <w:rFonts w:ascii="Constantia" w:hAnsi="Constantia"/>
                <w:bCs/>
                <w:szCs w:val="22"/>
              </w:rPr>
            </w:pPr>
            <w:r w:rsidRPr="00324CBC">
              <w:rPr>
                <w:rFonts w:ascii="Constantia" w:hAnsi="Constantia"/>
                <w:bCs/>
                <w:szCs w:val="22"/>
              </w:rPr>
              <w:t>19</w:t>
            </w:r>
            <w:r w:rsidRPr="00324CBC">
              <w:rPr>
                <w:rFonts w:ascii="Constantia" w:hAnsi="Constantia" w:cs="Cambria Math"/>
                <w:bCs/>
                <w:szCs w:val="22"/>
              </w:rPr>
              <w:t>⁰</w:t>
            </w:r>
            <w:r w:rsidRPr="00324CBC">
              <w:rPr>
                <w:rFonts w:ascii="Constantia" w:hAnsi="Constantia"/>
                <w:bCs/>
                <w:szCs w:val="22"/>
              </w:rPr>
              <w:t xml:space="preserve"> 52.355</w:t>
            </w:r>
            <w:r w:rsidRPr="00324CBC">
              <w:rPr>
                <w:rFonts w:ascii="Constantia" w:hAnsi="Constantia" w:cs="Arial"/>
                <w:bCs/>
                <w:szCs w:val="22"/>
              </w:rPr>
              <w:t>’</w:t>
            </w:r>
          </w:p>
        </w:tc>
        <w:tc>
          <w:tcPr>
            <w:tcW w:w="2154" w:type="dxa"/>
            <w:shd w:val="clear" w:color="auto" w:fill="CDDDAC"/>
          </w:tcPr>
          <w:p w:rsidR="004B071C" w:rsidRPr="00324CBC" w:rsidRDefault="004B071C" w:rsidP="004F13E8">
            <w:pPr>
              <w:jc w:val="center"/>
              <w:rPr>
                <w:rFonts w:ascii="Constantia" w:hAnsi="Constantia"/>
                <w:szCs w:val="22"/>
              </w:rPr>
            </w:pPr>
            <w:r w:rsidRPr="00324CBC">
              <w:rPr>
                <w:rFonts w:ascii="Constantia" w:hAnsi="Constantia"/>
                <w:szCs w:val="22"/>
              </w:rPr>
              <w:t>18.10.2013.</w:t>
            </w:r>
          </w:p>
        </w:tc>
        <w:tc>
          <w:tcPr>
            <w:tcW w:w="1803" w:type="dxa"/>
            <w:shd w:val="clear" w:color="auto" w:fill="CDDDAC"/>
          </w:tcPr>
          <w:p w:rsidR="004B071C" w:rsidRPr="00324CBC" w:rsidRDefault="004B071C" w:rsidP="004F13E8">
            <w:pPr>
              <w:jc w:val="center"/>
              <w:rPr>
                <w:rFonts w:ascii="Constantia" w:hAnsi="Constantia"/>
                <w:szCs w:val="22"/>
              </w:rPr>
            </w:pPr>
            <w:r w:rsidRPr="00324CBC">
              <w:rPr>
                <w:rFonts w:ascii="Constantia" w:hAnsi="Constantia"/>
                <w:szCs w:val="22"/>
              </w:rPr>
              <w:t>842 mnv</w:t>
            </w:r>
          </w:p>
        </w:tc>
      </w:tr>
      <w:tr w:rsidR="004B071C" w:rsidRPr="00324CBC" w:rsidTr="004F13E8">
        <w:tc>
          <w:tcPr>
            <w:tcW w:w="2160" w:type="dxa"/>
            <w:shd w:val="clear" w:color="auto" w:fill="CDDDAC"/>
          </w:tcPr>
          <w:p w:rsidR="004B071C" w:rsidRPr="00324CBC" w:rsidRDefault="004B071C" w:rsidP="004E680E">
            <w:pPr>
              <w:rPr>
                <w:rFonts w:ascii="Constantia" w:hAnsi="Constantia"/>
                <w:b/>
                <w:szCs w:val="22"/>
              </w:rPr>
            </w:pPr>
            <w:r w:rsidRPr="00324CBC">
              <w:rPr>
                <w:rFonts w:ascii="Constantia" w:hAnsi="Constantia"/>
                <w:b/>
                <w:szCs w:val="22"/>
              </w:rPr>
              <w:t>Komarača</w:t>
            </w:r>
          </w:p>
        </w:tc>
        <w:tc>
          <w:tcPr>
            <w:tcW w:w="2973" w:type="dxa"/>
            <w:shd w:val="clear" w:color="auto" w:fill="CDDDAC"/>
          </w:tcPr>
          <w:p w:rsidR="004B071C" w:rsidRPr="00324CBC" w:rsidRDefault="004B071C" w:rsidP="004F13E8">
            <w:pPr>
              <w:jc w:val="center"/>
              <w:rPr>
                <w:rFonts w:ascii="Constantia" w:hAnsi="Constantia" w:cs="Arial"/>
                <w:bCs/>
                <w:szCs w:val="22"/>
              </w:rPr>
            </w:pPr>
            <w:r w:rsidRPr="00324CBC">
              <w:rPr>
                <w:rFonts w:ascii="Constantia" w:hAnsi="Constantia"/>
                <w:bCs/>
                <w:szCs w:val="22"/>
              </w:rPr>
              <w:t>42</w:t>
            </w:r>
            <w:r w:rsidRPr="00324CBC">
              <w:rPr>
                <w:rFonts w:ascii="Constantia" w:hAnsi="Constantia" w:cs="Cambria Math"/>
                <w:bCs/>
                <w:szCs w:val="22"/>
              </w:rPr>
              <w:t>⁰</w:t>
            </w:r>
            <w:r w:rsidRPr="00324CBC">
              <w:rPr>
                <w:rFonts w:ascii="Constantia" w:hAnsi="Constantia"/>
                <w:bCs/>
                <w:szCs w:val="22"/>
              </w:rPr>
              <w:t xml:space="preserve">  36.993</w:t>
            </w:r>
            <w:r w:rsidRPr="00324CBC">
              <w:rPr>
                <w:rFonts w:ascii="Constantia" w:hAnsi="Constantia" w:cs="Arial"/>
                <w:bCs/>
                <w:szCs w:val="22"/>
              </w:rPr>
              <w:t>’</w:t>
            </w:r>
          </w:p>
          <w:p w:rsidR="004B071C" w:rsidRPr="00324CBC" w:rsidRDefault="004B071C" w:rsidP="004F13E8">
            <w:pPr>
              <w:jc w:val="center"/>
              <w:rPr>
                <w:rFonts w:ascii="Constantia" w:hAnsi="Constantia" w:cs="Arial"/>
                <w:bCs/>
                <w:szCs w:val="22"/>
              </w:rPr>
            </w:pPr>
            <w:r w:rsidRPr="00324CBC">
              <w:rPr>
                <w:rFonts w:ascii="Constantia" w:hAnsi="Constantia"/>
                <w:bCs/>
                <w:szCs w:val="22"/>
              </w:rPr>
              <w:t>19</w:t>
            </w:r>
            <w:r w:rsidRPr="00324CBC">
              <w:rPr>
                <w:rFonts w:ascii="Constantia" w:hAnsi="Constantia" w:cs="Cambria Math"/>
                <w:bCs/>
                <w:szCs w:val="22"/>
              </w:rPr>
              <w:t>⁰</w:t>
            </w:r>
            <w:r w:rsidRPr="00324CBC">
              <w:rPr>
                <w:rFonts w:ascii="Constantia" w:hAnsi="Constantia"/>
                <w:bCs/>
                <w:szCs w:val="22"/>
              </w:rPr>
              <w:t xml:space="preserve"> 58.048</w:t>
            </w:r>
            <w:r w:rsidRPr="00324CBC">
              <w:rPr>
                <w:rFonts w:ascii="Constantia" w:hAnsi="Constantia" w:cs="Arial"/>
                <w:bCs/>
                <w:szCs w:val="22"/>
              </w:rPr>
              <w:t>’</w:t>
            </w:r>
          </w:p>
          <w:p w:rsidR="004B071C" w:rsidRPr="00324CBC" w:rsidRDefault="004B071C" w:rsidP="004F13E8">
            <w:pPr>
              <w:jc w:val="center"/>
              <w:rPr>
                <w:rFonts w:ascii="Constantia" w:hAnsi="Constantia" w:cs="Arial"/>
                <w:bCs/>
                <w:szCs w:val="22"/>
              </w:rPr>
            </w:pPr>
            <w:r w:rsidRPr="00324CBC">
              <w:rPr>
                <w:rFonts w:ascii="Constantia" w:hAnsi="Constantia"/>
                <w:bCs/>
                <w:szCs w:val="22"/>
              </w:rPr>
              <w:lastRenderedPageBreak/>
              <w:t>42</w:t>
            </w:r>
            <w:r w:rsidRPr="00324CBC">
              <w:rPr>
                <w:rFonts w:ascii="Constantia" w:hAnsi="Constantia" w:cs="Cambria Math"/>
                <w:bCs/>
                <w:szCs w:val="22"/>
              </w:rPr>
              <w:t>⁰</w:t>
            </w:r>
            <w:r w:rsidRPr="00324CBC">
              <w:rPr>
                <w:rFonts w:ascii="Constantia" w:hAnsi="Constantia"/>
                <w:bCs/>
                <w:szCs w:val="22"/>
              </w:rPr>
              <w:t xml:space="preserve">  36.996</w:t>
            </w:r>
            <w:r w:rsidRPr="00324CBC">
              <w:rPr>
                <w:rFonts w:ascii="Constantia" w:hAnsi="Constantia" w:cs="Arial"/>
                <w:bCs/>
                <w:szCs w:val="22"/>
              </w:rPr>
              <w:t>’</w:t>
            </w:r>
          </w:p>
          <w:p w:rsidR="004B071C" w:rsidRPr="00324CBC" w:rsidRDefault="004B071C" w:rsidP="004F13E8">
            <w:pPr>
              <w:jc w:val="center"/>
              <w:rPr>
                <w:rFonts w:ascii="Constantia" w:hAnsi="Constantia"/>
                <w:bCs/>
                <w:szCs w:val="22"/>
              </w:rPr>
            </w:pPr>
            <w:r w:rsidRPr="00324CBC">
              <w:rPr>
                <w:rFonts w:ascii="Constantia" w:hAnsi="Constantia"/>
                <w:bCs/>
                <w:szCs w:val="22"/>
              </w:rPr>
              <w:t>19</w:t>
            </w:r>
            <w:r w:rsidRPr="00324CBC">
              <w:rPr>
                <w:rFonts w:ascii="Constantia" w:hAnsi="Constantia" w:cs="Cambria Math"/>
                <w:bCs/>
                <w:szCs w:val="22"/>
              </w:rPr>
              <w:t>⁰</w:t>
            </w:r>
            <w:r w:rsidRPr="00324CBC">
              <w:rPr>
                <w:rFonts w:ascii="Constantia" w:hAnsi="Constantia"/>
                <w:bCs/>
                <w:szCs w:val="22"/>
              </w:rPr>
              <w:t xml:space="preserve"> 57.395</w:t>
            </w:r>
            <w:r w:rsidRPr="00324CBC">
              <w:rPr>
                <w:rFonts w:ascii="Constantia" w:hAnsi="Constantia" w:cs="Arial"/>
                <w:bCs/>
                <w:szCs w:val="22"/>
              </w:rPr>
              <w:t>’</w:t>
            </w:r>
          </w:p>
        </w:tc>
        <w:tc>
          <w:tcPr>
            <w:tcW w:w="2154" w:type="dxa"/>
            <w:shd w:val="clear" w:color="auto" w:fill="CDDDAC"/>
          </w:tcPr>
          <w:p w:rsidR="004B071C" w:rsidRPr="00324CBC" w:rsidRDefault="004B071C" w:rsidP="004F13E8">
            <w:pPr>
              <w:jc w:val="center"/>
              <w:rPr>
                <w:rFonts w:ascii="Constantia" w:hAnsi="Constantia"/>
                <w:szCs w:val="22"/>
              </w:rPr>
            </w:pPr>
            <w:r w:rsidRPr="00324CBC">
              <w:rPr>
                <w:rFonts w:ascii="Constantia" w:hAnsi="Constantia"/>
                <w:szCs w:val="22"/>
              </w:rPr>
              <w:lastRenderedPageBreak/>
              <w:t>18.10.2013.</w:t>
            </w:r>
          </w:p>
        </w:tc>
        <w:tc>
          <w:tcPr>
            <w:tcW w:w="1803" w:type="dxa"/>
            <w:shd w:val="clear" w:color="auto" w:fill="CDDDAC"/>
          </w:tcPr>
          <w:p w:rsidR="004B071C" w:rsidRPr="00324CBC" w:rsidRDefault="004B071C" w:rsidP="004F13E8">
            <w:pPr>
              <w:jc w:val="center"/>
              <w:rPr>
                <w:rFonts w:ascii="Constantia" w:hAnsi="Constantia"/>
                <w:szCs w:val="22"/>
              </w:rPr>
            </w:pPr>
            <w:r w:rsidRPr="00324CBC">
              <w:rPr>
                <w:rFonts w:ascii="Constantia" w:hAnsi="Constantia"/>
                <w:szCs w:val="22"/>
              </w:rPr>
              <w:t>983 mnv</w:t>
            </w:r>
          </w:p>
          <w:p w:rsidR="004B071C" w:rsidRPr="00324CBC" w:rsidRDefault="004B071C" w:rsidP="004F13E8">
            <w:pPr>
              <w:jc w:val="center"/>
              <w:rPr>
                <w:rFonts w:ascii="Constantia" w:hAnsi="Constantia"/>
                <w:szCs w:val="22"/>
              </w:rPr>
            </w:pPr>
          </w:p>
          <w:p w:rsidR="004B071C" w:rsidRPr="00324CBC" w:rsidRDefault="004B071C" w:rsidP="004F13E8">
            <w:pPr>
              <w:jc w:val="center"/>
              <w:rPr>
                <w:rFonts w:ascii="Constantia" w:hAnsi="Constantia"/>
                <w:szCs w:val="22"/>
              </w:rPr>
            </w:pPr>
            <w:r w:rsidRPr="00324CBC">
              <w:rPr>
                <w:rFonts w:ascii="Constantia" w:hAnsi="Constantia"/>
                <w:szCs w:val="22"/>
              </w:rPr>
              <w:lastRenderedPageBreak/>
              <w:t>957 mnv</w:t>
            </w:r>
          </w:p>
        </w:tc>
      </w:tr>
    </w:tbl>
    <w:p w:rsidR="004B071C" w:rsidRPr="004F13E8" w:rsidRDefault="00324CBC" w:rsidP="004B071C">
      <w:pPr>
        <w:pStyle w:val="Tabele"/>
        <w:spacing w:before="60" w:after="240"/>
        <w:ind w:left="714" w:hanging="357"/>
        <w:rPr>
          <w:rFonts w:ascii="Constantia" w:hAnsi="Constantia"/>
          <w:sz w:val="22"/>
          <w:szCs w:val="22"/>
        </w:rPr>
      </w:pPr>
      <w:r>
        <w:rPr>
          <w:rFonts w:ascii="Constantia" w:hAnsi="Constantia"/>
          <w:sz w:val="22"/>
          <w:szCs w:val="22"/>
        </w:rPr>
        <w:lastRenderedPageBreak/>
        <w:t xml:space="preserve"> </w:t>
      </w:r>
      <w:r w:rsidR="004B071C" w:rsidRPr="004F13E8">
        <w:rPr>
          <w:rFonts w:ascii="Constantia" w:hAnsi="Constantia"/>
          <w:sz w:val="22"/>
          <w:szCs w:val="22"/>
        </w:rPr>
        <w:t>Opšti podaci o istraživanim lokalitetima herpetofauna</w:t>
      </w:r>
    </w:p>
    <w:p w:rsidR="004F13E8" w:rsidRDefault="004F13E8" w:rsidP="004F13E8">
      <w:pPr>
        <w:pStyle w:val="Tabele"/>
        <w:numPr>
          <w:ilvl w:val="0"/>
          <w:numId w:val="0"/>
        </w:numPr>
        <w:spacing w:before="60" w:after="240"/>
        <w:ind w:left="714"/>
        <w:jc w:val="both"/>
      </w:pPr>
    </w:p>
    <w:tbl>
      <w:tblPr>
        <w:tblW w:w="9090" w:type="dxa"/>
        <w:tblInd w:w="108"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firstRow="1" w:lastRow="0" w:firstColumn="1" w:lastColumn="0" w:noHBand="0" w:noVBand="1"/>
      </w:tblPr>
      <w:tblGrid>
        <w:gridCol w:w="2322"/>
        <w:gridCol w:w="2322"/>
        <w:gridCol w:w="2322"/>
        <w:gridCol w:w="2124"/>
      </w:tblGrid>
      <w:tr w:rsidR="004B071C" w:rsidRPr="00F81955" w:rsidTr="00332715">
        <w:tc>
          <w:tcPr>
            <w:tcW w:w="2322" w:type="dxa"/>
            <w:shd w:val="clear" w:color="auto" w:fill="E6EED5"/>
          </w:tcPr>
          <w:p w:rsidR="004B071C" w:rsidRPr="00F81955" w:rsidRDefault="004B071C" w:rsidP="00332715">
            <w:pPr>
              <w:spacing w:after="0"/>
              <w:jc w:val="center"/>
              <w:rPr>
                <w:rFonts w:ascii="Constantia" w:hAnsi="Constantia"/>
                <w:b/>
                <w:bCs/>
                <w:szCs w:val="22"/>
                <w:lang w:val="sr-Latn-CS"/>
              </w:rPr>
            </w:pPr>
            <w:r w:rsidRPr="00F81955">
              <w:rPr>
                <w:rFonts w:ascii="Constantia" w:hAnsi="Constantia"/>
                <w:b/>
                <w:bCs/>
                <w:szCs w:val="22"/>
                <w:lang w:val="sr-Latn-CS"/>
              </w:rPr>
              <w:t>Vrsta</w:t>
            </w:r>
          </w:p>
        </w:tc>
        <w:tc>
          <w:tcPr>
            <w:tcW w:w="2322" w:type="dxa"/>
            <w:shd w:val="clear" w:color="auto" w:fill="E6EED5"/>
          </w:tcPr>
          <w:p w:rsidR="004B071C" w:rsidRPr="00F81955" w:rsidRDefault="004B071C" w:rsidP="00332715">
            <w:pPr>
              <w:spacing w:after="0"/>
              <w:jc w:val="center"/>
              <w:rPr>
                <w:rFonts w:ascii="Constantia" w:hAnsi="Constantia"/>
                <w:b/>
                <w:bCs/>
                <w:szCs w:val="22"/>
                <w:lang w:val="sr-Latn-CS"/>
              </w:rPr>
            </w:pPr>
            <w:r w:rsidRPr="00F81955">
              <w:rPr>
                <w:rFonts w:ascii="Constantia" w:hAnsi="Constantia"/>
                <w:b/>
                <w:bCs/>
                <w:szCs w:val="22"/>
                <w:lang w:val="sr-Latn-CS"/>
              </w:rPr>
              <w:t>Karakter prisustva populacije</w:t>
            </w:r>
          </w:p>
        </w:tc>
        <w:tc>
          <w:tcPr>
            <w:tcW w:w="2322" w:type="dxa"/>
            <w:shd w:val="clear" w:color="auto" w:fill="E6EED5"/>
          </w:tcPr>
          <w:p w:rsidR="004B071C" w:rsidRPr="00F81955" w:rsidRDefault="004B071C" w:rsidP="00332715">
            <w:pPr>
              <w:spacing w:after="0"/>
              <w:jc w:val="center"/>
              <w:rPr>
                <w:rFonts w:ascii="Constantia" w:hAnsi="Constantia"/>
                <w:b/>
                <w:bCs/>
                <w:szCs w:val="22"/>
                <w:lang w:val="sr-Latn-CS"/>
              </w:rPr>
            </w:pPr>
            <w:r w:rsidRPr="00F81955">
              <w:rPr>
                <w:rFonts w:ascii="Constantia" w:hAnsi="Constantia"/>
                <w:b/>
                <w:bCs/>
                <w:szCs w:val="22"/>
                <w:lang w:val="sr-Latn-CS"/>
              </w:rPr>
              <w:t>Opisno</w:t>
            </w:r>
          </w:p>
        </w:tc>
        <w:tc>
          <w:tcPr>
            <w:tcW w:w="2124" w:type="dxa"/>
            <w:shd w:val="clear" w:color="auto" w:fill="E6EED5"/>
          </w:tcPr>
          <w:p w:rsidR="004B071C" w:rsidRPr="00F81955" w:rsidRDefault="004B071C" w:rsidP="00332715">
            <w:pPr>
              <w:spacing w:after="0"/>
              <w:jc w:val="center"/>
              <w:rPr>
                <w:rFonts w:ascii="Constantia" w:hAnsi="Constantia"/>
                <w:b/>
                <w:bCs/>
                <w:szCs w:val="22"/>
                <w:lang w:val="sr-Latn-CS"/>
              </w:rPr>
            </w:pPr>
            <w:r w:rsidRPr="00F81955">
              <w:rPr>
                <w:rFonts w:ascii="Constantia" w:hAnsi="Constantia"/>
                <w:b/>
                <w:bCs/>
                <w:szCs w:val="22"/>
                <w:lang w:val="sr-Latn-CS"/>
              </w:rPr>
              <w:t>Ocjena stepena zaštite (Očuvanost)</w:t>
            </w:r>
          </w:p>
        </w:tc>
      </w:tr>
      <w:tr w:rsidR="004B071C" w:rsidRPr="00F81955" w:rsidTr="00332715">
        <w:tc>
          <w:tcPr>
            <w:tcW w:w="2322" w:type="dxa"/>
            <w:shd w:val="clear" w:color="auto" w:fill="CDDDAC"/>
          </w:tcPr>
          <w:p w:rsidR="004B071C" w:rsidRPr="00F81955" w:rsidRDefault="004B071C" w:rsidP="00332715">
            <w:pPr>
              <w:spacing w:after="0"/>
              <w:jc w:val="left"/>
              <w:rPr>
                <w:rFonts w:ascii="Constantia" w:hAnsi="Constantia"/>
                <w:b/>
                <w:bCs/>
                <w:i/>
                <w:szCs w:val="22"/>
              </w:rPr>
            </w:pPr>
            <w:r w:rsidRPr="00F81955">
              <w:rPr>
                <w:rFonts w:ascii="Constantia" w:hAnsi="Constantia"/>
                <w:b/>
                <w:bCs/>
                <w:i/>
                <w:szCs w:val="22"/>
              </w:rPr>
              <w:t xml:space="preserve">Bombina variagata scabra </w:t>
            </w:r>
          </w:p>
        </w:tc>
        <w:tc>
          <w:tcPr>
            <w:tcW w:w="2322" w:type="dxa"/>
            <w:shd w:val="clear" w:color="auto" w:fill="CDDDAC"/>
          </w:tcPr>
          <w:p w:rsidR="004B071C" w:rsidRPr="00F81955" w:rsidRDefault="004B071C" w:rsidP="00332715">
            <w:pPr>
              <w:jc w:val="center"/>
              <w:rPr>
                <w:rFonts w:ascii="Constantia" w:hAnsi="Constantia"/>
                <w:szCs w:val="22"/>
              </w:rPr>
            </w:pPr>
            <w:r w:rsidRPr="00F81955">
              <w:rPr>
                <w:rFonts w:ascii="Constantia" w:hAnsi="Constantia"/>
                <w:szCs w:val="22"/>
              </w:rPr>
              <w:t>Uzgoj/reprodukcija</w:t>
            </w:r>
          </w:p>
        </w:tc>
        <w:tc>
          <w:tcPr>
            <w:tcW w:w="2322" w:type="dxa"/>
            <w:shd w:val="clear" w:color="auto" w:fill="CDDDAC"/>
          </w:tcPr>
          <w:p w:rsidR="004B071C" w:rsidRPr="00F81955" w:rsidRDefault="004B071C" w:rsidP="00332715">
            <w:pPr>
              <w:spacing w:before="60" w:after="240"/>
              <w:jc w:val="left"/>
              <w:rPr>
                <w:rFonts w:ascii="Constantia" w:hAnsi="Constantia"/>
                <w:szCs w:val="22"/>
                <w:lang w:val="sr-Latn-CS"/>
              </w:rPr>
            </w:pPr>
            <w:r w:rsidRPr="00F81955">
              <w:rPr>
                <w:rFonts w:ascii="Constantia" w:hAnsi="Constantia"/>
                <w:szCs w:val="22"/>
                <w:lang w:val="sr-Latn-CS"/>
              </w:rPr>
              <w:t>Zadovoljavajuće stanje populacije</w:t>
            </w:r>
          </w:p>
        </w:tc>
        <w:tc>
          <w:tcPr>
            <w:tcW w:w="2124" w:type="dxa"/>
            <w:shd w:val="clear" w:color="auto" w:fill="CDDDAC"/>
          </w:tcPr>
          <w:p w:rsidR="004B071C" w:rsidRPr="00F81955" w:rsidRDefault="004B071C" w:rsidP="00332715">
            <w:pPr>
              <w:jc w:val="center"/>
              <w:rPr>
                <w:rFonts w:ascii="Constantia" w:hAnsi="Constantia"/>
                <w:szCs w:val="22"/>
              </w:rPr>
            </w:pPr>
            <w:r w:rsidRPr="00F81955">
              <w:rPr>
                <w:rFonts w:ascii="Constantia" w:hAnsi="Constantia"/>
                <w:szCs w:val="22"/>
              </w:rPr>
              <w:t>II (B)</w:t>
            </w:r>
          </w:p>
        </w:tc>
      </w:tr>
      <w:tr w:rsidR="004B071C" w:rsidRPr="00F81955" w:rsidTr="00332715">
        <w:tc>
          <w:tcPr>
            <w:tcW w:w="2322" w:type="dxa"/>
            <w:shd w:val="clear" w:color="auto" w:fill="E6EED5"/>
          </w:tcPr>
          <w:p w:rsidR="004B071C" w:rsidRPr="00F81955" w:rsidRDefault="004B071C" w:rsidP="00332715">
            <w:pPr>
              <w:jc w:val="left"/>
              <w:rPr>
                <w:rFonts w:ascii="Constantia" w:hAnsi="Constantia"/>
                <w:b/>
                <w:bCs/>
                <w:i/>
                <w:szCs w:val="22"/>
              </w:rPr>
            </w:pPr>
            <w:r w:rsidRPr="00F81955">
              <w:rPr>
                <w:rFonts w:ascii="Constantia" w:hAnsi="Constantia"/>
                <w:b/>
                <w:bCs/>
                <w:i/>
                <w:szCs w:val="22"/>
              </w:rPr>
              <w:t xml:space="preserve">Pelophylax ridibunda </w:t>
            </w:r>
          </w:p>
        </w:tc>
        <w:tc>
          <w:tcPr>
            <w:tcW w:w="2322" w:type="dxa"/>
            <w:shd w:val="clear" w:color="auto" w:fill="E6EED5"/>
          </w:tcPr>
          <w:p w:rsidR="004B071C" w:rsidRPr="00F81955" w:rsidRDefault="004B071C" w:rsidP="00332715">
            <w:pPr>
              <w:jc w:val="center"/>
              <w:rPr>
                <w:rFonts w:ascii="Constantia" w:hAnsi="Constantia"/>
                <w:szCs w:val="22"/>
              </w:rPr>
            </w:pPr>
            <w:r w:rsidRPr="00F81955">
              <w:rPr>
                <w:rFonts w:ascii="Constantia" w:hAnsi="Constantia"/>
                <w:szCs w:val="22"/>
              </w:rPr>
              <w:t>Uzgoj/reprodukcija</w:t>
            </w:r>
          </w:p>
        </w:tc>
        <w:tc>
          <w:tcPr>
            <w:tcW w:w="2322" w:type="dxa"/>
            <w:shd w:val="clear" w:color="auto" w:fill="E6EED5"/>
          </w:tcPr>
          <w:p w:rsidR="004B071C" w:rsidRPr="00F81955" w:rsidRDefault="004B071C" w:rsidP="00332715">
            <w:pPr>
              <w:spacing w:before="60" w:after="240"/>
              <w:jc w:val="left"/>
              <w:rPr>
                <w:rFonts w:ascii="Constantia" w:hAnsi="Constantia"/>
                <w:szCs w:val="22"/>
                <w:lang w:val="sr-Latn-CS"/>
              </w:rPr>
            </w:pPr>
            <w:r w:rsidRPr="00F81955">
              <w:rPr>
                <w:rFonts w:ascii="Constantia" w:hAnsi="Constantia"/>
                <w:szCs w:val="22"/>
                <w:lang w:val="sr-Latn-CS"/>
              </w:rPr>
              <w:t>Zadovoljavajuće stanje populacije</w:t>
            </w:r>
          </w:p>
        </w:tc>
        <w:tc>
          <w:tcPr>
            <w:tcW w:w="2124" w:type="dxa"/>
            <w:shd w:val="clear" w:color="auto" w:fill="E6EED5"/>
          </w:tcPr>
          <w:p w:rsidR="004B071C" w:rsidRPr="00F81955" w:rsidRDefault="004B071C" w:rsidP="00332715">
            <w:pPr>
              <w:jc w:val="center"/>
              <w:rPr>
                <w:rFonts w:ascii="Constantia" w:hAnsi="Constantia"/>
                <w:szCs w:val="22"/>
              </w:rPr>
            </w:pPr>
            <w:r w:rsidRPr="00F81955">
              <w:rPr>
                <w:rFonts w:ascii="Constantia" w:hAnsi="Constantia"/>
                <w:szCs w:val="22"/>
              </w:rPr>
              <w:t>II (B)</w:t>
            </w:r>
          </w:p>
        </w:tc>
      </w:tr>
      <w:tr w:rsidR="004B071C" w:rsidRPr="00F81955" w:rsidTr="00332715">
        <w:trPr>
          <w:trHeight w:val="605"/>
        </w:trPr>
        <w:tc>
          <w:tcPr>
            <w:tcW w:w="2322" w:type="dxa"/>
            <w:shd w:val="clear" w:color="auto" w:fill="CDDDAC"/>
          </w:tcPr>
          <w:p w:rsidR="004B071C" w:rsidRPr="00F81955" w:rsidRDefault="004B071C" w:rsidP="00332715">
            <w:pPr>
              <w:jc w:val="left"/>
              <w:rPr>
                <w:rFonts w:ascii="Constantia" w:hAnsi="Constantia"/>
                <w:b/>
                <w:bCs/>
                <w:i/>
                <w:szCs w:val="22"/>
              </w:rPr>
            </w:pPr>
            <w:r w:rsidRPr="00F81955">
              <w:rPr>
                <w:rFonts w:ascii="Constantia" w:hAnsi="Constantia"/>
                <w:b/>
                <w:bCs/>
                <w:i/>
                <w:szCs w:val="22"/>
              </w:rPr>
              <w:t xml:space="preserve"> Podarcis muralis </w:t>
            </w:r>
          </w:p>
        </w:tc>
        <w:tc>
          <w:tcPr>
            <w:tcW w:w="2322" w:type="dxa"/>
            <w:shd w:val="clear" w:color="auto" w:fill="CDDDAC"/>
          </w:tcPr>
          <w:p w:rsidR="004B071C" w:rsidRPr="00F81955" w:rsidRDefault="004B071C" w:rsidP="00332715">
            <w:pPr>
              <w:jc w:val="center"/>
              <w:rPr>
                <w:rFonts w:ascii="Constantia" w:hAnsi="Constantia"/>
                <w:szCs w:val="22"/>
              </w:rPr>
            </w:pPr>
            <w:r w:rsidRPr="00F81955">
              <w:rPr>
                <w:rFonts w:ascii="Constantia" w:hAnsi="Constantia"/>
                <w:szCs w:val="22"/>
              </w:rPr>
              <w:t>Uzgoj/reprodukcija</w:t>
            </w:r>
          </w:p>
        </w:tc>
        <w:tc>
          <w:tcPr>
            <w:tcW w:w="2322" w:type="dxa"/>
            <w:shd w:val="clear" w:color="auto" w:fill="CDDDAC"/>
          </w:tcPr>
          <w:p w:rsidR="004B071C" w:rsidRPr="00F81955" w:rsidRDefault="004B071C" w:rsidP="00332715">
            <w:pPr>
              <w:spacing w:before="60" w:after="240"/>
              <w:jc w:val="left"/>
              <w:rPr>
                <w:rFonts w:ascii="Constantia" w:hAnsi="Constantia"/>
                <w:szCs w:val="22"/>
                <w:lang w:val="sr-Latn-CS"/>
              </w:rPr>
            </w:pPr>
            <w:r w:rsidRPr="00F81955">
              <w:rPr>
                <w:rFonts w:ascii="Constantia" w:hAnsi="Constantia"/>
                <w:szCs w:val="22"/>
                <w:lang w:val="sr-Latn-CS"/>
              </w:rPr>
              <w:t>Zadovoljavajuće stanje populacije</w:t>
            </w:r>
          </w:p>
        </w:tc>
        <w:tc>
          <w:tcPr>
            <w:tcW w:w="2124" w:type="dxa"/>
            <w:shd w:val="clear" w:color="auto" w:fill="CDDDAC"/>
          </w:tcPr>
          <w:p w:rsidR="004B071C" w:rsidRPr="00F81955" w:rsidRDefault="004B071C" w:rsidP="00332715">
            <w:pPr>
              <w:jc w:val="center"/>
              <w:rPr>
                <w:rFonts w:ascii="Constantia" w:hAnsi="Constantia"/>
                <w:szCs w:val="22"/>
              </w:rPr>
            </w:pPr>
            <w:r w:rsidRPr="00F81955">
              <w:rPr>
                <w:rFonts w:ascii="Constantia" w:hAnsi="Constantia"/>
                <w:szCs w:val="22"/>
              </w:rPr>
              <w:t>II (B)</w:t>
            </w:r>
          </w:p>
        </w:tc>
      </w:tr>
      <w:tr w:rsidR="004B071C" w:rsidRPr="00F81955" w:rsidTr="00332715">
        <w:trPr>
          <w:trHeight w:val="515"/>
        </w:trPr>
        <w:tc>
          <w:tcPr>
            <w:tcW w:w="2322" w:type="dxa"/>
            <w:shd w:val="clear" w:color="auto" w:fill="E6EED5"/>
          </w:tcPr>
          <w:p w:rsidR="004B071C" w:rsidRPr="00F81955" w:rsidRDefault="004B071C" w:rsidP="00332715">
            <w:pPr>
              <w:jc w:val="left"/>
              <w:rPr>
                <w:rFonts w:ascii="Constantia" w:hAnsi="Constantia"/>
                <w:b/>
                <w:bCs/>
                <w:i/>
                <w:szCs w:val="22"/>
              </w:rPr>
            </w:pPr>
            <w:r w:rsidRPr="00F81955">
              <w:rPr>
                <w:rFonts w:ascii="Constantia" w:hAnsi="Constantia"/>
                <w:b/>
                <w:bCs/>
                <w:i/>
                <w:szCs w:val="22"/>
              </w:rPr>
              <w:t>Lacerta viridis</w:t>
            </w:r>
          </w:p>
        </w:tc>
        <w:tc>
          <w:tcPr>
            <w:tcW w:w="2322" w:type="dxa"/>
            <w:shd w:val="clear" w:color="auto" w:fill="E6EED5"/>
          </w:tcPr>
          <w:p w:rsidR="004B071C" w:rsidRPr="00F81955" w:rsidRDefault="004B071C" w:rsidP="00332715">
            <w:pPr>
              <w:jc w:val="center"/>
              <w:rPr>
                <w:rFonts w:ascii="Constantia" w:hAnsi="Constantia"/>
                <w:szCs w:val="22"/>
              </w:rPr>
            </w:pPr>
            <w:r w:rsidRPr="00F81955">
              <w:rPr>
                <w:rFonts w:ascii="Constantia" w:hAnsi="Constantia"/>
                <w:szCs w:val="22"/>
              </w:rPr>
              <w:t>Uzgoj/reprodukcija</w:t>
            </w:r>
          </w:p>
        </w:tc>
        <w:tc>
          <w:tcPr>
            <w:tcW w:w="2322" w:type="dxa"/>
            <w:shd w:val="clear" w:color="auto" w:fill="E6EED5"/>
          </w:tcPr>
          <w:p w:rsidR="004B071C" w:rsidRPr="00F81955" w:rsidRDefault="004B071C" w:rsidP="00332715">
            <w:pPr>
              <w:spacing w:before="60" w:after="240"/>
              <w:jc w:val="left"/>
              <w:rPr>
                <w:rFonts w:ascii="Constantia" w:hAnsi="Constantia"/>
                <w:szCs w:val="22"/>
                <w:lang w:val="sr-Latn-CS"/>
              </w:rPr>
            </w:pPr>
            <w:r w:rsidRPr="00F81955">
              <w:rPr>
                <w:rFonts w:ascii="Constantia" w:hAnsi="Constantia"/>
                <w:szCs w:val="22"/>
                <w:lang w:val="sr-Latn-CS"/>
              </w:rPr>
              <w:t>Zadovoljavajuće stanje populacije</w:t>
            </w:r>
          </w:p>
        </w:tc>
        <w:tc>
          <w:tcPr>
            <w:tcW w:w="2124" w:type="dxa"/>
            <w:shd w:val="clear" w:color="auto" w:fill="E6EED5"/>
          </w:tcPr>
          <w:p w:rsidR="004B071C" w:rsidRPr="00F81955" w:rsidRDefault="004B071C" w:rsidP="00332715">
            <w:pPr>
              <w:jc w:val="center"/>
              <w:rPr>
                <w:rFonts w:ascii="Constantia" w:hAnsi="Constantia"/>
                <w:szCs w:val="22"/>
              </w:rPr>
            </w:pPr>
            <w:r w:rsidRPr="00F81955">
              <w:rPr>
                <w:rFonts w:ascii="Constantia" w:hAnsi="Constantia"/>
                <w:szCs w:val="22"/>
              </w:rPr>
              <w:t>II (B)</w:t>
            </w:r>
          </w:p>
        </w:tc>
      </w:tr>
      <w:tr w:rsidR="004B071C" w:rsidRPr="00F81955" w:rsidTr="00332715">
        <w:trPr>
          <w:trHeight w:val="614"/>
        </w:trPr>
        <w:tc>
          <w:tcPr>
            <w:tcW w:w="2322" w:type="dxa"/>
            <w:shd w:val="clear" w:color="auto" w:fill="CDDDAC"/>
          </w:tcPr>
          <w:p w:rsidR="004B071C" w:rsidRPr="00F81955" w:rsidRDefault="004B071C" w:rsidP="00332715">
            <w:pPr>
              <w:jc w:val="left"/>
              <w:rPr>
                <w:rFonts w:ascii="Constantia" w:hAnsi="Constantia"/>
                <w:b/>
                <w:bCs/>
                <w:i/>
                <w:szCs w:val="22"/>
              </w:rPr>
            </w:pPr>
            <w:r w:rsidRPr="00F81955">
              <w:rPr>
                <w:rFonts w:ascii="Constantia" w:hAnsi="Constantia"/>
                <w:b/>
                <w:bCs/>
                <w:i/>
                <w:szCs w:val="22"/>
              </w:rPr>
              <w:t>Vipera ammodytes</w:t>
            </w:r>
          </w:p>
        </w:tc>
        <w:tc>
          <w:tcPr>
            <w:tcW w:w="2322" w:type="dxa"/>
            <w:shd w:val="clear" w:color="auto" w:fill="CDDDAC"/>
          </w:tcPr>
          <w:p w:rsidR="004B071C" w:rsidRPr="00F81955" w:rsidRDefault="004B071C" w:rsidP="00332715">
            <w:pPr>
              <w:jc w:val="center"/>
              <w:rPr>
                <w:rFonts w:ascii="Constantia" w:hAnsi="Constantia"/>
                <w:szCs w:val="22"/>
              </w:rPr>
            </w:pPr>
            <w:r w:rsidRPr="00F81955">
              <w:rPr>
                <w:rFonts w:ascii="Constantia" w:hAnsi="Constantia"/>
                <w:szCs w:val="22"/>
              </w:rPr>
              <w:t>Uzgoj/reprodukcija</w:t>
            </w:r>
          </w:p>
        </w:tc>
        <w:tc>
          <w:tcPr>
            <w:tcW w:w="2322" w:type="dxa"/>
            <w:shd w:val="clear" w:color="auto" w:fill="CDDDAC"/>
          </w:tcPr>
          <w:p w:rsidR="004B071C" w:rsidRPr="00F81955" w:rsidRDefault="004B071C" w:rsidP="00332715">
            <w:pPr>
              <w:spacing w:before="60" w:after="240"/>
              <w:jc w:val="left"/>
              <w:rPr>
                <w:rFonts w:ascii="Constantia" w:hAnsi="Constantia"/>
                <w:szCs w:val="22"/>
                <w:lang w:val="sr-Latn-CS"/>
              </w:rPr>
            </w:pPr>
            <w:r w:rsidRPr="00F81955">
              <w:rPr>
                <w:rFonts w:ascii="Constantia" w:hAnsi="Constantia"/>
                <w:szCs w:val="22"/>
                <w:lang w:val="sr-Latn-CS"/>
              </w:rPr>
              <w:t>Populacija u odličnom stanju</w:t>
            </w:r>
          </w:p>
        </w:tc>
        <w:tc>
          <w:tcPr>
            <w:tcW w:w="2124" w:type="dxa"/>
            <w:shd w:val="clear" w:color="auto" w:fill="CDDDAC"/>
          </w:tcPr>
          <w:p w:rsidR="004B071C" w:rsidRPr="00F81955" w:rsidRDefault="004B071C" w:rsidP="00332715">
            <w:pPr>
              <w:jc w:val="center"/>
              <w:rPr>
                <w:rFonts w:ascii="Constantia" w:hAnsi="Constantia"/>
                <w:szCs w:val="22"/>
              </w:rPr>
            </w:pPr>
            <w:r w:rsidRPr="00F81955">
              <w:rPr>
                <w:rFonts w:ascii="Constantia" w:hAnsi="Constantia"/>
                <w:szCs w:val="22"/>
              </w:rPr>
              <w:t>II (B)</w:t>
            </w:r>
          </w:p>
        </w:tc>
      </w:tr>
    </w:tbl>
    <w:p w:rsidR="004B071C" w:rsidRPr="00332715" w:rsidRDefault="00332715" w:rsidP="004B071C">
      <w:pPr>
        <w:pStyle w:val="Tabele"/>
        <w:spacing w:before="60" w:after="240"/>
        <w:ind w:left="714" w:hanging="357"/>
        <w:rPr>
          <w:rFonts w:ascii="Constantia" w:hAnsi="Constantia"/>
          <w:sz w:val="22"/>
          <w:szCs w:val="22"/>
        </w:rPr>
      </w:pPr>
      <w:r>
        <w:t xml:space="preserve">  </w:t>
      </w:r>
      <w:r w:rsidR="004B071C" w:rsidRPr="00332715">
        <w:rPr>
          <w:rFonts w:ascii="Constantia" w:hAnsi="Constantia"/>
          <w:sz w:val="22"/>
          <w:szCs w:val="22"/>
        </w:rPr>
        <w:t>Herpetofauna</w:t>
      </w:r>
    </w:p>
    <w:p w:rsidR="004B071C" w:rsidRDefault="004B071C" w:rsidP="008206C3">
      <w:pPr>
        <w:spacing w:before="60" w:after="0"/>
        <w:rPr>
          <w:i/>
          <w:szCs w:val="22"/>
          <w:lang w:val="sr-Latn-CS"/>
        </w:rPr>
      </w:pPr>
    </w:p>
    <w:p w:rsidR="004B071C" w:rsidRPr="008206C3" w:rsidRDefault="008206C3" w:rsidP="008206C3">
      <w:pPr>
        <w:pStyle w:val="Heading4"/>
        <w:numPr>
          <w:ilvl w:val="0"/>
          <w:numId w:val="0"/>
        </w:numPr>
        <w:ind w:left="1134" w:hanging="1134"/>
        <w:rPr>
          <w:sz w:val="22"/>
          <w:szCs w:val="22"/>
          <w:lang w:val="sr-Latn-CS"/>
        </w:rPr>
      </w:pPr>
      <w:r w:rsidRPr="008206C3">
        <w:rPr>
          <w:sz w:val="22"/>
          <w:szCs w:val="22"/>
          <w:lang w:val="sr-Latn-CS"/>
        </w:rPr>
        <w:t xml:space="preserve">6.3.4.7  </w:t>
      </w:r>
      <w:r w:rsidR="004B071C" w:rsidRPr="008206C3">
        <w:rPr>
          <w:sz w:val="22"/>
          <w:szCs w:val="22"/>
          <w:lang w:val="sr-Latn-CS"/>
        </w:rPr>
        <w:t>Sisari (Mammalia)</w:t>
      </w:r>
    </w:p>
    <w:p w:rsidR="004B071C" w:rsidRPr="00EA05D6" w:rsidRDefault="004B071C" w:rsidP="008206C3">
      <w:pPr>
        <w:spacing w:before="60" w:after="0"/>
        <w:rPr>
          <w:szCs w:val="22"/>
          <w:lang w:val="sr-Latn-CS"/>
        </w:rPr>
      </w:pPr>
    </w:p>
    <w:tbl>
      <w:tblPr>
        <w:tblW w:w="9090" w:type="dxa"/>
        <w:tblInd w:w="108"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firstRow="1" w:lastRow="0" w:firstColumn="1" w:lastColumn="0" w:noHBand="0" w:noVBand="1"/>
      </w:tblPr>
      <w:tblGrid>
        <w:gridCol w:w="1956"/>
        <w:gridCol w:w="7134"/>
      </w:tblGrid>
      <w:tr w:rsidR="004B071C" w:rsidRPr="00F81955" w:rsidTr="008206C3">
        <w:tc>
          <w:tcPr>
            <w:tcW w:w="1956" w:type="dxa"/>
            <w:shd w:val="clear" w:color="auto" w:fill="E6EED5"/>
          </w:tcPr>
          <w:p w:rsidR="004B071C" w:rsidRPr="00F81955" w:rsidRDefault="004B071C" w:rsidP="004E680E">
            <w:pPr>
              <w:spacing w:after="0"/>
              <w:jc w:val="left"/>
              <w:rPr>
                <w:rFonts w:ascii="Constantia" w:hAnsi="Constantia" w:cs="Arial"/>
                <w:b/>
                <w:bCs/>
                <w:color w:val="000000"/>
                <w:szCs w:val="22"/>
              </w:rPr>
            </w:pPr>
            <w:r w:rsidRPr="00F81955">
              <w:rPr>
                <w:rFonts w:ascii="Constantia" w:hAnsi="Constantia" w:cs="Arial"/>
                <w:b/>
                <w:bCs/>
                <w:color w:val="000000"/>
                <w:szCs w:val="22"/>
              </w:rPr>
              <w:t>Lokacija</w:t>
            </w:r>
          </w:p>
        </w:tc>
        <w:tc>
          <w:tcPr>
            <w:tcW w:w="7134" w:type="dxa"/>
            <w:shd w:val="clear" w:color="auto" w:fill="E6EED5"/>
          </w:tcPr>
          <w:p w:rsidR="004B071C" w:rsidRPr="00F81955" w:rsidRDefault="004B071C" w:rsidP="004E680E">
            <w:pPr>
              <w:spacing w:after="0"/>
              <w:jc w:val="left"/>
              <w:rPr>
                <w:rFonts w:ascii="Constantia" w:hAnsi="Constantia" w:cs="Arial"/>
                <w:b/>
                <w:bCs/>
                <w:color w:val="000000"/>
                <w:szCs w:val="22"/>
              </w:rPr>
            </w:pPr>
            <w:r w:rsidRPr="00F81955">
              <w:rPr>
                <w:rFonts w:ascii="Constantia" w:hAnsi="Constantia" w:cs="Arial"/>
                <w:b/>
                <w:bCs/>
                <w:color w:val="000000"/>
                <w:szCs w:val="22"/>
              </w:rPr>
              <w:t xml:space="preserve">Registrovane vrste </w:t>
            </w:r>
          </w:p>
        </w:tc>
      </w:tr>
      <w:tr w:rsidR="004B071C" w:rsidRPr="00F81955" w:rsidTr="008206C3">
        <w:tc>
          <w:tcPr>
            <w:tcW w:w="1956" w:type="dxa"/>
            <w:shd w:val="clear" w:color="auto" w:fill="CDDDAC"/>
          </w:tcPr>
          <w:p w:rsidR="004B071C" w:rsidRPr="00F81955" w:rsidRDefault="004B071C" w:rsidP="004E680E">
            <w:pPr>
              <w:spacing w:after="0"/>
              <w:jc w:val="left"/>
              <w:rPr>
                <w:rFonts w:ascii="Constantia" w:hAnsi="Constantia" w:cs="Arial"/>
                <w:b/>
                <w:bCs/>
                <w:color w:val="000000"/>
                <w:szCs w:val="22"/>
              </w:rPr>
            </w:pPr>
            <w:r w:rsidRPr="00F81955">
              <w:rPr>
                <w:rFonts w:ascii="Constantia" w:hAnsi="Constantia" w:cs="Arial"/>
                <w:b/>
                <w:bCs/>
                <w:color w:val="000000"/>
                <w:szCs w:val="22"/>
              </w:rPr>
              <w:t>Dolina rijeke Lim</w:t>
            </w:r>
          </w:p>
        </w:tc>
        <w:tc>
          <w:tcPr>
            <w:tcW w:w="7134" w:type="dxa"/>
            <w:shd w:val="clear" w:color="auto" w:fill="CDDDAC"/>
          </w:tcPr>
          <w:p w:rsidR="004B071C" w:rsidRPr="00F81955" w:rsidRDefault="004B071C" w:rsidP="004E680E">
            <w:pPr>
              <w:spacing w:after="0"/>
              <w:rPr>
                <w:rFonts w:ascii="Constantia" w:hAnsi="Constantia" w:cs="Arial"/>
                <w:bCs/>
                <w:color w:val="000000"/>
                <w:szCs w:val="22"/>
              </w:rPr>
            </w:pPr>
            <w:r w:rsidRPr="00F81955">
              <w:rPr>
                <w:rFonts w:ascii="Constantia" w:hAnsi="Constantia" w:cs="Arial"/>
                <w:bCs/>
                <w:color w:val="000000"/>
                <w:szCs w:val="22"/>
              </w:rPr>
              <w:t>Divokoza (</w:t>
            </w:r>
            <w:r w:rsidRPr="00F81955">
              <w:rPr>
                <w:rFonts w:ascii="Constantia" w:hAnsi="Constantia" w:cs="Arial"/>
                <w:bCs/>
                <w:i/>
                <w:color w:val="000000"/>
                <w:szCs w:val="22"/>
              </w:rPr>
              <w:t>Rupicarpa rupicarpa</w:t>
            </w:r>
            <w:r w:rsidRPr="00F81955">
              <w:rPr>
                <w:rFonts w:ascii="Constantia" w:hAnsi="Constantia" w:cs="Arial"/>
                <w:bCs/>
                <w:color w:val="000000"/>
                <w:szCs w:val="22"/>
              </w:rPr>
              <w:t>), Srna (</w:t>
            </w:r>
            <w:r w:rsidRPr="00F81955">
              <w:rPr>
                <w:rFonts w:ascii="Constantia" w:hAnsi="Constantia" w:cs="Arial"/>
                <w:bCs/>
                <w:i/>
                <w:color w:val="000000"/>
                <w:szCs w:val="22"/>
              </w:rPr>
              <w:t>Capreolus capreolus</w:t>
            </w:r>
            <w:r w:rsidRPr="00F81955">
              <w:rPr>
                <w:rFonts w:ascii="Constantia" w:hAnsi="Constantia" w:cs="Arial"/>
                <w:bCs/>
                <w:color w:val="000000"/>
                <w:szCs w:val="22"/>
              </w:rPr>
              <w:t>), Divlja svinja (</w:t>
            </w:r>
            <w:r w:rsidRPr="00F81955">
              <w:rPr>
                <w:rFonts w:ascii="Constantia" w:hAnsi="Constantia" w:cs="Arial"/>
                <w:bCs/>
                <w:i/>
                <w:color w:val="000000"/>
                <w:szCs w:val="22"/>
              </w:rPr>
              <w:t>Sus scrofa</w:t>
            </w:r>
            <w:r w:rsidRPr="00F81955">
              <w:rPr>
                <w:rFonts w:ascii="Constantia" w:hAnsi="Constantia" w:cs="Arial"/>
                <w:bCs/>
                <w:color w:val="000000"/>
                <w:szCs w:val="22"/>
              </w:rPr>
              <w:t>), Zec (</w:t>
            </w:r>
            <w:r w:rsidRPr="00F81955">
              <w:rPr>
                <w:rFonts w:ascii="Constantia" w:hAnsi="Constantia" w:cs="Arial"/>
                <w:bCs/>
                <w:i/>
                <w:color w:val="000000"/>
                <w:szCs w:val="22"/>
              </w:rPr>
              <w:t>Lepus europeus</w:t>
            </w:r>
            <w:r w:rsidR="008206C3" w:rsidRPr="00F81955">
              <w:rPr>
                <w:rFonts w:ascii="Constantia" w:hAnsi="Constantia" w:cs="Arial"/>
                <w:bCs/>
                <w:color w:val="000000"/>
                <w:szCs w:val="22"/>
              </w:rPr>
              <w:t>), Medv</w:t>
            </w:r>
            <w:r w:rsidRPr="00F81955">
              <w:rPr>
                <w:rFonts w:ascii="Constantia" w:hAnsi="Constantia" w:cs="Arial"/>
                <w:bCs/>
                <w:color w:val="000000"/>
                <w:szCs w:val="22"/>
              </w:rPr>
              <w:t>ed (</w:t>
            </w:r>
            <w:r w:rsidRPr="00F81955">
              <w:rPr>
                <w:rFonts w:ascii="Constantia" w:hAnsi="Constantia" w:cs="Arial"/>
                <w:bCs/>
                <w:i/>
                <w:color w:val="000000"/>
                <w:szCs w:val="22"/>
              </w:rPr>
              <w:t>Ursus arctos</w:t>
            </w:r>
            <w:r w:rsidRPr="00F81955">
              <w:rPr>
                <w:rFonts w:ascii="Constantia" w:hAnsi="Constantia" w:cs="Arial"/>
                <w:bCs/>
                <w:color w:val="000000"/>
                <w:szCs w:val="22"/>
              </w:rPr>
              <w:t>) , Vuk (</w:t>
            </w:r>
            <w:r w:rsidRPr="00F81955">
              <w:rPr>
                <w:rFonts w:ascii="Constantia" w:hAnsi="Constantia" w:cs="Arial"/>
                <w:bCs/>
                <w:i/>
                <w:color w:val="000000"/>
                <w:szCs w:val="22"/>
              </w:rPr>
              <w:t>Canis lupus</w:t>
            </w:r>
            <w:r w:rsidRPr="00F81955">
              <w:rPr>
                <w:rFonts w:ascii="Constantia" w:hAnsi="Constantia" w:cs="Arial"/>
                <w:bCs/>
                <w:color w:val="000000"/>
                <w:szCs w:val="22"/>
              </w:rPr>
              <w:t>), Lisica (</w:t>
            </w:r>
            <w:r w:rsidRPr="00F81955">
              <w:rPr>
                <w:rFonts w:ascii="Constantia" w:hAnsi="Constantia" w:cs="Arial"/>
                <w:bCs/>
                <w:i/>
                <w:color w:val="000000"/>
                <w:szCs w:val="22"/>
              </w:rPr>
              <w:t>Vulpes vulpes</w:t>
            </w:r>
            <w:r w:rsidRPr="00F81955">
              <w:rPr>
                <w:rFonts w:ascii="Constantia" w:hAnsi="Constantia" w:cs="Arial"/>
                <w:bCs/>
                <w:color w:val="000000"/>
                <w:szCs w:val="22"/>
              </w:rPr>
              <w:t>), Kuna (</w:t>
            </w:r>
            <w:r w:rsidRPr="00F81955">
              <w:rPr>
                <w:rFonts w:ascii="Constantia" w:hAnsi="Constantia" w:cs="Arial"/>
                <w:bCs/>
                <w:i/>
                <w:color w:val="000000"/>
                <w:szCs w:val="22"/>
              </w:rPr>
              <w:t>Martes sp.</w:t>
            </w:r>
            <w:r w:rsidRPr="00F81955">
              <w:rPr>
                <w:rFonts w:ascii="Constantia" w:hAnsi="Constantia" w:cs="Arial"/>
                <w:bCs/>
                <w:color w:val="000000"/>
                <w:szCs w:val="22"/>
              </w:rPr>
              <w:t>), puh (</w:t>
            </w:r>
            <w:r w:rsidRPr="00F81955">
              <w:rPr>
                <w:rFonts w:ascii="Constantia" w:hAnsi="Constantia" w:cs="Arial"/>
                <w:bCs/>
                <w:i/>
                <w:color w:val="000000"/>
                <w:szCs w:val="22"/>
              </w:rPr>
              <w:t>Glis glis</w:t>
            </w:r>
            <w:r w:rsidRPr="00F81955">
              <w:rPr>
                <w:rFonts w:ascii="Constantia" w:hAnsi="Constantia" w:cs="Arial"/>
                <w:bCs/>
                <w:color w:val="000000"/>
                <w:szCs w:val="22"/>
              </w:rPr>
              <w:t>), Vjeverica (</w:t>
            </w:r>
            <w:r w:rsidRPr="00F81955">
              <w:rPr>
                <w:rFonts w:ascii="Constantia" w:hAnsi="Constantia" w:cs="Arial"/>
                <w:bCs/>
                <w:i/>
                <w:color w:val="000000"/>
                <w:szCs w:val="22"/>
              </w:rPr>
              <w:t>Sciurus vulgaris</w:t>
            </w:r>
            <w:r w:rsidRPr="00F81955">
              <w:rPr>
                <w:rFonts w:ascii="Constantia" w:hAnsi="Constantia" w:cs="Arial"/>
                <w:bCs/>
                <w:color w:val="000000"/>
                <w:szCs w:val="22"/>
              </w:rPr>
              <w:t>), Lasica (</w:t>
            </w:r>
            <w:r w:rsidRPr="00F81955">
              <w:rPr>
                <w:rFonts w:ascii="Constantia" w:hAnsi="Constantia" w:cs="Arial"/>
                <w:bCs/>
                <w:i/>
                <w:color w:val="000000"/>
                <w:szCs w:val="22"/>
              </w:rPr>
              <w:t>Mustela sp.</w:t>
            </w:r>
            <w:r w:rsidRPr="00F81955">
              <w:rPr>
                <w:rFonts w:ascii="Constantia" w:hAnsi="Constantia" w:cs="Arial"/>
                <w:bCs/>
                <w:color w:val="000000"/>
                <w:szCs w:val="22"/>
              </w:rPr>
              <w:t>) i Vidra (</w:t>
            </w:r>
            <w:r w:rsidRPr="00F81955">
              <w:rPr>
                <w:rFonts w:ascii="Constantia" w:hAnsi="Constantia" w:cs="Arial"/>
                <w:bCs/>
                <w:i/>
                <w:color w:val="000000"/>
                <w:szCs w:val="22"/>
              </w:rPr>
              <w:t>Lutra lutra</w:t>
            </w:r>
            <w:r w:rsidRPr="00F81955">
              <w:rPr>
                <w:rFonts w:ascii="Constantia" w:hAnsi="Constantia" w:cs="Arial"/>
                <w:bCs/>
                <w:color w:val="000000"/>
                <w:szCs w:val="22"/>
              </w:rPr>
              <w:t>)</w:t>
            </w:r>
            <w:r w:rsidR="008206C3" w:rsidRPr="00F81955">
              <w:rPr>
                <w:rFonts w:ascii="Constantia" w:hAnsi="Constantia" w:cs="Arial"/>
                <w:bCs/>
                <w:color w:val="000000"/>
                <w:szCs w:val="22"/>
              </w:rPr>
              <w:t>.</w:t>
            </w:r>
          </w:p>
        </w:tc>
      </w:tr>
    </w:tbl>
    <w:p w:rsidR="004B071C" w:rsidRDefault="00C51C71" w:rsidP="004B071C">
      <w:pPr>
        <w:pStyle w:val="Tabele"/>
        <w:spacing w:before="60" w:after="240"/>
        <w:ind w:left="714" w:hanging="357"/>
        <w:rPr>
          <w:rFonts w:ascii="Constantia" w:hAnsi="Constantia"/>
          <w:sz w:val="22"/>
          <w:szCs w:val="22"/>
        </w:rPr>
      </w:pPr>
      <w:r>
        <w:t xml:space="preserve"> </w:t>
      </w:r>
      <w:r w:rsidR="004B071C" w:rsidRPr="00C51C71">
        <w:rPr>
          <w:rFonts w:ascii="Constantia" w:hAnsi="Constantia"/>
          <w:sz w:val="22"/>
          <w:szCs w:val="22"/>
        </w:rPr>
        <w:t>Sisari</w:t>
      </w:r>
    </w:p>
    <w:p w:rsidR="00C51C71" w:rsidRPr="00C51C71" w:rsidRDefault="00C51C71" w:rsidP="00C51C71">
      <w:pPr>
        <w:pStyle w:val="Tabele"/>
        <w:numPr>
          <w:ilvl w:val="0"/>
          <w:numId w:val="0"/>
        </w:numPr>
        <w:spacing w:before="0" w:after="0"/>
        <w:ind w:left="357"/>
        <w:jc w:val="both"/>
        <w:rPr>
          <w:rFonts w:ascii="Constantia" w:hAnsi="Constantia"/>
          <w:sz w:val="22"/>
          <w:szCs w:val="22"/>
        </w:rPr>
      </w:pPr>
    </w:p>
    <w:p w:rsidR="004B071C" w:rsidRDefault="00C74FC9" w:rsidP="00C74FC9">
      <w:pPr>
        <w:pStyle w:val="Heading3"/>
        <w:spacing w:before="0" w:after="0"/>
      </w:pPr>
      <w:bookmarkStart w:id="144" w:name="_Toc393897926"/>
      <w:r>
        <w:t xml:space="preserve">6.3.5  </w:t>
      </w:r>
      <w:r w:rsidR="004B071C">
        <w:t>Krnovo</w:t>
      </w:r>
      <w:bookmarkEnd w:id="144"/>
    </w:p>
    <w:p w:rsidR="00C51C71" w:rsidRDefault="00C51C71" w:rsidP="00C74FC9">
      <w:pPr>
        <w:spacing w:after="0"/>
        <w:rPr>
          <w:szCs w:val="22"/>
          <w:lang w:val="sr-Latn-CS"/>
        </w:rPr>
      </w:pPr>
    </w:p>
    <w:p w:rsidR="004B071C" w:rsidRPr="00C74FC9" w:rsidRDefault="004B071C" w:rsidP="004B071C">
      <w:pPr>
        <w:spacing w:before="60" w:after="240"/>
        <w:rPr>
          <w:rFonts w:ascii="Constantia" w:hAnsi="Constantia"/>
          <w:i/>
          <w:szCs w:val="22"/>
          <w:lang w:val="sr-Latn-CS"/>
        </w:rPr>
      </w:pPr>
      <w:r w:rsidRPr="00C74FC9">
        <w:rPr>
          <w:rFonts w:ascii="Constantia" w:hAnsi="Constantia"/>
          <w:szCs w:val="22"/>
          <w:lang w:val="sr-Latn-CS"/>
        </w:rPr>
        <w:t xml:space="preserve">Na lokaciji Krnovo rađena su samo </w:t>
      </w:r>
      <w:r w:rsidRPr="00C74FC9">
        <w:rPr>
          <w:rFonts w:ascii="Constantia" w:hAnsi="Constantia"/>
          <w:bCs/>
          <w:iCs/>
          <w:color w:val="000000"/>
          <w:szCs w:val="22"/>
        </w:rPr>
        <w:t xml:space="preserve">istraživanja ornitofaune zbog dodatne  analize osjetljivosti populacija ptica na vjetroelektrane. </w:t>
      </w:r>
    </w:p>
    <w:tbl>
      <w:tblPr>
        <w:tblW w:w="0" w:type="auto"/>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firstRow="1" w:lastRow="0" w:firstColumn="1" w:lastColumn="0" w:noHBand="0" w:noVBand="1"/>
      </w:tblPr>
      <w:tblGrid>
        <w:gridCol w:w="3006"/>
        <w:gridCol w:w="6283"/>
      </w:tblGrid>
      <w:tr w:rsidR="004B071C" w:rsidRPr="00DE7510" w:rsidTr="004E680E">
        <w:tc>
          <w:tcPr>
            <w:tcW w:w="3006" w:type="dxa"/>
            <w:shd w:val="clear" w:color="auto" w:fill="E6EED5"/>
          </w:tcPr>
          <w:p w:rsidR="004B071C" w:rsidRPr="00DE7510" w:rsidRDefault="004B071C" w:rsidP="00DE7510">
            <w:pPr>
              <w:spacing w:after="200" w:line="276" w:lineRule="auto"/>
              <w:jc w:val="left"/>
              <w:rPr>
                <w:rFonts w:ascii="Constantia" w:eastAsia="Calibri" w:hAnsi="Constantia" w:cs="Arial"/>
                <w:b/>
                <w:bCs/>
                <w:i/>
                <w:szCs w:val="22"/>
                <w:lang w:val="sr-Latn-CS"/>
              </w:rPr>
            </w:pPr>
            <w:r w:rsidRPr="00DE7510">
              <w:rPr>
                <w:rFonts w:ascii="Constantia" w:eastAsia="Calibri" w:hAnsi="Constantia" w:cs="Arial"/>
                <w:b/>
                <w:bCs/>
                <w:i/>
                <w:szCs w:val="22"/>
                <w:lang w:val="sr-Latn-CS"/>
              </w:rPr>
              <w:t xml:space="preserve">Aquila chrysaetos, </w:t>
            </w:r>
            <w:r w:rsidRPr="00DE7510">
              <w:rPr>
                <w:rFonts w:ascii="Constantia" w:eastAsia="Calibri" w:hAnsi="Constantia" w:cs="Arial"/>
                <w:b/>
                <w:bCs/>
                <w:szCs w:val="22"/>
                <w:lang w:val="sr-Latn-CS"/>
              </w:rPr>
              <w:t>suri orao</w:t>
            </w:r>
          </w:p>
        </w:tc>
        <w:tc>
          <w:tcPr>
            <w:tcW w:w="6283" w:type="dxa"/>
            <w:shd w:val="clear" w:color="auto" w:fill="E6EED5"/>
          </w:tcPr>
          <w:p w:rsidR="004B071C" w:rsidRPr="00DE7510" w:rsidRDefault="004B071C" w:rsidP="004E680E">
            <w:pPr>
              <w:spacing w:after="200" w:line="276" w:lineRule="auto"/>
              <w:rPr>
                <w:rFonts w:ascii="Constantia" w:eastAsia="Calibri" w:hAnsi="Constantia" w:cs="Arial"/>
                <w:bCs/>
                <w:szCs w:val="22"/>
                <w:lang w:val="sr-Latn-CS"/>
              </w:rPr>
            </w:pPr>
            <w:r w:rsidRPr="00DE7510">
              <w:rPr>
                <w:rFonts w:ascii="Constantia" w:eastAsia="Calibri" w:hAnsi="Constantia" w:cs="Arial"/>
                <w:bCs/>
                <w:szCs w:val="22"/>
                <w:lang w:val="sr-Latn-CS"/>
              </w:rPr>
              <w:t xml:space="preserve">Dva adulta su u lovu na Krnovu, jedan na sjevernom metmastu i jedan iznad sela Gvozd. Jedan mladi registrovan je </w:t>
            </w:r>
            <w:r w:rsidR="00DE7510">
              <w:rPr>
                <w:rFonts w:ascii="Constantia" w:eastAsia="Calibri" w:hAnsi="Constantia" w:cs="Arial"/>
                <w:bCs/>
                <w:szCs w:val="22"/>
                <w:lang w:val="sr-Latn-CS"/>
              </w:rPr>
              <w:t xml:space="preserve">u </w:t>
            </w:r>
            <w:r w:rsidRPr="00DE7510">
              <w:rPr>
                <w:rFonts w:ascii="Constantia" w:eastAsia="Calibri" w:hAnsi="Constantia" w:cs="Arial"/>
                <w:bCs/>
                <w:szCs w:val="22"/>
                <w:lang w:val="sr-Latn-CS"/>
              </w:rPr>
              <w:t>lovu iznad Vučja u pravcu sela Gvozd. Na Krnovu se svakodnevno mogu registrovati dvije jedinke ove vrste od dva različita para</w:t>
            </w:r>
            <w:r w:rsidR="00DE7510">
              <w:rPr>
                <w:rFonts w:ascii="Constantia" w:eastAsia="Calibri" w:hAnsi="Constantia" w:cs="Arial"/>
                <w:bCs/>
                <w:szCs w:val="22"/>
                <w:lang w:val="sr-Latn-CS"/>
              </w:rPr>
              <w:t>.</w:t>
            </w:r>
            <w:r w:rsidRPr="00DE7510">
              <w:rPr>
                <w:rFonts w:ascii="Constantia" w:eastAsia="Calibri" w:hAnsi="Constantia" w:cs="Arial"/>
                <w:bCs/>
                <w:szCs w:val="22"/>
                <w:lang w:val="sr-Latn-CS"/>
              </w:rPr>
              <w:t xml:space="preserve">   </w:t>
            </w:r>
          </w:p>
        </w:tc>
      </w:tr>
      <w:tr w:rsidR="004B071C" w:rsidRPr="00DE7510" w:rsidTr="004E680E">
        <w:tc>
          <w:tcPr>
            <w:tcW w:w="3006" w:type="dxa"/>
            <w:shd w:val="clear" w:color="auto" w:fill="CDDDAC"/>
          </w:tcPr>
          <w:p w:rsidR="004B071C" w:rsidRPr="00DE7510" w:rsidRDefault="004B071C" w:rsidP="00DE7510">
            <w:pPr>
              <w:spacing w:after="200" w:line="276" w:lineRule="auto"/>
              <w:jc w:val="left"/>
              <w:rPr>
                <w:rFonts w:ascii="Constantia" w:eastAsia="Calibri" w:hAnsi="Constantia" w:cs="Arial"/>
                <w:b/>
                <w:bCs/>
                <w:i/>
                <w:szCs w:val="22"/>
                <w:lang w:val="sr-Latn-CS"/>
              </w:rPr>
            </w:pPr>
            <w:r w:rsidRPr="00DE7510">
              <w:rPr>
                <w:rFonts w:ascii="Constantia" w:eastAsia="Calibri" w:hAnsi="Constantia" w:cs="Arial"/>
                <w:b/>
                <w:bCs/>
                <w:i/>
                <w:szCs w:val="22"/>
                <w:lang w:val="sr-Latn-CS"/>
              </w:rPr>
              <w:lastRenderedPageBreak/>
              <w:t xml:space="preserve">Grus grus, </w:t>
            </w:r>
            <w:r w:rsidRPr="00DE7510">
              <w:rPr>
                <w:rFonts w:ascii="Constantia" w:eastAsia="Calibri" w:hAnsi="Constantia" w:cs="Arial"/>
                <w:b/>
                <w:bCs/>
                <w:szCs w:val="22"/>
                <w:lang w:val="sr-Latn-CS"/>
              </w:rPr>
              <w:t>ždral</w:t>
            </w:r>
          </w:p>
        </w:tc>
        <w:tc>
          <w:tcPr>
            <w:tcW w:w="6283" w:type="dxa"/>
            <w:shd w:val="clear" w:color="auto" w:fill="CDDDAC"/>
          </w:tcPr>
          <w:p w:rsidR="004B071C" w:rsidRPr="00DE7510" w:rsidRDefault="004B071C" w:rsidP="004E680E">
            <w:pPr>
              <w:spacing w:after="200" w:line="276" w:lineRule="auto"/>
              <w:rPr>
                <w:rFonts w:ascii="Constantia" w:eastAsia="Calibri" w:hAnsi="Constantia" w:cs="Arial"/>
                <w:szCs w:val="22"/>
                <w:lang w:val="sr-Latn-CS"/>
              </w:rPr>
            </w:pPr>
            <w:r w:rsidRPr="00DE7510">
              <w:rPr>
                <w:rFonts w:ascii="Constantia" w:eastAsia="Calibri" w:hAnsi="Constantia" w:cs="Arial"/>
                <w:szCs w:val="22"/>
                <w:lang w:val="sr-Latn-CS"/>
              </w:rPr>
              <w:t>58 jedinki u preletu Vučje-Gvozd-repetitor (22.03.</w:t>
            </w:r>
            <w:r w:rsidR="00DE7510">
              <w:rPr>
                <w:rFonts w:ascii="Constantia" w:eastAsia="Calibri" w:hAnsi="Constantia" w:cs="Arial"/>
                <w:szCs w:val="22"/>
                <w:lang w:val="sr-Latn-CS"/>
              </w:rPr>
              <w:t>13.</w:t>
            </w:r>
            <w:r w:rsidRPr="00DE7510">
              <w:rPr>
                <w:rFonts w:ascii="Constantia" w:eastAsia="Calibri" w:hAnsi="Constantia" w:cs="Arial"/>
                <w:szCs w:val="22"/>
                <w:lang w:val="sr-Latn-CS"/>
              </w:rPr>
              <w:t>)</w:t>
            </w:r>
          </w:p>
          <w:p w:rsidR="004B071C" w:rsidRPr="00DE7510" w:rsidRDefault="004B071C" w:rsidP="004E680E">
            <w:pPr>
              <w:spacing w:after="200" w:line="276" w:lineRule="auto"/>
              <w:rPr>
                <w:rFonts w:ascii="Constantia" w:eastAsia="Calibri" w:hAnsi="Constantia" w:cs="Arial"/>
                <w:szCs w:val="22"/>
                <w:lang w:val="sr-Latn-CS"/>
              </w:rPr>
            </w:pPr>
            <w:r w:rsidRPr="00DE7510">
              <w:rPr>
                <w:rFonts w:ascii="Constantia" w:eastAsia="Calibri" w:hAnsi="Constantia" w:cs="Arial"/>
                <w:szCs w:val="22"/>
                <w:lang w:val="sr-Latn-CS"/>
              </w:rPr>
              <w:t>12 jedinki u preletu zapadnom stranom visoravni pravcem Gvozd-repetitor Krnovo (8.04.</w:t>
            </w:r>
            <w:r w:rsidR="00DE7510">
              <w:rPr>
                <w:rFonts w:ascii="Constantia" w:eastAsia="Calibri" w:hAnsi="Constantia" w:cs="Arial"/>
                <w:szCs w:val="22"/>
                <w:lang w:val="sr-Latn-CS"/>
              </w:rPr>
              <w:t>13.</w:t>
            </w:r>
            <w:r w:rsidRPr="00DE7510">
              <w:rPr>
                <w:rFonts w:ascii="Constantia" w:eastAsia="Calibri" w:hAnsi="Constantia" w:cs="Arial"/>
                <w:szCs w:val="22"/>
                <w:lang w:val="sr-Latn-CS"/>
              </w:rPr>
              <w:t>)</w:t>
            </w:r>
          </w:p>
          <w:p w:rsidR="004B071C" w:rsidRPr="00DE7510" w:rsidRDefault="004B071C" w:rsidP="004E680E">
            <w:pPr>
              <w:spacing w:after="200" w:line="276" w:lineRule="auto"/>
              <w:rPr>
                <w:rFonts w:ascii="Constantia" w:eastAsia="Calibri" w:hAnsi="Constantia" w:cs="Arial"/>
                <w:b/>
                <w:szCs w:val="22"/>
                <w:lang w:val="sr-Latn-CS"/>
              </w:rPr>
            </w:pPr>
            <w:r w:rsidRPr="00DE7510">
              <w:rPr>
                <w:rFonts w:ascii="Constantia" w:eastAsia="Calibri" w:hAnsi="Constantia" w:cs="Arial"/>
                <w:b/>
                <w:szCs w:val="22"/>
                <w:lang w:val="sr-Latn-CS"/>
              </w:rPr>
              <w:t>Krnovo je koridor za prelet ždralova koridorom Zeta-Glava Zete-Vrtac-Krnovo i dalje.</w:t>
            </w:r>
          </w:p>
        </w:tc>
      </w:tr>
      <w:tr w:rsidR="004B071C" w:rsidRPr="00DE7510" w:rsidTr="004E680E">
        <w:tc>
          <w:tcPr>
            <w:tcW w:w="3006" w:type="dxa"/>
            <w:shd w:val="clear" w:color="auto" w:fill="E6EED5"/>
          </w:tcPr>
          <w:p w:rsidR="004B071C" w:rsidRPr="00DE7510" w:rsidRDefault="004B071C" w:rsidP="00DE7510">
            <w:pPr>
              <w:spacing w:after="200" w:line="276" w:lineRule="auto"/>
              <w:jc w:val="left"/>
              <w:rPr>
                <w:rFonts w:ascii="Constantia" w:eastAsia="Calibri" w:hAnsi="Constantia" w:cs="Arial"/>
                <w:b/>
                <w:bCs/>
                <w:i/>
                <w:szCs w:val="22"/>
                <w:lang w:val="sr-Latn-CS"/>
              </w:rPr>
            </w:pPr>
            <w:r w:rsidRPr="00DE7510">
              <w:rPr>
                <w:rFonts w:ascii="Constantia" w:eastAsia="Calibri" w:hAnsi="Constantia" w:cs="Arial"/>
                <w:b/>
                <w:bCs/>
                <w:i/>
                <w:szCs w:val="22"/>
                <w:lang w:val="sr-Latn-CS"/>
              </w:rPr>
              <w:t xml:space="preserve">Circaetus galicus, </w:t>
            </w:r>
            <w:r w:rsidRPr="00DE7510">
              <w:rPr>
                <w:rFonts w:ascii="Constantia" w:eastAsia="Calibri" w:hAnsi="Constantia" w:cs="Arial"/>
                <w:b/>
                <w:bCs/>
                <w:szCs w:val="22"/>
                <w:lang w:val="sr-Latn-CS"/>
              </w:rPr>
              <w:t>orao zmijar</w:t>
            </w:r>
          </w:p>
        </w:tc>
        <w:tc>
          <w:tcPr>
            <w:tcW w:w="6283" w:type="dxa"/>
            <w:shd w:val="clear" w:color="auto" w:fill="E6EED5"/>
          </w:tcPr>
          <w:p w:rsidR="004B071C" w:rsidRPr="00DE7510" w:rsidRDefault="004B071C" w:rsidP="004E680E">
            <w:pPr>
              <w:spacing w:after="200" w:line="276" w:lineRule="auto"/>
              <w:rPr>
                <w:rFonts w:ascii="Constantia" w:eastAsia="Calibri" w:hAnsi="Constantia" w:cs="Arial"/>
                <w:szCs w:val="22"/>
                <w:lang w:val="sr-Latn-CS"/>
              </w:rPr>
            </w:pPr>
            <w:r w:rsidRPr="00DE7510">
              <w:rPr>
                <w:rFonts w:ascii="Constantia" w:eastAsia="Calibri" w:hAnsi="Constantia" w:cs="Arial"/>
                <w:szCs w:val="22"/>
                <w:lang w:val="sr-Latn-CS"/>
              </w:rPr>
              <w:t>1 jedinka 9.04.</w:t>
            </w:r>
            <w:r w:rsidR="00DE7510">
              <w:rPr>
                <w:rFonts w:ascii="Constantia" w:eastAsia="Calibri" w:hAnsi="Constantia" w:cs="Arial"/>
                <w:szCs w:val="22"/>
                <w:lang w:val="sr-Latn-CS"/>
              </w:rPr>
              <w:t>13.</w:t>
            </w:r>
          </w:p>
        </w:tc>
      </w:tr>
      <w:tr w:rsidR="004B071C" w:rsidRPr="00DE7510" w:rsidTr="004E680E">
        <w:tc>
          <w:tcPr>
            <w:tcW w:w="3006" w:type="dxa"/>
            <w:shd w:val="clear" w:color="auto" w:fill="CDDDAC"/>
          </w:tcPr>
          <w:p w:rsidR="004B071C" w:rsidRPr="00DE7510" w:rsidRDefault="004B071C" w:rsidP="00DE7510">
            <w:pPr>
              <w:spacing w:after="200" w:line="276" w:lineRule="auto"/>
              <w:jc w:val="left"/>
              <w:rPr>
                <w:rFonts w:ascii="Constantia" w:eastAsia="Calibri" w:hAnsi="Constantia" w:cs="Arial"/>
                <w:b/>
                <w:bCs/>
                <w:i/>
                <w:szCs w:val="22"/>
                <w:lang w:val="sr-Latn-CS"/>
              </w:rPr>
            </w:pPr>
            <w:r w:rsidRPr="00DE7510">
              <w:rPr>
                <w:rFonts w:ascii="Constantia" w:eastAsia="Calibri" w:hAnsi="Constantia" w:cs="Arial"/>
                <w:b/>
                <w:bCs/>
                <w:i/>
                <w:szCs w:val="22"/>
                <w:lang w:val="sr-Latn-CS"/>
              </w:rPr>
              <w:t xml:space="preserve">Pernis apivorus, </w:t>
            </w:r>
            <w:r w:rsidRPr="00DE7510">
              <w:rPr>
                <w:rFonts w:ascii="Constantia" w:eastAsia="Calibri" w:hAnsi="Constantia" w:cs="Arial"/>
                <w:b/>
                <w:bCs/>
                <w:szCs w:val="22"/>
                <w:lang w:val="sr-Latn-CS"/>
              </w:rPr>
              <w:t>osičar</w:t>
            </w:r>
          </w:p>
        </w:tc>
        <w:tc>
          <w:tcPr>
            <w:tcW w:w="6283" w:type="dxa"/>
            <w:shd w:val="clear" w:color="auto" w:fill="CDDDAC"/>
          </w:tcPr>
          <w:p w:rsidR="004B071C" w:rsidRPr="00DE7510" w:rsidRDefault="004B071C" w:rsidP="004E680E">
            <w:pPr>
              <w:spacing w:after="200" w:line="276" w:lineRule="auto"/>
              <w:rPr>
                <w:rFonts w:ascii="Constantia" w:eastAsia="Calibri" w:hAnsi="Constantia" w:cs="Arial"/>
                <w:szCs w:val="22"/>
                <w:lang w:val="sr-Latn-CS"/>
              </w:rPr>
            </w:pPr>
            <w:r w:rsidRPr="00DE7510">
              <w:rPr>
                <w:rFonts w:ascii="Constantia" w:eastAsia="Calibri" w:hAnsi="Constantia" w:cs="Arial"/>
                <w:szCs w:val="22"/>
                <w:lang w:val="sr-Latn-CS"/>
              </w:rPr>
              <w:t>4 jedinke 8.04.</w:t>
            </w:r>
            <w:r w:rsidR="00DE7510">
              <w:rPr>
                <w:rFonts w:ascii="Constantia" w:eastAsia="Calibri" w:hAnsi="Constantia" w:cs="Arial"/>
                <w:szCs w:val="22"/>
                <w:lang w:val="sr-Latn-CS"/>
              </w:rPr>
              <w:t>13.</w:t>
            </w:r>
          </w:p>
        </w:tc>
      </w:tr>
      <w:tr w:rsidR="004B071C" w:rsidRPr="00DE7510" w:rsidTr="004E680E">
        <w:tc>
          <w:tcPr>
            <w:tcW w:w="3006" w:type="dxa"/>
            <w:shd w:val="clear" w:color="auto" w:fill="E6EED5"/>
          </w:tcPr>
          <w:p w:rsidR="004B071C" w:rsidRPr="00DE7510" w:rsidRDefault="004B071C" w:rsidP="00DE7510">
            <w:pPr>
              <w:spacing w:after="200" w:line="276" w:lineRule="auto"/>
              <w:jc w:val="left"/>
              <w:rPr>
                <w:rFonts w:ascii="Constantia" w:eastAsia="Calibri" w:hAnsi="Constantia" w:cs="Arial"/>
                <w:b/>
                <w:bCs/>
                <w:i/>
                <w:szCs w:val="22"/>
                <w:lang w:val="sr-Latn-CS"/>
              </w:rPr>
            </w:pPr>
            <w:r w:rsidRPr="00DE7510">
              <w:rPr>
                <w:rFonts w:ascii="Constantia" w:eastAsia="Calibri" w:hAnsi="Constantia" w:cs="Arial"/>
                <w:b/>
                <w:bCs/>
                <w:i/>
                <w:szCs w:val="22"/>
                <w:lang w:val="sr-Latn-CS"/>
              </w:rPr>
              <w:t xml:space="preserve">Circus aeruginosus, </w:t>
            </w:r>
            <w:r w:rsidRPr="00DE7510">
              <w:rPr>
                <w:rFonts w:ascii="Constantia" w:eastAsia="Calibri" w:hAnsi="Constantia" w:cs="Arial"/>
                <w:b/>
                <w:bCs/>
                <w:szCs w:val="22"/>
                <w:lang w:val="sr-Latn-CS"/>
              </w:rPr>
              <w:t>eja  močvarica</w:t>
            </w:r>
          </w:p>
        </w:tc>
        <w:tc>
          <w:tcPr>
            <w:tcW w:w="6283" w:type="dxa"/>
            <w:shd w:val="clear" w:color="auto" w:fill="E6EED5"/>
          </w:tcPr>
          <w:p w:rsidR="004B071C" w:rsidRPr="00DE7510" w:rsidRDefault="004B071C" w:rsidP="004E680E">
            <w:pPr>
              <w:spacing w:after="200" w:line="276" w:lineRule="auto"/>
              <w:rPr>
                <w:rFonts w:ascii="Constantia" w:eastAsia="Calibri" w:hAnsi="Constantia" w:cs="Arial"/>
                <w:szCs w:val="22"/>
                <w:lang w:val="sr-Latn-CS"/>
              </w:rPr>
            </w:pPr>
            <w:r w:rsidRPr="00DE7510">
              <w:rPr>
                <w:rFonts w:ascii="Constantia" w:eastAsia="Calibri" w:hAnsi="Constantia" w:cs="Arial"/>
                <w:szCs w:val="22"/>
                <w:lang w:val="sr-Latn-CS"/>
              </w:rPr>
              <w:t xml:space="preserve">Tokom migracije gleda se svakodnevno, najmanje 2 jedinke u jatu. </w:t>
            </w:r>
            <w:r w:rsidRPr="00461F48">
              <w:rPr>
                <w:rFonts w:ascii="Constantia" w:eastAsia="Calibri" w:hAnsi="Constantia" w:cs="Arial"/>
                <w:szCs w:val="22"/>
                <w:lang w:val="sr-Latn-CS"/>
              </w:rPr>
              <w:t>Krnovo je značajan koridor za migraciju ove vrste.</w:t>
            </w:r>
          </w:p>
        </w:tc>
      </w:tr>
    </w:tbl>
    <w:p w:rsidR="00DE7510" w:rsidRDefault="00DE7510" w:rsidP="00DE7510">
      <w:pPr>
        <w:pStyle w:val="Tabele"/>
        <w:rPr>
          <w:rFonts w:ascii="Constantia" w:hAnsi="Constantia"/>
          <w:sz w:val="22"/>
          <w:szCs w:val="22"/>
        </w:rPr>
      </w:pPr>
      <w:r w:rsidRPr="00DE7510">
        <w:rPr>
          <w:rFonts w:ascii="Constantia" w:hAnsi="Constantia"/>
          <w:sz w:val="22"/>
          <w:szCs w:val="22"/>
        </w:rPr>
        <w:t>Ptice</w:t>
      </w:r>
    </w:p>
    <w:p w:rsidR="004B071C" w:rsidRPr="00D91A1E" w:rsidRDefault="004B071C" w:rsidP="00D91A1E">
      <w:pPr>
        <w:spacing w:before="60" w:after="0"/>
        <w:rPr>
          <w:rFonts w:ascii="Constantia" w:hAnsi="Constantia"/>
          <w:szCs w:val="22"/>
          <w:lang w:val="sr-Latn-CS"/>
        </w:rPr>
      </w:pPr>
      <w:r w:rsidRPr="00D91A1E">
        <w:rPr>
          <w:rFonts w:ascii="Constantia" w:hAnsi="Constantia"/>
          <w:szCs w:val="22"/>
          <w:lang w:val="sr-Latn-CS"/>
        </w:rPr>
        <w:t xml:space="preserve">Pored ovih, na Krnovu se svakodnevno može vidjeti do 18 jedinki </w:t>
      </w:r>
      <w:r w:rsidRPr="00D91A1E">
        <w:rPr>
          <w:rFonts w:ascii="Constantia" w:hAnsi="Constantia"/>
          <w:i/>
          <w:szCs w:val="22"/>
          <w:lang w:val="sr-Latn-CS"/>
        </w:rPr>
        <w:t>Falco tinunnculus</w:t>
      </w:r>
      <w:r w:rsidR="00E92723" w:rsidRPr="00D91A1E">
        <w:rPr>
          <w:rFonts w:ascii="Constantia" w:hAnsi="Constantia"/>
          <w:szCs w:val="22"/>
          <w:lang w:val="sr-Latn-CS"/>
        </w:rPr>
        <w:t>, vjetruška; do 2</w:t>
      </w:r>
      <w:r w:rsidRPr="00D91A1E">
        <w:rPr>
          <w:rFonts w:ascii="Constantia" w:hAnsi="Constantia"/>
          <w:szCs w:val="22"/>
          <w:lang w:val="sr-Latn-CS"/>
        </w:rPr>
        <w:t xml:space="preserve"> </w:t>
      </w:r>
      <w:r w:rsidRPr="00D91A1E">
        <w:rPr>
          <w:rFonts w:ascii="Constantia" w:hAnsi="Constantia"/>
          <w:i/>
          <w:szCs w:val="22"/>
          <w:lang w:val="sr-Latn-CS"/>
        </w:rPr>
        <w:t>Accipiter gentillis</w:t>
      </w:r>
      <w:r w:rsidRPr="00D91A1E">
        <w:rPr>
          <w:rFonts w:ascii="Constantia" w:hAnsi="Constantia"/>
          <w:szCs w:val="22"/>
          <w:lang w:val="sr-Latn-CS"/>
        </w:rPr>
        <w:t xml:space="preserve">, jastreb;  do 5 </w:t>
      </w:r>
      <w:r w:rsidRPr="00D91A1E">
        <w:rPr>
          <w:rFonts w:ascii="Constantia" w:hAnsi="Constantia"/>
          <w:i/>
          <w:szCs w:val="22"/>
          <w:lang w:val="sr-Latn-CS"/>
        </w:rPr>
        <w:t>Buteo buteo</w:t>
      </w:r>
      <w:r w:rsidRPr="00D91A1E">
        <w:rPr>
          <w:rFonts w:ascii="Constantia" w:hAnsi="Constantia"/>
          <w:szCs w:val="22"/>
          <w:lang w:val="sr-Latn-CS"/>
        </w:rPr>
        <w:t>, mišar, te brojna jata pjevačica na seobi.</w:t>
      </w:r>
    </w:p>
    <w:p w:rsidR="00D91A1E" w:rsidRPr="00052C3C" w:rsidRDefault="00D91A1E" w:rsidP="00D91A1E">
      <w:pPr>
        <w:spacing w:after="0"/>
        <w:rPr>
          <w:szCs w:val="22"/>
          <w:lang w:val="sr-Latn-CS"/>
        </w:rPr>
      </w:pPr>
    </w:p>
    <w:p w:rsidR="004B071C" w:rsidRPr="00D91A1E" w:rsidRDefault="00D91A1E" w:rsidP="004B071C">
      <w:pPr>
        <w:pStyle w:val="Heading3"/>
        <w:rPr>
          <w:szCs w:val="24"/>
        </w:rPr>
      </w:pPr>
      <w:bookmarkStart w:id="145" w:name="_Toc393897927"/>
      <w:r w:rsidRPr="00D91A1E">
        <w:rPr>
          <w:szCs w:val="24"/>
        </w:rPr>
        <w:t xml:space="preserve">6.3.6  </w:t>
      </w:r>
      <w:r w:rsidR="004B071C" w:rsidRPr="00D91A1E">
        <w:rPr>
          <w:szCs w:val="24"/>
        </w:rPr>
        <w:t>Skadarsko jezero</w:t>
      </w:r>
      <w:bookmarkEnd w:id="145"/>
    </w:p>
    <w:p w:rsidR="004B071C" w:rsidRPr="00D91A1E" w:rsidRDefault="004B071C" w:rsidP="00D91A1E">
      <w:pPr>
        <w:spacing w:before="240"/>
        <w:rPr>
          <w:rFonts w:ascii="Constantia" w:hAnsi="Constantia"/>
          <w:lang w:val="sr-Latn-CS"/>
        </w:rPr>
      </w:pPr>
      <w:r w:rsidRPr="00D91A1E">
        <w:rPr>
          <w:rFonts w:ascii="Constantia" w:hAnsi="Constantia"/>
          <w:szCs w:val="22"/>
          <w:lang w:val="sr-Latn-CS"/>
        </w:rPr>
        <w:t>Napomena:</w:t>
      </w:r>
      <w:r w:rsidRPr="00D91A1E">
        <w:rPr>
          <w:rFonts w:ascii="Constantia" w:hAnsi="Constantia"/>
          <w:i/>
          <w:szCs w:val="22"/>
          <w:lang w:val="sr-Latn-CS"/>
        </w:rPr>
        <w:t xml:space="preserve"> </w:t>
      </w:r>
      <w:r w:rsidRPr="00D91A1E">
        <w:rPr>
          <w:rFonts w:ascii="Constantia" w:hAnsi="Constantia"/>
          <w:lang w:val="sr-Latn-CS"/>
        </w:rPr>
        <w:t>Program monitoringa Skadarskog jezera realizovan je u sklopu projekta „Očuvanje i održivo korišćenje biodiverziteta na područjima Prespanskog, Ohridskog i Skadarskog jezera“</w:t>
      </w:r>
      <w:r w:rsidR="00D91A1E">
        <w:rPr>
          <w:rFonts w:ascii="Constantia" w:hAnsi="Constantia"/>
          <w:lang w:val="sr-Latn-CS"/>
        </w:rPr>
        <w:t>,</w:t>
      </w:r>
      <w:r w:rsidRPr="00D91A1E">
        <w:rPr>
          <w:rFonts w:ascii="Constantia" w:hAnsi="Constantia"/>
          <w:lang w:val="sr-Latn-CS"/>
        </w:rPr>
        <w:t xml:space="preserve"> uz finansijsku podršku Njemačke Vlade preko kancelarije GIZ. U realizaciji programa učestvovali su ekspertski timovi Nacionalnih Parkova Crne Gore i Agencije za zaštitu životne sredine. U sklopu realizacije istraživanja obavljena su 123 terenska dana ukupno od strane svih eksperata. Metodologija izvještavanja usklađena je sa Standardnom formom prikupljanja podataka shodno Naturi 2000 (objašnjenje Prilog 1)</w:t>
      </w:r>
      <w:r w:rsidR="00D91A1E">
        <w:rPr>
          <w:rFonts w:ascii="Constantia" w:hAnsi="Constantia"/>
          <w:lang w:val="sr-Latn-CS"/>
        </w:rPr>
        <w:t>.</w:t>
      </w:r>
    </w:p>
    <w:p w:rsidR="004B071C" w:rsidRPr="009D5CE7" w:rsidRDefault="004B071C" w:rsidP="004B071C">
      <w:pPr>
        <w:rPr>
          <w:lang w:val="sr-Latn-CS"/>
        </w:rPr>
      </w:pPr>
    </w:p>
    <w:p w:rsidR="00D91A1E" w:rsidRPr="00D91A1E" w:rsidRDefault="00D91A1E" w:rsidP="00D91A1E">
      <w:pPr>
        <w:pStyle w:val="Heading4"/>
        <w:numPr>
          <w:ilvl w:val="0"/>
          <w:numId w:val="0"/>
        </w:numPr>
        <w:ind w:left="1134" w:hanging="1134"/>
        <w:rPr>
          <w:sz w:val="22"/>
          <w:szCs w:val="22"/>
          <w:lang w:val="sr-Latn-CS"/>
        </w:rPr>
      </w:pPr>
      <w:r w:rsidRPr="00D91A1E">
        <w:rPr>
          <w:sz w:val="22"/>
          <w:szCs w:val="22"/>
          <w:lang w:val="sr-Latn-CS"/>
        </w:rPr>
        <w:t xml:space="preserve">6.3.6.1  </w:t>
      </w:r>
      <w:r w:rsidRPr="00D91A1E">
        <w:rPr>
          <w:sz w:val="22"/>
          <w:szCs w:val="22"/>
        </w:rPr>
        <w:t>Flora</w:t>
      </w:r>
    </w:p>
    <w:p w:rsidR="00D91A1E" w:rsidRDefault="00D91A1E" w:rsidP="00D91A1E">
      <w:pPr>
        <w:spacing w:after="0"/>
        <w:rPr>
          <w:rFonts w:ascii="Arial" w:hAnsi="Arial" w:cs="Arial"/>
          <w:bCs/>
          <w:iCs/>
          <w:color w:val="000000"/>
          <w:szCs w:val="22"/>
          <w:lang w:val="sr-Latn-CS"/>
        </w:rPr>
      </w:pPr>
    </w:p>
    <w:p w:rsidR="00D91A1E" w:rsidRPr="009121D3" w:rsidRDefault="00D91A1E" w:rsidP="004B071C">
      <w:pPr>
        <w:rPr>
          <w:rFonts w:ascii="Constantia" w:hAnsi="Constantia" w:cs="Arial"/>
          <w:b/>
          <w:bCs/>
          <w:iCs/>
          <w:color w:val="000000"/>
          <w:szCs w:val="22"/>
          <w:u w:val="single"/>
          <w:lang w:val="sr-Latn-CS"/>
        </w:rPr>
      </w:pPr>
      <w:r w:rsidRPr="009121D3">
        <w:rPr>
          <w:rFonts w:ascii="Constantia" w:hAnsi="Constantia" w:cs="Arial"/>
          <w:b/>
          <w:bCs/>
          <w:iCs/>
          <w:color w:val="000000"/>
          <w:szCs w:val="22"/>
          <w:u w:val="single"/>
          <w:lang w:val="sr-Latn-CS"/>
        </w:rPr>
        <w:t>Biljne vrste</w:t>
      </w:r>
    </w:p>
    <w:tbl>
      <w:tblPr>
        <w:tblpPr w:leftFromText="180" w:rightFromText="180" w:vertAnchor="text" w:tblpY="1"/>
        <w:tblOverlap w:val="never"/>
        <w:tblW w:w="0" w:type="auto"/>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firstRow="1" w:lastRow="0" w:firstColumn="1" w:lastColumn="0" w:noHBand="0" w:noVBand="1"/>
      </w:tblPr>
      <w:tblGrid>
        <w:gridCol w:w="2268"/>
        <w:gridCol w:w="720"/>
        <w:gridCol w:w="1803"/>
        <w:gridCol w:w="938"/>
        <w:gridCol w:w="1062"/>
        <w:gridCol w:w="1306"/>
        <w:gridCol w:w="1192"/>
      </w:tblGrid>
      <w:tr w:rsidR="004B071C" w:rsidRPr="0021283D" w:rsidTr="001B52C9">
        <w:trPr>
          <w:trHeight w:val="340"/>
        </w:trPr>
        <w:tc>
          <w:tcPr>
            <w:tcW w:w="9289" w:type="dxa"/>
            <w:gridSpan w:val="7"/>
            <w:shd w:val="clear" w:color="auto" w:fill="E6EED5"/>
          </w:tcPr>
          <w:p w:rsidR="004B071C" w:rsidRPr="00D91A1E" w:rsidRDefault="004B071C" w:rsidP="004E680E">
            <w:pPr>
              <w:keepNext/>
              <w:keepLines/>
              <w:spacing w:before="60"/>
              <w:jc w:val="center"/>
              <w:outlineLvl w:val="3"/>
              <w:rPr>
                <w:rFonts w:ascii="Constantia" w:hAnsi="Constantia"/>
                <w:b/>
                <w:bCs/>
                <w:iCs/>
                <w:color w:val="000000"/>
              </w:rPr>
            </w:pPr>
            <w:r w:rsidRPr="00D91A1E">
              <w:rPr>
                <w:rFonts w:ascii="Constantia" w:hAnsi="Constantia"/>
                <w:b/>
                <w:bCs/>
                <w:iCs/>
                <w:color w:val="000000"/>
                <w:lang w:val="sr-Latn-CS"/>
              </w:rPr>
              <w:t>Populacija na podru</w:t>
            </w:r>
            <w:r w:rsidRPr="00D91A1E">
              <w:rPr>
                <w:rFonts w:ascii="Constantia" w:hAnsi="Constantia"/>
                <w:b/>
                <w:bCs/>
                <w:iCs/>
                <w:color w:val="000000"/>
              </w:rPr>
              <w:t>čju</w:t>
            </w:r>
          </w:p>
        </w:tc>
      </w:tr>
      <w:tr w:rsidR="004B071C" w:rsidRPr="0021283D" w:rsidTr="001B52C9">
        <w:tc>
          <w:tcPr>
            <w:tcW w:w="2268" w:type="dxa"/>
            <w:shd w:val="clear" w:color="auto" w:fill="CDDDAC"/>
          </w:tcPr>
          <w:p w:rsidR="004B071C" w:rsidRPr="00D91A1E" w:rsidRDefault="004B071C" w:rsidP="001B52C9">
            <w:pPr>
              <w:keepNext/>
              <w:keepLines/>
              <w:spacing w:after="0"/>
              <w:outlineLvl w:val="3"/>
              <w:rPr>
                <w:rFonts w:ascii="Constantia" w:hAnsi="Constantia" w:cs="Arial"/>
                <w:b/>
                <w:bCs/>
                <w:iCs/>
                <w:color w:val="000000"/>
                <w:lang w:val="sr-Latn-CS"/>
              </w:rPr>
            </w:pPr>
            <w:r w:rsidRPr="00D91A1E">
              <w:rPr>
                <w:rFonts w:ascii="Constantia" w:hAnsi="Constantia" w:cs="Arial"/>
                <w:b/>
                <w:bCs/>
                <w:iCs/>
                <w:color w:val="000000"/>
                <w:lang w:val="sr-Latn-CS"/>
              </w:rPr>
              <w:t>Vrste</w:t>
            </w:r>
          </w:p>
        </w:tc>
        <w:tc>
          <w:tcPr>
            <w:tcW w:w="720" w:type="dxa"/>
            <w:shd w:val="clear" w:color="auto" w:fill="CDDDAC"/>
          </w:tcPr>
          <w:p w:rsidR="004B071C" w:rsidRPr="00D91A1E" w:rsidRDefault="004B071C" w:rsidP="001B52C9">
            <w:pPr>
              <w:keepNext/>
              <w:keepLines/>
              <w:spacing w:after="0"/>
              <w:outlineLvl w:val="3"/>
              <w:rPr>
                <w:rFonts w:ascii="Constantia" w:hAnsi="Constantia" w:cs="Arial"/>
                <w:b/>
                <w:bCs/>
                <w:iCs/>
                <w:color w:val="000000"/>
                <w:lang w:val="sr-Latn-CS"/>
              </w:rPr>
            </w:pPr>
            <w:r w:rsidRPr="00D91A1E">
              <w:rPr>
                <w:rFonts w:ascii="Constantia" w:hAnsi="Constantia" w:cs="Arial"/>
                <w:b/>
                <w:bCs/>
                <w:iCs/>
                <w:color w:val="000000"/>
                <w:lang w:val="sr-Latn-CS"/>
              </w:rPr>
              <w:t>Tip</w:t>
            </w:r>
          </w:p>
        </w:tc>
        <w:tc>
          <w:tcPr>
            <w:tcW w:w="2741" w:type="dxa"/>
            <w:gridSpan w:val="2"/>
            <w:shd w:val="clear" w:color="auto" w:fill="CDDDAC"/>
          </w:tcPr>
          <w:p w:rsidR="004B071C" w:rsidRPr="00D91A1E" w:rsidRDefault="004B071C" w:rsidP="001B52C9">
            <w:pPr>
              <w:keepNext/>
              <w:keepLines/>
              <w:spacing w:after="0"/>
              <w:jc w:val="center"/>
              <w:outlineLvl w:val="3"/>
              <w:rPr>
                <w:rFonts w:ascii="Constantia" w:hAnsi="Constantia" w:cs="Arial"/>
                <w:b/>
                <w:bCs/>
                <w:iCs/>
                <w:color w:val="000000"/>
                <w:lang w:val="sr-Latn-CS"/>
              </w:rPr>
            </w:pPr>
            <w:r w:rsidRPr="00D91A1E">
              <w:rPr>
                <w:rFonts w:ascii="Constantia" w:hAnsi="Constantia" w:cs="Arial"/>
                <w:b/>
                <w:bCs/>
                <w:iCs/>
                <w:color w:val="000000"/>
                <w:lang w:val="sr-Latn-CS"/>
              </w:rPr>
              <w:t>Veličina populacije</w:t>
            </w:r>
          </w:p>
        </w:tc>
        <w:tc>
          <w:tcPr>
            <w:tcW w:w="1062" w:type="dxa"/>
            <w:shd w:val="clear" w:color="auto" w:fill="CDDDAC"/>
          </w:tcPr>
          <w:p w:rsidR="004B071C" w:rsidRPr="00D91A1E" w:rsidRDefault="004B071C" w:rsidP="001B52C9">
            <w:pPr>
              <w:keepNext/>
              <w:keepLines/>
              <w:spacing w:after="0"/>
              <w:jc w:val="center"/>
              <w:outlineLvl w:val="3"/>
              <w:rPr>
                <w:rFonts w:ascii="Constantia" w:hAnsi="Constantia" w:cs="Arial"/>
                <w:b/>
                <w:bCs/>
                <w:iCs/>
                <w:color w:val="000000"/>
                <w:lang w:val="sr-Latn-CS"/>
              </w:rPr>
            </w:pPr>
            <w:r w:rsidRPr="00D91A1E">
              <w:rPr>
                <w:rFonts w:ascii="Constantia" w:hAnsi="Constantia" w:cs="Arial"/>
                <w:b/>
                <w:bCs/>
                <w:iCs/>
                <w:color w:val="000000"/>
                <w:lang w:val="sr-Latn-CS"/>
              </w:rPr>
              <w:t>Jedinica</w:t>
            </w:r>
          </w:p>
        </w:tc>
        <w:tc>
          <w:tcPr>
            <w:tcW w:w="1306" w:type="dxa"/>
            <w:shd w:val="clear" w:color="auto" w:fill="CDDDAC"/>
          </w:tcPr>
          <w:p w:rsidR="004B071C" w:rsidRPr="00D91A1E" w:rsidRDefault="001B52C9" w:rsidP="001B52C9">
            <w:pPr>
              <w:keepNext/>
              <w:keepLines/>
              <w:spacing w:after="0"/>
              <w:outlineLvl w:val="3"/>
              <w:rPr>
                <w:rFonts w:ascii="Constantia" w:hAnsi="Constantia" w:cs="Arial"/>
                <w:b/>
                <w:bCs/>
                <w:iCs/>
                <w:color w:val="000000"/>
                <w:lang w:val="sr-Latn-CS"/>
              </w:rPr>
            </w:pPr>
            <w:r>
              <w:rPr>
                <w:rFonts w:ascii="Constantia" w:hAnsi="Constantia" w:cs="Arial"/>
                <w:b/>
                <w:bCs/>
                <w:iCs/>
                <w:color w:val="000000"/>
                <w:lang w:val="sr-Latn-CS"/>
              </w:rPr>
              <w:t>K</w:t>
            </w:r>
            <w:r w:rsidR="004B071C" w:rsidRPr="00D91A1E">
              <w:rPr>
                <w:rFonts w:ascii="Constantia" w:hAnsi="Constantia" w:cs="Arial"/>
                <w:b/>
                <w:bCs/>
                <w:iCs/>
                <w:color w:val="000000"/>
                <w:lang w:val="sr-Latn-CS"/>
              </w:rPr>
              <w:t>ategorija</w:t>
            </w:r>
          </w:p>
        </w:tc>
        <w:tc>
          <w:tcPr>
            <w:tcW w:w="1192" w:type="dxa"/>
            <w:shd w:val="clear" w:color="auto" w:fill="CDDDAC"/>
          </w:tcPr>
          <w:p w:rsidR="004B071C" w:rsidRPr="00D91A1E" w:rsidRDefault="004B071C" w:rsidP="001B52C9">
            <w:pPr>
              <w:keepNext/>
              <w:keepLines/>
              <w:spacing w:after="0"/>
              <w:outlineLvl w:val="3"/>
              <w:rPr>
                <w:rFonts w:ascii="Constantia" w:hAnsi="Constantia" w:cs="Arial"/>
                <w:b/>
                <w:bCs/>
                <w:iCs/>
                <w:color w:val="000000"/>
                <w:lang w:val="sr-Latn-CS"/>
              </w:rPr>
            </w:pPr>
            <w:r w:rsidRPr="00D91A1E">
              <w:rPr>
                <w:rFonts w:ascii="Constantia" w:hAnsi="Constantia" w:cs="Arial"/>
                <w:b/>
                <w:bCs/>
                <w:iCs/>
                <w:color w:val="000000"/>
                <w:lang w:val="sr-Latn-CS"/>
              </w:rPr>
              <w:t>Kvalitet podataka</w:t>
            </w:r>
          </w:p>
        </w:tc>
      </w:tr>
      <w:tr w:rsidR="004B071C" w:rsidRPr="0021283D" w:rsidTr="001B52C9">
        <w:tc>
          <w:tcPr>
            <w:tcW w:w="2268" w:type="dxa"/>
            <w:shd w:val="clear" w:color="auto" w:fill="E6EED5"/>
          </w:tcPr>
          <w:p w:rsidR="004B071C" w:rsidRPr="00D91A1E" w:rsidRDefault="004B071C" w:rsidP="004E680E">
            <w:pPr>
              <w:keepNext/>
              <w:keepLines/>
              <w:spacing w:before="60"/>
              <w:jc w:val="center"/>
              <w:outlineLvl w:val="3"/>
              <w:rPr>
                <w:rFonts w:ascii="Constantia" w:hAnsi="Constantia" w:cs="Arial"/>
                <w:b/>
                <w:bCs/>
                <w:iCs/>
                <w:color w:val="000000"/>
                <w:lang w:val="sr-Latn-CS"/>
              </w:rPr>
            </w:pPr>
          </w:p>
        </w:tc>
        <w:tc>
          <w:tcPr>
            <w:tcW w:w="720" w:type="dxa"/>
            <w:shd w:val="clear" w:color="auto" w:fill="E6EED5"/>
          </w:tcPr>
          <w:p w:rsidR="004B071C" w:rsidRPr="00D91A1E" w:rsidRDefault="004B071C" w:rsidP="004E680E">
            <w:pPr>
              <w:keepNext/>
              <w:keepLines/>
              <w:spacing w:before="60"/>
              <w:jc w:val="center"/>
              <w:outlineLvl w:val="3"/>
              <w:rPr>
                <w:rFonts w:ascii="Constantia" w:hAnsi="Constantia" w:cs="Arial"/>
                <w:bCs/>
                <w:iCs/>
                <w:color w:val="000000"/>
                <w:lang w:val="sr-Latn-CS"/>
              </w:rPr>
            </w:pPr>
          </w:p>
        </w:tc>
        <w:tc>
          <w:tcPr>
            <w:tcW w:w="1803" w:type="dxa"/>
            <w:shd w:val="clear" w:color="auto" w:fill="E6EED5"/>
          </w:tcPr>
          <w:p w:rsidR="004B071C" w:rsidRPr="00D91A1E" w:rsidRDefault="004B071C" w:rsidP="004E680E">
            <w:pPr>
              <w:keepNext/>
              <w:keepLines/>
              <w:spacing w:before="60"/>
              <w:jc w:val="center"/>
              <w:outlineLvl w:val="3"/>
              <w:rPr>
                <w:rFonts w:ascii="Constantia" w:hAnsi="Constantia" w:cs="Arial"/>
                <w:bCs/>
                <w:iCs/>
                <w:color w:val="000000"/>
                <w:lang w:val="sr-Latn-CS"/>
              </w:rPr>
            </w:pPr>
            <w:r w:rsidRPr="00D91A1E">
              <w:rPr>
                <w:rFonts w:ascii="Constantia" w:hAnsi="Constantia" w:cs="Arial"/>
                <w:bCs/>
                <w:iCs/>
                <w:color w:val="000000"/>
                <w:lang w:val="sr-Latn-CS"/>
              </w:rPr>
              <w:t>Min.</w:t>
            </w:r>
          </w:p>
        </w:tc>
        <w:tc>
          <w:tcPr>
            <w:tcW w:w="938" w:type="dxa"/>
            <w:shd w:val="clear" w:color="auto" w:fill="E6EED5"/>
          </w:tcPr>
          <w:p w:rsidR="004B071C" w:rsidRPr="00D91A1E" w:rsidRDefault="004B071C" w:rsidP="004E680E">
            <w:pPr>
              <w:keepNext/>
              <w:keepLines/>
              <w:spacing w:before="60"/>
              <w:jc w:val="center"/>
              <w:outlineLvl w:val="3"/>
              <w:rPr>
                <w:rFonts w:ascii="Constantia" w:hAnsi="Constantia" w:cs="Arial"/>
                <w:bCs/>
                <w:iCs/>
                <w:color w:val="000000"/>
                <w:lang w:val="sr-Latn-CS"/>
              </w:rPr>
            </w:pPr>
            <w:r w:rsidRPr="00D91A1E">
              <w:rPr>
                <w:rFonts w:ascii="Constantia" w:hAnsi="Constantia" w:cs="Arial"/>
                <w:bCs/>
                <w:iCs/>
                <w:color w:val="000000"/>
                <w:lang w:val="sr-Latn-CS"/>
              </w:rPr>
              <w:t>Max.</w:t>
            </w:r>
          </w:p>
        </w:tc>
        <w:tc>
          <w:tcPr>
            <w:tcW w:w="1062" w:type="dxa"/>
            <w:shd w:val="clear" w:color="auto" w:fill="E6EED5"/>
          </w:tcPr>
          <w:p w:rsidR="004B071C" w:rsidRPr="00D91A1E" w:rsidRDefault="004B071C" w:rsidP="004E680E">
            <w:pPr>
              <w:keepNext/>
              <w:keepLines/>
              <w:spacing w:before="60"/>
              <w:jc w:val="center"/>
              <w:outlineLvl w:val="3"/>
              <w:rPr>
                <w:rFonts w:ascii="Constantia" w:hAnsi="Constantia" w:cs="Arial"/>
                <w:bCs/>
                <w:iCs/>
                <w:color w:val="000000"/>
                <w:lang w:val="sr-Latn-CS"/>
              </w:rPr>
            </w:pPr>
          </w:p>
        </w:tc>
        <w:tc>
          <w:tcPr>
            <w:tcW w:w="1306" w:type="dxa"/>
            <w:shd w:val="clear" w:color="auto" w:fill="E6EED5"/>
          </w:tcPr>
          <w:p w:rsidR="004B071C" w:rsidRPr="00D91A1E" w:rsidRDefault="004B071C" w:rsidP="004E680E">
            <w:pPr>
              <w:keepNext/>
              <w:keepLines/>
              <w:spacing w:before="60"/>
              <w:jc w:val="center"/>
              <w:outlineLvl w:val="3"/>
              <w:rPr>
                <w:rFonts w:ascii="Constantia" w:hAnsi="Constantia" w:cs="Arial"/>
                <w:bCs/>
                <w:iCs/>
                <w:color w:val="000000"/>
                <w:lang w:val="sr-Latn-CS"/>
              </w:rPr>
            </w:pPr>
            <w:r w:rsidRPr="00D91A1E">
              <w:rPr>
                <w:rFonts w:ascii="Constantia" w:hAnsi="Constantia" w:cs="Arial"/>
                <w:bCs/>
                <w:iCs/>
                <w:color w:val="000000"/>
                <w:lang w:val="sr-Latn-CS"/>
              </w:rPr>
              <w:t>C/R/V/P</w:t>
            </w:r>
          </w:p>
        </w:tc>
        <w:tc>
          <w:tcPr>
            <w:tcW w:w="1192" w:type="dxa"/>
            <w:shd w:val="clear" w:color="auto" w:fill="E6EED5"/>
          </w:tcPr>
          <w:p w:rsidR="004B071C" w:rsidRPr="00D91A1E" w:rsidRDefault="004B071C" w:rsidP="004E680E">
            <w:pPr>
              <w:keepNext/>
              <w:keepLines/>
              <w:spacing w:before="60"/>
              <w:jc w:val="center"/>
              <w:outlineLvl w:val="3"/>
              <w:rPr>
                <w:rFonts w:ascii="Constantia" w:hAnsi="Constantia" w:cs="Arial"/>
                <w:bCs/>
                <w:iCs/>
                <w:color w:val="000000"/>
                <w:lang w:val="sr-Latn-CS"/>
              </w:rPr>
            </w:pPr>
          </w:p>
        </w:tc>
      </w:tr>
      <w:tr w:rsidR="004B071C" w:rsidRPr="0021283D" w:rsidTr="001B52C9">
        <w:tc>
          <w:tcPr>
            <w:tcW w:w="2268" w:type="dxa"/>
            <w:shd w:val="clear" w:color="auto" w:fill="CDDDAC"/>
          </w:tcPr>
          <w:p w:rsidR="004B071C" w:rsidRPr="001B52C9" w:rsidRDefault="004B071C" w:rsidP="001B52C9">
            <w:pPr>
              <w:keepNext/>
              <w:keepLines/>
              <w:spacing w:before="60" w:after="0"/>
              <w:jc w:val="left"/>
              <w:outlineLvl w:val="3"/>
              <w:rPr>
                <w:rFonts w:ascii="Constantia" w:hAnsi="Constantia" w:cs="Arial"/>
                <w:bCs/>
                <w:iCs/>
                <w:color w:val="000000"/>
                <w:lang w:val="sr-Latn-CS"/>
              </w:rPr>
            </w:pPr>
            <w:r w:rsidRPr="001B52C9">
              <w:rPr>
                <w:rFonts w:ascii="Constantia" w:hAnsi="Constantia" w:cs="Arial"/>
                <w:bCs/>
              </w:rPr>
              <w:t>Utricularia vulgaris</w:t>
            </w:r>
          </w:p>
        </w:tc>
        <w:tc>
          <w:tcPr>
            <w:tcW w:w="720" w:type="dxa"/>
            <w:shd w:val="clear" w:color="auto" w:fill="CDDDAC"/>
          </w:tcPr>
          <w:p w:rsidR="004B071C" w:rsidRPr="00D91A1E" w:rsidRDefault="004B071C" w:rsidP="001B52C9">
            <w:pPr>
              <w:keepNext/>
              <w:keepLines/>
              <w:spacing w:before="60" w:after="0"/>
              <w:jc w:val="center"/>
              <w:outlineLvl w:val="3"/>
              <w:rPr>
                <w:rFonts w:ascii="Constantia" w:hAnsi="Constantia" w:cs="Arial"/>
                <w:bCs/>
                <w:iCs/>
                <w:color w:val="000000"/>
                <w:lang w:val="sr-Latn-CS"/>
              </w:rPr>
            </w:pPr>
            <w:r w:rsidRPr="00D91A1E">
              <w:rPr>
                <w:rFonts w:ascii="Constantia" w:hAnsi="Constantia" w:cs="Arial"/>
                <w:bCs/>
                <w:iCs/>
                <w:color w:val="000000"/>
                <w:lang w:val="sr-Latn-CS"/>
              </w:rPr>
              <w:t>P</w:t>
            </w:r>
          </w:p>
        </w:tc>
        <w:tc>
          <w:tcPr>
            <w:tcW w:w="1803" w:type="dxa"/>
            <w:shd w:val="clear" w:color="auto" w:fill="CDDDAC"/>
          </w:tcPr>
          <w:p w:rsidR="004B071C" w:rsidRPr="00D91A1E" w:rsidRDefault="004B071C" w:rsidP="001B52C9">
            <w:pPr>
              <w:keepNext/>
              <w:keepLines/>
              <w:spacing w:before="60" w:after="0"/>
              <w:jc w:val="center"/>
              <w:outlineLvl w:val="3"/>
              <w:rPr>
                <w:rFonts w:ascii="Constantia" w:hAnsi="Constantia" w:cs="Arial"/>
                <w:bCs/>
                <w:iCs/>
                <w:color w:val="000000"/>
                <w:lang w:val="sr-Latn-CS"/>
              </w:rPr>
            </w:pPr>
          </w:p>
        </w:tc>
        <w:tc>
          <w:tcPr>
            <w:tcW w:w="938" w:type="dxa"/>
            <w:shd w:val="clear" w:color="auto" w:fill="CDDDAC"/>
          </w:tcPr>
          <w:p w:rsidR="004B071C" w:rsidRPr="00D91A1E" w:rsidRDefault="004B071C" w:rsidP="001B52C9">
            <w:pPr>
              <w:keepNext/>
              <w:keepLines/>
              <w:spacing w:before="60" w:after="0"/>
              <w:jc w:val="center"/>
              <w:outlineLvl w:val="3"/>
              <w:rPr>
                <w:rFonts w:ascii="Constantia" w:hAnsi="Constantia" w:cs="Arial"/>
                <w:bCs/>
                <w:iCs/>
                <w:color w:val="000000"/>
                <w:lang w:val="sr-Latn-CS"/>
              </w:rPr>
            </w:pPr>
          </w:p>
        </w:tc>
        <w:tc>
          <w:tcPr>
            <w:tcW w:w="1062" w:type="dxa"/>
            <w:shd w:val="clear" w:color="auto" w:fill="CDDDAC"/>
          </w:tcPr>
          <w:p w:rsidR="004B071C" w:rsidRPr="00D91A1E" w:rsidRDefault="004B071C" w:rsidP="001B52C9">
            <w:pPr>
              <w:keepNext/>
              <w:keepLines/>
              <w:spacing w:before="60" w:after="0"/>
              <w:jc w:val="center"/>
              <w:outlineLvl w:val="3"/>
              <w:rPr>
                <w:rFonts w:ascii="Constantia" w:hAnsi="Constantia" w:cs="Arial"/>
                <w:bCs/>
                <w:iCs/>
                <w:color w:val="000000"/>
                <w:lang w:val="sr-Latn-CS"/>
              </w:rPr>
            </w:pPr>
            <w:r w:rsidRPr="00D91A1E">
              <w:rPr>
                <w:rFonts w:ascii="Constantia" w:hAnsi="Constantia" w:cs="Arial"/>
                <w:bCs/>
                <w:iCs/>
                <w:color w:val="000000"/>
                <w:lang w:val="sr-Latn-CS"/>
              </w:rPr>
              <w:t>I</w:t>
            </w:r>
          </w:p>
        </w:tc>
        <w:tc>
          <w:tcPr>
            <w:tcW w:w="1306" w:type="dxa"/>
            <w:shd w:val="clear" w:color="auto" w:fill="CDDDAC"/>
          </w:tcPr>
          <w:p w:rsidR="004B071C" w:rsidRPr="00D91A1E" w:rsidRDefault="004B071C" w:rsidP="001B52C9">
            <w:pPr>
              <w:keepNext/>
              <w:keepLines/>
              <w:spacing w:before="60" w:after="0"/>
              <w:jc w:val="center"/>
              <w:outlineLvl w:val="3"/>
              <w:rPr>
                <w:rFonts w:ascii="Constantia" w:hAnsi="Constantia" w:cs="Arial"/>
                <w:bCs/>
                <w:iCs/>
                <w:color w:val="000000"/>
                <w:lang w:val="sr-Latn-CS"/>
              </w:rPr>
            </w:pPr>
            <w:r w:rsidRPr="00D91A1E">
              <w:rPr>
                <w:rFonts w:ascii="Constantia" w:hAnsi="Constantia" w:cs="Arial"/>
                <w:bCs/>
                <w:iCs/>
                <w:color w:val="000000"/>
                <w:lang w:val="sr-Latn-CS"/>
              </w:rPr>
              <w:t>C</w:t>
            </w:r>
          </w:p>
        </w:tc>
        <w:tc>
          <w:tcPr>
            <w:tcW w:w="1192" w:type="dxa"/>
            <w:shd w:val="clear" w:color="auto" w:fill="CDDDAC"/>
          </w:tcPr>
          <w:p w:rsidR="004B071C" w:rsidRPr="00D91A1E" w:rsidRDefault="004B071C" w:rsidP="001B52C9">
            <w:pPr>
              <w:keepNext/>
              <w:keepLines/>
              <w:spacing w:before="60" w:after="0"/>
              <w:jc w:val="center"/>
              <w:outlineLvl w:val="3"/>
              <w:rPr>
                <w:rFonts w:ascii="Constantia" w:hAnsi="Constantia" w:cs="Arial"/>
                <w:bCs/>
                <w:iCs/>
                <w:color w:val="000000"/>
                <w:lang w:val="sr-Latn-CS"/>
              </w:rPr>
            </w:pPr>
            <w:r w:rsidRPr="00D91A1E">
              <w:rPr>
                <w:rFonts w:ascii="Constantia" w:hAnsi="Constantia" w:cs="Arial"/>
                <w:bCs/>
                <w:iCs/>
                <w:color w:val="000000"/>
                <w:lang w:val="sr-Latn-CS"/>
              </w:rPr>
              <w:t>G</w:t>
            </w:r>
          </w:p>
        </w:tc>
      </w:tr>
      <w:tr w:rsidR="004B071C" w:rsidRPr="0021283D" w:rsidTr="001B52C9">
        <w:tc>
          <w:tcPr>
            <w:tcW w:w="2268" w:type="dxa"/>
            <w:shd w:val="clear" w:color="auto" w:fill="E6EED5"/>
          </w:tcPr>
          <w:p w:rsidR="004B071C" w:rsidRPr="001B52C9" w:rsidRDefault="004B071C" w:rsidP="001B52C9">
            <w:pPr>
              <w:keepNext/>
              <w:keepLines/>
              <w:spacing w:before="60" w:after="0"/>
              <w:jc w:val="left"/>
              <w:outlineLvl w:val="3"/>
              <w:rPr>
                <w:rFonts w:ascii="Constantia" w:hAnsi="Constantia" w:cs="Arial"/>
                <w:bCs/>
                <w:iCs/>
                <w:color w:val="000000"/>
                <w:lang w:val="sr-Latn-CS"/>
              </w:rPr>
            </w:pPr>
            <w:r w:rsidRPr="001B52C9">
              <w:rPr>
                <w:rFonts w:ascii="Constantia" w:hAnsi="Constantia" w:cs="Arial"/>
                <w:bCs/>
              </w:rPr>
              <w:t>Caldesia parnassifolia (L.) Parl.</w:t>
            </w:r>
          </w:p>
        </w:tc>
        <w:tc>
          <w:tcPr>
            <w:tcW w:w="720" w:type="dxa"/>
            <w:shd w:val="clear" w:color="auto" w:fill="E6EED5"/>
          </w:tcPr>
          <w:p w:rsidR="004B071C" w:rsidRPr="00D91A1E" w:rsidRDefault="004B071C" w:rsidP="001B52C9">
            <w:pPr>
              <w:keepNext/>
              <w:keepLines/>
              <w:spacing w:before="60" w:after="0"/>
              <w:jc w:val="center"/>
              <w:outlineLvl w:val="3"/>
              <w:rPr>
                <w:rFonts w:ascii="Constantia" w:hAnsi="Constantia" w:cs="Arial"/>
                <w:bCs/>
                <w:iCs/>
                <w:color w:val="000000"/>
                <w:lang w:val="sr-Latn-CS"/>
              </w:rPr>
            </w:pPr>
            <w:r w:rsidRPr="00D91A1E">
              <w:rPr>
                <w:rFonts w:ascii="Constantia" w:hAnsi="Constantia" w:cs="Arial"/>
                <w:bCs/>
                <w:iCs/>
                <w:color w:val="000000"/>
                <w:lang w:val="sr-Latn-CS"/>
              </w:rPr>
              <w:t>P</w:t>
            </w:r>
          </w:p>
        </w:tc>
        <w:tc>
          <w:tcPr>
            <w:tcW w:w="1803" w:type="dxa"/>
            <w:shd w:val="clear" w:color="auto" w:fill="E6EED5"/>
          </w:tcPr>
          <w:p w:rsidR="004B071C" w:rsidRPr="00D91A1E" w:rsidRDefault="004B071C" w:rsidP="001B52C9">
            <w:pPr>
              <w:keepNext/>
              <w:keepLines/>
              <w:spacing w:before="60" w:after="0"/>
              <w:jc w:val="center"/>
              <w:outlineLvl w:val="3"/>
              <w:rPr>
                <w:rFonts w:ascii="Constantia" w:hAnsi="Constantia" w:cs="Arial"/>
                <w:bCs/>
                <w:iCs/>
                <w:color w:val="000000"/>
                <w:lang w:val="sr-Latn-CS"/>
              </w:rPr>
            </w:pPr>
            <w:r w:rsidRPr="00D91A1E">
              <w:rPr>
                <w:rFonts w:ascii="Constantia" w:hAnsi="Constantia" w:cs="Arial"/>
                <w:bCs/>
                <w:iCs/>
                <w:color w:val="000000"/>
                <w:lang w:val="sr-Latn-CS"/>
              </w:rPr>
              <w:t>7-10 procjena na mikrolokalitetu</w:t>
            </w:r>
          </w:p>
        </w:tc>
        <w:tc>
          <w:tcPr>
            <w:tcW w:w="938" w:type="dxa"/>
            <w:shd w:val="clear" w:color="auto" w:fill="E6EED5"/>
          </w:tcPr>
          <w:p w:rsidR="004B071C" w:rsidRPr="00D91A1E" w:rsidRDefault="004B071C" w:rsidP="001B52C9">
            <w:pPr>
              <w:keepNext/>
              <w:keepLines/>
              <w:spacing w:before="60" w:after="0"/>
              <w:jc w:val="center"/>
              <w:outlineLvl w:val="3"/>
              <w:rPr>
                <w:rFonts w:ascii="Constantia" w:hAnsi="Constantia" w:cs="Arial"/>
                <w:bCs/>
                <w:iCs/>
                <w:color w:val="000000"/>
                <w:lang w:val="sr-Latn-CS"/>
              </w:rPr>
            </w:pPr>
          </w:p>
        </w:tc>
        <w:tc>
          <w:tcPr>
            <w:tcW w:w="1062" w:type="dxa"/>
            <w:shd w:val="clear" w:color="auto" w:fill="E6EED5"/>
          </w:tcPr>
          <w:p w:rsidR="004B071C" w:rsidRPr="00D91A1E" w:rsidRDefault="004B071C" w:rsidP="001B52C9">
            <w:pPr>
              <w:keepNext/>
              <w:keepLines/>
              <w:spacing w:before="60" w:after="0"/>
              <w:jc w:val="center"/>
              <w:outlineLvl w:val="3"/>
              <w:rPr>
                <w:rFonts w:ascii="Constantia" w:hAnsi="Constantia" w:cs="Arial"/>
                <w:bCs/>
                <w:iCs/>
                <w:color w:val="000000"/>
                <w:lang w:val="sr-Latn-CS"/>
              </w:rPr>
            </w:pPr>
            <w:r w:rsidRPr="00D91A1E">
              <w:rPr>
                <w:rFonts w:ascii="Constantia" w:hAnsi="Constantia" w:cs="Arial"/>
                <w:bCs/>
                <w:iCs/>
                <w:color w:val="000000"/>
                <w:lang w:val="sr-Latn-CS"/>
              </w:rPr>
              <w:t>I</w:t>
            </w:r>
          </w:p>
        </w:tc>
        <w:tc>
          <w:tcPr>
            <w:tcW w:w="1306" w:type="dxa"/>
            <w:shd w:val="clear" w:color="auto" w:fill="E6EED5"/>
          </w:tcPr>
          <w:p w:rsidR="004B071C" w:rsidRPr="00D91A1E" w:rsidRDefault="004B071C" w:rsidP="001B52C9">
            <w:pPr>
              <w:keepNext/>
              <w:keepLines/>
              <w:spacing w:before="60" w:after="0"/>
              <w:jc w:val="center"/>
              <w:outlineLvl w:val="3"/>
              <w:rPr>
                <w:rFonts w:ascii="Constantia" w:hAnsi="Constantia" w:cs="Arial"/>
                <w:bCs/>
                <w:iCs/>
                <w:color w:val="000000"/>
                <w:lang w:val="sr-Latn-CS"/>
              </w:rPr>
            </w:pPr>
            <w:r w:rsidRPr="00D91A1E">
              <w:rPr>
                <w:rFonts w:ascii="Constantia" w:hAnsi="Constantia" w:cs="Arial"/>
                <w:bCs/>
                <w:iCs/>
                <w:color w:val="000000"/>
                <w:lang w:val="sr-Latn-CS"/>
              </w:rPr>
              <w:t>V</w:t>
            </w:r>
          </w:p>
        </w:tc>
        <w:tc>
          <w:tcPr>
            <w:tcW w:w="1192" w:type="dxa"/>
            <w:shd w:val="clear" w:color="auto" w:fill="E6EED5"/>
          </w:tcPr>
          <w:p w:rsidR="004B071C" w:rsidRPr="00D91A1E" w:rsidRDefault="004B071C" w:rsidP="001B52C9">
            <w:pPr>
              <w:keepNext/>
              <w:keepLines/>
              <w:spacing w:before="60" w:after="0"/>
              <w:jc w:val="center"/>
              <w:outlineLvl w:val="3"/>
              <w:rPr>
                <w:rFonts w:ascii="Constantia" w:hAnsi="Constantia" w:cs="Arial"/>
                <w:bCs/>
                <w:iCs/>
                <w:color w:val="000000"/>
                <w:lang w:val="sr-Latn-CS"/>
              </w:rPr>
            </w:pPr>
            <w:r w:rsidRPr="00D91A1E">
              <w:rPr>
                <w:rFonts w:ascii="Constantia" w:hAnsi="Constantia" w:cs="Arial"/>
                <w:bCs/>
                <w:iCs/>
                <w:color w:val="000000"/>
                <w:lang w:val="sr-Latn-CS"/>
              </w:rPr>
              <w:t>G</w:t>
            </w:r>
          </w:p>
        </w:tc>
      </w:tr>
      <w:tr w:rsidR="004B071C" w:rsidRPr="0021283D" w:rsidTr="001B52C9">
        <w:tc>
          <w:tcPr>
            <w:tcW w:w="2268" w:type="dxa"/>
            <w:shd w:val="clear" w:color="auto" w:fill="CDDDAC"/>
          </w:tcPr>
          <w:p w:rsidR="004B071C" w:rsidRPr="001B52C9" w:rsidRDefault="004B071C" w:rsidP="001B52C9">
            <w:pPr>
              <w:keepNext/>
              <w:keepLines/>
              <w:spacing w:before="60" w:after="0"/>
              <w:jc w:val="left"/>
              <w:outlineLvl w:val="3"/>
              <w:rPr>
                <w:rFonts w:ascii="Constantia" w:hAnsi="Constantia" w:cs="Arial"/>
                <w:bCs/>
              </w:rPr>
            </w:pPr>
            <w:r w:rsidRPr="001B52C9">
              <w:rPr>
                <w:rFonts w:ascii="Constantia" w:hAnsi="Constantia" w:cs="Arial"/>
                <w:bCs/>
              </w:rPr>
              <w:t>Quercus robur ssp. scutariensis</w:t>
            </w:r>
          </w:p>
        </w:tc>
        <w:tc>
          <w:tcPr>
            <w:tcW w:w="720" w:type="dxa"/>
            <w:shd w:val="clear" w:color="auto" w:fill="CDDDAC"/>
          </w:tcPr>
          <w:p w:rsidR="004B071C" w:rsidRPr="00D91A1E" w:rsidRDefault="004B071C" w:rsidP="001B52C9">
            <w:pPr>
              <w:keepNext/>
              <w:keepLines/>
              <w:spacing w:before="60" w:after="0"/>
              <w:jc w:val="center"/>
              <w:outlineLvl w:val="3"/>
              <w:rPr>
                <w:rFonts w:ascii="Constantia" w:hAnsi="Constantia" w:cs="Arial"/>
                <w:bCs/>
                <w:iCs/>
                <w:color w:val="000000"/>
                <w:lang w:val="sr-Latn-CS"/>
              </w:rPr>
            </w:pPr>
            <w:r w:rsidRPr="00D91A1E">
              <w:rPr>
                <w:rFonts w:ascii="Constantia" w:hAnsi="Constantia" w:cs="Arial"/>
                <w:bCs/>
                <w:iCs/>
                <w:color w:val="000000"/>
                <w:lang w:val="sr-Latn-CS"/>
              </w:rPr>
              <w:t>P</w:t>
            </w:r>
          </w:p>
        </w:tc>
        <w:tc>
          <w:tcPr>
            <w:tcW w:w="1803" w:type="dxa"/>
            <w:shd w:val="clear" w:color="auto" w:fill="CDDDAC"/>
          </w:tcPr>
          <w:p w:rsidR="004B071C" w:rsidRPr="00D91A1E" w:rsidRDefault="004B071C" w:rsidP="001B52C9">
            <w:pPr>
              <w:keepNext/>
              <w:keepLines/>
              <w:spacing w:before="60" w:after="0"/>
              <w:jc w:val="center"/>
              <w:outlineLvl w:val="3"/>
              <w:rPr>
                <w:rFonts w:ascii="Constantia" w:hAnsi="Constantia" w:cs="Arial"/>
                <w:bCs/>
                <w:iCs/>
                <w:color w:val="000000"/>
                <w:lang w:val="sr-Latn-CS"/>
              </w:rPr>
            </w:pPr>
            <w:r w:rsidRPr="00D91A1E">
              <w:rPr>
                <w:rFonts w:ascii="Constantia" w:hAnsi="Constantia" w:cs="Arial"/>
                <w:bCs/>
                <w:iCs/>
                <w:color w:val="000000"/>
                <w:lang w:val="sr-Latn-CS"/>
              </w:rPr>
              <w:t>&gt;161</w:t>
            </w:r>
          </w:p>
        </w:tc>
        <w:tc>
          <w:tcPr>
            <w:tcW w:w="938" w:type="dxa"/>
            <w:shd w:val="clear" w:color="auto" w:fill="CDDDAC"/>
          </w:tcPr>
          <w:p w:rsidR="004B071C" w:rsidRPr="00D91A1E" w:rsidRDefault="004B071C" w:rsidP="001B52C9">
            <w:pPr>
              <w:keepNext/>
              <w:keepLines/>
              <w:spacing w:before="60" w:after="0"/>
              <w:jc w:val="center"/>
              <w:outlineLvl w:val="3"/>
              <w:rPr>
                <w:rFonts w:ascii="Constantia" w:hAnsi="Constantia" w:cs="Arial"/>
                <w:bCs/>
                <w:iCs/>
                <w:color w:val="000000"/>
                <w:lang w:val="sr-Latn-CS"/>
              </w:rPr>
            </w:pPr>
            <w:r w:rsidRPr="00D91A1E">
              <w:rPr>
                <w:rFonts w:ascii="Constantia" w:hAnsi="Constantia" w:cs="Arial"/>
                <w:bCs/>
                <w:iCs/>
                <w:color w:val="000000"/>
                <w:lang w:val="sr-Latn-CS"/>
              </w:rPr>
              <w:t>400*</w:t>
            </w:r>
          </w:p>
        </w:tc>
        <w:tc>
          <w:tcPr>
            <w:tcW w:w="1062" w:type="dxa"/>
            <w:shd w:val="clear" w:color="auto" w:fill="CDDDAC"/>
          </w:tcPr>
          <w:p w:rsidR="004B071C" w:rsidRPr="00D91A1E" w:rsidRDefault="004B071C" w:rsidP="001B52C9">
            <w:pPr>
              <w:keepNext/>
              <w:keepLines/>
              <w:spacing w:before="60" w:after="0"/>
              <w:jc w:val="center"/>
              <w:outlineLvl w:val="3"/>
              <w:rPr>
                <w:rFonts w:ascii="Constantia" w:hAnsi="Constantia" w:cs="Arial"/>
                <w:bCs/>
                <w:iCs/>
                <w:color w:val="000000"/>
                <w:lang w:val="sr-Latn-CS"/>
              </w:rPr>
            </w:pPr>
            <w:r w:rsidRPr="00D91A1E">
              <w:rPr>
                <w:rFonts w:ascii="Constantia" w:hAnsi="Constantia" w:cs="Arial"/>
                <w:bCs/>
                <w:iCs/>
                <w:color w:val="000000"/>
                <w:lang w:val="sr-Latn-CS"/>
              </w:rPr>
              <w:t>I</w:t>
            </w:r>
          </w:p>
        </w:tc>
        <w:tc>
          <w:tcPr>
            <w:tcW w:w="1306" w:type="dxa"/>
            <w:shd w:val="clear" w:color="auto" w:fill="CDDDAC"/>
          </w:tcPr>
          <w:p w:rsidR="004B071C" w:rsidRPr="00D91A1E" w:rsidRDefault="004B071C" w:rsidP="001B52C9">
            <w:pPr>
              <w:keepNext/>
              <w:keepLines/>
              <w:spacing w:before="60" w:after="0"/>
              <w:jc w:val="center"/>
              <w:outlineLvl w:val="3"/>
              <w:rPr>
                <w:rFonts w:ascii="Constantia" w:hAnsi="Constantia" w:cs="Arial"/>
                <w:bCs/>
                <w:iCs/>
                <w:color w:val="000000"/>
                <w:lang w:val="sr-Latn-CS"/>
              </w:rPr>
            </w:pPr>
            <w:r w:rsidRPr="00D91A1E">
              <w:rPr>
                <w:rFonts w:ascii="Constantia" w:hAnsi="Constantia" w:cs="Arial"/>
                <w:bCs/>
                <w:iCs/>
                <w:color w:val="000000"/>
                <w:lang w:val="sr-Latn-CS"/>
              </w:rPr>
              <w:t>C</w:t>
            </w:r>
          </w:p>
        </w:tc>
        <w:tc>
          <w:tcPr>
            <w:tcW w:w="1192" w:type="dxa"/>
            <w:shd w:val="clear" w:color="auto" w:fill="CDDDAC"/>
          </w:tcPr>
          <w:p w:rsidR="004B071C" w:rsidRPr="00D91A1E" w:rsidRDefault="004B071C" w:rsidP="001B52C9">
            <w:pPr>
              <w:keepNext/>
              <w:keepLines/>
              <w:spacing w:before="60" w:after="0"/>
              <w:jc w:val="center"/>
              <w:outlineLvl w:val="3"/>
              <w:rPr>
                <w:rFonts w:ascii="Constantia" w:hAnsi="Constantia" w:cs="Arial"/>
                <w:bCs/>
                <w:iCs/>
                <w:color w:val="000000"/>
                <w:lang w:val="sr-Latn-CS"/>
              </w:rPr>
            </w:pPr>
            <w:r w:rsidRPr="00D91A1E">
              <w:rPr>
                <w:rFonts w:ascii="Constantia" w:hAnsi="Constantia" w:cs="Arial"/>
                <w:bCs/>
                <w:iCs/>
                <w:color w:val="000000"/>
                <w:lang w:val="sr-Latn-CS"/>
              </w:rPr>
              <w:t>G</w:t>
            </w:r>
          </w:p>
        </w:tc>
      </w:tr>
    </w:tbl>
    <w:p w:rsidR="004B071C" w:rsidRPr="00D91A1E" w:rsidRDefault="004B071C" w:rsidP="004B071C">
      <w:pPr>
        <w:pStyle w:val="Tabele"/>
        <w:spacing w:before="60" w:after="240"/>
        <w:ind w:left="714" w:hanging="357"/>
        <w:rPr>
          <w:rFonts w:ascii="Constantia" w:hAnsi="Constantia"/>
          <w:sz w:val="22"/>
          <w:szCs w:val="22"/>
        </w:rPr>
      </w:pPr>
      <w:r w:rsidRPr="00D91A1E">
        <w:rPr>
          <w:rFonts w:ascii="Constantia" w:hAnsi="Constantia"/>
          <w:sz w:val="22"/>
          <w:szCs w:val="22"/>
        </w:rPr>
        <w:t>Biljne vrste</w:t>
      </w:r>
    </w:p>
    <w:p w:rsidR="004B071C" w:rsidRPr="000770E6" w:rsidRDefault="004B071C" w:rsidP="004B071C">
      <w:pPr>
        <w:rPr>
          <w:rFonts w:ascii="Constantia" w:hAnsi="Constantia"/>
          <w:b/>
          <w:u w:val="single"/>
        </w:rPr>
      </w:pPr>
      <w:r w:rsidRPr="009121D3">
        <w:rPr>
          <w:rFonts w:ascii="Constantia" w:hAnsi="Constantia"/>
          <w:b/>
          <w:u w:val="single"/>
        </w:rPr>
        <w:lastRenderedPageBreak/>
        <w:t xml:space="preserve">Staništa </w:t>
      </w:r>
    </w:p>
    <w:tbl>
      <w:tblPr>
        <w:tblpPr w:leftFromText="180" w:rightFromText="180" w:vertAnchor="text" w:tblpXSpec="center" w:tblpY="1"/>
        <w:tblW w:w="0" w:type="auto"/>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firstRow="1" w:lastRow="0" w:firstColumn="1" w:lastColumn="0" w:noHBand="0" w:noVBand="1"/>
      </w:tblPr>
      <w:tblGrid>
        <w:gridCol w:w="4486"/>
        <w:gridCol w:w="572"/>
        <w:gridCol w:w="540"/>
        <w:gridCol w:w="1440"/>
        <w:gridCol w:w="990"/>
        <w:gridCol w:w="1261"/>
      </w:tblGrid>
      <w:tr w:rsidR="004B071C" w:rsidRPr="000770E6" w:rsidTr="00BC4E3F">
        <w:trPr>
          <w:trHeight w:val="613"/>
        </w:trPr>
        <w:tc>
          <w:tcPr>
            <w:tcW w:w="9289" w:type="dxa"/>
            <w:gridSpan w:val="6"/>
            <w:shd w:val="clear" w:color="auto" w:fill="E6EED5"/>
          </w:tcPr>
          <w:p w:rsidR="004B071C" w:rsidRPr="000770E6" w:rsidRDefault="00D91A1E" w:rsidP="00D91A1E">
            <w:pPr>
              <w:keepNext/>
              <w:keepLines/>
              <w:spacing w:before="60"/>
              <w:jc w:val="center"/>
              <w:outlineLvl w:val="3"/>
              <w:rPr>
                <w:rFonts w:ascii="Constantia" w:hAnsi="Constantia" w:cs="Arial"/>
                <w:b/>
                <w:bCs/>
                <w:iCs/>
                <w:color w:val="000000"/>
                <w:szCs w:val="22"/>
                <w:lang w:val="sr-Latn-CS"/>
              </w:rPr>
            </w:pPr>
            <w:r w:rsidRPr="000770E6">
              <w:rPr>
                <w:rFonts w:ascii="Constantia" w:hAnsi="Constantia" w:cs="Arial"/>
                <w:b/>
                <w:bCs/>
                <w:iCs/>
                <w:color w:val="000000"/>
                <w:szCs w:val="22"/>
                <w:lang w:val="sr-Latn-CS"/>
              </w:rPr>
              <w:t>Staništa</w:t>
            </w:r>
          </w:p>
        </w:tc>
      </w:tr>
      <w:tr w:rsidR="000770E6" w:rsidRPr="000770E6" w:rsidTr="000770E6">
        <w:tc>
          <w:tcPr>
            <w:tcW w:w="4486" w:type="dxa"/>
            <w:shd w:val="clear" w:color="auto" w:fill="CDDDAC"/>
          </w:tcPr>
          <w:p w:rsidR="004B071C" w:rsidRPr="000770E6" w:rsidRDefault="004B071C" w:rsidP="004E680E">
            <w:pPr>
              <w:keepNext/>
              <w:keepLines/>
              <w:spacing w:before="60"/>
              <w:outlineLvl w:val="3"/>
              <w:rPr>
                <w:rFonts w:ascii="Constantia" w:hAnsi="Constantia" w:cs="Arial"/>
                <w:b/>
                <w:bCs/>
                <w:iCs/>
                <w:color w:val="000000"/>
                <w:szCs w:val="22"/>
                <w:lang w:val="sr-Latn-CS"/>
              </w:rPr>
            </w:pPr>
            <w:r w:rsidRPr="000770E6">
              <w:rPr>
                <w:rFonts w:ascii="Constantia" w:hAnsi="Constantia" w:cs="Arial"/>
                <w:b/>
                <w:bCs/>
                <w:iCs/>
                <w:color w:val="000000"/>
                <w:szCs w:val="22"/>
                <w:lang w:val="sr-Latn-CS"/>
              </w:rPr>
              <w:t>Code/ Name</w:t>
            </w:r>
          </w:p>
        </w:tc>
        <w:tc>
          <w:tcPr>
            <w:tcW w:w="572" w:type="dxa"/>
            <w:shd w:val="clear" w:color="auto" w:fill="CDDDAC"/>
          </w:tcPr>
          <w:p w:rsidR="004B071C" w:rsidRPr="000770E6" w:rsidRDefault="004B071C" w:rsidP="000770E6">
            <w:pPr>
              <w:keepNext/>
              <w:keepLines/>
              <w:spacing w:before="60"/>
              <w:jc w:val="center"/>
              <w:outlineLvl w:val="3"/>
              <w:rPr>
                <w:rFonts w:ascii="Constantia" w:hAnsi="Constantia" w:cs="Arial"/>
                <w:b/>
                <w:bCs/>
                <w:iCs/>
                <w:color w:val="000000"/>
                <w:szCs w:val="22"/>
                <w:lang w:val="sr-Latn-CS"/>
              </w:rPr>
            </w:pPr>
            <w:r w:rsidRPr="000770E6">
              <w:rPr>
                <w:rFonts w:ascii="Constantia" w:hAnsi="Constantia" w:cs="Arial"/>
                <w:b/>
                <w:bCs/>
                <w:iCs/>
                <w:color w:val="000000"/>
                <w:szCs w:val="22"/>
                <w:lang w:val="sr-Latn-CS"/>
              </w:rPr>
              <w:t>PF</w:t>
            </w:r>
          </w:p>
        </w:tc>
        <w:tc>
          <w:tcPr>
            <w:tcW w:w="540" w:type="dxa"/>
            <w:shd w:val="clear" w:color="auto" w:fill="CDDDAC"/>
          </w:tcPr>
          <w:p w:rsidR="004B071C" w:rsidRPr="000770E6" w:rsidRDefault="004B071C" w:rsidP="000770E6">
            <w:pPr>
              <w:keepNext/>
              <w:keepLines/>
              <w:spacing w:before="60"/>
              <w:jc w:val="center"/>
              <w:outlineLvl w:val="3"/>
              <w:rPr>
                <w:rFonts w:ascii="Constantia" w:hAnsi="Constantia" w:cs="Arial"/>
                <w:b/>
                <w:bCs/>
                <w:iCs/>
                <w:color w:val="000000"/>
                <w:szCs w:val="22"/>
                <w:lang w:val="sr-Latn-CS"/>
              </w:rPr>
            </w:pPr>
            <w:r w:rsidRPr="000770E6">
              <w:rPr>
                <w:rFonts w:ascii="Constantia" w:hAnsi="Constantia" w:cs="Arial"/>
                <w:b/>
                <w:bCs/>
                <w:iCs/>
                <w:color w:val="000000"/>
                <w:szCs w:val="22"/>
                <w:lang w:val="sr-Latn-CS"/>
              </w:rPr>
              <w:t>NP</w:t>
            </w:r>
          </w:p>
        </w:tc>
        <w:tc>
          <w:tcPr>
            <w:tcW w:w="1440" w:type="dxa"/>
            <w:shd w:val="clear" w:color="auto" w:fill="CDDDAC"/>
          </w:tcPr>
          <w:p w:rsidR="004B071C" w:rsidRPr="000770E6" w:rsidRDefault="004B071C" w:rsidP="000770E6">
            <w:pPr>
              <w:keepNext/>
              <w:keepLines/>
              <w:spacing w:before="60"/>
              <w:jc w:val="center"/>
              <w:outlineLvl w:val="3"/>
              <w:rPr>
                <w:rFonts w:ascii="Constantia" w:hAnsi="Constantia" w:cs="Arial"/>
                <w:b/>
                <w:bCs/>
                <w:iCs/>
                <w:color w:val="000000"/>
                <w:szCs w:val="22"/>
                <w:lang w:val="sr-Latn-CS"/>
              </w:rPr>
            </w:pPr>
            <w:r w:rsidRPr="000770E6">
              <w:rPr>
                <w:rFonts w:ascii="Constantia" w:hAnsi="Constantia" w:cs="Arial"/>
                <w:b/>
                <w:bCs/>
                <w:iCs/>
                <w:color w:val="000000"/>
                <w:szCs w:val="22"/>
                <w:lang w:val="sr-Latn-CS"/>
              </w:rPr>
              <w:t>Pokrovnost</w:t>
            </w:r>
          </w:p>
        </w:tc>
        <w:tc>
          <w:tcPr>
            <w:tcW w:w="990" w:type="dxa"/>
            <w:shd w:val="clear" w:color="auto" w:fill="CDDDAC"/>
          </w:tcPr>
          <w:p w:rsidR="004B071C" w:rsidRPr="000770E6" w:rsidRDefault="004B071C" w:rsidP="000770E6">
            <w:pPr>
              <w:keepNext/>
              <w:keepLines/>
              <w:spacing w:before="60"/>
              <w:jc w:val="center"/>
              <w:outlineLvl w:val="3"/>
              <w:rPr>
                <w:rFonts w:ascii="Constantia" w:hAnsi="Constantia" w:cs="Arial"/>
                <w:b/>
                <w:bCs/>
                <w:iCs/>
                <w:color w:val="000000"/>
                <w:szCs w:val="22"/>
                <w:lang w:val="sr-Latn-CS"/>
              </w:rPr>
            </w:pPr>
            <w:r w:rsidRPr="000770E6">
              <w:rPr>
                <w:rFonts w:ascii="Constantia" w:hAnsi="Constantia" w:cs="Arial"/>
                <w:b/>
                <w:bCs/>
                <w:iCs/>
                <w:color w:val="000000"/>
                <w:szCs w:val="22"/>
                <w:lang w:val="sr-Latn-CS"/>
              </w:rPr>
              <w:t>Pećine</w:t>
            </w:r>
          </w:p>
        </w:tc>
        <w:tc>
          <w:tcPr>
            <w:tcW w:w="1261" w:type="dxa"/>
            <w:shd w:val="clear" w:color="auto" w:fill="CDDDAC"/>
          </w:tcPr>
          <w:p w:rsidR="004B071C" w:rsidRPr="000770E6" w:rsidRDefault="004B071C" w:rsidP="000770E6">
            <w:pPr>
              <w:keepNext/>
              <w:keepLines/>
              <w:spacing w:before="60"/>
              <w:jc w:val="center"/>
              <w:outlineLvl w:val="3"/>
              <w:rPr>
                <w:rFonts w:ascii="Constantia" w:hAnsi="Constantia" w:cs="Arial"/>
                <w:b/>
                <w:bCs/>
                <w:iCs/>
                <w:color w:val="000000"/>
                <w:szCs w:val="22"/>
                <w:lang w:val="sr-Latn-CS"/>
              </w:rPr>
            </w:pPr>
            <w:r w:rsidRPr="000770E6">
              <w:rPr>
                <w:rFonts w:ascii="Constantia" w:hAnsi="Constantia" w:cs="Arial"/>
                <w:b/>
                <w:bCs/>
                <w:iCs/>
                <w:color w:val="000000"/>
                <w:szCs w:val="22"/>
                <w:lang w:val="sr-Latn-CS"/>
              </w:rPr>
              <w:t>Kvalitet podataka</w:t>
            </w:r>
          </w:p>
        </w:tc>
      </w:tr>
      <w:tr w:rsidR="000770E6" w:rsidRPr="000770E6" w:rsidTr="000770E6">
        <w:tc>
          <w:tcPr>
            <w:tcW w:w="4486" w:type="dxa"/>
            <w:shd w:val="clear" w:color="auto" w:fill="E6EED5"/>
          </w:tcPr>
          <w:p w:rsidR="004B071C" w:rsidRPr="00BC4E3F" w:rsidRDefault="004B071C" w:rsidP="004E680E">
            <w:pPr>
              <w:keepNext/>
              <w:keepLines/>
              <w:spacing w:before="60"/>
              <w:outlineLvl w:val="3"/>
              <w:rPr>
                <w:rFonts w:ascii="Constantia" w:hAnsi="Constantia" w:cs="Arial"/>
                <w:bCs/>
                <w:iCs/>
                <w:color w:val="000000"/>
                <w:szCs w:val="22"/>
              </w:rPr>
            </w:pPr>
            <w:r w:rsidRPr="00BC4E3F">
              <w:rPr>
                <w:rFonts w:ascii="Constantia" w:hAnsi="Constantia" w:cs="Arial"/>
                <w:bCs/>
                <w:iCs/>
                <w:color w:val="000000"/>
                <w:szCs w:val="22"/>
                <w:lang w:val="sr-Latn-CS"/>
              </w:rPr>
              <w:t xml:space="preserve">3150 </w:t>
            </w:r>
            <w:r w:rsidRPr="00BC4E3F">
              <w:rPr>
                <w:rFonts w:ascii="Constantia" w:hAnsi="Constantia" w:cs="Arial"/>
                <w:bCs/>
                <w:iCs/>
                <w:color w:val="000000"/>
                <w:szCs w:val="22"/>
              </w:rPr>
              <w:t>(C1.32)</w:t>
            </w:r>
          </w:p>
          <w:p w:rsidR="004B071C" w:rsidRPr="00BC4E3F" w:rsidRDefault="004B071C" w:rsidP="004E680E">
            <w:pPr>
              <w:keepNext/>
              <w:keepLines/>
              <w:spacing w:before="60"/>
              <w:outlineLvl w:val="3"/>
              <w:rPr>
                <w:rFonts w:ascii="Constantia" w:hAnsi="Constantia" w:cs="Arial"/>
                <w:bCs/>
                <w:color w:val="000000"/>
                <w:szCs w:val="22"/>
                <w:lang w:val="sr-Latn-CS"/>
              </w:rPr>
            </w:pPr>
            <w:r w:rsidRPr="00BC4E3F">
              <w:rPr>
                <w:rFonts w:ascii="Constantia" w:hAnsi="Constantia" w:cs="Arial"/>
                <w:bCs/>
                <w:color w:val="000000"/>
                <w:szCs w:val="22"/>
              </w:rPr>
              <w:t xml:space="preserve">NATURA 2000: </w:t>
            </w:r>
            <w:r w:rsidRPr="00BC4E3F">
              <w:rPr>
                <w:rFonts w:ascii="Constantia" w:hAnsi="Constantia" w:cs="Arial"/>
                <w:bCs/>
                <w:color w:val="000000"/>
                <w:szCs w:val="22"/>
                <w:lang w:val="sr-Latn-CS"/>
              </w:rPr>
              <w:t xml:space="preserve">3150 Natural eutrophic lakes with </w:t>
            </w:r>
            <w:r w:rsidRPr="00BC4E3F">
              <w:rPr>
                <w:rFonts w:ascii="Constantia" w:hAnsi="Constantia" w:cs="Arial"/>
                <w:bCs/>
                <w:i/>
                <w:color w:val="000000"/>
                <w:szCs w:val="22"/>
                <w:lang w:val="sr-Latn-CS"/>
              </w:rPr>
              <w:t>Magnopotamion</w:t>
            </w:r>
            <w:r w:rsidRPr="00BC4E3F">
              <w:rPr>
                <w:rFonts w:ascii="Constantia" w:hAnsi="Constantia" w:cs="Arial"/>
                <w:bCs/>
                <w:color w:val="000000"/>
                <w:szCs w:val="22"/>
                <w:lang w:val="sr-Latn-CS"/>
              </w:rPr>
              <w:t xml:space="preserve"> and </w:t>
            </w:r>
            <w:r w:rsidRPr="00BC4E3F">
              <w:rPr>
                <w:rFonts w:ascii="Constantia" w:hAnsi="Constantia" w:cs="Arial"/>
                <w:bCs/>
                <w:i/>
                <w:color w:val="000000"/>
                <w:szCs w:val="22"/>
                <w:lang w:val="sr-Latn-CS"/>
              </w:rPr>
              <w:t>Hydrocharition</w:t>
            </w:r>
            <w:r w:rsidRPr="00BC4E3F">
              <w:rPr>
                <w:rFonts w:ascii="Constantia" w:hAnsi="Constantia" w:cs="Arial"/>
                <w:bCs/>
                <w:color w:val="000000"/>
                <w:szCs w:val="22"/>
                <w:lang w:val="sr-Latn-CS"/>
              </w:rPr>
              <w:t xml:space="preserve"> type vegetation;</w:t>
            </w:r>
          </w:p>
          <w:p w:rsidR="004B071C" w:rsidRPr="00BC4E3F" w:rsidRDefault="004B071C" w:rsidP="004E680E">
            <w:pPr>
              <w:keepNext/>
              <w:keepLines/>
              <w:spacing w:before="60"/>
              <w:outlineLvl w:val="3"/>
              <w:rPr>
                <w:rFonts w:ascii="Constantia" w:hAnsi="Constantia" w:cs="Arial"/>
                <w:bCs/>
                <w:color w:val="000000"/>
                <w:szCs w:val="22"/>
                <w:lang w:val="sr-Latn-CS"/>
              </w:rPr>
            </w:pPr>
            <w:r w:rsidRPr="00BC4E3F">
              <w:rPr>
                <w:rFonts w:ascii="Constantia" w:hAnsi="Constantia" w:cs="Arial"/>
                <w:bCs/>
                <w:color w:val="000000"/>
                <w:szCs w:val="22"/>
              </w:rPr>
              <w:t xml:space="preserve">Emerald: </w:t>
            </w:r>
            <w:r w:rsidRPr="00BC4E3F">
              <w:rPr>
                <w:rFonts w:ascii="Constantia" w:hAnsi="Constantia" w:cs="Arial"/>
                <w:bCs/>
                <w:color w:val="000000"/>
                <w:szCs w:val="22"/>
                <w:lang w:val="sr-Latn-CS"/>
              </w:rPr>
              <w:t>22.414 Bladderwort colonies</w:t>
            </w:r>
            <w:r w:rsidRPr="00BC4E3F">
              <w:rPr>
                <w:rFonts w:ascii="Constantia" w:hAnsi="Constantia" w:cs="Arial"/>
                <w:bCs/>
                <w:color w:val="000000"/>
                <w:szCs w:val="22"/>
              </w:rPr>
              <w:t>;</w:t>
            </w:r>
          </w:p>
          <w:p w:rsidR="004B071C" w:rsidRPr="00BC4E3F" w:rsidRDefault="004B071C" w:rsidP="004E680E">
            <w:pPr>
              <w:keepNext/>
              <w:keepLines/>
              <w:spacing w:before="60"/>
              <w:outlineLvl w:val="3"/>
              <w:rPr>
                <w:rFonts w:ascii="Constantia" w:hAnsi="Constantia" w:cs="Arial"/>
                <w:bCs/>
                <w:color w:val="000000"/>
                <w:szCs w:val="22"/>
              </w:rPr>
            </w:pPr>
            <w:r w:rsidRPr="00BC4E3F">
              <w:rPr>
                <w:rFonts w:ascii="Constantia" w:hAnsi="Constantia" w:cs="Arial"/>
                <w:bCs/>
                <w:color w:val="000000"/>
                <w:szCs w:val="22"/>
              </w:rPr>
              <w:t xml:space="preserve">CORINE: 22.414 </w:t>
            </w:r>
            <w:r w:rsidRPr="00BC4E3F">
              <w:rPr>
                <w:rFonts w:ascii="Constantia" w:hAnsi="Constantia" w:cs="Arial"/>
                <w:bCs/>
                <w:color w:val="000000"/>
                <w:szCs w:val="22"/>
                <w:lang w:val="sr-Latn-CS"/>
              </w:rPr>
              <w:t>Bladderwort colonies, Formations of bladderwort (</w:t>
            </w:r>
            <w:r w:rsidRPr="00BC4E3F">
              <w:rPr>
                <w:rFonts w:ascii="Constantia" w:hAnsi="Constantia" w:cs="Arial"/>
                <w:bCs/>
                <w:i/>
                <w:color w:val="000000"/>
                <w:szCs w:val="22"/>
                <w:lang w:val="sr-Latn-CS"/>
              </w:rPr>
              <w:t>Utricularia australis</w:t>
            </w:r>
            <w:r w:rsidRPr="00BC4E3F">
              <w:rPr>
                <w:rFonts w:ascii="Constantia" w:hAnsi="Constantia" w:cs="Arial"/>
                <w:bCs/>
                <w:color w:val="000000"/>
                <w:szCs w:val="22"/>
                <w:lang w:val="sr-Latn-CS"/>
              </w:rPr>
              <w:t xml:space="preserve">, </w:t>
            </w:r>
            <w:r w:rsidRPr="00BC4E3F">
              <w:rPr>
                <w:rFonts w:ascii="Constantia" w:hAnsi="Constantia" w:cs="Arial"/>
                <w:bCs/>
                <w:i/>
                <w:color w:val="000000"/>
                <w:szCs w:val="22"/>
                <w:lang w:val="sr-Latn-CS"/>
              </w:rPr>
              <w:t>U. vulgaris</w:t>
            </w:r>
            <w:r w:rsidRPr="00BC4E3F">
              <w:rPr>
                <w:rFonts w:ascii="Constantia" w:hAnsi="Constantia" w:cs="Arial"/>
                <w:bCs/>
                <w:color w:val="000000"/>
                <w:szCs w:val="22"/>
                <w:lang w:val="sr-Latn-CS"/>
              </w:rPr>
              <w:t>)</w:t>
            </w:r>
            <w:r w:rsidRPr="00BC4E3F">
              <w:rPr>
                <w:rFonts w:ascii="Constantia" w:hAnsi="Constantia" w:cs="Arial"/>
                <w:bCs/>
                <w:color w:val="000000"/>
                <w:szCs w:val="22"/>
              </w:rPr>
              <w:t xml:space="preserve">; </w:t>
            </w:r>
          </w:p>
          <w:p w:rsidR="004B071C" w:rsidRPr="00BC4E3F" w:rsidRDefault="004B071C" w:rsidP="004E680E">
            <w:pPr>
              <w:keepNext/>
              <w:keepLines/>
              <w:spacing w:before="60"/>
              <w:outlineLvl w:val="3"/>
              <w:rPr>
                <w:rFonts w:ascii="Constantia" w:hAnsi="Constantia" w:cs="Arial"/>
                <w:bCs/>
                <w:color w:val="000000"/>
                <w:szCs w:val="22"/>
                <w:lang w:val="sr-Latn-CS"/>
              </w:rPr>
            </w:pPr>
            <w:r w:rsidRPr="00BC4E3F">
              <w:rPr>
                <w:rFonts w:ascii="Constantia" w:hAnsi="Constantia" w:cs="Arial"/>
                <w:bCs/>
                <w:color w:val="000000"/>
                <w:szCs w:val="22"/>
              </w:rPr>
              <w:t xml:space="preserve">Pal. Hab.: 22.414 </w:t>
            </w:r>
            <w:r w:rsidRPr="00BC4E3F">
              <w:rPr>
                <w:rFonts w:ascii="Constantia" w:hAnsi="Constantia" w:cs="Arial"/>
                <w:bCs/>
                <w:color w:val="000000"/>
                <w:szCs w:val="22"/>
                <w:lang w:val="sr-Latn-CS"/>
              </w:rPr>
              <w:t>Floating [Utricularia australis] and [Utricularia vulgaris] colonies;</w:t>
            </w:r>
          </w:p>
          <w:p w:rsidR="004B071C" w:rsidRPr="00BC4E3F" w:rsidRDefault="004B071C" w:rsidP="004E680E">
            <w:pPr>
              <w:keepNext/>
              <w:keepLines/>
              <w:spacing w:before="60"/>
              <w:outlineLvl w:val="3"/>
              <w:rPr>
                <w:rFonts w:ascii="Constantia" w:hAnsi="Constantia" w:cs="Arial"/>
                <w:bCs/>
                <w:color w:val="000000"/>
                <w:szCs w:val="22"/>
                <w:lang w:val="sr-Latn-CS"/>
              </w:rPr>
            </w:pPr>
            <w:r w:rsidRPr="00BC4E3F">
              <w:rPr>
                <w:rFonts w:ascii="Constantia" w:hAnsi="Constantia" w:cs="Arial"/>
                <w:bCs/>
                <w:color w:val="000000"/>
                <w:szCs w:val="22"/>
              </w:rPr>
              <w:t xml:space="preserve">EUNIS: C 1.2 </w:t>
            </w:r>
            <w:r w:rsidRPr="00BC4E3F">
              <w:rPr>
                <w:rFonts w:ascii="Constantia" w:hAnsi="Constantia" w:cs="Arial"/>
                <w:bCs/>
                <w:color w:val="000000"/>
                <w:szCs w:val="22"/>
                <w:lang w:val="sr-Latn-CS"/>
              </w:rPr>
              <w:t>Floating [Utricularia australis] and [Utricularia vulgaris] colonies</w:t>
            </w:r>
            <w:r w:rsidRPr="00BC4E3F">
              <w:rPr>
                <w:rFonts w:ascii="Constantia" w:hAnsi="Constantia" w:cs="Arial"/>
                <w:bCs/>
                <w:color w:val="000000"/>
                <w:szCs w:val="22"/>
              </w:rPr>
              <w:t xml:space="preserve">; </w:t>
            </w:r>
          </w:p>
          <w:p w:rsidR="004B071C" w:rsidRPr="00BC4E3F" w:rsidRDefault="004B071C" w:rsidP="004E680E">
            <w:pPr>
              <w:keepNext/>
              <w:keepLines/>
              <w:spacing w:before="60"/>
              <w:outlineLvl w:val="3"/>
              <w:rPr>
                <w:rFonts w:ascii="Constantia" w:hAnsi="Constantia" w:cs="Arial"/>
                <w:bCs/>
                <w:iCs/>
                <w:color w:val="000000"/>
                <w:szCs w:val="22"/>
                <w:lang w:val="sr-Latn-CS"/>
              </w:rPr>
            </w:pPr>
          </w:p>
        </w:tc>
        <w:tc>
          <w:tcPr>
            <w:tcW w:w="572" w:type="dxa"/>
            <w:shd w:val="clear" w:color="auto" w:fill="E6EED5"/>
          </w:tcPr>
          <w:p w:rsidR="004B071C" w:rsidRPr="00BC4E3F" w:rsidRDefault="004B071C" w:rsidP="004E680E">
            <w:pPr>
              <w:keepNext/>
              <w:keepLines/>
              <w:spacing w:before="60"/>
              <w:outlineLvl w:val="3"/>
              <w:rPr>
                <w:rFonts w:ascii="Constantia" w:hAnsi="Constantia" w:cs="Arial"/>
                <w:bCs/>
                <w:iCs/>
                <w:color w:val="000000"/>
                <w:szCs w:val="22"/>
                <w:lang w:val="sr-Latn-CS"/>
              </w:rPr>
            </w:pPr>
          </w:p>
        </w:tc>
        <w:tc>
          <w:tcPr>
            <w:tcW w:w="540" w:type="dxa"/>
            <w:shd w:val="clear" w:color="auto" w:fill="E6EED5"/>
          </w:tcPr>
          <w:p w:rsidR="004B071C" w:rsidRPr="00BC4E3F" w:rsidRDefault="004B071C" w:rsidP="004E680E">
            <w:pPr>
              <w:keepNext/>
              <w:keepLines/>
              <w:spacing w:before="60"/>
              <w:outlineLvl w:val="3"/>
              <w:rPr>
                <w:rFonts w:ascii="Constantia" w:hAnsi="Constantia" w:cs="Arial"/>
                <w:bCs/>
                <w:iCs/>
                <w:color w:val="000000"/>
                <w:szCs w:val="22"/>
                <w:lang w:val="sr-Latn-CS"/>
              </w:rPr>
            </w:pPr>
          </w:p>
        </w:tc>
        <w:tc>
          <w:tcPr>
            <w:tcW w:w="1440" w:type="dxa"/>
            <w:shd w:val="clear" w:color="auto" w:fill="E6EED5"/>
          </w:tcPr>
          <w:p w:rsidR="004B071C" w:rsidRPr="00BC4E3F" w:rsidRDefault="004B071C" w:rsidP="000770E6">
            <w:pPr>
              <w:keepNext/>
              <w:keepLines/>
              <w:spacing w:before="60"/>
              <w:jc w:val="left"/>
              <w:outlineLvl w:val="3"/>
              <w:rPr>
                <w:rFonts w:ascii="Constantia" w:hAnsi="Constantia" w:cs="Arial"/>
                <w:bCs/>
                <w:iCs/>
                <w:color w:val="000000"/>
                <w:szCs w:val="22"/>
                <w:lang w:val="sr-Latn-CS"/>
              </w:rPr>
            </w:pPr>
            <w:r w:rsidRPr="00BC4E3F">
              <w:rPr>
                <w:rFonts w:ascii="Constantia" w:hAnsi="Constantia" w:cs="Arial"/>
                <w:bCs/>
                <w:iCs/>
                <w:color w:val="000000"/>
                <w:szCs w:val="22"/>
                <w:lang w:val="sr-Latn-CS"/>
              </w:rPr>
              <w:t xml:space="preserve"> 3-6 m</w:t>
            </w:r>
            <w:r w:rsidRPr="00BC4E3F">
              <w:rPr>
                <w:rFonts w:ascii="Constantia" w:hAnsi="Constantia" w:cs="Arial"/>
                <w:bCs/>
                <w:iCs/>
                <w:color w:val="000000"/>
                <w:szCs w:val="22"/>
                <w:vertAlign w:val="superscript"/>
                <w:lang w:val="sr-Latn-CS"/>
              </w:rPr>
              <w:t xml:space="preserve">2 </w:t>
            </w:r>
            <w:r w:rsidRPr="00BC4E3F">
              <w:rPr>
                <w:rFonts w:ascii="Constantia" w:hAnsi="Constantia" w:cs="Arial"/>
                <w:bCs/>
                <w:iCs/>
                <w:color w:val="000000"/>
                <w:szCs w:val="22"/>
                <w:lang w:val="sr-Latn-CS"/>
              </w:rPr>
              <w:t>(</w:t>
            </w:r>
            <w:r w:rsidR="000770E6" w:rsidRPr="00BC4E3F">
              <w:rPr>
                <w:rFonts w:ascii="Constantia" w:hAnsi="Constantia" w:cs="Arial"/>
                <w:bCs/>
                <w:iCs/>
                <w:color w:val="000000"/>
                <w:szCs w:val="22"/>
                <w:lang w:val="sr-Latn-CS"/>
              </w:rPr>
              <w:t>Lokacija Pančić</w:t>
            </w:r>
            <w:r w:rsidRPr="00BC4E3F">
              <w:rPr>
                <w:rFonts w:ascii="Constantia" w:hAnsi="Constantia" w:cs="Arial"/>
                <w:bCs/>
                <w:iCs/>
                <w:color w:val="000000"/>
                <w:szCs w:val="22"/>
                <w:lang w:val="sr-Latn-CS"/>
              </w:rPr>
              <w:t>evo oko)</w:t>
            </w:r>
          </w:p>
          <w:p w:rsidR="004B071C" w:rsidRPr="00BC4E3F" w:rsidRDefault="004B071C" w:rsidP="004E680E">
            <w:pPr>
              <w:keepNext/>
              <w:keepLines/>
              <w:spacing w:before="60"/>
              <w:outlineLvl w:val="3"/>
              <w:rPr>
                <w:rFonts w:ascii="Constantia" w:hAnsi="Constantia" w:cs="Arial"/>
                <w:bCs/>
                <w:iCs/>
                <w:color w:val="000000"/>
                <w:szCs w:val="22"/>
                <w:lang w:val="sr-Latn-CS"/>
              </w:rPr>
            </w:pPr>
          </w:p>
        </w:tc>
        <w:tc>
          <w:tcPr>
            <w:tcW w:w="990" w:type="dxa"/>
            <w:shd w:val="clear" w:color="auto" w:fill="E6EED5"/>
          </w:tcPr>
          <w:p w:rsidR="004B071C" w:rsidRPr="00BC4E3F" w:rsidRDefault="004B071C" w:rsidP="004E680E">
            <w:pPr>
              <w:keepNext/>
              <w:keepLines/>
              <w:spacing w:before="60"/>
              <w:outlineLvl w:val="3"/>
              <w:rPr>
                <w:rFonts w:ascii="Constantia" w:hAnsi="Constantia" w:cs="Arial"/>
                <w:bCs/>
                <w:iCs/>
                <w:color w:val="000000"/>
                <w:szCs w:val="22"/>
                <w:lang w:val="sr-Latn-CS"/>
              </w:rPr>
            </w:pPr>
          </w:p>
        </w:tc>
        <w:tc>
          <w:tcPr>
            <w:tcW w:w="1261" w:type="dxa"/>
            <w:shd w:val="clear" w:color="auto" w:fill="E6EED5"/>
          </w:tcPr>
          <w:p w:rsidR="004B071C" w:rsidRPr="00BC4E3F" w:rsidRDefault="004B071C" w:rsidP="000770E6">
            <w:pPr>
              <w:keepNext/>
              <w:keepLines/>
              <w:spacing w:before="60"/>
              <w:jc w:val="center"/>
              <w:outlineLvl w:val="3"/>
              <w:rPr>
                <w:rFonts w:ascii="Constantia" w:hAnsi="Constantia" w:cs="Arial"/>
                <w:bCs/>
                <w:iCs/>
                <w:color w:val="000000"/>
                <w:szCs w:val="22"/>
                <w:lang w:val="sr-Latn-CS"/>
              </w:rPr>
            </w:pPr>
            <w:r w:rsidRPr="00BC4E3F">
              <w:rPr>
                <w:rFonts w:ascii="Constantia" w:hAnsi="Constantia" w:cs="Arial"/>
                <w:bCs/>
                <w:iCs/>
                <w:color w:val="000000"/>
                <w:szCs w:val="22"/>
                <w:lang w:val="sr-Latn-CS"/>
              </w:rPr>
              <w:t>G</w:t>
            </w:r>
          </w:p>
        </w:tc>
      </w:tr>
      <w:tr w:rsidR="000770E6" w:rsidRPr="000770E6" w:rsidTr="000770E6">
        <w:tc>
          <w:tcPr>
            <w:tcW w:w="4486" w:type="dxa"/>
            <w:shd w:val="clear" w:color="auto" w:fill="CDDDAC"/>
          </w:tcPr>
          <w:p w:rsidR="004B071C" w:rsidRPr="00BC4E3F" w:rsidRDefault="004B071C" w:rsidP="004E680E">
            <w:pPr>
              <w:spacing w:after="0"/>
              <w:jc w:val="left"/>
              <w:rPr>
                <w:rFonts w:ascii="Constantia" w:hAnsi="Constantia" w:cs="Arial"/>
                <w:bCs/>
                <w:color w:val="000000"/>
                <w:szCs w:val="22"/>
              </w:rPr>
            </w:pPr>
            <w:r w:rsidRPr="00BC4E3F">
              <w:rPr>
                <w:rFonts w:ascii="Constantia" w:hAnsi="Constantia" w:cs="Arial"/>
                <w:bCs/>
                <w:color w:val="000000"/>
                <w:szCs w:val="22"/>
              </w:rPr>
              <w:t>91F0 (G1.22325)</w:t>
            </w:r>
          </w:p>
          <w:p w:rsidR="004B071C" w:rsidRPr="00BC4E3F" w:rsidRDefault="004B071C" w:rsidP="004E680E">
            <w:pPr>
              <w:spacing w:after="0"/>
              <w:jc w:val="left"/>
              <w:rPr>
                <w:rFonts w:ascii="Constantia" w:hAnsi="Constantia" w:cs="Arial"/>
                <w:bCs/>
                <w:i/>
                <w:iCs/>
                <w:color w:val="000000"/>
                <w:szCs w:val="22"/>
              </w:rPr>
            </w:pPr>
            <w:r w:rsidRPr="00BC4E3F">
              <w:rPr>
                <w:rFonts w:ascii="Constantia" w:hAnsi="Constantia" w:cs="Arial"/>
                <w:bCs/>
                <w:color w:val="000000"/>
                <w:szCs w:val="22"/>
              </w:rPr>
              <w:t>91F0 HD: Riparian mixed forests of</w:t>
            </w:r>
            <w:r w:rsidRPr="00BC4E3F">
              <w:rPr>
                <w:rFonts w:ascii="Constantia" w:hAnsi="Constantia" w:cs="Arial"/>
                <w:bCs/>
                <w:i/>
                <w:iCs/>
                <w:color w:val="000000"/>
                <w:szCs w:val="22"/>
              </w:rPr>
              <w:t xml:space="preserve"> Quercus robur, Ulmus laevis </w:t>
            </w:r>
            <w:r w:rsidRPr="00BC4E3F">
              <w:rPr>
                <w:rFonts w:ascii="Constantia" w:hAnsi="Constantia" w:cs="Arial"/>
                <w:bCs/>
                <w:color w:val="000000"/>
                <w:szCs w:val="22"/>
              </w:rPr>
              <w:t xml:space="preserve">and </w:t>
            </w:r>
            <w:r w:rsidRPr="00BC4E3F">
              <w:rPr>
                <w:rFonts w:ascii="Constantia" w:hAnsi="Constantia" w:cs="Arial"/>
                <w:bCs/>
                <w:i/>
                <w:iCs/>
                <w:color w:val="000000"/>
                <w:szCs w:val="22"/>
              </w:rPr>
              <w:t xml:space="preserve">Ulmus minor, Fraxinus excelsior </w:t>
            </w:r>
            <w:r w:rsidRPr="00BC4E3F">
              <w:rPr>
                <w:rFonts w:ascii="Constantia" w:hAnsi="Constantia" w:cs="Arial"/>
                <w:bCs/>
                <w:color w:val="000000"/>
                <w:szCs w:val="22"/>
              </w:rPr>
              <w:t xml:space="preserve">or </w:t>
            </w:r>
            <w:r w:rsidRPr="00BC4E3F">
              <w:rPr>
                <w:rFonts w:ascii="Constantia" w:hAnsi="Constantia" w:cs="Arial"/>
                <w:bCs/>
                <w:i/>
                <w:iCs/>
                <w:color w:val="000000"/>
                <w:szCs w:val="22"/>
              </w:rPr>
              <w:t xml:space="preserve">Fraxinus angustifolius, </w:t>
            </w:r>
          </w:p>
          <w:p w:rsidR="004B071C" w:rsidRPr="00BC4E3F" w:rsidRDefault="004B071C" w:rsidP="004E680E">
            <w:pPr>
              <w:spacing w:after="0"/>
              <w:jc w:val="left"/>
              <w:rPr>
                <w:rFonts w:ascii="Constantia" w:hAnsi="Constantia" w:cs="Arial"/>
                <w:bCs/>
                <w:color w:val="000000"/>
                <w:szCs w:val="22"/>
              </w:rPr>
            </w:pPr>
            <w:r w:rsidRPr="00BC4E3F">
              <w:rPr>
                <w:rFonts w:ascii="Constantia" w:hAnsi="Constantia" w:cs="Arial"/>
                <w:bCs/>
                <w:color w:val="000000"/>
                <w:szCs w:val="22"/>
              </w:rPr>
              <w:t>Eunis</w:t>
            </w:r>
            <w:r w:rsidRPr="00BC4E3F">
              <w:rPr>
                <w:rFonts w:ascii="Constantia" w:hAnsi="Constantia" w:cs="Arial"/>
                <w:bCs/>
                <w:i/>
                <w:iCs/>
                <w:color w:val="000000"/>
                <w:szCs w:val="22"/>
              </w:rPr>
              <w:t xml:space="preserve">: </w:t>
            </w:r>
            <w:r w:rsidRPr="00BC4E3F">
              <w:rPr>
                <w:rFonts w:ascii="Constantia" w:hAnsi="Constantia" w:cs="Arial"/>
                <w:bCs/>
                <w:color w:val="000000"/>
                <w:szCs w:val="22"/>
              </w:rPr>
              <w:t xml:space="preserve">Montenegrine ash-oak-alder forests, </w:t>
            </w:r>
          </w:p>
          <w:p w:rsidR="004B071C" w:rsidRPr="00BC4E3F" w:rsidRDefault="004B071C" w:rsidP="004E680E">
            <w:pPr>
              <w:keepNext/>
              <w:keepLines/>
              <w:spacing w:before="60"/>
              <w:outlineLvl w:val="3"/>
              <w:rPr>
                <w:rFonts w:ascii="Constantia" w:hAnsi="Constantia" w:cs="Arial"/>
                <w:bCs/>
                <w:iCs/>
                <w:color w:val="000000"/>
                <w:szCs w:val="22"/>
                <w:lang w:val="sr-Latn-CS"/>
              </w:rPr>
            </w:pPr>
            <w:r w:rsidRPr="00BC4E3F">
              <w:rPr>
                <w:rFonts w:ascii="Constantia" w:hAnsi="Constantia" w:cs="Arial"/>
                <w:bCs/>
                <w:color w:val="000000"/>
                <w:szCs w:val="22"/>
              </w:rPr>
              <w:t>National: Crnogorske plavne šume jasena, lužnjaka i johe</w:t>
            </w:r>
          </w:p>
        </w:tc>
        <w:tc>
          <w:tcPr>
            <w:tcW w:w="572" w:type="dxa"/>
            <w:shd w:val="clear" w:color="auto" w:fill="CDDDAC"/>
          </w:tcPr>
          <w:p w:rsidR="004B071C" w:rsidRPr="00BC4E3F" w:rsidRDefault="004B071C" w:rsidP="004E680E">
            <w:pPr>
              <w:keepNext/>
              <w:keepLines/>
              <w:spacing w:before="60"/>
              <w:outlineLvl w:val="3"/>
              <w:rPr>
                <w:rFonts w:ascii="Constantia" w:hAnsi="Constantia" w:cs="Arial"/>
                <w:bCs/>
                <w:iCs/>
                <w:color w:val="000000"/>
                <w:szCs w:val="22"/>
                <w:lang w:val="sr-Latn-CS"/>
              </w:rPr>
            </w:pPr>
          </w:p>
        </w:tc>
        <w:tc>
          <w:tcPr>
            <w:tcW w:w="540" w:type="dxa"/>
            <w:shd w:val="clear" w:color="auto" w:fill="CDDDAC"/>
          </w:tcPr>
          <w:p w:rsidR="004B071C" w:rsidRPr="00BC4E3F" w:rsidRDefault="004B071C" w:rsidP="004E680E">
            <w:pPr>
              <w:keepNext/>
              <w:keepLines/>
              <w:spacing w:before="60"/>
              <w:outlineLvl w:val="3"/>
              <w:rPr>
                <w:rFonts w:ascii="Constantia" w:hAnsi="Constantia" w:cs="Arial"/>
                <w:bCs/>
                <w:iCs/>
                <w:color w:val="000000"/>
                <w:szCs w:val="22"/>
                <w:lang w:val="sr-Latn-CS"/>
              </w:rPr>
            </w:pPr>
          </w:p>
        </w:tc>
        <w:tc>
          <w:tcPr>
            <w:tcW w:w="1440" w:type="dxa"/>
            <w:shd w:val="clear" w:color="auto" w:fill="CDDDAC"/>
          </w:tcPr>
          <w:p w:rsidR="004B071C" w:rsidRPr="00BC4E3F" w:rsidRDefault="004B071C" w:rsidP="00BC4E3F">
            <w:pPr>
              <w:keepNext/>
              <w:keepLines/>
              <w:spacing w:before="60"/>
              <w:jc w:val="left"/>
              <w:outlineLvl w:val="3"/>
              <w:rPr>
                <w:rFonts w:ascii="Constantia" w:hAnsi="Constantia" w:cs="Arial"/>
                <w:bCs/>
                <w:iCs/>
                <w:color w:val="000000"/>
                <w:szCs w:val="22"/>
                <w:lang w:val="sr-Latn-CS"/>
              </w:rPr>
            </w:pPr>
            <w:r w:rsidRPr="00BC4E3F">
              <w:rPr>
                <w:rFonts w:ascii="Constantia" w:hAnsi="Constantia" w:cs="Arial"/>
                <w:bCs/>
                <w:iCs/>
                <w:color w:val="000000"/>
                <w:szCs w:val="22"/>
                <w:lang w:val="sr-Latn-CS"/>
              </w:rPr>
              <w:t>130 ha (</w:t>
            </w:r>
            <w:r w:rsidR="00BC4E3F">
              <w:rPr>
                <w:rFonts w:ascii="Constantia" w:hAnsi="Constantia" w:cs="Arial"/>
                <w:bCs/>
                <w:iCs/>
                <w:color w:val="000000"/>
                <w:szCs w:val="22"/>
                <w:lang w:val="sr-Latn-CS"/>
              </w:rPr>
              <w:t>l</w:t>
            </w:r>
            <w:r w:rsidRPr="00BC4E3F">
              <w:rPr>
                <w:rFonts w:ascii="Constantia" w:hAnsi="Constantia" w:cs="Arial"/>
                <w:bCs/>
                <w:iCs/>
                <w:color w:val="000000"/>
                <w:szCs w:val="22"/>
                <w:lang w:val="sr-Latn-CS"/>
              </w:rPr>
              <w:t>o</w:t>
            </w:r>
            <w:r w:rsidR="00BC4E3F">
              <w:rPr>
                <w:rFonts w:ascii="Constantia" w:hAnsi="Constantia" w:cs="Arial"/>
                <w:bCs/>
                <w:iCs/>
                <w:color w:val="000000"/>
                <w:szCs w:val="22"/>
                <w:lang w:val="sr-Latn-CS"/>
              </w:rPr>
              <w:t>ka</w:t>
            </w:r>
            <w:r w:rsidRPr="00BC4E3F">
              <w:rPr>
                <w:rFonts w:ascii="Constantia" w:hAnsi="Constantia" w:cs="Arial"/>
                <w:bCs/>
                <w:iCs/>
                <w:color w:val="000000"/>
                <w:szCs w:val="22"/>
                <w:lang w:val="sr-Latn-CS"/>
              </w:rPr>
              <w:t>c</w:t>
            </w:r>
            <w:r w:rsidR="00BC4E3F">
              <w:rPr>
                <w:rFonts w:ascii="Constantia" w:hAnsi="Constantia" w:cs="Arial"/>
                <w:bCs/>
                <w:iCs/>
                <w:color w:val="000000"/>
                <w:szCs w:val="22"/>
                <w:lang w:val="sr-Latn-CS"/>
              </w:rPr>
              <w:t xml:space="preserve">ija </w:t>
            </w:r>
            <w:r w:rsidRPr="00BC4E3F">
              <w:rPr>
                <w:rFonts w:ascii="Constantia" w:hAnsi="Constantia" w:cs="Arial"/>
                <w:bCs/>
                <w:iCs/>
                <w:color w:val="000000"/>
                <w:szCs w:val="22"/>
                <w:lang w:val="sr-Latn-CS"/>
              </w:rPr>
              <w:t xml:space="preserve"> Gostiljaska ri</w:t>
            </w:r>
            <w:r w:rsidR="00BC4E3F">
              <w:rPr>
                <w:rFonts w:ascii="Constantia" w:hAnsi="Constantia" w:cs="Arial"/>
                <w:bCs/>
                <w:iCs/>
                <w:color w:val="000000"/>
                <w:szCs w:val="22"/>
                <w:lang w:val="sr-Latn-CS"/>
              </w:rPr>
              <w:t>jeka</w:t>
            </w:r>
            <w:r w:rsidRPr="00BC4E3F">
              <w:rPr>
                <w:rFonts w:ascii="Constantia" w:hAnsi="Constantia" w:cs="Arial"/>
                <w:bCs/>
                <w:iCs/>
                <w:color w:val="000000"/>
                <w:szCs w:val="22"/>
                <w:lang w:val="sr-Latn-CS"/>
              </w:rPr>
              <w:t>)</w:t>
            </w:r>
          </w:p>
        </w:tc>
        <w:tc>
          <w:tcPr>
            <w:tcW w:w="990" w:type="dxa"/>
            <w:shd w:val="clear" w:color="auto" w:fill="CDDDAC"/>
          </w:tcPr>
          <w:p w:rsidR="004B071C" w:rsidRPr="00BC4E3F" w:rsidRDefault="004B071C" w:rsidP="004E680E">
            <w:pPr>
              <w:keepNext/>
              <w:keepLines/>
              <w:spacing w:before="60"/>
              <w:outlineLvl w:val="3"/>
              <w:rPr>
                <w:rFonts w:ascii="Constantia" w:hAnsi="Constantia" w:cs="Arial"/>
                <w:bCs/>
                <w:iCs/>
                <w:color w:val="000000"/>
                <w:szCs w:val="22"/>
                <w:lang w:val="sr-Latn-CS"/>
              </w:rPr>
            </w:pPr>
          </w:p>
        </w:tc>
        <w:tc>
          <w:tcPr>
            <w:tcW w:w="1261" w:type="dxa"/>
            <w:shd w:val="clear" w:color="auto" w:fill="CDDDAC"/>
          </w:tcPr>
          <w:p w:rsidR="004B071C" w:rsidRPr="00BC4E3F" w:rsidRDefault="004B071C" w:rsidP="000770E6">
            <w:pPr>
              <w:keepNext/>
              <w:keepLines/>
              <w:spacing w:before="60"/>
              <w:jc w:val="center"/>
              <w:outlineLvl w:val="3"/>
              <w:rPr>
                <w:rFonts w:ascii="Constantia" w:hAnsi="Constantia" w:cs="Arial"/>
                <w:bCs/>
                <w:iCs/>
                <w:color w:val="000000"/>
                <w:szCs w:val="22"/>
                <w:lang w:val="sr-Latn-CS"/>
              </w:rPr>
            </w:pPr>
            <w:r w:rsidRPr="00BC4E3F">
              <w:rPr>
                <w:rFonts w:ascii="Constantia" w:hAnsi="Constantia" w:cs="Arial"/>
                <w:bCs/>
                <w:iCs/>
                <w:color w:val="000000"/>
                <w:szCs w:val="22"/>
                <w:lang w:val="sr-Latn-CS"/>
              </w:rPr>
              <w:t>G</w:t>
            </w:r>
          </w:p>
        </w:tc>
      </w:tr>
      <w:tr w:rsidR="000770E6" w:rsidRPr="000770E6" w:rsidTr="000770E6">
        <w:tc>
          <w:tcPr>
            <w:tcW w:w="4486" w:type="dxa"/>
            <w:shd w:val="clear" w:color="auto" w:fill="E6EED5"/>
          </w:tcPr>
          <w:p w:rsidR="004B071C" w:rsidRPr="00BC4E3F" w:rsidRDefault="004B071C" w:rsidP="004E680E">
            <w:pPr>
              <w:spacing w:after="0"/>
              <w:jc w:val="left"/>
              <w:rPr>
                <w:rFonts w:ascii="Constantia" w:hAnsi="Constantia" w:cs="Arial"/>
                <w:bCs/>
                <w:color w:val="000000"/>
                <w:szCs w:val="22"/>
              </w:rPr>
            </w:pPr>
            <w:r w:rsidRPr="00BC4E3F">
              <w:rPr>
                <w:rFonts w:ascii="Constantia" w:hAnsi="Constantia" w:cs="Arial"/>
                <w:bCs/>
                <w:color w:val="000000"/>
                <w:szCs w:val="22"/>
              </w:rPr>
              <w:t>5230  (F5.516)</w:t>
            </w:r>
          </w:p>
          <w:p w:rsidR="004B071C" w:rsidRPr="00BC4E3F" w:rsidRDefault="0056357E" w:rsidP="004E680E">
            <w:pPr>
              <w:spacing w:after="0"/>
              <w:jc w:val="left"/>
              <w:rPr>
                <w:rFonts w:ascii="Constantia" w:hAnsi="Constantia" w:cs="Arial"/>
                <w:bCs/>
                <w:color w:val="000000"/>
                <w:szCs w:val="22"/>
              </w:rPr>
            </w:pPr>
            <w:r>
              <w:rPr>
                <w:rFonts w:ascii="Constantia" w:hAnsi="Constantia" w:cs="Arial"/>
                <w:bCs/>
                <w:color w:val="000000"/>
                <w:szCs w:val="22"/>
              </w:rPr>
              <w:t>HD: A</w:t>
            </w:r>
            <w:r w:rsidR="004B071C" w:rsidRPr="00BC4E3F">
              <w:rPr>
                <w:rFonts w:ascii="Constantia" w:hAnsi="Constantia" w:cs="Arial"/>
                <w:bCs/>
                <w:color w:val="000000"/>
                <w:szCs w:val="22"/>
              </w:rPr>
              <w:t>rborescent</w:t>
            </w:r>
          </w:p>
          <w:p w:rsidR="0056357E" w:rsidRDefault="004B071C" w:rsidP="00E0435E">
            <w:pPr>
              <w:spacing w:after="0"/>
              <w:jc w:val="left"/>
              <w:rPr>
                <w:rFonts w:ascii="Constantia" w:hAnsi="Constantia" w:cs="Arial"/>
                <w:bCs/>
                <w:color w:val="000000"/>
                <w:szCs w:val="22"/>
              </w:rPr>
            </w:pPr>
            <w:r w:rsidRPr="00BC4E3F">
              <w:rPr>
                <w:rFonts w:ascii="Constantia" w:hAnsi="Constantia" w:cs="Arial"/>
                <w:bCs/>
                <w:color w:val="000000"/>
                <w:szCs w:val="22"/>
              </w:rPr>
              <w:t xml:space="preserve">matorral with </w:t>
            </w:r>
            <w:r w:rsidRPr="0056357E">
              <w:rPr>
                <w:rFonts w:ascii="Constantia" w:hAnsi="Constantia" w:cs="Arial"/>
                <w:bCs/>
                <w:i/>
                <w:color w:val="000000"/>
                <w:szCs w:val="22"/>
              </w:rPr>
              <w:t>Laurus nobilis</w:t>
            </w:r>
            <w:r w:rsidRPr="00BC4E3F">
              <w:rPr>
                <w:rFonts w:ascii="Constantia" w:hAnsi="Constantia" w:cs="Arial"/>
                <w:bCs/>
                <w:color w:val="000000"/>
                <w:szCs w:val="22"/>
              </w:rPr>
              <w:t xml:space="preserve">;                            EUNIS: </w:t>
            </w:r>
            <w:r w:rsidRPr="0056357E">
              <w:rPr>
                <w:rFonts w:ascii="Constantia" w:hAnsi="Constantia" w:cs="Arial"/>
                <w:bCs/>
                <w:i/>
                <w:color w:val="000000"/>
                <w:szCs w:val="22"/>
              </w:rPr>
              <w:t>Laurus thickets</w:t>
            </w:r>
            <w:r w:rsidRPr="00BC4E3F">
              <w:rPr>
                <w:rFonts w:ascii="Constantia" w:hAnsi="Constantia" w:cs="Arial"/>
                <w:bCs/>
                <w:color w:val="000000"/>
                <w:szCs w:val="22"/>
              </w:rPr>
              <w:t xml:space="preserve"> </w:t>
            </w:r>
          </w:p>
          <w:p w:rsidR="004B071C" w:rsidRPr="00BC4E3F" w:rsidRDefault="004B071C" w:rsidP="00E0435E">
            <w:pPr>
              <w:spacing w:after="0"/>
              <w:jc w:val="left"/>
              <w:rPr>
                <w:rFonts w:ascii="Constantia" w:hAnsi="Constantia" w:cs="Arial"/>
                <w:bCs/>
                <w:color w:val="000000"/>
                <w:szCs w:val="22"/>
              </w:rPr>
            </w:pPr>
            <w:r w:rsidRPr="00BC4E3F">
              <w:rPr>
                <w:rFonts w:ascii="Constantia" w:hAnsi="Constantia" w:cs="Arial"/>
                <w:bCs/>
                <w:color w:val="000000"/>
                <w:szCs w:val="22"/>
              </w:rPr>
              <w:t>Nacionalno: Mediteranske zimzelene šume;</w:t>
            </w:r>
          </w:p>
        </w:tc>
        <w:tc>
          <w:tcPr>
            <w:tcW w:w="572" w:type="dxa"/>
            <w:shd w:val="clear" w:color="auto" w:fill="E6EED5"/>
          </w:tcPr>
          <w:p w:rsidR="004B071C" w:rsidRPr="00BC4E3F" w:rsidRDefault="004B071C" w:rsidP="004E680E">
            <w:pPr>
              <w:keepNext/>
              <w:keepLines/>
              <w:spacing w:before="60"/>
              <w:outlineLvl w:val="3"/>
              <w:rPr>
                <w:rFonts w:ascii="Constantia" w:hAnsi="Constantia" w:cs="Arial"/>
                <w:bCs/>
                <w:iCs/>
                <w:color w:val="000000"/>
                <w:szCs w:val="22"/>
                <w:lang w:val="sr-Latn-CS"/>
              </w:rPr>
            </w:pPr>
          </w:p>
        </w:tc>
        <w:tc>
          <w:tcPr>
            <w:tcW w:w="540" w:type="dxa"/>
            <w:shd w:val="clear" w:color="auto" w:fill="E6EED5"/>
          </w:tcPr>
          <w:p w:rsidR="004B071C" w:rsidRPr="00BC4E3F" w:rsidRDefault="004B071C" w:rsidP="004E680E">
            <w:pPr>
              <w:keepNext/>
              <w:keepLines/>
              <w:spacing w:before="60"/>
              <w:outlineLvl w:val="3"/>
              <w:rPr>
                <w:rFonts w:ascii="Constantia" w:hAnsi="Constantia" w:cs="Arial"/>
                <w:bCs/>
                <w:iCs/>
                <w:color w:val="000000"/>
                <w:szCs w:val="22"/>
                <w:lang w:val="sr-Latn-CS"/>
              </w:rPr>
            </w:pPr>
          </w:p>
        </w:tc>
        <w:tc>
          <w:tcPr>
            <w:tcW w:w="1440" w:type="dxa"/>
            <w:shd w:val="clear" w:color="auto" w:fill="E6EED5"/>
          </w:tcPr>
          <w:p w:rsidR="004B071C" w:rsidRPr="00BC4E3F" w:rsidRDefault="00E0435E" w:rsidP="00E0435E">
            <w:pPr>
              <w:keepNext/>
              <w:keepLines/>
              <w:spacing w:before="60"/>
              <w:jc w:val="left"/>
              <w:outlineLvl w:val="3"/>
              <w:rPr>
                <w:rFonts w:ascii="Constantia" w:hAnsi="Constantia" w:cs="Arial"/>
                <w:bCs/>
                <w:iCs/>
                <w:color w:val="000000"/>
                <w:szCs w:val="22"/>
                <w:lang w:val="sr-Latn-CS"/>
              </w:rPr>
            </w:pPr>
            <w:r>
              <w:rPr>
                <w:rFonts w:ascii="Constantia" w:hAnsi="Constantia" w:cs="Arial"/>
                <w:bCs/>
                <w:iCs/>
                <w:color w:val="000000"/>
                <w:szCs w:val="22"/>
                <w:lang w:val="sr-Latn-CS"/>
              </w:rPr>
              <w:t>1,</w:t>
            </w:r>
            <w:r w:rsidR="004B071C" w:rsidRPr="00BC4E3F">
              <w:rPr>
                <w:rFonts w:ascii="Constantia" w:hAnsi="Constantia" w:cs="Arial"/>
                <w:bCs/>
                <w:iCs/>
                <w:color w:val="000000"/>
                <w:szCs w:val="22"/>
                <w:lang w:val="sr-Latn-CS"/>
              </w:rPr>
              <w:t>5 ha (Omerova Gorica)</w:t>
            </w:r>
          </w:p>
          <w:p w:rsidR="004B071C" w:rsidRPr="00BC4E3F" w:rsidRDefault="00E0435E" w:rsidP="00E0435E">
            <w:pPr>
              <w:keepNext/>
              <w:keepLines/>
              <w:spacing w:before="60"/>
              <w:jc w:val="left"/>
              <w:outlineLvl w:val="3"/>
              <w:rPr>
                <w:rFonts w:ascii="Constantia" w:hAnsi="Constantia" w:cs="Arial"/>
                <w:bCs/>
                <w:iCs/>
                <w:color w:val="000000"/>
                <w:szCs w:val="22"/>
                <w:lang w:val="sr-Latn-CS"/>
              </w:rPr>
            </w:pPr>
            <w:r>
              <w:rPr>
                <w:rFonts w:ascii="Constantia" w:hAnsi="Constantia" w:cs="Arial"/>
                <w:bCs/>
                <w:iCs/>
                <w:color w:val="000000"/>
                <w:szCs w:val="22"/>
                <w:lang w:val="sr-Latn-CS"/>
              </w:rPr>
              <w:t>3,</w:t>
            </w:r>
            <w:r w:rsidR="004B071C" w:rsidRPr="00BC4E3F">
              <w:rPr>
                <w:rFonts w:ascii="Constantia" w:hAnsi="Constantia" w:cs="Arial"/>
                <w:bCs/>
                <w:iCs/>
                <w:color w:val="000000"/>
                <w:szCs w:val="22"/>
                <w:lang w:val="sr-Latn-CS"/>
              </w:rPr>
              <w:t>05 ha (Mala Čakovica)</w:t>
            </w:r>
          </w:p>
        </w:tc>
        <w:tc>
          <w:tcPr>
            <w:tcW w:w="990" w:type="dxa"/>
            <w:shd w:val="clear" w:color="auto" w:fill="E6EED5"/>
          </w:tcPr>
          <w:p w:rsidR="004B071C" w:rsidRPr="00BC4E3F" w:rsidRDefault="004B071C" w:rsidP="004E680E">
            <w:pPr>
              <w:keepNext/>
              <w:keepLines/>
              <w:spacing w:before="60"/>
              <w:outlineLvl w:val="3"/>
              <w:rPr>
                <w:rFonts w:ascii="Constantia" w:hAnsi="Constantia" w:cs="Arial"/>
                <w:bCs/>
                <w:iCs/>
                <w:color w:val="000000"/>
                <w:szCs w:val="22"/>
                <w:lang w:val="sr-Latn-CS"/>
              </w:rPr>
            </w:pPr>
          </w:p>
        </w:tc>
        <w:tc>
          <w:tcPr>
            <w:tcW w:w="1261" w:type="dxa"/>
            <w:shd w:val="clear" w:color="auto" w:fill="E6EED5"/>
          </w:tcPr>
          <w:p w:rsidR="004B071C" w:rsidRPr="00BC4E3F" w:rsidRDefault="004B071C" w:rsidP="000770E6">
            <w:pPr>
              <w:keepNext/>
              <w:keepLines/>
              <w:spacing w:before="60"/>
              <w:jc w:val="center"/>
              <w:outlineLvl w:val="3"/>
              <w:rPr>
                <w:rFonts w:ascii="Constantia" w:hAnsi="Constantia" w:cs="Arial"/>
                <w:bCs/>
                <w:iCs/>
                <w:color w:val="000000"/>
                <w:szCs w:val="22"/>
                <w:lang w:val="sr-Latn-CS"/>
              </w:rPr>
            </w:pPr>
            <w:r w:rsidRPr="00BC4E3F">
              <w:rPr>
                <w:rFonts w:ascii="Constantia" w:hAnsi="Constantia" w:cs="Arial"/>
                <w:bCs/>
                <w:iCs/>
                <w:color w:val="000000"/>
                <w:szCs w:val="22"/>
                <w:lang w:val="sr-Latn-CS"/>
              </w:rPr>
              <w:t>G</w:t>
            </w:r>
          </w:p>
        </w:tc>
      </w:tr>
      <w:tr w:rsidR="000770E6" w:rsidRPr="000770E6" w:rsidTr="000770E6">
        <w:tc>
          <w:tcPr>
            <w:tcW w:w="4486" w:type="dxa"/>
            <w:shd w:val="clear" w:color="auto" w:fill="CDDDAC"/>
          </w:tcPr>
          <w:p w:rsidR="004B071C" w:rsidRPr="00BC4E3F" w:rsidRDefault="004B071C" w:rsidP="004E680E">
            <w:pPr>
              <w:spacing w:after="0"/>
              <w:jc w:val="left"/>
              <w:rPr>
                <w:rFonts w:ascii="Constantia" w:hAnsi="Constantia" w:cs="Arial"/>
                <w:bCs/>
                <w:color w:val="000000"/>
                <w:szCs w:val="22"/>
              </w:rPr>
            </w:pPr>
            <w:r w:rsidRPr="00BC4E3F">
              <w:rPr>
                <w:rFonts w:ascii="Constantia" w:hAnsi="Constantia" w:cs="Arial"/>
                <w:bCs/>
                <w:color w:val="000000"/>
                <w:szCs w:val="22"/>
              </w:rPr>
              <w:t>5310 (F5.516)</w:t>
            </w:r>
          </w:p>
          <w:p w:rsidR="004B071C" w:rsidRPr="00BC4E3F" w:rsidRDefault="004B071C" w:rsidP="004E680E">
            <w:pPr>
              <w:spacing w:after="0"/>
              <w:jc w:val="left"/>
              <w:rPr>
                <w:rFonts w:ascii="Constantia" w:hAnsi="Constantia" w:cs="Arial"/>
                <w:bCs/>
                <w:color w:val="000000"/>
                <w:szCs w:val="22"/>
              </w:rPr>
            </w:pPr>
            <w:r w:rsidRPr="00BC4E3F">
              <w:rPr>
                <w:rFonts w:ascii="Constantia" w:hAnsi="Constantia" w:cs="Arial"/>
                <w:bCs/>
                <w:color w:val="000000"/>
                <w:szCs w:val="22"/>
              </w:rPr>
              <w:t xml:space="preserve">HD: </w:t>
            </w:r>
            <w:r w:rsidRPr="0056357E">
              <w:rPr>
                <w:rFonts w:ascii="Constantia" w:hAnsi="Constantia" w:cs="Arial"/>
                <w:bCs/>
                <w:i/>
                <w:color w:val="000000"/>
                <w:szCs w:val="22"/>
              </w:rPr>
              <w:t>Laurus nobilis thickets</w:t>
            </w:r>
            <w:r w:rsidRPr="00BC4E3F">
              <w:rPr>
                <w:rFonts w:ascii="Constantia" w:hAnsi="Constantia" w:cs="Arial"/>
                <w:bCs/>
                <w:color w:val="000000"/>
                <w:szCs w:val="22"/>
              </w:rPr>
              <w:t xml:space="preserve">; EUNIS: </w:t>
            </w:r>
            <w:r w:rsidRPr="0056357E">
              <w:rPr>
                <w:rFonts w:ascii="Constantia" w:hAnsi="Constantia" w:cs="Arial"/>
                <w:bCs/>
                <w:i/>
                <w:color w:val="000000"/>
                <w:szCs w:val="22"/>
              </w:rPr>
              <w:t>Laurus thickets</w:t>
            </w:r>
            <w:r w:rsidRPr="00BC4E3F">
              <w:rPr>
                <w:rFonts w:ascii="Constantia" w:hAnsi="Constantia" w:cs="Arial"/>
                <w:bCs/>
                <w:color w:val="000000"/>
                <w:szCs w:val="22"/>
              </w:rPr>
              <w:t xml:space="preserve"> Nacionalno:</w:t>
            </w:r>
            <w:r w:rsidR="0056357E">
              <w:rPr>
                <w:rFonts w:ascii="Constantia" w:hAnsi="Constantia" w:cs="Arial"/>
                <w:bCs/>
                <w:color w:val="000000"/>
                <w:szCs w:val="22"/>
              </w:rPr>
              <w:t xml:space="preserve"> </w:t>
            </w:r>
            <w:r w:rsidRPr="00BC4E3F">
              <w:rPr>
                <w:rFonts w:ascii="Constantia" w:hAnsi="Constantia" w:cs="Arial"/>
                <w:bCs/>
                <w:color w:val="000000"/>
                <w:szCs w:val="22"/>
              </w:rPr>
              <w:t xml:space="preserve">Žbunaste formacije sa </w:t>
            </w:r>
            <w:r w:rsidRPr="0056357E">
              <w:rPr>
                <w:rFonts w:ascii="Constantia" w:hAnsi="Constantia" w:cs="Arial"/>
                <w:bCs/>
                <w:i/>
                <w:color w:val="000000"/>
                <w:szCs w:val="22"/>
              </w:rPr>
              <w:t>Laurus nobilis</w:t>
            </w:r>
            <w:r w:rsidRPr="00BC4E3F">
              <w:rPr>
                <w:rFonts w:ascii="Constantia" w:hAnsi="Constantia" w:cs="Arial"/>
                <w:bCs/>
                <w:color w:val="000000"/>
                <w:szCs w:val="22"/>
              </w:rPr>
              <w:t>);</w:t>
            </w:r>
          </w:p>
        </w:tc>
        <w:tc>
          <w:tcPr>
            <w:tcW w:w="572" w:type="dxa"/>
            <w:shd w:val="clear" w:color="auto" w:fill="CDDDAC"/>
          </w:tcPr>
          <w:p w:rsidR="004B071C" w:rsidRPr="00BC4E3F" w:rsidRDefault="004B071C" w:rsidP="004E680E">
            <w:pPr>
              <w:keepNext/>
              <w:keepLines/>
              <w:spacing w:before="60"/>
              <w:outlineLvl w:val="3"/>
              <w:rPr>
                <w:rFonts w:ascii="Constantia" w:hAnsi="Constantia" w:cs="Arial"/>
                <w:bCs/>
                <w:iCs/>
                <w:color w:val="000000"/>
                <w:szCs w:val="22"/>
                <w:lang w:val="sr-Latn-CS"/>
              </w:rPr>
            </w:pPr>
          </w:p>
        </w:tc>
        <w:tc>
          <w:tcPr>
            <w:tcW w:w="540" w:type="dxa"/>
            <w:shd w:val="clear" w:color="auto" w:fill="CDDDAC"/>
          </w:tcPr>
          <w:p w:rsidR="004B071C" w:rsidRPr="00BC4E3F" w:rsidRDefault="004B071C" w:rsidP="004E680E">
            <w:pPr>
              <w:keepNext/>
              <w:keepLines/>
              <w:spacing w:before="60"/>
              <w:outlineLvl w:val="3"/>
              <w:rPr>
                <w:rFonts w:ascii="Constantia" w:hAnsi="Constantia" w:cs="Arial"/>
                <w:bCs/>
                <w:iCs/>
                <w:color w:val="000000"/>
                <w:szCs w:val="22"/>
                <w:lang w:val="sr-Latn-CS"/>
              </w:rPr>
            </w:pPr>
          </w:p>
        </w:tc>
        <w:tc>
          <w:tcPr>
            <w:tcW w:w="1440" w:type="dxa"/>
            <w:shd w:val="clear" w:color="auto" w:fill="CDDDAC"/>
          </w:tcPr>
          <w:p w:rsidR="004B071C" w:rsidRPr="00BC4E3F" w:rsidRDefault="00E0435E" w:rsidP="00E0435E">
            <w:pPr>
              <w:keepNext/>
              <w:keepLines/>
              <w:spacing w:before="60"/>
              <w:jc w:val="left"/>
              <w:outlineLvl w:val="3"/>
              <w:rPr>
                <w:rFonts w:ascii="Constantia" w:hAnsi="Constantia" w:cs="Arial"/>
                <w:bCs/>
                <w:iCs/>
                <w:color w:val="000000"/>
                <w:szCs w:val="22"/>
                <w:lang w:val="sr-Latn-CS"/>
              </w:rPr>
            </w:pPr>
            <w:r>
              <w:rPr>
                <w:rFonts w:ascii="Constantia" w:hAnsi="Constantia" w:cs="Arial"/>
                <w:bCs/>
                <w:iCs/>
                <w:color w:val="000000"/>
                <w:szCs w:val="22"/>
                <w:lang w:val="sr-Latn-CS"/>
              </w:rPr>
              <w:t>30,</w:t>
            </w:r>
            <w:r w:rsidR="004B071C" w:rsidRPr="00BC4E3F">
              <w:rPr>
                <w:rFonts w:ascii="Constantia" w:hAnsi="Constantia" w:cs="Arial"/>
                <w:bCs/>
                <w:iCs/>
                <w:color w:val="000000"/>
                <w:szCs w:val="22"/>
                <w:lang w:val="sr-Latn-CS"/>
              </w:rPr>
              <w:t>00 ha Kamenik</w:t>
            </w:r>
          </w:p>
          <w:p w:rsidR="004B071C" w:rsidRPr="00BC4E3F" w:rsidRDefault="004B071C" w:rsidP="004E680E">
            <w:pPr>
              <w:keepNext/>
              <w:keepLines/>
              <w:spacing w:before="60"/>
              <w:outlineLvl w:val="3"/>
              <w:rPr>
                <w:rFonts w:ascii="Constantia" w:hAnsi="Constantia" w:cs="Arial"/>
                <w:bCs/>
                <w:iCs/>
                <w:color w:val="000000"/>
                <w:szCs w:val="22"/>
                <w:lang w:val="sr-Latn-CS"/>
              </w:rPr>
            </w:pPr>
          </w:p>
          <w:p w:rsidR="004B071C" w:rsidRPr="00BC4E3F" w:rsidRDefault="00E0435E" w:rsidP="004E680E">
            <w:pPr>
              <w:keepNext/>
              <w:keepLines/>
              <w:spacing w:before="60"/>
              <w:outlineLvl w:val="3"/>
              <w:rPr>
                <w:rFonts w:ascii="Constantia" w:hAnsi="Constantia" w:cs="Arial"/>
                <w:bCs/>
                <w:iCs/>
                <w:color w:val="000000"/>
                <w:szCs w:val="22"/>
                <w:lang w:val="sr-Latn-CS"/>
              </w:rPr>
            </w:pPr>
            <w:r>
              <w:rPr>
                <w:rFonts w:ascii="Constantia" w:hAnsi="Constantia" w:cs="Arial"/>
                <w:bCs/>
                <w:iCs/>
                <w:color w:val="000000"/>
                <w:szCs w:val="22"/>
                <w:lang w:val="sr-Latn-CS"/>
              </w:rPr>
              <w:t>8,</w:t>
            </w:r>
            <w:r w:rsidR="004B071C" w:rsidRPr="00BC4E3F">
              <w:rPr>
                <w:rFonts w:ascii="Constantia" w:hAnsi="Constantia" w:cs="Arial"/>
                <w:bCs/>
                <w:iCs/>
                <w:color w:val="000000"/>
                <w:szCs w:val="22"/>
                <w:lang w:val="sr-Latn-CS"/>
              </w:rPr>
              <w:t>0 ha Kom</w:t>
            </w:r>
          </w:p>
        </w:tc>
        <w:tc>
          <w:tcPr>
            <w:tcW w:w="990" w:type="dxa"/>
            <w:shd w:val="clear" w:color="auto" w:fill="CDDDAC"/>
          </w:tcPr>
          <w:p w:rsidR="004B071C" w:rsidRPr="00BC4E3F" w:rsidRDefault="004B071C" w:rsidP="004E680E">
            <w:pPr>
              <w:keepNext/>
              <w:keepLines/>
              <w:spacing w:before="60"/>
              <w:outlineLvl w:val="3"/>
              <w:rPr>
                <w:rFonts w:ascii="Constantia" w:hAnsi="Constantia" w:cs="Arial"/>
                <w:bCs/>
                <w:iCs/>
                <w:color w:val="000000"/>
                <w:szCs w:val="22"/>
                <w:lang w:val="sr-Latn-CS"/>
              </w:rPr>
            </w:pPr>
          </w:p>
        </w:tc>
        <w:tc>
          <w:tcPr>
            <w:tcW w:w="1261" w:type="dxa"/>
            <w:shd w:val="clear" w:color="auto" w:fill="CDDDAC"/>
          </w:tcPr>
          <w:p w:rsidR="004B071C" w:rsidRPr="00BC4E3F" w:rsidRDefault="004B071C" w:rsidP="000770E6">
            <w:pPr>
              <w:keepNext/>
              <w:keepLines/>
              <w:spacing w:before="60"/>
              <w:jc w:val="center"/>
              <w:outlineLvl w:val="3"/>
              <w:rPr>
                <w:rFonts w:ascii="Constantia" w:hAnsi="Constantia" w:cs="Arial"/>
                <w:bCs/>
                <w:iCs/>
                <w:color w:val="000000"/>
                <w:szCs w:val="22"/>
                <w:lang w:val="sr-Latn-CS"/>
              </w:rPr>
            </w:pPr>
            <w:r w:rsidRPr="00BC4E3F">
              <w:rPr>
                <w:rFonts w:ascii="Constantia" w:hAnsi="Constantia" w:cs="Arial"/>
                <w:bCs/>
                <w:iCs/>
                <w:color w:val="000000"/>
                <w:szCs w:val="22"/>
                <w:lang w:val="sr-Latn-CS"/>
              </w:rPr>
              <w:t>G</w:t>
            </w:r>
          </w:p>
        </w:tc>
      </w:tr>
    </w:tbl>
    <w:p w:rsidR="004B071C" w:rsidRPr="00D91A1E" w:rsidRDefault="00D91A1E" w:rsidP="004B071C">
      <w:pPr>
        <w:pStyle w:val="Tabele"/>
        <w:spacing w:before="60" w:after="240"/>
        <w:ind w:left="714" w:hanging="357"/>
        <w:rPr>
          <w:rFonts w:ascii="Constantia" w:hAnsi="Constantia"/>
          <w:sz w:val="22"/>
          <w:szCs w:val="22"/>
        </w:rPr>
      </w:pPr>
      <w:r>
        <w:t xml:space="preserve"> </w:t>
      </w:r>
      <w:r w:rsidR="004B071C" w:rsidRPr="00D91A1E">
        <w:rPr>
          <w:rFonts w:ascii="Constantia" w:hAnsi="Constantia"/>
          <w:sz w:val="22"/>
          <w:szCs w:val="22"/>
        </w:rPr>
        <w:t>Staništa</w:t>
      </w:r>
    </w:p>
    <w:p w:rsidR="004B071C" w:rsidRDefault="004B071C" w:rsidP="004B071C">
      <w:pPr>
        <w:rPr>
          <w:rFonts w:ascii="Arial" w:hAnsi="Arial" w:cs="Arial"/>
          <w:lang w:val="sr-Latn-CS"/>
        </w:rPr>
      </w:pPr>
    </w:p>
    <w:p w:rsidR="00BC4E3F" w:rsidRDefault="00BC4E3F" w:rsidP="004B071C">
      <w:pPr>
        <w:rPr>
          <w:rFonts w:ascii="Arial" w:hAnsi="Arial" w:cs="Arial"/>
          <w:lang w:val="sr-Latn-CS"/>
        </w:rPr>
      </w:pPr>
    </w:p>
    <w:p w:rsidR="00BC4E3F" w:rsidRDefault="00BC4E3F" w:rsidP="004B071C">
      <w:pPr>
        <w:rPr>
          <w:rFonts w:ascii="Arial" w:hAnsi="Arial" w:cs="Arial"/>
          <w:lang w:val="sr-Latn-CS"/>
        </w:rPr>
      </w:pPr>
    </w:p>
    <w:p w:rsidR="00BC4E3F" w:rsidRPr="0021283D" w:rsidRDefault="00BC4E3F" w:rsidP="004B071C">
      <w:pPr>
        <w:rPr>
          <w:rFonts w:ascii="Arial" w:hAnsi="Arial" w:cs="Arial"/>
          <w:lang w:val="sr-Latn-CS"/>
        </w:rPr>
      </w:pPr>
    </w:p>
    <w:tbl>
      <w:tblPr>
        <w:tblpPr w:leftFromText="180" w:rightFromText="180" w:vertAnchor="text" w:tblpXSpec="center" w:tblpY="1"/>
        <w:tblW w:w="9356"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firstRow="1" w:lastRow="0" w:firstColumn="1" w:lastColumn="0" w:noHBand="0" w:noVBand="1"/>
      </w:tblPr>
      <w:tblGrid>
        <w:gridCol w:w="868"/>
        <w:gridCol w:w="2144"/>
        <w:gridCol w:w="1802"/>
        <w:gridCol w:w="2337"/>
        <w:gridCol w:w="2205"/>
      </w:tblGrid>
      <w:tr w:rsidR="004B071C" w:rsidRPr="00BC4E3F" w:rsidTr="004E680E">
        <w:tc>
          <w:tcPr>
            <w:tcW w:w="9356" w:type="dxa"/>
            <w:gridSpan w:val="5"/>
            <w:shd w:val="clear" w:color="auto" w:fill="E6EED5"/>
          </w:tcPr>
          <w:p w:rsidR="004B071C" w:rsidRPr="00BC4E3F" w:rsidRDefault="004B071C" w:rsidP="004E680E">
            <w:pPr>
              <w:keepNext/>
              <w:keepLines/>
              <w:spacing w:before="60"/>
              <w:outlineLvl w:val="3"/>
              <w:rPr>
                <w:rFonts w:ascii="Constantia" w:hAnsi="Constantia" w:cs="Arial"/>
                <w:b/>
                <w:bCs/>
                <w:iCs/>
                <w:color w:val="000000"/>
                <w:lang w:val="sr-Latn-CS"/>
              </w:rPr>
            </w:pPr>
            <w:r w:rsidRPr="00BC4E3F">
              <w:rPr>
                <w:rFonts w:ascii="Constantia" w:hAnsi="Constantia" w:cs="Arial"/>
                <w:b/>
                <w:bCs/>
                <w:iCs/>
                <w:color w:val="000000"/>
                <w:lang w:val="sr-Latn-CS"/>
              </w:rPr>
              <w:lastRenderedPageBreak/>
              <w:t xml:space="preserve">                                                              Staništa</w:t>
            </w:r>
          </w:p>
        </w:tc>
      </w:tr>
      <w:tr w:rsidR="004B071C" w:rsidRPr="00BC4E3F" w:rsidTr="004E680E">
        <w:tc>
          <w:tcPr>
            <w:tcW w:w="884" w:type="dxa"/>
            <w:shd w:val="clear" w:color="auto" w:fill="CDDDAC"/>
          </w:tcPr>
          <w:p w:rsidR="004B071C" w:rsidRPr="00BC4E3F" w:rsidRDefault="004B071C" w:rsidP="00BC4E3F">
            <w:pPr>
              <w:keepNext/>
              <w:keepLines/>
              <w:spacing w:before="60"/>
              <w:jc w:val="center"/>
              <w:outlineLvl w:val="3"/>
              <w:rPr>
                <w:rFonts w:ascii="Constantia" w:hAnsi="Constantia" w:cs="Arial"/>
                <w:b/>
                <w:bCs/>
                <w:iCs/>
                <w:color w:val="000000"/>
                <w:lang w:val="sr-Latn-CS"/>
              </w:rPr>
            </w:pPr>
            <w:r w:rsidRPr="00BC4E3F">
              <w:rPr>
                <w:rFonts w:ascii="Constantia" w:hAnsi="Constantia" w:cs="Arial"/>
                <w:b/>
                <w:bCs/>
                <w:iCs/>
                <w:color w:val="000000"/>
                <w:lang w:val="sr-Latn-CS"/>
              </w:rPr>
              <w:t>Kod</w:t>
            </w:r>
          </w:p>
        </w:tc>
        <w:tc>
          <w:tcPr>
            <w:tcW w:w="1929" w:type="dxa"/>
            <w:shd w:val="clear" w:color="auto" w:fill="CDDDAC"/>
          </w:tcPr>
          <w:p w:rsidR="004B071C" w:rsidRPr="00BC4E3F" w:rsidRDefault="004B071C" w:rsidP="00BC4E3F">
            <w:pPr>
              <w:keepNext/>
              <w:keepLines/>
              <w:spacing w:before="60"/>
              <w:jc w:val="center"/>
              <w:outlineLvl w:val="3"/>
              <w:rPr>
                <w:rFonts w:ascii="Constantia" w:hAnsi="Constantia" w:cs="Arial"/>
                <w:b/>
                <w:bCs/>
                <w:iCs/>
                <w:color w:val="000000"/>
                <w:lang w:val="sr-Latn-CS"/>
              </w:rPr>
            </w:pPr>
            <w:r w:rsidRPr="00BC4E3F">
              <w:rPr>
                <w:rFonts w:ascii="Constantia" w:hAnsi="Constantia" w:cs="Arial"/>
                <w:b/>
                <w:bCs/>
                <w:iCs/>
                <w:color w:val="000000"/>
                <w:lang w:val="sr-Latn-CS"/>
              </w:rPr>
              <w:t>Reprezentativnost</w:t>
            </w:r>
          </w:p>
        </w:tc>
        <w:tc>
          <w:tcPr>
            <w:tcW w:w="1842" w:type="dxa"/>
            <w:shd w:val="clear" w:color="auto" w:fill="CDDDAC"/>
          </w:tcPr>
          <w:p w:rsidR="004B071C" w:rsidRPr="00BC4E3F" w:rsidRDefault="004B071C" w:rsidP="00BC4E3F">
            <w:pPr>
              <w:keepNext/>
              <w:keepLines/>
              <w:spacing w:before="60"/>
              <w:jc w:val="center"/>
              <w:outlineLvl w:val="3"/>
              <w:rPr>
                <w:rFonts w:ascii="Constantia" w:hAnsi="Constantia" w:cs="Arial"/>
                <w:b/>
                <w:bCs/>
                <w:iCs/>
                <w:color w:val="000000"/>
                <w:lang w:val="sr-Latn-CS"/>
              </w:rPr>
            </w:pPr>
            <w:r w:rsidRPr="00BC4E3F">
              <w:rPr>
                <w:rFonts w:ascii="Constantia" w:hAnsi="Constantia" w:cs="Arial"/>
                <w:b/>
                <w:bCs/>
                <w:iCs/>
                <w:color w:val="000000"/>
                <w:lang w:val="sr-Latn-CS"/>
              </w:rPr>
              <w:t>Relativna površina</w:t>
            </w:r>
          </w:p>
        </w:tc>
        <w:tc>
          <w:tcPr>
            <w:tcW w:w="2433" w:type="dxa"/>
            <w:shd w:val="clear" w:color="auto" w:fill="CDDDAC"/>
          </w:tcPr>
          <w:p w:rsidR="004B071C" w:rsidRPr="00BC4E3F" w:rsidRDefault="004B071C" w:rsidP="00BC4E3F">
            <w:pPr>
              <w:keepNext/>
              <w:keepLines/>
              <w:spacing w:before="60"/>
              <w:jc w:val="center"/>
              <w:outlineLvl w:val="3"/>
              <w:rPr>
                <w:rFonts w:ascii="Constantia" w:hAnsi="Constantia" w:cs="Arial"/>
                <w:b/>
                <w:bCs/>
                <w:iCs/>
                <w:color w:val="000000"/>
                <w:lang w:val="sr-Latn-CS"/>
              </w:rPr>
            </w:pPr>
            <w:r w:rsidRPr="00BC4E3F">
              <w:rPr>
                <w:rFonts w:ascii="Constantia" w:hAnsi="Constantia" w:cs="Arial"/>
                <w:b/>
                <w:bCs/>
                <w:iCs/>
                <w:color w:val="000000"/>
                <w:lang w:val="sr-Latn-CS"/>
              </w:rPr>
              <w:t>Stepen zaštite</w:t>
            </w:r>
          </w:p>
        </w:tc>
        <w:tc>
          <w:tcPr>
            <w:tcW w:w="2268" w:type="dxa"/>
            <w:shd w:val="clear" w:color="auto" w:fill="CDDDAC"/>
          </w:tcPr>
          <w:p w:rsidR="004B071C" w:rsidRPr="00BC4E3F" w:rsidRDefault="004B071C" w:rsidP="00BC4E3F">
            <w:pPr>
              <w:keepNext/>
              <w:keepLines/>
              <w:spacing w:before="60"/>
              <w:jc w:val="center"/>
              <w:outlineLvl w:val="3"/>
              <w:rPr>
                <w:rFonts w:ascii="Constantia" w:hAnsi="Constantia" w:cs="Arial"/>
                <w:b/>
                <w:bCs/>
                <w:iCs/>
                <w:color w:val="000000"/>
                <w:lang w:val="sr-Latn-CS"/>
              </w:rPr>
            </w:pPr>
            <w:r w:rsidRPr="00BC4E3F">
              <w:rPr>
                <w:rFonts w:ascii="Constantia" w:hAnsi="Constantia" w:cs="Arial"/>
                <w:b/>
                <w:bCs/>
                <w:iCs/>
                <w:color w:val="000000"/>
                <w:lang w:val="sr-Latn-CS"/>
              </w:rPr>
              <w:t>Globalna vrijednost područja sa aspekta zaštite</w:t>
            </w:r>
          </w:p>
        </w:tc>
      </w:tr>
      <w:tr w:rsidR="004B071C" w:rsidRPr="00BC4E3F" w:rsidTr="004E680E">
        <w:tc>
          <w:tcPr>
            <w:tcW w:w="884" w:type="dxa"/>
            <w:shd w:val="clear" w:color="auto" w:fill="E6EED5"/>
          </w:tcPr>
          <w:p w:rsidR="004B071C" w:rsidRPr="00FE7E2D" w:rsidRDefault="004B071C" w:rsidP="00BC4E3F">
            <w:pPr>
              <w:keepNext/>
              <w:keepLines/>
              <w:spacing w:before="60"/>
              <w:jc w:val="center"/>
              <w:outlineLvl w:val="3"/>
              <w:rPr>
                <w:rFonts w:ascii="Constantia" w:hAnsi="Constantia" w:cs="Arial"/>
                <w:bCs/>
                <w:iCs/>
                <w:color w:val="000000"/>
                <w:lang w:val="sr-Latn-CS"/>
              </w:rPr>
            </w:pPr>
          </w:p>
        </w:tc>
        <w:tc>
          <w:tcPr>
            <w:tcW w:w="1929" w:type="dxa"/>
            <w:shd w:val="clear" w:color="auto" w:fill="E6EED5"/>
          </w:tcPr>
          <w:p w:rsidR="004B071C" w:rsidRPr="00FE7E2D" w:rsidRDefault="004B071C" w:rsidP="00BC4E3F">
            <w:pPr>
              <w:keepNext/>
              <w:keepLines/>
              <w:spacing w:before="60"/>
              <w:jc w:val="center"/>
              <w:outlineLvl w:val="3"/>
              <w:rPr>
                <w:rFonts w:ascii="Constantia" w:hAnsi="Constantia" w:cs="Arial"/>
                <w:bCs/>
                <w:iCs/>
                <w:color w:val="000000"/>
                <w:lang w:val="sr-Latn-CS"/>
              </w:rPr>
            </w:pPr>
            <w:r w:rsidRPr="00FE7E2D">
              <w:rPr>
                <w:rFonts w:ascii="Constantia" w:hAnsi="Constantia" w:cs="Arial"/>
                <w:bCs/>
                <w:iCs/>
                <w:color w:val="000000"/>
                <w:lang w:val="sr-Latn-CS"/>
              </w:rPr>
              <w:t>A/B/C/D</w:t>
            </w:r>
          </w:p>
        </w:tc>
        <w:tc>
          <w:tcPr>
            <w:tcW w:w="1842" w:type="dxa"/>
            <w:shd w:val="clear" w:color="auto" w:fill="E6EED5"/>
          </w:tcPr>
          <w:p w:rsidR="004B071C" w:rsidRPr="00FE7E2D" w:rsidRDefault="004B071C" w:rsidP="00BC4E3F">
            <w:pPr>
              <w:keepNext/>
              <w:keepLines/>
              <w:spacing w:before="60"/>
              <w:jc w:val="center"/>
              <w:outlineLvl w:val="3"/>
              <w:rPr>
                <w:rFonts w:ascii="Constantia" w:hAnsi="Constantia" w:cs="Arial"/>
                <w:bCs/>
                <w:iCs/>
                <w:color w:val="000000"/>
                <w:lang w:val="sr-Latn-CS"/>
              </w:rPr>
            </w:pPr>
            <w:r w:rsidRPr="00FE7E2D">
              <w:rPr>
                <w:rFonts w:ascii="Constantia" w:hAnsi="Constantia" w:cs="Arial"/>
                <w:bCs/>
                <w:iCs/>
                <w:color w:val="000000"/>
                <w:lang w:val="sr-Latn-CS"/>
              </w:rPr>
              <w:t>A/B/C</w:t>
            </w:r>
          </w:p>
        </w:tc>
        <w:tc>
          <w:tcPr>
            <w:tcW w:w="2433" w:type="dxa"/>
            <w:shd w:val="clear" w:color="auto" w:fill="E6EED5"/>
          </w:tcPr>
          <w:p w:rsidR="004B071C" w:rsidRPr="00FE7E2D" w:rsidRDefault="004B071C" w:rsidP="00BC4E3F">
            <w:pPr>
              <w:keepNext/>
              <w:keepLines/>
              <w:spacing w:before="60"/>
              <w:jc w:val="center"/>
              <w:outlineLvl w:val="3"/>
              <w:rPr>
                <w:rFonts w:ascii="Constantia" w:hAnsi="Constantia" w:cs="Arial"/>
                <w:bCs/>
                <w:iCs/>
                <w:color w:val="000000"/>
                <w:lang w:val="sr-Latn-CS"/>
              </w:rPr>
            </w:pPr>
            <w:r w:rsidRPr="00FE7E2D">
              <w:rPr>
                <w:rFonts w:ascii="Constantia" w:hAnsi="Constantia" w:cs="Arial"/>
                <w:bCs/>
                <w:iCs/>
                <w:color w:val="000000"/>
                <w:lang w:val="sr-Latn-CS"/>
              </w:rPr>
              <w:t>A/B/C</w:t>
            </w:r>
          </w:p>
        </w:tc>
        <w:tc>
          <w:tcPr>
            <w:tcW w:w="2268" w:type="dxa"/>
            <w:shd w:val="clear" w:color="auto" w:fill="E6EED5"/>
          </w:tcPr>
          <w:p w:rsidR="004B071C" w:rsidRPr="00FE7E2D" w:rsidRDefault="004B071C" w:rsidP="00BC4E3F">
            <w:pPr>
              <w:keepNext/>
              <w:keepLines/>
              <w:spacing w:before="60"/>
              <w:jc w:val="center"/>
              <w:outlineLvl w:val="3"/>
              <w:rPr>
                <w:rFonts w:ascii="Constantia" w:hAnsi="Constantia" w:cs="Arial"/>
                <w:bCs/>
                <w:iCs/>
                <w:color w:val="000000"/>
                <w:lang w:val="sr-Latn-CS"/>
              </w:rPr>
            </w:pPr>
            <w:r w:rsidRPr="00FE7E2D">
              <w:rPr>
                <w:rFonts w:ascii="Constantia" w:hAnsi="Constantia" w:cs="Arial"/>
                <w:bCs/>
                <w:iCs/>
                <w:color w:val="000000"/>
                <w:lang w:val="sr-Latn-CS"/>
              </w:rPr>
              <w:t>A/B/C</w:t>
            </w:r>
          </w:p>
        </w:tc>
      </w:tr>
      <w:tr w:rsidR="004B071C" w:rsidRPr="00BC4E3F" w:rsidTr="004E680E">
        <w:trPr>
          <w:trHeight w:val="741"/>
        </w:trPr>
        <w:tc>
          <w:tcPr>
            <w:tcW w:w="884" w:type="dxa"/>
            <w:shd w:val="clear" w:color="auto" w:fill="CDDDAC"/>
          </w:tcPr>
          <w:p w:rsidR="004B071C" w:rsidRPr="00FE7E2D" w:rsidRDefault="004B071C" w:rsidP="00BC4E3F">
            <w:pPr>
              <w:keepNext/>
              <w:keepLines/>
              <w:spacing w:before="60"/>
              <w:jc w:val="center"/>
              <w:outlineLvl w:val="3"/>
              <w:rPr>
                <w:rFonts w:ascii="Constantia" w:hAnsi="Constantia" w:cs="Arial"/>
                <w:bCs/>
                <w:iCs/>
                <w:color w:val="000000"/>
                <w:lang w:val="sr-Latn-CS"/>
              </w:rPr>
            </w:pPr>
            <w:r w:rsidRPr="00FE7E2D">
              <w:rPr>
                <w:rFonts w:ascii="Constantia" w:hAnsi="Constantia" w:cs="Arial"/>
                <w:bCs/>
                <w:iCs/>
                <w:color w:val="000000"/>
                <w:lang w:val="sr-Latn-CS"/>
              </w:rPr>
              <w:t>3150</w:t>
            </w:r>
          </w:p>
        </w:tc>
        <w:tc>
          <w:tcPr>
            <w:tcW w:w="1929" w:type="dxa"/>
            <w:shd w:val="clear" w:color="auto" w:fill="CDDDAC"/>
          </w:tcPr>
          <w:p w:rsidR="004B071C" w:rsidRPr="00FE7E2D" w:rsidRDefault="004B071C" w:rsidP="00BC4E3F">
            <w:pPr>
              <w:keepNext/>
              <w:keepLines/>
              <w:spacing w:before="60"/>
              <w:jc w:val="center"/>
              <w:outlineLvl w:val="3"/>
              <w:rPr>
                <w:rFonts w:ascii="Constantia" w:hAnsi="Constantia" w:cs="Arial"/>
                <w:bCs/>
                <w:iCs/>
                <w:color w:val="000000"/>
                <w:lang w:val="sr-Latn-CS"/>
              </w:rPr>
            </w:pPr>
            <w:r w:rsidRPr="00FE7E2D">
              <w:rPr>
                <w:rFonts w:ascii="Constantia" w:hAnsi="Constantia" w:cs="Arial"/>
                <w:bCs/>
                <w:iCs/>
                <w:color w:val="000000"/>
                <w:lang w:val="sr-Latn-CS"/>
              </w:rPr>
              <w:t>C</w:t>
            </w:r>
          </w:p>
        </w:tc>
        <w:tc>
          <w:tcPr>
            <w:tcW w:w="1842" w:type="dxa"/>
            <w:shd w:val="clear" w:color="auto" w:fill="CDDDAC"/>
          </w:tcPr>
          <w:p w:rsidR="004B071C" w:rsidRPr="00FE7E2D" w:rsidRDefault="004B071C" w:rsidP="00BC4E3F">
            <w:pPr>
              <w:keepNext/>
              <w:keepLines/>
              <w:spacing w:before="60"/>
              <w:jc w:val="center"/>
              <w:outlineLvl w:val="3"/>
              <w:rPr>
                <w:rFonts w:ascii="Constantia" w:hAnsi="Constantia" w:cs="Arial"/>
                <w:bCs/>
                <w:iCs/>
                <w:color w:val="000000"/>
                <w:lang w:val="sr-Latn-CS"/>
              </w:rPr>
            </w:pPr>
            <w:r w:rsidRPr="00FE7E2D">
              <w:rPr>
                <w:rFonts w:ascii="Constantia" w:hAnsi="Constantia" w:cs="Arial"/>
                <w:bCs/>
                <w:iCs/>
                <w:color w:val="000000"/>
                <w:lang w:val="sr-Latn-CS"/>
              </w:rPr>
              <w:t>A: 100 ≥ p&gt;15 %;</w:t>
            </w:r>
          </w:p>
          <w:p w:rsidR="004B071C" w:rsidRPr="00FE7E2D" w:rsidRDefault="004B071C" w:rsidP="00BC4E3F">
            <w:pPr>
              <w:keepNext/>
              <w:keepLines/>
              <w:spacing w:before="60"/>
              <w:jc w:val="center"/>
              <w:outlineLvl w:val="3"/>
              <w:rPr>
                <w:rFonts w:ascii="Constantia" w:hAnsi="Constantia" w:cs="Arial"/>
                <w:bCs/>
                <w:iCs/>
                <w:color w:val="000000"/>
                <w:lang w:val="sr-Latn-CS"/>
              </w:rPr>
            </w:pPr>
          </w:p>
        </w:tc>
        <w:tc>
          <w:tcPr>
            <w:tcW w:w="2433" w:type="dxa"/>
            <w:shd w:val="clear" w:color="auto" w:fill="CDDDAC"/>
          </w:tcPr>
          <w:p w:rsidR="004B071C" w:rsidRPr="00FE7E2D" w:rsidRDefault="004B071C" w:rsidP="00BC4E3F">
            <w:pPr>
              <w:keepNext/>
              <w:keepLines/>
              <w:spacing w:before="60"/>
              <w:jc w:val="center"/>
              <w:outlineLvl w:val="3"/>
              <w:rPr>
                <w:rFonts w:ascii="Constantia" w:hAnsi="Constantia" w:cs="Arial"/>
                <w:bCs/>
                <w:iCs/>
                <w:color w:val="000000"/>
                <w:lang w:val="sr-Latn-CS"/>
              </w:rPr>
            </w:pPr>
            <w:r w:rsidRPr="00FE7E2D">
              <w:rPr>
                <w:rFonts w:ascii="Constantia" w:hAnsi="Constantia" w:cs="Arial"/>
                <w:bCs/>
                <w:iCs/>
                <w:color w:val="000000"/>
                <w:lang w:val="sr-Latn-CS"/>
              </w:rPr>
              <w:t>B</w:t>
            </w:r>
          </w:p>
        </w:tc>
        <w:tc>
          <w:tcPr>
            <w:tcW w:w="2268" w:type="dxa"/>
            <w:shd w:val="clear" w:color="auto" w:fill="CDDDAC"/>
          </w:tcPr>
          <w:p w:rsidR="004B071C" w:rsidRPr="00FE7E2D" w:rsidRDefault="004B071C" w:rsidP="00BC4E3F">
            <w:pPr>
              <w:keepNext/>
              <w:keepLines/>
              <w:spacing w:before="60"/>
              <w:jc w:val="center"/>
              <w:outlineLvl w:val="3"/>
              <w:rPr>
                <w:rFonts w:ascii="Constantia" w:hAnsi="Constantia" w:cs="Arial"/>
                <w:bCs/>
                <w:iCs/>
                <w:color w:val="000000"/>
                <w:lang w:val="sr-Latn-CS"/>
              </w:rPr>
            </w:pPr>
            <w:r w:rsidRPr="00FE7E2D">
              <w:rPr>
                <w:rFonts w:ascii="Constantia" w:hAnsi="Constantia" w:cs="Arial"/>
                <w:bCs/>
                <w:iCs/>
                <w:color w:val="000000"/>
                <w:lang w:val="sr-Latn-CS"/>
              </w:rPr>
              <w:t>B</w:t>
            </w:r>
          </w:p>
        </w:tc>
      </w:tr>
      <w:tr w:rsidR="004B071C" w:rsidRPr="00BC4E3F" w:rsidTr="004E680E">
        <w:tc>
          <w:tcPr>
            <w:tcW w:w="884" w:type="dxa"/>
            <w:shd w:val="clear" w:color="auto" w:fill="E6EED5"/>
          </w:tcPr>
          <w:p w:rsidR="004B071C" w:rsidRPr="00FE7E2D" w:rsidRDefault="004B071C" w:rsidP="00BC4E3F">
            <w:pPr>
              <w:keepNext/>
              <w:keepLines/>
              <w:spacing w:before="60"/>
              <w:jc w:val="center"/>
              <w:outlineLvl w:val="3"/>
              <w:rPr>
                <w:rFonts w:ascii="Constantia" w:hAnsi="Constantia" w:cs="Arial"/>
                <w:bCs/>
                <w:iCs/>
                <w:color w:val="000000"/>
                <w:lang w:val="sr-Latn-CS"/>
              </w:rPr>
            </w:pPr>
            <w:r w:rsidRPr="00FE7E2D">
              <w:rPr>
                <w:rFonts w:ascii="Constantia" w:hAnsi="Constantia" w:cs="Arial"/>
                <w:bCs/>
                <w:iCs/>
                <w:color w:val="000000"/>
                <w:lang w:val="sr-Latn-CS"/>
              </w:rPr>
              <w:t>F190</w:t>
            </w:r>
          </w:p>
        </w:tc>
        <w:tc>
          <w:tcPr>
            <w:tcW w:w="1929" w:type="dxa"/>
            <w:shd w:val="clear" w:color="auto" w:fill="E6EED5"/>
          </w:tcPr>
          <w:p w:rsidR="004B071C" w:rsidRPr="00FE7E2D" w:rsidRDefault="004B071C" w:rsidP="00BC4E3F">
            <w:pPr>
              <w:keepNext/>
              <w:keepLines/>
              <w:spacing w:before="60"/>
              <w:jc w:val="center"/>
              <w:outlineLvl w:val="3"/>
              <w:rPr>
                <w:rFonts w:ascii="Constantia" w:hAnsi="Constantia" w:cs="Arial"/>
                <w:bCs/>
                <w:iCs/>
                <w:color w:val="000000"/>
                <w:lang w:val="sr-Latn-CS"/>
              </w:rPr>
            </w:pPr>
            <w:r w:rsidRPr="00FE7E2D">
              <w:rPr>
                <w:rFonts w:ascii="Constantia" w:hAnsi="Constantia" w:cs="Arial"/>
                <w:bCs/>
                <w:iCs/>
                <w:color w:val="000000"/>
                <w:lang w:val="sr-Latn-CS"/>
              </w:rPr>
              <w:t>C</w:t>
            </w:r>
          </w:p>
        </w:tc>
        <w:tc>
          <w:tcPr>
            <w:tcW w:w="1842" w:type="dxa"/>
            <w:shd w:val="clear" w:color="auto" w:fill="E6EED5"/>
          </w:tcPr>
          <w:p w:rsidR="004B071C" w:rsidRPr="00FE7E2D" w:rsidRDefault="004B071C" w:rsidP="00BC4E3F">
            <w:pPr>
              <w:keepNext/>
              <w:keepLines/>
              <w:spacing w:before="60"/>
              <w:jc w:val="center"/>
              <w:outlineLvl w:val="3"/>
              <w:rPr>
                <w:rFonts w:ascii="Constantia" w:hAnsi="Constantia" w:cs="Arial"/>
                <w:bCs/>
                <w:iCs/>
                <w:color w:val="000000"/>
                <w:lang w:val="sr-Latn-CS"/>
              </w:rPr>
            </w:pPr>
          </w:p>
        </w:tc>
        <w:tc>
          <w:tcPr>
            <w:tcW w:w="2433" w:type="dxa"/>
            <w:shd w:val="clear" w:color="auto" w:fill="E6EED5"/>
          </w:tcPr>
          <w:p w:rsidR="004B071C" w:rsidRPr="00FE7E2D" w:rsidRDefault="004B071C" w:rsidP="00BC4E3F">
            <w:pPr>
              <w:keepNext/>
              <w:keepLines/>
              <w:spacing w:before="60"/>
              <w:jc w:val="center"/>
              <w:outlineLvl w:val="3"/>
              <w:rPr>
                <w:rFonts w:ascii="Constantia" w:hAnsi="Constantia" w:cs="Arial"/>
                <w:bCs/>
                <w:iCs/>
                <w:color w:val="000000"/>
                <w:lang w:val="sr-Latn-CS"/>
              </w:rPr>
            </w:pPr>
            <w:r w:rsidRPr="00FE7E2D">
              <w:rPr>
                <w:rFonts w:ascii="Constantia" w:hAnsi="Constantia" w:cs="Arial"/>
                <w:bCs/>
                <w:iCs/>
                <w:color w:val="000000"/>
                <w:lang w:val="sr-Latn-CS"/>
              </w:rPr>
              <w:t>B</w:t>
            </w:r>
          </w:p>
        </w:tc>
        <w:tc>
          <w:tcPr>
            <w:tcW w:w="2268" w:type="dxa"/>
            <w:shd w:val="clear" w:color="auto" w:fill="E6EED5"/>
          </w:tcPr>
          <w:p w:rsidR="004B071C" w:rsidRPr="00FE7E2D" w:rsidRDefault="004B071C" w:rsidP="00BC4E3F">
            <w:pPr>
              <w:keepNext/>
              <w:keepLines/>
              <w:spacing w:before="60"/>
              <w:jc w:val="center"/>
              <w:outlineLvl w:val="3"/>
              <w:rPr>
                <w:rFonts w:ascii="Constantia" w:hAnsi="Constantia" w:cs="Arial"/>
                <w:bCs/>
                <w:iCs/>
                <w:color w:val="000000"/>
                <w:lang w:val="sr-Latn-CS"/>
              </w:rPr>
            </w:pPr>
            <w:r w:rsidRPr="00FE7E2D">
              <w:rPr>
                <w:rFonts w:ascii="Constantia" w:hAnsi="Constantia" w:cs="Arial"/>
                <w:bCs/>
                <w:iCs/>
                <w:color w:val="000000"/>
                <w:lang w:val="sr-Latn-CS"/>
              </w:rPr>
              <w:t>B</w:t>
            </w:r>
          </w:p>
        </w:tc>
      </w:tr>
      <w:tr w:rsidR="004B071C" w:rsidRPr="00BC4E3F" w:rsidTr="004E680E">
        <w:tc>
          <w:tcPr>
            <w:tcW w:w="884" w:type="dxa"/>
            <w:shd w:val="clear" w:color="auto" w:fill="CDDDAC"/>
          </w:tcPr>
          <w:p w:rsidR="004B071C" w:rsidRPr="00FE7E2D" w:rsidRDefault="004B071C" w:rsidP="00BC4E3F">
            <w:pPr>
              <w:keepNext/>
              <w:keepLines/>
              <w:spacing w:before="60"/>
              <w:jc w:val="center"/>
              <w:outlineLvl w:val="3"/>
              <w:rPr>
                <w:rFonts w:ascii="Constantia" w:hAnsi="Constantia" w:cs="Arial"/>
                <w:bCs/>
                <w:iCs/>
                <w:color w:val="000000"/>
                <w:lang w:val="sr-Latn-CS"/>
              </w:rPr>
            </w:pPr>
            <w:r w:rsidRPr="00FE7E2D">
              <w:rPr>
                <w:rFonts w:ascii="Constantia" w:hAnsi="Constantia" w:cs="Arial"/>
                <w:bCs/>
                <w:iCs/>
                <w:color w:val="000000"/>
                <w:lang w:val="sr-Latn-CS"/>
              </w:rPr>
              <w:t>5230</w:t>
            </w:r>
          </w:p>
        </w:tc>
        <w:tc>
          <w:tcPr>
            <w:tcW w:w="1929" w:type="dxa"/>
            <w:shd w:val="clear" w:color="auto" w:fill="CDDDAC"/>
          </w:tcPr>
          <w:p w:rsidR="004B071C" w:rsidRPr="00FE7E2D" w:rsidRDefault="004B071C" w:rsidP="00BC4E3F">
            <w:pPr>
              <w:keepNext/>
              <w:keepLines/>
              <w:spacing w:before="60"/>
              <w:jc w:val="center"/>
              <w:outlineLvl w:val="3"/>
              <w:rPr>
                <w:rFonts w:ascii="Constantia" w:hAnsi="Constantia" w:cs="Arial"/>
                <w:bCs/>
                <w:iCs/>
                <w:color w:val="000000"/>
                <w:lang w:val="sr-Latn-CS"/>
              </w:rPr>
            </w:pPr>
            <w:r w:rsidRPr="00FE7E2D">
              <w:rPr>
                <w:rFonts w:ascii="Constantia" w:hAnsi="Constantia" w:cs="Arial"/>
                <w:bCs/>
                <w:iCs/>
                <w:color w:val="000000"/>
                <w:lang w:val="sr-Latn-CS"/>
              </w:rPr>
              <w:t>C</w:t>
            </w:r>
          </w:p>
        </w:tc>
        <w:tc>
          <w:tcPr>
            <w:tcW w:w="1842" w:type="dxa"/>
            <w:shd w:val="clear" w:color="auto" w:fill="CDDDAC"/>
          </w:tcPr>
          <w:p w:rsidR="004B071C" w:rsidRPr="00FE7E2D" w:rsidRDefault="004B071C" w:rsidP="00BC4E3F">
            <w:pPr>
              <w:keepNext/>
              <w:keepLines/>
              <w:spacing w:before="60"/>
              <w:jc w:val="center"/>
              <w:outlineLvl w:val="3"/>
              <w:rPr>
                <w:rFonts w:ascii="Constantia" w:hAnsi="Constantia" w:cs="Arial"/>
                <w:bCs/>
                <w:iCs/>
                <w:color w:val="000000"/>
                <w:lang w:val="sr-Latn-CS"/>
              </w:rPr>
            </w:pPr>
            <w:r w:rsidRPr="00FE7E2D">
              <w:rPr>
                <w:rFonts w:ascii="Constantia" w:hAnsi="Constantia" w:cs="Arial"/>
                <w:bCs/>
                <w:iCs/>
                <w:color w:val="000000"/>
                <w:lang w:val="sr-Latn-CS"/>
              </w:rPr>
              <w:t>A: 100 ≥ p&gt;15 %;</w:t>
            </w:r>
          </w:p>
        </w:tc>
        <w:tc>
          <w:tcPr>
            <w:tcW w:w="2433" w:type="dxa"/>
            <w:shd w:val="clear" w:color="auto" w:fill="CDDDAC"/>
          </w:tcPr>
          <w:p w:rsidR="004B071C" w:rsidRPr="00FE7E2D" w:rsidRDefault="004B071C" w:rsidP="00BC4E3F">
            <w:pPr>
              <w:keepNext/>
              <w:keepLines/>
              <w:spacing w:before="60"/>
              <w:jc w:val="center"/>
              <w:outlineLvl w:val="3"/>
              <w:rPr>
                <w:rFonts w:ascii="Constantia" w:hAnsi="Constantia" w:cs="Arial"/>
                <w:bCs/>
                <w:iCs/>
                <w:color w:val="000000"/>
                <w:lang w:val="sr-Latn-CS"/>
              </w:rPr>
            </w:pPr>
            <w:r w:rsidRPr="00FE7E2D">
              <w:rPr>
                <w:rFonts w:ascii="Constantia" w:hAnsi="Constantia" w:cs="Arial"/>
                <w:bCs/>
                <w:iCs/>
                <w:color w:val="000000"/>
                <w:lang w:val="sr-Latn-CS"/>
              </w:rPr>
              <w:t>B</w:t>
            </w:r>
          </w:p>
        </w:tc>
        <w:tc>
          <w:tcPr>
            <w:tcW w:w="2268" w:type="dxa"/>
            <w:shd w:val="clear" w:color="auto" w:fill="CDDDAC"/>
          </w:tcPr>
          <w:p w:rsidR="004B071C" w:rsidRPr="00FE7E2D" w:rsidRDefault="004B071C" w:rsidP="00BC4E3F">
            <w:pPr>
              <w:keepNext/>
              <w:keepLines/>
              <w:spacing w:before="60"/>
              <w:jc w:val="center"/>
              <w:outlineLvl w:val="3"/>
              <w:rPr>
                <w:rFonts w:ascii="Constantia" w:hAnsi="Constantia" w:cs="Arial"/>
                <w:bCs/>
                <w:iCs/>
                <w:color w:val="000000"/>
                <w:lang w:val="sr-Latn-CS"/>
              </w:rPr>
            </w:pPr>
            <w:r w:rsidRPr="00FE7E2D">
              <w:rPr>
                <w:rFonts w:ascii="Constantia" w:hAnsi="Constantia" w:cs="Arial"/>
                <w:bCs/>
                <w:iCs/>
                <w:color w:val="000000"/>
                <w:lang w:val="sr-Latn-CS"/>
              </w:rPr>
              <w:t>B</w:t>
            </w:r>
          </w:p>
        </w:tc>
      </w:tr>
      <w:tr w:rsidR="004B071C" w:rsidRPr="00BC4E3F" w:rsidTr="004E680E">
        <w:tc>
          <w:tcPr>
            <w:tcW w:w="884" w:type="dxa"/>
            <w:shd w:val="clear" w:color="auto" w:fill="E6EED5"/>
          </w:tcPr>
          <w:p w:rsidR="004B071C" w:rsidRPr="00FE7E2D" w:rsidRDefault="004B071C" w:rsidP="00BC4E3F">
            <w:pPr>
              <w:keepNext/>
              <w:keepLines/>
              <w:spacing w:before="60"/>
              <w:jc w:val="center"/>
              <w:outlineLvl w:val="3"/>
              <w:rPr>
                <w:rFonts w:ascii="Constantia" w:hAnsi="Constantia" w:cs="Arial"/>
                <w:bCs/>
                <w:iCs/>
                <w:color w:val="000000"/>
                <w:lang w:val="sr-Latn-CS"/>
              </w:rPr>
            </w:pPr>
            <w:r w:rsidRPr="00FE7E2D">
              <w:rPr>
                <w:rFonts w:ascii="Constantia" w:hAnsi="Constantia" w:cs="Arial"/>
                <w:bCs/>
                <w:iCs/>
                <w:color w:val="000000"/>
                <w:lang w:val="sr-Latn-CS"/>
              </w:rPr>
              <w:t>5310</w:t>
            </w:r>
          </w:p>
        </w:tc>
        <w:tc>
          <w:tcPr>
            <w:tcW w:w="1929" w:type="dxa"/>
            <w:shd w:val="clear" w:color="auto" w:fill="E6EED5"/>
          </w:tcPr>
          <w:p w:rsidR="004B071C" w:rsidRPr="00FE7E2D" w:rsidRDefault="004B071C" w:rsidP="00BC4E3F">
            <w:pPr>
              <w:keepNext/>
              <w:keepLines/>
              <w:spacing w:before="60"/>
              <w:jc w:val="center"/>
              <w:outlineLvl w:val="3"/>
              <w:rPr>
                <w:rFonts w:ascii="Constantia" w:hAnsi="Constantia" w:cs="Arial"/>
                <w:bCs/>
                <w:iCs/>
                <w:color w:val="000000"/>
                <w:lang w:val="sr-Latn-CS"/>
              </w:rPr>
            </w:pPr>
            <w:r w:rsidRPr="00FE7E2D">
              <w:rPr>
                <w:rFonts w:ascii="Constantia" w:hAnsi="Constantia" w:cs="Arial"/>
                <w:bCs/>
                <w:iCs/>
                <w:color w:val="000000"/>
                <w:lang w:val="sr-Latn-CS"/>
              </w:rPr>
              <w:t>C</w:t>
            </w:r>
          </w:p>
        </w:tc>
        <w:tc>
          <w:tcPr>
            <w:tcW w:w="1842" w:type="dxa"/>
            <w:shd w:val="clear" w:color="auto" w:fill="E6EED5"/>
          </w:tcPr>
          <w:p w:rsidR="004B071C" w:rsidRPr="00FE7E2D" w:rsidRDefault="004B071C" w:rsidP="00BC4E3F">
            <w:pPr>
              <w:keepNext/>
              <w:keepLines/>
              <w:spacing w:before="60"/>
              <w:jc w:val="center"/>
              <w:outlineLvl w:val="3"/>
              <w:rPr>
                <w:rFonts w:ascii="Constantia" w:hAnsi="Constantia" w:cs="Arial"/>
                <w:bCs/>
                <w:iCs/>
                <w:color w:val="000000"/>
                <w:lang w:val="sr-Latn-CS"/>
              </w:rPr>
            </w:pPr>
            <w:r w:rsidRPr="00FE7E2D">
              <w:rPr>
                <w:rFonts w:ascii="Constantia" w:hAnsi="Constantia" w:cs="Arial"/>
                <w:bCs/>
                <w:iCs/>
                <w:color w:val="000000"/>
                <w:lang w:val="sr-Latn-CS"/>
              </w:rPr>
              <w:t>B: 15≥p&gt; 2%;</w:t>
            </w:r>
          </w:p>
        </w:tc>
        <w:tc>
          <w:tcPr>
            <w:tcW w:w="2433" w:type="dxa"/>
            <w:shd w:val="clear" w:color="auto" w:fill="E6EED5"/>
          </w:tcPr>
          <w:p w:rsidR="004B071C" w:rsidRPr="00FE7E2D" w:rsidRDefault="004B071C" w:rsidP="00BC4E3F">
            <w:pPr>
              <w:keepNext/>
              <w:keepLines/>
              <w:spacing w:before="60"/>
              <w:jc w:val="center"/>
              <w:outlineLvl w:val="3"/>
              <w:rPr>
                <w:rFonts w:ascii="Constantia" w:hAnsi="Constantia" w:cs="Arial"/>
                <w:bCs/>
                <w:iCs/>
                <w:color w:val="000000"/>
                <w:lang w:val="sr-Latn-CS"/>
              </w:rPr>
            </w:pPr>
            <w:r w:rsidRPr="00FE7E2D">
              <w:rPr>
                <w:rFonts w:ascii="Constantia" w:hAnsi="Constantia" w:cs="Arial"/>
                <w:bCs/>
                <w:iCs/>
                <w:color w:val="000000"/>
                <w:lang w:val="sr-Latn-CS"/>
              </w:rPr>
              <w:t>B</w:t>
            </w:r>
          </w:p>
        </w:tc>
        <w:tc>
          <w:tcPr>
            <w:tcW w:w="2268" w:type="dxa"/>
            <w:shd w:val="clear" w:color="auto" w:fill="E6EED5"/>
          </w:tcPr>
          <w:p w:rsidR="004B071C" w:rsidRPr="00FE7E2D" w:rsidRDefault="004B071C" w:rsidP="00BC4E3F">
            <w:pPr>
              <w:keepNext/>
              <w:keepLines/>
              <w:spacing w:before="60"/>
              <w:jc w:val="center"/>
              <w:outlineLvl w:val="3"/>
              <w:rPr>
                <w:rFonts w:ascii="Constantia" w:hAnsi="Constantia" w:cs="Arial"/>
                <w:bCs/>
                <w:iCs/>
                <w:color w:val="000000"/>
                <w:lang w:val="sr-Latn-CS"/>
              </w:rPr>
            </w:pPr>
            <w:r w:rsidRPr="00FE7E2D">
              <w:rPr>
                <w:rFonts w:ascii="Constantia" w:hAnsi="Constantia" w:cs="Arial"/>
                <w:bCs/>
                <w:iCs/>
                <w:color w:val="000000"/>
                <w:lang w:val="sr-Latn-CS"/>
              </w:rPr>
              <w:t>B</w:t>
            </w:r>
          </w:p>
        </w:tc>
      </w:tr>
    </w:tbl>
    <w:p w:rsidR="004B071C" w:rsidRPr="00BC4E3F" w:rsidRDefault="00BC4E3F" w:rsidP="004B071C">
      <w:pPr>
        <w:pStyle w:val="Tabele"/>
        <w:spacing w:before="60" w:after="240"/>
        <w:ind w:left="714" w:hanging="357"/>
        <w:rPr>
          <w:rFonts w:ascii="Constantia" w:hAnsi="Constantia"/>
          <w:sz w:val="22"/>
          <w:szCs w:val="22"/>
        </w:rPr>
      </w:pPr>
      <w:r>
        <w:rPr>
          <w:rFonts w:ascii="Constantia" w:hAnsi="Constantia"/>
          <w:sz w:val="22"/>
          <w:szCs w:val="22"/>
        </w:rPr>
        <w:t xml:space="preserve"> </w:t>
      </w:r>
      <w:r w:rsidR="004B071C" w:rsidRPr="00BC4E3F">
        <w:rPr>
          <w:rFonts w:ascii="Constantia" w:hAnsi="Constantia"/>
          <w:sz w:val="22"/>
          <w:szCs w:val="22"/>
        </w:rPr>
        <w:t>Staništa</w:t>
      </w:r>
      <w:r w:rsidRPr="00BC4E3F">
        <w:rPr>
          <w:rFonts w:ascii="Constantia" w:hAnsi="Constantia"/>
          <w:sz w:val="22"/>
          <w:szCs w:val="22"/>
        </w:rPr>
        <w:t xml:space="preserve"> </w:t>
      </w:r>
      <w:r w:rsidR="004B071C" w:rsidRPr="00BC4E3F">
        <w:rPr>
          <w:rFonts w:ascii="Constantia" w:hAnsi="Constantia"/>
          <w:sz w:val="22"/>
          <w:szCs w:val="22"/>
        </w:rPr>
        <w:t>- procjena stanja</w:t>
      </w:r>
    </w:p>
    <w:p w:rsidR="004B071C" w:rsidRDefault="004B071C" w:rsidP="00F83B61">
      <w:pPr>
        <w:pStyle w:val="Heading4"/>
        <w:numPr>
          <w:ilvl w:val="0"/>
          <w:numId w:val="0"/>
        </w:numPr>
        <w:ind w:left="1134"/>
      </w:pPr>
    </w:p>
    <w:p w:rsidR="004B071C" w:rsidRDefault="004B071C" w:rsidP="00F83B61">
      <w:pPr>
        <w:pStyle w:val="Heading4"/>
        <w:numPr>
          <w:ilvl w:val="0"/>
          <w:numId w:val="0"/>
        </w:numPr>
        <w:ind w:left="1134"/>
      </w:pPr>
    </w:p>
    <w:p w:rsidR="004B071C" w:rsidRPr="00F83B61" w:rsidRDefault="00F83B61" w:rsidP="00F83B61">
      <w:pPr>
        <w:pStyle w:val="Heading4"/>
        <w:numPr>
          <w:ilvl w:val="0"/>
          <w:numId w:val="0"/>
        </w:numPr>
        <w:ind w:left="1134" w:hanging="1134"/>
        <w:rPr>
          <w:sz w:val="22"/>
          <w:szCs w:val="22"/>
        </w:rPr>
      </w:pPr>
      <w:r w:rsidRPr="00F83B61">
        <w:rPr>
          <w:sz w:val="22"/>
          <w:szCs w:val="22"/>
        </w:rPr>
        <w:t xml:space="preserve">6.3.6.2  </w:t>
      </w:r>
      <w:r>
        <w:rPr>
          <w:sz w:val="22"/>
          <w:szCs w:val="22"/>
        </w:rPr>
        <w:t xml:space="preserve">  </w:t>
      </w:r>
      <w:r w:rsidRPr="00F83B61">
        <w:rPr>
          <w:sz w:val="22"/>
          <w:szCs w:val="22"/>
        </w:rPr>
        <w:t>Ihtiofauna</w:t>
      </w:r>
    </w:p>
    <w:p w:rsidR="004B071C" w:rsidRPr="0021283D" w:rsidRDefault="004B071C" w:rsidP="004B071C">
      <w:pPr>
        <w:rPr>
          <w:rFonts w:ascii="Arial" w:hAnsi="Arial" w:cs="Arial"/>
          <w:szCs w:val="22"/>
        </w:rPr>
      </w:pPr>
    </w:p>
    <w:tbl>
      <w:tblPr>
        <w:tblpPr w:leftFromText="180" w:rightFromText="180" w:vertAnchor="text" w:tblpXSpec="center" w:tblpY="1"/>
        <w:tblW w:w="0" w:type="auto"/>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ayout w:type="fixed"/>
        <w:tblLook w:val="04A0" w:firstRow="1" w:lastRow="0" w:firstColumn="1" w:lastColumn="0" w:noHBand="0" w:noVBand="1"/>
      </w:tblPr>
      <w:tblGrid>
        <w:gridCol w:w="2532"/>
        <w:gridCol w:w="1446"/>
        <w:gridCol w:w="807"/>
        <w:gridCol w:w="1083"/>
        <w:gridCol w:w="923"/>
        <w:gridCol w:w="1306"/>
        <w:gridCol w:w="1192"/>
      </w:tblGrid>
      <w:tr w:rsidR="004B071C" w:rsidRPr="00F83B61" w:rsidTr="00C55597">
        <w:tc>
          <w:tcPr>
            <w:tcW w:w="9289" w:type="dxa"/>
            <w:gridSpan w:val="7"/>
            <w:shd w:val="clear" w:color="auto" w:fill="E6EED5"/>
          </w:tcPr>
          <w:p w:rsidR="004B071C" w:rsidRPr="00F83B61" w:rsidRDefault="00C55597" w:rsidP="00C55597">
            <w:pPr>
              <w:keepNext/>
              <w:keepLines/>
              <w:spacing w:before="60"/>
              <w:jc w:val="center"/>
              <w:outlineLvl w:val="3"/>
              <w:rPr>
                <w:rFonts w:ascii="Constantia" w:hAnsi="Constantia" w:cs="Arial"/>
                <w:b/>
                <w:bCs/>
                <w:iCs/>
                <w:color w:val="000000"/>
                <w:szCs w:val="22"/>
                <w:lang w:val="sr-Latn-CS"/>
              </w:rPr>
            </w:pPr>
            <w:r>
              <w:rPr>
                <w:rFonts w:ascii="Constantia" w:hAnsi="Constantia" w:cs="Arial"/>
                <w:b/>
                <w:bCs/>
                <w:iCs/>
                <w:color w:val="000000"/>
                <w:szCs w:val="22"/>
                <w:lang w:val="sr-Latn-CS"/>
              </w:rPr>
              <w:t>Populacija na</w:t>
            </w:r>
            <w:r w:rsidR="004B071C" w:rsidRPr="00F83B61">
              <w:rPr>
                <w:rFonts w:ascii="Constantia" w:hAnsi="Constantia" w:cs="Arial"/>
                <w:b/>
                <w:bCs/>
                <w:iCs/>
                <w:color w:val="000000"/>
                <w:szCs w:val="22"/>
                <w:lang w:val="sr-Latn-CS"/>
              </w:rPr>
              <w:t xml:space="preserve"> području</w:t>
            </w:r>
          </w:p>
        </w:tc>
      </w:tr>
      <w:tr w:rsidR="004B071C" w:rsidRPr="00F83B61" w:rsidTr="00C55597">
        <w:tc>
          <w:tcPr>
            <w:tcW w:w="2532" w:type="dxa"/>
            <w:shd w:val="clear" w:color="auto" w:fill="CDDDAC"/>
          </w:tcPr>
          <w:p w:rsidR="004B071C" w:rsidRPr="00F83B61" w:rsidRDefault="004B071C" w:rsidP="004E680E">
            <w:pPr>
              <w:keepNext/>
              <w:keepLines/>
              <w:spacing w:before="60"/>
              <w:outlineLvl w:val="3"/>
              <w:rPr>
                <w:rFonts w:ascii="Constantia" w:hAnsi="Constantia" w:cs="Arial"/>
                <w:b/>
                <w:bCs/>
                <w:iCs/>
                <w:color w:val="000000"/>
                <w:szCs w:val="22"/>
                <w:lang w:val="sr-Latn-CS"/>
              </w:rPr>
            </w:pPr>
            <w:r w:rsidRPr="00F83B61">
              <w:rPr>
                <w:rFonts w:ascii="Constantia" w:hAnsi="Constantia" w:cs="Arial"/>
                <w:b/>
                <w:bCs/>
                <w:iCs/>
                <w:color w:val="000000"/>
                <w:szCs w:val="22"/>
                <w:lang w:val="sr-Latn-CS"/>
              </w:rPr>
              <w:t>Vrste</w:t>
            </w:r>
          </w:p>
        </w:tc>
        <w:tc>
          <w:tcPr>
            <w:tcW w:w="1446" w:type="dxa"/>
            <w:shd w:val="clear" w:color="auto" w:fill="CDDDAC"/>
          </w:tcPr>
          <w:p w:rsidR="004B071C" w:rsidRPr="00F83B61" w:rsidRDefault="004B071C" w:rsidP="004E680E">
            <w:pPr>
              <w:keepNext/>
              <w:keepLines/>
              <w:spacing w:before="60"/>
              <w:outlineLvl w:val="3"/>
              <w:rPr>
                <w:rFonts w:ascii="Constantia" w:hAnsi="Constantia" w:cs="Arial"/>
                <w:b/>
                <w:bCs/>
                <w:iCs/>
                <w:color w:val="000000"/>
                <w:szCs w:val="22"/>
                <w:lang w:val="sr-Latn-CS"/>
              </w:rPr>
            </w:pPr>
            <w:r w:rsidRPr="00F83B61">
              <w:rPr>
                <w:rFonts w:ascii="Constantia" w:hAnsi="Constantia" w:cs="Arial"/>
                <w:b/>
                <w:bCs/>
                <w:iCs/>
                <w:color w:val="000000"/>
                <w:szCs w:val="22"/>
                <w:lang w:val="sr-Latn-CS"/>
              </w:rPr>
              <w:t>Tip prisustva</w:t>
            </w:r>
          </w:p>
        </w:tc>
        <w:tc>
          <w:tcPr>
            <w:tcW w:w="1890" w:type="dxa"/>
            <w:gridSpan w:val="2"/>
            <w:shd w:val="clear" w:color="auto" w:fill="CDDDAC"/>
          </w:tcPr>
          <w:p w:rsidR="004B071C" w:rsidRPr="00F83B61" w:rsidRDefault="004B071C" w:rsidP="004E680E">
            <w:pPr>
              <w:keepNext/>
              <w:keepLines/>
              <w:spacing w:before="60"/>
              <w:jc w:val="center"/>
              <w:outlineLvl w:val="3"/>
              <w:rPr>
                <w:rFonts w:ascii="Constantia" w:hAnsi="Constantia" w:cs="Arial"/>
                <w:b/>
                <w:bCs/>
                <w:iCs/>
                <w:color w:val="000000"/>
                <w:szCs w:val="22"/>
                <w:lang w:val="sr-Latn-CS"/>
              </w:rPr>
            </w:pPr>
            <w:r w:rsidRPr="00F83B61">
              <w:rPr>
                <w:rFonts w:ascii="Constantia" w:hAnsi="Constantia" w:cs="Arial"/>
                <w:b/>
                <w:bCs/>
                <w:iCs/>
                <w:color w:val="000000"/>
                <w:szCs w:val="22"/>
                <w:lang w:val="sr-Latn-CS"/>
              </w:rPr>
              <w:t>Veličina</w:t>
            </w:r>
          </w:p>
        </w:tc>
        <w:tc>
          <w:tcPr>
            <w:tcW w:w="923" w:type="dxa"/>
            <w:shd w:val="clear" w:color="auto" w:fill="CDDDAC"/>
          </w:tcPr>
          <w:p w:rsidR="004B071C" w:rsidRPr="00F83B61" w:rsidRDefault="004B071C" w:rsidP="004E680E">
            <w:pPr>
              <w:keepNext/>
              <w:keepLines/>
              <w:spacing w:before="60"/>
              <w:jc w:val="center"/>
              <w:outlineLvl w:val="3"/>
              <w:rPr>
                <w:rFonts w:ascii="Constantia" w:hAnsi="Constantia" w:cs="Arial"/>
                <w:b/>
                <w:bCs/>
                <w:iCs/>
                <w:color w:val="000000"/>
                <w:szCs w:val="22"/>
                <w:lang w:val="sr-Latn-CS"/>
              </w:rPr>
            </w:pPr>
            <w:r w:rsidRPr="00F83B61">
              <w:rPr>
                <w:rFonts w:ascii="Constantia" w:hAnsi="Constantia" w:cs="Arial"/>
                <w:b/>
                <w:bCs/>
                <w:iCs/>
                <w:color w:val="000000"/>
                <w:szCs w:val="22"/>
                <w:lang w:val="sr-Latn-CS"/>
              </w:rPr>
              <w:t>Jedinica</w:t>
            </w:r>
          </w:p>
        </w:tc>
        <w:tc>
          <w:tcPr>
            <w:tcW w:w="1306" w:type="dxa"/>
            <w:shd w:val="clear" w:color="auto" w:fill="CDDDAC"/>
          </w:tcPr>
          <w:p w:rsidR="004B071C" w:rsidRPr="00F83B61" w:rsidRDefault="004B071C" w:rsidP="004E680E">
            <w:pPr>
              <w:keepNext/>
              <w:keepLines/>
              <w:spacing w:before="60"/>
              <w:jc w:val="center"/>
              <w:outlineLvl w:val="3"/>
              <w:rPr>
                <w:rFonts w:ascii="Constantia" w:hAnsi="Constantia" w:cs="Arial"/>
                <w:b/>
                <w:bCs/>
                <w:iCs/>
                <w:color w:val="000000"/>
                <w:szCs w:val="22"/>
                <w:lang w:val="sr-Latn-CS"/>
              </w:rPr>
            </w:pPr>
            <w:r w:rsidRPr="00F83B61">
              <w:rPr>
                <w:rFonts w:ascii="Constantia" w:hAnsi="Constantia" w:cs="Arial"/>
                <w:b/>
                <w:bCs/>
                <w:iCs/>
                <w:color w:val="000000"/>
                <w:szCs w:val="22"/>
                <w:lang w:val="sr-Latn-CS"/>
              </w:rPr>
              <w:t>Kategorija</w:t>
            </w:r>
          </w:p>
        </w:tc>
        <w:tc>
          <w:tcPr>
            <w:tcW w:w="1192" w:type="dxa"/>
            <w:shd w:val="clear" w:color="auto" w:fill="CDDDAC"/>
          </w:tcPr>
          <w:p w:rsidR="004B071C" w:rsidRPr="00F83B61" w:rsidRDefault="004B071C" w:rsidP="004E680E">
            <w:pPr>
              <w:keepNext/>
              <w:keepLines/>
              <w:spacing w:before="60"/>
              <w:outlineLvl w:val="3"/>
              <w:rPr>
                <w:rFonts w:ascii="Constantia" w:hAnsi="Constantia" w:cs="Arial"/>
                <w:b/>
                <w:bCs/>
                <w:iCs/>
                <w:color w:val="000000"/>
                <w:szCs w:val="22"/>
                <w:lang w:val="sr-Latn-CS"/>
              </w:rPr>
            </w:pPr>
            <w:r w:rsidRPr="00F83B61">
              <w:rPr>
                <w:rFonts w:ascii="Constantia" w:hAnsi="Constantia" w:cs="Arial"/>
                <w:b/>
                <w:bCs/>
                <w:iCs/>
                <w:color w:val="000000"/>
                <w:szCs w:val="22"/>
                <w:lang w:val="sr-Latn-CS"/>
              </w:rPr>
              <w:t>Kvalitet podataka</w:t>
            </w:r>
          </w:p>
        </w:tc>
      </w:tr>
      <w:tr w:rsidR="004B071C" w:rsidRPr="00F83B61" w:rsidTr="00C55597">
        <w:tc>
          <w:tcPr>
            <w:tcW w:w="2532" w:type="dxa"/>
            <w:shd w:val="clear" w:color="auto" w:fill="E6EED5"/>
          </w:tcPr>
          <w:p w:rsidR="004B071C" w:rsidRPr="00F83B61" w:rsidRDefault="004B071C" w:rsidP="004E680E">
            <w:pPr>
              <w:keepNext/>
              <w:keepLines/>
              <w:spacing w:before="60"/>
              <w:outlineLvl w:val="3"/>
              <w:rPr>
                <w:rFonts w:ascii="Constantia" w:hAnsi="Constantia" w:cs="Arial"/>
                <w:b/>
                <w:bCs/>
                <w:iCs/>
                <w:color w:val="000000"/>
                <w:szCs w:val="22"/>
                <w:lang w:val="sr-Latn-CS"/>
              </w:rPr>
            </w:pPr>
          </w:p>
        </w:tc>
        <w:tc>
          <w:tcPr>
            <w:tcW w:w="1446" w:type="dxa"/>
            <w:shd w:val="clear" w:color="auto" w:fill="E6EED5"/>
          </w:tcPr>
          <w:p w:rsidR="004B071C" w:rsidRPr="00F83B61" w:rsidRDefault="004B071C" w:rsidP="004E680E">
            <w:pPr>
              <w:keepNext/>
              <w:keepLines/>
              <w:spacing w:before="60"/>
              <w:outlineLvl w:val="3"/>
              <w:rPr>
                <w:rFonts w:ascii="Constantia" w:hAnsi="Constantia" w:cs="Arial"/>
                <w:b/>
                <w:bCs/>
                <w:iCs/>
                <w:color w:val="000000"/>
                <w:szCs w:val="22"/>
                <w:lang w:val="sr-Latn-CS"/>
              </w:rPr>
            </w:pPr>
          </w:p>
        </w:tc>
        <w:tc>
          <w:tcPr>
            <w:tcW w:w="807" w:type="dxa"/>
            <w:shd w:val="clear" w:color="auto" w:fill="E6EED5"/>
          </w:tcPr>
          <w:p w:rsidR="004B071C" w:rsidRPr="00F83B61" w:rsidRDefault="004B071C" w:rsidP="004E680E">
            <w:pPr>
              <w:keepNext/>
              <w:keepLines/>
              <w:spacing w:before="60"/>
              <w:outlineLvl w:val="3"/>
              <w:rPr>
                <w:rFonts w:ascii="Constantia" w:hAnsi="Constantia" w:cs="Arial"/>
                <w:b/>
                <w:bCs/>
                <w:iCs/>
                <w:color w:val="000000"/>
                <w:szCs w:val="22"/>
                <w:lang w:val="sr-Latn-CS"/>
              </w:rPr>
            </w:pPr>
            <w:r w:rsidRPr="00F83B61">
              <w:rPr>
                <w:rFonts w:ascii="Constantia" w:hAnsi="Constantia" w:cs="Arial"/>
                <w:b/>
                <w:bCs/>
                <w:iCs/>
                <w:color w:val="000000"/>
                <w:szCs w:val="22"/>
                <w:lang w:val="sr-Latn-CS"/>
              </w:rPr>
              <w:t>Min.</w:t>
            </w:r>
          </w:p>
        </w:tc>
        <w:tc>
          <w:tcPr>
            <w:tcW w:w="1083" w:type="dxa"/>
            <w:shd w:val="clear" w:color="auto" w:fill="E6EED5"/>
          </w:tcPr>
          <w:p w:rsidR="004B071C" w:rsidRPr="00F83B61" w:rsidRDefault="004B071C" w:rsidP="004E680E">
            <w:pPr>
              <w:keepNext/>
              <w:keepLines/>
              <w:spacing w:before="60"/>
              <w:outlineLvl w:val="3"/>
              <w:rPr>
                <w:rFonts w:ascii="Constantia" w:hAnsi="Constantia" w:cs="Arial"/>
                <w:b/>
                <w:bCs/>
                <w:iCs/>
                <w:color w:val="000000"/>
                <w:szCs w:val="22"/>
                <w:lang w:val="sr-Latn-CS"/>
              </w:rPr>
            </w:pPr>
            <w:r w:rsidRPr="00F83B61">
              <w:rPr>
                <w:rFonts w:ascii="Constantia" w:hAnsi="Constantia" w:cs="Arial"/>
                <w:b/>
                <w:bCs/>
                <w:iCs/>
                <w:color w:val="000000"/>
                <w:szCs w:val="22"/>
                <w:lang w:val="sr-Latn-CS"/>
              </w:rPr>
              <w:t>Max.</w:t>
            </w:r>
          </w:p>
        </w:tc>
        <w:tc>
          <w:tcPr>
            <w:tcW w:w="923" w:type="dxa"/>
            <w:shd w:val="clear" w:color="auto" w:fill="E6EED5"/>
          </w:tcPr>
          <w:p w:rsidR="004B071C" w:rsidRPr="00F83B61" w:rsidRDefault="004B071C" w:rsidP="004E680E">
            <w:pPr>
              <w:keepNext/>
              <w:keepLines/>
              <w:spacing w:before="60"/>
              <w:outlineLvl w:val="3"/>
              <w:rPr>
                <w:rFonts w:ascii="Constantia" w:hAnsi="Constantia" w:cs="Arial"/>
                <w:b/>
                <w:bCs/>
                <w:iCs/>
                <w:color w:val="000000"/>
                <w:szCs w:val="22"/>
                <w:lang w:val="sr-Latn-CS"/>
              </w:rPr>
            </w:pPr>
          </w:p>
        </w:tc>
        <w:tc>
          <w:tcPr>
            <w:tcW w:w="1306" w:type="dxa"/>
            <w:shd w:val="clear" w:color="auto" w:fill="E6EED5"/>
          </w:tcPr>
          <w:p w:rsidR="004B071C" w:rsidRPr="00F83B61" w:rsidRDefault="004B071C" w:rsidP="004E680E">
            <w:pPr>
              <w:keepNext/>
              <w:keepLines/>
              <w:spacing w:before="60"/>
              <w:jc w:val="center"/>
              <w:outlineLvl w:val="3"/>
              <w:rPr>
                <w:rFonts w:ascii="Constantia" w:hAnsi="Constantia" w:cs="Arial"/>
                <w:b/>
                <w:bCs/>
                <w:iCs/>
                <w:color w:val="000000"/>
                <w:szCs w:val="22"/>
                <w:lang w:val="sr-Latn-CS"/>
              </w:rPr>
            </w:pPr>
            <w:r w:rsidRPr="00F83B61">
              <w:rPr>
                <w:rFonts w:ascii="Constantia" w:hAnsi="Constantia" w:cs="Arial"/>
                <w:b/>
                <w:bCs/>
                <w:iCs/>
                <w:color w:val="000000"/>
                <w:szCs w:val="22"/>
                <w:lang w:val="sr-Latn-CS"/>
              </w:rPr>
              <w:t>C/R/V/P</w:t>
            </w:r>
          </w:p>
        </w:tc>
        <w:tc>
          <w:tcPr>
            <w:tcW w:w="1192" w:type="dxa"/>
            <w:shd w:val="clear" w:color="auto" w:fill="E6EED5"/>
          </w:tcPr>
          <w:p w:rsidR="004B071C" w:rsidRPr="00F83B61" w:rsidRDefault="004B071C" w:rsidP="004E680E">
            <w:pPr>
              <w:keepNext/>
              <w:keepLines/>
              <w:spacing w:before="60"/>
              <w:outlineLvl w:val="3"/>
              <w:rPr>
                <w:rFonts w:ascii="Constantia" w:hAnsi="Constantia" w:cs="Arial"/>
                <w:b/>
                <w:bCs/>
                <w:iCs/>
                <w:color w:val="000000"/>
                <w:szCs w:val="22"/>
                <w:lang w:val="sr-Latn-CS"/>
              </w:rPr>
            </w:pPr>
          </w:p>
        </w:tc>
      </w:tr>
      <w:tr w:rsidR="004B071C" w:rsidRPr="00F83B61" w:rsidTr="00C55597">
        <w:tc>
          <w:tcPr>
            <w:tcW w:w="2532" w:type="dxa"/>
            <w:shd w:val="clear" w:color="auto" w:fill="CDDDAC"/>
          </w:tcPr>
          <w:p w:rsidR="004B071C" w:rsidRPr="00C55597" w:rsidRDefault="004B071C" w:rsidP="00C55597">
            <w:pPr>
              <w:jc w:val="left"/>
              <w:rPr>
                <w:rFonts w:ascii="Constantia" w:hAnsi="Constantia" w:cs="Arial"/>
                <w:bCs/>
                <w:i/>
                <w:szCs w:val="22"/>
              </w:rPr>
            </w:pPr>
            <w:r w:rsidRPr="00C55597">
              <w:rPr>
                <w:rFonts w:ascii="Constantia" w:hAnsi="Constantia" w:cs="Arial"/>
                <w:bCs/>
                <w:i/>
                <w:szCs w:val="22"/>
              </w:rPr>
              <w:t>Salmo farioides</w:t>
            </w:r>
          </w:p>
          <w:p w:rsidR="004B071C" w:rsidRPr="00C55597" w:rsidRDefault="004B071C" w:rsidP="00C55597">
            <w:pPr>
              <w:jc w:val="left"/>
              <w:rPr>
                <w:rFonts w:ascii="Constantia" w:hAnsi="Constantia" w:cs="Arial"/>
                <w:bCs/>
                <w:i/>
                <w:szCs w:val="22"/>
              </w:rPr>
            </w:pPr>
            <w:r w:rsidRPr="00C55597">
              <w:rPr>
                <w:rFonts w:ascii="Constantia" w:hAnsi="Constantia" w:cs="Arial"/>
                <w:bCs/>
                <w:i/>
                <w:szCs w:val="22"/>
              </w:rPr>
              <w:t>(ADRc haplotype)</w:t>
            </w:r>
          </w:p>
        </w:tc>
        <w:tc>
          <w:tcPr>
            <w:tcW w:w="1446" w:type="dxa"/>
            <w:shd w:val="clear" w:color="auto" w:fill="CDDDAC"/>
          </w:tcPr>
          <w:p w:rsidR="004B071C" w:rsidRPr="00C55597" w:rsidRDefault="004B071C" w:rsidP="004E680E">
            <w:pPr>
              <w:keepNext/>
              <w:keepLines/>
              <w:spacing w:before="60"/>
              <w:jc w:val="center"/>
              <w:outlineLvl w:val="3"/>
              <w:rPr>
                <w:rFonts w:ascii="Constantia" w:hAnsi="Constantia" w:cs="Arial"/>
                <w:bCs/>
                <w:iCs/>
                <w:color w:val="000000"/>
                <w:szCs w:val="22"/>
                <w:lang w:val="sr-Latn-CS"/>
              </w:rPr>
            </w:pPr>
            <w:r w:rsidRPr="00C55597">
              <w:rPr>
                <w:rFonts w:ascii="Constantia" w:hAnsi="Constantia" w:cs="Arial"/>
                <w:bCs/>
                <w:iCs/>
                <w:color w:val="000000"/>
                <w:szCs w:val="22"/>
                <w:lang w:val="sr-Latn-CS"/>
              </w:rPr>
              <w:t>p</w:t>
            </w:r>
          </w:p>
        </w:tc>
        <w:tc>
          <w:tcPr>
            <w:tcW w:w="807" w:type="dxa"/>
            <w:shd w:val="clear" w:color="auto" w:fill="CDDDAC"/>
          </w:tcPr>
          <w:p w:rsidR="004B071C" w:rsidRPr="00C55597" w:rsidRDefault="004B071C" w:rsidP="004E680E">
            <w:pPr>
              <w:keepNext/>
              <w:keepLines/>
              <w:spacing w:before="60"/>
              <w:outlineLvl w:val="3"/>
              <w:rPr>
                <w:rFonts w:ascii="Constantia" w:hAnsi="Constantia" w:cs="Arial"/>
                <w:bCs/>
                <w:iCs/>
                <w:color w:val="000000"/>
                <w:szCs w:val="22"/>
                <w:lang w:val="sr-Latn-CS"/>
              </w:rPr>
            </w:pPr>
            <w:r w:rsidRPr="00C55597">
              <w:rPr>
                <w:rFonts w:ascii="Constantia" w:hAnsi="Constantia" w:cs="Arial"/>
                <w:bCs/>
                <w:iCs/>
                <w:color w:val="000000"/>
                <w:szCs w:val="22"/>
                <w:lang w:val="sr-Latn-CS"/>
              </w:rPr>
              <w:t>1000</w:t>
            </w:r>
          </w:p>
        </w:tc>
        <w:tc>
          <w:tcPr>
            <w:tcW w:w="1083" w:type="dxa"/>
            <w:shd w:val="clear" w:color="auto" w:fill="CDDDAC"/>
          </w:tcPr>
          <w:p w:rsidR="004B071C" w:rsidRPr="00C55597" w:rsidRDefault="004B071C" w:rsidP="004E680E">
            <w:pPr>
              <w:keepNext/>
              <w:keepLines/>
              <w:spacing w:before="60"/>
              <w:outlineLvl w:val="3"/>
              <w:rPr>
                <w:rFonts w:ascii="Constantia" w:hAnsi="Constantia" w:cs="Arial"/>
                <w:bCs/>
                <w:iCs/>
                <w:color w:val="000000"/>
                <w:szCs w:val="22"/>
                <w:lang w:val="sr-Latn-CS"/>
              </w:rPr>
            </w:pPr>
            <w:r w:rsidRPr="00C55597">
              <w:rPr>
                <w:rFonts w:ascii="Constantia" w:hAnsi="Constantia" w:cs="Arial"/>
                <w:bCs/>
                <w:iCs/>
                <w:color w:val="000000"/>
                <w:szCs w:val="22"/>
                <w:lang w:val="sr-Latn-CS"/>
              </w:rPr>
              <w:t>5000</w:t>
            </w:r>
          </w:p>
        </w:tc>
        <w:tc>
          <w:tcPr>
            <w:tcW w:w="923" w:type="dxa"/>
            <w:shd w:val="clear" w:color="auto" w:fill="CDDDAC"/>
          </w:tcPr>
          <w:p w:rsidR="004B071C" w:rsidRPr="00C55597" w:rsidRDefault="004B071C" w:rsidP="004E680E">
            <w:pPr>
              <w:jc w:val="center"/>
              <w:rPr>
                <w:rFonts w:ascii="Constantia" w:hAnsi="Constantia" w:cs="Arial"/>
                <w:szCs w:val="22"/>
              </w:rPr>
            </w:pPr>
            <w:r w:rsidRPr="00C55597">
              <w:rPr>
                <w:rFonts w:ascii="Constantia" w:hAnsi="Constantia" w:cs="Arial"/>
                <w:szCs w:val="22"/>
              </w:rPr>
              <w:t>I</w:t>
            </w:r>
          </w:p>
        </w:tc>
        <w:tc>
          <w:tcPr>
            <w:tcW w:w="1306" w:type="dxa"/>
            <w:shd w:val="clear" w:color="auto" w:fill="CDDDAC"/>
          </w:tcPr>
          <w:p w:rsidR="004B071C" w:rsidRPr="00C55597" w:rsidRDefault="004B071C" w:rsidP="004E680E">
            <w:pPr>
              <w:keepNext/>
              <w:keepLines/>
              <w:spacing w:before="60"/>
              <w:jc w:val="center"/>
              <w:outlineLvl w:val="3"/>
              <w:rPr>
                <w:rFonts w:ascii="Constantia" w:hAnsi="Constantia" w:cs="Arial"/>
                <w:bCs/>
                <w:iCs/>
                <w:color w:val="000000"/>
                <w:szCs w:val="22"/>
                <w:lang w:val="sr-Latn-CS"/>
              </w:rPr>
            </w:pPr>
          </w:p>
        </w:tc>
        <w:tc>
          <w:tcPr>
            <w:tcW w:w="1192" w:type="dxa"/>
            <w:shd w:val="clear" w:color="auto" w:fill="CDDDAC"/>
          </w:tcPr>
          <w:p w:rsidR="004B071C" w:rsidRPr="00C55597" w:rsidRDefault="004B071C" w:rsidP="004E680E">
            <w:pPr>
              <w:keepNext/>
              <w:keepLines/>
              <w:spacing w:before="60"/>
              <w:jc w:val="center"/>
              <w:outlineLvl w:val="3"/>
              <w:rPr>
                <w:rFonts w:ascii="Constantia" w:hAnsi="Constantia" w:cs="Arial"/>
                <w:bCs/>
                <w:iCs/>
                <w:color w:val="000000"/>
                <w:szCs w:val="22"/>
                <w:lang w:val="sr-Latn-CS"/>
              </w:rPr>
            </w:pPr>
            <w:r w:rsidRPr="00C55597">
              <w:rPr>
                <w:rFonts w:ascii="Constantia" w:hAnsi="Constantia" w:cs="Arial"/>
                <w:bCs/>
                <w:iCs/>
                <w:color w:val="000000"/>
                <w:szCs w:val="22"/>
                <w:lang w:val="sr-Latn-CS"/>
              </w:rPr>
              <w:t>G</w:t>
            </w:r>
          </w:p>
        </w:tc>
      </w:tr>
      <w:tr w:rsidR="004B071C" w:rsidRPr="00F83B61" w:rsidTr="00C55597">
        <w:tc>
          <w:tcPr>
            <w:tcW w:w="2532" w:type="dxa"/>
            <w:shd w:val="clear" w:color="auto" w:fill="E6EED5"/>
          </w:tcPr>
          <w:p w:rsidR="004B071C" w:rsidRPr="00C55597" w:rsidRDefault="004B071C" w:rsidP="00C55597">
            <w:pPr>
              <w:jc w:val="left"/>
              <w:rPr>
                <w:rFonts w:ascii="Constantia" w:hAnsi="Constantia" w:cs="Arial"/>
                <w:bCs/>
                <w:i/>
                <w:szCs w:val="22"/>
              </w:rPr>
            </w:pPr>
            <w:r w:rsidRPr="00C55597">
              <w:rPr>
                <w:rFonts w:ascii="Constantia" w:hAnsi="Constantia" w:cs="Arial"/>
                <w:bCs/>
                <w:i/>
                <w:szCs w:val="22"/>
              </w:rPr>
              <w:t>Salmo marmoratus</w:t>
            </w:r>
          </w:p>
        </w:tc>
        <w:tc>
          <w:tcPr>
            <w:tcW w:w="1446" w:type="dxa"/>
            <w:shd w:val="clear" w:color="auto" w:fill="E6EED5"/>
          </w:tcPr>
          <w:p w:rsidR="004B071C" w:rsidRPr="00C55597" w:rsidRDefault="004B071C" w:rsidP="004E680E">
            <w:pPr>
              <w:keepNext/>
              <w:keepLines/>
              <w:spacing w:before="60"/>
              <w:jc w:val="center"/>
              <w:outlineLvl w:val="3"/>
              <w:rPr>
                <w:rFonts w:ascii="Constantia" w:hAnsi="Constantia" w:cs="Arial"/>
                <w:bCs/>
                <w:iCs/>
                <w:color w:val="000000"/>
                <w:szCs w:val="22"/>
                <w:lang w:val="sr-Latn-CS"/>
              </w:rPr>
            </w:pPr>
            <w:r w:rsidRPr="00C55597">
              <w:rPr>
                <w:rFonts w:ascii="Constantia" w:hAnsi="Constantia" w:cs="Arial"/>
                <w:bCs/>
                <w:iCs/>
                <w:color w:val="000000"/>
                <w:szCs w:val="22"/>
                <w:lang w:val="sr-Latn-CS"/>
              </w:rPr>
              <w:t>p</w:t>
            </w:r>
          </w:p>
        </w:tc>
        <w:tc>
          <w:tcPr>
            <w:tcW w:w="807" w:type="dxa"/>
            <w:shd w:val="clear" w:color="auto" w:fill="E6EED5"/>
          </w:tcPr>
          <w:p w:rsidR="004B071C" w:rsidRPr="00C55597" w:rsidRDefault="004B071C" w:rsidP="004E680E">
            <w:pPr>
              <w:keepNext/>
              <w:keepLines/>
              <w:spacing w:before="60"/>
              <w:outlineLvl w:val="3"/>
              <w:rPr>
                <w:rFonts w:ascii="Constantia" w:hAnsi="Constantia" w:cs="Arial"/>
                <w:bCs/>
                <w:iCs/>
                <w:color w:val="000000"/>
                <w:szCs w:val="22"/>
                <w:lang w:val="sr-Latn-CS"/>
              </w:rPr>
            </w:pPr>
          </w:p>
        </w:tc>
        <w:tc>
          <w:tcPr>
            <w:tcW w:w="1083" w:type="dxa"/>
            <w:shd w:val="clear" w:color="auto" w:fill="E6EED5"/>
          </w:tcPr>
          <w:p w:rsidR="004B071C" w:rsidRPr="00C55597" w:rsidRDefault="004B071C" w:rsidP="004E680E">
            <w:pPr>
              <w:keepNext/>
              <w:keepLines/>
              <w:spacing w:before="60"/>
              <w:outlineLvl w:val="3"/>
              <w:rPr>
                <w:rFonts w:ascii="Constantia" w:hAnsi="Constantia" w:cs="Arial"/>
                <w:bCs/>
                <w:iCs/>
                <w:color w:val="000000"/>
                <w:szCs w:val="22"/>
                <w:lang w:val="sr-Latn-CS"/>
              </w:rPr>
            </w:pPr>
          </w:p>
        </w:tc>
        <w:tc>
          <w:tcPr>
            <w:tcW w:w="923" w:type="dxa"/>
            <w:shd w:val="clear" w:color="auto" w:fill="E6EED5"/>
          </w:tcPr>
          <w:p w:rsidR="004B071C" w:rsidRPr="00C55597" w:rsidRDefault="004B071C" w:rsidP="004E680E">
            <w:pPr>
              <w:jc w:val="center"/>
              <w:rPr>
                <w:rFonts w:ascii="Constantia" w:hAnsi="Constantia" w:cs="Arial"/>
                <w:szCs w:val="22"/>
              </w:rPr>
            </w:pPr>
            <w:r w:rsidRPr="00C55597">
              <w:rPr>
                <w:rFonts w:ascii="Constantia" w:hAnsi="Constantia" w:cs="Arial"/>
                <w:szCs w:val="22"/>
              </w:rPr>
              <w:t>I</w:t>
            </w:r>
          </w:p>
        </w:tc>
        <w:tc>
          <w:tcPr>
            <w:tcW w:w="1306" w:type="dxa"/>
            <w:shd w:val="clear" w:color="auto" w:fill="E6EED5"/>
          </w:tcPr>
          <w:p w:rsidR="004B071C" w:rsidRPr="00C55597" w:rsidRDefault="004B071C" w:rsidP="004E680E">
            <w:pPr>
              <w:keepNext/>
              <w:keepLines/>
              <w:spacing w:before="60"/>
              <w:jc w:val="center"/>
              <w:outlineLvl w:val="3"/>
              <w:rPr>
                <w:rFonts w:ascii="Constantia" w:hAnsi="Constantia" w:cs="Arial"/>
                <w:bCs/>
                <w:iCs/>
                <w:color w:val="000000"/>
                <w:szCs w:val="22"/>
                <w:lang w:val="sr-Latn-CS"/>
              </w:rPr>
            </w:pPr>
            <w:r w:rsidRPr="00C55597">
              <w:rPr>
                <w:rFonts w:ascii="Constantia" w:hAnsi="Constantia" w:cs="Arial"/>
                <w:bCs/>
                <w:iCs/>
                <w:color w:val="000000"/>
                <w:szCs w:val="22"/>
                <w:lang w:val="sr-Latn-CS"/>
              </w:rPr>
              <w:t>P</w:t>
            </w:r>
          </w:p>
        </w:tc>
        <w:tc>
          <w:tcPr>
            <w:tcW w:w="1192" w:type="dxa"/>
            <w:shd w:val="clear" w:color="auto" w:fill="E6EED5"/>
          </w:tcPr>
          <w:p w:rsidR="004B071C" w:rsidRPr="00C55597" w:rsidRDefault="004B071C" w:rsidP="004E680E">
            <w:pPr>
              <w:keepNext/>
              <w:keepLines/>
              <w:spacing w:before="60"/>
              <w:jc w:val="center"/>
              <w:outlineLvl w:val="3"/>
              <w:rPr>
                <w:rFonts w:ascii="Constantia" w:hAnsi="Constantia" w:cs="Arial"/>
                <w:bCs/>
                <w:iCs/>
                <w:color w:val="000000"/>
                <w:szCs w:val="22"/>
                <w:lang w:val="sr-Latn-CS"/>
              </w:rPr>
            </w:pPr>
            <w:r w:rsidRPr="00C55597">
              <w:rPr>
                <w:rFonts w:ascii="Constantia" w:hAnsi="Constantia" w:cs="Arial"/>
                <w:bCs/>
                <w:iCs/>
                <w:color w:val="000000"/>
                <w:szCs w:val="22"/>
                <w:lang w:val="sr-Latn-CS"/>
              </w:rPr>
              <w:t>DD</w:t>
            </w:r>
          </w:p>
        </w:tc>
      </w:tr>
      <w:tr w:rsidR="004B071C" w:rsidRPr="00F83B61" w:rsidTr="00C55597">
        <w:tc>
          <w:tcPr>
            <w:tcW w:w="2532" w:type="dxa"/>
            <w:shd w:val="clear" w:color="auto" w:fill="CDDDAC"/>
          </w:tcPr>
          <w:p w:rsidR="004B071C" w:rsidRPr="00C55597" w:rsidRDefault="004B071C" w:rsidP="00C55597">
            <w:pPr>
              <w:jc w:val="left"/>
              <w:rPr>
                <w:rFonts w:ascii="Constantia" w:hAnsi="Constantia" w:cs="Arial"/>
                <w:bCs/>
                <w:i/>
                <w:szCs w:val="22"/>
              </w:rPr>
            </w:pPr>
            <w:r w:rsidRPr="00C55597">
              <w:rPr>
                <w:rFonts w:ascii="Constantia" w:hAnsi="Constantia" w:cs="Arial"/>
                <w:bCs/>
                <w:i/>
                <w:szCs w:val="22"/>
              </w:rPr>
              <w:t>Telestes montenigrinus</w:t>
            </w:r>
          </w:p>
        </w:tc>
        <w:tc>
          <w:tcPr>
            <w:tcW w:w="1446" w:type="dxa"/>
            <w:shd w:val="clear" w:color="auto" w:fill="CDDDAC"/>
          </w:tcPr>
          <w:p w:rsidR="004B071C" w:rsidRPr="00C55597" w:rsidRDefault="004B071C" w:rsidP="004E680E">
            <w:pPr>
              <w:keepNext/>
              <w:keepLines/>
              <w:spacing w:before="60"/>
              <w:jc w:val="center"/>
              <w:outlineLvl w:val="3"/>
              <w:rPr>
                <w:rFonts w:ascii="Constantia" w:hAnsi="Constantia" w:cs="Arial"/>
                <w:bCs/>
                <w:iCs/>
                <w:color w:val="000000"/>
                <w:szCs w:val="22"/>
                <w:lang w:val="sr-Latn-CS"/>
              </w:rPr>
            </w:pPr>
            <w:r w:rsidRPr="00C55597">
              <w:rPr>
                <w:rFonts w:ascii="Constantia" w:hAnsi="Constantia" w:cs="Arial"/>
                <w:bCs/>
                <w:iCs/>
                <w:color w:val="000000"/>
                <w:szCs w:val="22"/>
                <w:lang w:val="sr-Latn-CS"/>
              </w:rPr>
              <w:t>p</w:t>
            </w:r>
          </w:p>
        </w:tc>
        <w:tc>
          <w:tcPr>
            <w:tcW w:w="807" w:type="dxa"/>
            <w:shd w:val="clear" w:color="auto" w:fill="CDDDAC"/>
          </w:tcPr>
          <w:p w:rsidR="004B071C" w:rsidRPr="00C55597" w:rsidRDefault="004B071C" w:rsidP="004E680E">
            <w:pPr>
              <w:keepNext/>
              <w:keepLines/>
              <w:spacing w:before="60"/>
              <w:outlineLvl w:val="3"/>
              <w:rPr>
                <w:rFonts w:ascii="Constantia" w:hAnsi="Constantia" w:cs="Arial"/>
                <w:bCs/>
                <w:iCs/>
                <w:color w:val="000000"/>
                <w:szCs w:val="22"/>
                <w:lang w:val="sr-Latn-CS"/>
              </w:rPr>
            </w:pPr>
          </w:p>
        </w:tc>
        <w:tc>
          <w:tcPr>
            <w:tcW w:w="1083" w:type="dxa"/>
            <w:shd w:val="clear" w:color="auto" w:fill="CDDDAC"/>
          </w:tcPr>
          <w:p w:rsidR="004B071C" w:rsidRPr="00C55597" w:rsidRDefault="004B071C" w:rsidP="004E680E">
            <w:pPr>
              <w:keepNext/>
              <w:keepLines/>
              <w:spacing w:before="60"/>
              <w:outlineLvl w:val="3"/>
              <w:rPr>
                <w:rFonts w:ascii="Constantia" w:hAnsi="Constantia" w:cs="Arial"/>
                <w:bCs/>
                <w:iCs/>
                <w:color w:val="000000"/>
                <w:szCs w:val="22"/>
                <w:lang w:val="sr-Latn-CS"/>
              </w:rPr>
            </w:pPr>
          </w:p>
        </w:tc>
        <w:tc>
          <w:tcPr>
            <w:tcW w:w="923" w:type="dxa"/>
            <w:shd w:val="clear" w:color="auto" w:fill="CDDDAC"/>
          </w:tcPr>
          <w:p w:rsidR="004B071C" w:rsidRPr="00C55597" w:rsidRDefault="004B071C" w:rsidP="004E680E">
            <w:pPr>
              <w:jc w:val="center"/>
              <w:rPr>
                <w:rFonts w:ascii="Constantia" w:hAnsi="Constantia" w:cs="Arial"/>
                <w:szCs w:val="22"/>
              </w:rPr>
            </w:pPr>
            <w:r w:rsidRPr="00C55597">
              <w:rPr>
                <w:rFonts w:ascii="Constantia" w:hAnsi="Constantia" w:cs="Arial"/>
                <w:szCs w:val="22"/>
              </w:rPr>
              <w:t>I</w:t>
            </w:r>
          </w:p>
        </w:tc>
        <w:tc>
          <w:tcPr>
            <w:tcW w:w="1306" w:type="dxa"/>
            <w:shd w:val="clear" w:color="auto" w:fill="CDDDAC"/>
          </w:tcPr>
          <w:p w:rsidR="004B071C" w:rsidRPr="00C55597" w:rsidRDefault="004B071C" w:rsidP="004E680E">
            <w:pPr>
              <w:keepNext/>
              <w:keepLines/>
              <w:spacing w:before="60"/>
              <w:jc w:val="center"/>
              <w:outlineLvl w:val="3"/>
              <w:rPr>
                <w:rFonts w:ascii="Constantia" w:hAnsi="Constantia" w:cs="Arial"/>
                <w:bCs/>
                <w:iCs/>
                <w:color w:val="000000"/>
                <w:szCs w:val="22"/>
                <w:lang w:val="sr-Latn-CS"/>
              </w:rPr>
            </w:pPr>
            <w:r w:rsidRPr="00C55597">
              <w:rPr>
                <w:rFonts w:ascii="Constantia" w:hAnsi="Constantia" w:cs="Arial"/>
                <w:bCs/>
                <w:iCs/>
                <w:color w:val="000000"/>
                <w:szCs w:val="22"/>
                <w:lang w:val="sr-Latn-CS"/>
              </w:rPr>
              <w:t>P</w:t>
            </w:r>
          </w:p>
        </w:tc>
        <w:tc>
          <w:tcPr>
            <w:tcW w:w="1192" w:type="dxa"/>
            <w:shd w:val="clear" w:color="auto" w:fill="CDDDAC"/>
          </w:tcPr>
          <w:p w:rsidR="004B071C" w:rsidRPr="00C55597" w:rsidRDefault="004B071C" w:rsidP="004E680E">
            <w:pPr>
              <w:keepNext/>
              <w:keepLines/>
              <w:spacing w:before="60"/>
              <w:jc w:val="center"/>
              <w:outlineLvl w:val="3"/>
              <w:rPr>
                <w:rFonts w:ascii="Constantia" w:hAnsi="Constantia" w:cs="Arial"/>
                <w:bCs/>
                <w:iCs/>
                <w:color w:val="000000"/>
                <w:szCs w:val="22"/>
                <w:lang w:val="sr-Latn-CS"/>
              </w:rPr>
            </w:pPr>
            <w:r w:rsidRPr="00C55597">
              <w:rPr>
                <w:rFonts w:ascii="Constantia" w:hAnsi="Constantia" w:cs="Arial"/>
                <w:bCs/>
                <w:iCs/>
                <w:color w:val="000000"/>
                <w:szCs w:val="22"/>
                <w:lang w:val="sr-Latn-CS"/>
              </w:rPr>
              <w:t>DD</w:t>
            </w:r>
          </w:p>
        </w:tc>
      </w:tr>
      <w:tr w:rsidR="004B071C" w:rsidRPr="00F83B61" w:rsidTr="00C55597">
        <w:tc>
          <w:tcPr>
            <w:tcW w:w="2532" w:type="dxa"/>
            <w:shd w:val="clear" w:color="auto" w:fill="E6EED5"/>
          </w:tcPr>
          <w:p w:rsidR="004B071C" w:rsidRPr="00C55597" w:rsidRDefault="004B071C" w:rsidP="00C55597">
            <w:pPr>
              <w:jc w:val="left"/>
              <w:rPr>
                <w:rFonts w:ascii="Constantia" w:hAnsi="Constantia" w:cs="Arial"/>
                <w:bCs/>
                <w:i/>
                <w:szCs w:val="22"/>
              </w:rPr>
            </w:pPr>
            <w:r w:rsidRPr="00C55597">
              <w:rPr>
                <w:rFonts w:ascii="Constantia" w:hAnsi="Constantia" w:cs="Arial"/>
                <w:bCs/>
                <w:i/>
                <w:szCs w:val="22"/>
              </w:rPr>
              <w:t>Rutilus albus</w:t>
            </w:r>
          </w:p>
        </w:tc>
        <w:tc>
          <w:tcPr>
            <w:tcW w:w="1446" w:type="dxa"/>
            <w:shd w:val="clear" w:color="auto" w:fill="E6EED5"/>
          </w:tcPr>
          <w:p w:rsidR="004B071C" w:rsidRPr="00C55597" w:rsidRDefault="004B071C" w:rsidP="004E680E">
            <w:pPr>
              <w:keepNext/>
              <w:keepLines/>
              <w:spacing w:before="60"/>
              <w:jc w:val="center"/>
              <w:outlineLvl w:val="3"/>
              <w:rPr>
                <w:rFonts w:ascii="Constantia" w:hAnsi="Constantia" w:cs="Arial"/>
                <w:bCs/>
                <w:iCs/>
                <w:color w:val="000000"/>
                <w:szCs w:val="22"/>
                <w:lang w:val="sr-Latn-CS"/>
              </w:rPr>
            </w:pPr>
            <w:r w:rsidRPr="00C55597">
              <w:rPr>
                <w:rFonts w:ascii="Constantia" w:hAnsi="Constantia" w:cs="Arial"/>
                <w:bCs/>
                <w:iCs/>
                <w:color w:val="000000"/>
                <w:szCs w:val="22"/>
                <w:lang w:val="sr-Latn-CS"/>
              </w:rPr>
              <w:t>p</w:t>
            </w:r>
          </w:p>
        </w:tc>
        <w:tc>
          <w:tcPr>
            <w:tcW w:w="807" w:type="dxa"/>
            <w:shd w:val="clear" w:color="auto" w:fill="E6EED5"/>
          </w:tcPr>
          <w:p w:rsidR="004B071C" w:rsidRPr="00C55597" w:rsidRDefault="004B071C" w:rsidP="004E680E">
            <w:pPr>
              <w:keepNext/>
              <w:keepLines/>
              <w:spacing w:before="60"/>
              <w:outlineLvl w:val="3"/>
              <w:rPr>
                <w:rFonts w:ascii="Constantia" w:hAnsi="Constantia" w:cs="Arial"/>
                <w:bCs/>
                <w:iCs/>
                <w:color w:val="000000"/>
                <w:szCs w:val="22"/>
                <w:lang w:val="sr-Latn-CS"/>
              </w:rPr>
            </w:pPr>
          </w:p>
        </w:tc>
        <w:tc>
          <w:tcPr>
            <w:tcW w:w="1083" w:type="dxa"/>
            <w:shd w:val="clear" w:color="auto" w:fill="E6EED5"/>
          </w:tcPr>
          <w:p w:rsidR="004B071C" w:rsidRPr="00C55597" w:rsidRDefault="004B071C" w:rsidP="004E680E">
            <w:pPr>
              <w:keepNext/>
              <w:keepLines/>
              <w:spacing w:before="60"/>
              <w:outlineLvl w:val="3"/>
              <w:rPr>
                <w:rFonts w:ascii="Constantia" w:hAnsi="Constantia" w:cs="Arial"/>
                <w:bCs/>
                <w:iCs/>
                <w:color w:val="000000"/>
                <w:szCs w:val="22"/>
                <w:lang w:val="sr-Latn-CS"/>
              </w:rPr>
            </w:pPr>
          </w:p>
        </w:tc>
        <w:tc>
          <w:tcPr>
            <w:tcW w:w="923" w:type="dxa"/>
            <w:shd w:val="clear" w:color="auto" w:fill="E6EED5"/>
          </w:tcPr>
          <w:p w:rsidR="004B071C" w:rsidRPr="00C55597" w:rsidRDefault="004B071C" w:rsidP="004E680E">
            <w:pPr>
              <w:jc w:val="center"/>
              <w:rPr>
                <w:rFonts w:ascii="Constantia" w:hAnsi="Constantia" w:cs="Arial"/>
                <w:szCs w:val="22"/>
              </w:rPr>
            </w:pPr>
            <w:r w:rsidRPr="00C55597">
              <w:rPr>
                <w:rFonts w:ascii="Constantia" w:hAnsi="Constantia" w:cs="Arial"/>
                <w:szCs w:val="22"/>
              </w:rPr>
              <w:t>I</w:t>
            </w:r>
          </w:p>
        </w:tc>
        <w:tc>
          <w:tcPr>
            <w:tcW w:w="1306" w:type="dxa"/>
            <w:shd w:val="clear" w:color="auto" w:fill="E6EED5"/>
          </w:tcPr>
          <w:p w:rsidR="004B071C" w:rsidRPr="00C55597" w:rsidRDefault="004B071C" w:rsidP="004E680E">
            <w:pPr>
              <w:keepNext/>
              <w:keepLines/>
              <w:spacing w:before="60"/>
              <w:jc w:val="center"/>
              <w:outlineLvl w:val="3"/>
              <w:rPr>
                <w:rFonts w:ascii="Constantia" w:hAnsi="Constantia" w:cs="Arial"/>
                <w:bCs/>
                <w:iCs/>
                <w:color w:val="000000"/>
                <w:szCs w:val="22"/>
                <w:lang w:val="sr-Latn-CS"/>
              </w:rPr>
            </w:pPr>
            <w:r w:rsidRPr="00C55597">
              <w:rPr>
                <w:rFonts w:ascii="Constantia" w:hAnsi="Constantia" w:cs="Arial"/>
                <w:bCs/>
                <w:iCs/>
                <w:color w:val="000000"/>
                <w:szCs w:val="22"/>
                <w:lang w:val="sr-Latn-CS"/>
              </w:rPr>
              <w:t>P</w:t>
            </w:r>
          </w:p>
        </w:tc>
        <w:tc>
          <w:tcPr>
            <w:tcW w:w="1192" w:type="dxa"/>
            <w:shd w:val="clear" w:color="auto" w:fill="E6EED5"/>
          </w:tcPr>
          <w:p w:rsidR="004B071C" w:rsidRPr="00C55597" w:rsidRDefault="004B071C" w:rsidP="004E680E">
            <w:pPr>
              <w:keepNext/>
              <w:keepLines/>
              <w:spacing w:before="60"/>
              <w:jc w:val="center"/>
              <w:outlineLvl w:val="3"/>
              <w:rPr>
                <w:rFonts w:ascii="Constantia" w:hAnsi="Constantia" w:cs="Arial"/>
                <w:bCs/>
                <w:iCs/>
                <w:color w:val="000000"/>
                <w:szCs w:val="22"/>
                <w:lang w:val="sr-Latn-CS"/>
              </w:rPr>
            </w:pPr>
            <w:r w:rsidRPr="00C55597">
              <w:rPr>
                <w:rFonts w:ascii="Constantia" w:hAnsi="Constantia" w:cs="Arial"/>
                <w:bCs/>
                <w:iCs/>
                <w:color w:val="000000"/>
                <w:szCs w:val="22"/>
                <w:lang w:val="sr-Latn-CS"/>
              </w:rPr>
              <w:t>DD</w:t>
            </w:r>
          </w:p>
        </w:tc>
      </w:tr>
      <w:tr w:rsidR="004B071C" w:rsidRPr="00F83B61" w:rsidTr="00C55597">
        <w:tc>
          <w:tcPr>
            <w:tcW w:w="2532" w:type="dxa"/>
            <w:shd w:val="clear" w:color="auto" w:fill="CDDDAC"/>
          </w:tcPr>
          <w:p w:rsidR="004B071C" w:rsidRPr="00C55597" w:rsidRDefault="004B071C" w:rsidP="00C55597">
            <w:pPr>
              <w:jc w:val="left"/>
              <w:rPr>
                <w:rFonts w:ascii="Constantia" w:hAnsi="Constantia" w:cs="Arial"/>
                <w:bCs/>
                <w:i/>
                <w:szCs w:val="22"/>
              </w:rPr>
            </w:pPr>
            <w:r w:rsidRPr="00C55597">
              <w:rPr>
                <w:rFonts w:ascii="Constantia" w:hAnsi="Constantia" w:cs="Arial"/>
                <w:bCs/>
                <w:i/>
                <w:szCs w:val="22"/>
              </w:rPr>
              <w:t>Scardinius knezevici</w:t>
            </w:r>
          </w:p>
        </w:tc>
        <w:tc>
          <w:tcPr>
            <w:tcW w:w="1446" w:type="dxa"/>
            <w:shd w:val="clear" w:color="auto" w:fill="CDDDAC"/>
          </w:tcPr>
          <w:p w:rsidR="004B071C" w:rsidRPr="00C55597" w:rsidRDefault="004B071C" w:rsidP="004E680E">
            <w:pPr>
              <w:keepNext/>
              <w:keepLines/>
              <w:spacing w:before="60"/>
              <w:jc w:val="center"/>
              <w:outlineLvl w:val="3"/>
              <w:rPr>
                <w:rFonts w:ascii="Constantia" w:hAnsi="Constantia" w:cs="Arial"/>
                <w:bCs/>
                <w:iCs/>
                <w:color w:val="000000"/>
                <w:szCs w:val="22"/>
                <w:lang w:val="sr-Latn-CS"/>
              </w:rPr>
            </w:pPr>
            <w:r w:rsidRPr="00C55597">
              <w:rPr>
                <w:rFonts w:ascii="Constantia" w:hAnsi="Constantia" w:cs="Arial"/>
                <w:bCs/>
                <w:iCs/>
                <w:color w:val="000000"/>
                <w:szCs w:val="22"/>
                <w:lang w:val="sr-Latn-CS"/>
              </w:rPr>
              <w:t>p</w:t>
            </w:r>
          </w:p>
        </w:tc>
        <w:tc>
          <w:tcPr>
            <w:tcW w:w="807" w:type="dxa"/>
            <w:shd w:val="clear" w:color="auto" w:fill="CDDDAC"/>
          </w:tcPr>
          <w:p w:rsidR="004B071C" w:rsidRPr="00C55597" w:rsidRDefault="004B071C" w:rsidP="004E680E">
            <w:pPr>
              <w:keepNext/>
              <w:keepLines/>
              <w:spacing w:before="60"/>
              <w:outlineLvl w:val="3"/>
              <w:rPr>
                <w:rFonts w:ascii="Constantia" w:hAnsi="Constantia" w:cs="Arial"/>
                <w:bCs/>
                <w:iCs/>
                <w:color w:val="000000"/>
                <w:szCs w:val="22"/>
                <w:lang w:val="sr-Latn-CS"/>
              </w:rPr>
            </w:pPr>
          </w:p>
        </w:tc>
        <w:tc>
          <w:tcPr>
            <w:tcW w:w="1083" w:type="dxa"/>
            <w:shd w:val="clear" w:color="auto" w:fill="CDDDAC"/>
          </w:tcPr>
          <w:p w:rsidR="004B071C" w:rsidRPr="00C55597" w:rsidRDefault="004B071C" w:rsidP="004E680E">
            <w:pPr>
              <w:keepNext/>
              <w:keepLines/>
              <w:spacing w:before="60"/>
              <w:outlineLvl w:val="3"/>
              <w:rPr>
                <w:rFonts w:ascii="Constantia" w:hAnsi="Constantia" w:cs="Arial"/>
                <w:bCs/>
                <w:iCs/>
                <w:color w:val="000000"/>
                <w:szCs w:val="22"/>
                <w:lang w:val="sr-Latn-CS"/>
              </w:rPr>
            </w:pPr>
          </w:p>
        </w:tc>
        <w:tc>
          <w:tcPr>
            <w:tcW w:w="923" w:type="dxa"/>
            <w:shd w:val="clear" w:color="auto" w:fill="CDDDAC"/>
          </w:tcPr>
          <w:p w:rsidR="004B071C" w:rsidRPr="00C55597" w:rsidRDefault="004B071C" w:rsidP="004E680E">
            <w:pPr>
              <w:jc w:val="center"/>
              <w:rPr>
                <w:rFonts w:ascii="Constantia" w:hAnsi="Constantia" w:cs="Arial"/>
                <w:szCs w:val="22"/>
              </w:rPr>
            </w:pPr>
            <w:r w:rsidRPr="00C55597">
              <w:rPr>
                <w:rFonts w:ascii="Constantia" w:hAnsi="Constantia" w:cs="Arial"/>
                <w:szCs w:val="22"/>
              </w:rPr>
              <w:t>I</w:t>
            </w:r>
          </w:p>
        </w:tc>
        <w:tc>
          <w:tcPr>
            <w:tcW w:w="1306" w:type="dxa"/>
            <w:shd w:val="clear" w:color="auto" w:fill="CDDDAC"/>
          </w:tcPr>
          <w:p w:rsidR="004B071C" w:rsidRPr="00C55597" w:rsidRDefault="004B071C" w:rsidP="004E680E">
            <w:pPr>
              <w:keepNext/>
              <w:keepLines/>
              <w:spacing w:before="60"/>
              <w:jc w:val="center"/>
              <w:outlineLvl w:val="3"/>
              <w:rPr>
                <w:rFonts w:ascii="Constantia" w:hAnsi="Constantia" w:cs="Arial"/>
                <w:bCs/>
                <w:iCs/>
                <w:color w:val="000000"/>
                <w:szCs w:val="22"/>
                <w:lang w:val="sr-Latn-CS"/>
              </w:rPr>
            </w:pPr>
            <w:r w:rsidRPr="00C55597">
              <w:rPr>
                <w:rFonts w:ascii="Constantia" w:hAnsi="Constantia" w:cs="Arial"/>
                <w:bCs/>
                <w:iCs/>
                <w:color w:val="000000"/>
                <w:szCs w:val="22"/>
                <w:lang w:val="sr-Latn-CS"/>
              </w:rPr>
              <w:t>P</w:t>
            </w:r>
          </w:p>
        </w:tc>
        <w:tc>
          <w:tcPr>
            <w:tcW w:w="1192" w:type="dxa"/>
            <w:shd w:val="clear" w:color="auto" w:fill="CDDDAC"/>
          </w:tcPr>
          <w:p w:rsidR="004B071C" w:rsidRPr="00C55597" w:rsidRDefault="004B071C" w:rsidP="004E680E">
            <w:pPr>
              <w:keepNext/>
              <w:keepLines/>
              <w:spacing w:before="60"/>
              <w:jc w:val="center"/>
              <w:outlineLvl w:val="3"/>
              <w:rPr>
                <w:rFonts w:ascii="Constantia" w:hAnsi="Constantia" w:cs="Arial"/>
                <w:bCs/>
                <w:iCs/>
                <w:color w:val="000000"/>
                <w:szCs w:val="22"/>
                <w:lang w:val="sr-Latn-CS"/>
              </w:rPr>
            </w:pPr>
            <w:r w:rsidRPr="00C55597">
              <w:rPr>
                <w:rFonts w:ascii="Constantia" w:hAnsi="Constantia" w:cs="Arial"/>
                <w:bCs/>
                <w:iCs/>
                <w:color w:val="000000"/>
                <w:szCs w:val="22"/>
                <w:lang w:val="sr-Latn-CS"/>
              </w:rPr>
              <w:t>DD</w:t>
            </w:r>
          </w:p>
        </w:tc>
      </w:tr>
      <w:tr w:rsidR="004B071C" w:rsidRPr="00F83B61" w:rsidTr="00C55597">
        <w:tc>
          <w:tcPr>
            <w:tcW w:w="2532" w:type="dxa"/>
            <w:shd w:val="clear" w:color="auto" w:fill="E6EED5"/>
          </w:tcPr>
          <w:p w:rsidR="004B071C" w:rsidRPr="00C55597" w:rsidRDefault="004B071C" w:rsidP="00C55597">
            <w:pPr>
              <w:jc w:val="left"/>
              <w:rPr>
                <w:rFonts w:ascii="Constantia" w:hAnsi="Constantia" w:cs="Arial"/>
                <w:bCs/>
                <w:i/>
                <w:szCs w:val="22"/>
              </w:rPr>
            </w:pPr>
            <w:r w:rsidRPr="00C55597">
              <w:rPr>
                <w:rFonts w:ascii="Constantia" w:hAnsi="Constantia" w:cs="Arial"/>
                <w:bCs/>
                <w:i/>
                <w:szCs w:val="22"/>
              </w:rPr>
              <w:t>Acipenser naccarii</w:t>
            </w:r>
          </w:p>
        </w:tc>
        <w:tc>
          <w:tcPr>
            <w:tcW w:w="1446" w:type="dxa"/>
            <w:shd w:val="clear" w:color="auto" w:fill="E6EED5"/>
          </w:tcPr>
          <w:p w:rsidR="004B071C" w:rsidRPr="00C55597" w:rsidRDefault="004B071C" w:rsidP="004E680E">
            <w:pPr>
              <w:keepNext/>
              <w:keepLines/>
              <w:spacing w:before="60"/>
              <w:jc w:val="center"/>
              <w:outlineLvl w:val="3"/>
              <w:rPr>
                <w:rFonts w:ascii="Constantia" w:hAnsi="Constantia" w:cs="Arial"/>
                <w:bCs/>
                <w:iCs/>
                <w:color w:val="000000"/>
                <w:szCs w:val="22"/>
                <w:lang w:val="sr-Latn-CS"/>
              </w:rPr>
            </w:pPr>
            <w:r w:rsidRPr="00C55597">
              <w:rPr>
                <w:rFonts w:ascii="Constantia" w:hAnsi="Constantia" w:cs="Arial"/>
                <w:bCs/>
                <w:iCs/>
                <w:color w:val="000000"/>
                <w:szCs w:val="22"/>
                <w:lang w:val="sr-Latn-CS"/>
              </w:rPr>
              <w:t>r</w:t>
            </w:r>
          </w:p>
        </w:tc>
        <w:tc>
          <w:tcPr>
            <w:tcW w:w="807" w:type="dxa"/>
            <w:shd w:val="clear" w:color="auto" w:fill="E6EED5"/>
          </w:tcPr>
          <w:p w:rsidR="004B071C" w:rsidRPr="00C55597" w:rsidRDefault="004B071C" w:rsidP="004E680E">
            <w:pPr>
              <w:keepNext/>
              <w:keepLines/>
              <w:spacing w:before="60"/>
              <w:outlineLvl w:val="3"/>
              <w:rPr>
                <w:rFonts w:ascii="Constantia" w:hAnsi="Constantia" w:cs="Arial"/>
                <w:bCs/>
                <w:iCs/>
                <w:color w:val="000000"/>
                <w:szCs w:val="22"/>
                <w:lang w:val="sr-Latn-CS"/>
              </w:rPr>
            </w:pPr>
          </w:p>
        </w:tc>
        <w:tc>
          <w:tcPr>
            <w:tcW w:w="1083" w:type="dxa"/>
            <w:shd w:val="clear" w:color="auto" w:fill="E6EED5"/>
          </w:tcPr>
          <w:p w:rsidR="004B071C" w:rsidRPr="00C55597" w:rsidRDefault="004B071C" w:rsidP="004E680E">
            <w:pPr>
              <w:keepNext/>
              <w:keepLines/>
              <w:spacing w:before="60"/>
              <w:outlineLvl w:val="3"/>
              <w:rPr>
                <w:rFonts w:ascii="Constantia" w:hAnsi="Constantia" w:cs="Arial"/>
                <w:bCs/>
                <w:iCs/>
                <w:color w:val="000000"/>
                <w:szCs w:val="22"/>
                <w:lang w:val="sr-Latn-CS"/>
              </w:rPr>
            </w:pPr>
          </w:p>
        </w:tc>
        <w:tc>
          <w:tcPr>
            <w:tcW w:w="923" w:type="dxa"/>
            <w:shd w:val="clear" w:color="auto" w:fill="E6EED5"/>
          </w:tcPr>
          <w:p w:rsidR="004B071C" w:rsidRPr="00C55597" w:rsidRDefault="004B071C" w:rsidP="004E680E">
            <w:pPr>
              <w:jc w:val="center"/>
              <w:rPr>
                <w:rFonts w:ascii="Constantia" w:hAnsi="Constantia" w:cs="Arial"/>
                <w:szCs w:val="22"/>
              </w:rPr>
            </w:pPr>
            <w:r w:rsidRPr="00C55597">
              <w:rPr>
                <w:rFonts w:ascii="Constantia" w:hAnsi="Constantia" w:cs="Arial"/>
                <w:szCs w:val="22"/>
              </w:rPr>
              <w:t>I</w:t>
            </w:r>
          </w:p>
        </w:tc>
        <w:tc>
          <w:tcPr>
            <w:tcW w:w="1306" w:type="dxa"/>
            <w:shd w:val="clear" w:color="auto" w:fill="E6EED5"/>
          </w:tcPr>
          <w:p w:rsidR="004B071C" w:rsidRPr="00C55597" w:rsidRDefault="004B071C" w:rsidP="004E680E">
            <w:pPr>
              <w:keepNext/>
              <w:keepLines/>
              <w:spacing w:before="60"/>
              <w:jc w:val="center"/>
              <w:outlineLvl w:val="3"/>
              <w:rPr>
                <w:rFonts w:ascii="Constantia" w:hAnsi="Constantia" w:cs="Arial"/>
                <w:bCs/>
                <w:iCs/>
                <w:color w:val="000000"/>
                <w:szCs w:val="22"/>
                <w:lang w:val="sr-Latn-CS"/>
              </w:rPr>
            </w:pPr>
          </w:p>
        </w:tc>
        <w:tc>
          <w:tcPr>
            <w:tcW w:w="1192" w:type="dxa"/>
            <w:shd w:val="clear" w:color="auto" w:fill="E6EED5"/>
          </w:tcPr>
          <w:p w:rsidR="004B071C" w:rsidRPr="00C55597" w:rsidRDefault="004B071C" w:rsidP="004E680E">
            <w:pPr>
              <w:keepNext/>
              <w:keepLines/>
              <w:spacing w:before="60"/>
              <w:jc w:val="center"/>
              <w:outlineLvl w:val="3"/>
              <w:rPr>
                <w:rFonts w:ascii="Constantia" w:hAnsi="Constantia" w:cs="Arial"/>
                <w:bCs/>
                <w:iCs/>
                <w:color w:val="000000"/>
                <w:szCs w:val="22"/>
                <w:lang w:val="sr-Latn-CS"/>
              </w:rPr>
            </w:pPr>
            <w:r w:rsidRPr="00C55597">
              <w:rPr>
                <w:rFonts w:ascii="Constantia" w:hAnsi="Constantia" w:cs="Arial"/>
                <w:bCs/>
                <w:iCs/>
                <w:color w:val="000000"/>
                <w:szCs w:val="22"/>
                <w:lang w:val="sr-Latn-CS"/>
              </w:rPr>
              <w:t>DD</w:t>
            </w:r>
          </w:p>
        </w:tc>
      </w:tr>
      <w:tr w:rsidR="004B071C" w:rsidRPr="00F83B61" w:rsidTr="00C55597">
        <w:tc>
          <w:tcPr>
            <w:tcW w:w="2532" w:type="dxa"/>
            <w:shd w:val="clear" w:color="auto" w:fill="CDDDAC"/>
          </w:tcPr>
          <w:p w:rsidR="004B071C" w:rsidRPr="00C55597" w:rsidRDefault="004B071C" w:rsidP="00C55597">
            <w:pPr>
              <w:jc w:val="left"/>
              <w:rPr>
                <w:rFonts w:ascii="Constantia" w:hAnsi="Constantia" w:cs="Arial"/>
                <w:bCs/>
                <w:i/>
                <w:szCs w:val="22"/>
              </w:rPr>
            </w:pPr>
            <w:r w:rsidRPr="00C55597">
              <w:rPr>
                <w:rFonts w:ascii="Constantia" w:hAnsi="Constantia" w:cs="Arial"/>
                <w:bCs/>
                <w:i/>
                <w:szCs w:val="22"/>
              </w:rPr>
              <w:t>Acipenser sturio</w:t>
            </w:r>
          </w:p>
        </w:tc>
        <w:tc>
          <w:tcPr>
            <w:tcW w:w="1446" w:type="dxa"/>
            <w:shd w:val="clear" w:color="auto" w:fill="CDDDAC"/>
          </w:tcPr>
          <w:p w:rsidR="004B071C" w:rsidRPr="00C55597" w:rsidRDefault="004B071C" w:rsidP="004E680E">
            <w:pPr>
              <w:keepNext/>
              <w:keepLines/>
              <w:spacing w:before="60"/>
              <w:jc w:val="center"/>
              <w:outlineLvl w:val="3"/>
              <w:rPr>
                <w:rFonts w:ascii="Constantia" w:hAnsi="Constantia" w:cs="Arial"/>
                <w:bCs/>
                <w:iCs/>
                <w:color w:val="000000"/>
                <w:szCs w:val="22"/>
                <w:lang w:val="sr-Latn-CS"/>
              </w:rPr>
            </w:pPr>
            <w:r w:rsidRPr="00C55597">
              <w:rPr>
                <w:rFonts w:ascii="Constantia" w:hAnsi="Constantia" w:cs="Arial"/>
                <w:bCs/>
                <w:iCs/>
                <w:color w:val="000000"/>
                <w:szCs w:val="22"/>
                <w:lang w:val="sr-Latn-CS"/>
              </w:rPr>
              <w:t>r</w:t>
            </w:r>
          </w:p>
        </w:tc>
        <w:tc>
          <w:tcPr>
            <w:tcW w:w="807" w:type="dxa"/>
            <w:shd w:val="clear" w:color="auto" w:fill="CDDDAC"/>
          </w:tcPr>
          <w:p w:rsidR="004B071C" w:rsidRPr="00C55597" w:rsidRDefault="004B071C" w:rsidP="004E680E">
            <w:pPr>
              <w:keepNext/>
              <w:keepLines/>
              <w:spacing w:before="60"/>
              <w:outlineLvl w:val="3"/>
              <w:rPr>
                <w:rFonts w:ascii="Constantia" w:hAnsi="Constantia" w:cs="Arial"/>
                <w:bCs/>
                <w:iCs/>
                <w:color w:val="000000"/>
                <w:szCs w:val="22"/>
                <w:lang w:val="sr-Latn-CS"/>
              </w:rPr>
            </w:pPr>
          </w:p>
        </w:tc>
        <w:tc>
          <w:tcPr>
            <w:tcW w:w="1083" w:type="dxa"/>
            <w:shd w:val="clear" w:color="auto" w:fill="CDDDAC"/>
          </w:tcPr>
          <w:p w:rsidR="004B071C" w:rsidRPr="00C55597" w:rsidRDefault="004B071C" w:rsidP="004E680E">
            <w:pPr>
              <w:keepNext/>
              <w:keepLines/>
              <w:spacing w:before="60"/>
              <w:outlineLvl w:val="3"/>
              <w:rPr>
                <w:rFonts w:ascii="Constantia" w:hAnsi="Constantia" w:cs="Arial"/>
                <w:bCs/>
                <w:iCs/>
                <w:color w:val="000000"/>
                <w:szCs w:val="22"/>
                <w:lang w:val="sr-Latn-CS"/>
              </w:rPr>
            </w:pPr>
          </w:p>
        </w:tc>
        <w:tc>
          <w:tcPr>
            <w:tcW w:w="923" w:type="dxa"/>
            <w:shd w:val="clear" w:color="auto" w:fill="CDDDAC"/>
          </w:tcPr>
          <w:p w:rsidR="004B071C" w:rsidRPr="00C55597" w:rsidRDefault="004B071C" w:rsidP="004E680E">
            <w:pPr>
              <w:jc w:val="center"/>
              <w:rPr>
                <w:rFonts w:ascii="Constantia" w:hAnsi="Constantia" w:cs="Arial"/>
                <w:szCs w:val="22"/>
              </w:rPr>
            </w:pPr>
            <w:r w:rsidRPr="00C55597">
              <w:rPr>
                <w:rFonts w:ascii="Constantia" w:hAnsi="Constantia" w:cs="Arial"/>
                <w:szCs w:val="22"/>
              </w:rPr>
              <w:t>I</w:t>
            </w:r>
          </w:p>
        </w:tc>
        <w:tc>
          <w:tcPr>
            <w:tcW w:w="1306" w:type="dxa"/>
            <w:shd w:val="clear" w:color="auto" w:fill="CDDDAC"/>
          </w:tcPr>
          <w:p w:rsidR="004B071C" w:rsidRPr="00C55597" w:rsidRDefault="004B071C" w:rsidP="004E680E">
            <w:pPr>
              <w:keepNext/>
              <w:keepLines/>
              <w:spacing w:before="60"/>
              <w:jc w:val="center"/>
              <w:outlineLvl w:val="3"/>
              <w:rPr>
                <w:rFonts w:ascii="Constantia" w:hAnsi="Constantia" w:cs="Arial"/>
                <w:bCs/>
                <w:iCs/>
                <w:color w:val="000000"/>
                <w:szCs w:val="22"/>
                <w:lang w:val="sr-Latn-CS"/>
              </w:rPr>
            </w:pPr>
          </w:p>
        </w:tc>
        <w:tc>
          <w:tcPr>
            <w:tcW w:w="1192" w:type="dxa"/>
            <w:shd w:val="clear" w:color="auto" w:fill="CDDDAC"/>
          </w:tcPr>
          <w:p w:rsidR="004B071C" w:rsidRPr="00C55597" w:rsidRDefault="004B071C" w:rsidP="004E680E">
            <w:pPr>
              <w:keepNext/>
              <w:keepLines/>
              <w:spacing w:before="60"/>
              <w:jc w:val="center"/>
              <w:outlineLvl w:val="3"/>
              <w:rPr>
                <w:rFonts w:ascii="Constantia" w:hAnsi="Constantia" w:cs="Arial"/>
                <w:bCs/>
                <w:iCs/>
                <w:color w:val="000000"/>
                <w:szCs w:val="22"/>
                <w:lang w:val="sr-Latn-CS"/>
              </w:rPr>
            </w:pPr>
            <w:r w:rsidRPr="00C55597">
              <w:rPr>
                <w:rFonts w:ascii="Constantia" w:hAnsi="Constantia" w:cs="Arial"/>
                <w:bCs/>
                <w:iCs/>
                <w:color w:val="000000"/>
                <w:szCs w:val="22"/>
                <w:lang w:val="sr-Latn-CS"/>
              </w:rPr>
              <w:t>DD</w:t>
            </w:r>
          </w:p>
        </w:tc>
      </w:tr>
      <w:tr w:rsidR="004B071C" w:rsidRPr="00F83B61" w:rsidTr="00C55597">
        <w:tc>
          <w:tcPr>
            <w:tcW w:w="2532" w:type="dxa"/>
            <w:shd w:val="clear" w:color="auto" w:fill="E6EED5"/>
          </w:tcPr>
          <w:p w:rsidR="004B071C" w:rsidRPr="00C55597" w:rsidRDefault="004B071C" w:rsidP="00C55597">
            <w:pPr>
              <w:jc w:val="left"/>
              <w:rPr>
                <w:rFonts w:ascii="Constantia" w:hAnsi="Constantia" w:cs="Arial"/>
                <w:bCs/>
                <w:i/>
                <w:szCs w:val="22"/>
              </w:rPr>
            </w:pPr>
            <w:r w:rsidRPr="00C55597">
              <w:rPr>
                <w:rFonts w:ascii="Constantia" w:hAnsi="Constantia" w:cs="Arial"/>
                <w:bCs/>
                <w:i/>
                <w:szCs w:val="22"/>
              </w:rPr>
              <w:t>Anguilla anguilla</w:t>
            </w:r>
          </w:p>
        </w:tc>
        <w:tc>
          <w:tcPr>
            <w:tcW w:w="1446" w:type="dxa"/>
            <w:shd w:val="clear" w:color="auto" w:fill="E6EED5"/>
          </w:tcPr>
          <w:p w:rsidR="004B071C" w:rsidRPr="00C55597" w:rsidRDefault="004B071C" w:rsidP="004E680E">
            <w:pPr>
              <w:keepNext/>
              <w:keepLines/>
              <w:spacing w:before="60"/>
              <w:jc w:val="center"/>
              <w:outlineLvl w:val="3"/>
              <w:rPr>
                <w:rFonts w:ascii="Constantia" w:hAnsi="Constantia" w:cs="Arial"/>
                <w:bCs/>
                <w:iCs/>
                <w:color w:val="000000"/>
                <w:szCs w:val="22"/>
                <w:lang w:val="sr-Latn-CS"/>
              </w:rPr>
            </w:pPr>
            <w:r w:rsidRPr="00C55597">
              <w:rPr>
                <w:rFonts w:ascii="Constantia" w:hAnsi="Constantia" w:cs="Arial"/>
                <w:bCs/>
                <w:iCs/>
                <w:color w:val="000000"/>
                <w:szCs w:val="22"/>
                <w:lang w:val="sr-Latn-CS"/>
              </w:rPr>
              <w:t>growing</w:t>
            </w:r>
          </w:p>
        </w:tc>
        <w:tc>
          <w:tcPr>
            <w:tcW w:w="807" w:type="dxa"/>
            <w:shd w:val="clear" w:color="auto" w:fill="E6EED5"/>
          </w:tcPr>
          <w:p w:rsidR="004B071C" w:rsidRPr="00C55597" w:rsidRDefault="004B071C" w:rsidP="004E680E">
            <w:pPr>
              <w:keepNext/>
              <w:keepLines/>
              <w:spacing w:before="60"/>
              <w:outlineLvl w:val="3"/>
              <w:rPr>
                <w:rFonts w:ascii="Constantia" w:hAnsi="Constantia" w:cs="Arial"/>
                <w:bCs/>
                <w:iCs/>
                <w:color w:val="000000"/>
                <w:szCs w:val="22"/>
                <w:lang w:val="sr-Latn-CS"/>
              </w:rPr>
            </w:pPr>
          </w:p>
        </w:tc>
        <w:tc>
          <w:tcPr>
            <w:tcW w:w="1083" w:type="dxa"/>
            <w:shd w:val="clear" w:color="auto" w:fill="E6EED5"/>
          </w:tcPr>
          <w:p w:rsidR="004B071C" w:rsidRPr="00C55597" w:rsidRDefault="004B071C" w:rsidP="004E680E">
            <w:pPr>
              <w:keepNext/>
              <w:keepLines/>
              <w:spacing w:before="60"/>
              <w:outlineLvl w:val="3"/>
              <w:rPr>
                <w:rFonts w:ascii="Constantia" w:hAnsi="Constantia" w:cs="Arial"/>
                <w:bCs/>
                <w:iCs/>
                <w:color w:val="000000"/>
                <w:szCs w:val="22"/>
                <w:lang w:val="sr-Latn-CS"/>
              </w:rPr>
            </w:pPr>
          </w:p>
        </w:tc>
        <w:tc>
          <w:tcPr>
            <w:tcW w:w="923" w:type="dxa"/>
            <w:shd w:val="clear" w:color="auto" w:fill="E6EED5"/>
          </w:tcPr>
          <w:p w:rsidR="004B071C" w:rsidRPr="00C55597" w:rsidRDefault="004B071C" w:rsidP="004E680E">
            <w:pPr>
              <w:jc w:val="center"/>
              <w:rPr>
                <w:rFonts w:ascii="Constantia" w:hAnsi="Constantia" w:cs="Arial"/>
                <w:szCs w:val="22"/>
              </w:rPr>
            </w:pPr>
            <w:r w:rsidRPr="00C55597">
              <w:rPr>
                <w:rFonts w:ascii="Constantia" w:hAnsi="Constantia" w:cs="Arial"/>
                <w:szCs w:val="22"/>
              </w:rPr>
              <w:t>I</w:t>
            </w:r>
          </w:p>
        </w:tc>
        <w:tc>
          <w:tcPr>
            <w:tcW w:w="1306" w:type="dxa"/>
            <w:shd w:val="clear" w:color="auto" w:fill="E6EED5"/>
          </w:tcPr>
          <w:p w:rsidR="004B071C" w:rsidRPr="00C55597" w:rsidRDefault="004B071C" w:rsidP="004E680E">
            <w:pPr>
              <w:keepNext/>
              <w:keepLines/>
              <w:spacing w:before="60"/>
              <w:jc w:val="center"/>
              <w:outlineLvl w:val="3"/>
              <w:rPr>
                <w:rFonts w:ascii="Constantia" w:hAnsi="Constantia" w:cs="Arial"/>
                <w:bCs/>
                <w:iCs/>
                <w:color w:val="000000"/>
                <w:szCs w:val="22"/>
                <w:lang w:val="sr-Latn-CS"/>
              </w:rPr>
            </w:pPr>
            <w:r w:rsidRPr="00C55597">
              <w:rPr>
                <w:rFonts w:ascii="Constantia" w:hAnsi="Constantia" w:cs="Arial"/>
                <w:bCs/>
                <w:iCs/>
                <w:color w:val="000000"/>
                <w:szCs w:val="22"/>
                <w:lang w:val="sr-Latn-CS"/>
              </w:rPr>
              <w:t>P</w:t>
            </w:r>
          </w:p>
        </w:tc>
        <w:tc>
          <w:tcPr>
            <w:tcW w:w="1192" w:type="dxa"/>
            <w:shd w:val="clear" w:color="auto" w:fill="E6EED5"/>
          </w:tcPr>
          <w:p w:rsidR="004B071C" w:rsidRPr="00C55597" w:rsidRDefault="004B071C" w:rsidP="004E680E">
            <w:pPr>
              <w:keepNext/>
              <w:keepLines/>
              <w:spacing w:before="60"/>
              <w:jc w:val="center"/>
              <w:outlineLvl w:val="3"/>
              <w:rPr>
                <w:rFonts w:ascii="Constantia" w:hAnsi="Constantia" w:cs="Arial"/>
                <w:bCs/>
                <w:iCs/>
                <w:color w:val="000000"/>
                <w:szCs w:val="22"/>
                <w:lang w:val="sr-Latn-CS"/>
              </w:rPr>
            </w:pPr>
            <w:r w:rsidRPr="00C55597">
              <w:rPr>
                <w:rFonts w:ascii="Constantia" w:hAnsi="Constantia" w:cs="Arial"/>
                <w:bCs/>
                <w:iCs/>
                <w:color w:val="000000"/>
                <w:szCs w:val="22"/>
                <w:lang w:val="sr-Latn-CS"/>
              </w:rPr>
              <w:t>DD</w:t>
            </w:r>
          </w:p>
        </w:tc>
      </w:tr>
      <w:tr w:rsidR="004B071C" w:rsidRPr="00F83B61" w:rsidTr="00C55597">
        <w:tc>
          <w:tcPr>
            <w:tcW w:w="2532" w:type="dxa"/>
            <w:shd w:val="clear" w:color="auto" w:fill="CDDDAC"/>
          </w:tcPr>
          <w:p w:rsidR="004B071C" w:rsidRPr="00C55597" w:rsidRDefault="004B071C" w:rsidP="00C55597">
            <w:pPr>
              <w:jc w:val="left"/>
              <w:rPr>
                <w:rFonts w:ascii="Constantia" w:hAnsi="Constantia" w:cs="Arial"/>
                <w:bCs/>
                <w:i/>
                <w:szCs w:val="22"/>
              </w:rPr>
            </w:pPr>
            <w:r w:rsidRPr="00C55597">
              <w:rPr>
                <w:rFonts w:ascii="Constantia" w:hAnsi="Constantia" w:cs="Arial"/>
                <w:bCs/>
                <w:i/>
                <w:szCs w:val="22"/>
              </w:rPr>
              <w:t>Perca fluviatilis (Invazivna strana vrsta)</w:t>
            </w:r>
          </w:p>
        </w:tc>
        <w:tc>
          <w:tcPr>
            <w:tcW w:w="1446" w:type="dxa"/>
            <w:shd w:val="clear" w:color="auto" w:fill="CDDDAC"/>
          </w:tcPr>
          <w:p w:rsidR="004B071C" w:rsidRPr="00C55597" w:rsidRDefault="004B071C" w:rsidP="004E680E">
            <w:pPr>
              <w:keepNext/>
              <w:keepLines/>
              <w:spacing w:before="60"/>
              <w:jc w:val="center"/>
              <w:outlineLvl w:val="3"/>
              <w:rPr>
                <w:rFonts w:ascii="Constantia" w:hAnsi="Constantia" w:cs="Arial"/>
                <w:bCs/>
                <w:iCs/>
                <w:color w:val="000000"/>
                <w:szCs w:val="22"/>
                <w:lang w:val="sr-Latn-CS"/>
              </w:rPr>
            </w:pPr>
            <w:r w:rsidRPr="00C55597">
              <w:rPr>
                <w:rFonts w:ascii="Constantia" w:hAnsi="Constantia" w:cs="Arial"/>
                <w:bCs/>
                <w:iCs/>
                <w:color w:val="000000"/>
                <w:szCs w:val="22"/>
                <w:lang w:val="sr-Latn-CS"/>
              </w:rPr>
              <w:t>p</w:t>
            </w:r>
          </w:p>
        </w:tc>
        <w:tc>
          <w:tcPr>
            <w:tcW w:w="807" w:type="dxa"/>
            <w:shd w:val="clear" w:color="auto" w:fill="CDDDAC"/>
          </w:tcPr>
          <w:p w:rsidR="004B071C" w:rsidRPr="00C55597" w:rsidRDefault="004B071C" w:rsidP="004E680E">
            <w:pPr>
              <w:keepNext/>
              <w:keepLines/>
              <w:spacing w:before="60"/>
              <w:outlineLvl w:val="3"/>
              <w:rPr>
                <w:rFonts w:ascii="Constantia" w:hAnsi="Constantia" w:cs="Arial"/>
                <w:bCs/>
                <w:iCs/>
                <w:color w:val="000000"/>
                <w:szCs w:val="22"/>
                <w:lang w:val="sr-Latn-CS"/>
              </w:rPr>
            </w:pPr>
            <w:r w:rsidRPr="00C55597">
              <w:rPr>
                <w:rFonts w:ascii="Constantia" w:hAnsi="Constantia" w:cs="Arial"/>
                <w:bCs/>
                <w:iCs/>
                <w:color w:val="000000"/>
                <w:szCs w:val="22"/>
                <w:lang w:val="sr-Latn-CS"/>
              </w:rPr>
              <w:t>Huge</w:t>
            </w:r>
          </w:p>
        </w:tc>
        <w:tc>
          <w:tcPr>
            <w:tcW w:w="1083" w:type="dxa"/>
            <w:shd w:val="clear" w:color="auto" w:fill="CDDDAC"/>
          </w:tcPr>
          <w:p w:rsidR="004B071C" w:rsidRPr="00C55597" w:rsidRDefault="004B071C" w:rsidP="004E680E">
            <w:pPr>
              <w:keepNext/>
              <w:keepLines/>
              <w:spacing w:before="60"/>
              <w:outlineLvl w:val="3"/>
              <w:rPr>
                <w:rFonts w:ascii="Constantia" w:hAnsi="Constantia" w:cs="Arial"/>
                <w:bCs/>
                <w:iCs/>
                <w:color w:val="000000"/>
                <w:szCs w:val="22"/>
                <w:lang w:val="sr-Latn-CS"/>
              </w:rPr>
            </w:pPr>
            <w:r w:rsidRPr="00C55597">
              <w:rPr>
                <w:rFonts w:ascii="Constantia" w:hAnsi="Constantia" w:cs="Arial"/>
                <w:bCs/>
                <w:iCs/>
                <w:color w:val="000000"/>
                <w:szCs w:val="22"/>
                <w:lang w:val="sr-Latn-CS"/>
              </w:rPr>
              <w:t>Huge</w:t>
            </w:r>
          </w:p>
        </w:tc>
        <w:tc>
          <w:tcPr>
            <w:tcW w:w="923" w:type="dxa"/>
            <w:shd w:val="clear" w:color="auto" w:fill="CDDDAC"/>
          </w:tcPr>
          <w:p w:rsidR="004B071C" w:rsidRPr="00C55597" w:rsidRDefault="004B071C" w:rsidP="004E680E">
            <w:pPr>
              <w:jc w:val="center"/>
              <w:rPr>
                <w:rFonts w:ascii="Constantia" w:hAnsi="Constantia" w:cs="Arial"/>
                <w:szCs w:val="22"/>
              </w:rPr>
            </w:pPr>
            <w:r w:rsidRPr="00C55597">
              <w:rPr>
                <w:rFonts w:ascii="Constantia" w:hAnsi="Constantia" w:cs="Arial"/>
                <w:szCs w:val="22"/>
              </w:rPr>
              <w:t>I</w:t>
            </w:r>
          </w:p>
        </w:tc>
        <w:tc>
          <w:tcPr>
            <w:tcW w:w="1306" w:type="dxa"/>
            <w:shd w:val="clear" w:color="auto" w:fill="CDDDAC"/>
          </w:tcPr>
          <w:p w:rsidR="004B071C" w:rsidRPr="00C55597" w:rsidRDefault="004B071C" w:rsidP="004E680E">
            <w:pPr>
              <w:keepNext/>
              <w:keepLines/>
              <w:spacing w:before="60"/>
              <w:jc w:val="center"/>
              <w:outlineLvl w:val="3"/>
              <w:rPr>
                <w:rFonts w:ascii="Constantia" w:hAnsi="Constantia" w:cs="Arial"/>
                <w:bCs/>
                <w:iCs/>
                <w:color w:val="000000"/>
                <w:szCs w:val="22"/>
                <w:lang w:val="sr-Latn-CS"/>
              </w:rPr>
            </w:pPr>
            <w:r w:rsidRPr="00C55597">
              <w:rPr>
                <w:rFonts w:ascii="Constantia" w:hAnsi="Constantia" w:cs="Arial"/>
                <w:bCs/>
                <w:iCs/>
                <w:color w:val="000000"/>
                <w:szCs w:val="22"/>
                <w:lang w:val="sr-Latn-CS"/>
              </w:rPr>
              <w:t>C</w:t>
            </w:r>
          </w:p>
        </w:tc>
        <w:tc>
          <w:tcPr>
            <w:tcW w:w="1192" w:type="dxa"/>
            <w:shd w:val="clear" w:color="auto" w:fill="CDDDAC"/>
          </w:tcPr>
          <w:p w:rsidR="004B071C" w:rsidRPr="00C55597" w:rsidRDefault="004B071C" w:rsidP="004E680E">
            <w:pPr>
              <w:keepNext/>
              <w:keepLines/>
              <w:spacing w:before="60"/>
              <w:jc w:val="center"/>
              <w:outlineLvl w:val="3"/>
              <w:rPr>
                <w:rFonts w:ascii="Constantia" w:hAnsi="Constantia" w:cs="Arial"/>
                <w:bCs/>
                <w:iCs/>
                <w:color w:val="000000"/>
                <w:szCs w:val="22"/>
                <w:lang w:val="sr-Latn-CS"/>
              </w:rPr>
            </w:pPr>
            <w:r w:rsidRPr="00C55597">
              <w:rPr>
                <w:rFonts w:ascii="Constantia" w:hAnsi="Constantia" w:cs="Arial"/>
                <w:bCs/>
                <w:iCs/>
                <w:color w:val="000000"/>
                <w:szCs w:val="22"/>
                <w:lang w:val="sr-Latn-CS"/>
              </w:rPr>
              <w:t>G</w:t>
            </w:r>
          </w:p>
        </w:tc>
      </w:tr>
      <w:tr w:rsidR="004B071C" w:rsidRPr="00F83B61" w:rsidTr="00C55597">
        <w:tc>
          <w:tcPr>
            <w:tcW w:w="2532" w:type="dxa"/>
            <w:shd w:val="clear" w:color="auto" w:fill="E6EED5"/>
          </w:tcPr>
          <w:p w:rsidR="004B071C" w:rsidRPr="00C55597" w:rsidRDefault="004B071C" w:rsidP="00C55597">
            <w:pPr>
              <w:jc w:val="left"/>
              <w:rPr>
                <w:rFonts w:ascii="Constantia" w:hAnsi="Constantia" w:cs="Arial"/>
                <w:bCs/>
                <w:i/>
                <w:szCs w:val="22"/>
              </w:rPr>
            </w:pPr>
            <w:r w:rsidRPr="00C55597">
              <w:rPr>
                <w:rFonts w:ascii="Constantia" w:hAnsi="Constantia" w:cs="Arial"/>
                <w:bCs/>
                <w:i/>
                <w:szCs w:val="22"/>
              </w:rPr>
              <w:t>Carassius gibelio (Invazivna strana vrsta)</w:t>
            </w:r>
          </w:p>
        </w:tc>
        <w:tc>
          <w:tcPr>
            <w:tcW w:w="1446" w:type="dxa"/>
            <w:shd w:val="clear" w:color="auto" w:fill="E6EED5"/>
          </w:tcPr>
          <w:p w:rsidR="004B071C" w:rsidRPr="00C55597" w:rsidRDefault="004B071C" w:rsidP="004E680E">
            <w:pPr>
              <w:keepNext/>
              <w:keepLines/>
              <w:spacing w:before="60"/>
              <w:jc w:val="center"/>
              <w:outlineLvl w:val="3"/>
              <w:rPr>
                <w:rFonts w:ascii="Constantia" w:hAnsi="Constantia" w:cs="Arial"/>
                <w:bCs/>
                <w:iCs/>
                <w:color w:val="000000"/>
                <w:szCs w:val="22"/>
                <w:lang w:val="sr-Latn-CS"/>
              </w:rPr>
            </w:pPr>
            <w:r w:rsidRPr="00C55597">
              <w:rPr>
                <w:rFonts w:ascii="Constantia" w:hAnsi="Constantia" w:cs="Arial"/>
                <w:bCs/>
                <w:iCs/>
                <w:color w:val="000000"/>
                <w:szCs w:val="22"/>
                <w:lang w:val="sr-Latn-CS"/>
              </w:rPr>
              <w:t>p</w:t>
            </w:r>
          </w:p>
        </w:tc>
        <w:tc>
          <w:tcPr>
            <w:tcW w:w="807" w:type="dxa"/>
            <w:shd w:val="clear" w:color="auto" w:fill="E6EED5"/>
          </w:tcPr>
          <w:p w:rsidR="004B071C" w:rsidRPr="00C55597" w:rsidRDefault="004B071C" w:rsidP="004E680E">
            <w:pPr>
              <w:keepNext/>
              <w:keepLines/>
              <w:spacing w:before="60"/>
              <w:outlineLvl w:val="3"/>
              <w:rPr>
                <w:rFonts w:ascii="Constantia" w:hAnsi="Constantia" w:cs="Arial"/>
                <w:bCs/>
                <w:iCs/>
                <w:color w:val="000000"/>
                <w:szCs w:val="22"/>
                <w:lang w:val="sr-Latn-CS"/>
              </w:rPr>
            </w:pPr>
            <w:r w:rsidRPr="00C55597">
              <w:rPr>
                <w:rFonts w:ascii="Constantia" w:hAnsi="Constantia" w:cs="Arial"/>
                <w:bCs/>
                <w:iCs/>
                <w:color w:val="000000"/>
                <w:szCs w:val="22"/>
                <w:lang w:val="sr-Latn-CS"/>
              </w:rPr>
              <w:t>Huge</w:t>
            </w:r>
          </w:p>
        </w:tc>
        <w:tc>
          <w:tcPr>
            <w:tcW w:w="1083" w:type="dxa"/>
            <w:shd w:val="clear" w:color="auto" w:fill="E6EED5"/>
          </w:tcPr>
          <w:p w:rsidR="004B071C" w:rsidRPr="00C55597" w:rsidRDefault="004B071C" w:rsidP="004E680E">
            <w:pPr>
              <w:keepNext/>
              <w:keepLines/>
              <w:spacing w:before="60"/>
              <w:outlineLvl w:val="3"/>
              <w:rPr>
                <w:rFonts w:ascii="Constantia" w:hAnsi="Constantia" w:cs="Arial"/>
                <w:bCs/>
                <w:iCs/>
                <w:color w:val="000000"/>
                <w:szCs w:val="22"/>
                <w:lang w:val="sr-Latn-CS"/>
              </w:rPr>
            </w:pPr>
            <w:r w:rsidRPr="00C55597">
              <w:rPr>
                <w:rFonts w:ascii="Constantia" w:hAnsi="Constantia" w:cs="Arial"/>
                <w:bCs/>
                <w:iCs/>
                <w:color w:val="000000"/>
                <w:szCs w:val="22"/>
                <w:lang w:val="sr-Latn-CS"/>
              </w:rPr>
              <w:t>Huge</w:t>
            </w:r>
          </w:p>
        </w:tc>
        <w:tc>
          <w:tcPr>
            <w:tcW w:w="923" w:type="dxa"/>
            <w:shd w:val="clear" w:color="auto" w:fill="E6EED5"/>
          </w:tcPr>
          <w:p w:rsidR="004B071C" w:rsidRPr="00C55597" w:rsidRDefault="004B071C" w:rsidP="004E680E">
            <w:pPr>
              <w:jc w:val="center"/>
              <w:rPr>
                <w:rFonts w:ascii="Constantia" w:hAnsi="Constantia" w:cs="Arial"/>
                <w:szCs w:val="22"/>
              </w:rPr>
            </w:pPr>
            <w:r w:rsidRPr="00C55597">
              <w:rPr>
                <w:rFonts w:ascii="Constantia" w:hAnsi="Constantia" w:cs="Arial"/>
                <w:szCs w:val="22"/>
              </w:rPr>
              <w:t>I</w:t>
            </w:r>
          </w:p>
        </w:tc>
        <w:tc>
          <w:tcPr>
            <w:tcW w:w="1306" w:type="dxa"/>
            <w:shd w:val="clear" w:color="auto" w:fill="E6EED5"/>
          </w:tcPr>
          <w:p w:rsidR="004B071C" w:rsidRPr="00C55597" w:rsidRDefault="004B071C" w:rsidP="004E680E">
            <w:pPr>
              <w:keepNext/>
              <w:keepLines/>
              <w:spacing w:before="60"/>
              <w:jc w:val="center"/>
              <w:outlineLvl w:val="3"/>
              <w:rPr>
                <w:rFonts w:ascii="Constantia" w:hAnsi="Constantia" w:cs="Arial"/>
                <w:bCs/>
                <w:iCs/>
                <w:color w:val="000000"/>
                <w:szCs w:val="22"/>
                <w:lang w:val="sr-Latn-CS"/>
              </w:rPr>
            </w:pPr>
            <w:r w:rsidRPr="00C55597">
              <w:rPr>
                <w:rFonts w:ascii="Constantia" w:hAnsi="Constantia" w:cs="Arial"/>
                <w:bCs/>
                <w:iCs/>
                <w:color w:val="000000"/>
                <w:szCs w:val="22"/>
                <w:lang w:val="sr-Latn-CS"/>
              </w:rPr>
              <w:t>C</w:t>
            </w:r>
          </w:p>
        </w:tc>
        <w:tc>
          <w:tcPr>
            <w:tcW w:w="1192" w:type="dxa"/>
            <w:shd w:val="clear" w:color="auto" w:fill="E6EED5"/>
          </w:tcPr>
          <w:p w:rsidR="004B071C" w:rsidRPr="00C55597" w:rsidRDefault="004B071C" w:rsidP="004E680E">
            <w:pPr>
              <w:keepNext/>
              <w:keepLines/>
              <w:spacing w:before="60"/>
              <w:jc w:val="center"/>
              <w:outlineLvl w:val="3"/>
              <w:rPr>
                <w:rFonts w:ascii="Constantia" w:hAnsi="Constantia" w:cs="Arial"/>
                <w:bCs/>
                <w:iCs/>
                <w:color w:val="000000"/>
                <w:szCs w:val="22"/>
                <w:lang w:val="sr-Latn-CS"/>
              </w:rPr>
            </w:pPr>
            <w:r w:rsidRPr="00C55597">
              <w:rPr>
                <w:rFonts w:ascii="Constantia" w:hAnsi="Constantia" w:cs="Arial"/>
                <w:bCs/>
                <w:iCs/>
                <w:color w:val="000000"/>
                <w:szCs w:val="22"/>
                <w:lang w:val="sr-Latn-CS"/>
              </w:rPr>
              <w:t>G</w:t>
            </w:r>
          </w:p>
        </w:tc>
      </w:tr>
    </w:tbl>
    <w:p w:rsidR="004B071C" w:rsidRPr="00C55597" w:rsidRDefault="00F83B61" w:rsidP="004B071C">
      <w:pPr>
        <w:pStyle w:val="Tabele"/>
        <w:spacing w:before="60" w:after="240"/>
        <w:ind w:left="714" w:hanging="357"/>
        <w:rPr>
          <w:rFonts w:ascii="Constantia" w:hAnsi="Constantia"/>
          <w:sz w:val="22"/>
          <w:szCs w:val="22"/>
        </w:rPr>
      </w:pPr>
      <w:r>
        <w:t xml:space="preserve"> </w:t>
      </w:r>
      <w:r w:rsidR="004B071C" w:rsidRPr="00C55597">
        <w:rPr>
          <w:rFonts w:ascii="Constantia" w:hAnsi="Constantia"/>
          <w:sz w:val="22"/>
          <w:szCs w:val="22"/>
        </w:rPr>
        <w:t>Procjena stanja populacija riba na području</w:t>
      </w:r>
    </w:p>
    <w:tbl>
      <w:tblPr>
        <w:tblW w:w="0" w:type="auto"/>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firstRow="1" w:lastRow="0" w:firstColumn="1" w:lastColumn="0" w:noHBand="0" w:noVBand="1"/>
      </w:tblPr>
      <w:tblGrid>
        <w:gridCol w:w="3258"/>
        <w:gridCol w:w="1574"/>
        <w:gridCol w:w="1323"/>
        <w:gridCol w:w="1246"/>
        <w:gridCol w:w="780"/>
        <w:gridCol w:w="1108"/>
      </w:tblGrid>
      <w:tr w:rsidR="004B071C" w:rsidRPr="00164E94" w:rsidTr="004E680E">
        <w:tc>
          <w:tcPr>
            <w:tcW w:w="9289" w:type="dxa"/>
            <w:gridSpan w:val="6"/>
            <w:shd w:val="clear" w:color="auto" w:fill="E6EED5"/>
          </w:tcPr>
          <w:p w:rsidR="004B071C" w:rsidRPr="00164E94" w:rsidRDefault="004B071C" w:rsidP="004E680E">
            <w:pPr>
              <w:keepNext/>
              <w:keepLines/>
              <w:spacing w:before="60"/>
              <w:jc w:val="center"/>
              <w:outlineLvl w:val="3"/>
              <w:rPr>
                <w:rFonts w:ascii="Constantia" w:hAnsi="Constantia" w:cs="Arial"/>
                <w:b/>
                <w:bCs/>
                <w:iCs/>
                <w:color w:val="000000"/>
                <w:szCs w:val="22"/>
                <w:lang w:val="sr-Latn-CS"/>
              </w:rPr>
            </w:pPr>
            <w:r w:rsidRPr="00164E94">
              <w:rPr>
                <w:rFonts w:ascii="Constantia" w:hAnsi="Constantia" w:cs="Arial"/>
                <w:b/>
                <w:bCs/>
                <w:iCs/>
                <w:color w:val="000000"/>
                <w:szCs w:val="22"/>
                <w:lang w:val="sr-Latn-CS"/>
              </w:rPr>
              <w:lastRenderedPageBreak/>
              <w:t>Procjena područja</w:t>
            </w:r>
          </w:p>
        </w:tc>
      </w:tr>
      <w:tr w:rsidR="004B071C" w:rsidRPr="00164E94" w:rsidTr="00164E94">
        <w:tc>
          <w:tcPr>
            <w:tcW w:w="3258" w:type="dxa"/>
            <w:shd w:val="clear" w:color="auto" w:fill="CDDDAC"/>
          </w:tcPr>
          <w:p w:rsidR="004B071C" w:rsidRPr="00164E94" w:rsidRDefault="004B071C" w:rsidP="004E680E">
            <w:pPr>
              <w:keepNext/>
              <w:keepLines/>
              <w:spacing w:before="60"/>
              <w:outlineLvl w:val="3"/>
              <w:rPr>
                <w:rFonts w:ascii="Constantia" w:hAnsi="Constantia" w:cs="Arial"/>
                <w:b/>
                <w:bCs/>
                <w:iCs/>
                <w:color w:val="000000"/>
                <w:szCs w:val="22"/>
                <w:lang w:val="sr-Latn-CS"/>
              </w:rPr>
            </w:pPr>
            <w:r w:rsidRPr="00164E94">
              <w:rPr>
                <w:rFonts w:ascii="Constantia" w:hAnsi="Constantia" w:cs="Arial"/>
                <w:b/>
                <w:bCs/>
                <w:iCs/>
                <w:color w:val="000000"/>
                <w:szCs w:val="22"/>
                <w:lang w:val="sr-Latn-CS"/>
              </w:rPr>
              <w:t>Vrste</w:t>
            </w:r>
          </w:p>
        </w:tc>
        <w:tc>
          <w:tcPr>
            <w:tcW w:w="1574" w:type="dxa"/>
            <w:shd w:val="clear" w:color="auto" w:fill="CDDDAC"/>
          </w:tcPr>
          <w:p w:rsidR="004B071C" w:rsidRPr="00164E94" w:rsidRDefault="004B071C" w:rsidP="004E680E">
            <w:pPr>
              <w:keepNext/>
              <w:keepLines/>
              <w:spacing w:before="60"/>
              <w:outlineLvl w:val="3"/>
              <w:rPr>
                <w:rFonts w:ascii="Constantia" w:hAnsi="Constantia" w:cs="Arial"/>
                <w:b/>
                <w:bCs/>
                <w:iCs/>
                <w:color w:val="000000"/>
                <w:szCs w:val="22"/>
                <w:lang w:val="sr-Latn-CS"/>
              </w:rPr>
            </w:pPr>
            <w:r w:rsidRPr="00164E94">
              <w:rPr>
                <w:rFonts w:ascii="Constantia" w:hAnsi="Constantia" w:cs="Arial"/>
                <w:b/>
                <w:bCs/>
                <w:iCs/>
                <w:color w:val="000000"/>
                <w:szCs w:val="22"/>
                <w:lang w:val="sr-Latn-CS"/>
              </w:rPr>
              <w:t>A/B/C/D</w:t>
            </w:r>
          </w:p>
        </w:tc>
        <w:tc>
          <w:tcPr>
            <w:tcW w:w="1323" w:type="dxa"/>
            <w:shd w:val="clear" w:color="auto" w:fill="CDDDAC"/>
          </w:tcPr>
          <w:p w:rsidR="004B071C" w:rsidRPr="00164E94" w:rsidRDefault="004B071C" w:rsidP="004E680E">
            <w:pPr>
              <w:keepNext/>
              <w:keepLines/>
              <w:spacing w:before="60"/>
              <w:outlineLvl w:val="3"/>
              <w:rPr>
                <w:rFonts w:ascii="Constantia" w:hAnsi="Constantia" w:cs="Arial"/>
                <w:b/>
                <w:bCs/>
                <w:iCs/>
                <w:color w:val="000000"/>
                <w:szCs w:val="22"/>
                <w:lang w:val="sr-Latn-CS"/>
              </w:rPr>
            </w:pPr>
            <w:r w:rsidRPr="00164E94">
              <w:rPr>
                <w:rFonts w:ascii="Constantia" w:hAnsi="Constantia" w:cs="Arial"/>
                <w:b/>
                <w:bCs/>
                <w:iCs/>
                <w:color w:val="000000"/>
                <w:szCs w:val="22"/>
                <w:lang w:val="sr-Latn-CS"/>
              </w:rPr>
              <w:t>A/B/C</w:t>
            </w:r>
          </w:p>
        </w:tc>
        <w:tc>
          <w:tcPr>
            <w:tcW w:w="1246" w:type="dxa"/>
            <w:shd w:val="clear" w:color="auto" w:fill="CDDDAC"/>
          </w:tcPr>
          <w:p w:rsidR="004B071C" w:rsidRPr="00164E94" w:rsidRDefault="004B071C" w:rsidP="004E680E">
            <w:pPr>
              <w:keepNext/>
              <w:keepLines/>
              <w:spacing w:before="60"/>
              <w:outlineLvl w:val="3"/>
              <w:rPr>
                <w:rFonts w:ascii="Constantia" w:hAnsi="Constantia" w:cs="Arial"/>
                <w:b/>
                <w:bCs/>
                <w:iCs/>
                <w:color w:val="000000"/>
                <w:szCs w:val="22"/>
                <w:lang w:val="sr-Latn-CS"/>
              </w:rPr>
            </w:pPr>
          </w:p>
        </w:tc>
        <w:tc>
          <w:tcPr>
            <w:tcW w:w="1888" w:type="dxa"/>
            <w:gridSpan w:val="2"/>
            <w:shd w:val="clear" w:color="auto" w:fill="CDDDAC"/>
          </w:tcPr>
          <w:p w:rsidR="004B071C" w:rsidRPr="00164E94" w:rsidRDefault="004B071C" w:rsidP="004E680E">
            <w:pPr>
              <w:keepNext/>
              <w:keepLines/>
              <w:spacing w:before="60"/>
              <w:outlineLvl w:val="3"/>
              <w:rPr>
                <w:rFonts w:ascii="Constantia" w:hAnsi="Constantia" w:cs="Arial"/>
                <w:b/>
                <w:bCs/>
                <w:iCs/>
                <w:color w:val="000000"/>
                <w:szCs w:val="22"/>
                <w:lang w:val="sr-Latn-CS"/>
              </w:rPr>
            </w:pPr>
          </w:p>
        </w:tc>
      </w:tr>
      <w:tr w:rsidR="004B071C" w:rsidRPr="00164E94" w:rsidTr="00164E94">
        <w:tc>
          <w:tcPr>
            <w:tcW w:w="3258" w:type="dxa"/>
            <w:shd w:val="clear" w:color="auto" w:fill="E6EED5"/>
          </w:tcPr>
          <w:p w:rsidR="004B071C" w:rsidRPr="00164E94" w:rsidRDefault="004B071C" w:rsidP="004E680E">
            <w:pPr>
              <w:keepNext/>
              <w:keepLines/>
              <w:spacing w:before="60"/>
              <w:outlineLvl w:val="3"/>
              <w:rPr>
                <w:rFonts w:ascii="Constantia" w:hAnsi="Constantia" w:cs="Arial"/>
                <w:b/>
                <w:bCs/>
                <w:iCs/>
                <w:color w:val="000000"/>
                <w:szCs w:val="22"/>
                <w:lang w:val="sr-Latn-CS"/>
              </w:rPr>
            </w:pPr>
          </w:p>
        </w:tc>
        <w:tc>
          <w:tcPr>
            <w:tcW w:w="1574" w:type="dxa"/>
            <w:shd w:val="clear" w:color="auto" w:fill="E6EED5"/>
          </w:tcPr>
          <w:p w:rsidR="004B071C" w:rsidRPr="00164E94" w:rsidRDefault="004B071C" w:rsidP="000F3724">
            <w:pPr>
              <w:keepNext/>
              <w:keepLines/>
              <w:spacing w:before="60"/>
              <w:jc w:val="center"/>
              <w:outlineLvl w:val="3"/>
              <w:rPr>
                <w:rFonts w:ascii="Constantia" w:hAnsi="Constantia" w:cs="Arial"/>
                <w:b/>
                <w:bCs/>
                <w:iCs/>
                <w:color w:val="000000"/>
                <w:szCs w:val="22"/>
                <w:lang w:val="sr-Latn-CS"/>
              </w:rPr>
            </w:pPr>
            <w:r w:rsidRPr="00164E94">
              <w:rPr>
                <w:rFonts w:ascii="Constantia" w:hAnsi="Constantia" w:cs="Arial"/>
                <w:b/>
                <w:bCs/>
                <w:iCs/>
                <w:color w:val="000000"/>
                <w:szCs w:val="22"/>
                <w:lang w:val="sr-Latn-CS"/>
              </w:rPr>
              <w:t>Pop.</w:t>
            </w:r>
          </w:p>
        </w:tc>
        <w:tc>
          <w:tcPr>
            <w:tcW w:w="1323" w:type="dxa"/>
            <w:shd w:val="clear" w:color="auto" w:fill="E6EED5"/>
          </w:tcPr>
          <w:p w:rsidR="004B071C" w:rsidRPr="00164E94" w:rsidRDefault="004B071C" w:rsidP="000F3724">
            <w:pPr>
              <w:keepNext/>
              <w:keepLines/>
              <w:spacing w:before="60"/>
              <w:jc w:val="center"/>
              <w:outlineLvl w:val="3"/>
              <w:rPr>
                <w:rFonts w:ascii="Constantia" w:hAnsi="Constantia" w:cs="Arial"/>
                <w:b/>
                <w:bCs/>
                <w:iCs/>
                <w:color w:val="000000"/>
                <w:szCs w:val="22"/>
                <w:lang w:val="sr-Latn-CS"/>
              </w:rPr>
            </w:pPr>
            <w:r w:rsidRPr="00164E94">
              <w:rPr>
                <w:rFonts w:ascii="Constantia" w:hAnsi="Constantia" w:cs="Arial"/>
                <w:b/>
                <w:bCs/>
                <w:iCs/>
                <w:color w:val="000000"/>
                <w:szCs w:val="22"/>
                <w:lang w:val="sr-Latn-CS"/>
              </w:rPr>
              <w:t>Stepen zaštite</w:t>
            </w:r>
          </w:p>
        </w:tc>
        <w:tc>
          <w:tcPr>
            <w:tcW w:w="1246" w:type="dxa"/>
            <w:shd w:val="clear" w:color="auto" w:fill="E6EED5"/>
          </w:tcPr>
          <w:p w:rsidR="004B071C" w:rsidRPr="00164E94" w:rsidRDefault="004B071C" w:rsidP="000F3724">
            <w:pPr>
              <w:keepNext/>
              <w:keepLines/>
              <w:spacing w:before="60"/>
              <w:jc w:val="center"/>
              <w:outlineLvl w:val="3"/>
              <w:rPr>
                <w:rFonts w:ascii="Constantia" w:hAnsi="Constantia" w:cs="Arial"/>
                <w:b/>
                <w:bCs/>
                <w:iCs/>
                <w:color w:val="000000"/>
                <w:szCs w:val="22"/>
                <w:lang w:val="sr-Latn-CS"/>
              </w:rPr>
            </w:pPr>
            <w:r w:rsidRPr="00164E94">
              <w:rPr>
                <w:rFonts w:ascii="Constantia" w:hAnsi="Constantia" w:cs="Arial"/>
                <w:b/>
                <w:bCs/>
                <w:iCs/>
                <w:color w:val="000000"/>
                <w:szCs w:val="22"/>
                <w:lang w:val="sr-Latn-CS"/>
              </w:rPr>
              <w:t>Izolacija</w:t>
            </w:r>
          </w:p>
        </w:tc>
        <w:tc>
          <w:tcPr>
            <w:tcW w:w="780" w:type="dxa"/>
            <w:shd w:val="clear" w:color="auto" w:fill="E6EED5"/>
          </w:tcPr>
          <w:p w:rsidR="004B071C" w:rsidRPr="00164E94" w:rsidRDefault="004B071C" w:rsidP="000F3724">
            <w:pPr>
              <w:keepNext/>
              <w:keepLines/>
              <w:spacing w:before="60"/>
              <w:jc w:val="center"/>
              <w:outlineLvl w:val="3"/>
              <w:rPr>
                <w:rFonts w:ascii="Constantia" w:hAnsi="Constantia" w:cs="Arial"/>
                <w:b/>
                <w:bCs/>
                <w:iCs/>
                <w:color w:val="000000"/>
                <w:szCs w:val="22"/>
                <w:lang w:val="sr-Latn-CS"/>
              </w:rPr>
            </w:pPr>
            <w:r w:rsidRPr="00164E94">
              <w:rPr>
                <w:rFonts w:ascii="Constantia" w:hAnsi="Constantia" w:cs="Arial"/>
                <w:b/>
                <w:bCs/>
                <w:iCs/>
                <w:color w:val="000000"/>
                <w:szCs w:val="22"/>
                <w:lang w:val="sr-Latn-CS"/>
              </w:rPr>
              <w:t>Glob.</w:t>
            </w:r>
          </w:p>
        </w:tc>
        <w:tc>
          <w:tcPr>
            <w:tcW w:w="1108" w:type="dxa"/>
            <w:shd w:val="clear" w:color="auto" w:fill="E6EED5"/>
          </w:tcPr>
          <w:p w:rsidR="004B071C" w:rsidRPr="00164E94" w:rsidRDefault="004B071C" w:rsidP="000F3724">
            <w:pPr>
              <w:keepNext/>
              <w:keepLines/>
              <w:spacing w:before="60"/>
              <w:jc w:val="center"/>
              <w:outlineLvl w:val="3"/>
              <w:rPr>
                <w:rFonts w:ascii="Constantia" w:hAnsi="Constantia" w:cs="Arial"/>
                <w:b/>
                <w:bCs/>
                <w:iCs/>
                <w:color w:val="000000"/>
                <w:szCs w:val="22"/>
                <w:lang w:val="sr-Latn-CS"/>
              </w:rPr>
            </w:pPr>
            <w:r w:rsidRPr="00164E94">
              <w:rPr>
                <w:rFonts w:ascii="Constantia" w:hAnsi="Constantia" w:cs="Arial"/>
                <w:b/>
                <w:bCs/>
                <w:iCs/>
                <w:color w:val="000000"/>
                <w:szCs w:val="22"/>
                <w:lang w:val="sr-Latn-CS"/>
              </w:rPr>
              <w:t>Top lokalitet</w:t>
            </w:r>
          </w:p>
        </w:tc>
      </w:tr>
      <w:tr w:rsidR="004B071C" w:rsidRPr="00164E94" w:rsidTr="00164E94">
        <w:tc>
          <w:tcPr>
            <w:tcW w:w="3258" w:type="dxa"/>
            <w:shd w:val="clear" w:color="auto" w:fill="CDDDAC"/>
          </w:tcPr>
          <w:p w:rsidR="004B071C" w:rsidRPr="00164E94" w:rsidRDefault="004B071C" w:rsidP="00164E94">
            <w:pPr>
              <w:jc w:val="left"/>
              <w:rPr>
                <w:rFonts w:ascii="Constantia" w:hAnsi="Constantia" w:cs="Arial"/>
                <w:bCs/>
                <w:szCs w:val="22"/>
              </w:rPr>
            </w:pPr>
            <w:r w:rsidRPr="00164E94">
              <w:rPr>
                <w:rFonts w:ascii="Constantia" w:hAnsi="Constantia" w:cs="Arial"/>
                <w:bCs/>
                <w:szCs w:val="22"/>
              </w:rPr>
              <w:t>Salmo farioides</w:t>
            </w:r>
          </w:p>
          <w:p w:rsidR="004B071C" w:rsidRPr="00164E94" w:rsidRDefault="004B071C" w:rsidP="00164E94">
            <w:pPr>
              <w:jc w:val="left"/>
              <w:rPr>
                <w:rFonts w:ascii="Constantia" w:hAnsi="Constantia" w:cs="Arial"/>
                <w:bCs/>
                <w:szCs w:val="22"/>
              </w:rPr>
            </w:pPr>
            <w:r w:rsidRPr="00164E94">
              <w:rPr>
                <w:rFonts w:ascii="Constantia" w:hAnsi="Constantia" w:cs="Arial"/>
                <w:bCs/>
                <w:szCs w:val="22"/>
              </w:rPr>
              <w:t>(ADRc haplotype)</w:t>
            </w:r>
          </w:p>
        </w:tc>
        <w:tc>
          <w:tcPr>
            <w:tcW w:w="1574" w:type="dxa"/>
            <w:shd w:val="clear" w:color="auto" w:fill="CDDDAC"/>
          </w:tcPr>
          <w:p w:rsidR="004B071C" w:rsidRPr="00164E94" w:rsidRDefault="004B071C" w:rsidP="004E680E">
            <w:pPr>
              <w:keepNext/>
              <w:keepLines/>
              <w:spacing w:before="60"/>
              <w:jc w:val="center"/>
              <w:outlineLvl w:val="3"/>
              <w:rPr>
                <w:rFonts w:ascii="Constantia" w:hAnsi="Constantia" w:cs="Arial"/>
                <w:bCs/>
                <w:iCs/>
                <w:color w:val="000000"/>
                <w:szCs w:val="22"/>
                <w:lang w:val="sr-Latn-CS"/>
              </w:rPr>
            </w:pPr>
            <w:r w:rsidRPr="00164E94">
              <w:rPr>
                <w:rFonts w:ascii="Constantia" w:hAnsi="Constantia" w:cs="Arial"/>
                <w:bCs/>
                <w:iCs/>
                <w:color w:val="000000"/>
                <w:szCs w:val="22"/>
                <w:lang w:val="sr-Latn-CS"/>
              </w:rPr>
              <w:t>A</w:t>
            </w:r>
          </w:p>
        </w:tc>
        <w:tc>
          <w:tcPr>
            <w:tcW w:w="1323" w:type="dxa"/>
            <w:shd w:val="clear" w:color="auto" w:fill="CDDDAC"/>
          </w:tcPr>
          <w:p w:rsidR="004B071C" w:rsidRPr="00164E94" w:rsidRDefault="004B071C" w:rsidP="004E680E">
            <w:pPr>
              <w:jc w:val="center"/>
              <w:rPr>
                <w:rFonts w:ascii="Constantia" w:hAnsi="Constantia" w:cs="Arial"/>
                <w:szCs w:val="22"/>
              </w:rPr>
            </w:pPr>
            <w:r w:rsidRPr="00164E94">
              <w:rPr>
                <w:rFonts w:ascii="Constantia" w:hAnsi="Constantia" w:cs="Arial"/>
                <w:szCs w:val="22"/>
              </w:rPr>
              <w:t>C</w:t>
            </w:r>
          </w:p>
        </w:tc>
        <w:tc>
          <w:tcPr>
            <w:tcW w:w="1246" w:type="dxa"/>
            <w:shd w:val="clear" w:color="auto" w:fill="CDDDAC"/>
          </w:tcPr>
          <w:p w:rsidR="004B071C" w:rsidRPr="00164E94" w:rsidRDefault="004B071C" w:rsidP="004E680E">
            <w:pPr>
              <w:jc w:val="center"/>
              <w:rPr>
                <w:rFonts w:ascii="Constantia" w:hAnsi="Constantia" w:cs="Arial"/>
                <w:szCs w:val="22"/>
              </w:rPr>
            </w:pPr>
            <w:r w:rsidRPr="00164E94">
              <w:rPr>
                <w:rFonts w:ascii="Constantia" w:hAnsi="Constantia" w:cs="Arial"/>
                <w:szCs w:val="22"/>
              </w:rPr>
              <w:t>A</w:t>
            </w:r>
          </w:p>
        </w:tc>
        <w:tc>
          <w:tcPr>
            <w:tcW w:w="780" w:type="dxa"/>
            <w:shd w:val="clear" w:color="auto" w:fill="CDDDAC"/>
          </w:tcPr>
          <w:p w:rsidR="004B071C" w:rsidRPr="00164E94" w:rsidRDefault="004B071C" w:rsidP="004E680E">
            <w:pPr>
              <w:jc w:val="center"/>
              <w:rPr>
                <w:rFonts w:ascii="Constantia" w:hAnsi="Constantia" w:cs="Arial"/>
                <w:szCs w:val="22"/>
              </w:rPr>
            </w:pPr>
            <w:r w:rsidRPr="00164E94">
              <w:rPr>
                <w:rFonts w:ascii="Constantia" w:hAnsi="Constantia" w:cs="Arial"/>
                <w:szCs w:val="22"/>
              </w:rPr>
              <w:t>A</w:t>
            </w:r>
          </w:p>
        </w:tc>
        <w:tc>
          <w:tcPr>
            <w:tcW w:w="1108" w:type="dxa"/>
            <w:shd w:val="clear" w:color="auto" w:fill="CDDDAC"/>
          </w:tcPr>
          <w:p w:rsidR="004B071C" w:rsidRPr="00164E94" w:rsidRDefault="004B071C" w:rsidP="004E680E">
            <w:pPr>
              <w:jc w:val="center"/>
              <w:rPr>
                <w:rFonts w:ascii="Constantia" w:hAnsi="Constantia" w:cs="Arial"/>
                <w:szCs w:val="22"/>
              </w:rPr>
            </w:pPr>
            <w:r w:rsidRPr="00164E94">
              <w:rPr>
                <w:rFonts w:ascii="Constantia" w:hAnsi="Constantia" w:cs="Arial"/>
                <w:szCs w:val="22"/>
              </w:rPr>
              <w:t>Y</w:t>
            </w:r>
          </w:p>
        </w:tc>
      </w:tr>
      <w:tr w:rsidR="004B071C" w:rsidRPr="00164E94" w:rsidTr="00164E94">
        <w:tc>
          <w:tcPr>
            <w:tcW w:w="3258" w:type="dxa"/>
            <w:shd w:val="clear" w:color="auto" w:fill="E6EED5"/>
          </w:tcPr>
          <w:p w:rsidR="004B071C" w:rsidRPr="00164E94" w:rsidRDefault="004B071C" w:rsidP="00164E94">
            <w:pPr>
              <w:jc w:val="left"/>
              <w:rPr>
                <w:rFonts w:ascii="Constantia" w:hAnsi="Constantia" w:cs="Arial"/>
                <w:bCs/>
                <w:szCs w:val="22"/>
              </w:rPr>
            </w:pPr>
            <w:r w:rsidRPr="00164E94">
              <w:rPr>
                <w:rFonts w:ascii="Constantia" w:hAnsi="Constantia" w:cs="Arial"/>
                <w:bCs/>
                <w:szCs w:val="22"/>
              </w:rPr>
              <w:t>Salmo marmoratus</w:t>
            </w:r>
          </w:p>
        </w:tc>
        <w:tc>
          <w:tcPr>
            <w:tcW w:w="1574" w:type="dxa"/>
            <w:shd w:val="clear" w:color="auto" w:fill="E6EED5"/>
          </w:tcPr>
          <w:p w:rsidR="004B071C" w:rsidRPr="00164E94" w:rsidRDefault="004B071C" w:rsidP="004E680E">
            <w:pPr>
              <w:keepNext/>
              <w:keepLines/>
              <w:spacing w:before="60"/>
              <w:jc w:val="center"/>
              <w:outlineLvl w:val="3"/>
              <w:rPr>
                <w:rFonts w:ascii="Constantia" w:hAnsi="Constantia" w:cs="Arial"/>
                <w:bCs/>
                <w:iCs/>
                <w:color w:val="000000"/>
                <w:szCs w:val="22"/>
                <w:lang w:val="sr-Latn-CS"/>
              </w:rPr>
            </w:pPr>
            <w:r w:rsidRPr="00164E94">
              <w:rPr>
                <w:rFonts w:ascii="Constantia" w:hAnsi="Constantia" w:cs="Arial"/>
                <w:bCs/>
                <w:iCs/>
                <w:color w:val="000000"/>
                <w:szCs w:val="22"/>
                <w:lang w:val="sr-Latn-CS"/>
              </w:rPr>
              <w:t>A</w:t>
            </w:r>
          </w:p>
        </w:tc>
        <w:tc>
          <w:tcPr>
            <w:tcW w:w="1323" w:type="dxa"/>
            <w:shd w:val="clear" w:color="auto" w:fill="E6EED5"/>
          </w:tcPr>
          <w:p w:rsidR="004B071C" w:rsidRPr="00164E94" w:rsidRDefault="004B071C" w:rsidP="004E680E">
            <w:pPr>
              <w:jc w:val="center"/>
              <w:rPr>
                <w:rFonts w:ascii="Constantia" w:hAnsi="Constantia" w:cs="Arial"/>
                <w:szCs w:val="22"/>
              </w:rPr>
            </w:pPr>
            <w:r w:rsidRPr="00164E94">
              <w:rPr>
                <w:rFonts w:ascii="Constantia" w:hAnsi="Constantia" w:cs="Arial"/>
                <w:szCs w:val="22"/>
              </w:rPr>
              <w:t>C</w:t>
            </w:r>
          </w:p>
        </w:tc>
        <w:tc>
          <w:tcPr>
            <w:tcW w:w="1246" w:type="dxa"/>
            <w:shd w:val="clear" w:color="auto" w:fill="E6EED5"/>
          </w:tcPr>
          <w:p w:rsidR="004B071C" w:rsidRPr="00164E94" w:rsidRDefault="004B071C" w:rsidP="004E680E">
            <w:pPr>
              <w:jc w:val="center"/>
              <w:rPr>
                <w:rFonts w:ascii="Constantia" w:hAnsi="Constantia" w:cs="Arial"/>
                <w:szCs w:val="22"/>
              </w:rPr>
            </w:pPr>
            <w:r w:rsidRPr="00164E94">
              <w:rPr>
                <w:rFonts w:ascii="Constantia" w:hAnsi="Constantia" w:cs="Arial"/>
                <w:szCs w:val="22"/>
              </w:rPr>
              <w:t>A</w:t>
            </w:r>
          </w:p>
        </w:tc>
        <w:tc>
          <w:tcPr>
            <w:tcW w:w="780" w:type="dxa"/>
            <w:shd w:val="clear" w:color="auto" w:fill="E6EED5"/>
          </w:tcPr>
          <w:p w:rsidR="004B071C" w:rsidRPr="00164E94" w:rsidRDefault="004B071C" w:rsidP="004E680E">
            <w:pPr>
              <w:jc w:val="center"/>
              <w:rPr>
                <w:rFonts w:ascii="Constantia" w:hAnsi="Constantia" w:cs="Arial"/>
                <w:szCs w:val="22"/>
              </w:rPr>
            </w:pPr>
            <w:r w:rsidRPr="00164E94">
              <w:rPr>
                <w:rFonts w:ascii="Constantia" w:hAnsi="Constantia" w:cs="Arial"/>
                <w:szCs w:val="22"/>
              </w:rPr>
              <w:t>C</w:t>
            </w:r>
          </w:p>
        </w:tc>
        <w:tc>
          <w:tcPr>
            <w:tcW w:w="1108" w:type="dxa"/>
            <w:shd w:val="clear" w:color="auto" w:fill="E6EED5"/>
          </w:tcPr>
          <w:p w:rsidR="004B071C" w:rsidRPr="00164E94" w:rsidRDefault="004B071C" w:rsidP="004E680E">
            <w:pPr>
              <w:jc w:val="center"/>
              <w:rPr>
                <w:rFonts w:ascii="Constantia" w:hAnsi="Constantia" w:cs="Arial"/>
                <w:szCs w:val="22"/>
              </w:rPr>
            </w:pPr>
            <w:r w:rsidRPr="00164E94">
              <w:rPr>
                <w:rFonts w:ascii="Constantia" w:hAnsi="Constantia" w:cs="Arial"/>
                <w:szCs w:val="22"/>
              </w:rPr>
              <w:t>Y</w:t>
            </w:r>
          </w:p>
        </w:tc>
      </w:tr>
      <w:tr w:rsidR="004B071C" w:rsidRPr="00164E94" w:rsidTr="00164E94">
        <w:tc>
          <w:tcPr>
            <w:tcW w:w="3258" w:type="dxa"/>
            <w:shd w:val="clear" w:color="auto" w:fill="CDDDAC"/>
          </w:tcPr>
          <w:p w:rsidR="004B071C" w:rsidRPr="00164E94" w:rsidRDefault="004B071C" w:rsidP="00164E94">
            <w:pPr>
              <w:jc w:val="left"/>
              <w:rPr>
                <w:rFonts w:ascii="Constantia" w:hAnsi="Constantia" w:cs="Arial"/>
                <w:bCs/>
                <w:szCs w:val="22"/>
              </w:rPr>
            </w:pPr>
            <w:r w:rsidRPr="00164E94">
              <w:rPr>
                <w:rFonts w:ascii="Constantia" w:hAnsi="Constantia" w:cs="Arial"/>
                <w:bCs/>
                <w:szCs w:val="22"/>
              </w:rPr>
              <w:t>Telestes montenigrinus</w:t>
            </w:r>
          </w:p>
        </w:tc>
        <w:tc>
          <w:tcPr>
            <w:tcW w:w="1574" w:type="dxa"/>
            <w:shd w:val="clear" w:color="auto" w:fill="CDDDAC"/>
          </w:tcPr>
          <w:p w:rsidR="004B071C" w:rsidRPr="00164E94" w:rsidRDefault="004B071C" w:rsidP="004E680E">
            <w:pPr>
              <w:keepNext/>
              <w:keepLines/>
              <w:spacing w:before="60"/>
              <w:jc w:val="center"/>
              <w:outlineLvl w:val="3"/>
              <w:rPr>
                <w:rFonts w:ascii="Constantia" w:hAnsi="Constantia" w:cs="Arial"/>
                <w:bCs/>
                <w:iCs/>
                <w:color w:val="000000"/>
                <w:szCs w:val="22"/>
                <w:lang w:val="sr-Latn-CS"/>
              </w:rPr>
            </w:pPr>
            <w:r w:rsidRPr="00164E94">
              <w:rPr>
                <w:rFonts w:ascii="Constantia" w:hAnsi="Constantia" w:cs="Arial"/>
                <w:bCs/>
                <w:iCs/>
                <w:color w:val="000000"/>
                <w:szCs w:val="22"/>
                <w:lang w:val="sr-Latn-CS"/>
              </w:rPr>
              <w:t>A</w:t>
            </w:r>
          </w:p>
        </w:tc>
        <w:tc>
          <w:tcPr>
            <w:tcW w:w="1323" w:type="dxa"/>
            <w:shd w:val="clear" w:color="auto" w:fill="CDDDAC"/>
          </w:tcPr>
          <w:p w:rsidR="004B071C" w:rsidRPr="00164E94" w:rsidRDefault="004B071C" w:rsidP="004E680E">
            <w:pPr>
              <w:jc w:val="center"/>
              <w:rPr>
                <w:rFonts w:ascii="Constantia" w:hAnsi="Constantia" w:cs="Arial"/>
                <w:szCs w:val="22"/>
              </w:rPr>
            </w:pPr>
            <w:r w:rsidRPr="00164E94">
              <w:rPr>
                <w:rFonts w:ascii="Constantia" w:hAnsi="Constantia" w:cs="Arial"/>
                <w:szCs w:val="22"/>
              </w:rPr>
              <w:t>A</w:t>
            </w:r>
          </w:p>
        </w:tc>
        <w:tc>
          <w:tcPr>
            <w:tcW w:w="1246" w:type="dxa"/>
            <w:shd w:val="clear" w:color="auto" w:fill="CDDDAC"/>
          </w:tcPr>
          <w:p w:rsidR="004B071C" w:rsidRPr="00164E94" w:rsidRDefault="004B071C" w:rsidP="004E680E">
            <w:pPr>
              <w:jc w:val="center"/>
              <w:rPr>
                <w:rFonts w:ascii="Constantia" w:hAnsi="Constantia" w:cs="Arial"/>
                <w:szCs w:val="22"/>
              </w:rPr>
            </w:pPr>
            <w:r w:rsidRPr="00164E94">
              <w:rPr>
                <w:rFonts w:ascii="Constantia" w:hAnsi="Constantia" w:cs="Arial"/>
                <w:szCs w:val="22"/>
              </w:rPr>
              <w:t>A</w:t>
            </w:r>
          </w:p>
        </w:tc>
        <w:tc>
          <w:tcPr>
            <w:tcW w:w="780" w:type="dxa"/>
            <w:shd w:val="clear" w:color="auto" w:fill="CDDDAC"/>
          </w:tcPr>
          <w:p w:rsidR="004B071C" w:rsidRPr="00164E94" w:rsidRDefault="004B071C" w:rsidP="004E680E">
            <w:pPr>
              <w:jc w:val="center"/>
              <w:rPr>
                <w:rFonts w:ascii="Constantia" w:hAnsi="Constantia" w:cs="Arial"/>
                <w:szCs w:val="22"/>
              </w:rPr>
            </w:pPr>
            <w:r w:rsidRPr="00164E94">
              <w:rPr>
                <w:rFonts w:ascii="Constantia" w:hAnsi="Constantia" w:cs="Arial"/>
                <w:szCs w:val="22"/>
              </w:rPr>
              <w:t>A</w:t>
            </w:r>
          </w:p>
        </w:tc>
        <w:tc>
          <w:tcPr>
            <w:tcW w:w="1108" w:type="dxa"/>
            <w:shd w:val="clear" w:color="auto" w:fill="CDDDAC"/>
          </w:tcPr>
          <w:p w:rsidR="004B071C" w:rsidRPr="00164E94" w:rsidRDefault="004B071C" w:rsidP="004E680E">
            <w:pPr>
              <w:jc w:val="center"/>
              <w:rPr>
                <w:rFonts w:ascii="Constantia" w:hAnsi="Constantia" w:cs="Arial"/>
                <w:szCs w:val="22"/>
              </w:rPr>
            </w:pPr>
            <w:r w:rsidRPr="00164E94">
              <w:rPr>
                <w:rFonts w:ascii="Constantia" w:hAnsi="Constantia" w:cs="Arial"/>
                <w:szCs w:val="22"/>
              </w:rPr>
              <w:t>Y</w:t>
            </w:r>
          </w:p>
        </w:tc>
      </w:tr>
      <w:tr w:rsidR="004B071C" w:rsidRPr="00164E94" w:rsidTr="00164E94">
        <w:tc>
          <w:tcPr>
            <w:tcW w:w="3258" w:type="dxa"/>
            <w:shd w:val="clear" w:color="auto" w:fill="E6EED5"/>
          </w:tcPr>
          <w:p w:rsidR="004B071C" w:rsidRPr="00164E94" w:rsidRDefault="004B071C" w:rsidP="00164E94">
            <w:pPr>
              <w:jc w:val="left"/>
              <w:rPr>
                <w:rFonts w:ascii="Constantia" w:hAnsi="Constantia" w:cs="Arial"/>
                <w:bCs/>
                <w:szCs w:val="22"/>
              </w:rPr>
            </w:pPr>
            <w:r w:rsidRPr="00164E94">
              <w:rPr>
                <w:rFonts w:ascii="Constantia" w:hAnsi="Constantia" w:cs="Arial"/>
                <w:bCs/>
                <w:szCs w:val="22"/>
              </w:rPr>
              <w:t>Rutilus albus</w:t>
            </w:r>
          </w:p>
        </w:tc>
        <w:tc>
          <w:tcPr>
            <w:tcW w:w="1574" w:type="dxa"/>
            <w:shd w:val="clear" w:color="auto" w:fill="E6EED5"/>
          </w:tcPr>
          <w:p w:rsidR="004B071C" w:rsidRPr="00164E94" w:rsidRDefault="004B071C" w:rsidP="004E680E">
            <w:pPr>
              <w:keepNext/>
              <w:keepLines/>
              <w:spacing w:before="60"/>
              <w:jc w:val="center"/>
              <w:outlineLvl w:val="3"/>
              <w:rPr>
                <w:rFonts w:ascii="Constantia" w:hAnsi="Constantia" w:cs="Arial"/>
                <w:bCs/>
                <w:iCs/>
                <w:color w:val="000000"/>
                <w:szCs w:val="22"/>
                <w:lang w:val="sr-Latn-CS"/>
              </w:rPr>
            </w:pPr>
            <w:r w:rsidRPr="00164E94">
              <w:rPr>
                <w:rFonts w:ascii="Constantia" w:hAnsi="Constantia" w:cs="Arial"/>
                <w:bCs/>
                <w:iCs/>
                <w:color w:val="000000"/>
                <w:szCs w:val="22"/>
                <w:lang w:val="sr-Latn-CS"/>
              </w:rPr>
              <w:t>A</w:t>
            </w:r>
          </w:p>
        </w:tc>
        <w:tc>
          <w:tcPr>
            <w:tcW w:w="1323" w:type="dxa"/>
            <w:shd w:val="clear" w:color="auto" w:fill="E6EED5"/>
          </w:tcPr>
          <w:p w:rsidR="004B071C" w:rsidRPr="00164E94" w:rsidRDefault="004B071C" w:rsidP="004E680E">
            <w:pPr>
              <w:jc w:val="center"/>
              <w:rPr>
                <w:rFonts w:ascii="Constantia" w:hAnsi="Constantia" w:cs="Arial"/>
                <w:szCs w:val="22"/>
              </w:rPr>
            </w:pPr>
            <w:r w:rsidRPr="00164E94">
              <w:rPr>
                <w:rFonts w:ascii="Constantia" w:hAnsi="Constantia" w:cs="Arial"/>
                <w:szCs w:val="22"/>
              </w:rPr>
              <w:t>B</w:t>
            </w:r>
          </w:p>
        </w:tc>
        <w:tc>
          <w:tcPr>
            <w:tcW w:w="1246" w:type="dxa"/>
            <w:shd w:val="clear" w:color="auto" w:fill="E6EED5"/>
          </w:tcPr>
          <w:p w:rsidR="004B071C" w:rsidRPr="00164E94" w:rsidRDefault="004B071C" w:rsidP="004E680E">
            <w:pPr>
              <w:jc w:val="center"/>
              <w:rPr>
                <w:rFonts w:ascii="Constantia" w:hAnsi="Constantia" w:cs="Arial"/>
                <w:szCs w:val="22"/>
              </w:rPr>
            </w:pPr>
            <w:r w:rsidRPr="00164E94">
              <w:rPr>
                <w:rFonts w:ascii="Constantia" w:hAnsi="Constantia" w:cs="Arial"/>
                <w:szCs w:val="22"/>
              </w:rPr>
              <w:t>A</w:t>
            </w:r>
          </w:p>
        </w:tc>
        <w:tc>
          <w:tcPr>
            <w:tcW w:w="780" w:type="dxa"/>
            <w:shd w:val="clear" w:color="auto" w:fill="E6EED5"/>
          </w:tcPr>
          <w:p w:rsidR="004B071C" w:rsidRPr="00164E94" w:rsidRDefault="004B071C" w:rsidP="004E680E">
            <w:pPr>
              <w:jc w:val="center"/>
              <w:rPr>
                <w:rFonts w:ascii="Constantia" w:hAnsi="Constantia" w:cs="Arial"/>
                <w:szCs w:val="22"/>
              </w:rPr>
            </w:pPr>
            <w:r w:rsidRPr="00164E94">
              <w:rPr>
                <w:rFonts w:ascii="Constantia" w:hAnsi="Constantia" w:cs="Arial"/>
                <w:szCs w:val="22"/>
              </w:rPr>
              <w:t>A</w:t>
            </w:r>
          </w:p>
        </w:tc>
        <w:tc>
          <w:tcPr>
            <w:tcW w:w="1108" w:type="dxa"/>
            <w:shd w:val="clear" w:color="auto" w:fill="E6EED5"/>
          </w:tcPr>
          <w:p w:rsidR="004B071C" w:rsidRPr="00164E94" w:rsidRDefault="004B071C" w:rsidP="004E680E">
            <w:pPr>
              <w:jc w:val="center"/>
              <w:rPr>
                <w:rFonts w:ascii="Constantia" w:hAnsi="Constantia" w:cs="Arial"/>
                <w:szCs w:val="22"/>
              </w:rPr>
            </w:pPr>
            <w:r w:rsidRPr="00164E94">
              <w:rPr>
                <w:rFonts w:ascii="Constantia" w:hAnsi="Constantia" w:cs="Arial"/>
                <w:szCs w:val="22"/>
              </w:rPr>
              <w:t>Y</w:t>
            </w:r>
          </w:p>
        </w:tc>
      </w:tr>
      <w:tr w:rsidR="004B071C" w:rsidRPr="00164E94" w:rsidTr="00164E94">
        <w:tc>
          <w:tcPr>
            <w:tcW w:w="3258" w:type="dxa"/>
            <w:shd w:val="clear" w:color="auto" w:fill="CDDDAC"/>
          </w:tcPr>
          <w:p w:rsidR="004B071C" w:rsidRPr="00164E94" w:rsidRDefault="004B071C" w:rsidP="00164E94">
            <w:pPr>
              <w:jc w:val="left"/>
              <w:rPr>
                <w:rFonts w:ascii="Constantia" w:hAnsi="Constantia" w:cs="Arial"/>
                <w:bCs/>
                <w:szCs w:val="22"/>
              </w:rPr>
            </w:pPr>
            <w:r w:rsidRPr="00164E94">
              <w:rPr>
                <w:rFonts w:ascii="Constantia" w:hAnsi="Constantia" w:cs="Arial"/>
                <w:bCs/>
                <w:szCs w:val="22"/>
              </w:rPr>
              <w:t>Scardinius knezevici</w:t>
            </w:r>
          </w:p>
        </w:tc>
        <w:tc>
          <w:tcPr>
            <w:tcW w:w="1574" w:type="dxa"/>
            <w:shd w:val="clear" w:color="auto" w:fill="CDDDAC"/>
          </w:tcPr>
          <w:p w:rsidR="004B071C" w:rsidRPr="00164E94" w:rsidRDefault="004B071C" w:rsidP="004E680E">
            <w:pPr>
              <w:keepNext/>
              <w:keepLines/>
              <w:spacing w:before="60"/>
              <w:jc w:val="center"/>
              <w:outlineLvl w:val="3"/>
              <w:rPr>
                <w:rFonts w:ascii="Constantia" w:hAnsi="Constantia" w:cs="Arial"/>
                <w:bCs/>
                <w:iCs/>
                <w:color w:val="000000"/>
                <w:szCs w:val="22"/>
                <w:lang w:val="sr-Latn-CS"/>
              </w:rPr>
            </w:pPr>
            <w:r w:rsidRPr="00164E94">
              <w:rPr>
                <w:rFonts w:ascii="Constantia" w:hAnsi="Constantia" w:cs="Arial"/>
                <w:bCs/>
                <w:iCs/>
                <w:color w:val="000000"/>
                <w:szCs w:val="22"/>
                <w:lang w:val="sr-Latn-CS"/>
              </w:rPr>
              <w:t>A</w:t>
            </w:r>
          </w:p>
        </w:tc>
        <w:tc>
          <w:tcPr>
            <w:tcW w:w="1323" w:type="dxa"/>
            <w:shd w:val="clear" w:color="auto" w:fill="CDDDAC"/>
          </w:tcPr>
          <w:p w:rsidR="004B071C" w:rsidRPr="00164E94" w:rsidRDefault="004B071C" w:rsidP="004E680E">
            <w:pPr>
              <w:jc w:val="center"/>
              <w:rPr>
                <w:rFonts w:ascii="Constantia" w:hAnsi="Constantia" w:cs="Arial"/>
                <w:szCs w:val="22"/>
              </w:rPr>
            </w:pPr>
            <w:r w:rsidRPr="00164E94">
              <w:rPr>
                <w:rFonts w:ascii="Constantia" w:hAnsi="Constantia" w:cs="Arial"/>
                <w:szCs w:val="22"/>
              </w:rPr>
              <w:t>B</w:t>
            </w:r>
          </w:p>
        </w:tc>
        <w:tc>
          <w:tcPr>
            <w:tcW w:w="1246" w:type="dxa"/>
            <w:shd w:val="clear" w:color="auto" w:fill="CDDDAC"/>
          </w:tcPr>
          <w:p w:rsidR="004B071C" w:rsidRPr="00164E94" w:rsidRDefault="004B071C" w:rsidP="004E680E">
            <w:pPr>
              <w:jc w:val="center"/>
              <w:rPr>
                <w:rFonts w:ascii="Constantia" w:hAnsi="Constantia" w:cs="Arial"/>
                <w:szCs w:val="22"/>
              </w:rPr>
            </w:pPr>
            <w:r w:rsidRPr="00164E94">
              <w:rPr>
                <w:rFonts w:ascii="Constantia" w:hAnsi="Constantia" w:cs="Arial"/>
                <w:szCs w:val="22"/>
              </w:rPr>
              <w:t>A</w:t>
            </w:r>
          </w:p>
        </w:tc>
        <w:tc>
          <w:tcPr>
            <w:tcW w:w="780" w:type="dxa"/>
            <w:shd w:val="clear" w:color="auto" w:fill="CDDDAC"/>
          </w:tcPr>
          <w:p w:rsidR="004B071C" w:rsidRPr="00164E94" w:rsidRDefault="004B071C" w:rsidP="004E680E">
            <w:pPr>
              <w:jc w:val="center"/>
              <w:rPr>
                <w:rFonts w:ascii="Constantia" w:hAnsi="Constantia" w:cs="Arial"/>
                <w:szCs w:val="22"/>
              </w:rPr>
            </w:pPr>
            <w:r w:rsidRPr="00164E94">
              <w:rPr>
                <w:rFonts w:ascii="Constantia" w:hAnsi="Constantia" w:cs="Arial"/>
                <w:szCs w:val="22"/>
              </w:rPr>
              <w:t>A</w:t>
            </w:r>
          </w:p>
        </w:tc>
        <w:tc>
          <w:tcPr>
            <w:tcW w:w="1108" w:type="dxa"/>
            <w:shd w:val="clear" w:color="auto" w:fill="CDDDAC"/>
          </w:tcPr>
          <w:p w:rsidR="004B071C" w:rsidRPr="00164E94" w:rsidRDefault="004B071C" w:rsidP="004E680E">
            <w:pPr>
              <w:jc w:val="center"/>
              <w:rPr>
                <w:rFonts w:ascii="Constantia" w:hAnsi="Constantia" w:cs="Arial"/>
                <w:szCs w:val="22"/>
              </w:rPr>
            </w:pPr>
            <w:r w:rsidRPr="00164E94">
              <w:rPr>
                <w:rFonts w:ascii="Constantia" w:hAnsi="Constantia" w:cs="Arial"/>
                <w:szCs w:val="22"/>
              </w:rPr>
              <w:t>Y</w:t>
            </w:r>
          </w:p>
        </w:tc>
      </w:tr>
      <w:tr w:rsidR="004B071C" w:rsidRPr="00164E94" w:rsidTr="00164E94">
        <w:tc>
          <w:tcPr>
            <w:tcW w:w="3258" w:type="dxa"/>
            <w:shd w:val="clear" w:color="auto" w:fill="E6EED5"/>
          </w:tcPr>
          <w:p w:rsidR="004B071C" w:rsidRPr="00164E94" w:rsidRDefault="004B071C" w:rsidP="00164E94">
            <w:pPr>
              <w:jc w:val="left"/>
              <w:rPr>
                <w:rFonts w:ascii="Constantia" w:hAnsi="Constantia" w:cs="Arial"/>
                <w:bCs/>
                <w:szCs w:val="22"/>
              </w:rPr>
            </w:pPr>
            <w:r w:rsidRPr="00164E94">
              <w:rPr>
                <w:rFonts w:ascii="Constantia" w:hAnsi="Constantia" w:cs="Arial"/>
                <w:bCs/>
                <w:szCs w:val="22"/>
              </w:rPr>
              <w:t>Acipenser naccarii</w:t>
            </w:r>
          </w:p>
        </w:tc>
        <w:tc>
          <w:tcPr>
            <w:tcW w:w="1574" w:type="dxa"/>
            <w:shd w:val="clear" w:color="auto" w:fill="E6EED5"/>
          </w:tcPr>
          <w:p w:rsidR="004B071C" w:rsidRPr="00164E94" w:rsidRDefault="004B071C" w:rsidP="004E680E">
            <w:pPr>
              <w:keepNext/>
              <w:keepLines/>
              <w:spacing w:before="60"/>
              <w:jc w:val="center"/>
              <w:outlineLvl w:val="3"/>
              <w:rPr>
                <w:rFonts w:ascii="Constantia" w:hAnsi="Constantia" w:cs="Arial"/>
                <w:bCs/>
                <w:iCs/>
                <w:color w:val="000000"/>
                <w:szCs w:val="22"/>
                <w:lang w:val="sr-Latn-CS"/>
              </w:rPr>
            </w:pPr>
          </w:p>
        </w:tc>
        <w:tc>
          <w:tcPr>
            <w:tcW w:w="1323" w:type="dxa"/>
            <w:shd w:val="clear" w:color="auto" w:fill="E6EED5"/>
          </w:tcPr>
          <w:p w:rsidR="004B071C" w:rsidRPr="00164E94" w:rsidRDefault="004B071C" w:rsidP="004E680E">
            <w:pPr>
              <w:jc w:val="center"/>
              <w:rPr>
                <w:rFonts w:ascii="Constantia" w:hAnsi="Constantia" w:cs="Arial"/>
                <w:szCs w:val="22"/>
              </w:rPr>
            </w:pPr>
            <w:r w:rsidRPr="00164E94">
              <w:rPr>
                <w:rFonts w:ascii="Constantia" w:hAnsi="Constantia" w:cs="Arial"/>
                <w:szCs w:val="22"/>
              </w:rPr>
              <w:t>C</w:t>
            </w:r>
          </w:p>
        </w:tc>
        <w:tc>
          <w:tcPr>
            <w:tcW w:w="1246" w:type="dxa"/>
            <w:shd w:val="clear" w:color="auto" w:fill="E6EED5"/>
          </w:tcPr>
          <w:p w:rsidR="004B071C" w:rsidRPr="00164E94" w:rsidRDefault="004B071C" w:rsidP="004E680E">
            <w:pPr>
              <w:jc w:val="center"/>
              <w:rPr>
                <w:rFonts w:ascii="Constantia" w:hAnsi="Constantia" w:cs="Arial"/>
                <w:szCs w:val="22"/>
              </w:rPr>
            </w:pPr>
            <w:r w:rsidRPr="00164E94">
              <w:rPr>
                <w:rFonts w:ascii="Constantia" w:hAnsi="Constantia" w:cs="Arial"/>
                <w:szCs w:val="22"/>
              </w:rPr>
              <w:t>B</w:t>
            </w:r>
          </w:p>
        </w:tc>
        <w:tc>
          <w:tcPr>
            <w:tcW w:w="780" w:type="dxa"/>
            <w:shd w:val="clear" w:color="auto" w:fill="E6EED5"/>
          </w:tcPr>
          <w:p w:rsidR="004B071C" w:rsidRPr="00164E94" w:rsidRDefault="004B071C" w:rsidP="004E680E">
            <w:pPr>
              <w:jc w:val="center"/>
              <w:rPr>
                <w:rFonts w:ascii="Constantia" w:hAnsi="Constantia" w:cs="Arial"/>
                <w:szCs w:val="22"/>
              </w:rPr>
            </w:pPr>
            <w:r w:rsidRPr="00164E94">
              <w:rPr>
                <w:rFonts w:ascii="Constantia" w:hAnsi="Constantia" w:cs="Arial"/>
                <w:szCs w:val="22"/>
              </w:rPr>
              <w:t>B</w:t>
            </w:r>
          </w:p>
        </w:tc>
        <w:tc>
          <w:tcPr>
            <w:tcW w:w="1108" w:type="dxa"/>
            <w:shd w:val="clear" w:color="auto" w:fill="E6EED5"/>
          </w:tcPr>
          <w:p w:rsidR="004B071C" w:rsidRPr="00164E94" w:rsidRDefault="004B071C" w:rsidP="004E680E">
            <w:pPr>
              <w:jc w:val="center"/>
              <w:rPr>
                <w:rFonts w:ascii="Constantia" w:hAnsi="Constantia" w:cs="Arial"/>
                <w:szCs w:val="22"/>
              </w:rPr>
            </w:pPr>
            <w:r w:rsidRPr="00164E94">
              <w:rPr>
                <w:rFonts w:ascii="Constantia" w:hAnsi="Constantia" w:cs="Arial"/>
                <w:szCs w:val="22"/>
              </w:rPr>
              <w:t>Y</w:t>
            </w:r>
          </w:p>
        </w:tc>
      </w:tr>
      <w:tr w:rsidR="004B071C" w:rsidRPr="00164E94" w:rsidTr="00164E94">
        <w:tc>
          <w:tcPr>
            <w:tcW w:w="3258" w:type="dxa"/>
            <w:shd w:val="clear" w:color="auto" w:fill="CDDDAC"/>
          </w:tcPr>
          <w:p w:rsidR="004B071C" w:rsidRPr="00164E94" w:rsidRDefault="004B071C" w:rsidP="00164E94">
            <w:pPr>
              <w:jc w:val="left"/>
              <w:rPr>
                <w:rFonts w:ascii="Constantia" w:hAnsi="Constantia" w:cs="Arial"/>
                <w:bCs/>
                <w:szCs w:val="22"/>
              </w:rPr>
            </w:pPr>
            <w:r w:rsidRPr="00164E94">
              <w:rPr>
                <w:rFonts w:ascii="Constantia" w:hAnsi="Constantia" w:cs="Arial"/>
                <w:bCs/>
                <w:szCs w:val="22"/>
              </w:rPr>
              <w:t>Acipenser sturio</w:t>
            </w:r>
          </w:p>
        </w:tc>
        <w:tc>
          <w:tcPr>
            <w:tcW w:w="1574" w:type="dxa"/>
            <w:shd w:val="clear" w:color="auto" w:fill="CDDDAC"/>
          </w:tcPr>
          <w:p w:rsidR="004B071C" w:rsidRPr="00164E94" w:rsidRDefault="004B071C" w:rsidP="004E680E">
            <w:pPr>
              <w:keepNext/>
              <w:keepLines/>
              <w:spacing w:before="60"/>
              <w:jc w:val="center"/>
              <w:outlineLvl w:val="3"/>
              <w:rPr>
                <w:rFonts w:ascii="Constantia" w:hAnsi="Constantia" w:cs="Arial"/>
                <w:bCs/>
                <w:iCs/>
                <w:color w:val="000000"/>
                <w:szCs w:val="22"/>
                <w:lang w:val="sr-Latn-CS"/>
              </w:rPr>
            </w:pPr>
          </w:p>
        </w:tc>
        <w:tc>
          <w:tcPr>
            <w:tcW w:w="1323" w:type="dxa"/>
            <w:shd w:val="clear" w:color="auto" w:fill="CDDDAC"/>
          </w:tcPr>
          <w:p w:rsidR="004B071C" w:rsidRPr="00164E94" w:rsidRDefault="004B071C" w:rsidP="004E680E">
            <w:pPr>
              <w:jc w:val="center"/>
              <w:rPr>
                <w:rFonts w:ascii="Constantia" w:hAnsi="Constantia" w:cs="Arial"/>
                <w:szCs w:val="22"/>
              </w:rPr>
            </w:pPr>
            <w:r w:rsidRPr="00164E94">
              <w:rPr>
                <w:rFonts w:ascii="Constantia" w:hAnsi="Constantia" w:cs="Arial"/>
                <w:szCs w:val="22"/>
              </w:rPr>
              <w:t>C</w:t>
            </w:r>
          </w:p>
        </w:tc>
        <w:tc>
          <w:tcPr>
            <w:tcW w:w="1246" w:type="dxa"/>
            <w:shd w:val="clear" w:color="auto" w:fill="CDDDAC"/>
          </w:tcPr>
          <w:p w:rsidR="004B071C" w:rsidRPr="00164E94" w:rsidRDefault="004B071C" w:rsidP="004E680E">
            <w:pPr>
              <w:jc w:val="center"/>
              <w:rPr>
                <w:rFonts w:ascii="Constantia" w:hAnsi="Constantia" w:cs="Arial"/>
                <w:szCs w:val="22"/>
              </w:rPr>
            </w:pPr>
            <w:r w:rsidRPr="00164E94">
              <w:rPr>
                <w:rFonts w:ascii="Constantia" w:hAnsi="Constantia" w:cs="Arial"/>
                <w:szCs w:val="22"/>
              </w:rPr>
              <w:t>B</w:t>
            </w:r>
          </w:p>
        </w:tc>
        <w:tc>
          <w:tcPr>
            <w:tcW w:w="780" w:type="dxa"/>
            <w:shd w:val="clear" w:color="auto" w:fill="CDDDAC"/>
          </w:tcPr>
          <w:p w:rsidR="004B071C" w:rsidRPr="00164E94" w:rsidRDefault="004B071C" w:rsidP="004E680E">
            <w:pPr>
              <w:jc w:val="center"/>
              <w:rPr>
                <w:rFonts w:ascii="Constantia" w:hAnsi="Constantia" w:cs="Arial"/>
                <w:szCs w:val="22"/>
              </w:rPr>
            </w:pPr>
            <w:r w:rsidRPr="00164E94">
              <w:rPr>
                <w:rFonts w:ascii="Constantia" w:hAnsi="Constantia" w:cs="Arial"/>
                <w:szCs w:val="22"/>
              </w:rPr>
              <w:t>B</w:t>
            </w:r>
          </w:p>
        </w:tc>
        <w:tc>
          <w:tcPr>
            <w:tcW w:w="1108" w:type="dxa"/>
            <w:shd w:val="clear" w:color="auto" w:fill="CDDDAC"/>
          </w:tcPr>
          <w:p w:rsidR="004B071C" w:rsidRPr="00164E94" w:rsidRDefault="004B071C" w:rsidP="004E680E">
            <w:pPr>
              <w:jc w:val="center"/>
              <w:rPr>
                <w:rFonts w:ascii="Constantia" w:hAnsi="Constantia" w:cs="Arial"/>
                <w:szCs w:val="22"/>
              </w:rPr>
            </w:pPr>
            <w:r w:rsidRPr="00164E94">
              <w:rPr>
                <w:rFonts w:ascii="Constantia" w:hAnsi="Constantia" w:cs="Arial"/>
                <w:szCs w:val="22"/>
              </w:rPr>
              <w:t>Y</w:t>
            </w:r>
          </w:p>
        </w:tc>
      </w:tr>
      <w:tr w:rsidR="004B071C" w:rsidRPr="00164E94" w:rsidTr="00164E94">
        <w:tc>
          <w:tcPr>
            <w:tcW w:w="3258" w:type="dxa"/>
            <w:shd w:val="clear" w:color="auto" w:fill="E6EED5"/>
          </w:tcPr>
          <w:p w:rsidR="004B071C" w:rsidRPr="00164E94" w:rsidRDefault="004B071C" w:rsidP="00164E94">
            <w:pPr>
              <w:jc w:val="left"/>
              <w:rPr>
                <w:rFonts w:ascii="Constantia" w:hAnsi="Constantia" w:cs="Arial"/>
                <w:bCs/>
                <w:szCs w:val="22"/>
              </w:rPr>
            </w:pPr>
            <w:r w:rsidRPr="00164E94">
              <w:rPr>
                <w:rFonts w:ascii="Constantia" w:hAnsi="Constantia" w:cs="Arial"/>
                <w:bCs/>
                <w:szCs w:val="22"/>
              </w:rPr>
              <w:t>Anguilla anguilla</w:t>
            </w:r>
          </w:p>
        </w:tc>
        <w:tc>
          <w:tcPr>
            <w:tcW w:w="1574" w:type="dxa"/>
            <w:shd w:val="clear" w:color="auto" w:fill="E6EED5"/>
          </w:tcPr>
          <w:p w:rsidR="004B071C" w:rsidRPr="00164E94" w:rsidRDefault="004B071C" w:rsidP="004E680E">
            <w:pPr>
              <w:keepNext/>
              <w:keepLines/>
              <w:spacing w:before="60"/>
              <w:jc w:val="center"/>
              <w:outlineLvl w:val="3"/>
              <w:rPr>
                <w:rFonts w:ascii="Constantia" w:hAnsi="Constantia" w:cs="Arial"/>
                <w:bCs/>
                <w:iCs/>
                <w:color w:val="000000"/>
                <w:szCs w:val="22"/>
                <w:lang w:val="sr-Latn-CS"/>
              </w:rPr>
            </w:pPr>
            <w:r w:rsidRPr="00164E94">
              <w:rPr>
                <w:rFonts w:ascii="Constantia" w:hAnsi="Constantia" w:cs="Arial"/>
                <w:bCs/>
                <w:iCs/>
                <w:color w:val="000000"/>
                <w:szCs w:val="22"/>
                <w:lang w:val="sr-Latn-CS"/>
              </w:rPr>
              <w:t>A</w:t>
            </w:r>
          </w:p>
        </w:tc>
        <w:tc>
          <w:tcPr>
            <w:tcW w:w="1323" w:type="dxa"/>
            <w:shd w:val="clear" w:color="auto" w:fill="E6EED5"/>
          </w:tcPr>
          <w:p w:rsidR="004B071C" w:rsidRPr="00164E94" w:rsidRDefault="004B071C" w:rsidP="004E680E">
            <w:pPr>
              <w:jc w:val="center"/>
              <w:rPr>
                <w:rFonts w:ascii="Constantia" w:hAnsi="Constantia" w:cs="Arial"/>
                <w:szCs w:val="22"/>
              </w:rPr>
            </w:pPr>
            <w:r w:rsidRPr="00164E94">
              <w:rPr>
                <w:rFonts w:ascii="Constantia" w:hAnsi="Constantia" w:cs="Arial"/>
                <w:szCs w:val="22"/>
              </w:rPr>
              <w:t>B</w:t>
            </w:r>
          </w:p>
        </w:tc>
        <w:tc>
          <w:tcPr>
            <w:tcW w:w="1246" w:type="dxa"/>
            <w:shd w:val="clear" w:color="auto" w:fill="E6EED5"/>
          </w:tcPr>
          <w:p w:rsidR="004B071C" w:rsidRPr="00164E94" w:rsidRDefault="004B071C" w:rsidP="004E680E">
            <w:pPr>
              <w:jc w:val="center"/>
              <w:rPr>
                <w:rFonts w:ascii="Constantia" w:hAnsi="Constantia" w:cs="Arial"/>
                <w:szCs w:val="22"/>
              </w:rPr>
            </w:pPr>
            <w:r w:rsidRPr="00164E94">
              <w:rPr>
                <w:rFonts w:ascii="Constantia" w:hAnsi="Constantia" w:cs="Arial"/>
                <w:szCs w:val="22"/>
              </w:rPr>
              <w:t>C</w:t>
            </w:r>
          </w:p>
        </w:tc>
        <w:tc>
          <w:tcPr>
            <w:tcW w:w="780" w:type="dxa"/>
            <w:shd w:val="clear" w:color="auto" w:fill="E6EED5"/>
          </w:tcPr>
          <w:p w:rsidR="004B071C" w:rsidRPr="00164E94" w:rsidRDefault="004B071C" w:rsidP="004E680E">
            <w:pPr>
              <w:jc w:val="center"/>
              <w:rPr>
                <w:rFonts w:ascii="Constantia" w:hAnsi="Constantia" w:cs="Arial"/>
                <w:szCs w:val="22"/>
              </w:rPr>
            </w:pPr>
            <w:r w:rsidRPr="00164E94">
              <w:rPr>
                <w:rFonts w:ascii="Constantia" w:hAnsi="Constantia" w:cs="Arial"/>
                <w:szCs w:val="22"/>
              </w:rPr>
              <w:t>C</w:t>
            </w:r>
          </w:p>
        </w:tc>
        <w:tc>
          <w:tcPr>
            <w:tcW w:w="1108" w:type="dxa"/>
            <w:shd w:val="clear" w:color="auto" w:fill="E6EED5"/>
          </w:tcPr>
          <w:p w:rsidR="004B071C" w:rsidRPr="00164E94" w:rsidRDefault="004B071C" w:rsidP="004E680E">
            <w:pPr>
              <w:jc w:val="center"/>
              <w:rPr>
                <w:rFonts w:ascii="Constantia" w:hAnsi="Constantia" w:cs="Arial"/>
                <w:szCs w:val="22"/>
              </w:rPr>
            </w:pPr>
            <w:r w:rsidRPr="00164E94">
              <w:rPr>
                <w:rFonts w:ascii="Constantia" w:hAnsi="Constantia" w:cs="Arial"/>
                <w:szCs w:val="22"/>
              </w:rPr>
              <w:t>N</w:t>
            </w:r>
          </w:p>
        </w:tc>
      </w:tr>
      <w:tr w:rsidR="004B071C" w:rsidRPr="00164E94" w:rsidTr="00164E94">
        <w:tc>
          <w:tcPr>
            <w:tcW w:w="3258" w:type="dxa"/>
            <w:shd w:val="clear" w:color="auto" w:fill="CDDDAC"/>
          </w:tcPr>
          <w:p w:rsidR="004B071C" w:rsidRPr="00164E94" w:rsidRDefault="004B071C" w:rsidP="00164E94">
            <w:pPr>
              <w:jc w:val="left"/>
              <w:rPr>
                <w:rFonts w:ascii="Constantia" w:hAnsi="Constantia" w:cs="Arial"/>
                <w:bCs/>
                <w:color w:val="000000"/>
                <w:szCs w:val="22"/>
              </w:rPr>
            </w:pPr>
            <w:r w:rsidRPr="00164E94">
              <w:rPr>
                <w:rFonts w:ascii="Constantia" w:hAnsi="Constantia" w:cs="Arial"/>
                <w:bCs/>
                <w:color w:val="000000"/>
                <w:szCs w:val="22"/>
              </w:rPr>
              <w:t>Perca fluviatilis (Invasive alien species)</w:t>
            </w:r>
          </w:p>
        </w:tc>
        <w:tc>
          <w:tcPr>
            <w:tcW w:w="1574" w:type="dxa"/>
            <w:shd w:val="clear" w:color="auto" w:fill="CDDDAC"/>
          </w:tcPr>
          <w:p w:rsidR="004B071C" w:rsidRPr="00164E94" w:rsidRDefault="004B071C" w:rsidP="004E680E">
            <w:pPr>
              <w:keepNext/>
              <w:keepLines/>
              <w:spacing w:before="60"/>
              <w:jc w:val="center"/>
              <w:outlineLvl w:val="3"/>
              <w:rPr>
                <w:rFonts w:ascii="Constantia" w:hAnsi="Constantia" w:cs="Arial"/>
                <w:bCs/>
                <w:iCs/>
                <w:color w:val="000000"/>
                <w:szCs w:val="22"/>
                <w:lang w:val="sr-Latn-CS"/>
              </w:rPr>
            </w:pPr>
            <w:r w:rsidRPr="00164E94">
              <w:rPr>
                <w:rFonts w:ascii="Constantia" w:hAnsi="Constantia" w:cs="Arial"/>
                <w:bCs/>
                <w:iCs/>
                <w:color w:val="000000"/>
                <w:szCs w:val="22"/>
                <w:lang w:val="sr-Latn-CS"/>
              </w:rPr>
              <w:t>A</w:t>
            </w:r>
          </w:p>
        </w:tc>
        <w:tc>
          <w:tcPr>
            <w:tcW w:w="1323" w:type="dxa"/>
            <w:shd w:val="clear" w:color="auto" w:fill="CDDDAC"/>
          </w:tcPr>
          <w:p w:rsidR="004B071C" w:rsidRPr="00164E94" w:rsidRDefault="004B071C" w:rsidP="004E680E">
            <w:pPr>
              <w:jc w:val="center"/>
              <w:rPr>
                <w:rFonts w:ascii="Constantia" w:hAnsi="Constantia" w:cs="Arial"/>
                <w:szCs w:val="22"/>
              </w:rPr>
            </w:pPr>
            <w:r w:rsidRPr="00164E94">
              <w:rPr>
                <w:rFonts w:ascii="Constantia" w:hAnsi="Constantia" w:cs="Arial"/>
                <w:szCs w:val="22"/>
              </w:rPr>
              <w:t>A</w:t>
            </w:r>
          </w:p>
        </w:tc>
        <w:tc>
          <w:tcPr>
            <w:tcW w:w="1246" w:type="dxa"/>
            <w:shd w:val="clear" w:color="auto" w:fill="CDDDAC"/>
          </w:tcPr>
          <w:p w:rsidR="004B071C" w:rsidRPr="00164E94" w:rsidRDefault="004B071C" w:rsidP="004E680E">
            <w:pPr>
              <w:jc w:val="center"/>
              <w:rPr>
                <w:rFonts w:ascii="Constantia" w:hAnsi="Constantia" w:cs="Arial"/>
                <w:szCs w:val="22"/>
              </w:rPr>
            </w:pPr>
            <w:r w:rsidRPr="00164E94">
              <w:rPr>
                <w:rFonts w:ascii="Constantia" w:hAnsi="Constantia" w:cs="Arial"/>
                <w:szCs w:val="22"/>
              </w:rPr>
              <w:t>C</w:t>
            </w:r>
          </w:p>
        </w:tc>
        <w:tc>
          <w:tcPr>
            <w:tcW w:w="780" w:type="dxa"/>
            <w:shd w:val="clear" w:color="auto" w:fill="CDDDAC"/>
          </w:tcPr>
          <w:p w:rsidR="004B071C" w:rsidRPr="00164E94" w:rsidRDefault="004B071C" w:rsidP="004E680E">
            <w:pPr>
              <w:jc w:val="center"/>
              <w:rPr>
                <w:rFonts w:ascii="Constantia" w:hAnsi="Constantia" w:cs="Arial"/>
                <w:szCs w:val="22"/>
              </w:rPr>
            </w:pPr>
            <w:r w:rsidRPr="00164E94">
              <w:rPr>
                <w:rFonts w:ascii="Constantia" w:hAnsi="Constantia" w:cs="Arial"/>
                <w:szCs w:val="22"/>
              </w:rPr>
              <w:t>C</w:t>
            </w:r>
          </w:p>
        </w:tc>
        <w:tc>
          <w:tcPr>
            <w:tcW w:w="1108" w:type="dxa"/>
            <w:shd w:val="clear" w:color="auto" w:fill="CDDDAC"/>
          </w:tcPr>
          <w:p w:rsidR="004B071C" w:rsidRPr="00164E94" w:rsidRDefault="004B071C" w:rsidP="004E680E">
            <w:pPr>
              <w:jc w:val="center"/>
              <w:rPr>
                <w:rFonts w:ascii="Constantia" w:hAnsi="Constantia" w:cs="Arial"/>
                <w:szCs w:val="22"/>
              </w:rPr>
            </w:pPr>
            <w:r w:rsidRPr="00164E94">
              <w:rPr>
                <w:rFonts w:ascii="Constantia" w:hAnsi="Constantia" w:cs="Arial"/>
                <w:szCs w:val="22"/>
              </w:rPr>
              <w:t>N</w:t>
            </w:r>
          </w:p>
        </w:tc>
      </w:tr>
      <w:tr w:rsidR="004B071C" w:rsidRPr="00164E94" w:rsidTr="00164E94">
        <w:tc>
          <w:tcPr>
            <w:tcW w:w="3258" w:type="dxa"/>
            <w:shd w:val="clear" w:color="auto" w:fill="E6EED5"/>
          </w:tcPr>
          <w:p w:rsidR="004B071C" w:rsidRPr="00164E94" w:rsidRDefault="004B071C" w:rsidP="00164E94">
            <w:pPr>
              <w:jc w:val="left"/>
              <w:rPr>
                <w:rFonts w:ascii="Constantia" w:hAnsi="Constantia" w:cs="Arial"/>
                <w:bCs/>
                <w:color w:val="000000"/>
                <w:szCs w:val="22"/>
              </w:rPr>
            </w:pPr>
            <w:r w:rsidRPr="00164E94">
              <w:rPr>
                <w:rFonts w:ascii="Constantia" w:hAnsi="Constantia" w:cs="Arial"/>
                <w:bCs/>
                <w:color w:val="000000"/>
                <w:szCs w:val="22"/>
              </w:rPr>
              <w:t>Carassius gibelio (Invasive alien species)</w:t>
            </w:r>
          </w:p>
        </w:tc>
        <w:tc>
          <w:tcPr>
            <w:tcW w:w="1574" w:type="dxa"/>
            <w:shd w:val="clear" w:color="auto" w:fill="E6EED5"/>
          </w:tcPr>
          <w:p w:rsidR="004B071C" w:rsidRPr="00164E94" w:rsidRDefault="004B071C" w:rsidP="004E680E">
            <w:pPr>
              <w:keepNext/>
              <w:keepLines/>
              <w:spacing w:before="60"/>
              <w:jc w:val="center"/>
              <w:outlineLvl w:val="3"/>
              <w:rPr>
                <w:rFonts w:ascii="Constantia" w:hAnsi="Constantia" w:cs="Arial"/>
                <w:bCs/>
                <w:iCs/>
                <w:color w:val="000000"/>
                <w:szCs w:val="22"/>
                <w:lang w:val="sr-Latn-CS"/>
              </w:rPr>
            </w:pPr>
            <w:r w:rsidRPr="00164E94">
              <w:rPr>
                <w:rFonts w:ascii="Constantia" w:hAnsi="Constantia" w:cs="Arial"/>
                <w:bCs/>
                <w:iCs/>
                <w:color w:val="000000"/>
                <w:szCs w:val="22"/>
                <w:lang w:val="sr-Latn-CS"/>
              </w:rPr>
              <w:t>A</w:t>
            </w:r>
          </w:p>
        </w:tc>
        <w:tc>
          <w:tcPr>
            <w:tcW w:w="1323" w:type="dxa"/>
            <w:shd w:val="clear" w:color="auto" w:fill="E6EED5"/>
          </w:tcPr>
          <w:p w:rsidR="004B071C" w:rsidRPr="00164E94" w:rsidRDefault="004B071C" w:rsidP="004E680E">
            <w:pPr>
              <w:jc w:val="center"/>
              <w:rPr>
                <w:rFonts w:ascii="Constantia" w:hAnsi="Constantia" w:cs="Arial"/>
                <w:szCs w:val="22"/>
              </w:rPr>
            </w:pPr>
            <w:r w:rsidRPr="00164E94">
              <w:rPr>
                <w:rFonts w:ascii="Constantia" w:hAnsi="Constantia" w:cs="Arial"/>
                <w:szCs w:val="22"/>
              </w:rPr>
              <w:t>A</w:t>
            </w:r>
          </w:p>
        </w:tc>
        <w:tc>
          <w:tcPr>
            <w:tcW w:w="1246" w:type="dxa"/>
            <w:shd w:val="clear" w:color="auto" w:fill="E6EED5"/>
          </w:tcPr>
          <w:p w:rsidR="004B071C" w:rsidRPr="00164E94" w:rsidRDefault="004B071C" w:rsidP="004E680E">
            <w:pPr>
              <w:jc w:val="center"/>
              <w:rPr>
                <w:rFonts w:ascii="Constantia" w:hAnsi="Constantia" w:cs="Arial"/>
                <w:szCs w:val="22"/>
              </w:rPr>
            </w:pPr>
            <w:r w:rsidRPr="00164E94">
              <w:rPr>
                <w:rFonts w:ascii="Constantia" w:hAnsi="Constantia" w:cs="Arial"/>
                <w:szCs w:val="22"/>
              </w:rPr>
              <w:t>C</w:t>
            </w:r>
          </w:p>
        </w:tc>
        <w:tc>
          <w:tcPr>
            <w:tcW w:w="780" w:type="dxa"/>
            <w:shd w:val="clear" w:color="auto" w:fill="E6EED5"/>
          </w:tcPr>
          <w:p w:rsidR="004B071C" w:rsidRPr="00164E94" w:rsidRDefault="004B071C" w:rsidP="004E680E">
            <w:pPr>
              <w:jc w:val="center"/>
              <w:rPr>
                <w:rFonts w:ascii="Constantia" w:hAnsi="Constantia" w:cs="Arial"/>
                <w:szCs w:val="22"/>
              </w:rPr>
            </w:pPr>
            <w:r w:rsidRPr="00164E94">
              <w:rPr>
                <w:rFonts w:ascii="Constantia" w:hAnsi="Constantia" w:cs="Arial"/>
                <w:szCs w:val="22"/>
              </w:rPr>
              <w:t>C</w:t>
            </w:r>
          </w:p>
        </w:tc>
        <w:tc>
          <w:tcPr>
            <w:tcW w:w="1108" w:type="dxa"/>
            <w:shd w:val="clear" w:color="auto" w:fill="E6EED5"/>
          </w:tcPr>
          <w:p w:rsidR="004B071C" w:rsidRPr="00164E94" w:rsidRDefault="004B071C" w:rsidP="004E680E">
            <w:pPr>
              <w:jc w:val="center"/>
              <w:rPr>
                <w:rFonts w:ascii="Constantia" w:hAnsi="Constantia" w:cs="Arial"/>
                <w:szCs w:val="22"/>
              </w:rPr>
            </w:pPr>
            <w:r w:rsidRPr="00164E94">
              <w:rPr>
                <w:rFonts w:ascii="Constantia" w:hAnsi="Constantia" w:cs="Arial"/>
                <w:szCs w:val="22"/>
              </w:rPr>
              <w:t>N</w:t>
            </w:r>
          </w:p>
        </w:tc>
      </w:tr>
    </w:tbl>
    <w:p w:rsidR="006C0A77" w:rsidRDefault="00164E94" w:rsidP="006C0A77">
      <w:pPr>
        <w:pStyle w:val="Tabele"/>
        <w:spacing w:before="60" w:after="240"/>
        <w:ind w:left="714" w:hanging="357"/>
        <w:rPr>
          <w:rFonts w:ascii="Constantia" w:hAnsi="Constantia"/>
          <w:sz w:val="22"/>
          <w:szCs w:val="22"/>
        </w:rPr>
      </w:pPr>
      <w:r>
        <w:t xml:space="preserve"> </w:t>
      </w:r>
      <w:r w:rsidR="004B071C" w:rsidRPr="00164E94">
        <w:rPr>
          <w:rFonts w:ascii="Constantia" w:hAnsi="Constantia"/>
          <w:sz w:val="22"/>
          <w:szCs w:val="22"/>
        </w:rPr>
        <w:t>Procjena stanja područja u odnosu na  populaciju riba</w:t>
      </w:r>
    </w:p>
    <w:p w:rsidR="006C0A77" w:rsidRDefault="006C0A77" w:rsidP="006171AD">
      <w:pPr>
        <w:pStyle w:val="Tabele"/>
        <w:numPr>
          <w:ilvl w:val="0"/>
          <w:numId w:val="0"/>
        </w:numPr>
        <w:spacing w:before="0" w:after="0"/>
        <w:ind w:left="714"/>
        <w:jc w:val="both"/>
        <w:rPr>
          <w:rFonts w:ascii="Constantia" w:hAnsi="Constantia"/>
          <w:sz w:val="22"/>
          <w:szCs w:val="22"/>
        </w:rPr>
      </w:pPr>
    </w:p>
    <w:p w:rsidR="006C0A77" w:rsidRPr="006C0A77" w:rsidRDefault="006C0A77" w:rsidP="006C0A77">
      <w:pPr>
        <w:pStyle w:val="Tabele"/>
        <w:numPr>
          <w:ilvl w:val="0"/>
          <w:numId w:val="0"/>
        </w:numPr>
        <w:jc w:val="both"/>
        <w:rPr>
          <w:b/>
          <w:i w:val="0"/>
          <w:sz w:val="22"/>
          <w:szCs w:val="22"/>
        </w:rPr>
      </w:pPr>
      <w:r>
        <w:rPr>
          <w:b/>
          <w:i w:val="0"/>
          <w:sz w:val="22"/>
          <w:szCs w:val="22"/>
        </w:rPr>
        <w:t>6.3.6.3</w:t>
      </w:r>
      <w:r w:rsidRPr="006C0A77">
        <w:rPr>
          <w:b/>
          <w:i w:val="0"/>
          <w:sz w:val="22"/>
          <w:szCs w:val="22"/>
        </w:rPr>
        <w:t xml:space="preserve">    </w:t>
      </w:r>
      <w:r>
        <w:rPr>
          <w:b/>
          <w:i w:val="0"/>
          <w:sz w:val="22"/>
          <w:szCs w:val="22"/>
        </w:rPr>
        <w:t>Vodozemci i gmizavci</w:t>
      </w:r>
    </w:p>
    <w:tbl>
      <w:tblPr>
        <w:tblW w:w="0" w:type="auto"/>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ayout w:type="fixed"/>
        <w:tblLook w:val="04A0" w:firstRow="1" w:lastRow="0" w:firstColumn="1" w:lastColumn="0" w:noHBand="0" w:noVBand="1"/>
      </w:tblPr>
      <w:tblGrid>
        <w:gridCol w:w="3528"/>
        <w:gridCol w:w="810"/>
        <w:gridCol w:w="900"/>
        <w:gridCol w:w="720"/>
        <w:gridCol w:w="900"/>
        <w:gridCol w:w="1170"/>
        <w:gridCol w:w="1261"/>
      </w:tblGrid>
      <w:tr w:rsidR="004B071C" w:rsidRPr="006171AD" w:rsidTr="006171AD">
        <w:tc>
          <w:tcPr>
            <w:tcW w:w="9289" w:type="dxa"/>
            <w:gridSpan w:val="7"/>
            <w:shd w:val="clear" w:color="auto" w:fill="E6EED5"/>
          </w:tcPr>
          <w:p w:rsidR="004B071C" w:rsidRPr="006171AD" w:rsidRDefault="004B071C" w:rsidP="004E680E">
            <w:pPr>
              <w:keepNext/>
              <w:keepLines/>
              <w:spacing w:before="60"/>
              <w:jc w:val="center"/>
              <w:outlineLvl w:val="3"/>
              <w:rPr>
                <w:rFonts w:ascii="Constantia" w:hAnsi="Constantia" w:cs="Arial"/>
                <w:b/>
                <w:bCs/>
                <w:iCs/>
                <w:color w:val="000000"/>
                <w:szCs w:val="22"/>
                <w:lang w:val="sr-Latn-CS"/>
              </w:rPr>
            </w:pPr>
            <w:r w:rsidRPr="006171AD">
              <w:rPr>
                <w:rFonts w:ascii="Constantia" w:hAnsi="Constantia" w:cs="Arial"/>
                <w:b/>
                <w:bCs/>
                <w:iCs/>
                <w:color w:val="000000"/>
                <w:szCs w:val="22"/>
                <w:lang w:val="sr-Latn-CS"/>
              </w:rPr>
              <w:t>Procjena stanja populacija gmizavaca i vodozemaca</w:t>
            </w:r>
          </w:p>
        </w:tc>
      </w:tr>
      <w:tr w:rsidR="004B071C" w:rsidRPr="006171AD" w:rsidTr="000F3724">
        <w:tc>
          <w:tcPr>
            <w:tcW w:w="3528" w:type="dxa"/>
            <w:shd w:val="clear" w:color="auto" w:fill="CDDDAC"/>
          </w:tcPr>
          <w:p w:rsidR="004B071C" w:rsidRPr="006171AD" w:rsidRDefault="004B071C" w:rsidP="004E680E">
            <w:pPr>
              <w:keepNext/>
              <w:keepLines/>
              <w:spacing w:before="60"/>
              <w:outlineLvl w:val="3"/>
              <w:rPr>
                <w:rFonts w:ascii="Constantia" w:hAnsi="Constantia" w:cs="Arial"/>
                <w:b/>
                <w:bCs/>
                <w:iCs/>
                <w:color w:val="000000"/>
                <w:szCs w:val="22"/>
                <w:lang w:val="sr-Latn-CS"/>
              </w:rPr>
            </w:pPr>
            <w:r w:rsidRPr="006171AD">
              <w:rPr>
                <w:rFonts w:ascii="Constantia" w:hAnsi="Constantia" w:cs="Arial"/>
                <w:b/>
                <w:bCs/>
                <w:iCs/>
                <w:color w:val="000000"/>
                <w:szCs w:val="22"/>
                <w:lang w:val="sr-Latn-CS"/>
              </w:rPr>
              <w:t>Vrste</w:t>
            </w:r>
          </w:p>
        </w:tc>
        <w:tc>
          <w:tcPr>
            <w:tcW w:w="810" w:type="dxa"/>
            <w:shd w:val="clear" w:color="auto" w:fill="CDDDAC"/>
          </w:tcPr>
          <w:p w:rsidR="004B071C" w:rsidRPr="006171AD" w:rsidRDefault="004B071C" w:rsidP="000F3724">
            <w:pPr>
              <w:keepNext/>
              <w:keepLines/>
              <w:spacing w:before="60"/>
              <w:jc w:val="center"/>
              <w:outlineLvl w:val="3"/>
              <w:rPr>
                <w:rFonts w:ascii="Constantia" w:hAnsi="Constantia" w:cs="Arial"/>
                <w:b/>
                <w:bCs/>
                <w:iCs/>
                <w:color w:val="000000"/>
                <w:szCs w:val="22"/>
                <w:lang w:val="sr-Latn-CS"/>
              </w:rPr>
            </w:pPr>
            <w:r w:rsidRPr="006171AD">
              <w:rPr>
                <w:rFonts w:ascii="Constantia" w:hAnsi="Constantia" w:cs="Arial"/>
                <w:b/>
                <w:bCs/>
                <w:iCs/>
                <w:color w:val="000000"/>
                <w:szCs w:val="22"/>
                <w:lang w:val="sr-Latn-CS"/>
              </w:rPr>
              <w:t>Tip prisustva</w:t>
            </w:r>
          </w:p>
        </w:tc>
        <w:tc>
          <w:tcPr>
            <w:tcW w:w="1620" w:type="dxa"/>
            <w:gridSpan w:val="2"/>
            <w:shd w:val="clear" w:color="auto" w:fill="CDDDAC"/>
          </w:tcPr>
          <w:p w:rsidR="004B071C" w:rsidRPr="006171AD" w:rsidRDefault="004B071C" w:rsidP="000F3724">
            <w:pPr>
              <w:keepNext/>
              <w:keepLines/>
              <w:spacing w:before="60"/>
              <w:jc w:val="center"/>
              <w:outlineLvl w:val="3"/>
              <w:rPr>
                <w:rFonts w:ascii="Constantia" w:hAnsi="Constantia" w:cs="Arial"/>
                <w:b/>
                <w:bCs/>
                <w:iCs/>
                <w:color w:val="000000"/>
                <w:szCs w:val="22"/>
                <w:lang w:val="sr-Latn-CS"/>
              </w:rPr>
            </w:pPr>
            <w:r w:rsidRPr="006171AD">
              <w:rPr>
                <w:rFonts w:ascii="Constantia" w:hAnsi="Constantia" w:cs="Arial"/>
                <w:b/>
                <w:bCs/>
                <w:iCs/>
                <w:color w:val="000000"/>
                <w:szCs w:val="22"/>
                <w:lang w:val="sr-Latn-CS"/>
              </w:rPr>
              <w:t>Vrste</w:t>
            </w:r>
          </w:p>
        </w:tc>
        <w:tc>
          <w:tcPr>
            <w:tcW w:w="900" w:type="dxa"/>
            <w:shd w:val="clear" w:color="auto" w:fill="CDDDAC"/>
          </w:tcPr>
          <w:p w:rsidR="004B071C" w:rsidRPr="006171AD" w:rsidRDefault="004B071C" w:rsidP="000F3724">
            <w:pPr>
              <w:keepNext/>
              <w:keepLines/>
              <w:spacing w:before="60"/>
              <w:jc w:val="center"/>
              <w:outlineLvl w:val="3"/>
              <w:rPr>
                <w:rFonts w:ascii="Constantia" w:hAnsi="Constantia" w:cs="Arial"/>
                <w:b/>
                <w:bCs/>
                <w:iCs/>
                <w:color w:val="000000"/>
                <w:szCs w:val="22"/>
                <w:lang w:val="sr-Latn-CS"/>
              </w:rPr>
            </w:pPr>
            <w:r w:rsidRPr="006171AD">
              <w:rPr>
                <w:rFonts w:ascii="Constantia" w:hAnsi="Constantia" w:cs="Arial"/>
                <w:b/>
                <w:bCs/>
                <w:iCs/>
                <w:color w:val="000000"/>
                <w:szCs w:val="22"/>
                <w:lang w:val="sr-Latn-CS"/>
              </w:rPr>
              <w:t>Jedinica</w:t>
            </w:r>
          </w:p>
        </w:tc>
        <w:tc>
          <w:tcPr>
            <w:tcW w:w="1170" w:type="dxa"/>
            <w:shd w:val="clear" w:color="auto" w:fill="CDDDAC"/>
          </w:tcPr>
          <w:p w:rsidR="004B071C" w:rsidRPr="006171AD" w:rsidRDefault="006171AD" w:rsidP="000F3724">
            <w:pPr>
              <w:keepNext/>
              <w:keepLines/>
              <w:spacing w:before="60"/>
              <w:jc w:val="center"/>
              <w:outlineLvl w:val="3"/>
              <w:rPr>
                <w:rFonts w:ascii="Constantia" w:hAnsi="Constantia" w:cs="Arial"/>
                <w:b/>
                <w:bCs/>
                <w:iCs/>
                <w:color w:val="000000"/>
                <w:szCs w:val="22"/>
                <w:lang w:val="sr-Latn-CS"/>
              </w:rPr>
            </w:pPr>
            <w:r>
              <w:rPr>
                <w:rFonts w:ascii="Constantia" w:hAnsi="Constantia" w:cs="Arial"/>
                <w:b/>
                <w:bCs/>
                <w:iCs/>
                <w:color w:val="000000"/>
                <w:szCs w:val="22"/>
                <w:lang w:val="sr-Latn-CS"/>
              </w:rPr>
              <w:t>O</w:t>
            </w:r>
            <w:r w:rsidR="004B071C" w:rsidRPr="006171AD">
              <w:rPr>
                <w:rFonts w:ascii="Constantia" w:hAnsi="Constantia" w:cs="Arial"/>
                <w:b/>
                <w:bCs/>
                <w:iCs/>
                <w:color w:val="000000"/>
                <w:szCs w:val="22"/>
                <w:lang w:val="sr-Latn-CS"/>
              </w:rPr>
              <w:t>cjena populacije</w:t>
            </w:r>
          </w:p>
        </w:tc>
        <w:tc>
          <w:tcPr>
            <w:tcW w:w="1261" w:type="dxa"/>
            <w:shd w:val="clear" w:color="auto" w:fill="CDDDAC"/>
          </w:tcPr>
          <w:p w:rsidR="004B071C" w:rsidRPr="006171AD" w:rsidRDefault="004B071C" w:rsidP="000F3724">
            <w:pPr>
              <w:keepNext/>
              <w:keepLines/>
              <w:spacing w:before="60"/>
              <w:jc w:val="center"/>
              <w:outlineLvl w:val="3"/>
              <w:rPr>
                <w:rFonts w:ascii="Constantia" w:hAnsi="Constantia" w:cs="Arial"/>
                <w:b/>
                <w:bCs/>
                <w:iCs/>
                <w:color w:val="000000"/>
                <w:szCs w:val="22"/>
                <w:lang w:val="sr-Latn-CS"/>
              </w:rPr>
            </w:pPr>
            <w:r w:rsidRPr="006171AD">
              <w:rPr>
                <w:rFonts w:ascii="Constantia" w:hAnsi="Constantia" w:cs="Arial"/>
                <w:b/>
                <w:bCs/>
                <w:iCs/>
                <w:color w:val="000000"/>
                <w:szCs w:val="22"/>
                <w:lang w:val="sr-Latn-CS"/>
              </w:rPr>
              <w:t>Kvalitet podataka</w:t>
            </w:r>
          </w:p>
        </w:tc>
      </w:tr>
      <w:tr w:rsidR="004B071C" w:rsidRPr="006171AD" w:rsidTr="000F3724">
        <w:tc>
          <w:tcPr>
            <w:tcW w:w="3528" w:type="dxa"/>
            <w:shd w:val="clear" w:color="auto" w:fill="E6EED5"/>
          </w:tcPr>
          <w:p w:rsidR="004B071C" w:rsidRPr="006171AD" w:rsidRDefault="004B071C" w:rsidP="004E680E">
            <w:pPr>
              <w:keepNext/>
              <w:keepLines/>
              <w:spacing w:before="60"/>
              <w:outlineLvl w:val="3"/>
              <w:rPr>
                <w:rFonts w:ascii="Constantia" w:hAnsi="Constantia" w:cs="Arial"/>
                <w:b/>
                <w:bCs/>
                <w:iCs/>
                <w:color w:val="000000"/>
                <w:szCs w:val="22"/>
                <w:lang w:val="sr-Latn-CS"/>
              </w:rPr>
            </w:pPr>
          </w:p>
        </w:tc>
        <w:tc>
          <w:tcPr>
            <w:tcW w:w="810" w:type="dxa"/>
            <w:shd w:val="clear" w:color="auto" w:fill="E6EED5"/>
          </w:tcPr>
          <w:p w:rsidR="004B071C" w:rsidRPr="006171AD" w:rsidRDefault="004B071C" w:rsidP="004E680E">
            <w:pPr>
              <w:keepNext/>
              <w:keepLines/>
              <w:spacing w:before="60"/>
              <w:outlineLvl w:val="3"/>
              <w:rPr>
                <w:rFonts w:ascii="Constantia" w:hAnsi="Constantia" w:cs="Arial"/>
                <w:b/>
                <w:bCs/>
                <w:iCs/>
                <w:color w:val="000000"/>
                <w:szCs w:val="22"/>
                <w:lang w:val="sr-Latn-CS"/>
              </w:rPr>
            </w:pPr>
          </w:p>
        </w:tc>
        <w:tc>
          <w:tcPr>
            <w:tcW w:w="900" w:type="dxa"/>
            <w:shd w:val="clear" w:color="auto" w:fill="E6EED5"/>
          </w:tcPr>
          <w:p w:rsidR="004B071C" w:rsidRPr="006171AD" w:rsidRDefault="004B071C" w:rsidP="004E680E">
            <w:pPr>
              <w:keepNext/>
              <w:keepLines/>
              <w:spacing w:before="60"/>
              <w:outlineLvl w:val="3"/>
              <w:rPr>
                <w:rFonts w:ascii="Constantia" w:hAnsi="Constantia" w:cs="Arial"/>
                <w:b/>
                <w:bCs/>
                <w:iCs/>
                <w:color w:val="000000"/>
                <w:szCs w:val="22"/>
                <w:lang w:val="sr-Latn-CS"/>
              </w:rPr>
            </w:pPr>
            <w:r w:rsidRPr="006171AD">
              <w:rPr>
                <w:rFonts w:ascii="Constantia" w:hAnsi="Constantia" w:cs="Arial"/>
                <w:b/>
                <w:bCs/>
                <w:iCs/>
                <w:color w:val="000000"/>
                <w:szCs w:val="22"/>
                <w:lang w:val="sr-Latn-CS"/>
              </w:rPr>
              <w:t>Min.</w:t>
            </w:r>
          </w:p>
        </w:tc>
        <w:tc>
          <w:tcPr>
            <w:tcW w:w="720" w:type="dxa"/>
            <w:shd w:val="clear" w:color="auto" w:fill="E6EED5"/>
          </w:tcPr>
          <w:p w:rsidR="004B071C" w:rsidRPr="006171AD" w:rsidRDefault="004B071C" w:rsidP="004E680E">
            <w:pPr>
              <w:keepNext/>
              <w:keepLines/>
              <w:spacing w:before="60"/>
              <w:outlineLvl w:val="3"/>
              <w:rPr>
                <w:rFonts w:ascii="Constantia" w:hAnsi="Constantia" w:cs="Arial"/>
                <w:b/>
                <w:bCs/>
                <w:iCs/>
                <w:color w:val="000000"/>
                <w:szCs w:val="22"/>
                <w:lang w:val="sr-Latn-CS"/>
              </w:rPr>
            </w:pPr>
            <w:r w:rsidRPr="006171AD">
              <w:rPr>
                <w:rFonts w:ascii="Constantia" w:hAnsi="Constantia" w:cs="Arial"/>
                <w:b/>
                <w:bCs/>
                <w:iCs/>
                <w:color w:val="000000"/>
                <w:szCs w:val="22"/>
                <w:lang w:val="sr-Latn-CS"/>
              </w:rPr>
              <w:t>Max.</w:t>
            </w:r>
          </w:p>
        </w:tc>
        <w:tc>
          <w:tcPr>
            <w:tcW w:w="900" w:type="dxa"/>
            <w:shd w:val="clear" w:color="auto" w:fill="E6EED5"/>
          </w:tcPr>
          <w:p w:rsidR="004B071C" w:rsidRPr="006171AD" w:rsidRDefault="004B071C" w:rsidP="004E680E">
            <w:pPr>
              <w:keepNext/>
              <w:keepLines/>
              <w:spacing w:before="60"/>
              <w:outlineLvl w:val="3"/>
              <w:rPr>
                <w:rFonts w:ascii="Constantia" w:hAnsi="Constantia" w:cs="Arial"/>
                <w:b/>
                <w:bCs/>
                <w:iCs/>
                <w:color w:val="000000"/>
                <w:szCs w:val="22"/>
                <w:lang w:val="sr-Latn-CS"/>
              </w:rPr>
            </w:pPr>
          </w:p>
        </w:tc>
        <w:tc>
          <w:tcPr>
            <w:tcW w:w="1170" w:type="dxa"/>
            <w:shd w:val="clear" w:color="auto" w:fill="E6EED5"/>
          </w:tcPr>
          <w:p w:rsidR="004B071C" w:rsidRPr="006171AD" w:rsidRDefault="004B071C" w:rsidP="004E680E">
            <w:pPr>
              <w:keepNext/>
              <w:keepLines/>
              <w:spacing w:before="60"/>
              <w:outlineLvl w:val="3"/>
              <w:rPr>
                <w:rFonts w:ascii="Constantia" w:hAnsi="Constantia" w:cs="Arial"/>
                <w:b/>
                <w:bCs/>
                <w:iCs/>
                <w:color w:val="000000"/>
                <w:szCs w:val="22"/>
                <w:lang w:val="sr-Latn-CS"/>
              </w:rPr>
            </w:pPr>
            <w:r w:rsidRPr="006171AD">
              <w:rPr>
                <w:rFonts w:ascii="Constantia" w:hAnsi="Constantia" w:cs="Arial"/>
                <w:b/>
                <w:bCs/>
                <w:iCs/>
                <w:color w:val="000000"/>
                <w:szCs w:val="22"/>
                <w:lang w:val="sr-Latn-CS"/>
              </w:rPr>
              <w:t>C/R/V/P</w:t>
            </w:r>
          </w:p>
        </w:tc>
        <w:tc>
          <w:tcPr>
            <w:tcW w:w="1261" w:type="dxa"/>
            <w:shd w:val="clear" w:color="auto" w:fill="E6EED5"/>
          </w:tcPr>
          <w:p w:rsidR="004B071C" w:rsidRPr="006171AD" w:rsidRDefault="004B071C" w:rsidP="004E680E">
            <w:pPr>
              <w:keepNext/>
              <w:keepLines/>
              <w:spacing w:before="60"/>
              <w:outlineLvl w:val="3"/>
              <w:rPr>
                <w:rFonts w:ascii="Constantia" w:hAnsi="Constantia" w:cs="Arial"/>
                <w:b/>
                <w:bCs/>
                <w:iCs/>
                <w:color w:val="000000"/>
                <w:szCs w:val="22"/>
                <w:lang w:val="sr-Latn-CS"/>
              </w:rPr>
            </w:pPr>
          </w:p>
        </w:tc>
      </w:tr>
      <w:tr w:rsidR="004B071C" w:rsidRPr="006171AD" w:rsidTr="000F3724">
        <w:tc>
          <w:tcPr>
            <w:tcW w:w="3528" w:type="dxa"/>
            <w:shd w:val="clear" w:color="auto" w:fill="CDDDAC"/>
          </w:tcPr>
          <w:p w:rsidR="004B071C" w:rsidRPr="006171AD" w:rsidRDefault="004B071C" w:rsidP="006171AD">
            <w:pPr>
              <w:spacing w:after="0"/>
              <w:jc w:val="left"/>
              <w:rPr>
                <w:rFonts w:ascii="Constantia" w:hAnsi="Constantia" w:cs="Arial"/>
                <w:bCs/>
                <w:color w:val="000000"/>
                <w:szCs w:val="22"/>
              </w:rPr>
            </w:pPr>
            <w:r w:rsidRPr="006171AD">
              <w:rPr>
                <w:rFonts w:ascii="Constantia" w:hAnsi="Constantia" w:cs="Arial"/>
                <w:bCs/>
                <w:i/>
                <w:color w:val="000000"/>
                <w:szCs w:val="22"/>
              </w:rPr>
              <w:t>Hyla arborea</w:t>
            </w:r>
            <w:r w:rsidRPr="006171AD">
              <w:rPr>
                <w:rFonts w:ascii="Constantia" w:hAnsi="Constantia" w:cs="Arial"/>
                <w:bCs/>
                <w:color w:val="000000"/>
                <w:szCs w:val="22"/>
              </w:rPr>
              <w:t xml:space="preserve"> (Linnaeus, 1758)</w:t>
            </w:r>
          </w:p>
        </w:tc>
        <w:tc>
          <w:tcPr>
            <w:tcW w:w="810" w:type="dxa"/>
            <w:shd w:val="clear" w:color="auto" w:fill="CDDDAC"/>
          </w:tcPr>
          <w:p w:rsidR="004B071C" w:rsidRPr="006171AD" w:rsidRDefault="004B071C" w:rsidP="004E680E">
            <w:pPr>
              <w:keepNext/>
              <w:keepLines/>
              <w:spacing w:before="60"/>
              <w:jc w:val="center"/>
              <w:outlineLvl w:val="3"/>
              <w:rPr>
                <w:rFonts w:ascii="Constantia" w:hAnsi="Constantia" w:cs="Arial"/>
                <w:bCs/>
                <w:iCs/>
                <w:color w:val="000000"/>
                <w:szCs w:val="22"/>
                <w:lang w:val="sr-Latn-CS"/>
              </w:rPr>
            </w:pPr>
            <w:r w:rsidRPr="006171AD">
              <w:rPr>
                <w:rFonts w:ascii="Constantia" w:hAnsi="Constantia" w:cs="Arial"/>
                <w:bCs/>
                <w:iCs/>
                <w:color w:val="000000"/>
                <w:szCs w:val="22"/>
                <w:lang w:val="sr-Latn-CS"/>
              </w:rPr>
              <w:t>P</w:t>
            </w:r>
          </w:p>
        </w:tc>
        <w:tc>
          <w:tcPr>
            <w:tcW w:w="900" w:type="dxa"/>
            <w:shd w:val="clear" w:color="auto" w:fill="CDDDAC"/>
          </w:tcPr>
          <w:p w:rsidR="004B071C" w:rsidRPr="006171AD" w:rsidRDefault="004B071C" w:rsidP="004E680E">
            <w:pPr>
              <w:keepNext/>
              <w:keepLines/>
              <w:spacing w:before="60"/>
              <w:jc w:val="center"/>
              <w:outlineLvl w:val="3"/>
              <w:rPr>
                <w:rFonts w:ascii="Constantia" w:hAnsi="Constantia" w:cs="Arial"/>
                <w:bCs/>
                <w:iCs/>
                <w:color w:val="000000"/>
                <w:szCs w:val="22"/>
                <w:lang w:val="sr-Latn-CS"/>
              </w:rPr>
            </w:pPr>
            <w:r w:rsidRPr="006171AD">
              <w:rPr>
                <w:rFonts w:ascii="Constantia" w:hAnsi="Constantia" w:cs="Arial"/>
                <w:bCs/>
                <w:iCs/>
                <w:color w:val="000000"/>
                <w:szCs w:val="22"/>
                <w:lang w:val="sr-Latn-CS"/>
              </w:rPr>
              <w:t>&lt;10</w:t>
            </w:r>
          </w:p>
        </w:tc>
        <w:tc>
          <w:tcPr>
            <w:tcW w:w="720" w:type="dxa"/>
            <w:shd w:val="clear" w:color="auto" w:fill="CDDDAC"/>
          </w:tcPr>
          <w:p w:rsidR="004B071C" w:rsidRPr="006171AD" w:rsidRDefault="004B071C" w:rsidP="004E680E">
            <w:pPr>
              <w:keepNext/>
              <w:keepLines/>
              <w:spacing w:before="60"/>
              <w:jc w:val="center"/>
              <w:outlineLvl w:val="3"/>
              <w:rPr>
                <w:rFonts w:ascii="Constantia" w:hAnsi="Constantia" w:cs="Arial"/>
                <w:bCs/>
                <w:iCs/>
                <w:color w:val="FF0000"/>
                <w:szCs w:val="22"/>
                <w:lang w:val="sr-Latn-CS"/>
              </w:rPr>
            </w:pPr>
          </w:p>
        </w:tc>
        <w:tc>
          <w:tcPr>
            <w:tcW w:w="900" w:type="dxa"/>
            <w:shd w:val="clear" w:color="auto" w:fill="CDDDAC"/>
          </w:tcPr>
          <w:p w:rsidR="004B071C" w:rsidRPr="006171AD" w:rsidRDefault="004B071C" w:rsidP="004E680E">
            <w:pPr>
              <w:jc w:val="center"/>
              <w:rPr>
                <w:rFonts w:ascii="Constantia" w:hAnsi="Constantia" w:cs="Arial"/>
                <w:color w:val="000000"/>
                <w:szCs w:val="22"/>
              </w:rPr>
            </w:pPr>
            <w:r w:rsidRPr="006171AD">
              <w:rPr>
                <w:rFonts w:ascii="Constantia" w:hAnsi="Constantia" w:cs="Arial"/>
                <w:color w:val="000000"/>
                <w:szCs w:val="22"/>
              </w:rPr>
              <w:t>I</w:t>
            </w:r>
          </w:p>
        </w:tc>
        <w:tc>
          <w:tcPr>
            <w:tcW w:w="1170" w:type="dxa"/>
            <w:shd w:val="clear" w:color="auto" w:fill="CDDDAC"/>
          </w:tcPr>
          <w:p w:rsidR="004B071C" w:rsidRPr="006171AD" w:rsidRDefault="004B071C" w:rsidP="004E680E">
            <w:pPr>
              <w:keepNext/>
              <w:keepLines/>
              <w:spacing w:before="60"/>
              <w:jc w:val="center"/>
              <w:outlineLvl w:val="3"/>
              <w:rPr>
                <w:rFonts w:ascii="Constantia" w:hAnsi="Constantia" w:cs="Arial"/>
                <w:bCs/>
                <w:iCs/>
                <w:color w:val="000000"/>
                <w:szCs w:val="22"/>
                <w:lang w:val="sr-Latn-CS"/>
              </w:rPr>
            </w:pPr>
            <w:r w:rsidRPr="006171AD">
              <w:rPr>
                <w:rFonts w:ascii="Constantia" w:hAnsi="Constantia" w:cs="Arial"/>
                <w:bCs/>
                <w:iCs/>
                <w:color w:val="000000"/>
                <w:szCs w:val="22"/>
                <w:lang w:val="sr-Latn-CS"/>
              </w:rPr>
              <w:t>C</w:t>
            </w:r>
          </w:p>
        </w:tc>
        <w:tc>
          <w:tcPr>
            <w:tcW w:w="1261" w:type="dxa"/>
            <w:shd w:val="clear" w:color="auto" w:fill="CDDDAC"/>
          </w:tcPr>
          <w:p w:rsidR="004B071C" w:rsidRPr="006171AD" w:rsidRDefault="004B071C" w:rsidP="004E680E">
            <w:pPr>
              <w:keepNext/>
              <w:keepLines/>
              <w:spacing w:before="60"/>
              <w:jc w:val="center"/>
              <w:outlineLvl w:val="3"/>
              <w:rPr>
                <w:rFonts w:ascii="Constantia" w:hAnsi="Constantia" w:cs="Arial"/>
                <w:bCs/>
                <w:iCs/>
                <w:color w:val="000000"/>
                <w:szCs w:val="22"/>
                <w:lang w:val="sr-Latn-CS"/>
              </w:rPr>
            </w:pPr>
            <w:r w:rsidRPr="006171AD">
              <w:rPr>
                <w:rFonts w:ascii="Constantia" w:hAnsi="Constantia" w:cs="Arial"/>
                <w:bCs/>
                <w:iCs/>
                <w:color w:val="000000"/>
                <w:szCs w:val="22"/>
                <w:lang w:val="sr-Latn-CS"/>
              </w:rPr>
              <w:t>G</w:t>
            </w:r>
          </w:p>
        </w:tc>
      </w:tr>
      <w:tr w:rsidR="004B071C" w:rsidRPr="006171AD" w:rsidTr="000F3724">
        <w:tc>
          <w:tcPr>
            <w:tcW w:w="3528" w:type="dxa"/>
            <w:shd w:val="clear" w:color="auto" w:fill="E6EED5"/>
          </w:tcPr>
          <w:p w:rsidR="004B071C" w:rsidRPr="006171AD" w:rsidRDefault="004B071C" w:rsidP="006171AD">
            <w:pPr>
              <w:spacing w:after="0"/>
              <w:jc w:val="left"/>
              <w:rPr>
                <w:rFonts w:ascii="Constantia" w:hAnsi="Constantia" w:cs="Arial"/>
                <w:bCs/>
                <w:i/>
                <w:color w:val="000000"/>
                <w:szCs w:val="22"/>
              </w:rPr>
            </w:pPr>
            <w:r w:rsidRPr="006171AD">
              <w:rPr>
                <w:rFonts w:ascii="Constantia" w:hAnsi="Constantia" w:cs="Arial"/>
                <w:bCs/>
                <w:i/>
                <w:color w:val="000000"/>
                <w:szCs w:val="22"/>
              </w:rPr>
              <w:t>Pelophylax</w:t>
            </w:r>
            <w:r w:rsidRPr="006171AD">
              <w:rPr>
                <w:rFonts w:ascii="Constantia" w:hAnsi="Constantia" w:cs="Arial"/>
                <w:bCs/>
                <w:color w:val="000000"/>
                <w:szCs w:val="22"/>
              </w:rPr>
              <w:t xml:space="preserve"> (Rana) </w:t>
            </w:r>
            <w:r w:rsidRPr="006171AD">
              <w:rPr>
                <w:rFonts w:ascii="Constantia" w:hAnsi="Constantia" w:cs="Arial"/>
                <w:bCs/>
                <w:i/>
                <w:color w:val="000000"/>
                <w:szCs w:val="22"/>
              </w:rPr>
              <w:t xml:space="preserve">shqipericus </w:t>
            </w:r>
          </w:p>
          <w:p w:rsidR="004B071C" w:rsidRPr="006171AD" w:rsidRDefault="004B071C" w:rsidP="006171AD">
            <w:pPr>
              <w:spacing w:after="0"/>
              <w:jc w:val="left"/>
              <w:rPr>
                <w:rFonts w:ascii="Constantia" w:hAnsi="Constantia" w:cs="Arial"/>
                <w:bCs/>
                <w:color w:val="000000"/>
                <w:szCs w:val="22"/>
              </w:rPr>
            </w:pPr>
            <w:r w:rsidRPr="006171AD">
              <w:rPr>
                <w:rFonts w:ascii="Constantia" w:hAnsi="Constantia" w:cs="Arial"/>
                <w:bCs/>
                <w:color w:val="000000"/>
                <w:szCs w:val="22"/>
              </w:rPr>
              <w:t>Hotz et al.,1987</w:t>
            </w:r>
          </w:p>
        </w:tc>
        <w:tc>
          <w:tcPr>
            <w:tcW w:w="810" w:type="dxa"/>
            <w:shd w:val="clear" w:color="auto" w:fill="E6EED5"/>
          </w:tcPr>
          <w:p w:rsidR="004B071C" w:rsidRPr="006171AD" w:rsidRDefault="004B071C" w:rsidP="004E680E">
            <w:pPr>
              <w:keepNext/>
              <w:keepLines/>
              <w:spacing w:before="60"/>
              <w:jc w:val="center"/>
              <w:outlineLvl w:val="3"/>
              <w:rPr>
                <w:rFonts w:ascii="Constantia" w:hAnsi="Constantia" w:cs="Arial"/>
                <w:bCs/>
                <w:iCs/>
                <w:color w:val="000000"/>
                <w:szCs w:val="22"/>
                <w:lang w:val="sr-Latn-CS"/>
              </w:rPr>
            </w:pPr>
            <w:r w:rsidRPr="006171AD">
              <w:rPr>
                <w:rFonts w:ascii="Constantia" w:hAnsi="Constantia" w:cs="Arial"/>
                <w:bCs/>
                <w:iCs/>
                <w:color w:val="000000"/>
                <w:szCs w:val="22"/>
                <w:lang w:val="sr-Latn-CS"/>
              </w:rPr>
              <w:t>P</w:t>
            </w:r>
          </w:p>
        </w:tc>
        <w:tc>
          <w:tcPr>
            <w:tcW w:w="900" w:type="dxa"/>
            <w:shd w:val="clear" w:color="auto" w:fill="E6EED5"/>
          </w:tcPr>
          <w:p w:rsidR="004B071C" w:rsidRPr="006171AD" w:rsidRDefault="004B071C" w:rsidP="004E680E">
            <w:pPr>
              <w:keepNext/>
              <w:keepLines/>
              <w:spacing w:before="60"/>
              <w:jc w:val="center"/>
              <w:outlineLvl w:val="3"/>
              <w:rPr>
                <w:rFonts w:ascii="Constantia" w:hAnsi="Constantia" w:cs="Arial"/>
                <w:bCs/>
                <w:iCs/>
                <w:color w:val="000000"/>
                <w:szCs w:val="22"/>
                <w:lang w:val="sr-Latn-CS"/>
              </w:rPr>
            </w:pPr>
            <w:r w:rsidRPr="006171AD">
              <w:rPr>
                <w:rFonts w:ascii="Constantia" w:hAnsi="Constantia" w:cs="Arial"/>
                <w:bCs/>
                <w:iCs/>
                <w:color w:val="000000"/>
                <w:szCs w:val="22"/>
                <w:lang w:val="sr-Latn-CS"/>
              </w:rPr>
              <w:t>&lt;10</w:t>
            </w:r>
          </w:p>
        </w:tc>
        <w:tc>
          <w:tcPr>
            <w:tcW w:w="720" w:type="dxa"/>
            <w:shd w:val="clear" w:color="auto" w:fill="E6EED5"/>
          </w:tcPr>
          <w:p w:rsidR="004B071C" w:rsidRPr="006171AD" w:rsidRDefault="004B071C" w:rsidP="004E680E">
            <w:pPr>
              <w:keepNext/>
              <w:keepLines/>
              <w:spacing w:before="60"/>
              <w:jc w:val="center"/>
              <w:outlineLvl w:val="3"/>
              <w:rPr>
                <w:rFonts w:ascii="Constantia" w:hAnsi="Constantia" w:cs="Arial"/>
                <w:bCs/>
                <w:iCs/>
                <w:color w:val="FF0000"/>
                <w:szCs w:val="22"/>
                <w:lang w:val="sr-Latn-CS"/>
              </w:rPr>
            </w:pPr>
          </w:p>
        </w:tc>
        <w:tc>
          <w:tcPr>
            <w:tcW w:w="900" w:type="dxa"/>
            <w:shd w:val="clear" w:color="auto" w:fill="E6EED5"/>
          </w:tcPr>
          <w:p w:rsidR="004B071C" w:rsidRPr="006171AD" w:rsidRDefault="004B071C" w:rsidP="004E680E">
            <w:pPr>
              <w:jc w:val="center"/>
              <w:rPr>
                <w:rFonts w:ascii="Constantia" w:hAnsi="Constantia" w:cs="Arial"/>
                <w:color w:val="000000"/>
                <w:szCs w:val="22"/>
              </w:rPr>
            </w:pPr>
            <w:r w:rsidRPr="006171AD">
              <w:rPr>
                <w:rFonts w:ascii="Constantia" w:hAnsi="Constantia" w:cs="Arial"/>
                <w:color w:val="000000"/>
                <w:szCs w:val="22"/>
              </w:rPr>
              <w:t>I</w:t>
            </w:r>
          </w:p>
        </w:tc>
        <w:tc>
          <w:tcPr>
            <w:tcW w:w="1170" w:type="dxa"/>
            <w:shd w:val="clear" w:color="auto" w:fill="E6EED5"/>
          </w:tcPr>
          <w:p w:rsidR="004B071C" w:rsidRPr="006171AD" w:rsidRDefault="004B071C" w:rsidP="004E680E">
            <w:pPr>
              <w:keepNext/>
              <w:keepLines/>
              <w:spacing w:before="60"/>
              <w:jc w:val="center"/>
              <w:outlineLvl w:val="3"/>
              <w:rPr>
                <w:rFonts w:ascii="Constantia" w:hAnsi="Constantia" w:cs="Arial"/>
                <w:bCs/>
                <w:iCs/>
                <w:color w:val="000000"/>
                <w:szCs w:val="22"/>
                <w:lang w:val="sr-Latn-CS"/>
              </w:rPr>
            </w:pPr>
            <w:r w:rsidRPr="006171AD">
              <w:rPr>
                <w:rFonts w:ascii="Constantia" w:hAnsi="Constantia" w:cs="Arial"/>
                <w:bCs/>
                <w:iCs/>
                <w:color w:val="000000"/>
                <w:szCs w:val="22"/>
                <w:lang w:val="sr-Latn-CS"/>
              </w:rPr>
              <w:t>C</w:t>
            </w:r>
          </w:p>
        </w:tc>
        <w:tc>
          <w:tcPr>
            <w:tcW w:w="1261" w:type="dxa"/>
            <w:shd w:val="clear" w:color="auto" w:fill="E6EED5"/>
          </w:tcPr>
          <w:p w:rsidR="004B071C" w:rsidRPr="006171AD" w:rsidRDefault="004B071C" w:rsidP="004E680E">
            <w:pPr>
              <w:keepNext/>
              <w:keepLines/>
              <w:spacing w:before="60"/>
              <w:jc w:val="center"/>
              <w:outlineLvl w:val="3"/>
              <w:rPr>
                <w:rFonts w:ascii="Constantia" w:hAnsi="Constantia" w:cs="Arial"/>
                <w:bCs/>
                <w:iCs/>
                <w:color w:val="000000"/>
                <w:szCs w:val="22"/>
                <w:lang w:val="sr-Latn-CS"/>
              </w:rPr>
            </w:pPr>
            <w:r w:rsidRPr="006171AD">
              <w:rPr>
                <w:rFonts w:ascii="Constantia" w:hAnsi="Constantia" w:cs="Arial"/>
                <w:bCs/>
                <w:iCs/>
                <w:color w:val="000000"/>
                <w:szCs w:val="22"/>
                <w:lang w:val="sr-Latn-CS"/>
              </w:rPr>
              <w:t>G</w:t>
            </w:r>
          </w:p>
        </w:tc>
      </w:tr>
      <w:tr w:rsidR="004B071C" w:rsidRPr="006171AD" w:rsidTr="000F3724">
        <w:tc>
          <w:tcPr>
            <w:tcW w:w="3528" w:type="dxa"/>
            <w:shd w:val="clear" w:color="auto" w:fill="CDDDAC"/>
          </w:tcPr>
          <w:p w:rsidR="004B071C" w:rsidRPr="006171AD" w:rsidRDefault="004B071C" w:rsidP="006171AD">
            <w:pPr>
              <w:spacing w:after="0"/>
              <w:jc w:val="left"/>
              <w:rPr>
                <w:rFonts w:ascii="Constantia" w:hAnsi="Constantia" w:cs="Arial"/>
                <w:bCs/>
                <w:color w:val="000000"/>
                <w:szCs w:val="22"/>
              </w:rPr>
            </w:pPr>
            <w:r w:rsidRPr="006171AD">
              <w:rPr>
                <w:rFonts w:ascii="Constantia" w:hAnsi="Constantia" w:cs="Arial"/>
                <w:bCs/>
                <w:color w:val="000000"/>
                <w:szCs w:val="22"/>
              </w:rPr>
              <w:t>Algiroides nigropunctatus(Dum.&amp;Bibr., 1839)</w:t>
            </w:r>
          </w:p>
        </w:tc>
        <w:tc>
          <w:tcPr>
            <w:tcW w:w="810" w:type="dxa"/>
            <w:shd w:val="clear" w:color="auto" w:fill="CDDDAC"/>
          </w:tcPr>
          <w:p w:rsidR="004B071C" w:rsidRPr="006171AD" w:rsidRDefault="004B071C" w:rsidP="004E680E">
            <w:pPr>
              <w:keepNext/>
              <w:keepLines/>
              <w:spacing w:before="60"/>
              <w:jc w:val="center"/>
              <w:outlineLvl w:val="3"/>
              <w:rPr>
                <w:rFonts w:ascii="Constantia" w:hAnsi="Constantia" w:cs="Arial"/>
                <w:bCs/>
                <w:iCs/>
                <w:color w:val="000000"/>
                <w:szCs w:val="22"/>
                <w:lang w:val="sr-Latn-CS"/>
              </w:rPr>
            </w:pPr>
            <w:r w:rsidRPr="006171AD">
              <w:rPr>
                <w:rFonts w:ascii="Constantia" w:hAnsi="Constantia" w:cs="Arial"/>
                <w:bCs/>
                <w:iCs/>
                <w:color w:val="000000"/>
                <w:szCs w:val="22"/>
                <w:lang w:val="sr-Latn-CS"/>
              </w:rPr>
              <w:t>P</w:t>
            </w:r>
          </w:p>
        </w:tc>
        <w:tc>
          <w:tcPr>
            <w:tcW w:w="900" w:type="dxa"/>
            <w:shd w:val="clear" w:color="auto" w:fill="CDDDAC"/>
          </w:tcPr>
          <w:p w:rsidR="004B071C" w:rsidRPr="006171AD" w:rsidRDefault="004B071C" w:rsidP="004E680E">
            <w:pPr>
              <w:keepNext/>
              <w:keepLines/>
              <w:spacing w:before="60"/>
              <w:jc w:val="center"/>
              <w:outlineLvl w:val="3"/>
              <w:rPr>
                <w:rFonts w:ascii="Constantia" w:hAnsi="Constantia" w:cs="Arial"/>
                <w:bCs/>
                <w:iCs/>
                <w:color w:val="000000"/>
                <w:szCs w:val="22"/>
                <w:lang w:val="sr-Latn-CS"/>
              </w:rPr>
            </w:pPr>
            <w:r w:rsidRPr="006171AD">
              <w:rPr>
                <w:rFonts w:ascii="Constantia" w:hAnsi="Constantia" w:cs="Arial"/>
                <w:bCs/>
                <w:iCs/>
                <w:color w:val="000000"/>
                <w:szCs w:val="22"/>
                <w:lang w:val="sr-Latn-CS"/>
              </w:rPr>
              <w:t>10</w:t>
            </w:r>
          </w:p>
        </w:tc>
        <w:tc>
          <w:tcPr>
            <w:tcW w:w="720" w:type="dxa"/>
            <w:shd w:val="clear" w:color="auto" w:fill="CDDDAC"/>
          </w:tcPr>
          <w:p w:rsidR="004B071C" w:rsidRPr="006171AD" w:rsidRDefault="004B071C" w:rsidP="004E680E">
            <w:pPr>
              <w:keepNext/>
              <w:keepLines/>
              <w:spacing w:before="60"/>
              <w:jc w:val="center"/>
              <w:outlineLvl w:val="3"/>
              <w:rPr>
                <w:rFonts w:ascii="Constantia" w:hAnsi="Constantia" w:cs="Arial"/>
                <w:bCs/>
                <w:iCs/>
                <w:color w:val="FF0000"/>
                <w:szCs w:val="22"/>
                <w:lang w:val="sr-Latn-CS"/>
              </w:rPr>
            </w:pPr>
          </w:p>
        </w:tc>
        <w:tc>
          <w:tcPr>
            <w:tcW w:w="900" w:type="dxa"/>
            <w:shd w:val="clear" w:color="auto" w:fill="CDDDAC"/>
          </w:tcPr>
          <w:p w:rsidR="004B071C" w:rsidRPr="006171AD" w:rsidRDefault="004B071C" w:rsidP="004E680E">
            <w:pPr>
              <w:jc w:val="center"/>
              <w:rPr>
                <w:rFonts w:ascii="Constantia" w:hAnsi="Constantia" w:cs="Arial"/>
                <w:color w:val="000000"/>
                <w:szCs w:val="22"/>
              </w:rPr>
            </w:pPr>
            <w:r w:rsidRPr="006171AD">
              <w:rPr>
                <w:rFonts w:ascii="Constantia" w:hAnsi="Constantia" w:cs="Arial"/>
                <w:color w:val="000000"/>
                <w:szCs w:val="22"/>
              </w:rPr>
              <w:t>I</w:t>
            </w:r>
          </w:p>
        </w:tc>
        <w:tc>
          <w:tcPr>
            <w:tcW w:w="1170" w:type="dxa"/>
            <w:shd w:val="clear" w:color="auto" w:fill="CDDDAC"/>
          </w:tcPr>
          <w:p w:rsidR="004B071C" w:rsidRPr="006171AD" w:rsidRDefault="004B071C" w:rsidP="004E680E">
            <w:pPr>
              <w:keepNext/>
              <w:keepLines/>
              <w:spacing w:before="60"/>
              <w:jc w:val="center"/>
              <w:outlineLvl w:val="3"/>
              <w:rPr>
                <w:rFonts w:ascii="Constantia" w:hAnsi="Constantia" w:cs="Arial"/>
                <w:bCs/>
                <w:iCs/>
                <w:color w:val="000000"/>
                <w:szCs w:val="22"/>
                <w:lang w:val="sr-Latn-CS"/>
              </w:rPr>
            </w:pPr>
            <w:r w:rsidRPr="006171AD">
              <w:rPr>
                <w:rFonts w:ascii="Constantia" w:hAnsi="Constantia" w:cs="Arial"/>
                <w:bCs/>
                <w:iCs/>
                <w:color w:val="000000"/>
                <w:szCs w:val="22"/>
                <w:lang w:val="sr-Latn-CS"/>
              </w:rPr>
              <w:t>C</w:t>
            </w:r>
          </w:p>
        </w:tc>
        <w:tc>
          <w:tcPr>
            <w:tcW w:w="1261" w:type="dxa"/>
            <w:shd w:val="clear" w:color="auto" w:fill="CDDDAC"/>
          </w:tcPr>
          <w:p w:rsidR="004B071C" w:rsidRPr="006171AD" w:rsidRDefault="004B071C" w:rsidP="004E680E">
            <w:pPr>
              <w:keepNext/>
              <w:keepLines/>
              <w:spacing w:before="60"/>
              <w:jc w:val="center"/>
              <w:outlineLvl w:val="3"/>
              <w:rPr>
                <w:rFonts w:ascii="Constantia" w:hAnsi="Constantia" w:cs="Arial"/>
                <w:bCs/>
                <w:iCs/>
                <w:color w:val="000000"/>
                <w:szCs w:val="22"/>
                <w:lang w:val="sr-Latn-CS"/>
              </w:rPr>
            </w:pPr>
            <w:r w:rsidRPr="006171AD">
              <w:rPr>
                <w:rFonts w:ascii="Constantia" w:hAnsi="Constantia" w:cs="Arial"/>
                <w:bCs/>
                <w:iCs/>
                <w:color w:val="000000"/>
                <w:szCs w:val="22"/>
                <w:lang w:val="sr-Latn-CS"/>
              </w:rPr>
              <w:t>G</w:t>
            </w:r>
          </w:p>
        </w:tc>
      </w:tr>
      <w:tr w:rsidR="004B071C" w:rsidRPr="006171AD" w:rsidTr="000F3724">
        <w:tc>
          <w:tcPr>
            <w:tcW w:w="3528" w:type="dxa"/>
            <w:shd w:val="clear" w:color="auto" w:fill="E6EED5"/>
          </w:tcPr>
          <w:p w:rsidR="004B071C" w:rsidRPr="006171AD" w:rsidRDefault="004B071C" w:rsidP="006171AD">
            <w:pPr>
              <w:spacing w:after="0"/>
              <w:jc w:val="left"/>
              <w:rPr>
                <w:rFonts w:ascii="Constantia" w:hAnsi="Constantia" w:cs="Arial"/>
                <w:bCs/>
                <w:color w:val="000000"/>
                <w:szCs w:val="22"/>
              </w:rPr>
            </w:pPr>
            <w:r w:rsidRPr="006171AD">
              <w:rPr>
                <w:rFonts w:ascii="Constantia" w:hAnsi="Constantia" w:cs="Arial"/>
                <w:bCs/>
                <w:color w:val="000000"/>
                <w:szCs w:val="22"/>
              </w:rPr>
              <w:t>Testudo hermanni (Gmelin 1788)</w:t>
            </w:r>
          </w:p>
        </w:tc>
        <w:tc>
          <w:tcPr>
            <w:tcW w:w="810" w:type="dxa"/>
            <w:shd w:val="clear" w:color="auto" w:fill="E6EED5"/>
          </w:tcPr>
          <w:p w:rsidR="004B071C" w:rsidRPr="006171AD" w:rsidRDefault="004B071C" w:rsidP="004E680E">
            <w:pPr>
              <w:keepNext/>
              <w:keepLines/>
              <w:spacing w:before="60"/>
              <w:jc w:val="center"/>
              <w:outlineLvl w:val="3"/>
              <w:rPr>
                <w:rFonts w:ascii="Constantia" w:hAnsi="Constantia" w:cs="Arial"/>
                <w:bCs/>
                <w:iCs/>
                <w:color w:val="000000"/>
                <w:szCs w:val="22"/>
                <w:lang w:val="sr-Latn-CS"/>
              </w:rPr>
            </w:pPr>
            <w:r w:rsidRPr="006171AD">
              <w:rPr>
                <w:rFonts w:ascii="Constantia" w:hAnsi="Constantia" w:cs="Arial"/>
                <w:bCs/>
                <w:iCs/>
                <w:color w:val="000000"/>
                <w:szCs w:val="22"/>
                <w:lang w:val="sr-Latn-CS"/>
              </w:rPr>
              <w:t>P</w:t>
            </w:r>
          </w:p>
        </w:tc>
        <w:tc>
          <w:tcPr>
            <w:tcW w:w="900" w:type="dxa"/>
            <w:shd w:val="clear" w:color="auto" w:fill="E6EED5"/>
          </w:tcPr>
          <w:p w:rsidR="004B071C" w:rsidRPr="006171AD" w:rsidRDefault="004B071C" w:rsidP="004E680E">
            <w:pPr>
              <w:keepNext/>
              <w:keepLines/>
              <w:spacing w:before="60"/>
              <w:jc w:val="center"/>
              <w:outlineLvl w:val="3"/>
              <w:rPr>
                <w:rFonts w:ascii="Constantia" w:hAnsi="Constantia" w:cs="Arial"/>
                <w:bCs/>
                <w:iCs/>
                <w:color w:val="000000"/>
                <w:szCs w:val="22"/>
                <w:lang w:val="sr-Latn-CS"/>
              </w:rPr>
            </w:pPr>
            <w:r w:rsidRPr="006171AD">
              <w:rPr>
                <w:rFonts w:ascii="Constantia" w:hAnsi="Constantia" w:cs="Arial"/>
                <w:bCs/>
                <w:iCs/>
                <w:color w:val="000000"/>
                <w:szCs w:val="22"/>
                <w:lang w:val="sr-Latn-CS"/>
              </w:rPr>
              <w:t>10</w:t>
            </w:r>
          </w:p>
        </w:tc>
        <w:tc>
          <w:tcPr>
            <w:tcW w:w="720" w:type="dxa"/>
            <w:shd w:val="clear" w:color="auto" w:fill="E6EED5"/>
          </w:tcPr>
          <w:p w:rsidR="004B071C" w:rsidRPr="006171AD" w:rsidRDefault="004B071C" w:rsidP="004E680E">
            <w:pPr>
              <w:keepNext/>
              <w:keepLines/>
              <w:spacing w:before="60"/>
              <w:jc w:val="center"/>
              <w:outlineLvl w:val="3"/>
              <w:rPr>
                <w:rFonts w:ascii="Constantia" w:hAnsi="Constantia" w:cs="Arial"/>
                <w:bCs/>
                <w:iCs/>
                <w:color w:val="FF0000"/>
                <w:szCs w:val="22"/>
                <w:lang w:val="sr-Latn-CS"/>
              </w:rPr>
            </w:pPr>
          </w:p>
        </w:tc>
        <w:tc>
          <w:tcPr>
            <w:tcW w:w="900" w:type="dxa"/>
            <w:shd w:val="clear" w:color="auto" w:fill="E6EED5"/>
          </w:tcPr>
          <w:p w:rsidR="004B071C" w:rsidRPr="006171AD" w:rsidRDefault="004B071C" w:rsidP="004E680E">
            <w:pPr>
              <w:jc w:val="center"/>
              <w:rPr>
                <w:rFonts w:ascii="Constantia" w:hAnsi="Constantia" w:cs="Arial"/>
                <w:color w:val="000000"/>
                <w:szCs w:val="22"/>
              </w:rPr>
            </w:pPr>
            <w:r w:rsidRPr="006171AD">
              <w:rPr>
                <w:rFonts w:ascii="Constantia" w:hAnsi="Constantia" w:cs="Arial"/>
                <w:color w:val="000000"/>
                <w:szCs w:val="22"/>
              </w:rPr>
              <w:t>I</w:t>
            </w:r>
          </w:p>
        </w:tc>
        <w:tc>
          <w:tcPr>
            <w:tcW w:w="1170" w:type="dxa"/>
            <w:shd w:val="clear" w:color="auto" w:fill="E6EED5"/>
          </w:tcPr>
          <w:p w:rsidR="004B071C" w:rsidRPr="006171AD" w:rsidRDefault="004B071C" w:rsidP="004E680E">
            <w:pPr>
              <w:keepNext/>
              <w:keepLines/>
              <w:spacing w:before="60"/>
              <w:jc w:val="center"/>
              <w:outlineLvl w:val="3"/>
              <w:rPr>
                <w:rFonts w:ascii="Constantia" w:hAnsi="Constantia" w:cs="Arial"/>
                <w:bCs/>
                <w:iCs/>
                <w:color w:val="000000"/>
                <w:szCs w:val="22"/>
                <w:lang w:val="sr-Latn-CS"/>
              </w:rPr>
            </w:pPr>
            <w:r w:rsidRPr="006171AD">
              <w:rPr>
                <w:rFonts w:ascii="Constantia" w:hAnsi="Constantia" w:cs="Arial"/>
                <w:bCs/>
                <w:iCs/>
                <w:color w:val="000000"/>
                <w:szCs w:val="22"/>
                <w:lang w:val="sr-Latn-CS"/>
              </w:rPr>
              <w:t>C</w:t>
            </w:r>
          </w:p>
        </w:tc>
        <w:tc>
          <w:tcPr>
            <w:tcW w:w="1261" w:type="dxa"/>
            <w:shd w:val="clear" w:color="auto" w:fill="E6EED5"/>
          </w:tcPr>
          <w:p w:rsidR="004B071C" w:rsidRPr="006171AD" w:rsidRDefault="004B071C" w:rsidP="004E680E">
            <w:pPr>
              <w:keepNext/>
              <w:keepLines/>
              <w:spacing w:before="60"/>
              <w:jc w:val="center"/>
              <w:outlineLvl w:val="3"/>
              <w:rPr>
                <w:rFonts w:ascii="Constantia" w:hAnsi="Constantia" w:cs="Arial"/>
                <w:bCs/>
                <w:iCs/>
                <w:color w:val="000000"/>
                <w:szCs w:val="22"/>
                <w:lang w:val="sr-Latn-CS"/>
              </w:rPr>
            </w:pPr>
            <w:r w:rsidRPr="006171AD">
              <w:rPr>
                <w:rFonts w:ascii="Constantia" w:hAnsi="Constantia" w:cs="Arial"/>
                <w:bCs/>
                <w:iCs/>
                <w:color w:val="000000"/>
                <w:szCs w:val="22"/>
                <w:lang w:val="sr-Latn-CS"/>
              </w:rPr>
              <w:t>G</w:t>
            </w:r>
          </w:p>
        </w:tc>
      </w:tr>
    </w:tbl>
    <w:p w:rsidR="004B071C" w:rsidRPr="006171AD" w:rsidRDefault="006171AD" w:rsidP="004B071C">
      <w:pPr>
        <w:pStyle w:val="Tabele"/>
        <w:spacing w:before="60" w:after="240"/>
        <w:ind w:left="714" w:hanging="357"/>
        <w:rPr>
          <w:rFonts w:ascii="Constantia" w:hAnsi="Constantia"/>
          <w:sz w:val="22"/>
          <w:szCs w:val="22"/>
        </w:rPr>
      </w:pPr>
      <w:r>
        <w:t xml:space="preserve"> </w:t>
      </w:r>
      <w:r w:rsidR="004B071C" w:rsidRPr="006171AD">
        <w:rPr>
          <w:rFonts w:ascii="Constantia" w:hAnsi="Constantia"/>
          <w:sz w:val="22"/>
          <w:szCs w:val="22"/>
        </w:rPr>
        <w:t>Procjena stanja populacija gmizavaca i vodozemaca na području</w:t>
      </w:r>
    </w:p>
    <w:p w:rsidR="004B071C" w:rsidRPr="0021283D" w:rsidRDefault="004B071C" w:rsidP="004B071C">
      <w:pPr>
        <w:rPr>
          <w:rFonts w:ascii="Arial" w:hAnsi="Arial" w:cs="Arial"/>
          <w:color w:val="000000"/>
          <w:szCs w:val="22"/>
        </w:rPr>
      </w:pPr>
    </w:p>
    <w:tbl>
      <w:tblPr>
        <w:tblW w:w="0" w:type="auto"/>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firstRow="1" w:lastRow="0" w:firstColumn="1" w:lastColumn="0" w:noHBand="0" w:noVBand="1"/>
      </w:tblPr>
      <w:tblGrid>
        <w:gridCol w:w="3348"/>
        <w:gridCol w:w="1365"/>
        <w:gridCol w:w="1060"/>
        <w:gridCol w:w="1127"/>
        <w:gridCol w:w="1281"/>
        <w:gridCol w:w="1108"/>
      </w:tblGrid>
      <w:tr w:rsidR="004B071C" w:rsidRPr="0021283D" w:rsidTr="004E680E">
        <w:tc>
          <w:tcPr>
            <w:tcW w:w="9289" w:type="dxa"/>
            <w:gridSpan w:val="6"/>
            <w:shd w:val="clear" w:color="auto" w:fill="E6EED5"/>
          </w:tcPr>
          <w:p w:rsidR="004B071C" w:rsidRPr="006171AD" w:rsidRDefault="004B071C" w:rsidP="004E680E">
            <w:pPr>
              <w:keepNext/>
              <w:keepLines/>
              <w:spacing w:before="60"/>
              <w:jc w:val="center"/>
              <w:outlineLvl w:val="3"/>
              <w:rPr>
                <w:rFonts w:ascii="Constantia" w:hAnsi="Constantia" w:cs="Arial"/>
                <w:b/>
                <w:bCs/>
                <w:iCs/>
                <w:color w:val="000000"/>
                <w:lang w:val="sr-Latn-CS"/>
              </w:rPr>
            </w:pPr>
            <w:r w:rsidRPr="006171AD">
              <w:rPr>
                <w:rFonts w:ascii="Constantia" w:hAnsi="Constantia" w:cs="Arial"/>
                <w:b/>
                <w:bCs/>
                <w:iCs/>
                <w:color w:val="000000"/>
                <w:lang w:val="sr-Latn-CS"/>
              </w:rPr>
              <w:lastRenderedPageBreak/>
              <w:t xml:space="preserve">Procjena područja </w:t>
            </w:r>
          </w:p>
        </w:tc>
      </w:tr>
      <w:tr w:rsidR="004B071C" w:rsidRPr="0021283D" w:rsidTr="006171AD">
        <w:tc>
          <w:tcPr>
            <w:tcW w:w="3348" w:type="dxa"/>
            <w:shd w:val="clear" w:color="auto" w:fill="CDDDAC"/>
          </w:tcPr>
          <w:p w:rsidR="004B071C" w:rsidRPr="006171AD" w:rsidRDefault="004B071C" w:rsidP="004E680E">
            <w:pPr>
              <w:keepNext/>
              <w:keepLines/>
              <w:spacing w:before="60"/>
              <w:outlineLvl w:val="3"/>
              <w:rPr>
                <w:rFonts w:ascii="Constantia" w:hAnsi="Constantia" w:cs="Arial"/>
                <w:b/>
                <w:bCs/>
                <w:iCs/>
                <w:color w:val="000000"/>
                <w:lang w:val="sr-Latn-CS"/>
              </w:rPr>
            </w:pPr>
            <w:r w:rsidRPr="006171AD">
              <w:rPr>
                <w:rFonts w:ascii="Constantia" w:hAnsi="Constantia" w:cs="Arial"/>
                <w:b/>
                <w:bCs/>
                <w:iCs/>
                <w:color w:val="000000"/>
                <w:lang w:val="sr-Latn-CS"/>
              </w:rPr>
              <w:t>Vrste</w:t>
            </w:r>
          </w:p>
        </w:tc>
        <w:tc>
          <w:tcPr>
            <w:tcW w:w="1365" w:type="dxa"/>
            <w:shd w:val="clear" w:color="auto" w:fill="CDDDAC"/>
          </w:tcPr>
          <w:p w:rsidR="004B071C" w:rsidRPr="006171AD" w:rsidRDefault="004B071C" w:rsidP="004E680E">
            <w:pPr>
              <w:keepNext/>
              <w:keepLines/>
              <w:spacing w:before="60"/>
              <w:outlineLvl w:val="3"/>
              <w:rPr>
                <w:rFonts w:ascii="Constantia" w:hAnsi="Constantia" w:cs="Arial"/>
                <w:b/>
                <w:bCs/>
                <w:iCs/>
                <w:color w:val="000000"/>
                <w:lang w:val="sr-Latn-CS"/>
              </w:rPr>
            </w:pPr>
            <w:r w:rsidRPr="006171AD">
              <w:rPr>
                <w:rFonts w:ascii="Constantia" w:hAnsi="Constantia" w:cs="Arial"/>
                <w:b/>
                <w:bCs/>
                <w:iCs/>
                <w:color w:val="000000"/>
                <w:lang w:val="sr-Latn-CS"/>
              </w:rPr>
              <w:t>A/B/C/D</w:t>
            </w:r>
          </w:p>
        </w:tc>
        <w:tc>
          <w:tcPr>
            <w:tcW w:w="1060" w:type="dxa"/>
            <w:shd w:val="clear" w:color="auto" w:fill="CDDDAC"/>
          </w:tcPr>
          <w:p w:rsidR="004B071C" w:rsidRPr="006171AD" w:rsidRDefault="004B071C" w:rsidP="004E680E">
            <w:pPr>
              <w:keepNext/>
              <w:keepLines/>
              <w:spacing w:before="60"/>
              <w:outlineLvl w:val="3"/>
              <w:rPr>
                <w:rFonts w:ascii="Constantia" w:hAnsi="Constantia" w:cs="Arial"/>
                <w:b/>
                <w:bCs/>
                <w:iCs/>
                <w:color w:val="000000"/>
                <w:lang w:val="sr-Latn-CS"/>
              </w:rPr>
            </w:pPr>
            <w:r w:rsidRPr="006171AD">
              <w:rPr>
                <w:rFonts w:ascii="Constantia" w:hAnsi="Constantia" w:cs="Arial"/>
                <w:b/>
                <w:bCs/>
                <w:iCs/>
                <w:color w:val="000000"/>
                <w:lang w:val="sr-Latn-CS"/>
              </w:rPr>
              <w:t>A/B/C</w:t>
            </w:r>
          </w:p>
        </w:tc>
        <w:tc>
          <w:tcPr>
            <w:tcW w:w="1127" w:type="dxa"/>
            <w:shd w:val="clear" w:color="auto" w:fill="CDDDAC"/>
          </w:tcPr>
          <w:p w:rsidR="004B071C" w:rsidRPr="006171AD" w:rsidRDefault="004B071C" w:rsidP="004E680E">
            <w:pPr>
              <w:keepNext/>
              <w:keepLines/>
              <w:spacing w:before="60"/>
              <w:outlineLvl w:val="3"/>
              <w:rPr>
                <w:rFonts w:ascii="Constantia" w:hAnsi="Constantia" w:cs="Arial"/>
                <w:b/>
                <w:bCs/>
                <w:iCs/>
                <w:color w:val="000000"/>
                <w:lang w:val="sr-Latn-CS"/>
              </w:rPr>
            </w:pPr>
          </w:p>
        </w:tc>
        <w:tc>
          <w:tcPr>
            <w:tcW w:w="2389" w:type="dxa"/>
            <w:gridSpan w:val="2"/>
            <w:shd w:val="clear" w:color="auto" w:fill="CDDDAC"/>
          </w:tcPr>
          <w:p w:rsidR="004B071C" w:rsidRPr="006171AD" w:rsidRDefault="004B071C" w:rsidP="004E680E">
            <w:pPr>
              <w:keepNext/>
              <w:keepLines/>
              <w:spacing w:before="60"/>
              <w:outlineLvl w:val="3"/>
              <w:rPr>
                <w:rFonts w:ascii="Constantia" w:hAnsi="Constantia" w:cs="Arial"/>
                <w:b/>
                <w:bCs/>
                <w:iCs/>
                <w:color w:val="000000"/>
                <w:lang w:val="sr-Latn-CS"/>
              </w:rPr>
            </w:pPr>
          </w:p>
        </w:tc>
      </w:tr>
      <w:tr w:rsidR="004B071C" w:rsidRPr="0021283D" w:rsidTr="006171AD">
        <w:tc>
          <w:tcPr>
            <w:tcW w:w="3348" w:type="dxa"/>
            <w:shd w:val="clear" w:color="auto" w:fill="E6EED5"/>
          </w:tcPr>
          <w:p w:rsidR="004B071C" w:rsidRPr="006171AD" w:rsidRDefault="004B071C" w:rsidP="004E680E">
            <w:pPr>
              <w:keepNext/>
              <w:keepLines/>
              <w:spacing w:before="60"/>
              <w:outlineLvl w:val="3"/>
              <w:rPr>
                <w:rFonts w:ascii="Constantia" w:hAnsi="Constantia" w:cs="Arial"/>
                <w:b/>
                <w:bCs/>
                <w:iCs/>
                <w:color w:val="000000"/>
                <w:lang w:val="sr-Latn-CS"/>
              </w:rPr>
            </w:pPr>
          </w:p>
        </w:tc>
        <w:tc>
          <w:tcPr>
            <w:tcW w:w="1365" w:type="dxa"/>
            <w:shd w:val="clear" w:color="auto" w:fill="E6EED5"/>
          </w:tcPr>
          <w:p w:rsidR="004B071C" w:rsidRPr="006171AD" w:rsidRDefault="004B071C" w:rsidP="004E680E">
            <w:pPr>
              <w:keepNext/>
              <w:keepLines/>
              <w:spacing w:before="60"/>
              <w:outlineLvl w:val="3"/>
              <w:rPr>
                <w:rFonts w:ascii="Constantia" w:hAnsi="Constantia" w:cs="Arial"/>
                <w:b/>
                <w:bCs/>
                <w:iCs/>
                <w:color w:val="000000"/>
                <w:lang w:val="sr-Latn-CS"/>
              </w:rPr>
            </w:pPr>
            <w:r w:rsidRPr="006171AD">
              <w:rPr>
                <w:rFonts w:ascii="Constantia" w:hAnsi="Constantia" w:cs="Arial"/>
                <w:b/>
                <w:bCs/>
                <w:iCs/>
                <w:color w:val="000000"/>
                <w:lang w:val="sr-Latn-CS"/>
              </w:rPr>
              <w:t>Pop.</w:t>
            </w:r>
          </w:p>
        </w:tc>
        <w:tc>
          <w:tcPr>
            <w:tcW w:w="1060" w:type="dxa"/>
            <w:shd w:val="clear" w:color="auto" w:fill="E6EED5"/>
          </w:tcPr>
          <w:p w:rsidR="004B071C" w:rsidRPr="006171AD" w:rsidRDefault="004B071C" w:rsidP="004E680E">
            <w:pPr>
              <w:keepNext/>
              <w:keepLines/>
              <w:spacing w:before="60"/>
              <w:outlineLvl w:val="3"/>
              <w:rPr>
                <w:rFonts w:ascii="Constantia" w:hAnsi="Constantia" w:cs="Arial"/>
                <w:b/>
                <w:bCs/>
                <w:iCs/>
                <w:color w:val="000000"/>
                <w:lang w:val="sr-Latn-CS"/>
              </w:rPr>
            </w:pPr>
            <w:r w:rsidRPr="006171AD">
              <w:rPr>
                <w:rFonts w:ascii="Constantia" w:hAnsi="Constantia" w:cs="Arial"/>
                <w:b/>
                <w:bCs/>
                <w:iCs/>
                <w:color w:val="000000"/>
                <w:lang w:val="sr-Latn-CS"/>
              </w:rPr>
              <w:t>Stepen zaštite</w:t>
            </w:r>
          </w:p>
        </w:tc>
        <w:tc>
          <w:tcPr>
            <w:tcW w:w="1127" w:type="dxa"/>
            <w:shd w:val="clear" w:color="auto" w:fill="E6EED5"/>
          </w:tcPr>
          <w:p w:rsidR="004B071C" w:rsidRPr="006171AD" w:rsidRDefault="004B071C" w:rsidP="004E680E">
            <w:pPr>
              <w:keepNext/>
              <w:keepLines/>
              <w:spacing w:before="60"/>
              <w:outlineLvl w:val="3"/>
              <w:rPr>
                <w:rFonts w:ascii="Constantia" w:hAnsi="Constantia" w:cs="Arial"/>
                <w:b/>
                <w:bCs/>
                <w:iCs/>
                <w:color w:val="000000"/>
                <w:lang w:val="sr-Latn-CS"/>
              </w:rPr>
            </w:pPr>
            <w:r w:rsidRPr="006171AD">
              <w:rPr>
                <w:rFonts w:ascii="Constantia" w:hAnsi="Constantia" w:cs="Arial"/>
                <w:b/>
                <w:bCs/>
                <w:iCs/>
                <w:color w:val="000000"/>
                <w:lang w:val="sr-Latn-CS"/>
              </w:rPr>
              <w:t>Izolacija</w:t>
            </w:r>
          </w:p>
        </w:tc>
        <w:tc>
          <w:tcPr>
            <w:tcW w:w="1281" w:type="dxa"/>
            <w:shd w:val="clear" w:color="auto" w:fill="E6EED5"/>
          </w:tcPr>
          <w:p w:rsidR="004B071C" w:rsidRPr="006171AD" w:rsidRDefault="004B071C" w:rsidP="004E680E">
            <w:pPr>
              <w:keepNext/>
              <w:keepLines/>
              <w:spacing w:before="60"/>
              <w:outlineLvl w:val="3"/>
              <w:rPr>
                <w:rFonts w:ascii="Constantia" w:hAnsi="Constantia" w:cs="Arial"/>
                <w:b/>
                <w:bCs/>
                <w:iCs/>
                <w:color w:val="000000"/>
                <w:lang w:val="sr-Latn-CS"/>
              </w:rPr>
            </w:pPr>
            <w:r w:rsidRPr="006171AD">
              <w:rPr>
                <w:rFonts w:ascii="Constantia" w:hAnsi="Constantia" w:cs="Arial"/>
                <w:b/>
                <w:bCs/>
                <w:iCs/>
                <w:color w:val="000000"/>
                <w:lang w:val="sr-Latn-CS"/>
              </w:rPr>
              <w:t>Globalna vrijednost područja za vrstu</w:t>
            </w:r>
          </w:p>
        </w:tc>
        <w:tc>
          <w:tcPr>
            <w:tcW w:w="1108" w:type="dxa"/>
            <w:shd w:val="clear" w:color="auto" w:fill="E6EED5"/>
          </w:tcPr>
          <w:p w:rsidR="004B071C" w:rsidRPr="006171AD" w:rsidRDefault="004B071C" w:rsidP="004E680E">
            <w:pPr>
              <w:keepNext/>
              <w:keepLines/>
              <w:spacing w:before="60"/>
              <w:outlineLvl w:val="3"/>
              <w:rPr>
                <w:rFonts w:ascii="Constantia" w:hAnsi="Constantia" w:cs="Arial"/>
                <w:b/>
                <w:bCs/>
                <w:iCs/>
                <w:color w:val="000000"/>
                <w:lang w:val="sr-Latn-CS"/>
              </w:rPr>
            </w:pPr>
            <w:r w:rsidRPr="006171AD">
              <w:rPr>
                <w:rFonts w:ascii="Constantia" w:hAnsi="Constantia" w:cs="Arial"/>
                <w:b/>
                <w:bCs/>
                <w:iCs/>
                <w:color w:val="000000"/>
                <w:lang w:val="sr-Latn-CS"/>
              </w:rPr>
              <w:t>Top lokalitet</w:t>
            </w:r>
          </w:p>
        </w:tc>
      </w:tr>
      <w:tr w:rsidR="004B071C" w:rsidRPr="0021283D" w:rsidTr="006171AD">
        <w:tc>
          <w:tcPr>
            <w:tcW w:w="3348" w:type="dxa"/>
            <w:shd w:val="clear" w:color="auto" w:fill="CDDDAC"/>
          </w:tcPr>
          <w:p w:rsidR="004B071C" w:rsidRPr="006171AD" w:rsidRDefault="004B071C" w:rsidP="006171AD">
            <w:pPr>
              <w:spacing w:after="0"/>
              <w:rPr>
                <w:rFonts w:ascii="Constantia" w:hAnsi="Constantia" w:cs="Arial"/>
                <w:bCs/>
                <w:color w:val="000000"/>
              </w:rPr>
            </w:pPr>
            <w:r w:rsidRPr="006171AD">
              <w:rPr>
                <w:rFonts w:ascii="Constantia" w:hAnsi="Constantia" w:cs="Arial"/>
                <w:bCs/>
                <w:color w:val="000000"/>
              </w:rPr>
              <w:t> </w:t>
            </w:r>
            <w:r w:rsidRPr="006171AD">
              <w:rPr>
                <w:rFonts w:ascii="Constantia" w:hAnsi="Constantia" w:cs="Arial"/>
                <w:bCs/>
                <w:i/>
                <w:color w:val="000000"/>
              </w:rPr>
              <w:t>Hyla arborea</w:t>
            </w:r>
            <w:r w:rsidRPr="006171AD">
              <w:rPr>
                <w:rFonts w:ascii="Constantia" w:hAnsi="Constantia" w:cs="Arial"/>
                <w:bCs/>
                <w:color w:val="000000"/>
              </w:rPr>
              <w:t xml:space="preserve"> (Linnaeus, 1758)</w:t>
            </w:r>
          </w:p>
        </w:tc>
        <w:tc>
          <w:tcPr>
            <w:tcW w:w="1365" w:type="dxa"/>
            <w:shd w:val="clear" w:color="auto" w:fill="CDDDAC"/>
          </w:tcPr>
          <w:p w:rsidR="004B071C" w:rsidRPr="006171AD" w:rsidRDefault="004B071C" w:rsidP="004E680E">
            <w:pPr>
              <w:keepNext/>
              <w:keepLines/>
              <w:spacing w:before="60"/>
              <w:jc w:val="center"/>
              <w:outlineLvl w:val="3"/>
              <w:rPr>
                <w:rFonts w:ascii="Constantia" w:hAnsi="Constantia" w:cs="Arial"/>
                <w:bCs/>
                <w:iCs/>
                <w:color w:val="000000"/>
                <w:lang w:val="sr-Latn-CS"/>
              </w:rPr>
            </w:pPr>
            <w:r w:rsidRPr="006171AD">
              <w:rPr>
                <w:rFonts w:ascii="Constantia" w:hAnsi="Constantia" w:cs="Arial"/>
                <w:bCs/>
                <w:iCs/>
                <w:color w:val="000000"/>
                <w:lang w:val="sr-Latn-CS"/>
              </w:rPr>
              <w:t>C</w:t>
            </w:r>
          </w:p>
        </w:tc>
        <w:tc>
          <w:tcPr>
            <w:tcW w:w="1060" w:type="dxa"/>
            <w:shd w:val="clear" w:color="auto" w:fill="CDDDAC"/>
          </w:tcPr>
          <w:p w:rsidR="004B071C" w:rsidRPr="006171AD" w:rsidRDefault="004B071C" w:rsidP="004E680E">
            <w:pPr>
              <w:jc w:val="center"/>
              <w:rPr>
                <w:rFonts w:ascii="Constantia" w:hAnsi="Constantia" w:cs="Arial"/>
              </w:rPr>
            </w:pPr>
            <w:r w:rsidRPr="006171AD">
              <w:rPr>
                <w:rFonts w:ascii="Constantia" w:hAnsi="Constantia" w:cs="Arial"/>
              </w:rPr>
              <w:t>A</w:t>
            </w:r>
          </w:p>
        </w:tc>
        <w:tc>
          <w:tcPr>
            <w:tcW w:w="1127" w:type="dxa"/>
            <w:shd w:val="clear" w:color="auto" w:fill="CDDDAC"/>
          </w:tcPr>
          <w:p w:rsidR="004B071C" w:rsidRPr="006171AD" w:rsidRDefault="004B071C" w:rsidP="004E680E">
            <w:pPr>
              <w:jc w:val="center"/>
              <w:rPr>
                <w:rFonts w:ascii="Constantia" w:hAnsi="Constantia" w:cs="Arial"/>
              </w:rPr>
            </w:pPr>
            <w:r w:rsidRPr="006171AD">
              <w:rPr>
                <w:rFonts w:ascii="Constantia" w:hAnsi="Constantia" w:cs="Arial"/>
              </w:rPr>
              <w:t>C</w:t>
            </w:r>
          </w:p>
        </w:tc>
        <w:tc>
          <w:tcPr>
            <w:tcW w:w="1281" w:type="dxa"/>
            <w:shd w:val="clear" w:color="auto" w:fill="CDDDAC"/>
          </w:tcPr>
          <w:p w:rsidR="004B071C" w:rsidRPr="006171AD" w:rsidRDefault="004B071C" w:rsidP="004E680E">
            <w:pPr>
              <w:jc w:val="center"/>
              <w:rPr>
                <w:rFonts w:ascii="Constantia" w:hAnsi="Constantia" w:cs="Arial"/>
              </w:rPr>
            </w:pPr>
            <w:r w:rsidRPr="006171AD">
              <w:rPr>
                <w:rFonts w:ascii="Constantia" w:hAnsi="Constantia" w:cs="Arial"/>
              </w:rPr>
              <w:t>A</w:t>
            </w:r>
          </w:p>
        </w:tc>
        <w:tc>
          <w:tcPr>
            <w:tcW w:w="1108" w:type="dxa"/>
            <w:shd w:val="clear" w:color="auto" w:fill="CDDDAC"/>
          </w:tcPr>
          <w:p w:rsidR="004B071C" w:rsidRPr="006171AD" w:rsidRDefault="004B071C" w:rsidP="004E680E">
            <w:pPr>
              <w:jc w:val="center"/>
              <w:rPr>
                <w:rFonts w:ascii="Constantia" w:hAnsi="Constantia" w:cs="Arial"/>
              </w:rPr>
            </w:pPr>
            <w:r w:rsidRPr="006171AD">
              <w:rPr>
                <w:rFonts w:ascii="Constantia" w:hAnsi="Constantia" w:cs="Arial"/>
              </w:rPr>
              <w:t>Y</w:t>
            </w:r>
          </w:p>
        </w:tc>
      </w:tr>
      <w:tr w:rsidR="004B071C" w:rsidRPr="0021283D" w:rsidTr="006171AD">
        <w:tc>
          <w:tcPr>
            <w:tcW w:w="3348" w:type="dxa"/>
            <w:shd w:val="clear" w:color="auto" w:fill="E6EED5"/>
          </w:tcPr>
          <w:p w:rsidR="004B071C" w:rsidRPr="006171AD" w:rsidRDefault="004B071C" w:rsidP="004E680E">
            <w:pPr>
              <w:spacing w:after="0"/>
              <w:rPr>
                <w:rFonts w:ascii="Constantia" w:hAnsi="Constantia" w:cs="Arial"/>
                <w:bCs/>
                <w:i/>
                <w:color w:val="000000"/>
              </w:rPr>
            </w:pPr>
            <w:r w:rsidRPr="006171AD">
              <w:rPr>
                <w:rFonts w:ascii="Constantia" w:hAnsi="Constantia" w:cs="Arial"/>
                <w:bCs/>
                <w:i/>
                <w:color w:val="000000"/>
              </w:rPr>
              <w:t>Pelophylax</w:t>
            </w:r>
            <w:r w:rsidRPr="006171AD">
              <w:rPr>
                <w:rFonts w:ascii="Constantia" w:hAnsi="Constantia" w:cs="Arial"/>
                <w:bCs/>
                <w:color w:val="000000"/>
              </w:rPr>
              <w:t xml:space="preserve"> (Rana) </w:t>
            </w:r>
            <w:r w:rsidRPr="006171AD">
              <w:rPr>
                <w:rFonts w:ascii="Constantia" w:hAnsi="Constantia" w:cs="Arial"/>
                <w:bCs/>
                <w:i/>
                <w:color w:val="000000"/>
              </w:rPr>
              <w:t xml:space="preserve">shqipericus </w:t>
            </w:r>
          </w:p>
          <w:p w:rsidR="004B071C" w:rsidRPr="006171AD" w:rsidRDefault="004B071C" w:rsidP="004E680E">
            <w:pPr>
              <w:spacing w:after="0"/>
              <w:rPr>
                <w:rFonts w:ascii="Constantia" w:hAnsi="Constantia" w:cs="Arial"/>
                <w:bCs/>
                <w:color w:val="000000"/>
              </w:rPr>
            </w:pPr>
            <w:r w:rsidRPr="006171AD">
              <w:rPr>
                <w:rFonts w:ascii="Constantia" w:hAnsi="Constantia" w:cs="Arial"/>
                <w:bCs/>
                <w:color w:val="000000"/>
              </w:rPr>
              <w:t>Hotz et al.,1987</w:t>
            </w:r>
          </w:p>
        </w:tc>
        <w:tc>
          <w:tcPr>
            <w:tcW w:w="1365" w:type="dxa"/>
            <w:shd w:val="clear" w:color="auto" w:fill="E6EED5"/>
          </w:tcPr>
          <w:p w:rsidR="004B071C" w:rsidRPr="006171AD" w:rsidRDefault="004B071C" w:rsidP="004E680E">
            <w:pPr>
              <w:keepNext/>
              <w:keepLines/>
              <w:spacing w:before="60"/>
              <w:jc w:val="center"/>
              <w:outlineLvl w:val="3"/>
              <w:rPr>
                <w:rFonts w:ascii="Constantia" w:hAnsi="Constantia" w:cs="Arial"/>
                <w:bCs/>
                <w:iCs/>
                <w:color w:val="000000"/>
                <w:lang w:val="sr-Latn-CS"/>
              </w:rPr>
            </w:pPr>
            <w:r w:rsidRPr="006171AD">
              <w:rPr>
                <w:rFonts w:ascii="Constantia" w:hAnsi="Constantia" w:cs="Arial"/>
                <w:bCs/>
                <w:iCs/>
                <w:color w:val="000000"/>
                <w:lang w:val="sr-Latn-CS"/>
              </w:rPr>
              <w:t>A</w:t>
            </w:r>
          </w:p>
        </w:tc>
        <w:tc>
          <w:tcPr>
            <w:tcW w:w="1060" w:type="dxa"/>
            <w:shd w:val="clear" w:color="auto" w:fill="E6EED5"/>
          </w:tcPr>
          <w:p w:rsidR="004B071C" w:rsidRPr="006171AD" w:rsidRDefault="004B071C" w:rsidP="004E680E">
            <w:pPr>
              <w:jc w:val="center"/>
              <w:rPr>
                <w:rFonts w:ascii="Constantia" w:hAnsi="Constantia" w:cs="Arial"/>
              </w:rPr>
            </w:pPr>
            <w:r w:rsidRPr="006171AD">
              <w:rPr>
                <w:rFonts w:ascii="Constantia" w:hAnsi="Constantia" w:cs="Arial"/>
              </w:rPr>
              <w:t>B</w:t>
            </w:r>
          </w:p>
        </w:tc>
        <w:tc>
          <w:tcPr>
            <w:tcW w:w="1127" w:type="dxa"/>
            <w:shd w:val="clear" w:color="auto" w:fill="E6EED5"/>
          </w:tcPr>
          <w:p w:rsidR="004B071C" w:rsidRPr="006171AD" w:rsidRDefault="004B071C" w:rsidP="004E680E">
            <w:pPr>
              <w:jc w:val="center"/>
              <w:rPr>
                <w:rFonts w:ascii="Constantia" w:hAnsi="Constantia" w:cs="Arial"/>
              </w:rPr>
            </w:pPr>
            <w:r w:rsidRPr="006171AD">
              <w:rPr>
                <w:rFonts w:ascii="Constantia" w:hAnsi="Constantia" w:cs="Arial"/>
              </w:rPr>
              <w:t>C</w:t>
            </w:r>
          </w:p>
        </w:tc>
        <w:tc>
          <w:tcPr>
            <w:tcW w:w="1281" w:type="dxa"/>
            <w:shd w:val="clear" w:color="auto" w:fill="E6EED5"/>
          </w:tcPr>
          <w:p w:rsidR="004B071C" w:rsidRPr="006171AD" w:rsidRDefault="004B071C" w:rsidP="004E680E">
            <w:pPr>
              <w:jc w:val="center"/>
              <w:rPr>
                <w:rFonts w:ascii="Constantia" w:hAnsi="Constantia" w:cs="Arial"/>
              </w:rPr>
            </w:pPr>
            <w:r w:rsidRPr="006171AD">
              <w:rPr>
                <w:rFonts w:ascii="Constantia" w:hAnsi="Constantia" w:cs="Arial"/>
              </w:rPr>
              <w:t>A</w:t>
            </w:r>
          </w:p>
        </w:tc>
        <w:tc>
          <w:tcPr>
            <w:tcW w:w="1108" w:type="dxa"/>
            <w:shd w:val="clear" w:color="auto" w:fill="E6EED5"/>
          </w:tcPr>
          <w:p w:rsidR="004B071C" w:rsidRPr="006171AD" w:rsidRDefault="004B071C" w:rsidP="004E680E">
            <w:pPr>
              <w:jc w:val="center"/>
              <w:rPr>
                <w:rFonts w:ascii="Constantia" w:hAnsi="Constantia" w:cs="Arial"/>
              </w:rPr>
            </w:pPr>
            <w:r w:rsidRPr="006171AD">
              <w:rPr>
                <w:rFonts w:ascii="Constantia" w:hAnsi="Constantia" w:cs="Arial"/>
              </w:rPr>
              <w:t>Y</w:t>
            </w:r>
          </w:p>
        </w:tc>
      </w:tr>
      <w:tr w:rsidR="004B071C" w:rsidRPr="0021283D" w:rsidTr="006171AD">
        <w:tc>
          <w:tcPr>
            <w:tcW w:w="3348" w:type="dxa"/>
            <w:shd w:val="clear" w:color="auto" w:fill="CDDDAC"/>
          </w:tcPr>
          <w:p w:rsidR="004B071C" w:rsidRPr="006171AD" w:rsidRDefault="004B071C" w:rsidP="00595411">
            <w:pPr>
              <w:spacing w:after="0"/>
              <w:jc w:val="left"/>
              <w:rPr>
                <w:rFonts w:ascii="Constantia" w:hAnsi="Constantia" w:cs="Arial"/>
                <w:bCs/>
                <w:color w:val="000000"/>
              </w:rPr>
            </w:pPr>
            <w:r w:rsidRPr="00595411">
              <w:rPr>
                <w:rFonts w:ascii="Constantia" w:hAnsi="Constantia" w:cs="Arial"/>
                <w:bCs/>
                <w:i/>
                <w:color w:val="000000"/>
              </w:rPr>
              <w:t>Algiroides nigropunctatus</w:t>
            </w:r>
            <w:r w:rsidR="00595411">
              <w:rPr>
                <w:rFonts w:ascii="Constantia" w:hAnsi="Constantia" w:cs="Arial"/>
                <w:bCs/>
                <w:color w:val="000000"/>
              </w:rPr>
              <w:t xml:space="preserve"> </w:t>
            </w:r>
            <w:r w:rsidRPr="006171AD">
              <w:rPr>
                <w:rFonts w:ascii="Constantia" w:hAnsi="Constantia" w:cs="Arial"/>
                <w:bCs/>
                <w:color w:val="000000"/>
              </w:rPr>
              <w:t>(Dum.&amp;Bibr., 1839)</w:t>
            </w:r>
          </w:p>
        </w:tc>
        <w:tc>
          <w:tcPr>
            <w:tcW w:w="1365" w:type="dxa"/>
            <w:shd w:val="clear" w:color="auto" w:fill="CDDDAC"/>
          </w:tcPr>
          <w:p w:rsidR="004B071C" w:rsidRPr="006171AD" w:rsidRDefault="004B071C" w:rsidP="004E680E">
            <w:pPr>
              <w:keepNext/>
              <w:keepLines/>
              <w:spacing w:before="60"/>
              <w:jc w:val="center"/>
              <w:outlineLvl w:val="3"/>
              <w:rPr>
                <w:rFonts w:ascii="Constantia" w:hAnsi="Constantia" w:cs="Arial"/>
                <w:bCs/>
                <w:iCs/>
                <w:color w:val="000000"/>
                <w:lang w:val="sr-Latn-CS"/>
              </w:rPr>
            </w:pPr>
            <w:r w:rsidRPr="006171AD">
              <w:rPr>
                <w:rFonts w:ascii="Constantia" w:hAnsi="Constantia" w:cs="Arial"/>
                <w:bCs/>
                <w:iCs/>
                <w:color w:val="000000"/>
                <w:lang w:val="sr-Latn-CS"/>
              </w:rPr>
              <w:t>A</w:t>
            </w:r>
          </w:p>
        </w:tc>
        <w:tc>
          <w:tcPr>
            <w:tcW w:w="1060" w:type="dxa"/>
            <w:shd w:val="clear" w:color="auto" w:fill="CDDDAC"/>
          </w:tcPr>
          <w:p w:rsidR="004B071C" w:rsidRPr="006171AD" w:rsidRDefault="004B071C" w:rsidP="004E680E">
            <w:pPr>
              <w:jc w:val="center"/>
              <w:rPr>
                <w:rFonts w:ascii="Constantia" w:hAnsi="Constantia" w:cs="Arial"/>
              </w:rPr>
            </w:pPr>
            <w:r w:rsidRPr="006171AD">
              <w:rPr>
                <w:rFonts w:ascii="Constantia" w:hAnsi="Constantia" w:cs="Arial"/>
              </w:rPr>
              <w:t>B</w:t>
            </w:r>
          </w:p>
        </w:tc>
        <w:tc>
          <w:tcPr>
            <w:tcW w:w="1127" w:type="dxa"/>
            <w:shd w:val="clear" w:color="auto" w:fill="CDDDAC"/>
          </w:tcPr>
          <w:p w:rsidR="004B071C" w:rsidRPr="006171AD" w:rsidRDefault="004B071C" w:rsidP="004E680E">
            <w:pPr>
              <w:jc w:val="center"/>
              <w:rPr>
                <w:rFonts w:ascii="Constantia" w:hAnsi="Constantia" w:cs="Arial"/>
              </w:rPr>
            </w:pPr>
            <w:r w:rsidRPr="006171AD">
              <w:rPr>
                <w:rFonts w:ascii="Constantia" w:hAnsi="Constantia" w:cs="Arial"/>
              </w:rPr>
              <w:t>A</w:t>
            </w:r>
          </w:p>
        </w:tc>
        <w:tc>
          <w:tcPr>
            <w:tcW w:w="1281" w:type="dxa"/>
            <w:shd w:val="clear" w:color="auto" w:fill="CDDDAC"/>
          </w:tcPr>
          <w:p w:rsidR="004B071C" w:rsidRPr="006171AD" w:rsidRDefault="004B071C" w:rsidP="004E680E">
            <w:pPr>
              <w:jc w:val="center"/>
              <w:rPr>
                <w:rFonts w:ascii="Constantia" w:hAnsi="Constantia" w:cs="Arial"/>
              </w:rPr>
            </w:pPr>
            <w:r w:rsidRPr="006171AD">
              <w:rPr>
                <w:rFonts w:ascii="Constantia" w:hAnsi="Constantia" w:cs="Arial"/>
              </w:rPr>
              <w:t>A</w:t>
            </w:r>
          </w:p>
        </w:tc>
        <w:tc>
          <w:tcPr>
            <w:tcW w:w="1108" w:type="dxa"/>
            <w:shd w:val="clear" w:color="auto" w:fill="CDDDAC"/>
          </w:tcPr>
          <w:p w:rsidR="004B071C" w:rsidRPr="006171AD" w:rsidRDefault="004B071C" w:rsidP="004E680E">
            <w:pPr>
              <w:jc w:val="center"/>
              <w:rPr>
                <w:rFonts w:ascii="Constantia" w:hAnsi="Constantia" w:cs="Arial"/>
              </w:rPr>
            </w:pPr>
            <w:r w:rsidRPr="006171AD">
              <w:rPr>
                <w:rFonts w:ascii="Constantia" w:hAnsi="Constantia" w:cs="Arial"/>
              </w:rPr>
              <w:t>Y</w:t>
            </w:r>
          </w:p>
        </w:tc>
      </w:tr>
      <w:tr w:rsidR="004B071C" w:rsidRPr="0021283D" w:rsidTr="006171AD">
        <w:tc>
          <w:tcPr>
            <w:tcW w:w="3348" w:type="dxa"/>
            <w:shd w:val="clear" w:color="auto" w:fill="E6EED5"/>
          </w:tcPr>
          <w:p w:rsidR="004B071C" w:rsidRPr="006171AD" w:rsidRDefault="004B071C" w:rsidP="00595411">
            <w:pPr>
              <w:spacing w:after="0"/>
              <w:jc w:val="left"/>
              <w:rPr>
                <w:rFonts w:ascii="Constantia" w:hAnsi="Constantia" w:cs="Arial"/>
                <w:bCs/>
                <w:color w:val="000000"/>
              </w:rPr>
            </w:pPr>
            <w:r w:rsidRPr="00595411">
              <w:rPr>
                <w:rFonts w:ascii="Constantia" w:hAnsi="Constantia" w:cs="Arial"/>
                <w:bCs/>
                <w:i/>
                <w:color w:val="000000"/>
              </w:rPr>
              <w:t>Testudo hermanni</w:t>
            </w:r>
            <w:r w:rsidRPr="006171AD">
              <w:rPr>
                <w:rFonts w:ascii="Constantia" w:hAnsi="Constantia" w:cs="Arial"/>
                <w:bCs/>
                <w:color w:val="000000"/>
              </w:rPr>
              <w:t xml:space="preserve"> (Gmelin 1788)</w:t>
            </w:r>
          </w:p>
        </w:tc>
        <w:tc>
          <w:tcPr>
            <w:tcW w:w="1365" w:type="dxa"/>
            <w:shd w:val="clear" w:color="auto" w:fill="E6EED5"/>
          </w:tcPr>
          <w:p w:rsidR="004B071C" w:rsidRPr="006171AD" w:rsidRDefault="004B071C" w:rsidP="004E680E">
            <w:pPr>
              <w:keepNext/>
              <w:keepLines/>
              <w:spacing w:before="60"/>
              <w:jc w:val="center"/>
              <w:outlineLvl w:val="3"/>
              <w:rPr>
                <w:rFonts w:ascii="Constantia" w:hAnsi="Constantia" w:cs="Arial"/>
                <w:bCs/>
                <w:iCs/>
                <w:color w:val="000000"/>
                <w:lang w:val="sr-Latn-CS"/>
              </w:rPr>
            </w:pPr>
            <w:r w:rsidRPr="006171AD">
              <w:rPr>
                <w:rFonts w:ascii="Constantia" w:hAnsi="Constantia" w:cs="Arial"/>
                <w:bCs/>
                <w:iCs/>
                <w:color w:val="000000"/>
                <w:lang w:val="sr-Latn-CS"/>
              </w:rPr>
              <w:t>C</w:t>
            </w:r>
          </w:p>
        </w:tc>
        <w:tc>
          <w:tcPr>
            <w:tcW w:w="1060" w:type="dxa"/>
            <w:shd w:val="clear" w:color="auto" w:fill="E6EED5"/>
          </w:tcPr>
          <w:p w:rsidR="004B071C" w:rsidRPr="006171AD" w:rsidRDefault="004B071C" w:rsidP="004E680E">
            <w:pPr>
              <w:jc w:val="center"/>
              <w:rPr>
                <w:rFonts w:ascii="Constantia" w:hAnsi="Constantia" w:cs="Arial"/>
              </w:rPr>
            </w:pPr>
            <w:r w:rsidRPr="006171AD">
              <w:rPr>
                <w:rFonts w:ascii="Constantia" w:hAnsi="Constantia" w:cs="Arial"/>
              </w:rPr>
              <w:t>B</w:t>
            </w:r>
          </w:p>
        </w:tc>
        <w:tc>
          <w:tcPr>
            <w:tcW w:w="1127" w:type="dxa"/>
            <w:shd w:val="clear" w:color="auto" w:fill="E6EED5"/>
          </w:tcPr>
          <w:p w:rsidR="004B071C" w:rsidRPr="006171AD" w:rsidRDefault="004B071C" w:rsidP="004E680E">
            <w:pPr>
              <w:jc w:val="center"/>
              <w:rPr>
                <w:rFonts w:ascii="Constantia" w:hAnsi="Constantia" w:cs="Arial"/>
              </w:rPr>
            </w:pPr>
            <w:r w:rsidRPr="006171AD">
              <w:rPr>
                <w:rFonts w:ascii="Constantia" w:hAnsi="Constantia" w:cs="Arial"/>
              </w:rPr>
              <w:t>C</w:t>
            </w:r>
          </w:p>
        </w:tc>
        <w:tc>
          <w:tcPr>
            <w:tcW w:w="1281" w:type="dxa"/>
            <w:shd w:val="clear" w:color="auto" w:fill="E6EED5"/>
          </w:tcPr>
          <w:p w:rsidR="004B071C" w:rsidRPr="006171AD" w:rsidRDefault="004B071C" w:rsidP="004E680E">
            <w:pPr>
              <w:jc w:val="center"/>
              <w:rPr>
                <w:rFonts w:ascii="Constantia" w:hAnsi="Constantia" w:cs="Arial"/>
              </w:rPr>
            </w:pPr>
            <w:r w:rsidRPr="006171AD">
              <w:rPr>
                <w:rFonts w:ascii="Constantia" w:hAnsi="Constantia" w:cs="Arial"/>
              </w:rPr>
              <w:t>A</w:t>
            </w:r>
          </w:p>
        </w:tc>
        <w:tc>
          <w:tcPr>
            <w:tcW w:w="1108" w:type="dxa"/>
            <w:shd w:val="clear" w:color="auto" w:fill="E6EED5"/>
          </w:tcPr>
          <w:p w:rsidR="004B071C" w:rsidRPr="006171AD" w:rsidRDefault="004B071C" w:rsidP="004E680E">
            <w:pPr>
              <w:jc w:val="center"/>
              <w:rPr>
                <w:rFonts w:ascii="Constantia" w:hAnsi="Constantia" w:cs="Arial"/>
              </w:rPr>
            </w:pPr>
            <w:r w:rsidRPr="006171AD">
              <w:rPr>
                <w:rFonts w:ascii="Constantia" w:hAnsi="Constantia" w:cs="Arial"/>
              </w:rPr>
              <w:t>Y</w:t>
            </w:r>
          </w:p>
        </w:tc>
      </w:tr>
    </w:tbl>
    <w:p w:rsidR="004B071C" w:rsidRPr="006171AD" w:rsidRDefault="004B071C" w:rsidP="004B071C">
      <w:pPr>
        <w:pStyle w:val="Tabele"/>
        <w:spacing w:before="60" w:after="240"/>
        <w:ind w:left="714" w:hanging="357"/>
        <w:rPr>
          <w:rFonts w:ascii="Constantia" w:hAnsi="Constantia"/>
          <w:sz w:val="22"/>
          <w:szCs w:val="22"/>
        </w:rPr>
      </w:pPr>
      <w:bookmarkStart w:id="146" w:name="_Toc383816060"/>
      <w:bookmarkStart w:id="147" w:name="_Toc383987135"/>
      <w:r w:rsidRPr="006171AD">
        <w:rPr>
          <w:rFonts w:ascii="Constantia" w:hAnsi="Constantia"/>
          <w:sz w:val="22"/>
          <w:szCs w:val="22"/>
        </w:rPr>
        <w:t>Vodozemci i gmizavci</w:t>
      </w:r>
      <w:r w:rsidR="006171AD">
        <w:rPr>
          <w:rFonts w:ascii="Constantia" w:hAnsi="Constantia"/>
          <w:sz w:val="22"/>
          <w:szCs w:val="22"/>
        </w:rPr>
        <w:t xml:space="preserve"> </w:t>
      </w:r>
      <w:r w:rsidRPr="006171AD">
        <w:rPr>
          <w:rFonts w:ascii="Constantia" w:hAnsi="Constantia"/>
          <w:sz w:val="22"/>
          <w:szCs w:val="22"/>
        </w:rPr>
        <w:t>-</w:t>
      </w:r>
      <w:r w:rsidR="006171AD">
        <w:rPr>
          <w:rFonts w:ascii="Constantia" w:hAnsi="Constantia"/>
          <w:sz w:val="22"/>
          <w:szCs w:val="22"/>
        </w:rPr>
        <w:t xml:space="preserve"> p</w:t>
      </w:r>
      <w:r w:rsidRPr="006171AD">
        <w:rPr>
          <w:rFonts w:ascii="Constantia" w:hAnsi="Constantia"/>
          <w:sz w:val="22"/>
          <w:szCs w:val="22"/>
        </w:rPr>
        <w:t>rocjena područja</w:t>
      </w:r>
    </w:p>
    <w:bookmarkEnd w:id="146"/>
    <w:bookmarkEnd w:id="147"/>
    <w:p w:rsidR="00C04742" w:rsidRPr="00C04742" w:rsidRDefault="00A935B8" w:rsidP="00A935B8">
      <w:pPr>
        <w:keepNext/>
        <w:pBdr>
          <w:bottom w:val="single" w:sz="18" w:space="1" w:color="9BD45F"/>
        </w:pBdr>
        <w:tabs>
          <w:tab w:val="left" w:pos="851"/>
        </w:tabs>
        <w:spacing w:before="480" w:after="240"/>
        <w:jc w:val="left"/>
        <w:outlineLvl w:val="1"/>
        <w:rPr>
          <w:b/>
          <w:szCs w:val="22"/>
        </w:rPr>
      </w:pPr>
      <w:r w:rsidRPr="00C04742">
        <w:rPr>
          <w:b/>
          <w:szCs w:val="22"/>
        </w:rPr>
        <w:t>6.3.6.3    Vodozemci i gmizav</w:t>
      </w:r>
      <w:r w:rsidR="00C04742" w:rsidRPr="00C04742">
        <w:rPr>
          <w:b/>
          <w:szCs w:val="22"/>
        </w:rPr>
        <w:t>ci</w:t>
      </w:r>
    </w:p>
    <w:tbl>
      <w:tblPr>
        <w:tblpPr w:leftFromText="180" w:rightFromText="180" w:vertAnchor="text" w:tblpXSpec="center" w:tblpY="1"/>
        <w:tblW w:w="0" w:type="auto"/>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ayout w:type="fixed"/>
        <w:tblLook w:val="04A0" w:firstRow="1" w:lastRow="0" w:firstColumn="1" w:lastColumn="0" w:noHBand="0" w:noVBand="1"/>
      </w:tblPr>
      <w:tblGrid>
        <w:gridCol w:w="2358"/>
        <w:gridCol w:w="810"/>
        <w:gridCol w:w="990"/>
        <w:gridCol w:w="900"/>
        <w:gridCol w:w="1080"/>
        <w:gridCol w:w="990"/>
        <w:gridCol w:w="1080"/>
        <w:gridCol w:w="1081"/>
      </w:tblGrid>
      <w:tr w:rsidR="004B071C" w:rsidRPr="00C04742" w:rsidTr="00C04742">
        <w:tc>
          <w:tcPr>
            <w:tcW w:w="9289" w:type="dxa"/>
            <w:gridSpan w:val="8"/>
            <w:shd w:val="clear" w:color="auto" w:fill="E6EED5"/>
          </w:tcPr>
          <w:p w:rsidR="004B071C" w:rsidRPr="00C04742" w:rsidRDefault="004B071C" w:rsidP="004E680E">
            <w:pPr>
              <w:keepNext/>
              <w:keepLines/>
              <w:spacing w:before="60"/>
              <w:jc w:val="center"/>
              <w:outlineLvl w:val="3"/>
              <w:rPr>
                <w:rFonts w:ascii="Constantia" w:hAnsi="Constantia" w:cs="Arial"/>
                <w:b/>
                <w:bCs/>
                <w:iCs/>
                <w:color w:val="000000"/>
                <w:szCs w:val="22"/>
                <w:lang w:val="sr-Latn-CS"/>
              </w:rPr>
            </w:pPr>
            <w:r w:rsidRPr="00C04742">
              <w:rPr>
                <w:rFonts w:ascii="Constantia" w:hAnsi="Constantia" w:cs="Arial"/>
                <w:b/>
                <w:bCs/>
                <w:iCs/>
                <w:color w:val="000000"/>
                <w:szCs w:val="22"/>
                <w:lang w:val="sr-Latn-CS"/>
              </w:rPr>
              <w:t>Procjena populacije na području</w:t>
            </w:r>
          </w:p>
        </w:tc>
      </w:tr>
      <w:tr w:rsidR="004B071C" w:rsidRPr="00C04742" w:rsidTr="00C04742">
        <w:tc>
          <w:tcPr>
            <w:tcW w:w="2358" w:type="dxa"/>
            <w:shd w:val="clear" w:color="auto" w:fill="CDDDAC"/>
          </w:tcPr>
          <w:p w:rsidR="004B071C" w:rsidRPr="00C04742" w:rsidRDefault="004B071C" w:rsidP="004E680E">
            <w:pPr>
              <w:keepNext/>
              <w:keepLines/>
              <w:spacing w:before="60"/>
              <w:outlineLvl w:val="3"/>
              <w:rPr>
                <w:rFonts w:ascii="Constantia" w:hAnsi="Constantia" w:cs="Arial"/>
                <w:b/>
                <w:bCs/>
                <w:iCs/>
                <w:color w:val="000000"/>
                <w:szCs w:val="22"/>
                <w:lang w:val="sr-Latn-CS"/>
              </w:rPr>
            </w:pPr>
          </w:p>
        </w:tc>
        <w:tc>
          <w:tcPr>
            <w:tcW w:w="810" w:type="dxa"/>
            <w:shd w:val="clear" w:color="auto" w:fill="CDDDAC"/>
          </w:tcPr>
          <w:p w:rsidR="004B071C" w:rsidRPr="00C04742" w:rsidRDefault="004B071C" w:rsidP="004E680E">
            <w:pPr>
              <w:keepNext/>
              <w:keepLines/>
              <w:spacing w:before="60"/>
              <w:outlineLvl w:val="3"/>
              <w:rPr>
                <w:rFonts w:ascii="Constantia" w:hAnsi="Constantia" w:cs="Arial"/>
                <w:b/>
                <w:bCs/>
                <w:iCs/>
                <w:color w:val="000000"/>
                <w:szCs w:val="22"/>
                <w:lang w:val="sr-Latn-CS"/>
              </w:rPr>
            </w:pPr>
            <w:r w:rsidRPr="00C04742">
              <w:rPr>
                <w:rFonts w:ascii="Constantia" w:hAnsi="Constantia" w:cs="Arial"/>
                <w:b/>
                <w:bCs/>
                <w:iCs/>
                <w:color w:val="000000"/>
                <w:szCs w:val="22"/>
                <w:lang w:val="sr-Latn-CS"/>
              </w:rPr>
              <w:t>Type</w:t>
            </w:r>
          </w:p>
        </w:tc>
        <w:tc>
          <w:tcPr>
            <w:tcW w:w="1890" w:type="dxa"/>
            <w:gridSpan w:val="2"/>
            <w:shd w:val="clear" w:color="auto" w:fill="CDDDAC"/>
          </w:tcPr>
          <w:p w:rsidR="004B071C" w:rsidRPr="00C04742" w:rsidRDefault="004B071C" w:rsidP="004E680E">
            <w:pPr>
              <w:keepNext/>
              <w:keepLines/>
              <w:spacing w:before="60"/>
              <w:jc w:val="center"/>
              <w:outlineLvl w:val="3"/>
              <w:rPr>
                <w:rFonts w:ascii="Constantia" w:hAnsi="Constantia" w:cs="Arial"/>
                <w:b/>
                <w:bCs/>
                <w:iCs/>
                <w:color w:val="000000"/>
                <w:szCs w:val="22"/>
                <w:lang w:val="sr-Latn-CS"/>
              </w:rPr>
            </w:pPr>
            <w:r w:rsidRPr="00C04742">
              <w:rPr>
                <w:rFonts w:ascii="Constantia" w:hAnsi="Constantia" w:cs="Arial"/>
                <w:b/>
                <w:bCs/>
                <w:iCs/>
                <w:color w:val="000000"/>
                <w:szCs w:val="22"/>
                <w:lang w:val="sr-Latn-CS"/>
              </w:rPr>
              <w:t>Veličina</w:t>
            </w:r>
          </w:p>
        </w:tc>
        <w:tc>
          <w:tcPr>
            <w:tcW w:w="1080" w:type="dxa"/>
            <w:shd w:val="clear" w:color="auto" w:fill="CDDDAC"/>
          </w:tcPr>
          <w:p w:rsidR="004B071C" w:rsidRPr="00C04742" w:rsidRDefault="004B071C" w:rsidP="004E680E">
            <w:pPr>
              <w:keepNext/>
              <w:keepLines/>
              <w:spacing w:before="60"/>
              <w:jc w:val="center"/>
              <w:outlineLvl w:val="3"/>
              <w:rPr>
                <w:rFonts w:ascii="Constantia" w:hAnsi="Constantia" w:cs="Arial"/>
                <w:b/>
                <w:bCs/>
                <w:iCs/>
                <w:color w:val="000000"/>
                <w:szCs w:val="22"/>
                <w:lang w:val="sr-Latn-CS"/>
              </w:rPr>
            </w:pPr>
            <w:r w:rsidRPr="00C04742">
              <w:rPr>
                <w:rFonts w:ascii="Constantia" w:hAnsi="Constantia" w:cs="Arial"/>
                <w:b/>
                <w:bCs/>
                <w:iCs/>
                <w:color w:val="000000"/>
                <w:szCs w:val="22"/>
                <w:lang w:val="sr-Latn-CS"/>
              </w:rPr>
              <w:t>Jedinica</w:t>
            </w:r>
          </w:p>
        </w:tc>
        <w:tc>
          <w:tcPr>
            <w:tcW w:w="990" w:type="dxa"/>
            <w:shd w:val="clear" w:color="auto" w:fill="CDDDAC"/>
          </w:tcPr>
          <w:p w:rsidR="004B071C" w:rsidRPr="00C04742" w:rsidRDefault="004B071C" w:rsidP="00AD151C">
            <w:pPr>
              <w:keepNext/>
              <w:keepLines/>
              <w:spacing w:before="60"/>
              <w:jc w:val="center"/>
              <w:outlineLvl w:val="3"/>
              <w:rPr>
                <w:rFonts w:ascii="Constantia" w:hAnsi="Constantia" w:cs="Arial"/>
                <w:b/>
                <w:bCs/>
                <w:iCs/>
                <w:color w:val="000000"/>
                <w:szCs w:val="22"/>
                <w:lang w:val="sr-Latn-CS"/>
              </w:rPr>
            </w:pPr>
            <w:r w:rsidRPr="00C04742">
              <w:rPr>
                <w:rFonts w:ascii="Constantia" w:hAnsi="Constantia" w:cs="Arial"/>
                <w:b/>
                <w:bCs/>
                <w:iCs/>
                <w:color w:val="000000"/>
                <w:szCs w:val="22"/>
                <w:lang w:val="sr-Latn-CS"/>
              </w:rPr>
              <w:t>Broj parova</w:t>
            </w:r>
          </w:p>
        </w:tc>
        <w:tc>
          <w:tcPr>
            <w:tcW w:w="1080" w:type="dxa"/>
            <w:shd w:val="clear" w:color="auto" w:fill="CDDDAC"/>
          </w:tcPr>
          <w:p w:rsidR="004B071C" w:rsidRPr="00C04742" w:rsidRDefault="004B071C" w:rsidP="004E680E">
            <w:pPr>
              <w:keepNext/>
              <w:keepLines/>
              <w:spacing w:before="60"/>
              <w:outlineLvl w:val="3"/>
              <w:rPr>
                <w:rFonts w:ascii="Constantia" w:hAnsi="Constantia" w:cs="Arial"/>
                <w:b/>
                <w:bCs/>
                <w:iCs/>
                <w:color w:val="000000"/>
                <w:szCs w:val="22"/>
                <w:lang w:val="sr-Latn-CS"/>
              </w:rPr>
            </w:pPr>
            <w:r w:rsidRPr="00C04742">
              <w:rPr>
                <w:rFonts w:ascii="Constantia" w:hAnsi="Constantia" w:cs="Arial"/>
                <w:b/>
                <w:bCs/>
                <w:iCs/>
                <w:color w:val="000000"/>
                <w:szCs w:val="22"/>
                <w:lang w:val="sr-Latn-CS"/>
              </w:rPr>
              <w:t xml:space="preserve">   Cat.</w:t>
            </w:r>
          </w:p>
        </w:tc>
        <w:tc>
          <w:tcPr>
            <w:tcW w:w="1081" w:type="dxa"/>
            <w:shd w:val="clear" w:color="auto" w:fill="CDDDAC"/>
          </w:tcPr>
          <w:p w:rsidR="004B071C" w:rsidRPr="00C04742" w:rsidRDefault="004B071C" w:rsidP="00AD151C">
            <w:pPr>
              <w:keepNext/>
              <w:keepLines/>
              <w:spacing w:before="60"/>
              <w:jc w:val="center"/>
              <w:outlineLvl w:val="3"/>
              <w:rPr>
                <w:rFonts w:ascii="Constantia" w:hAnsi="Constantia" w:cs="Arial"/>
                <w:b/>
                <w:bCs/>
                <w:iCs/>
                <w:color w:val="000000"/>
                <w:szCs w:val="22"/>
                <w:lang w:val="sr-Latn-CS"/>
              </w:rPr>
            </w:pPr>
            <w:r w:rsidRPr="00C04742">
              <w:rPr>
                <w:rFonts w:ascii="Constantia" w:hAnsi="Constantia" w:cs="Arial"/>
                <w:b/>
                <w:bCs/>
                <w:iCs/>
                <w:color w:val="000000"/>
                <w:szCs w:val="22"/>
                <w:lang w:val="sr-Latn-CS"/>
              </w:rPr>
              <w:t>Kvalitet podataka</w:t>
            </w:r>
          </w:p>
        </w:tc>
      </w:tr>
      <w:tr w:rsidR="004B071C" w:rsidRPr="00C04742" w:rsidTr="00C04742">
        <w:tc>
          <w:tcPr>
            <w:tcW w:w="2358" w:type="dxa"/>
            <w:shd w:val="clear" w:color="auto" w:fill="E6EED5"/>
          </w:tcPr>
          <w:p w:rsidR="004B071C" w:rsidRPr="00C04742" w:rsidRDefault="004B071C" w:rsidP="004E680E">
            <w:pPr>
              <w:keepNext/>
              <w:keepLines/>
              <w:spacing w:before="60"/>
              <w:outlineLvl w:val="3"/>
              <w:rPr>
                <w:rFonts w:ascii="Constantia" w:hAnsi="Constantia" w:cs="Arial"/>
                <w:b/>
                <w:bCs/>
                <w:iCs/>
                <w:color w:val="000000"/>
                <w:szCs w:val="22"/>
                <w:lang w:val="sr-Latn-CS"/>
              </w:rPr>
            </w:pPr>
          </w:p>
        </w:tc>
        <w:tc>
          <w:tcPr>
            <w:tcW w:w="810" w:type="dxa"/>
            <w:shd w:val="clear" w:color="auto" w:fill="E6EED5"/>
          </w:tcPr>
          <w:p w:rsidR="004B071C" w:rsidRPr="00C04742" w:rsidRDefault="004B071C" w:rsidP="004E680E">
            <w:pPr>
              <w:keepNext/>
              <w:keepLines/>
              <w:spacing w:before="60"/>
              <w:outlineLvl w:val="3"/>
              <w:rPr>
                <w:rFonts w:ascii="Constantia" w:hAnsi="Constantia" w:cs="Arial"/>
                <w:b/>
                <w:bCs/>
                <w:iCs/>
                <w:color w:val="000000"/>
                <w:szCs w:val="22"/>
                <w:lang w:val="sr-Latn-CS"/>
              </w:rPr>
            </w:pPr>
          </w:p>
        </w:tc>
        <w:tc>
          <w:tcPr>
            <w:tcW w:w="990" w:type="dxa"/>
            <w:shd w:val="clear" w:color="auto" w:fill="E6EED5"/>
          </w:tcPr>
          <w:p w:rsidR="004B071C" w:rsidRPr="00C04742" w:rsidRDefault="004B071C" w:rsidP="004E680E">
            <w:pPr>
              <w:keepNext/>
              <w:keepLines/>
              <w:spacing w:before="60"/>
              <w:outlineLvl w:val="3"/>
              <w:rPr>
                <w:rFonts w:ascii="Constantia" w:hAnsi="Constantia" w:cs="Arial"/>
                <w:b/>
                <w:bCs/>
                <w:iCs/>
                <w:color w:val="000000"/>
                <w:szCs w:val="22"/>
                <w:lang w:val="sr-Latn-CS"/>
              </w:rPr>
            </w:pPr>
            <w:r w:rsidRPr="00C04742">
              <w:rPr>
                <w:rFonts w:ascii="Constantia" w:hAnsi="Constantia" w:cs="Arial"/>
                <w:b/>
                <w:bCs/>
                <w:iCs/>
                <w:color w:val="000000"/>
                <w:szCs w:val="22"/>
                <w:lang w:val="sr-Latn-CS"/>
              </w:rPr>
              <w:t>Min.</w:t>
            </w:r>
          </w:p>
        </w:tc>
        <w:tc>
          <w:tcPr>
            <w:tcW w:w="900" w:type="dxa"/>
            <w:shd w:val="clear" w:color="auto" w:fill="E6EED5"/>
          </w:tcPr>
          <w:p w:rsidR="004B071C" w:rsidRPr="00C04742" w:rsidRDefault="004B071C" w:rsidP="004E680E">
            <w:pPr>
              <w:keepNext/>
              <w:keepLines/>
              <w:spacing w:before="60"/>
              <w:outlineLvl w:val="3"/>
              <w:rPr>
                <w:rFonts w:ascii="Constantia" w:hAnsi="Constantia" w:cs="Arial"/>
                <w:b/>
                <w:bCs/>
                <w:iCs/>
                <w:color w:val="000000"/>
                <w:szCs w:val="22"/>
                <w:lang w:val="sr-Latn-CS"/>
              </w:rPr>
            </w:pPr>
            <w:r w:rsidRPr="00C04742">
              <w:rPr>
                <w:rFonts w:ascii="Constantia" w:hAnsi="Constantia" w:cs="Arial"/>
                <w:b/>
                <w:bCs/>
                <w:iCs/>
                <w:color w:val="000000"/>
                <w:szCs w:val="22"/>
                <w:lang w:val="sr-Latn-CS"/>
              </w:rPr>
              <w:t>Max.</w:t>
            </w:r>
          </w:p>
        </w:tc>
        <w:tc>
          <w:tcPr>
            <w:tcW w:w="1080" w:type="dxa"/>
            <w:shd w:val="clear" w:color="auto" w:fill="E6EED5"/>
          </w:tcPr>
          <w:p w:rsidR="004B071C" w:rsidRPr="00C04742" w:rsidRDefault="004B071C" w:rsidP="004E680E">
            <w:pPr>
              <w:keepNext/>
              <w:keepLines/>
              <w:spacing w:before="60"/>
              <w:outlineLvl w:val="3"/>
              <w:rPr>
                <w:rFonts w:ascii="Constantia" w:hAnsi="Constantia" w:cs="Arial"/>
                <w:b/>
                <w:bCs/>
                <w:iCs/>
                <w:color w:val="000000"/>
                <w:szCs w:val="22"/>
                <w:lang w:val="sr-Latn-CS"/>
              </w:rPr>
            </w:pPr>
          </w:p>
        </w:tc>
        <w:tc>
          <w:tcPr>
            <w:tcW w:w="990" w:type="dxa"/>
            <w:shd w:val="clear" w:color="auto" w:fill="E6EED5"/>
          </w:tcPr>
          <w:p w:rsidR="004B071C" w:rsidRPr="00C04742" w:rsidRDefault="004B071C" w:rsidP="004E680E">
            <w:pPr>
              <w:keepNext/>
              <w:keepLines/>
              <w:spacing w:before="60"/>
              <w:jc w:val="center"/>
              <w:outlineLvl w:val="3"/>
              <w:rPr>
                <w:rFonts w:ascii="Constantia" w:hAnsi="Constantia" w:cs="Arial"/>
                <w:b/>
                <w:bCs/>
                <w:iCs/>
                <w:color w:val="000000"/>
                <w:szCs w:val="22"/>
                <w:lang w:val="sr-Latn-CS"/>
              </w:rPr>
            </w:pPr>
          </w:p>
        </w:tc>
        <w:tc>
          <w:tcPr>
            <w:tcW w:w="1080" w:type="dxa"/>
            <w:shd w:val="clear" w:color="auto" w:fill="E6EED5"/>
          </w:tcPr>
          <w:p w:rsidR="004B071C" w:rsidRPr="00C04742" w:rsidRDefault="004B071C" w:rsidP="004E680E">
            <w:pPr>
              <w:keepNext/>
              <w:keepLines/>
              <w:spacing w:before="60"/>
              <w:outlineLvl w:val="3"/>
              <w:rPr>
                <w:rFonts w:ascii="Constantia" w:hAnsi="Constantia" w:cs="Arial"/>
                <w:b/>
                <w:bCs/>
                <w:iCs/>
                <w:color w:val="000000"/>
                <w:szCs w:val="22"/>
                <w:lang w:val="sr-Latn-CS"/>
              </w:rPr>
            </w:pPr>
            <w:r w:rsidRPr="00C04742">
              <w:rPr>
                <w:rFonts w:ascii="Constantia" w:hAnsi="Constantia" w:cs="Arial"/>
                <w:b/>
                <w:bCs/>
                <w:iCs/>
                <w:color w:val="000000"/>
                <w:szCs w:val="22"/>
                <w:lang w:val="sr-Latn-CS"/>
              </w:rPr>
              <w:t>C/R/V/P</w:t>
            </w:r>
          </w:p>
        </w:tc>
        <w:tc>
          <w:tcPr>
            <w:tcW w:w="1081" w:type="dxa"/>
            <w:shd w:val="clear" w:color="auto" w:fill="E6EED5"/>
          </w:tcPr>
          <w:p w:rsidR="004B071C" w:rsidRPr="00C04742" w:rsidRDefault="004B071C" w:rsidP="004E680E">
            <w:pPr>
              <w:keepNext/>
              <w:keepLines/>
              <w:spacing w:before="60"/>
              <w:outlineLvl w:val="3"/>
              <w:rPr>
                <w:rFonts w:ascii="Constantia" w:hAnsi="Constantia" w:cs="Arial"/>
                <w:b/>
                <w:bCs/>
                <w:iCs/>
                <w:color w:val="000000"/>
                <w:szCs w:val="22"/>
                <w:lang w:val="sr-Latn-CS"/>
              </w:rPr>
            </w:pPr>
          </w:p>
        </w:tc>
      </w:tr>
      <w:tr w:rsidR="004B071C" w:rsidRPr="00C04742" w:rsidTr="00C04742">
        <w:tc>
          <w:tcPr>
            <w:tcW w:w="2358" w:type="dxa"/>
            <w:shd w:val="clear" w:color="auto" w:fill="CDDDAC"/>
          </w:tcPr>
          <w:p w:rsidR="004B071C" w:rsidRPr="00C04742" w:rsidRDefault="004B071C" w:rsidP="004E680E">
            <w:pPr>
              <w:rPr>
                <w:rFonts w:ascii="Constantia" w:hAnsi="Constantia" w:cs="Arial"/>
                <w:bCs/>
                <w:szCs w:val="22"/>
              </w:rPr>
            </w:pPr>
            <w:r w:rsidRPr="00C04742">
              <w:rPr>
                <w:rFonts w:ascii="Constantia" w:hAnsi="Constantia" w:cs="Arial"/>
                <w:bCs/>
                <w:szCs w:val="22"/>
              </w:rPr>
              <w:t>Pelecanus crispus</w:t>
            </w:r>
          </w:p>
        </w:tc>
        <w:tc>
          <w:tcPr>
            <w:tcW w:w="810" w:type="dxa"/>
            <w:shd w:val="clear" w:color="auto" w:fill="CDDDAC"/>
          </w:tcPr>
          <w:p w:rsidR="004B071C" w:rsidRPr="00C04742" w:rsidRDefault="004B071C" w:rsidP="004E680E">
            <w:pPr>
              <w:keepNext/>
              <w:keepLines/>
              <w:spacing w:before="60"/>
              <w:jc w:val="center"/>
              <w:outlineLvl w:val="3"/>
              <w:rPr>
                <w:rFonts w:ascii="Constantia" w:hAnsi="Constantia" w:cs="Arial"/>
                <w:bCs/>
                <w:iCs/>
                <w:color w:val="000000"/>
                <w:szCs w:val="22"/>
                <w:lang w:val="sr-Latn-CS"/>
              </w:rPr>
            </w:pPr>
            <w:r w:rsidRPr="00C04742">
              <w:rPr>
                <w:rFonts w:ascii="Constantia" w:hAnsi="Constantia" w:cs="Arial"/>
                <w:bCs/>
                <w:iCs/>
                <w:color w:val="000000"/>
                <w:szCs w:val="22"/>
                <w:lang w:val="sr-Latn-CS"/>
              </w:rPr>
              <w:t>P</w:t>
            </w:r>
          </w:p>
        </w:tc>
        <w:tc>
          <w:tcPr>
            <w:tcW w:w="990" w:type="dxa"/>
            <w:shd w:val="clear" w:color="auto" w:fill="CDDDAC"/>
          </w:tcPr>
          <w:p w:rsidR="004B071C" w:rsidRPr="00C04742" w:rsidRDefault="004B071C" w:rsidP="004E680E">
            <w:pPr>
              <w:keepNext/>
              <w:keepLines/>
              <w:spacing w:before="60"/>
              <w:jc w:val="center"/>
              <w:outlineLvl w:val="3"/>
              <w:rPr>
                <w:rFonts w:ascii="Constantia" w:hAnsi="Constantia" w:cs="Arial"/>
                <w:bCs/>
                <w:iCs/>
                <w:color w:val="000000"/>
                <w:szCs w:val="22"/>
                <w:lang w:val="sr-Latn-CS"/>
              </w:rPr>
            </w:pPr>
            <w:r w:rsidRPr="00C04742">
              <w:rPr>
                <w:rFonts w:ascii="Constantia" w:hAnsi="Constantia" w:cs="Arial"/>
                <w:bCs/>
                <w:iCs/>
                <w:color w:val="000000"/>
                <w:szCs w:val="22"/>
                <w:lang w:val="sr-Latn-CS"/>
              </w:rPr>
              <w:t>28</w:t>
            </w:r>
          </w:p>
        </w:tc>
        <w:tc>
          <w:tcPr>
            <w:tcW w:w="900" w:type="dxa"/>
            <w:shd w:val="clear" w:color="auto" w:fill="CDDDAC"/>
          </w:tcPr>
          <w:p w:rsidR="004B071C" w:rsidRPr="00C04742" w:rsidRDefault="004B071C" w:rsidP="004E680E">
            <w:pPr>
              <w:keepNext/>
              <w:keepLines/>
              <w:spacing w:before="60"/>
              <w:jc w:val="center"/>
              <w:outlineLvl w:val="3"/>
              <w:rPr>
                <w:rFonts w:ascii="Constantia" w:hAnsi="Constantia" w:cs="Arial"/>
                <w:bCs/>
                <w:iCs/>
                <w:color w:val="000000"/>
                <w:szCs w:val="22"/>
                <w:lang w:val="sr-Latn-CS"/>
              </w:rPr>
            </w:pPr>
            <w:r w:rsidRPr="00C04742">
              <w:rPr>
                <w:rFonts w:ascii="Constantia" w:hAnsi="Constantia" w:cs="Arial"/>
                <w:bCs/>
                <w:iCs/>
                <w:color w:val="000000"/>
                <w:szCs w:val="22"/>
                <w:lang w:val="sr-Latn-CS"/>
              </w:rPr>
              <w:t>80</w:t>
            </w:r>
          </w:p>
        </w:tc>
        <w:tc>
          <w:tcPr>
            <w:tcW w:w="1080" w:type="dxa"/>
            <w:shd w:val="clear" w:color="auto" w:fill="CDDDAC"/>
          </w:tcPr>
          <w:p w:rsidR="004B071C" w:rsidRPr="00C04742" w:rsidRDefault="004B071C" w:rsidP="004E680E">
            <w:pPr>
              <w:jc w:val="center"/>
              <w:rPr>
                <w:rFonts w:ascii="Constantia" w:hAnsi="Constantia" w:cs="Arial"/>
                <w:szCs w:val="22"/>
              </w:rPr>
            </w:pPr>
            <w:r w:rsidRPr="00C04742">
              <w:rPr>
                <w:rFonts w:ascii="Constantia" w:hAnsi="Constantia" w:cs="Arial"/>
                <w:szCs w:val="22"/>
              </w:rPr>
              <w:t>I</w:t>
            </w:r>
          </w:p>
        </w:tc>
        <w:tc>
          <w:tcPr>
            <w:tcW w:w="990" w:type="dxa"/>
            <w:shd w:val="clear" w:color="auto" w:fill="CDDDAC"/>
          </w:tcPr>
          <w:p w:rsidR="004B071C" w:rsidRPr="00C04742" w:rsidRDefault="004B071C" w:rsidP="004E680E">
            <w:pPr>
              <w:keepNext/>
              <w:keepLines/>
              <w:spacing w:before="60"/>
              <w:jc w:val="center"/>
              <w:outlineLvl w:val="3"/>
              <w:rPr>
                <w:rFonts w:ascii="Constantia" w:hAnsi="Constantia" w:cs="Arial"/>
                <w:bCs/>
                <w:iCs/>
                <w:color w:val="000000"/>
                <w:szCs w:val="22"/>
                <w:lang w:val="sr-Latn-CS"/>
              </w:rPr>
            </w:pPr>
            <w:r w:rsidRPr="00C04742">
              <w:rPr>
                <w:rFonts w:ascii="Constantia" w:hAnsi="Constantia" w:cs="Arial"/>
                <w:bCs/>
                <w:iCs/>
                <w:color w:val="000000"/>
                <w:szCs w:val="22"/>
                <w:lang w:val="sr-Latn-CS"/>
              </w:rPr>
              <w:t>28-34</w:t>
            </w:r>
          </w:p>
        </w:tc>
        <w:tc>
          <w:tcPr>
            <w:tcW w:w="1080" w:type="dxa"/>
            <w:shd w:val="clear" w:color="auto" w:fill="CDDDAC"/>
          </w:tcPr>
          <w:p w:rsidR="004B071C" w:rsidRPr="00C04742" w:rsidRDefault="004B071C" w:rsidP="004E680E">
            <w:pPr>
              <w:keepNext/>
              <w:keepLines/>
              <w:spacing w:before="60"/>
              <w:outlineLvl w:val="3"/>
              <w:rPr>
                <w:rFonts w:ascii="Constantia" w:hAnsi="Constantia" w:cs="Arial"/>
                <w:bCs/>
                <w:iCs/>
                <w:color w:val="FF0000"/>
                <w:szCs w:val="22"/>
                <w:lang w:val="sr-Latn-CS"/>
              </w:rPr>
            </w:pPr>
            <w:r w:rsidRPr="00C04742">
              <w:rPr>
                <w:rFonts w:ascii="Constantia" w:hAnsi="Constantia" w:cs="Arial"/>
                <w:bCs/>
                <w:iCs/>
                <w:color w:val="FF0000"/>
                <w:szCs w:val="22"/>
                <w:lang w:val="sr-Latn-CS"/>
              </w:rPr>
              <w:t xml:space="preserve">  </w:t>
            </w:r>
          </w:p>
        </w:tc>
        <w:tc>
          <w:tcPr>
            <w:tcW w:w="1081" w:type="dxa"/>
            <w:shd w:val="clear" w:color="auto" w:fill="CDDDAC"/>
          </w:tcPr>
          <w:p w:rsidR="004B071C" w:rsidRPr="00C04742" w:rsidRDefault="004B071C" w:rsidP="004E680E">
            <w:pPr>
              <w:keepNext/>
              <w:keepLines/>
              <w:spacing w:before="60"/>
              <w:jc w:val="center"/>
              <w:outlineLvl w:val="3"/>
              <w:rPr>
                <w:rFonts w:ascii="Constantia" w:hAnsi="Constantia" w:cs="Arial"/>
                <w:bCs/>
                <w:iCs/>
                <w:color w:val="000000"/>
                <w:szCs w:val="22"/>
                <w:lang w:val="sr-Latn-CS"/>
              </w:rPr>
            </w:pPr>
            <w:r w:rsidRPr="00C04742">
              <w:rPr>
                <w:rFonts w:ascii="Constantia" w:hAnsi="Constantia" w:cs="Arial"/>
                <w:bCs/>
                <w:iCs/>
                <w:color w:val="000000"/>
                <w:szCs w:val="22"/>
                <w:lang w:val="sr-Latn-CS"/>
              </w:rPr>
              <w:t>G</w:t>
            </w:r>
          </w:p>
        </w:tc>
      </w:tr>
      <w:tr w:rsidR="004B071C" w:rsidRPr="00C04742" w:rsidTr="00C04742">
        <w:tc>
          <w:tcPr>
            <w:tcW w:w="2358" w:type="dxa"/>
            <w:shd w:val="clear" w:color="auto" w:fill="E6EED5"/>
          </w:tcPr>
          <w:p w:rsidR="004B071C" w:rsidRPr="00C04742" w:rsidRDefault="004B071C" w:rsidP="004E680E">
            <w:pPr>
              <w:rPr>
                <w:rFonts w:ascii="Constantia" w:hAnsi="Constantia" w:cs="Arial"/>
                <w:bCs/>
                <w:szCs w:val="22"/>
              </w:rPr>
            </w:pPr>
            <w:r w:rsidRPr="00C04742">
              <w:rPr>
                <w:rFonts w:ascii="Constantia" w:hAnsi="Constantia" w:cs="Arial"/>
                <w:bCs/>
                <w:szCs w:val="22"/>
              </w:rPr>
              <w:t>Phalacrocorax pygmeus</w:t>
            </w:r>
          </w:p>
        </w:tc>
        <w:tc>
          <w:tcPr>
            <w:tcW w:w="810" w:type="dxa"/>
            <w:shd w:val="clear" w:color="auto" w:fill="E6EED5"/>
          </w:tcPr>
          <w:p w:rsidR="004B071C" w:rsidRPr="00C04742" w:rsidRDefault="004B071C" w:rsidP="004E680E">
            <w:pPr>
              <w:keepNext/>
              <w:keepLines/>
              <w:spacing w:before="60"/>
              <w:jc w:val="center"/>
              <w:outlineLvl w:val="3"/>
              <w:rPr>
                <w:rFonts w:ascii="Constantia" w:hAnsi="Constantia" w:cs="Arial"/>
                <w:bCs/>
                <w:iCs/>
                <w:color w:val="000000"/>
                <w:szCs w:val="22"/>
                <w:lang w:val="sr-Latn-CS"/>
              </w:rPr>
            </w:pPr>
            <w:r w:rsidRPr="00C04742">
              <w:rPr>
                <w:rFonts w:ascii="Constantia" w:hAnsi="Constantia" w:cs="Arial"/>
                <w:bCs/>
                <w:iCs/>
                <w:color w:val="000000"/>
                <w:szCs w:val="22"/>
                <w:lang w:val="sr-Latn-CS"/>
              </w:rPr>
              <w:t>P</w:t>
            </w:r>
          </w:p>
        </w:tc>
        <w:tc>
          <w:tcPr>
            <w:tcW w:w="990" w:type="dxa"/>
            <w:shd w:val="clear" w:color="auto" w:fill="E6EED5"/>
          </w:tcPr>
          <w:p w:rsidR="004B071C" w:rsidRPr="00C04742" w:rsidRDefault="004B071C" w:rsidP="004E680E">
            <w:pPr>
              <w:keepNext/>
              <w:keepLines/>
              <w:spacing w:before="60"/>
              <w:jc w:val="center"/>
              <w:outlineLvl w:val="3"/>
              <w:rPr>
                <w:rFonts w:ascii="Constantia" w:hAnsi="Constantia" w:cs="Arial"/>
                <w:bCs/>
                <w:iCs/>
                <w:color w:val="000000"/>
                <w:szCs w:val="22"/>
                <w:lang w:val="sr-Latn-CS"/>
              </w:rPr>
            </w:pPr>
            <w:r w:rsidRPr="00C04742">
              <w:rPr>
                <w:rFonts w:ascii="Constantia" w:hAnsi="Constantia" w:cs="Arial"/>
                <w:bCs/>
                <w:iCs/>
                <w:color w:val="000000"/>
                <w:szCs w:val="22"/>
                <w:lang w:val="sr-Latn-CS"/>
              </w:rPr>
              <w:t>2000</w:t>
            </w:r>
          </w:p>
        </w:tc>
        <w:tc>
          <w:tcPr>
            <w:tcW w:w="900" w:type="dxa"/>
            <w:shd w:val="clear" w:color="auto" w:fill="E6EED5"/>
          </w:tcPr>
          <w:p w:rsidR="004B071C" w:rsidRPr="00C04742" w:rsidRDefault="004B071C" w:rsidP="004E680E">
            <w:pPr>
              <w:keepNext/>
              <w:keepLines/>
              <w:spacing w:before="60"/>
              <w:jc w:val="center"/>
              <w:outlineLvl w:val="3"/>
              <w:rPr>
                <w:rFonts w:ascii="Constantia" w:hAnsi="Constantia" w:cs="Arial"/>
                <w:bCs/>
                <w:iCs/>
                <w:color w:val="000000"/>
                <w:szCs w:val="22"/>
                <w:lang w:val="sr-Latn-CS"/>
              </w:rPr>
            </w:pPr>
            <w:r w:rsidRPr="00C04742">
              <w:rPr>
                <w:rFonts w:ascii="Constantia" w:hAnsi="Constantia" w:cs="Arial"/>
                <w:bCs/>
                <w:iCs/>
                <w:color w:val="000000"/>
                <w:szCs w:val="22"/>
                <w:lang w:val="sr-Latn-CS"/>
              </w:rPr>
              <w:t>6000</w:t>
            </w:r>
          </w:p>
        </w:tc>
        <w:tc>
          <w:tcPr>
            <w:tcW w:w="1080" w:type="dxa"/>
            <w:shd w:val="clear" w:color="auto" w:fill="E6EED5"/>
          </w:tcPr>
          <w:p w:rsidR="004B071C" w:rsidRPr="00C04742" w:rsidRDefault="004B071C" w:rsidP="004E680E">
            <w:pPr>
              <w:jc w:val="center"/>
              <w:rPr>
                <w:rFonts w:ascii="Constantia" w:hAnsi="Constantia" w:cs="Arial"/>
                <w:szCs w:val="22"/>
              </w:rPr>
            </w:pPr>
            <w:r w:rsidRPr="00C04742">
              <w:rPr>
                <w:rFonts w:ascii="Constantia" w:hAnsi="Constantia" w:cs="Arial"/>
                <w:szCs w:val="22"/>
              </w:rPr>
              <w:t>p</w:t>
            </w:r>
          </w:p>
        </w:tc>
        <w:tc>
          <w:tcPr>
            <w:tcW w:w="990" w:type="dxa"/>
            <w:shd w:val="clear" w:color="auto" w:fill="E6EED5"/>
          </w:tcPr>
          <w:p w:rsidR="004B071C" w:rsidRPr="00C04742" w:rsidRDefault="004B071C" w:rsidP="004E680E">
            <w:pPr>
              <w:keepNext/>
              <w:keepLines/>
              <w:spacing w:before="60"/>
              <w:jc w:val="center"/>
              <w:outlineLvl w:val="3"/>
              <w:rPr>
                <w:rFonts w:ascii="Constantia" w:hAnsi="Constantia" w:cs="Arial"/>
                <w:bCs/>
                <w:iCs/>
                <w:color w:val="000000"/>
                <w:szCs w:val="22"/>
                <w:lang w:val="sr-Latn-CS"/>
              </w:rPr>
            </w:pPr>
            <w:r w:rsidRPr="00C04742">
              <w:rPr>
                <w:rFonts w:ascii="Constantia" w:hAnsi="Constantia" w:cs="Arial"/>
                <w:bCs/>
                <w:iCs/>
                <w:color w:val="000000"/>
                <w:szCs w:val="22"/>
                <w:lang w:val="sr-Latn-CS"/>
              </w:rPr>
              <w:t>2400-3000</w:t>
            </w:r>
          </w:p>
        </w:tc>
        <w:tc>
          <w:tcPr>
            <w:tcW w:w="1080" w:type="dxa"/>
            <w:shd w:val="clear" w:color="auto" w:fill="E6EED5"/>
          </w:tcPr>
          <w:p w:rsidR="004B071C" w:rsidRPr="00C04742" w:rsidRDefault="004B071C" w:rsidP="004E680E">
            <w:pPr>
              <w:keepNext/>
              <w:keepLines/>
              <w:spacing w:before="60"/>
              <w:outlineLvl w:val="3"/>
              <w:rPr>
                <w:rFonts w:ascii="Constantia" w:hAnsi="Constantia" w:cs="Arial"/>
                <w:bCs/>
                <w:iCs/>
                <w:color w:val="FF0000"/>
                <w:szCs w:val="22"/>
                <w:lang w:val="sr-Latn-CS"/>
              </w:rPr>
            </w:pPr>
            <w:r w:rsidRPr="00C04742">
              <w:rPr>
                <w:rFonts w:ascii="Constantia" w:hAnsi="Constantia" w:cs="Arial"/>
                <w:bCs/>
                <w:iCs/>
                <w:color w:val="FF0000"/>
                <w:szCs w:val="22"/>
                <w:lang w:val="sr-Latn-CS"/>
              </w:rPr>
              <w:t xml:space="preserve">  </w:t>
            </w:r>
          </w:p>
        </w:tc>
        <w:tc>
          <w:tcPr>
            <w:tcW w:w="1081" w:type="dxa"/>
            <w:shd w:val="clear" w:color="auto" w:fill="E6EED5"/>
          </w:tcPr>
          <w:p w:rsidR="004B071C" w:rsidRPr="00C04742" w:rsidRDefault="004B071C" w:rsidP="004E680E">
            <w:pPr>
              <w:keepNext/>
              <w:keepLines/>
              <w:spacing w:before="60"/>
              <w:jc w:val="center"/>
              <w:outlineLvl w:val="3"/>
              <w:rPr>
                <w:rFonts w:ascii="Constantia" w:hAnsi="Constantia" w:cs="Arial"/>
                <w:bCs/>
                <w:iCs/>
                <w:color w:val="000000"/>
                <w:szCs w:val="22"/>
                <w:lang w:val="sr-Latn-CS"/>
              </w:rPr>
            </w:pPr>
            <w:r w:rsidRPr="00C04742">
              <w:rPr>
                <w:rFonts w:ascii="Constantia" w:hAnsi="Constantia" w:cs="Arial"/>
                <w:bCs/>
                <w:iCs/>
                <w:color w:val="000000"/>
                <w:szCs w:val="22"/>
                <w:lang w:val="sr-Latn-CS"/>
              </w:rPr>
              <w:t>G</w:t>
            </w:r>
          </w:p>
        </w:tc>
      </w:tr>
      <w:tr w:rsidR="004B071C" w:rsidRPr="00C04742" w:rsidTr="00C04742">
        <w:tc>
          <w:tcPr>
            <w:tcW w:w="2358" w:type="dxa"/>
            <w:shd w:val="clear" w:color="auto" w:fill="CDDDAC"/>
          </w:tcPr>
          <w:p w:rsidR="004B071C" w:rsidRPr="00C04742" w:rsidRDefault="004B071C" w:rsidP="004E680E">
            <w:pPr>
              <w:rPr>
                <w:rFonts w:ascii="Constantia" w:hAnsi="Constantia" w:cs="Arial"/>
                <w:bCs/>
                <w:szCs w:val="22"/>
              </w:rPr>
            </w:pPr>
            <w:r w:rsidRPr="00C04742">
              <w:rPr>
                <w:rFonts w:ascii="Constantia" w:hAnsi="Constantia" w:cs="Arial"/>
                <w:bCs/>
                <w:szCs w:val="22"/>
              </w:rPr>
              <w:t>Plegadis falcinellus</w:t>
            </w:r>
          </w:p>
        </w:tc>
        <w:tc>
          <w:tcPr>
            <w:tcW w:w="810" w:type="dxa"/>
            <w:shd w:val="clear" w:color="auto" w:fill="CDDDAC"/>
          </w:tcPr>
          <w:p w:rsidR="004B071C" w:rsidRPr="00C04742" w:rsidRDefault="004B071C" w:rsidP="004E680E">
            <w:pPr>
              <w:keepNext/>
              <w:keepLines/>
              <w:spacing w:before="60"/>
              <w:jc w:val="center"/>
              <w:outlineLvl w:val="3"/>
              <w:rPr>
                <w:rFonts w:ascii="Constantia" w:hAnsi="Constantia" w:cs="Arial"/>
                <w:bCs/>
                <w:iCs/>
                <w:color w:val="000000"/>
                <w:szCs w:val="22"/>
                <w:lang w:val="sr-Latn-CS"/>
              </w:rPr>
            </w:pPr>
            <w:r w:rsidRPr="00C04742">
              <w:rPr>
                <w:rFonts w:ascii="Constantia" w:hAnsi="Constantia" w:cs="Arial"/>
                <w:bCs/>
                <w:iCs/>
                <w:color w:val="000000"/>
                <w:szCs w:val="22"/>
                <w:lang w:val="sr-Latn-CS"/>
              </w:rPr>
              <w:t>R</w:t>
            </w:r>
          </w:p>
        </w:tc>
        <w:tc>
          <w:tcPr>
            <w:tcW w:w="990" w:type="dxa"/>
            <w:shd w:val="clear" w:color="auto" w:fill="CDDDAC"/>
          </w:tcPr>
          <w:p w:rsidR="004B071C" w:rsidRPr="00C04742" w:rsidRDefault="004B071C" w:rsidP="004E680E">
            <w:pPr>
              <w:keepNext/>
              <w:keepLines/>
              <w:spacing w:before="60"/>
              <w:jc w:val="center"/>
              <w:outlineLvl w:val="3"/>
              <w:rPr>
                <w:rFonts w:ascii="Constantia" w:hAnsi="Constantia" w:cs="Arial"/>
                <w:bCs/>
                <w:iCs/>
                <w:color w:val="000000"/>
                <w:szCs w:val="22"/>
                <w:lang w:val="sr-Latn-CS"/>
              </w:rPr>
            </w:pPr>
            <w:r w:rsidRPr="00C04742">
              <w:rPr>
                <w:rFonts w:ascii="Constantia" w:hAnsi="Constantia" w:cs="Arial"/>
                <w:bCs/>
                <w:iCs/>
                <w:color w:val="000000"/>
                <w:szCs w:val="22"/>
                <w:lang w:val="sr-Latn-CS"/>
              </w:rPr>
              <w:t>6</w:t>
            </w:r>
          </w:p>
        </w:tc>
        <w:tc>
          <w:tcPr>
            <w:tcW w:w="900" w:type="dxa"/>
            <w:shd w:val="clear" w:color="auto" w:fill="CDDDAC"/>
          </w:tcPr>
          <w:p w:rsidR="004B071C" w:rsidRPr="00C04742" w:rsidRDefault="004B071C" w:rsidP="004E680E">
            <w:pPr>
              <w:keepNext/>
              <w:keepLines/>
              <w:spacing w:before="60"/>
              <w:jc w:val="center"/>
              <w:outlineLvl w:val="3"/>
              <w:rPr>
                <w:rFonts w:ascii="Constantia" w:hAnsi="Constantia" w:cs="Arial"/>
                <w:bCs/>
                <w:iCs/>
                <w:color w:val="000000"/>
                <w:szCs w:val="22"/>
                <w:lang w:val="sr-Latn-CS"/>
              </w:rPr>
            </w:pPr>
            <w:r w:rsidRPr="00C04742">
              <w:rPr>
                <w:rFonts w:ascii="Constantia" w:hAnsi="Constantia" w:cs="Arial"/>
                <w:bCs/>
                <w:iCs/>
                <w:color w:val="000000"/>
                <w:szCs w:val="22"/>
                <w:lang w:val="sr-Latn-CS"/>
              </w:rPr>
              <w:t>10</w:t>
            </w:r>
          </w:p>
        </w:tc>
        <w:tc>
          <w:tcPr>
            <w:tcW w:w="1080" w:type="dxa"/>
            <w:shd w:val="clear" w:color="auto" w:fill="CDDDAC"/>
          </w:tcPr>
          <w:p w:rsidR="004B071C" w:rsidRPr="00C04742" w:rsidRDefault="004B071C" w:rsidP="004E680E">
            <w:pPr>
              <w:jc w:val="center"/>
              <w:rPr>
                <w:rFonts w:ascii="Constantia" w:hAnsi="Constantia" w:cs="Arial"/>
                <w:szCs w:val="22"/>
              </w:rPr>
            </w:pPr>
            <w:r w:rsidRPr="00C04742">
              <w:rPr>
                <w:rFonts w:ascii="Constantia" w:hAnsi="Constantia" w:cs="Arial"/>
                <w:szCs w:val="22"/>
              </w:rPr>
              <w:t>p</w:t>
            </w:r>
          </w:p>
        </w:tc>
        <w:tc>
          <w:tcPr>
            <w:tcW w:w="990" w:type="dxa"/>
            <w:shd w:val="clear" w:color="auto" w:fill="CDDDAC"/>
          </w:tcPr>
          <w:p w:rsidR="004B071C" w:rsidRPr="00C04742" w:rsidRDefault="004B071C" w:rsidP="004E680E">
            <w:pPr>
              <w:keepNext/>
              <w:keepLines/>
              <w:spacing w:before="60"/>
              <w:jc w:val="center"/>
              <w:outlineLvl w:val="3"/>
              <w:rPr>
                <w:rFonts w:ascii="Constantia" w:hAnsi="Constantia" w:cs="Arial"/>
                <w:bCs/>
                <w:iCs/>
                <w:color w:val="000000"/>
                <w:szCs w:val="22"/>
                <w:lang w:val="sr-Latn-CS"/>
              </w:rPr>
            </w:pPr>
            <w:r w:rsidRPr="00C04742">
              <w:rPr>
                <w:rFonts w:ascii="Constantia" w:hAnsi="Constantia" w:cs="Arial"/>
                <w:bCs/>
                <w:iCs/>
                <w:color w:val="000000"/>
                <w:szCs w:val="22"/>
                <w:lang w:val="sr-Latn-CS"/>
              </w:rPr>
              <w:t>6</w:t>
            </w:r>
          </w:p>
        </w:tc>
        <w:tc>
          <w:tcPr>
            <w:tcW w:w="1080" w:type="dxa"/>
            <w:shd w:val="clear" w:color="auto" w:fill="CDDDAC"/>
          </w:tcPr>
          <w:p w:rsidR="004B071C" w:rsidRPr="00C04742" w:rsidRDefault="004B071C" w:rsidP="004E680E">
            <w:pPr>
              <w:keepNext/>
              <w:keepLines/>
              <w:spacing w:before="60"/>
              <w:outlineLvl w:val="3"/>
              <w:rPr>
                <w:rFonts w:ascii="Constantia" w:hAnsi="Constantia" w:cs="Arial"/>
                <w:bCs/>
                <w:iCs/>
                <w:color w:val="FF0000"/>
                <w:szCs w:val="22"/>
                <w:lang w:val="sr-Latn-CS"/>
              </w:rPr>
            </w:pPr>
            <w:r w:rsidRPr="00C04742">
              <w:rPr>
                <w:rFonts w:ascii="Constantia" w:hAnsi="Constantia" w:cs="Arial"/>
                <w:bCs/>
                <w:iCs/>
                <w:color w:val="FF0000"/>
                <w:szCs w:val="22"/>
                <w:lang w:val="sr-Latn-CS"/>
              </w:rPr>
              <w:t xml:space="preserve">  </w:t>
            </w:r>
          </w:p>
        </w:tc>
        <w:tc>
          <w:tcPr>
            <w:tcW w:w="1081" w:type="dxa"/>
            <w:shd w:val="clear" w:color="auto" w:fill="CDDDAC"/>
          </w:tcPr>
          <w:p w:rsidR="004B071C" w:rsidRPr="00C04742" w:rsidRDefault="004B071C" w:rsidP="004E680E">
            <w:pPr>
              <w:keepNext/>
              <w:keepLines/>
              <w:spacing w:before="60"/>
              <w:jc w:val="center"/>
              <w:outlineLvl w:val="3"/>
              <w:rPr>
                <w:rFonts w:ascii="Constantia" w:hAnsi="Constantia" w:cs="Arial"/>
                <w:bCs/>
                <w:iCs/>
                <w:color w:val="000000"/>
                <w:szCs w:val="22"/>
                <w:lang w:val="sr-Latn-CS"/>
              </w:rPr>
            </w:pPr>
            <w:r w:rsidRPr="00C04742">
              <w:rPr>
                <w:rFonts w:ascii="Constantia" w:hAnsi="Constantia" w:cs="Arial"/>
                <w:bCs/>
                <w:iCs/>
                <w:color w:val="000000"/>
                <w:szCs w:val="22"/>
                <w:lang w:val="sr-Latn-CS"/>
              </w:rPr>
              <w:t>G</w:t>
            </w:r>
          </w:p>
        </w:tc>
      </w:tr>
      <w:tr w:rsidR="004B071C" w:rsidRPr="00C04742" w:rsidTr="00C04742">
        <w:tc>
          <w:tcPr>
            <w:tcW w:w="2358" w:type="dxa"/>
            <w:shd w:val="clear" w:color="auto" w:fill="E6EED5"/>
          </w:tcPr>
          <w:p w:rsidR="004B071C" w:rsidRPr="00C04742" w:rsidRDefault="004B071C" w:rsidP="004E680E">
            <w:pPr>
              <w:rPr>
                <w:rFonts w:ascii="Constantia" w:hAnsi="Constantia" w:cs="Arial"/>
                <w:bCs/>
                <w:szCs w:val="22"/>
              </w:rPr>
            </w:pPr>
            <w:r w:rsidRPr="00C04742">
              <w:rPr>
                <w:rFonts w:ascii="Constantia" w:hAnsi="Constantia" w:cs="Arial"/>
                <w:bCs/>
                <w:szCs w:val="22"/>
              </w:rPr>
              <w:t>Bubulcus ibis</w:t>
            </w:r>
          </w:p>
        </w:tc>
        <w:tc>
          <w:tcPr>
            <w:tcW w:w="810" w:type="dxa"/>
            <w:shd w:val="clear" w:color="auto" w:fill="E6EED5"/>
          </w:tcPr>
          <w:p w:rsidR="004B071C" w:rsidRPr="00C04742" w:rsidRDefault="004B071C" w:rsidP="004E680E">
            <w:pPr>
              <w:keepNext/>
              <w:keepLines/>
              <w:spacing w:before="60"/>
              <w:jc w:val="center"/>
              <w:outlineLvl w:val="3"/>
              <w:rPr>
                <w:rFonts w:ascii="Constantia" w:hAnsi="Constantia" w:cs="Arial"/>
                <w:bCs/>
                <w:iCs/>
                <w:color w:val="000000"/>
                <w:szCs w:val="22"/>
                <w:lang w:val="sr-Latn-CS"/>
              </w:rPr>
            </w:pPr>
            <w:r w:rsidRPr="00C04742">
              <w:rPr>
                <w:rFonts w:ascii="Constantia" w:hAnsi="Constantia" w:cs="Arial"/>
                <w:bCs/>
                <w:iCs/>
                <w:color w:val="000000"/>
                <w:szCs w:val="22"/>
                <w:lang w:val="sr-Latn-CS"/>
              </w:rPr>
              <w:t>R/C</w:t>
            </w:r>
          </w:p>
        </w:tc>
        <w:tc>
          <w:tcPr>
            <w:tcW w:w="990" w:type="dxa"/>
            <w:shd w:val="clear" w:color="auto" w:fill="E6EED5"/>
          </w:tcPr>
          <w:p w:rsidR="004B071C" w:rsidRPr="00C04742" w:rsidRDefault="004B071C" w:rsidP="004E680E">
            <w:pPr>
              <w:keepNext/>
              <w:keepLines/>
              <w:spacing w:before="60"/>
              <w:jc w:val="center"/>
              <w:outlineLvl w:val="3"/>
              <w:rPr>
                <w:rFonts w:ascii="Constantia" w:hAnsi="Constantia" w:cs="Arial"/>
                <w:bCs/>
                <w:iCs/>
                <w:color w:val="000000"/>
                <w:szCs w:val="22"/>
                <w:lang w:val="sr-Latn-CS"/>
              </w:rPr>
            </w:pPr>
            <w:r w:rsidRPr="00C04742">
              <w:rPr>
                <w:rFonts w:ascii="Constantia" w:hAnsi="Constantia" w:cs="Arial"/>
                <w:bCs/>
                <w:iCs/>
                <w:color w:val="000000"/>
                <w:szCs w:val="22"/>
                <w:lang w:val="sr-Latn-CS"/>
              </w:rPr>
              <w:t>6</w:t>
            </w:r>
          </w:p>
        </w:tc>
        <w:tc>
          <w:tcPr>
            <w:tcW w:w="900" w:type="dxa"/>
            <w:shd w:val="clear" w:color="auto" w:fill="E6EED5"/>
          </w:tcPr>
          <w:p w:rsidR="004B071C" w:rsidRPr="00C04742" w:rsidRDefault="004B071C" w:rsidP="004E680E">
            <w:pPr>
              <w:keepNext/>
              <w:keepLines/>
              <w:spacing w:before="60"/>
              <w:jc w:val="center"/>
              <w:outlineLvl w:val="3"/>
              <w:rPr>
                <w:rFonts w:ascii="Constantia" w:hAnsi="Constantia" w:cs="Arial"/>
                <w:bCs/>
                <w:iCs/>
                <w:color w:val="000000"/>
                <w:szCs w:val="22"/>
                <w:lang w:val="sr-Latn-CS"/>
              </w:rPr>
            </w:pPr>
            <w:r w:rsidRPr="00C04742">
              <w:rPr>
                <w:rFonts w:ascii="Constantia" w:hAnsi="Constantia" w:cs="Arial"/>
                <w:bCs/>
                <w:iCs/>
                <w:color w:val="000000"/>
                <w:szCs w:val="22"/>
                <w:lang w:val="sr-Latn-CS"/>
              </w:rPr>
              <w:t>10</w:t>
            </w:r>
          </w:p>
        </w:tc>
        <w:tc>
          <w:tcPr>
            <w:tcW w:w="1080" w:type="dxa"/>
            <w:shd w:val="clear" w:color="auto" w:fill="E6EED5"/>
          </w:tcPr>
          <w:p w:rsidR="004B071C" w:rsidRPr="00C04742" w:rsidRDefault="004B071C" w:rsidP="004E680E">
            <w:pPr>
              <w:jc w:val="center"/>
              <w:rPr>
                <w:rFonts w:ascii="Constantia" w:hAnsi="Constantia" w:cs="Arial"/>
                <w:color w:val="000000"/>
                <w:szCs w:val="22"/>
              </w:rPr>
            </w:pPr>
            <w:r w:rsidRPr="00C04742">
              <w:rPr>
                <w:rFonts w:ascii="Constantia" w:hAnsi="Constantia" w:cs="Arial"/>
                <w:color w:val="000000"/>
                <w:szCs w:val="22"/>
              </w:rPr>
              <w:t>p</w:t>
            </w:r>
          </w:p>
        </w:tc>
        <w:tc>
          <w:tcPr>
            <w:tcW w:w="990" w:type="dxa"/>
            <w:shd w:val="clear" w:color="auto" w:fill="E6EED5"/>
          </w:tcPr>
          <w:p w:rsidR="004B071C" w:rsidRPr="00C04742" w:rsidRDefault="004B071C" w:rsidP="004E680E">
            <w:pPr>
              <w:keepNext/>
              <w:keepLines/>
              <w:spacing w:before="60"/>
              <w:jc w:val="center"/>
              <w:outlineLvl w:val="3"/>
              <w:rPr>
                <w:rFonts w:ascii="Constantia" w:hAnsi="Constantia" w:cs="Arial"/>
                <w:bCs/>
                <w:iCs/>
                <w:color w:val="000000"/>
                <w:szCs w:val="22"/>
                <w:lang w:val="sr-Latn-CS"/>
              </w:rPr>
            </w:pPr>
            <w:r w:rsidRPr="00C04742">
              <w:rPr>
                <w:rFonts w:ascii="Constantia" w:hAnsi="Constantia" w:cs="Arial"/>
                <w:bCs/>
                <w:iCs/>
                <w:color w:val="000000"/>
                <w:szCs w:val="22"/>
                <w:lang w:val="sr-Latn-CS"/>
              </w:rPr>
              <w:t>6</w:t>
            </w:r>
          </w:p>
        </w:tc>
        <w:tc>
          <w:tcPr>
            <w:tcW w:w="1080" w:type="dxa"/>
            <w:shd w:val="clear" w:color="auto" w:fill="E6EED5"/>
          </w:tcPr>
          <w:p w:rsidR="004B071C" w:rsidRPr="00C04742" w:rsidRDefault="004B071C" w:rsidP="004E680E">
            <w:pPr>
              <w:keepNext/>
              <w:keepLines/>
              <w:spacing w:before="60"/>
              <w:outlineLvl w:val="3"/>
              <w:rPr>
                <w:rFonts w:ascii="Constantia" w:hAnsi="Constantia" w:cs="Arial"/>
                <w:bCs/>
                <w:iCs/>
                <w:color w:val="FF0000"/>
                <w:szCs w:val="22"/>
                <w:lang w:val="sr-Latn-CS"/>
              </w:rPr>
            </w:pPr>
            <w:r w:rsidRPr="00C04742">
              <w:rPr>
                <w:rFonts w:ascii="Constantia" w:hAnsi="Constantia" w:cs="Arial"/>
                <w:bCs/>
                <w:iCs/>
                <w:color w:val="FF0000"/>
                <w:szCs w:val="22"/>
                <w:lang w:val="sr-Latn-CS"/>
              </w:rPr>
              <w:t xml:space="preserve"> </w:t>
            </w:r>
          </w:p>
        </w:tc>
        <w:tc>
          <w:tcPr>
            <w:tcW w:w="1081" w:type="dxa"/>
            <w:shd w:val="clear" w:color="auto" w:fill="E6EED5"/>
          </w:tcPr>
          <w:p w:rsidR="004B071C" w:rsidRPr="00C04742" w:rsidRDefault="004B071C" w:rsidP="004E680E">
            <w:pPr>
              <w:keepNext/>
              <w:keepLines/>
              <w:spacing w:before="60"/>
              <w:jc w:val="center"/>
              <w:outlineLvl w:val="3"/>
              <w:rPr>
                <w:rFonts w:ascii="Constantia" w:hAnsi="Constantia" w:cs="Arial"/>
                <w:bCs/>
                <w:iCs/>
                <w:color w:val="000000"/>
                <w:szCs w:val="22"/>
                <w:lang w:val="sr-Latn-CS"/>
              </w:rPr>
            </w:pPr>
            <w:r w:rsidRPr="00C04742">
              <w:rPr>
                <w:rFonts w:ascii="Constantia" w:hAnsi="Constantia" w:cs="Arial"/>
                <w:bCs/>
                <w:iCs/>
                <w:color w:val="000000"/>
                <w:szCs w:val="22"/>
                <w:lang w:val="sr-Latn-CS"/>
              </w:rPr>
              <w:t>M</w:t>
            </w:r>
          </w:p>
        </w:tc>
      </w:tr>
      <w:tr w:rsidR="004B071C" w:rsidRPr="00C04742" w:rsidTr="00C04742">
        <w:tc>
          <w:tcPr>
            <w:tcW w:w="2358" w:type="dxa"/>
            <w:shd w:val="clear" w:color="auto" w:fill="CDDDAC"/>
          </w:tcPr>
          <w:p w:rsidR="004B071C" w:rsidRPr="00C04742" w:rsidRDefault="004B071C" w:rsidP="004E680E">
            <w:pPr>
              <w:rPr>
                <w:rFonts w:ascii="Constantia" w:hAnsi="Constantia" w:cs="Arial"/>
                <w:bCs/>
                <w:szCs w:val="22"/>
              </w:rPr>
            </w:pPr>
            <w:r w:rsidRPr="00C04742">
              <w:rPr>
                <w:rFonts w:ascii="Constantia" w:hAnsi="Constantia" w:cs="Arial"/>
                <w:bCs/>
                <w:szCs w:val="22"/>
              </w:rPr>
              <w:t>Aythya nyroca</w:t>
            </w:r>
          </w:p>
        </w:tc>
        <w:tc>
          <w:tcPr>
            <w:tcW w:w="810" w:type="dxa"/>
            <w:shd w:val="clear" w:color="auto" w:fill="CDDDAC"/>
          </w:tcPr>
          <w:p w:rsidR="004B071C" w:rsidRPr="00C04742" w:rsidRDefault="004B071C" w:rsidP="004E680E">
            <w:pPr>
              <w:keepNext/>
              <w:keepLines/>
              <w:spacing w:before="60"/>
              <w:jc w:val="center"/>
              <w:outlineLvl w:val="3"/>
              <w:rPr>
                <w:rFonts w:ascii="Constantia" w:hAnsi="Constantia" w:cs="Arial"/>
                <w:bCs/>
                <w:iCs/>
                <w:color w:val="000000"/>
                <w:szCs w:val="22"/>
                <w:lang w:val="sr-Latn-CS"/>
              </w:rPr>
            </w:pPr>
            <w:r w:rsidRPr="00C04742">
              <w:rPr>
                <w:rFonts w:ascii="Constantia" w:hAnsi="Constantia" w:cs="Arial"/>
                <w:bCs/>
                <w:iCs/>
                <w:color w:val="000000"/>
                <w:szCs w:val="22"/>
                <w:lang w:val="sr-Latn-CS"/>
              </w:rPr>
              <w:t>R/C</w:t>
            </w:r>
          </w:p>
        </w:tc>
        <w:tc>
          <w:tcPr>
            <w:tcW w:w="990" w:type="dxa"/>
            <w:shd w:val="clear" w:color="auto" w:fill="CDDDAC"/>
          </w:tcPr>
          <w:p w:rsidR="004B071C" w:rsidRPr="00C04742" w:rsidRDefault="004B071C" w:rsidP="004E680E">
            <w:pPr>
              <w:keepNext/>
              <w:keepLines/>
              <w:spacing w:before="60"/>
              <w:jc w:val="center"/>
              <w:outlineLvl w:val="3"/>
              <w:rPr>
                <w:rFonts w:ascii="Constantia" w:hAnsi="Constantia" w:cs="Arial"/>
                <w:bCs/>
                <w:iCs/>
                <w:color w:val="000000"/>
                <w:szCs w:val="22"/>
                <w:lang w:val="sr-Latn-CS"/>
              </w:rPr>
            </w:pPr>
            <w:r w:rsidRPr="00C04742">
              <w:rPr>
                <w:rFonts w:ascii="Constantia" w:hAnsi="Constantia" w:cs="Arial"/>
                <w:bCs/>
                <w:iCs/>
                <w:color w:val="000000"/>
                <w:szCs w:val="22"/>
                <w:lang w:val="sr-Latn-CS"/>
              </w:rPr>
              <w:t>8</w:t>
            </w:r>
          </w:p>
        </w:tc>
        <w:tc>
          <w:tcPr>
            <w:tcW w:w="900" w:type="dxa"/>
            <w:shd w:val="clear" w:color="auto" w:fill="CDDDAC"/>
          </w:tcPr>
          <w:p w:rsidR="004B071C" w:rsidRPr="00C04742" w:rsidRDefault="004B071C" w:rsidP="004E680E">
            <w:pPr>
              <w:keepNext/>
              <w:keepLines/>
              <w:spacing w:before="60"/>
              <w:jc w:val="center"/>
              <w:outlineLvl w:val="3"/>
              <w:rPr>
                <w:rFonts w:ascii="Constantia" w:hAnsi="Constantia" w:cs="Arial"/>
                <w:bCs/>
                <w:iCs/>
                <w:color w:val="000000"/>
                <w:szCs w:val="22"/>
                <w:lang w:val="sr-Latn-CS"/>
              </w:rPr>
            </w:pPr>
            <w:r w:rsidRPr="00C04742">
              <w:rPr>
                <w:rFonts w:ascii="Constantia" w:hAnsi="Constantia" w:cs="Arial"/>
                <w:bCs/>
                <w:iCs/>
                <w:color w:val="000000"/>
                <w:szCs w:val="22"/>
                <w:lang w:val="sr-Latn-CS"/>
              </w:rPr>
              <w:t>20</w:t>
            </w:r>
          </w:p>
        </w:tc>
        <w:tc>
          <w:tcPr>
            <w:tcW w:w="1080" w:type="dxa"/>
            <w:shd w:val="clear" w:color="auto" w:fill="CDDDAC"/>
          </w:tcPr>
          <w:p w:rsidR="004B071C" w:rsidRPr="00C04742" w:rsidRDefault="004B071C" w:rsidP="004E680E">
            <w:pPr>
              <w:jc w:val="center"/>
              <w:rPr>
                <w:rFonts w:ascii="Constantia" w:hAnsi="Constantia" w:cs="Arial"/>
                <w:szCs w:val="22"/>
              </w:rPr>
            </w:pPr>
            <w:r w:rsidRPr="00C04742">
              <w:rPr>
                <w:rFonts w:ascii="Constantia" w:hAnsi="Constantia" w:cs="Arial"/>
                <w:szCs w:val="22"/>
              </w:rPr>
              <w:t>p</w:t>
            </w:r>
          </w:p>
        </w:tc>
        <w:tc>
          <w:tcPr>
            <w:tcW w:w="990" w:type="dxa"/>
            <w:shd w:val="clear" w:color="auto" w:fill="CDDDAC"/>
          </w:tcPr>
          <w:p w:rsidR="004B071C" w:rsidRPr="00C04742" w:rsidRDefault="004B071C" w:rsidP="004E680E">
            <w:pPr>
              <w:keepNext/>
              <w:keepLines/>
              <w:spacing w:before="60"/>
              <w:jc w:val="center"/>
              <w:outlineLvl w:val="3"/>
              <w:rPr>
                <w:rFonts w:ascii="Constantia" w:hAnsi="Constantia" w:cs="Arial"/>
                <w:bCs/>
                <w:iCs/>
                <w:color w:val="000000"/>
                <w:szCs w:val="22"/>
                <w:lang w:val="sr-Latn-CS"/>
              </w:rPr>
            </w:pPr>
            <w:r w:rsidRPr="00C04742">
              <w:rPr>
                <w:rFonts w:ascii="Constantia" w:hAnsi="Constantia" w:cs="Arial"/>
                <w:bCs/>
                <w:iCs/>
                <w:color w:val="000000"/>
                <w:szCs w:val="22"/>
                <w:lang w:val="sr-Latn-CS"/>
              </w:rPr>
              <w:t>8</w:t>
            </w:r>
          </w:p>
        </w:tc>
        <w:tc>
          <w:tcPr>
            <w:tcW w:w="1080" w:type="dxa"/>
            <w:shd w:val="clear" w:color="auto" w:fill="CDDDAC"/>
          </w:tcPr>
          <w:p w:rsidR="004B071C" w:rsidRPr="00C04742" w:rsidRDefault="004B071C" w:rsidP="004E680E">
            <w:pPr>
              <w:keepNext/>
              <w:keepLines/>
              <w:spacing w:before="60"/>
              <w:outlineLvl w:val="3"/>
              <w:rPr>
                <w:rFonts w:ascii="Constantia" w:hAnsi="Constantia" w:cs="Arial"/>
                <w:bCs/>
                <w:iCs/>
                <w:color w:val="FF0000"/>
                <w:szCs w:val="22"/>
                <w:lang w:val="sr-Latn-CS"/>
              </w:rPr>
            </w:pPr>
            <w:r w:rsidRPr="00C04742">
              <w:rPr>
                <w:rFonts w:ascii="Constantia" w:hAnsi="Constantia" w:cs="Arial"/>
                <w:bCs/>
                <w:iCs/>
                <w:color w:val="FF0000"/>
                <w:szCs w:val="22"/>
                <w:lang w:val="sr-Latn-CS"/>
              </w:rPr>
              <w:t xml:space="preserve">  </w:t>
            </w:r>
          </w:p>
        </w:tc>
        <w:tc>
          <w:tcPr>
            <w:tcW w:w="1081" w:type="dxa"/>
            <w:shd w:val="clear" w:color="auto" w:fill="CDDDAC"/>
          </w:tcPr>
          <w:p w:rsidR="004B071C" w:rsidRPr="00C04742" w:rsidRDefault="004B071C" w:rsidP="004E680E">
            <w:pPr>
              <w:keepNext/>
              <w:keepLines/>
              <w:spacing w:before="60"/>
              <w:jc w:val="center"/>
              <w:outlineLvl w:val="3"/>
              <w:rPr>
                <w:rFonts w:ascii="Constantia" w:hAnsi="Constantia" w:cs="Arial"/>
                <w:bCs/>
                <w:iCs/>
                <w:color w:val="000000"/>
                <w:szCs w:val="22"/>
                <w:lang w:val="sr-Latn-CS"/>
              </w:rPr>
            </w:pPr>
            <w:r w:rsidRPr="00C04742">
              <w:rPr>
                <w:rFonts w:ascii="Constantia" w:hAnsi="Constantia" w:cs="Arial"/>
                <w:bCs/>
                <w:iCs/>
                <w:color w:val="000000"/>
                <w:szCs w:val="22"/>
                <w:lang w:val="sr-Latn-CS"/>
              </w:rPr>
              <w:t>G</w:t>
            </w:r>
          </w:p>
        </w:tc>
      </w:tr>
      <w:tr w:rsidR="004B071C" w:rsidRPr="00C04742" w:rsidTr="00C04742">
        <w:tc>
          <w:tcPr>
            <w:tcW w:w="2358" w:type="dxa"/>
            <w:shd w:val="clear" w:color="auto" w:fill="E6EED5"/>
          </w:tcPr>
          <w:p w:rsidR="004B071C" w:rsidRPr="00C04742" w:rsidRDefault="004B071C" w:rsidP="004E680E">
            <w:pPr>
              <w:rPr>
                <w:rFonts w:ascii="Constantia" w:hAnsi="Constantia" w:cs="Arial"/>
                <w:bCs/>
                <w:szCs w:val="22"/>
              </w:rPr>
            </w:pPr>
            <w:r w:rsidRPr="00C04742">
              <w:rPr>
                <w:rFonts w:ascii="Constantia" w:hAnsi="Constantia" w:cs="Arial"/>
                <w:bCs/>
                <w:szCs w:val="22"/>
              </w:rPr>
              <w:t>Ardea cinerea</w:t>
            </w:r>
          </w:p>
        </w:tc>
        <w:tc>
          <w:tcPr>
            <w:tcW w:w="810" w:type="dxa"/>
            <w:shd w:val="clear" w:color="auto" w:fill="E6EED5"/>
          </w:tcPr>
          <w:p w:rsidR="004B071C" w:rsidRPr="00C04742" w:rsidRDefault="004B071C" w:rsidP="004E680E">
            <w:pPr>
              <w:keepNext/>
              <w:keepLines/>
              <w:spacing w:before="60"/>
              <w:jc w:val="center"/>
              <w:outlineLvl w:val="3"/>
              <w:rPr>
                <w:rFonts w:ascii="Constantia" w:hAnsi="Constantia" w:cs="Arial"/>
                <w:bCs/>
                <w:iCs/>
                <w:color w:val="000000"/>
                <w:szCs w:val="22"/>
                <w:lang w:val="sr-Latn-CS"/>
              </w:rPr>
            </w:pPr>
            <w:r w:rsidRPr="00C04742">
              <w:rPr>
                <w:rFonts w:ascii="Constantia" w:hAnsi="Constantia" w:cs="Arial"/>
                <w:bCs/>
                <w:iCs/>
                <w:color w:val="000000"/>
                <w:szCs w:val="22"/>
                <w:lang w:val="sr-Latn-CS"/>
              </w:rPr>
              <w:t>P</w:t>
            </w:r>
          </w:p>
        </w:tc>
        <w:tc>
          <w:tcPr>
            <w:tcW w:w="990" w:type="dxa"/>
            <w:shd w:val="clear" w:color="auto" w:fill="E6EED5"/>
          </w:tcPr>
          <w:p w:rsidR="004B071C" w:rsidRPr="00C04742" w:rsidRDefault="004B071C" w:rsidP="004E680E">
            <w:pPr>
              <w:keepNext/>
              <w:keepLines/>
              <w:spacing w:before="60"/>
              <w:jc w:val="center"/>
              <w:outlineLvl w:val="3"/>
              <w:rPr>
                <w:rFonts w:ascii="Constantia" w:hAnsi="Constantia" w:cs="Arial"/>
                <w:bCs/>
                <w:iCs/>
                <w:color w:val="000000"/>
                <w:szCs w:val="22"/>
                <w:lang w:val="sr-Latn-CS"/>
              </w:rPr>
            </w:pPr>
            <w:r w:rsidRPr="00C04742">
              <w:rPr>
                <w:rFonts w:ascii="Constantia" w:hAnsi="Constantia" w:cs="Arial"/>
                <w:bCs/>
                <w:iCs/>
                <w:color w:val="000000"/>
                <w:szCs w:val="22"/>
                <w:lang w:val="sr-Latn-CS"/>
              </w:rPr>
              <w:t>80</w:t>
            </w:r>
          </w:p>
        </w:tc>
        <w:tc>
          <w:tcPr>
            <w:tcW w:w="900" w:type="dxa"/>
            <w:shd w:val="clear" w:color="auto" w:fill="E6EED5"/>
          </w:tcPr>
          <w:p w:rsidR="004B071C" w:rsidRPr="00C04742" w:rsidRDefault="004B071C" w:rsidP="004E680E">
            <w:pPr>
              <w:keepNext/>
              <w:keepLines/>
              <w:spacing w:before="60"/>
              <w:jc w:val="center"/>
              <w:outlineLvl w:val="3"/>
              <w:rPr>
                <w:rFonts w:ascii="Constantia" w:hAnsi="Constantia" w:cs="Arial"/>
                <w:bCs/>
                <w:iCs/>
                <w:color w:val="000000"/>
                <w:szCs w:val="22"/>
                <w:lang w:val="sr-Latn-CS"/>
              </w:rPr>
            </w:pPr>
            <w:r w:rsidRPr="00C04742">
              <w:rPr>
                <w:rFonts w:ascii="Constantia" w:hAnsi="Constantia" w:cs="Arial"/>
                <w:bCs/>
                <w:iCs/>
                <w:color w:val="000000"/>
                <w:szCs w:val="22"/>
                <w:lang w:val="sr-Latn-CS"/>
              </w:rPr>
              <w:t>150</w:t>
            </w:r>
          </w:p>
        </w:tc>
        <w:tc>
          <w:tcPr>
            <w:tcW w:w="1080" w:type="dxa"/>
            <w:shd w:val="clear" w:color="auto" w:fill="E6EED5"/>
          </w:tcPr>
          <w:p w:rsidR="004B071C" w:rsidRPr="00C04742" w:rsidRDefault="004B071C" w:rsidP="004E680E">
            <w:pPr>
              <w:jc w:val="center"/>
              <w:rPr>
                <w:rFonts w:ascii="Constantia" w:hAnsi="Constantia" w:cs="Arial"/>
                <w:color w:val="000000"/>
                <w:szCs w:val="22"/>
              </w:rPr>
            </w:pPr>
            <w:r w:rsidRPr="00C04742">
              <w:rPr>
                <w:rFonts w:ascii="Constantia" w:hAnsi="Constantia" w:cs="Arial"/>
                <w:color w:val="000000"/>
                <w:szCs w:val="22"/>
              </w:rPr>
              <w:t>I</w:t>
            </w:r>
          </w:p>
        </w:tc>
        <w:tc>
          <w:tcPr>
            <w:tcW w:w="990" w:type="dxa"/>
            <w:shd w:val="clear" w:color="auto" w:fill="E6EED5"/>
          </w:tcPr>
          <w:p w:rsidR="004B071C" w:rsidRPr="00C04742" w:rsidRDefault="004B071C" w:rsidP="004E680E">
            <w:pPr>
              <w:keepNext/>
              <w:keepLines/>
              <w:spacing w:before="60"/>
              <w:jc w:val="center"/>
              <w:outlineLvl w:val="3"/>
              <w:rPr>
                <w:rFonts w:ascii="Constantia" w:hAnsi="Constantia" w:cs="Arial"/>
                <w:bCs/>
                <w:iCs/>
                <w:color w:val="000000"/>
                <w:szCs w:val="22"/>
                <w:lang w:val="sr-Latn-CS"/>
              </w:rPr>
            </w:pPr>
            <w:r w:rsidRPr="00C04742">
              <w:rPr>
                <w:rFonts w:ascii="Constantia" w:hAnsi="Constantia" w:cs="Arial"/>
                <w:bCs/>
                <w:iCs/>
                <w:color w:val="000000"/>
                <w:szCs w:val="22"/>
                <w:lang w:val="sr-Latn-CS"/>
              </w:rPr>
              <w:t>150</w:t>
            </w:r>
          </w:p>
        </w:tc>
        <w:tc>
          <w:tcPr>
            <w:tcW w:w="1080" w:type="dxa"/>
            <w:shd w:val="clear" w:color="auto" w:fill="E6EED5"/>
          </w:tcPr>
          <w:p w:rsidR="004B071C" w:rsidRPr="00C04742" w:rsidRDefault="004B071C" w:rsidP="004E680E">
            <w:pPr>
              <w:keepNext/>
              <w:keepLines/>
              <w:spacing w:before="60"/>
              <w:outlineLvl w:val="3"/>
              <w:rPr>
                <w:rFonts w:ascii="Constantia" w:hAnsi="Constantia" w:cs="Arial"/>
                <w:bCs/>
                <w:iCs/>
                <w:color w:val="000000"/>
                <w:szCs w:val="22"/>
                <w:lang w:val="sr-Latn-CS"/>
              </w:rPr>
            </w:pPr>
            <w:r w:rsidRPr="00C04742">
              <w:rPr>
                <w:rFonts w:ascii="Constantia" w:hAnsi="Constantia" w:cs="Arial"/>
                <w:bCs/>
                <w:iCs/>
                <w:color w:val="000000"/>
                <w:szCs w:val="22"/>
                <w:lang w:val="sr-Latn-CS"/>
              </w:rPr>
              <w:t xml:space="preserve">  </w:t>
            </w:r>
          </w:p>
        </w:tc>
        <w:tc>
          <w:tcPr>
            <w:tcW w:w="1081" w:type="dxa"/>
            <w:shd w:val="clear" w:color="auto" w:fill="E6EED5"/>
          </w:tcPr>
          <w:p w:rsidR="004B071C" w:rsidRPr="00C04742" w:rsidRDefault="004B071C" w:rsidP="004E680E">
            <w:pPr>
              <w:keepNext/>
              <w:keepLines/>
              <w:spacing w:before="60"/>
              <w:jc w:val="center"/>
              <w:outlineLvl w:val="3"/>
              <w:rPr>
                <w:rFonts w:ascii="Constantia" w:hAnsi="Constantia" w:cs="Arial"/>
                <w:bCs/>
                <w:iCs/>
                <w:color w:val="000000"/>
                <w:szCs w:val="22"/>
                <w:lang w:val="sr-Latn-CS"/>
              </w:rPr>
            </w:pPr>
            <w:r w:rsidRPr="00C04742">
              <w:rPr>
                <w:rFonts w:ascii="Constantia" w:hAnsi="Constantia" w:cs="Arial"/>
                <w:bCs/>
                <w:iCs/>
                <w:color w:val="000000"/>
                <w:szCs w:val="22"/>
                <w:lang w:val="sr-Latn-CS"/>
              </w:rPr>
              <w:t>G</w:t>
            </w:r>
          </w:p>
        </w:tc>
      </w:tr>
      <w:tr w:rsidR="004B071C" w:rsidRPr="00C04742" w:rsidTr="00C04742">
        <w:tc>
          <w:tcPr>
            <w:tcW w:w="2358" w:type="dxa"/>
            <w:shd w:val="clear" w:color="auto" w:fill="CDDDAC"/>
          </w:tcPr>
          <w:p w:rsidR="004B071C" w:rsidRPr="00C04742" w:rsidRDefault="004B071C" w:rsidP="004E680E">
            <w:pPr>
              <w:rPr>
                <w:rFonts w:ascii="Constantia" w:hAnsi="Constantia" w:cs="Arial"/>
                <w:bCs/>
                <w:szCs w:val="22"/>
              </w:rPr>
            </w:pPr>
            <w:r w:rsidRPr="00C04742">
              <w:rPr>
                <w:rFonts w:ascii="Constantia" w:hAnsi="Constantia" w:cs="Arial"/>
                <w:bCs/>
                <w:szCs w:val="22"/>
              </w:rPr>
              <w:t>Phalacrocorax carbo</w:t>
            </w:r>
          </w:p>
        </w:tc>
        <w:tc>
          <w:tcPr>
            <w:tcW w:w="810" w:type="dxa"/>
            <w:shd w:val="clear" w:color="auto" w:fill="CDDDAC"/>
          </w:tcPr>
          <w:p w:rsidR="004B071C" w:rsidRPr="00C04742" w:rsidRDefault="004B071C" w:rsidP="004E680E">
            <w:pPr>
              <w:keepNext/>
              <w:keepLines/>
              <w:spacing w:before="60"/>
              <w:jc w:val="center"/>
              <w:outlineLvl w:val="3"/>
              <w:rPr>
                <w:rFonts w:ascii="Constantia" w:hAnsi="Constantia" w:cs="Arial"/>
                <w:bCs/>
                <w:iCs/>
                <w:color w:val="000000"/>
                <w:szCs w:val="22"/>
                <w:lang w:val="sr-Latn-CS"/>
              </w:rPr>
            </w:pPr>
            <w:r w:rsidRPr="00C04742">
              <w:rPr>
                <w:rFonts w:ascii="Constantia" w:hAnsi="Constantia" w:cs="Arial"/>
                <w:bCs/>
                <w:iCs/>
                <w:color w:val="000000"/>
                <w:szCs w:val="22"/>
                <w:lang w:val="sr-Latn-CS"/>
              </w:rPr>
              <w:t>P</w:t>
            </w:r>
          </w:p>
        </w:tc>
        <w:tc>
          <w:tcPr>
            <w:tcW w:w="990" w:type="dxa"/>
            <w:shd w:val="clear" w:color="auto" w:fill="CDDDAC"/>
          </w:tcPr>
          <w:p w:rsidR="004B071C" w:rsidRPr="00C04742" w:rsidRDefault="004B071C" w:rsidP="004E680E">
            <w:pPr>
              <w:keepNext/>
              <w:keepLines/>
              <w:spacing w:before="60"/>
              <w:jc w:val="center"/>
              <w:outlineLvl w:val="3"/>
              <w:rPr>
                <w:rFonts w:ascii="Constantia" w:hAnsi="Constantia" w:cs="Arial"/>
                <w:bCs/>
                <w:iCs/>
                <w:color w:val="000000"/>
                <w:szCs w:val="22"/>
                <w:lang w:val="sr-Latn-CS"/>
              </w:rPr>
            </w:pPr>
            <w:r w:rsidRPr="00C04742">
              <w:rPr>
                <w:rFonts w:ascii="Constantia" w:hAnsi="Constantia" w:cs="Arial"/>
                <w:bCs/>
                <w:iCs/>
                <w:color w:val="000000"/>
                <w:szCs w:val="22"/>
                <w:lang w:val="sr-Latn-CS"/>
              </w:rPr>
              <w:t>2500</w:t>
            </w:r>
          </w:p>
        </w:tc>
        <w:tc>
          <w:tcPr>
            <w:tcW w:w="900" w:type="dxa"/>
            <w:shd w:val="clear" w:color="auto" w:fill="CDDDAC"/>
          </w:tcPr>
          <w:p w:rsidR="004B071C" w:rsidRPr="00C04742" w:rsidRDefault="004B071C" w:rsidP="004E680E">
            <w:pPr>
              <w:keepNext/>
              <w:keepLines/>
              <w:spacing w:before="60"/>
              <w:jc w:val="center"/>
              <w:outlineLvl w:val="3"/>
              <w:rPr>
                <w:rFonts w:ascii="Constantia" w:hAnsi="Constantia" w:cs="Arial"/>
                <w:bCs/>
                <w:iCs/>
                <w:color w:val="000000"/>
                <w:szCs w:val="22"/>
                <w:lang w:val="sr-Latn-CS"/>
              </w:rPr>
            </w:pPr>
            <w:r w:rsidRPr="00C04742">
              <w:rPr>
                <w:rFonts w:ascii="Constantia" w:hAnsi="Constantia" w:cs="Arial"/>
                <w:bCs/>
                <w:iCs/>
                <w:color w:val="000000"/>
                <w:szCs w:val="22"/>
                <w:lang w:val="sr-Latn-CS"/>
              </w:rPr>
              <w:t>14000</w:t>
            </w:r>
          </w:p>
        </w:tc>
        <w:tc>
          <w:tcPr>
            <w:tcW w:w="1080" w:type="dxa"/>
            <w:shd w:val="clear" w:color="auto" w:fill="CDDDAC"/>
          </w:tcPr>
          <w:p w:rsidR="004B071C" w:rsidRPr="00C04742" w:rsidRDefault="004B071C" w:rsidP="004E680E">
            <w:pPr>
              <w:jc w:val="center"/>
              <w:rPr>
                <w:rFonts w:ascii="Constantia" w:hAnsi="Constantia" w:cs="Arial"/>
                <w:color w:val="000000"/>
                <w:szCs w:val="22"/>
              </w:rPr>
            </w:pPr>
            <w:r w:rsidRPr="00C04742">
              <w:rPr>
                <w:rFonts w:ascii="Constantia" w:hAnsi="Constantia" w:cs="Arial"/>
                <w:color w:val="000000"/>
                <w:szCs w:val="22"/>
              </w:rPr>
              <w:t>I</w:t>
            </w:r>
          </w:p>
        </w:tc>
        <w:tc>
          <w:tcPr>
            <w:tcW w:w="990" w:type="dxa"/>
            <w:shd w:val="clear" w:color="auto" w:fill="CDDDAC"/>
          </w:tcPr>
          <w:p w:rsidR="004B071C" w:rsidRPr="00C04742" w:rsidRDefault="004B071C" w:rsidP="004E680E">
            <w:pPr>
              <w:keepNext/>
              <w:keepLines/>
              <w:spacing w:before="60"/>
              <w:jc w:val="center"/>
              <w:outlineLvl w:val="3"/>
              <w:rPr>
                <w:rFonts w:ascii="Constantia" w:hAnsi="Constantia" w:cs="Arial"/>
                <w:bCs/>
                <w:iCs/>
                <w:color w:val="000000"/>
                <w:szCs w:val="22"/>
                <w:lang w:val="sr-Latn-CS"/>
              </w:rPr>
            </w:pPr>
            <w:r w:rsidRPr="00C04742">
              <w:rPr>
                <w:rFonts w:ascii="Constantia" w:hAnsi="Constantia" w:cs="Arial"/>
                <w:bCs/>
                <w:iCs/>
                <w:color w:val="000000"/>
                <w:szCs w:val="22"/>
                <w:lang w:val="sr-Latn-CS"/>
              </w:rPr>
              <w:t>2500</w:t>
            </w:r>
          </w:p>
        </w:tc>
        <w:tc>
          <w:tcPr>
            <w:tcW w:w="1080" w:type="dxa"/>
            <w:shd w:val="clear" w:color="auto" w:fill="CDDDAC"/>
          </w:tcPr>
          <w:p w:rsidR="004B071C" w:rsidRPr="00C04742" w:rsidRDefault="004B071C" w:rsidP="004E680E">
            <w:pPr>
              <w:keepNext/>
              <w:keepLines/>
              <w:spacing w:before="60"/>
              <w:outlineLvl w:val="3"/>
              <w:rPr>
                <w:rFonts w:ascii="Constantia" w:hAnsi="Constantia" w:cs="Arial"/>
                <w:bCs/>
                <w:iCs/>
                <w:color w:val="000000"/>
                <w:szCs w:val="22"/>
                <w:lang w:val="sr-Latn-CS"/>
              </w:rPr>
            </w:pPr>
            <w:r w:rsidRPr="00C04742">
              <w:rPr>
                <w:rFonts w:ascii="Constantia" w:hAnsi="Constantia" w:cs="Arial"/>
                <w:bCs/>
                <w:iCs/>
                <w:color w:val="000000"/>
                <w:szCs w:val="22"/>
                <w:lang w:val="sr-Latn-CS"/>
              </w:rPr>
              <w:t xml:space="preserve">  </w:t>
            </w:r>
          </w:p>
        </w:tc>
        <w:tc>
          <w:tcPr>
            <w:tcW w:w="1081" w:type="dxa"/>
            <w:shd w:val="clear" w:color="auto" w:fill="CDDDAC"/>
          </w:tcPr>
          <w:p w:rsidR="004B071C" w:rsidRPr="00C04742" w:rsidRDefault="004B071C" w:rsidP="004E680E">
            <w:pPr>
              <w:keepNext/>
              <w:keepLines/>
              <w:spacing w:before="60"/>
              <w:jc w:val="center"/>
              <w:outlineLvl w:val="3"/>
              <w:rPr>
                <w:rFonts w:ascii="Constantia" w:hAnsi="Constantia" w:cs="Arial"/>
                <w:bCs/>
                <w:iCs/>
                <w:color w:val="000000"/>
                <w:szCs w:val="22"/>
                <w:lang w:val="sr-Latn-CS"/>
              </w:rPr>
            </w:pPr>
            <w:r w:rsidRPr="00C04742">
              <w:rPr>
                <w:rFonts w:ascii="Constantia" w:hAnsi="Constantia" w:cs="Arial"/>
                <w:bCs/>
                <w:iCs/>
                <w:color w:val="000000"/>
                <w:szCs w:val="22"/>
                <w:lang w:val="sr-Latn-CS"/>
              </w:rPr>
              <w:t>G</w:t>
            </w:r>
          </w:p>
        </w:tc>
      </w:tr>
      <w:tr w:rsidR="004B071C" w:rsidRPr="00C04742" w:rsidTr="00C04742">
        <w:tc>
          <w:tcPr>
            <w:tcW w:w="2358" w:type="dxa"/>
            <w:shd w:val="clear" w:color="auto" w:fill="E6EED5"/>
          </w:tcPr>
          <w:p w:rsidR="004B071C" w:rsidRPr="00C04742" w:rsidRDefault="004B071C" w:rsidP="004E680E">
            <w:pPr>
              <w:rPr>
                <w:rFonts w:ascii="Constantia" w:hAnsi="Constantia" w:cs="Arial"/>
                <w:bCs/>
                <w:szCs w:val="22"/>
              </w:rPr>
            </w:pPr>
            <w:r w:rsidRPr="00C04742">
              <w:rPr>
                <w:rFonts w:ascii="Constantia" w:hAnsi="Constantia" w:cs="Arial"/>
                <w:bCs/>
                <w:szCs w:val="22"/>
              </w:rPr>
              <w:t>Chlidonias  hybrid</w:t>
            </w:r>
          </w:p>
        </w:tc>
        <w:tc>
          <w:tcPr>
            <w:tcW w:w="810" w:type="dxa"/>
            <w:shd w:val="clear" w:color="auto" w:fill="E6EED5"/>
          </w:tcPr>
          <w:p w:rsidR="004B071C" w:rsidRPr="00C04742" w:rsidRDefault="004B071C" w:rsidP="004E680E">
            <w:pPr>
              <w:keepNext/>
              <w:keepLines/>
              <w:spacing w:before="60"/>
              <w:jc w:val="center"/>
              <w:outlineLvl w:val="3"/>
              <w:rPr>
                <w:rFonts w:ascii="Constantia" w:hAnsi="Constantia" w:cs="Arial"/>
                <w:bCs/>
                <w:iCs/>
                <w:color w:val="000000"/>
                <w:szCs w:val="22"/>
                <w:lang w:val="sr-Latn-CS"/>
              </w:rPr>
            </w:pPr>
            <w:r w:rsidRPr="00C04742">
              <w:rPr>
                <w:rFonts w:ascii="Constantia" w:hAnsi="Constantia" w:cs="Arial"/>
                <w:bCs/>
                <w:iCs/>
                <w:color w:val="000000"/>
                <w:szCs w:val="22"/>
                <w:lang w:val="sr-Latn-CS"/>
              </w:rPr>
              <w:t>R</w:t>
            </w:r>
          </w:p>
        </w:tc>
        <w:tc>
          <w:tcPr>
            <w:tcW w:w="990" w:type="dxa"/>
            <w:shd w:val="clear" w:color="auto" w:fill="E6EED5"/>
          </w:tcPr>
          <w:p w:rsidR="004B071C" w:rsidRPr="00C04742" w:rsidRDefault="004B071C" w:rsidP="004E680E">
            <w:pPr>
              <w:keepNext/>
              <w:keepLines/>
              <w:spacing w:before="60"/>
              <w:jc w:val="center"/>
              <w:outlineLvl w:val="3"/>
              <w:rPr>
                <w:rFonts w:ascii="Constantia" w:hAnsi="Constantia" w:cs="Arial"/>
                <w:bCs/>
                <w:iCs/>
                <w:color w:val="000000"/>
                <w:szCs w:val="22"/>
                <w:lang w:val="sr-Latn-CS"/>
              </w:rPr>
            </w:pPr>
            <w:r w:rsidRPr="00C04742">
              <w:rPr>
                <w:rFonts w:ascii="Constantia" w:hAnsi="Constantia" w:cs="Arial"/>
                <w:bCs/>
                <w:iCs/>
                <w:color w:val="000000"/>
                <w:szCs w:val="22"/>
                <w:lang w:val="sr-Latn-CS"/>
              </w:rPr>
              <w:t>700</w:t>
            </w:r>
          </w:p>
        </w:tc>
        <w:tc>
          <w:tcPr>
            <w:tcW w:w="900" w:type="dxa"/>
            <w:shd w:val="clear" w:color="auto" w:fill="E6EED5"/>
          </w:tcPr>
          <w:p w:rsidR="004B071C" w:rsidRPr="00C04742" w:rsidRDefault="004B071C" w:rsidP="004E680E">
            <w:pPr>
              <w:keepNext/>
              <w:keepLines/>
              <w:spacing w:before="60"/>
              <w:jc w:val="center"/>
              <w:outlineLvl w:val="3"/>
              <w:rPr>
                <w:rFonts w:ascii="Constantia" w:hAnsi="Constantia" w:cs="Arial"/>
                <w:bCs/>
                <w:iCs/>
                <w:color w:val="000000"/>
                <w:szCs w:val="22"/>
                <w:lang w:val="sr-Latn-CS"/>
              </w:rPr>
            </w:pPr>
          </w:p>
        </w:tc>
        <w:tc>
          <w:tcPr>
            <w:tcW w:w="1080" w:type="dxa"/>
            <w:shd w:val="clear" w:color="auto" w:fill="E6EED5"/>
          </w:tcPr>
          <w:p w:rsidR="004B071C" w:rsidRPr="00C04742" w:rsidRDefault="004B071C" w:rsidP="004E680E">
            <w:pPr>
              <w:jc w:val="center"/>
              <w:rPr>
                <w:rFonts w:ascii="Constantia" w:hAnsi="Constantia" w:cs="Arial"/>
                <w:color w:val="000000"/>
                <w:szCs w:val="22"/>
              </w:rPr>
            </w:pPr>
            <w:r w:rsidRPr="00C04742">
              <w:rPr>
                <w:rFonts w:ascii="Constantia" w:hAnsi="Constantia" w:cs="Arial"/>
                <w:color w:val="000000"/>
                <w:szCs w:val="22"/>
              </w:rPr>
              <w:t>p</w:t>
            </w:r>
          </w:p>
        </w:tc>
        <w:tc>
          <w:tcPr>
            <w:tcW w:w="990" w:type="dxa"/>
            <w:shd w:val="clear" w:color="auto" w:fill="E6EED5"/>
          </w:tcPr>
          <w:p w:rsidR="004B071C" w:rsidRPr="00C04742" w:rsidRDefault="004B071C" w:rsidP="004E680E">
            <w:pPr>
              <w:keepNext/>
              <w:keepLines/>
              <w:spacing w:before="60"/>
              <w:jc w:val="center"/>
              <w:outlineLvl w:val="3"/>
              <w:rPr>
                <w:rFonts w:ascii="Constantia" w:hAnsi="Constantia" w:cs="Arial"/>
                <w:bCs/>
                <w:iCs/>
                <w:color w:val="000000"/>
                <w:szCs w:val="22"/>
                <w:lang w:val="sr-Latn-CS"/>
              </w:rPr>
            </w:pPr>
            <w:r w:rsidRPr="00C04742">
              <w:rPr>
                <w:rFonts w:ascii="Constantia" w:hAnsi="Constantia" w:cs="Arial"/>
                <w:bCs/>
                <w:iCs/>
                <w:color w:val="000000"/>
                <w:szCs w:val="22"/>
                <w:lang w:val="sr-Latn-CS"/>
              </w:rPr>
              <w:t>700</w:t>
            </w:r>
          </w:p>
        </w:tc>
        <w:tc>
          <w:tcPr>
            <w:tcW w:w="1080" w:type="dxa"/>
            <w:shd w:val="clear" w:color="auto" w:fill="E6EED5"/>
          </w:tcPr>
          <w:p w:rsidR="004B071C" w:rsidRPr="00C04742" w:rsidRDefault="004B071C" w:rsidP="004E680E">
            <w:pPr>
              <w:keepNext/>
              <w:keepLines/>
              <w:spacing w:before="60"/>
              <w:outlineLvl w:val="3"/>
              <w:rPr>
                <w:rFonts w:ascii="Constantia" w:hAnsi="Constantia" w:cs="Arial"/>
                <w:bCs/>
                <w:iCs/>
                <w:color w:val="000000"/>
                <w:szCs w:val="22"/>
                <w:lang w:val="sr-Latn-CS"/>
              </w:rPr>
            </w:pPr>
          </w:p>
        </w:tc>
        <w:tc>
          <w:tcPr>
            <w:tcW w:w="1081" w:type="dxa"/>
            <w:shd w:val="clear" w:color="auto" w:fill="E6EED5"/>
          </w:tcPr>
          <w:p w:rsidR="004B071C" w:rsidRPr="00C04742" w:rsidRDefault="004B071C" w:rsidP="004E680E">
            <w:pPr>
              <w:keepNext/>
              <w:keepLines/>
              <w:spacing w:before="60"/>
              <w:jc w:val="center"/>
              <w:outlineLvl w:val="3"/>
              <w:rPr>
                <w:rFonts w:ascii="Constantia" w:hAnsi="Constantia" w:cs="Arial"/>
                <w:bCs/>
                <w:iCs/>
                <w:color w:val="000000"/>
                <w:szCs w:val="22"/>
                <w:lang w:val="sr-Latn-CS"/>
              </w:rPr>
            </w:pPr>
            <w:r w:rsidRPr="00C04742">
              <w:rPr>
                <w:rFonts w:ascii="Constantia" w:hAnsi="Constantia" w:cs="Arial"/>
                <w:bCs/>
                <w:iCs/>
                <w:color w:val="000000"/>
                <w:szCs w:val="22"/>
                <w:lang w:val="sr-Latn-CS"/>
              </w:rPr>
              <w:t>G</w:t>
            </w:r>
          </w:p>
        </w:tc>
      </w:tr>
      <w:tr w:rsidR="004B071C" w:rsidRPr="00C04742" w:rsidTr="00C04742">
        <w:tc>
          <w:tcPr>
            <w:tcW w:w="2358" w:type="dxa"/>
            <w:shd w:val="clear" w:color="auto" w:fill="CDDDAC"/>
          </w:tcPr>
          <w:p w:rsidR="004B071C" w:rsidRPr="00C04742" w:rsidRDefault="004B071C" w:rsidP="004E680E">
            <w:pPr>
              <w:rPr>
                <w:rFonts w:ascii="Constantia" w:hAnsi="Constantia" w:cs="Arial"/>
                <w:bCs/>
                <w:szCs w:val="22"/>
              </w:rPr>
            </w:pPr>
            <w:r w:rsidRPr="00C04742">
              <w:rPr>
                <w:rFonts w:ascii="Constantia" w:hAnsi="Constantia" w:cs="Arial"/>
                <w:bCs/>
                <w:szCs w:val="22"/>
              </w:rPr>
              <w:t>Vanellus  vanellus</w:t>
            </w:r>
          </w:p>
        </w:tc>
        <w:tc>
          <w:tcPr>
            <w:tcW w:w="810" w:type="dxa"/>
            <w:shd w:val="clear" w:color="auto" w:fill="CDDDAC"/>
          </w:tcPr>
          <w:p w:rsidR="004B071C" w:rsidRPr="00C04742" w:rsidRDefault="004B071C" w:rsidP="004E680E">
            <w:pPr>
              <w:keepNext/>
              <w:keepLines/>
              <w:spacing w:before="60"/>
              <w:jc w:val="center"/>
              <w:outlineLvl w:val="3"/>
              <w:rPr>
                <w:rFonts w:ascii="Constantia" w:hAnsi="Constantia" w:cs="Arial"/>
                <w:bCs/>
                <w:iCs/>
                <w:color w:val="000000"/>
                <w:szCs w:val="22"/>
                <w:lang w:val="sr-Latn-CS"/>
              </w:rPr>
            </w:pPr>
            <w:r w:rsidRPr="00C04742">
              <w:rPr>
                <w:rFonts w:ascii="Constantia" w:hAnsi="Constantia" w:cs="Arial"/>
                <w:bCs/>
                <w:iCs/>
                <w:color w:val="000000"/>
                <w:szCs w:val="22"/>
                <w:lang w:val="sr-Latn-CS"/>
              </w:rPr>
              <w:t>W</w:t>
            </w:r>
          </w:p>
        </w:tc>
        <w:tc>
          <w:tcPr>
            <w:tcW w:w="990" w:type="dxa"/>
            <w:shd w:val="clear" w:color="auto" w:fill="CDDDAC"/>
          </w:tcPr>
          <w:p w:rsidR="004B071C" w:rsidRPr="00C04742" w:rsidRDefault="004B071C" w:rsidP="004E680E">
            <w:pPr>
              <w:keepNext/>
              <w:keepLines/>
              <w:spacing w:before="60"/>
              <w:jc w:val="center"/>
              <w:outlineLvl w:val="3"/>
              <w:rPr>
                <w:rFonts w:ascii="Constantia" w:hAnsi="Constantia" w:cs="Arial"/>
                <w:bCs/>
                <w:iCs/>
                <w:color w:val="000000"/>
                <w:szCs w:val="22"/>
                <w:lang w:val="sr-Latn-CS"/>
              </w:rPr>
            </w:pPr>
            <w:r w:rsidRPr="00C04742">
              <w:rPr>
                <w:rFonts w:ascii="Constantia" w:hAnsi="Constantia" w:cs="Arial"/>
                <w:bCs/>
                <w:iCs/>
                <w:color w:val="000000"/>
                <w:szCs w:val="22"/>
                <w:lang w:val="sr-Latn-CS"/>
              </w:rPr>
              <w:t>18</w:t>
            </w:r>
          </w:p>
        </w:tc>
        <w:tc>
          <w:tcPr>
            <w:tcW w:w="900" w:type="dxa"/>
            <w:shd w:val="clear" w:color="auto" w:fill="CDDDAC"/>
          </w:tcPr>
          <w:p w:rsidR="004B071C" w:rsidRPr="00C04742" w:rsidRDefault="004B071C" w:rsidP="004E680E">
            <w:pPr>
              <w:keepNext/>
              <w:keepLines/>
              <w:spacing w:before="60"/>
              <w:jc w:val="center"/>
              <w:outlineLvl w:val="3"/>
              <w:rPr>
                <w:rFonts w:ascii="Constantia" w:hAnsi="Constantia" w:cs="Arial"/>
                <w:bCs/>
                <w:iCs/>
                <w:color w:val="000000"/>
                <w:szCs w:val="22"/>
                <w:lang w:val="sr-Latn-CS"/>
              </w:rPr>
            </w:pPr>
            <w:r w:rsidRPr="00C04742">
              <w:rPr>
                <w:rFonts w:ascii="Constantia" w:hAnsi="Constantia" w:cs="Arial"/>
                <w:bCs/>
                <w:iCs/>
                <w:color w:val="000000"/>
                <w:szCs w:val="22"/>
                <w:lang w:val="sr-Latn-CS"/>
              </w:rPr>
              <w:t>40</w:t>
            </w:r>
          </w:p>
        </w:tc>
        <w:tc>
          <w:tcPr>
            <w:tcW w:w="1080" w:type="dxa"/>
            <w:shd w:val="clear" w:color="auto" w:fill="CDDDAC"/>
          </w:tcPr>
          <w:p w:rsidR="004B071C" w:rsidRPr="00C04742" w:rsidRDefault="004B071C" w:rsidP="004E680E">
            <w:pPr>
              <w:jc w:val="center"/>
              <w:rPr>
                <w:rFonts w:ascii="Constantia" w:hAnsi="Constantia" w:cs="Arial"/>
                <w:color w:val="000000"/>
                <w:szCs w:val="22"/>
              </w:rPr>
            </w:pPr>
            <w:r w:rsidRPr="00C04742">
              <w:rPr>
                <w:rFonts w:ascii="Constantia" w:hAnsi="Constantia" w:cs="Arial"/>
                <w:color w:val="000000"/>
                <w:szCs w:val="22"/>
              </w:rPr>
              <w:t>I</w:t>
            </w:r>
          </w:p>
        </w:tc>
        <w:tc>
          <w:tcPr>
            <w:tcW w:w="990" w:type="dxa"/>
            <w:shd w:val="clear" w:color="auto" w:fill="CDDDAC"/>
          </w:tcPr>
          <w:p w:rsidR="004B071C" w:rsidRPr="00C04742" w:rsidRDefault="004B071C" w:rsidP="004E680E">
            <w:pPr>
              <w:keepNext/>
              <w:keepLines/>
              <w:spacing w:before="60"/>
              <w:jc w:val="center"/>
              <w:outlineLvl w:val="3"/>
              <w:rPr>
                <w:rFonts w:ascii="Constantia" w:hAnsi="Constantia" w:cs="Arial"/>
                <w:bCs/>
                <w:iCs/>
                <w:color w:val="000000"/>
                <w:szCs w:val="22"/>
                <w:lang w:val="sr-Latn-CS"/>
              </w:rPr>
            </w:pPr>
          </w:p>
        </w:tc>
        <w:tc>
          <w:tcPr>
            <w:tcW w:w="1080" w:type="dxa"/>
            <w:shd w:val="clear" w:color="auto" w:fill="CDDDAC"/>
          </w:tcPr>
          <w:p w:rsidR="004B071C" w:rsidRPr="00C04742" w:rsidRDefault="004B071C" w:rsidP="004E680E">
            <w:pPr>
              <w:keepNext/>
              <w:keepLines/>
              <w:spacing w:before="60"/>
              <w:outlineLvl w:val="3"/>
              <w:rPr>
                <w:rFonts w:ascii="Constantia" w:hAnsi="Constantia" w:cs="Arial"/>
                <w:bCs/>
                <w:iCs/>
                <w:color w:val="000000"/>
                <w:szCs w:val="22"/>
                <w:lang w:val="sr-Latn-CS"/>
              </w:rPr>
            </w:pPr>
          </w:p>
        </w:tc>
        <w:tc>
          <w:tcPr>
            <w:tcW w:w="1081" w:type="dxa"/>
            <w:shd w:val="clear" w:color="auto" w:fill="CDDDAC"/>
          </w:tcPr>
          <w:p w:rsidR="004B071C" w:rsidRPr="00C04742" w:rsidRDefault="004B071C" w:rsidP="004E680E">
            <w:pPr>
              <w:keepNext/>
              <w:keepLines/>
              <w:spacing w:before="60"/>
              <w:jc w:val="center"/>
              <w:outlineLvl w:val="3"/>
              <w:rPr>
                <w:rFonts w:ascii="Constantia" w:hAnsi="Constantia" w:cs="Arial"/>
                <w:bCs/>
                <w:iCs/>
                <w:color w:val="000000"/>
                <w:szCs w:val="22"/>
                <w:lang w:val="sr-Latn-CS"/>
              </w:rPr>
            </w:pPr>
            <w:r w:rsidRPr="00C04742">
              <w:rPr>
                <w:rFonts w:ascii="Constantia" w:hAnsi="Constantia" w:cs="Arial"/>
                <w:bCs/>
                <w:iCs/>
                <w:color w:val="000000"/>
                <w:szCs w:val="22"/>
                <w:lang w:val="sr-Latn-CS"/>
              </w:rPr>
              <w:t>G</w:t>
            </w:r>
          </w:p>
        </w:tc>
      </w:tr>
      <w:tr w:rsidR="004B071C" w:rsidRPr="00C04742" w:rsidTr="00C04742">
        <w:tc>
          <w:tcPr>
            <w:tcW w:w="2358" w:type="dxa"/>
            <w:shd w:val="clear" w:color="auto" w:fill="E6EED5"/>
          </w:tcPr>
          <w:p w:rsidR="004B071C" w:rsidRPr="00C04742" w:rsidRDefault="004B071C" w:rsidP="004E680E">
            <w:pPr>
              <w:rPr>
                <w:rFonts w:ascii="Constantia" w:hAnsi="Constantia" w:cs="Arial"/>
                <w:bCs/>
                <w:szCs w:val="22"/>
              </w:rPr>
            </w:pPr>
            <w:r w:rsidRPr="00C04742">
              <w:rPr>
                <w:rFonts w:ascii="Constantia" w:hAnsi="Constantia" w:cs="Arial"/>
                <w:bCs/>
                <w:szCs w:val="22"/>
              </w:rPr>
              <w:t>Anas  qerquedula</w:t>
            </w:r>
          </w:p>
        </w:tc>
        <w:tc>
          <w:tcPr>
            <w:tcW w:w="810" w:type="dxa"/>
            <w:shd w:val="clear" w:color="auto" w:fill="E6EED5"/>
          </w:tcPr>
          <w:p w:rsidR="004B071C" w:rsidRPr="00C04742" w:rsidRDefault="004B071C" w:rsidP="004E680E">
            <w:pPr>
              <w:keepNext/>
              <w:keepLines/>
              <w:spacing w:before="60"/>
              <w:jc w:val="center"/>
              <w:outlineLvl w:val="3"/>
              <w:rPr>
                <w:rFonts w:ascii="Constantia" w:hAnsi="Constantia" w:cs="Arial"/>
                <w:bCs/>
                <w:iCs/>
                <w:color w:val="000000"/>
                <w:szCs w:val="22"/>
                <w:lang w:val="sr-Latn-CS"/>
              </w:rPr>
            </w:pPr>
            <w:r w:rsidRPr="00C04742">
              <w:rPr>
                <w:rFonts w:ascii="Constantia" w:hAnsi="Constantia" w:cs="Arial"/>
                <w:bCs/>
                <w:iCs/>
                <w:color w:val="000000"/>
                <w:szCs w:val="22"/>
                <w:lang w:val="sr-Latn-CS"/>
              </w:rPr>
              <w:t>C</w:t>
            </w:r>
          </w:p>
        </w:tc>
        <w:tc>
          <w:tcPr>
            <w:tcW w:w="990" w:type="dxa"/>
            <w:shd w:val="clear" w:color="auto" w:fill="E6EED5"/>
          </w:tcPr>
          <w:p w:rsidR="004B071C" w:rsidRPr="00C04742" w:rsidRDefault="004B071C" w:rsidP="004E680E">
            <w:pPr>
              <w:keepNext/>
              <w:keepLines/>
              <w:spacing w:before="60"/>
              <w:jc w:val="center"/>
              <w:outlineLvl w:val="3"/>
              <w:rPr>
                <w:rFonts w:ascii="Constantia" w:hAnsi="Constantia" w:cs="Arial"/>
                <w:bCs/>
                <w:iCs/>
                <w:color w:val="000000"/>
                <w:szCs w:val="22"/>
                <w:lang w:val="sr-Latn-CS"/>
              </w:rPr>
            </w:pPr>
            <w:r w:rsidRPr="00C04742">
              <w:rPr>
                <w:rFonts w:ascii="Constantia" w:hAnsi="Constantia" w:cs="Arial"/>
                <w:bCs/>
                <w:iCs/>
                <w:color w:val="000000"/>
                <w:szCs w:val="22"/>
                <w:lang w:val="sr-Latn-CS"/>
              </w:rPr>
              <w:t>90</w:t>
            </w:r>
          </w:p>
        </w:tc>
        <w:tc>
          <w:tcPr>
            <w:tcW w:w="900" w:type="dxa"/>
            <w:shd w:val="clear" w:color="auto" w:fill="E6EED5"/>
          </w:tcPr>
          <w:p w:rsidR="004B071C" w:rsidRPr="00C04742" w:rsidRDefault="004B071C" w:rsidP="004E680E">
            <w:pPr>
              <w:keepNext/>
              <w:keepLines/>
              <w:spacing w:before="60"/>
              <w:jc w:val="center"/>
              <w:outlineLvl w:val="3"/>
              <w:rPr>
                <w:rFonts w:ascii="Constantia" w:hAnsi="Constantia" w:cs="Arial"/>
                <w:bCs/>
                <w:iCs/>
                <w:color w:val="000000"/>
                <w:szCs w:val="22"/>
                <w:lang w:val="sr-Latn-CS"/>
              </w:rPr>
            </w:pPr>
            <w:r w:rsidRPr="00C04742">
              <w:rPr>
                <w:rFonts w:ascii="Constantia" w:hAnsi="Constantia" w:cs="Arial"/>
                <w:bCs/>
                <w:iCs/>
                <w:color w:val="000000"/>
                <w:szCs w:val="22"/>
                <w:lang w:val="sr-Latn-CS"/>
              </w:rPr>
              <w:t>140</w:t>
            </w:r>
          </w:p>
        </w:tc>
        <w:tc>
          <w:tcPr>
            <w:tcW w:w="1080" w:type="dxa"/>
            <w:shd w:val="clear" w:color="auto" w:fill="E6EED5"/>
          </w:tcPr>
          <w:p w:rsidR="004B071C" w:rsidRPr="00C04742" w:rsidRDefault="004B071C" w:rsidP="004E680E">
            <w:pPr>
              <w:jc w:val="center"/>
              <w:rPr>
                <w:rFonts w:ascii="Constantia" w:hAnsi="Constantia" w:cs="Arial"/>
                <w:color w:val="000000"/>
                <w:szCs w:val="22"/>
              </w:rPr>
            </w:pPr>
            <w:r w:rsidRPr="00C04742">
              <w:rPr>
                <w:rFonts w:ascii="Constantia" w:hAnsi="Constantia" w:cs="Arial"/>
                <w:color w:val="000000"/>
                <w:szCs w:val="22"/>
              </w:rPr>
              <w:t>I</w:t>
            </w:r>
          </w:p>
        </w:tc>
        <w:tc>
          <w:tcPr>
            <w:tcW w:w="990" w:type="dxa"/>
            <w:shd w:val="clear" w:color="auto" w:fill="E6EED5"/>
          </w:tcPr>
          <w:p w:rsidR="004B071C" w:rsidRPr="00C04742" w:rsidRDefault="004B071C" w:rsidP="004E680E">
            <w:pPr>
              <w:keepNext/>
              <w:keepLines/>
              <w:spacing w:before="60"/>
              <w:jc w:val="center"/>
              <w:outlineLvl w:val="3"/>
              <w:rPr>
                <w:rFonts w:ascii="Constantia" w:hAnsi="Constantia" w:cs="Arial"/>
                <w:bCs/>
                <w:iCs/>
                <w:color w:val="000000"/>
                <w:szCs w:val="22"/>
                <w:lang w:val="sr-Latn-CS"/>
              </w:rPr>
            </w:pPr>
          </w:p>
        </w:tc>
        <w:tc>
          <w:tcPr>
            <w:tcW w:w="1080" w:type="dxa"/>
            <w:shd w:val="clear" w:color="auto" w:fill="E6EED5"/>
          </w:tcPr>
          <w:p w:rsidR="004B071C" w:rsidRPr="00C04742" w:rsidRDefault="004B071C" w:rsidP="004E680E">
            <w:pPr>
              <w:keepNext/>
              <w:keepLines/>
              <w:spacing w:before="60"/>
              <w:outlineLvl w:val="3"/>
              <w:rPr>
                <w:rFonts w:ascii="Constantia" w:hAnsi="Constantia" w:cs="Arial"/>
                <w:bCs/>
                <w:iCs/>
                <w:color w:val="000000"/>
                <w:szCs w:val="22"/>
                <w:lang w:val="sr-Latn-CS"/>
              </w:rPr>
            </w:pPr>
          </w:p>
        </w:tc>
        <w:tc>
          <w:tcPr>
            <w:tcW w:w="1081" w:type="dxa"/>
            <w:shd w:val="clear" w:color="auto" w:fill="E6EED5"/>
          </w:tcPr>
          <w:p w:rsidR="004B071C" w:rsidRPr="00C04742" w:rsidRDefault="004B071C" w:rsidP="004E680E">
            <w:pPr>
              <w:keepNext/>
              <w:keepLines/>
              <w:spacing w:before="60"/>
              <w:jc w:val="center"/>
              <w:outlineLvl w:val="3"/>
              <w:rPr>
                <w:rFonts w:ascii="Constantia" w:hAnsi="Constantia" w:cs="Arial"/>
                <w:bCs/>
                <w:iCs/>
                <w:color w:val="000000"/>
                <w:szCs w:val="22"/>
                <w:lang w:val="sr-Latn-CS"/>
              </w:rPr>
            </w:pPr>
            <w:r w:rsidRPr="00C04742">
              <w:rPr>
                <w:rFonts w:ascii="Constantia" w:hAnsi="Constantia" w:cs="Arial"/>
                <w:bCs/>
                <w:iCs/>
                <w:color w:val="000000"/>
                <w:szCs w:val="22"/>
                <w:lang w:val="sr-Latn-CS"/>
              </w:rPr>
              <w:t>G</w:t>
            </w:r>
          </w:p>
        </w:tc>
      </w:tr>
      <w:tr w:rsidR="004B071C" w:rsidRPr="00C04742" w:rsidTr="00C04742">
        <w:tc>
          <w:tcPr>
            <w:tcW w:w="2358" w:type="dxa"/>
            <w:shd w:val="clear" w:color="auto" w:fill="CDDDAC"/>
          </w:tcPr>
          <w:p w:rsidR="004B071C" w:rsidRPr="00C04742" w:rsidRDefault="004B071C" w:rsidP="004E680E">
            <w:pPr>
              <w:rPr>
                <w:rFonts w:ascii="Constantia" w:hAnsi="Constantia" w:cs="Arial"/>
                <w:bCs/>
                <w:szCs w:val="22"/>
              </w:rPr>
            </w:pPr>
            <w:r w:rsidRPr="00C04742">
              <w:rPr>
                <w:rFonts w:ascii="Constantia" w:hAnsi="Constantia" w:cs="Arial"/>
                <w:bCs/>
                <w:szCs w:val="22"/>
              </w:rPr>
              <w:t>Alcedo  athis</w:t>
            </w:r>
          </w:p>
        </w:tc>
        <w:tc>
          <w:tcPr>
            <w:tcW w:w="810" w:type="dxa"/>
            <w:shd w:val="clear" w:color="auto" w:fill="CDDDAC"/>
          </w:tcPr>
          <w:p w:rsidR="004B071C" w:rsidRPr="00C04742" w:rsidRDefault="004B071C" w:rsidP="004E680E">
            <w:pPr>
              <w:keepNext/>
              <w:keepLines/>
              <w:spacing w:before="60"/>
              <w:jc w:val="center"/>
              <w:outlineLvl w:val="3"/>
              <w:rPr>
                <w:rFonts w:ascii="Constantia" w:hAnsi="Constantia" w:cs="Arial"/>
                <w:bCs/>
                <w:iCs/>
                <w:color w:val="000000"/>
                <w:szCs w:val="22"/>
                <w:lang w:val="sr-Latn-CS"/>
              </w:rPr>
            </w:pPr>
            <w:r w:rsidRPr="00C04742">
              <w:rPr>
                <w:rFonts w:ascii="Constantia" w:hAnsi="Constantia" w:cs="Arial"/>
                <w:bCs/>
                <w:iCs/>
                <w:color w:val="000000"/>
                <w:szCs w:val="22"/>
                <w:lang w:val="sr-Latn-CS"/>
              </w:rPr>
              <w:t>P</w:t>
            </w:r>
          </w:p>
        </w:tc>
        <w:tc>
          <w:tcPr>
            <w:tcW w:w="990" w:type="dxa"/>
            <w:shd w:val="clear" w:color="auto" w:fill="CDDDAC"/>
          </w:tcPr>
          <w:p w:rsidR="004B071C" w:rsidRPr="00C04742" w:rsidRDefault="004B071C" w:rsidP="004E680E">
            <w:pPr>
              <w:keepNext/>
              <w:keepLines/>
              <w:spacing w:before="60"/>
              <w:jc w:val="center"/>
              <w:outlineLvl w:val="3"/>
              <w:rPr>
                <w:rFonts w:ascii="Constantia" w:hAnsi="Constantia" w:cs="Arial"/>
                <w:bCs/>
                <w:iCs/>
                <w:color w:val="000000"/>
                <w:szCs w:val="22"/>
                <w:lang w:val="sr-Latn-CS"/>
              </w:rPr>
            </w:pPr>
            <w:r w:rsidRPr="00C04742">
              <w:rPr>
                <w:rFonts w:ascii="Constantia" w:hAnsi="Constantia" w:cs="Arial"/>
                <w:bCs/>
                <w:iCs/>
                <w:color w:val="000000"/>
                <w:szCs w:val="22"/>
                <w:lang w:val="sr-Latn-CS"/>
              </w:rPr>
              <w:t>4</w:t>
            </w:r>
          </w:p>
        </w:tc>
        <w:tc>
          <w:tcPr>
            <w:tcW w:w="900" w:type="dxa"/>
            <w:shd w:val="clear" w:color="auto" w:fill="CDDDAC"/>
          </w:tcPr>
          <w:p w:rsidR="004B071C" w:rsidRPr="00C04742" w:rsidRDefault="004B071C" w:rsidP="004E680E">
            <w:pPr>
              <w:keepNext/>
              <w:keepLines/>
              <w:spacing w:before="60"/>
              <w:jc w:val="center"/>
              <w:outlineLvl w:val="3"/>
              <w:rPr>
                <w:rFonts w:ascii="Constantia" w:hAnsi="Constantia" w:cs="Arial"/>
                <w:bCs/>
                <w:iCs/>
                <w:color w:val="000000"/>
                <w:szCs w:val="22"/>
                <w:lang w:val="sr-Latn-CS"/>
              </w:rPr>
            </w:pPr>
          </w:p>
        </w:tc>
        <w:tc>
          <w:tcPr>
            <w:tcW w:w="1080" w:type="dxa"/>
            <w:shd w:val="clear" w:color="auto" w:fill="CDDDAC"/>
          </w:tcPr>
          <w:p w:rsidR="004B071C" w:rsidRPr="00C04742" w:rsidRDefault="004B071C" w:rsidP="004E680E">
            <w:pPr>
              <w:jc w:val="center"/>
              <w:rPr>
                <w:rFonts w:ascii="Constantia" w:hAnsi="Constantia" w:cs="Arial"/>
                <w:color w:val="000000"/>
                <w:szCs w:val="22"/>
              </w:rPr>
            </w:pPr>
            <w:r w:rsidRPr="00C04742">
              <w:rPr>
                <w:rFonts w:ascii="Constantia" w:hAnsi="Constantia" w:cs="Arial"/>
                <w:color w:val="000000"/>
                <w:szCs w:val="22"/>
              </w:rPr>
              <w:t>I</w:t>
            </w:r>
          </w:p>
        </w:tc>
        <w:tc>
          <w:tcPr>
            <w:tcW w:w="990" w:type="dxa"/>
            <w:shd w:val="clear" w:color="auto" w:fill="CDDDAC"/>
          </w:tcPr>
          <w:p w:rsidR="004B071C" w:rsidRPr="00C04742" w:rsidRDefault="004B071C" w:rsidP="004E680E">
            <w:pPr>
              <w:keepNext/>
              <w:keepLines/>
              <w:spacing w:before="60"/>
              <w:jc w:val="center"/>
              <w:outlineLvl w:val="3"/>
              <w:rPr>
                <w:rFonts w:ascii="Constantia" w:hAnsi="Constantia" w:cs="Arial"/>
                <w:bCs/>
                <w:iCs/>
                <w:color w:val="000000"/>
                <w:szCs w:val="22"/>
                <w:lang w:val="sr-Latn-CS"/>
              </w:rPr>
            </w:pPr>
          </w:p>
        </w:tc>
        <w:tc>
          <w:tcPr>
            <w:tcW w:w="1080" w:type="dxa"/>
            <w:shd w:val="clear" w:color="auto" w:fill="CDDDAC"/>
          </w:tcPr>
          <w:p w:rsidR="004B071C" w:rsidRPr="00C04742" w:rsidRDefault="004B071C" w:rsidP="004E680E">
            <w:pPr>
              <w:keepNext/>
              <w:keepLines/>
              <w:spacing w:before="60"/>
              <w:outlineLvl w:val="3"/>
              <w:rPr>
                <w:rFonts w:ascii="Constantia" w:hAnsi="Constantia" w:cs="Arial"/>
                <w:bCs/>
                <w:iCs/>
                <w:color w:val="000000"/>
                <w:szCs w:val="22"/>
                <w:lang w:val="sr-Latn-CS"/>
              </w:rPr>
            </w:pPr>
          </w:p>
        </w:tc>
        <w:tc>
          <w:tcPr>
            <w:tcW w:w="1081" w:type="dxa"/>
            <w:shd w:val="clear" w:color="auto" w:fill="CDDDAC"/>
          </w:tcPr>
          <w:p w:rsidR="004B071C" w:rsidRPr="00C04742" w:rsidRDefault="004B071C" w:rsidP="004E680E">
            <w:pPr>
              <w:keepNext/>
              <w:keepLines/>
              <w:spacing w:before="60"/>
              <w:jc w:val="center"/>
              <w:outlineLvl w:val="3"/>
              <w:rPr>
                <w:rFonts w:ascii="Constantia" w:hAnsi="Constantia" w:cs="Arial"/>
                <w:bCs/>
                <w:iCs/>
                <w:color w:val="000000"/>
                <w:szCs w:val="22"/>
                <w:lang w:val="sr-Latn-CS"/>
              </w:rPr>
            </w:pPr>
            <w:r w:rsidRPr="00C04742">
              <w:rPr>
                <w:rFonts w:ascii="Constantia" w:hAnsi="Constantia" w:cs="Arial"/>
                <w:bCs/>
                <w:iCs/>
                <w:color w:val="000000"/>
                <w:szCs w:val="22"/>
                <w:lang w:val="sr-Latn-CS"/>
              </w:rPr>
              <w:t>G</w:t>
            </w:r>
          </w:p>
        </w:tc>
      </w:tr>
    </w:tbl>
    <w:p w:rsidR="004B071C" w:rsidRPr="00C04742" w:rsidRDefault="00C04742" w:rsidP="004B071C">
      <w:pPr>
        <w:pStyle w:val="Tabele"/>
        <w:spacing w:before="60" w:after="240"/>
        <w:ind w:left="714" w:hanging="357"/>
        <w:rPr>
          <w:rFonts w:ascii="Constantia" w:hAnsi="Constantia"/>
          <w:sz w:val="22"/>
          <w:szCs w:val="22"/>
        </w:rPr>
      </w:pPr>
      <w:r>
        <w:t xml:space="preserve"> </w:t>
      </w:r>
      <w:r w:rsidR="004B071C" w:rsidRPr="00C04742">
        <w:rPr>
          <w:rFonts w:ascii="Constantia" w:hAnsi="Constantia"/>
          <w:sz w:val="22"/>
          <w:szCs w:val="22"/>
        </w:rPr>
        <w:t>Procjena populacija ptica</w:t>
      </w:r>
    </w:p>
    <w:p w:rsidR="004B071C" w:rsidRPr="00993993" w:rsidRDefault="00993993" w:rsidP="00993993">
      <w:pPr>
        <w:pStyle w:val="Heading4"/>
        <w:numPr>
          <w:ilvl w:val="0"/>
          <w:numId w:val="0"/>
        </w:numPr>
        <w:ind w:left="1134" w:hanging="1134"/>
        <w:rPr>
          <w:sz w:val="22"/>
          <w:szCs w:val="22"/>
        </w:rPr>
      </w:pPr>
      <w:r>
        <w:rPr>
          <w:sz w:val="22"/>
          <w:szCs w:val="22"/>
        </w:rPr>
        <w:lastRenderedPageBreak/>
        <w:t xml:space="preserve">6.3.6.4   </w:t>
      </w:r>
      <w:r w:rsidR="004B071C" w:rsidRPr="00993993">
        <w:rPr>
          <w:sz w:val="22"/>
          <w:szCs w:val="22"/>
        </w:rPr>
        <w:t>Sisari</w:t>
      </w:r>
    </w:p>
    <w:p w:rsidR="004B071C" w:rsidRPr="0021283D" w:rsidRDefault="004B071C" w:rsidP="004B071C">
      <w:pPr>
        <w:rPr>
          <w:rFonts w:ascii="Arial" w:hAnsi="Arial" w:cs="Arial"/>
          <w:szCs w:val="22"/>
        </w:rPr>
      </w:pPr>
    </w:p>
    <w:tbl>
      <w:tblPr>
        <w:tblpPr w:leftFromText="180" w:rightFromText="180" w:vertAnchor="text" w:tblpXSpec="center" w:tblpY="1"/>
        <w:tblW w:w="0" w:type="auto"/>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ayout w:type="fixed"/>
        <w:tblLook w:val="04A0" w:firstRow="1" w:lastRow="0" w:firstColumn="1" w:lastColumn="0" w:noHBand="0" w:noVBand="1"/>
      </w:tblPr>
      <w:tblGrid>
        <w:gridCol w:w="2358"/>
        <w:gridCol w:w="1170"/>
        <w:gridCol w:w="1260"/>
        <w:gridCol w:w="1039"/>
        <w:gridCol w:w="1097"/>
        <w:gridCol w:w="1183"/>
        <w:gridCol w:w="1182"/>
      </w:tblGrid>
      <w:tr w:rsidR="004B071C" w:rsidRPr="009C4249" w:rsidTr="009C4249">
        <w:tc>
          <w:tcPr>
            <w:tcW w:w="9289" w:type="dxa"/>
            <w:gridSpan w:val="7"/>
            <w:shd w:val="clear" w:color="auto" w:fill="E6EED5"/>
          </w:tcPr>
          <w:p w:rsidR="004B071C" w:rsidRPr="009C4249" w:rsidRDefault="004B071C" w:rsidP="007F66B2">
            <w:pPr>
              <w:keepNext/>
              <w:keepLines/>
              <w:spacing w:before="60"/>
              <w:jc w:val="center"/>
              <w:outlineLvl w:val="3"/>
              <w:rPr>
                <w:rFonts w:ascii="Constantia" w:hAnsi="Constantia" w:cs="Arial"/>
                <w:b/>
                <w:bCs/>
                <w:iCs/>
                <w:color w:val="000000"/>
                <w:szCs w:val="22"/>
                <w:lang w:val="sr-Latn-CS"/>
              </w:rPr>
            </w:pPr>
            <w:r w:rsidRPr="009C4249">
              <w:rPr>
                <w:rFonts w:ascii="Constantia" w:hAnsi="Constantia" w:cs="Arial"/>
                <w:b/>
                <w:bCs/>
                <w:iCs/>
                <w:color w:val="000000"/>
                <w:szCs w:val="22"/>
                <w:lang w:val="sr-Latn-CS"/>
              </w:rPr>
              <w:t>Popula</w:t>
            </w:r>
            <w:r w:rsidR="007F66B2">
              <w:rPr>
                <w:rFonts w:ascii="Constantia" w:hAnsi="Constantia" w:cs="Arial"/>
                <w:b/>
                <w:bCs/>
                <w:iCs/>
                <w:color w:val="000000"/>
                <w:szCs w:val="22"/>
                <w:lang w:val="sr-Latn-CS"/>
              </w:rPr>
              <w:t>cija na području</w:t>
            </w:r>
          </w:p>
        </w:tc>
      </w:tr>
      <w:tr w:rsidR="004B071C" w:rsidRPr="009C4249" w:rsidTr="009C4249">
        <w:tc>
          <w:tcPr>
            <w:tcW w:w="2358" w:type="dxa"/>
            <w:shd w:val="clear" w:color="auto" w:fill="CDDDAC"/>
          </w:tcPr>
          <w:p w:rsidR="004B071C" w:rsidRPr="009C4249" w:rsidRDefault="004B071C" w:rsidP="004E680E">
            <w:pPr>
              <w:keepNext/>
              <w:keepLines/>
              <w:spacing w:before="60"/>
              <w:outlineLvl w:val="3"/>
              <w:rPr>
                <w:rFonts w:ascii="Constantia" w:hAnsi="Constantia" w:cs="Arial"/>
                <w:b/>
                <w:bCs/>
                <w:iCs/>
                <w:color w:val="000000"/>
                <w:szCs w:val="22"/>
                <w:lang w:val="sr-Latn-CS"/>
              </w:rPr>
            </w:pPr>
            <w:r w:rsidRPr="009C4249">
              <w:rPr>
                <w:rFonts w:ascii="Constantia" w:hAnsi="Constantia" w:cs="Arial"/>
                <w:b/>
                <w:bCs/>
                <w:iCs/>
                <w:color w:val="000000"/>
                <w:szCs w:val="22"/>
                <w:lang w:val="sr-Latn-CS"/>
              </w:rPr>
              <w:t>Vrste</w:t>
            </w:r>
          </w:p>
        </w:tc>
        <w:tc>
          <w:tcPr>
            <w:tcW w:w="1170" w:type="dxa"/>
            <w:shd w:val="clear" w:color="auto" w:fill="CDDDAC"/>
          </w:tcPr>
          <w:p w:rsidR="004B071C" w:rsidRPr="009C4249" w:rsidRDefault="004B071C" w:rsidP="004E680E">
            <w:pPr>
              <w:keepNext/>
              <w:keepLines/>
              <w:spacing w:before="60"/>
              <w:outlineLvl w:val="3"/>
              <w:rPr>
                <w:rFonts w:ascii="Constantia" w:hAnsi="Constantia" w:cs="Arial"/>
                <w:b/>
                <w:bCs/>
                <w:iCs/>
                <w:color w:val="000000"/>
                <w:szCs w:val="22"/>
                <w:lang w:val="sr-Latn-CS"/>
              </w:rPr>
            </w:pPr>
            <w:r w:rsidRPr="009C4249">
              <w:rPr>
                <w:rFonts w:ascii="Constantia" w:hAnsi="Constantia" w:cs="Arial"/>
                <w:b/>
                <w:bCs/>
                <w:iCs/>
                <w:color w:val="000000"/>
                <w:szCs w:val="22"/>
                <w:lang w:val="sr-Latn-CS"/>
              </w:rPr>
              <w:t>Tip prisustva</w:t>
            </w:r>
          </w:p>
        </w:tc>
        <w:tc>
          <w:tcPr>
            <w:tcW w:w="2299" w:type="dxa"/>
            <w:gridSpan w:val="2"/>
            <w:shd w:val="clear" w:color="auto" w:fill="CDDDAC"/>
          </w:tcPr>
          <w:p w:rsidR="004B071C" w:rsidRPr="009C4249" w:rsidRDefault="004B071C" w:rsidP="004E680E">
            <w:pPr>
              <w:keepNext/>
              <w:keepLines/>
              <w:spacing w:before="60"/>
              <w:jc w:val="center"/>
              <w:outlineLvl w:val="3"/>
              <w:rPr>
                <w:rFonts w:ascii="Constantia" w:hAnsi="Constantia" w:cs="Arial"/>
                <w:b/>
                <w:bCs/>
                <w:iCs/>
                <w:color w:val="000000"/>
                <w:szCs w:val="22"/>
                <w:lang w:val="sr-Latn-CS"/>
              </w:rPr>
            </w:pPr>
            <w:r w:rsidRPr="009C4249">
              <w:rPr>
                <w:rFonts w:ascii="Constantia" w:hAnsi="Constantia" w:cs="Arial"/>
                <w:b/>
                <w:bCs/>
                <w:iCs/>
                <w:color w:val="000000"/>
                <w:szCs w:val="22"/>
                <w:lang w:val="sr-Latn-CS"/>
              </w:rPr>
              <w:t xml:space="preserve">Veličina </w:t>
            </w:r>
          </w:p>
        </w:tc>
        <w:tc>
          <w:tcPr>
            <w:tcW w:w="1097" w:type="dxa"/>
            <w:shd w:val="clear" w:color="auto" w:fill="CDDDAC"/>
          </w:tcPr>
          <w:p w:rsidR="004B071C" w:rsidRPr="009C4249" w:rsidRDefault="004B071C" w:rsidP="004E680E">
            <w:pPr>
              <w:keepNext/>
              <w:keepLines/>
              <w:spacing w:before="60"/>
              <w:jc w:val="center"/>
              <w:outlineLvl w:val="3"/>
              <w:rPr>
                <w:rFonts w:ascii="Constantia" w:hAnsi="Constantia" w:cs="Arial"/>
                <w:b/>
                <w:bCs/>
                <w:iCs/>
                <w:color w:val="000000"/>
                <w:szCs w:val="22"/>
                <w:lang w:val="sr-Latn-CS"/>
              </w:rPr>
            </w:pPr>
            <w:r w:rsidRPr="009C4249">
              <w:rPr>
                <w:rFonts w:ascii="Constantia" w:hAnsi="Constantia" w:cs="Arial"/>
                <w:b/>
                <w:bCs/>
                <w:iCs/>
                <w:color w:val="000000"/>
                <w:szCs w:val="22"/>
                <w:lang w:val="sr-Latn-CS"/>
              </w:rPr>
              <w:t>Jedinica</w:t>
            </w:r>
          </w:p>
        </w:tc>
        <w:tc>
          <w:tcPr>
            <w:tcW w:w="1183" w:type="dxa"/>
            <w:shd w:val="clear" w:color="auto" w:fill="CDDDAC"/>
          </w:tcPr>
          <w:p w:rsidR="004B071C" w:rsidRPr="009C4249" w:rsidRDefault="009C4249" w:rsidP="004E680E">
            <w:pPr>
              <w:keepNext/>
              <w:keepLines/>
              <w:spacing w:before="60"/>
              <w:outlineLvl w:val="3"/>
              <w:rPr>
                <w:rFonts w:ascii="Constantia" w:hAnsi="Constantia" w:cs="Arial"/>
                <w:b/>
                <w:bCs/>
                <w:iCs/>
                <w:color w:val="000000"/>
                <w:szCs w:val="22"/>
                <w:lang w:val="sr-Latn-CS"/>
              </w:rPr>
            </w:pPr>
            <w:r w:rsidRPr="009C4249">
              <w:rPr>
                <w:rFonts w:ascii="Constantia" w:hAnsi="Constantia" w:cs="Arial"/>
                <w:b/>
                <w:bCs/>
                <w:iCs/>
                <w:color w:val="000000"/>
                <w:szCs w:val="22"/>
                <w:lang w:val="sr-Latn-CS"/>
              </w:rPr>
              <w:t xml:space="preserve"> </w:t>
            </w:r>
            <w:r w:rsidR="004B071C" w:rsidRPr="009C4249">
              <w:rPr>
                <w:rFonts w:ascii="Constantia" w:hAnsi="Constantia" w:cs="Arial"/>
                <w:b/>
                <w:bCs/>
                <w:iCs/>
                <w:color w:val="000000"/>
                <w:szCs w:val="22"/>
                <w:lang w:val="sr-Latn-CS"/>
              </w:rPr>
              <w:t>Karakter ptisustva</w:t>
            </w:r>
          </w:p>
        </w:tc>
        <w:tc>
          <w:tcPr>
            <w:tcW w:w="1182" w:type="dxa"/>
            <w:shd w:val="clear" w:color="auto" w:fill="CDDDAC"/>
          </w:tcPr>
          <w:p w:rsidR="004B071C" w:rsidRPr="009C4249" w:rsidRDefault="004B071C" w:rsidP="004E680E">
            <w:pPr>
              <w:keepNext/>
              <w:keepLines/>
              <w:spacing w:before="60"/>
              <w:outlineLvl w:val="3"/>
              <w:rPr>
                <w:rFonts w:ascii="Constantia" w:hAnsi="Constantia" w:cs="Arial"/>
                <w:b/>
                <w:bCs/>
                <w:iCs/>
                <w:color w:val="000000"/>
                <w:szCs w:val="22"/>
                <w:lang w:val="sr-Latn-CS"/>
              </w:rPr>
            </w:pPr>
            <w:r w:rsidRPr="009C4249">
              <w:rPr>
                <w:rFonts w:ascii="Constantia" w:hAnsi="Constantia" w:cs="Arial"/>
                <w:b/>
                <w:bCs/>
                <w:iCs/>
                <w:color w:val="000000"/>
                <w:szCs w:val="22"/>
                <w:lang w:val="sr-Latn-CS"/>
              </w:rPr>
              <w:t>Kvalitet podataka</w:t>
            </w:r>
          </w:p>
        </w:tc>
      </w:tr>
      <w:tr w:rsidR="004B071C" w:rsidRPr="009C4249" w:rsidTr="009C4249">
        <w:tc>
          <w:tcPr>
            <w:tcW w:w="2358" w:type="dxa"/>
            <w:shd w:val="clear" w:color="auto" w:fill="E6EED5"/>
          </w:tcPr>
          <w:p w:rsidR="004B071C" w:rsidRPr="009C4249" w:rsidRDefault="004B071C" w:rsidP="004E680E">
            <w:pPr>
              <w:keepNext/>
              <w:keepLines/>
              <w:spacing w:before="60"/>
              <w:outlineLvl w:val="3"/>
              <w:rPr>
                <w:rFonts w:ascii="Constantia" w:hAnsi="Constantia" w:cs="Arial"/>
                <w:b/>
                <w:bCs/>
                <w:iCs/>
                <w:color w:val="000000"/>
                <w:szCs w:val="22"/>
                <w:lang w:val="sr-Latn-CS"/>
              </w:rPr>
            </w:pPr>
          </w:p>
        </w:tc>
        <w:tc>
          <w:tcPr>
            <w:tcW w:w="1170" w:type="dxa"/>
            <w:shd w:val="clear" w:color="auto" w:fill="E6EED5"/>
          </w:tcPr>
          <w:p w:rsidR="004B071C" w:rsidRPr="009C4249" w:rsidRDefault="004B071C" w:rsidP="004E680E">
            <w:pPr>
              <w:keepNext/>
              <w:keepLines/>
              <w:spacing w:before="60"/>
              <w:outlineLvl w:val="3"/>
              <w:rPr>
                <w:rFonts w:ascii="Constantia" w:hAnsi="Constantia" w:cs="Arial"/>
                <w:b/>
                <w:bCs/>
                <w:iCs/>
                <w:color w:val="000000"/>
                <w:szCs w:val="22"/>
                <w:lang w:val="sr-Latn-CS"/>
              </w:rPr>
            </w:pPr>
          </w:p>
        </w:tc>
        <w:tc>
          <w:tcPr>
            <w:tcW w:w="1260" w:type="dxa"/>
            <w:shd w:val="clear" w:color="auto" w:fill="E6EED5"/>
          </w:tcPr>
          <w:p w:rsidR="004B071C" w:rsidRPr="009C4249" w:rsidRDefault="004B071C" w:rsidP="004E680E">
            <w:pPr>
              <w:keepNext/>
              <w:keepLines/>
              <w:spacing w:before="60"/>
              <w:outlineLvl w:val="3"/>
              <w:rPr>
                <w:rFonts w:ascii="Constantia" w:hAnsi="Constantia" w:cs="Arial"/>
                <w:b/>
                <w:bCs/>
                <w:iCs/>
                <w:color w:val="000000"/>
                <w:szCs w:val="22"/>
                <w:lang w:val="sr-Latn-CS"/>
              </w:rPr>
            </w:pPr>
            <w:r w:rsidRPr="009C4249">
              <w:rPr>
                <w:rFonts w:ascii="Constantia" w:hAnsi="Constantia" w:cs="Arial"/>
                <w:b/>
                <w:bCs/>
                <w:iCs/>
                <w:color w:val="000000"/>
                <w:szCs w:val="22"/>
                <w:lang w:val="sr-Latn-CS"/>
              </w:rPr>
              <w:t>Min.</w:t>
            </w:r>
          </w:p>
        </w:tc>
        <w:tc>
          <w:tcPr>
            <w:tcW w:w="1039" w:type="dxa"/>
            <w:shd w:val="clear" w:color="auto" w:fill="E6EED5"/>
          </w:tcPr>
          <w:p w:rsidR="004B071C" w:rsidRPr="009C4249" w:rsidRDefault="004B071C" w:rsidP="004E680E">
            <w:pPr>
              <w:keepNext/>
              <w:keepLines/>
              <w:spacing w:before="60"/>
              <w:outlineLvl w:val="3"/>
              <w:rPr>
                <w:rFonts w:ascii="Constantia" w:hAnsi="Constantia" w:cs="Arial"/>
                <w:b/>
                <w:bCs/>
                <w:iCs/>
                <w:color w:val="000000"/>
                <w:szCs w:val="22"/>
                <w:lang w:val="sr-Latn-CS"/>
              </w:rPr>
            </w:pPr>
            <w:r w:rsidRPr="009C4249">
              <w:rPr>
                <w:rFonts w:ascii="Constantia" w:hAnsi="Constantia" w:cs="Arial"/>
                <w:b/>
                <w:bCs/>
                <w:iCs/>
                <w:color w:val="000000"/>
                <w:szCs w:val="22"/>
                <w:lang w:val="sr-Latn-CS"/>
              </w:rPr>
              <w:t>Max.</w:t>
            </w:r>
          </w:p>
        </w:tc>
        <w:tc>
          <w:tcPr>
            <w:tcW w:w="1097" w:type="dxa"/>
            <w:shd w:val="clear" w:color="auto" w:fill="E6EED5"/>
          </w:tcPr>
          <w:p w:rsidR="004B071C" w:rsidRPr="009C4249" w:rsidRDefault="004B071C" w:rsidP="004E680E">
            <w:pPr>
              <w:keepNext/>
              <w:keepLines/>
              <w:spacing w:before="60"/>
              <w:outlineLvl w:val="3"/>
              <w:rPr>
                <w:rFonts w:ascii="Constantia" w:hAnsi="Constantia" w:cs="Arial"/>
                <w:b/>
                <w:bCs/>
                <w:iCs/>
                <w:color w:val="000000"/>
                <w:szCs w:val="22"/>
                <w:lang w:val="sr-Latn-CS"/>
              </w:rPr>
            </w:pPr>
          </w:p>
        </w:tc>
        <w:tc>
          <w:tcPr>
            <w:tcW w:w="1183" w:type="dxa"/>
            <w:shd w:val="clear" w:color="auto" w:fill="E6EED5"/>
          </w:tcPr>
          <w:p w:rsidR="004B071C" w:rsidRPr="009C4249" w:rsidRDefault="004B071C" w:rsidP="004E680E">
            <w:pPr>
              <w:keepNext/>
              <w:keepLines/>
              <w:spacing w:before="60"/>
              <w:outlineLvl w:val="3"/>
              <w:rPr>
                <w:rFonts w:ascii="Constantia" w:hAnsi="Constantia" w:cs="Arial"/>
                <w:b/>
                <w:bCs/>
                <w:iCs/>
                <w:color w:val="000000"/>
                <w:szCs w:val="22"/>
                <w:lang w:val="sr-Latn-CS"/>
              </w:rPr>
            </w:pPr>
            <w:r w:rsidRPr="009C4249">
              <w:rPr>
                <w:rFonts w:ascii="Constantia" w:hAnsi="Constantia" w:cs="Arial"/>
                <w:b/>
                <w:bCs/>
                <w:iCs/>
                <w:color w:val="000000"/>
                <w:szCs w:val="22"/>
                <w:lang w:val="sr-Latn-CS"/>
              </w:rPr>
              <w:t>C/R/V/P</w:t>
            </w:r>
          </w:p>
        </w:tc>
        <w:tc>
          <w:tcPr>
            <w:tcW w:w="1182" w:type="dxa"/>
            <w:shd w:val="clear" w:color="auto" w:fill="E6EED5"/>
          </w:tcPr>
          <w:p w:rsidR="004B071C" w:rsidRPr="009C4249" w:rsidRDefault="004B071C" w:rsidP="004E680E">
            <w:pPr>
              <w:keepNext/>
              <w:keepLines/>
              <w:spacing w:before="60"/>
              <w:outlineLvl w:val="3"/>
              <w:rPr>
                <w:rFonts w:ascii="Constantia" w:hAnsi="Constantia" w:cs="Arial"/>
                <w:b/>
                <w:bCs/>
                <w:iCs/>
                <w:color w:val="000000"/>
                <w:szCs w:val="22"/>
                <w:lang w:val="sr-Latn-CS"/>
              </w:rPr>
            </w:pPr>
          </w:p>
        </w:tc>
      </w:tr>
      <w:tr w:rsidR="004B071C" w:rsidRPr="009C4249" w:rsidTr="009C4249">
        <w:tc>
          <w:tcPr>
            <w:tcW w:w="2358" w:type="dxa"/>
            <w:shd w:val="clear" w:color="auto" w:fill="CDDDAC"/>
          </w:tcPr>
          <w:p w:rsidR="004B071C" w:rsidRPr="009C4249" w:rsidRDefault="004B071C" w:rsidP="009C4249">
            <w:pPr>
              <w:jc w:val="left"/>
              <w:rPr>
                <w:rFonts w:ascii="Constantia" w:hAnsi="Constantia" w:cs="Arial"/>
                <w:bCs/>
                <w:szCs w:val="22"/>
              </w:rPr>
            </w:pPr>
            <w:r w:rsidRPr="009C4249">
              <w:rPr>
                <w:rFonts w:ascii="Constantia" w:hAnsi="Constantia" w:cs="Arial"/>
                <w:bCs/>
                <w:iCs/>
                <w:color w:val="000000"/>
                <w:szCs w:val="22"/>
                <w:lang w:val="sr-Latn-CS"/>
              </w:rPr>
              <w:t>Lutra lutra</w:t>
            </w:r>
          </w:p>
        </w:tc>
        <w:tc>
          <w:tcPr>
            <w:tcW w:w="1170" w:type="dxa"/>
            <w:shd w:val="clear" w:color="auto" w:fill="CDDDAC"/>
          </w:tcPr>
          <w:p w:rsidR="004B071C" w:rsidRPr="009C4249" w:rsidRDefault="004B071C" w:rsidP="004E680E">
            <w:pPr>
              <w:keepNext/>
              <w:keepLines/>
              <w:spacing w:before="60"/>
              <w:jc w:val="center"/>
              <w:outlineLvl w:val="3"/>
              <w:rPr>
                <w:rFonts w:ascii="Constantia" w:hAnsi="Constantia" w:cs="Arial"/>
                <w:bCs/>
                <w:iCs/>
                <w:color w:val="000000"/>
                <w:szCs w:val="22"/>
                <w:lang w:val="sr-Latn-CS"/>
              </w:rPr>
            </w:pPr>
            <w:r w:rsidRPr="009C4249">
              <w:rPr>
                <w:rFonts w:ascii="Constantia" w:hAnsi="Constantia" w:cs="Arial"/>
                <w:bCs/>
                <w:iCs/>
                <w:color w:val="000000"/>
                <w:szCs w:val="22"/>
                <w:lang w:val="sr-Latn-CS"/>
              </w:rPr>
              <w:t>P</w:t>
            </w:r>
          </w:p>
        </w:tc>
        <w:tc>
          <w:tcPr>
            <w:tcW w:w="1260" w:type="dxa"/>
            <w:shd w:val="clear" w:color="auto" w:fill="CDDDAC"/>
          </w:tcPr>
          <w:p w:rsidR="004B071C" w:rsidRPr="009C4249" w:rsidRDefault="004B071C" w:rsidP="004E680E">
            <w:pPr>
              <w:keepNext/>
              <w:keepLines/>
              <w:spacing w:before="60"/>
              <w:jc w:val="center"/>
              <w:outlineLvl w:val="3"/>
              <w:rPr>
                <w:rFonts w:ascii="Constantia" w:hAnsi="Constantia" w:cs="Arial"/>
                <w:bCs/>
                <w:iCs/>
                <w:color w:val="000000"/>
                <w:szCs w:val="22"/>
                <w:lang w:val="sr-Latn-CS"/>
              </w:rPr>
            </w:pPr>
            <w:r w:rsidRPr="009C4249">
              <w:rPr>
                <w:rFonts w:ascii="Constantia" w:hAnsi="Constantia" w:cs="Arial"/>
                <w:bCs/>
                <w:iCs/>
                <w:color w:val="000000"/>
                <w:szCs w:val="22"/>
                <w:lang w:val="sr-Latn-CS"/>
              </w:rPr>
              <w:t>8</w:t>
            </w:r>
          </w:p>
        </w:tc>
        <w:tc>
          <w:tcPr>
            <w:tcW w:w="1039" w:type="dxa"/>
            <w:shd w:val="clear" w:color="auto" w:fill="CDDDAC"/>
          </w:tcPr>
          <w:p w:rsidR="004B071C" w:rsidRPr="009C4249" w:rsidRDefault="004B071C" w:rsidP="004E680E">
            <w:pPr>
              <w:keepNext/>
              <w:keepLines/>
              <w:spacing w:before="60"/>
              <w:jc w:val="center"/>
              <w:outlineLvl w:val="3"/>
              <w:rPr>
                <w:rFonts w:ascii="Constantia" w:hAnsi="Constantia" w:cs="Arial"/>
                <w:bCs/>
                <w:iCs/>
                <w:color w:val="000000"/>
                <w:szCs w:val="22"/>
                <w:lang w:val="sr-Latn-CS"/>
              </w:rPr>
            </w:pPr>
            <w:r w:rsidRPr="009C4249">
              <w:rPr>
                <w:rFonts w:ascii="Constantia" w:hAnsi="Constantia" w:cs="Arial"/>
                <w:bCs/>
                <w:iCs/>
                <w:color w:val="000000"/>
                <w:szCs w:val="22"/>
                <w:lang w:val="sr-Latn-CS"/>
              </w:rPr>
              <w:t>20</w:t>
            </w:r>
          </w:p>
        </w:tc>
        <w:tc>
          <w:tcPr>
            <w:tcW w:w="1097" w:type="dxa"/>
            <w:shd w:val="clear" w:color="auto" w:fill="CDDDAC"/>
          </w:tcPr>
          <w:p w:rsidR="004B071C" w:rsidRPr="009C4249" w:rsidRDefault="004B071C" w:rsidP="004E680E">
            <w:pPr>
              <w:jc w:val="center"/>
              <w:rPr>
                <w:rFonts w:ascii="Constantia" w:hAnsi="Constantia" w:cs="Arial"/>
                <w:color w:val="000000"/>
                <w:szCs w:val="22"/>
              </w:rPr>
            </w:pPr>
            <w:r w:rsidRPr="009C4249">
              <w:rPr>
                <w:rFonts w:ascii="Constantia" w:hAnsi="Constantia" w:cs="Arial"/>
                <w:color w:val="000000"/>
                <w:szCs w:val="22"/>
              </w:rPr>
              <w:t>I</w:t>
            </w:r>
          </w:p>
        </w:tc>
        <w:tc>
          <w:tcPr>
            <w:tcW w:w="1183" w:type="dxa"/>
            <w:shd w:val="clear" w:color="auto" w:fill="CDDDAC"/>
          </w:tcPr>
          <w:p w:rsidR="004B071C" w:rsidRPr="009C4249" w:rsidRDefault="004B071C" w:rsidP="004E680E">
            <w:pPr>
              <w:keepNext/>
              <w:keepLines/>
              <w:spacing w:before="60"/>
              <w:jc w:val="center"/>
              <w:outlineLvl w:val="3"/>
              <w:rPr>
                <w:rFonts w:ascii="Constantia" w:hAnsi="Constantia" w:cs="Arial"/>
                <w:bCs/>
                <w:iCs/>
                <w:color w:val="000000"/>
                <w:szCs w:val="22"/>
                <w:lang w:val="sr-Latn-CS"/>
              </w:rPr>
            </w:pPr>
            <w:r w:rsidRPr="009C4249">
              <w:rPr>
                <w:rFonts w:ascii="Constantia" w:hAnsi="Constantia" w:cs="Arial"/>
                <w:bCs/>
                <w:iCs/>
                <w:color w:val="000000"/>
                <w:szCs w:val="22"/>
                <w:lang w:val="sr-Latn-CS"/>
              </w:rPr>
              <w:t>R</w:t>
            </w:r>
          </w:p>
        </w:tc>
        <w:tc>
          <w:tcPr>
            <w:tcW w:w="1182" w:type="dxa"/>
            <w:shd w:val="clear" w:color="auto" w:fill="CDDDAC"/>
          </w:tcPr>
          <w:p w:rsidR="004B071C" w:rsidRPr="009C4249" w:rsidRDefault="004B071C" w:rsidP="004E680E">
            <w:pPr>
              <w:keepNext/>
              <w:keepLines/>
              <w:spacing w:before="60"/>
              <w:jc w:val="center"/>
              <w:outlineLvl w:val="3"/>
              <w:rPr>
                <w:rFonts w:ascii="Constantia" w:hAnsi="Constantia" w:cs="Arial"/>
                <w:bCs/>
                <w:iCs/>
                <w:color w:val="000000"/>
                <w:szCs w:val="22"/>
                <w:lang w:val="sr-Latn-CS"/>
              </w:rPr>
            </w:pPr>
            <w:r w:rsidRPr="009C4249">
              <w:rPr>
                <w:rFonts w:ascii="Constantia" w:hAnsi="Constantia" w:cs="Arial"/>
                <w:bCs/>
                <w:iCs/>
                <w:color w:val="000000"/>
                <w:szCs w:val="22"/>
                <w:lang w:val="sr-Latn-CS"/>
              </w:rPr>
              <w:t>M</w:t>
            </w:r>
          </w:p>
        </w:tc>
      </w:tr>
      <w:tr w:rsidR="004B071C" w:rsidRPr="009C4249" w:rsidTr="009C4249">
        <w:tc>
          <w:tcPr>
            <w:tcW w:w="2358" w:type="dxa"/>
            <w:shd w:val="clear" w:color="auto" w:fill="E6EED5"/>
          </w:tcPr>
          <w:p w:rsidR="004B071C" w:rsidRPr="009C4249" w:rsidRDefault="004B071C" w:rsidP="009C4249">
            <w:pPr>
              <w:jc w:val="left"/>
              <w:rPr>
                <w:rFonts w:ascii="Constantia" w:hAnsi="Constantia" w:cs="Arial"/>
                <w:bCs/>
                <w:szCs w:val="22"/>
              </w:rPr>
            </w:pPr>
            <w:r w:rsidRPr="009C4249">
              <w:rPr>
                <w:rFonts w:ascii="Constantia" w:hAnsi="Constantia" w:cs="Arial"/>
                <w:bCs/>
                <w:szCs w:val="22"/>
              </w:rPr>
              <w:t>Rhinolophus ferrumequinum</w:t>
            </w:r>
          </w:p>
        </w:tc>
        <w:tc>
          <w:tcPr>
            <w:tcW w:w="1170" w:type="dxa"/>
            <w:shd w:val="clear" w:color="auto" w:fill="E6EED5"/>
          </w:tcPr>
          <w:p w:rsidR="004B071C" w:rsidRPr="009C4249" w:rsidRDefault="004B071C" w:rsidP="004E680E">
            <w:pPr>
              <w:keepNext/>
              <w:keepLines/>
              <w:spacing w:before="60"/>
              <w:jc w:val="center"/>
              <w:outlineLvl w:val="3"/>
              <w:rPr>
                <w:rFonts w:ascii="Constantia" w:hAnsi="Constantia" w:cs="Arial"/>
                <w:bCs/>
                <w:iCs/>
                <w:color w:val="000000"/>
                <w:szCs w:val="22"/>
                <w:lang w:val="sr-Latn-CS"/>
              </w:rPr>
            </w:pPr>
            <w:r w:rsidRPr="009C4249">
              <w:rPr>
                <w:rFonts w:ascii="Constantia" w:hAnsi="Constantia" w:cs="Arial"/>
                <w:bCs/>
                <w:iCs/>
                <w:color w:val="000000"/>
                <w:szCs w:val="22"/>
                <w:lang w:val="sr-Latn-CS"/>
              </w:rPr>
              <w:t>P , C, W</w:t>
            </w:r>
          </w:p>
        </w:tc>
        <w:tc>
          <w:tcPr>
            <w:tcW w:w="1260" w:type="dxa"/>
            <w:shd w:val="clear" w:color="auto" w:fill="E6EED5"/>
          </w:tcPr>
          <w:p w:rsidR="004B071C" w:rsidRPr="009C4249" w:rsidRDefault="004B071C" w:rsidP="004E680E">
            <w:pPr>
              <w:spacing w:after="0"/>
              <w:jc w:val="center"/>
              <w:rPr>
                <w:rFonts w:ascii="Constantia" w:hAnsi="Constantia" w:cs="Arial"/>
                <w:color w:val="000000"/>
                <w:szCs w:val="22"/>
              </w:rPr>
            </w:pPr>
            <w:r w:rsidRPr="009C4249">
              <w:rPr>
                <w:rFonts w:ascii="Constantia" w:hAnsi="Constantia" w:cs="Arial"/>
                <w:color w:val="000000"/>
                <w:szCs w:val="22"/>
              </w:rPr>
              <w:t>8</w:t>
            </w:r>
          </w:p>
        </w:tc>
        <w:tc>
          <w:tcPr>
            <w:tcW w:w="1039" w:type="dxa"/>
            <w:shd w:val="clear" w:color="auto" w:fill="E6EED5"/>
          </w:tcPr>
          <w:p w:rsidR="004B071C" w:rsidRPr="009C4249" w:rsidRDefault="004B071C" w:rsidP="004E680E">
            <w:pPr>
              <w:spacing w:after="0"/>
              <w:jc w:val="center"/>
              <w:rPr>
                <w:rFonts w:ascii="Constantia" w:hAnsi="Constantia" w:cs="Arial"/>
                <w:color w:val="000000"/>
                <w:szCs w:val="22"/>
              </w:rPr>
            </w:pPr>
            <w:r w:rsidRPr="009C4249">
              <w:rPr>
                <w:rFonts w:ascii="Constantia" w:hAnsi="Constantia" w:cs="Arial"/>
                <w:color w:val="000000"/>
                <w:szCs w:val="22"/>
              </w:rPr>
              <w:t>55</w:t>
            </w:r>
          </w:p>
        </w:tc>
        <w:tc>
          <w:tcPr>
            <w:tcW w:w="1097" w:type="dxa"/>
            <w:shd w:val="clear" w:color="auto" w:fill="E6EED5"/>
          </w:tcPr>
          <w:p w:rsidR="004B071C" w:rsidRPr="009C4249" w:rsidRDefault="004B071C" w:rsidP="004E680E">
            <w:pPr>
              <w:jc w:val="center"/>
              <w:rPr>
                <w:rFonts w:ascii="Constantia" w:hAnsi="Constantia" w:cs="Arial"/>
                <w:color w:val="000000"/>
                <w:szCs w:val="22"/>
              </w:rPr>
            </w:pPr>
            <w:r w:rsidRPr="009C4249">
              <w:rPr>
                <w:rFonts w:ascii="Constantia" w:hAnsi="Constantia" w:cs="Arial"/>
                <w:color w:val="000000"/>
                <w:szCs w:val="22"/>
              </w:rPr>
              <w:t>I</w:t>
            </w:r>
          </w:p>
        </w:tc>
        <w:tc>
          <w:tcPr>
            <w:tcW w:w="1183" w:type="dxa"/>
            <w:shd w:val="clear" w:color="auto" w:fill="E6EED5"/>
          </w:tcPr>
          <w:p w:rsidR="004B071C" w:rsidRPr="009C4249" w:rsidRDefault="004B071C" w:rsidP="004E680E">
            <w:pPr>
              <w:keepNext/>
              <w:keepLines/>
              <w:spacing w:before="60"/>
              <w:jc w:val="center"/>
              <w:outlineLvl w:val="3"/>
              <w:rPr>
                <w:rFonts w:ascii="Constantia" w:hAnsi="Constantia" w:cs="Arial"/>
                <w:b/>
                <w:bCs/>
                <w:iCs/>
                <w:color w:val="FF0000"/>
                <w:szCs w:val="22"/>
                <w:lang w:val="sr-Latn-CS"/>
              </w:rPr>
            </w:pPr>
          </w:p>
        </w:tc>
        <w:tc>
          <w:tcPr>
            <w:tcW w:w="1182" w:type="dxa"/>
            <w:shd w:val="clear" w:color="auto" w:fill="E6EED5"/>
          </w:tcPr>
          <w:p w:rsidR="004B071C" w:rsidRPr="009C4249" w:rsidRDefault="004B071C" w:rsidP="004E680E">
            <w:pPr>
              <w:jc w:val="center"/>
              <w:rPr>
                <w:rFonts w:ascii="Constantia" w:hAnsi="Constantia" w:cs="Arial"/>
                <w:color w:val="000000"/>
                <w:szCs w:val="22"/>
              </w:rPr>
            </w:pPr>
            <w:r w:rsidRPr="009C4249">
              <w:rPr>
                <w:rFonts w:ascii="Constantia" w:hAnsi="Constantia" w:cs="Arial"/>
                <w:color w:val="000000"/>
                <w:szCs w:val="22"/>
              </w:rPr>
              <w:t>G</w:t>
            </w:r>
          </w:p>
        </w:tc>
      </w:tr>
      <w:tr w:rsidR="004B071C" w:rsidRPr="009C4249" w:rsidTr="009C4249">
        <w:tc>
          <w:tcPr>
            <w:tcW w:w="2358" w:type="dxa"/>
            <w:shd w:val="clear" w:color="auto" w:fill="CDDDAC"/>
          </w:tcPr>
          <w:p w:rsidR="004B071C" w:rsidRPr="009C4249" w:rsidRDefault="004B071C" w:rsidP="009C4249">
            <w:pPr>
              <w:jc w:val="left"/>
              <w:rPr>
                <w:rFonts w:ascii="Constantia" w:hAnsi="Constantia" w:cs="Arial"/>
                <w:bCs/>
                <w:szCs w:val="22"/>
              </w:rPr>
            </w:pPr>
            <w:r w:rsidRPr="009C4249">
              <w:rPr>
                <w:rFonts w:ascii="Constantia" w:hAnsi="Constantia" w:cs="Arial"/>
                <w:bCs/>
                <w:szCs w:val="22"/>
              </w:rPr>
              <w:t>Rhinolophus euryale</w:t>
            </w:r>
          </w:p>
        </w:tc>
        <w:tc>
          <w:tcPr>
            <w:tcW w:w="1170" w:type="dxa"/>
            <w:shd w:val="clear" w:color="auto" w:fill="CDDDAC"/>
          </w:tcPr>
          <w:p w:rsidR="004B071C" w:rsidRPr="009C4249" w:rsidRDefault="004B071C" w:rsidP="004E680E">
            <w:pPr>
              <w:keepNext/>
              <w:keepLines/>
              <w:spacing w:before="60"/>
              <w:jc w:val="center"/>
              <w:outlineLvl w:val="3"/>
              <w:rPr>
                <w:rFonts w:ascii="Constantia" w:hAnsi="Constantia" w:cs="Arial"/>
                <w:bCs/>
                <w:iCs/>
                <w:color w:val="000000"/>
                <w:szCs w:val="22"/>
                <w:lang w:val="sr-Latn-CS"/>
              </w:rPr>
            </w:pPr>
            <w:r w:rsidRPr="009C4249">
              <w:rPr>
                <w:rFonts w:ascii="Constantia" w:hAnsi="Constantia" w:cs="Arial"/>
                <w:bCs/>
                <w:iCs/>
                <w:color w:val="000000"/>
                <w:szCs w:val="22"/>
                <w:lang w:val="sr-Latn-CS"/>
              </w:rPr>
              <w:t>P,C,W</w:t>
            </w:r>
          </w:p>
        </w:tc>
        <w:tc>
          <w:tcPr>
            <w:tcW w:w="1260" w:type="dxa"/>
            <w:shd w:val="clear" w:color="auto" w:fill="CDDDAC"/>
          </w:tcPr>
          <w:p w:rsidR="004B071C" w:rsidRPr="009C4249" w:rsidRDefault="004B071C" w:rsidP="004E680E">
            <w:pPr>
              <w:spacing w:after="0"/>
              <w:jc w:val="center"/>
              <w:rPr>
                <w:rFonts w:ascii="Constantia" w:hAnsi="Constantia" w:cs="Arial"/>
                <w:color w:val="000000"/>
                <w:szCs w:val="22"/>
              </w:rPr>
            </w:pPr>
            <w:r w:rsidRPr="009C4249">
              <w:rPr>
                <w:rFonts w:ascii="Constantia" w:hAnsi="Constantia" w:cs="Arial"/>
                <w:color w:val="000000"/>
                <w:szCs w:val="22"/>
              </w:rPr>
              <w:t>110</w:t>
            </w:r>
          </w:p>
        </w:tc>
        <w:tc>
          <w:tcPr>
            <w:tcW w:w="1039" w:type="dxa"/>
            <w:shd w:val="clear" w:color="auto" w:fill="CDDDAC"/>
          </w:tcPr>
          <w:p w:rsidR="004B071C" w:rsidRPr="009C4249" w:rsidRDefault="004B071C" w:rsidP="004E680E">
            <w:pPr>
              <w:spacing w:after="0"/>
              <w:jc w:val="center"/>
              <w:rPr>
                <w:rFonts w:ascii="Constantia" w:hAnsi="Constantia" w:cs="Arial"/>
                <w:color w:val="000000"/>
                <w:szCs w:val="22"/>
              </w:rPr>
            </w:pPr>
            <w:r w:rsidRPr="009C4249">
              <w:rPr>
                <w:rFonts w:ascii="Constantia" w:hAnsi="Constantia" w:cs="Arial"/>
                <w:color w:val="000000"/>
                <w:szCs w:val="22"/>
              </w:rPr>
              <w:t>120</w:t>
            </w:r>
          </w:p>
        </w:tc>
        <w:tc>
          <w:tcPr>
            <w:tcW w:w="1097" w:type="dxa"/>
            <w:shd w:val="clear" w:color="auto" w:fill="CDDDAC"/>
          </w:tcPr>
          <w:p w:rsidR="004B071C" w:rsidRPr="009C4249" w:rsidRDefault="004B071C" w:rsidP="004E680E">
            <w:pPr>
              <w:jc w:val="center"/>
              <w:rPr>
                <w:rFonts w:ascii="Constantia" w:hAnsi="Constantia" w:cs="Arial"/>
                <w:color w:val="000000"/>
                <w:szCs w:val="22"/>
              </w:rPr>
            </w:pPr>
            <w:r w:rsidRPr="009C4249">
              <w:rPr>
                <w:rFonts w:ascii="Constantia" w:hAnsi="Constantia" w:cs="Arial"/>
                <w:color w:val="000000"/>
                <w:szCs w:val="22"/>
              </w:rPr>
              <w:t>I</w:t>
            </w:r>
          </w:p>
        </w:tc>
        <w:tc>
          <w:tcPr>
            <w:tcW w:w="1183" w:type="dxa"/>
            <w:shd w:val="clear" w:color="auto" w:fill="CDDDAC"/>
          </w:tcPr>
          <w:p w:rsidR="004B071C" w:rsidRPr="009C4249" w:rsidRDefault="004B071C" w:rsidP="004E680E">
            <w:pPr>
              <w:keepNext/>
              <w:keepLines/>
              <w:spacing w:before="60"/>
              <w:jc w:val="center"/>
              <w:outlineLvl w:val="3"/>
              <w:rPr>
                <w:rFonts w:ascii="Constantia" w:hAnsi="Constantia" w:cs="Arial"/>
                <w:b/>
                <w:bCs/>
                <w:iCs/>
                <w:color w:val="FF0000"/>
                <w:szCs w:val="22"/>
                <w:lang w:val="sr-Latn-CS"/>
              </w:rPr>
            </w:pPr>
          </w:p>
        </w:tc>
        <w:tc>
          <w:tcPr>
            <w:tcW w:w="1182" w:type="dxa"/>
            <w:shd w:val="clear" w:color="auto" w:fill="CDDDAC"/>
          </w:tcPr>
          <w:p w:rsidR="004B071C" w:rsidRPr="009C4249" w:rsidRDefault="004B071C" w:rsidP="004E680E">
            <w:pPr>
              <w:jc w:val="center"/>
              <w:rPr>
                <w:rFonts w:ascii="Constantia" w:hAnsi="Constantia" w:cs="Arial"/>
                <w:color w:val="000000"/>
                <w:szCs w:val="22"/>
              </w:rPr>
            </w:pPr>
            <w:r w:rsidRPr="009C4249">
              <w:rPr>
                <w:rFonts w:ascii="Constantia" w:hAnsi="Constantia" w:cs="Arial"/>
                <w:color w:val="000000"/>
                <w:szCs w:val="22"/>
              </w:rPr>
              <w:t>G</w:t>
            </w:r>
          </w:p>
        </w:tc>
      </w:tr>
      <w:tr w:rsidR="004B071C" w:rsidRPr="009C4249" w:rsidTr="009C4249">
        <w:tc>
          <w:tcPr>
            <w:tcW w:w="2358" w:type="dxa"/>
            <w:shd w:val="clear" w:color="auto" w:fill="E6EED5"/>
          </w:tcPr>
          <w:p w:rsidR="004B071C" w:rsidRPr="009C4249" w:rsidRDefault="004B071C" w:rsidP="009C4249">
            <w:pPr>
              <w:jc w:val="left"/>
              <w:rPr>
                <w:rFonts w:ascii="Constantia" w:hAnsi="Constantia" w:cs="Arial"/>
                <w:bCs/>
                <w:szCs w:val="22"/>
              </w:rPr>
            </w:pPr>
            <w:r w:rsidRPr="009C4249">
              <w:rPr>
                <w:rFonts w:ascii="Constantia" w:hAnsi="Constantia" w:cs="Arial"/>
                <w:bCs/>
                <w:szCs w:val="22"/>
              </w:rPr>
              <w:t>R. hipposideros</w:t>
            </w:r>
          </w:p>
        </w:tc>
        <w:tc>
          <w:tcPr>
            <w:tcW w:w="1170" w:type="dxa"/>
            <w:shd w:val="clear" w:color="auto" w:fill="E6EED5"/>
          </w:tcPr>
          <w:p w:rsidR="004B071C" w:rsidRPr="009C4249" w:rsidRDefault="004B071C" w:rsidP="004E680E">
            <w:pPr>
              <w:keepNext/>
              <w:keepLines/>
              <w:spacing w:before="60"/>
              <w:jc w:val="center"/>
              <w:outlineLvl w:val="3"/>
              <w:rPr>
                <w:rFonts w:ascii="Constantia" w:hAnsi="Constantia" w:cs="Arial"/>
                <w:bCs/>
                <w:iCs/>
                <w:color w:val="000000"/>
                <w:szCs w:val="22"/>
                <w:lang w:val="sr-Latn-CS"/>
              </w:rPr>
            </w:pPr>
            <w:r w:rsidRPr="009C4249">
              <w:rPr>
                <w:rFonts w:ascii="Constantia" w:hAnsi="Constantia" w:cs="Arial"/>
                <w:bCs/>
                <w:iCs/>
                <w:color w:val="000000"/>
                <w:szCs w:val="22"/>
                <w:lang w:val="sr-Latn-CS"/>
              </w:rPr>
              <w:t>P</w:t>
            </w:r>
          </w:p>
        </w:tc>
        <w:tc>
          <w:tcPr>
            <w:tcW w:w="1260" w:type="dxa"/>
            <w:shd w:val="clear" w:color="auto" w:fill="E6EED5"/>
          </w:tcPr>
          <w:p w:rsidR="004B071C" w:rsidRPr="009C4249" w:rsidRDefault="004B071C" w:rsidP="004E680E">
            <w:pPr>
              <w:spacing w:after="0"/>
              <w:jc w:val="center"/>
              <w:rPr>
                <w:rFonts w:ascii="Constantia" w:hAnsi="Constantia" w:cs="Arial"/>
                <w:color w:val="000000"/>
                <w:szCs w:val="22"/>
              </w:rPr>
            </w:pPr>
            <w:r w:rsidRPr="009C4249">
              <w:rPr>
                <w:rFonts w:ascii="Constantia" w:hAnsi="Constantia" w:cs="Arial"/>
                <w:color w:val="000000"/>
                <w:szCs w:val="22"/>
              </w:rPr>
              <w:t>7</w:t>
            </w:r>
          </w:p>
        </w:tc>
        <w:tc>
          <w:tcPr>
            <w:tcW w:w="1039" w:type="dxa"/>
            <w:shd w:val="clear" w:color="auto" w:fill="E6EED5"/>
          </w:tcPr>
          <w:p w:rsidR="004B071C" w:rsidRPr="009C4249" w:rsidRDefault="004B071C" w:rsidP="004E680E">
            <w:pPr>
              <w:spacing w:after="0"/>
              <w:jc w:val="center"/>
              <w:rPr>
                <w:rFonts w:ascii="Constantia" w:hAnsi="Constantia" w:cs="Arial"/>
                <w:color w:val="000000"/>
                <w:szCs w:val="22"/>
              </w:rPr>
            </w:pPr>
            <w:r w:rsidRPr="009C4249">
              <w:rPr>
                <w:rFonts w:ascii="Constantia" w:hAnsi="Constantia" w:cs="Arial"/>
                <w:color w:val="000000"/>
                <w:szCs w:val="22"/>
              </w:rPr>
              <w:t>12</w:t>
            </w:r>
          </w:p>
        </w:tc>
        <w:tc>
          <w:tcPr>
            <w:tcW w:w="1097" w:type="dxa"/>
            <w:shd w:val="clear" w:color="auto" w:fill="E6EED5"/>
          </w:tcPr>
          <w:p w:rsidR="004B071C" w:rsidRPr="009C4249" w:rsidRDefault="004B071C" w:rsidP="004E680E">
            <w:pPr>
              <w:jc w:val="center"/>
              <w:rPr>
                <w:rFonts w:ascii="Constantia" w:hAnsi="Constantia" w:cs="Arial"/>
                <w:color w:val="000000"/>
                <w:szCs w:val="22"/>
              </w:rPr>
            </w:pPr>
            <w:r w:rsidRPr="009C4249">
              <w:rPr>
                <w:rFonts w:ascii="Constantia" w:hAnsi="Constantia" w:cs="Arial"/>
                <w:color w:val="000000"/>
                <w:szCs w:val="22"/>
              </w:rPr>
              <w:t>I</w:t>
            </w:r>
          </w:p>
        </w:tc>
        <w:tc>
          <w:tcPr>
            <w:tcW w:w="1183" w:type="dxa"/>
            <w:shd w:val="clear" w:color="auto" w:fill="E6EED5"/>
          </w:tcPr>
          <w:p w:rsidR="004B071C" w:rsidRPr="009C4249" w:rsidRDefault="004B071C" w:rsidP="004E680E">
            <w:pPr>
              <w:keepNext/>
              <w:keepLines/>
              <w:spacing w:before="60"/>
              <w:jc w:val="center"/>
              <w:outlineLvl w:val="3"/>
              <w:rPr>
                <w:rFonts w:ascii="Constantia" w:hAnsi="Constantia" w:cs="Arial"/>
                <w:b/>
                <w:bCs/>
                <w:iCs/>
                <w:color w:val="FF0000"/>
                <w:szCs w:val="22"/>
                <w:lang w:val="sr-Latn-CS"/>
              </w:rPr>
            </w:pPr>
          </w:p>
        </w:tc>
        <w:tc>
          <w:tcPr>
            <w:tcW w:w="1182" w:type="dxa"/>
            <w:shd w:val="clear" w:color="auto" w:fill="E6EED5"/>
          </w:tcPr>
          <w:p w:rsidR="004B071C" w:rsidRPr="009C4249" w:rsidRDefault="004B071C" w:rsidP="004E680E">
            <w:pPr>
              <w:jc w:val="center"/>
              <w:rPr>
                <w:rFonts w:ascii="Constantia" w:hAnsi="Constantia" w:cs="Arial"/>
                <w:color w:val="000000"/>
                <w:szCs w:val="22"/>
              </w:rPr>
            </w:pPr>
            <w:r w:rsidRPr="009C4249">
              <w:rPr>
                <w:rFonts w:ascii="Constantia" w:hAnsi="Constantia" w:cs="Arial"/>
                <w:color w:val="000000"/>
                <w:szCs w:val="22"/>
              </w:rPr>
              <w:t>G</w:t>
            </w:r>
          </w:p>
        </w:tc>
      </w:tr>
      <w:tr w:rsidR="004B071C" w:rsidRPr="009C4249" w:rsidTr="009C4249">
        <w:tc>
          <w:tcPr>
            <w:tcW w:w="2358" w:type="dxa"/>
            <w:shd w:val="clear" w:color="auto" w:fill="CDDDAC"/>
          </w:tcPr>
          <w:p w:rsidR="004B071C" w:rsidRPr="009C4249" w:rsidRDefault="004B071C" w:rsidP="009C4249">
            <w:pPr>
              <w:jc w:val="left"/>
              <w:rPr>
                <w:rFonts w:ascii="Constantia" w:hAnsi="Constantia" w:cs="Arial"/>
                <w:bCs/>
                <w:szCs w:val="22"/>
              </w:rPr>
            </w:pPr>
            <w:r w:rsidRPr="009C4249">
              <w:rPr>
                <w:rFonts w:ascii="Constantia" w:hAnsi="Constantia" w:cs="Arial"/>
                <w:bCs/>
                <w:szCs w:val="22"/>
              </w:rPr>
              <w:t>Pipistrellus khulii/nathusii</w:t>
            </w:r>
          </w:p>
        </w:tc>
        <w:tc>
          <w:tcPr>
            <w:tcW w:w="1170" w:type="dxa"/>
            <w:shd w:val="clear" w:color="auto" w:fill="CDDDAC"/>
          </w:tcPr>
          <w:p w:rsidR="004B071C" w:rsidRPr="009C4249" w:rsidRDefault="004B071C" w:rsidP="004E680E">
            <w:pPr>
              <w:keepNext/>
              <w:keepLines/>
              <w:spacing w:before="60"/>
              <w:jc w:val="center"/>
              <w:outlineLvl w:val="3"/>
              <w:rPr>
                <w:rFonts w:ascii="Constantia" w:hAnsi="Constantia" w:cs="Arial"/>
                <w:bCs/>
                <w:iCs/>
                <w:color w:val="000000"/>
                <w:szCs w:val="22"/>
                <w:lang w:val="sr-Latn-CS"/>
              </w:rPr>
            </w:pPr>
            <w:r w:rsidRPr="009C4249">
              <w:rPr>
                <w:rFonts w:ascii="Constantia" w:hAnsi="Constantia" w:cs="Arial"/>
                <w:bCs/>
                <w:iCs/>
                <w:color w:val="000000"/>
                <w:szCs w:val="22"/>
                <w:lang w:val="sr-Latn-CS"/>
              </w:rPr>
              <w:t>P</w:t>
            </w:r>
          </w:p>
        </w:tc>
        <w:tc>
          <w:tcPr>
            <w:tcW w:w="1260" w:type="dxa"/>
            <w:shd w:val="clear" w:color="auto" w:fill="CDDDAC"/>
          </w:tcPr>
          <w:p w:rsidR="004B071C" w:rsidRPr="009C4249" w:rsidRDefault="004B071C" w:rsidP="004E680E">
            <w:pPr>
              <w:spacing w:after="0"/>
              <w:jc w:val="center"/>
              <w:rPr>
                <w:rFonts w:ascii="Constantia" w:hAnsi="Constantia" w:cs="Arial"/>
                <w:color w:val="000000"/>
                <w:szCs w:val="22"/>
              </w:rPr>
            </w:pPr>
            <w:r w:rsidRPr="009C4249">
              <w:rPr>
                <w:rFonts w:ascii="Constantia" w:hAnsi="Constantia" w:cs="Arial"/>
                <w:color w:val="000000"/>
                <w:szCs w:val="22"/>
              </w:rPr>
              <w:t>1</w:t>
            </w:r>
          </w:p>
        </w:tc>
        <w:tc>
          <w:tcPr>
            <w:tcW w:w="1039" w:type="dxa"/>
            <w:shd w:val="clear" w:color="auto" w:fill="CDDDAC"/>
          </w:tcPr>
          <w:p w:rsidR="004B071C" w:rsidRPr="009C4249" w:rsidRDefault="004B071C" w:rsidP="004E680E">
            <w:pPr>
              <w:spacing w:after="0"/>
              <w:jc w:val="center"/>
              <w:rPr>
                <w:rFonts w:ascii="Constantia" w:hAnsi="Constantia" w:cs="Arial"/>
                <w:color w:val="000000"/>
                <w:szCs w:val="22"/>
              </w:rPr>
            </w:pPr>
            <w:r w:rsidRPr="009C4249">
              <w:rPr>
                <w:rFonts w:ascii="Constantia" w:hAnsi="Constantia" w:cs="Arial"/>
                <w:color w:val="000000"/>
                <w:szCs w:val="22"/>
              </w:rPr>
              <w:t>1</w:t>
            </w:r>
          </w:p>
        </w:tc>
        <w:tc>
          <w:tcPr>
            <w:tcW w:w="1097" w:type="dxa"/>
            <w:shd w:val="clear" w:color="auto" w:fill="CDDDAC"/>
          </w:tcPr>
          <w:p w:rsidR="004B071C" w:rsidRPr="009C4249" w:rsidRDefault="004B071C" w:rsidP="004E680E">
            <w:pPr>
              <w:jc w:val="center"/>
              <w:rPr>
                <w:rFonts w:ascii="Constantia" w:hAnsi="Constantia" w:cs="Arial"/>
                <w:color w:val="000000"/>
                <w:szCs w:val="22"/>
              </w:rPr>
            </w:pPr>
            <w:r w:rsidRPr="009C4249">
              <w:rPr>
                <w:rFonts w:ascii="Constantia" w:hAnsi="Constantia" w:cs="Arial"/>
                <w:color w:val="000000"/>
                <w:szCs w:val="22"/>
              </w:rPr>
              <w:t>I</w:t>
            </w:r>
          </w:p>
        </w:tc>
        <w:tc>
          <w:tcPr>
            <w:tcW w:w="1183" w:type="dxa"/>
            <w:shd w:val="clear" w:color="auto" w:fill="CDDDAC"/>
          </w:tcPr>
          <w:p w:rsidR="004B071C" w:rsidRPr="009C4249" w:rsidRDefault="004B071C" w:rsidP="004E680E">
            <w:pPr>
              <w:keepNext/>
              <w:keepLines/>
              <w:spacing w:before="60"/>
              <w:jc w:val="center"/>
              <w:outlineLvl w:val="3"/>
              <w:rPr>
                <w:rFonts w:ascii="Constantia" w:hAnsi="Constantia" w:cs="Arial"/>
                <w:b/>
                <w:bCs/>
                <w:iCs/>
                <w:color w:val="FF0000"/>
                <w:szCs w:val="22"/>
                <w:lang w:val="sr-Latn-CS"/>
              </w:rPr>
            </w:pPr>
          </w:p>
        </w:tc>
        <w:tc>
          <w:tcPr>
            <w:tcW w:w="1182" w:type="dxa"/>
            <w:shd w:val="clear" w:color="auto" w:fill="CDDDAC"/>
          </w:tcPr>
          <w:p w:rsidR="004B071C" w:rsidRPr="009C4249" w:rsidRDefault="004B071C" w:rsidP="004E680E">
            <w:pPr>
              <w:jc w:val="center"/>
              <w:rPr>
                <w:rFonts w:ascii="Constantia" w:hAnsi="Constantia" w:cs="Arial"/>
                <w:color w:val="000000"/>
                <w:szCs w:val="22"/>
              </w:rPr>
            </w:pPr>
            <w:r w:rsidRPr="009C4249">
              <w:rPr>
                <w:rFonts w:ascii="Constantia" w:hAnsi="Constantia" w:cs="Arial"/>
                <w:color w:val="000000"/>
                <w:szCs w:val="22"/>
              </w:rPr>
              <w:t>G</w:t>
            </w:r>
          </w:p>
        </w:tc>
      </w:tr>
      <w:tr w:rsidR="004B071C" w:rsidRPr="009C4249" w:rsidTr="009C4249">
        <w:tc>
          <w:tcPr>
            <w:tcW w:w="2358" w:type="dxa"/>
            <w:shd w:val="clear" w:color="auto" w:fill="E6EED5"/>
          </w:tcPr>
          <w:p w:rsidR="004B071C" w:rsidRPr="009C4249" w:rsidRDefault="004B071C" w:rsidP="009C4249">
            <w:pPr>
              <w:jc w:val="left"/>
              <w:rPr>
                <w:rFonts w:ascii="Constantia" w:hAnsi="Constantia" w:cs="Arial"/>
                <w:bCs/>
                <w:szCs w:val="22"/>
              </w:rPr>
            </w:pPr>
            <w:r w:rsidRPr="009C4249">
              <w:rPr>
                <w:rFonts w:ascii="Constantia" w:hAnsi="Constantia" w:cs="Arial"/>
                <w:bCs/>
                <w:szCs w:val="22"/>
              </w:rPr>
              <w:t>Pipistrellus pygmaeus</w:t>
            </w:r>
          </w:p>
        </w:tc>
        <w:tc>
          <w:tcPr>
            <w:tcW w:w="1170" w:type="dxa"/>
            <w:shd w:val="clear" w:color="auto" w:fill="E6EED5"/>
          </w:tcPr>
          <w:p w:rsidR="004B071C" w:rsidRPr="009C4249" w:rsidRDefault="004B071C" w:rsidP="004E680E">
            <w:pPr>
              <w:keepNext/>
              <w:keepLines/>
              <w:spacing w:before="60"/>
              <w:jc w:val="center"/>
              <w:outlineLvl w:val="3"/>
              <w:rPr>
                <w:rFonts w:ascii="Constantia" w:hAnsi="Constantia" w:cs="Arial"/>
                <w:bCs/>
                <w:iCs/>
                <w:color w:val="000000"/>
                <w:szCs w:val="22"/>
                <w:lang w:val="sr-Latn-CS"/>
              </w:rPr>
            </w:pPr>
            <w:r w:rsidRPr="009C4249">
              <w:rPr>
                <w:rFonts w:ascii="Constantia" w:hAnsi="Constantia" w:cs="Arial"/>
                <w:bCs/>
                <w:iCs/>
                <w:color w:val="000000"/>
                <w:szCs w:val="22"/>
                <w:lang w:val="sr-Latn-CS"/>
              </w:rPr>
              <w:t>P</w:t>
            </w:r>
          </w:p>
        </w:tc>
        <w:tc>
          <w:tcPr>
            <w:tcW w:w="1260" w:type="dxa"/>
            <w:shd w:val="clear" w:color="auto" w:fill="E6EED5"/>
          </w:tcPr>
          <w:p w:rsidR="004B071C" w:rsidRPr="009C4249" w:rsidRDefault="004B071C" w:rsidP="004E680E">
            <w:pPr>
              <w:spacing w:after="0"/>
              <w:jc w:val="center"/>
              <w:rPr>
                <w:rFonts w:ascii="Constantia" w:hAnsi="Constantia" w:cs="Arial"/>
                <w:color w:val="000000"/>
                <w:szCs w:val="22"/>
              </w:rPr>
            </w:pPr>
            <w:r w:rsidRPr="009C4249">
              <w:rPr>
                <w:rFonts w:ascii="Constantia" w:hAnsi="Constantia" w:cs="Arial"/>
                <w:color w:val="000000"/>
                <w:szCs w:val="22"/>
              </w:rPr>
              <w:t>1</w:t>
            </w:r>
          </w:p>
        </w:tc>
        <w:tc>
          <w:tcPr>
            <w:tcW w:w="1039" w:type="dxa"/>
            <w:shd w:val="clear" w:color="auto" w:fill="E6EED5"/>
          </w:tcPr>
          <w:p w:rsidR="004B071C" w:rsidRPr="009C4249" w:rsidRDefault="004B071C" w:rsidP="004E680E">
            <w:pPr>
              <w:spacing w:after="0"/>
              <w:jc w:val="center"/>
              <w:rPr>
                <w:rFonts w:ascii="Constantia" w:hAnsi="Constantia" w:cs="Arial"/>
                <w:color w:val="000000"/>
                <w:szCs w:val="22"/>
              </w:rPr>
            </w:pPr>
            <w:r w:rsidRPr="009C4249">
              <w:rPr>
                <w:rFonts w:ascii="Constantia" w:hAnsi="Constantia" w:cs="Arial"/>
                <w:color w:val="000000"/>
                <w:szCs w:val="22"/>
              </w:rPr>
              <w:t>1</w:t>
            </w:r>
          </w:p>
        </w:tc>
        <w:tc>
          <w:tcPr>
            <w:tcW w:w="1097" w:type="dxa"/>
            <w:shd w:val="clear" w:color="auto" w:fill="E6EED5"/>
          </w:tcPr>
          <w:p w:rsidR="004B071C" w:rsidRPr="009C4249" w:rsidRDefault="004B071C" w:rsidP="004E680E">
            <w:pPr>
              <w:jc w:val="center"/>
              <w:rPr>
                <w:rFonts w:ascii="Constantia" w:hAnsi="Constantia" w:cs="Arial"/>
                <w:color w:val="000000"/>
                <w:szCs w:val="22"/>
              </w:rPr>
            </w:pPr>
            <w:r w:rsidRPr="009C4249">
              <w:rPr>
                <w:rFonts w:ascii="Constantia" w:hAnsi="Constantia" w:cs="Arial"/>
                <w:color w:val="000000"/>
                <w:szCs w:val="22"/>
              </w:rPr>
              <w:t>I</w:t>
            </w:r>
          </w:p>
        </w:tc>
        <w:tc>
          <w:tcPr>
            <w:tcW w:w="1183" w:type="dxa"/>
            <w:shd w:val="clear" w:color="auto" w:fill="E6EED5"/>
          </w:tcPr>
          <w:p w:rsidR="004B071C" w:rsidRPr="009C4249" w:rsidRDefault="004B071C" w:rsidP="004E680E">
            <w:pPr>
              <w:keepNext/>
              <w:keepLines/>
              <w:spacing w:before="60"/>
              <w:jc w:val="center"/>
              <w:outlineLvl w:val="3"/>
              <w:rPr>
                <w:rFonts w:ascii="Constantia" w:hAnsi="Constantia" w:cs="Arial"/>
                <w:b/>
                <w:bCs/>
                <w:iCs/>
                <w:color w:val="FF0000"/>
                <w:szCs w:val="22"/>
                <w:lang w:val="sr-Latn-CS"/>
              </w:rPr>
            </w:pPr>
          </w:p>
        </w:tc>
        <w:tc>
          <w:tcPr>
            <w:tcW w:w="1182" w:type="dxa"/>
            <w:shd w:val="clear" w:color="auto" w:fill="E6EED5"/>
          </w:tcPr>
          <w:p w:rsidR="004B071C" w:rsidRPr="009C4249" w:rsidRDefault="004B071C" w:rsidP="004E680E">
            <w:pPr>
              <w:jc w:val="center"/>
              <w:rPr>
                <w:rFonts w:ascii="Constantia" w:hAnsi="Constantia" w:cs="Arial"/>
                <w:color w:val="000000"/>
                <w:szCs w:val="22"/>
              </w:rPr>
            </w:pPr>
            <w:r w:rsidRPr="009C4249">
              <w:rPr>
                <w:rFonts w:ascii="Constantia" w:hAnsi="Constantia" w:cs="Arial"/>
                <w:color w:val="000000"/>
                <w:szCs w:val="22"/>
              </w:rPr>
              <w:t>G</w:t>
            </w:r>
          </w:p>
        </w:tc>
      </w:tr>
      <w:tr w:rsidR="004B071C" w:rsidRPr="009C4249" w:rsidTr="009C4249">
        <w:tc>
          <w:tcPr>
            <w:tcW w:w="2358" w:type="dxa"/>
            <w:shd w:val="clear" w:color="auto" w:fill="CDDDAC"/>
          </w:tcPr>
          <w:p w:rsidR="004B071C" w:rsidRPr="009C4249" w:rsidRDefault="004B071C" w:rsidP="009C4249">
            <w:pPr>
              <w:jc w:val="left"/>
              <w:rPr>
                <w:rFonts w:ascii="Constantia" w:hAnsi="Constantia" w:cs="Arial"/>
                <w:bCs/>
                <w:szCs w:val="22"/>
              </w:rPr>
            </w:pPr>
            <w:r w:rsidRPr="009C4249">
              <w:rPr>
                <w:rFonts w:ascii="Constantia" w:hAnsi="Constantia" w:cs="Arial"/>
                <w:bCs/>
                <w:szCs w:val="22"/>
              </w:rPr>
              <w:t>Miniopterus schreibersii</w:t>
            </w:r>
          </w:p>
        </w:tc>
        <w:tc>
          <w:tcPr>
            <w:tcW w:w="1170" w:type="dxa"/>
            <w:shd w:val="clear" w:color="auto" w:fill="CDDDAC"/>
          </w:tcPr>
          <w:p w:rsidR="004B071C" w:rsidRPr="009C4249" w:rsidRDefault="004B071C" w:rsidP="004E680E">
            <w:pPr>
              <w:keepNext/>
              <w:keepLines/>
              <w:spacing w:before="60"/>
              <w:jc w:val="center"/>
              <w:outlineLvl w:val="3"/>
              <w:rPr>
                <w:rFonts w:ascii="Constantia" w:hAnsi="Constantia" w:cs="Arial"/>
                <w:bCs/>
                <w:iCs/>
                <w:color w:val="000000"/>
                <w:szCs w:val="22"/>
                <w:lang w:val="sr-Latn-CS"/>
              </w:rPr>
            </w:pPr>
            <w:r w:rsidRPr="009C4249">
              <w:rPr>
                <w:rFonts w:ascii="Constantia" w:hAnsi="Constantia" w:cs="Arial"/>
                <w:bCs/>
                <w:iCs/>
                <w:color w:val="000000"/>
                <w:szCs w:val="22"/>
                <w:lang w:val="sr-Latn-CS"/>
              </w:rPr>
              <w:t>C,P,W</w:t>
            </w:r>
          </w:p>
        </w:tc>
        <w:tc>
          <w:tcPr>
            <w:tcW w:w="1260" w:type="dxa"/>
            <w:shd w:val="clear" w:color="auto" w:fill="CDDDAC"/>
          </w:tcPr>
          <w:p w:rsidR="004B071C" w:rsidRPr="009C4249" w:rsidRDefault="004B071C" w:rsidP="004E680E">
            <w:pPr>
              <w:spacing w:after="0"/>
              <w:jc w:val="center"/>
              <w:rPr>
                <w:rFonts w:ascii="Constantia" w:hAnsi="Constantia" w:cs="Arial"/>
                <w:color w:val="000000"/>
                <w:szCs w:val="22"/>
              </w:rPr>
            </w:pPr>
            <w:r w:rsidRPr="009C4249">
              <w:rPr>
                <w:rFonts w:ascii="Constantia" w:hAnsi="Constantia" w:cs="Arial"/>
                <w:color w:val="000000"/>
                <w:szCs w:val="22"/>
              </w:rPr>
              <w:t>682</w:t>
            </w:r>
          </w:p>
        </w:tc>
        <w:tc>
          <w:tcPr>
            <w:tcW w:w="1039" w:type="dxa"/>
            <w:shd w:val="clear" w:color="auto" w:fill="CDDDAC"/>
          </w:tcPr>
          <w:p w:rsidR="004B071C" w:rsidRPr="009C4249" w:rsidRDefault="004B071C" w:rsidP="004E680E">
            <w:pPr>
              <w:spacing w:after="0"/>
              <w:jc w:val="center"/>
              <w:rPr>
                <w:rFonts w:ascii="Constantia" w:hAnsi="Constantia" w:cs="Arial"/>
                <w:color w:val="000000"/>
                <w:szCs w:val="22"/>
              </w:rPr>
            </w:pPr>
            <w:r w:rsidRPr="009C4249">
              <w:rPr>
                <w:rFonts w:ascii="Constantia" w:hAnsi="Constantia" w:cs="Arial"/>
                <w:color w:val="000000"/>
                <w:szCs w:val="22"/>
              </w:rPr>
              <w:t>682</w:t>
            </w:r>
          </w:p>
        </w:tc>
        <w:tc>
          <w:tcPr>
            <w:tcW w:w="1097" w:type="dxa"/>
            <w:shd w:val="clear" w:color="auto" w:fill="CDDDAC"/>
          </w:tcPr>
          <w:p w:rsidR="004B071C" w:rsidRPr="009C4249" w:rsidRDefault="004B071C" w:rsidP="004E680E">
            <w:pPr>
              <w:jc w:val="center"/>
              <w:rPr>
                <w:rFonts w:ascii="Constantia" w:hAnsi="Constantia" w:cs="Arial"/>
                <w:color w:val="000000"/>
                <w:szCs w:val="22"/>
              </w:rPr>
            </w:pPr>
            <w:r w:rsidRPr="009C4249">
              <w:rPr>
                <w:rFonts w:ascii="Constantia" w:hAnsi="Constantia" w:cs="Arial"/>
                <w:color w:val="000000"/>
                <w:szCs w:val="22"/>
              </w:rPr>
              <w:t>I</w:t>
            </w:r>
          </w:p>
        </w:tc>
        <w:tc>
          <w:tcPr>
            <w:tcW w:w="1183" w:type="dxa"/>
            <w:shd w:val="clear" w:color="auto" w:fill="CDDDAC"/>
          </w:tcPr>
          <w:p w:rsidR="004B071C" w:rsidRPr="009C4249" w:rsidRDefault="004B071C" w:rsidP="004E680E">
            <w:pPr>
              <w:keepNext/>
              <w:keepLines/>
              <w:spacing w:before="60"/>
              <w:jc w:val="center"/>
              <w:outlineLvl w:val="3"/>
              <w:rPr>
                <w:rFonts w:ascii="Constantia" w:hAnsi="Constantia" w:cs="Arial"/>
                <w:b/>
                <w:bCs/>
                <w:iCs/>
                <w:color w:val="FF0000"/>
                <w:szCs w:val="22"/>
                <w:lang w:val="sr-Latn-CS"/>
              </w:rPr>
            </w:pPr>
          </w:p>
        </w:tc>
        <w:tc>
          <w:tcPr>
            <w:tcW w:w="1182" w:type="dxa"/>
            <w:shd w:val="clear" w:color="auto" w:fill="CDDDAC"/>
          </w:tcPr>
          <w:p w:rsidR="004B071C" w:rsidRPr="009C4249" w:rsidRDefault="004B071C" w:rsidP="004E680E">
            <w:pPr>
              <w:jc w:val="center"/>
              <w:rPr>
                <w:rFonts w:ascii="Constantia" w:hAnsi="Constantia" w:cs="Arial"/>
                <w:color w:val="000000"/>
                <w:szCs w:val="22"/>
              </w:rPr>
            </w:pPr>
            <w:r w:rsidRPr="009C4249">
              <w:rPr>
                <w:rFonts w:ascii="Constantia" w:hAnsi="Constantia" w:cs="Arial"/>
                <w:color w:val="000000"/>
                <w:szCs w:val="22"/>
              </w:rPr>
              <w:t>G</w:t>
            </w:r>
          </w:p>
        </w:tc>
      </w:tr>
      <w:tr w:rsidR="004B071C" w:rsidRPr="009C4249" w:rsidTr="009C4249">
        <w:tc>
          <w:tcPr>
            <w:tcW w:w="2358" w:type="dxa"/>
            <w:shd w:val="clear" w:color="auto" w:fill="E6EED5"/>
          </w:tcPr>
          <w:p w:rsidR="004B071C" w:rsidRPr="009C4249" w:rsidRDefault="004B071C" w:rsidP="009C4249">
            <w:pPr>
              <w:jc w:val="left"/>
              <w:rPr>
                <w:rFonts w:ascii="Constantia" w:hAnsi="Constantia" w:cs="Arial"/>
                <w:bCs/>
                <w:szCs w:val="22"/>
              </w:rPr>
            </w:pPr>
            <w:r w:rsidRPr="009C4249">
              <w:rPr>
                <w:rFonts w:ascii="Constantia" w:hAnsi="Constantia" w:cs="Arial"/>
                <w:bCs/>
                <w:szCs w:val="22"/>
              </w:rPr>
              <w:t>Myotis blythii oxygnathus</w:t>
            </w:r>
          </w:p>
        </w:tc>
        <w:tc>
          <w:tcPr>
            <w:tcW w:w="1170" w:type="dxa"/>
            <w:shd w:val="clear" w:color="auto" w:fill="E6EED5"/>
          </w:tcPr>
          <w:p w:rsidR="004B071C" w:rsidRPr="009C4249" w:rsidRDefault="004B071C" w:rsidP="004E680E">
            <w:pPr>
              <w:keepNext/>
              <w:keepLines/>
              <w:spacing w:before="60"/>
              <w:jc w:val="center"/>
              <w:outlineLvl w:val="3"/>
              <w:rPr>
                <w:rFonts w:ascii="Constantia" w:hAnsi="Constantia" w:cs="Arial"/>
                <w:bCs/>
                <w:iCs/>
                <w:color w:val="000000"/>
                <w:szCs w:val="22"/>
                <w:lang w:val="sr-Latn-CS"/>
              </w:rPr>
            </w:pPr>
            <w:r w:rsidRPr="009C4249">
              <w:rPr>
                <w:rFonts w:ascii="Constantia" w:hAnsi="Constantia" w:cs="Arial"/>
                <w:bCs/>
                <w:iCs/>
                <w:color w:val="000000"/>
                <w:szCs w:val="22"/>
                <w:lang w:val="sr-Latn-CS"/>
              </w:rPr>
              <w:t>C,W,R</w:t>
            </w:r>
          </w:p>
        </w:tc>
        <w:tc>
          <w:tcPr>
            <w:tcW w:w="1260" w:type="dxa"/>
            <w:shd w:val="clear" w:color="auto" w:fill="E6EED5"/>
          </w:tcPr>
          <w:p w:rsidR="004B071C" w:rsidRPr="009C4249" w:rsidRDefault="004B071C" w:rsidP="004E680E">
            <w:pPr>
              <w:spacing w:after="0"/>
              <w:jc w:val="center"/>
              <w:rPr>
                <w:rFonts w:ascii="Constantia" w:hAnsi="Constantia" w:cs="Arial"/>
                <w:color w:val="000000"/>
                <w:szCs w:val="22"/>
              </w:rPr>
            </w:pPr>
            <w:r w:rsidRPr="009C4249">
              <w:rPr>
                <w:rFonts w:ascii="Constantia" w:hAnsi="Constantia" w:cs="Arial"/>
                <w:color w:val="000000"/>
                <w:szCs w:val="22"/>
              </w:rPr>
              <w:t>2585</w:t>
            </w:r>
          </w:p>
        </w:tc>
        <w:tc>
          <w:tcPr>
            <w:tcW w:w="1039" w:type="dxa"/>
            <w:shd w:val="clear" w:color="auto" w:fill="E6EED5"/>
          </w:tcPr>
          <w:p w:rsidR="004B071C" w:rsidRPr="009C4249" w:rsidRDefault="004B071C" w:rsidP="004E680E">
            <w:pPr>
              <w:spacing w:after="0"/>
              <w:jc w:val="center"/>
              <w:rPr>
                <w:rFonts w:ascii="Constantia" w:hAnsi="Constantia" w:cs="Arial"/>
                <w:color w:val="000000"/>
                <w:szCs w:val="22"/>
              </w:rPr>
            </w:pPr>
            <w:r w:rsidRPr="009C4249">
              <w:rPr>
                <w:rFonts w:ascii="Constantia" w:hAnsi="Constantia" w:cs="Arial"/>
                <w:color w:val="000000"/>
                <w:szCs w:val="22"/>
              </w:rPr>
              <w:t>2585</w:t>
            </w:r>
          </w:p>
        </w:tc>
        <w:tc>
          <w:tcPr>
            <w:tcW w:w="1097" w:type="dxa"/>
            <w:shd w:val="clear" w:color="auto" w:fill="E6EED5"/>
          </w:tcPr>
          <w:p w:rsidR="004B071C" w:rsidRPr="009C4249" w:rsidRDefault="004B071C" w:rsidP="004E680E">
            <w:pPr>
              <w:jc w:val="center"/>
              <w:rPr>
                <w:rFonts w:ascii="Constantia" w:hAnsi="Constantia" w:cs="Arial"/>
                <w:color w:val="000000"/>
                <w:szCs w:val="22"/>
              </w:rPr>
            </w:pPr>
            <w:r w:rsidRPr="009C4249">
              <w:rPr>
                <w:rFonts w:ascii="Constantia" w:hAnsi="Constantia" w:cs="Arial"/>
                <w:color w:val="000000"/>
                <w:szCs w:val="22"/>
              </w:rPr>
              <w:t>I</w:t>
            </w:r>
          </w:p>
        </w:tc>
        <w:tc>
          <w:tcPr>
            <w:tcW w:w="1183" w:type="dxa"/>
            <w:shd w:val="clear" w:color="auto" w:fill="E6EED5"/>
          </w:tcPr>
          <w:p w:rsidR="004B071C" w:rsidRPr="009C4249" w:rsidRDefault="004B071C" w:rsidP="004E680E">
            <w:pPr>
              <w:keepNext/>
              <w:keepLines/>
              <w:spacing w:before="60"/>
              <w:jc w:val="center"/>
              <w:outlineLvl w:val="3"/>
              <w:rPr>
                <w:rFonts w:ascii="Constantia" w:hAnsi="Constantia" w:cs="Arial"/>
                <w:b/>
                <w:bCs/>
                <w:iCs/>
                <w:color w:val="FF0000"/>
                <w:szCs w:val="22"/>
                <w:lang w:val="sr-Latn-CS"/>
              </w:rPr>
            </w:pPr>
          </w:p>
        </w:tc>
        <w:tc>
          <w:tcPr>
            <w:tcW w:w="1182" w:type="dxa"/>
            <w:shd w:val="clear" w:color="auto" w:fill="E6EED5"/>
          </w:tcPr>
          <w:p w:rsidR="004B071C" w:rsidRPr="009C4249" w:rsidRDefault="004B071C" w:rsidP="004E680E">
            <w:pPr>
              <w:jc w:val="center"/>
              <w:rPr>
                <w:rFonts w:ascii="Constantia" w:hAnsi="Constantia" w:cs="Arial"/>
                <w:color w:val="000000"/>
                <w:szCs w:val="22"/>
              </w:rPr>
            </w:pPr>
            <w:r w:rsidRPr="009C4249">
              <w:rPr>
                <w:rFonts w:ascii="Constantia" w:hAnsi="Constantia" w:cs="Arial"/>
                <w:color w:val="000000"/>
                <w:szCs w:val="22"/>
              </w:rPr>
              <w:t>G</w:t>
            </w:r>
          </w:p>
        </w:tc>
      </w:tr>
      <w:tr w:rsidR="004B071C" w:rsidRPr="009C4249" w:rsidTr="009C4249">
        <w:tc>
          <w:tcPr>
            <w:tcW w:w="2358" w:type="dxa"/>
            <w:shd w:val="clear" w:color="auto" w:fill="CDDDAC"/>
          </w:tcPr>
          <w:p w:rsidR="004B071C" w:rsidRPr="009C4249" w:rsidRDefault="004B071C" w:rsidP="009C4249">
            <w:pPr>
              <w:jc w:val="left"/>
              <w:rPr>
                <w:rFonts w:ascii="Constantia" w:hAnsi="Constantia" w:cs="Arial"/>
                <w:bCs/>
                <w:szCs w:val="22"/>
              </w:rPr>
            </w:pPr>
            <w:r w:rsidRPr="009C4249">
              <w:rPr>
                <w:rFonts w:ascii="Constantia" w:hAnsi="Constantia" w:cs="Arial"/>
                <w:bCs/>
                <w:szCs w:val="22"/>
              </w:rPr>
              <w:t>Myotis capaccinii</w:t>
            </w:r>
          </w:p>
        </w:tc>
        <w:tc>
          <w:tcPr>
            <w:tcW w:w="1170" w:type="dxa"/>
            <w:shd w:val="clear" w:color="auto" w:fill="CDDDAC"/>
          </w:tcPr>
          <w:p w:rsidR="004B071C" w:rsidRPr="009C4249" w:rsidRDefault="004B071C" w:rsidP="004E680E">
            <w:pPr>
              <w:keepNext/>
              <w:keepLines/>
              <w:spacing w:before="60"/>
              <w:jc w:val="center"/>
              <w:outlineLvl w:val="3"/>
              <w:rPr>
                <w:rFonts w:ascii="Constantia" w:hAnsi="Constantia" w:cs="Arial"/>
                <w:bCs/>
                <w:iCs/>
                <w:color w:val="000000"/>
                <w:szCs w:val="22"/>
                <w:lang w:val="sr-Latn-CS"/>
              </w:rPr>
            </w:pPr>
            <w:r w:rsidRPr="009C4249">
              <w:rPr>
                <w:rFonts w:ascii="Constantia" w:hAnsi="Constantia" w:cs="Arial"/>
                <w:bCs/>
                <w:iCs/>
                <w:color w:val="000000"/>
                <w:szCs w:val="22"/>
                <w:lang w:val="sr-Latn-CS"/>
              </w:rPr>
              <w:t>C,W,R</w:t>
            </w:r>
          </w:p>
        </w:tc>
        <w:tc>
          <w:tcPr>
            <w:tcW w:w="1260" w:type="dxa"/>
            <w:shd w:val="clear" w:color="auto" w:fill="CDDDAC"/>
          </w:tcPr>
          <w:p w:rsidR="004B071C" w:rsidRPr="009C4249" w:rsidRDefault="004B071C" w:rsidP="004E680E">
            <w:pPr>
              <w:spacing w:after="0"/>
              <w:jc w:val="center"/>
              <w:rPr>
                <w:rFonts w:ascii="Constantia" w:hAnsi="Constantia" w:cs="Arial"/>
                <w:color w:val="000000"/>
                <w:szCs w:val="22"/>
              </w:rPr>
            </w:pPr>
            <w:r w:rsidRPr="009C4249">
              <w:rPr>
                <w:rFonts w:ascii="Constantia" w:hAnsi="Constantia" w:cs="Arial"/>
                <w:color w:val="000000"/>
                <w:szCs w:val="22"/>
              </w:rPr>
              <w:t>91</w:t>
            </w:r>
          </w:p>
        </w:tc>
        <w:tc>
          <w:tcPr>
            <w:tcW w:w="1039" w:type="dxa"/>
            <w:shd w:val="clear" w:color="auto" w:fill="CDDDAC"/>
          </w:tcPr>
          <w:p w:rsidR="004B071C" w:rsidRPr="009C4249" w:rsidRDefault="004B071C" w:rsidP="004E680E">
            <w:pPr>
              <w:spacing w:after="0"/>
              <w:jc w:val="center"/>
              <w:rPr>
                <w:rFonts w:ascii="Constantia" w:hAnsi="Constantia" w:cs="Arial"/>
                <w:color w:val="000000"/>
                <w:szCs w:val="22"/>
              </w:rPr>
            </w:pPr>
            <w:r w:rsidRPr="009C4249">
              <w:rPr>
                <w:rFonts w:ascii="Constantia" w:hAnsi="Constantia" w:cs="Arial"/>
                <w:color w:val="000000"/>
                <w:szCs w:val="22"/>
              </w:rPr>
              <w:t>121</w:t>
            </w:r>
          </w:p>
        </w:tc>
        <w:tc>
          <w:tcPr>
            <w:tcW w:w="1097" w:type="dxa"/>
            <w:shd w:val="clear" w:color="auto" w:fill="CDDDAC"/>
          </w:tcPr>
          <w:p w:rsidR="004B071C" w:rsidRPr="009C4249" w:rsidRDefault="004B071C" w:rsidP="004E680E">
            <w:pPr>
              <w:jc w:val="center"/>
              <w:rPr>
                <w:rFonts w:ascii="Constantia" w:hAnsi="Constantia" w:cs="Arial"/>
                <w:color w:val="000000"/>
                <w:szCs w:val="22"/>
              </w:rPr>
            </w:pPr>
            <w:r w:rsidRPr="009C4249">
              <w:rPr>
                <w:rFonts w:ascii="Constantia" w:hAnsi="Constantia" w:cs="Arial"/>
                <w:color w:val="000000"/>
                <w:szCs w:val="22"/>
              </w:rPr>
              <w:t>I</w:t>
            </w:r>
          </w:p>
        </w:tc>
        <w:tc>
          <w:tcPr>
            <w:tcW w:w="1183" w:type="dxa"/>
            <w:shd w:val="clear" w:color="auto" w:fill="CDDDAC"/>
          </w:tcPr>
          <w:p w:rsidR="004B071C" w:rsidRPr="009C4249" w:rsidRDefault="004B071C" w:rsidP="004E680E">
            <w:pPr>
              <w:keepNext/>
              <w:keepLines/>
              <w:spacing w:before="60"/>
              <w:jc w:val="center"/>
              <w:outlineLvl w:val="3"/>
              <w:rPr>
                <w:rFonts w:ascii="Constantia" w:hAnsi="Constantia" w:cs="Arial"/>
                <w:b/>
                <w:bCs/>
                <w:iCs/>
                <w:color w:val="FF0000"/>
                <w:szCs w:val="22"/>
                <w:lang w:val="sr-Latn-CS"/>
              </w:rPr>
            </w:pPr>
          </w:p>
        </w:tc>
        <w:tc>
          <w:tcPr>
            <w:tcW w:w="1182" w:type="dxa"/>
            <w:shd w:val="clear" w:color="auto" w:fill="CDDDAC"/>
          </w:tcPr>
          <w:p w:rsidR="004B071C" w:rsidRPr="009C4249" w:rsidRDefault="004B071C" w:rsidP="004E680E">
            <w:pPr>
              <w:jc w:val="center"/>
              <w:rPr>
                <w:rFonts w:ascii="Constantia" w:hAnsi="Constantia" w:cs="Arial"/>
                <w:color w:val="000000"/>
                <w:szCs w:val="22"/>
              </w:rPr>
            </w:pPr>
            <w:r w:rsidRPr="009C4249">
              <w:rPr>
                <w:rFonts w:ascii="Constantia" w:hAnsi="Constantia" w:cs="Arial"/>
                <w:color w:val="000000"/>
                <w:szCs w:val="22"/>
              </w:rPr>
              <w:t>G</w:t>
            </w:r>
          </w:p>
        </w:tc>
      </w:tr>
      <w:tr w:rsidR="004B071C" w:rsidRPr="009C4249" w:rsidTr="009C4249">
        <w:tc>
          <w:tcPr>
            <w:tcW w:w="2358" w:type="dxa"/>
            <w:shd w:val="clear" w:color="auto" w:fill="E6EED5"/>
          </w:tcPr>
          <w:p w:rsidR="004B071C" w:rsidRPr="009C4249" w:rsidRDefault="004B071C" w:rsidP="009C4249">
            <w:pPr>
              <w:jc w:val="left"/>
              <w:rPr>
                <w:rFonts w:ascii="Constantia" w:hAnsi="Constantia" w:cs="Arial"/>
                <w:bCs/>
                <w:szCs w:val="22"/>
              </w:rPr>
            </w:pPr>
            <w:r w:rsidRPr="009C4249">
              <w:rPr>
                <w:rFonts w:ascii="Constantia" w:hAnsi="Constantia" w:cs="Arial"/>
                <w:bCs/>
                <w:szCs w:val="22"/>
              </w:rPr>
              <w:t>Tadarida teniotis</w:t>
            </w:r>
          </w:p>
        </w:tc>
        <w:tc>
          <w:tcPr>
            <w:tcW w:w="1170" w:type="dxa"/>
            <w:shd w:val="clear" w:color="auto" w:fill="E6EED5"/>
          </w:tcPr>
          <w:p w:rsidR="004B071C" w:rsidRPr="009C4249" w:rsidRDefault="004B071C" w:rsidP="004E680E">
            <w:pPr>
              <w:keepNext/>
              <w:keepLines/>
              <w:spacing w:before="60"/>
              <w:jc w:val="center"/>
              <w:outlineLvl w:val="3"/>
              <w:rPr>
                <w:rFonts w:ascii="Constantia" w:hAnsi="Constantia" w:cs="Arial"/>
                <w:bCs/>
                <w:iCs/>
                <w:color w:val="000000"/>
                <w:szCs w:val="22"/>
                <w:lang w:val="sr-Latn-CS"/>
              </w:rPr>
            </w:pPr>
            <w:r w:rsidRPr="009C4249">
              <w:rPr>
                <w:rFonts w:ascii="Constantia" w:hAnsi="Constantia" w:cs="Arial"/>
                <w:bCs/>
                <w:iCs/>
                <w:color w:val="000000"/>
                <w:szCs w:val="22"/>
                <w:lang w:val="sr-Latn-CS"/>
              </w:rPr>
              <w:t>C,W,R</w:t>
            </w:r>
          </w:p>
        </w:tc>
        <w:tc>
          <w:tcPr>
            <w:tcW w:w="1260" w:type="dxa"/>
            <w:shd w:val="clear" w:color="auto" w:fill="E6EED5"/>
          </w:tcPr>
          <w:p w:rsidR="004B071C" w:rsidRPr="009C4249" w:rsidRDefault="004B071C" w:rsidP="004E680E">
            <w:pPr>
              <w:spacing w:after="0"/>
              <w:jc w:val="center"/>
              <w:rPr>
                <w:rFonts w:ascii="Constantia" w:hAnsi="Constantia" w:cs="Arial"/>
                <w:color w:val="000000"/>
                <w:szCs w:val="22"/>
              </w:rPr>
            </w:pPr>
            <w:r w:rsidRPr="009C4249">
              <w:rPr>
                <w:rFonts w:ascii="Constantia" w:hAnsi="Constantia" w:cs="Arial"/>
                <w:color w:val="000000"/>
                <w:szCs w:val="22"/>
              </w:rPr>
              <w:t>2</w:t>
            </w:r>
          </w:p>
        </w:tc>
        <w:tc>
          <w:tcPr>
            <w:tcW w:w="1039" w:type="dxa"/>
            <w:shd w:val="clear" w:color="auto" w:fill="E6EED5"/>
          </w:tcPr>
          <w:p w:rsidR="004B071C" w:rsidRPr="009C4249" w:rsidRDefault="004B071C" w:rsidP="004E680E">
            <w:pPr>
              <w:spacing w:after="0"/>
              <w:jc w:val="center"/>
              <w:rPr>
                <w:rFonts w:ascii="Constantia" w:hAnsi="Constantia" w:cs="Arial"/>
                <w:color w:val="000000"/>
                <w:szCs w:val="22"/>
              </w:rPr>
            </w:pPr>
            <w:r w:rsidRPr="009C4249">
              <w:rPr>
                <w:rFonts w:ascii="Constantia" w:hAnsi="Constantia" w:cs="Arial"/>
                <w:color w:val="000000"/>
                <w:szCs w:val="22"/>
              </w:rPr>
              <w:t>2</w:t>
            </w:r>
          </w:p>
        </w:tc>
        <w:tc>
          <w:tcPr>
            <w:tcW w:w="1097" w:type="dxa"/>
            <w:shd w:val="clear" w:color="auto" w:fill="E6EED5"/>
          </w:tcPr>
          <w:p w:rsidR="004B071C" w:rsidRPr="009C4249" w:rsidRDefault="004B071C" w:rsidP="004E680E">
            <w:pPr>
              <w:jc w:val="center"/>
              <w:rPr>
                <w:rFonts w:ascii="Constantia" w:hAnsi="Constantia" w:cs="Arial"/>
                <w:color w:val="000000"/>
                <w:szCs w:val="22"/>
              </w:rPr>
            </w:pPr>
            <w:r w:rsidRPr="009C4249">
              <w:rPr>
                <w:rFonts w:ascii="Constantia" w:hAnsi="Constantia" w:cs="Arial"/>
                <w:color w:val="000000"/>
                <w:szCs w:val="22"/>
              </w:rPr>
              <w:t>I</w:t>
            </w:r>
          </w:p>
        </w:tc>
        <w:tc>
          <w:tcPr>
            <w:tcW w:w="1183" w:type="dxa"/>
            <w:shd w:val="clear" w:color="auto" w:fill="E6EED5"/>
          </w:tcPr>
          <w:p w:rsidR="004B071C" w:rsidRPr="009C4249" w:rsidRDefault="004B071C" w:rsidP="004E680E">
            <w:pPr>
              <w:keepNext/>
              <w:keepLines/>
              <w:spacing w:before="60"/>
              <w:jc w:val="center"/>
              <w:outlineLvl w:val="3"/>
              <w:rPr>
                <w:rFonts w:ascii="Constantia" w:hAnsi="Constantia" w:cs="Arial"/>
                <w:b/>
                <w:bCs/>
                <w:iCs/>
                <w:color w:val="FF0000"/>
                <w:szCs w:val="22"/>
                <w:lang w:val="sr-Latn-CS"/>
              </w:rPr>
            </w:pPr>
          </w:p>
        </w:tc>
        <w:tc>
          <w:tcPr>
            <w:tcW w:w="1182" w:type="dxa"/>
            <w:shd w:val="clear" w:color="auto" w:fill="E6EED5"/>
          </w:tcPr>
          <w:p w:rsidR="004B071C" w:rsidRPr="009C4249" w:rsidRDefault="004B071C" w:rsidP="004E680E">
            <w:pPr>
              <w:jc w:val="center"/>
              <w:rPr>
                <w:rFonts w:ascii="Constantia" w:hAnsi="Constantia" w:cs="Arial"/>
                <w:color w:val="000000"/>
                <w:szCs w:val="22"/>
              </w:rPr>
            </w:pPr>
            <w:r w:rsidRPr="009C4249">
              <w:rPr>
                <w:rFonts w:ascii="Constantia" w:hAnsi="Constantia" w:cs="Arial"/>
                <w:color w:val="000000"/>
                <w:szCs w:val="22"/>
              </w:rPr>
              <w:t>G</w:t>
            </w:r>
          </w:p>
        </w:tc>
      </w:tr>
    </w:tbl>
    <w:p w:rsidR="004B071C" w:rsidRPr="009C4249" w:rsidRDefault="009C4249" w:rsidP="004B071C">
      <w:pPr>
        <w:pStyle w:val="Tabele"/>
        <w:spacing w:before="60" w:after="240"/>
        <w:ind w:left="714" w:hanging="357"/>
        <w:rPr>
          <w:rFonts w:ascii="Constantia" w:hAnsi="Constantia"/>
          <w:sz w:val="22"/>
          <w:szCs w:val="22"/>
        </w:rPr>
      </w:pPr>
      <w:r>
        <w:t xml:space="preserve"> </w:t>
      </w:r>
      <w:r w:rsidR="004B071C" w:rsidRPr="009C4249">
        <w:rPr>
          <w:rFonts w:ascii="Constantia" w:hAnsi="Constantia"/>
          <w:sz w:val="22"/>
          <w:szCs w:val="22"/>
        </w:rPr>
        <w:t>Procjena populacija sisara</w:t>
      </w:r>
    </w:p>
    <w:p w:rsidR="004B071C" w:rsidRPr="002E3A97" w:rsidRDefault="004B071C" w:rsidP="004B071C">
      <w:pPr>
        <w:spacing w:before="60" w:after="240"/>
        <w:rPr>
          <w:i/>
          <w:szCs w:val="22"/>
          <w:lang w:val="sr-Latn-CS"/>
        </w:rPr>
      </w:pPr>
    </w:p>
    <w:p w:rsidR="004B071C" w:rsidRPr="002E3A97" w:rsidRDefault="004B071C" w:rsidP="001933CE">
      <w:pPr>
        <w:pStyle w:val="Heading2"/>
        <w:ind w:left="720"/>
        <w:rPr>
          <w:lang w:val="sr-Latn-CS"/>
        </w:rPr>
      </w:pPr>
      <w:bookmarkStart w:id="148" w:name="_Toc393897928"/>
      <w:r w:rsidRPr="002E3A97">
        <w:rPr>
          <w:lang w:val="sr-Latn-CS"/>
        </w:rPr>
        <w:t>Ocjena stanja i indentifikovani pritisci</w:t>
      </w:r>
      <w:bookmarkEnd w:id="148"/>
    </w:p>
    <w:p w:rsidR="004B071C" w:rsidRPr="006327E6" w:rsidRDefault="006327E6" w:rsidP="004B071C">
      <w:pPr>
        <w:pStyle w:val="Heading3"/>
        <w:jc w:val="both"/>
        <w:rPr>
          <w:szCs w:val="24"/>
        </w:rPr>
      </w:pPr>
      <w:bookmarkStart w:id="149" w:name="_Toc393897929"/>
      <w:r w:rsidRPr="006327E6">
        <w:rPr>
          <w:szCs w:val="24"/>
        </w:rPr>
        <w:t xml:space="preserve">6.4.1 </w:t>
      </w:r>
      <w:r w:rsidR="004B071C" w:rsidRPr="006327E6">
        <w:rPr>
          <w:szCs w:val="24"/>
        </w:rPr>
        <w:t>Kanjon rijeke Morače (</w:t>
      </w:r>
      <w:r w:rsidRPr="006327E6">
        <w:rPr>
          <w:szCs w:val="24"/>
        </w:rPr>
        <w:t>Z</w:t>
      </w:r>
      <w:r w:rsidR="004B071C" w:rsidRPr="006327E6">
        <w:rPr>
          <w:szCs w:val="24"/>
        </w:rPr>
        <w:t xml:space="preserve">latica, </w:t>
      </w:r>
      <w:r w:rsidRPr="006327E6">
        <w:rPr>
          <w:szCs w:val="24"/>
        </w:rPr>
        <w:t>Raslovići, M</w:t>
      </w:r>
      <w:r w:rsidR="004B071C" w:rsidRPr="006327E6">
        <w:rPr>
          <w:szCs w:val="24"/>
        </w:rPr>
        <w:t xml:space="preserve">ilunovići, </w:t>
      </w:r>
      <w:r w:rsidRPr="006327E6">
        <w:rPr>
          <w:szCs w:val="24"/>
        </w:rPr>
        <w:t>Andrijevo, Đ</w:t>
      </w:r>
      <w:r w:rsidR="004B071C" w:rsidRPr="006327E6">
        <w:rPr>
          <w:szCs w:val="24"/>
        </w:rPr>
        <w:t>urđevina)</w:t>
      </w:r>
      <w:bookmarkEnd w:id="149"/>
    </w:p>
    <w:p w:rsidR="004B071C" w:rsidRDefault="004B071C" w:rsidP="004B071C">
      <w:pPr>
        <w:spacing w:after="60" w:line="300" w:lineRule="exact"/>
        <w:rPr>
          <w:rFonts w:cs="Arial"/>
          <w:bCs/>
          <w:iCs/>
          <w:color w:val="943634"/>
          <w:spacing w:val="10"/>
          <w:szCs w:val="22"/>
          <w:lang w:val="sr-Latn-CS"/>
        </w:rPr>
      </w:pPr>
    </w:p>
    <w:p w:rsidR="004B071C" w:rsidRPr="00CE4BD6" w:rsidRDefault="004B071C" w:rsidP="0031281B">
      <w:pPr>
        <w:spacing w:after="0"/>
        <w:rPr>
          <w:rFonts w:ascii="Constantia" w:eastAsia="MS Mincho" w:hAnsi="Constantia"/>
          <w:b/>
          <w:color w:val="000000"/>
          <w:szCs w:val="22"/>
          <w:lang w:val="sr-Latn-CS" w:eastAsia="ja-JP"/>
        </w:rPr>
      </w:pPr>
      <w:r w:rsidRPr="00CE4BD6">
        <w:rPr>
          <w:rFonts w:ascii="Constantia" w:eastAsia="MS Mincho" w:hAnsi="Constantia"/>
          <w:b/>
          <w:color w:val="000000"/>
          <w:szCs w:val="22"/>
          <w:lang w:val="sr-Latn-CS" w:eastAsia="ja-JP"/>
        </w:rPr>
        <w:t>Lokalitet Đurđevina</w:t>
      </w:r>
    </w:p>
    <w:p w:rsidR="004B071C" w:rsidRPr="00CE4BD6" w:rsidRDefault="004B071C" w:rsidP="0031281B">
      <w:pPr>
        <w:rPr>
          <w:rFonts w:ascii="Constantia" w:eastAsia="MS Mincho" w:hAnsi="Constantia"/>
          <w:color w:val="000000"/>
          <w:szCs w:val="22"/>
          <w:lang w:val="sr-Latn-CS" w:eastAsia="ja-JP"/>
        </w:rPr>
      </w:pPr>
      <w:r w:rsidRPr="00CE4BD6">
        <w:rPr>
          <w:rFonts w:ascii="Constantia" w:eastAsia="MS Mincho" w:hAnsi="Constantia"/>
          <w:color w:val="000000"/>
          <w:szCs w:val="22"/>
          <w:lang w:val="sr-Latn-CS" w:eastAsia="ja-JP"/>
        </w:rPr>
        <w:t>Na ovom lokalitetu su uočena opožarena mjesta manjeg obima, kao i sječa veće grupe stabala (naročito lijeske za pritke), što ima negativan uticaj na biodiverzitet ovog područja. Takođe, registrovane su i manje deponije otpada (uglavnom otpad iz obližnjih restorana).</w:t>
      </w:r>
    </w:p>
    <w:p w:rsidR="004B071C" w:rsidRPr="00CE4BD6" w:rsidRDefault="004B071C" w:rsidP="00461FA7">
      <w:pPr>
        <w:spacing w:after="0"/>
        <w:rPr>
          <w:rFonts w:ascii="Constantia" w:eastAsia="MS Mincho" w:hAnsi="Constantia"/>
          <w:color w:val="000000"/>
          <w:szCs w:val="22"/>
          <w:lang w:val="sr-Latn-CS" w:eastAsia="ja-JP"/>
        </w:rPr>
      </w:pPr>
    </w:p>
    <w:p w:rsidR="004B071C" w:rsidRPr="00CE4BD6" w:rsidRDefault="004B071C" w:rsidP="0031281B">
      <w:pPr>
        <w:spacing w:after="0"/>
        <w:rPr>
          <w:rFonts w:ascii="Constantia" w:eastAsia="MS Mincho" w:hAnsi="Constantia"/>
          <w:b/>
          <w:color w:val="000000"/>
          <w:szCs w:val="22"/>
          <w:lang w:val="sr-Latn-CS" w:eastAsia="ja-JP"/>
        </w:rPr>
      </w:pPr>
      <w:r w:rsidRPr="00CE4BD6">
        <w:rPr>
          <w:rFonts w:ascii="Constantia" w:eastAsia="MS Mincho" w:hAnsi="Constantia"/>
          <w:b/>
          <w:color w:val="000000"/>
          <w:szCs w:val="22"/>
          <w:lang w:val="sr-Latn-CS" w:eastAsia="ja-JP"/>
        </w:rPr>
        <w:t>Lokalitet Andrijevo</w:t>
      </w:r>
    </w:p>
    <w:p w:rsidR="004B071C" w:rsidRPr="006327E6" w:rsidRDefault="00C84A87" w:rsidP="0031281B">
      <w:pPr>
        <w:rPr>
          <w:rFonts w:ascii="Constantia" w:eastAsia="MS Mincho" w:hAnsi="Constantia"/>
          <w:color w:val="000000"/>
          <w:szCs w:val="22"/>
          <w:lang w:val="sr-Latn-CS" w:eastAsia="ja-JP"/>
        </w:rPr>
      </w:pPr>
      <w:r>
        <w:rPr>
          <w:rFonts w:ascii="Constantia" w:eastAsia="MS Mincho" w:hAnsi="Constantia"/>
          <w:color w:val="000000"/>
          <w:szCs w:val="22"/>
          <w:lang w:val="sr-Latn-CS" w:eastAsia="ja-JP"/>
        </w:rPr>
        <w:t>Na lokalitetu Andrijevo nalaze se žbunovi tise koja je vrlo rijetka i zakonom zaštićena vrsta, te je potrebno preduzeti sve potrebne mjere za njihovo dalje očuvanje.</w:t>
      </w:r>
    </w:p>
    <w:p w:rsidR="004B071C" w:rsidRDefault="004B071C" w:rsidP="00461FA7">
      <w:pPr>
        <w:pStyle w:val="NoSpacing"/>
        <w:rPr>
          <w:rFonts w:ascii="Myriad Pro" w:hAnsi="Myriad Pro"/>
          <w:noProof/>
          <w:bdr w:val="single" w:sz="8" w:space="0" w:color="808080" w:frame="1"/>
        </w:rPr>
      </w:pPr>
    </w:p>
    <w:p w:rsidR="004B071C" w:rsidRPr="006327E6" w:rsidRDefault="004B071C" w:rsidP="0031281B">
      <w:pPr>
        <w:spacing w:after="0"/>
        <w:rPr>
          <w:rFonts w:ascii="Constantia" w:eastAsia="MS Mincho" w:hAnsi="Constantia"/>
          <w:b/>
          <w:color w:val="000000"/>
          <w:szCs w:val="22"/>
          <w:lang w:val="sr-Latn-CS" w:eastAsia="ja-JP"/>
        </w:rPr>
      </w:pPr>
      <w:r w:rsidRPr="006327E6">
        <w:rPr>
          <w:rFonts w:ascii="Constantia" w:eastAsia="MS Mincho" w:hAnsi="Constantia"/>
          <w:b/>
          <w:color w:val="000000"/>
          <w:szCs w:val="22"/>
          <w:lang w:val="sr-Latn-CS" w:eastAsia="ja-JP"/>
        </w:rPr>
        <w:t>Lokalitet Milunovići</w:t>
      </w:r>
    </w:p>
    <w:p w:rsidR="0031281B" w:rsidRDefault="004B071C" w:rsidP="0031281B">
      <w:pPr>
        <w:rPr>
          <w:rFonts w:ascii="Constantia" w:eastAsia="MS Mincho" w:hAnsi="Constantia"/>
          <w:color w:val="000000"/>
          <w:szCs w:val="22"/>
          <w:lang w:val="sr-Latn-CS" w:eastAsia="ja-JP"/>
        </w:rPr>
      </w:pPr>
      <w:r w:rsidRPr="006327E6">
        <w:rPr>
          <w:rFonts w:ascii="Constantia" w:eastAsia="MS Mincho" w:hAnsi="Constantia"/>
          <w:color w:val="000000"/>
          <w:szCs w:val="22"/>
          <w:lang w:val="sr-Latn-CS" w:eastAsia="ja-JP"/>
        </w:rPr>
        <w:lastRenderedPageBreak/>
        <w:t>Na lokalitetu Milunovići registrovana je eksploatacija šljunka koja, posredno, ima negativan uticaj na okolnu dendrofloru i šumsku vegetaciju</w:t>
      </w:r>
      <w:r w:rsidR="006327E6">
        <w:rPr>
          <w:rFonts w:ascii="Constantia" w:eastAsia="MS Mincho" w:hAnsi="Constantia"/>
          <w:color w:val="000000"/>
          <w:szCs w:val="22"/>
          <w:lang w:val="sr-Latn-CS" w:eastAsia="ja-JP"/>
        </w:rPr>
        <w:t>,</w:t>
      </w:r>
      <w:r w:rsidRPr="006327E6">
        <w:rPr>
          <w:rFonts w:ascii="Constantia" w:eastAsia="MS Mincho" w:hAnsi="Constantia"/>
          <w:color w:val="000000"/>
          <w:szCs w:val="22"/>
          <w:lang w:val="sr-Latn-CS" w:eastAsia="ja-JP"/>
        </w:rPr>
        <w:t xml:space="preserve"> kao i ostala staništa u cjelini. Fragmentacija staništa uzrokovana šumskim požarima i sječom stabala posebno utiče na populacije gljiva</w:t>
      </w:r>
      <w:r w:rsidR="006327E6">
        <w:rPr>
          <w:rFonts w:ascii="Constantia" w:eastAsia="MS Mincho" w:hAnsi="Constantia"/>
          <w:color w:val="000000"/>
          <w:szCs w:val="22"/>
          <w:lang w:val="sr-Latn-CS" w:eastAsia="ja-JP"/>
        </w:rPr>
        <w:t>, a</w:t>
      </w:r>
      <w:r w:rsidRPr="006327E6">
        <w:rPr>
          <w:rFonts w:ascii="Constantia" w:hAnsi="Constantia"/>
          <w:szCs w:val="22"/>
        </w:rPr>
        <w:t xml:space="preserve"> registrovane su i  manje deponije otpada.</w:t>
      </w:r>
      <w:r w:rsidRPr="006327E6">
        <w:rPr>
          <w:rFonts w:ascii="Constantia" w:eastAsia="MS Mincho" w:hAnsi="Constantia"/>
          <w:color w:val="000000"/>
          <w:szCs w:val="22"/>
          <w:lang w:val="sr-Latn-CS" w:eastAsia="ja-JP"/>
        </w:rPr>
        <w:t xml:space="preserve"> Takođe</w:t>
      </w:r>
      <w:r w:rsidR="006327E6">
        <w:rPr>
          <w:rFonts w:ascii="Constantia" w:eastAsia="MS Mincho" w:hAnsi="Constantia"/>
          <w:color w:val="000000"/>
          <w:szCs w:val="22"/>
          <w:lang w:val="sr-Latn-CS" w:eastAsia="ja-JP"/>
        </w:rPr>
        <w:t>,</w:t>
      </w:r>
      <w:r w:rsidRPr="006327E6">
        <w:rPr>
          <w:rFonts w:ascii="Constantia" w:eastAsia="MS Mincho" w:hAnsi="Constantia"/>
          <w:color w:val="000000"/>
          <w:szCs w:val="22"/>
          <w:lang w:val="sr-Latn-CS" w:eastAsia="ja-JP"/>
        </w:rPr>
        <w:t xml:space="preserve"> na području Jagodine njive primijećeno je širenje puta – probijanje novih puteva i sječa šume.</w:t>
      </w:r>
    </w:p>
    <w:p w:rsidR="0031281B" w:rsidRDefault="004B071C" w:rsidP="0031281B">
      <w:pPr>
        <w:rPr>
          <w:rFonts w:ascii="Constantia" w:eastAsia="Calibri" w:hAnsi="Constantia"/>
          <w:szCs w:val="22"/>
          <w:lang w:val="sr-Latn-CS"/>
        </w:rPr>
      </w:pPr>
      <w:r w:rsidRPr="006327E6">
        <w:rPr>
          <w:rFonts w:ascii="Constantia" w:eastAsia="MS Mincho" w:hAnsi="Constantia"/>
          <w:color w:val="000000"/>
          <w:szCs w:val="22"/>
          <w:lang w:val="sr-Latn-CS" w:eastAsia="ja-JP"/>
        </w:rPr>
        <w:t xml:space="preserve">Kada je riječ o </w:t>
      </w:r>
      <w:r w:rsidRPr="006327E6">
        <w:rPr>
          <w:rFonts w:ascii="Constantia" w:eastAsia="Calibri" w:hAnsi="Constantia"/>
          <w:szCs w:val="22"/>
          <w:lang w:val="sr-Latn-CS"/>
        </w:rPr>
        <w:t xml:space="preserve">promjena diverziteta </w:t>
      </w:r>
      <w:r w:rsidRPr="006327E6">
        <w:rPr>
          <w:rFonts w:ascii="Constantia" w:eastAsia="Calibri" w:hAnsi="Constantia"/>
          <w:i/>
          <w:szCs w:val="22"/>
          <w:lang w:val="sr-Latn-CS"/>
        </w:rPr>
        <w:t>Gastropoda</w:t>
      </w:r>
      <w:r w:rsidRPr="006327E6">
        <w:rPr>
          <w:rFonts w:ascii="Constantia" w:eastAsia="Calibri" w:hAnsi="Constantia"/>
          <w:szCs w:val="22"/>
          <w:lang w:val="sr-Latn-CS"/>
        </w:rPr>
        <w:t xml:space="preserve"> (puževa) značajan uticaj imaju aktivnosti uklanjanja panjeva, izvaljenog drveća i granja zbog smanjenja uslova</w:t>
      </w:r>
      <w:r w:rsidR="006327E6">
        <w:rPr>
          <w:rFonts w:ascii="Constantia" w:eastAsia="Calibri" w:hAnsi="Constantia"/>
          <w:szCs w:val="22"/>
          <w:lang w:val="sr-Latn-CS"/>
        </w:rPr>
        <w:t xml:space="preserve"> za ishranu i zaklon puževa. I</w:t>
      </w:r>
      <w:r w:rsidRPr="006327E6">
        <w:rPr>
          <w:rFonts w:ascii="Constantia" w:eastAsia="Calibri" w:hAnsi="Constantia"/>
          <w:szCs w:val="22"/>
          <w:lang w:val="sr-Latn-CS"/>
        </w:rPr>
        <w:t>sta praksa na nagnutim terenima pojačano utiče na spiranje stelje, odnosno eroziju pedološke podloge, čija je očuvanost osnovni preduslov opstanka velikog broja vrsta puževa, naročito puževa</w:t>
      </w:r>
      <w:r w:rsidR="006327E6">
        <w:rPr>
          <w:rFonts w:ascii="Constantia" w:eastAsia="Calibri" w:hAnsi="Constantia"/>
          <w:szCs w:val="22"/>
          <w:lang w:val="sr-Latn-CS"/>
        </w:rPr>
        <w:t xml:space="preserve"> golaća. I</w:t>
      </w:r>
      <w:r w:rsidRPr="006327E6">
        <w:rPr>
          <w:rFonts w:ascii="Constantia" w:eastAsia="Calibri" w:hAnsi="Constantia"/>
          <w:szCs w:val="22"/>
          <w:lang w:val="sr-Latn-CS"/>
        </w:rPr>
        <w:t>zgradnja šumskih, privrednih i turističkih saobraćajnica na sličan način podstiče eroziju i degradciju stelje</w:t>
      </w:r>
      <w:r w:rsidR="006327E6">
        <w:rPr>
          <w:rFonts w:ascii="Constantia" w:eastAsia="Calibri" w:hAnsi="Constantia"/>
          <w:szCs w:val="22"/>
          <w:lang w:val="sr-Latn-CS"/>
        </w:rPr>
        <w:t>. K</w:t>
      </w:r>
      <w:r w:rsidRPr="006327E6">
        <w:rPr>
          <w:rFonts w:ascii="Constantia" w:eastAsia="Calibri" w:hAnsi="Constantia"/>
          <w:szCs w:val="22"/>
          <w:lang w:val="sr-Latn-CS"/>
        </w:rPr>
        <w:t>aptiranja šumskih izvora</w:t>
      </w:r>
      <w:r w:rsidR="006327E6">
        <w:rPr>
          <w:rFonts w:ascii="Constantia" w:eastAsia="Calibri" w:hAnsi="Constantia"/>
          <w:szCs w:val="22"/>
          <w:lang w:val="sr-Latn-CS"/>
        </w:rPr>
        <w:t xml:space="preserve"> u višim zonama planina i odvođ</w:t>
      </w:r>
      <w:r w:rsidRPr="006327E6">
        <w:rPr>
          <w:rFonts w:ascii="Constantia" w:eastAsia="Calibri" w:hAnsi="Constantia"/>
          <w:szCs w:val="22"/>
          <w:lang w:val="sr-Latn-CS"/>
        </w:rPr>
        <w:t>enja vode do naselja u podnožju, dovodi do opšteg smanjenja vlage u šumi, skraćuje period aktivnosti puževai snižava</w:t>
      </w:r>
      <w:r w:rsidR="006327E6">
        <w:rPr>
          <w:rFonts w:ascii="Constantia" w:eastAsia="Calibri" w:hAnsi="Constantia"/>
          <w:szCs w:val="22"/>
          <w:lang w:val="sr-Latn-CS"/>
        </w:rPr>
        <w:t xml:space="preserve"> </w:t>
      </w:r>
      <w:r w:rsidRPr="006327E6">
        <w:rPr>
          <w:rFonts w:ascii="Constantia" w:eastAsia="Calibri" w:hAnsi="Constantia"/>
          <w:szCs w:val="22"/>
          <w:lang w:val="sr-Latn-CS"/>
        </w:rPr>
        <w:t>njihov</w:t>
      </w:r>
      <w:r w:rsidR="006327E6">
        <w:rPr>
          <w:rFonts w:ascii="Constantia" w:eastAsia="Calibri" w:hAnsi="Constantia"/>
          <w:szCs w:val="22"/>
          <w:lang w:val="sr-Latn-CS"/>
        </w:rPr>
        <w:t xml:space="preserve"> </w:t>
      </w:r>
      <w:r w:rsidRPr="006327E6">
        <w:rPr>
          <w:rFonts w:ascii="Constantia" w:eastAsia="Calibri" w:hAnsi="Constantia"/>
          <w:szCs w:val="22"/>
          <w:lang w:val="sr-Latn-CS"/>
        </w:rPr>
        <w:t>reproduktivni napredak.</w:t>
      </w:r>
      <w:r w:rsidR="0031281B">
        <w:rPr>
          <w:rFonts w:ascii="Constantia" w:eastAsia="Calibri" w:hAnsi="Constantia"/>
          <w:szCs w:val="22"/>
          <w:lang w:val="sr-Latn-CS"/>
        </w:rPr>
        <w:t xml:space="preserve"> </w:t>
      </w:r>
    </w:p>
    <w:p w:rsidR="004B071C" w:rsidRPr="006327E6" w:rsidRDefault="004B071C" w:rsidP="0031281B">
      <w:pPr>
        <w:rPr>
          <w:rFonts w:ascii="Constantia" w:eastAsia="Calibri" w:hAnsi="Constantia"/>
          <w:szCs w:val="22"/>
          <w:lang w:val="sr-Latn-CS"/>
        </w:rPr>
      </w:pPr>
      <w:r w:rsidRPr="006327E6">
        <w:rPr>
          <w:rFonts w:ascii="Constantia" w:eastAsia="Calibri" w:hAnsi="Constantia"/>
          <w:szCs w:val="22"/>
          <w:lang w:val="sr-Latn-CS"/>
        </w:rPr>
        <w:t>Kad je u pitanju ihtiofauna pritisak na populacije postoji od pojava erozije, eutrofizacija/zagađenja, eksploatacije pjeska i šljunka i ribolova.</w:t>
      </w:r>
    </w:p>
    <w:p w:rsidR="004B071C" w:rsidRDefault="004B071C" w:rsidP="0031281B">
      <w:pPr>
        <w:pStyle w:val="NoSpacing"/>
        <w:spacing w:after="120"/>
        <w:jc w:val="both"/>
        <w:rPr>
          <w:rFonts w:ascii="Constantia" w:eastAsia="Calibri" w:hAnsi="Constantia"/>
          <w:lang w:val="sr-Latn-CS"/>
        </w:rPr>
      </w:pPr>
      <w:r w:rsidRPr="006327E6">
        <w:rPr>
          <w:rFonts w:ascii="Constantia" w:eastAsia="Calibri" w:hAnsi="Constantia"/>
          <w:lang w:val="sr-Latn-CS"/>
        </w:rPr>
        <w:t xml:space="preserve">Na populacije gmizavaca i </w:t>
      </w:r>
      <w:r w:rsidR="002A08CC">
        <w:rPr>
          <w:rFonts w:ascii="Constantia" w:eastAsia="Calibri" w:hAnsi="Constantia"/>
          <w:lang w:val="sr-Latn-CS"/>
        </w:rPr>
        <w:t>vodozemaca značajan uticaj ima</w:t>
      </w:r>
      <w:r w:rsidRPr="006327E6">
        <w:rPr>
          <w:rFonts w:ascii="Constantia" w:eastAsia="Calibri" w:hAnsi="Constantia"/>
          <w:lang w:val="sr-Latn-CS"/>
        </w:rPr>
        <w:t xml:space="preserve"> zagađenje vode, urbanizacija i razvoj saobraćajnica</w:t>
      </w:r>
      <w:r w:rsidR="0031281B">
        <w:rPr>
          <w:rFonts w:ascii="Constantia" w:eastAsia="Calibri" w:hAnsi="Constantia"/>
          <w:lang w:val="sr-Latn-CS"/>
        </w:rPr>
        <w:t>,</w:t>
      </w:r>
      <w:r w:rsidRPr="006327E6">
        <w:rPr>
          <w:rFonts w:ascii="Constantia" w:eastAsia="Calibri" w:hAnsi="Constantia"/>
          <w:lang w:val="sr-Latn-CS"/>
        </w:rPr>
        <w:t xml:space="preserve"> kao</w:t>
      </w:r>
      <w:r w:rsidR="002A08CC">
        <w:rPr>
          <w:rFonts w:ascii="Constantia" w:eastAsia="Calibri" w:hAnsi="Constantia"/>
          <w:lang w:val="sr-Latn-CS"/>
        </w:rPr>
        <w:t xml:space="preserve"> i nekontrolisano izlovljavanje, d</w:t>
      </w:r>
      <w:r w:rsidRPr="006327E6">
        <w:rPr>
          <w:rFonts w:ascii="Constantia" w:eastAsia="Calibri" w:hAnsi="Constantia"/>
          <w:lang w:val="sr-Latn-CS"/>
        </w:rPr>
        <w:t>ok uticaj nešto manjeg obima postoji i od krčenja šuma i žbunastog rastinja</w:t>
      </w:r>
      <w:r w:rsidR="0031281B">
        <w:rPr>
          <w:rFonts w:ascii="Constantia" w:eastAsia="Calibri" w:hAnsi="Constantia"/>
          <w:lang w:val="sr-Latn-CS"/>
        </w:rPr>
        <w:t>,</w:t>
      </w:r>
      <w:r w:rsidRPr="006327E6">
        <w:rPr>
          <w:rFonts w:ascii="Constantia" w:eastAsia="Calibri" w:hAnsi="Constantia"/>
          <w:lang w:val="sr-Latn-CS"/>
        </w:rPr>
        <w:t xml:space="preserve"> kao i uznemiravanja usled turističke sezone.</w:t>
      </w:r>
    </w:p>
    <w:p w:rsidR="006A5FC3" w:rsidRPr="006327E6" w:rsidRDefault="006A5FC3" w:rsidP="00461FA7">
      <w:pPr>
        <w:pStyle w:val="NoSpacing"/>
        <w:spacing w:after="240"/>
        <w:jc w:val="both"/>
        <w:rPr>
          <w:rFonts w:ascii="Constantia" w:hAnsi="Constantia"/>
          <w:noProof/>
          <w:bdr w:val="single" w:sz="8" w:space="0" w:color="808080" w:frame="1"/>
        </w:rPr>
      </w:pPr>
    </w:p>
    <w:p w:rsidR="004B071C" w:rsidRPr="006A5FC3" w:rsidRDefault="006A5FC3" w:rsidP="004B071C">
      <w:pPr>
        <w:pStyle w:val="Heading3"/>
        <w:rPr>
          <w:szCs w:val="24"/>
        </w:rPr>
      </w:pPr>
      <w:bookmarkStart w:id="150" w:name="_Toc393897930"/>
      <w:r w:rsidRPr="006A5FC3">
        <w:rPr>
          <w:szCs w:val="24"/>
        </w:rPr>
        <w:t xml:space="preserve">6.4.2   </w:t>
      </w:r>
      <w:r w:rsidR="004B071C" w:rsidRPr="006A5FC3">
        <w:rPr>
          <w:szCs w:val="24"/>
        </w:rPr>
        <w:t>Kanjon rijeke Komarnice</w:t>
      </w:r>
      <w:bookmarkEnd w:id="150"/>
    </w:p>
    <w:p w:rsidR="004B071C" w:rsidRPr="006A5FC3" w:rsidRDefault="004B071C" w:rsidP="00061B55">
      <w:pPr>
        <w:spacing w:before="240"/>
        <w:rPr>
          <w:rFonts w:ascii="Constantia" w:eastAsia="MS Mincho" w:hAnsi="Constantia"/>
          <w:color w:val="000000"/>
          <w:szCs w:val="22"/>
          <w:lang w:val="sr-Latn-CS" w:eastAsia="ja-JP"/>
        </w:rPr>
      </w:pPr>
      <w:r w:rsidRPr="006A5FC3">
        <w:rPr>
          <w:rFonts w:ascii="Constantia" w:eastAsia="MS Mincho" w:hAnsi="Constantia"/>
          <w:color w:val="000000"/>
          <w:szCs w:val="22"/>
          <w:lang w:val="sr-Latn-CS" w:eastAsia="ja-JP"/>
        </w:rPr>
        <w:t>Zahvaljujući, prvenstveno, teško pristupačnom terenu, ukupan biodiverzitet ovog lokaliteta je dobro očuvan. Za sada nema nikakvih negativnih antropogenih uticaja.</w:t>
      </w:r>
      <w:r w:rsidR="006A5FC3">
        <w:rPr>
          <w:rFonts w:ascii="Constantia" w:eastAsia="MS Mincho" w:hAnsi="Constantia"/>
          <w:color w:val="000000"/>
          <w:szCs w:val="22"/>
          <w:lang w:val="sr-Latn-CS" w:eastAsia="ja-JP"/>
        </w:rPr>
        <w:t xml:space="preserve"> </w:t>
      </w:r>
      <w:r w:rsidRPr="006A5FC3">
        <w:rPr>
          <w:rFonts w:ascii="Constantia" w:eastAsia="MS Mincho" w:hAnsi="Constantia"/>
          <w:color w:val="000000"/>
          <w:szCs w:val="22"/>
          <w:lang w:val="sr-Latn-CS" w:eastAsia="ja-JP"/>
        </w:rPr>
        <w:t>Izgradnja brane i hidroelektrane bi imala negativni uticaj.</w:t>
      </w:r>
    </w:p>
    <w:p w:rsidR="004B071C" w:rsidRDefault="004B071C" w:rsidP="004B071C">
      <w:pPr>
        <w:pStyle w:val="NoSpacing"/>
        <w:rPr>
          <w:rFonts w:ascii="Myriad Pro" w:hAnsi="Myriad Pro" w:cs="Arial"/>
          <w:noProof/>
          <w:spacing w:val="10"/>
          <w:lang w:val="pl-PL"/>
        </w:rPr>
      </w:pPr>
    </w:p>
    <w:p w:rsidR="004B071C" w:rsidRPr="00061B55" w:rsidRDefault="00061B55" w:rsidP="004B071C">
      <w:pPr>
        <w:pStyle w:val="Heading3"/>
        <w:rPr>
          <w:szCs w:val="24"/>
        </w:rPr>
      </w:pPr>
      <w:bookmarkStart w:id="151" w:name="_Toc393897931"/>
      <w:r w:rsidRPr="00061B55">
        <w:rPr>
          <w:szCs w:val="24"/>
        </w:rPr>
        <w:t xml:space="preserve">6.4.3   </w:t>
      </w:r>
      <w:r w:rsidR="004B071C" w:rsidRPr="00061B55">
        <w:rPr>
          <w:szCs w:val="24"/>
        </w:rPr>
        <w:t>Kanjon rijeke Mrtvice</w:t>
      </w:r>
      <w:bookmarkEnd w:id="151"/>
    </w:p>
    <w:p w:rsidR="00061B55" w:rsidRDefault="004B071C" w:rsidP="00061B55">
      <w:pPr>
        <w:spacing w:before="240" w:after="240"/>
        <w:rPr>
          <w:rFonts w:ascii="Constantia" w:eastAsia="MS Mincho" w:hAnsi="Constantia"/>
          <w:color w:val="000000"/>
          <w:szCs w:val="22"/>
          <w:lang w:val="sr-Latn-CS" w:eastAsia="ja-JP"/>
        </w:rPr>
      </w:pPr>
      <w:r w:rsidRPr="00061B55">
        <w:rPr>
          <w:rFonts w:ascii="Constantia" w:eastAsia="MS Mincho" w:hAnsi="Constantia"/>
          <w:color w:val="000000"/>
          <w:szCs w:val="22"/>
          <w:lang w:val="sr-Latn-CS" w:eastAsia="ja-JP"/>
        </w:rPr>
        <w:t>Srednji i dio gornjeg toka su u dobrom stanju. Na ušću Mrtvice (od drvenog mosta) u Moraču u kanjonu su evidentna izgrađena područja.</w:t>
      </w:r>
    </w:p>
    <w:p w:rsidR="00061B55" w:rsidRDefault="004B071C" w:rsidP="00061B55">
      <w:pPr>
        <w:spacing w:after="240"/>
        <w:rPr>
          <w:rFonts w:ascii="Constantia" w:eastAsia="MS Mincho" w:hAnsi="Constantia"/>
          <w:color w:val="000000"/>
          <w:szCs w:val="22"/>
          <w:lang w:val="sr-Latn-CS" w:eastAsia="ja-JP"/>
        </w:rPr>
      </w:pPr>
      <w:r w:rsidRPr="00061B55">
        <w:rPr>
          <w:rFonts w:ascii="Constantia" w:eastAsia="MS Mincho" w:hAnsi="Constantia"/>
          <w:color w:val="000000"/>
          <w:szCs w:val="22"/>
          <w:lang w:val="sr-Latn-CS" w:eastAsia="ja-JP"/>
        </w:rPr>
        <w:t>Fragmentacija ili gubitak staništa uzrokovan ljudskom djelatnošću kroz sječu šuma, intenzivnu urbanizaciju, agrarizaciju, šumske požare ima uticaja na gljive u ovom području (</w:t>
      </w:r>
      <w:r w:rsidRPr="00F17833">
        <w:rPr>
          <w:rFonts w:ascii="Constantia" w:eastAsia="MS Mincho" w:hAnsi="Constantia"/>
          <w:i/>
          <w:color w:val="000000"/>
          <w:szCs w:val="22"/>
          <w:lang w:val="sr-Latn-CS" w:eastAsia="ja-JP"/>
        </w:rPr>
        <w:t>Amanita caesarea,</w:t>
      </w:r>
      <w:r w:rsidRPr="00F17833">
        <w:rPr>
          <w:rFonts w:ascii="Constantia" w:hAnsi="Constantia"/>
          <w:i/>
          <w:szCs w:val="22"/>
        </w:rPr>
        <w:t xml:space="preserve"> </w:t>
      </w:r>
      <w:r w:rsidRPr="00F17833">
        <w:rPr>
          <w:rFonts w:ascii="Constantia" w:eastAsia="MS Mincho" w:hAnsi="Constantia"/>
          <w:i/>
          <w:color w:val="000000"/>
          <w:szCs w:val="22"/>
          <w:lang w:val="sr-Latn-CS" w:eastAsia="ja-JP"/>
        </w:rPr>
        <w:t>Chroogomphus helveticus</w:t>
      </w:r>
      <w:r w:rsidRPr="00061B55">
        <w:rPr>
          <w:rFonts w:ascii="Constantia" w:eastAsia="MS Mincho" w:hAnsi="Constantia"/>
          <w:color w:val="000000"/>
          <w:szCs w:val="22"/>
          <w:lang w:val="sr-Latn-CS" w:eastAsia="ja-JP"/>
        </w:rPr>
        <w:t>). Vrsta</w:t>
      </w:r>
      <w:r w:rsidRPr="00061B55">
        <w:rPr>
          <w:rFonts w:ascii="Constantia" w:hAnsi="Constantia"/>
          <w:szCs w:val="22"/>
        </w:rPr>
        <w:t xml:space="preserve"> </w:t>
      </w:r>
      <w:r w:rsidRPr="00F17833">
        <w:rPr>
          <w:rFonts w:ascii="Constantia" w:eastAsia="MS Mincho" w:hAnsi="Constantia"/>
          <w:i/>
          <w:color w:val="000000"/>
          <w:szCs w:val="22"/>
          <w:lang w:val="sr-Latn-CS" w:eastAsia="ja-JP"/>
        </w:rPr>
        <w:t>Chroogomphus helveticus</w:t>
      </w:r>
      <w:r w:rsidRPr="00061B55">
        <w:rPr>
          <w:rFonts w:ascii="Constantia" w:eastAsia="MS Mincho" w:hAnsi="Constantia"/>
          <w:color w:val="000000"/>
          <w:szCs w:val="22"/>
          <w:lang w:val="sr-Latn-CS" w:eastAsia="ja-JP"/>
        </w:rPr>
        <w:t xml:space="preserve"> je takođe, u značajnoj mjeri, ugrožena zbog sakupljanja za ličnu upotrebu</w:t>
      </w:r>
      <w:r w:rsidR="00F17833">
        <w:rPr>
          <w:rFonts w:ascii="Constantia" w:eastAsia="MS Mincho" w:hAnsi="Constantia"/>
          <w:color w:val="000000"/>
          <w:szCs w:val="22"/>
          <w:lang w:val="sr-Latn-CS" w:eastAsia="ja-JP"/>
        </w:rPr>
        <w:t>,</w:t>
      </w:r>
      <w:r w:rsidRPr="00061B55">
        <w:rPr>
          <w:rFonts w:ascii="Constantia" w:eastAsia="MS Mincho" w:hAnsi="Constantia"/>
          <w:color w:val="000000"/>
          <w:szCs w:val="22"/>
          <w:lang w:val="sr-Latn-CS" w:eastAsia="ja-JP"/>
        </w:rPr>
        <w:t xml:space="preserve"> jer predstavlja jestivu vrstu izuzetnog kvaliteta.</w:t>
      </w:r>
    </w:p>
    <w:p w:rsidR="004B071C" w:rsidRPr="00061B55" w:rsidRDefault="004B071C" w:rsidP="00061B55">
      <w:pPr>
        <w:spacing w:after="240"/>
        <w:rPr>
          <w:rFonts w:ascii="Constantia" w:eastAsia="MS Mincho" w:hAnsi="Constantia"/>
          <w:color w:val="000000"/>
          <w:szCs w:val="22"/>
          <w:lang w:val="sr-Latn-CS" w:eastAsia="ja-JP"/>
        </w:rPr>
      </w:pPr>
      <w:r w:rsidRPr="00061B55">
        <w:rPr>
          <w:rFonts w:ascii="Constantia" w:eastAsia="MS Mincho" w:hAnsi="Constantia"/>
          <w:color w:val="000000"/>
          <w:szCs w:val="22"/>
          <w:lang w:val="sr-Latn-CS" w:eastAsia="ja-JP"/>
        </w:rPr>
        <w:t>Kad su u pitanju vrste gmizavaca i vodozemaca evidentan je uticaj od aktivnosti ilegalnog sakupljanja (</w:t>
      </w:r>
      <w:r w:rsidRPr="00F17833">
        <w:rPr>
          <w:rFonts w:ascii="Constantia" w:eastAsia="MS Mincho" w:hAnsi="Constantia"/>
          <w:i/>
          <w:color w:val="000000"/>
          <w:szCs w:val="22"/>
          <w:lang w:val="sr-Latn-CS" w:eastAsia="ja-JP"/>
        </w:rPr>
        <w:t>Adriolacerta oxycephala, Testudo hermanni, Vipera ammodytes</w:t>
      </w:r>
      <w:r w:rsidRPr="00061B55">
        <w:rPr>
          <w:rFonts w:ascii="Constantia" w:eastAsia="MS Mincho" w:hAnsi="Constantia"/>
          <w:color w:val="000000"/>
          <w:szCs w:val="22"/>
          <w:lang w:val="sr-Latn-CS" w:eastAsia="ja-JP"/>
        </w:rPr>
        <w:t>), stradanja na putevima (</w:t>
      </w:r>
      <w:r w:rsidRPr="00F17833">
        <w:rPr>
          <w:rFonts w:ascii="Constantia" w:eastAsia="MS Mincho" w:hAnsi="Constantia"/>
          <w:i/>
          <w:color w:val="000000"/>
          <w:szCs w:val="22"/>
          <w:lang w:val="sr-Latn-CS" w:eastAsia="ja-JP"/>
        </w:rPr>
        <w:t>Pseudopodus apodus</w:t>
      </w:r>
      <w:r w:rsidRPr="00061B55">
        <w:rPr>
          <w:rFonts w:ascii="Constantia" w:eastAsia="MS Mincho" w:hAnsi="Constantia"/>
          <w:color w:val="000000"/>
          <w:szCs w:val="22"/>
          <w:lang w:val="sr-Latn-CS" w:eastAsia="ja-JP"/>
        </w:rPr>
        <w:t>),  sječe šume i drugog rastinja, požari, uznemiravanje (</w:t>
      </w:r>
      <w:r w:rsidRPr="00F17833">
        <w:rPr>
          <w:rFonts w:ascii="Constantia" w:eastAsia="MS Mincho" w:hAnsi="Constantia"/>
          <w:i/>
          <w:color w:val="000000"/>
          <w:szCs w:val="22"/>
          <w:lang w:val="sr-Latn-CS" w:eastAsia="ja-JP"/>
        </w:rPr>
        <w:t>Testudo hermani</w:t>
      </w:r>
      <w:r w:rsidRPr="00061B55">
        <w:rPr>
          <w:rFonts w:ascii="Constantia" w:eastAsia="MS Mincho" w:hAnsi="Constantia"/>
          <w:color w:val="000000"/>
          <w:szCs w:val="22"/>
          <w:lang w:val="sr-Latn-CS" w:eastAsia="ja-JP"/>
        </w:rPr>
        <w:t>).</w:t>
      </w:r>
    </w:p>
    <w:p w:rsidR="004B071C" w:rsidRPr="00061B55" w:rsidRDefault="004B071C" w:rsidP="00061B55">
      <w:pPr>
        <w:spacing w:after="240"/>
        <w:rPr>
          <w:rFonts w:ascii="Constantia" w:eastAsia="MS Mincho" w:hAnsi="Constantia"/>
          <w:color w:val="000000"/>
          <w:szCs w:val="22"/>
          <w:lang w:val="sr-Latn-CS" w:eastAsia="ja-JP"/>
        </w:rPr>
      </w:pPr>
      <w:r w:rsidRPr="00061B55">
        <w:rPr>
          <w:rFonts w:ascii="Constantia" w:eastAsia="MS Mincho" w:hAnsi="Constantia"/>
          <w:color w:val="000000"/>
          <w:szCs w:val="22"/>
          <w:lang w:val="sr-Latn-CS" w:eastAsia="ja-JP"/>
        </w:rPr>
        <w:t>Izgradnja brana i hidroelektrana bi imala negativan uticaj na populacije konstatovanih vrsta insekata.</w:t>
      </w:r>
    </w:p>
    <w:p w:rsidR="004B071C" w:rsidRDefault="004B071C" w:rsidP="004B071C">
      <w:pPr>
        <w:pStyle w:val="NoSpacing"/>
        <w:rPr>
          <w:rFonts w:ascii="Myriad Pro" w:eastAsia="Calibri" w:hAnsi="Myriad Pro"/>
          <w:b/>
          <w:noProof/>
          <w:lang w:val="de-AT"/>
        </w:rPr>
      </w:pPr>
    </w:p>
    <w:p w:rsidR="004B071C" w:rsidRPr="00ED2A98" w:rsidRDefault="00ED2A98" w:rsidP="008974DD">
      <w:pPr>
        <w:pStyle w:val="Heading3"/>
      </w:pPr>
      <w:bookmarkStart w:id="152" w:name="_Toc393897932"/>
      <w:r w:rsidRPr="00ED2A98">
        <w:lastRenderedPageBreak/>
        <w:t>6.4.4</w:t>
      </w:r>
      <w:r>
        <w:rPr>
          <w:sz w:val="22"/>
          <w:szCs w:val="22"/>
        </w:rPr>
        <w:t xml:space="preserve">  </w:t>
      </w:r>
      <w:r w:rsidR="008974DD">
        <w:rPr>
          <w:sz w:val="22"/>
          <w:szCs w:val="22"/>
        </w:rPr>
        <w:t xml:space="preserve"> </w:t>
      </w:r>
      <w:r w:rsidR="004B071C" w:rsidRPr="00ED2A98">
        <w:t>Pritoke rijeke Lim (</w:t>
      </w:r>
      <w:r w:rsidR="004B071C" w:rsidRPr="008974DD">
        <w:t>Trepačka</w:t>
      </w:r>
      <w:r w:rsidR="004B071C" w:rsidRPr="00ED2A98">
        <w:t xml:space="preserve"> rijeka, Murinska rijeka, Komanača, Babinopoljska rijeka, Vrelo Bradavec)</w:t>
      </w:r>
      <w:bookmarkEnd w:id="152"/>
    </w:p>
    <w:p w:rsidR="00ED2A98" w:rsidRDefault="004B071C" w:rsidP="00ED2A98">
      <w:pPr>
        <w:spacing w:before="240" w:after="240"/>
        <w:rPr>
          <w:rFonts w:ascii="Constantia" w:eastAsia="MS Mincho" w:hAnsi="Constantia"/>
          <w:color w:val="000000"/>
          <w:szCs w:val="22"/>
          <w:lang w:val="sr-Latn-CS" w:eastAsia="ja-JP"/>
        </w:rPr>
      </w:pPr>
      <w:r w:rsidRPr="00ED2A98">
        <w:rPr>
          <w:rFonts w:ascii="Constantia" w:eastAsia="MS Mincho" w:hAnsi="Constantia"/>
          <w:color w:val="000000"/>
          <w:szCs w:val="22"/>
          <w:lang w:val="sr-Latn-CS" w:eastAsia="ja-JP"/>
        </w:rPr>
        <w:t>Na rijeci Lim, rijeci Komarači i posebno Murinskoj rijeci primjećena je ek</w:t>
      </w:r>
      <w:r w:rsidR="00ED2A98">
        <w:rPr>
          <w:rFonts w:ascii="Constantia" w:eastAsia="MS Mincho" w:hAnsi="Constantia"/>
          <w:color w:val="000000"/>
          <w:szCs w:val="22"/>
          <w:lang w:val="sr-Latn-CS" w:eastAsia="ja-JP"/>
        </w:rPr>
        <w:t>s</w:t>
      </w:r>
      <w:r w:rsidRPr="00ED2A98">
        <w:rPr>
          <w:rFonts w:ascii="Constantia" w:eastAsia="MS Mincho" w:hAnsi="Constantia"/>
          <w:color w:val="000000"/>
          <w:szCs w:val="22"/>
          <w:lang w:val="sr-Latn-CS" w:eastAsia="ja-JP"/>
        </w:rPr>
        <w:t xml:space="preserve">ploatacija šljunka i deponije otpada iz okolnih domaćinstava i njegovo nagomilavanje u koritu rijeka. Ovo može dovesti do uništavanja staništa vrsta koje se tu nalaze, </w:t>
      </w:r>
      <w:r w:rsidR="00ED2A98">
        <w:rPr>
          <w:rFonts w:ascii="Constantia" w:eastAsia="MS Mincho" w:hAnsi="Constantia"/>
          <w:color w:val="000000"/>
          <w:szCs w:val="22"/>
          <w:lang w:val="sr-Latn-CS" w:eastAsia="ja-JP"/>
        </w:rPr>
        <w:t xml:space="preserve">pa </w:t>
      </w:r>
      <w:r w:rsidRPr="00ED2A98">
        <w:rPr>
          <w:rFonts w:ascii="Constantia" w:eastAsia="MS Mincho" w:hAnsi="Constantia"/>
          <w:color w:val="000000"/>
          <w:szCs w:val="22"/>
          <w:lang w:val="sr-Latn-CS" w:eastAsia="ja-JP"/>
        </w:rPr>
        <w:t>i samih vrsta. Takođe, narušava</w:t>
      </w:r>
      <w:r w:rsidR="00ED2A98">
        <w:rPr>
          <w:rFonts w:ascii="Constantia" w:eastAsia="MS Mincho" w:hAnsi="Constantia"/>
          <w:color w:val="000000"/>
          <w:szCs w:val="22"/>
          <w:lang w:val="sr-Latn-CS" w:eastAsia="ja-JP"/>
        </w:rPr>
        <w:t xml:space="preserve"> se</w:t>
      </w:r>
      <w:r w:rsidRPr="00ED2A98">
        <w:rPr>
          <w:rFonts w:ascii="Constantia" w:eastAsia="MS Mincho" w:hAnsi="Constantia"/>
          <w:color w:val="000000"/>
          <w:szCs w:val="22"/>
          <w:lang w:val="sr-Latn-CS" w:eastAsia="ja-JP"/>
        </w:rPr>
        <w:t xml:space="preserve"> prirodna mogućnost rijeke za samoprečišćavanje vode.</w:t>
      </w:r>
      <w:r w:rsidR="00ED2A98">
        <w:rPr>
          <w:rFonts w:ascii="Constantia" w:eastAsia="MS Mincho" w:hAnsi="Constantia"/>
          <w:color w:val="000000"/>
          <w:szCs w:val="22"/>
          <w:lang w:val="sr-Latn-CS" w:eastAsia="ja-JP"/>
        </w:rPr>
        <w:t xml:space="preserve"> </w:t>
      </w:r>
    </w:p>
    <w:p w:rsidR="004B071C" w:rsidRPr="00ED2A98" w:rsidRDefault="004B071C" w:rsidP="00ED2A98">
      <w:pPr>
        <w:spacing w:before="240" w:after="240"/>
        <w:rPr>
          <w:rFonts w:ascii="Constantia" w:hAnsi="Constantia"/>
          <w:szCs w:val="22"/>
        </w:rPr>
      </w:pPr>
      <w:r w:rsidRPr="00ED2A98">
        <w:rPr>
          <w:rFonts w:ascii="Constantia" w:hAnsi="Constantia"/>
          <w:szCs w:val="22"/>
        </w:rPr>
        <w:t>Na populacije ihtiofaune ovog područja poseban pritisak potiče od uticaja otpadnih voda u naseljenim područjima</w:t>
      </w:r>
      <w:r w:rsidR="00ED2A98">
        <w:rPr>
          <w:rFonts w:ascii="Constantia" w:hAnsi="Constantia"/>
          <w:szCs w:val="22"/>
        </w:rPr>
        <w:t>,</w:t>
      </w:r>
      <w:r w:rsidRPr="00ED2A98">
        <w:rPr>
          <w:rFonts w:ascii="Constantia" w:hAnsi="Constantia"/>
          <w:szCs w:val="22"/>
        </w:rPr>
        <w:t xml:space="preserve"> kao i eksploatacije šljunka iz riječnog korita i intenzivnog ribolova. Za pastrmku postoji opasnost da nepravilnim poribljavanjem u rijeku dospije i linija kaliforniske pastrmke koja se slobodno mrijesti u divljini</w:t>
      </w:r>
      <w:r w:rsidR="00ED2A98">
        <w:rPr>
          <w:rFonts w:ascii="Constantia" w:hAnsi="Constantia"/>
          <w:szCs w:val="22"/>
        </w:rPr>
        <w:t>,</w:t>
      </w:r>
      <w:r w:rsidRPr="00ED2A98">
        <w:rPr>
          <w:rFonts w:ascii="Constantia" w:hAnsi="Constantia"/>
          <w:szCs w:val="22"/>
        </w:rPr>
        <w:t xml:space="preserve"> pa bi mogla da uspostavi populaciju čime bi ušla u kompeticiju sa autohtonom potočnom pastrmkom. Duž toka rijeke Lješnice</w:t>
      </w:r>
      <w:r w:rsidR="00ED2A98">
        <w:rPr>
          <w:rFonts w:ascii="Constantia" w:hAnsi="Constantia"/>
          <w:szCs w:val="22"/>
        </w:rPr>
        <w:t>,</w:t>
      </w:r>
      <w:r w:rsidRPr="00ED2A98">
        <w:rPr>
          <w:rFonts w:ascii="Constantia" w:hAnsi="Constantia"/>
          <w:szCs w:val="22"/>
        </w:rPr>
        <w:t xml:space="preserve"> najveći pritisak se nesumnjivo nalazi </w:t>
      </w:r>
      <w:r w:rsidR="00ED2A98">
        <w:rPr>
          <w:rFonts w:ascii="Constantia" w:hAnsi="Constantia"/>
          <w:szCs w:val="22"/>
        </w:rPr>
        <w:t xml:space="preserve">u </w:t>
      </w:r>
      <w:r w:rsidRPr="00ED2A98">
        <w:rPr>
          <w:rFonts w:ascii="Constantia" w:hAnsi="Constantia"/>
          <w:szCs w:val="22"/>
        </w:rPr>
        <w:t>donj</w:t>
      </w:r>
      <w:r w:rsidR="00ED2A98">
        <w:rPr>
          <w:rFonts w:ascii="Constantia" w:hAnsi="Constantia"/>
          <w:szCs w:val="22"/>
        </w:rPr>
        <w:t xml:space="preserve">em </w:t>
      </w:r>
      <w:r w:rsidRPr="00ED2A98">
        <w:rPr>
          <w:rFonts w:ascii="Constantia" w:hAnsi="Constantia"/>
          <w:szCs w:val="22"/>
        </w:rPr>
        <w:t>di</w:t>
      </w:r>
      <w:r w:rsidR="00ED2A98">
        <w:rPr>
          <w:rFonts w:ascii="Constantia" w:hAnsi="Constantia"/>
          <w:szCs w:val="22"/>
        </w:rPr>
        <w:t>jelu</w:t>
      </w:r>
      <w:r w:rsidRPr="00ED2A98">
        <w:rPr>
          <w:rFonts w:ascii="Constantia" w:hAnsi="Constantia"/>
          <w:szCs w:val="22"/>
        </w:rPr>
        <w:t xml:space="preserve"> toka, u blizini kamenoloma. Najintenzivniji antropogeni pritisak je zabilježen u neposrednoj blizini ušća Makve u Lim od eksploatacija šljunka. Na dijelu Zlorečice (Andrijevica) antropogeni pritisak je izražen kroz stvaranje deponija otpada od pilane</w:t>
      </w:r>
      <w:r w:rsidR="008974DD">
        <w:rPr>
          <w:rFonts w:ascii="Constantia" w:hAnsi="Constantia"/>
          <w:szCs w:val="22"/>
        </w:rPr>
        <w:t>,</w:t>
      </w:r>
      <w:r w:rsidRPr="00ED2A98">
        <w:rPr>
          <w:rFonts w:ascii="Constantia" w:hAnsi="Constantia"/>
          <w:szCs w:val="22"/>
        </w:rPr>
        <w:t xml:space="preserve"> ali i komunalnog otpada. Najizraženiji pritisak je u području Grnčara (Plav), koji se prvenstveno ogleda u eksploataciji šljunka, a tokovi vode su preusmjereni što je dovelo do uništavanja mnogih prirodnih staništa i uticaja na faunu.</w:t>
      </w:r>
    </w:p>
    <w:p w:rsidR="004B071C" w:rsidRPr="00ED2A98" w:rsidRDefault="004B071C" w:rsidP="00ED2A98">
      <w:pPr>
        <w:spacing w:after="240"/>
        <w:rPr>
          <w:rFonts w:ascii="Constantia" w:hAnsi="Constantia"/>
          <w:szCs w:val="22"/>
        </w:rPr>
      </w:pPr>
      <w:r w:rsidRPr="00ED2A98">
        <w:rPr>
          <w:rFonts w:ascii="Constantia" w:hAnsi="Constantia"/>
          <w:szCs w:val="22"/>
        </w:rPr>
        <w:t>Faktori ugrožavanja populacije rakova izraženi su kroz regulaciju vodenog toka, odzidavanje obala, velike količine otpadnih materija u vodenim ekosistemima i prisustvo alohtonih vrsta riba.</w:t>
      </w:r>
    </w:p>
    <w:p w:rsidR="004B071C" w:rsidRPr="00ED2A98" w:rsidRDefault="004B071C" w:rsidP="00ED2A98">
      <w:pPr>
        <w:spacing w:after="240"/>
        <w:rPr>
          <w:rFonts w:ascii="Constantia" w:hAnsi="Constantia"/>
          <w:szCs w:val="22"/>
        </w:rPr>
      </w:pPr>
      <w:r w:rsidRPr="00ED2A98">
        <w:rPr>
          <w:rFonts w:ascii="Constantia" w:hAnsi="Constantia"/>
          <w:szCs w:val="22"/>
        </w:rPr>
        <w:t xml:space="preserve">Kad su u pitanju vodozemci i gmizavci pritisci potiču od intezivnog odlaganja otpada (Trebačka </w:t>
      </w:r>
      <w:r w:rsidR="008974DD">
        <w:rPr>
          <w:rFonts w:ascii="Constantia" w:hAnsi="Constantia"/>
          <w:szCs w:val="22"/>
        </w:rPr>
        <w:t>r</w:t>
      </w:r>
      <w:r w:rsidRPr="00ED2A98">
        <w:rPr>
          <w:rFonts w:ascii="Constantia" w:hAnsi="Constantia"/>
          <w:szCs w:val="22"/>
        </w:rPr>
        <w:t xml:space="preserve">ijeka i  Murinska </w:t>
      </w:r>
      <w:r w:rsidR="008974DD">
        <w:rPr>
          <w:rFonts w:ascii="Constantia" w:hAnsi="Constantia"/>
          <w:szCs w:val="22"/>
        </w:rPr>
        <w:t>r</w:t>
      </w:r>
      <w:r w:rsidRPr="00ED2A98">
        <w:rPr>
          <w:rFonts w:ascii="Constantia" w:hAnsi="Constantia"/>
          <w:szCs w:val="22"/>
        </w:rPr>
        <w:t>ijeka) u proiobalnom dijelu riječnog korita, kao i od požara, ilegalnog sakupljanja i sječe rastinja (</w:t>
      </w:r>
      <w:r w:rsidRPr="008974DD">
        <w:rPr>
          <w:rFonts w:ascii="Constantia" w:hAnsi="Constantia"/>
          <w:i/>
          <w:szCs w:val="22"/>
        </w:rPr>
        <w:t>Lacerta trilineata</w:t>
      </w:r>
      <w:r w:rsidRPr="00ED2A98">
        <w:rPr>
          <w:rFonts w:ascii="Constantia" w:hAnsi="Constantia"/>
          <w:szCs w:val="22"/>
        </w:rPr>
        <w:t>), izlovljavanje u komercijalne svrhe i ubijanja (</w:t>
      </w:r>
      <w:r w:rsidRPr="008974DD">
        <w:rPr>
          <w:rFonts w:ascii="Constantia" w:hAnsi="Constantia"/>
          <w:i/>
          <w:szCs w:val="22"/>
        </w:rPr>
        <w:t>Vipera ammodytes</w:t>
      </w:r>
      <w:r w:rsidRPr="00ED2A98">
        <w:rPr>
          <w:rFonts w:ascii="Constantia" w:hAnsi="Constantia"/>
          <w:szCs w:val="22"/>
        </w:rPr>
        <w:t>). Na lokalitetu Zaton veliki uticaj na stanište zelene žabe ima postojeća šljunkara.</w:t>
      </w:r>
    </w:p>
    <w:p w:rsidR="004B071C" w:rsidRPr="00CE4BD6" w:rsidRDefault="004B071C" w:rsidP="008974DD">
      <w:pPr>
        <w:spacing w:after="0"/>
        <w:rPr>
          <w:rFonts w:ascii="Constantia" w:eastAsia="MS Mincho" w:hAnsi="Constantia"/>
          <w:b/>
          <w:color w:val="000000"/>
          <w:szCs w:val="22"/>
          <w:lang w:val="sr-Latn-CS" w:eastAsia="ja-JP"/>
        </w:rPr>
      </w:pPr>
      <w:r w:rsidRPr="00CE4BD6">
        <w:rPr>
          <w:rFonts w:ascii="Constantia" w:eastAsia="MS Mincho" w:hAnsi="Constantia"/>
          <w:b/>
          <w:color w:val="000000"/>
          <w:szCs w:val="22"/>
          <w:lang w:val="sr-Latn-CS" w:eastAsia="ja-JP"/>
        </w:rPr>
        <w:t>Murinska rijeka</w:t>
      </w:r>
    </w:p>
    <w:p w:rsidR="004B071C" w:rsidRPr="00ED2A98" w:rsidRDefault="004B071C" w:rsidP="00ED2A98">
      <w:pPr>
        <w:spacing w:after="240"/>
        <w:rPr>
          <w:rFonts w:ascii="Constantia" w:eastAsia="MS Mincho" w:hAnsi="Constantia"/>
          <w:color w:val="000000"/>
          <w:szCs w:val="22"/>
          <w:lang w:val="sr-Latn-CS" w:eastAsia="ja-JP"/>
        </w:rPr>
      </w:pPr>
      <w:r w:rsidRPr="00ED2A98">
        <w:rPr>
          <w:rFonts w:ascii="Constantia" w:eastAsia="MS Mincho" w:hAnsi="Constantia"/>
          <w:color w:val="000000"/>
          <w:szCs w:val="22"/>
          <w:lang w:val="sr-Latn-CS" w:eastAsia="ja-JP"/>
        </w:rPr>
        <w:t>Isušivanje močvarnih područja,</w:t>
      </w:r>
      <w:r w:rsidR="008974DD">
        <w:rPr>
          <w:rFonts w:ascii="Constantia" w:eastAsia="MS Mincho" w:hAnsi="Constantia"/>
          <w:color w:val="000000"/>
          <w:szCs w:val="22"/>
          <w:lang w:val="sr-Latn-CS" w:eastAsia="ja-JP"/>
        </w:rPr>
        <w:t xml:space="preserve"> </w:t>
      </w:r>
      <w:r w:rsidRPr="00ED2A98">
        <w:rPr>
          <w:rFonts w:ascii="Constantia" w:eastAsia="MS Mincho" w:hAnsi="Constantia"/>
          <w:color w:val="000000"/>
          <w:szCs w:val="22"/>
          <w:lang w:val="sr-Latn-CS" w:eastAsia="ja-JP"/>
        </w:rPr>
        <w:t>fragmentacija ili gubitak staništa uzrokovan sječom šume ili šumskim požarom, izgradnja hidroelektrana može imati uticaja na populacije gljiva ovog područja posebno vrste</w:t>
      </w:r>
      <w:r w:rsidRPr="00ED2A98">
        <w:rPr>
          <w:rFonts w:ascii="Constantia" w:hAnsi="Constantia"/>
          <w:szCs w:val="22"/>
        </w:rPr>
        <w:t xml:space="preserve"> </w:t>
      </w:r>
      <w:r w:rsidRPr="008974DD">
        <w:rPr>
          <w:rFonts w:ascii="Constantia" w:eastAsia="MS Mincho" w:hAnsi="Constantia"/>
          <w:i/>
          <w:color w:val="000000"/>
          <w:szCs w:val="22"/>
          <w:lang w:val="sr-Latn-CS" w:eastAsia="ja-JP"/>
        </w:rPr>
        <w:t>Lactarius lilacinus</w:t>
      </w:r>
      <w:r w:rsidRPr="00ED2A98">
        <w:rPr>
          <w:rFonts w:ascii="Constantia" w:eastAsia="MS Mincho" w:hAnsi="Constantia"/>
          <w:color w:val="000000"/>
          <w:szCs w:val="22"/>
          <w:lang w:val="sr-Latn-CS" w:eastAsia="ja-JP"/>
        </w:rPr>
        <w:t>.</w:t>
      </w:r>
    </w:p>
    <w:p w:rsidR="004B071C" w:rsidRPr="00ED2A98" w:rsidRDefault="004B071C" w:rsidP="00ED2A98">
      <w:pPr>
        <w:spacing w:after="240"/>
        <w:rPr>
          <w:rFonts w:ascii="Constantia" w:eastAsia="MS Mincho" w:hAnsi="Constantia"/>
          <w:color w:val="000000"/>
          <w:szCs w:val="22"/>
          <w:lang w:val="sr-Latn-CS" w:eastAsia="ja-JP"/>
        </w:rPr>
      </w:pPr>
      <w:r w:rsidRPr="00ED2A98">
        <w:rPr>
          <w:rFonts w:ascii="Constantia" w:eastAsia="MS Mincho" w:hAnsi="Constantia"/>
          <w:color w:val="000000"/>
          <w:szCs w:val="22"/>
          <w:lang w:val="sr-Latn-CS" w:eastAsia="ja-JP"/>
        </w:rPr>
        <w:t xml:space="preserve">Populacija </w:t>
      </w:r>
      <w:r w:rsidRPr="008974DD">
        <w:rPr>
          <w:rFonts w:ascii="Constantia" w:eastAsia="MS Mincho" w:hAnsi="Constantia"/>
          <w:i/>
          <w:color w:val="000000"/>
          <w:szCs w:val="22"/>
          <w:lang w:val="sr-Latn-CS" w:eastAsia="ja-JP"/>
        </w:rPr>
        <w:t>Acer intermedium</w:t>
      </w:r>
      <w:r w:rsidRPr="00ED2A98">
        <w:rPr>
          <w:rFonts w:ascii="Constantia" w:eastAsia="MS Mincho" w:hAnsi="Constantia"/>
          <w:color w:val="000000"/>
          <w:szCs w:val="22"/>
          <w:lang w:val="sr-Latn-CS" w:eastAsia="ja-JP"/>
        </w:rPr>
        <w:t xml:space="preserve"> može biti pod pritiskom sječe stabala za ogrijev za mjesno stanovništvo ovog područja.</w:t>
      </w:r>
    </w:p>
    <w:p w:rsidR="004B071C" w:rsidRPr="00ED2A98" w:rsidRDefault="004B071C" w:rsidP="00ED2A98">
      <w:pPr>
        <w:spacing w:after="240"/>
        <w:rPr>
          <w:rFonts w:ascii="Constantia" w:eastAsia="MS Mincho" w:hAnsi="Constantia"/>
          <w:color w:val="000000"/>
          <w:szCs w:val="22"/>
          <w:lang w:val="sr-Latn-CS" w:eastAsia="ja-JP"/>
        </w:rPr>
      </w:pPr>
      <w:r w:rsidRPr="00ED2A98">
        <w:rPr>
          <w:rFonts w:ascii="Constantia" w:eastAsia="MS Mincho" w:hAnsi="Constantia"/>
          <w:color w:val="000000"/>
          <w:szCs w:val="22"/>
          <w:lang w:val="sr-Latn-CS" w:eastAsia="ja-JP"/>
        </w:rPr>
        <w:t>U ovom vodotoku zabilježen je pritisak od strane eksploatacije pijeska (okolina Berana) što utiče na ukupan biodiverzitet vodotoka</w:t>
      </w:r>
      <w:r w:rsidR="008974DD">
        <w:rPr>
          <w:rFonts w:ascii="Constantia" w:eastAsia="MS Mincho" w:hAnsi="Constantia"/>
          <w:color w:val="000000"/>
          <w:szCs w:val="22"/>
          <w:lang w:val="sr-Latn-CS" w:eastAsia="ja-JP"/>
        </w:rPr>
        <w:t>,</w:t>
      </w:r>
      <w:r w:rsidRPr="00ED2A98">
        <w:rPr>
          <w:rFonts w:ascii="Constantia" w:eastAsia="MS Mincho" w:hAnsi="Constantia"/>
          <w:color w:val="000000"/>
          <w:szCs w:val="22"/>
          <w:lang w:val="sr-Latn-CS" w:eastAsia="ja-JP"/>
        </w:rPr>
        <w:t xml:space="preserve"> a posebno na ihtiofaunu.</w:t>
      </w:r>
    </w:p>
    <w:p w:rsidR="004B071C" w:rsidRPr="00ED2A98" w:rsidRDefault="004B071C" w:rsidP="00ED2A98">
      <w:pPr>
        <w:spacing w:after="240"/>
        <w:rPr>
          <w:rFonts w:ascii="Constantia" w:hAnsi="Constantia"/>
          <w:szCs w:val="22"/>
        </w:rPr>
      </w:pPr>
      <w:r w:rsidRPr="00ED2A98">
        <w:rPr>
          <w:rFonts w:ascii="Constantia" w:hAnsi="Constantia"/>
          <w:szCs w:val="22"/>
        </w:rPr>
        <w:t>Izgradnja malih hidroelektrana bi imala negativan uticaj na populacije konstatovane vrste insekata</w:t>
      </w:r>
    </w:p>
    <w:p w:rsidR="004B071C" w:rsidRPr="00CE4BD6" w:rsidRDefault="004B071C" w:rsidP="008974DD">
      <w:pPr>
        <w:spacing w:after="0"/>
        <w:rPr>
          <w:rFonts w:ascii="Constantia" w:hAnsi="Constantia"/>
          <w:b/>
          <w:szCs w:val="22"/>
        </w:rPr>
      </w:pPr>
      <w:r w:rsidRPr="00CE4BD6">
        <w:rPr>
          <w:rFonts w:ascii="Constantia" w:hAnsi="Constantia"/>
          <w:b/>
          <w:szCs w:val="22"/>
        </w:rPr>
        <w:t>Trepačka rijeka</w:t>
      </w:r>
    </w:p>
    <w:p w:rsidR="004B071C" w:rsidRPr="008974DD" w:rsidRDefault="004B071C" w:rsidP="008974DD">
      <w:pPr>
        <w:rPr>
          <w:rFonts w:ascii="Constantia" w:hAnsi="Constantia"/>
          <w:b/>
          <w:noProof/>
          <w:lang w:val="de-AT"/>
        </w:rPr>
      </w:pPr>
      <w:r w:rsidRPr="008974DD">
        <w:rPr>
          <w:rFonts w:ascii="Constantia" w:hAnsi="Constantia"/>
        </w:rPr>
        <w:t>Eksploatacija pijeska i šljunka iz riječnih korita, narušava ekološke uslove neophodne za opstanak vodenih grupa</w:t>
      </w:r>
      <w:r w:rsidR="008974DD">
        <w:rPr>
          <w:rFonts w:ascii="Constantia" w:hAnsi="Constantia"/>
        </w:rPr>
        <w:t xml:space="preserve"> organizama, usl</w:t>
      </w:r>
      <w:r w:rsidRPr="008974DD">
        <w:rPr>
          <w:rFonts w:ascii="Constantia" w:hAnsi="Constantia"/>
        </w:rPr>
        <w:t>ed remećenja osnovnih ekoloških parametara. Takođe, isušivanje močvarnih područja,</w:t>
      </w:r>
      <w:r w:rsidR="008974DD">
        <w:rPr>
          <w:rFonts w:ascii="Constantia" w:hAnsi="Constantia"/>
        </w:rPr>
        <w:t xml:space="preserve"> </w:t>
      </w:r>
      <w:r w:rsidRPr="008974DD">
        <w:rPr>
          <w:rFonts w:ascii="Constantia" w:hAnsi="Constantia"/>
        </w:rPr>
        <w:t>fragmentacija ili gubitak staništa uzrokovan sječom šume ili šumskim požarom predstavlja pritisak na ovom području na populacije gljiva</w:t>
      </w:r>
      <w:r w:rsidR="008974DD">
        <w:rPr>
          <w:rFonts w:ascii="Constantia" w:hAnsi="Constantia"/>
        </w:rPr>
        <w:t>.</w:t>
      </w:r>
    </w:p>
    <w:p w:rsidR="004B071C" w:rsidRDefault="004B071C" w:rsidP="004B071C">
      <w:pPr>
        <w:pStyle w:val="Tabele"/>
        <w:numPr>
          <w:ilvl w:val="0"/>
          <w:numId w:val="0"/>
        </w:numPr>
        <w:jc w:val="both"/>
        <w:rPr>
          <w:rFonts w:eastAsia="Calibri"/>
          <w:noProof/>
        </w:rPr>
      </w:pPr>
    </w:p>
    <w:p w:rsidR="004B071C" w:rsidRDefault="008974DD" w:rsidP="008974DD">
      <w:pPr>
        <w:pStyle w:val="Heading3"/>
      </w:pPr>
      <w:bookmarkStart w:id="153" w:name="_Toc393897933"/>
      <w:r>
        <w:lastRenderedPageBreak/>
        <w:t xml:space="preserve">6.4.5  </w:t>
      </w:r>
      <w:r w:rsidR="004B071C" w:rsidRPr="00E90D22">
        <w:t>Skadarsko jezero</w:t>
      </w:r>
      <w:bookmarkEnd w:id="153"/>
    </w:p>
    <w:p w:rsidR="004B071C" w:rsidRDefault="004B071C" w:rsidP="004B071C">
      <w:pPr>
        <w:pStyle w:val="NoSpacing"/>
        <w:jc w:val="both"/>
        <w:rPr>
          <w:rFonts w:ascii="Myriad Pro" w:eastAsia="Calibri" w:hAnsi="Myriad Pro"/>
          <w:noProof/>
          <w:lang w:val="de-AT"/>
        </w:rPr>
      </w:pPr>
    </w:p>
    <w:p w:rsidR="004B071C" w:rsidRDefault="004B071C" w:rsidP="004B071C">
      <w:pPr>
        <w:pStyle w:val="NoSpacing"/>
        <w:jc w:val="both"/>
        <w:rPr>
          <w:rFonts w:ascii="Myriad Pro" w:hAnsi="Myriad Pro"/>
          <w:noProof/>
          <w:lang w:val="de-AT"/>
        </w:rPr>
      </w:pPr>
    </w:p>
    <w:p w:rsidR="004B071C" w:rsidRPr="0061232C" w:rsidRDefault="0061232C" w:rsidP="004B071C">
      <w:pPr>
        <w:pStyle w:val="Tabele"/>
        <w:spacing w:before="60" w:after="240"/>
        <w:ind w:left="714" w:hanging="357"/>
        <w:rPr>
          <w:rFonts w:ascii="Constantia" w:hAnsi="Constantia" w:cs="Arial"/>
          <w:sz w:val="22"/>
          <w:szCs w:val="22"/>
        </w:rPr>
      </w:pPr>
      <w:r>
        <w:rPr>
          <w:rFonts w:ascii="Constantia" w:hAnsi="Constantia"/>
          <w:sz w:val="22"/>
          <w:szCs w:val="22"/>
        </w:rPr>
        <w:t xml:space="preserve"> </w:t>
      </w:r>
      <w:r w:rsidR="004B071C" w:rsidRPr="0061232C">
        <w:rPr>
          <w:rFonts w:ascii="Constantia" w:hAnsi="Constantia"/>
          <w:sz w:val="22"/>
          <w:szCs w:val="22"/>
        </w:rPr>
        <w:t>Procjena stanja područja generalno</w:t>
      </w:r>
    </w:p>
    <w:tbl>
      <w:tblPr>
        <w:tblW w:w="0" w:type="auto"/>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firstRow="1" w:lastRow="0" w:firstColumn="1" w:lastColumn="0" w:noHBand="0" w:noVBand="1"/>
      </w:tblPr>
      <w:tblGrid>
        <w:gridCol w:w="3348"/>
        <w:gridCol w:w="2610"/>
        <w:gridCol w:w="3060"/>
      </w:tblGrid>
      <w:tr w:rsidR="004B071C" w:rsidRPr="0061232C" w:rsidTr="0061232C">
        <w:tc>
          <w:tcPr>
            <w:tcW w:w="3348" w:type="dxa"/>
            <w:shd w:val="clear" w:color="auto" w:fill="CDDDAC"/>
          </w:tcPr>
          <w:p w:rsidR="004B071C" w:rsidRPr="0061232C" w:rsidRDefault="004B071C" w:rsidP="004E680E">
            <w:pPr>
              <w:rPr>
                <w:rFonts w:ascii="Constantia" w:hAnsi="Constantia" w:cs="Arial"/>
                <w:bCs/>
                <w:szCs w:val="22"/>
              </w:rPr>
            </w:pPr>
            <w:r w:rsidRPr="0061232C">
              <w:rPr>
                <w:rFonts w:ascii="Constantia" w:hAnsi="Constantia" w:cs="Arial"/>
                <w:bCs/>
                <w:szCs w:val="22"/>
              </w:rPr>
              <w:t>Rang uticaja</w:t>
            </w:r>
          </w:p>
        </w:tc>
        <w:tc>
          <w:tcPr>
            <w:tcW w:w="2610" w:type="dxa"/>
            <w:shd w:val="clear" w:color="auto" w:fill="CDDDAC"/>
          </w:tcPr>
          <w:p w:rsidR="004B071C" w:rsidRPr="0061232C" w:rsidRDefault="004B071C" w:rsidP="004E680E">
            <w:pPr>
              <w:rPr>
                <w:rFonts w:ascii="Constantia" w:hAnsi="Constantia" w:cs="Arial"/>
                <w:szCs w:val="22"/>
              </w:rPr>
            </w:pPr>
            <w:r w:rsidRPr="0061232C">
              <w:rPr>
                <w:rFonts w:ascii="Constantia" w:hAnsi="Constantia" w:cs="Arial"/>
                <w:szCs w:val="22"/>
              </w:rPr>
              <w:t>Prijetnja/Pritisak</w:t>
            </w:r>
          </w:p>
        </w:tc>
        <w:tc>
          <w:tcPr>
            <w:tcW w:w="3060" w:type="dxa"/>
            <w:shd w:val="clear" w:color="auto" w:fill="CDDDAC"/>
          </w:tcPr>
          <w:p w:rsidR="004B071C" w:rsidRPr="0061232C" w:rsidRDefault="004B071C" w:rsidP="004E680E">
            <w:pPr>
              <w:rPr>
                <w:rFonts w:ascii="Constantia" w:hAnsi="Constantia" w:cs="Arial"/>
                <w:szCs w:val="22"/>
              </w:rPr>
            </w:pPr>
            <w:r w:rsidRPr="0061232C">
              <w:rPr>
                <w:rFonts w:ascii="Constantia" w:hAnsi="Constantia" w:cs="Arial"/>
                <w:szCs w:val="22"/>
              </w:rPr>
              <w:t>Tip uticaja</w:t>
            </w:r>
          </w:p>
        </w:tc>
      </w:tr>
      <w:tr w:rsidR="004B071C" w:rsidRPr="0061232C" w:rsidTr="0061232C">
        <w:tc>
          <w:tcPr>
            <w:tcW w:w="3348" w:type="dxa"/>
            <w:shd w:val="clear" w:color="auto" w:fill="E6EED5"/>
          </w:tcPr>
          <w:p w:rsidR="004B071C" w:rsidRPr="0061232C" w:rsidRDefault="004B071C" w:rsidP="0061232C">
            <w:pPr>
              <w:spacing w:after="0"/>
              <w:jc w:val="center"/>
              <w:rPr>
                <w:rFonts w:ascii="Constantia" w:hAnsi="Constantia" w:cs="Arial"/>
                <w:bCs/>
                <w:szCs w:val="22"/>
              </w:rPr>
            </w:pPr>
            <w:r w:rsidRPr="0061232C">
              <w:rPr>
                <w:rFonts w:ascii="Constantia" w:hAnsi="Constantia" w:cs="Arial"/>
                <w:bCs/>
                <w:szCs w:val="22"/>
              </w:rPr>
              <w:t>H</w:t>
            </w:r>
          </w:p>
        </w:tc>
        <w:tc>
          <w:tcPr>
            <w:tcW w:w="2610" w:type="dxa"/>
            <w:shd w:val="clear" w:color="auto" w:fill="E6EED5"/>
          </w:tcPr>
          <w:p w:rsidR="004B071C" w:rsidRPr="0061232C" w:rsidRDefault="004B071C" w:rsidP="0061232C">
            <w:pPr>
              <w:spacing w:after="0"/>
              <w:rPr>
                <w:rFonts w:ascii="Constantia" w:hAnsi="Constantia" w:cs="Arial"/>
                <w:szCs w:val="22"/>
              </w:rPr>
            </w:pPr>
            <w:r w:rsidRPr="0061232C">
              <w:rPr>
                <w:rFonts w:ascii="Constantia" w:hAnsi="Constantia" w:cs="Arial"/>
                <w:szCs w:val="22"/>
              </w:rPr>
              <w:t>E01</w:t>
            </w:r>
          </w:p>
        </w:tc>
        <w:tc>
          <w:tcPr>
            <w:tcW w:w="3060" w:type="dxa"/>
            <w:shd w:val="clear" w:color="auto" w:fill="E6EED5"/>
          </w:tcPr>
          <w:p w:rsidR="004B071C" w:rsidRPr="0061232C" w:rsidRDefault="004B071C" w:rsidP="0061232C">
            <w:pPr>
              <w:spacing w:after="0"/>
              <w:rPr>
                <w:rFonts w:ascii="Constantia" w:hAnsi="Constantia" w:cs="Arial"/>
                <w:szCs w:val="22"/>
              </w:rPr>
            </w:pPr>
          </w:p>
        </w:tc>
      </w:tr>
      <w:tr w:rsidR="004B071C" w:rsidRPr="0061232C" w:rsidTr="0061232C">
        <w:tc>
          <w:tcPr>
            <w:tcW w:w="3348" w:type="dxa"/>
            <w:shd w:val="clear" w:color="auto" w:fill="CDDDAC"/>
          </w:tcPr>
          <w:p w:rsidR="004B071C" w:rsidRPr="0061232C" w:rsidRDefault="004B071C" w:rsidP="0061232C">
            <w:pPr>
              <w:spacing w:after="0"/>
              <w:jc w:val="center"/>
              <w:rPr>
                <w:rFonts w:ascii="Constantia" w:hAnsi="Constantia" w:cs="Arial"/>
                <w:bCs/>
                <w:szCs w:val="22"/>
              </w:rPr>
            </w:pPr>
            <w:r w:rsidRPr="0061232C">
              <w:rPr>
                <w:rFonts w:ascii="Constantia" w:hAnsi="Constantia" w:cs="Arial"/>
                <w:bCs/>
                <w:szCs w:val="22"/>
              </w:rPr>
              <w:t>H</w:t>
            </w:r>
          </w:p>
        </w:tc>
        <w:tc>
          <w:tcPr>
            <w:tcW w:w="2610" w:type="dxa"/>
            <w:shd w:val="clear" w:color="auto" w:fill="CDDDAC"/>
          </w:tcPr>
          <w:p w:rsidR="004B071C" w:rsidRPr="0061232C" w:rsidRDefault="004B071C" w:rsidP="0061232C">
            <w:pPr>
              <w:spacing w:after="0"/>
              <w:rPr>
                <w:rFonts w:ascii="Constantia" w:hAnsi="Constantia" w:cs="Arial"/>
                <w:szCs w:val="22"/>
              </w:rPr>
            </w:pPr>
          </w:p>
        </w:tc>
        <w:tc>
          <w:tcPr>
            <w:tcW w:w="3060" w:type="dxa"/>
            <w:shd w:val="clear" w:color="auto" w:fill="CDDDAC"/>
          </w:tcPr>
          <w:p w:rsidR="004B071C" w:rsidRPr="0061232C" w:rsidRDefault="004B071C" w:rsidP="0061232C">
            <w:pPr>
              <w:spacing w:after="0"/>
              <w:rPr>
                <w:rFonts w:ascii="Constantia" w:hAnsi="Constantia" w:cs="Arial"/>
                <w:szCs w:val="22"/>
              </w:rPr>
            </w:pPr>
            <w:r w:rsidRPr="0061232C">
              <w:rPr>
                <w:rFonts w:ascii="Constantia" w:hAnsi="Constantia" w:cs="Arial"/>
                <w:szCs w:val="22"/>
              </w:rPr>
              <w:t>E03</w:t>
            </w:r>
          </w:p>
        </w:tc>
      </w:tr>
      <w:tr w:rsidR="004B071C" w:rsidRPr="0061232C" w:rsidTr="0061232C">
        <w:tc>
          <w:tcPr>
            <w:tcW w:w="3348" w:type="dxa"/>
            <w:shd w:val="clear" w:color="auto" w:fill="E6EED5"/>
          </w:tcPr>
          <w:p w:rsidR="004B071C" w:rsidRPr="0061232C" w:rsidRDefault="004B071C" w:rsidP="0061232C">
            <w:pPr>
              <w:spacing w:after="0"/>
              <w:jc w:val="center"/>
              <w:rPr>
                <w:rFonts w:ascii="Constantia" w:hAnsi="Constantia" w:cs="Arial"/>
                <w:bCs/>
                <w:szCs w:val="22"/>
              </w:rPr>
            </w:pPr>
            <w:r w:rsidRPr="0061232C">
              <w:rPr>
                <w:rFonts w:ascii="Constantia" w:hAnsi="Constantia" w:cs="Arial"/>
                <w:bCs/>
                <w:szCs w:val="22"/>
              </w:rPr>
              <w:t>H</w:t>
            </w:r>
          </w:p>
        </w:tc>
        <w:tc>
          <w:tcPr>
            <w:tcW w:w="2610" w:type="dxa"/>
            <w:shd w:val="clear" w:color="auto" w:fill="E6EED5"/>
          </w:tcPr>
          <w:p w:rsidR="004B071C" w:rsidRPr="0061232C" w:rsidRDefault="004B071C" w:rsidP="0061232C">
            <w:pPr>
              <w:spacing w:after="0"/>
              <w:rPr>
                <w:rFonts w:ascii="Constantia" w:hAnsi="Constantia" w:cs="Arial"/>
                <w:szCs w:val="22"/>
              </w:rPr>
            </w:pPr>
            <w:r w:rsidRPr="0061232C">
              <w:rPr>
                <w:rFonts w:ascii="Constantia" w:hAnsi="Constantia" w:cs="Arial"/>
                <w:szCs w:val="22"/>
              </w:rPr>
              <w:t>A</w:t>
            </w:r>
          </w:p>
        </w:tc>
        <w:tc>
          <w:tcPr>
            <w:tcW w:w="3060" w:type="dxa"/>
            <w:shd w:val="clear" w:color="auto" w:fill="E6EED5"/>
          </w:tcPr>
          <w:p w:rsidR="004B071C" w:rsidRPr="0061232C" w:rsidRDefault="004B071C" w:rsidP="0061232C">
            <w:pPr>
              <w:spacing w:after="0"/>
              <w:rPr>
                <w:rFonts w:ascii="Constantia" w:hAnsi="Constantia" w:cs="Arial"/>
                <w:szCs w:val="22"/>
              </w:rPr>
            </w:pPr>
          </w:p>
        </w:tc>
      </w:tr>
      <w:tr w:rsidR="004B071C" w:rsidRPr="0061232C" w:rsidTr="0061232C">
        <w:tc>
          <w:tcPr>
            <w:tcW w:w="3348" w:type="dxa"/>
            <w:shd w:val="clear" w:color="auto" w:fill="CDDDAC"/>
          </w:tcPr>
          <w:p w:rsidR="004B071C" w:rsidRPr="0061232C" w:rsidRDefault="004B071C" w:rsidP="0061232C">
            <w:pPr>
              <w:spacing w:after="0"/>
              <w:jc w:val="center"/>
              <w:rPr>
                <w:rFonts w:ascii="Constantia" w:hAnsi="Constantia" w:cs="Arial"/>
                <w:bCs/>
                <w:color w:val="000000"/>
                <w:szCs w:val="22"/>
              </w:rPr>
            </w:pPr>
            <w:r w:rsidRPr="0061232C">
              <w:rPr>
                <w:rFonts w:ascii="Constantia" w:hAnsi="Constantia" w:cs="Arial"/>
                <w:bCs/>
                <w:color w:val="000000"/>
                <w:szCs w:val="22"/>
              </w:rPr>
              <w:t>M</w:t>
            </w:r>
          </w:p>
        </w:tc>
        <w:tc>
          <w:tcPr>
            <w:tcW w:w="2610" w:type="dxa"/>
            <w:shd w:val="clear" w:color="auto" w:fill="CDDDAC"/>
          </w:tcPr>
          <w:p w:rsidR="004B071C" w:rsidRPr="0061232C" w:rsidRDefault="004B071C" w:rsidP="0061232C">
            <w:pPr>
              <w:spacing w:after="0"/>
              <w:rPr>
                <w:rFonts w:ascii="Constantia" w:hAnsi="Constantia" w:cs="Arial"/>
                <w:szCs w:val="22"/>
              </w:rPr>
            </w:pPr>
            <w:r w:rsidRPr="0061232C">
              <w:rPr>
                <w:rFonts w:ascii="Constantia" w:hAnsi="Constantia" w:cs="Arial"/>
                <w:szCs w:val="22"/>
              </w:rPr>
              <w:t>B03</w:t>
            </w:r>
          </w:p>
        </w:tc>
        <w:tc>
          <w:tcPr>
            <w:tcW w:w="3060" w:type="dxa"/>
            <w:shd w:val="clear" w:color="auto" w:fill="CDDDAC"/>
          </w:tcPr>
          <w:p w:rsidR="004B071C" w:rsidRPr="0061232C" w:rsidRDefault="004B071C" w:rsidP="0061232C">
            <w:pPr>
              <w:spacing w:after="0"/>
              <w:rPr>
                <w:rFonts w:ascii="Constantia" w:hAnsi="Constantia" w:cs="Arial"/>
                <w:szCs w:val="22"/>
              </w:rPr>
            </w:pPr>
          </w:p>
        </w:tc>
      </w:tr>
      <w:tr w:rsidR="004B071C" w:rsidRPr="0061232C" w:rsidTr="0061232C">
        <w:tc>
          <w:tcPr>
            <w:tcW w:w="3348" w:type="dxa"/>
            <w:shd w:val="clear" w:color="auto" w:fill="E6EED5"/>
          </w:tcPr>
          <w:p w:rsidR="004B071C" w:rsidRPr="0061232C" w:rsidRDefault="004B071C" w:rsidP="0061232C">
            <w:pPr>
              <w:spacing w:after="0"/>
              <w:jc w:val="center"/>
              <w:rPr>
                <w:rFonts w:ascii="Constantia" w:hAnsi="Constantia" w:cs="Arial"/>
                <w:bCs/>
                <w:szCs w:val="22"/>
              </w:rPr>
            </w:pPr>
            <w:r w:rsidRPr="0061232C">
              <w:rPr>
                <w:rFonts w:ascii="Constantia" w:hAnsi="Constantia" w:cs="Arial"/>
                <w:bCs/>
                <w:szCs w:val="22"/>
              </w:rPr>
              <w:t>H</w:t>
            </w:r>
          </w:p>
        </w:tc>
        <w:tc>
          <w:tcPr>
            <w:tcW w:w="2610" w:type="dxa"/>
            <w:shd w:val="clear" w:color="auto" w:fill="E6EED5"/>
          </w:tcPr>
          <w:p w:rsidR="004B071C" w:rsidRPr="0061232C" w:rsidRDefault="004B071C" w:rsidP="0061232C">
            <w:pPr>
              <w:spacing w:after="0"/>
              <w:rPr>
                <w:rFonts w:ascii="Constantia" w:hAnsi="Constantia" w:cs="Arial"/>
                <w:szCs w:val="22"/>
              </w:rPr>
            </w:pPr>
            <w:r w:rsidRPr="0061232C">
              <w:rPr>
                <w:rFonts w:ascii="Constantia" w:hAnsi="Constantia" w:cs="Arial"/>
                <w:szCs w:val="22"/>
              </w:rPr>
              <w:t>C01.01</w:t>
            </w:r>
          </w:p>
        </w:tc>
        <w:tc>
          <w:tcPr>
            <w:tcW w:w="3060" w:type="dxa"/>
            <w:shd w:val="clear" w:color="auto" w:fill="E6EED5"/>
          </w:tcPr>
          <w:p w:rsidR="004B071C" w:rsidRPr="0061232C" w:rsidRDefault="004B071C" w:rsidP="0061232C">
            <w:pPr>
              <w:spacing w:after="0"/>
              <w:rPr>
                <w:rFonts w:ascii="Constantia" w:hAnsi="Constantia" w:cs="Arial"/>
                <w:szCs w:val="22"/>
              </w:rPr>
            </w:pPr>
          </w:p>
        </w:tc>
      </w:tr>
      <w:tr w:rsidR="004B071C" w:rsidRPr="0061232C" w:rsidTr="0061232C">
        <w:tc>
          <w:tcPr>
            <w:tcW w:w="3348" w:type="dxa"/>
            <w:shd w:val="clear" w:color="auto" w:fill="CDDDAC"/>
          </w:tcPr>
          <w:p w:rsidR="004B071C" w:rsidRPr="0061232C" w:rsidRDefault="004B071C" w:rsidP="0061232C">
            <w:pPr>
              <w:spacing w:after="0"/>
              <w:jc w:val="center"/>
              <w:rPr>
                <w:rFonts w:ascii="Constantia" w:hAnsi="Constantia" w:cs="Arial"/>
                <w:bCs/>
                <w:szCs w:val="22"/>
              </w:rPr>
            </w:pPr>
          </w:p>
        </w:tc>
        <w:tc>
          <w:tcPr>
            <w:tcW w:w="2610" w:type="dxa"/>
            <w:shd w:val="clear" w:color="auto" w:fill="CDDDAC"/>
          </w:tcPr>
          <w:p w:rsidR="004B071C" w:rsidRPr="0061232C" w:rsidRDefault="004B071C" w:rsidP="0061232C">
            <w:pPr>
              <w:spacing w:after="0"/>
              <w:rPr>
                <w:rFonts w:ascii="Constantia" w:hAnsi="Constantia" w:cs="Arial"/>
                <w:szCs w:val="22"/>
              </w:rPr>
            </w:pPr>
          </w:p>
        </w:tc>
        <w:tc>
          <w:tcPr>
            <w:tcW w:w="3060" w:type="dxa"/>
            <w:shd w:val="clear" w:color="auto" w:fill="CDDDAC"/>
          </w:tcPr>
          <w:p w:rsidR="004B071C" w:rsidRPr="0061232C" w:rsidRDefault="004B071C" w:rsidP="0061232C">
            <w:pPr>
              <w:spacing w:after="0"/>
              <w:rPr>
                <w:rFonts w:ascii="Constantia" w:hAnsi="Constantia" w:cs="Arial"/>
                <w:szCs w:val="22"/>
              </w:rPr>
            </w:pPr>
            <w:r w:rsidRPr="0061232C">
              <w:rPr>
                <w:rFonts w:ascii="Constantia" w:hAnsi="Constantia" w:cs="Arial"/>
                <w:szCs w:val="22"/>
              </w:rPr>
              <w:t>E03.01</w:t>
            </w:r>
          </w:p>
        </w:tc>
      </w:tr>
      <w:tr w:rsidR="004B071C" w:rsidRPr="0061232C" w:rsidTr="0061232C">
        <w:tc>
          <w:tcPr>
            <w:tcW w:w="3348" w:type="dxa"/>
            <w:shd w:val="clear" w:color="auto" w:fill="E6EED5"/>
          </w:tcPr>
          <w:p w:rsidR="004B071C" w:rsidRPr="0061232C" w:rsidRDefault="004B071C" w:rsidP="0061232C">
            <w:pPr>
              <w:spacing w:after="0"/>
              <w:jc w:val="center"/>
              <w:rPr>
                <w:rFonts w:ascii="Constantia" w:hAnsi="Constantia" w:cs="Arial"/>
                <w:bCs/>
                <w:szCs w:val="22"/>
              </w:rPr>
            </w:pPr>
            <w:r w:rsidRPr="0061232C">
              <w:rPr>
                <w:rFonts w:ascii="Constantia" w:hAnsi="Constantia" w:cs="Arial"/>
                <w:bCs/>
                <w:szCs w:val="22"/>
              </w:rPr>
              <w:t>M</w:t>
            </w:r>
          </w:p>
        </w:tc>
        <w:tc>
          <w:tcPr>
            <w:tcW w:w="2610" w:type="dxa"/>
            <w:shd w:val="clear" w:color="auto" w:fill="E6EED5"/>
          </w:tcPr>
          <w:p w:rsidR="004B071C" w:rsidRPr="0061232C" w:rsidRDefault="004B071C" w:rsidP="0061232C">
            <w:pPr>
              <w:spacing w:after="0"/>
              <w:rPr>
                <w:rFonts w:ascii="Constantia" w:hAnsi="Constantia" w:cs="Arial"/>
                <w:szCs w:val="22"/>
              </w:rPr>
            </w:pPr>
            <w:r w:rsidRPr="0061232C">
              <w:rPr>
                <w:rFonts w:ascii="Constantia" w:hAnsi="Constantia" w:cs="Arial"/>
                <w:szCs w:val="22"/>
              </w:rPr>
              <w:t>F02</w:t>
            </w:r>
          </w:p>
        </w:tc>
        <w:tc>
          <w:tcPr>
            <w:tcW w:w="3060" w:type="dxa"/>
            <w:shd w:val="clear" w:color="auto" w:fill="E6EED5"/>
          </w:tcPr>
          <w:p w:rsidR="004B071C" w:rsidRPr="0061232C" w:rsidRDefault="004B071C" w:rsidP="0061232C">
            <w:pPr>
              <w:spacing w:after="0"/>
              <w:rPr>
                <w:rFonts w:ascii="Constantia" w:hAnsi="Constantia" w:cs="Arial"/>
                <w:szCs w:val="22"/>
              </w:rPr>
            </w:pPr>
          </w:p>
        </w:tc>
      </w:tr>
      <w:tr w:rsidR="004B071C" w:rsidRPr="0061232C" w:rsidTr="0061232C">
        <w:tc>
          <w:tcPr>
            <w:tcW w:w="3348" w:type="dxa"/>
            <w:shd w:val="clear" w:color="auto" w:fill="CDDDAC"/>
          </w:tcPr>
          <w:p w:rsidR="004B071C" w:rsidRPr="0061232C" w:rsidRDefault="004B071C" w:rsidP="0061232C">
            <w:pPr>
              <w:spacing w:after="0"/>
              <w:jc w:val="center"/>
              <w:rPr>
                <w:rFonts w:ascii="Constantia" w:hAnsi="Constantia" w:cs="Arial"/>
                <w:bCs/>
                <w:color w:val="000000"/>
                <w:szCs w:val="22"/>
              </w:rPr>
            </w:pPr>
            <w:r w:rsidRPr="0061232C">
              <w:rPr>
                <w:rFonts w:ascii="Constantia" w:hAnsi="Constantia" w:cs="Arial"/>
                <w:bCs/>
                <w:color w:val="000000"/>
                <w:szCs w:val="22"/>
              </w:rPr>
              <w:t>H</w:t>
            </w:r>
          </w:p>
        </w:tc>
        <w:tc>
          <w:tcPr>
            <w:tcW w:w="2610" w:type="dxa"/>
            <w:shd w:val="clear" w:color="auto" w:fill="CDDDAC"/>
          </w:tcPr>
          <w:p w:rsidR="004B071C" w:rsidRPr="0061232C" w:rsidRDefault="004B071C" w:rsidP="0061232C">
            <w:pPr>
              <w:spacing w:after="0"/>
              <w:rPr>
                <w:rFonts w:ascii="Constantia" w:hAnsi="Constantia" w:cs="Arial"/>
                <w:szCs w:val="22"/>
              </w:rPr>
            </w:pPr>
            <w:r w:rsidRPr="0061232C">
              <w:rPr>
                <w:rFonts w:ascii="Constantia" w:hAnsi="Constantia" w:cs="Arial"/>
                <w:szCs w:val="22"/>
              </w:rPr>
              <w:t>F03.01</w:t>
            </w:r>
          </w:p>
        </w:tc>
        <w:tc>
          <w:tcPr>
            <w:tcW w:w="3060" w:type="dxa"/>
            <w:shd w:val="clear" w:color="auto" w:fill="CDDDAC"/>
          </w:tcPr>
          <w:p w:rsidR="004B071C" w:rsidRPr="0061232C" w:rsidRDefault="004B071C" w:rsidP="0061232C">
            <w:pPr>
              <w:spacing w:after="0"/>
              <w:rPr>
                <w:rFonts w:ascii="Constantia" w:hAnsi="Constantia" w:cs="Arial"/>
                <w:szCs w:val="22"/>
              </w:rPr>
            </w:pPr>
          </w:p>
        </w:tc>
      </w:tr>
      <w:tr w:rsidR="004B071C" w:rsidRPr="0061232C" w:rsidTr="0061232C">
        <w:tc>
          <w:tcPr>
            <w:tcW w:w="3348" w:type="dxa"/>
            <w:shd w:val="clear" w:color="auto" w:fill="E6EED5"/>
          </w:tcPr>
          <w:p w:rsidR="004B071C" w:rsidRPr="0061232C" w:rsidRDefault="004B071C" w:rsidP="0061232C">
            <w:pPr>
              <w:spacing w:after="0"/>
              <w:jc w:val="center"/>
              <w:rPr>
                <w:rFonts w:ascii="Constantia" w:hAnsi="Constantia" w:cs="Arial"/>
                <w:bCs/>
                <w:szCs w:val="22"/>
              </w:rPr>
            </w:pPr>
            <w:r w:rsidRPr="0061232C">
              <w:rPr>
                <w:rFonts w:ascii="Constantia" w:hAnsi="Constantia" w:cs="Arial"/>
                <w:bCs/>
                <w:szCs w:val="22"/>
              </w:rPr>
              <w:t>M</w:t>
            </w:r>
          </w:p>
        </w:tc>
        <w:tc>
          <w:tcPr>
            <w:tcW w:w="2610" w:type="dxa"/>
            <w:shd w:val="clear" w:color="auto" w:fill="E6EED5"/>
          </w:tcPr>
          <w:p w:rsidR="004B071C" w:rsidRPr="0061232C" w:rsidRDefault="004B071C" w:rsidP="0061232C">
            <w:pPr>
              <w:spacing w:after="0"/>
              <w:rPr>
                <w:rFonts w:ascii="Constantia" w:hAnsi="Constantia" w:cs="Arial"/>
                <w:szCs w:val="22"/>
              </w:rPr>
            </w:pPr>
            <w:r w:rsidRPr="0061232C">
              <w:rPr>
                <w:rFonts w:ascii="Constantia" w:hAnsi="Constantia" w:cs="Arial"/>
                <w:szCs w:val="22"/>
              </w:rPr>
              <w:t>F04</w:t>
            </w:r>
          </w:p>
        </w:tc>
        <w:tc>
          <w:tcPr>
            <w:tcW w:w="3060" w:type="dxa"/>
            <w:shd w:val="clear" w:color="auto" w:fill="E6EED5"/>
          </w:tcPr>
          <w:p w:rsidR="004B071C" w:rsidRPr="0061232C" w:rsidRDefault="004B071C" w:rsidP="0061232C">
            <w:pPr>
              <w:spacing w:after="0"/>
              <w:rPr>
                <w:rFonts w:ascii="Constantia" w:hAnsi="Constantia" w:cs="Arial"/>
                <w:szCs w:val="22"/>
              </w:rPr>
            </w:pPr>
          </w:p>
        </w:tc>
      </w:tr>
      <w:tr w:rsidR="004B071C" w:rsidRPr="0061232C" w:rsidTr="0061232C">
        <w:tc>
          <w:tcPr>
            <w:tcW w:w="3348" w:type="dxa"/>
            <w:shd w:val="clear" w:color="auto" w:fill="CDDDAC"/>
          </w:tcPr>
          <w:p w:rsidR="004B071C" w:rsidRPr="0061232C" w:rsidRDefault="004B071C" w:rsidP="0061232C">
            <w:pPr>
              <w:spacing w:after="0"/>
              <w:jc w:val="center"/>
              <w:rPr>
                <w:rFonts w:ascii="Constantia" w:hAnsi="Constantia" w:cs="Arial"/>
                <w:bCs/>
                <w:szCs w:val="22"/>
              </w:rPr>
            </w:pPr>
            <w:r w:rsidRPr="0061232C">
              <w:rPr>
                <w:rFonts w:ascii="Constantia" w:hAnsi="Constantia" w:cs="Arial"/>
                <w:bCs/>
                <w:szCs w:val="22"/>
              </w:rPr>
              <w:t>M</w:t>
            </w:r>
          </w:p>
        </w:tc>
        <w:tc>
          <w:tcPr>
            <w:tcW w:w="2610" w:type="dxa"/>
            <w:shd w:val="clear" w:color="auto" w:fill="CDDDAC"/>
          </w:tcPr>
          <w:p w:rsidR="004B071C" w:rsidRPr="0061232C" w:rsidRDefault="004B071C" w:rsidP="0061232C">
            <w:pPr>
              <w:spacing w:after="0"/>
              <w:rPr>
                <w:rFonts w:ascii="Constantia" w:hAnsi="Constantia" w:cs="Arial"/>
                <w:szCs w:val="22"/>
              </w:rPr>
            </w:pPr>
            <w:r w:rsidRPr="0061232C">
              <w:rPr>
                <w:rFonts w:ascii="Constantia" w:hAnsi="Constantia" w:cs="Arial"/>
                <w:szCs w:val="22"/>
              </w:rPr>
              <w:t>I</w:t>
            </w:r>
          </w:p>
        </w:tc>
        <w:tc>
          <w:tcPr>
            <w:tcW w:w="3060" w:type="dxa"/>
            <w:shd w:val="clear" w:color="auto" w:fill="CDDDAC"/>
          </w:tcPr>
          <w:p w:rsidR="004B071C" w:rsidRPr="0061232C" w:rsidRDefault="004B071C" w:rsidP="0061232C">
            <w:pPr>
              <w:spacing w:after="0"/>
              <w:rPr>
                <w:rFonts w:ascii="Constantia" w:hAnsi="Constantia" w:cs="Arial"/>
                <w:szCs w:val="22"/>
              </w:rPr>
            </w:pPr>
          </w:p>
        </w:tc>
      </w:tr>
      <w:tr w:rsidR="004B071C" w:rsidRPr="0061232C" w:rsidTr="0061232C">
        <w:tc>
          <w:tcPr>
            <w:tcW w:w="3348" w:type="dxa"/>
            <w:shd w:val="clear" w:color="auto" w:fill="E6EED5"/>
          </w:tcPr>
          <w:p w:rsidR="004B071C" w:rsidRPr="0061232C" w:rsidRDefault="004B071C" w:rsidP="0061232C">
            <w:pPr>
              <w:spacing w:after="0"/>
              <w:jc w:val="center"/>
              <w:rPr>
                <w:rFonts w:ascii="Constantia" w:hAnsi="Constantia" w:cs="Arial"/>
                <w:bCs/>
                <w:szCs w:val="22"/>
              </w:rPr>
            </w:pPr>
            <w:r w:rsidRPr="0061232C">
              <w:rPr>
                <w:rFonts w:ascii="Constantia" w:hAnsi="Constantia" w:cs="Arial"/>
                <w:bCs/>
                <w:szCs w:val="22"/>
              </w:rPr>
              <w:t>H</w:t>
            </w:r>
          </w:p>
        </w:tc>
        <w:tc>
          <w:tcPr>
            <w:tcW w:w="2610" w:type="dxa"/>
            <w:shd w:val="clear" w:color="auto" w:fill="E6EED5"/>
          </w:tcPr>
          <w:p w:rsidR="004B071C" w:rsidRPr="0061232C" w:rsidRDefault="004B071C" w:rsidP="0061232C">
            <w:pPr>
              <w:spacing w:after="0"/>
              <w:rPr>
                <w:rFonts w:ascii="Constantia" w:hAnsi="Constantia" w:cs="Arial"/>
                <w:szCs w:val="22"/>
              </w:rPr>
            </w:pPr>
            <w:r w:rsidRPr="0061232C">
              <w:rPr>
                <w:rFonts w:ascii="Constantia" w:hAnsi="Constantia" w:cs="Arial"/>
                <w:szCs w:val="22"/>
              </w:rPr>
              <w:t>I01</w:t>
            </w:r>
          </w:p>
        </w:tc>
        <w:tc>
          <w:tcPr>
            <w:tcW w:w="3060" w:type="dxa"/>
            <w:shd w:val="clear" w:color="auto" w:fill="E6EED5"/>
          </w:tcPr>
          <w:p w:rsidR="004B071C" w:rsidRPr="0061232C" w:rsidRDefault="004B071C" w:rsidP="0061232C">
            <w:pPr>
              <w:spacing w:after="0"/>
              <w:rPr>
                <w:rFonts w:ascii="Constantia" w:hAnsi="Constantia" w:cs="Arial"/>
                <w:szCs w:val="22"/>
              </w:rPr>
            </w:pPr>
          </w:p>
        </w:tc>
      </w:tr>
      <w:tr w:rsidR="004B071C" w:rsidRPr="0061232C" w:rsidTr="0061232C">
        <w:tc>
          <w:tcPr>
            <w:tcW w:w="3348" w:type="dxa"/>
            <w:shd w:val="clear" w:color="auto" w:fill="CDDDAC"/>
          </w:tcPr>
          <w:p w:rsidR="004B071C" w:rsidRPr="0061232C" w:rsidRDefault="004B071C" w:rsidP="0061232C">
            <w:pPr>
              <w:spacing w:after="0"/>
              <w:jc w:val="center"/>
              <w:rPr>
                <w:rFonts w:ascii="Constantia" w:hAnsi="Constantia" w:cs="Arial"/>
                <w:bCs/>
                <w:szCs w:val="22"/>
              </w:rPr>
            </w:pPr>
            <w:r w:rsidRPr="0061232C">
              <w:rPr>
                <w:rFonts w:ascii="Constantia" w:hAnsi="Constantia" w:cs="Arial"/>
                <w:bCs/>
                <w:szCs w:val="22"/>
              </w:rPr>
              <w:t>H</w:t>
            </w:r>
          </w:p>
        </w:tc>
        <w:tc>
          <w:tcPr>
            <w:tcW w:w="2610" w:type="dxa"/>
            <w:shd w:val="clear" w:color="auto" w:fill="CDDDAC"/>
          </w:tcPr>
          <w:p w:rsidR="004B071C" w:rsidRPr="0061232C" w:rsidRDefault="004B071C" w:rsidP="0061232C">
            <w:pPr>
              <w:spacing w:after="0"/>
              <w:rPr>
                <w:rFonts w:ascii="Constantia" w:hAnsi="Constantia" w:cs="Arial"/>
                <w:szCs w:val="22"/>
              </w:rPr>
            </w:pPr>
            <w:r w:rsidRPr="0061232C">
              <w:rPr>
                <w:rFonts w:ascii="Constantia" w:hAnsi="Constantia" w:cs="Arial"/>
                <w:szCs w:val="22"/>
              </w:rPr>
              <w:t>H05.01</w:t>
            </w:r>
          </w:p>
        </w:tc>
        <w:tc>
          <w:tcPr>
            <w:tcW w:w="3060" w:type="dxa"/>
            <w:shd w:val="clear" w:color="auto" w:fill="CDDDAC"/>
          </w:tcPr>
          <w:p w:rsidR="004B071C" w:rsidRPr="0061232C" w:rsidRDefault="004B071C" w:rsidP="0061232C">
            <w:pPr>
              <w:spacing w:after="0"/>
              <w:rPr>
                <w:rFonts w:ascii="Constantia" w:hAnsi="Constantia" w:cs="Arial"/>
                <w:szCs w:val="22"/>
              </w:rPr>
            </w:pPr>
          </w:p>
        </w:tc>
      </w:tr>
      <w:tr w:rsidR="004B071C" w:rsidRPr="0061232C" w:rsidTr="0061232C">
        <w:tc>
          <w:tcPr>
            <w:tcW w:w="3348" w:type="dxa"/>
            <w:shd w:val="clear" w:color="auto" w:fill="E6EED5"/>
          </w:tcPr>
          <w:p w:rsidR="004B071C" w:rsidRPr="0061232C" w:rsidRDefault="004B071C" w:rsidP="0061232C">
            <w:pPr>
              <w:spacing w:after="0"/>
              <w:jc w:val="center"/>
              <w:rPr>
                <w:rFonts w:ascii="Constantia" w:hAnsi="Constantia" w:cs="Arial"/>
                <w:bCs/>
                <w:szCs w:val="22"/>
              </w:rPr>
            </w:pPr>
            <w:r w:rsidRPr="0061232C">
              <w:rPr>
                <w:rFonts w:ascii="Constantia" w:hAnsi="Constantia" w:cs="Arial"/>
                <w:bCs/>
                <w:szCs w:val="22"/>
              </w:rPr>
              <w:t>H</w:t>
            </w:r>
          </w:p>
        </w:tc>
        <w:tc>
          <w:tcPr>
            <w:tcW w:w="2610" w:type="dxa"/>
            <w:shd w:val="clear" w:color="auto" w:fill="E6EED5"/>
          </w:tcPr>
          <w:p w:rsidR="004B071C" w:rsidRPr="0061232C" w:rsidRDefault="004B071C" w:rsidP="0061232C">
            <w:pPr>
              <w:spacing w:after="0"/>
              <w:rPr>
                <w:rFonts w:ascii="Constantia" w:hAnsi="Constantia" w:cs="Arial"/>
                <w:szCs w:val="22"/>
              </w:rPr>
            </w:pPr>
            <w:r w:rsidRPr="0061232C">
              <w:rPr>
                <w:rFonts w:ascii="Constantia" w:hAnsi="Constantia" w:cs="Arial"/>
                <w:szCs w:val="22"/>
              </w:rPr>
              <w:t>L10</w:t>
            </w:r>
          </w:p>
        </w:tc>
        <w:tc>
          <w:tcPr>
            <w:tcW w:w="3060" w:type="dxa"/>
            <w:shd w:val="clear" w:color="auto" w:fill="E6EED5"/>
          </w:tcPr>
          <w:p w:rsidR="004B071C" w:rsidRPr="0061232C" w:rsidRDefault="004B071C" w:rsidP="0061232C">
            <w:pPr>
              <w:spacing w:after="0"/>
              <w:rPr>
                <w:rFonts w:ascii="Constantia" w:hAnsi="Constantia" w:cs="Arial"/>
                <w:szCs w:val="22"/>
              </w:rPr>
            </w:pPr>
          </w:p>
        </w:tc>
      </w:tr>
      <w:tr w:rsidR="004B071C" w:rsidRPr="0061232C" w:rsidTr="0061232C">
        <w:tc>
          <w:tcPr>
            <w:tcW w:w="3348" w:type="dxa"/>
            <w:shd w:val="clear" w:color="auto" w:fill="CDDDAC"/>
          </w:tcPr>
          <w:p w:rsidR="004B071C" w:rsidRPr="0061232C" w:rsidRDefault="004B071C" w:rsidP="0061232C">
            <w:pPr>
              <w:spacing w:after="0"/>
              <w:jc w:val="center"/>
              <w:rPr>
                <w:rFonts w:ascii="Constantia" w:hAnsi="Constantia" w:cs="Arial"/>
                <w:bCs/>
                <w:szCs w:val="22"/>
              </w:rPr>
            </w:pPr>
            <w:r w:rsidRPr="0061232C">
              <w:rPr>
                <w:rFonts w:ascii="Constantia" w:hAnsi="Constantia" w:cs="Arial"/>
                <w:bCs/>
                <w:szCs w:val="22"/>
              </w:rPr>
              <w:t>L</w:t>
            </w:r>
          </w:p>
        </w:tc>
        <w:tc>
          <w:tcPr>
            <w:tcW w:w="2610" w:type="dxa"/>
            <w:shd w:val="clear" w:color="auto" w:fill="CDDDAC"/>
          </w:tcPr>
          <w:p w:rsidR="004B071C" w:rsidRPr="0061232C" w:rsidRDefault="004B071C" w:rsidP="0061232C">
            <w:pPr>
              <w:spacing w:after="0"/>
              <w:rPr>
                <w:rFonts w:ascii="Constantia" w:hAnsi="Constantia" w:cs="Arial"/>
                <w:szCs w:val="22"/>
              </w:rPr>
            </w:pPr>
            <w:r w:rsidRPr="0061232C">
              <w:rPr>
                <w:rFonts w:ascii="Constantia" w:hAnsi="Constantia" w:cs="Arial"/>
                <w:szCs w:val="22"/>
              </w:rPr>
              <w:t>G01.04.03</w:t>
            </w:r>
          </w:p>
        </w:tc>
        <w:tc>
          <w:tcPr>
            <w:tcW w:w="3060" w:type="dxa"/>
            <w:shd w:val="clear" w:color="auto" w:fill="CDDDAC"/>
          </w:tcPr>
          <w:p w:rsidR="004B071C" w:rsidRPr="0061232C" w:rsidRDefault="004B071C" w:rsidP="0061232C">
            <w:pPr>
              <w:spacing w:after="0"/>
              <w:rPr>
                <w:rFonts w:ascii="Constantia" w:hAnsi="Constantia" w:cs="Arial"/>
                <w:szCs w:val="22"/>
              </w:rPr>
            </w:pPr>
          </w:p>
        </w:tc>
      </w:tr>
    </w:tbl>
    <w:p w:rsidR="004B071C" w:rsidRPr="0061232C" w:rsidRDefault="004B071C" w:rsidP="001F40AF">
      <w:pPr>
        <w:numPr>
          <w:ilvl w:val="0"/>
          <w:numId w:val="28"/>
        </w:numPr>
        <w:spacing w:after="200" w:line="276" w:lineRule="auto"/>
        <w:contextualSpacing/>
        <w:jc w:val="left"/>
        <w:rPr>
          <w:rFonts w:ascii="Constantia" w:eastAsia="Calibri" w:hAnsi="Constantia" w:cs="Arial"/>
          <w:sz w:val="20"/>
          <w:szCs w:val="20"/>
        </w:rPr>
      </w:pPr>
      <w:r w:rsidRPr="0061232C">
        <w:rPr>
          <w:rFonts w:ascii="Constantia" w:eastAsia="Calibri" w:hAnsi="Constantia" w:cs="Arial"/>
          <w:sz w:val="20"/>
          <w:szCs w:val="20"/>
        </w:rPr>
        <w:t>H – Veliki uticaj  M</w:t>
      </w:r>
      <w:r w:rsidR="0061232C">
        <w:rPr>
          <w:rFonts w:ascii="Constantia" w:eastAsia="Calibri" w:hAnsi="Constantia" w:cs="Arial"/>
          <w:sz w:val="20"/>
          <w:szCs w:val="20"/>
        </w:rPr>
        <w:t xml:space="preserve"> </w:t>
      </w:r>
      <w:r w:rsidRPr="0061232C">
        <w:rPr>
          <w:rFonts w:ascii="Constantia" w:eastAsia="Calibri" w:hAnsi="Constantia" w:cs="Arial"/>
          <w:sz w:val="20"/>
          <w:szCs w:val="20"/>
        </w:rPr>
        <w:t>- Srednji uticaj, L</w:t>
      </w:r>
      <w:r w:rsidR="0061232C">
        <w:rPr>
          <w:rFonts w:ascii="Constantia" w:eastAsia="Calibri" w:hAnsi="Constantia" w:cs="Arial"/>
          <w:sz w:val="20"/>
          <w:szCs w:val="20"/>
        </w:rPr>
        <w:t xml:space="preserve"> </w:t>
      </w:r>
      <w:r w:rsidRPr="0061232C">
        <w:rPr>
          <w:rFonts w:ascii="Constantia" w:eastAsia="Calibri" w:hAnsi="Constantia" w:cs="Arial"/>
          <w:sz w:val="20"/>
          <w:szCs w:val="20"/>
        </w:rPr>
        <w:t>-</w:t>
      </w:r>
      <w:r w:rsidR="0061232C">
        <w:rPr>
          <w:rFonts w:ascii="Constantia" w:eastAsia="Calibri" w:hAnsi="Constantia" w:cs="Arial"/>
          <w:sz w:val="20"/>
          <w:szCs w:val="20"/>
        </w:rPr>
        <w:t xml:space="preserve"> </w:t>
      </w:r>
      <w:r w:rsidRPr="0061232C">
        <w:rPr>
          <w:rFonts w:ascii="Constantia" w:eastAsia="Calibri" w:hAnsi="Constantia" w:cs="Arial"/>
          <w:sz w:val="20"/>
          <w:szCs w:val="20"/>
        </w:rPr>
        <w:t>Mali uticaj</w:t>
      </w:r>
    </w:p>
    <w:p w:rsidR="004B071C" w:rsidRPr="0061232C" w:rsidRDefault="004B071C" w:rsidP="001F40AF">
      <w:pPr>
        <w:numPr>
          <w:ilvl w:val="0"/>
          <w:numId w:val="28"/>
        </w:numPr>
        <w:spacing w:after="200" w:line="276" w:lineRule="auto"/>
        <w:contextualSpacing/>
        <w:jc w:val="left"/>
        <w:rPr>
          <w:rFonts w:ascii="Constantia" w:eastAsia="Calibri" w:hAnsi="Constantia"/>
          <w:sz w:val="20"/>
          <w:szCs w:val="20"/>
        </w:rPr>
      </w:pPr>
      <w:r w:rsidRPr="0061232C">
        <w:rPr>
          <w:rFonts w:ascii="Constantia" w:eastAsia="Calibri" w:hAnsi="Constantia" w:cs="Arial"/>
          <w:sz w:val="20"/>
          <w:szCs w:val="20"/>
        </w:rPr>
        <w:t>A</w:t>
      </w:r>
      <w:r w:rsidR="0061232C">
        <w:rPr>
          <w:rFonts w:ascii="Constantia" w:eastAsia="Calibri" w:hAnsi="Constantia" w:cs="Arial"/>
          <w:sz w:val="20"/>
          <w:szCs w:val="20"/>
        </w:rPr>
        <w:t xml:space="preserve"> </w:t>
      </w:r>
      <w:r w:rsidRPr="0061232C">
        <w:rPr>
          <w:rFonts w:ascii="Constantia" w:eastAsia="Calibri" w:hAnsi="Constantia" w:cs="Arial"/>
          <w:sz w:val="20"/>
          <w:szCs w:val="20"/>
        </w:rPr>
        <w:t>- Poljoprivreda, B03</w:t>
      </w:r>
      <w:r w:rsidR="0061232C">
        <w:rPr>
          <w:rFonts w:ascii="Constantia" w:eastAsia="Calibri" w:hAnsi="Constantia" w:cs="Arial"/>
          <w:sz w:val="20"/>
          <w:szCs w:val="20"/>
        </w:rPr>
        <w:t xml:space="preserve"> </w:t>
      </w:r>
      <w:r w:rsidRPr="0061232C">
        <w:rPr>
          <w:rFonts w:ascii="Constantia" w:eastAsia="Calibri" w:hAnsi="Constantia" w:cs="Arial"/>
          <w:sz w:val="20"/>
          <w:szCs w:val="20"/>
        </w:rPr>
        <w:t>- eksploatacija šuma , C01.01</w:t>
      </w:r>
      <w:r w:rsidR="0061232C">
        <w:rPr>
          <w:rFonts w:ascii="Constantia" w:eastAsia="Calibri" w:hAnsi="Constantia" w:cs="Arial"/>
          <w:sz w:val="20"/>
          <w:szCs w:val="20"/>
        </w:rPr>
        <w:t xml:space="preserve"> </w:t>
      </w:r>
      <w:r w:rsidRPr="0061232C">
        <w:rPr>
          <w:rFonts w:ascii="Constantia" w:eastAsia="Calibri" w:hAnsi="Constantia" w:cs="Arial"/>
          <w:sz w:val="20"/>
          <w:szCs w:val="20"/>
        </w:rPr>
        <w:t>-  ekstrakcija pijeska i šljunka, E01-  Urbanizacija, E03- Otpadne vode , F02 - ribarstvo, F03.01</w:t>
      </w:r>
      <w:r w:rsidR="0061232C">
        <w:rPr>
          <w:rFonts w:ascii="Constantia" w:eastAsia="Calibri" w:hAnsi="Constantia" w:cs="Arial"/>
          <w:sz w:val="20"/>
          <w:szCs w:val="20"/>
        </w:rPr>
        <w:t xml:space="preserve"> </w:t>
      </w:r>
      <w:r w:rsidRPr="0061232C">
        <w:rPr>
          <w:rFonts w:ascii="Constantia" w:eastAsia="Calibri" w:hAnsi="Constantia" w:cs="Arial"/>
          <w:sz w:val="20"/>
          <w:szCs w:val="20"/>
        </w:rPr>
        <w:t>- lov, F04 – Sakupljanje biljnih i drugih vrsta</w:t>
      </w:r>
      <w:r w:rsidR="0061232C">
        <w:rPr>
          <w:rFonts w:ascii="Constantia" w:eastAsia="Calibri" w:hAnsi="Constantia" w:cs="Arial"/>
          <w:sz w:val="20"/>
          <w:szCs w:val="20"/>
        </w:rPr>
        <w:t>,</w:t>
      </w:r>
      <w:r w:rsidRPr="0061232C">
        <w:rPr>
          <w:rFonts w:ascii="Constantia" w:eastAsia="Calibri" w:hAnsi="Constantia" w:cs="Arial"/>
          <w:sz w:val="20"/>
          <w:szCs w:val="20"/>
        </w:rPr>
        <w:t xml:space="preserve"> I</w:t>
      </w:r>
      <w:r w:rsidR="0061232C">
        <w:rPr>
          <w:rFonts w:ascii="Constantia" w:eastAsia="Calibri" w:hAnsi="Constantia" w:cs="Arial"/>
          <w:sz w:val="20"/>
          <w:szCs w:val="20"/>
        </w:rPr>
        <w:t xml:space="preserve"> </w:t>
      </w:r>
      <w:r w:rsidRPr="0061232C">
        <w:rPr>
          <w:rFonts w:ascii="Constantia" w:eastAsia="Calibri" w:hAnsi="Constantia" w:cs="Arial"/>
          <w:sz w:val="20"/>
          <w:szCs w:val="20"/>
        </w:rPr>
        <w:t>- Invazivne i druge problematične vrste</w:t>
      </w:r>
      <w:r w:rsidR="0061232C">
        <w:rPr>
          <w:rFonts w:ascii="Constantia" w:eastAsia="Calibri" w:hAnsi="Constantia" w:cs="Arial"/>
          <w:sz w:val="20"/>
          <w:szCs w:val="20"/>
        </w:rPr>
        <w:t>,</w:t>
      </w:r>
      <w:r w:rsidRPr="0061232C">
        <w:rPr>
          <w:rFonts w:ascii="Constantia" w:eastAsia="Calibri" w:hAnsi="Constantia" w:cs="Arial"/>
          <w:sz w:val="20"/>
          <w:szCs w:val="20"/>
        </w:rPr>
        <w:t xml:space="preserve"> H05.01</w:t>
      </w:r>
      <w:r w:rsidR="0061232C">
        <w:rPr>
          <w:rFonts w:ascii="Constantia" w:eastAsia="Calibri" w:hAnsi="Constantia" w:cs="Arial"/>
          <w:sz w:val="20"/>
          <w:szCs w:val="20"/>
        </w:rPr>
        <w:t xml:space="preserve"> </w:t>
      </w:r>
      <w:r w:rsidRPr="0061232C">
        <w:rPr>
          <w:rFonts w:ascii="Constantia" w:eastAsia="Calibri" w:hAnsi="Constantia" w:cs="Arial"/>
          <w:sz w:val="20"/>
          <w:szCs w:val="20"/>
        </w:rPr>
        <w:t>- čvrsti otpad</w:t>
      </w:r>
      <w:r w:rsidR="0061232C">
        <w:rPr>
          <w:rFonts w:ascii="Constantia" w:eastAsia="Calibri" w:hAnsi="Constantia" w:cs="Arial"/>
          <w:sz w:val="20"/>
          <w:szCs w:val="20"/>
        </w:rPr>
        <w:t>,</w:t>
      </w:r>
      <w:r w:rsidRPr="0061232C">
        <w:rPr>
          <w:rFonts w:ascii="Constantia" w:eastAsia="Calibri" w:hAnsi="Constantia" w:cs="Arial"/>
          <w:sz w:val="20"/>
          <w:szCs w:val="20"/>
        </w:rPr>
        <w:t xml:space="preserve">  L</w:t>
      </w:r>
      <w:r w:rsidR="0061232C">
        <w:rPr>
          <w:rFonts w:ascii="Constantia" w:eastAsia="Calibri" w:hAnsi="Constantia" w:cs="Arial"/>
          <w:sz w:val="20"/>
          <w:szCs w:val="20"/>
        </w:rPr>
        <w:t xml:space="preserve"> </w:t>
      </w:r>
      <w:r w:rsidRPr="0061232C">
        <w:rPr>
          <w:rFonts w:ascii="Constantia" w:eastAsia="Calibri" w:hAnsi="Constantia" w:cs="Arial"/>
          <w:sz w:val="20"/>
          <w:szCs w:val="20"/>
        </w:rPr>
        <w:t>- geografske katastrofe i prirodni događaji</w:t>
      </w:r>
      <w:r w:rsidR="0061232C">
        <w:rPr>
          <w:rFonts w:ascii="Constantia" w:eastAsia="Calibri" w:hAnsi="Constantia" w:cs="Arial"/>
          <w:sz w:val="20"/>
          <w:szCs w:val="20"/>
        </w:rPr>
        <w:t>,</w:t>
      </w:r>
      <w:r w:rsidRPr="0061232C">
        <w:rPr>
          <w:rFonts w:ascii="Constantia" w:eastAsia="Calibri" w:hAnsi="Constantia" w:cs="Arial"/>
          <w:sz w:val="20"/>
          <w:szCs w:val="20"/>
        </w:rPr>
        <w:t xml:space="preserve"> G</w:t>
      </w:r>
      <w:r w:rsidR="0061232C">
        <w:rPr>
          <w:rFonts w:ascii="Constantia" w:eastAsia="Calibri" w:hAnsi="Constantia" w:cs="Arial"/>
          <w:sz w:val="20"/>
          <w:szCs w:val="20"/>
        </w:rPr>
        <w:t xml:space="preserve"> </w:t>
      </w:r>
      <w:r w:rsidRPr="0061232C">
        <w:rPr>
          <w:rFonts w:ascii="Constantia" w:eastAsia="Calibri" w:hAnsi="Constantia" w:cs="Arial"/>
          <w:sz w:val="20"/>
          <w:szCs w:val="20"/>
        </w:rPr>
        <w:t>-uznemiravanje od strane čovjeka, G01.04.03</w:t>
      </w:r>
      <w:r w:rsidR="0061232C">
        <w:rPr>
          <w:rFonts w:ascii="Constantia" w:eastAsia="Calibri" w:hAnsi="Constantia" w:cs="Arial"/>
          <w:sz w:val="20"/>
          <w:szCs w:val="20"/>
        </w:rPr>
        <w:t xml:space="preserve"> </w:t>
      </w:r>
      <w:r w:rsidRPr="0061232C">
        <w:rPr>
          <w:rFonts w:ascii="Constantia" w:eastAsia="Calibri" w:hAnsi="Constantia" w:cs="Arial"/>
          <w:sz w:val="20"/>
          <w:szCs w:val="20"/>
        </w:rPr>
        <w:t>- rekreativne posjete pećina</w:t>
      </w:r>
      <w:r w:rsidR="0061232C">
        <w:rPr>
          <w:rFonts w:ascii="Constantia" w:eastAsia="Calibri" w:hAnsi="Constantia" w:cs="Arial"/>
          <w:sz w:val="20"/>
          <w:szCs w:val="20"/>
        </w:rPr>
        <w:t>.</w:t>
      </w:r>
    </w:p>
    <w:p w:rsidR="00246375" w:rsidRDefault="00246375" w:rsidP="004B071C">
      <w:pPr>
        <w:rPr>
          <w:rFonts w:ascii="Constantia" w:hAnsi="Constantia" w:cs="Arial"/>
          <w:b/>
          <w:lang w:val="sr-Latn-CS"/>
        </w:rPr>
      </w:pPr>
    </w:p>
    <w:p w:rsidR="004B071C" w:rsidRPr="00C928C6" w:rsidRDefault="004B071C" w:rsidP="004B071C">
      <w:pPr>
        <w:rPr>
          <w:rFonts w:ascii="Constantia" w:hAnsi="Constantia" w:cs="Arial"/>
          <w:b/>
          <w:lang w:val="sr-Latn-CS"/>
        </w:rPr>
      </w:pPr>
      <w:r w:rsidRPr="00C928C6">
        <w:rPr>
          <w:rFonts w:ascii="Constantia" w:hAnsi="Constantia" w:cs="Arial"/>
          <w:b/>
          <w:lang w:val="sr-Latn-CS"/>
        </w:rPr>
        <w:t>Biljne vrste</w:t>
      </w:r>
    </w:p>
    <w:p w:rsidR="004B071C" w:rsidRPr="00C928C6" w:rsidRDefault="004B071C" w:rsidP="004B071C">
      <w:pPr>
        <w:rPr>
          <w:rFonts w:ascii="Constantia" w:hAnsi="Constantia"/>
        </w:rPr>
      </w:pPr>
      <w:r w:rsidRPr="00C928C6">
        <w:rPr>
          <w:rFonts w:ascii="Constantia" w:hAnsi="Constantia"/>
        </w:rPr>
        <w:t xml:space="preserve">Vrsta </w:t>
      </w:r>
      <w:r w:rsidRPr="00C928C6">
        <w:rPr>
          <w:rFonts w:ascii="Constantia" w:hAnsi="Constantia"/>
          <w:i/>
        </w:rPr>
        <w:t>Utricularia vulgaris</w:t>
      </w:r>
      <w:r w:rsidRPr="00C928C6">
        <w:rPr>
          <w:rFonts w:ascii="Constantia" w:hAnsi="Constantia"/>
        </w:rPr>
        <w:t xml:space="preserve"> je vrijedna u smislu zaštite kao vrsta u zajednici ili komponenta staništa</w:t>
      </w:r>
      <w:r w:rsidR="00C928C6">
        <w:rPr>
          <w:rFonts w:ascii="Constantia" w:hAnsi="Constantia"/>
        </w:rPr>
        <w:t>,</w:t>
      </w:r>
      <w:r w:rsidRPr="00C928C6">
        <w:rPr>
          <w:rFonts w:ascii="Constantia" w:hAnsi="Constantia"/>
        </w:rPr>
        <w:t xml:space="preserve"> stoga su monitoring aktivnosti bile usmjerene ka zajednicama i stanišnom tipu. Da bi se dobio uvid o zastupljenosti i brojnosti populacije obrađeni su brojni lokaliteti (i unutar njih mikrolokaliteti) na cijelom području jezera. Tokom oba mjeseca istraživanja na svim lokalitetima, jedinke su bile u submerznoj fazi (bez izdignutih cvjetova nad vodom), skrivene unutar prostranih flotantnih zajednica lokvanja i kasaronje (</w:t>
      </w:r>
      <w:r w:rsidRPr="00C928C6">
        <w:rPr>
          <w:rFonts w:ascii="Constantia" w:hAnsi="Constantia"/>
          <w:i/>
        </w:rPr>
        <w:t>Hidrocharis</w:t>
      </w:r>
      <w:r w:rsidRPr="00C928C6">
        <w:rPr>
          <w:rFonts w:ascii="Constantia" w:hAnsi="Constantia"/>
        </w:rPr>
        <w:t xml:space="preserve"> na lok. Pančeva oka) pokrovnosti od 80-100%, najbrojnije uz obalu do 0,5 m dubine, na muljevitoj podlozi u izraženoj anaerobnoj sredini. Takvi stanišni uslovi otežavali su rad na terenu (otežano kretanje i zamućenost vode) odrazili su se na preciznost dobijenih podataka i nemogućnost da se procijeni ukupna površina staništa populacije (odnosno subpopulacije) u odnosu na površinu staništa koju zauzima flotantna zajednica. Iz ovih razloga u tabelarnom prikazu date su samo minimalne brojnosti subpopulacija (populacije na određenom lokalitetu), koje odgovaraju broju nađenih jedinki na mjernoj površini (površini kvadrata ili transekta). Vrlo je vjerovatno da su brojnosti subpopulacija na svakom lokalitetu veće od iznijetih, da je vrsta (populacija) prisutna i na drugim lokalitetima jezera (na staništima koja joj po ekologiji odgovaraju), da se realno očekuje da bi vrijednosti utvrđene u julu bile veće tokom avgusta mjeseca. Pojedinačni predstavnici vrste evidentirani su</w:t>
      </w:r>
      <w:r w:rsidR="00C928C6">
        <w:rPr>
          <w:rFonts w:ascii="Constantia" w:hAnsi="Constantia"/>
        </w:rPr>
        <w:t xml:space="preserve"> n</w:t>
      </w:r>
      <w:r w:rsidRPr="00C928C6">
        <w:rPr>
          <w:rFonts w:ascii="Constantia" w:hAnsi="Constantia"/>
        </w:rPr>
        <w:t xml:space="preserve">a lokalitetima: Plavnica, Pančeva oka, Grabovnica, Vrbovac, </w:t>
      </w:r>
      <w:r w:rsidR="00C928C6">
        <w:rPr>
          <w:rFonts w:ascii="Constantia" w:hAnsi="Constantia"/>
        </w:rPr>
        <w:t>Vranjina, Morač</w:t>
      </w:r>
      <w:r w:rsidRPr="00C928C6">
        <w:rPr>
          <w:rFonts w:ascii="Constantia" w:hAnsi="Constantia"/>
        </w:rPr>
        <w:t xml:space="preserve">a, Crmnička </w:t>
      </w:r>
      <w:r w:rsidR="00C928C6">
        <w:rPr>
          <w:rFonts w:ascii="Constantia" w:hAnsi="Constantia"/>
        </w:rPr>
        <w:t xml:space="preserve">Rijeka </w:t>
      </w:r>
      <w:r w:rsidRPr="00C928C6">
        <w:rPr>
          <w:rFonts w:ascii="Constantia" w:hAnsi="Constantia"/>
        </w:rPr>
        <w:t>(</w:t>
      </w:r>
      <w:r w:rsidR="00C928C6">
        <w:rPr>
          <w:rFonts w:ascii="Constantia" w:hAnsi="Constantia"/>
        </w:rPr>
        <w:t>Virpazar), Tanki rt, Mrčiluka, Đ</w:t>
      </w:r>
      <w:r w:rsidRPr="00C928C6">
        <w:rPr>
          <w:rFonts w:ascii="Constantia" w:hAnsi="Constantia"/>
        </w:rPr>
        <w:t xml:space="preserve">uravci, Gostiljska </w:t>
      </w:r>
      <w:r w:rsidR="00C928C6">
        <w:rPr>
          <w:rFonts w:ascii="Constantia" w:hAnsi="Constantia"/>
        </w:rPr>
        <w:t>rijeka</w:t>
      </w:r>
      <w:r w:rsidRPr="00C928C6">
        <w:rPr>
          <w:rFonts w:ascii="Constantia" w:hAnsi="Constantia"/>
        </w:rPr>
        <w:t xml:space="preserve">, Zetica, Pijesi, Gusjenica, Zabljačke livade, Zaliv Godinje, Karatuma, Kamenik i tri manja zaliva. Nije potvrđen raniji nalaz na lokalitetu Vranjina, iako je sprovedeno istraživanje na više mikrolokacija duž obale (ispod pruge) i sa vode uz kanal Morače. Jedan od mogućih razloga za </w:t>
      </w:r>
      <w:r w:rsidRPr="00C928C6">
        <w:rPr>
          <w:rFonts w:ascii="Constantia" w:hAnsi="Constantia"/>
        </w:rPr>
        <w:lastRenderedPageBreak/>
        <w:t xml:space="preserve">nenalaženje </w:t>
      </w:r>
      <w:r w:rsidRPr="00C928C6">
        <w:rPr>
          <w:rFonts w:ascii="Constantia" w:hAnsi="Constantia"/>
          <w:i/>
        </w:rPr>
        <w:t>Utricularia vulgaris</w:t>
      </w:r>
      <w:r w:rsidRPr="00C928C6">
        <w:rPr>
          <w:rFonts w:ascii="Constantia" w:hAnsi="Constantia"/>
        </w:rPr>
        <w:t xml:space="preserve"> na lokalitetu Vranjina, između pruge i kanala Morače, je izgradnja privatnih marina, odnosno povećano korišćenje motornih čamaca koji ustalasavaju obalnu vodu i time mijenjaju stanišne uslove koji su potrebni ovoj vrsti. Na osnovu ukupnosti rezultata, može se konstatovati da je populacija </w:t>
      </w:r>
      <w:r w:rsidRPr="00C928C6">
        <w:rPr>
          <w:rFonts w:ascii="Constantia" w:hAnsi="Constantia"/>
          <w:i/>
        </w:rPr>
        <w:t>Utricularia vulgarsis</w:t>
      </w:r>
      <w:r w:rsidRPr="00C928C6">
        <w:rPr>
          <w:rFonts w:ascii="Constantia" w:hAnsi="Constantia"/>
        </w:rPr>
        <w:t xml:space="preserve"> na Skadarskom jezeru brojna i neugrožena.</w:t>
      </w:r>
    </w:p>
    <w:p w:rsidR="004B071C" w:rsidRPr="00C94192" w:rsidRDefault="004B071C" w:rsidP="004B071C">
      <w:pPr>
        <w:rPr>
          <w:rFonts w:ascii="Constantia" w:hAnsi="Constantia"/>
        </w:rPr>
      </w:pPr>
      <w:r w:rsidRPr="00C94192">
        <w:rPr>
          <w:rFonts w:ascii="Constantia" w:hAnsi="Constantia"/>
        </w:rPr>
        <w:t xml:space="preserve">Vrsta </w:t>
      </w:r>
      <w:r w:rsidRPr="00C94192">
        <w:rPr>
          <w:rFonts w:ascii="Constantia" w:hAnsi="Constantia"/>
          <w:i/>
        </w:rPr>
        <w:t>Caldesia parnassifolia</w:t>
      </w:r>
      <w:r w:rsidRPr="00C94192">
        <w:rPr>
          <w:rFonts w:ascii="Constantia" w:hAnsi="Constantia"/>
        </w:rPr>
        <w:t xml:space="preserve"> konstatovana je na lokalitetu sa 7-8 primjer</w:t>
      </w:r>
      <w:r w:rsidR="00C94192">
        <w:rPr>
          <w:rFonts w:ascii="Constantia" w:hAnsi="Constantia"/>
        </w:rPr>
        <w:t>a</w:t>
      </w:r>
      <w:r w:rsidRPr="00C94192">
        <w:rPr>
          <w:rFonts w:ascii="Constantia" w:hAnsi="Constantia"/>
        </w:rPr>
        <w:t xml:space="preserve">ka. Konstatovani su samo listovi zajedno sa </w:t>
      </w:r>
      <w:r w:rsidRPr="00C94192">
        <w:rPr>
          <w:rFonts w:ascii="Constantia" w:hAnsi="Constantia"/>
          <w:i/>
        </w:rPr>
        <w:t>Hydrocharis morsus ranae</w:t>
      </w:r>
      <w:r w:rsidRPr="00C94192">
        <w:rPr>
          <w:rFonts w:ascii="Constantia" w:hAnsi="Constantia"/>
        </w:rPr>
        <w:t xml:space="preserve">. Ovo je lokalitet gdje je vrsta prvi put konstatovana za teritoriju Crne Gore od strane BIBERDŽIĆ 2007. Vrsta se na lokalitetu Pančeva oka javlja uz rubove ostrvaca od tresetišta sa dominacijom </w:t>
      </w:r>
      <w:r w:rsidRPr="00C94192">
        <w:rPr>
          <w:rFonts w:ascii="Constantia" w:hAnsi="Constantia"/>
          <w:i/>
        </w:rPr>
        <w:t>Phragmites australis</w:t>
      </w:r>
      <w:r w:rsidRPr="00C94192">
        <w:rPr>
          <w:rFonts w:ascii="Constantia" w:hAnsi="Constantia"/>
        </w:rPr>
        <w:t xml:space="preserve">. Pored </w:t>
      </w:r>
      <w:r w:rsidRPr="00C94192">
        <w:rPr>
          <w:rFonts w:ascii="Constantia" w:hAnsi="Constantia"/>
          <w:i/>
        </w:rPr>
        <w:t>Ph. australis</w:t>
      </w:r>
      <w:r w:rsidRPr="00C94192">
        <w:rPr>
          <w:rFonts w:ascii="Constantia" w:hAnsi="Constantia"/>
        </w:rPr>
        <w:t xml:space="preserve"> vrste koje se javljaju uz rubove ostrvaca tresetišta na ovom lokalitetu su: </w:t>
      </w:r>
      <w:r w:rsidRPr="00C94192">
        <w:rPr>
          <w:rFonts w:ascii="Constantia" w:hAnsi="Constantia"/>
          <w:i/>
        </w:rPr>
        <w:t>Hydrocharis morsus ranae, Bidens cernua, Cladium marsicus, Thelypteris palustris, Calystegia sepium, Scutellaia galericulata, Ludwigia palustris, Utricularia vulgaris, Polygonum maculatum, Ceratophyllum demersum etc</w:t>
      </w:r>
      <w:r w:rsidRPr="00C94192">
        <w:rPr>
          <w:rFonts w:ascii="Constantia" w:hAnsi="Constantia"/>
        </w:rPr>
        <w:t>..  Lokalitet Pančeva oka posjećen je dva puta (05. 08. 2013.; 11. 09. 2013.). Prilikom prvog terenskog obilaska na pomenutom lokalitetu konstatovano je oko 10 primjeraka ove vrste s tim što je vrsta bila u vegetacionom periodu na nivou razvoja listova koji su plutali na vodi. Drugi terenski obilazak obavljen je sa ciljem da se vrsta uoči u periodu cvjetanja ali, vrsta nije konstatovana.</w:t>
      </w:r>
    </w:p>
    <w:p w:rsidR="004B071C" w:rsidRPr="00C94192" w:rsidRDefault="004B071C" w:rsidP="004B071C">
      <w:pPr>
        <w:rPr>
          <w:rFonts w:ascii="Constantia" w:hAnsi="Constantia"/>
        </w:rPr>
      </w:pPr>
      <w:r w:rsidRPr="00C94192">
        <w:rPr>
          <w:rFonts w:ascii="Constantia" w:hAnsi="Constantia"/>
        </w:rPr>
        <w:t>Na osnovu ovih raspoloživih podataka sa terena, odnosno, sa jedinog lokaliteta može se zaključiti da vrsta treba, shodno kriterijima IUCN-a, biti uključena u kategoriju kritično ugroženih (CR - Critical Endengered) u skladu sa IUCN vodičem – nacionalni kritetijumi.</w:t>
      </w:r>
    </w:p>
    <w:p w:rsidR="004B071C" w:rsidRPr="00C94192" w:rsidRDefault="004B071C" w:rsidP="004B071C">
      <w:pPr>
        <w:rPr>
          <w:rFonts w:ascii="Constantia" w:hAnsi="Constantia"/>
        </w:rPr>
      </w:pPr>
      <w:r w:rsidRPr="00C94192">
        <w:rPr>
          <w:rFonts w:ascii="Constantia" w:hAnsi="Constantia"/>
        </w:rPr>
        <w:t xml:space="preserve">Tokom istraživanja vrsta </w:t>
      </w:r>
      <w:r w:rsidRPr="00F81FDC">
        <w:rPr>
          <w:rFonts w:ascii="Constantia" w:hAnsi="Constantia"/>
          <w:i/>
        </w:rPr>
        <w:t>Najas flexilis</w:t>
      </w:r>
      <w:r w:rsidRPr="00C94192">
        <w:rPr>
          <w:rFonts w:ascii="Constantia" w:hAnsi="Constantia"/>
        </w:rPr>
        <w:t xml:space="preserve"> nije konstatovana</w:t>
      </w:r>
      <w:r w:rsidR="00F81FDC">
        <w:rPr>
          <w:rFonts w:ascii="Constantia" w:hAnsi="Constantia"/>
        </w:rPr>
        <w:t>,</w:t>
      </w:r>
      <w:r w:rsidRPr="00C94192">
        <w:rPr>
          <w:rFonts w:ascii="Constantia" w:hAnsi="Constantia"/>
        </w:rPr>
        <w:t xml:space="preserve"> ali s obzirom na ekološke uslove na jezeru očekujemo potvrđivanje ovog nalaza tokom istraživanja u narednom periodu. Praktično na svim lokalitetima posvećena je pažnja praćenja. Na osnovu postojećih istraživanja područja čitavog Skadarskog jezera može se zaključiti da ima indicija da bi vrsta mogla biti nađena. Naime, ova vrsta se navodi za jezero, bez konkretnog lokaliteta</w:t>
      </w:r>
      <w:r w:rsidR="00F81FDC">
        <w:rPr>
          <w:rFonts w:ascii="Constantia" w:hAnsi="Constantia"/>
        </w:rPr>
        <w:t>,</w:t>
      </w:r>
      <w:r w:rsidRPr="00C94192">
        <w:rPr>
          <w:rFonts w:ascii="Constantia" w:hAnsi="Constantia"/>
        </w:rPr>
        <w:t xml:space="preserve"> ali nije potvrđen nalaz. Dakle, shodno tim činjenicama i kriterijima IUCN-a vrsta bi mogla imati jednu od dvije kategoriju Ex (Extinct) ili CR </w:t>
      </w:r>
      <w:r w:rsidR="00F81FDC">
        <w:rPr>
          <w:rFonts w:ascii="Constantia" w:hAnsi="Constantia"/>
        </w:rPr>
        <w:t>(</w:t>
      </w:r>
      <w:r w:rsidRPr="00C94192">
        <w:rPr>
          <w:rFonts w:ascii="Constantia" w:hAnsi="Constantia"/>
        </w:rPr>
        <w:t>Critical Endengered).</w:t>
      </w:r>
    </w:p>
    <w:p w:rsidR="004B071C" w:rsidRDefault="004B071C" w:rsidP="004B071C">
      <w:r w:rsidRPr="00C94192">
        <w:rPr>
          <w:rFonts w:ascii="Constantia" w:hAnsi="Constantia"/>
        </w:rPr>
        <w:t xml:space="preserve">Kad je riječ o </w:t>
      </w:r>
      <w:r w:rsidRPr="000B5CBF">
        <w:rPr>
          <w:rFonts w:ascii="Constantia" w:hAnsi="Constantia"/>
          <w:i/>
        </w:rPr>
        <w:t>Marsilea quadrifolia</w:t>
      </w:r>
      <w:r w:rsidRPr="00C94192">
        <w:rPr>
          <w:rFonts w:ascii="Constantia" w:hAnsi="Constantia"/>
        </w:rPr>
        <w:t xml:space="preserve"> istraživanja su obuhvatila obilazak lokaliteta obalnog područja Skadarskog jezera za koje se i navodi ova vrsta: Plavnica, Gostilj-Gostiljska rijeka, Mataguži. Četiri teren</w:t>
      </w:r>
      <w:r w:rsidR="000B5CBF">
        <w:rPr>
          <w:rFonts w:ascii="Constantia" w:hAnsi="Constantia"/>
        </w:rPr>
        <w:t>ska dana bilo je posvećeno obil</w:t>
      </w:r>
      <w:r w:rsidRPr="00C94192">
        <w:rPr>
          <w:rFonts w:ascii="Constantia" w:hAnsi="Constantia"/>
        </w:rPr>
        <w:t>a</w:t>
      </w:r>
      <w:r w:rsidR="000B5CBF">
        <w:rPr>
          <w:rFonts w:ascii="Constantia" w:hAnsi="Constantia"/>
        </w:rPr>
        <w:t>s</w:t>
      </w:r>
      <w:r w:rsidRPr="00C94192">
        <w:rPr>
          <w:rFonts w:ascii="Constantia" w:hAnsi="Constantia"/>
        </w:rPr>
        <w:t>ku navedenih lokaliteta. Tokom ovih istraživanja na navedenim lokalitetima vrsta nije konstatovana. Na osnovu ovih činjenica moglo bi se konstatovati da je vrsta iščezla u prirodi i u tom smislu bi mogla dobiti kat</w:t>
      </w:r>
      <w:r w:rsidR="000B5CBF">
        <w:rPr>
          <w:rFonts w:ascii="Constantia" w:hAnsi="Constantia"/>
        </w:rPr>
        <w:t>e</w:t>
      </w:r>
      <w:r w:rsidRPr="00C94192">
        <w:rPr>
          <w:rFonts w:ascii="Constantia" w:hAnsi="Constantia"/>
        </w:rPr>
        <w:t xml:space="preserve">goriju EX – iščezla (shodno IUCN kategorizaciji konzervacijskog statusa biljnih vrsta). Međutim, i dalje je naše stanovište da bi se vrsta </w:t>
      </w:r>
      <w:r w:rsidRPr="000B5CBF">
        <w:rPr>
          <w:rFonts w:ascii="Constantia" w:hAnsi="Constantia"/>
          <w:i/>
        </w:rPr>
        <w:t>Marsilea quadrifolia</w:t>
      </w:r>
      <w:r w:rsidRPr="00C94192">
        <w:rPr>
          <w:rFonts w:ascii="Constantia" w:hAnsi="Constantia"/>
        </w:rPr>
        <w:t xml:space="preserve"> trebala voditi kao kritično ugrožena (CR) i tek bi se na osnovu naknadnih istraživanja na istim ovim lokalitetima moglo eventualno doći do drugačijeg zaključka. U tom smislu predlažu se dalja istraživanja vrste na pomenutim lokalitetima za koje postoje literaturni podaci.</w:t>
      </w:r>
      <w:r w:rsidRPr="00E90D22">
        <w:t xml:space="preserve">  </w:t>
      </w:r>
    </w:p>
    <w:p w:rsidR="00246375" w:rsidRPr="00246375" w:rsidRDefault="00246375" w:rsidP="004B071C"/>
    <w:tbl>
      <w:tblPr>
        <w:tblpPr w:leftFromText="180" w:rightFromText="180" w:vertAnchor="text" w:tblpXSpec="center" w:tblpY="1"/>
        <w:tblW w:w="0" w:type="auto"/>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firstRow="1" w:lastRow="0" w:firstColumn="1" w:lastColumn="0" w:noHBand="0" w:noVBand="1"/>
      </w:tblPr>
      <w:tblGrid>
        <w:gridCol w:w="2322"/>
        <w:gridCol w:w="3276"/>
        <w:gridCol w:w="3600"/>
      </w:tblGrid>
      <w:tr w:rsidR="004B071C" w:rsidRPr="00246375" w:rsidTr="004E680E">
        <w:tc>
          <w:tcPr>
            <w:tcW w:w="2322" w:type="dxa"/>
            <w:shd w:val="clear" w:color="auto" w:fill="E6EED5"/>
          </w:tcPr>
          <w:p w:rsidR="004B071C" w:rsidRPr="00246375" w:rsidRDefault="004B071C" w:rsidP="004E680E">
            <w:pPr>
              <w:keepNext/>
              <w:keepLines/>
              <w:spacing w:before="60"/>
              <w:outlineLvl w:val="3"/>
              <w:rPr>
                <w:rFonts w:ascii="Constantia" w:hAnsi="Constantia" w:cs="Arial"/>
                <w:b/>
                <w:bCs/>
                <w:iCs/>
                <w:color w:val="000000"/>
                <w:szCs w:val="22"/>
              </w:rPr>
            </w:pPr>
            <w:r w:rsidRPr="00246375">
              <w:rPr>
                <w:rFonts w:ascii="Constantia" w:hAnsi="Constantia" w:cs="Arial"/>
                <w:b/>
                <w:bCs/>
                <w:iCs/>
                <w:color w:val="000000"/>
                <w:szCs w:val="22"/>
              </w:rPr>
              <w:t>Tip</w:t>
            </w:r>
          </w:p>
        </w:tc>
        <w:tc>
          <w:tcPr>
            <w:tcW w:w="3276" w:type="dxa"/>
            <w:shd w:val="clear" w:color="auto" w:fill="E6EED5"/>
          </w:tcPr>
          <w:p w:rsidR="004B071C" w:rsidRPr="00246375" w:rsidRDefault="004B071C" w:rsidP="004E680E">
            <w:pPr>
              <w:keepNext/>
              <w:keepLines/>
              <w:spacing w:before="60"/>
              <w:outlineLvl w:val="3"/>
              <w:rPr>
                <w:rFonts w:ascii="Constantia" w:hAnsi="Constantia" w:cs="Arial"/>
                <w:b/>
                <w:bCs/>
                <w:iCs/>
                <w:color w:val="000000"/>
                <w:szCs w:val="22"/>
              </w:rPr>
            </w:pPr>
            <w:r w:rsidRPr="00246375">
              <w:rPr>
                <w:rFonts w:ascii="Constantia" w:hAnsi="Constantia" w:cs="Arial"/>
                <w:b/>
                <w:bCs/>
                <w:iCs/>
                <w:color w:val="000000"/>
                <w:szCs w:val="22"/>
              </w:rPr>
              <w:t>Vrste</w:t>
            </w:r>
          </w:p>
        </w:tc>
        <w:tc>
          <w:tcPr>
            <w:tcW w:w="3600" w:type="dxa"/>
            <w:shd w:val="clear" w:color="auto" w:fill="E6EED5"/>
          </w:tcPr>
          <w:p w:rsidR="004B071C" w:rsidRPr="00246375" w:rsidRDefault="004B071C" w:rsidP="004E680E">
            <w:pPr>
              <w:keepNext/>
              <w:keepLines/>
              <w:spacing w:before="60"/>
              <w:jc w:val="center"/>
              <w:outlineLvl w:val="3"/>
              <w:rPr>
                <w:rFonts w:ascii="Constantia" w:hAnsi="Constantia" w:cs="Arial"/>
                <w:b/>
                <w:bCs/>
                <w:iCs/>
                <w:color w:val="000000"/>
                <w:szCs w:val="22"/>
              </w:rPr>
            </w:pPr>
            <w:r w:rsidRPr="00246375">
              <w:rPr>
                <w:rFonts w:ascii="Constantia" w:hAnsi="Constantia" w:cs="Arial"/>
                <w:b/>
                <w:bCs/>
                <w:iCs/>
                <w:color w:val="000000"/>
                <w:szCs w:val="22"/>
              </w:rPr>
              <w:t>Uticaj</w:t>
            </w:r>
          </w:p>
        </w:tc>
      </w:tr>
      <w:tr w:rsidR="004B071C" w:rsidRPr="00246375" w:rsidTr="004E680E">
        <w:tc>
          <w:tcPr>
            <w:tcW w:w="2322" w:type="dxa"/>
            <w:shd w:val="clear" w:color="auto" w:fill="CDDDAC"/>
          </w:tcPr>
          <w:p w:rsidR="004B071C" w:rsidRPr="00246375" w:rsidRDefault="004B071C" w:rsidP="004962F6">
            <w:pPr>
              <w:keepNext/>
              <w:keepLines/>
              <w:spacing w:after="0"/>
              <w:outlineLvl w:val="3"/>
              <w:rPr>
                <w:rFonts w:ascii="Constantia" w:hAnsi="Constantia" w:cs="Arial"/>
                <w:bCs/>
                <w:iCs/>
                <w:color w:val="000000"/>
                <w:szCs w:val="22"/>
              </w:rPr>
            </w:pPr>
            <w:r w:rsidRPr="00246375">
              <w:rPr>
                <w:rFonts w:ascii="Constantia" w:hAnsi="Constantia" w:cs="Arial"/>
                <w:bCs/>
                <w:iCs/>
                <w:color w:val="000000"/>
                <w:szCs w:val="22"/>
              </w:rPr>
              <w:t>Urbani</w:t>
            </w:r>
            <w:r w:rsidR="004962F6">
              <w:rPr>
                <w:rFonts w:ascii="Constantia" w:hAnsi="Constantia" w:cs="Arial"/>
                <w:bCs/>
                <w:iCs/>
                <w:color w:val="000000"/>
                <w:szCs w:val="22"/>
              </w:rPr>
              <w:t>zacija</w:t>
            </w:r>
          </w:p>
        </w:tc>
        <w:tc>
          <w:tcPr>
            <w:tcW w:w="3276" w:type="dxa"/>
            <w:shd w:val="clear" w:color="auto" w:fill="CDDDAC"/>
          </w:tcPr>
          <w:p w:rsidR="004B071C" w:rsidRPr="004962F6" w:rsidRDefault="004B071C" w:rsidP="00246375">
            <w:pPr>
              <w:keepNext/>
              <w:keepLines/>
              <w:spacing w:after="0"/>
              <w:outlineLvl w:val="3"/>
              <w:rPr>
                <w:rFonts w:ascii="Constantia" w:hAnsi="Constantia" w:cs="Arial"/>
                <w:bCs/>
                <w:i/>
                <w:iCs/>
                <w:color w:val="000000"/>
                <w:szCs w:val="22"/>
              </w:rPr>
            </w:pPr>
            <w:r w:rsidRPr="004962F6">
              <w:rPr>
                <w:rFonts w:ascii="Constantia" w:hAnsi="Constantia" w:cs="Arial"/>
                <w:bCs/>
                <w:i/>
                <w:iCs/>
                <w:color w:val="000000"/>
                <w:szCs w:val="22"/>
              </w:rPr>
              <w:t>Marsilea quadrifolia</w:t>
            </w:r>
          </w:p>
        </w:tc>
        <w:tc>
          <w:tcPr>
            <w:tcW w:w="3600" w:type="dxa"/>
            <w:shd w:val="clear" w:color="auto" w:fill="CDDDAC"/>
          </w:tcPr>
          <w:p w:rsidR="004B071C" w:rsidRPr="00246375" w:rsidRDefault="004B071C" w:rsidP="00246375">
            <w:pPr>
              <w:keepNext/>
              <w:keepLines/>
              <w:spacing w:after="0"/>
              <w:jc w:val="center"/>
              <w:outlineLvl w:val="3"/>
              <w:rPr>
                <w:rFonts w:ascii="Constantia" w:hAnsi="Constantia" w:cs="Arial"/>
                <w:bCs/>
                <w:iCs/>
                <w:color w:val="000000"/>
                <w:szCs w:val="22"/>
              </w:rPr>
            </w:pPr>
            <w:r w:rsidRPr="00246375">
              <w:rPr>
                <w:rFonts w:ascii="Constantia" w:hAnsi="Constantia" w:cs="Arial"/>
                <w:bCs/>
                <w:iCs/>
                <w:color w:val="000000"/>
                <w:szCs w:val="22"/>
              </w:rPr>
              <w:t>A</w:t>
            </w:r>
          </w:p>
        </w:tc>
      </w:tr>
      <w:tr w:rsidR="004B071C" w:rsidRPr="00246375" w:rsidTr="004E680E">
        <w:tc>
          <w:tcPr>
            <w:tcW w:w="2322" w:type="dxa"/>
            <w:shd w:val="clear" w:color="auto" w:fill="E6EED5"/>
          </w:tcPr>
          <w:p w:rsidR="004B071C" w:rsidRPr="00246375" w:rsidRDefault="004962F6" w:rsidP="004962F6">
            <w:pPr>
              <w:keepNext/>
              <w:keepLines/>
              <w:spacing w:after="0"/>
              <w:outlineLvl w:val="3"/>
              <w:rPr>
                <w:rFonts w:ascii="Constantia" w:hAnsi="Constantia" w:cs="Arial"/>
                <w:bCs/>
                <w:iCs/>
                <w:color w:val="000000"/>
                <w:szCs w:val="22"/>
              </w:rPr>
            </w:pPr>
            <w:r>
              <w:rPr>
                <w:rFonts w:ascii="Constantia" w:hAnsi="Constantia" w:cs="Arial"/>
                <w:bCs/>
                <w:iCs/>
                <w:color w:val="000000"/>
                <w:szCs w:val="22"/>
              </w:rPr>
              <w:t>Poljoprivreda</w:t>
            </w:r>
          </w:p>
        </w:tc>
        <w:tc>
          <w:tcPr>
            <w:tcW w:w="3276" w:type="dxa"/>
            <w:shd w:val="clear" w:color="auto" w:fill="E6EED5"/>
          </w:tcPr>
          <w:p w:rsidR="004B071C" w:rsidRPr="004962F6" w:rsidRDefault="004B071C" w:rsidP="00246375">
            <w:pPr>
              <w:keepNext/>
              <w:keepLines/>
              <w:spacing w:after="0"/>
              <w:outlineLvl w:val="3"/>
              <w:rPr>
                <w:rFonts w:ascii="Constantia" w:hAnsi="Constantia" w:cs="Arial"/>
                <w:bCs/>
                <w:i/>
                <w:iCs/>
                <w:color w:val="000000"/>
                <w:szCs w:val="22"/>
              </w:rPr>
            </w:pPr>
          </w:p>
        </w:tc>
        <w:tc>
          <w:tcPr>
            <w:tcW w:w="3600" w:type="dxa"/>
            <w:shd w:val="clear" w:color="auto" w:fill="E6EED5"/>
          </w:tcPr>
          <w:p w:rsidR="004B071C" w:rsidRPr="00246375" w:rsidRDefault="004B071C" w:rsidP="00246375">
            <w:pPr>
              <w:keepNext/>
              <w:keepLines/>
              <w:spacing w:after="0"/>
              <w:jc w:val="center"/>
              <w:outlineLvl w:val="3"/>
              <w:rPr>
                <w:rFonts w:ascii="Constantia" w:hAnsi="Constantia" w:cs="Arial"/>
                <w:bCs/>
                <w:iCs/>
                <w:color w:val="000000"/>
                <w:szCs w:val="22"/>
              </w:rPr>
            </w:pPr>
            <w:r w:rsidRPr="00246375">
              <w:rPr>
                <w:rFonts w:ascii="Constantia" w:hAnsi="Constantia" w:cs="Arial"/>
                <w:bCs/>
                <w:iCs/>
                <w:color w:val="000000"/>
                <w:szCs w:val="22"/>
              </w:rPr>
              <w:t>B</w:t>
            </w:r>
          </w:p>
        </w:tc>
      </w:tr>
      <w:tr w:rsidR="004B071C" w:rsidRPr="00246375" w:rsidTr="004E680E">
        <w:tc>
          <w:tcPr>
            <w:tcW w:w="2322" w:type="dxa"/>
            <w:shd w:val="clear" w:color="auto" w:fill="CDDDAC"/>
          </w:tcPr>
          <w:p w:rsidR="004B071C" w:rsidRPr="00246375" w:rsidRDefault="004B071C" w:rsidP="004962F6">
            <w:pPr>
              <w:keepNext/>
              <w:keepLines/>
              <w:spacing w:after="0"/>
              <w:outlineLvl w:val="3"/>
              <w:rPr>
                <w:rFonts w:ascii="Constantia" w:hAnsi="Constantia" w:cs="Arial"/>
                <w:bCs/>
                <w:iCs/>
                <w:color w:val="000000"/>
                <w:szCs w:val="22"/>
              </w:rPr>
            </w:pPr>
            <w:r w:rsidRPr="00246375">
              <w:rPr>
                <w:rFonts w:ascii="Constantia" w:hAnsi="Constantia" w:cs="Arial"/>
                <w:bCs/>
                <w:iCs/>
                <w:color w:val="000000"/>
                <w:szCs w:val="22"/>
              </w:rPr>
              <w:t>Industr</w:t>
            </w:r>
            <w:r w:rsidR="004962F6">
              <w:rPr>
                <w:rFonts w:ascii="Constantia" w:hAnsi="Constantia" w:cs="Arial"/>
                <w:bCs/>
                <w:iCs/>
                <w:color w:val="000000"/>
                <w:szCs w:val="22"/>
              </w:rPr>
              <w:t>ija</w:t>
            </w:r>
          </w:p>
        </w:tc>
        <w:tc>
          <w:tcPr>
            <w:tcW w:w="3276" w:type="dxa"/>
            <w:shd w:val="clear" w:color="auto" w:fill="CDDDAC"/>
          </w:tcPr>
          <w:p w:rsidR="004B071C" w:rsidRPr="004962F6" w:rsidRDefault="004B071C" w:rsidP="00246375">
            <w:pPr>
              <w:keepNext/>
              <w:keepLines/>
              <w:spacing w:after="0"/>
              <w:outlineLvl w:val="3"/>
              <w:rPr>
                <w:rFonts w:ascii="Constantia" w:hAnsi="Constantia" w:cs="Arial"/>
                <w:bCs/>
                <w:i/>
                <w:iCs/>
                <w:color w:val="000000"/>
                <w:szCs w:val="22"/>
              </w:rPr>
            </w:pPr>
          </w:p>
        </w:tc>
        <w:tc>
          <w:tcPr>
            <w:tcW w:w="3600" w:type="dxa"/>
            <w:shd w:val="clear" w:color="auto" w:fill="CDDDAC"/>
          </w:tcPr>
          <w:p w:rsidR="004B071C" w:rsidRPr="00246375" w:rsidRDefault="004B071C" w:rsidP="00246375">
            <w:pPr>
              <w:keepNext/>
              <w:keepLines/>
              <w:spacing w:after="0"/>
              <w:jc w:val="center"/>
              <w:outlineLvl w:val="3"/>
              <w:rPr>
                <w:rFonts w:ascii="Constantia" w:hAnsi="Constantia" w:cs="Arial"/>
                <w:bCs/>
                <w:iCs/>
                <w:color w:val="000000"/>
                <w:szCs w:val="22"/>
              </w:rPr>
            </w:pPr>
            <w:r w:rsidRPr="00246375">
              <w:rPr>
                <w:rFonts w:ascii="Constantia" w:hAnsi="Constantia" w:cs="Arial"/>
                <w:bCs/>
                <w:iCs/>
                <w:color w:val="000000"/>
                <w:szCs w:val="22"/>
              </w:rPr>
              <w:t>B</w:t>
            </w:r>
          </w:p>
        </w:tc>
      </w:tr>
      <w:tr w:rsidR="004B071C" w:rsidRPr="00246375" w:rsidTr="004E680E">
        <w:tc>
          <w:tcPr>
            <w:tcW w:w="2322" w:type="dxa"/>
            <w:shd w:val="clear" w:color="auto" w:fill="E6EED5"/>
          </w:tcPr>
          <w:p w:rsidR="004B071C" w:rsidRPr="00246375" w:rsidRDefault="004B071C" w:rsidP="004962F6">
            <w:pPr>
              <w:keepNext/>
              <w:keepLines/>
              <w:spacing w:after="0"/>
              <w:outlineLvl w:val="3"/>
              <w:rPr>
                <w:rFonts w:ascii="Constantia" w:hAnsi="Constantia" w:cs="Arial"/>
                <w:bCs/>
                <w:iCs/>
                <w:color w:val="000000"/>
                <w:szCs w:val="22"/>
              </w:rPr>
            </w:pPr>
            <w:r w:rsidRPr="00246375">
              <w:rPr>
                <w:rFonts w:ascii="Constantia" w:hAnsi="Constantia" w:cs="Arial"/>
                <w:bCs/>
                <w:iCs/>
                <w:color w:val="000000"/>
                <w:szCs w:val="22"/>
              </w:rPr>
              <w:t>Eutro</w:t>
            </w:r>
            <w:r w:rsidR="004962F6">
              <w:rPr>
                <w:rFonts w:ascii="Constantia" w:hAnsi="Constantia" w:cs="Arial"/>
                <w:bCs/>
                <w:iCs/>
                <w:color w:val="000000"/>
                <w:szCs w:val="22"/>
              </w:rPr>
              <w:t>f</w:t>
            </w:r>
            <w:r w:rsidRPr="00246375">
              <w:rPr>
                <w:rFonts w:ascii="Constantia" w:hAnsi="Constantia" w:cs="Arial"/>
                <w:bCs/>
                <w:iCs/>
                <w:color w:val="000000"/>
                <w:szCs w:val="22"/>
              </w:rPr>
              <w:t>i</w:t>
            </w:r>
            <w:r w:rsidR="004962F6">
              <w:rPr>
                <w:rFonts w:ascii="Constantia" w:hAnsi="Constantia" w:cs="Arial"/>
                <w:bCs/>
                <w:iCs/>
                <w:color w:val="000000"/>
                <w:szCs w:val="22"/>
              </w:rPr>
              <w:t>ka</w:t>
            </w:r>
            <w:r w:rsidRPr="00246375">
              <w:rPr>
                <w:rFonts w:ascii="Constantia" w:hAnsi="Constantia" w:cs="Arial"/>
                <w:bCs/>
                <w:iCs/>
                <w:color w:val="000000"/>
                <w:szCs w:val="22"/>
              </w:rPr>
              <w:t>c</w:t>
            </w:r>
            <w:r w:rsidR="004962F6">
              <w:rPr>
                <w:rFonts w:ascii="Constantia" w:hAnsi="Constantia" w:cs="Arial"/>
                <w:bCs/>
                <w:iCs/>
                <w:color w:val="000000"/>
                <w:szCs w:val="22"/>
              </w:rPr>
              <w:t>ij</w:t>
            </w:r>
            <w:r w:rsidRPr="00246375">
              <w:rPr>
                <w:rFonts w:ascii="Constantia" w:hAnsi="Constantia" w:cs="Arial"/>
                <w:bCs/>
                <w:iCs/>
                <w:color w:val="000000"/>
                <w:szCs w:val="22"/>
              </w:rPr>
              <w:t>a</w:t>
            </w:r>
          </w:p>
        </w:tc>
        <w:tc>
          <w:tcPr>
            <w:tcW w:w="3276" w:type="dxa"/>
            <w:shd w:val="clear" w:color="auto" w:fill="E6EED5"/>
          </w:tcPr>
          <w:p w:rsidR="004B071C" w:rsidRPr="004962F6" w:rsidRDefault="004B071C" w:rsidP="00246375">
            <w:pPr>
              <w:keepNext/>
              <w:keepLines/>
              <w:spacing w:after="0"/>
              <w:outlineLvl w:val="3"/>
              <w:rPr>
                <w:rFonts w:ascii="Constantia" w:hAnsi="Constantia" w:cs="Arial"/>
                <w:bCs/>
                <w:i/>
                <w:iCs/>
                <w:color w:val="000000"/>
                <w:szCs w:val="22"/>
              </w:rPr>
            </w:pPr>
            <w:r w:rsidRPr="004962F6">
              <w:rPr>
                <w:rFonts w:ascii="Constantia" w:hAnsi="Constantia" w:cs="Arial"/>
                <w:bCs/>
                <w:i/>
                <w:iCs/>
                <w:color w:val="000000"/>
                <w:szCs w:val="22"/>
              </w:rPr>
              <w:t>Caldesia parnassifolia</w:t>
            </w:r>
          </w:p>
          <w:p w:rsidR="004B071C" w:rsidRPr="004962F6" w:rsidRDefault="004B071C" w:rsidP="00246375">
            <w:pPr>
              <w:keepNext/>
              <w:keepLines/>
              <w:spacing w:after="0"/>
              <w:outlineLvl w:val="3"/>
              <w:rPr>
                <w:rFonts w:ascii="Constantia" w:hAnsi="Constantia" w:cs="Arial"/>
                <w:bCs/>
                <w:i/>
                <w:iCs/>
                <w:color w:val="000000"/>
                <w:szCs w:val="22"/>
              </w:rPr>
            </w:pPr>
            <w:r w:rsidRPr="004962F6">
              <w:rPr>
                <w:rFonts w:ascii="Constantia" w:hAnsi="Constantia" w:cs="Arial"/>
                <w:bCs/>
                <w:i/>
                <w:iCs/>
                <w:color w:val="000000"/>
                <w:szCs w:val="22"/>
              </w:rPr>
              <w:t>Marsilea quadrifolia</w:t>
            </w:r>
          </w:p>
        </w:tc>
        <w:tc>
          <w:tcPr>
            <w:tcW w:w="3600" w:type="dxa"/>
            <w:shd w:val="clear" w:color="auto" w:fill="E6EED5"/>
          </w:tcPr>
          <w:p w:rsidR="004B071C" w:rsidRPr="00246375" w:rsidRDefault="004B071C" w:rsidP="00246375">
            <w:pPr>
              <w:keepNext/>
              <w:keepLines/>
              <w:spacing w:after="0"/>
              <w:jc w:val="center"/>
              <w:outlineLvl w:val="3"/>
              <w:rPr>
                <w:rFonts w:ascii="Constantia" w:hAnsi="Constantia" w:cs="Arial"/>
                <w:bCs/>
                <w:iCs/>
                <w:color w:val="000000"/>
                <w:szCs w:val="22"/>
              </w:rPr>
            </w:pPr>
            <w:r w:rsidRPr="00246375">
              <w:rPr>
                <w:rFonts w:ascii="Constantia" w:hAnsi="Constantia" w:cs="Arial"/>
                <w:bCs/>
                <w:iCs/>
                <w:color w:val="000000"/>
                <w:szCs w:val="22"/>
              </w:rPr>
              <w:t>A</w:t>
            </w:r>
          </w:p>
        </w:tc>
      </w:tr>
    </w:tbl>
    <w:p w:rsidR="004B071C" w:rsidRPr="002C4EC0" w:rsidRDefault="004B071C" w:rsidP="001F40AF">
      <w:pPr>
        <w:numPr>
          <w:ilvl w:val="0"/>
          <w:numId w:val="29"/>
        </w:numPr>
        <w:spacing w:after="200" w:line="276" w:lineRule="auto"/>
        <w:contextualSpacing/>
        <w:jc w:val="center"/>
        <w:rPr>
          <w:rFonts w:ascii="Constantia" w:eastAsia="Calibri" w:hAnsi="Constantia"/>
          <w:szCs w:val="22"/>
        </w:rPr>
      </w:pPr>
      <w:r w:rsidRPr="002C4EC0">
        <w:rPr>
          <w:rFonts w:ascii="Constantia" w:eastAsia="Calibri" w:hAnsi="Constantia"/>
          <w:szCs w:val="22"/>
        </w:rPr>
        <w:t>Visok uticaj, B- srednji uticaj, C – nizak uticaj</w:t>
      </w:r>
    </w:p>
    <w:p w:rsidR="004B071C" w:rsidRPr="002C4EC0" w:rsidRDefault="004B071C" w:rsidP="004B071C">
      <w:pPr>
        <w:pStyle w:val="Tabele"/>
        <w:spacing w:before="60" w:after="240"/>
        <w:ind w:left="714" w:hanging="357"/>
        <w:rPr>
          <w:rFonts w:ascii="Constantia" w:eastAsia="Calibri" w:hAnsi="Constantia"/>
          <w:sz w:val="22"/>
          <w:szCs w:val="22"/>
        </w:rPr>
      </w:pPr>
      <w:r w:rsidRPr="002C4EC0">
        <w:rPr>
          <w:rFonts w:ascii="Constantia" w:eastAsia="Calibri" w:hAnsi="Constantia"/>
          <w:sz w:val="22"/>
          <w:szCs w:val="22"/>
        </w:rPr>
        <w:t>Procjena uticaja aktivnosti na populacije biljnih vrsta</w:t>
      </w:r>
    </w:p>
    <w:p w:rsidR="004B071C" w:rsidRPr="002C4EC0" w:rsidRDefault="004B071C" w:rsidP="00893543">
      <w:pPr>
        <w:rPr>
          <w:rFonts w:ascii="Constantia" w:hAnsi="Constantia"/>
          <w:b/>
        </w:rPr>
      </w:pPr>
      <w:r w:rsidRPr="002C4EC0">
        <w:rPr>
          <w:rFonts w:ascii="Constantia" w:hAnsi="Constantia"/>
          <w:b/>
        </w:rPr>
        <w:lastRenderedPageBreak/>
        <w:t>Staništa</w:t>
      </w:r>
    </w:p>
    <w:p w:rsidR="004B071C" w:rsidRPr="002C4EC0" w:rsidRDefault="004B071C" w:rsidP="004B071C">
      <w:pPr>
        <w:rPr>
          <w:rFonts w:ascii="Constantia" w:hAnsi="Constantia" w:cs="Arial"/>
          <w:bCs/>
          <w:iCs/>
          <w:color w:val="000000"/>
          <w:szCs w:val="22"/>
        </w:rPr>
      </w:pPr>
      <w:r w:rsidRPr="002C4EC0">
        <w:rPr>
          <w:rFonts w:ascii="Constantia" w:hAnsi="Constantia" w:cs="Arial"/>
          <w:bCs/>
          <w:i/>
          <w:iCs/>
          <w:color w:val="000000"/>
          <w:szCs w:val="22"/>
        </w:rPr>
        <w:t>Utricularietum vulgaris</w:t>
      </w:r>
      <w:r w:rsidRPr="002C4EC0">
        <w:rPr>
          <w:rFonts w:ascii="Constantia" w:hAnsi="Constantia" w:cs="Arial"/>
          <w:bCs/>
          <w:iCs/>
          <w:color w:val="000000"/>
          <w:szCs w:val="22"/>
        </w:rPr>
        <w:t xml:space="preserve"> (Soó 1928) Passarge 1962 zajednica nađena je tokom</w:t>
      </w:r>
      <w:r w:rsidR="002C4EC0">
        <w:rPr>
          <w:rFonts w:ascii="Constantia" w:hAnsi="Constantia" w:cs="Arial"/>
          <w:bCs/>
          <w:iCs/>
          <w:color w:val="000000"/>
          <w:szCs w:val="22"/>
        </w:rPr>
        <w:t xml:space="preserve"> istraživanja na dva lokaliteta</w:t>
      </w:r>
      <w:r w:rsidRPr="002C4EC0">
        <w:rPr>
          <w:rFonts w:ascii="Constantia" w:hAnsi="Constantia" w:cs="Arial"/>
          <w:bCs/>
          <w:iCs/>
          <w:color w:val="000000"/>
          <w:szCs w:val="22"/>
        </w:rPr>
        <w:t>: Pančeva oka i Podhum. Procijenjeno je da je na lokalitetu Pančeva oka stanište diskontinuirano i mozaično i pokriva oko 5</w:t>
      </w:r>
      <w:r w:rsidR="002C4EC0">
        <w:rPr>
          <w:rFonts w:ascii="Constantia" w:hAnsi="Constantia" w:cs="Arial"/>
          <w:bCs/>
          <w:iCs/>
          <w:color w:val="000000"/>
          <w:szCs w:val="22"/>
        </w:rPr>
        <w:t xml:space="preserve"> </w:t>
      </w:r>
      <w:r w:rsidRPr="002C4EC0">
        <w:rPr>
          <w:rFonts w:ascii="Constantia" w:hAnsi="Constantia" w:cs="Arial"/>
          <w:bCs/>
          <w:iCs/>
          <w:color w:val="000000"/>
          <w:szCs w:val="22"/>
        </w:rPr>
        <w:t>m</w:t>
      </w:r>
      <w:r w:rsidRPr="002C4EC0">
        <w:rPr>
          <w:rFonts w:ascii="Constantia" w:hAnsi="Constantia" w:cs="Arial"/>
          <w:bCs/>
          <w:iCs/>
          <w:color w:val="000000"/>
          <w:szCs w:val="22"/>
          <w:vertAlign w:val="superscript"/>
        </w:rPr>
        <w:t xml:space="preserve">2 </w:t>
      </w:r>
      <w:r w:rsidRPr="002C4EC0">
        <w:rPr>
          <w:rFonts w:ascii="Constantia" w:hAnsi="Constantia" w:cs="Arial"/>
          <w:bCs/>
          <w:iCs/>
          <w:color w:val="000000"/>
          <w:szCs w:val="22"/>
        </w:rPr>
        <w:t>(70%) a na lokalitetu Podhum pokazuje takođe diskontinuitet i rijetku distribuciju pokrivajući 3</w:t>
      </w:r>
      <w:r w:rsidR="002C4EC0">
        <w:rPr>
          <w:rFonts w:ascii="Constantia" w:hAnsi="Constantia" w:cs="Arial"/>
          <w:bCs/>
          <w:iCs/>
          <w:color w:val="000000"/>
          <w:szCs w:val="22"/>
        </w:rPr>
        <w:t xml:space="preserve"> </w:t>
      </w:r>
      <w:r w:rsidRPr="002C4EC0">
        <w:rPr>
          <w:rFonts w:ascii="Constantia" w:hAnsi="Constantia" w:cs="Arial"/>
          <w:bCs/>
          <w:iCs/>
          <w:color w:val="000000"/>
          <w:szCs w:val="22"/>
        </w:rPr>
        <w:t>m</w:t>
      </w:r>
      <w:r w:rsidRPr="002C4EC0">
        <w:rPr>
          <w:rFonts w:ascii="Constantia" w:hAnsi="Constantia" w:cs="Arial"/>
          <w:bCs/>
          <w:iCs/>
          <w:color w:val="000000"/>
          <w:szCs w:val="22"/>
          <w:vertAlign w:val="superscript"/>
        </w:rPr>
        <w:t>2</w:t>
      </w:r>
      <w:r w:rsidRPr="002C4EC0">
        <w:rPr>
          <w:rFonts w:ascii="Constantia" w:hAnsi="Constantia" w:cs="Arial"/>
          <w:bCs/>
          <w:iCs/>
          <w:color w:val="000000"/>
          <w:szCs w:val="22"/>
        </w:rPr>
        <w:t xml:space="preserve"> (30%).</w:t>
      </w:r>
    </w:p>
    <w:p w:rsidR="004B071C" w:rsidRPr="002C4EC0" w:rsidRDefault="004B071C" w:rsidP="004B071C">
      <w:pPr>
        <w:rPr>
          <w:rFonts w:ascii="Constantia" w:hAnsi="Constantia" w:cs="Arial"/>
          <w:bCs/>
          <w:iCs/>
          <w:color w:val="000000"/>
          <w:szCs w:val="22"/>
        </w:rPr>
      </w:pPr>
      <w:r w:rsidRPr="002C4EC0">
        <w:rPr>
          <w:rFonts w:ascii="Constantia" w:hAnsi="Constantia" w:cs="Arial"/>
          <w:bCs/>
          <w:iCs/>
          <w:color w:val="000000"/>
          <w:szCs w:val="22"/>
        </w:rPr>
        <w:t>Isprekidanost staništa i mozaičan raspored uslovili su da se hrast javlja u vidu pojedinačnih stabala ili manjih grupacija, uz koje je čest podmladak. Ukupno 161 GPS markacija, odnosno koordinata, potvrđuje brojnost vrste na istraž</w:t>
      </w:r>
      <w:r w:rsidR="002C4EC0">
        <w:rPr>
          <w:rFonts w:ascii="Constantia" w:hAnsi="Constantia" w:cs="Arial"/>
          <w:bCs/>
          <w:iCs/>
          <w:color w:val="000000"/>
          <w:szCs w:val="22"/>
        </w:rPr>
        <w:t>ivanom području površine 130 ha</w:t>
      </w:r>
      <w:r w:rsidRPr="002C4EC0">
        <w:rPr>
          <w:rFonts w:ascii="Constantia" w:hAnsi="Constantia" w:cs="Arial"/>
          <w:bCs/>
          <w:iCs/>
          <w:color w:val="000000"/>
          <w:szCs w:val="22"/>
        </w:rPr>
        <w:t>. Za svako veće stablo izmjerene su i tabelarno i grafikonom predstavljene, visina, obim i prečnik. Za reprezentativna primjerke urađena je procjena starosti, na osnovu godovnog uzorka.</w:t>
      </w:r>
    </w:p>
    <w:p w:rsidR="004B071C" w:rsidRPr="002C4EC0" w:rsidRDefault="004B071C" w:rsidP="004B071C">
      <w:pPr>
        <w:rPr>
          <w:rFonts w:ascii="Constantia" w:hAnsi="Constantia" w:cs="Arial"/>
          <w:bCs/>
          <w:iCs/>
          <w:color w:val="000000"/>
          <w:szCs w:val="22"/>
        </w:rPr>
      </w:pPr>
      <w:r w:rsidRPr="002C4EC0">
        <w:rPr>
          <w:rFonts w:ascii="Constantia" w:hAnsi="Constantia" w:cs="Arial"/>
          <w:bCs/>
          <w:iCs/>
          <w:color w:val="000000"/>
          <w:szCs w:val="22"/>
        </w:rPr>
        <w:t>Na cjelokupnom području, ostaci vegetacije odlikuju se ujednačenim florističkim sastavom.  Od drvenastih vrsta evidentirani su:  poljski jasen,  poljski javor, brijest, obična i srebrna vrba, topola, crna jova, drača, svib, smokva, džanja, glog, od povijuša - grčka lustrika, kupina, pavit, divlja loza, i od zeljastih - vodena menta, štavelj, drijemovac. Dobijenim popisom vrsta potvrđeni su struktura i sastav primarne zajednice skadarskog hrasta sa poljskim jasenom, dok značajno prisustvo podmlatka na antropogeno degradiranim dijelovima staništa, potvrđuje da je cjelokupno područje primarno stanište istraživane vrste i zajednice koju gradi.</w:t>
      </w:r>
      <w:r w:rsidRPr="002C4EC0">
        <w:rPr>
          <w:rFonts w:ascii="Constantia" w:hAnsi="Constantia"/>
        </w:rPr>
        <w:t xml:space="preserve"> </w:t>
      </w:r>
      <w:r w:rsidRPr="002C4EC0">
        <w:rPr>
          <w:rFonts w:ascii="Constantia" w:hAnsi="Constantia" w:cs="Arial"/>
          <w:bCs/>
          <w:iCs/>
          <w:color w:val="000000"/>
          <w:szCs w:val="22"/>
        </w:rPr>
        <w:t>Brojnost podmladaka, naročito na imanjima koja su godinama zapuštena, potvrđuje da je cijelo područje primarno stanište šumske zajednice skadarskog hrasta i jasena i da postoje uslovi za njenu spontanu revitalizacije na dijelovima staništa koji više nijesu pod antropogenim uticajem.</w:t>
      </w:r>
    </w:p>
    <w:p w:rsidR="004B071C" w:rsidRPr="002C4EC0" w:rsidRDefault="004B071C" w:rsidP="004B071C">
      <w:pPr>
        <w:rPr>
          <w:rFonts w:ascii="Constantia" w:hAnsi="Constantia" w:cs="Arial"/>
          <w:bCs/>
          <w:iCs/>
          <w:color w:val="000000"/>
          <w:szCs w:val="22"/>
        </w:rPr>
      </w:pPr>
      <w:r w:rsidRPr="002C4EC0">
        <w:rPr>
          <w:rFonts w:ascii="Constantia" w:hAnsi="Constantia" w:cs="Arial"/>
          <w:bCs/>
          <w:iCs/>
          <w:color w:val="000000"/>
          <w:szCs w:val="22"/>
        </w:rPr>
        <w:t>Omerova gorica se nalazi u južnem dijelu Skadraskog jezera u neposrednoj blizini sela Murići i ostrva Beška. Površina ovog ostrva je 1,5 ha. Nadmorska visina ovog ostrva se kreću od 5 23 MNV. Od ukupne površine ostrva oko 90% je obraslo vegetacijom, a od toga 20 % otpada na lovor. Pored lovora ostrvo je obraslo vrstama: hrast crnika (</w:t>
      </w:r>
      <w:r w:rsidRPr="00BA6DB6">
        <w:rPr>
          <w:rFonts w:ascii="Constantia" w:hAnsi="Constantia" w:cs="Arial"/>
          <w:bCs/>
          <w:i/>
          <w:iCs/>
          <w:color w:val="000000"/>
          <w:szCs w:val="22"/>
        </w:rPr>
        <w:t>Quecus ilex L</w:t>
      </w:r>
      <w:r w:rsidRPr="002C4EC0">
        <w:rPr>
          <w:rFonts w:ascii="Constantia" w:hAnsi="Constantia" w:cs="Arial"/>
          <w:bCs/>
          <w:iCs/>
          <w:color w:val="000000"/>
          <w:szCs w:val="22"/>
        </w:rPr>
        <w:t>.), grabić (</w:t>
      </w:r>
      <w:r w:rsidRPr="00BA6DB6">
        <w:rPr>
          <w:rFonts w:ascii="Constantia" w:hAnsi="Constantia" w:cs="Arial"/>
          <w:bCs/>
          <w:i/>
          <w:iCs/>
          <w:color w:val="000000"/>
          <w:szCs w:val="22"/>
        </w:rPr>
        <w:t>Ostrya carpinifolia Scop</w:t>
      </w:r>
      <w:r w:rsidRPr="002C4EC0">
        <w:rPr>
          <w:rFonts w:ascii="Constantia" w:hAnsi="Constantia" w:cs="Arial"/>
          <w:bCs/>
          <w:iCs/>
          <w:color w:val="000000"/>
          <w:szCs w:val="22"/>
        </w:rPr>
        <w:t>.), divlji nar (</w:t>
      </w:r>
      <w:r w:rsidRPr="00BA6DB6">
        <w:rPr>
          <w:rFonts w:ascii="Constantia" w:hAnsi="Constantia" w:cs="Arial"/>
          <w:bCs/>
          <w:i/>
          <w:iCs/>
          <w:color w:val="000000"/>
          <w:szCs w:val="22"/>
        </w:rPr>
        <w:t>Punica granatum</w:t>
      </w:r>
      <w:r w:rsidRPr="002C4EC0">
        <w:rPr>
          <w:rFonts w:ascii="Constantia" w:hAnsi="Constantia" w:cs="Arial"/>
          <w:bCs/>
          <w:iCs/>
          <w:color w:val="000000"/>
          <w:szCs w:val="22"/>
        </w:rPr>
        <w:t xml:space="preserve"> L.), smrdljika (</w:t>
      </w:r>
      <w:r w:rsidRPr="00BA6DB6">
        <w:rPr>
          <w:rFonts w:ascii="Constantia" w:hAnsi="Constantia" w:cs="Arial"/>
          <w:bCs/>
          <w:i/>
          <w:iCs/>
          <w:color w:val="000000"/>
          <w:szCs w:val="22"/>
        </w:rPr>
        <w:t>Pistacia terebinthus L</w:t>
      </w:r>
      <w:r w:rsidRPr="002C4EC0">
        <w:rPr>
          <w:rFonts w:ascii="Constantia" w:hAnsi="Constantia" w:cs="Arial"/>
          <w:bCs/>
          <w:iCs/>
          <w:color w:val="000000"/>
          <w:szCs w:val="22"/>
        </w:rPr>
        <w:t>.), drača (</w:t>
      </w:r>
      <w:r w:rsidRPr="00BA6DB6">
        <w:rPr>
          <w:rFonts w:ascii="Constantia" w:hAnsi="Constantia" w:cs="Arial"/>
          <w:bCs/>
          <w:i/>
          <w:iCs/>
          <w:color w:val="000000"/>
          <w:szCs w:val="22"/>
        </w:rPr>
        <w:t>Paliurus spina-christi Mill</w:t>
      </w:r>
      <w:r w:rsidRPr="002C4EC0">
        <w:rPr>
          <w:rFonts w:ascii="Constantia" w:hAnsi="Constantia" w:cs="Arial"/>
          <w:bCs/>
          <w:iCs/>
          <w:color w:val="000000"/>
          <w:szCs w:val="22"/>
        </w:rPr>
        <w:t>.), crni jasen (</w:t>
      </w:r>
      <w:r w:rsidRPr="00BA6DB6">
        <w:rPr>
          <w:rFonts w:ascii="Constantia" w:hAnsi="Constantia" w:cs="Arial"/>
          <w:bCs/>
          <w:i/>
          <w:iCs/>
          <w:color w:val="000000"/>
          <w:szCs w:val="22"/>
        </w:rPr>
        <w:t>Fraxinus ornus- L</w:t>
      </w:r>
      <w:r w:rsidRPr="002C4EC0">
        <w:rPr>
          <w:rFonts w:ascii="Constantia" w:hAnsi="Constantia" w:cs="Arial"/>
          <w:bCs/>
          <w:iCs/>
          <w:color w:val="000000"/>
          <w:szCs w:val="22"/>
        </w:rPr>
        <w:t>.), divlja ruža (</w:t>
      </w:r>
      <w:r w:rsidRPr="00BA6DB6">
        <w:rPr>
          <w:rFonts w:ascii="Constantia" w:hAnsi="Constantia" w:cs="Arial"/>
          <w:bCs/>
          <w:i/>
          <w:iCs/>
          <w:color w:val="000000"/>
          <w:szCs w:val="22"/>
        </w:rPr>
        <w:t>Rosa sp.)</w:t>
      </w:r>
      <w:r w:rsidRPr="002C4EC0">
        <w:rPr>
          <w:rFonts w:ascii="Constantia" w:hAnsi="Constantia" w:cs="Arial"/>
          <w:bCs/>
          <w:iCs/>
          <w:color w:val="000000"/>
          <w:szCs w:val="22"/>
        </w:rPr>
        <w:t xml:space="preserve"> i dr. Središnji dio ostrva je potpuno pod kamenjarom i stijenama. Dok su rubni dijelovi ostrva obrasli vegetacijom. Zdravstveno stanje stabala koja se nalaze uz obalu ostrva je dobro dok su stabla koja su u unutrašnjosti ostrva najčešće, oštećena, polomljena i suva. Zabilježeni su i tragovi prisustva domaće stoke (ovce i koze).</w:t>
      </w:r>
      <w:r w:rsidR="00BA6DB6">
        <w:rPr>
          <w:rFonts w:ascii="Constantia" w:hAnsi="Constantia" w:cs="Arial"/>
          <w:bCs/>
          <w:iCs/>
          <w:color w:val="000000"/>
          <w:szCs w:val="22"/>
        </w:rPr>
        <w:t xml:space="preserve"> </w:t>
      </w:r>
      <w:r w:rsidRPr="002C4EC0">
        <w:rPr>
          <w:rFonts w:ascii="Constantia" w:hAnsi="Constantia" w:cs="Arial"/>
          <w:bCs/>
          <w:iCs/>
          <w:color w:val="000000"/>
          <w:szCs w:val="22"/>
        </w:rPr>
        <w:t>Konstatovano je da je lovor na ovom području u fazi degradacije. Degradacioni procesi su nastali isključivo pod uticajem ljudskog faktora jer ovo ostrvo lokalno stanovništvo koristi za ispašu stoke. U tom slučaju dolazi do prevelikog brsta šumskih i prizemnih vrsta i do osiromašenje ostrva sa vegetacijom (Prilog 2). Na ostrvu su evidentirani utabani puteljci koji dokazuju da je prisustvo čovjeka i domaćih životinja radovna pojava na ovom području.</w:t>
      </w:r>
      <w:r w:rsidR="00BA6DB6">
        <w:rPr>
          <w:rFonts w:ascii="Constantia" w:hAnsi="Constantia" w:cs="Arial"/>
          <w:bCs/>
          <w:iCs/>
          <w:color w:val="000000"/>
          <w:szCs w:val="22"/>
        </w:rPr>
        <w:t xml:space="preserve"> </w:t>
      </w:r>
      <w:r w:rsidRPr="002C4EC0">
        <w:rPr>
          <w:rFonts w:ascii="Constantia" w:hAnsi="Constantia" w:cs="Arial"/>
          <w:bCs/>
          <w:iCs/>
          <w:color w:val="000000"/>
          <w:szCs w:val="22"/>
        </w:rPr>
        <w:t>U obalnom području, posebno južnih i jugo-zapadnih ekspospozicija, evidentirana su stabla debljinskog prečnika oko 20 cm (najveći izmjereni prečnik je 24 cm) i visine oko 10 m (najvisočije izmjereno stablo lovora je 12 m). Na visočijim stablima su konstatovana gnijezada sive čaplje. Takođe izdanačka sposobnost se ogleda u velikom broju izdanaka isključivo oko odraslih stabala. Pretpostavka je da je pojava izdanaka usko povezana sa brstom koza i ovaca na ovom ostrvu. U pridanku ovih stabla je izražena jaka izdanačka sposobnost. U unutrašnjosti ostrva evidentirana su manja stabla, visine oko 3 m, u fazi makije i šikare. Zavisno od visinske strukture šumske strukture, otvore</w:t>
      </w:r>
      <w:r w:rsidR="00BA6DB6">
        <w:rPr>
          <w:rFonts w:ascii="Constantia" w:hAnsi="Constantia" w:cs="Arial"/>
          <w:bCs/>
          <w:iCs/>
          <w:color w:val="000000"/>
          <w:szCs w:val="22"/>
        </w:rPr>
        <w:t>nost sklopa se kreće od 50–80</w:t>
      </w:r>
      <w:r w:rsidRPr="002C4EC0">
        <w:rPr>
          <w:rFonts w:ascii="Constantia" w:hAnsi="Constantia" w:cs="Arial"/>
          <w:bCs/>
          <w:iCs/>
          <w:color w:val="000000"/>
          <w:szCs w:val="22"/>
        </w:rPr>
        <w:t>%.</w:t>
      </w:r>
    </w:p>
    <w:p w:rsidR="004B071C" w:rsidRPr="002C4EC0" w:rsidRDefault="004B071C" w:rsidP="004B071C">
      <w:pPr>
        <w:rPr>
          <w:rFonts w:ascii="Constantia" w:hAnsi="Constantia" w:cs="Arial"/>
          <w:bCs/>
          <w:iCs/>
          <w:color w:val="000000"/>
          <w:szCs w:val="22"/>
        </w:rPr>
      </w:pPr>
      <w:r w:rsidRPr="002C4EC0">
        <w:rPr>
          <w:rFonts w:ascii="Constantia" w:hAnsi="Constantia" w:cs="Arial"/>
          <w:bCs/>
          <w:iCs/>
          <w:color w:val="000000"/>
          <w:szCs w:val="22"/>
        </w:rPr>
        <w:t>Ostrvo Mala Čakovica se nalazi u sjevernom dijelu Skadarskog jezera i smješteno je u neposrednoj blizini ostrva Velika Čakovica i Kamenik. Površina ostrva je 3,05 ha. Nadmorska visina ovog ostrva se kreće od 5 do 46 MNV. Od ukupne površine ostrva vegetaciju čini preko 90% površine i to vrste : lovor (</w:t>
      </w:r>
      <w:r w:rsidRPr="00D262B8">
        <w:rPr>
          <w:rFonts w:ascii="Constantia" w:hAnsi="Constantia" w:cs="Arial"/>
          <w:bCs/>
          <w:i/>
          <w:iCs/>
          <w:color w:val="000000"/>
          <w:szCs w:val="22"/>
        </w:rPr>
        <w:t>Laurus nobilis L.),</w:t>
      </w:r>
      <w:r w:rsidRPr="002C4EC0">
        <w:rPr>
          <w:rFonts w:ascii="Constantia" w:hAnsi="Constantia" w:cs="Arial"/>
          <w:bCs/>
          <w:iCs/>
          <w:color w:val="000000"/>
          <w:szCs w:val="22"/>
        </w:rPr>
        <w:t xml:space="preserve"> divlji nar (</w:t>
      </w:r>
      <w:r w:rsidRPr="00D262B8">
        <w:rPr>
          <w:rFonts w:ascii="Constantia" w:hAnsi="Constantia" w:cs="Arial"/>
          <w:bCs/>
          <w:i/>
          <w:iCs/>
          <w:color w:val="000000"/>
          <w:szCs w:val="22"/>
        </w:rPr>
        <w:t>Punica granatum L</w:t>
      </w:r>
      <w:r w:rsidRPr="002C4EC0">
        <w:rPr>
          <w:rFonts w:ascii="Constantia" w:hAnsi="Constantia" w:cs="Arial"/>
          <w:bCs/>
          <w:iCs/>
          <w:color w:val="000000"/>
          <w:szCs w:val="22"/>
        </w:rPr>
        <w:t>.), grabić (</w:t>
      </w:r>
      <w:r w:rsidRPr="00D262B8">
        <w:rPr>
          <w:rFonts w:ascii="Constantia" w:hAnsi="Constantia" w:cs="Arial"/>
          <w:bCs/>
          <w:i/>
          <w:iCs/>
          <w:color w:val="000000"/>
          <w:szCs w:val="22"/>
        </w:rPr>
        <w:t>Ostrya carpinifolia Scop</w:t>
      </w:r>
      <w:r w:rsidRPr="002C4EC0">
        <w:rPr>
          <w:rFonts w:ascii="Constantia" w:hAnsi="Constantia" w:cs="Arial"/>
          <w:bCs/>
          <w:iCs/>
          <w:color w:val="000000"/>
          <w:szCs w:val="22"/>
        </w:rPr>
        <w:t>.), hrast crnika-česmina (</w:t>
      </w:r>
      <w:r w:rsidRPr="00D262B8">
        <w:rPr>
          <w:rFonts w:ascii="Constantia" w:hAnsi="Constantia" w:cs="Arial"/>
          <w:bCs/>
          <w:i/>
          <w:iCs/>
          <w:color w:val="000000"/>
          <w:szCs w:val="22"/>
        </w:rPr>
        <w:t>Quecus ilex L</w:t>
      </w:r>
      <w:r w:rsidRPr="002C4EC0">
        <w:rPr>
          <w:rFonts w:ascii="Constantia" w:hAnsi="Constantia" w:cs="Arial"/>
          <w:bCs/>
          <w:iCs/>
          <w:color w:val="000000"/>
          <w:szCs w:val="22"/>
        </w:rPr>
        <w:t>.), maginja ili planika (</w:t>
      </w:r>
      <w:r w:rsidRPr="00D262B8">
        <w:rPr>
          <w:rFonts w:ascii="Constantia" w:hAnsi="Constantia" w:cs="Arial"/>
          <w:bCs/>
          <w:i/>
          <w:iCs/>
          <w:color w:val="000000"/>
          <w:szCs w:val="22"/>
        </w:rPr>
        <w:t xml:space="preserve">Arbutus </w:t>
      </w:r>
      <w:r w:rsidRPr="00D262B8">
        <w:rPr>
          <w:rFonts w:ascii="Constantia" w:hAnsi="Constantia" w:cs="Arial"/>
          <w:bCs/>
          <w:i/>
          <w:iCs/>
          <w:color w:val="000000"/>
          <w:szCs w:val="22"/>
        </w:rPr>
        <w:lastRenderedPageBreak/>
        <w:t>unedo L.</w:t>
      </w:r>
      <w:r w:rsidRPr="002C4EC0">
        <w:rPr>
          <w:rFonts w:ascii="Constantia" w:hAnsi="Constantia" w:cs="Arial"/>
          <w:bCs/>
          <w:iCs/>
          <w:color w:val="000000"/>
          <w:szCs w:val="22"/>
        </w:rPr>
        <w:t>), makedonski hras (</w:t>
      </w:r>
      <w:r w:rsidRPr="00D262B8">
        <w:rPr>
          <w:rFonts w:ascii="Constantia" w:hAnsi="Constantia" w:cs="Arial"/>
          <w:bCs/>
          <w:i/>
          <w:iCs/>
          <w:color w:val="000000"/>
          <w:szCs w:val="22"/>
        </w:rPr>
        <w:t>Quercus trojana Webb</w:t>
      </w:r>
      <w:r w:rsidRPr="002C4EC0">
        <w:rPr>
          <w:rFonts w:ascii="Constantia" w:hAnsi="Constantia" w:cs="Arial"/>
          <w:bCs/>
          <w:iCs/>
          <w:color w:val="000000"/>
          <w:szCs w:val="22"/>
        </w:rPr>
        <w:t>.), kupina (</w:t>
      </w:r>
      <w:r w:rsidRPr="00D262B8">
        <w:rPr>
          <w:rFonts w:ascii="Constantia" w:hAnsi="Constantia" w:cs="Arial"/>
          <w:bCs/>
          <w:i/>
          <w:iCs/>
          <w:color w:val="000000"/>
          <w:szCs w:val="22"/>
        </w:rPr>
        <w:t>Rubus discolor Weihe&amp;Nees.</w:t>
      </w:r>
      <w:r w:rsidRPr="002C4EC0">
        <w:rPr>
          <w:rFonts w:ascii="Constantia" w:hAnsi="Constantia" w:cs="Arial"/>
          <w:bCs/>
          <w:iCs/>
          <w:color w:val="000000"/>
          <w:szCs w:val="22"/>
        </w:rPr>
        <w:t>), smrdljika (</w:t>
      </w:r>
      <w:r w:rsidRPr="00D262B8">
        <w:rPr>
          <w:rFonts w:ascii="Constantia" w:hAnsi="Constantia" w:cs="Arial"/>
          <w:bCs/>
          <w:i/>
          <w:iCs/>
          <w:color w:val="000000"/>
          <w:szCs w:val="22"/>
        </w:rPr>
        <w:t>Pistacia terebinthus L</w:t>
      </w:r>
      <w:r w:rsidRPr="002C4EC0">
        <w:rPr>
          <w:rFonts w:ascii="Constantia" w:hAnsi="Constantia" w:cs="Arial"/>
          <w:bCs/>
          <w:iCs/>
          <w:color w:val="000000"/>
          <w:szCs w:val="22"/>
        </w:rPr>
        <w:t>.), drača (</w:t>
      </w:r>
      <w:r w:rsidRPr="00D262B8">
        <w:rPr>
          <w:rFonts w:ascii="Constantia" w:hAnsi="Constantia" w:cs="Arial"/>
          <w:bCs/>
          <w:i/>
          <w:iCs/>
          <w:color w:val="000000"/>
          <w:szCs w:val="22"/>
        </w:rPr>
        <w:t>Paliurus spina-christi Mill</w:t>
      </w:r>
      <w:r w:rsidRPr="002C4EC0">
        <w:rPr>
          <w:rFonts w:ascii="Constantia" w:hAnsi="Constantia" w:cs="Arial"/>
          <w:bCs/>
          <w:iCs/>
          <w:color w:val="000000"/>
          <w:szCs w:val="22"/>
        </w:rPr>
        <w:t>.) i dr. Kad se lovor nađe u zajednici sa raznim elementima mediteranske biljne zajednice, naročito sa crnikom i planikom, može preuzeti i ulogu dominantne vrste (J. Balen. 1935.), kao što je i ovde bio slučaj. U pitanju je niska šuma, stabla su polegla ali su visine  3-4 metra. Debljina ovih stabala se kreće od 3-5 cm, i visine do</w:t>
      </w:r>
      <w:r w:rsidR="00D262B8">
        <w:rPr>
          <w:rFonts w:ascii="Constantia" w:hAnsi="Constantia" w:cs="Arial"/>
          <w:bCs/>
          <w:iCs/>
          <w:color w:val="000000"/>
          <w:szCs w:val="22"/>
        </w:rPr>
        <w:t xml:space="preserve"> 5 m.  Sklop gotovo potpun - 90</w:t>
      </w:r>
      <w:r w:rsidRPr="002C4EC0">
        <w:rPr>
          <w:rFonts w:ascii="Constantia" w:hAnsi="Constantia" w:cs="Arial"/>
          <w:bCs/>
          <w:iCs/>
          <w:color w:val="000000"/>
          <w:szCs w:val="22"/>
        </w:rPr>
        <w:t>% pokrovnosti.</w:t>
      </w:r>
    </w:p>
    <w:p w:rsidR="004B071C" w:rsidRPr="002C4EC0" w:rsidRDefault="004B071C" w:rsidP="004B071C">
      <w:pPr>
        <w:rPr>
          <w:rFonts w:ascii="Constantia" w:hAnsi="Constantia" w:cs="Arial"/>
          <w:bCs/>
          <w:iCs/>
          <w:color w:val="000000"/>
          <w:szCs w:val="22"/>
        </w:rPr>
      </w:pPr>
      <w:r w:rsidRPr="002C4EC0">
        <w:rPr>
          <w:rFonts w:ascii="Constantia" w:hAnsi="Constantia" w:cs="Arial"/>
          <w:bCs/>
          <w:iCs/>
          <w:color w:val="000000"/>
          <w:szCs w:val="22"/>
        </w:rPr>
        <w:t>Kao i kod prethodnog lokaliteta lovor najčešće naseljava obalna područja ostrva. I ako lovor na ovim ostrvima pokazuje svoj pun potencijal, ipak nije raširio svoj areal u njegove visočije dijelove. Stanje lovora na ostrvu Mala Čakovica se ogleda u velikom broju stabala po jedinici površine što uveliko utiče na obezbjeđenje povoljnih mikroklimatskih uslova za lovor. Ovakvi uslovi u potpunosti odgovaraju lovoru za njegov dalji opstanak. Stanište Male Čakovice pokazuje jači stepen vlažnosti jer sam lovor ima više zaštite, pa je razumljivo da stvara i podnosi jaku zasjenu, a time ujedno doprinosi daleko jačoj svježini u sastojini nego mnoge druge mediteranske vrste. Od svih pregledanih lokaliteta, lovorova šuma na ovom ostrvu je u najboljem opštem zdravstvenom stanju. Prirodni podmladak iz izdanaka je veoma dobrog stanja i može se zaključiti da su u punoj sjenci pokazao daleko brži i intenzivniji razvitak nego na svjetlosti. Usled povoljnijih stanišnih činilaca, klimatskih i pedoloških, za uspjevanje šumske vegetacije, došlo je do veoma dobrog razvoja lovora. Zdravstveno stanje lovora je dobro, mada je na pojedinačnim stablima primijećeno prisustvo lisnih vaši, koje nemaju neku posebnu važnost sa stanovišta zdravstvenog stanja.</w:t>
      </w:r>
    </w:p>
    <w:p w:rsidR="004B071C" w:rsidRPr="002C4EC0" w:rsidRDefault="004B071C" w:rsidP="004B071C">
      <w:pPr>
        <w:rPr>
          <w:rFonts w:ascii="Constantia" w:hAnsi="Constantia" w:cs="Arial"/>
          <w:bCs/>
          <w:iCs/>
          <w:color w:val="000000"/>
          <w:szCs w:val="22"/>
        </w:rPr>
      </w:pPr>
      <w:r w:rsidRPr="002C4EC0">
        <w:rPr>
          <w:rFonts w:ascii="Constantia" w:hAnsi="Constantia" w:cs="Arial"/>
          <w:bCs/>
          <w:iCs/>
          <w:color w:val="000000"/>
          <w:szCs w:val="22"/>
        </w:rPr>
        <w:t>Ostrvo Kamenik je ostrvo najbliže ostrvu  Mala Čakovica, površine oko 30 ha. Nadmorska visina ovog ostrva se kreće od 5 do 134 MNV. Vegetacija zahvata oko 50% od ukupne površ</w:t>
      </w:r>
      <w:r w:rsidR="008707B6">
        <w:rPr>
          <w:rFonts w:ascii="Constantia" w:hAnsi="Constantia" w:cs="Arial"/>
          <w:bCs/>
          <w:iCs/>
          <w:color w:val="000000"/>
          <w:szCs w:val="22"/>
        </w:rPr>
        <w:t>ine ostrva. Lovor zahvata oko 5</w:t>
      </w:r>
      <w:r w:rsidRPr="002C4EC0">
        <w:rPr>
          <w:rFonts w:ascii="Constantia" w:hAnsi="Constantia" w:cs="Arial"/>
          <w:bCs/>
          <w:iCs/>
          <w:color w:val="000000"/>
          <w:szCs w:val="22"/>
        </w:rPr>
        <w:t>% od površine pokrivene vegetacijom. Osim stabala lovora na ovom ostrvu su zabilježene sledeće vrste: grabić (</w:t>
      </w:r>
      <w:r w:rsidRPr="008707B6">
        <w:rPr>
          <w:rFonts w:ascii="Constantia" w:hAnsi="Constantia" w:cs="Arial"/>
          <w:bCs/>
          <w:i/>
          <w:iCs/>
          <w:color w:val="000000"/>
          <w:szCs w:val="22"/>
        </w:rPr>
        <w:t>Ostrya carpinifolia Scop</w:t>
      </w:r>
      <w:r w:rsidRPr="002C4EC0">
        <w:rPr>
          <w:rFonts w:ascii="Constantia" w:hAnsi="Constantia" w:cs="Arial"/>
          <w:bCs/>
          <w:iCs/>
          <w:color w:val="000000"/>
          <w:szCs w:val="22"/>
        </w:rPr>
        <w:t>.), hrast crnika-česmina (</w:t>
      </w:r>
      <w:r w:rsidRPr="008707B6">
        <w:rPr>
          <w:rFonts w:ascii="Constantia" w:hAnsi="Constantia" w:cs="Arial"/>
          <w:bCs/>
          <w:i/>
          <w:iCs/>
          <w:color w:val="000000"/>
          <w:szCs w:val="22"/>
        </w:rPr>
        <w:t>Quecus ilex L</w:t>
      </w:r>
      <w:r w:rsidRPr="002C4EC0">
        <w:rPr>
          <w:rFonts w:ascii="Constantia" w:hAnsi="Constantia" w:cs="Arial"/>
          <w:bCs/>
          <w:iCs/>
          <w:color w:val="000000"/>
          <w:szCs w:val="22"/>
        </w:rPr>
        <w:t>.), maginja ili planika (</w:t>
      </w:r>
      <w:r w:rsidRPr="008707B6">
        <w:rPr>
          <w:rFonts w:ascii="Constantia" w:hAnsi="Constantia" w:cs="Arial"/>
          <w:bCs/>
          <w:i/>
          <w:iCs/>
          <w:color w:val="000000"/>
          <w:szCs w:val="22"/>
        </w:rPr>
        <w:t>Arbutus unedo L</w:t>
      </w:r>
      <w:r w:rsidRPr="002C4EC0">
        <w:rPr>
          <w:rFonts w:ascii="Constantia" w:hAnsi="Constantia" w:cs="Arial"/>
          <w:bCs/>
          <w:iCs/>
          <w:color w:val="000000"/>
          <w:szCs w:val="22"/>
        </w:rPr>
        <w:t>. ), makedonski hras</w:t>
      </w:r>
      <w:r w:rsidR="008707B6">
        <w:rPr>
          <w:rFonts w:ascii="Constantia" w:hAnsi="Constantia" w:cs="Arial"/>
          <w:bCs/>
          <w:iCs/>
          <w:color w:val="000000"/>
          <w:szCs w:val="22"/>
        </w:rPr>
        <w:t>t</w:t>
      </w:r>
      <w:r w:rsidRPr="002C4EC0">
        <w:rPr>
          <w:rFonts w:ascii="Constantia" w:hAnsi="Constantia" w:cs="Arial"/>
          <w:bCs/>
          <w:iCs/>
          <w:color w:val="000000"/>
          <w:szCs w:val="22"/>
        </w:rPr>
        <w:t xml:space="preserve"> (</w:t>
      </w:r>
      <w:r w:rsidRPr="008707B6">
        <w:rPr>
          <w:rFonts w:ascii="Constantia" w:hAnsi="Constantia" w:cs="Arial"/>
          <w:bCs/>
          <w:i/>
          <w:iCs/>
          <w:color w:val="000000"/>
          <w:szCs w:val="22"/>
        </w:rPr>
        <w:t>Quercus trojana Webb</w:t>
      </w:r>
      <w:r w:rsidRPr="002C4EC0">
        <w:rPr>
          <w:rFonts w:ascii="Constantia" w:hAnsi="Constantia" w:cs="Arial"/>
          <w:bCs/>
          <w:iCs/>
          <w:color w:val="000000"/>
          <w:szCs w:val="22"/>
        </w:rPr>
        <w:t>.), kupina (</w:t>
      </w:r>
      <w:r w:rsidRPr="008707B6">
        <w:rPr>
          <w:rFonts w:ascii="Constantia" w:hAnsi="Constantia" w:cs="Arial"/>
          <w:bCs/>
          <w:i/>
          <w:iCs/>
          <w:color w:val="000000"/>
          <w:szCs w:val="22"/>
        </w:rPr>
        <w:t>Rubus discolor Weihe&amp;Nees</w:t>
      </w:r>
      <w:r w:rsidRPr="002C4EC0">
        <w:rPr>
          <w:rFonts w:ascii="Constantia" w:hAnsi="Constantia" w:cs="Arial"/>
          <w:bCs/>
          <w:iCs/>
          <w:color w:val="000000"/>
          <w:szCs w:val="22"/>
        </w:rPr>
        <w:t>.), drača (</w:t>
      </w:r>
      <w:r w:rsidRPr="008707B6">
        <w:rPr>
          <w:rFonts w:ascii="Constantia" w:hAnsi="Constantia" w:cs="Arial"/>
          <w:bCs/>
          <w:i/>
          <w:iCs/>
          <w:color w:val="000000"/>
          <w:szCs w:val="22"/>
        </w:rPr>
        <w:t>Paliurus spina-christi Mill</w:t>
      </w:r>
      <w:r w:rsidRPr="002C4EC0">
        <w:rPr>
          <w:rFonts w:ascii="Constantia" w:hAnsi="Constantia" w:cs="Arial"/>
          <w:bCs/>
          <w:iCs/>
          <w:color w:val="000000"/>
          <w:szCs w:val="22"/>
        </w:rPr>
        <w:t>.) i dr. Stabla su visine od 1,5 – 2 m što nam govori da još nije došlo do formiranja šume, nego je u fazi šikare. Lovor je dobrog opšteg zdravstvenog stanja. Konstatovano je da  se pojedinačna stabla lovora javljaju na rubovima ostrva i to zajedno sa drugim žbunastim vrstama. Na lovorovim stablima, kao i na okolnim stablima drugih vrsta, nijesu primijećeni tragovi negativnog antropogenog uticaja. Dakle, šume i šumo-šikare na ovom ostrvu nijesu na bilo koji način oštećene ili degradirane. Imajući u vidu da se na ovim ostrvima šume pretežno javljaju u obliku šikara i gariga takav oblik vegetacije nije interesantan okolnom stanovništvu za bilo kakavo korišćenje. Takođe i velika površina ostrva bez vegetacija i niska šuma nijesu primamljiva područja za ispašu stoke ili korišćenje šume u različite svrhe.</w:t>
      </w:r>
    </w:p>
    <w:p w:rsidR="004B071C" w:rsidRPr="002C4EC0" w:rsidRDefault="004B071C" w:rsidP="004B071C">
      <w:pPr>
        <w:rPr>
          <w:rFonts w:ascii="Constantia" w:hAnsi="Constantia" w:cs="Arial"/>
          <w:bCs/>
          <w:iCs/>
          <w:color w:val="000000"/>
          <w:szCs w:val="22"/>
        </w:rPr>
      </w:pPr>
      <w:r w:rsidRPr="002C4EC0">
        <w:rPr>
          <w:rFonts w:ascii="Constantia" w:hAnsi="Constantia" w:cs="Arial"/>
          <w:bCs/>
          <w:iCs/>
          <w:color w:val="000000"/>
          <w:szCs w:val="22"/>
        </w:rPr>
        <w:t>Ostrvo Kom se najazi u sjevernom dijelu Skadarskog jezera i nalazi se u neposrednoj blizini ostrva Andrijska gora. Površina ostrva je oko 8 ha. Nadmorska visina ovog ostrva je od 5 do 78 MNV. Na ovom ostrvu se nalazi i istoimeni manastir. Od ukupne površine ostrva obrasle vegetacijom na ostatke od lovorove šume otpada oko 10% prostora. Pored lovora su zabilježene sledeće vrste: divlji nar (</w:t>
      </w:r>
      <w:r w:rsidRPr="008707B6">
        <w:rPr>
          <w:rFonts w:ascii="Constantia" w:hAnsi="Constantia" w:cs="Arial"/>
          <w:bCs/>
          <w:i/>
          <w:iCs/>
          <w:color w:val="000000"/>
          <w:szCs w:val="22"/>
        </w:rPr>
        <w:t>Punica granatum L</w:t>
      </w:r>
      <w:r w:rsidRPr="002C4EC0">
        <w:rPr>
          <w:rFonts w:ascii="Constantia" w:hAnsi="Constantia" w:cs="Arial"/>
          <w:bCs/>
          <w:iCs/>
          <w:color w:val="000000"/>
          <w:szCs w:val="22"/>
        </w:rPr>
        <w:t>.), grabić (</w:t>
      </w:r>
      <w:r w:rsidRPr="008707B6">
        <w:rPr>
          <w:rFonts w:ascii="Constantia" w:hAnsi="Constantia" w:cs="Arial"/>
          <w:bCs/>
          <w:i/>
          <w:iCs/>
          <w:color w:val="000000"/>
          <w:szCs w:val="22"/>
        </w:rPr>
        <w:t>Ostrya carpinifolia Scop</w:t>
      </w:r>
      <w:r w:rsidRPr="002C4EC0">
        <w:rPr>
          <w:rFonts w:ascii="Constantia" w:hAnsi="Constantia" w:cs="Arial"/>
          <w:bCs/>
          <w:iCs/>
          <w:color w:val="000000"/>
          <w:szCs w:val="22"/>
        </w:rPr>
        <w:t>.), hrast crnika-česmina (</w:t>
      </w:r>
      <w:r w:rsidRPr="008707B6">
        <w:rPr>
          <w:rFonts w:ascii="Constantia" w:hAnsi="Constantia" w:cs="Arial"/>
          <w:bCs/>
          <w:i/>
          <w:iCs/>
          <w:color w:val="000000"/>
          <w:szCs w:val="22"/>
        </w:rPr>
        <w:t>Quecus ilex L</w:t>
      </w:r>
      <w:r w:rsidRPr="002C4EC0">
        <w:rPr>
          <w:rFonts w:ascii="Constantia" w:hAnsi="Constantia" w:cs="Arial"/>
          <w:bCs/>
          <w:iCs/>
          <w:color w:val="000000"/>
          <w:szCs w:val="22"/>
        </w:rPr>
        <w:t>.), zelenika (</w:t>
      </w:r>
      <w:r w:rsidRPr="008707B6">
        <w:rPr>
          <w:rFonts w:ascii="Constantia" w:hAnsi="Constantia" w:cs="Arial"/>
          <w:bCs/>
          <w:i/>
          <w:iCs/>
          <w:color w:val="000000"/>
          <w:szCs w:val="22"/>
        </w:rPr>
        <w:t>Phillyrea latifolia L</w:t>
      </w:r>
      <w:r w:rsidRPr="002C4EC0">
        <w:rPr>
          <w:rFonts w:ascii="Constantia" w:hAnsi="Constantia" w:cs="Arial"/>
          <w:bCs/>
          <w:iCs/>
          <w:color w:val="000000"/>
          <w:szCs w:val="22"/>
        </w:rPr>
        <w:t>.), kupina (</w:t>
      </w:r>
      <w:r w:rsidRPr="008707B6">
        <w:rPr>
          <w:rFonts w:ascii="Constantia" w:hAnsi="Constantia" w:cs="Arial"/>
          <w:bCs/>
          <w:i/>
          <w:iCs/>
          <w:color w:val="000000"/>
          <w:szCs w:val="22"/>
        </w:rPr>
        <w:t>Rubus discolor Weihe&amp;Nees.</w:t>
      </w:r>
      <w:r w:rsidRPr="002C4EC0">
        <w:rPr>
          <w:rFonts w:ascii="Constantia" w:hAnsi="Constantia" w:cs="Arial"/>
          <w:bCs/>
          <w:iCs/>
          <w:color w:val="000000"/>
          <w:szCs w:val="22"/>
        </w:rPr>
        <w:t>), smrdljika (</w:t>
      </w:r>
      <w:r w:rsidRPr="008707B6">
        <w:rPr>
          <w:rFonts w:ascii="Constantia" w:hAnsi="Constantia" w:cs="Arial"/>
          <w:bCs/>
          <w:i/>
          <w:iCs/>
          <w:color w:val="000000"/>
          <w:szCs w:val="22"/>
        </w:rPr>
        <w:t>Pistacia terebinthus L</w:t>
      </w:r>
      <w:r w:rsidRPr="002C4EC0">
        <w:rPr>
          <w:rFonts w:ascii="Constantia" w:hAnsi="Constantia" w:cs="Arial"/>
          <w:bCs/>
          <w:iCs/>
          <w:color w:val="000000"/>
          <w:szCs w:val="22"/>
        </w:rPr>
        <w:t>.), drača (</w:t>
      </w:r>
      <w:r w:rsidRPr="008707B6">
        <w:rPr>
          <w:rFonts w:ascii="Constantia" w:hAnsi="Constantia" w:cs="Arial"/>
          <w:bCs/>
          <w:i/>
          <w:iCs/>
          <w:color w:val="000000"/>
          <w:szCs w:val="22"/>
        </w:rPr>
        <w:t>Paliurus spina-christi Mill</w:t>
      </w:r>
      <w:r w:rsidRPr="002C4EC0">
        <w:rPr>
          <w:rFonts w:ascii="Constantia" w:hAnsi="Constantia" w:cs="Arial"/>
          <w:bCs/>
          <w:iCs/>
          <w:color w:val="000000"/>
          <w:szCs w:val="22"/>
        </w:rPr>
        <w:t>.) i dr. Lovorova stabla su zabilježena najviše uz obalu i obalni pojas ostrva. Zdravstveno stanje lovora je odlično. Konstatovan je lovor u unutrašnjem dijelu ostrva  ali isključivo kao pojedinačna stabla. Antropogenim namjernim ili nenamjernim aktivnostima lovorova stabla su prenešena i u središni dio ostrva. Prečnik lovorovih stabala se kreće u rasponu od 2-7 cm i visine do 3 m. Nijesu primijećena značajnija oštećenja na stablima lovora. Kako se stabla lovora javljaju kao pojedina stabla u sastavu drugih vrsta i kako su niske građe, tako nije primijećena veća izdanačka aktivnost ove vrste.</w:t>
      </w:r>
    </w:p>
    <w:p w:rsidR="004B071C" w:rsidRPr="002C4EC0" w:rsidRDefault="004B071C" w:rsidP="004B071C">
      <w:pPr>
        <w:rPr>
          <w:rFonts w:ascii="Constantia" w:hAnsi="Constantia" w:cs="Arial"/>
          <w:bCs/>
          <w:iCs/>
          <w:color w:val="000000"/>
          <w:szCs w:val="22"/>
        </w:rPr>
      </w:pPr>
      <w:r w:rsidRPr="002C4EC0">
        <w:rPr>
          <w:rFonts w:ascii="Constantia" w:hAnsi="Constantia" w:cs="Arial"/>
          <w:bCs/>
          <w:iCs/>
          <w:color w:val="000000"/>
          <w:szCs w:val="22"/>
        </w:rPr>
        <w:lastRenderedPageBreak/>
        <w:t>Sveukupno stanje lovora i lovorovih šuma je veoma teško predstaviti uopšteno za sva ostrva Skadarskog jezera. Stabla lovora na Omerovoj gorici su najveća stabla zabilježene na području ovog jezera. Tako dimenzije pojedinih stabala variraju od os</w:t>
      </w:r>
      <w:r w:rsidR="008707B6">
        <w:rPr>
          <w:rFonts w:ascii="Constantia" w:hAnsi="Constantia" w:cs="Arial"/>
          <w:bCs/>
          <w:iCs/>
          <w:color w:val="000000"/>
          <w:szCs w:val="22"/>
        </w:rPr>
        <w:t>trva do ostrva i kreću se od 24-</w:t>
      </w:r>
      <w:r w:rsidRPr="002C4EC0">
        <w:rPr>
          <w:rFonts w:ascii="Constantia" w:hAnsi="Constantia" w:cs="Arial"/>
          <w:bCs/>
          <w:iCs/>
          <w:color w:val="000000"/>
          <w:szCs w:val="22"/>
        </w:rPr>
        <w:t>5</w:t>
      </w:r>
      <w:r w:rsidR="008707B6">
        <w:rPr>
          <w:rFonts w:ascii="Constantia" w:hAnsi="Constantia" w:cs="Arial"/>
          <w:bCs/>
          <w:iCs/>
          <w:color w:val="000000"/>
          <w:szCs w:val="22"/>
        </w:rPr>
        <w:t>0</w:t>
      </w:r>
      <w:r w:rsidRPr="002C4EC0">
        <w:rPr>
          <w:rFonts w:ascii="Constantia" w:hAnsi="Constantia" w:cs="Arial"/>
          <w:bCs/>
          <w:iCs/>
          <w:color w:val="000000"/>
          <w:szCs w:val="22"/>
        </w:rPr>
        <w:t xml:space="preserve"> cm i visine do 12 m.</w:t>
      </w:r>
    </w:p>
    <w:p w:rsidR="004B071C" w:rsidRPr="00E90D22" w:rsidRDefault="004B071C" w:rsidP="004B071C">
      <w:pPr>
        <w:rPr>
          <w:rFonts w:ascii="Arial" w:hAnsi="Arial" w:cs="Arial"/>
          <w:lang w:val="sr-Latn-CS"/>
        </w:rPr>
      </w:pPr>
    </w:p>
    <w:tbl>
      <w:tblPr>
        <w:tblpPr w:leftFromText="180" w:rightFromText="180" w:vertAnchor="text" w:tblpXSpec="center" w:tblpY="1"/>
        <w:tblW w:w="0" w:type="auto"/>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firstRow="1" w:lastRow="0" w:firstColumn="1" w:lastColumn="0" w:noHBand="0" w:noVBand="1"/>
      </w:tblPr>
      <w:tblGrid>
        <w:gridCol w:w="4338"/>
        <w:gridCol w:w="1890"/>
        <w:gridCol w:w="2970"/>
      </w:tblGrid>
      <w:tr w:rsidR="004B071C" w:rsidRPr="007E7140" w:rsidTr="007E7140">
        <w:tc>
          <w:tcPr>
            <w:tcW w:w="4338" w:type="dxa"/>
            <w:shd w:val="clear" w:color="auto" w:fill="E6EED5"/>
          </w:tcPr>
          <w:p w:rsidR="004B071C" w:rsidRPr="007E7140" w:rsidRDefault="004B071C" w:rsidP="004E680E">
            <w:pPr>
              <w:keepNext/>
              <w:keepLines/>
              <w:spacing w:before="60"/>
              <w:outlineLvl w:val="3"/>
              <w:rPr>
                <w:rFonts w:ascii="Constantia" w:hAnsi="Constantia" w:cs="Arial"/>
                <w:b/>
                <w:bCs/>
                <w:iCs/>
                <w:color w:val="000000"/>
                <w:szCs w:val="22"/>
              </w:rPr>
            </w:pPr>
            <w:r w:rsidRPr="007E7140">
              <w:rPr>
                <w:rFonts w:ascii="Constantia" w:hAnsi="Constantia" w:cs="Arial"/>
                <w:b/>
                <w:bCs/>
                <w:iCs/>
                <w:color w:val="000000"/>
                <w:szCs w:val="22"/>
              </w:rPr>
              <w:t>Tip</w:t>
            </w:r>
          </w:p>
        </w:tc>
        <w:tc>
          <w:tcPr>
            <w:tcW w:w="1890" w:type="dxa"/>
            <w:shd w:val="clear" w:color="auto" w:fill="E6EED5"/>
          </w:tcPr>
          <w:p w:rsidR="004B071C" w:rsidRPr="007E7140" w:rsidRDefault="004B071C" w:rsidP="007E7140">
            <w:pPr>
              <w:keepNext/>
              <w:keepLines/>
              <w:spacing w:before="60"/>
              <w:jc w:val="center"/>
              <w:outlineLvl w:val="3"/>
              <w:rPr>
                <w:rFonts w:ascii="Constantia" w:hAnsi="Constantia" w:cs="Arial"/>
                <w:b/>
                <w:bCs/>
                <w:iCs/>
                <w:color w:val="000000"/>
                <w:szCs w:val="22"/>
              </w:rPr>
            </w:pPr>
            <w:r w:rsidRPr="007E7140">
              <w:rPr>
                <w:rFonts w:ascii="Constantia" w:hAnsi="Constantia" w:cs="Arial"/>
                <w:b/>
                <w:bCs/>
                <w:iCs/>
                <w:color w:val="000000"/>
                <w:szCs w:val="22"/>
              </w:rPr>
              <w:t>Stanište</w:t>
            </w:r>
          </w:p>
        </w:tc>
        <w:tc>
          <w:tcPr>
            <w:tcW w:w="2970" w:type="dxa"/>
            <w:shd w:val="clear" w:color="auto" w:fill="E6EED5"/>
          </w:tcPr>
          <w:p w:rsidR="004B071C" w:rsidRPr="007E7140" w:rsidRDefault="004B071C" w:rsidP="004E680E">
            <w:pPr>
              <w:keepNext/>
              <w:keepLines/>
              <w:spacing w:before="60"/>
              <w:jc w:val="center"/>
              <w:outlineLvl w:val="3"/>
              <w:rPr>
                <w:rFonts w:ascii="Constantia" w:hAnsi="Constantia" w:cs="Arial"/>
                <w:b/>
                <w:bCs/>
                <w:iCs/>
                <w:color w:val="000000"/>
                <w:szCs w:val="22"/>
              </w:rPr>
            </w:pPr>
            <w:r w:rsidRPr="007E7140">
              <w:rPr>
                <w:rFonts w:ascii="Constantia" w:hAnsi="Constantia" w:cs="Arial"/>
                <w:b/>
                <w:bCs/>
                <w:iCs/>
                <w:color w:val="000000"/>
                <w:szCs w:val="22"/>
              </w:rPr>
              <w:t>Uticaj</w:t>
            </w:r>
          </w:p>
        </w:tc>
      </w:tr>
      <w:tr w:rsidR="004B071C" w:rsidRPr="007E7140" w:rsidTr="007E7140">
        <w:tc>
          <w:tcPr>
            <w:tcW w:w="4338" w:type="dxa"/>
            <w:shd w:val="clear" w:color="auto" w:fill="CDDDAC"/>
          </w:tcPr>
          <w:p w:rsidR="004B071C" w:rsidRPr="007E7140" w:rsidRDefault="004B071C" w:rsidP="004E680E">
            <w:pPr>
              <w:keepNext/>
              <w:keepLines/>
              <w:spacing w:before="60"/>
              <w:outlineLvl w:val="3"/>
              <w:rPr>
                <w:rFonts w:ascii="Constantia" w:hAnsi="Constantia" w:cs="Arial"/>
                <w:bCs/>
                <w:iCs/>
                <w:color w:val="000000"/>
                <w:szCs w:val="22"/>
              </w:rPr>
            </w:pPr>
            <w:r w:rsidRPr="007E7140">
              <w:rPr>
                <w:rFonts w:ascii="Constantia" w:hAnsi="Constantia" w:cs="Arial"/>
                <w:bCs/>
                <w:iCs/>
                <w:color w:val="000000"/>
                <w:szCs w:val="22"/>
              </w:rPr>
              <w:t>Fragmentacija staništa usled ljudskih aktivnosti</w:t>
            </w:r>
          </w:p>
        </w:tc>
        <w:tc>
          <w:tcPr>
            <w:tcW w:w="1890" w:type="dxa"/>
            <w:shd w:val="clear" w:color="auto" w:fill="CDDDAC"/>
          </w:tcPr>
          <w:p w:rsidR="004B071C" w:rsidRPr="007E7140" w:rsidRDefault="004B071C" w:rsidP="007E7140">
            <w:pPr>
              <w:keepNext/>
              <w:keepLines/>
              <w:spacing w:before="60"/>
              <w:jc w:val="center"/>
              <w:outlineLvl w:val="3"/>
              <w:rPr>
                <w:rFonts w:ascii="Constantia" w:hAnsi="Constantia" w:cs="Arial"/>
                <w:bCs/>
                <w:iCs/>
                <w:color w:val="000000"/>
                <w:szCs w:val="22"/>
              </w:rPr>
            </w:pPr>
            <w:r w:rsidRPr="007E7140">
              <w:rPr>
                <w:rFonts w:ascii="Constantia" w:hAnsi="Constantia" w:cs="Arial"/>
                <w:bCs/>
                <w:iCs/>
                <w:color w:val="000000"/>
                <w:szCs w:val="22"/>
              </w:rPr>
              <w:t>F190</w:t>
            </w:r>
          </w:p>
        </w:tc>
        <w:tc>
          <w:tcPr>
            <w:tcW w:w="2970" w:type="dxa"/>
            <w:shd w:val="clear" w:color="auto" w:fill="CDDDAC"/>
          </w:tcPr>
          <w:p w:rsidR="004B071C" w:rsidRPr="007E7140" w:rsidRDefault="004B071C" w:rsidP="004E680E">
            <w:pPr>
              <w:keepNext/>
              <w:keepLines/>
              <w:spacing w:before="60"/>
              <w:jc w:val="center"/>
              <w:outlineLvl w:val="3"/>
              <w:rPr>
                <w:rFonts w:ascii="Constantia" w:hAnsi="Constantia" w:cs="Arial"/>
                <w:bCs/>
                <w:iCs/>
                <w:color w:val="000000"/>
                <w:szCs w:val="22"/>
              </w:rPr>
            </w:pPr>
            <w:r w:rsidRPr="007E7140">
              <w:rPr>
                <w:rFonts w:ascii="Constantia" w:hAnsi="Constantia" w:cs="Arial"/>
                <w:bCs/>
                <w:iCs/>
                <w:color w:val="000000"/>
                <w:szCs w:val="22"/>
              </w:rPr>
              <w:t>A</w:t>
            </w:r>
          </w:p>
        </w:tc>
      </w:tr>
      <w:tr w:rsidR="004B071C" w:rsidRPr="007E7140" w:rsidTr="007E7140">
        <w:tc>
          <w:tcPr>
            <w:tcW w:w="4338" w:type="dxa"/>
            <w:shd w:val="clear" w:color="auto" w:fill="E6EED5"/>
          </w:tcPr>
          <w:p w:rsidR="004B071C" w:rsidRPr="007E7140" w:rsidRDefault="004B071C" w:rsidP="004E680E">
            <w:pPr>
              <w:keepNext/>
              <w:keepLines/>
              <w:spacing w:before="60"/>
              <w:outlineLvl w:val="3"/>
              <w:rPr>
                <w:rFonts w:ascii="Constantia" w:hAnsi="Constantia" w:cs="Arial"/>
                <w:bCs/>
                <w:iCs/>
                <w:color w:val="000000"/>
                <w:szCs w:val="22"/>
              </w:rPr>
            </w:pPr>
            <w:r w:rsidRPr="007E7140">
              <w:rPr>
                <w:rFonts w:ascii="Constantia" w:hAnsi="Constantia" w:cs="Arial"/>
                <w:bCs/>
                <w:iCs/>
                <w:color w:val="000000"/>
                <w:szCs w:val="22"/>
              </w:rPr>
              <w:t>Sječa</w:t>
            </w:r>
          </w:p>
        </w:tc>
        <w:tc>
          <w:tcPr>
            <w:tcW w:w="1890" w:type="dxa"/>
            <w:shd w:val="clear" w:color="auto" w:fill="E6EED5"/>
          </w:tcPr>
          <w:p w:rsidR="004B071C" w:rsidRPr="007E7140" w:rsidRDefault="004B071C" w:rsidP="007E7140">
            <w:pPr>
              <w:keepNext/>
              <w:keepLines/>
              <w:spacing w:before="60"/>
              <w:jc w:val="center"/>
              <w:outlineLvl w:val="3"/>
              <w:rPr>
                <w:rFonts w:ascii="Constantia" w:hAnsi="Constantia" w:cs="Arial"/>
                <w:bCs/>
                <w:iCs/>
                <w:color w:val="000000"/>
                <w:szCs w:val="22"/>
              </w:rPr>
            </w:pPr>
          </w:p>
        </w:tc>
        <w:tc>
          <w:tcPr>
            <w:tcW w:w="2970" w:type="dxa"/>
            <w:shd w:val="clear" w:color="auto" w:fill="E6EED5"/>
          </w:tcPr>
          <w:p w:rsidR="004B071C" w:rsidRPr="007E7140" w:rsidRDefault="004B071C" w:rsidP="004E680E">
            <w:pPr>
              <w:keepNext/>
              <w:keepLines/>
              <w:spacing w:before="60"/>
              <w:jc w:val="center"/>
              <w:outlineLvl w:val="3"/>
              <w:rPr>
                <w:rFonts w:ascii="Constantia" w:hAnsi="Constantia" w:cs="Arial"/>
                <w:bCs/>
                <w:iCs/>
                <w:color w:val="000000"/>
                <w:szCs w:val="22"/>
              </w:rPr>
            </w:pPr>
            <w:r w:rsidRPr="007E7140">
              <w:rPr>
                <w:rFonts w:ascii="Constantia" w:hAnsi="Constantia" w:cs="Arial"/>
                <w:bCs/>
                <w:iCs/>
                <w:color w:val="000000"/>
                <w:szCs w:val="22"/>
              </w:rPr>
              <w:t>B</w:t>
            </w:r>
          </w:p>
        </w:tc>
      </w:tr>
      <w:tr w:rsidR="004B071C" w:rsidRPr="007E7140" w:rsidTr="007E7140">
        <w:tc>
          <w:tcPr>
            <w:tcW w:w="4338" w:type="dxa"/>
            <w:shd w:val="clear" w:color="auto" w:fill="CDDDAC"/>
          </w:tcPr>
          <w:p w:rsidR="004B071C" w:rsidRPr="007E7140" w:rsidRDefault="004B071C" w:rsidP="004E680E">
            <w:pPr>
              <w:keepNext/>
              <w:keepLines/>
              <w:spacing w:before="60"/>
              <w:outlineLvl w:val="3"/>
              <w:rPr>
                <w:rFonts w:ascii="Constantia" w:hAnsi="Constantia" w:cs="Arial"/>
                <w:bCs/>
                <w:iCs/>
                <w:color w:val="000000"/>
                <w:szCs w:val="22"/>
              </w:rPr>
            </w:pPr>
            <w:r w:rsidRPr="007E7140">
              <w:rPr>
                <w:rFonts w:ascii="Constantia" w:hAnsi="Constantia" w:cs="Arial"/>
                <w:bCs/>
                <w:iCs/>
                <w:color w:val="000000"/>
                <w:szCs w:val="22"/>
              </w:rPr>
              <w:t>Košenje</w:t>
            </w:r>
          </w:p>
        </w:tc>
        <w:tc>
          <w:tcPr>
            <w:tcW w:w="1890" w:type="dxa"/>
            <w:shd w:val="clear" w:color="auto" w:fill="CDDDAC"/>
          </w:tcPr>
          <w:p w:rsidR="004B071C" w:rsidRPr="007E7140" w:rsidRDefault="004B071C" w:rsidP="007E7140">
            <w:pPr>
              <w:keepNext/>
              <w:keepLines/>
              <w:spacing w:before="60"/>
              <w:jc w:val="center"/>
              <w:outlineLvl w:val="3"/>
              <w:rPr>
                <w:rFonts w:ascii="Constantia" w:hAnsi="Constantia" w:cs="Arial"/>
                <w:bCs/>
                <w:iCs/>
                <w:color w:val="000000"/>
                <w:szCs w:val="22"/>
              </w:rPr>
            </w:pPr>
          </w:p>
        </w:tc>
        <w:tc>
          <w:tcPr>
            <w:tcW w:w="2970" w:type="dxa"/>
            <w:shd w:val="clear" w:color="auto" w:fill="CDDDAC"/>
          </w:tcPr>
          <w:p w:rsidR="004B071C" w:rsidRPr="007E7140" w:rsidRDefault="004B071C" w:rsidP="004E680E">
            <w:pPr>
              <w:keepNext/>
              <w:keepLines/>
              <w:spacing w:before="60"/>
              <w:jc w:val="center"/>
              <w:outlineLvl w:val="3"/>
              <w:rPr>
                <w:rFonts w:ascii="Constantia" w:hAnsi="Constantia" w:cs="Arial"/>
                <w:bCs/>
                <w:iCs/>
                <w:color w:val="000000"/>
                <w:szCs w:val="22"/>
              </w:rPr>
            </w:pPr>
            <w:r w:rsidRPr="007E7140">
              <w:rPr>
                <w:rFonts w:ascii="Constantia" w:hAnsi="Constantia" w:cs="Arial"/>
                <w:bCs/>
                <w:iCs/>
                <w:color w:val="000000"/>
                <w:szCs w:val="22"/>
              </w:rPr>
              <w:t>B</w:t>
            </w:r>
          </w:p>
        </w:tc>
      </w:tr>
    </w:tbl>
    <w:p w:rsidR="004B071C" w:rsidRPr="007E7140" w:rsidRDefault="007E7140" w:rsidP="004B071C">
      <w:pPr>
        <w:pStyle w:val="Tabele"/>
        <w:spacing w:before="60" w:after="240"/>
        <w:ind w:left="714" w:hanging="357"/>
        <w:rPr>
          <w:rFonts w:ascii="Constantia" w:hAnsi="Constantia"/>
          <w:sz w:val="22"/>
          <w:szCs w:val="22"/>
        </w:rPr>
      </w:pPr>
      <w:r>
        <w:t xml:space="preserve"> </w:t>
      </w:r>
      <w:r w:rsidR="004B071C" w:rsidRPr="007E7140">
        <w:rPr>
          <w:rFonts w:ascii="Constantia" w:hAnsi="Constantia"/>
          <w:sz w:val="22"/>
          <w:szCs w:val="22"/>
        </w:rPr>
        <w:t>Procjena uticaja aktivnosti na staništa</w:t>
      </w:r>
    </w:p>
    <w:p w:rsidR="00B12C47" w:rsidRDefault="00B12C47" w:rsidP="004B071C">
      <w:pPr>
        <w:rPr>
          <w:rFonts w:ascii="Arial" w:hAnsi="Arial"/>
        </w:rPr>
      </w:pPr>
    </w:p>
    <w:p w:rsidR="004B071C" w:rsidRPr="00B12C47" w:rsidRDefault="00B12C47" w:rsidP="001B7090">
      <w:pPr>
        <w:rPr>
          <w:rFonts w:ascii="Constantia" w:hAnsi="Constantia" w:cs="Arial"/>
          <w:b/>
          <w:bCs/>
          <w:iCs/>
        </w:rPr>
      </w:pPr>
      <w:r w:rsidRPr="00B12C47">
        <w:rPr>
          <w:rFonts w:ascii="Constantia" w:hAnsi="Constantia" w:cs="Arial"/>
          <w:b/>
          <w:bCs/>
          <w:iCs/>
        </w:rPr>
        <w:t>Ribe</w:t>
      </w:r>
    </w:p>
    <w:p w:rsidR="004B071C" w:rsidRPr="00B12C47" w:rsidRDefault="004B071C" w:rsidP="00B12C47">
      <w:pPr>
        <w:rPr>
          <w:rFonts w:ascii="Constantia" w:hAnsi="Constantia" w:cs="Arial"/>
          <w:bCs/>
          <w:iCs/>
        </w:rPr>
      </w:pPr>
      <w:r w:rsidRPr="00B12C47">
        <w:rPr>
          <w:rFonts w:ascii="Constantia" w:hAnsi="Constantia" w:cs="Arial"/>
          <w:bCs/>
          <w:iCs/>
        </w:rPr>
        <w:t xml:space="preserve">Vrsta </w:t>
      </w:r>
      <w:r w:rsidRPr="00B12C47">
        <w:rPr>
          <w:rFonts w:ascii="Constantia" w:hAnsi="Constantia" w:cs="Arial"/>
          <w:b/>
          <w:bCs/>
          <w:i/>
          <w:iCs/>
        </w:rPr>
        <w:t>Salmo farioides</w:t>
      </w:r>
      <w:r w:rsidRPr="00B12C47">
        <w:rPr>
          <w:rFonts w:ascii="Constantia" w:hAnsi="Constantia" w:cs="Arial"/>
          <w:b/>
          <w:bCs/>
          <w:iCs/>
        </w:rPr>
        <w:t> (ADRc haplotype</w:t>
      </w:r>
      <w:r w:rsidRPr="00B12C47">
        <w:rPr>
          <w:rFonts w:ascii="Constantia" w:hAnsi="Constantia" w:cs="Arial"/>
          <w:bCs/>
          <w:iCs/>
        </w:rPr>
        <w:t>) individue su relativno česte, pogotovo u periodu jesen</w:t>
      </w:r>
      <w:r w:rsidR="00B12C47">
        <w:rPr>
          <w:rFonts w:ascii="Constantia" w:hAnsi="Constantia" w:cs="Arial"/>
          <w:bCs/>
          <w:iCs/>
        </w:rPr>
        <w:t xml:space="preserve"> </w:t>
      </w:r>
      <w:r w:rsidRPr="00B12C47">
        <w:rPr>
          <w:rFonts w:ascii="Constantia" w:hAnsi="Constantia" w:cs="Arial"/>
          <w:bCs/>
          <w:iCs/>
        </w:rPr>
        <w:t>- proljeće kad su vodostaji visoki.</w:t>
      </w:r>
      <w:r w:rsidRPr="00B12C47">
        <w:rPr>
          <w:rFonts w:ascii="Constantia" w:hAnsi="Constantia" w:cs="Arial"/>
        </w:rPr>
        <w:t xml:space="preserve"> Kad je riječ o populaciji zbog njihove jedinstvenosti i relativno male gustine postoji potreba repopulacije u cilju unapređenja uspješnosti prirodnog mriješćenja i smanjenja stope smrtnosti u juvenilnom period</w:t>
      </w:r>
      <w:r w:rsidR="00880A99">
        <w:rPr>
          <w:rFonts w:ascii="Constantia" w:hAnsi="Constantia" w:cs="Arial"/>
        </w:rPr>
        <w:t>u</w:t>
      </w:r>
      <w:r w:rsidRPr="00B12C47">
        <w:rPr>
          <w:rFonts w:ascii="Constantia" w:hAnsi="Constantia" w:cs="Arial"/>
        </w:rPr>
        <w:t xml:space="preserve">. </w:t>
      </w:r>
    </w:p>
    <w:p w:rsidR="004B071C" w:rsidRPr="00B12C47" w:rsidRDefault="004B071C" w:rsidP="00E117C9">
      <w:pPr>
        <w:spacing w:after="0"/>
        <w:rPr>
          <w:rFonts w:ascii="Constantia" w:hAnsi="Constantia" w:cs="Arial"/>
          <w:bCs/>
          <w:iCs/>
        </w:rPr>
      </w:pPr>
      <w:r w:rsidRPr="00B12C47">
        <w:rPr>
          <w:rFonts w:ascii="Constantia" w:hAnsi="Constantia" w:cs="Arial"/>
          <w:bCs/>
          <w:iCs/>
        </w:rPr>
        <w:t xml:space="preserve">Vrsta </w:t>
      </w:r>
      <w:r w:rsidRPr="00880A99">
        <w:rPr>
          <w:rFonts w:ascii="Constantia" w:hAnsi="Constantia" w:cs="Arial"/>
          <w:b/>
          <w:bCs/>
          <w:i/>
          <w:iCs/>
        </w:rPr>
        <w:t>Salmo marmoratus</w:t>
      </w:r>
      <w:r w:rsidRPr="00B12C47">
        <w:rPr>
          <w:rFonts w:ascii="Constantia" w:hAnsi="Constantia" w:cs="Arial"/>
          <w:b/>
          <w:bCs/>
          <w:iCs/>
        </w:rPr>
        <w:t xml:space="preserve"> </w:t>
      </w:r>
      <w:r w:rsidRPr="00B12C47">
        <w:rPr>
          <w:rFonts w:ascii="Constantia" w:hAnsi="Constantia" w:cs="Arial"/>
          <w:bCs/>
          <w:iCs/>
        </w:rPr>
        <w:t xml:space="preserve">je male brojnosti i individue su pretežno krupne. </w:t>
      </w:r>
    </w:p>
    <w:p w:rsidR="004B071C" w:rsidRPr="00B12C47" w:rsidRDefault="004B071C" w:rsidP="00E117C9">
      <w:pPr>
        <w:spacing w:after="0"/>
        <w:rPr>
          <w:rFonts w:ascii="Constantia" w:hAnsi="Constantia" w:cs="Arial"/>
          <w:bCs/>
          <w:iCs/>
        </w:rPr>
      </w:pPr>
      <w:r w:rsidRPr="00B12C47">
        <w:rPr>
          <w:rFonts w:ascii="Constantia" w:hAnsi="Constantia" w:cs="Arial"/>
          <w:bCs/>
          <w:iCs/>
        </w:rPr>
        <w:t>Vrsta</w:t>
      </w:r>
      <w:r w:rsidRPr="00B12C47">
        <w:rPr>
          <w:rFonts w:ascii="Constantia" w:hAnsi="Constantia" w:cs="Arial"/>
          <w:b/>
          <w:bCs/>
          <w:iCs/>
        </w:rPr>
        <w:t xml:space="preserve"> </w:t>
      </w:r>
      <w:r w:rsidRPr="00880A99">
        <w:rPr>
          <w:rFonts w:ascii="Constantia" w:hAnsi="Constantia" w:cs="Arial"/>
          <w:b/>
          <w:bCs/>
          <w:i/>
          <w:iCs/>
        </w:rPr>
        <w:t>Telestes montenigrinus</w:t>
      </w:r>
      <w:r w:rsidRPr="00B12C47">
        <w:rPr>
          <w:rFonts w:ascii="Constantia" w:hAnsi="Constantia" w:cs="Arial"/>
          <w:b/>
          <w:bCs/>
          <w:iCs/>
        </w:rPr>
        <w:t xml:space="preserve"> </w:t>
      </w:r>
      <w:r w:rsidRPr="00B12C47">
        <w:rPr>
          <w:rFonts w:ascii="Constantia" w:hAnsi="Constantia" w:cs="Arial"/>
          <w:bCs/>
          <w:iCs/>
        </w:rPr>
        <w:t>je prilično česta i u populacije su u dobrom stanju.</w:t>
      </w:r>
      <w:r w:rsidRPr="00B12C47">
        <w:rPr>
          <w:rFonts w:ascii="Constantia" w:hAnsi="Constantia" w:cs="Arial"/>
          <w:b/>
          <w:bCs/>
          <w:iCs/>
        </w:rPr>
        <w:t xml:space="preserve"> </w:t>
      </w:r>
    </w:p>
    <w:p w:rsidR="004B071C" w:rsidRPr="00B12C47" w:rsidRDefault="004B071C" w:rsidP="00E117C9">
      <w:pPr>
        <w:rPr>
          <w:rFonts w:ascii="Constantia" w:hAnsi="Constantia" w:cs="Arial"/>
          <w:bCs/>
          <w:iCs/>
        </w:rPr>
      </w:pPr>
      <w:r w:rsidRPr="00B12C47">
        <w:rPr>
          <w:rFonts w:ascii="Constantia" w:hAnsi="Constantia" w:cs="Arial"/>
          <w:bCs/>
          <w:iCs/>
        </w:rPr>
        <w:t xml:space="preserve">Za vrstu </w:t>
      </w:r>
      <w:r w:rsidRPr="00880A99">
        <w:rPr>
          <w:rFonts w:ascii="Constantia" w:hAnsi="Constantia" w:cs="Arial"/>
          <w:b/>
          <w:bCs/>
          <w:i/>
          <w:iCs/>
        </w:rPr>
        <w:t>Scardinius knezevici</w:t>
      </w:r>
      <w:r w:rsidRPr="00B12C47">
        <w:rPr>
          <w:rFonts w:ascii="Constantia" w:hAnsi="Constantia" w:cs="Arial"/>
          <w:b/>
          <w:bCs/>
          <w:iCs/>
        </w:rPr>
        <w:t xml:space="preserve"> </w:t>
      </w:r>
      <w:r w:rsidRPr="00B12C47">
        <w:rPr>
          <w:rFonts w:ascii="Constantia" w:hAnsi="Constantia" w:cs="Arial"/>
          <w:bCs/>
          <w:iCs/>
        </w:rPr>
        <w:t xml:space="preserve"> status populacija se procjenjuje kao relativno dobar.</w:t>
      </w:r>
    </w:p>
    <w:p w:rsidR="004B071C" w:rsidRPr="00B12C47" w:rsidRDefault="004B071C" w:rsidP="00B12C47">
      <w:pPr>
        <w:rPr>
          <w:rFonts w:ascii="Constantia" w:hAnsi="Constantia" w:cs="Arial"/>
          <w:bCs/>
          <w:iCs/>
        </w:rPr>
      </w:pPr>
      <w:r w:rsidRPr="00880A99">
        <w:rPr>
          <w:rFonts w:ascii="Constantia" w:hAnsi="Constantia" w:cs="Arial"/>
          <w:b/>
          <w:bCs/>
          <w:i/>
          <w:iCs/>
        </w:rPr>
        <w:t>Acipenser naccarii</w:t>
      </w:r>
      <w:r w:rsidR="00880A99">
        <w:rPr>
          <w:rFonts w:ascii="Constantia" w:hAnsi="Constantia" w:cs="Arial"/>
          <w:b/>
          <w:bCs/>
          <w:iCs/>
        </w:rPr>
        <w:t xml:space="preserve"> </w:t>
      </w:r>
      <w:r w:rsidR="00880A99">
        <w:rPr>
          <w:rFonts w:ascii="Constantia" w:hAnsi="Constantia" w:cs="Arial"/>
          <w:bCs/>
          <w:iCs/>
        </w:rPr>
        <w:t>i</w:t>
      </w:r>
      <w:r w:rsidRPr="00B12C47">
        <w:rPr>
          <w:rFonts w:ascii="Constantia" w:hAnsi="Constantia" w:cs="Arial"/>
          <w:b/>
          <w:bCs/>
          <w:iCs/>
        </w:rPr>
        <w:t xml:space="preserve"> </w:t>
      </w:r>
      <w:r w:rsidRPr="00880A99">
        <w:rPr>
          <w:rFonts w:ascii="Constantia" w:hAnsi="Constantia" w:cs="Arial"/>
          <w:b/>
          <w:bCs/>
          <w:i/>
          <w:iCs/>
        </w:rPr>
        <w:t>Acipenser sturio</w:t>
      </w:r>
      <w:r w:rsidRPr="00B12C47">
        <w:rPr>
          <w:rFonts w:ascii="Constantia" w:hAnsi="Constantia" w:cs="Arial"/>
          <w:b/>
          <w:bCs/>
          <w:iCs/>
        </w:rPr>
        <w:t xml:space="preserve">  </w:t>
      </w:r>
      <w:r w:rsidR="00880A99">
        <w:rPr>
          <w:rFonts w:ascii="Constantia" w:hAnsi="Constantia" w:cs="Arial"/>
          <w:bCs/>
          <w:iCs/>
        </w:rPr>
        <w:t>nisu primijećen</w:t>
      </w:r>
      <w:r w:rsidRPr="00B12C47">
        <w:rPr>
          <w:rFonts w:ascii="Constantia" w:hAnsi="Constantia" w:cs="Arial"/>
          <w:bCs/>
          <w:iCs/>
        </w:rPr>
        <w:t>e tokom ovogodišnjeg monitoringa a i inače se radi o najugroženijim vrstama na nivou Evrope.</w:t>
      </w:r>
    </w:p>
    <w:p w:rsidR="004B071C" w:rsidRPr="00B12C47" w:rsidRDefault="004B071C" w:rsidP="00B12C47">
      <w:pPr>
        <w:rPr>
          <w:rFonts w:ascii="Constantia" w:hAnsi="Constantia" w:cs="Arial"/>
          <w:bCs/>
          <w:iCs/>
        </w:rPr>
      </w:pPr>
      <w:r w:rsidRPr="00880A99">
        <w:rPr>
          <w:rFonts w:ascii="Constantia" w:hAnsi="Constantia" w:cs="Arial"/>
          <w:b/>
          <w:bCs/>
          <w:i/>
          <w:iCs/>
        </w:rPr>
        <w:t>Anguilla anguilla</w:t>
      </w:r>
      <w:r w:rsidRPr="00B12C47">
        <w:rPr>
          <w:rFonts w:ascii="Constantia" w:hAnsi="Constantia" w:cs="Arial"/>
          <w:bCs/>
          <w:iCs/>
        </w:rPr>
        <w:t xml:space="preserve"> (Eel) (jegulja) je još uvijek u dobrom stanju na jezeru</w:t>
      </w:r>
      <w:r w:rsidR="00880A99">
        <w:rPr>
          <w:rFonts w:ascii="Constantia" w:hAnsi="Constantia" w:cs="Arial"/>
          <w:bCs/>
          <w:iCs/>
        </w:rPr>
        <w:t>. Ipak,</w:t>
      </w:r>
      <w:r w:rsidRPr="00B12C47">
        <w:rPr>
          <w:rFonts w:ascii="Constantia" w:hAnsi="Constantia" w:cs="Arial"/>
          <w:bCs/>
          <w:iCs/>
        </w:rPr>
        <w:t xml:space="preserve"> vrsta je izložena jakom pritisku od ribarstva.</w:t>
      </w:r>
    </w:p>
    <w:p w:rsidR="000F0AE9" w:rsidRDefault="004B071C" w:rsidP="00B12C47">
      <w:pPr>
        <w:rPr>
          <w:rFonts w:ascii="Constantia" w:hAnsi="Constantia" w:cs="Arial"/>
        </w:rPr>
      </w:pPr>
      <w:r w:rsidRPr="000F0AE9">
        <w:rPr>
          <w:rFonts w:ascii="Constantia" w:hAnsi="Constantia" w:cs="Arial"/>
          <w:bCs/>
          <w:iCs/>
        </w:rPr>
        <w:t>Invazivna vrsta</w:t>
      </w:r>
      <w:r w:rsidRPr="00B12C47">
        <w:rPr>
          <w:rFonts w:ascii="Constantia" w:hAnsi="Constantia" w:cs="Arial"/>
          <w:b/>
          <w:bCs/>
          <w:iCs/>
        </w:rPr>
        <w:t xml:space="preserve"> </w:t>
      </w:r>
      <w:r w:rsidRPr="000F0AE9">
        <w:rPr>
          <w:rFonts w:ascii="Constantia" w:hAnsi="Constantia" w:cs="Arial"/>
          <w:b/>
          <w:bCs/>
          <w:i/>
          <w:iCs/>
        </w:rPr>
        <w:t>Perca fluviatilis</w:t>
      </w:r>
      <w:r w:rsidRPr="00B12C47">
        <w:rPr>
          <w:rFonts w:ascii="Constantia" w:hAnsi="Constantia" w:cs="Arial"/>
          <w:b/>
          <w:bCs/>
          <w:iCs/>
        </w:rPr>
        <w:t xml:space="preserve"> </w:t>
      </w:r>
      <w:r w:rsidRPr="00B12C47">
        <w:rPr>
          <w:rFonts w:ascii="Constantia" w:hAnsi="Constantia" w:cs="Arial"/>
        </w:rPr>
        <w:t xml:space="preserve"> je jedna od tri najbrojnije vrste na jezeru, što je potvrđeno i tokom ove monitoring aktivnosti. S obzirom na brojnost i invazivnost vrsta bi mogla ozbiljno uticati na ostale domicijalne vrste jezera. </w:t>
      </w:r>
    </w:p>
    <w:p w:rsidR="004B071C" w:rsidRPr="00B12C47" w:rsidRDefault="004B071C" w:rsidP="00B12C47">
      <w:pPr>
        <w:rPr>
          <w:rFonts w:ascii="Constantia" w:hAnsi="Constantia" w:cs="Arial"/>
          <w:bCs/>
          <w:iCs/>
        </w:rPr>
      </w:pPr>
      <w:r w:rsidRPr="00B12C47">
        <w:rPr>
          <w:rFonts w:ascii="Constantia" w:hAnsi="Constantia" w:cs="Arial"/>
        </w:rPr>
        <w:t xml:space="preserve">Takođe, invazivna vrsta </w:t>
      </w:r>
      <w:r w:rsidRPr="000F0AE9">
        <w:rPr>
          <w:rFonts w:ascii="Constantia" w:hAnsi="Constantia" w:cs="Arial"/>
          <w:b/>
          <w:bCs/>
          <w:i/>
          <w:iCs/>
        </w:rPr>
        <w:t>Carassius gibelio</w:t>
      </w:r>
      <w:r w:rsidRPr="00B12C47">
        <w:rPr>
          <w:rFonts w:ascii="Constantia" w:hAnsi="Constantia" w:cs="Arial"/>
          <w:bCs/>
          <w:iCs/>
        </w:rPr>
        <w:t xml:space="preserve"> je veoma brojna i kako je kompetitorska vrsta sa običnim krapom</w:t>
      </w:r>
      <w:r w:rsidR="000F0AE9">
        <w:rPr>
          <w:rFonts w:ascii="Constantia" w:hAnsi="Constantia" w:cs="Arial"/>
          <w:bCs/>
          <w:iCs/>
        </w:rPr>
        <w:t>,</w:t>
      </w:r>
      <w:r w:rsidRPr="00B12C47">
        <w:rPr>
          <w:rFonts w:ascii="Constantia" w:hAnsi="Constantia" w:cs="Arial"/>
          <w:bCs/>
          <w:iCs/>
        </w:rPr>
        <w:t xml:space="preserve"> može uticati na populaciju ove vrste.</w:t>
      </w:r>
    </w:p>
    <w:p w:rsidR="000F0AE9" w:rsidRPr="00E90D22" w:rsidRDefault="000F0AE9" w:rsidP="004B071C">
      <w:pPr>
        <w:rPr>
          <w:rFonts w:ascii="Arial" w:hAnsi="Arial" w:cs="Arial"/>
          <w:lang w:val="sr-Latn-CS"/>
        </w:rPr>
      </w:pPr>
    </w:p>
    <w:tbl>
      <w:tblPr>
        <w:tblpPr w:leftFromText="180" w:rightFromText="180" w:vertAnchor="text" w:tblpXSpec="center" w:tblpY="1"/>
        <w:tblW w:w="0" w:type="auto"/>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firstRow="1" w:lastRow="0" w:firstColumn="1" w:lastColumn="0" w:noHBand="0" w:noVBand="1"/>
      </w:tblPr>
      <w:tblGrid>
        <w:gridCol w:w="2322"/>
        <w:gridCol w:w="3276"/>
        <w:gridCol w:w="3600"/>
      </w:tblGrid>
      <w:tr w:rsidR="004B071C" w:rsidRPr="002E30FF" w:rsidTr="004E680E">
        <w:tc>
          <w:tcPr>
            <w:tcW w:w="2322" w:type="dxa"/>
            <w:shd w:val="clear" w:color="auto" w:fill="E6EED5"/>
          </w:tcPr>
          <w:p w:rsidR="004B071C" w:rsidRPr="002E30FF" w:rsidRDefault="004B071C" w:rsidP="002E30FF">
            <w:pPr>
              <w:keepNext/>
              <w:keepLines/>
              <w:spacing w:before="60" w:after="0"/>
              <w:outlineLvl w:val="3"/>
              <w:rPr>
                <w:rFonts w:ascii="Constantia" w:hAnsi="Constantia" w:cs="Arial"/>
                <w:b/>
                <w:bCs/>
                <w:iCs/>
                <w:color w:val="000000"/>
                <w:szCs w:val="22"/>
              </w:rPr>
            </w:pPr>
            <w:r w:rsidRPr="002E30FF">
              <w:rPr>
                <w:rFonts w:ascii="Constantia" w:hAnsi="Constantia" w:cs="Arial"/>
                <w:b/>
                <w:bCs/>
                <w:iCs/>
                <w:color w:val="000000"/>
                <w:szCs w:val="22"/>
              </w:rPr>
              <w:t>Tip</w:t>
            </w:r>
          </w:p>
        </w:tc>
        <w:tc>
          <w:tcPr>
            <w:tcW w:w="3276" w:type="dxa"/>
            <w:shd w:val="clear" w:color="auto" w:fill="E6EED5"/>
          </w:tcPr>
          <w:p w:rsidR="004B071C" w:rsidRPr="002E30FF" w:rsidRDefault="004B071C" w:rsidP="002E30FF">
            <w:pPr>
              <w:keepNext/>
              <w:keepLines/>
              <w:spacing w:before="60" w:after="0"/>
              <w:outlineLvl w:val="3"/>
              <w:rPr>
                <w:rFonts w:ascii="Constantia" w:hAnsi="Constantia" w:cs="Arial"/>
                <w:b/>
                <w:bCs/>
                <w:iCs/>
                <w:color w:val="000000"/>
                <w:szCs w:val="22"/>
              </w:rPr>
            </w:pPr>
            <w:r w:rsidRPr="002E30FF">
              <w:rPr>
                <w:rFonts w:ascii="Constantia" w:hAnsi="Constantia" w:cs="Arial"/>
                <w:b/>
                <w:bCs/>
                <w:iCs/>
                <w:color w:val="000000"/>
                <w:szCs w:val="22"/>
              </w:rPr>
              <w:t>Vrste</w:t>
            </w:r>
          </w:p>
        </w:tc>
        <w:tc>
          <w:tcPr>
            <w:tcW w:w="3600" w:type="dxa"/>
            <w:shd w:val="clear" w:color="auto" w:fill="E6EED5"/>
          </w:tcPr>
          <w:p w:rsidR="004B071C" w:rsidRPr="002E30FF" w:rsidRDefault="004B071C" w:rsidP="002E30FF">
            <w:pPr>
              <w:keepNext/>
              <w:keepLines/>
              <w:spacing w:before="60" w:after="0"/>
              <w:jc w:val="center"/>
              <w:outlineLvl w:val="3"/>
              <w:rPr>
                <w:rFonts w:ascii="Constantia" w:hAnsi="Constantia" w:cs="Arial"/>
                <w:b/>
                <w:bCs/>
                <w:iCs/>
                <w:color w:val="000000"/>
                <w:szCs w:val="22"/>
              </w:rPr>
            </w:pPr>
            <w:r w:rsidRPr="002E30FF">
              <w:rPr>
                <w:rFonts w:ascii="Constantia" w:hAnsi="Constantia" w:cs="Arial"/>
                <w:b/>
                <w:bCs/>
                <w:iCs/>
                <w:color w:val="000000"/>
                <w:szCs w:val="22"/>
              </w:rPr>
              <w:t>Uticaj</w:t>
            </w:r>
          </w:p>
        </w:tc>
      </w:tr>
      <w:tr w:rsidR="004B071C" w:rsidRPr="002E30FF" w:rsidTr="004E680E">
        <w:tc>
          <w:tcPr>
            <w:tcW w:w="2322" w:type="dxa"/>
            <w:shd w:val="clear" w:color="auto" w:fill="CDDDAC"/>
          </w:tcPr>
          <w:p w:rsidR="004B071C" w:rsidRPr="002E30FF" w:rsidRDefault="004B071C" w:rsidP="002E30FF">
            <w:pPr>
              <w:keepNext/>
              <w:keepLines/>
              <w:spacing w:before="60" w:after="0"/>
              <w:outlineLvl w:val="3"/>
              <w:rPr>
                <w:rFonts w:ascii="Constantia" w:hAnsi="Constantia" w:cs="Arial"/>
                <w:bCs/>
                <w:iCs/>
                <w:color w:val="000000"/>
                <w:szCs w:val="22"/>
              </w:rPr>
            </w:pPr>
            <w:r w:rsidRPr="002E30FF">
              <w:rPr>
                <w:rFonts w:ascii="Constantia" w:hAnsi="Constantia" w:cs="Arial"/>
                <w:bCs/>
                <w:iCs/>
                <w:color w:val="000000"/>
                <w:szCs w:val="22"/>
              </w:rPr>
              <w:t>Ilegalan lov</w:t>
            </w:r>
          </w:p>
        </w:tc>
        <w:tc>
          <w:tcPr>
            <w:tcW w:w="3276" w:type="dxa"/>
            <w:shd w:val="clear" w:color="auto" w:fill="CDDDAC"/>
          </w:tcPr>
          <w:p w:rsidR="004B071C" w:rsidRPr="002E30FF" w:rsidRDefault="004B071C" w:rsidP="002E30FF">
            <w:pPr>
              <w:keepNext/>
              <w:keepLines/>
              <w:spacing w:before="60" w:after="0"/>
              <w:jc w:val="left"/>
              <w:outlineLvl w:val="3"/>
              <w:rPr>
                <w:rFonts w:ascii="Constantia" w:hAnsi="Constantia" w:cs="Arial"/>
                <w:bCs/>
                <w:iCs/>
                <w:color w:val="000000"/>
                <w:szCs w:val="22"/>
              </w:rPr>
            </w:pPr>
            <w:r w:rsidRPr="002E30FF">
              <w:rPr>
                <w:rFonts w:ascii="Constantia" w:hAnsi="Constantia" w:cs="Arial"/>
                <w:bCs/>
                <w:iCs/>
                <w:color w:val="000000"/>
                <w:szCs w:val="22"/>
              </w:rPr>
              <w:t>Salmo</w:t>
            </w:r>
            <w:r w:rsidR="002E30FF">
              <w:rPr>
                <w:rFonts w:ascii="Constantia" w:hAnsi="Constantia" w:cs="Arial"/>
                <w:bCs/>
                <w:iCs/>
                <w:color w:val="000000"/>
                <w:szCs w:val="22"/>
              </w:rPr>
              <w:t xml:space="preserve"> </w:t>
            </w:r>
            <w:r w:rsidRPr="002E30FF">
              <w:rPr>
                <w:rFonts w:ascii="Constantia" w:hAnsi="Constantia" w:cs="Arial"/>
                <w:bCs/>
                <w:iCs/>
                <w:color w:val="000000"/>
                <w:szCs w:val="22"/>
              </w:rPr>
              <w:t>farioides (ADRc haplotype)</w:t>
            </w:r>
          </w:p>
          <w:p w:rsidR="004B071C" w:rsidRPr="002E30FF" w:rsidRDefault="004B071C" w:rsidP="002E30FF">
            <w:pPr>
              <w:keepNext/>
              <w:keepLines/>
              <w:spacing w:before="60" w:after="0"/>
              <w:outlineLvl w:val="3"/>
              <w:rPr>
                <w:rFonts w:ascii="Constantia" w:hAnsi="Constantia" w:cs="Arial"/>
                <w:bCs/>
                <w:iCs/>
                <w:color w:val="000000"/>
                <w:szCs w:val="22"/>
              </w:rPr>
            </w:pPr>
            <w:r w:rsidRPr="002E30FF">
              <w:rPr>
                <w:rFonts w:ascii="Constantia" w:hAnsi="Constantia" w:cs="Arial"/>
                <w:bCs/>
                <w:iCs/>
                <w:color w:val="000000"/>
                <w:szCs w:val="22"/>
              </w:rPr>
              <w:t>Salmo marmoratus</w:t>
            </w:r>
          </w:p>
          <w:p w:rsidR="004B071C" w:rsidRPr="002E30FF" w:rsidRDefault="004B071C" w:rsidP="002E30FF">
            <w:pPr>
              <w:keepNext/>
              <w:keepLines/>
              <w:spacing w:before="60" w:after="0"/>
              <w:outlineLvl w:val="3"/>
              <w:rPr>
                <w:rFonts w:ascii="Constantia" w:hAnsi="Constantia" w:cs="Arial"/>
                <w:bCs/>
                <w:iCs/>
                <w:color w:val="000000"/>
                <w:szCs w:val="22"/>
              </w:rPr>
            </w:pPr>
            <w:r w:rsidRPr="002E30FF">
              <w:rPr>
                <w:rFonts w:ascii="Constantia" w:hAnsi="Constantia" w:cs="Arial"/>
                <w:bCs/>
                <w:iCs/>
                <w:color w:val="000000"/>
                <w:szCs w:val="22"/>
              </w:rPr>
              <w:t>Acipenser naccarii</w:t>
            </w:r>
          </w:p>
          <w:p w:rsidR="004B071C" w:rsidRPr="002E30FF" w:rsidRDefault="004B071C" w:rsidP="002E30FF">
            <w:pPr>
              <w:keepNext/>
              <w:keepLines/>
              <w:spacing w:before="60" w:after="0"/>
              <w:outlineLvl w:val="3"/>
              <w:rPr>
                <w:rFonts w:ascii="Constantia" w:hAnsi="Constantia" w:cs="Arial"/>
                <w:bCs/>
                <w:iCs/>
                <w:color w:val="000000"/>
                <w:szCs w:val="22"/>
              </w:rPr>
            </w:pPr>
            <w:r w:rsidRPr="002E30FF">
              <w:rPr>
                <w:rFonts w:ascii="Constantia" w:hAnsi="Constantia" w:cs="Arial"/>
                <w:bCs/>
                <w:iCs/>
                <w:color w:val="000000"/>
                <w:szCs w:val="22"/>
              </w:rPr>
              <w:t>Acipenser sturio</w:t>
            </w:r>
          </w:p>
          <w:p w:rsidR="004B071C" w:rsidRPr="002E30FF" w:rsidRDefault="004B071C" w:rsidP="002E30FF">
            <w:pPr>
              <w:keepNext/>
              <w:keepLines/>
              <w:spacing w:before="60" w:after="0"/>
              <w:outlineLvl w:val="3"/>
              <w:rPr>
                <w:rFonts w:ascii="Constantia" w:hAnsi="Constantia" w:cs="Arial"/>
                <w:bCs/>
                <w:iCs/>
                <w:color w:val="000000"/>
                <w:szCs w:val="22"/>
              </w:rPr>
            </w:pPr>
            <w:r w:rsidRPr="002E30FF">
              <w:rPr>
                <w:rFonts w:ascii="Constantia" w:hAnsi="Constantia" w:cs="Arial"/>
                <w:bCs/>
                <w:iCs/>
                <w:color w:val="000000"/>
                <w:szCs w:val="22"/>
              </w:rPr>
              <w:t>Anguilla anguilla</w:t>
            </w:r>
          </w:p>
        </w:tc>
        <w:tc>
          <w:tcPr>
            <w:tcW w:w="3600" w:type="dxa"/>
            <w:shd w:val="clear" w:color="auto" w:fill="CDDDAC"/>
          </w:tcPr>
          <w:p w:rsidR="004B071C" w:rsidRPr="002E30FF" w:rsidRDefault="004B071C" w:rsidP="002E30FF">
            <w:pPr>
              <w:keepNext/>
              <w:keepLines/>
              <w:spacing w:before="60" w:after="0"/>
              <w:jc w:val="center"/>
              <w:outlineLvl w:val="3"/>
              <w:rPr>
                <w:rFonts w:ascii="Constantia" w:hAnsi="Constantia" w:cs="Arial"/>
                <w:bCs/>
                <w:iCs/>
                <w:color w:val="000000"/>
                <w:szCs w:val="22"/>
              </w:rPr>
            </w:pPr>
            <w:r w:rsidRPr="002E30FF">
              <w:rPr>
                <w:rFonts w:ascii="Constantia" w:hAnsi="Constantia" w:cs="Arial"/>
                <w:bCs/>
                <w:iCs/>
                <w:color w:val="000000"/>
                <w:szCs w:val="22"/>
              </w:rPr>
              <w:t>A</w:t>
            </w:r>
          </w:p>
        </w:tc>
      </w:tr>
      <w:tr w:rsidR="004B071C" w:rsidRPr="002E30FF" w:rsidTr="004E680E">
        <w:tc>
          <w:tcPr>
            <w:tcW w:w="2322" w:type="dxa"/>
            <w:shd w:val="clear" w:color="auto" w:fill="E6EED5"/>
          </w:tcPr>
          <w:p w:rsidR="004B071C" w:rsidRPr="002E30FF" w:rsidRDefault="004B071C" w:rsidP="002E30FF">
            <w:pPr>
              <w:keepNext/>
              <w:keepLines/>
              <w:spacing w:before="60" w:after="0"/>
              <w:outlineLvl w:val="3"/>
              <w:rPr>
                <w:rFonts w:ascii="Constantia" w:hAnsi="Constantia" w:cs="Arial"/>
                <w:bCs/>
                <w:iCs/>
                <w:color w:val="000000"/>
                <w:szCs w:val="22"/>
              </w:rPr>
            </w:pPr>
            <w:r w:rsidRPr="002E30FF">
              <w:rPr>
                <w:rFonts w:ascii="Constantia" w:hAnsi="Constantia" w:cs="Arial"/>
                <w:bCs/>
                <w:iCs/>
                <w:color w:val="000000"/>
                <w:szCs w:val="22"/>
              </w:rPr>
              <w:t xml:space="preserve">Degradacija staništa </w:t>
            </w:r>
          </w:p>
        </w:tc>
        <w:tc>
          <w:tcPr>
            <w:tcW w:w="3276" w:type="dxa"/>
            <w:shd w:val="clear" w:color="auto" w:fill="E6EED5"/>
          </w:tcPr>
          <w:p w:rsidR="004B071C" w:rsidRPr="002E30FF" w:rsidRDefault="004B071C" w:rsidP="002E30FF">
            <w:pPr>
              <w:keepNext/>
              <w:keepLines/>
              <w:spacing w:before="60" w:after="0"/>
              <w:outlineLvl w:val="3"/>
              <w:rPr>
                <w:rFonts w:ascii="Constantia" w:hAnsi="Constantia" w:cs="Arial"/>
                <w:bCs/>
                <w:iCs/>
                <w:color w:val="000000"/>
                <w:szCs w:val="22"/>
              </w:rPr>
            </w:pPr>
            <w:r w:rsidRPr="002E30FF">
              <w:rPr>
                <w:rFonts w:ascii="Constantia" w:hAnsi="Constantia" w:cs="Arial"/>
                <w:bCs/>
                <w:iCs/>
                <w:color w:val="000000"/>
                <w:szCs w:val="22"/>
              </w:rPr>
              <w:t>Acipenser naccarii</w:t>
            </w:r>
          </w:p>
          <w:p w:rsidR="004B071C" w:rsidRPr="002E30FF" w:rsidRDefault="004B071C" w:rsidP="002E30FF">
            <w:pPr>
              <w:keepNext/>
              <w:keepLines/>
              <w:spacing w:before="60" w:after="0"/>
              <w:outlineLvl w:val="3"/>
              <w:rPr>
                <w:rFonts w:ascii="Constantia" w:hAnsi="Constantia" w:cs="Arial"/>
                <w:bCs/>
                <w:iCs/>
                <w:color w:val="000000"/>
                <w:szCs w:val="22"/>
              </w:rPr>
            </w:pPr>
            <w:r w:rsidRPr="002E30FF">
              <w:rPr>
                <w:rFonts w:ascii="Constantia" w:hAnsi="Constantia" w:cs="Arial"/>
                <w:bCs/>
                <w:iCs/>
                <w:color w:val="000000"/>
                <w:szCs w:val="22"/>
              </w:rPr>
              <w:t>Acipenser sturio</w:t>
            </w:r>
          </w:p>
        </w:tc>
        <w:tc>
          <w:tcPr>
            <w:tcW w:w="3600" w:type="dxa"/>
            <w:shd w:val="clear" w:color="auto" w:fill="E6EED5"/>
          </w:tcPr>
          <w:p w:rsidR="004B071C" w:rsidRPr="002E30FF" w:rsidRDefault="004B071C" w:rsidP="002E30FF">
            <w:pPr>
              <w:keepNext/>
              <w:keepLines/>
              <w:spacing w:before="60" w:after="0"/>
              <w:jc w:val="center"/>
              <w:outlineLvl w:val="3"/>
              <w:rPr>
                <w:rFonts w:ascii="Constantia" w:hAnsi="Constantia" w:cs="Arial"/>
                <w:bCs/>
                <w:iCs/>
                <w:color w:val="000000"/>
                <w:szCs w:val="22"/>
              </w:rPr>
            </w:pPr>
            <w:r w:rsidRPr="002E30FF">
              <w:rPr>
                <w:rFonts w:ascii="Constantia" w:hAnsi="Constantia" w:cs="Arial"/>
                <w:bCs/>
                <w:iCs/>
                <w:color w:val="000000"/>
                <w:szCs w:val="22"/>
              </w:rPr>
              <w:t>A</w:t>
            </w:r>
          </w:p>
        </w:tc>
      </w:tr>
    </w:tbl>
    <w:p w:rsidR="004B071C" w:rsidRPr="002E30FF" w:rsidRDefault="002E30FF" w:rsidP="004B071C">
      <w:pPr>
        <w:pStyle w:val="Tabele"/>
        <w:spacing w:before="60" w:after="240"/>
        <w:ind w:left="714" w:hanging="357"/>
        <w:rPr>
          <w:rFonts w:ascii="Constantia" w:hAnsi="Constantia"/>
          <w:sz w:val="22"/>
          <w:szCs w:val="22"/>
        </w:rPr>
      </w:pPr>
      <w:r>
        <w:t xml:space="preserve"> </w:t>
      </w:r>
      <w:r w:rsidR="004B071C" w:rsidRPr="002E30FF">
        <w:rPr>
          <w:rFonts w:ascii="Constantia" w:hAnsi="Constantia"/>
          <w:sz w:val="22"/>
          <w:szCs w:val="22"/>
        </w:rPr>
        <w:t>Procjena uticaja aktivnosti na populacije riba</w:t>
      </w:r>
    </w:p>
    <w:p w:rsidR="004B071C" w:rsidRPr="002E30FF" w:rsidRDefault="004B071C" w:rsidP="001B7090">
      <w:pPr>
        <w:spacing w:line="300" w:lineRule="exact"/>
        <w:rPr>
          <w:rFonts w:ascii="Constantia" w:hAnsi="Constantia" w:cs="Arial"/>
          <w:b/>
          <w:bCs/>
          <w:szCs w:val="22"/>
          <w:lang w:val="sr-Latn-CS"/>
        </w:rPr>
      </w:pPr>
      <w:r w:rsidRPr="002E30FF">
        <w:rPr>
          <w:rFonts w:ascii="Constantia" w:hAnsi="Constantia" w:cs="Arial"/>
          <w:b/>
          <w:bCs/>
          <w:szCs w:val="22"/>
          <w:lang w:val="sr-Latn-CS"/>
        </w:rPr>
        <w:lastRenderedPageBreak/>
        <w:t>Vodozemci i gmizavci</w:t>
      </w:r>
    </w:p>
    <w:p w:rsidR="004B071C" w:rsidRPr="002E30FF" w:rsidRDefault="004B071C" w:rsidP="004B071C">
      <w:pPr>
        <w:spacing w:after="0" w:line="300" w:lineRule="exact"/>
        <w:rPr>
          <w:rFonts w:ascii="Constantia" w:hAnsi="Constantia" w:cs="Arial"/>
          <w:szCs w:val="22"/>
        </w:rPr>
      </w:pPr>
      <w:r w:rsidRPr="002E30FF">
        <w:rPr>
          <w:rFonts w:ascii="Constantia" w:hAnsi="Constantia" w:cs="Arial"/>
          <w:szCs w:val="22"/>
        </w:rPr>
        <w:t>Područje Skadarskog jezera predstavlja jedinstveno i dobro očuvano područje sa aspekta očuvanja i zaštite p</w:t>
      </w:r>
      <w:r w:rsidR="002E30FF">
        <w:rPr>
          <w:rFonts w:ascii="Constantia" w:hAnsi="Constantia" w:cs="Arial"/>
          <w:szCs w:val="22"/>
        </w:rPr>
        <w:t>opulacije vodozemaca. Takođe, i</w:t>
      </w:r>
      <w:r w:rsidRPr="002E30FF">
        <w:rPr>
          <w:rFonts w:ascii="Constantia" w:hAnsi="Constantia" w:cs="Arial"/>
          <w:szCs w:val="22"/>
        </w:rPr>
        <w:t>s</w:t>
      </w:r>
      <w:r w:rsidR="002E30FF">
        <w:rPr>
          <w:rFonts w:ascii="Constantia" w:hAnsi="Constantia" w:cs="Arial"/>
          <w:szCs w:val="22"/>
        </w:rPr>
        <w:t>t</w:t>
      </w:r>
      <w:r w:rsidRPr="002E30FF">
        <w:rPr>
          <w:rFonts w:ascii="Constantia" w:hAnsi="Constantia" w:cs="Arial"/>
          <w:szCs w:val="22"/>
        </w:rPr>
        <w:t xml:space="preserve">raživane populacije gmizavaca su procijenjene kao zadovoljavajuće. </w:t>
      </w:r>
    </w:p>
    <w:p w:rsidR="004B071C" w:rsidRPr="00E90D22" w:rsidRDefault="004B071C" w:rsidP="004B071C">
      <w:pPr>
        <w:rPr>
          <w:rFonts w:ascii="Arial" w:hAnsi="Arial" w:cs="Arial"/>
          <w:color w:val="000000"/>
          <w:szCs w:val="22"/>
        </w:rPr>
      </w:pPr>
    </w:p>
    <w:tbl>
      <w:tblPr>
        <w:tblpPr w:leftFromText="180" w:rightFromText="180" w:vertAnchor="text" w:tblpXSpec="center" w:tblpY="1"/>
        <w:tblW w:w="0" w:type="auto"/>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firstRow="1" w:lastRow="0" w:firstColumn="1" w:lastColumn="0" w:noHBand="0" w:noVBand="1"/>
      </w:tblPr>
      <w:tblGrid>
        <w:gridCol w:w="2628"/>
        <w:gridCol w:w="5400"/>
        <w:gridCol w:w="1170"/>
      </w:tblGrid>
      <w:tr w:rsidR="004B071C" w:rsidRPr="002F0316" w:rsidTr="002F0316">
        <w:tc>
          <w:tcPr>
            <w:tcW w:w="2628" w:type="dxa"/>
            <w:shd w:val="clear" w:color="auto" w:fill="E6EED5"/>
          </w:tcPr>
          <w:p w:rsidR="004B071C" w:rsidRPr="002F0316" w:rsidRDefault="004B071C" w:rsidP="002F0316">
            <w:pPr>
              <w:keepNext/>
              <w:keepLines/>
              <w:spacing w:before="60"/>
              <w:jc w:val="center"/>
              <w:outlineLvl w:val="3"/>
              <w:rPr>
                <w:rFonts w:ascii="Constantia" w:hAnsi="Constantia" w:cs="Arial"/>
                <w:b/>
                <w:bCs/>
                <w:iCs/>
                <w:color w:val="000000"/>
                <w:szCs w:val="22"/>
              </w:rPr>
            </w:pPr>
            <w:r w:rsidRPr="002F0316">
              <w:rPr>
                <w:rFonts w:ascii="Constantia" w:hAnsi="Constantia" w:cs="Arial"/>
                <w:b/>
                <w:bCs/>
                <w:iCs/>
                <w:color w:val="000000"/>
                <w:szCs w:val="22"/>
              </w:rPr>
              <w:t>Tip</w:t>
            </w:r>
          </w:p>
        </w:tc>
        <w:tc>
          <w:tcPr>
            <w:tcW w:w="5400" w:type="dxa"/>
            <w:shd w:val="clear" w:color="auto" w:fill="E6EED5"/>
          </w:tcPr>
          <w:p w:rsidR="004B071C" w:rsidRPr="002F0316" w:rsidRDefault="004B071C" w:rsidP="002F0316">
            <w:pPr>
              <w:keepNext/>
              <w:keepLines/>
              <w:spacing w:before="60"/>
              <w:jc w:val="center"/>
              <w:outlineLvl w:val="3"/>
              <w:rPr>
                <w:rFonts w:ascii="Constantia" w:hAnsi="Constantia" w:cs="Arial"/>
                <w:b/>
                <w:bCs/>
                <w:iCs/>
                <w:color w:val="000000"/>
                <w:szCs w:val="22"/>
              </w:rPr>
            </w:pPr>
            <w:r w:rsidRPr="002F0316">
              <w:rPr>
                <w:rFonts w:ascii="Constantia" w:hAnsi="Constantia" w:cs="Arial"/>
                <w:b/>
                <w:bCs/>
                <w:iCs/>
                <w:color w:val="000000"/>
                <w:szCs w:val="22"/>
              </w:rPr>
              <w:t>Vrste</w:t>
            </w:r>
          </w:p>
        </w:tc>
        <w:tc>
          <w:tcPr>
            <w:tcW w:w="1170" w:type="dxa"/>
            <w:shd w:val="clear" w:color="auto" w:fill="E6EED5"/>
          </w:tcPr>
          <w:p w:rsidR="004B071C" w:rsidRPr="002F0316" w:rsidRDefault="004B071C" w:rsidP="002F0316">
            <w:pPr>
              <w:keepNext/>
              <w:keepLines/>
              <w:spacing w:before="60"/>
              <w:jc w:val="center"/>
              <w:outlineLvl w:val="3"/>
              <w:rPr>
                <w:rFonts w:ascii="Constantia" w:hAnsi="Constantia" w:cs="Arial"/>
                <w:b/>
                <w:bCs/>
                <w:iCs/>
                <w:color w:val="000000"/>
                <w:szCs w:val="22"/>
              </w:rPr>
            </w:pPr>
            <w:r w:rsidRPr="002F0316">
              <w:rPr>
                <w:rFonts w:ascii="Constantia" w:hAnsi="Constantia" w:cs="Arial"/>
                <w:b/>
                <w:bCs/>
                <w:iCs/>
                <w:color w:val="000000"/>
                <w:szCs w:val="22"/>
              </w:rPr>
              <w:t>Uticaj</w:t>
            </w:r>
          </w:p>
        </w:tc>
      </w:tr>
      <w:tr w:rsidR="004B071C" w:rsidRPr="002F0316" w:rsidTr="00D65E40">
        <w:trPr>
          <w:trHeight w:val="1033"/>
        </w:trPr>
        <w:tc>
          <w:tcPr>
            <w:tcW w:w="2628" w:type="dxa"/>
            <w:shd w:val="clear" w:color="auto" w:fill="CDDDAC"/>
          </w:tcPr>
          <w:p w:rsidR="004B071C" w:rsidRPr="002F0316" w:rsidRDefault="004B071C" w:rsidP="002F0316">
            <w:pPr>
              <w:keepNext/>
              <w:keepLines/>
              <w:spacing w:before="60" w:after="0"/>
              <w:jc w:val="left"/>
              <w:outlineLvl w:val="3"/>
              <w:rPr>
                <w:rFonts w:ascii="Constantia" w:hAnsi="Constantia" w:cs="Arial"/>
                <w:bCs/>
                <w:iCs/>
                <w:color w:val="000000"/>
                <w:szCs w:val="22"/>
              </w:rPr>
            </w:pPr>
            <w:r w:rsidRPr="002F0316">
              <w:rPr>
                <w:rFonts w:ascii="Constantia" w:hAnsi="Constantia" w:cs="Arial"/>
                <w:bCs/>
                <w:szCs w:val="22"/>
              </w:rPr>
              <w:t>Sakupljanje u komercialne svrhe</w:t>
            </w:r>
          </w:p>
        </w:tc>
        <w:tc>
          <w:tcPr>
            <w:tcW w:w="5400" w:type="dxa"/>
            <w:shd w:val="clear" w:color="auto" w:fill="CDDDAC"/>
          </w:tcPr>
          <w:p w:rsidR="004B071C" w:rsidRPr="002F0316" w:rsidRDefault="004B071C" w:rsidP="002F0316">
            <w:pPr>
              <w:spacing w:after="0"/>
              <w:rPr>
                <w:rFonts w:ascii="Constantia" w:hAnsi="Constantia" w:cs="Arial"/>
                <w:color w:val="000000"/>
                <w:szCs w:val="22"/>
              </w:rPr>
            </w:pPr>
            <w:r w:rsidRPr="002F0316">
              <w:rPr>
                <w:rFonts w:ascii="Constantia" w:hAnsi="Constantia" w:cs="Arial"/>
                <w:i/>
                <w:color w:val="000000"/>
                <w:szCs w:val="22"/>
              </w:rPr>
              <w:t>Pelophylax</w:t>
            </w:r>
            <w:r w:rsidRPr="002F0316">
              <w:rPr>
                <w:rFonts w:ascii="Constantia" w:hAnsi="Constantia" w:cs="Arial"/>
                <w:color w:val="000000"/>
                <w:szCs w:val="22"/>
              </w:rPr>
              <w:t xml:space="preserve"> (Rana) </w:t>
            </w:r>
            <w:r w:rsidRPr="002F0316">
              <w:rPr>
                <w:rFonts w:ascii="Constantia" w:hAnsi="Constantia" w:cs="Arial"/>
                <w:i/>
                <w:color w:val="000000"/>
                <w:szCs w:val="22"/>
              </w:rPr>
              <w:t xml:space="preserve">shqipericus </w:t>
            </w:r>
            <w:r w:rsidRPr="002F0316">
              <w:rPr>
                <w:rFonts w:ascii="Constantia" w:hAnsi="Constantia" w:cs="Arial"/>
                <w:color w:val="000000"/>
                <w:szCs w:val="22"/>
              </w:rPr>
              <w:t>Hotz et al.,1987</w:t>
            </w:r>
          </w:p>
          <w:p w:rsidR="004B071C" w:rsidRPr="002F0316" w:rsidRDefault="004B071C" w:rsidP="002F0316">
            <w:pPr>
              <w:keepNext/>
              <w:keepLines/>
              <w:spacing w:before="60" w:after="0"/>
              <w:outlineLvl w:val="3"/>
              <w:rPr>
                <w:rFonts w:ascii="Constantia" w:hAnsi="Constantia" w:cs="Arial"/>
                <w:bCs/>
                <w:iCs/>
                <w:color w:val="000000"/>
                <w:szCs w:val="22"/>
              </w:rPr>
            </w:pPr>
            <w:r w:rsidRPr="002F0316">
              <w:rPr>
                <w:rFonts w:ascii="Constantia" w:hAnsi="Constantia" w:cs="Arial"/>
                <w:bCs/>
                <w:i/>
                <w:iCs/>
                <w:color w:val="000000"/>
                <w:szCs w:val="22"/>
              </w:rPr>
              <w:t>Algiroides nigropunctatus</w:t>
            </w:r>
            <w:r w:rsidRPr="002F0316">
              <w:rPr>
                <w:rFonts w:ascii="Constantia" w:hAnsi="Constantia" w:cs="Arial"/>
                <w:bCs/>
                <w:iCs/>
                <w:color w:val="000000"/>
                <w:szCs w:val="22"/>
              </w:rPr>
              <w:t xml:space="preserve"> (Dum.&amp;Bibr., 1839)</w:t>
            </w:r>
          </w:p>
          <w:p w:rsidR="004B071C" w:rsidRPr="002F0316" w:rsidRDefault="004B071C" w:rsidP="002F0316">
            <w:pPr>
              <w:keepNext/>
              <w:keepLines/>
              <w:spacing w:before="60" w:after="0"/>
              <w:outlineLvl w:val="3"/>
              <w:rPr>
                <w:rFonts w:ascii="Constantia" w:hAnsi="Constantia" w:cs="Arial"/>
                <w:bCs/>
                <w:iCs/>
                <w:color w:val="000000"/>
                <w:szCs w:val="22"/>
              </w:rPr>
            </w:pPr>
            <w:r w:rsidRPr="002F0316">
              <w:rPr>
                <w:rFonts w:ascii="Constantia" w:hAnsi="Constantia" w:cs="Arial"/>
                <w:bCs/>
                <w:i/>
                <w:iCs/>
                <w:color w:val="000000"/>
                <w:szCs w:val="22"/>
              </w:rPr>
              <w:t>Testudo hermanni</w:t>
            </w:r>
            <w:r w:rsidRPr="002F0316">
              <w:rPr>
                <w:rFonts w:ascii="Constantia" w:hAnsi="Constantia" w:cs="Arial"/>
                <w:bCs/>
                <w:iCs/>
                <w:color w:val="000000"/>
                <w:szCs w:val="22"/>
              </w:rPr>
              <w:t xml:space="preserve"> (Gmelin 1788)</w:t>
            </w:r>
          </w:p>
        </w:tc>
        <w:tc>
          <w:tcPr>
            <w:tcW w:w="1170" w:type="dxa"/>
            <w:shd w:val="clear" w:color="auto" w:fill="CDDDAC"/>
          </w:tcPr>
          <w:p w:rsidR="004B071C" w:rsidRPr="002F0316" w:rsidRDefault="004B071C" w:rsidP="002F0316">
            <w:pPr>
              <w:keepNext/>
              <w:keepLines/>
              <w:spacing w:before="60" w:after="0"/>
              <w:jc w:val="center"/>
              <w:outlineLvl w:val="3"/>
              <w:rPr>
                <w:rFonts w:ascii="Constantia" w:hAnsi="Constantia" w:cs="Arial"/>
                <w:bCs/>
                <w:iCs/>
                <w:color w:val="000000"/>
                <w:szCs w:val="22"/>
              </w:rPr>
            </w:pPr>
            <w:r w:rsidRPr="002F0316">
              <w:rPr>
                <w:rFonts w:ascii="Constantia" w:hAnsi="Constantia" w:cs="Arial"/>
                <w:bCs/>
                <w:iCs/>
                <w:color w:val="000000"/>
                <w:szCs w:val="22"/>
              </w:rPr>
              <w:t>A</w:t>
            </w:r>
          </w:p>
        </w:tc>
      </w:tr>
      <w:tr w:rsidR="004B071C" w:rsidRPr="002F0316" w:rsidTr="00D65E40">
        <w:trPr>
          <w:trHeight w:val="520"/>
        </w:trPr>
        <w:tc>
          <w:tcPr>
            <w:tcW w:w="2628" w:type="dxa"/>
            <w:shd w:val="clear" w:color="auto" w:fill="E6EED5"/>
          </w:tcPr>
          <w:p w:rsidR="004B071C" w:rsidRPr="002F0316" w:rsidRDefault="004B071C" w:rsidP="002F0316">
            <w:pPr>
              <w:keepNext/>
              <w:keepLines/>
              <w:spacing w:before="60" w:after="0"/>
              <w:jc w:val="left"/>
              <w:outlineLvl w:val="3"/>
              <w:rPr>
                <w:rFonts w:ascii="Constantia" w:hAnsi="Constantia" w:cs="Arial"/>
                <w:bCs/>
                <w:szCs w:val="22"/>
              </w:rPr>
            </w:pPr>
            <w:r w:rsidRPr="002F0316">
              <w:rPr>
                <w:rFonts w:ascii="Constantia" w:hAnsi="Constantia" w:cs="Arial"/>
                <w:bCs/>
                <w:szCs w:val="22"/>
              </w:rPr>
              <w:t>Uznemiravanje tokom turističke sezone</w:t>
            </w:r>
          </w:p>
        </w:tc>
        <w:tc>
          <w:tcPr>
            <w:tcW w:w="5400" w:type="dxa"/>
            <w:shd w:val="clear" w:color="auto" w:fill="E6EED5"/>
          </w:tcPr>
          <w:p w:rsidR="004B071C" w:rsidRPr="002F0316" w:rsidRDefault="004B071C" w:rsidP="002F0316">
            <w:pPr>
              <w:keepNext/>
              <w:keepLines/>
              <w:spacing w:before="60" w:after="0"/>
              <w:outlineLvl w:val="3"/>
              <w:rPr>
                <w:rFonts w:ascii="Constantia" w:hAnsi="Constantia" w:cs="Arial"/>
                <w:bCs/>
                <w:iCs/>
                <w:color w:val="000000"/>
                <w:szCs w:val="22"/>
              </w:rPr>
            </w:pPr>
            <w:r w:rsidRPr="002F0316">
              <w:rPr>
                <w:rFonts w:ascii="Constantia" w:hAnsi="Constantia" w:cs="Arial"/>
                <w:bCs/>
                <w:i/>
                <w:iCs/>
                <w:color w:val="000000"/>
                <w:szCs w:val="22"/>
              </w:rPr>
              <w:t>Testudo hermanni</w:t>
            </w:r>
            <w:r w:rsidRPr="002F0316">
              <w:rPr>
                <w:rFonts w:ascii="Constantia" w:hAnsi="Constantia" w:cs="Arial"/>
                <w:bCs/>
                <w:iCs/>
                <w:color w:val="000000"/>
                <w:szCs w:val="22"/>
              </w:rPr>
              <w:t xml:space="preserve"> (Gmelin 1788)</w:t>
            </w:r>
          </w:p>
        </w:tc>
        <w:tc>
          <w:tcPr>
            <w:tcW w:w="1170" w:type="dxa"/>
            <w:shd w:val="clear" w:color="auto" w:fill="E6EED5"/>
          </w:tcPr>
          <w:p w:rsidR="004B071C" w:rsidRPr="002F0316" w:rsidRDefault="004B071C" w:rsidP="002F0316">
            <w:pPr>
              <w:keepNext/>
              <w:keepLines/>
              <w:spacing w:before="60" w:after="0"/>
              <w:jc w:val="center"/>
              <w:outlineLvl w:val="3"/>
              <w:rPr>
                <w:rFonts w:ascii="Constantia" w:hAnsi="Constantia" w:cs="Arial"/>
                <w:bCs/>
                <w:iCs/>
                <w:color w:val="000000"/>
                <w:szCs w:val="22"/>
              </w:rPr>
            </w:pPr>
            <w:r w:rsidRPr="002F0316">
              <w:rPr>
                <w:rFonts w:ascii="Constantia" w:hAnsi="Constantia" w:cs="Arial"/>
                <w:bCs/>
                <w:iCs/>
                <w:color w:val="000000"/>
                <w:szCs w:val="22"/>
              </w:rPr>
              <w:t>B</w:t>
            </w:r>
          </w:p>
        </w:tc>
      </w:tr>
      <w:tr w:rsidR="004B071C" w:rsidRPr="002F0316" w:rsidTr="00D65E40">
        <w:trPr>
          <w:trHeight w:val="718"/>
        </w:trPr>
        <w:tc>
          <w:tcPr>
            <w:tcW w:w="2628" w:type="dxa"/>
            <w:shd w:val="clear" w:color="auto" w:fill="CDDDAC"/>
          </w:tcPr>
          <w:p w:rsidR="004B071C" w:rsidRPr="002F0316" w:rsidRDefault="004B071C" w:rsidP="002F0316">
            <w:pPr>
              <w:keepNext/>
              <w:keepLines/>
              <w:spacing w:before="60" w:after="0"/>
              <w:jc w:val="left"/>
              <w:outlineLvl w:val="3"/>
              <w:rPr>
                <w:rFonts w:ascii="Constantia" w:hAnsi="Constantia" w:cs="Arial"/>
                <w:bCs/>
                <w:szCs w:val="22"/>
              </w:rPr>
            </w:pPr>
            <w:r w:rsidRPr="002F0316">
              <w:rPr>
                <w:rFonts w:ascii="Constantia" w:hAnsi="Constantia" w:cs="Arial"/>
                <w:bCs/>
                <w:szCs w:val="22"/>
              </w:rPr>
              <w:t>Deforestacija</w:t>
            </w:r>
          </w:p>
        </w:tc>
        <w:tc>
          <w:tcPr>
            <w:tcW w:w="5400" w:type="dxa"/>
            <w:shd w:val="clear" w:color="auto" w:fill="CDDDAC"/>
          </w:tcPr>
          <w:p w:rsidR="004B071C" w:rsidRPr="002F0316" w:rsidRDefault="004B071C" w:rsidP="002F0316">
            <w:pPr>
              <w:keepNext/>
              <w:keepLines/>
              <w:spacing w:before="60" w:after="0"/>
              <w:outlineLvl w:val="3"/>
              <w:rPr>
                <w:rFonts w:ascii="Constantia" w:hAnsi="Constantia" w:cs="Arial"/>
                <w:bCs/>
                <w:iCs/>
                <w:color w:val="000000"/>
                <w:szCs w:val="22"/>
              </w:rPr>
            </w:pPr>
            <w:r w:rsidRPr="002F0316">
              <w:rPr>
                <w:rFonts w:ascii="Constantia" w:hAnsi="Constantia" w:cs="Arial"/>
                <w:bCs/>
                <w:i/>
                <w:iCs/>
                <w:color w:val="000000"/>
                <w:szCs w:val="22"/>
              </w:rPr>
              <w:t>Algiroides nigropunctatus</w:t>
            </w:r>
            <w:r w:rsidRPr="002F0316">
              <w:rPr>
                <w:rFonts w:ascii="Constantia" w:hAnsi="Constantia" w:cs="Arial"/>
                <w:bCs/>
                <w:iCs/>
                <w:color w:val="000000"/>
                <w:szCs w:val="22"/>
              </w:rPr>
              <w:t xml:space="preserve"> (Dum.&amp;Bibr., 1839)</w:t>
            </w:r>
          </w:p>
          <w:p w:rsidR="004B071C" w:rsidRPr="002F0316" w:rsidRDefault="004B071C" w:rsidP="002F0316">
            <w:pPr>
              <w:keepNext/>
              <w:keepLines/>
              <w:spacing w:before="60" w:after="0"/>
              <w:outlineLvl w:val="3"/>
              <w:rPr>
                <w:rFonts w:ascii="Constantia" w:hAnsi="Constantia" w:cs="Arial"/>
                <w:bCs/>
                <w:iCs/>
                <w:color w:val="000000"/>
                <w:szCs w:val="22"/>
              </w:rPr>
            </w:pPr>
            <w:r w:rsidRPr="002F0316">
              <w:rPr>
                <w:rFonts w:ascii="Constantia" w:hAnsi="Constantia" w:cs="Arial"/>
                <w:bCs/>
                <w:i/>
                <w:iCs/>
                <w:color w:val="000000"/>
                <w:szCs w:val="22"/>
              </w:rPr>
              <w:t>Testudo hermanni</w:t>
            </w:r>
            <w:r w:rsidRPr="002F0316">
              <w:rPr>
                <w:rFonts w:ascii="Constantia" w:hAnsi="Constantia" w:cs="Arial"/>
                <w:bCs/>
                <w:iCs/>
                <w:color w:val="000000"/>
                <w:szCs w:val="22"/>
              </w:rPr>
              <w:t xml:space="preserve"> (Gmelin 1788)</w:t>
            </w:r>
          </w:p>
        </w:tc>
        <w:tc>
          <w:tcPr>
            <w:tcW w:w="1170" w:type="dxa"/>
            <w:shd w:val="clear" w:color="auto" w:fill="CDDDAC"/>
          </w:tcPr>
          <w:p w:rsidR="004B071C" w:rsidRPr="002F0316" w:rsidRDefault="004B071C" w:rsidP="002F0316">
            <w:pPr>
              <w:keepNext/>
              <w:keepLines/>
              <w:spacing w:before="60" w:after="0"/>
              <w:jc w:val="center"/>
              <w:outlineLvl w:val="3"/>
              <w:rPr>
                <w:rFonts w:ascii="Constantia" w:hAnsi="Constantia" w:cs="Arial"/>
                <w:bCs/>
                <w:iCs/>
                <w:color w:val="000000"/>
                <w:szCs w:val="22"/>
              </w:rPr>
            </w:pPr>
            <w:r w:rsidRPr="002F0316">
              <w:rPr>
                <w:rFonts w:ascii="Constantia" w:hAnsi="Constantia" w:cs="Arial"/>
                <w:bCs/>
                <w:iCs/>
                <w:color w:val="000000"/>
                <w:szCs w:val="22"/>
              </w:rPr>
              <w:t>B</w:t>
            </w:r>
          </w:p>
        </w:tc>
      </w:tr>
      <w:tr w:rsidR="004B071C" w:rsidRPr="002F0316" w:rsidTr="002F0316">
        <w:tc>
          <w:tcPr>
            <w:tcW w:w="2628" w:type="dxa"/>
            <w:shd w:val="clear" w:color="auto" w:fill="E6EED5"/>
          </w:tcPr>
          <w:p w:rsidR="004B071C" w:rsidRPr="002F0316" w:rsidRDefault="004B071C" w:rsidP="002F0316">
            <w:pPr>
              <w:keepNext/>
              <w:keepLines/>
              <w:spacing w:before="60" w:after="0"/>
              <w:jc w:val="left"/>
              <w:outlineLvl w:val="3"/>
              <w:rPr>
                <w:rFonts w:ascii="Constantia" w:hAnsi="Constantia" w:cs="Arial"/>
                <w:bCs/>
                <w:szCs w:val="22"/>
              </w:rPr>
            </w:pPr>
            <w:r w:rsidRPr="002F0316">
              <w:rPr>
                <w:rFonts w:ascii="Constantia" w:hAnsi="Constantia" w:cs="Arial"/>
                <w:bCs/>
                <w:szCs w:val="22"/>
              </w:rPr>
              <w:t>Urbanizacija i razvoj putne infrastrukture</w:t>
            </w:r>
          </w:p>
        </w:tc>
        <w:tc>
          <w:tcPr>
            <w:tcW w:w="5400" w:type="dxa"/>
            <w:shd w:val="clear" w:color="auto" w:fill="E6EED5"/>
          </w:tcPr>
          <w:p w:rsidR="004B071C" w:rsidRPr="002F0316" w:rsidRDefault="004B071C" w:rsidP="002F0316">
            <w:pPr>
              <w:spacing w:after="0"/>
              <w:rPr>
                <w:rFonts w:ascii="Constantia" w:hAnsi="Constantia" w:cs="Arial"/>
                <w:color w:val="000000"/>
                <w:szCs w:val="22"/>
              </w:rPr>
            </w:pPr>
            <w:r w:rsidRPr="002F0316">
              <w:rPr>
                <w:rFonts w:ascii="Constantia" w:hAnsi="Constantia" w:cs="Arial"/>
                <w:i/>
                <w:color w:val="000000"/>
                <w:szCs w:val="22"/>
              </w:rPr>
              <w:t>Pelophylax</w:t>
            </w:r>
            <w:r w:rsidRPr="002F0316">
              <w:rPr>
                <w:rFonts w:ascii="Constantia" w:hAnsi="Constantia" w:cs="Arial"/>
                <w:color w:val="000000"/>
                <w:szCs w:val="22"/>
              </w:rPr>
              <w:t xml:space="preserve"> (Rana) </w:t>
            </w:r>
            <w:r w:rsidRPr="002F0316">
              <w:rPr>
                <w:rFonts w:ascii="Constantia" w:hAnsi="Constantia" w:cs="Arial"/>
                <w:i/>
                <w:color w:val="000000"/>
                <w:szCs w:val="22"/>
              </w:rPr>
              <w:t xml:space="preserve">shqipericus </w:t>
            </w:r>
            <w:r w:rsidRPr="002F0316">
              <w:rPr>
                <w:rFonts w:ascii="Constantia" w:hAnsi="Constantia" w:cs="Arial"/>
                <w:color w:val="000000"/>
                <w:szCs w:val="22"/>
              </w:rPr>
              <w:t>Hotz et al.,1987</w:t>
            </w:r>
          </w:p>
          <w:p w:rsidR="004B071C" w:rsidRPr="002F0316" w:rsidRDefault="004B071C" w:rsidP="002F0316">
            <w:pPr>
              <w:keepNext/>
              <w:keepLines/>
              <w:spacing w:before="60" w:after="0"/>
              <w:outlineLvl w:val="3"/>
              <w:rPr>
                <w:rFonts w:ascii="Constantia" w:hAnsi="Constantia" w:cs="Arial"/>
                <w:bCs/>
                <w:iCs/>
                <w:color w:val="000000"/>
                <w:szCs w:val="22"/>
              </w:rPr>
            </w:pPr>
            <w:r w:rsidRPr="002F0316">
              <w:rPr>
                <w:rFonts w:ascii="Constantia" w:hAnsi="Constantia" w:cs="Arial"/>
                <w:bCs/>
                <w:i/>
                <w:iCs/>
                <w:color w:val="000000"/>
                <w:szCs w:val="22"/>
              </w:rPr>
              <w:t>Algiroides nigropunctatus</w:t>
            </w:r>
            <w:r w:rsidRPr="002F0316">
              <w:rPr>
                <w:rFonts w:ascii="Constantia" w:hAnsi="Constantia" w:cs="Arial"/>
                <w:bCs/>
                <w:iCs/>
                <w:color w:val="000000"/>
                <w:szCs w:val="22"/>
              </w:rPr>
              <w:t xml:space="preserve"> (Dum.&amp;Bibr., 1839)</w:t>
            </w:r>
          </w:p>
          <w:p w:rsidR="004B071C" w:rsidRPr="002F0316" w:rsidRDefault="004B071C" w:rsidP="002F0316">
            <w:pPr>
              <w:keepNext/>
              <w:keepLines/>
              <w:spacing w:before="60" w:after="0"/>
              <w:outlineLvl w:val="3"/>
              <w:rPr>
                <w:rFonts w:ascii="Constantia" w:hAnsi="Constantia" w:cs="Arial"/>
                <w:bCs/>
                <w:iCs/>
                <w:color w:val="000000"/>
                <w:szCs w:val="22"/>
              </w:rPr>
            </w:pPr>
            <w:r w:rsidRPr="002F0316">
              <w:rPr>
                <w:rFonts w:ascii="Constantia" w:hAnsi="Constantia" w:cs="Arial"/>
                <w:bCs/>
                <w:i/>
                <w:iCs/>
                <w:color w:val="000000"/>
                <w:szCs w:val="22"/>
              </w:rPr>
              <w:t>Testudo hermanni</w:t>
            </w:r>
            <w:r w:rsidRPr="002F0316">
              <w:rPr>
                <w:rFonts w:ascii="Constantia" w:hAnsi="Constantia" w:cs="Arial"/>
                <w:bCs/>
                <w:iCs/>
                <w:color w:val="000000"/>
                <w:szCs w:val="22"/>
              </w:rPr>
              <w:t xml:space="preserve"> (Gmelin 1788)</w:t>
            </w:r>
          </w:p>
        </w:tc>
        <w:tc>
          <w:tcPr>
            <w:tcW w:w="1170" w:type="dxa"/>
            <w:shd w:val="clear" w:color="auto" w:fill="E6EED5"/>
          </w:tcPr>
          <w:p w:rsidR="004B071C" w:rsidRPr="002F0316" w:rsidRDefault="004B071C" w:rsidP="002F0316">
            <w:pPr>
              <w:keepNext/>
              <w:keepLines/>
              <w:spacing w:before="60" w:after="0"/>
              <w:jc w:val="center"/>
              <w:outlineLvl w:val="3"/>
              <w:rPr>
                <w:rFonts w:ascii="Constantia" w:hAnsi="Constantia" w:cs="Arial"/>
                <w:bCs/>
                <w:iCs/>
                <w:color w:val="000000"/>
                <w:szCs w:val="22"/>
              </w:rPr>
            </w:pPr>
            <w:r w:rsidRPr="002F0316">
              <w:rPr>
                <w:rFonts w:ascii="Constantia" w:hAnsi="Constantia" w:cs="Arial"/>
                <w:bCs/>
                <w:iCs/>
                <w:color w:val="000000"/>
                <w:szCs w:val="22"/>
              </w:rPr>
              <w:t>B</w:t>
            </w:r>
          </w:p>
        </w:tc>
      </w:tr>
      <w:tr w:rsidR="004B071C" w:rsidRPr="002F0316" w:rsidTr="002F0316">
        <w:tc>
          <w:tcPr>
            <w:tcW w:w="2628" w:type="dxa"/>
            <w:shd w:val="clear" w:color="auto" w:fill="CDDDAC"/>
          </w:tcPr>
          <w:p w:rsidR="004B071C" w:rsidRPr="002F0316" w:rsidRDefault="004B071C" w:rsidP="002F0316">
            <w:pPr>
              <w:keepNext/>
              <w:keepLines/>
              <w:spacing w:before="60" w:after="0"/>
              <w:jc w:val="left"/>
              <w:outlineLvl w:val="3"/>
              <w:rPr>
                <w:rFonts w:ascii="Constantia" w:hAnsi="Constantia" w:cs="Arial"/>
                <w:bCs/>
                <w:szCs w:val="22"/>
              </w:rPr>
            </w:pPr>
            <w:r w:rsidRPr="002F0316">
              <w:rPr>
                <w:rFonts w:ascii="Constantia" w:hAnsi="Constantia" w:cs="Arial"/>
                <w:bCs/>
                <w:szCs w:val="22"/>
              </w:rPr>
              <w:t>Zagađenje vode</w:t>
            </w:r>
          </w:p>
        </w:tc>
        <w:tc>
          <w:tcPr>
            <w:tcW w:w="5400" w:type="dxa"/>
            <w:shd w:val="clear" w:color="auto" w:fill="CDDDAC"/>
          </w:tcPr>
          <w:p w:rsidR="004B071C" w:rsidRPr="002F0316" w:rsidRDefault="004B071C" w:rsidP="002F0316">
            <w:pPr>
              <w:spacing w:after="0"/>
              <w:rPr>
                <w:rFonts w:ascii="Constantia" w:hAnsi="Constantia" w:cs="Arial"/>
                <w:color w:val="000000"/>
                <w:szCs w:val="22"/>
              </w:rPr>
            </w:pPr>
            <w:r w:rsidRPr="002F0316">
              <w:rPr>
                <w:rFonts w:ascii="Constantia" w:hAnsi="Constantia" w:cs="Arial"/>
                <w:i/>
                <w:color w:val="000000"/>
                <w:szCs w:val="22"/>
              </w:rPr>
              <w:t>Pelophylax</w:t>
            </w:r>
            <w:r w:rsidRPr="002F0316">
              <w:rPr>
                <w:rFonts w:ascii="Constantia" w:hAnsi="Constantia" w:cs="Arial"/>
                <w:color w:val="000000"/>
                <w:szCs w:val="22"/>
              </w:rPr>
              <w:t xml:space="preserve"> (Rana) </w:t>
            </w:r>
            <w:r w:rsidRPr="002F0316">
              <w:rPr>
                <w:rFonts w:ascii="Constantia" w:hAnsi="Constantia" w:cs="Arial"/>
                <w:i/>
                <w:color w:val="000000"/>
                <w:szCs w:val="22"/>
              </w:rPr>
              <w:t xml:space="preserve">shqipericus </w:t>
            </w:r>
            <w:r w:rsidRPr="002F0316">
              <w:rPr>
                <w:rFonts w:ascii="Constantia" w:hAnsi="Constantia" w:cs="Arial"/>
                <w:color w:val="000000"/>
                <w:szCs w:val="22"/>
              </w:rPr>
              <w:t>Hotz et al.,1987</w:t>
            </w:r>
          </w:p>
          <w:p w:rsidR="004B071C" w:rsidRPr="002F0316" w:rsidRDefault="004B071C" w:rsidP="002F0316">
            <w:pPr>
              <w:keepNext/>
              <w:keepLines/>
              <w:spacing w:before="60" w:after="0"/>
              <w:outlineLvl w:val="3"/>
              <w:rPr>
                <w:rFonts w:ascii="Constantia" w:hAnsi="Constantia" w:cs="Arial"/>
                <w:bCs/>
                <w:iCs/>
                <w:color w:val="000000"/>
                <w:szCs w:val="22"/>
              </w:rPr>
            </w:pPr>
            <w:r w:rsidRPr="002F0316">
              <w:rPr>
                <w:rFonts w:ascii="Constantia" w:hAnsi="Constantia" w:cs="Arial"/>
                <w:bCs/>
                <w:i/>
                <w:iCs/>
                <w:color w:val="000000"/>
                <w:szCs w:val="22"/>
              </w:rPr>
              <w:t>Algiroides nigropunctatus</w:t>
            </w:r>
            <w:r w:rsidRPr="002F0316">
              <w:rPr>
                <w:rFonts w:ascii="Constantia" w:hAnsi="Constantia" w:cs="Arial"/>
                <w:bCs/>
                <w:iCs/>
                <w:color w:val="000000"/>
                <w:szCs w:val="22"/>
              </w:rPr>
              <w:t xml:space="preserve"> (Dum.&amp;Bibr., 1839)</w:t>
            </w:r>
          </w:p>
          <w:p w:rsidR="004B071C" w:rsidRPr="002F0316" w:rsidRDefault="004B071C" w:rsidP="002F0316">
            <w:pPr>
              <w:keepNext/>
              <w:keepLines/>
              <w:spacing w:before="60" w:after="0"/>
              <w:outlineLvl w:val="3"/>
              <w:rPr>
                <w:rFonts w:ascii="Constantia" w:hAnsi="Constantia" w:cs="Arial"/>
                <w:bCs/>
                <w:iCs/>
                <w:color w:val="000000"/>
                <w:szCs w:val="22"/>
              </w:rPr>
            </w:pPr>
            <w:r w:rsidRPr="002F0316">
              <w:rPr>
                <w:rFonts w:ascii="Constantia" w:hAnsi="Constantia" w:cs="Arial"/>
                <w:bCs/>
                <w:i/>
                <w:iCs/>
                <w:color w:val="000000"/>
                <w:szCs w:val="22"/>
              </w:rPr>
              <w:t>Testudo hermanni</w:t>
            </w:r>
            <w:r w:rsidRPr="002F0316">
              <w:rPr>
                <w:rFonts w:ascii="Constantia" w:hAnsi="Constantia" w:cs="Arial"/>
                <w:bCs/>
                <w:iCs/>
                <w:color w:val="000000"/>
                <w:szCs w:val="22"/>
              </w:rPr>
              <w:t xml:space="preserve"> (Gmelin 1788)</w:t>
            </w:r>
          </w:p>
        </w:tc>
        <w:tc>
          <w:tcPr>
            <w:tcW w:w="1170" w:type="dxa"/>
            <w:shd w:val="clear" w:color="auto" w:fill="CDDDAC"/>
          </w:tcPr>
          <w:p w:rsidR="004B071C" w:rsidRPr="002F0316" w:rsidRDefault="004B071C" w:rsidP="002F0316">
            <w:pPr>
              <w:keepNext/>
              <w:keepLines/>
              <w:spacing w:before="60" w:after="0"/>
              <w:jc w:val="center"/>
              <w:outlineLvl w:val="3"/>
              <w:rPr>
                <w:rFonts w:ascii="Constantia" w:hAnsi="Constantia" w:cs="Arial"/>
                <w:bCs/>
                <w:iCs/>
                <w:color w:val="000000"/>
                <w:szCs w:val="22"/>
              </w:rPr>
            </w:pPr>
            <w:r w:rsidRPr="002F0316">
              <w:rPr>
                <w:rFonts w:ascii="Constantia" w:hAnsi="Constantia" w:cs="Arial"/>
                <w:bCs/>
                <w:iCs/>
                <w:color w:val="000000"/>
                <w:szCs w:val="22"/>
              </w:rPr>
              <w:t>A</w:t>
            </w:r>
          </w:p>
        </w:tc>
      </w:tr>
      <w:tr w:rsidR="004B071C" w:rsidRPr="002F0316" w:rsidTr="002F0316">
        <w:tc>
          <w:tcPr>
            <w:tcW w:w="2628" w:type="dxa"/>
            <w:shd w:val="clear" w:color="auto" w:fill="E6EED5"/>
          </w:tcPr>
          <w:p w:rsidR="004B071C" w:rsidRPr="002F0316" w:rsidRDefault="004B071C" w:rsidP="002F0316">
            <w:pPr>
              <w:keepNext/>
              <w:keepLines/>
              <w:spacing w:before="60" w:after="0"/>
              <w:jc w:val="left"/>
              <w:outlineLvl w:val="3"/>
              <w:rPr>
                <w:rFonts w:ascii="Constantia" w:hAnsi="Constantia" w:cs="Arial"/>
                <w:bCs/>
                <w:szCs w:val="22"/>
              </w:rPr>
            </w:pPr>
            <w:r w:rsidRPr="002F0316">
              <w:rPr>
                <w:rFonts w:ascii="Constantia" w:hAnsi="Constantia" w:cs="Arial"/>
                <w:bCs/>
                <w:szCs w:val="22"/>
              </w:rPr>
              <w:t>Požari</w:t>
            </w:r>
          </w:p>
        </w:tc>
        <w:tc>
          <w:tcPr>
            <w:tcW w:w="5400" w:type="dxa"/>
            <w:shd w:val="clear" w:color="auto" w:fill="E6EED5"/>
          </w:tcPr>
          <w:p w:rsidR="004B071C" w:rsidRPr="002F0316" w:rsidRDefault="004B071C" w:rsidP="002F0316">
            <w:pPr>
              <w:keepNext/>
              <w:keepLines/>
              <w:spacing w:before="60" w:after="0"/>
              <w:outlineLvl w:val="3"/>
              <w:rPr>
                <w:rFonts w:ascii="Constantia" w:hAnsi="Constantia" w:cs="Arial"/>
                <w:bCs/>
                <w:iCs/>
                <w:color w:val="000000"/>
                <w:szCs w:val="22"/>
              </w:rPr>
            </w:pPr>
            <w:r w:rsidRPr="002F0316">
              <w:rPr>
                <w:rFonts w:ascii="Constantia" w:hAnsi="Constantia" w:cs="Arial"/>
                <w:bCs/>
                <w:i/>
                <w:iCs/>
                <w:color w:val="000000"/>
                <w:szCs w:val="22"/>
              </w:rPr>
              <w:t>Algiroides nigropunctatus</w:t>
            </w:r>
            <w:r w:rsidRPr="002F0316">
              <w:rPr>
                <w:rFonts w:ascii="Constantia" w:hAnsi="Constantia" w:cs="Arial"/>
                <w:bCs/>
                <w:iCs/>
                <w:color w:val="000000"/>
                <w:szCs w:val="22"/>
              </w:rPr>
              <w:t xml:space="preserve"> (Dum.&amp;Bibr., 1839)</w:t>
            </w:r>
          </w:p>
          <w:p w:rsidR="004B071C" w:rsidRPr="002F0316" w:rsidRDefault="004B071C" w:rsidP="002F0316">
            <w:pPr>
              <w:keepNext/>
              <w:keepLines/>
              <w:spacing w:before="60" w:after="0"/>
              <w:outlineLvl w:val="3"/>
              <w:rPr>
                <w:rFonts w:ascii="Constantia" w:hAnsi="Constantia" w:cs="Arial"/>
                <w:bCs/>
                <w:iCs/>
                <w:color w:val="000000"/>
                <w:szCs w:val="22"/>
              </w:rPr>
            </w:pPr>
            <w:r w:rsidRPr="002F0316">
              <w:rPr>
                <w:rFonts w:ascii="Constantia" w:hAnsi="Constantia" w:cs="Arial"/>
                <w:bCs/>
                <w:i/>
                <w:iCs/>
                <w:color w:val="000000"/>
                <w:szCs w:val="22"/>
              </w:rPr>
              <w:t>Testudo hermanni</w:t>
            </w:r>
            <w:r w:rsidRPr="002F0316">
              <w:rPr>
                <w:rFonts w:ascii="Constantia" w:hAnsi="Constantia" w:cs="Arial"/>
                <w:bCs/>
                <w:iCs/>
                <w:color w:val="000000"/>
                <w:szCs w:val="22"/>
              </w:rPr>
              <w:t xml:space="preserve"> (Gmelin 1788)</w:t>
            </w:r>
          </w:p>
        </w:tc>
        <w:tc>
          <w:tcPr>
            <w:tcW w:w="1170" w:type="dxa"/>
            <w:shd w:val="clear" w:color="auto" w:fill="E6EED5"/>
          </w:tcPr>
          <w:p w:rsidR="004B071C" w:rsidRPr="002F0316" w:rsidRDefault="004B071C" w:rsidP="002F0316">
            <w:pPr>
              <w:keepNext/>
              <w:keepLines/>
              <w:spacing w:before="60" w:after="0"/>
              <w:jc w:val="center"/>
              <w:outlineLvl w:val="3"/>
              <w:rPr>
                <w:rFonts w:ascii="Constantia" w:hAnsi="Constantia" w:cs="Arial"/>
                <w:bCs/>
                <w:iCs/>
                <w:color w:val="000000"/>
                <w:szCs w:val="22"/>
              </w:rPr>
            </w:pPr>
            <w:r w:rsidRPr="002F0316">
              <w:rPr>
                <w:rFonts w:ascii="Constantia" w:hAnsi="Constantia" w:cs="Arial"/>
                <w:bCs/>
                <w:iCs/>
                <w:color w:val="000000"/>
                <w:szCs w:val="22"/>
              </w:rPr>
              <w:t>B</w:t>
            </w:r>
          </w:p>
        </w:tc>
      </w:tr>
      <w:tr w:rsidR="004B071C" w:rsidRPr="002F0316" w:rsidTr="00D65E40">
        <w:trPr>
          <w:trHeight w:val="745"/>
        </w:trPr>
        <w:tc>
          <w:tcPr>
            <w:tcW w:w="2628" w:type="dxa"/>
            <w:shd w:val="clear" w:color="auto" w:fill="CDDDAC"/>
          </w:tcPr>
          <w:p w:rsidR="004B071C" w:rsidRPr="002F0316" w:rsidRDefault="004B071C" w:rsidP="002F0316">
            <w:pPr>
              <w:keepNext/>
              <w:keepLines/>
              <w:spacing w:before="60" w:after="0"/>
              <w:jc w:val="left"/>
              <w:outlineLvl w:val="3"/>
              <w:rPr>
                <w:rFonts w:ascii="Constantia" w:hAnsi="Constantia" w:cs="Arial"/>
                <w:bCs/>
                <w:szCs w:val="22"/>
              </w:rPr>
            </w:pPr>
            <w:r w:rsidRPr="002F0316">
              <w:rPr>
                <w:rFonts w:ascii="Constantia" w:hAnsi="Constantia" w:cs="Arial"/>
                <w:bCs/>
                <w:szCs w:val="22"/>
              </w:rPr>
              <w:t xml:space="preserve">Neadekvatno odlaganje otpada </w:t>
            </w:r>
          </w:p>
        </w:tc>
        <w:tc>
          <w:tcPr>
            <w:tcW w:w="5400" w:type="dxa"/>
            <w:shd w:val="clear" w:color="auto" w:fill="CDDDAC"/>
          </w:tcPr>
          <w:p w:rsidR="004B071C" w:rsidRPr="002F0316" w:rsidRDefault="004B071C" w:rsidP="002F0316">
            <w:pPr>
              <w:keepNext/>
              <w:keepLines/>
              <w:spacing w:before="60" w:after="0"/>
              <w:outlineLvl w:val="3"/>
              <w:rPr>
                <w:rFonts w:ascii="Constantia" w:hAnsi="Constantia" w:cs="Arial"/>
                <w:bCs/>
                <w:iCs/>
                <w:color w:val="000000"/>
                <w:szCs w:val="22"/>
              </w:rPr>
            </w:pPr>
            <w:r w:rsidRPr="002F0316">
              <w:rPr>
                <w:rFonts w:ascii="Constantia" w:hAnsi="Constantia" w:cs="Arial"/>
                <w:bCs/>
                <w:i/>
                <w:iCs/>
                <w:color w:val="000000"/>
                <w:szCs w:val="22"/>
              </w:rPr>
              <w:t>Algiroides nigropunctatus</w:t>
            </w:r>
            <w:r w:rsidRPr="002F0316">
              <w:rPr>
                <w:rFonts w:ascii="Constantia" w:hAnsi="Constantia" w:cs="Arial"/>
                <w:bCs/>
                <w:iCs/>
                <w:color w:val="000000"/>
                <w:szCs w:val="22"/>
              </w:rPr>
              <w:t xml:space="preserve"> (Dum.&amp;Bibr., 1839)</w:t>
            </w:r>
          </w:p>
          <w:p w:rsidR="004B071C" w:rsidRPr="002F0316" w:rsidRDefault="004B071C" w:rsidP="002F0316">
            <w:pPr>
              <w:keepNext/>
              <w:keepLines/>
              <w:spacing w:before="60" w:after="0"/>
              <w:outlineLvl w:val="3"/>
              <w:rPr>
                <w:rFonts w:ascii="Constantia" w:hAnsi="Constantia" w:cs="Arial"/>
                <w:bCs/>
                <w:iCs/>
                <w:color w:val="000000"/>
                <w:szCs w:val="22"/>
              </w:rPr>
            </w:pPr>
            <w:r w:rsidRPr="002F0316">
              <w:rPr>
                <w:rFonts w:ascii="Constantia" w:hAnsi="Constantia" w:cs="Arial"/>
                <w:bCs/>
                <w:i/>
                <w:iCs/>
                <w:color w:val="000000"/>
                <w:szCs w:val="22"/>
              </w:rPr>
              <w:t>Testudo hermanni</w:t>
            </w:r>
            <w:r w:rsidRPr="002F0316">
              <w:rPr>
                <w:rFonts w:ascii="Constantia" w:hAnsi="Constantia" w:cs="Arial"/>
                <w:bCs/>
                <w:iCs/>
                <w:color w:val="000000"/>
                <w:szCs w:val="22"/>
              </w:rPr>
              <w:t xml:space="preserve"> (Gmelin 1788)</w:t>
            </w:r>
          </w:p>
        </w:tc>
        <w:tc>
          <w:tcPr>
            <w:tcW w:w="1170" w:type="dxa"/>
            <w:shd w:val="clear" w:color="auto" w:fill="CDDDAC"/>
          </w:tcPr>
          <w:p w:rsidR="004B071C" w:rsidRPr="002F0316" w:rsidRDefault="004B071C" w:rsidP="002F0316">
            <w:pPr>
              <w:keepNext/>
              <w:keepLines/>
              <w:spacing w:before="60" w:after="0"/>
              <w:jc w:val="center"/>
              <w:outlineLvl w:val="3"/>
              <w:rPr>
                <w:rFonts w:ascii="Constantia" w:hAnsi="Constantia" w:cs="Arial"/>
                <w:bCs/>
                <w:iCs/>
                <w:color w:val="000000"/>
                <w:szCs w:val="22"/>
              </w:rPr>
            </w:pPr>
            <w:r w:rsidRPr="002F0316">
              <w:rPr>
                <w:rFonts w:ascii="Constantia" w:hAnsi="Constantia" w:cs="Arial"/>
                <w:bCs/>
                <w:iCs/>
                <w:color w:val="000000"/>
                <w:szCs w:val="22"/>
              </w:rPr>
              <w:t>A</w:t>
            </w:r>
          </w:p>
        </w:tc>
      </w:tr>
    </w:tbl>
    <w:p w:rsidR="004B071C" w:rsidRPr="002F0316" w:rsidRDefault="002F0316" w:rsidP="004B071C">
      <w:pPr>
        <w:pStyle w:val="Tabele"/>
        <w:spacing w:before="60" w:after="240"/>
        <w:ind w:left="714" w:hanging="357"/>
        <w:rPr>
          <w:rFonts w:ascii="Constantia" w:hAnsi="Constantia"/>
          <w:sz w:val="22"/>
          <w:szCs w:val="22"/>
        </w:rPr>
      </w:pPr>
      <w:r>
        <w:t xml:space="preserve"> </w:t>
      </w:r>
      <w:r w:rsidR="004B071C" w:rsidRPr="002F0316">
        <w:rPr>
          <w:rFonts w:ascii="Constantia" w:hAnsi="Constantia"/>
          <w:sz w:val="22"/>
          <w:szCs w:val="22"/>
        </w:rPr>
        <w:t>Procjena uticaja aktivnosti na populacije vodozemaca i gmizavaca</w:t>
      </w:r>
    </w:p>
    <w:p w:rsidR="002F0316" w:rsidRDefault="002F0316" w:rsidP="004B071C">
      <w:pPr>
        <w:rPr>
          <w:b/>
        </w:rPr>
      </w:pPr>
    </w:p>
    <w:p w:rsidR="004B071C" w:rsidRPr="003908C0" w:rsidRDefault="004B071C" w:rsidP="001B7090">
      <w:pPr>
        <w:rPr>
          <w:rFonts w:ascii="Constantia" w:hAnsi="Constantia" w:cs="Arial"/>
          <w:szCs w:val="22"/>
          <w:lang w:val="sr-Latn-CS"/>
        </w:rPr>
      </w:pPr>
      <w:r w:rsidRPr="003908C0">
        <w:rPr>
          <w:rFonts w:ascii="Constantia" w:hAnsi="Constantia"/>
          <w:b/>
          <w:szCs w:val="22"/>
        </w:rPr>
        <w:t>Ptice</w:t>
      </w:r>
    </w:p>
    <w:p w:rsidR="004B071C" w:rsidRPr="003908C0" w:rsidRDefault="004B071C" w:rsidP="004B071C">
      <w:pPr>
        <w:rPr>
          <w:rFonts w:ascii="Constantia" w:hAnsi="Constantia" w:cs="Calibri"/>
          <w:szCs w:val="22"/>
        </w:rPr>
      </w:pPr>
      <w:r w:rsidRPr="003908C0">
        <w:rPr>
          <w:rFonts w:ascii="Constantia" w:hAnsi="Constantia" w:cs="Calibri"/>
          <w:szCs w:val="22"/>
        </w:rPr>
        <w:t>Skadarsko jezero je sa aspekta biloške očuvanosti staništa, kako u rezervatima Pančeva oka i Crni žar, tako i na večini drugih lokaliteta dobro očuvano. Kvalitet vode i izobilje hrane u ornitološkim rezervatima omogućavaju znatno veće brojeve, kako zimujućih populacija ptica (optimum oko 300.000), tako i gnjezdarica.</w:t>
      </w:r>
      <w:r w:rsidR="003908C0">
        <w:rPr>
          <w:rFonts w:ascii="Constantia" w:hAnsi="Constantia" w:cs="Calibri"/>
          <w:szCs w:val="22"/>
        </w:rPr>
        <w:t xml:space="preserve"> </w:t>
      </w:r>
      <w:r w:rsidRPr="003908C0">
        <w:rPr>
          <w:rFonts w:ascii="Constantia" w:hAnsi="Constantia" w:cs="Calibri"/>
          <w:szCs w:val="22"/>
        </w:rPr>
        <w:t>Čak i kod ihtiofagnih ptica kakvi su kormorani, Skadarsko jezero bez problema može da servisira kako njihove potrebe za hranom tako i za gniježđenjem.</w:t>
      </w:r>
      <w:r w:rsidR="003908C0">
        <w:rPr>
          <w:rFonts w:ascii="Constantia" w:hAnsi="Constantia" w:cs="Calibri"/>
          <w:szCs w:val="22"/>
        </w:rPr>
        <w:t xml:space="preserve"> </w:t>
      </w:r>
      <w:r w:rsidRPr="003908C0">
        <w:rPr>
          <w:rFonts w:ascii="Constantia" w:hAnsi="Constantia" w:cs="Calibri"/>
          <w:szCs w:val="22"/>
        </w:rPr>
        <w:t>Ipak, antropogeni uticaj u vidu prisustva ljudi znatno oslabljuju kondiciju staništa.</w:t>
      </w:r>
    </w:p>
    <w:p w:rsidR="004B071C" w:rsidRPr="003908C0" w:rsidRDefault="004B071C" w:rsidP="004B071C">
      <w:pPr>
        <w:spacing w:after="0"/>
        <w:rPr>
          <w:rFonts w:ascii="Constantia" w:hAnsi="Constantia" w:cs="Calibri"/>
          <w:bCs/>
          <w:szCs w:val="22"/>
        </w:rPr>
      </w:pPr>
      <w:r w:rsidRPr="003908C0">
        <w:rPr>
          <w:rFonts w:ascii="Constantia" w:hAnsi="Constantia" w:cs="Calibri"/>
          <w:bCs/>
          <w:szCs w:val="22"/>
        </w:rPr>
        <w:t>Tokom 2013.</w:t>
      </w:r>
      <w:r w:rsidR="003908C0">
        <w:rPr>
          <w:rFonts w:ascii="Constantia" w:hAnsi="Constantia" w:cs="Calibri"/>
          <w:bCs/>
          <w:szCs w:val="22"/>
        </w:rPr>
        <w:t xml:space="preserve"> </w:t>
      </w:r>
      <w:r w:rsidRPr="003908C0">
        <w:rPr>
          <w:rFonts w:ascii="Constantia" w:hAnsi="Constantia" w:cs="Calibri"/>
          <w:bCs/>
          <w:szCs w:val="22"/>
        </w:rPr>
        <w:t>godine vršeno je istraživanje ornitofaune Skadarskog jezera sa posebnim osvrtom na pelikana, fendaka, patku crnku, ibisa i čaplju govedarku. Vrste su izabrane prema njihovim međunarodnim statusima i statusima koje uživaju kao gnjezdarice Skadarskog jezera. Na jezeru je realizovano 25 terenskih dana na osnovu kojih se došlo do sljedećih podataka:</w:t>
      </w:r>
    </w:p>
    <w:p w:rsidR="004B071C" w:rsidRPr="003908C0" w:rsidRDefault="004B071C" w:rsidP="004B071C">
      <w:pPr>
        <w:spacing w:after="0"/>
        <w:rPr>
          <w:rFonts w:ascii="Constantia" w:hAnsi="Constantia" w:cs="Calibri"/>
          <w:bCs/>
          <w:szCs w:val="22"/>
        </w:rPr>
      </w:pPr>
    </w:p>
    <w:p w:rsidR="004B071C" w:rsidRPr="00194ECA" w:rsidRDefault="004B071C" w:rsidP="004B071C">
      <w:pPr>
        <w:spacing w:after="0"/>
        <w:rPr>
          <w:rFonts w:ascii="Constantia" w:hAnsi="Constantia" w:cs="Calibri"/>
          <w:bCs/>
          <w:i/>
          <w:szCs w:val="22"/>
          <w:u w:val="single"/>
        </w:rPr>
      </w:pPr>
      <w:r w:rsidRPr="00194ECA">
        <w:rPr>
          <w:rFonts w:ascii="Constantia" w:hAnsi="Constantia" w:cs="Calibri"/>
          <w:bCs/>
          <w:i/>
          <w:szCs w:val="22"/>
          <w:u w:val="single"/>
        </w:rPr>
        <w:t>Pelikan</w:t>
      </w:r>
    </w:p>
    <w:p w:rsidR="004B071C" w:rsidRPr="003908C0" w:rsidRDefault="004B071C" w:rsidP="000E337A">
      <w:pPr>
        <w:rPr>
          <w:rFonts w:ascii="Constantia" w:hAnsi="Constantia" w:cs="Calibri"/>
          <w:bCs/>
          <w:szCs w:val="22"/>
        </w:rPr>
      </w:pPr>
      <w:r w:rsidRPr="003908C0">
        <w:rPr>
          <w:rFonts w:ascii="Constantia" w:hAnsi="Constantia" w:cs="Calibri"/>
          <w:bCs/>
          <w:szCs w:val="22"/>
        </w:rPr>
        <w:t xml:space="preserve">Broj gnjezdećih parova u tri kolonije (dvije u rezervatu Pančeva oka i jednoj na Plavnici) kretao se između 28 i 30 parova. Uspješnost gniježđenja je bila izuzetno mala, svega sedam odraslih. </w:t>
      </w:r>
    </w:p>
    <w:p w:rsidR="000E337A" w:rsidRDefault="004B071C" w:rsidP="000E337A">
      <w:pPr>
        <w:rPr>
          <w:rFonts w:ascii="Constantia" w:hAnsi="Constantia" w:cs="Calibri"/>
          <w:bCs/>
          <w:szCs w:val="22"/>
        </w:rPr>
      </w:pPr>
      <w:r w:rsidRPr="003908C0">
        <w:rPr>
          <w:rFonts w:ascii="Constantia" w:hAnsi="Constantia" w:cs="Calibri"/>
          <w:bCs/>
          <w:szCs w:val="22"/>
        </w:rPr>
        <w:lastRenderedPageBreak/>
        <w:t>Iako je broj parova u odnosu na ranije godine uvećan, problemi koji prate ovu koloniju od prvih literaturnih podataka do danas ostali su isti: variranje vode jezera uništilo je prvo gniježđenje u Pančevim okima, u rezervatu je tokom gniježđenja registrovan veliki broj krivolovaca na ribe i ptice. Uspješnost gniježđenja bila je jako loša.</w:t>
      </w:r>
      <w:r w:rsidR="000E337A">
        <w:rPr>
          <w:rFonts w:ascii="Constantia" w:hAnsi="Constantia" w:cs="Calibri"/>
          <w:bCs/>
          <w:szCs w:val="22"/>
        </w:rPr>
        <w:t xml:space="preserve"> </w:t>
      </w:r>
    </w:p>
    <w:p w:rsidR="004B071C" w:rsidRPr="003908C0" w:rsidRDefault="004B071C" w:rsidP="000E337A">
      <w:pPr>
        <w:rPr>
          <w:rFonts w:ascii="Constantia" w:hAnsi="Constantia" w:cs="Calibri"/>
          <w:bCs/>
          <w:szCs w:val="22"/>
        </w:rPr>
      </w:pPr>
      <w:r w:rsidRPr="003908C0">
        <w:rPr>
          <w:rFonts w:ascii="Constantia" w:hAnsi="Constantia" w:cs="Calibri"/>
          <w:bCs/>
          <w:szCs w:val="22"/>
        </w:rPr>
        <w:t>Zoniranje jezera, postavljanje novih i održavanje postojećih plutajućih platformi za gniježđenje pelikana, označavanje rezervata bovama i trajna zabrana ulaska ribolovcima, lovcima i ornitolozima mjere su koje će sigurno prevesti ovu koloniju iz statusa “ranjive” u “stabilnu” ili “rastuću”, sa značajnijom uspješnošću gniježđenja. Usvajanje jedinstvenog protokola za istraživanje ove vrste koji bi bio prihvaćen od svih institucija koje se bave istraživanjem pelikana na jezeru takođe je značajna aktivnost koja treba biti realizovana. Zabrana ulaska u koloniju označenu bovama od 1.1. do 1.7. svima, pa i ornitolozima, ključni je činilac opstanka vrste i povećanja uspješnosti njenog gniježđenja na jezeru.</w:t>
      </w:r>
    </w:p>
    <w:p w:rsidR="004B071C" w:rsidRPr="003908C0" w:rsidRDefault="004B071C" w:rsidP="004B071C">
      <w:pPr>
        <w:spacing w:after="0"/>
        <w:rPr>
          <w:rFonts w:ascii="Constantia" w:hAnsi="Constantia" w:cs="Calibri"/>
          <w:bCs/>
          <w:szCs w:val="22"/>
        </w:rPr>
      </w:pPr>
    </w:p>
    <w:p w:rsidR="004B071C" w:rsidRPr="00194ECA" w:rsidRDefault="004B071C" w:rsidP="004B071C">
      <w:pPr>
        <w:spacing w:after="0"/>
        <w:rPr>
          <w:rFonts w:ascii="Constantia" w:hAnsi="Constantia" w:cs="Calibri"/>
          <w:bCs/>
          <w:i/>
          <w:szCs w:val="22"/>
          <w:u w:val="single"/>
        </w:rPr>
      </w:pPr>
      <w:r w:rsidRPr="00194ECA">
        <w:rPr>
          <w:rFonts w:ascii="Constantia" w:hAnsi="Constantia" w:cs="Calibri"/>
          <w:bCs/>
          <w:i/>
          <w:szCs w:val="22"/>
          <w:u w:val="single"/>
        </w:rPr>
        <w:t>Fendak</w:t>
      </w:r>
    </w:p>
    <w:p w:rsidR="004B071C" w:rsidRPr="003908C0" w:rsidRDefault="004B071C" w:rsidP="000E337A">
      <w:pPr>
        <w:rPr>
          <w:rFonts w:ascii="Constantia" w:hAnsi="Constantia" w:cs="Calibri"/>
          <w:bCs/>
          <w:szCs w:val="22"/>
        </w:rPr>
      </w:pPr>
      <w:r w:rsidRPr="003908C0">
        <w:rPr>
          <w:rFonts w:ascii="Constantia" w:hAnsi="Constantia" w:cs="Calibri"/>
          <w:bCs/>
          <w:szCs w:val="22"/>
        </w:rPr>
        <w:t xml:space="preserve">Na jezeru je u nekoliko kolonija gnijezdilo od 2400 do 2600 parova ove vrste u mješovitim kolonijama sa vrancem i čapljama. Vrsta je u ekspanziji, </w:t>
      </w:r>
      <w:r w:rsidR="000B0EB3">
        <w:rPr>
          <w:rFonts w:ascii="Constantia" w:hAnsi="Constantia" w:cs="Calibri"/>
          <w:bCs/>
          <w:szCs w:val="22"/>
        </w:rPr>
        <w:t>kako na Skadarskom jezeru tako i</w:t>
      </w:r>
      <w:r w:rsidRPr="003908C0">
        <w:rPr>
          <w:rFonts w:ascii="Constantia" w:hAnsi="Constantia" w:cs="Calibri"/>
          <w:bCs/>
          <w:szCs w:val="22"/>
        </w:rPr>
        <w:t xml:space="preserve"> na ostalim staništima gdje se pojavljuje. Zbog povećanja broja gnjezdećih parova na jezeru, za ovu vrstu ne treba propisivati posebne mjere za unaprjeđenje statusa. </w:t>
      </w:r>
    </w:p>
    <w:p w:rsidR="004B071C" w:rsidRPr="003908C0" w:rsidRDefault="004B071C" w:rsidP="004B071C">
      <w:pPr>
        <w:spacing w:after="0"/>
        <w:rPr>
          <w:rFonts w:ascii="Constantia" w:hAnsi="Constantia" w:cs="Calibri"/>
          <w:bCs/>
          <w:szCs w:val="22"/>
        </w:rPr>
      </w:pPr>
    </w:p>
    <w:p w:rsidR="004B071C" w:rsidRPr="00194ECA" w:rsidRDefault="004B071C" w:rsidP="004B071C">
      <w:pPr>
        <w:spacing w:after="0"/>
        <w:rPr>
          <w:rFonts w:ascii="Constantia" w:hAnsi="Constantia" w:cs="Calibri"/>
          <w:bCs/>
          <w:i/>
          <w:szCs w:val="22"/>
          <w:u w:val="single"/>
        </w:rPr>
      </w:pPr>
      <w:r w:rsidRPr="00194ECA">
        <w:rPr>
          <w:rFonts w:ascii="Constantia" w:hAnsi="Constantia" w:cs="Calibri"/>
          <w:bCs/>
          <w:i/>
          <w:szCs w:val="22"/>
          <w:u w:val="single"/>
        </w:rPr>
        <w:t>Patka crnka</w:t>
      </w:r>
    </w:p>
    <w:p w:rsidR="004B071C" w:rsidRPr="003908C0" w:rsidRDefault="004B071C" w:rsidP="000E337A">
      <w:pPr>
        <w:rPr>
          <w:rFonts w:ascii="Constantia" w:hAnsi="Constantia" w:cs="Calibri"/>
          <w:bCs/>
          <w:szCs w:val="22"/>
        </w:rPr>
      </w:pPr>
      <w:r w:rsidRPr="003908C0">
        <w:rPr>
          <w:rFonts w:ascii="Constantia" w:hAnsi="Constantia" w:cs="Calibri"/>
          <w:bCs/>
          <w:szCs w:val="22"/>
        </w:rPr>
        <w:t>Brojnost ove vrste utvrđena ovim programom donijela je alarmantne rezultate i vrsta se može smatrati najugroženijim stanovnikom jezera. Za 25 terenskih dana registrovano je svega 4 para na cijeloj površini jezera u vrijeme gniježđenja, iako su ekološki uslovi za ovu vrstu na jezeru idealni. Procjena je da maksimalan broj parova na jezeru ne može preći 15.</w:t>
      </w:r>
      <w:r w:rsidR="00655AC8">
        <w:rPr>
          <w:rFonts w:ascii="Constantia" w:hAnsi="Constantia" w:cs="Calibri"/>
          <w:bCs/>
          <w:szCs w:val="22"/>
        </w:rPr>
        <w:t xml:space="preserve"> Iako razlozi male brojnosti nijesu precizno identifikovani, potrebno je pooštriti kontrolu u ciljuprevencije I suzbijanja eventualnog krivolova na ovom prostoru.</w:t>
      </w:r>
      <w:r w:rsidRPr="003908C0">
        <w:rPr>
          <w:rFonts w:ascii="Constantia" w:hAnsi="Constantia" w:cs="Calibri"/>
          <w:bCs/>
          <w:szCs w:val="22"/>
        </w:rPr>
        <w:t xml:space="preserve"> Pr</w:t>
      </w:r>
      <w:r w:rsidR="00655AC8">
        <w:rPr>
          <w:rFonts w:ascii="Constantia" w:hAnsi="Constantia" w:cs="Calibri"/>
          <w:bCs/>
          <w:szCs w:val="22"/>
        </w:rPr>
        <w:t>eporuka koja se može odnositi na</w:t>
      </w:r>
      <w:r w:rsidRPr="003908C0">
        <w:rPr>
          <w:rFonts w:ascii="Constantia" w:hAnsi="Constantia" w:cs="Calibri"/>
          <w:bCs/>
          <w:szCs w:val="22"/>
        </w:rPr>
        <w:t xml:space="preserve"> ovu vrstu je ribarenje mrežama isključivo van zone vegetacije, kako bi se smanjilo njeno uznemiravanje. </w:t>
      </w:r>
    </w:p>
    <w:p w:rsidR="004B071C" w:rsidRPr="003908C0" w:rsidRDefault="004B071C" w:rsidP="004B071C">
      <w:pPr>
        <w:spacing w:after="0"/>
        <w:rPr>
          <w:rFonts w:ascii="Constantia" w:hAnsi="Constantia" w:cs="Calibri"/>
          <w:bCs/>
          <w:szCs w:val="22"/>
        </w:rPr>
      </w:pPr>
    </w:p>
    <w:p w:rsidR="004B071C" w:rsidRPr="00194ECA" w:rsidRDefault="004B071C" w:rsidP="004B071C">
      <w:pPr>
        <w:spacing w:after="0"/>
        <w:rPr>
          <w:rFonts w:ascii="Constantia" w:hAnsi="Constantia" w:cs="Calibri"/>
          <w:bCs/>
          <w:i/>
          <w:szCs w:val="22"/>
          <w:u w:val="single"/>
        </w:rPr>
      </w:pPr>
      <w:r w:rsidRPr="00194ECA">
        <w:rPr>
          <w:rFonts w:ascii="Constantia" w:hAnsi="Constantia" w:cs="Calibri"/>
          <w:bCs/>
          <w:i/>
          <w:szCs w:val="22"/>
          <w:u w:val="single"/>
        </w:rPr>
        <w:t>Ibis i čaplja govedarka</w:t>
      </w:r>
    </w:p>
    <w:p w:rsidR="004B071C" w:rsidRPr="003908C0" w:rsidRDefault="004B071C" w:rsidP="000E337A">
      <w:pPr>
        <w:rPr>
          <w:rFonts w:ascii="Constantia" w:hAnsi="Constantia" w:cs="Calibri"/>
          <w:bCs/>
          <w:szCs w:val="22"/>
        </w:rPr>
      </w:pPr>
      <w:r w:rsidRPr="003908C0">
        <w:rPr>
          <w:rFonts w:ascii="Constantia" w:hAnsi="Constantia" w:cs="Calibri"/>
          <w:bCs/>
          <w:szCs w:val="22"/>
        </w:rPr>
        <w:t>Ove dvije vrste su nove gnjezdarice jezera. Gniježđenje ibisa je procijenjeno na ne više od 7 parova, dok se čaplja govedarka, zbog predostrožnosti od uznemiravanja ptica na koloniji nije registrovala u posmatranom period</w:t>
      </w:r>
      <w:r w:rsidR="000E337A">
        <w:rPr>
          <w:rFonts w:ascii="Constantia" w:hAnsi="Constantia" w:cs="Calibri"/>
          <w:bCs/>
          <w:szCs w:val="22"/>
        </w:rPr>
        <w:t>u</w:t>
      </w:r>
      <w:r w:rsidRPr="003908C0">
        <w:rPr>
          <w:rFonts w:ascii="Constantia" w:hAnsi="Constantia" w:cs="Calibri"/>
          <w:bCs/>
          <w:szCs w:val="22"/>
        </w:rPr>
        <w:t xml:space="preserve">. </w:t>
      </w:r>
    </w:p>
    <w:p w:rsidR="004B071C" w:rsidRPr="003908C0" w:rsidRDefault="004B071C" w:rsidP="000E337A">
      <w:pPr>
        <w:rPr>
          <w:rFonts w:ascii="Constantia" w:hAnsi="Constantia" w:cs="Calibri"/>
          <w:bCs/>
          <w:szCs w:val="22"/>
        </w:rPr>
      </w:pPr>
      <w:r w:rsidRPr="003908C0">
        <w:rPr>
          <w:rFonts w:ascii="Constantia" w:hAnsi="Constantia" w:cs="Calibri"/>
          <w:bCs/>
          <w:szCs w:val="22"/>
        </w:rPr>
        <w:t>Preporuke koje se odnose na zabranu ulaska u rezervat Pančeva oka u period 1.1. do 1.7.</w:t>
      </w:r>
      <w:r w:rsidR="00DE32F9">
        <w:rPr>
          <w:rFonts w:ascii="Constantia" w:hAnsi="Constantia" w:cs="Calibri"/>
          <w:bCs/>
          <w:szCs w:val="22"/>
        </w:rPr>
        <w:t>2013.g.</w:t>
      </w:r>
      <w:r w:rsidRPr="003908C0">
        <w:rPr>
          <w:rFonts w:ascii="Constantia" w:hAnsi="Constantia" w:cs="Calibri"/>
          <w:bCs/>
          <w:szCs w:val="22"/>
        </w:rPr>
        <w:t>, pa i po cijenu nedostataka podataka o njihovoj prisutnosti na jezeru ključni je faktor povećan</w:t>
      </w:r>
      <w:r w:rsidR="000E337A">
        <w:rPr>
          <w:rFonts w:ascii="Constantia" w:hAnsi="Constantia" w:cs="Calibri"/>
          <w:bCs/>
          <w:szCs w:val="22"/>
        </w:rPr>
        <w:t>j</w:t>
      </w:r>
      <w:r w:rsidRPr="003908C0">
        <w:rPr>
          <w:rFonts w:ascii="Constantia" w:hAnsi="Constantia" w:cs="Calibri"/>
          <w:bCs/>
          <w:szCs w:val="22"/>
        </w:rPr>
        <w:t>a populacija ovih vrsta na jezeru.</w:t>
      </w:r>
    </w:p>
    <w:p w:rsidR="004B071C" w:rsidRPr="00E90D22" w:rsidRDefault="004B071C" w:rsidP="004B071C">
      <w:pPr>
        <w:rPr>
          <w:rFonts w:ascii="Arial" w:hAnsi="Arial" w:cs="Arial"/>
          <w:lang w:val="sr-Latn-CS"/>
        </w:rPr>
      </w:pPr>
    </w:p>
    <w:tbl>
      <w:tblPr>
        <w:tblpPr w:leftFromText="180" w:rightFromText="180" w:vertAnchor="text" w:tblpXSpec="center" w:tblpY="1"/>
        <w:tblW w:w="0" w:type="auto"/>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firstRow="1" w:lastRow="0" w:firstColumn="1" w:lastColumn="0" w:noHBand="0" w:noVBand="1"/>
      </w:tblPr>
      <w:tblGrid>
        <w:gridCol w:w="2538"/>
        <w:gridCol w:w="4230"/>
        <w:gridCol w:w="2430"/>
      </w:tblGrid>
      <w:tr w:rsidR="004B071C" w:rsidRPr="000E337A" w:rsidTr="00A517C5">
        <w:tc>
          <w:tcPr>
            <w:tcW w:w="2538" w:type="dxa"/>
            <w:shd w:val="clear" w:color="auto" w:fill="E6EED5"/>
          </w:tcPr>
          <w:p w:rsidR="004B071C" w:rsidRPr="00A517C5" w:rsidRDefault="004B071C" w:rsidP="00A517C5">
            <w:pPr>
              <w:keepNext/>
              <w:keepLines/>
              <w:spacing w:before="60" w:after="0"/>
              <w:jc w:val="center"/>
              <w:outlineLvl w:val="3"/>
              <w:rPr>
                <w:rFonts w:ascii="Constantia" w:hAnsi="Constantia" w:cs="Arial"/>
                <w:b/>
                <w:bCs/>
                <w:iCs/>
                <w:color w:val="000000"/>
                <w:szCs w:val="22"/>
              </w:rPr>
            </w:pPr>
            <w:r w:rsidRPr="00A517C5">
              <w:rPr>
                <w:rFonts w:ascii="Constantia" w:hAnsi="Constantia" w:cs="Arial"/>
                <w:b/>
                <w:bCs/>
                <w:iCs/>
                <w:color w:val="000000"/>
                <w:szCs w:val="22"/>
              </w:rPr>
              <w:t>Tip</w:t>
            </w:r>
          </w:p>
        </w:tc>
        <w:tc>
          <w:tcPr>
            <w:tcW w:w="4230" w:type="dxa"/>
            <w:shd w:val="clear" w:color="auto" w:fill="E6EED5"/>
          </w:tcPr>
          <w:p w:rsidR="004B071C" w:rsidRPr="000E337A" w:rsidRDefault="004B071C" w:rsidP="00A517C5">
            <w:pPr>
              <w:keepNext/>
              <w:keepLines/>
              <w:spacing w:before="60" w:after="0"/>
              <w:jc w:val="center"/>
              <w:outlineLvl w:val="3"/>
              <w:rPr>
                <w:rFonts w:ascii="Constantia" w:hAnsi="Constantia" w:cs="Arial"/>
                <w:b/>
                <w:bCs/>
                <w:iCs/>
                <w:color w:val="000000"/>
                <w:szCs w:val="22"/>
              </w:rPr>
            </w:pPr>
            <w:r w:rsidRPr="000E337A">
              <w:rPr>
                <w:rFonts w:ascii="Constantia" w:hAnsi="Constantia" w:cs="Arial"/>
                <w:b/>
                <w:bCs/>
                <w:iCs/>
                <w:color w:val="000000"/>
                <w:szCs w:val="22"/>
              </w:rPr>
              <w:t>Vrste</w:t>
            </w:r>
          </w:p>
        </w:tc>
        <w:tc>
          <w:tcPr>
            <w:tcW w:w="2430" w:type="dxa"/>
            <w:shd w:val="clear" w:color="auto" w:fill="E6EED5"/>
          </w:tcPr>
          <w:p w:rsidR="004B071C" w:rsidRPr="00A517C5" w:rsidRDefault="004B071C" w:rsidP="00A517C5">
            <w:pPr>
              <w:keepNext/>
              <w:keepLines/>
              <w:spacing w:before="60" w:after="0"/>
              <w:jc w:val="center"/>
              <w:outlineLvl w:val="3"/>
              <w:rPr>
                <w:rFonts w:ascii="Constantia" w:hAnsi="Constantia" w:cs="Arial"/>
                <w:b/>
                <w:bCs/>
                <w:iCs/>
                <w:color w:val="000000"/>
                <w:szCs w:val="22"/>
              </w:rPr>
            </w:pPr>
            <w:r w:rsidRPr="00A517C5">
              <w:rPr>
                <w:rFonts w:ascii="Constantia" w:hAnsi="Constantia" w:cs="Arial"/>
                <w:b/>
                <w:bCs/>
                <w:iCs/>
                <w:color w:val="000000"/>
                <w:szCs w:val="22"/>
              </w:rPr>
              <w:t>Uticaj</w:t>
            </w:r>
          </w:p>
        </w:tc>
      </w:tr>
      <w:tr w:rsidR="004B071C" w:rsidRPr="000E337A" w:rsidTr="00A517C5">
        <w:trPr>
          <w:trHeight w:val="106"/>
        </w:trPr>
        <w:tc>
          <w:tcPr>
            <w:tcW w:w="2538" w:type="dxa"/>
            <w:vMerge w:val="restart"/>
            <w:shd w:val="clear" w:color="auto" w:fill="CDDDAC"/>
          </w:tcPr>
          <w:p w:rsidR="004B071C" w:rsidRPr="00A517C5" w:rsidRDefault="004B071C" w:rsidP="00A517C5">
            <w:pPr>
              <w:keepNext/>
              <w:keepLines/>
              <w:spacing w:before="60" w:after="0"/>
              <w:outlineLvl w:val="3"/>
              <w:rPr>
                <w:rFonts w:ascii="Constantia" w:hAnsi="Constantia" w:cs="Arial"/>
                <w:bCs/>
                <w:iCs/>
                <w:color w:val="000000"/>
                <w:szCs w:val="22"/>
              </w:rPr>
            </w:pPr>
            <w:r w:rsidRPr="00A517C5">
              <w:rPr>
                <w:rFonts w:ascii="Constantia" w:hAnsi="Constantia" w:cs="Arial"/>
                <w:bCs/>
                <w:iCs/>
                <w:color w:val="000000"/>
                <w:szCs w:val="22"/>
              </w:rPr>
              <w:t>Turizam</w:t>
            </w:r>
          </w:p>
        </w:tc>
        <w:tc>
          <w:tcPr>
            <w:tcW w:w="4230" w:type="dxa"/>
            <w:shd w:val="clear" w:color="auto" w:fill="CDDDAC"/>
          </w:tcPr>
          <w:p w:rsidR="004B071C" w:rsidRPr="00194ECA" w:rsidRDefault="004B071C" w:rsidP="00A517C5">
            <w:pPr>
              <w:spacing w:after="0"/>
              <w:rPr>
                <w:rFonts w:ascii="Constantia" w:hAnsi="Constantia" w:cs="Arial"/>
                <w:i/>
                <w:szCs w:val="22"/>
              </w:rPr>
            </w:pPr>
            <w:r w:rsidRPr="00194ECA">
              <w:rPr>
                <w:rFonts w:ascii="Constantia" w:hAnsi="Constantia" w:cs="Arial"/>
                <w:i/>
                <w:szCs w:val="22"/>
              </w:rPr>
              <w:t>Pelecanus crispus</w:t>
            </w:r>
          </w:p>
        </w:tc>
        <w:tc>
          <w:tcPr>
            <w:tcW w:w="2430" w:type="dxa"/>
            <w:shd w:val="clear" w:color="auto" w:fill="CDDDAC"/>
          </w:tcPr>
          <w:p w:rsidR="004B071C" w:rsidRPr="00A517C5" w:rsidRDefault="004B071C" w:rsidP="00A517C5">
            <w:pPr>
              <w:keepNext/>
              <w:keepLines/>
              <w:spacing w:before="60" w:after="0"/>
              <w:jc w:val="center"/>
              <w:outlineLvl w:val="3"/>
              <w:rPr>
                <w:rFonts w:ascii="Constantia" w:hAnsi="Constantia" w:cs="Arial"/>
                <w:bCs/>
                <w:iCs/>
                <w:color w:val="000000"/>
                <w:szCs w:val="22"/>
              </w:rPr>
            </w:pPr>
            <w:r w:rsidRPr="00A517C5">
              <w:rPr>
                <w:rFonts w:ascii="Constantia" w:hAnsi="Constantia" w:cs="Arial"/>
                <w:bCs/>
                <w:iCs/>
                <w:color w:val="000000"/>
                <w:szCs w:val="22"/>
              </w:rPr>
              <w:t>A</w:t>
            </w:r>
          </w:p>
        </w:tc>
      </w:tr>
      <w:tr w:rsidR="004B071C" w:rsidRPr="000E337A" w:rsidTr="00A517C5">
        <w:trPr>
          <w:trHeight w:val="102"/>
        </w:trPr>
        <w:tc>
          <w:tcPr>
            <w:tcW w:w="2538" w:type="dxa"/>
            <w:vMerge/>
            <w:shd w:val="clear" w:color="auto" w:fill="E6EED5"/>
          </w:tcPr>
          <w:p w:rsidR="004B071C" w:rsidRPr="00A517C5" w:rsidRDefault="004B071C" w:rsidP="00A517C5">
            <w:pPr>
              <w:keepNext/>
              <w:keepLines/>
              <w:spacing w:before="60" w:after="0"/>
              <w:outlineLvl w:val="3"/>
              <w:rPr>
                <w:rFonts w:ascii="Constantia" w:hAnsi="Constantia" w:cs="Arial"/>
                <w:bCs/>
                <w:iCs/>
                <w:color w:val="000000"/>
                <w:szCs w:val="22"/>
              </w:rPr>
            </w:pPr>
          </w:p>
        </w:tc>
        <w:tc>
          <w:tcPr>
            <w:tcW w:w="4230" w:type="dxa"/>
            <w:shd w:val="clear" w:color="auto" w:fill="E6EED5"/>
          </w:tcPr>
          <w:p w:rsidR="004B071C" w:rsidRPr="00194ECA" w:rsidRDefault="004B071C" w:rsidP="00A517C5">
            <w:pPr>
              <w:spacing w:after="0"/>
              <w:rPr>
                <w:rFonts w:ascii="Constantia" w:hAnsi="Constantia" w:cs="Arial"/>
                <w:i/>
                <w:szCs w:val="22"/>
              </w:rPr>
            </w:pPr>
            <w:r w:rsidRPr="00194ECA">
              <w:rPr>
                <w:rFonts w:ascii="Constantia" w:hAnsi="Constantia" w:cs="Arial"/>
                <w:i/>
                <w:szCs w:val="22"/>
              </w:rPr>
              <w:t>Phalacrocorax pygmeus</w:t>
            </w:r>
          </w:p>
        </w:tc>
        <w:tc>
          <w:tcPr>
            <w:tcW w:w="2430" w:type="dxa"/>
            <w:shd w:val="clear" w:color="auto" w:fill="E6EED5"/>
          </w:tcPr>
          <w:p w:rsidR="004B071C" w:rsidRPr="00A517C5" w:rsidRDefault="004B071C" w:rsidP="00A517C5">
            <w:pPr>
              <w:keepNext/>
              <w:keepLines/>
              <w:spacing w:before="60" w:after="0"/>
              <w:jc w:val="center"/>
              <w:outlineLvl w:val="3"/>
              <w:rPr>
                <w:rFonts w:ascii="Constantia" w:hAnsi="Constantia" w:cs="Arial"/>
                <w:bCs/>
                <w:iCs/>
                <w:color w:val="000000"/>
                <w:szCs w:val="22"/>
              </w:rPr>
            </w:pPr>
            <w:r w:rsidRPr="00A517C5">
              <w:rPr>
                <w:rFonts w:ascii="Constantia" w:hAnsi="Constantia" w:cs="Arial"/>
                <w:bCs/>
                <w:iCs/>
                <w:color w:val="000000"/>
                <w:szCs w:val="22"/>
              </w:rPr>
              <w:t>C</w:t>
            </w:r>
          </w:p>
        </w:tc>
      </w:tr>
      <w:tr w:rsidR="004B071C" w:rsidRPr="000E337A" w:rsidTr="00A517C5">
        <w:trPr>
          <w:trHeight w:val="102"/>
        </w:trPr>
        <w:tc>
          <w:tcPr>
            <w:tcW w:w="2538" w:type="dxa"/>
            <w:vMerge/>
            <w:shd w:val="clear" w:color="auto" w:fill="CDDDAC"/>
          </w:tcPr>
          <w:p w:rsidR="004B071C" w:rsidRPr="00A517C5" w:rsidRDefault="004B071C" w:rsidP="00A517C5">
            <w:pPr>
              <w:keepNext/>
              <w:keepLines/>
              <w:spacing w:before="60" w:after="0"/>
              <w:outlineLvl w:val="3"/>
              <w:rPr>
                <w:rFonts w:ascii="Constantia" w:hAnsi="Constantia" w:cs="Arial"/>
                <w:bCs/>
                <w:iCs/>
                <w:color w:val="000000"/>
                <w:szCs w:val="22"/>
              </w:rPr>
            </w:pPr>
          </w:p>
        </w:tc>
        <w:tc>
          <w:tcPr>
            <w:tcW w:w="4230" w:type="dxa"/>
            <w:shd w:val="clear" w:color="auto" w:fill="CDDDAC"/>
          </w:tcPr>
          <w:p w:rsidR="004B071C" w:rsidRPr="00194ECA" w:rsidRDefault="004B071C" w:rsidP="00A517C5">
            <w:pPr>
              <w:spacing w:after="0"/>
              <w:rPr>
                <w:rFonts w:ascii="Constantia" w:hAnsi="Constantia" w:cs="Arial"/>
                <w:i/>
                <w:szCs w:val="22"/>
              </w:rPr>
            </w:pPr>
            <w:r w:rsidRPr="00194ECA">
              <w:rPr>
                <w:rFonts w:ascii="Constantia" w:hAnsi="Constantia" w:cs="Arial"/>
                <w:i/>
                <w:szCs w:val="22"/>
              </w:rPr>
              <w:t>Plegadis falcinellus</w:t>
            </w:r>
          </w:p>
        </w:tc>
        <w:tc>
          <w:tcPr>
            <w:tcW w:w="2430" w:type="dxa"/>
            <w:shd w:val="clear" w:color="auto" w:fill="CDDDAC"/>
          </w:tcPr>
          <w:p w:rsidR="004B071C" w:rsidRPr="00A517C5" w:rsidRDefault="004B071C" w:rsidP="00A517C5">
            <w:pPr>
              <w:keepNext/>
              <w:keepLines/>
              <w:spacing w:before="60" w:after="0"/>
              <w:jc w:val="center"/>
              <w:outlineLvl w:val="3"/>
              <w:rPr>
                <w:rFonts w:ascii="Constantia" w:hAnsi="Constantia" w:cs="Arial"/>
                <w:bCs/>
                <w:iCs/>
                <w:color w:val="000000"/>
                <w:szCs w:val="22"/>
              </w:rPr>
            </w:pPr>
            <w:r w:rsidRPr="00A517C5">
              <w:rPr>
                <w:rFonts w:ascii="Constantia" w:hAnsi="Constantia" w:cs="Arial"/>
                <w:bCs/>
                <w:iCs/>
                <w:color w:val="000000"/>
                <w:szCs w:val="22"/>
              </w:rPr>
              <w:t>C</w:t>
            </w:r>
          </w:p>
        </w:tc>
      </w:tr>
      <w:tr w:rsidR="004B071C" w:rsidRPr="000E337A" w:rsidTr="00A517C5">
        <w:trPr>
          <w:trHeight w:val="102"/>
        </w:trPr>
        <w:tc>
          <w:tcPr>
            <w:tcW w:w="2538" w:type="dxa"/>
            <w:vMerge/>
            <w:shd w:val="clear" w:color="auto" w:fill="E6EED5"/>
          </w:tcPr>
          <w:p w:rsidR="004B071C" w:rsidRPr="00A517C5" w:rsidRDefault="004B071C" w:rsidP="00A517C5">
            <w:pPr>
              <w:keepNext/>
              <w:keepLines/>
              <w:spacing w:before="60" w:after="0"/>
              <w:outlineLvl w:val="3"/>
              <w:rPr>
                <w:rFonts w:ascii="Constantia" w:hAnsi="Constantia" w:cs="Arial"/>
                <w:bCs/>
                <w:iCs/>
                <w:color w:val="000000"/>
                <w:szCs w:val="22"/>
              </w:rPr>
            </w:pPr>
          </w:p>
        </w:tc>
        <w:tc>
          <w:tcPr>
            <w:tcW w:w="4230" w:type="dxa"/>
            <w:shd w:val="clear" w:color="auto" w:fill="E6EED5"/>
          </w:tcPr>
          <w:p w:rsidR="004B071C" w:rsidRPr="00194ECA" w:rsidRDefault="004B071C" w:rsidP="00A517C5">
            <w:pPr>
              <w:spacing w:after="0"/>
              <w:rPr>
                <w:rFonts w:ascii="Constantia" w:hAnsi="Constantia" w:cs="Arial"/>
                <w:i/>
                <w:szCs w:val="22"/>
              </w:rPr>
            </w:pPr>
            <w:r w:rsidRPr="00194ECA">
              <w:rPr>
                <w:rFonts w:ascii="Constantia" w:hAnsi="Constantia" w:cs="Arial"/>
                <w:i/>
                <w:szCs w:val="22"/>
              </w:rPr>
              <w:t>Aythya nyroca</w:t>
            </w:r>
          </w:p>
        </w:tc>
        <w:tc>
          <w:tcPr>
            <w:tcW w:w="2430" w:type="dxa"/>
            <w:shd w:val="clear" w:color="auto" w:fill="E6EED5"/>
          </w:tcPr>
          <w:p w:rsidR="004B071C" w:rsidRPr="00A517C5" w:rsidRDefault="004B071C" w:rsidP="00A517C5">
            <w:pPr>
              <w:keepNext/>
              <w:keepLines/>
              <w:spacing w:before="60" w:after="0"/>
              <w:jc w:val="center"/>
              <w:outlineLvl w:val="3"/>
              <w:rPr>
                <w:rFonts w:ascii="Constantia" w:hAnsi="Constantia" w:cs="Arial"/>
                <w:bCs/>
                <w:iCs/>
                <w:color w:val="000000"/>
                <w:szCs w:val="22"/>
              </w:rPr>
            </w:pPr>
            <w:r w:rsidRPr="00A517C5">
              <w:rPr>
                <w:rFonts w:ascii="Constantia" w:hAnsi="Constantia" w:cs="Arial"/>
                <w:bCs/>
                <w:iCs/>
                <w:color w:val="000000"/>
                <w:szCs w:val="22"/>
              </w:rPr>
              <w:t>C</w:t>
            </w:r>
          </w:p>
        </w:tc>
      </w:tr>
      <w:tr w:rsidR="004B071C" w:rsidRPr="000E337A" w:rsidTr="00A517C5">
        <w:trPr>
          <w:trHeight w:val="102"/>
        </w:trPr>
        <w:tc>
          <w:tcPr>
            <w:tcW w:w="2538" w:type="dxa"/>
            <w:vMerge/>
            <w:shd w:val="clear" w:color="auto" w:fill="CDDDAC"/>
          </w:tcPr>
          <w:p w:rsidR="004B071C" w:rsidRPr="00A517C5" w:rsidRDefault="004B071C" w:rsidP="00A517C5">
            <w:pPr>
              <w:keepNext/>
              <w:keepLines/>
              <w:spacing w:before="60" w:after="0"/>
              <w:outlineLvl w:val="3"/>
              <w:rPr>
                <w:rFonts w:ascii="Constantia" w:hAnsi="Constantia" w:cs="Arial"/>
                <w:bCs/>
                <w:iCs/>
                <w:color w:val="000000"/>
                <w:szCs w:val="22"/>
              </w:rPr>
            </w:pPr>
          </w:p>
        </w:tc>
        <w:tc>
          <w:tcPr>
            <w:tcW w:w="4230" w:type="dxa"/>
            <w:shd w:val="clear" w:color="auto" w:fill="CDDDAC"/>
          </w:tcPr>
          <w:p w:rsidR="004B071C" w:rsidRPr="00194ECA" w:rsidRDefault="004B071C" w:rsidP="00A517C5">
            <w:pPr>
              <w:spacing w:after="0"/>
              <w:rPr>
                <w:rFonts w:ascii="Constantia" w:hAnsi="Constantia" w:cs="Arial"/>
                <w:i/>
                <w:szCs w:val="22"/>
              </w:rPr>
            </w:pPr>
            <w:r w:rsidRPr="00194ECA">
              <w:rPr>
                <w:rFonts w:ascii="Constantia" w:hAnsi="Constantia" w:cs="Arial"/>
                <w:i/>
                <w:szCs w:val="22"/>
              </w:rPr>
              <w:t>Bubulcus ibis</w:t>
            </w:r>
          </w:p>
        </w:tc>
        <w:tc>
          <w:tcPr>
            <w:tcW w:w="2430" w:type="dxa"/>
            <w:shd w:val="clear" w:color="auto" w:fill="CDDDAC"/>
          </w:tcPr>
          <w:p w:rsidR="004B071C" w:rsidRPr="00A517C5" w:rsidRDefault="004B071C" w:rsidP="00A517C5">
            <w:pPr>
              <w:keepNext/>
              <w:keepLines/>
              <w:spacing w:before="60" w:after="0"/>
              <w:jc w:val="center"/>
              <w:outlineLvl w:val="3"/>
              <w:rPr>
                <w:rFonts w:ascii="Constantia" w:hAnsi="Constantia" w:cs="Arial"/>
                <w:bCs/>
                <w:iCs/>
                <w:color w:val="000000"/>
                <w:szCs w:val="22"/>
              </w:rPr>
            </w:pPr>
            <w:r w:rsidRPr="00A517C5">
              <w:rPr>
                <w:rFonts w:ascii="Constantia" w:hAnsi="Constantia" w:cs="Arial"/>
                <w:bCs/>
                <w:iCs/>
                <w:color w:val="000000"/>
                <w:szCs w:val="22"/>
              </w:rPr>
              <w:t>C</w:t>
            </w:r>
          </w:p>
        </w:tc>
      </w:tr>
      <w:tr w:rsidR="004B071C" w:rsidRPr="000E337A" w:rsidTr="00A517C5">
        <w:trPr>
          <w:trHeight w:val="106"/>
        </w:trPr>
        <w:tc>
          <w:tcPr>
            <w:tcW w:w="2538" w:type="dxa"/>
            <w:vMerge w:val="restart"/>
            <w:shd w:val="clear" w:color="auto" w:fill="E6EED5"/>
          </w:tcPr>
          <w:p w:rsidR="004B071C" w:rsidRPr="00A517C5" w:rsidRDefault="004B071C" w:rsidP="00A517C5">
            <w:pPr>
              <w:keepNext/>
              <w:keepLines/>
              <w:spacing w:before="60" w:after="0"/>
              <w:outlineLvl w:val="3"/>
              <w:rPr>
                <w:rFonts w:ascii="Constantia" w:hAnsi="Constantia" w:cs="Arial"/>
                <w:bCs/>
                <w:iCs/>
                <w:color w:val="000000"/>
                <w:szCs w:val="22"/>
              </w:rPr>
            </w:pPr>
            <w:r w:rsidRPr="00A517C5">
              <w:rPr>
                <w:rFonts w:ascii="Constantia" w:hAnsi="Constantia" w:cs="Arial"/>
                <w:bCs/>
                <w:iCs/>
                <w:color w:val="000000"/>
                <w:szCs w:val="22"/>
              </w:rPr>
              <w:t xml:space="preserve">Izvještavanje </w:t>
            </w:r>
          </w:p>
        </w:tc>
        <w:tc>
          <w:tcPr>
            <w:tcW w:w="4230" w:type="dxa"/>
            <w:shd w:val="clear" w:color="auto" w:fill="E6EED5"/>
          </w:tcPr>
          <w:p w:rsidR="004B071C" w:rsidRPr="00194ECA" w:rsidRDefault="004B071C" w:rsidP="00A517C5">
            <w:pPr>
              <w:spacing w:after="0"/>
              <w:rPr>
                <w:rFonts w:ascii="Constantia" w:hAnsi="Constantia" w:cs="Arial"/>
                <w:i/>
                <w:szCs w:val="22"/>
              </w:rPr>
            </w:pPr>
            <w:r w:rsidRPr="00194ECA">
              <w:rPr>
                <w:rFonts w:ascii="Constantia" w:hAnsi="Constantia" w:cs="Arial"/>
                <w:i/>
                <w:szCs w:val="22"/>
              </w:rPr>
              <w:t>Pelecanus crispus</w:t>
            </w:r>
          </w:p>
        </w:tc>
        <w:tc>
          <w:tcPr>
            <w:tcW w:w="2430" w:type="dxa"/>
            <w:shd w:val="clear" w:color="auto" w:fill="E6EED5"/>
          </w:tcPr>
          <w:p w:rsidR="004B071C" w:rsidRPr="00A517C5" w:rsidRDefault="004B071C" w:rsidP="00A517C5">
            <w:pPr>
              <w:keepNext/>
              <w:keepLines/>
              <w:spacing w:before="60" w:after="0"/>
              <w:jc w:val="center"/>
              <w:outlineLvl w:val="3"/>
              <w:rPr>
                <w:rFonts w:ascii="Constantia" w:hAnsi="Constantia" w:cs="Arial"/>
                <w:bCs/>
                <w:iCs/>
                <w:color w:val="000000"/>
                <w:szCs w:val="22"/>
              </w:rPr>
            </w:pPr>
            <w:r w:rsidRPr="00A517C5">
              <w:rPr>
                <w:rFonts w:ascii="Constantia" w:hAnsi="Constantia" w:cs="Arial"/>
                <w:bCs/>
                <w:iCs/>
                <w:color w:val="000000"/>
                <w:szCs w:val="22"/>
              </w:rPr>
              <w:t>B</w:t>
            </w:r>
          </w:p>
        </w:tc>
      </w:tr>
      <w:tr w:rsidR="004B071C" w:rsidRPr="000E337A" w:rsidTr="00A517C5">
        <w:trPr>
          <w:trHeight w:val="102"/>
        </w:trPr>
        <w:tc>
          <w:tcPr>
            <w:tcW w:w="2538" w:type="dxa"/>
            <w:vMerge/>
            <w:shd w:val="clear" w:color="auto" w:fill="CDDDAC"/>
          </w:tcPr>
          <w:p w:rsidR="004B071C" w:rsidRPr="00A517C5" w:rsidRDefault="004B071C" w:rsidP="00A517C5">
            <w:pPr>
              <w:keepNext/>
              <w:keepLines/>
              <w:spacing w:before="60" w:after="0"/>
              <w:outlineLvl w:val="3"/>
              <w:rPr>
                <w:rFonts w:ascii="Constantia" w:hAnsi="Constantia" w:cs="Arial"/>
                <w:bCs/>
                <w:iCs/>
                <w:color w:val="000000"/>
                <w:szCs w:val="22"/>
              </w:rPr>
            </w:pPr>
          </w:p>
        </w:tc>
        <w:tc>
          <w:tcPr>
            <w:tcW w:w="4230" w:type="dxa"/>
            <w:shd w:val="clear" w:color="auto" w:fill="CDDDAC"/>
          </w:tcPr>
          <w:p w:rsidR="004B071C" w:rsidRPr="00194ECA" w:rsidRDefault="004B071C" w:rsidP="00A517C5">
            <w:pPr>
              <w:spacing w:after="0"/>
              <w:rPr>
                <w:rFonts w:ascii="Constantia" w:hAnsi="Constantia" w:cs="Arial"/>
                <w:i/>
                <w:szCs w:val="22"/>
              </w:rPr>
            </w:pPr>
            <w:r w:rsidRPr="00194ECA">
              <w:rPr>
                <w:rFonts w:ascii="Constantia" w:hAnsi="Constantia" w:cs="Arial"/>
                <w:i/>
                <w:szCs w:val="22"/>
              </w:rPr>
              <w:t>Phalacrocorax pygmeus</w:t>
            </w:r>
          </w:p>
        </w:tc>
        <w:tc>
          <w:tcPr>
            <w:tcW w:w="2430" w:type="dxa"/>
            <w:shd w:val="clear" w:color="auto" w:fill="CDDDAC"/>
          </w:tcPr>
          <w:p w:rsidR="004B071C" w:rsidRPr="00A517C5" w:rsidRDefault="004B071C" w:rsidP="00A517C5">
            <w:pPr>
              <w:keepNext/>
              <w:keepLines/>
              <w:spacing w:before="60" w:after="0"/>
              <w:jc w:val="center"/>
              <w:outlineLvl w:val="3"/>
              <w:rPr>
                <w:rFonts w:ascii="Constantia" w:hAnsi="Constantia" w:cs="Arial"/>
                <w:bCs/>
                <w:iCs/>
                <w:color w:val="000000"/>
                <w:szCs w:val="22"/>
              </w:rPr>
            </w:pPr>
            <w:r w:rsidRPr="00A517C5">
              <w:rPr>
                <w:rFonts w:ascii="Constantia" w:hAnsi="Constantia" w:cs="Arial"/>
                <w:bCs/>
                <w:iCs/>
                <w:color w:val="000000"/>
                <w:szCs w:val="22"/>
              </w:rPr>
              <w:t>C</w:t>
            </w:r>
          </w:p>
        </w:tc>
      </w:tr>
      <w:tr w:rsidR="004B071C" w:rsidRPr="000E337A" w:rsidTr="00A517C5">
        <w:trPr>
          <w:trHeight w:val="102"/>
        </w:trPr>
        <w:tc>
          <w:tcPr>
            <w:tcW w:w="2538" w:type="dxa"/>
            <w:vMerge/>
            <w:shd w:val="clear" w:color="auto" w:fill="E6EED5"/>
          </w:tcPr>
          <w:p w:rsidR="004B071C" w:rsidRPr="00A517C5" w:rsidRDefault="004B071C" w:rsidP="00A517C5">
            <w:pPr>
              <w:keepNext/>
              <w:keepLines/>
              <w:spacing w:before="60" w:after="0"/>
              <w:outlineLvl w:val="3"/>
              <w:rPr>
                <w:rFonts w:ascii="Constantia" w:hAnsi="Constantia" w:cs="Arial"/>
                <w:bCs/>
                <w:iCs/>
                <w:color w:val="000000"/>
                <w:szCs w:val="22"/>
              </w:rPr>
            </w:pPr>
          </w:p>
        </w:tc>
        <w:tc>
          <w:tcPr>
            <w:tcW w:w="4230" w:type="dxa"/>
            <w:shd w:val="clear" w:color="auto" w:fill="E6EED5"/>
          </w:tcPr>
          <w:p w:rsidR="004B071C" w:rsidRPr="00194ECA" w:rsidRDefault="004B071C" w:rsidP="00A517C5">
            <w:pPr>
              <w:spacing w:after="0"/>
              <w:rPr>
                <w:rFonts w:ascii="Constantia" w:hAnsi="Constantia" w:cs="Arial"/>
                <w:i/>
                <w:szCs w:val="22"/>
              </w:rPr>
            </w:pPr>
            <w:r w:rsidRPr="00194ECA">
              <w:rPr>
                <w:rFonts w:ascii="Constantia" w:hAnsi="Constantia" w:cs="Arial"/>
                <w:i/>
                <w:szCs w:val="22"/>
              </w:rPr>
              <w:t>Plegadis falcinellus</w:t>
            </w:r>
          </w:p>
        </w:tc>
        <w:tc>
          <w:tcPr>
            <w:tcW w:w="2430" w:type="dxa"/>
            <w:shd w:val="clear" w:color="auto" w:fill="E6EED5"/>
          </w:tcPr>
          <w:p w:rsidR="004B071C" w:rsidRPr="00A517C5" w:rsidRDefault="004B071C" w:rsidP="00A517C5">
            <w:pPr>
              <w:keepNext/>
              <w:keepLines/>
              <w:spacing w:before="60" w:after="0"/>
              <w:jc w:val="center"/>
              <w:outlineLvl w:val="3"/>
              <w:rPr>
                <w:rFonts w:ascii="Constantia" w:hAnsi="Constantia" w:cs="Arial"/>
                <w:bCs/>
                <w:iCs/>
                <w:color w:val="000000"/>
                <w:szCs w:val="22"/>
              </w:rPr>
            </w:pPr>
            <w:r w:rsidRPr="00A517C5">
              <w:rPr>
                <w:rFonts w:ascii="Constantia" w:hAnsi="Constantia" w:cs="Arial"/>
                <w:bCs/>
                <w:iCs/>
                <w:color w:val="000000"/>
                <w:szCs w:val="22"/>
              </w:rPr>
              <w:t>C</w:t>
            </w:r>
          </w:p>
        </w:tc>
      </w:tr>
      <w:tr w:rsidR="004B071C" w:rsidRPr="000E337A" w:rsidTr="00A517C5">
        <w:trPr>
          <w:trHeight w:val="102"/>
        </w:trPr>
        <w:tc>
          <w:tcPr>
            <w:tcW w:w="2538" w:type="dxa"/>
            <w:vMerge/>
            <w:shd w:val="clear" w:color="auto" w:fill="CDDDAC"/>
          </w:tcPr>
          <w:p w:rsidR="004B071C" w:rsidRPr="00A517C5" w:rsidRDefault="004B071C" w:rsidP="00A517C5">
            <w:pPr>
              <w:keepNext/>
              <w:keepLines/>
              <w:spacing w:before="60" w:after="0"/>
              <w:outlineLvl w:val="3"/>
              <w:rPr>
                <w:rFonts w:ascii="Constantia" w:hAnsi="Constantia" w:cs="Arial"/>
                <w:bCs/>
                <w:iCs/>
                <w:color w:val="000000"/>
                <w:szCs w:val="22"/>
              </w:rPr>
            </w:pPr>
          </w:p>
        </w:tc>
        <w:tc>
          <w:tcPr>
            <w:tcW w:w="4230" w:type="dxa"/>
            <w:shd w:val="clear" w:color="auto" w:fill="CDDDAC"/>
          </w:tcPr>
          <w:p w:rsidR="004B071C" w:rsidRPr="00194ECA" w:rsidRDefault="004B071C" w:rsidP="00A517C5">
            <w:pPr>
              <w:spacing w:after="0"/>
              <w:rPr>
                <w:rFonts w:ascii="Constantia" w:hAnsi="Constantia" w:cs="Arial"/>
                <w:i/>
                <w:szCs w:val="22"/>
              </w:rPr>
            </w:pPr>
            <w:r w:rsidRPr="00194ECA">
              <w:rPr>
                <w:rFonts w:ascii="Constantia" w:hAnsi="Constantia" w:cs="Arial"/>
                <w:i/>
                <w:szCs w:val="22"/>
              </w:rPr>
              <w:t>Aythya nyroca</w:t>
            </w:r>
          </w:p>
        </w:tc>
        <w:tc>
          <w:tcPr>
            <w:tcW w:w="2430" w:type="dxa"/>
            <w:shd w:val="clear" w:color="auto" w:fill="CDDDAC"/>
          </w:tcPr>
          <w:p w:rsidR="004B071C" w:rsidRPr="00A517C5" w:rsidRDefault="004B071C" w:rsidP="00A517C5">
            <w:pPr>
              <w:keepNext/>
              <w:keepLines/>
              <w:spacing w:before="60" w:after="0"/>
              <w:jc w:val="center"/>
              <w:outlineLvl w:val="3"/>
              <w:rPr>
                <w:rFonts w:ascii="Constantia" w:hAnsi="Constantia" w:cs="Arial"/>
                <w:bCs/>
                <w:iCs/>
                <w:color w:val="000000"/>
                <w:szCs w:val="22"/>
              </w:rPr>
            </w:pPr>
            <w:r w:rsidRPr="00A517C5">
              <w:rPr>
                <w:rFonts w:ascii="Constantia" w:hAnsi="Constantia" w:cs="Arial"/>
                <w:bCs/>
                <w:iCs/>
                <w:color w:val="000000"/>
                <w:szCs w:val="22"/>
              </w:rPr>
              <w:t>C</w:t>
            </w:r>
          </w:p>
        </w:tc>
      </w:tr>
      <w:tr w:rsidR="004B071C" w:rsidRPr="000E337A" w:rsidTr="00A517C5">
        <w:trPr>
          <w:trHeight w:val="102"/>
        </w:trPr>
        <w:tc>
          <w:tcPr>
            <w:tcW w:w="2538" w:type="dxa"/>
            <w:vMerge/>
            <w:shd w:val="clear" w:color="auto" w:fill="E6EED5"/>
          </w:tcPr>
          <w:p w:rsidR="004B071C" w:rsidRPr="00A517C5" w:rsidRDefault="004B071C" w:rsidP="00A517C5">
            <w:pPr>
              <w:keepNext/>
              <w:keepLines/>
              <w:spacing w:before="60" w:after="0"/>
              <w:outlineLvl w:val="3"/>
              <w:rPr>
                <w:rFonts w:ascii="Constantia" w:hAnsi="Constantia" w:cs="Arial"/>
                <w:bCs/>
                <w:iCs/>
                <w:color w:val="000000"/>
                <w:szCs w:val="22"/>
              </w:rPr>
            </w:pPr>
          </w:p>
        </w:tc>
        <w:tc>
          <w:tcPr>
            <w:tcW w:w="4230" w:type="dxa"/>
            <w:shd w:val="clear" w:color="auto" w:fill="E6EED5"/>
          </w:tcPr>
          <w:p w:rsidR="004B071C" w:rsidRPr="00194ECA" w:rsidRDefault="004B071C" w:rsidP="00A517C5">
            <w:pPr>
              <w:spacing w:after="0"/>
              <w:rPr>
                <w:rFonts w:ascii="Constantia" w:hAnsi="Constantia" w:cs="Arial"/>
                <w:i/>
                <w:szCs w:val="22"/>
              </w:rPr>
            </w:pPr>
            <w:r w:rsidRPr="00194ECA">
              <w:rPr>
                <w:rFonts w:ascii="Constantia" w:hAnsi="Constantia" w:cs="Arial"/>
                <w:i/>
                <w:szCs w:val="22"/>
              </w:rPr>
              <w:t>Bubulcus ibis</w:t>
            </w:r>
          </w:p>
        </w:tc>
        <w:tc>
          <w:tcPr>
            <w:tcW w:w="2430" w:type="dxa"/>
            <w:shd w:val="clear" w:color="auto" w:fill="E6EED5"/>
          </w:tcPr>
          <w:p w:rsidR="004B071C" w:rsidRPr="00A517C5" w:rsidRDefault="004B071C" w:rsidP="00A517C5">
            <w:pPr>
              <w:keepNext/>
              <w:keepLines/>
              <w:spacing w:before="60" w:after="0"/>
              <w:jc w:val="center"/>
              <w:outlineLvl w:val="3"/>
              <w:rPr>
                <w:rFonts w:ascii="Constantia" w:hAnsi="Constantia" w:cs="Arial"/>
                <w:bCs/>
                <w:iCs/>
                <w:color w:val="000000"/>
                <w:szCs w:val="22"/>
              </w:rPr>
            </w:pPr>
            <w:r w:rsidRPr="00A517C5">
              <w:rPr>
                <w:rFonts w:ascii="Constantia" w:hAnsi="Constantia" w:cs="Arial"/>
                <w:bCs/>
                <w:iCs/>
                <w:color w:val="000000"/>
                <w:szCs w:val="22"/>
              </w:rPr>
              <w:t>C</w:t>
            </w:r>
          </w:p>
        </w:tc>
      </w:tr>
      <w:tr w:rsidR="004B071C" w:rsidRPr="000E337A" w:rsidTr="00A517C5">
        <w:trPr>
          <w:trHeight w:val="106"/>
        </w:trPr>
        <w:tc>
          <w:tcPr>
            <w:tcW w:w="2538" w:type="dxa"/>
            <w:vMerge w:val="restart"/>
            <w:shd w:val="clear" w:color="auto" w:fill="CDDDAC"/>
          </w:tcPr>
          <w:p w:rsidR="004B071C" w:rsidRPr="00A517C5" w:rsidRDefault="004B071C" w:rsidP="00A517C5">
            <w:pPr>
              <w:keepNext/>
              <w:keepLines/>
              <w:spacing w:before="60" w:after="0"/>
              <w:outlineLvl w:val="3"/>
              <w:rPr>
                <w:rFonts w:ascii="Constantia" w:hAnsi="Constantia" w:cs="Arial"/>
                <w:bCs/>
                <w:iCs/>
                <w:color w:val="000000"/>
                <w:szCs w:val="22"/>
              </w:rPr>
            </w:pPr>
            <w:r w:rsidRPr="00A517C5">
              <w:rPr>
                <w:rFonts w:ascii="Constantia" w:hAnsi="Constantia" w:cs="Arial"/>
                <w:bCs/>
                <w:iCs/>
                <w:color w:val="000000"/>
                <w:szCs w:val="22"/>
              </w:rPr>
              <w:t>Ribarstvo</w:t>
            </w:r>
          </w:p>
        </w:tc>
        <w:tc>
          <w:tcPr>
            <w:tcW w:w="4230" w:type="dxa"/>
            <w:shd w:val="clear" w:color="auto" w:fill="CDDDAC"/>
          </w:tcPr>
          <w:p w:rsidR="004B071C" w:rsidRPr="00194ECA" w:rsidRDefault="004B071C" w:rsidP="00A517C5">
            <w:pPr>
              <w:spacing w:after="0"/>
              <w:rPr>
                <w:rFonts w:ascii="Constantia" w:hAnsi="Constantia" w:cs="Arial"/>
                <w:i/>
                <w:szCs w:val="22"/>
              </w:rPr>
            </w:pPr>
            <w:r w:rsidRPr="00194ECA">
              <w:rPr>
                <w:rFonts w:ascii="Constantia" w:hAnsi="Constantia" w:cs="Arial"/>
                <w:i/>
                <w:szCs w:val="22"/>
              </w:rPr>
              <w:t>Pelecanus crispus</w:t>
            </w:r>
          </w:p>
        </w:tc>
        <w:tc>
          <w:tcPr>
            <w:tcW w:w="2430" w:type="dxa"/>
            <w:shd w:val="clear" w:color="auto" w:fill="CDDDAC"/>
          </w:tcPr>
          <w:p w:rsidR="004B071C" w:rsidRPr="00A517C5" w:rsidRDefault="004B071C" w:rsidP="00A517C5">
            <w:pPr>
              <w:keepNext/>
              <w:keepLines/>
              <w:spacing w:before="60" w:after="0"/>
              <w:jc w:val="center"/>
              <w:outlineLvl w:val="3"/>
              <w:rPr>
                <w:rFonts w:ascii="Constantia" w:hAnsi="Constantia" w:cs="Arial"/>
                <w:bCs/>
                <w:iCs/>
                <w:color w:val="000000"/>
                <w:szCs w:val="22"/>
              </w:rPr>
            </w:pPr>
            <w:r w:rsidRPr="00A517C5">
              <w:rPr>
                <w:rFonts w:ascii="Constantia" w:hAnsi="Constantia" w:cs="Arial"/>
                <w:bCs/>
                <w:iCs/>
                <w:color w:val="000000"/>
                <w:szCs w:val="22"/>
              </w:rPr>
              <w:t>A</w:t>
            </w:r>
          </w:p>
        </w:tc>
      </w:tr>
      <w:tr w:rsidR="004B071C" w:rsidRPr="000E337A" w:rsidTr="00A517C5">
        <w:trPr>
          <w:trHeight w:val="102"/>
        </w:trPr>
        <w:tc>
          <w:tcPr>
            <w:tcW w:w="2538" w:type="dxa"/>
            <w:vMerge/>
            <w:shd w:val="clear" w:color="auto" w:fill="E6EED5"/>
          </w:tcPr>
          <w:p w:rsidR="004B071C" w:rsidRPr="00A517C5" w:rsidRDefault="004B071C" w:rsidP="00A517C5">
            <w:pPr>
              <w:keepNext/>
              <w:keepLines/>
              <w:spacing w:before="60" w:after="0"/>
              <w:outlineLvl w:val="3"/>
              <w:rPr>
                <w:rFonts w:ascii="Constantia" w:hAnsi="Constantia" w:cs="Arial"/>
                <w:bCs/>
                <w:iCs/>
                <w:color w:val="000000"/>
                <w:szCs w:val="22"/>
              </w:rPr>
            </w:pPr>
          </w:p>
        </w:tc>
        <w:tc>
          <w:tcPr>
            <w:tcW w:w="4230" w:type="dxa"/>
            <w:shd w:val="clear" w:color="auto" w:fill="E6EED5"/>
          </w:tcPr>
          <w:p w:rsidR="004B071C" w:rsidRPr="00194ECA" w:rsidRDefault="004B071C" w:rsidP="00A517C5">
            <w:pPr>
              <w:spacing w:after="0"/>
              <w:rPr>
                <w:rFonts w:ascii="Constantia" w:hAnsi="Constantia" w:cs="Arial"/>
                <w:i/>
                <w:szCs w:val="22"/>
              </w:rPr>
            </w:pPr>
            <w:r w:rsidRPr="00194ECA">
              <w:rPr>
                <w:rFonts w:ascii="Constantia" w:hAnsi="Constantia" w:cs="Arial"/>
                <w:i/>
                <w:szCs w:val="22"/>
              </w:rPr>
              <w:t>Phalacrocorax pygmeus</w:t>
            </w:r>
          </w:p>
        </w:tc>
        <w:tc>
          <w:tcPr>
            <w:tcW w:w="2430" w:type="dxa"/>
            <w:shd w:val="clear" w:color="auto" w:fill="E6EED5"/>
          </w:tcPr>
          <w:p w:rsidR="004B071C" w:rsidRPr="00A517C5" w:rsidRDefault="004B071C" w:rsidP="00A517C5">
            <w:pPr>
              <w:keepNext/>
              <w:keepLines/>
              <w:spacing w:before="60" w:after="0"/>
              <w:jc w:val="center"/>
              <w:outlineLvl w:val="3"/>
              <w:rPr>
                <w:rFonts w:ascii="Constantia" w:hAnsi="Constantia" w:cs="Arial"/>
                <w:bCs/>
                <w:iCs/>
                <w:color w:val="000000"/>
                <w:szCs w:val="22"/>
              </w:rPr>
            </w:pPr>
            <w:r w:rsidRPr="00A517C5">
              <w:rPr>
                <w:rFonts w:ascii="Constantia" w:hAnsi="Constantia" w:cs="Arial"/>
                <w:bCs/>
                <w:iCs/>
                <w:color w:val="000000"/>
                <w:szCs w:val="22"/>
              </w:rPr>
              <w:t>C</w:t>
            </w:r>
          </w:p>
        </w:tc>
      </w:tr>
      <w:tr w:rsidR="004B071C" w:rsidRPr="000E337A" w:rsidTr="00A517C5">
        <w:trPr>
          <w:trHeight w:val="102"/>
        </w:trPr>
        <w:tc>
          <w:tcPr>
            <w:tcW w:w="2538" w:type="dxa"/>
            <w:vMerge/>
            <w:shd w:val="clear" w:color="auto" w:fill="CDDDAC"/>
          </w:tcPr>
          <w:p w:rsidR="004B071C" w:rsidRPr="00A517C5" w:rsidRDefault="004B071C" w:rsidP="00A517C5">
            <w:pPr>
              <w:keepNext/>
              <w:keepLines/>
              <w:spacing w:before="60" w:after="0"/>
              <w:outlineLvl w:val="3"/>
              <w:rPr>
                <w:rFonts w:ascii="Constantia" w:hAnsi="Constantia" w:cs="Arial"/>
                <w:bCs/>
                <w:iCs/>
                <w:color w:val="000000"/>
                <w:szCs w:val="22"/>
              </w:rPr>
            </w:pPr>
          </w:p>
        </w:tc>
        <w:tc>
          <w:tcPr>
            <w:tcW w:w="4230" w:type="dxa"/>
            <w:shd w:val="clear" w:color="auto" w:fill="CDDDAC"/>
          </w:tcPr>
          <w:p w:rsidR="004B071C" w:rsidRPr="00194ECA" w:rsidRDefault="004B071C" w:rsidP="00A517C5">
            <w:pPr>
              <w:spacing w:after="0"/>
              <w:rPr>
                <w:rFonts w:ascii="Constantia" w:hAnsi="Constantia" w:cs="Arial"/>
                <w:i/>
                <w:szCs w:val="22"/>
              </w:rPr>
            </w:pPr>
            <w:r w:rsidRPr="00194ECA">
              <w:rPr>
                <w:rFonts w:ascii="Constantia" w:hAnsi="Constantia" w:cs="Arial"/>
                <w:i/>
                <w:szCs w:val="22"/>
              </w:rPr>
              <w:t>Plegadis falcinellus</w:t>
            </w:r>
          </w:p>
        </w:tc>
        <w:tc>
          <w:tcPr>
            <w:tcW w:w="2430" w:type="dxa"/>
            <w:shd w:val="clear" w:color="auto" w:fill="CDDDAC"/>
          </w:tcPr>
          <w:p w:rsidR="004B071C" w:rsidRPr="00A517C5" w:rsidRDefault="004B071C" w:rsidP="00A517C5">
            <w:pPr>
              <w:keepNext/>
              <w:keepLines/>
              <w:spacing w:before="60" w:after="0"/>
              <w:jc w:val="center"/>
              <w:outlineLvl w:val="3"/>
              <w:rPr>
                <w:rFonts w:ascii="Constantia" w:hAnsi="Constantia" w:cs="Arial"/>
                <w:bCs/>
                <w:iCs/>
                <w:color w:val="000000"/>
                <w:szCs w:val="22"/>
              </w:rPr>
            </w:pPr>
            <w:r w:rsidRPr="00A517C5">
              <w:rPr>
                <w:rFonts w:ascii="Constantia" w:hAnsi="Constantia" w:cs="Arial"/>
                <w:bCs/>
                <w:iCs/>
                <w:color w:val="000000"/>
                <w:szCs w:val="22"/>
              </w:rPr>
              <w:t>A</w:t>
            </w:r>
          </w:p>
        </w:tc>
      </w:tr>
      <w:tr w:rsidR="004B071C" w:rsidRPr="000E337A" w:rsidTr="00A517C5">
        <w:trPr>
          <w:trHeight w:val="102"/>
        </w:trPr>
        <w:tc>
          <w:tcPr>
            <w:tcW w:w="2538" w:type="dxa"/>
            <w:vMerge/>
            <w:shd w:val="clear" w:color="auto" w:fill="E6EED5"/>
          </w:tcPr>
          <w:p w:rsidR="004B071C" w:rsidRPr="00A517C5" w:rsidRDefault="004B071C" w:rsidP="00A517C5">
            <w:pPr>
              <w:keepNext/>
              <w:keepLines/>
              <w:spacing w:before="60" w:after="0"/>
              <w:outlineLvl w:val="3"/>
              <w:rPr>
                <w:rFonts w:ascii="Constantia" w:hAnsi="Constantia" w:cs="Arial"/>
                <w:bCs/>
                <w:iCs/>
                <w:color w:val="000000"/>
                <w:szCs w:val="22"/>
              </w:rPr>
            </w:pPr>
          </w:p>
        </w:tc>
        <w:tc>
          <w:tcPr>
            <w:tcW w:w="4230" w:type="dxa"/>
            <w:shd w:val="clear" w:color="auto" w:fill="E6EED5"/>
          </w:tcPr>
          <w:p w:rsidR="004B071C" w:rsidRPr="00194ECA" w:rsidRDefault="004B071C" w:rsidP="00A517C5">
            <w:pPr>
              <w:spacing w:after="0"/>
              <w:rPr>
                <w:rFonts w:ascii="Constantia" w:hAnsi="Constantia" w:cs="Arial"/>
                <w:i/>
                <w:szCs w:val="22"/>
              </w:rPr>
            </w:pPr>
            <w:r w:rsidRPr="00194ECA">
              <w:rPr>
                <w:rFonts w:ascii="Constantia" w:hAnsi="Constantia" w:cs="Arial"/>
                <w:i/>
                <w:szCs w:val="22"/>
              </w:rPr>
              <w:t>Aythya nyroca</w:t>
            </w:r>
          </w:p>
        </w:tc>
        <w:tc>
          <w:tcPr>
            <w:tcW w:w="2430" w:type="dxa"/>
            <w:shd w:val="clear" w:color="auto" w:fill="E6EED5"/>
          </w:tcPr>
          <w:p w:rsidR="004B071C" w:rsidRPr="00A517C5" w:rsidRDefault="004B071C" w:rsidP="00A517C5">
            <w:pPr>
              <w:keepNext/>
              <w:keepLines/>
              <w:spacing w:before="60" w:after="0"/>
              <w:jc w:val="center"/>
              <w:outlineLvl w:val="3"/>
              <w:rPr>
                <w:rFonts w:ascii="Constantia" w:hAnsi="Constantia" w:cs="Arial"/>
                <w:bCs/>
                <w:iCs/>
                <w:color w:val="000000"/>
                <w:szCs w:val="22"/>
              </w:rPr>
            </w:pPr>
            <w:r w:rsidRPr="00A517C5">
              <w:rPr>
                <w:rFonts w:ascii="Constantia" w:hAnsi="Constantia" w:cs="Arial"/>
                <w:bCs/>
                <w:iCs/>
                <w:color w:val="000000"/>
                <w:szCs w:val="22"/>
              </w:rPr>
              <w:t>C</w:t>
            </w:r>
          </w:p>
        </w:tc>
      </w:tr>
      <w:tr w:rsidR="004B071C" w:rsidRPr="000E337A" w:rsidTr="00A517C5">
        <w:trPr>
          <w:trHeight w:val="102"/>
        </w:trPr>
        <w:tc>
          <w:tcPr>
            <w:tcW w:w="2538" w:type="dxa"/>
            <w:vMerge/>
            <w:shd w:val="clear" w:color="auto" w:fill="CDDDAC"/>
          </w:tcPr>
          <w:p w:rsidR="004B071C" w:rsidRPr="00A517C5" w:rsidRDefault="004B071C" w:rsidP="00A517C5">
            <w:pPr>
              <w:keepNext/>
              <w:keepLines/>
              <w:spacing w:before="60" w:after="0"/>
              <w:outlineLvl w:val="3"/>
              <w:rPr>
                <w:rFonts w:ascii="Constantia" w:hAnsi="Constantia" w:cs="Arial"/>
                <w:bCs/>
                <w:iCs/>
                <w:color w:val="000000"/>
                <w:szCs w:val="22"/>
              </w:rPr>
            </w:pPr>
          </w:p>
        </w:tc>
        <w:tc>
          <w:tcPr>
            <w:tcW w:w="4230" w:type="dxa"/>
            <w:shd w:val="clear" w:color="auto" w:fill="CDDDAC"/>
          </w:tcPr>
          <w:p w:rsidR="004B071C" w:rsidRPr="00194ECA" w:rsidRDefault="004B071C" w:rsidP="00A517C5">
            <w:pPr>
              <w:spacing w:after="0"/>
              <w:rPr>
                <w:rFonts w:ascii="Constantia" w:hAnsi="Constantia" w:cs="Arial"/>
                <w:i/>
                <w:szCs w:val="22"/>
              </w:rPr>
            </w:pPr>
            <w:r w:rsidRPr="00194ECA">
              <w:rPr>
                <w:rFonts w:ascii="Constantia" w:hAnsi="Constantia" w:cs="Arial"/>
                <w:i/>
                <w:szCs w:val="22"/>
              </w:rPr>
              <w:t>Bubulcus ibis</w:t>
            </w:r>
          </w:p>
        </w:tc>
        <w:tc>
          <w:tcPr>
            <w:tcW w:w="2430" w:type="dxa"/>
            <w:shd w:val="clear" w:color="auto" w:fill="CDDDAC"/>
          </w:tcPr>
          <w:p w:rsidR="004B071C" w:rsidRPr="00A517C5" w:rsidRDefault="004B071C" w:rsidP="00A517C5">
            <w:pPr>
              <w:keepNext/>
              <w:keepLines/>
              <w:spacing w:before="60" w:after="0"/>
              <w:jc w:val="center"/>
              <w:outlineLvl w:val="3"/>
              <w:rPr>
                <w:rFonts w:ascii="Constantia" w:hAnsi="Constantia" w:cs="Arial"/>
                <w:bCs/>
                <w:iCs/>
                <w:color w:val="000000"/>
                <w:szCs w:val="22"/>
              </w:rPr>
            </w:pPr>
            <w:r w:rsidRPr="00A517C5">
              <w:rPr>
                <w:rFonts w:ascii="Constantia" w:hAnsi="Constantia" w:cs="Arial"/>
                <w:bCs/>
                <w:iCs/>
                <w:color w:val="000000"/>
                <w:szCs w:val="22"/>
              </w:rPr>
              <w:t>C</w:t>
            </w:r>
          </w:p>
        </w:tc>
      </w:tr>
      <w:tr w:rsidR="004B071C" w:rsidRPr="000E337A" w:rsidTr="00A517C5">
        <w:trPr>
          <w:trHeight w:val="106"/>
        </w:trPr>
        <w:tc>
          <w:tcPr>
            <w:tcW w:w="2538" w:type="dxa"/>
            <w:vMerge w:val="restart"/>
            <w:shd w:val="clear" w:color="auto" w:fill="E6EED5"/>
          </w:tcPr>
          <w:p w:rsidR="004B071C" w:rsidRPr="00A517C5" w:rsidRDefault="004B071C" w:rsidP="00A517C5">
            <w:pPr>
              <w:keepNext/>
              <w:keepLines/>
              <w:spacing w:before="60" w:after="0"/>
              <w:outlineLvl w:val="3"/>
              <w:rPr>
                <w:rFonts w:ascii="Constantia" w:hAnsi="Constantia" w:cs="Arial"/>
                <w:bCs/>
                <w:iCs/>
                <w:color w:val="000000"/>
                <w:szCs w:val="22"/>
              </w:rPr>
            </w:pPr>
            <w:r w:rsidRPr="00A517C5">
              <w:rPr>
                <w:rFonts w:ascii="Constantia" w:hAnsi="Constantia" w:cs="Arial"/>
                <w:bCs/>
                <w:iCs/>
                <w:color w:val="000000"/>
                <w:szCs w:val="22"/>
              </w:rPr>
              <w:t>Lov</w:t>
            </w:r>
          </w:p>
        </w:tc>
        <w:tc>
          <w:tcPr>
            <w:tcW w:w="4230" w:type="dxa"/>
            <w:shd w:val="clear" w:color="auto" w:fill="E6EED5"/>
          </w:tcPr>
          <w:p w:rsidR="004B071C" w:rsidRPr="00194ECA" w:rsidRDefault="004B071C" w:rsidP="00A517C5">
            <w:pPr>
              <w:spacing w:after="0"/>
              <w:rPr>
                <w:rFonts w:ascii="Constantia" w:hAnsi="Constantia" w:cs="Arial"/>
                <w:i/>
                <w:szCs w:val="22"/>
              </w:rPr>
            </w:pPr>
            <w:r w:rsidRPr="00194ECA">
              <w:rPr>
                <w:rFonts w:ascii="Constantia" w:hAnsi="Constantia" w:cs="Arial"/>
                <w:i/>
                <w:szCs w:val="22"/>
              </w:rPr>
              <w:t>Pelecanus crispus</w:t>
            </w:r>
          </w:p>
        </w:tc>
        <w:tc>
          <w:tcPr>
            <w:tcW w:w="2430" w:type="dxa"/>
            <w:shd w:val="clear" w:color="auto" w:fill="E6EED5"/>
          </w:tcPr>
          <w:p w:rsidR="004B071C" w:rsidRPr="00A517C5" w:rsidRDefault="004B071C" w:rsidP="00A517C5">
            <w:pPr>
              <w:keepNext/>
              <w:keepLines/>
              <w:spacing w:before="60" w:after="0"/>
              <w:jc w:val="center"/>
              <w:outlineLvl w:val="3"/>
              <w:rPr>
                <w:rFonts w:ascii="Constantia" w:hAnsi="Constantia" w:cs="Arial"/>
                <w:bCs/>
                <w:iCs/>
                <w:color w:val="000000"/>
                <w:szCs w:val="22"/>
              </w:rPr>
            </w:pPr>
            <w:r w:rsidRPr="00A517C5">
              <w:rPr>
                <w:rFonts w:ascii="Constantia" w:hAnsi="Constantia" w:cs="Arial"/>
                <w:bCs/>
                <w:iCs/>
                <w:color w:val="000000"/>
                <w:szCs w:val="22"/>
              </w:rPr>
              <w:t>A</w:t>
            </w:r>
          </w:p>
        </w:tc>
      </w:tr>
      <w:tr w:rsidR="004B071C" w:rsidRPr="000E337A" w:rsidTr="00A517C5">
        <w:trPr>
          <w:trHeight w:val="102"/>
        </w:trPr>
        <w:tc>
          <w:tcPr>
            <w:tcW w:w="2538" w:type="dxa"/>
            <w:vMerge/>
            <w:shd w:val="clear" w:color="auto" w:fill="CDDDAC"/>
          </w:tcPr>
          <w:p w:rsidR="004B071C" w:rsidRPr="00A517C5" w:rsidRDefault="004B071C" w:rsidP="00A517C5">
            <w:pPr>
              <w:keepNext/>
              <w:keepLines/>
              <w:spacing w:before="60" w:after="0"/>
              <w:outlineLvl w:val="3"/>
              <w:rPr>
                <w:rFonts w:ascii="Constantia" w:hAnsi="Constantia" w:cs="Arial"/>
                <w:bCs/>
                <w:iCs/>
                <w:color w:val="000000"/>
                <w:szCs w:val="22"/>
              </w:rPr>
            </w:pPr>
          </w:p>
        </w:tc>
        <w:tc>
          <w:tcPr>
            <w:tcW w:w="4230" w:type="dxa"/>
            <w:shd w:val="clear" w:color="auto" w:fill="CDDDAC"/>
          </w:tcPr>
          <w:p w:rsidR="004B071C" w:rsidRPr="00194ECA" w:rsidRDefault="004B071C" w:rsidP="00A517C5">
            <w:pPr>
              <w:spacing w:after="0"/>
              <w:rPr>
                <w:rFonts w:ascii="Constantia" w:hAnsi="Constantia" w:cs="Arial"/>
                <w:i/>
                <w:szCs w:val="22"/>
              </w:rPr>
            </w:pPr>
            <w:r w:rsidRPr="00194ECA">
              <w:rPr>
                <w:rFonts w:ascii="Constantia" w:hAnsi="Constantia" w:cs="Arial"/>
                <w:i/>
                <w:szCs w:val="22"/>
              </w:rPr>
              <w:t>Phalacrocorax pygmeus</w:t>
            </w:r>
          </w:p>
        </w:tc>
        <w:tc>
          <w:tcPr>
            <w:tcW w:w="2430" w:type="dxa"/>
            <w:shd w:val="clear" w:color="auto" w:fill="CDDDAC"/>
          </w:tcPr>
          <w:p w:rsidR="004B071C" w:rsidRPr="00A517C5" w:rsidRDefault="004B071C" w:rsidP="00A517C5">
            <w:pPr>
              <w:keepNext/>
              <w:keepLines/>
              <w:spacing w:before="60" w:after="0"/>
              <w:jc w:val="center"/>
              <w:outlineLvl w:val="3"/>
              <w:rPr>
                <w:rFonts w:ascii="Constantia" w:hAnsi="Constantia" w:cs="Arial"/>
                <w:bCs/>
                <w:iCs/>
                <w:color w:val="000000"/>
                <w:szCs w:val="22"/>
              </w:rPr>
            </w:pPr>
            <w:r w:rsidRPr="00A517C5">
              <w:rPr>
                <w:rFonts w:ascii="Constantia" w:hAnsi="Constantia" w:cs="Arial"/>
                <w:bCs/>
                <w:iCs/>
                <w:color w:val="000000"/>
                <w:szCs w:val="22"/>
              </w:rPr>
              <w:t>C</w:t>
            </w:r>
          </w:p>
        </w:tc>
      </w:tr>
      <w:tr w:rsidR="004B071C" w:rsidRPr="000E337A" w:rsidTr="00A517C5">
        <w:trPr>
          <w:trHeight w:val="102"/>
        </w:trPr>
        <w:tc>
          <w:tcPr>
            <w:tcW w:w="2538" w:type="dxa"/>
            <w:vMerge/>
            <w:shd w:val="clear" w:color="auto" w:fill="E6EED5"/>
          </w:tcPr>
          <w:p w:rsidR="004B071C" w:rsidRPr="00A517C5" w:rsidRDefault="004B071C" w:rsidP="00A517C5">
            <w:pPr>
              <w:keepNext/>
              <w:keepLines/>
              <w:spacing w:before="60" w:after="0"/>
              <w:outlineLvl w:val="3"/>
              <w:rPr>
                <w:rFonts w:ascii="Constantia" w:hAnsi="Constantia" w:cs="Arial"/>
                <w:bCs/>
                <w:iCs/>
                <w:color w:val="000000"/>
                <w:szCs w:val="22"/>
              </w:rPr>
            </w:pPr>
          </w:p>
        </w:tc>
        <w:tc>
          <w:tcPr>
            <w:tcW w:w="4230" w:type="dxa"/>
            <w:shd w:val="clear" w:color="auto" w:fill="E6EED5"/>
          </w:tcPr>
          <w:p w:rsidR="004B071C" w:rsidRPr="00194ECA" w:rsidRDefault="004B071C" w:rsidP="00A517C5">
            <w:pPr>
              <w:spacing w:after="0"/>
              <w:rPr>
                <w:rFonts w:ascii="Constantia" w:hAnsi="Constantia" w:cs="Arial"/>
                <w:i/>
                <w:szCs w:val="22"/>
              </w:rPr>
            </w:pPr>
            <w:r w:rsidRPr="00194ECA">
              <w:rPr>
                <w:rFonts w:ascii="Constantia" w:hAnsi="Constantia" w:cs="Arial"/>
                <w:i/>
                <w:szCs w:val="22"/>
              </w:rPr>
              <w:t>Plegadis falcinellus</w:t>
            </w:r>
          </w:p>
        </w:tc>
        <w:tc>
          <w:tcPr>
            <w:tcW w:w="2430" w:type="dxa"/>
            <w:shd w:val="clear" w:color="auto" w:fill="E6EED5"/>
          </w:tcPr>
          <w:p w:rsidR="004B071C" w:rsidRPr="00A517C5" w:rsidRDefault="004B071C" w:rsidP="00A517C5">
            <w:pPr>
              <w:keepNext/>
              <w:keepLines/>
              <w:spacing w:before="60" w:after="0"/>
              <w:jc w:val="center"/>
              <w:outlineLvl w:val="3"/>
              <w:rPr>
                <w:rFonts w:ascii="Constantia" w:hAnsi="Constantia" w:cs="Arial"/>
                <w:bCs/>
                <w:iCs/>
                <w:color w:val="000000"/>
                <w:szCs w:val="22"/>
              </w:rPr>
            </w:pPr>
            <w:r w:rsidRPr="00A517C5">
              <w:rPr>
                <w:rFonts w:ascii="Constantia" w:hAnsi="Constantia" w:cs="Arial"/>
                <w:bCs/>
                <w:iCs/>
                <w:color w:val="000000"/>
                <w:szCs w:val="22"/>
              </w:rPr>
              <w:t>A</w:t>
            </w:r>
          </w:p>
        </w:tc>
      </w:tr>
      <w:tr w:rsidR="004B071C" w:rsidRPr="000E337A" w:rsidTr="00A517C5">
        <w:trPr>
          <w:trHeight w:val="102"/>
        </w:trPr>
        <w:tc>
          <w:tcPr>
            <w:tcW w:w="2538" w:type="dxa"/>
            <w:vMerge/>
            <w:shd w:val="clear" w:color="auto" w:fill="CDDDAC"/>
          </w:tcPr>
          <w:p w:rsidR="004B071C" w:rsidRPr="00A517C5" w:rsidRDefault="004B071C" w:rsidP="00A517C5">
            <w:pPr>
              <w:keepNext/>
              <w:keepLines/>
              <w:spacing w:before="60" w:after="0"/>
              <w:outlineLvl w:val="3"/>
              <w:rPr>
                <w:rFonts w:ascii="Constantia" w:hAnsi="Constantia" w:cs="Arial"/>
                <w:bCs/>
                <w:iCs/>
                <w:color w:val="000000"/>
                <w:szCs w:val="22"/>
              </w:rPr>
            </w:pPr>
          </w:p>
        </w:tc>
        <w:tc>
          <w:tcPr>
            <w:tcW w:w="4230" w:type="dxa"/>
            <w:shd w:val="clear" w:color="auto" w:fill="CDDDAC"/>
          </w:tcPr>
          <w:p w:rsidR="004B071C" w:rsidRPr="00194ECA" w:rsidRDefault="004B071C" w:rsidP="00A517C5">
            <w:pPr>
              <w:spacing w:after="0"/>
              <w:rPr>
                <w:rFonts w:ascii="Constantia" w:hAnsi="Constantia" w:cs="Arial"/>
                <w:i/>
                <w:szCs w:val="22"/>
              </w:rPr>
            </w:pPr>
            <w:r w:rsidRPr="00194ECA">
              <w:rPr>
                <w:rFonts w:ascii="Constantia" w:hAnsi="Constantia" w:cs="Arial"/>
                <w:i/>
                <w:szCs w:val="22"/>
              </w:rPr>
              <w:t>Aythya nyroca</w:t>
            </w:r>
          </w:p>
        </w:tc>
        <w:tc>
          <w:tcPr>
            <w:tcW w:w="2430" w:type="dxa"/>
            <w:shd w:val="clear" w:color="auto" w:fill="CDDDAC"/>
          </w:tcPr>
          <w:p w:rsidR="004B071C" w:rsidRPr="00A517C5" w:rsidRDefault="004B071C" w:rsidP="00A517C5">
            <w:pPr>
              <w:keepNext/>
              <w:keepLines/>
              <w:spacing w:before="60" w:after="0"/>
              <w:jc w:val="center"/>
              <w:outlineLvl w:val="3"/>
              <w:rPr>
                <w:rFonts w:ascii="Constantia" w:hAnsi="Constantia" w:cs="Arial"/>
                <w:bCs/>
                <w:iCs/>
                <w:color w:val="000000"/>
                <w:szCs w:val="22"/>
              </w:rPr>
            </w:pPr>
            <w:r w:rsidRPr="00A517C5">
              <w:rPr>
                <w:rFonts w:ascii="Constantia" w:hAnsi="Constantia" w:cs="Arial"/>
                <w:bCs/>
                <w:iCs/>
                <w:color w:val="000000"/>
                <w:szCs w:val="22"/>
              </w:rPr>
              <w:t>C</w:t>
            </w:r>
          </w:p>
        </w:tc>
      </w:tr>
      <w:tr w:rsidR="004B071C" w:rsidRPr="000E337A" w:rsidTr="00A517C5">
        <w:trPr>
          <w:trHeight w:val="102"/>
        </w:trPr>
        <w:tc>
          <w:tcPr>
            <w:tcW w:w="2538" w:type="dxa"/>
            <w:vMerge/>
            <w:shd w:val="clear" w:color="auto" w:fill="E6EED5"/>
          </w:tcPr>
          <w:p w:rsidR="004B071C" w:rsidRPr="00A517C5" w:rsidRDefault="004B071C" w:rsidP="00A517C5">
            <w:pPr>
              <w:keepNext/>
              <w:keepLines/>
              <w:spacing w:before="60" w:after="0"/>
              <w:outlineLvl w:val="3"/>
              <w:rPr>
                <w:rFonts w:ascii="Constantia" w:hAnsi="Constantia" w:cs="Arial"/>
                <w:bCs/>
                <w:iCs/>
                <w:color w:val="000000"/>
                <w:szCs w:val="22"/>
              </w:rPr>
            </w:pPr>
          </w:p>
        </w:tc>
        <w:tc>
          <w:tcPr>
            <w:tcW w:w="4230" w:type="dxa"/>
            <w:shd w:val="clear" w:color="auto" w:fill="E6EED5"/>
          </w:tcPr>
          <w:p w:rsidR="004B071C" w:rsidRPr="00194ECA" w:rsidRDefault="004B071C" w:rsidP="00A517C5">
            <w:pPr>
              <w:spacing w:after="0"/>
              <w:rPr>
                <w:rFonts w:ascii="Constantia" w:hAnsi="Constantia" w:cs="Arial"/>
                <w:i/>
                <w:szCs w:val="22"/>
              </w:rPr>
            </w:pPr>
            <w:r w:rsidRPr="00194ECA">
              <w:rPr>
                <w:rFonts w:ascii="Constantia" w:hAnsi="Constantia" w:cs="Arial"/>
                <w:i/>
                <w:szCs w:val="22"/>
              </w:rPr>
              <w:t>Bubulcus ibis</w:t>
            </w:r>
          </w:p>
        </w:tc>
        <w:tc>
          <w:tcPr>
            <w:tcW w:w="2430" w:type="dxa"/>
            <w:shd w:val="clear" w:color="auto" w:fill="E6EED5"/>
          </w:tcPr>
          <w:p w:rsidR="004B071C" w:rsidRPr="00A517C5" w:rsidRDefault="004B071C" w:rsidP="00A517C5">
            <w:pPr>
              <w:keepNext/>
              <w:keepLines/>
              <w:spacing w:before="60" w:after="0"/>
              <w:jc w:val="center"/>
              <w:outlineLvl w:val="3"/>
              <w:rPr>
                <w:rFonts w:ascii="Constantia" w:hAnsi="Constantia" w:cs="Arial"/>
                <w:bCs/>
                <w:iCs/>
                <w:color w:val="000000"/>
                <w:szCs w:val="22"/>
              </w:rPr>
            </w:pPr>
            <w:r w:rsidRPr="00A517C5">
              <w:rPr>
                <w:rFonts w:ascii="Constantia" w:hAnsi="Constantia" w:cs="Arial"/>
                <w:bCs/>
                <w:iCs/>
                <w:color w:val="000000"/>
                <w:szCs w:val="22"/>
              </w:rPr>
              <w:t>C</w:t>
            </w:r>
          </w:p>
        </w:tc>
      </w:tr>
      <w:tr w:rsidR="004B071C" w:rsidRPr="000E337A" w:rsidTr="00A517C5">
        <w:trPr>
          <w:trHeight w:val="168"/>
        </w:trPr>
        <w:tc>
          <w:tcPr>
            <w:tcW w:w="2538" w:type="dxa"/>
            <w:vMerge w:val="restart"/>
            <w:shd w:val="clear" w:color="auto" w:fill="CDDDAC"/>
          </w:tcPr>
          <w:p w:rsidR="004B071C" w:rsidRPr="00A517C5" w:rsidRDefault="004B071C" w:rsidP="00A517C5">
            <w:pPr>
              <w:keepNext/>
              <w:keepLines/>
              <w:spacing w:before="60" w:after="0"/>
              <w:outlineLvl w:val="3"/>
              <w:rPr>
                <w:rFonts w:ascii="Constantia" w:hAnsi="Constantia" w:cs="Arial"/>
                <w:bCs/>
                <w:iCs/>
                <w:color w:val="000000"/>
                <w:szCs w:val="22"/>
              </w:rPr>
            </w:pPr>
            <w:r w:rsidRPr="00A517C5">
              <w:rPr>
                <w:rFonts w:ascii="Constantia" w:hAnsi="Constantia" w:cs="Arial"/>
                <w:bCs/>
                <w:iCs/>
                <w:color w:val="000000"/>
                <w:szCs w:val="22"/>
              </w:rPr>
              <w:t>Fluktacija nivoa vode</w:t>
            </w:r>
          </w:p>
        </w:tc>
        <w:tc>
          <w:tcPr>
            <w:tcW w:w="4230" w:type="dxa"/>
            <w:shd w:val="clear" w:color="auto" w:fill="CDDDAC"/>
          </w:tcPr>
          <w:p w:rsidR="004B071C" w:rsidRPr="00194ECA" w:rsidRDefault="004B071C" w:rsidP="00A517C5">
            <w:pPr>
              <w:spacing w:after="0"/>
              <w:rPr>
                <w:rFonts w:ascii="Constantia" w:hAnsi="Constantia" w:cs="Arial"/>
                <w:i/>
                <w:szCs w:val="22"/>
              </w:rPr>
            </w:pPr>
            <w:r w:rsidRPr="00194ECA">
              <w:rPr>
                <w:rFonts w:ascii="Constantia" w:hAnsi="Constantia" w:cs="Arial"/>
                <w:i/>
                <w:szCs w:val="22"/>
              </w:rPr>
              <w:t>Pelecanus crispus</w:t>
            </w:r>
          </w:p>
        </w:tc>
        <w:tc>
          <w:tcPr>
            <w:tcW w:w="2430" w:type="dxa"/>
            <w:shd w:val="clear" w:color="auto" w:fill="CDDDAC"/>
          </w:tcPr>
          <w:p w:rsidR="004B071C" w:rsidRPr="00A517C5" w:rsidRDefault="004B071C" w:rsidP="00A517C5">
            <w:pPr>
              <w:keepNext/>
              <w:keepLines/>
              <w:spacing w:before="60" w:after="0"/>
              <w:jc w:val="center"/>
              <w:outlineLvl w:val="3"/>
              <w:rPr>
                <w:rFonts w:ascii="Constantia" w:hAnsi="Constantia" w:cs="Arial"/>
                <w:bCs/>
                <w:iCs/>
                <w:color w:val="000000"/>
                <w:szCs w:val="22"/>
              </w:rPr>
            </w:pPr>
            <w:r w:rsidRPr="00A517C5">
              <w:rPr>
                <w:rFonts w:ascii="Constantia" w:hAnsi="Constantia" w:cs="Arial"/>
                <w:bCs/>
                <w:iCs/>
                <w:color w:val="000000"/>
                <w:szCs w:val="22"/>
              </w:rPr>
              <w:t>A</w:t>
            </w:r>
          </w:p>
        </w:tc>
      </w:tr>
      <w:tr w:rsidR="004B071C" w:rsidRPr="000E337A" w:rsidTr="00A517C5">
        <w:trPr>
          <w:trHeight w:val="168"/>
        </w:trPr>
        <w:tc>
          <w:tcPr>
            <w:tcW w:w="2538" w:type="dxa"/>
            <w:vMerge/>
            <w:shd w:val="clear" w:color="auto" w:fill="E6EED5"/>
          </w:tcPr>
          <w:p w:rsidR="004B071C" w:rsidRPr="00A517C5" w:rsidRDefault="004B071C" w:rsidP="00A517C5">
            <w:pPr>
              <w:keepNext/>
              <w:keepLines/>
              <w:spacing w:before="60" w:after="0"/>
              <w:outlineLvl w:val="3"/>
              <w:rPr>
                <w:rFonts w:ascii="Constantia" w:hAnsi="Constantia" w:cs="Arial"/>
                <w:bCs/>
                <w:iCs/>
                <w:color w:val="000000"/>
                <w:szCs w:val="22"/>
              </w:rPr>
            </w:pPr>
          </w:p>
        </w:tc>
        <w:tc>
          <w:tcPr>
            <w:tcW w:w="4230" w:type="dxa"/>
            <w:shd w:val="clear" w:color="auto" w:fill="E6EED5"/>
          </w:tcPr>
          <w:p w:rsidR="004B071C" w:rsidRPr="00194ECA" w:rsidRDefault="004B071C" w:rsidP="00A517C5">
            <w:pPr>
              <w:spacing w:after="0"/>
              <w:rPr>
                <w:rFonts w:ascii="Constantia" w:hAnsi="Constantia" w:cs="Arial"/>
                <w:i/>
                <w:szCs w:val="22"/>
              </w:rPr>
            </w:pPr>
            <w:r w:rsidRPr="00194ECA">
              <w:rPr>
                <w:rFonts w:ascii="Constantia" w:hAnsi="Constantia" w:cs="Arial"/>
                <w:i/>
                <w:szCs w:val="22"/>
              </w:rPr>
              <w:t>Phalacrocorax pygmeus</w:t>
            </w:r>
          </w:p>
        </w:tc>
        <w:tc>
          <w:tcPr>
            <w:tcW w:w="2430" w:type="dxa"/>
            <w:shd w:val="clear" w:color="auto" w:fill="E6EED5"/>
          </w:tcPr>
          <w:p w:rsidR="004B071C" w:rsidRPr="00A517C5" w:rsidRDefault="004B071C" w:rsidP="00A517C5">
            <w:pPr>
              <w:keepNext/>
              <w:keepLines/>
              <w:spacing w:before="60" w:after="0"/>
              <w:jc w:val="center"/>
              <w:outlineLvl w:val="3"/>
              <w:rPr>
                <w:rFonts w:ascii="Constantia" w:hAnsi="Constantia" w:cs="Arial"/>
                <w:bCs/>
                <w:iCs/>
                <w:color w:val="000000"/>
                <w:szCs w:val="22"/>
              </w:rPr>
            </w:pPr>
            <w:r w:rsidRPr="00A517C5">
              <w:rPr>
                <w:rFonts w:ascii="Constantia" w:hAnsi="Constantia" w:cs="Arial"/>
                <w:bCs/>
                <w:iCs/>
                <w:color w:val="000000"/>
                <w:szCs w:val="22"/>
              </w:rPr>
              <w:t>C</w:t>
            </w:r>
          </w:p>
        </w:tc>
      </w:tr>
      <w:tr w:rsidR="004B071C" w:rsidRPr="000E337A" w:rsidTr="00A517C5">
        <w:trPr>
          <w:trHeight w:val="168"/>
        </w:trPr>
        <w:tc>
          <w:tcPr>
            <w:tcW w:w="2538" w:type="dxa"/>
            <w:vMerge/>
            <w:shd w:val="clear" w:color="auto" w:fill="CDDDAC"/>
          </w:tcPr>
          <w:p w:rsidR="004B071C" w:rsidRPr="00A517C5" w:rsidRDefault="004B071C" w:rsidP="00A517C5">
            <w:pPr>
              <w:keepNext/>
              <w:keepLines/>
              <w:spacing w:before="60" w:after="0"/>
              <w:outlineLvl w:val="3"/>
              <w:rPr>
                <w:rFonts w:ascii="Constantia" w:hAnsi="Constantia" w:cs="Arial"/>
                <w:bCs/>
                <w:iCs/>
                <w:color w:val="000000"/>
                <w:szCs w:val="22"/>
              </w:rPr>
            </w:pPr>
          </w:p>
        </w:tc>
        <w:tc>
          <w:tcPr>
            <w:tcW w:w="4230" w:type="dxa"/>
            <w:shd w:val="clear" w:color="auto" w:fill="CDDDAC"/>
          </w:tcPr>
          <w:p w:rsidR="004B071C" w:rsidRPr="00194ECA" w:rsidRDefault="004B071C" w:rsidP="00A517C5">
            <w:pPr>
              <w:spacing w:after="0"/>
              <w:rPr>
                <w:rFonts w:ascii="Constantia" w:hAnsi="Constantia" w:cs="Arial"/>
                <w:i/>
                <w:szCs w:val="22"/>
              </w:rPr>
            </w:pPr>
            <w:r w:rsidRPr="00194ECA">
              <w:rPr>
                <w:rFonts w:ascii="Constantia" w:hAnsi="Constantia" w:cs="Arial"/>
                <w:i/>
                <w:szCs w:val="22"/>
              </w:rPr>
              <w:t>Plegadis falcinellus</w:t>
            </w:r>
          </w:p>
        </w:tc>
        <w:tc>
          <w:tcPr>
            <w:tcW w:w="2430" w:type="dxa"/>
            <w:shd w:val="clear" w:color="auto" w:fill="CDDDAC"/>
          </w:tcPr>
          <w:p w:rsidR="004B071C" w:rsidRPr="00A517C5" w:rsidRDefault="004B071C" w:rsidP="00A517C5">
            <w:pPr>
              <w:keepNext/>
              <w:keepLines/>
              <w:spacing w:before="60" w:after="0"/>
              <w:jc w:val="center"/>
              <w:outlineLvl w:val="3"/>
              <w:rPr>
                <w:rFonts w:ascii="Constantia" w:hAnsi="Constantia" w:cs="Arial"/>
                <w:bCs/>
                <w:iCs/>
                <w:color w:val="000000"/>
                <w:szCs w:val="22"/>
              </w:rPr>
            </w:pPr>
            <w:r w:rsidRPr="00A517C5">
              <w:rPr>
                <w:rFonts w:ascii="Constantia" w:hAnsi="Constantia" w:cs="Arial"/>
                <w:bCs/>
                <w:iCs/>
                <w:color w:val="000000"/>
                <w:szCs w:val="22"/>
              </w:rPr>
              <w:t>C</w:t>
            </w:r>
          </w:p>
        </w:tc>
      </w:tr>
      <w:tr w:rsidR="004B071C" w:rsidRPr="000E337A" w:rsidTr="00A517C5">
        <w:trPr>
          <w:trHeight w:val="168"/>
        </w:trPr>
        <w:tc>
          <w:tcPr>
            <w:tcW w:w="2538" w:type="dxa"/>
            <w:vMerge/>
            <w:shd w:val="clear" w:color="auto" w:fill="E6EED5"/>
          </w:tcPr>
          <w:p w:rsidR="004B071C" w:rsidRPr="00A517C5" w:rsidRDefault="004B071C" w:rsidP="00A517C5">
            <w:pPr>
              <w:keepNext/>
              <w:keepLines/>
              <w:spacing w:before="60" w:after="0"/>
              <w:outlineLvl w:val="3"/>
              <w:rPr>
                <w:rFonts w:ascii="Constantia" w:hAnsi="Constantia" w:cs="Arial"/>
                <w:bCs/>
                <w:iCs/>
                <w:color w:val="000000"/>
                <w:szCs w:val="22"/>
              </w:rPr>
            </w:pPr>
          </w:p>
        </w:tc>
        <w:tc>
          <w:tcPr>
            <w:tcW w:w="4230" w:type="dxa"/>
            <w:shd w:val="clear" w:color="auto" w:fill="E6EED5"/>
          </w:tcPr>
          <w:p w:rsidR="004B071C" w:rsidRPr="00194ECA" w:rsidRDefault="004B071C" w:rsidP="00A517C5">
            <w:pPr>
              <w:spacing w:after="0"/>
              <w:rPr>
                <w:rFonts w:ascii="Constantia" w:hAnsi="Constantia" w:cs="Arial"/>
                <w:i/>
                <w:szCs w:val="22"/>
              </w:rPr>
            </w:pPr>
            <w:r w:rsidRPr="00194ECA">
              <w:rPr>
                <w:rFonts w:ascii="Constantia" w:hAnsi="Constantia" w:cs="Arial"/>
                <w:i/>
                <w:szCs w:val="22"/>
              </w:rPr>
              <w:t>Aythya nyroca</w:t>
            </w:r>
          </w:p>
        </w:tc>
        <w:tc>
          <w:tcPr>
            <w:tcW w:w="2430" w:type="dxa"/>
            <w:shd w:val="clear" w:color="auto" w:fill="E6EED5"/>
          </w:tcPr>
          <w:p w:rsidR="004B071C" w:rsidRPr="00A517C5" w:rsidRDefault="004B071C" w:rsidP="00A517C5">
            <w:pPr>
              <w:keepNext/>
              <w:keepLines/>
              <w:spacing w:before="60" w:after="0"/>
              <w:jc w:val="center"/>
              <w:outlineLvl w:val="3"/>
              <w:rPr>
                <w:rFonts w:ascii="Constantia" w:hAnsi="Constantia" w:cs="Arial"/>
                <w:bCs/>
                <w:iCs/>
                <w:color w:val="000000"/>
                <w:szCs w:val="22"/>
              </w:rPr>
            </w:pPr>
            <w:r w:rsidRPr="00A517C5">
              <w:rPr>
                <w:rFonts w:ascii="Constantia" w:hAnsi="Constantia" w:cs="Arial"/>
                <w:bCs/>
                <w:iCs/>
                <w:color w:val="000000"/>
                <w:szCs w:val="22"/>
              </w:rPr>
              <w:t>C</w:t>
            </w:r>
          </w:p>
        </w:tc>
      </w:tr>
      <w:tr w:rsidR="004B071C" w:rsidRPr="000E337A" w:rsidTr="00A517C5">
        <w:trPr>
          <w:trHeight w:val="168"/>
        </w:trPr>
        <w:tc>
          <w:tcPr>
            <w:tcW w:w="2538" w:type="dxa"/>
            <w:vMerge/>
            <w:shd w:val="clear" w:color="auto" w:fill="CDDDAC"/>
          </w:tcPr>
          <w:p w:rsidR="004B071C" w:rsidRPr="00A517C5" w:rsidRDefault="004B071C" w:rsidP="00A517C5">
            <w:pPr>
              <w:keepNext/>
              <w:keepLines/>
              <w:spacing w:before="60" w:after="0"/>
              <w:outlineLvl w:val="3"/>
              <w:rPr>
                <w:rFonts w:ascii="Constantia" w:hAnsi="Constantia" w:cs="Arial"/>
                <w:bCs/>
                <w:iCs/>
                <w:color w:val="000000"/>
                <w:szCs w:val="22"/>
              </w:rPr>
            </w:pPr>
          </w:p>
        </w:tc>
        <w:tc>
          <w:tcPr>
            <w:tcW w:w="4230" w:type="dxa"/>
            <w:shd w:val="clear" w:color="auto" w:fill="CDDDAC"/>
          </w:tcPr>
          <w:p w:rsidR="004B071C" w:rsidRPr="00194ECA" w:rsidRDefault="004B071C" w:rsidP="00A517C5">
            <w:pPr>
              <w:spacing w:after="0"/>
              <w:rPr>
                <w:rFonts w:ascii="Constantia" w:hAnsi="Constantia" w:cs="Arial"/>
                <w:i/>
                <w:szCs w:val="22"/>
              </w:rPr>
            </w:pPr>
            <w:r w:rsidRPr="00194ECA">
              <w:rPr>
                <w:rFonts w:ascii="Constantia" w:hAnsi="Constantia" w:cs="Arial"/>
                <w:i/>
                <w:szCs w:val="22"/>
              </w:rPr>
              <w:t>Bubulcus ibis</w:t>
            </w:r>
          </w:p>
        </w:tc>
        <w:tc>
          <w:tcPr>
            <w:tcW w:w="2430" w:type="dxa"/>
            <w:shd w:val="clear" w:color="auto" w:fill="CDDDAC"/>
          </w:tcPr>
          <w:p w:rsidR="004B071C" w:rsidRPr="00A517C5" w:rsidRDefault="004B071C" w:rsidP="00A517C5">
            <w:pPr>
              <w:keepNext/>
              <w:keepLines/>
              <w:spacing w:before="60" w:after="0"/>
              <w:jc w:val="center"/>
              <w:outlineLvl w:val="3"/>
              <w:rPr>
                <w:rFonts w:ascii="Constantia" w:hAnsi="Constantia" w:cs="Arial"/>
                <w:bCs/>
                <w:iCs/>
                <w:color w:val="000000"/>
                <w:szCs w:val="22"/>
              </w:rPr>
            </w:pPr>
            <w:r w:rsidRPr="00A517C5">
              <w:rPr>
                <w:rFonts w:ascii="Constantia" w:hAnsi="Constantia" w:cs="Arial"/>
                <w:bCs/>
                <w:iCs/>
                <w:color w:val="000000"/>
                <w:szCs w:val="22"/>
              </w:rPr>
              <w:t>C</w:t>
            </w:r>
          </w:p>
        </w:tc>
      </w:tr>
    </w:tbl>
    <w:p w:rsidR="004B071C" w:rsidRPr="00A517C5" w:rsidRDefault="00A517C5" w:rsidP="004B071C">
      <w:pPr>
        <w:pStyle w:val="Tabele"/>
        <w:spacing w:before="60" w:after="240"/>
        <w:ind w:left="714" w:hanging="357"/>
        <w:rPr>
          <w:rFonts w:ascii="Constantia" w:hAnsi="Constantia"/>
          <w:sz w:val="22"/>
          <w:szCs w:val="22"/>
        </w:rPr>
      </w:pPr>
      <w:r>
        <w:t xml:space="preserve">  </w:t>
      </w:r>
      <w:r w:rsidR="004B071C" w:rsidRPr="00A517C5">
        <w:rPr>
          <w:rFonts w:ascii="Constantia" w:hAnsi="Constantia"/>
          <w:sz w:val="22"/>
          <w:szCs w:val="22"/>
        </w:rPr>
        <w:t>Procjena uticaja aktivnosti na populacije ptica</w:t>
      </w:r>
    </w:p>
    <w:p w:rsidR="00C20535" w:rsidRDefault="00C20535" w:rsidP="00C20535">
      <w:pPr>
        <w:spacing w:after="0"/>
        <w:rPr>
          <w:rFonts w:ascii="Constantia" w:hAnsi="Constantia"/>
          <w:b/>
        </w:rPr>
      </w:pPr>
    </w:p>
    <w:p w:rsidR="004B071C" w:rsidRPr="00C20535" w:rsidRDefault="004B071C" w:rsidP="00120673">
      <w:pPr>
        <w:rPr>
          <w:rFonts w:ascii="Constantia" w:hAnsi="Constantia"/>
          <w:b/>
        </w:rPr>
      </w:pPr>
      <w:r w:rsidRPr="00C20535">
        <w:rPr>
          <w:rFonts w:ascii="Constantia" w:hAnsi="Constantia"/>
          <w:b/>
        </w:rPr>
        <w:t xml:space="preserve">Sisari </w:t>
      </w:r>
    </w:p>
    <w:p w:rsidR="004B071C" w:rsidRPr="00C20535" w:rsidRDefault="004B071C" w:rsidP="004B071C">
      <w:pPr>
        <w:shd w:val="clear" w:color="auto" w:fill="FFFFFF"/>
        <w:textAlignment w:val="top"/>
        <w:rPr>
          <w:rFonts w:ascii="Constantia" w:hAnsi="Constantia" w:cs="Arial"/>
          <w:color w:val="000000"/>
          <w:szCs w:val="22"/>
        </w:rPr>
      </w:pPr>
      <w:r w:rsidRPr="00C20535">
        <w:rPr>
          <w:rFonts w:ascii="Constantia" w:hAnsi="Constantia" w:cs="Arial"/>
          <w:color w:val="000000"/>
          <w:szCs w:val="22"/>
        </w:rPr>
        <w:t xml:space="preserve">Iako zaštićena na međunarodnom i nacionalnom nivou, monitoring vidre na području NP Skadarsko jezero započeo je tek 2011. godinu kroz  petogodišnju Plansku aktivnost Kartiranje potencijalnih staništa ove vrste. Kako ne postoje raniji literaturni podaci koji bi poslužili kao osnov za sprovođenje ove aktivnosti, to su sprovedena terenska istraživanja na lokalitetima na koje je ukazivalo lokalno stanovništvo i nadzornici Parka. Uzimojući u obzir veliku površinu koju Park obuhvata i lošu materijalno-tehničku opremljenost stručnih saradnika koji je sprovode, do sada su istraženi lokaliteti: Uvala Jovovica, Uvala Šišarina, Debeli rt, ostrvo Vranjina, rijeka Orahovštica, zaliv Kunježa, Prevlaka, Sutormanska rijeka, Crmničko polje, Gostiljska rijeka i ulaz u kanal Virpazar. Na osnovu prikupljenih podataka može se </w:t>
      </w:r>
      <w:r w:rsidR="00C20535">
        <w:rPr>
          <w:rFonts w:ascii="Constantia" w:hAnsi="Constantia" w:cs="Arial"/>
          <w:color w:val="000000"/>
          <w:szCs w:val="22"/>
        </w:rPr>
        <w:t>konstatovati da iako j</w:t>
      </w:r>
      <w:r w:rsidRPr="00C20535">
        <w:rPr>
          <w:rFonts w:ascii="Constantia" w:hAnsi="Constantia" w:cs="Arial"/>
          <w:color w:val="000000"/>
          <w:szCs w:val="22"/>
        </w:rPr>
        <w:t>ezero svojim prirodnim karakteristikama, klimom i obiljem hrane pruža idealne uslove za život vidre, to je i osjetan antropogeni uticaj na njena staništa. Antropogeni uticaji se ogledaju kroz degradaciju i fragmentaciju staništa, zagađivanje, ribolov, razvoj turizma. U narednom periodu planiran je obilazak lokacija koja do sada nisu bile obuhvaćene istraživanjem, što će dati potpuniju sliku o rasprostranjenosti vidre u Parku, faktorima koji je ugrožavaju i pružiti osnovu za sprovođenje mjera na njenoj zaštiti.</w:t>
      </w:r>
    </w:p>
    <w:p w:rsidR="004B071C" w:rsidRPr="00C20535" w:rsidRDefault="004B071C" w:rsidP="004B071C">
      <w:pPr>
        <w:shd w:val="clear" w:color="auto" w:fill="FFFFFF"/>
        <w:textAlignment w:val="top"/>
        <w:rPr>
          <w:rFonts w:ascii="Constantia" w:hAnsi="Constantia" w:cs="Arial"/>
          <w:color w:val="000000"/>
          <w:szCs w:val="22"/>
        </w:rPr>
      </w:pPr>
      <w:r w:rsidRPr="00C20535">
        <w:rPr>
          <w:rFonts w:ascii="Constantia" w:hAnsi="Constantia" w:cs="Arial"/>
          <w:color w:val="000000"/>
          <w:szCs w:val="22"/>
        </w:rPr>
        <w:t>Što se tiče brojnosti populacije, a samim tim i utvrđivanje njene stabilnosti neophodna je nabavka opreme za noćno osmatranje (budući da su vidre aktivne pretežno noću i pred svitanje), te nabavka opreme za postavljanje  foto</w:t>
      </w:r>
      <w:r w:rsidR="00C20535">
        <w:rPr>
          <w:rFonts w:ascii="Constantia" w:hAnsi="Constantia" w:cs="Arial"/>
          <w:color w:val="000000"/>
          <w:szCs w:val="22"/>
        </w:rPr>
        <w:t>-</w:t>
      </w:r>
      <w:r w:rsidRPr="00C20535">
        <w:rPr>
          <w:rFonts w:ascii="Constantia" w:hAnsi="Constantia" w:cs="Arial"/>
          <w:color w:val="000000"/>
          <w:szCs w:val="22"/>
        </w:rPr>
        <w:t>zamke.  Podaci o</w:t>
      </w:r>
      <w:r w:rsidR="00C20535">
        <w:rPr>
          <w:rFonts w:ascii="Constantia" w:hAnsi="Constantia" w:cs="Arial"/>
          <w:color w:val="000000"/>
          <w:szCs w:val="22"/>
        </w:rPr>
        <w:t xml:space="preserve"> </w:t>
      </w:r>
      <w:r w:rsidRPr="00C20535">
        <w:rPr>
          <w:rFonts w:ascii="Constantia" w:hAnsi="Constantia" w:cs="Arial"/>
          <w:color w:val="000000"/>
          <w:szCs w:val="22"/>
        </w:rPr>
        <w:t>brojnosti populacije u Parku mogu se dati tek n</w:t>
      </w:r>
      <w:r w:rsidR="00C20535">
        <w:rPr>
          <w:rFonts w:ascii="Constantia" w:hAnsi="Constantia" w:cs="Arial"/>
          <w:color w:val="000000"/>
          <w:szCs w:val="22"/>
        </w:rPr>
        <w:t>akon zacrtanog planskog perioda</w:t>
      </w:r>
      <w:r w:rsidRPr="00C20535">
        <w:rPr>
          <w:rFonts w:ascii="Constantia" w:hAnsi="Constantia" w:cs="Arial"/>
          <w:color w:val="000000"/>
          <w:szCs w:val="22"/>
        </w:rPr>
        <w:t>, krajem 2015.</w:t>
      </w:r>
      <w:r w:rsidR="00C20535">
        <w:rPr>
          <w:rFonts w:ascii="Constantia" w:hAnsi="Constantia" w:cs="Arial"/>
          <w:color w:val="000000"/>
          <w:szCs w:val="22"/>
        </w:rPr>
        <w:t xml:space="preserve"> </w:t>
      </w:r>
      <w:r w:rsidRPr="00C20535">
        <w:rPr>
          <w:rFonts w:ascii="Constantia" w:hAnsi="Constantia" w:cs="Arial"/>
          <w:color w:val="000000"/>
          <w:szCs w:val="22"/>
        </w:rPr>
        <w:t>godine.</w:t>
      </w:r>
    </w:p>
    <w:p w:rsidR="004B071C" w:rsidRPr="00C20535" w:rsidRDefault="004B071C" w:rsidP="004B071C">
      <w:pPr>
        <w:shd w:val="clear" w:color="auto" w:fill="FFFFFF"/>
        <w:textAlignment w:val="top"/>
        <w:rPr>
          <w:rFonts w:ascii="Constantia" w:hAnsi="Constantia" w:cs="Arial"/>
          <w:color w:val="000000"/>
          <w:szCs w:val="22"/>
        </w:rPr>
      </w:pPr>
      <w:r w:rsidRPr="00C20535">
        <w:rPr>
          <w:rFonts w:ascii="Constantia" w:hAnsi="Constantia" w:cs="Arial"/>
          <w:color w:val="000000"/>
          <w:szCs w:val="22"/>
        </w:rPr>
        <w:t xml:space="preserve">U poslednje tri godine, od kako se sprovodi aktivnost, evidentirano je njeno prisustvo na nekoliko lokaliteta i to: Uvala Jovovica, Uvala Šišarina, Debeli rt, ostrvo Vranjina, rijeka Orahovštica, zaliv Kunježa, Prevlaka, Sutormanska rijeka, Crmničko polje, Gostiljska rijeka i ulaz u kanal Virpazar.  Prema prikupljenim podacima sa pomenutih lokaliteta u protekle tri </w:t>
      </w:r>
      <w:r w:rsidRPr="00C20535">
        <w:rPr>
          <w:rFonts w:ascii="Constantia" w:hAnsi="Constantia" w:cs="Arial"/>
          <w:color w:val="000000"/>
          <w:szCs w:val="22"/>
        </w:rPr>
        <w:lastRenderedPageBreak/>
        <w:t xml:space="preserve">godine može se konstatovati da je prisustvo vidre konstantno, ali i da su ugrožene jakim antropogenim djelovanjem. </w:t>
      </w:r>
    </w:p>
    <w:p w:rsidR="004B071C" w:rsidRPr="00C20535" w:rsidRDefault="004B071C" w:rsidP="004B071C">
      <w:pPr>
        <w:shd w:val="clear" w:color="auto" w:fill="FFFFFF"/>
        <w:textAlignment w:val="top"/>
        <w:rPr>
          <w:rFonts w:ascii="Constantia" w:hAnsi="Constantia" w:cs="Arial"/>
          <w:color w:val="000000"/>
          <w:szCs w:val="22"/>
        </w:rPr>
      </w:pPr>
      <w:r w:rsidRPr="00C20535">
        <w:rPr>
          <w:rFonts w:ascii="Constantia" w:hAnsi="Constantia" w:cs="Arial"/>
          <w:color w:val="000000"/>
          <w:szCs w:val="22"/>
        </w:rPr>
        <w:t>Prema podacima dobijenih od lokalnog stanovništva vidra je prisutna i na lokalitetima Dodoši i Karuč, dok su je nadzornici Parka uočavali i duž sjeverne obale Jezera, najčešće uz ušćanja riječica.</w:t>
      </w:r>
    </w:p>
    <w:p w:rsidR="004B071C" w:rsidRPr="00C20535" w:rsidRDefault="004B071C" w:rsidP="004B071C">
      <w:pPr>
        <w:shd w:val="clear" w:color="auto" w:fill="FFFFFF"/>
        <w:textAlignment w:val="top"/>
        <w:rPr>
          <w:rFonts w:ascii="Constantia" w:hAnsi="Constantia" w:cs="Arial"/>
          <w:color w:val="000000"/>
          <w:szCs w:val="22"/>
        </w:rPr>
      </w:pPr>
      <w:r w:rsidRPr="00C20535">
        <w:rPr>
          <w:rFonts w:ascii="Constantia" w:hAnsi="Constantia" w:cs="Arial"/>
          <w:color w:val="000000"/>
          <w:szCs w:val="22"/>
        </w:rPr>
        <w:t>Ovim istraživanjem je registrovano 11 vrsta slijepih miševa sa pretpostavkom da taj broj nije kona</w:t>
      </w:r>
      <w:r w:rsidR="002B1E38">
        <w:rPr>
          <w:rFonts w:ascii="Constantia" w:hAnsi="Constantia" w:cs="Arial"/>
          <w:color w:val="000000"/>
          <w:szCs w:val="22"/>
        </w:rPr>
        <w:t>čan. Skadarsko jezero kao staniš</w:t>
      </w:r>
      <w:r w:rsidRPr="00C20535">
        <w:rPr>
          <w:rFonts w:ascii="Constantia" w:hAnsi="Constantia" w:cs="Arial"/>
          <w:color w:val="000000"/>
          <w:szCs w:val="22"/>
        </w:rPr>
        <w:t>te slijepih miseva mo</w:t>
      </w:r>
      <w:r w:rsidR="002B1E38">
        <w:rPr>
          <w:rFonts w:ascii="Constantia" w:hAnsi="Constantia" w:cs="Arial"/>
          <w:color w:val="000000"/>
          <w:szCs w:val="22"/>
        </w:rPr>
        <w:t>že se smatrati još</w:t>
      </w:r>
      <w:r w:rsidRPr="00C20535">
        <w:rPr>
          <w:rFonts w:ascii="Constantia" w:hAnsi="Constantia" w:cs="Arial"/>
          <w:color w:val="000000"/>
          <w:szCs w:val="22"/>
        </w:rPr>
        <w:t xml:space="preserve"> uvijek dobro o</w:t>
      </w:r>
      <w:r w:rsidR="002B1E38">
        <w:rPr>
          <w:rFonts w:ascii="Constantia" w:hAnsi="Constantia" w:cs="Arial"/>
          <w:color w:val="000000"/>
          <w:szCs w:val="22"/>
        </w:rPr>
        <w:t>č</w:t>
      </w:r>
      <w:r w:rsidRPr="00C20535">
        <w:rPr>
          <w:rFonts w:ascii="Constantia" w:hAnsi="Constantia" w:cs="Arial"/>
          <w:color w:val="000000"/>
          <w:szCs w:val="22"/>
        </w:rPr>
        <w:t>uvanim ekosistemom. Na osnovu rezu</w:t>
      </w:r>
      <w:r w:rsidR="002B1E38">
        <w:rPr>
          <w:rFonts w:ascii="Constantia" w:hAnsi="Constantia" w:cs="Arial"/>
          <w:color w:val="000000"/>
          <w:szCs w:val="22"/>
        </w:rPr>
        <w:t>ltata dobijenih terenskim istraživanjem, postoje zapažanja da podzemni objekti služe kao značajna skloništa  kolonija slijepih miš</w:t>
      </w:r>
      <w:r w:rsidRPr="00C20535">
        <w:rPr>
          <w:rFonts w:ascii="Constantia" w:hAnsi="Constantia" w:cs="Arial"/>
          <w:color w:val="000000"/>
          <w:szCs w:val="22"/>
        </w:rPr>
        <w:t>eva i to za vise vrsta. Pretpostavka je da su podzemni habitati  navedeni u  tabeli bitni za o</w:t>
      </w:r>
      <w:r w:rsidR="002B1E38">
        <w:rPr>
          <w:rFonts w:ascii="Constantia" w:hAnsi="Constantia" w:cs="Arial"/>
          <w:color w:val="000000"/>
          <w:szCs w:val="22"/>
        </w:rPr>
        <w:t>č</w:t>
      </w:r>
      <w:r w:rsidRPr="00C20535">
        <w:rPr>
          <w:rFonts w:ascii="Constantia" w:hAnsi="Constantia" w:cs="Arial"/>
          <w:color w:val="000000"/>
          <w:szCs w:val="22"/>
        </w:rPr>
        <w:t>uvanje porodiljskih ili hibernacijskih kolonija, a samo Skadarsko jezero mo</w:t>
      </w:r>
      <w:r w:rsidR="002B1E38">
        <w:rPr>
          <w:rFonts w:ascii="Constantia" w:hAnsi="Constantia" w:cs="Arial"/>
          <w:color w:val="000000"/>
          <w:szCs w:val="22"/>
        </w:rPr>
        <w:t>ž</w:t>
      </w:r>
      <w:r w:rsidRPr="00C20535">
        <w:rPr>
          <w:rFonts w:ascii="Constantia" w:hAnsi="Constantia" w:cs="Arial"/>
          <w:color w:val="000000"/>
          <w:szCs w:val="22"/>
        </w:rPr>
        <w:t>e se smatrati bitnim hranilište</w:t>
      </w:r>
      <w:r w:rsidR="002B1E38">
        <w:rPr>
          <w:rFonts w:ascii="Constantia" w:hAnsi="Constantia" w:cs="Arial"/>
          <w:color w:val="000000"/>
          <w:szCs w:val="22"/>
        </w:rPr>
        <w:t>m. Svakako, da bi se došl</w:t>
      </w:r>
      <w:r w:rsidRPr="00C20535">
        <w:rPr>
          <w:rFonts w:ascii="Constantia" w:hAnsi="Constantia" w:cs="Arial"/>
          <w:color w:val="000000"/>
          <w:szCs w:val="22"/>
        </w:rPr>
        <w:t xml:space="preserve">o do </w:t>
      </w:r>
      <w:r w:rsidR="002B1E38">
        <w:rPr>
          <w:rFonts w:ascii="Constantia" w:hAnsi="Constantia" w:cs="Arial"/>
          <w:color w:val="000000"/>
          <w:szCs w:val="22"/>
        </w:rPr>
        <w:t>preciznijih podataka, ova istraž</w:t>
      </w:r>
      <w:r w:rsidRPr="00C20535">
        <w:rPr>
          <w:rFonts w:ascii="Constantia" w:hAnsi="Constantia" w:cs="Arial"/>
          <w:color w:val="000000"/>
          <w:szCs w:val="22"/>
        </w:rPr>
        <w:t>ivanja treba nastaviti u smislu dugoro</w:t>
      </w:r>
      <w:r w:rsidR="002B1E38">
        <w:rPr>
          <w:rFonts w:ascii="Constantia" w:hAnsi="Constantia" w:cs="Arial"/>
          <w:color w:val="000000"/>
          <w:szCs w:val="22"/>
        </w:rPr>
        <w:t>č</w:t>
      </w:r>
      <w:r w:rsidRPr="00C20535">
        <w:rPr>
          <w:rFonts w:ascii="Constantia" w:hAnsi="Constantia" w:cs="Arial"/>
          <w:color w:val="000000"/>
          <w:szCs w:val="22"/>
        </w:rPr>
        <w:t>nog monitoringa.</w:t>
      </w:r>
    </w:p>
    <w:p w:rsidR="004B071C" w:rsidRPr="00E90D22" w:rsidRDefault="004B071C" w:rsidP="004B071C">
      <w:pPr>
        <w:rPr>
          <w:rFonts w:ascii="Arial" w:hAnsi="Arial" w:cs="Arial"/>
          <w:lang w:val="sr-Latn-CS"/>
        </w:rPr>
      </w:pPr>
    </w:p>
    <w:tbl>
      <w:tblPr>
        <w:tblpPr w:leftFromText="180" w:rightFromText="180" w:vertAnchor="text" w:tblpXSpec="center" w:tblpY="1"/>
        <w:tblW w:w="0" w:type="auto"/>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firstRow="1" w:lastRow="0" w:firstColumn="1" w:lastColumn="0" w:noHBand="0" w:noVBand="1"/>
      </w:tblPr>
      <w:tblGrid>
        <w:gridCol w:w="2538"/>
        <w:gridCol w:w="5220"/>
        <w:gridCol w:w="1440"/>
      </w:tblGrid>
      <w:tr w:rsidR="004B071C" w:rsidRPr="00224D96" w:rsidTr="00D01BFD">
        <w:tc>
          <w:tcPr>
            <w:tcW w:w="2538" w:type="dxa"/>
            <w:shd w:val="clear" w:color="auto" w:fill="E6EED5"/>
          </w:tcPr>
          <w:p w:rsidR="004B071C" w:rsidRPr="00224D96" w:rsidRDefault="004B071C" w:rsidP="00224D96">
            <w:pPr>
              <w:keepNext/>
              <w:keepLines/>
              <w:spacing w:before="60" w:after="0"/>
              <w:jc w:val="center"/>
              <w:outlineLvl w:val="3"/>
              <w:rPr>
                <w:rFonts w:ascii="Constantia" w:hAnsi="Constantia" w:cs="Arial"/>
                <w:b/>
                <w:bCs/>
                <w:iCs/>
                <w:color w:val="000000"/>
                <w:szCs w:val="22"/>
              </w:rPr>
            </w:pPr>
            <w:r w:rsidRPr="00224D96">
              <w:rPr>
                <w:rFonts w:ascii="Constantia" w:hAnsi="Constantia" w:cs="Arial"/>
                <w:b/>
                <w:bCs/>
                <w:iCs/>
                <w:color w:val="000000"/>
                <w:szCs w:val="22"/>
              </w:rPr>
              <w:t>Tip</w:t>
            </w:r>
          </w:p>
        </w:tc>
        <w:tc>
          <w:tcPr>
            <w:tcW w:w="5220" w:type="dxa"/>
            <w:shd w:val="clear" w:color="auto" w:fill="E6EED5"/>
          </w:tcPr>
          <w:p w:rsidR="004B071C" w:rsidRPr="00224D96" w:rsidRDefault="004B071C" w:rsidP="00224D96">
            <w:pPr>
              <w:keepNext/>
              <w:keepLines/>
              <w:spacing w:before="60" w:after="0"/>
              <w:jc w:val="center"/>
              <w:outlineLvl w:val="3"/>
              <w:rPr>
                <w:rFonts w:ascii="Constantia" w:hAnsi="Constantia" w:cs="Arial"/>
                <w:b/>
                <w:bCs/>
                <w:iCs/>
                <w:color w:val="000000"/>
                <w:szCs w:val="22"/>
              </w:rPr>
            </w:pPr>
            <w:r w:rsidRPr="00224D96">
              <w:rPr>
                <w:rFonts w:ascii="Constantia" w:hAnsi="Constantia" w:cs="Arial"/>
                <w:b/>
                <w:bCs/>
                <w:iCs/>
                <w:color w:val="000000"/>
                <w:szCs w:val="22"/>
              </w:rPr>
              <w:t>Vrste/Lokaliteti</w:t>
            </w:r>
          </w:p>
        </w:tc>
        <w:tc>
          <w:tcPr>
            <w:tcW w:w="1440" w:type="dxa"/>
            <w:shd w:val="clear" w:color="auto" w:fill="E6EED5"/>
          </w:tcPr>
          <w:p w:rsidR="004B071C" w:rsidRPr="00224D96" w:rsidRDefault="004B071C" w:rsidP="00224D96">
            <w:pPr>
              <w:keepNext/>
              <w:keepLines/>
              <w:spacing w:before="60" w:after="0"/>
              <w:jc w:val="center"/>
              <w:outlineLvl w:val="3"/>
              <w:rPr>
                <w:rFonts w:ascii="Constantia" w:hAnsi="Constantia" w:cs="Arial"/>
                <w:b/>
                <w:bCs/>
                <w:iCs/>
                <w:color w:val="000000"/>
                <w:szCs w:val="22"/>
              </w:rPr>
            </w:pPr>
            <w:r w:rsidRPr="00224D96">
              <w:rPr>
                <w:rFonts w:ascii="Constantia" w:hAnsi="Constantia" w:cs="Arial"/>
                <w:b/>
                <w:bCs/>
                <w:iCs/>
                <w:color w:val="000000"/>
                <w:szCs w:val="22"/>
              </w:rPr>
              <w:t>Uticaj</w:t>
            </w:r>
          </w:p>
        </w:tc>
      </w:tr>
      <w:tr w:rsidR="004B071C" w:rsidRPr="00224D96" w:rsidTr="00D01BFD">
        <w:trPr>
          <w:trHeight w:val="89"/>
        </w:trPr>
        <w:tc>
          <w:tcPr>
            <w:tcW w:w="2538" w:type="dxa"/>
            <w:vMerge w:val="restart"/>
            <w:shd w:val="clear" w:color="auto" w:fill="CDDDAC"/>
          </w:tcPr>
          <w:p w:rsidR="004B071C" w:rsidRPr="00224D96" w:rsidRDefault="004B071C" w:rsidP="00224D96">
            <w:pPr>
              <w:spacing w:after="0"/>
              <w:rPr>
                <w:rFonts w:ascii="Constantia" w:hAnsi="Constantia" w:cs="Arial"/>
                <w:bCs/>
                <w:szCs w:val="22"/>
              </w:rPr>
            </w:pPr>
            <w:r w:rsidRPr="00224D96">
              <w:rPr>
                <w:rFonts w:ascii="Constantia" w:hAnsi="Constantia" w:cs="Arial"/>
                <w:bCs/>
                <w:szCs w:val="22"/>
              </w:rPr>
              <w:t>Ribarstvo</w:t>
            </w:r>
          </w:p>
        </w:tc>
        <w:tc>
          <w:tcPr>
            <w:tcW w:w="5220" w:type="dxa"/>
            <w:shd w:val="clear" w:color="auto" w:fill="CDDDAC"/>
          </w:tcPr>
          <w:p w:rsidR="004B071C" w:rsidRPr="00224D96" w:rsidRDefault="004B071C" w:rsidP="00224D96">
            <w:pPr>
              <w:keepNext/>
              <w:keepLines/>
              <w:spacing w:before="60" w:after="0"/>
              <w:outlineLvl w:val="3"/>
              <w:rPr>
                <w:rFonts w:ascii="Constantia" w:hAnsi="Constantia" w:cs="Arial"/>
                <w:bCs/>
                <w:iCs/>
                <w:color w:val="000000"/>
                <w:szCs w:val="22"/>
              </w:rPr>
            </w:pPr>
            <w:r w:rsidRPr="00224D96">
              <w:rPr>
                <w:rFonts w:ascii="Constantia" w:hAnsi="Constantia" w:cs="Arial"/>
                <w:bCs/>
                <w:iCs/>
                <w:color w:val="000000"/>
                <w:szCs w:val="22"/>
              </w:rPr>
              <w:t>Lutra lutra / Pećina Jovovica i Šišarina</w:t>
            </w:r>
          </w:p>
        </w:tc>
        <w:tc>
          <w:tcPr>
            <w:tcW w:w="1440" w:type="dxa"/>
            <w:shd w:val="clear" w:color="auto" w:fill="CDDDAC"/>
          </w:tcPr>
          <w:p w:rsidR="004B071C" w:rsidRPr="00224D96" w:rsidRDefault="004B071C" w:rsidP="00224D96">
            <w:pPr>
              <w:keepNext/>
              <w:keepLines/>
              <w:spacing w:before="60" w:after="0"/>
              <w:jc w:val="center"/>
              <w:outlineLvl w:val="3"/>
              <w:rPr>
                <w:rFonts w:ascii="Constantia" w:hAnsi="Constantia" w:cs="Arial"/>
                <w:bCs/>
                <w:iCs/>
                <w:color w:val="000000"/>
                <w:szCs w:val="22"/>
              </w:rPr>
            </w:pPr>
            <w:r w:rsidRPr="00224D96">
              <w:rPr>
                <w:rFonts w:ascii="Constantia" w:hAnsi="Constantia" w:cs="Arial"/>
                <w:bCs/>
                <w:iCs/>
                <w:color w:val="000000"/>
                <w:szCs w:val="22"/>
              </w:rPr>
              <w:t>A</w:t>
            </w:r>
          </w:p>
        </w:tc>
      </w:tr>
      <w:tr w:rsidR="004B071C" w:rsidRPr="00224D96" w:rsidTr="00D01BFD">
        <w:trPr>
          <w:trHeight w:val="85"/>
        </w:trPr>
        <w:tc>
          <w:tcPr>
            <w:tcW w:w="2538" w:type="dxa"/>
            <w:vMerge/>
            <w:shd w:val="clear" w:color="auto" w:fill="E6EED5"/>
          </w:tcPr>
          <w:p w:rsidR="004B071C" w:rsidRPr="00224D96" w:rsidRDefault="004B071C" w:rsidP="00224D96">
            <w:pPr>
              <w:spacing w:after="0"/>
              <w:rPr>
                <w:rFonts w:ascii="Constantia" w:hAnsi="Constantia" w:cs="Arial"/>
                <w:bCs/>
                <w:szCs w:val="22"/>
              </w:rPr>
            </w:pPr>
          </w:p>
        </w:tc>
        <w:tc>
          <w:tcPr>
            <w:tcW w:w="5220" w:type="dxa"/>
            <w:shd w:val="clear" w:color="auto" w:fill="E6EED5"/>
          </w:tcPr>
          <w:p w:rsidR="004B071C" w:rsidRPr="00224D96" w:rsidRDefault="004B071C" w:rsidP="00224D96">
            <w:pPr>
              <w:keepNext/>
              <w:keepLines/>
              <w:spacing w:before="60" w:after="0"/>
              <w:outlineLvl w:val="3"/>
              <w:rPr>
                <w:rFonts w:ascii="Constantia" w:hAnsi="Constantia" w:cs="Arial"/>
                <w:bCs/>
                <w:iCs/>
                <w:color w:val="000000"/>
                <w:szCs w:val="22"/>
              </w:rPr>
            </w:pPr>
            <w:r w:rsidRPr="00224D96">
              <w:rPr>
                <w:rFonts w:ascii="Constantia" w:hAnsi="Constantia" w:cs="Arial"/>
                <w:bCs/>
                <w:iCs/>
                <w:color w:val="000000"/>
                <w:szCs w:val="22"/>
              </w:rPr>
              <w:t>Dolina rijeke Orahovštica</w:t>
            </w:r>
          </w:p>
        </w:tc>
        <w:tc>
          <w:tcPr>
            <w:tcW w:w="1440" w:type="dxa"/>
            <w:shd w:val="clear" w:color="auto" w:fill="E6EED5"/>
          </w:tcPr>
          <w:p w:rsidR="004B071C" w:rsidRPr="00224D96" w:rsidRDefault="004B071C" w:rsidP="00224D96">
            <w:pPr>
              <w:keepNext/>
              <w:keepLines/>
              <w:spacing w:before="60" w:after="0"/>
              <w:jc w:val="center"/>
              <w:outlineLvl w:val="3"/>
              <w:rPr>
                <w:rFonts w:ascii="Constantia" w:hAnsi="Constantia" w:cs="Arial"/>
                <w:bCs/>
                <w:iCs/>
                <w:color w:val="000000"/>
                <w:szCs w:val="22"/>
              </w:rPr>
            </w:pPr>
            <w:r w:rsidRPr="00224D96">
              <w:rPr>
                <w:rFonts w:ascii="Constantia" w:hAnsi="Constantia" w:cs="Arial"/>
                <w:bCs/>
                <w:iCs/>
                <w:color w:val="000000"/>
                <w:szCs w:val="22"/>
              </w:rPr>
              <w:t>B</w:t>
            </w:r>
          </w:p>
        </w:tc>
      </w:tr>
      <w:tr w:rsidR="004B071C" w:rsidRPr="00224D96" w:rsidTr="00D01BFD">
        <w:trPr>
          <w:trHeight w:val="85"/>
        </w:trPr>
        <w:tc>
          <w:tcPr>
            <w:tcW w:w="2538" w:type="dxa"/>
            <w:vMerge/>
            <w:shd w:val="clear" w:color="auto" w:fill="CDDDAC"/>
          </w:tcPr>
          <w:p w:rsidR="004B071C" w:rsidRPr="00224D96" w:rsidRDefault="004B071C" w:rsidP="00224D96">
            <w:pPr>
              <w:spacing w:after="0"/>
              <w:rPr>
                <w:rFonts w:ascii="Constantia" w:hAnsi="Constantia" w:cs="Arial"/>
                <w:bCs/>
                <w:szCs w:val="22"/>
              </w:rPr>
            </w:pPr>
          </w:p>
        </w:tc>
        <w:tc>
          <w:tcPr>
            <w:tcW w:w="5220" w:type="dxa"/>
            <w:shd w:val="clear" w:color="auto" w:fill="CDDDAC"/>
          </w:tcPr>
          <w:p w:rsidR="004B071C" w:rsidRPr="00224D96" w:rsidRDefault="004B071C" w:rsidP="00224D96">
            <w:pPr>
              <w:keepNext/>
              <w:keepLines/>
              <w:spacing w:before="60" w:after="0"/>
              <w:outlineLvl w:val="3"/>
              <w:rPr>
                <w:rFonts w:ascii="Constantia" w:hAnsi="Constantia" w:cs="Arial"/>
                <w:bCs/>
                <w:iCs/>
                <w:color w:val="000000"/>
                <w:szCs w:val="22"/>
              </w:rPr>
            </w:pPr>
            <w:r w:rsidRPr="00224D96">
              <w:rPr>
                <w:rFonts w:ascii="Constantia" w:hAnsi="Constantia" w:cs="Arial"/>
                <w:bCs/>
                <w:iCs/>
                <w:color w:val="000000"/>
                <w:szCs w:val="22"/>
              </w:rPr>
              <w:t>Prevlaka</w:t>
            </w:r>
          </w:p>
        </w:tc>
        <w:tc>
          <w:tcPr>
            <w:tcW w:w="1440" w:type="dxa"/>
            <w:shd w:val="clear" w:color="auto" w:fill="CDDDAC"/>
          </w:tcPr>
          <w:p w:rsidR="004B071C" w:rsidRPr="00224D96" w:rsidRDefault="004B071C" w:rsidP="00224D96">
            <w:pPr>
              <w:keepNext/>
              <w:keepLines/>
              <w:spacing w:before="60" w:after="0"/>
              <w:jc w:val="center"/>
              <w:outlineLvl w:val="3"/>
              <w:rPr>
                <w:rFonts w:ascii="Constantia" w:hAnsi="Constantia" w:cs="Arial"/>
                <w:bCs/>
                <w:iCs/>
                <w:color w:val="000000"/>
                <w:szCs w:val="22"/>
              </w:rPr>
            </w:pPr>
            <w:r w:rsidRPr="00224D96">
              <w:rPr>
                <w:rFonts w:ascii="Constantia" w:hAnsi="Constantia" w:cs="Arial"/>
                <w:bCs/>
                <w:iCs/>
                <w:color w:val="000000"/>
                <w:szCs w:val="22"/>
              </w:rPr>
              <w:t>B</w:t>
            </w:r>
          </w:p>
        </w:tc>
      </w:tr>
      <w:tr w:rsidR="004B071C" w:rsidRPr="00224D96" w:rsidTr="00D01BFD">
        <w:trPr>
          <w:trHeight w:val="85"/>
        </w:trPr>
        <w:tc>
          <w:tcPr>
            <w:tcW w:w="2538" w:type="dxa"/>
            <w:vMerge/>
            <w:shd w:val="clear" w:color="auto" w:fill="E6EED5"/>
          </w:tcPr>
          <w:p w:rsidR="004B071C" w:rsidRPr="00224D96" w:rsidRDefault="004B071C" w:rsidP="00224D96">
            <w:pPr>
              <w:spacing w:after="0"/>
              <w:rPr>
                <w:rFonts w:ascii="Constantia" w:hAnsi="Constantia" w:cs="Arial"/>
                <w:bCs/>
                <w:szCs w:val="22"/>
              </w:rPr>
            </w:pPr>
          </w:p>
        </w:tc>
        <w:tc>
          <w:tcPr>
            <w:tcW w:w="5220" w:type="dxa"/>
            <w:shd w:val="clear" w:color="auto" w:fill="E6EED5"/>
          </w:tcPr>
          <w:p w:rsidR="004B071C" w:rsidRPr="00224D96" w:rsidRDefault="004B071C" w:rsidP="00224D96">
            <w:pPr>
              <w:keepNext/>
              <w:keepLines/>
              <w:spacing w:before="60" w:after="0"/>
              <w:outlineLvl w:val="3"/>
              <w:rPr>
                <w:rFonts w:ascii="Constantia" w:hAnsi="Constantia" w:cs="Arial"/>
                <w:bCs/>
                <w:iCs/>
                <w:color w:val="000000"/>
                <w:szCs w:val="22"/>
              </w:rPr>
            </w:pPr>
            <w:r w:rsidRPr="00224D96">
              <w:rPr>
                <w:rFonts w:ascii="Constantia" w:hAnsi="Constantia" w:cs="Arial"/>
                <w:bCs/>
                <w:iCs/>
                <w:color w:val="000000"/>
                <w:szCs w:val="22"/>
              </w:rPr>
              <w:t>Debeli rt</w:t>
            </w:r>
          </w:p>
        </w:tc>
        <w:tc>
          <w:tcPr>
            <w:tcW w:w="1440" w:type="dxa"/>
            <w:shd w:val="clear" w:color="auto" w:fill="E6EED5"/>
          </w:tcPr>
          <w:p w:rsidR="004B071C" w:rsidRPr="00224D96" w:rsidRDefault="004B071C" w:rsidP="00224D96">
            <w:pPr>
              <w:keepNext/>
              <w:keepLines/>
              <w:spacing w:before="60" w:after="0"/>
              <w:jc w:val="center"/>
              <w:outlineLvl w:val="3"/>
              <w:rPr>
                <w:rFonts w:ascii="Constantia" w:hAnsi="Constantia" w:cs="Arial"/>
                <w:bCs/>
                <w:iCs/>
                <w:color w:val="000000"/>
                <w:szCs w:val="22"/>
              </w:rPr>
            </w:pPr>
            <w:r w:rsidRPr="00224D96">
              <w:rPr>
                <w:rFonts w:ascii="Constantia" w:hAnsi="Constantia" w:cs="Arial"/>
                <w:bCs/>
                <w:iCs/>
                <w:color w:val="000000"/>
                <w:szCs w:val="22"/>
              </w:rPr>
              <w:t>A</w:t>
            </w:r>
          </w:p>
        </w:tc>
      </w:tr>
      <w:tr w:rsidR="004B071C" w:rsidRPr="00224D96" w:rsidTr="00D01BFD">
        <w:trPr>
          <w:trHeight w:val="85"/>
        </w:trPr>
        <w:tc>
          <w:tcPr>
            <w:tcW w:w="2538" w:type="dxa"/>
            <w:vMerge/>
            <w:shd w:val="clear" w:color="auto" w:fill="CDDDAC"/>
          </w:tcPr>
          <w:p w:rsidR="004B071C" w:rsidRPr="00224D96" w:rsidRDefault="004B071C" w:rsidP="00224D96">
            <w:pPr>
              <w:spacing w:after="0"/>
              <w:rPr>
                <w:rFonts w:ascii="Constantia" w:hAnsi="Constantia" w:cs="Arial"/>
                <w:bCs/>
                <w:szCs w:val="22"/>
              </w:rPr>
            </w:pPr>
          </w:p>
        </w:tc>
        <w:tc>
          <w:tcPr>
            <w:tcW w:w="5220" w:type="dxa"/>
            <w:shd w:val="clear" w:color="auto" w:fill="CDDDAC"/>
          </w:tcPr>
          <w:p w:rsidR="004B071C" w:rsidRPr="00224D96" w:rsidRDefault="004B071C" w:rsidP="00224D96">
            <w:pPr>
              <w:keepNext/>
              <w:keepLines/>
              <w:spacing w:before="60" w:after="0"/>
              <w:outlineLvl w:val="3"/>
              <w:rPr>
                <w:rFonts w:ascii="Constantia" w:hAnsi="Constantia" w:cs="Arial"/>
                <w:bCs/>
                <w:iCs/>
                <w:color w:val="000000"/>
                <w:szCs w:val="22"/>
              </w:rPr>
            </w:pPr>
            <w:r w:rsidRPr="00224D96">
              <w:rPr>
                <w:rFonts w:ascii="Constantia" w:hAnsi="Constantia" w:cs="Arial"/>
                <w:bCs/>
                <w:iCs/>
                <w:color w:val="000000"/>
                <w:szCs w:val="22"/>
              </w:rPr>
              <w:t>Zaliv Kunježa</w:t>
            </w:r>
          </w:p>
        </w:tc>
        <w:tc>
          <w:tcPr>
            <w:tcW w:w="1440" w:type="dxa"/>
            <w:shd w:val="clear" w:color="auto" w:fill="CDDDAC"/>
          </w:tcPr>
          <w:p w:rsidR="004B071C" w:rsidRPr="00224D96" w:rsidRDefault="004B071C" w:rsidP="00224D96">
            <w:pPr>
              <w:keepNext/>
              <w:keepLines/>
              <w:spacing w:before="60" w:after="0"/>
              <w:jc w:val="center"/>
              <w:outlineLvl w:val="3"/>
              <w:rPr>
                <w:rFonts w:ascii="Constantia" w:hAnsi="Constantia" w:cs="Arial"/>
                <w:bCs/>
                <w:iCs/>
                <w:color w:val="000000"/>
                <w:szCs w:val="22"/>
              </w:rPr>
            </w:pPr>
            <w:r w:rsidRPr="00224D96">
              <w:rPr>
                <w:rFonts w:ascii="Constantia" w:hAnsi="Constantia" w:cs="Arial"/>
                <w:bCs/>
                <w:iCs/>
                <w:color w:val="000000"/>
                <w:szCs w:val="22"/>
              </w:rPr>
              <w:t>B</w:t>
            </w:r>
          </w:p>
        </w:tc>
      </w:tr>
      <w:tr w:rsidR="004B071C" w:rsidRPr="00224D96" w:rsidTr="00D01BFD">
        <w:trPr>
          <w:trHeight w:val="85"/>
        </w:trPr>
        <w:tc>
          <w:tcPr>
            <w:tcW w:w="2538" w:type="dxa"/>
            <w:vMerge/>
            <w:shd w:val="clear" w:color="auto" w:fill="E6EED5"/>
          </w:tcPr>
          <w:p w:rsidR="004B071C" w:rsidRPr="00224D96" w:rsidRDefault="004B071C" w:rsidP="00224D96">
            <w:pPr>
              <w:spacing w:after="0"/>
              <w:rPr>
                <w:rFonts w:ascii="Constantia" w:hAnsi="Constantia" w:cs="Arial"/>
                <w:bCs/>
                <w:szCs w:val="22"/>
              </w:rPr>
            </w:pPr>
          </w:p>
        </w:tc>
        <w:tc>
          <w:tcPr>
            <w:tcW w:w="5220" w:type="dxa"/>
            <w:shd w:val="clear" w:color="auto" w:fill="E6EED5"/>
          </w:tcPr>
          <w:p w:rsidR="004B071C" w:rsidRPr="00224D96" w:rsidRDefault="004B071C" w:rsidP="00224D96">
            <w:pPr>
              <w:keepNext/>
              <w:keepLines/>
              <w:spacing w:before="60" w:after="0"/>
              <w:outlineLvl w:val="3"/>
              <w:rPr>
                <w:rFonts w:ascii="Constantia" w:hAnsi="Constantia" w:cs="Arial"/>
                <w:bCs/>
                <w:iCs/>
                <w:color w:val="000000"/>
                <w:szCs w:val="22"/>
              </w:rPr>
            </w:pPr>
            <w:r w:rsidRPr="00224D96">
              <w:rPr>
                <w:rFonts w:ascii="Constantia" w:hAnsi="Constantia" w:cs="Arial"/>
                <w:bCs/>
                <w:iCs/>
                <w:color w:val="000000"/>
                <w:szCs w:val="22"/>
              </w:rPr>
              <w:t>Pritoke Sutormanske rijeke u Crmničkom polju</w:t>
            </w:r>
          </w:p>
        </w:tc>
        <w:tc>
          <w:tcPr>
            <w:tcW w:w="1440" w:type="dxa"/>
            <w:shd w:val="clear" w:color="auto" w:fill="E6EED5"/>
          </w:tcPr>
          <w:p w:rsidR="004B071C" w:rsidRPr="00224D96" w:rsidRDefault="004B071C" w:rsidP="00224D96">
            <w:pPr>
              <w:keepNext/>
              <w:keepLines/>
              <w:spacing w:before="60" w:after="0"/>
              <w:jc w:val="center"/>
              <w:outlineLvl w:val="3"/>
              <w:rPr>
                <w:rFonts w:ascii="Constantia" w:hAnsi="Constantia" w:cs="Arial"/>
                <w:bCs/>
                <w:iCs/>
                <w:color w:val="000000"/>
                <w:szCs w:val="22"/>
              </w:rPr>
            </w:pPr>
            <w:r w:rsidRPr="00224D96">
              <w:rPr>
                <w:rFonts w:ascii="Constantia" w:hAnsi="Constantia" w:cs="Arial"/>
                <w:bCs/>
                <w:iCs/>
                <w:color w:val="000000"/>
                <w:szCs w:val="22"/>
              </w:rPr>
              <w:t>B</w:t>
            </w:r>
          </w:p>
        </w:tc>
      </w:tr>
      <w:tr w:rsidR="004B071C" w:rsidRPr="00224D96" w:rsidTr="00D01BFD">
        <w:trPr>
          <w:trHeight w:val="89"/>
        </w:trPr>
        <w:tc>
          <w:tcPr>
            <w:tcW w:w="2538" w:type="dxa"/>
            <w:vMerge w:val="restart"/>
            <w:shd w:val="clear" w:color="auto" w:fill="CDDDAC"/>
          </w:tcPr>
          <w:p w:rsidR="004B071C" w:rsidRPr="00224D96" w:rsidRDefault="004B071C" w:rsidP="00224D96">
            <w:pPr>
              <w:spacing w:after="0"/>
              <w:rPr>
                <w:rFonts w:ascii="Constantia" w:hAnsi="Constantia" w:cs="Arial"/>
                <w:bCs/>
                <w:szCs w:val="22"/>
              </w:rPr>
            </w:pPr>
            <w:r w:rsidRPr="00224D96">
              <w:rPr>
                <w:rFonts w:ascii="Constantia" w:hAnsi="Constantia" w:cs="Arial"/>
                <w:bCs/>
                <w:szCs w:val="22"/>
              </w:rPr>
              <w:t xml:space="preserve">Sječa </w:t>
            </w:r>
          </w:p>
        </w:tc>
        <w:tc>
          <w:tcPr>
            <w:tcW w:w="5220" w:type="dxa"/>
            <w:shd w:val="clear" w:color="auto" w:fill="CDDDAC"/>
          </w:tcPr>
          <w:p w:rsidR="004B071C" w:rsidRPr="00224D96" w:rsidRDefault="004B071C" w:rsidP="00224D96">
            <w:pPr>
              <w:spacing w:after="0"/>
              <w:rPr>
                <w:rFonts w:ascii="Constantia" w:hAnsi="Constantia"/>
                <w:szCs w:val="22"/>
              </w:rPr>
            </w:pPr>
            <w:r w:rsidRPr="00224D96">
              <w:rPr>
                <w:rFonts w:ascii="Constantia" w:hAnsi="Constantia"/>
                <w:szCs w:val="22"/>
              </w:rPr>
              <w:t>Lutra lutra / Pećina Jovovica i Šišarina</w:t>
            </w:r>
          </w:p>
        </w:tc>
        <w:tc>
          <w:tcPr>
            <w:tcW w:w="1440" w:type="dxa"/>
            <w:shd w:val="clear" w:color="auto" w:fill="CDDDAC"/>
          </w:tcPr>
          <w:p w:rsidR="004B071C" w:rsidRPr="00224D96" w:rsidRDefault="004B071C" w:rsidP="00224D96">
            <w:pPr>
              <w:keepNext/>
              <w:keepLines/>
              <w:spacing w:before="60" w:after="0"/>
              <w:jc w:val="center"/>
              <w:outlineLvl w:val="3"/>
              <w:rPr>
                <w:rFonts w:ascii="Constantia" w:hAnsi="Constantia" w:cs="Arial"/>
                <w:bCs/>
                <w:iCs/>
                <w:color w:val="000000"/>
                <w:szCs w:val="22"/>
              </w:rPr>
            </w:pPr>
            <w:r w:rsidRPr="00224D96">
              <w:rPr>
                <w:rFonts w:ascii="Constantia" w:hAnsi="Constantia" w:cs="Arial"/>
                <w:bCs/>
                <w:iCs/>
                <w:color w:val="000000"/>
                <w:szCs w:val="22"/>
              </w:rPr>
              <w:t>B</w:t>
            </w:r>
          </w:p>
        </w:tc>
      </w:tr>
      <w:tr w:rsidR="004B071C" w:rsidRPr="00224D96" w:rsidTr="00D01BFD">
        <w:trPr>
          <w:trHeight w:val="85"/>
        </w:trPr>
        <w:tc>
          <w:tcPr>
            <w:tcW w:w="2538" w:type="dxa"/>
            <w:vMerge/>
            <w:shd w:val="clear" w:color="auto" w:fill="E6EED5"/>
          </w:tcPr>
          <w:p w:rsidR="004B071C" w:rsidRPr="00224D96" w:rsidRDefault="004B071C" w:rsidP="00224D96">
            <w:pPr>
              <w:spacing w:after="0"/>
              <w:rPr>
                <w:rFonts w:ascii="Constantia" w:hAnsi="Constantia" w:cs="Arial"/>
                <w:bCs/>
                <w:szCs w:val="22"/>
              </w:rPr>
            </w:pPr>
          </w:p>
        </w:tc>
        <w:tc>
          <w:tcPr>
            <w:tcW w:w="5220" w:type="dxa"/>
            <w:shd w:val="clear" w:color="auto" w:fill="E6EED5"/>
          </w:tcPr>
          <w:p w:rsidR="004B071C" w:rsidRPr="00224D96" w:rsidRDefault="004B071C" w:rsidP="00224D96">
            <w:pPr>
              <w:spacing w:after="0"/>
              <w:rPr>
                <w:rFonts w:ascii="Constantia" w:hAnsi="Constantia"/>
                <w:szCs w:val="22"/>
              </w:rPr>
            </w:pPr>
            <w:r w:rsidRPr="00224D96">
              <w:rPr>
                <w:rFonts w:ascii="Constantia" w:hAnsi="Constantia"/>
                <w:szCs w:val="22"/>
              </w:rPr>
              <w:t>Dolina rijeke Orahovštica</w:t>
            </w:r>
          </w:p>
        </w:tc>
        <w:tc>
          <w:tcPr>
            <w:tcW w:w="1440" w:type="dxa"/>
            <w:shd w:val="clear" w:color="auto" w:fill="E6EED5"/>
          </w:tcPr>
          <w:p w:rsidR="004B071C" w:rsidRPr="00224D96" w:rsidRDefault="004B071C" w:rsidP="00224D96">
            <w:pPr>
              <w:keepNext/>
              <w:keepLines/>
              <w:spacing w:before="60" w:after="0"/>
              <w:jc w:val="center"/>
              <w:outlineLvl w:val="3"/>
              <w:rPr>
                <w:rFonts w:ascii="Constantia" w:hAnsi="Constantia" w:cs="Arial"/>
                <w:bCs/>
                <w:iCs/>
                <w:color w:val="000000"/>
                <w:szCs w:val="22"/>
              </w:rPr>
            </w:pPr>
            <w:r w:rsidRPr="00224D96">
              <w:rPr>
                <w:rFonts w:ascii="Constantia" w:hAnsi="Constantia" w:cs="Arial"/>
                <w:bCs/>
                <w:iCs/>
                <w:color w:val="000000"/>
                <w:szCs w:val="22"/>
              </w:rPr>
              <w:t>C</w:t>
            </w:r>
          </w:p>
        </w:tc>
      </w:tr>
      <w:tr w:rsidR="004B071C" w:rsidRPr="00224D96" w:rsidTr="00D01BFD">
        <w:trPr>
          <w:trHeight w:val="85"/>
        </w:trPr>
        <w:tc>
          <w:tcPr>
            <w:tcW w:w="2538" w:type="dxa"/>
            <w:vMerge/>
            <w:shd w:val="clear" w:color="auto" w:fill="CDDDAC"/>
          </w:tcPr>
          <w:p w:rsidR="004B071C" w:rsidRPr="00224D96" w:rsidRDefault="004B071C" w:rsidP="00224D96">
            <w:pPr>
              <w:spacing w:after="0"/>
              <w:rPr>
                <w:rFonts w:ascii="Constantia" w:hAnsi="Constantia" w:cs="Arial"/>
                <w:bCs/>
                <w:szCs w:val="22"/>
              </w:rPr>
            </w:pPr>
          </w:p>
        </w:tc>
        <w:tc>
          <w:tcPr>
            <w:tcW w:w="5220" w:type="dxa"/>
            <w:shd w:val="clear" w:color="auto" w:fill="CDDDAC"/>
          </w:tcPr>
          <w:p w:rsidR="004B071C" w:rsidRPr="00224D96" w:rsidRDefault="004B071C" w:rsidP="00224D96">
            <w:pPr>
              <w:spacing w:after="0"/>
              <w:rPr>
                <w:rFonts w:ascii="Constantia" w:hAnsi="Constantia"/>
                <w:szCs w:val="22"/>
              </w:rPr>
            </w:pPr>
            <w:r w:rsidRPr="00224D96">
              <w:rPr>
                <w:rFonts w:ascii="Constantia" w:hAnsi="Constantia"/>
                <w:szCs w:val="22"/>
              </w:rPr>
              <w:t>Prevlaka</w:t>
            </w:r>
          </w:p>
        </w:tc>
        <w:tc>
          <w:tcPr>
            <w:tcW w:w="1440" w:type="dxa"/>
            <w:shd w:val="clear" w:color="auto" w:fill="CDDDAC"/>
          </w:tcPr>
          <w:p w:rsidR="004B071C" w:rsidRPr="00224D96" w:rsidRDefault="004B071C" w:rsidP="00224D96">
            <w:pPr>
              <w:keepNext/>
              <w:keepLines/>
              <w:spacing w:before="60" w:after="0"/>
              <w:jc w:val="center"/>
              <w:outlineLvl w:val="3"/>
              <w:rPr>
                <w:rFonts w:ascii="Constantia" w:hAnsi="Constantia" w:cs="Arial"/>
                <w:bCs/>
                <w:iCs/>
                <w:color w:val="000000"/>
                <w:szCs w:val="22"/>
              </w:rPr>
            </w:pPr>
            <w:r w:rsidRPr="00224D96">
              <w:rPr>
                <w:rFonts w:ascii="Constantia" w:hAnsi="Constantia" w:cs="Arial"/>
                <w:bCs/>
                <w:iCs/>
                <w:color w:val="000000"/>
                <w:szCs w:val="22"/>
              </w:rPr>
              <w:t>C</w:t>
            </w:r>
          </w:p>
        </w:tc>
      </w:tr>
      <w:tr w:rsidR="004B071C" w:rsidRPr="00224D96" w:rsidTr="00D01BFD">
        <w:trPr>
          <w:trHeight w:val="85"/>
        </w:trPr>
        <w:tc>
          <w:tcPr>
            <w:tcW w:w="2538" w:type="dxa"/>
            <w:vMerge/>
            <w:shd w:val="clear" w:color="auto" w:fill="E6EED5"/>
          </w:tcPr>
          <w:p w:rsidR="004B071C" w:rsidRPr="00224D96" w:rsidRDefault="004B071C" w:rsidP="00224D96">
            <w:pPr>
              <w:spacing w:after="0"/>
              <w:rPr>
                <w:rFonts w:ascii="Constantia" w:hAnsi="Constantia" w:cs="Arial"/>
                <w:bCs/>
                <w:szCs w:val="22"/>
              </w:rPr>
            </w:pPr>
          </w:p>
        </w:tc>
        <w:tc>
          <w:tcPr>
            <w:tcW w:w="5220" w:type="dxa"/>
            <w:shd w:val="clear" w:color="auto" w:fill="E6EED5"/>
          </w:tcPr>
          <w:p w:rsidR="004B071C" w:rsidRPr="00224D96" w:rsidRDefault="004B071C" w:rsidP="00224D96">
            <w:pPr>
              <w:spacing w:after="0"/>
              <w:rPr>
                <w:rFonts w:ascii="Constantia" w:hAnsi="Constantia"/>
                <w:szCs w:val="22"/>
              </w:rPr>
            </w:pPr>
            <w:r w:rsidRPr="00224D96">
              <w:rPr>
                <w:rFonts w:ascii="Constantia" w:hAnsi="Constantia"/>
                <w:szCs w:val="22"/>
              </w:rPr>
              <w:t>Debeli rt</w:t>
            </w:r>
          </w:p>
        </w:tc>
        <w:tc>
          <w:tcPr>
            <w:tcW w:w="1440" w:type="dxa"/>
            <w:shd w:val="clear" w:color="auto" w:fill="E6EED5"/>
          </w:tcPr>
          <w:p w:rsidR="004B071C" w:rsidRPr="00224D96" w:rsidRDefault="004B071C" w:rsidP="00224D96">
            <w:pPr>
              <w:keepNext/>
              <w:keepLines/>
              <w:spacing w:before="60" w:after="0"/>
              <w:jc w:val="center"/>
              <w:outlineLvl w:val="3"/>
              <w:rPr>
                <w:rFonts w:ascii="Constantia" w:hAnsi="Constantia" w:cs="Arial"/>
                <w:bCs/>
                <w:iCs/>
                <w:color w:val="000000"/>
                <w:szCs w:val="22"/>
              </w:rPr>
            </w:pPr>
            <w:r w:rsidRPr="00224D96">
              <w:rPr>
                <w:rFonts w:ascii="Constantia" w:hAnsi="Constantia" w:cs="Arial"/>
                <w:bCs/>
                <w:iCs/>
                <w:color w:val="000000"/>
                <w:szCs w:val="22"/>
              </w:rPr>
              <w:t>B</w:t>
            </w:r>
          </w:p>
        </w:tc>
      </w:tr>
      <w:tr w:rsidR="004B071C" w:rsidRPr="00224D96" w:rsidTr="00D01BFD">
        <w:trPr>
          <w:trHeight w:val="85"/>
        </w:trPr>
        <w:tc>
          <w:tcPr>
            <w:tcW w:w="2538" w:type="dxa"/>
            <w:vMerge/>
            <w:shd w:val="clear" w:color="auto" w:fill="CDDDAC"/>
          </w:tcPr>
          <w:p w:rsidR="004B071C" w:rsidRPr="00224D96" w:rsidRDefault="004B071C" w:rsidP="00224D96">
            <w:pPr>
              <w:spacing w:after="0"/>
              <w:rPr>
                <w:rFonts w:ascii="Constantia" w:hAnsi="Constantia" w:cs="Arial"/>
                <w:bCs/>
                <w:szCs w:val="22"/>
              </w:rPr>
            </w:pPr>
          </w:p>
        </w:tc>
        <w:tc>
          <w:tcPr>
            <w:tcW w:w="5220" w:type="dxa"/>
            <w:shd w:val="clear" w:color="auto" w:fill="CDDDAC"/>
          </w:tcPr>
          <w:p w:rsidR="004B071C" w:rsidRPr="00224D96" w:rsidRDefault="004B071C" w:rsidP="00224D96">
            <w:pPr>
              <w:spacing w:after="0"/>
              <w:rPr>
                <w:rFonts w:ascii="Constantia" w:hAnsi="Constantia"/>
                <w:szCs w:val="22"/>
              </w:rPr>
            </w:pPr>
            <w:r w:rsidRPr="00224D96">
              <w:rPr>
                <w:rFonts w:ascii="Constantia" w:hAnsi="Constantia"/>
                <w:szCs w:val="22"/>
              </w:rPr>
              <w:t>Zaliv Kunježa</w:t>
            </w:r>
          </w:p>
        </w:tc>
        <w:tc>
          <w:tcPr>
            <w:tcW w:w="1440" w:type="dxa"/>
            <w:shd w:val="clear" w:color="auto" w:fill="CDDDAC"/>
          </w:tcPr>
          <w:p w:rsidR="004B071C" w:rsidRPr="00224D96" w:rsidRDefault="004B071C" w:rsidP="00224D96">
            <w:pPr>
              <w:keepNext/>
              <w:keepLines/>
              <w:spacing w:before="60" w:after="0"/>
              <w:jc w:val="center"/>
              <w:outlineLvl w:val="3"/>
              <w:rPr>
                <w:rFonts w:ascii="Constantia" w:hAnsi="Constantia" w:cs="Arial"/>
                <w:bCs/>
                <w:iCs/>
                <w:color w:val="000000"/>
                <w:szCs w:val="22"/>
              </w:rPr>
            </w:pPr>
            <w:r w:rsidRPr="00224D96">
              <w:rPr>
                <w:rFonts w:ascii="Constantia" w:hAnsi="Constantia" w:cs="Arial"/>
                <w:bCs/>
                <w:iCs/>
                <w:color w:val="000000"/>
                <w:szCs w:val="22"/>
              </w:rPr>
              <w:t>C</w:t>
            </w:r>
          </w:p>
        </w:tc>
      </w:tr>
      <w:tr w:rsidR="004B071C" w:rsidRPr="00224D96" w:rsidTr="00D01BFD">
        <w:trPr>
          <w:trHeight w:val="85"/>
        </w:trPr>
        <w:tc>
          <w:tcPr>
            <w:tcW w:w="2538" w:type="dxa"/>
            <w:vMerge/>
            <w:shd w:val="clear" w:color="auto" w:fill="E6EED5"/>
          </w:tcPr>
          <w:p w:rsidR="004B071C" w:rsidRPr="00224D96" w:rsidRDefault="004B071C" w:rsidP="00224D96">
            <w:pPr>
              <w:spacing w:after="0"/>
              <w:rPr>
                <w:rFonts w:ascii="Constantia" w:hAnsi="Constantia" w:cs="Arial"/>
                <w:bCs/>
                <w:szCs w:val="22"/>
              </w:rPr>
            </w:pPr>
          </w:p>
        </w:tc>
        <w:tc>
          <w:tcPr>
            <w:tcW w:w="5220" w:type="dxa"/>
            <w:shd w:val="clear" w:color="auto" w:fill="E6EED5"/>
          </w:tcPr>
          <w:p w:rsidR="004B071C" w:rsidRPr="00224D96" w:rsidRDefault="004B071C" w:rsidP="00224D96">
            <w:pPr>
              <w:spacing w:after="0"/>
              <w:rPr>
                <w:rFonts w:ascii="Constantia" w:hAnsi="Constantia"/>
                <w:szCs w:val="22"/>
              </w:rPr>
            </w:pPr>
            <w:r w:rsidRPr="00224D96">
              <w:rPr>
                <w:rFonts w:ascii="Constantia" w:hAnsi="Constantia"/>
                <w:szCs w:val="22"/>
              </w:rPr>
              <w:t>Pritoke Sutormanske rijeke u Crmničkom polju</w:t>
            </w:r>
          </w:p>
        </w:tc>
        <w:tc>
          <w:tcPr>
            <w:tcW w:w="1440" w:type="dxa"/>
            <w:shd w:val="clear" w:color="auto" w:fill="E6EED5"/>
          </w:tcPr>
          <w:p w:rsidR="004B071C" w:rsidRPr="00224D96" w:rsidRDefault="004B071C" w:rsidP="00224D96">
            <w:pPr>
              <w:keepNext/>
              <w:keepLines/>
              <w:spacing w:before="60" w:after="0"/>
              <w:jc w:val="center"/>
              <w:outlineLvl w:val="3"/>
              <w:rPr>
                <w:rFonts w:ascii="Constantia" w:hAnsi="Constantia" w:cs="Arial"/>
                <w:bCs/>
                <w:iCs/>
                <w:color w:val="000000"/>
                <w:szCs w:val="22"/>
              </w:rPr>
            </w:pPr>
            <w:r w:rsidRPr="00224D96">
              <w:rPr>
                <w:rFonts w:ascii="Constantia" w:hAnsi="Constantia" w:cs="Arial"/>
                <w:bCs/>
                <w:iCs/>
                <w:color w:val="000000"/>
                <w:szCs w:val="22"/>
              </w:rPr>
              <w:t>C</w:t>
            </w:r>
          </w:p>
        </w:tc>
      </w:tr>
      <w:tr w:rsidR="004B071C" w:rsidRPr="00224D96" w:rsidTr="00D01BFD">
        <w:trPr>
          <w:trHeight w:val="89"/>
        </w:trPr>
        <w:tc>
          <w:tcPr>
            <w:tcW w:w="2538" w:type="dxa"/>
            <w:vMerge w:val="restart"/>
            <w:shd w:val="clear" w:color="auto" w:fill="CDDDAC"/>
          </w:tcPr>
          <w:p w:rsidR="004B071C" w:rsidRPr="00224D96" w:rsidRDefault="004B071C" w:rsidP="00224D96">
            <w:pPr>
              <w:spacing w:after="0"/>
              <w:rPr>
                <w:rFonts w:ascii="Constantia" w:hAnsi="Constantia" w:cs="Arial"/>
                <w:bCs/>
                <w:szCs w:val="22"/>
              </w:rPr>
            </w:pPr>
            <w:r w:rsidRPr="00224D96">
              <w:rPr>
                <w:rFonts w:ascii="Constantia" w:hAnsi="Constantia" w:cs="Arial"/>
                <w:bCs/>
                <w:szCs w:val="22"/>
              </w:rPr>
              <w:t>Otpad</w:t>
            </w:r>
          </w:p>
        </w:tc>
        <w:tc>
          <w:tcPr>
            <w:tcW w:w="5220" w:type="dxa"/>
            <w:shd w:val="clear" w:color="auto" w:fill="CDDDAC"/>
          </w:tcPr>
          <w:p w:rsidR="004B071C" w:rsidRPr="00224D96" w:rsidRDefault="004B071C" w:rsidP="00224D96">
            <w:pPr>
              <w:spacing w:after="0"/>
              <w:rPr>
                <w:rFonts w:ascii="Constantia" w:hAnsi="Constantia"/>
                <w:szCs w:val="22"/>
              </w:rPr>
            </w:pPr>
            <w:r w:rsidRPr="00224D96">
              <w:rPr>
                <w:rFonts w:ascii="Constantia" w:hAnsi="Constantia"/>
                <w:szCs w:val="22"/>
              </w:rPr>
              <w:t>Lutra lutra / Pećina Jovovica i Šišarina</w:t>
            </w:r>
          </w:p>
        </w:tc>
        <w:tc>
          <w:tcPr>
            <w:tcW w:w="1440" w:type="dxa"/>
            <w:shd w:val="clear" w:color="auto" w:fill="CDDDAC"/>
          </w:tcPr>
          <w:p w:rsidR="004B071C" w:rsidRPr="00224D96" w:rsidRDefault="004B071C" w:rsidP="00224D96">
            <w:pPr>
              <w:keepNext/>
              <w:keepLines/>
              <w:spacing w:before="60" w:after="0"/>
              <w:jc w:val="center"/>
              <w:outlineLvl w:val="3"/>
              <w:rPr>
                <w:rFonts w:ascii="Constantia" w:hAnsi="Constantia" w:cs="Arial"/>
                <w:bCs/>
                <w:iCs/>
                <w:color w:val="000000"/>
                <w:szCs w:val="22"/>
              </w:rPr>
            </w:pPr>
            <w:r w:rsidRPr="00224D96">
              <w:rPr>
                <w:rFonts w:ascii="Constantia" w:hAnsi="Constantia" w:cs="Arial"/>
                <w:bCs/>
                <w:iCs/>
                <w:color w:val="000000"/>
                <w:szCs w:val="22"/>
              </w:rPr>
              <w:t>A</w:t>
            </w:r>
          </w:p>
        </w:tc>
      </w:tr>
      <w:tr w:rsidR="004B071C" w:rsidRPr="00224D96" w:rsidTr="00D01BFD">
        <w:trPr>
          <w:trHeight w:val="85"/>
        </w:trPr>
        <w:tc>
          <w:tcPr>
            <w:tcW w:w="2538" w:type="dxa"/>
            <w:vMerge/>
            <w:shd w:val="clear" w:color="auto" w:fill="E6EED5"/>
          </w:tcPr>
          <w:p w:rsidR="004B071C" w:rsidRPr="00224D96" w:rsidRDefault="004B071C" w:rsidP="00224D96">
            <w:pPr>
              <w:spacing w:after="0"/>
              <w:rPr>
                <w:rFonts w:ascii="Constantia" w:hAnsi="Constantia" w:cs="Arial"/>
                <w:bCs/>
                <w:szCs w:val="22"/>
              </w:rPr>
            </w:pPr>
          </w:p>
        </w:tc>
        <w:tc>
          <w:tcPr>
            <w:tcW w:w="5220" w:type="dxa"/>
            <w:shd w:val="clear" w:color="auto" w:fill="E6EED5"/>
          </w:tcPr>
          <w:p w:rsidR="004B071C" w:rsidRPr="00224D96" w:rsidRDefault="004B071C" w:rsidP="00224D96">
            <w:pPr>
              <w:spacing w:after="0"/>
              <w:rPr>
                <w:rFonts w:ascii="Constantia" w:hAnsi="Constantia"/>
                <w:szCs w:val="22"/>
              </w:rPr>
            </w:pPr>
            <w:r w:rsidRPr="00224D96">
              <w:rPr>
                <w:rFonts w:ascii="Constantia" w:hAnsi="Constantia"/>
                <w:szCs w:val="22"/>
              </w:rPr>
              <w:t>Dolina rijeke Orahovštica</w:t>
            </w:r>
          </w:p>
        </w:tc>
        <w:tc>
          <w:tcPr>
            <w:tcW w:w="1440" w:type="dxa"/>
            <w:shd w:val="clear" w:color="auto" w:fill="E6EED5"/>
          </w:tcPr>
          <w:p w:rsidR="004B071C" w:rsidRPr="00224D96" w:rsidRDefault="004B071C" w:rsidP="00224D96">
            <w:pPr>
              <w:keepNext/>
              <w:keepLines/>
              <w:spacing w:before="60" w:after="0"/>
              <w:jc w:val="center"/>
              <w:outlineLvl w:val="3"/>
              <w:rPr>
                <w:rFonts w:ascii="Constantia" w:hAnsi="Constantia" w:cs="Arial"/>
                <w:bCs/>
                <w:iCs/>
                <w:color w:val="000000"/>
                <w:szCs w:val="22"/>
              </w:rPr>
            </w:pPr>
            <w:r w:rsidRPr="00224D96">
              <w:rPr>
                <w:rFonts w:ascii="Constantia" w:hAnsi="Constantia" w:cs="Arial"/>
                <w:bCs/>
                <w:iCs/>
                <w:color w:val="000000"/>
                <w:szCs w:val="22"/>
              </w:rPr>
              <w:t>B</w:t>
            </w:r>
          </w:p>
        </w:tc>
      </w:tr>
      <w:tr w:rsidR="004B071C" w:rsidRPr="00224D96" w:rsidTr="00D01BFD">
        <w:trPr>
          <w:trHeight w:val="85"/>
        </w:trPr>
        <w:tc>
          <w:tcPr>
            <w:tcW w:w="2538" w:type="dxa"/>
            <w:vMerge/>
            <w:shd w:val="clear" w:color="auto" w:fill="CDDDAC"/>
          </w:tcPr>
          <w:p w:rsidR="004B071C" w:rsidRPr="00224D96" w:rsidRDefault="004B071C" w:rsidP="00224D96">
            <w:pPr>
              <w:spacing w:after="0"/>
              <w:rPr>
                <w:rFonts w:ascii="Constantia" w:hAnsi="Constantia" w:cs="Arial"/>
                <w:bCs/>
                <w:szCs w:val="22"/>
              </w:rPr>
            </w:pPr>
          </w:p>
        </w:tc>
        <w:tc>
          <w:tcPr>
            <w:tcW w:w="5220" w:type="dxa"/>
            <w:shd w:val="clear" w:color="auto" w:fill="CDDDAC"/>
          </w:tcPr>
          <w:p w:rsidR="004B071C" w:rsidRPr="00224D96" w:rsidRDefault="004B071C" w:rsidP="00224D96">
            <w:pPr>
              <w:spacing w:after="0"/>
              <w:rPr>
                <w:rFonts w:ascii="Constantia" w:hAnsi="Constantia"/>
                <w:szCs w:val="22"/>
              </w:rPr>
            </w:pPr>
            <w:r w:rsidRPr="00224D96">
              <w:rPr>
                <w:rFonts w:ascii="Constantia" w:hAnsi="Constantia"/>
                <w:szCs w:val="22"/>
              </w:rPr>
              <w:t>Prevlaka</w:t>
            </w:r>
          </w:p>
        </w:tc>
        <w:tc>
          <w:tcPr>
            <w:tcW w:w="1440" w:type="dxa"/>
            <w:shd w:val="clear" w:color="auto" w:fill="CDDDAC"/>
          </w:tcPr>
          <w:p w:rsidR="004B071C" w:rsidRPr="00224D96" w:rsidRDefault="004B071C" w:rsidP="00224D96">
            <w:pPr>
              <w:keepNext/>
              <w:keepLines/>
              <w:spacing w:before="60" w:after="0"/>
              <w:jc w:val="center"/>
              <w:outlineLvl w:val="3"/>
              <w:rPr>
                <w:rFonts w:ascii="Constantia" w:hAnsi="Constantia" w:cs="Arial"/>
                <w:bCs/>
                <w:iCs/>
                <w:color w:val="000000"/>
                <w:szCs w:val="22"/>
              </w:rPr>
            </w:pPr>
            <w:r w:rsidRPr="00224D96">
              <w:rPr>
                <w:rFonts w:ascii="Constantia" w:hAnsi="Constantia" w:cs="Arial"/>
                <w:bCs/>
                <w:iCs/>
                <w:color w:val="000000"/>
                <w:szCs w:val="22"/>
              </w:rPr>
              <w:t>C</w:t>
            </w:r>
          </w:p>
        </w:tc>
      </w:tr>
      <w:tr w:rsidR="004B071C" w:rsidRPr="00224D96" w:rsidTr="00D01BFD">
        <w:trPr>
          <w:trHeight w:val="85"/>
        </w:trPr>
        <w:tc>
          <w:tcPr>
            <w:tcW w:w="2538" w:type="dxa"/>
            <w:vMerge/>
            <w:shd w:val="clear" w:color="auto" w:fill="E6EED5"/>
          </w:tcPr>
          <w:p w:rsidR="004B071C" w:rsidRPr="00224D96" w:rsidRDefault="004B071C" w:rsidP="00224D96">
            <w:pPr>
              <w:spacing w:after="0"/>
              <w:rPr>
                <w:rFonts w:ascii="Constantia" w:hAnsi="Constantia" w:cs="Arial"/>
                <w:bCs/>
                <w:szCs w:val="22"/>
              </w:rPr>
            </w:pPr>
          </w:p>
        </w:tc>
        <w:tc>
          <w:tcPr>
            <w:tcW w:w="5220" w:type="dxa"/>
            <w:shd w:val="clear" w:color="auto" w:fill="E6EED5"/>
          </w:tcPr>
          <w:p w:rsidR="004B071C" w:rsidRPr="00224D96" w:rsidRDefault="004B071C" w:rsidP="00224D96">
            <w:pPr>
              <w:spacing w:after="0"/>
              <w:rPr>
                <w:rFonts w:ascii="Constantia" w:hAnsi="Constantia"/>
                <w:szCs w:val="22"/>
              </w:rPr>
            </w:pPr>
            <w:r w:rsidRPr="00224D96">
              <w:rPr>
                <w:rFonts w:ascii="Constantia" w:hAnsi="Constantia"/>
                <w:szCs w:val="22"/>
              </w:rPr>
              <w:t>Debeli rt</w:t>
            </w:r>
          </w:p>
        </w:tc>
        <w:tc>
          <w:tcPr>
            <w:tcW w:w="1440" w:type="dxa"/>
            <w:shd w:val="clear" w:color="auto" w:fill="E6EED5"/>
          </w:tcPr>
          <w:p w:rsidR="004B071C" w:rsidRPr="00224D96" w:rsidRDefault="004B071C" w:rsidP="00224D96">
            <w:pPr>
              <w:keepNext/>
              <w:keepLines/>
              <w:spacing w:before="60" w:after="0"/>
              <w:jc w:val="center"/>
              <w:outlineLvl w:val="3"/>
              <w:rPr>
                <w:rFonts w:ascii="Constantia" w:hAnsi="Constantia" w:cs="Arial"/>
                <w:bCs/>
                <w:iCs/>
                <w:color w:val="000000"/>
                <w:szCs w:val="22"/>
              </w:rPr>
            </w:pPr>
            <w:r w:rsidRPr="00224D96">
              <w:rPr>
                <w:rFonts w:ascii="Constantia" w:hAnsi="Constantia" w:cs="Arial"/>
                <w:bCs/>
                <w:iCs/>
                <w:color w:val="000000"/>
                <w:szCs w:val="22"/>
              </w:rPr>
              <w:t>B</w:t>
            </w:r>
          </w:p>
        </w:tc>
      </w:tr>
      <w:tr w:rsidR="004B071C" w:rsidRPr="00224D96" w:rsidTr="00D01BFD">
        <w:trPr>
          <w:trHeight w:val="85"/>
        </w:trPr>
        <w:tc>
          <w:tcPr>
            <w:tcW w:w="2538" w:type="dxa"/>
            <w:vMerge/>
            <w:shd w:val="clear" w:color="auto" w:fill="CDDDAC"/>
          </w:tcPr>
          <w:p w:rsidR="004B071C" w:rsidRPr="00224D96" w:rsidRDefault="004B071C" w:rsidP="00224D96">
            <w:pPr>
              <w:spacing w:after="0"/>
              <w:rPr>
                <w:rFonts w:ascii="Constantia" w:hAnsi="Constantia" w:cs="Arial"/>
                <w:bCs/>
                <w:szCs w:val="22"/>
              </w:rPr>
            </w:pPr>
          </w:p>
        </w:tc>
        <w:tc>
          <w:tcPr>
            <w:tcW w:w="5220" w:type="dxa"/>
            <w:shd w:val="clear" w:color="auto" w:fill="CDDDAC"/>
          </w:tcPr>
          <w:p w:rsidR="004B071C" w:rsidRPr="00224D96" w:rsidRDefault="004B071C" w:rsidP="00224D96">
            <w:pPr>
              <w:spacing w:after="0"/>
              <w:rPr>
                <w:rFonts w:ascii="Constantia" w:hAnsi="Constantia"/>
                <w:szCs w:val="22"/>
              </w:rPr>
            </w:pPr>
            <w:r w:rsidRPr="00224D96">
              <w:rPr>
                <w:rFonts w:ascii="Constantia" w:hAnsi="Constantia"/>
                <w:szCs w:val="22"/>
              </w:rPr>
              <w:t>Zaliv Kunježa</w:t>
            </w:r>
          </w:p>
        </w:tc>
        <w:tc>
          <w:tcPr>
            <w:tcW w:w="1440" w:type="dxa"/>
            <w:shd w:val="clear" w:color="auto" w:fill="CDDDAC"/>
          </w:tcPr>
          <w:p w:rsidR="004B071C" w:rsidRPr="00224D96" w:rsidRDefault="004B071C" w:rsidP="00224D96">
            <w:pPr>
              <w:keepNext/>
              <w:keepLines/>
              <w:spacing w:before="60" w:after="0"/>
              <w:jc w:val="center"/>
              <w:outlineLvl w:val="3"/>
              <w:rPr>
                <w:rFonts w:ascii="Constantia" w:hAnsi="Constantia" w:cs="Arial"/>
                <w:bCs/>
                <w:iCs/>
                <w:color w:val="000000"/>
                <w:szCs w:val="22"/>
              </w:rPr>
            </w:pPr>
            <w:r w:rsidRPr="00224D96">
              <w:rPr>
                <w:rFonts w:ascii="Constantia" w:hAnsi="Constantia" w:cs="Arial"/>
                <w:bCs/>
                <w:iCs/>
                <w:color w:val="000000"/>
                <w:szCs w:val="22"/>
              </w:rPr>
              <w:t>C</w:t>
            </w:r>
          </w:p>
        </w:tc>
      </w:tr>
      <w:tr w:rsidR="004B071C" w:rsidRPr="00224D96" w:rsidTr="00D01BFD">
        <w:trPr>
          <w:trHeight w:val="85"/>
        </w:trPr>
        <w:tc>
          <w:tcPr>
            <w:tcW w:w="2538" w:type="dxa"/>
            <w:vMerge/>
            <w:shd w:val="clear" w:color="auto" w:fill="E6EED5"/>
          </w:tcPr>
          <w:p w:rsidR="004B071C" w:rsidRPr="00224D96" w:rsidRDefault="004B071C" w:rsidP="00224D96">
            <w:pPr>
              <w:spacing w:after="0"/>
              <w:rPr>
                <w:rFonts w:ascii="Constantia" w:hAnsi="Constantia" w:cs="Arial"/>
                <w:bCs/>
                <w:szCs w:val="22"/>
              </w:rPr>
            </w:pPr>
          </w:p>
        </w:tc>
        <w:tc>
          <w:tcPr>
            <w:tcW w:w="5220" w:type="dxa"/>
            <w:shd w:val="clear" w:color="auto" w:fill="E6EED5"/>
          </w:tcPr>
          <w:p w:rsidR="004B071C" w:rsidRPr="00224D96" w:rsidRDefault="004B071C" w:rsidP="00224D96">
            <w:pPr>
              <w:spacing w:after="0"/>
              <w:rPr>
                <w:rFonts w:ascii="Constantia" w:hAnsi="Constantia"/>
                <w:szCs w:val="22"/>
              </w:rPr>
            </w:pPr>
            <w:r w:rsidRPr="00224D96">
              <w:rPr>
                <w:rFonts w:ascii="Constantia" w:hAnsi="Constantia"/>
                <w:szCs w:val="22"/>
              </w:rPr>
              <w:t>Pritoke Sutormanske rijeke u Crmničkom polju</w:t>
            </w:r>
          </w:p>
        </w:tc>
        <w:tc>
          <w:tcPr>
            <w:tcW w:w="1440" w:type="dxa"/>
            <w:shd w:val="clear" w:color="auto" w:fill="E6EED5"/>
          </w:tcPr>
          <w:p w:rsidR="004B071C" w:rsidRPr="00224D96" w:rsidRDefault="004B071C" w:rsidP="00224D96">
            <w:pPr>
              <w:keepNext/>
              <w:keepLines/>
              <w:spacing w:before="60" w:after="0"/>
              <w:jc w:val="center"/>
              <w:outlineLvl w:val="3"/>
              <w:rPr>
                <w:rFonts w:ascii="Constantia" w:hAnsi="Constantia" w:cs="Arial"/>
                <w:bCs/>
                <w:iCs/>
                <w:color w:val="000000"/>
                <w:szCs w:val="22"/>
              </w:rPr>
            </w:pPr>
            <w:r w:rsidRPr="00224D96">
              <w:rPr>
                <w:rFonts w:ascii="Constantia" w:hAnsi="Constantia" w:cs="Arial"/>
                <w:bCs/>
                <w:iCs/>
                <w:color w:val="000000"/>
                <w:szCs w:val="22"/>
              </w:rPr>
              <w:t>B</w:t>
            </w:r>
          </w:p>
        </w:tc>
      </w:tr>
      <w:tr w:rsidR="004B071C" w:rsidRPr="00224D96" w:rsidTr="00D01BFD">
        <w:trPr>
          <w:trHeight w:val="89"/>
        </w:trPr>
        <w:tc>
          <w:tcPr>
            <w:tcW w:w="2538" w:type="dxa"/>
            <w:vMerge w:val="restart"/>
            <w:shd w:val="clear" w:color="auto" w:fill="CDDDAC"/>
          </w:tcPr>
          <w:p w:rsidR="004B071C" w:rsidRPr="00224D96" w:rsidRDefault="004B071C" w:rsidP="00224D96">
            <w:pPr>
              <w:spacing w:after="0"/>
              <w:rPr>
                <w:rFonts w:ascii="Constantia" w:hAnsi="Constantia" w:cs="Arial"/>
                <w:bCs/>
                <w:szCs w:val="22"/>
              </w:rPr>
            </w:pPr>
            <w:r w:rsidRPr="00224D96">
              <w:rPr>
                <w:rFonts w:ascii="Constantia" w:hAnsi="Constantia" w:cs="Arial"/>
                <w:bCs/>
                <w:szCs w:val="22"/>
              </w:rPr>
              <w:t>Saobraćaj</w:t>
            </w:r>
          </w:p>
        </w:tc>
        <w:tc>
          <w:tcPr>
            <w:tcW w:w="5220" w:type="dxa"/>
            <w:shd w:val="clear" w:color="auto" w:fill="CDDDAC"/>
          </w:tcPr>
          <w:p w:rsidR="004B071C" w:rsidRPr="00224D96" w:rsidRDefault="004B071C" w:rsidP="00224D96">
            <w:pPr>
              <w:spacing w:after="0"/>
              <w:rPr>
                <w:rFonts w:ascii="Constantia" w:hAnsi="Constantia"/>
                <w:szCs w:val="22"/>
              </w:rPr>
            </w:pPr>
            <w:r w:rsidRPr="00224D96">
              <w:rPr>
                <w:rFonts w:ascii="Constantia" w:hAnsi="Constantia"/>
                <w:szCs w:val="22"/>
              </w:rPr>
              <w:t>Lutra lutra / Pećina Jovovica i Šišarina</w:t>
            </w:r>
          </w:p>
        </w:tc>
        <w:tc>
          <w:tcPr>
            <w:tcW w:w="1440" w:type="dxa"/>
            <w:shd w:val="clear" w:color="auto" w:fill="CDDDAC"/>
          </w:tcPr>
          <w:p w:rsidR="004B071C" w:rsidRPr="00224D96" w:rsidRDefault="004B071C" w:rsidP="00224D96">
            <w:pPr>
              <w:keepNext/>
              <w:keepLines/>
              <w:spacing w:before="60" w:after="0"/>
              <w:jc w:val="center"/>
              <w:outlineLvl w:val="3"/>
              <w:rPr>
                <w:rFonts w:ascii="Constantia" w:hAnsi="Constantia" w:cs="Arial"/>
                <w:bCs/>
                <w:iCs/>
                <w:color w:val="000000"/>
                <w:szCs w:val="22"/>
              </w:rPr>
            </w:pPr>
            <w:r w:rsidRPr="00224D96">
              <w:rPr>
                <w:rFonts w:ascii="Constantia" w:hAnsi="Constantia" w:cs="Arial"/>
                <w:bCs/>
                <w:iCs/>
                <w:color w:val="000000"/>
                <w:szCs w:val="22"/>
              </w:rPr>
              <w:t>A</w:t>
            </w:r>
          </w:p>
        </w:tc>
      </w:tr>
      <w:tr w:rsidR="004B071C" w:rsidRPr="00224D96" w:rsidTr="00D01BFD">
        <w:trPr>
          <w:trHeight w:val="85"/>
        </w:trPr>
        <w:tc>
          <w:tcPr>
            <w:tcW w:w="2538" w:type="dxa"/>
            <w:vMerge/>
            <w:shd w:val="clear" w:color="auto" w:fill="E6EED5"/>
          </w:tcPr>
          <w:p w:rsidR="004B071C" w:rsidRPr="00224D96" w:rsidRDefault="004B071C" w:rsidP="00224D96">
            <w:pPr>
              <w:spacing w:after="0"/>
              <w:rPr>
                <w:rFonts w:ascii="Constantia" w:hAnsi="Constantia" w:cs="Arial"/>
                <w:bCs/>
                <w:szCs w:val="22"/>
              </w:rPr>
            </w:pPr>
          </w:p>
        </w:tc>
        <w:tc>
          <w:tcPr>
            <w:tcW w:w="5220" w:type="dxa"/>
            <w:shd w:val="clear" w:color="auto" w:fill="E6EED5"/>
          </w:tcPr>
          <w:p w:rsidR="004B071C" w:rsidRPr="00224D96" w:rsidRDefault="004B071C" w:rsidP="00224D96">
            <w:pPr>
              <w:spacing w:after="0"/>
              <w:rPr>
                <w:rFonts w:ascii="Constantia" w:hAnsi="Constantia"/>
                <w:szCs w:val="22"/>
              </w:rPr>
            </w:pPr>
            <w:r w:rsidRPr="00224D96">
              <w:rPr>
                <w:rFonts w:ascii="Constantia" w:hAnsi="Constantia"/>
                <w:szCs w:val="22"/>
              </w:rPr>
              <w:t>Dolina rijeke Orahovštica</w:t>
            </w:r>
          </w:p>
        </w:tc>
        <w:tc>
          <w:tcPr>
            <w:tcW w:w="1440" w:type="dxa"/>
            <w:shd w:val="clear" w:color="auto" w:fill="E6EED5"/>
          </w:tcPr>
          <w:p w:rsidR="004B071C" w:rsidRPr="00224D96" w:rsidRDefault="004B071C" w:rsidP="00224D96">
            <w:pPr>
              <w:keepNext/>
              <w:keepLines/>
              <w:spacing w:before="60" w:after="0"/>
              <w:jc w:val="center"/>
              <w:outlineLvl w:val="3"/>
              <w:rPr>
                <w:rFonts w:ascii="Constantia" w:hAnsi="Constantia" w:cs="Arial"/>
                <w:bCs/>
                <w:iCs/>
                <w:color w:val="000000"/>
                <w:szCs w:val="22"/>
              </w:rPr>
            </w:pPr>
            <w:r w:rsidRPr="00224D96">
              <w:rPr>
                <w:rFonts w:ascii="Constantia" w:hAnsi="Constantia" w:cs="Arial"/>
                <w:bCs/>
                <w:iCs/>
                <w:color w:val="000000"/>
                <w:szCs w:val="22"/>
              </w:rPr>
              <w:t>C</w:t>
            </w:r>
          </w:p>
        </w:tc>
      </w:tr>
      <w:tr w:rsidR="004B071C" w:rsidRPr="00224D96" w:rsidTr="00D01BFD">
        <w:trPr>
          <w:trHeight w:val="85"/>
        </w:trPr>
        <w:tc>
          <w:tcPr>
            <w:tcW w:w="2538" w:type="dxa"/>
            <w:vMerge/>
            <w:shd w:val="clear" w:color="auto" w:fill="CDDDAC"/>
          </w:tcPr>
          <w:p w:rsidR="004B071C" w:rsidRPr="00224D96" w:rsidRDefault="004B071C" w:rsidP="00224D96">
            <w:pPr>
              <w:spacing w:after="0"/>
              <w:rPr>
                <w:rFonts w:ascii="Constantia" w:hAnsi="Constantia" w:cs="Arial"/>
                <w:bCs/>
                <w:szCs w:val="22"/>
              </w:rPr>
            </w:pPr>
          </w:p>
        </w:tc>
        <w:tc>
          <w:tcPr>
            <w:tcW w:w="5220" w:type="dxa"/>
            <w:shd w:val="clear" w:color="auto" w:fill="CDDDAC"/>
          </w:tcPr>
          <w:p w:rsidR="004B071C" w:rsidRPr="00224D96" w:rsidRDefault="004B071C" w:rsidP="00224D96">
            <w:pPr>
              <w:spacing w:after="0"/>
              <w:rPr>
                <w:rFonts w:ascii="Constantia" w:hAnsi="Constantia"/>
                <w:szCs w:val="22"/>
              </w:rPr>
            </w:pPr>
            <w:r w:rsidRPr="00224D96">
              <w:rPr>
                <w:rFonts w:ascii="Constantia" w:hAnsi="Constantia"/>
                <w:szCs w:val="22"/>
              </w:rPr>
              <w:t>Prevlaka</w:t>
            </w:r>
          </w:p>
        </w:tc>
        <w:tc>
          <w:tcPr>
            <w:tcW w:w="1440" w:type="dxa"/>
            <w:shd w:val="clear" w:color="auto" w:fill="CDDDAC"/>
          </w:tcPr>
          <w:p w:rsidR="004B071C" w:rsidRPr="00224D96" w:rsidRDefault="004B071C" w:rsidP="00224D96">
            <w:pPr>
              <w:keepNext/>
              <w:keepLines/>
              <w:spacing w:before="60" w:after="0"/>
              <w:jc w:val="center"/>
              <w:outlineLvl w:val="3"/>
              <w:rPr>
                <w:rFonts w:ascii="Constantia" w:hAnsi="Constantia" w:cs="Arial"/>
                <w:bCs/>
                <w:iCs/>
                <w:color w:val="000000"/>
                <w:szCs w:val="22"/>
              </w:rPr>
            </w:pPr>
            <w:r w:rsidRPr="00224D96">
              <w:rPr>
                <w:rFonts w:ascii="Constantia" w:hAnsi="Constantia" w:cs="Arial"/>
                <w:bCs/>
                <w:iCs/>
                <w:color w:val="000000"/>
                <w:szCs w:val="22"/>
              </w:rPr>
              <w:t>C</w:t>
            </w:r>
          </w:p>
        </w:tc>
      </w:tr>
      <w:tr w:rsidR="004B071C" w:rsidRPr="00224D96" w:rsidTr="00D01BFD">
        <w:trPr>
          <w:trHeight w:val="85"/>
        </w:trPr>
        <w:tc>
          <w:tcPr>
            <w:tcW w:w="2538" w:type="dxa"/>
            <w:vMerge/>
            <w:shd w:val="clear" w:color="auto" w:fill="E6EED5"/>
          </w:tcPr>
          <w:p w:rsidR="004B071C" w:rsidRPr="00224D96" w:rsidRDefault="004B071C" w:rsidP="00224D96">
            <w:pPr>
              <w:spacing w:after="0"/>
              <w:rPr>
                <w:rFonts w:ascii="Constantia" w:hAnsi="Constantia" w:cs="Arial"/>
                <w:bCs/>
                <w:szCs w:val="22"/>
              </w:rPr>
            </w:pPr>
          </w:p>
        </w:tc>
        <w:tc>
          <w:tcPr>
            <w:tcW w:w="5220" w:type="dxa"/>
            <w:shd w:val="clear" w:color="auto" w:fill="E6EED5"/>
          </w:tcPr>
          <w:p w:rsidR="004B071C" w:rsidRPr="00224D96" w:rsidRDefault="004B071C" w:rsidP="00224D96">
            <w:pPr>
              <w:spacing w:after="0"/>
              <w:rPr>
                <w:rFonts w:ascii="Constantia" w:hAnsi="Constantia"/>
                <w:szCs w:val="22"/>
              </w:rPr>
            </w:pPr>
            <w:r w:rsidRPr="00224D96">
              <w:rPr>
                <w:rFonts w:ascii="Constantia" w:hAnsi="Constantia"/>
                <w:szCs w:val="22"/>
              </w:rPr>
              <w:t>Debeli rt</w:t>
            </w:r>
          </w:p>
        </w:tc>
        <w:tc>
          <w:tcPr>
            <w:tcW w:w="1440" w:type="dxa"/>
            <w:shd w:val="clear" w:color="auto" w:fill="E6EED5"/>
          </w:tcPr>
          <w:p w:rsidR="004B071C" w:rsidRPr="00224D96" w:rsidRDefault="004B071C" w:rsidP="00224D96">
            <w:pPr>
              <w:keepNext/>
              <w:keepLines/>
              <w:spacing w:before="60" w:after="0"/>
              <w:jc w:val="center"/>
              <w:outlineLvl w:val="3"/>
              <w:rPr>
                <w:rFonts w:ascii="Constantia" w:hAnsi="Constantia" w:cs="Arial"/>
                <w:bCs/>
                <w:iCs/>
                <w:color w:val="000000"/>
                <w:szCs w:val="22"/>
              </w:rPr>
            </w:pPr>
            <w:r w:rsidRPr="00224D96">
              <w:rPr>
                <w:rFonts w:ascii="Constantia" w:hAnsi="Constantia" w:cs="Arial"/>
                <w:bCs/>
                <w:iCs/>
                <w:color w:val="000000"/>
                <w:szCs w:val="22"/>
              </w:rPr>
              <w:t>A</w:t>
            </w:r>
          </w:p>
        </w:tc>
      </w:tr>
      <w:tr w:rsidR="004B071C" w:rsidRPr="00224D96" w:rsidTr="00D01BFD">
        <w:trPr>
          <w:trHeight w:val="85"/>
        </w:trPr>
        <w:tc>
          <w:tcPr>
            <w:tcW w:w="2538" w:type="dxa"/>
            <w:vMerge/>
            <w:shd w:val="clear" w:color="auto" w:fill="CDDDAC"/>
          </w:tcPr>
          <w:p w:rsidR="004B071C" w:rsidRPr="00224D96" w:rsidRDefault="004B071C" w:rsidP="00224D96">
            <w:pPr>
              <w:spacing w:after="0"/>
              <w:rPr>
                <w:rFonts w:ascii="Constantia" w:hAnsi="Constantia" w:cs="Arial"/>
                <w:bCs/>
                <w:szCs w:val="22"/>
              </w:rPr>
            </w:pPr>
          </w:p>
        </w:tc>
        <w:tc>
          <w:tcPr>
            <w:tcW w:w="5220" w:type="dxa"/>
            <w:shd w:val="clear" w:color="auto" w:fill="CDDDAC"/>
          </w:tcPr>
          <w:p w:rsidR="004B071C" w:rsidRPr="00224D96" w:rsidRDefault="004B071C" w:rsidP="00224D96">
            <w:pPr>
              <w:spacing w:after="0"/>
              <w:rPr>
                <w:rFonts w:ascii="Constantia" w:hAnsi="Constantia"/>
                <w:szCs w:val="22"/>
              </w:rPr>
            </w:pPr>
            <w:r w:rsidRPr="00224D96">
              <w:rPr>
                <w:rFonts w:ascii="Constantia" w:hAnsi="Constantia"/>
                <w:szCs w:val="22"/>
              </w:rPr>
              <w:t>Zaliv Kunježa</w:t>
            </w:r>
          </w:p>
        </w:tc>
        <w:tc>
          <w:tcPr>
            <w:tcW w:w="1440" w:type="dxa"/>
            <w:shd w:val="clear" w:color="auto" w:fill="CDDDAC"/>
          </w:tcPr>
          <w:p w:rsidR="004B071C" w:rsidRPr="00224D96" w:rsidRDefault="004B071C" w:rsidP="00224D96">
            <w:pPr>
              <w:keepNext/>
              <w:keepLines/>
              <w:spacing w:before="60" w:after="0"/>
              <w:jc w:val="center"/>
              <w:outlineLvl w:val="3"/>
              <w:rPr>
                <w:rFonts w:ascii="Constantia" w:hAnsi="Constantia" w:cs="Arial"/>
                <w:bCs/>
                <w:iCs/>
                <w:color w:val="000000"/>
                <w:szCs w:val="22"/>
              </w:rPr>
            </w:pPr>
            <w:r w:rsidRPr="00224D96">
              <w:rPr>
                <w:rFonts w:ascii="Constantia" w:hAnsi="Constantia" w:cs="Arial"/>
                <w:bCs/>
                <w:iCs/>
                <w:color w:val="000000"/>
                <w:szCs w:val="22"/>
              </w:rPr>
              <w:t>C</w:t>
            </w:r>
          </w:p>
        </w:tc>
      </w:tr>
      <w:tr w:rsidR="004B071C" w:rsidRPr="00224D96" w:rsidTr="00D01BFD">
        <w:trPr>
          <w:trHeight w:val="85"/>
        </w:trPr>
        <w:tc>
          <w:tcPr>
            <w:tcW w:w="2538" w:type="dxa"/>
            <w:vMerge/>
            <w:shd w:val="clear" w:color="auto" w:fill="E6EED5"/>
          </w:tcPr>
          <w:p w:rsidR="004B071C" w:rsidRPr="00224D96" w:rsidRDefault="004B071C" w:rsidP="00224D96">
            <w:pPr>
              <w:spacing w:after="0"/>
              <w:rPr>
                <w:rFonts w:ascii="Constantia" w:hAnsi="Constantia" w:cs="Arial"/>
                <w:bCs/>
                <w:szCs w:val="22"/>
              </w:rPr>
            </w:pPr>
          </w:p>
        </w:tc>
        <w:tc>
          <w:tcPr>
            <w:tcW w:w="5220" w:type="dxa"/>
            <w:shd w:val="clear" w:color="auto" w:fill="E6EED5"/>
          </w:tcPr>
          <w:p w:rsidR="004B071C" w:rsidRPr="00224D96" w:rsidRDefault="004B071C" w:rsidP="00224D96">
            <w:pPr>
              <w:spacing w:after="0"/>
              <w:rPr>
                <w:rFonts w:ascii="Constantia" w:hAnsi="Constantia"/>
                <w:szCs w:val="22"/>
              </w:rPr>
            </w:pPr>
            <w:r w:rsidRPr="00224D96">
              <w:rPr>
                <w:rFonts w:ascii="Constantia" w:hAnsi="Constantia"/>
                <w:szCs w:val="22"/>
              </w:rPr>
              <w:t>Pritoke Sutormanske rijeke u Crmničkom polju</w:t>
            </w:r>
          </w:p>
        </w:tc>
        <w:tc>
          <w:tcPr>
            <w:tcW w:w="1440" w:type="dxa"/>
            <w:shd w:val="clear" w:color="auto" w:fill="E6EED5"/>
          </w:tcPr>
          <w:p w:rsidR="004B071C" w:rsidRPr="00224D96" w:rsidRDefault="004B071C" w:rsidP="00224D96">
            <w:pPr>
              <w:keepNext/>
              <w:keepLines/>
              <w:spacing w:before="60" w:after="0"/>
              <w:jc w:val="center"/>
              <w:outlineLvl w:val="3"/>
              <w:rPr>
                <w:rFonts w:ascii="Constantia" w:hAnsi="Constantia" w:cs="Arial"/>
                <w:bCs/>
                <w:iCs/>
                <w:color w:val="000000"/>
                <w:szCs w:val="22"/>
              </w:rPr>
            </w:pPr>
            <w:r w:rsidRPr="00224D96">
              <w:rPr>
                <w:rFonts w:ascii="Constantia" w:hAnsi="Constantia" w:cs="Arial"/>
                <w:bCs/>
                <w:iCs/>
                <w:color w:val="000000"/>
                <w:szCs w:val="22"/>
              </w:rPr>
              <w:t>C</w:t>
            </w:r>
          </w:p>
        </w:tc>
      </w:tr>
      <w:tr w:rsidR="004B071C" w:rsidRPr="00224D96" w:rsidTr="00D01BFD">
        <w:trPr>
          <w:trHeight w:val="89"/>
        </w:trPr>
        <w:tc>
          <w:tcPr>
            <w:tcW w:w="2538" w:type="dxa"/>
            <w:vMerge w:val="restart"/>
            <w:shd w:val="clear" w:color="auto" w:fill="CDDDAC"/>
          </w:tcPr>
          <w:p w:rsidR="004B071C" w:rsidRPr="00224D96" w:rsidRDefault="004B071C" w:rsidP="00224D96">
            <w:pPr>
              <w:spacing w:after="0"/>
              <w:rPr>
                <w:rFonts w:ascii="Constantia" w:hAnsi="Constantia" w:cs="Arial"/>
                <w:bCs/>
                <w:szCs w:val="22"/>
              </w:rPr>
            </w:pPr>
            <w:r w:rsidRPr="00224D96">
              <w:rPr>
                <w:rFonts w:ascii="Constantia" w:hAnsi="Constantia" w:cs="Arial"/>
                <w:bCs/>
                <w:szCs w:val="22"/>
              </w:rPr>
              <w:t>Lov</w:t>
            </w:r>
          </w:p>
        </w:tc>
        <w:tc>
          <w:tcPr>
            <w:tcW w:w="5220" w:type="dxa"/>
            <w:shd w:val="clear" w:color="auto" w:fill="CDDDAC"/>
          </w:tcPr>
          <w:p w:rsidR="004B071C" w:rsidRPr="00224D96" w:rsidRDefault="004B071C" w:rsidP="00224D96">
            <w:pPr>
              <w:spacing w:after="0"/>
              <w:rPr>
                <w:rFonts w:ascii="Constantia" w:hAnsi="Constantia"/>
                <w:szCs w:val="22"/>
              </w:rPr>
            </w:pPr>
            <w:r w:rsidRPr="00224D96">
              <w:rPr>
                <w:rFonts w:ascii="Constantia" w:hAnsi="Constantia"/>
                <w:szCs w:val="22"/>
              </w:rPr>
              <w:t>Lutra lutra / Pećina Jovovica i Šišarina</w:t>
            </w:r>
          </w:p>
        </w:tc>
        <w:tc>
          <w:tcPr>
            <w:tcW w:w="1440" w:type="dxa"/>
            <w:shd w:val="clear" w:color="auto" w:fill="CDDDAC"/>
          </w:tcPr>
          <w:p w:rsidR="004B071C" w:rsidRPr="00224D96" w:rsidRDefault="004B071C" w:rsidP="00224D96">
            <w:pPr>
              <w:keepNext/>
              <w:keepLines/>
              <w:spacing w:before="60" w:after="0"/>
              <w:jc w:val="center"/>
              <w:outlineLvl w:val="3"/>
              <w:rPr>
                <w:rFonts w:ascii="Constantia" w:hAnsi="Constantia" w:cs="Arial"/>
                <w:bCs/>
                <w:iCs/>
                <w:color w:val="000000"/>
                <w:szCs w:val="22"/>
              </w:rPr>
            </w:pPr>
            <w:r w:rsidRPr="00224D96">
              <w:rPr>
                <w:rFonts w:ascii="Constantia" w:hAnsi="Constantia" w:cs="Arial"/>
                <w:bCs/>
                <w:iCs/>
                <w:color w:val="000000"/>
                <w:szCs w:val="22"/>
              </w:rPr>
              <w:t>C</w:t>
            </w:r>
          </w:p>
        </w:tc>
      </w:tr>
      <w:tr w:rsidR="004B071C" w:rsidRPr="00224D96" w:rsidTr="00D01BFD">
        <w:trPr>
          <w:trHeight w:val="85"/>
        </w:trPr>
        <w:tc>
          <w:tcPr>
            <w:tcW w:w="2538" w:type="dxa"/>
            <w:vMerge/>
            <w:shd w:val="clear" w:color="auto" w:fill="E6EED5"/>
          </w:tcPr>
          <w:p w:rsidR="004B071C" w:rsidRPr="00224D96" w:rsidRDefault="004B071C" w:rsidP="00224D96">
            <w:pPr>
              <w:spacing w:after="0"/>
              <w:rPr>
                <w:rFonts w:ascii="Constantia" w:hAnsi="Constantia" w:cs="Arial"/>
                <w:bCs/>
                <w:szCs w:val="22"/>
              </w:rPr>
            </w:pPr>
          </w:p>
        </w:tc>
        <w:tc>
          <w:tcPr>
            <w:tcW w:w="5220" w:type="dxa"/>
            <w:shd w:val="clear" w:color="auto" w:fill="E6EED5"/>
          </w:tcPr>
          <w:p w:rsidR="004B071C" w:rsidRPr="00224D96" w:rsidRDefault="004B071C" w:rsidP="00224D96">
            <w:pPr>
              <w:spacing w:after="0"/>
              <w:rPr>
                <w:rFonts w:ascii="Constantia" w:hAnsi="Constantia"/>
                <w:szCs w:val="22"/>
              </w:rPr>
            </w:pPr>
            <w:r w:rsidRPr="00224D96">
              <w:rPr>
                <w:rFonts w:ascii="Constantia" w:hAnsi="Constantia"/>
                <w:szCs w:val="22"/>
              </w:rPr>
              <w:t>Dolina rijeke Orahovštica</w:t>
            </w:r>
          </w:p>
        </w:tc>
        <w:tc>
          <w:tcPr>
            <w:tcW w:w="1440" w:type="dxa"/>
            <w:shd w:val="clear" w:color="auto" w:fill="E6EED5"/>
          </w:tcPr>
          <w:p w:rsidR="004B071C" w:rsidRPr="00224D96" w:rsidRDefault="004B071C" w:rsidP="00224D96">
            <w:pPr>
              <w:keepNext/>
              <w:keepLines/>
              <w:spacing w:before="60" w:after="0"/>
              <w:jc w:val="center"/>
              <w:outlineLvl w:val="3"/>
              <w:rPr>
                <w:rFonts w:ascii="Constantia" w:hAnsi="Constantia" w:cs="Arial"/>
                <w:bCs/>
                <w:iCs/>
                <w:color w:val="000000"/>
                <w:szCs w:val="22"/>
              </w:rPr>
            </w:pPr>
            <w:r w:rsidRPr="00224D96">
              <w:rPr>
                <w:rFonts w:ascii="Constantia" w:hAnsi="Constantia" w:cs="Arial"/>
                <w:bCs/>
                <w:iCs/>
                <w:color w:val="000000"/>
                <w:szCs w:val="22"/>
              </w:rPr>
              <w:t>B</w:t>
            </w:r>
          </w:p>
        </w:tc>
      </w:tr>
      <w:tr w:rsidR="004B071C" w:rsidRPr="00224D96" w:rsidTr="00D01BFD">
        <w:trPr>
          <w:trHeight w:val="85"/>
        </w:trPr>
        <w:tc>
          <w:tcPr>
            <w:tcW w:w="2538" w:type="dxa"/>
            <w:vMerge/>
            <w:shd w:val="clear" w:color="auto" w:fill="CDDDAC"/>
          </w:tcPr>
          <w:p w:rsidR="004B071C" w:rsidRPr="00224D96" w:rsidRDefault="004B071C" w:rsidP="00224D96">
            <w:pPr>
              <w:spacing w:after="0"/>
              <w:rPr>
                <w:rFonts w:ascii="Constantia" w:hAnsi="Constantia" w:cs="Arial"/>
                <w:bCs/>
                <w:szCs w:val="22"/>
              </w:rPr>
            </w:pPr>
          </w:p>
        </w:tc>
        <w:tc>
          <w:tcPr>
            <w:tcW w:w="5220" w:type="dxa"/>
            <w:shd w:val="clear" w:color="auto" w:fill="CDDDAC"/>
          </w:tcPr>
          <w:p w:rsidR="004B071C" w:rsidRPr="00224D96" w:rsidRDefault="004B071C" w:rsidP="00224D96">
            <w:pPr>
              <w:spacing w:after="0"/>
              <w:rPr>
                <w:rFonts w:ascii="Constantia" w:hAnsi="Constantia"/>
                <w:szCs w:val="22"/>
              </w:rPr>
            </w:pPr>
            <w:r w:rsidRPr="00224D96">
              <w:rPr>
                <w:rFonts w:ascii="Constantia" w:hAnsi="Constantia"/>
                <w:szCs w:val="22"/>
              </w:rPr>
              <w:t>Prevlaka</w:t>
            </w:r>
          </w:p>
        </w:tc>
        <w:tc>
          <w:tcPr>
            <w:tcW w:w="1440" w:type="dxa"/>
            <w:shd w:val="clear" w:color="auto" w:fill="CDDDAC"/>
          </w:tcPr>
          <w:p w:rsidR="004B071C" w:rsidRPr="00224D96" w:rsidRDefault="004B071C" w:rsidP="00224D96">
            <w:pPr>
              <w:keepNext/>
              <w:keepLines/>
              <w:spacing w:before="60" w:after="0"/>
              <w:jc w:val="center"/>
              <w:outlineLvl w:val="3"/>
              <w:rPr>
                <w:rFonts w:ascii="Constantia" w:hAnsi="Constantia" w:cs="Arial"/>
                <w:bCs/>
                <w:iCs/>
                <w:color w:val="000000"/>
                <w:szCs w:val="22"/>
              </w:rPr>
            </w:pPr>
            <w:r w:rsidRPr="00224D96">
              <w:rPr>
                <w:rFonts w:ascii="Constantia" w:hAnsi="Constantia" w:cs="Arial"/>
                <w:bCs/>
                <w:iCs/>
                <w:color w:val="000000"/>
                <w:szCs w:val="22"/>
              </w:rPr>
              <w:t>C</w:t>
            </w:r>
          </w:p>
        </w:tc>
      </w:tr>
      <w:tr w:rsidR="004B071C" w:rsidRPr="00224D96" w:rsidTr="00D01BFD">
        <w:trPr>
          <w:trHeight w:val="85"/>
        </w:trPr>
        <w:tc>
          <w:tcPr>
            <w:tcW w:w="2538" w:type="dxa"/>
            <w:vMerge/>
            <w:shd w:val="clear" w:color="auto" w:fill="E6EED5"/>
          </w:tcPr>
          <w:p w:rsidR="004B071C" w:rsidRPr="00224D96" w:rsidRDefault="004B071C" w:rsidP="00224D96">
            <w:pPr>
              <w:spacing w:after="0"/>
              <w:rPr>
                <w:rFonts w:ascii="Constantia" w:hAnsi="Constantia" w:cs="Arial"/>
                <w:bCs/>
                <w:szCs w:val="22"/>
              </w:rPr>
            </w:pPr>
          </w:p>
        </w:tc>
        <w:tc>
          <w:tcPr>
            <w:tcW w:w="5220" w:type="dxa"/>
            <w:shd w:val="clear" w:color="auto" w:fill="E6EED5"/>
          </w:tcPr>
          <w:p w:rsidR="004B071C" w:rsidRPr="00224D96" w:rsidRDefault="004B071C" w:rsidP="00224D96">
            <w:pPr>
              <w:spacing w:after="0"/>
              <w:rPr>
                <w:rFonts w:ascii="Constantia" w:hAnsi="Constantia"/>
                <w:szCs w:val="22"/>
              </w:rPr>
            </w:pPr>
            <w:r w:rsidRPr="00224D96">
              <w:rPr>
                <w:rFonts w:ascii="Constantia" w:hAnsi="Constantia"/>
                <w:szCs w:val="22"/>
              </w:rPr>
              <w:t>Debeli rt</w:t>
            </w:r>
          </w:p>
        </w:tc>
        <w:tc>
          <w:tcPr>
            <w:tcW w:w="1440" w:type="dxa"/>
            <w:shd w:val="clear" w:color="auto" w:fill="E6EED5"/>
          </w:tcPr>
          <w:p w:rsidR="004B071C" w:rsidRPr="00224D96" w:rsidRDefault="004B071C" w:rsidP="00224D96">
            <w:pPr>
              <w:keepNext/>
              <w:keepLines/>
              <w:spacing w:before="60" w:after="0"/>
              <w:jc w:val="center"/>
              <w:outlineLvl w:val="3"/>
              <w:rPr>
                <w:rFonts w:ascii="Constantia" w:hAnsi="Constantia" w:cs="Arial"/>
                <w:bCs/>
                <w:iCs/>
                <w:color w:val="000000"/>
                <w:szCs w:val="22"/>
              </w:rPr>
            </w:pPr>
            <w:r w:rsidRPr="00224D96">
              <w:rPr>
                <w:rFonts w:ascii="Constantia" w:hAnsi="Constantia" w:cs="Arial"/>
                <w:bCs/>
                <w:iCs/>
                <w:color w:val="000000"/>
                <w:szCs w:val="22"/>
              </w:rPr>
              <w:t>C</w:t>
            </w:r>
          </w:p>
        </w:tc>
      </w:tr>
      <w:tr w:rsidR="004B071C" w:rsidRPr="00224D96" w:rsidTr="00D01BFD">
        <w:trPr>
          <w:trHeight w:val="85"/>
        </w:trPr>
        <w:tc>
          <w:tcPr>
            <w:tcW w:w="2538" w:type="dxa"/>
            <w:vMerge/>
            <w:shd w:val="clear" w:color="auto" w:fill="CDDDAC"/>
          </w:tcPr>
          <w:p w:rsidR="004B071C" w:rsidRPr="00224D96" w:rsidRDefault="004B071C" w:rsidP="00224D96">
            <w:pPr>
              <w:spacing w:after="0"/>
              <w:rPr>
                <w:rFonts w:ascii="Constantia" w:hAnsi="Constantia" w:cs="Arial"/>
                <w:bCs/>
                <w:szCs w:val="22"/>
              </w:rPr>
            </w:pPr>
          </w:p>
        </w:tc>
        <w:tc>
          <w:tcPr>
            <w:tcW w:w="5220" w:type="dxa"/>
            <w:shd w:val="clear" w:color="auto" w:fill="CDDDAC"/>
          </w:tcPr>
          <w:p w:rsidR="004B071C" w:rsidRPr="00224D96" w:rsidRDefault="004B071C" w:rsidP="00224D96">
            <w:pPr>
              <w:spacing w:after="0"/>
              <w:rPr>
                <w:rFonts w:ascii="Constantia" w:hAnsi="Constantia"/>
                <w:szCs w:val="22"/>
              </w:rPr>
            </w:pPr>
            <w:r w:rsidRPr="00224D96">
              <w:rPr>
                <w:rFonts w:ascii="Constantia" w:hAnsi="Constantia"/>
                <w:szCs w:val="22"/>
              </w:rPr>
              <w:t>Zaliv Kunježa</w:t>
            </w:r>
          </w:p>
        </w:tc>
        <w:tc>
          <w:tcPr>
            <w:tcW w:w="1440" w:type="dxa"/>
            <w:shd w:val="clear" w:color="auto" w:fill="CDDDAC"/>
          </w:tcPr>
          <w:p w:rsidR="004B071C" w:rsidRPr="00224D96" w:rsidRDefault="004B071C" w:rsidP="00224D96">
            <w:pPr>
              <w:keepNext/>
              <w:keepLines/>
              <w:spacing w:before="60" w:after="0"/>
              <w:jc w:val="center"/>
              <w:outlineLvl w:val="3"/>
              <w:rPr>
                <w:rFonts w:ascii="Constantia" w:hAnsi="Constantia" w:cs="Arial"/>
                <w:bCs/>
                <w:iCs/>
                <w:color w:val="000000"/>
                <w:szCs w:val="22"/>
              </w:rPr>
            </w:pPr>
            <w:r w:rsidRPr="00224D96">
              <w:rPr>
                <w:rFonts w:ascii="Constantia" w:hAnsi="Constantia" w:cs="Arial"/>
                <w:bCs/>
                <w:iCs/>
                <w:color w:val="000000"/>
                <w:szCs w:val="22"/>
              </w:rPr>
              <w:t>B</w:t>
            </w:r>
          </w:p>
        </w:tc>
      </w:tr>
      <w:tr w:rsidR="004B071C" w:rsidRPr="00224D96" w:rsidTr="00D01BFD">
        <w:trPr>
          <w:trHeight w:val="85"/>
        </w:trPr>
        <w:tc>
          <w:tcPr>
            <w:tcW w:w="2538" w:type="dxa"/>
            <w:vMerge/>
            <w:shd w:val="clear" w:color="auto" w:fill="E6EED5"/>
          </w:tcPr>
          <w:p w:rsidR="004B071C" w:rsidRPr="00224D96" w:rsidRDefault="004B071C" w:rsidP="00224D96">
            <w:pPr>
              <w:spacing w:after="0"/>
              <w:rPr>
                <w:rFonts w:ascii="Constantia" w:hAnsi="Constantia" w:cs="Arial"/>
                <w:bCs/>
                <w:szCs w:val="22"/>
              </w:rPr>
            </w:pPr>
          </w:p>
        </w:tc>
        <w:tc>
          <w:tcPr>
            <w:tcW w:w="5220" w:type="dxa"/>
            <w:shd w:val="clear" w:color="auto" w:fill="E6EED5"/>
          </w:tcPr>
          <w:p w:rsidR="004B071C" w:rsidRPr="00224D96" w:rsidRDefault="004B071C" w:rsidP="00224D96">
            <w:pPr>
              <w:spacing w:after="0"/>
              <w:rPr>
                <w:rFonts w:ascii="Constantia" w:hAnsi="Constantia"/>
                <w:szCs w:val="22"/>
              </w:rPr>
            </w:pPr>
            <w:r w:rsidRPr="00224D96">
              <w:rPr>
                <w:rFonts w:ascii="Constantia" w:hAnsi="Constantia"/>
                <w:szCs w:val="22"/>
              </w:rPr>
              <w:t>Pritoke Sutormanske rijeke u Crmničkom polju</w:t>
            </w:r>
          </w:p>
        </w:tc>
        <w:tc>
          <w:tcPr>
            <w:tcW w:w="1440" w:type="dxa"/>
            <w:shd w:val="clear" w:color="auto" w:fill="E6EED5"/>
          </w:tcPr>
          <w:p w:rsidR="004B071C" w:rsidRPr="00224D96" w:rsidRDefault="004B071C" w:rsidP="00224D96">
            <w:pPr>
              <w:keepNext/>
              <w:keepLines/>
              <w:spacing w:before="60" w:after="0"/>
              <w:jc w:val="center"/>
              <w:outlineLvl w:val="3"/>
              <w:rPr>
                <w:rFonts w:ascii="Constantia" w:hAnsi="Constantia" w:cs="Arial"/>
                <w:bCs/>
                <w:iCs/>
                <w:color w:val="000000"/>
                <w:szCs w:val="22"/>
              </w:rPr>
            </w:pPr>
            <w:r w:rsidRPr="00224D96">
              <w:rPr>
                <w:rFonts w:ascii="Constantia" w:hAnsi="Constantia" w:cs="Arial"/>
                <w:bCs/>
                <w:iCs/>
                <w:color w:val="000000"/>
                <w:szCs w:val="22"/>
              </w:rPr>
              <w:t>C</w:t>
            </w:r>
          </w:p>
        </w:tc>
      </w:tr>
      <w:tr w:rsidR="004B071C" w:rsidRPr="00224D96" w:rsidTr="00D01BFD">
        <w:trPr>
          <w:trHeight w:val="89"/>
        </w:trPr>
        <w:tc>
          <w:tcPr>
            <w:tcW w:w="2538" w:type="dxa"/>
            <w:vMerge w:val="restart"/>
            <w:shd w:val="clear" w:color="auto" w:fill="CDDDAC"/>
          </w:tcPr>
          <w:p w:rsidR="004B071C" w:rsidRPr="00224D96" w:rsidRDefault="004B071C" w:rsidP="00224D96">
            <w:pPr>
              <w:spacing w:after="0"/>
              <w:rPr>
                <w:rFonts w:ascii="Constantia" w:hAnsi="Constantia" w:cs="Arial"/>
                <w:bCs/>
                <w:szCs w:val="22"/>
              </w:rPr>
            </w:pPr>
            <w:r w:rsidRPr="00224D96">
              <w:rPr>
                <w:rFonts w:ascii="Constantia" w:hAnsi="Constantia" w:cs="Arial"/>
                <w:bCs/>
                <w:szCs w:val="22"/>
              </w:rPr>
              <w:t>Turizam</w:t>
            </w:r>
          </w:p>
        </w:tc>
        <w:tc>
          <w:tcPr>
            <w:tcW w:w="5220" w:type="dxa"/>
            <w:shd w:val="clear" w:color="auto" w:fill="CDDDAC"/>
          </w:tcPr>
          <w:p w:rsidR="004B071C" w:rsidRPr="00224D96" w:rsidRDefault="004B071C" w:rsidP="00224D96">
            <w:pPr>
              <w:spacing w:after="0"/>
              <w:rPr>
                <w:rFonts w:ascii="Constantia" w:hAnsi="Constantia"/>
                <w:szCs w:val="22"/>
              </w:rPr>
            </w:pPr>
            <w:r w:rsidRPr="00224D96">
              <w:rPr>
                <w:rFonts w:ascii="Constantia" w:hAnsi="Constantia"/>
                <w:szCs w:val="22"/>
              </w:rPr>
              <w:t>Lutra lutra / Pećina Jovovica i Šišarina</w:t>
            </w:r>
          </w:p>
        </w:tc>
        <w:tc>
          <w:tcPr>
            <w:tcW w:w="1440" w:type="dxa"/>
            <w:shd w:val="clear" w:color="auto" w:fill="CDDDAC"/>
          </w:tcPr>
          <w:p w:rsidR="004B071C" w:rsidRPr="00224D96" w:rsidRDefault="004B071C" w:rsidP="00224D96">
            <w:pPr>
              <w:keepNext/>
              <w:keepLines/>
              <w:spacing w:before="60" w:after="0"/>
              <w:jc w:val="center"/>
              <w:outlineLvl w:val="3"/>
              <w:rPr>
                <w:rFonts w:ascii="Constantia" w:hAnsi="Constantia" w:cs="Arial"/>
                <w:bCs/>
                <w:iCs/>
                <w:color w:val="000000"/>
                <w:szCs w:val="22"/>
              </w:rPr>
            </w:pPr>
            <w:r w:rsidRPr="00224D96">
              <w:rPr>
                <w:rFonts w:ascii="Constantia" w:hAnsi="Constantia" w:cs="Arial"/>
                <w:bCs/>
                <w:iCs/>
                <w:color w:val="000000"/>
                <w:szCs w:val="22"/>
              </w:rPr>
              <w:t>B</w:t>
            </w:r>
          </w:p>
        </w:tc>
      </w:tr>
      <w:tr w:rsidR="004B071C" w:rsidRPr="00224D96" w:rsidTr="00D01BFD">
        <w:trPr>
          <w:trHeight w:val="85"/>
        </w:trPr>
        <w:tc>
          <w:tcPr>
            <w:tcW w:w="2538" w:type="dxa"/>
            <w:vMerge/>
            <w:shd w:val="clear" w:color="auto" w:fill="E6EED5"/>
          </w:tcPr>
          <w:p w:rsidR="004B071C" w:rsidRPr="00224D96" w:rsidRDefault="004B071C" w:rsidP="00224D96">
            <w:pPr>
              <w:spacing w:after="0"/>
              <w:rPr>
                <w:rFonts w:ascii="Constantia" w:hAnsi="Constantia" w:cs="Arial"/>
                <w:bCs/>
                <w:szCs w:val="22"/>
              </w:rPr>
            </w:pPr>
          </w:p>
        </w:tc>
        <w:tc>
          <w:tcPr>
            <w:tcW w:w="5220" w:type="dxa"/>
            <w:shd w:val="clear" w:color="auto" w:fill="E6EED5"/>
          </w:tcPr>
          <w:p w:rsidR="004B071C" w:rsidRPr="00224D96" w:rsidRDefault="004B071C" w:rsidP="00224D96">
            <w:pPr>
              <w:spacing w:after="0"/>
              <w:rPr>
                <w:rFonts w:ascii="Constantia" w:hAnsi="Constantia"/>
                <w:szCs w:val="22"/>
              </w:rPr>
            </w:pPr>
            <w:r w:rsidRPr="00224D96">
              <w:rPr>
                <w:rFonts w:ascii="Constantia" w:hAnsi="Constantia"/>
                <w:szCs w:val="22"/>
              </w:rPr>
              <w:t>Dolina rijeke Orahovštica</w:t>
            </w:r>
          </w:p>
        </w:tc>
        <w:tc>
          <w:tcPr>
            <w:tcW w:w="1440" w:type="dxa"/>
            <w:shd w:val="clear" w:color="auto" w:fill="E6EED5"/>
          </w:tcPr>
          <w:p w:rsidR="004B071C" w:rsidRPr="00224D96" w:rsidRDefault="004B071C" w:rsidP="00224D96">
            <w:pPr>
              <w:keepNext/>
              <w:keepLines/>
              <w:spacing w:before="60" w:after="0"/>
              <w:jc w:val="center"/>
              <w:outlineLvl w:val="3"/>
              <w:rPr>
                <w:rFonts w:ascii="Constantia" w:hAnsi="Constantia" w:cs="Arial"/>
                <w:bCs/>
                <w:iCs/>
                <w:color w:val="000000"/>
                <w:szCs w:val="22"/>
              </w:rPr>
            </w:pPr>
            <w:r w:rsidRPr="00224D96">
              <w:rPr>
                <w:rFonts w:ascii="Constantia" w:hAnsi="Constantia" w:cs="Arial"/>
                <w:bCs/>
                <w:iCs/>
                <w:color w:val="000000"/>
                <w:szCs w:val="22"/>
              </w:rPr>
              <w:t>C</w:t>
            </w:r>
          </w:p>
        </w:tc>
      </w:tr>
      <w:tr w:rsidR="004B071C" w:rsidRPr="00224D96" w:rsidTr="00D01BFD">
        <w:trPr>
          <w:trHeight w:val="85"/>
        </w:trPr>
        <w:tc>
          <w:tcPr>
            <w:tcW w:w="2538" w:type="dxa"/>
            <w:vMerge/>
            <w:shd w:val="clear" w:color="auto" w:fill="CDDDAC"/>
          </w:tcPr>
          <w:p w:rsidR="004B071C" w:rsidRPr="00224D96" w:rsidRDefault="004B071C" w:rsidP="00224D96">
            <w:pPr>
              <w:spacing w:after="0"/>
              <w:rPr>
                <w:rFonts w:ascii="Constantia" w:hAnsi="Constantia" w:cs="Arial"/>
                <w:bCs/>
                <w:szCs w:val="22"/>
              </w:rPr>
            </w:pPr>
          </w:p>
        </w:tc>
        <w:tc>
          <w:tcPr>
            <w:tcW w:w="5220" w:type="dxa"/>
            <w:shd w:val="clear" w:color="auto" w:fill="CDDDAC"/>
          </w:tcPr>
          <w:p w:rsidR="004B071C" w:rsidRPr="00224D96" w:rsidRDefault="004B071C" w:rsidP="00224D96">
            <w:pPr>
              <w:spacing w:after="0"/>
              <w:rPr>
                <w:rFonts w:ascii="Constantia" w:hAnsi="Constantia"/>
                <w:szCs w:val="22"/>
              </w:rPr>
            </w:pPr>
            <w:r w:rsidRPr="00224D96">
              <w:rPr>
                <w:rFonts w:ascii="Constantia" w:hAnsi="Constantia"/>
                <w:szCs w:val="22"/>
              </w:rPr>
              <w:t>Prevlaka</w:t>
            </w:r>
          </w:p>
        </w:tc>
        <w:tc>
          <w:tcPr>
            <w:tcW w:w="1440" w:type="dxa"/>
            <w:shd w:val="clear" w:color="auto" w:fill="CDDDAC"/>
          </w:tcPr>
          <w:p w:rsidR="004B071C" w:rsidRPr="00224D96" w:rsidRDefault="004B071C" w:rsidP="00224D96">
            <w:pPr>
              <w:keepNext/>
              <w:keepLines/>
              <w:spacing w:before="60" w:after="0"/>
              <w:jc w:val="center"/>
              <w:outlineLvl w:val="3"/>
              <w:rPr>
                <w:rFonts w:ascii="Constantia" w:hAnsi="Constantia" w:cs="Arial"/>
                <w:bCs/>
                <w:iCs/>
                <w:color w:val="000000"/>
                <w:szCs w:val="22"/>
              </w:rPr>
            </w:pPr>
            <w:r w:rsidRPr="00224D96">
              <w:rPr>
                <w:rFonts w:ascii="Constantia" w:hAnsi="Constantia" w:cs="Arial"/>
                <w:bCs/>
                <w:iCs/>
                <w:color w:val="000000"/>
                <w:szCs w:val="22"/>
              </w:rPr>
              <w:t>C</w:t>
            </w:r>
          </w:p>
        </w:tc>
      </w:tr>
      <w:tr w:rsidR="004B071C" w:rsidRPr="00224D96" w:rsidTr="00D01BFD">
        <w:trPr>
          <w:trHeight w:val="85"/>
        </w:trPr>
        <w:tc>
          <w:tcPr>
            <w:tcW w:w="2538" w:type="dxa"/>
            <w:vMerge/>
            <w:shd w:val="clear" w:color="auto" w:fill="E6EED5"/>
          </w:tcPr>
          <w:p w:rsidR="004B071C" w:rsidRPr="00224D96" w:rsidRDefault="004B071C" w:rsidP="00224D96">
            <w:pPr>
              <w:spacing w:after="0"/>
              <w:rPr>
                <w:rFonts w:ascii="Constantia" w:hAnsi="Constantia" w:cs="Arial"/>
                <w:bCs/>
                <w:szCs w:val="22"/>
              </w:rPr>
            </w:pPr>
          </w:p>
        </w:tc>
        <w:tc>
          <w:tcPr>
            <w:tcW w:w="5220" w:type="dxa"/>
            <w:shd w:val="clear" w:color="auto" w:fill="E6EED5"/>
          </w:tcPr>
          <w:p w:rsidR="004B071C" w:rsidRPr="00224D96" w:rsidRDefault="004B071C" w:rsidP="00224D96">
            <w:pPr>
              <w:spacing w:after="0"/>
              <w:rPr>
                <w:rFonts w:ascii="Constantia" w:hAnsi="Constantia"/>
                <w:szCs w:val="22"/>
              </w:rPr>
            </w:pPr>
            <w:r w:rsidRPr="00224D96">
              <w:rPr>
                <w:rFonts w:ascii="Constantia" w:hAnsi="Constantia"/>
                <w:szCs w:val="22"/>
              </w:rPr>
              <w:t>Debeli rt</w:t>
            </w:r>
          </w:p>
        </w:tc>
        <w:tc>
          <w:tcPr>
            <w:tcW w:w="1440" w:type="dxa"/>
            <w:shd w:val="clear" w:color="auto" w:fill="E6EED5"/>
          </w:tcPr>
          <w:p w:rsidR="004B071C" w:rsidRPr="00224D96" w:rsidRDefault="004B071C" w:rsidP="00224D96">
            <w:pPr>
              <w:keepNext/>
              <w:keepLines/>
              <w:spacing w:before="60" w:after="0"/>
              <w:jc w:val="center"/>
              <w:outlineLvl w:val="3"/>
              <w:rPr>
                <w:rFonts w:ascii="Constantia" w:hAnsi="Constantia" w:cs="Arial"/>
                <w:bCs/>
                <w:iCs/>
                <w:color w:val="000000"/>
                <w:szCs w:val="22"/>
              </w:rPr>
            </w:pPr>
            <w:r w:rsidRPr="00224D96">
              <w:rPr>
                <w:rFonts w:ascii="Constantia" w:hAnsi="Constantia" w:cs="Arial"/>
                <w:bCs/>
                <w:iCs/>
                <w:color w:val="000000"/>
                <w:szCs w:val="22"/>
              </w:rPr>
              <w:t>B</w:t>
            </w:r>
          </w:p>
        </w:tc>
      </w:tr>
      <w:tr w:rsidR="004B071C" w:rsidRPr="00224D96" w:rsidTr="00D01BFD">
        <w:trPr>
          <w:trHeight w:val="85"/>
        </w:trPr>
        <w:tc>
          <w:tcPr>
            <w:tcW w:w="2538" w:type="dxa"/>
            <w:vMerge/>
            <w:shd w:val="clear" w:color="auto" w:fill="CDDDAC"/>
          </w:tcPr>
          <w:p w:rsidR="004B071C" w:rsidRPr="00224D96" w:rsidRDefault="004B071C" w:rsidP="00224D96">
            <w:pPr>
              <w:spacing w:after="0"/>
              <w:rPr>
                <w:rFonts w:ascii="Constantia" w:hAnsi="Constantia" w:cs="Arial"/>
                <w:bCs/>
                <w:szCs w:val="22"/>
              </w:rPr>
            </w:pPr>
          </w:p>
        </w:tc>
        <w:tc>
          <w:tcPr>
            <w:tcW w:w="5220" w:type="dxa"/>
            <w:shd w:val="clear" w:color="auto" w:fill="CDDDAC"/>
          </w:tcPr>
          <w:p w:rsidR="004B071C" w:rsidRPr="00224D96" w:rsidRDefault="004B071C" w:rsidP="00224D96">
            <w:pPr>
              <w:spacing w:after="0"/>
              <w:rPr>
                <w:rFonts w:ascii="Constantia" w:hAnsi="Constantia"/>
                <w:szCs w:val="22"/>
              </w:rPr>
            </w:pPr>
            <w:r w:rsidRPr="00224D96">
              <w:rPr>
                <w:rFonts w:ascii="Constantia" w:hAnsi="Constantia"/>
                <w:szCs w:val="22"/>
              </w:rPr>
              <w:t>Zaliv Kunježa</w:t>
            </w:r>
          </w:p>
        </w:tc>
        <w:tc>
          <w:tcPr>
            <w:tcW w:w="1440" w:type="dxa"/>
            <w:shd w:val="clear" w:color="auto" w:fill="CDDDAC"/>
          </w:tcPr>
          <w:p w:rsidR="004B071C" w:rsidRPr="00224D96" w:rsidRDefault="004B071C" w:rsidP="00224D96">
            <w:pPr>
              <w:keepNext/>
              <w:keepLines/>
              <w:spacing w:before="60" w:after="0"/>
              <w:jc w:val="center"/>
              <w:outlineLvl w:val="3"/>
              <w:rPr>
                <w:rFonts w:ascii="Constantia" w:hAnsi="Constantia" w:cs="Arial"/>
                <w:bCs/>
                <w:iCs/>
                <w:color w:val="000000"/>
                <w:szCs w:val="22"/>
              </w:rPr>
            </w:pPr>
            <w:r w:rsidRPr="00224D96">
              <w:rPr>
                <w:rFonts w:ascii="Constantia" w:hAnsi="Constantia" w:cs="Arial"/>
                <w:bCs/>
                <w:iCs/>
                <w:color w:val="000000"/>
                <w:szCs w:val="22"/>
              </w:rPr>
              <w:t>C</w:t>
            </w:r>
          </w:p>
        </w:tc>
      </w:tr>
      <w:tr w:rsidR="004B071C" w:rsidRPr="00224D96" w:rsidTr="00D01BFD">
        <w:trPr>
          <w:trHeight w:val="85"/>
        </w:trPr>
        <w:tc>
          <w:tcPr>
            <w:tcW w:w="2538" w:type="dxa"/>
            <w:vMerge/>
            <w:shd w:val="clear" w:color="auto" w:fill="E6EED5"/>
          </w:tcPr>
          <w:p w:rsidR="004B071C" w:rsidRPr="00224D96" w:rsidRDefault="004B071C" w:rsidP="00224D96">
            <w:pPr>
              <w:spacing w:after="0"/>
              <w:rPr>
                <w:rFonts w:ascii="Constantia" w:hAnsi="Constantia" w:cs="Arial"/>
                <w:bCs/>
                <w:szCs w:val="22"/>
              </w:rPr>
            </w:pPr>
          </w:p>
        </w:tc>
        <w:tc>
          <w:tcPr>
            <w:tcW w:w="5220" w:type="dxa"/>
            <w:shd w:val="clear" w:color="auto" w:fill="E6EED5"/>
          </w:tcPr>
          <w:p w:rsidR="004B071C" w:rsidRPr="00224D96" w:rsidRDefault="004B071C" w:rsidP="00224D96">
            <w:pPr>
              <w:spacing w:after="0"/>
              <w:rPr>
                <w:rFonts w:ascii="Constantia" w:hAnsi="Constantia"/>
                <w:szCs w:val="22"/>
              </w:rPr>
            </w:pPr>
            <w:r w:rsidRPr="00224D96">
              <w:rPr>
                <w:rFonts w:ascii="Constantia" w:hAnsi="Constantia"/>
                <w:szCs w:val="22"/>
              </w:rPr>
              <w:t>Pritoke Sutormanske rijeke u Crmničkom polju</w:t>
            </w:r>
          </w:p>
        </w:tc>
        <w:tc>
          <w:tcPr>
            <w:tcW w:w="1440" w:type="dxa"/>
            <w:shd w:val="clear" w:color="auto" w:fill="E6EED5"/>
          </w:tcPr>
          <w:p w:rsidR="004B071C" w:rsidRPr="00224D96" w:rsidRDefault="004B071C" w:rsidP="00224D96">
            <w:pPr>
              <w:keepNext/>
              <w:keepLines/>
              <w:spacing w:before="60" w:after="0"/>
              <w:jc w:val="center"/>
              <w:outlineLvl w:val="3"/>
              <w:rPr>
                <w:rFonts w:ascii="Constantia" w:hAnsi="Constantia" w:cs="Arial"/>
                <w:bCs/>
                <w:iCs/>
                <w:color w:val="000000"/>
                <w:szCs w:val="22"/>
              </w:rPr>
            </w:pPr>
            <w:r w:rsidRPr="00224D96">
              <w:rPr>
                <w:rFonts w:ascii="Constantia" w:hAnsi="Constantia" w:cs="Arial"/>
                <w:bCs/>
                <w:iCs/>
                <w:color w:val="000000"/>
                <w:szCs w:val="22"/>
              </w:rPr>
              <w:t>C</w:t>
            </w:r>
          </w:p>
        </w:tc>
      </w:tr>
      <w:tr w:rsidR="004B071C" w:rsidRPr="00224D96" w:rsidTr="00D01BFD">
        <w:trPr>
          <w:trHeight w:val="89"/>
        </w:trPr>
        <w:tc>
          <w:tcPr>
            <w:tcW w:w="2538" w:type="dxa"/>
            <w:vMerge w:val="restart"/>
            <w:shd w:val="clear" w:color="auto" w:fill="CDDDAC"/>
          </w:tcPr>
          <w:p w:rsidR="004B071C" w:rsidRPr="00224D96" w:rsidRDefault="004B071C" w:rsidP="00224D96">
            <w:pPr>
              <w:spacing w:after="0"/>
              <w:rPr>
                <w:rFonts w:ascii="Constantia" w:hAnsi="Constantia" w:cs="Arial"/>
                <w:bCs/>
                <w:szCs w:val="22"/>
              </w:rPr>
            </w:pPr>
            <w:r w:rsidRPr="00224D96">
              <w:rPr>
                <w:rFonts w:ascii="Constantia" w:hAnsi="Constantia" w:cs="Arial"/>
                <w:bCs/>
                <w:szCs w:val="22"/>
              </w:rPr>
              <w:t>Ilegalna gradnja</w:t>
            </w:r>
          </w:p>
        </w:tc>
        <w:tc>
          <w:tcPr>
            <w:tcW w:w="5220" w:type="dxa"/>
            <w:shd w:val="clear" w:color="auto" w:fill="CDDDAC"/>
          </w:tcPr>
          <w:p w:rsidR="004B071C" w:rsidRPr="00224D96" w:rsidRDefault="004B071C" w:rsidP="00224D96">
            <w:pPr>
              <w:spacing w:after="0"/>
              <w:rPr>
                <w:rFonts w:ascii="Constantia" w:hAnsi="Constantia"/>
                <w:szCs w:val="22"/>
              </w:rPr>
            </w:pPr>
            <w:r w:rsidRPr="00224D96">
              <w:rPr>
                <w:rFonts w:ascii="Constantia" w:hAnsi="Constantia"/>
                <w:szCs w:val="22"/>
              </w:rPr>
              <w:t>Lutra lutra / Pećina Jovovica i Šišarina</w:t>
            </w:r>
          </w:p>
        </w:tc>
        <w:tc>
          <w:tcPr>
            <w:tcW w:w="1440" w:type="dxa"/>
            <w:shd w:val="clear" w:color="auto" w:fill="CDDDAC"/>
          </w:tcPr>
          <w:p w:rsidR="004B071C" w:rsidRPr="00224D96" w:rsidRDefault="004B071C" w:rsidP="00224D96">
            <w:pPr>
              <w:keepNext/>
              <w:keepLines/>
              <w:spacing w:before="60" w:after="0"/>
              <w:jc w:val="center"/>
              <w:outlineLvl w:val="3"/>
              <w:rPr>
                <w:rFonts w:ascii="Constantia" w:hAnsi="Constantia" w:cs="Arial"/>
                <w:bCs/>
                <w:iCs/>
                <w:color w:val="000000"/>
                <w:szCs w:val="22"/>
              </w:rPr>
            </w:pPr>
            <w:r w:rsidRPr="00224D96">
              <w:rPr>
                <w:rFonts w:ascii="Constantia" w:hAnsi="Constantia" w:cs="Arial"/>
                <w:bCs/>
                <w:iCs/>
                <w:color w:val="000000"/>
                <w:szCs w:val="22"/>
              </w:rPr>
              <w:t>A</w:t>
            </w:r>
          </w:p>
        </w:tc>
      </w:tr>
      <w:tr w:rsidR="004B071C" w:rsidRPr="00224D96" w:rsidTr="00D01BFD">
        <w:trPr>
          <w:trHeight w:val="85"/>
        </w:trPr>
        <w:tc>
          <w:tcPr>
            <w:tcW w:w="2538" w:type="dxa"/>
            <w:vMerge/>
            <w:shd w:val="clear" w:color="auto" w:fill="E6EED5"/>
          </w:tcPr>
          <w:p w:rsidR="004B071C" w:rsidRPr="00224D96" w:rsidRDefault="004B071C" w:rsidP="00224D96">
            <w:pPr>
              <w:spacing w:after="0"/>
              <w:rPr>
                <w:rFonts w:ascii="Constantia" w:hAnsi="Constantia" w:cs="Arial"/>
                <w:bCs/>
                <w:szCs w:val="22"/>
              </w:rPr>
            </w:pPr>
          </w:p>
        </w:tc>
        <w:tc>
          <w:tcPr>
            <w:tcW w:w="5220" w:type="dxa"/>
            <w:shd w:val="clear" w:color="auto" w:fill="E6EED5"/>
          </w:tcPr>
          <w:p w:rsidR="004B071C" w:rsidRPr="00224D96" w:rsidRDefault="004B071C" w:rsidP="00224D96">
            <w:pPr>
              <w:spacing w:after="0"/>
              <w:rPr>
                <w:rFonts w:ascii="Constantia" w:hAnsi="Constantia"/>
                <w:szCs w:val="22"/>
              </w:rPr>
            </w:pPr>
            <w:r w:rsidRPr="00224D96">
              <w:rPr>
                <w:rFonts w:ascii="Constantia" w:hAnsi="Constantia"/>
                <w:szCs w:val="22"/>
              </w:rPr>
              <w:t>Dolina rijeke Orahovštica</w:t>
            </w:r>
          </w:p>
        </w:tc>
        <w:tc>
          <w:tcPr>
            <w:tcW w:w="1440" w:type="dxa"/>
            <w:shd w:val="clear" w:color="auto" w:fill="E6EED5"/>
          </w:tcPr>
          <w:p w:rsidR="004B071C" w:rsidRPr="00224D96" w:rsidRDefault="004B071C" w:rsidP="00224D96">
            <w:pPr>
              <w:keepNext/>
              <w:keepLines/>
              <w:spacing w:before="60" w:after="0"/>
              <w:jc w:val="center"/>
              <w:outlineLvl w:val="3"/>
              <w:rPr>
                <w:rFonts w:ascii="Constantia" w:hAnsi="Constantia" w:cs="Arial"/>
                <w:bCs/>
                <w:iCs/>
                <w:color w:val="000000"/>
                <w:szCs w:val="22"/>
              </w:rPr>
            </w:pPr>
            <w:r w:rsidRPr="00224D96">
              <w:rPr>
                <w:rFonts w:ascii="Constantia" w:hAnsi="Constantia" w:cs="Arial"/>
                <w:bCs/>
                <w:iCs/>
                <w:color w:val="000000"/>
                <w:szCs w:val="22"/>
              </w:rPr>
              <w:t>C</w:t>
            </w:r>
          </w:p>
        </w:tc>
      </w:tr>
      <w:tr w:rsidR="004B071C" w:rsidRPr="00224D96" w:rsidTr="00D01BFD">
        <w:trPr>
          <w:trHeight w:val="85"/>
        </w:trPr>
        <w:tc>
          <w:tcPr>
            <w:tcW w:w="2538" w:type="dxa"/>
            <w:vMerge/>
            <w:shd w:val="clear" w:color="auto" w:fill="CDDDAC"/>
          </w:tcPr>
          <w:p w:rsidR="004B071C" w:rsidRPr="00224D96" w:rsidRDefault="004B071C" w:rsidP="00224D96">
            <w:pPr>
              <w:spacing w:after="0"/>
              <w:rPr>
                <w:rFonts w:ascii="Constantia" w:hAnsi="Constantia" w:cs="Arial"/>
                <w:bCs/>
                <w:szCs w:val="22"/>
              </w:rPr>
            </w:pPr>
          </w:p>
        </w:tc>
        <w:tc>
          <w:tcPr>
            <w:tcW w:w="5220" w:type="dxa"/>
            <w:shd w:val="clear" w:color="auto" w:fill="CDDDAC"/>
          </w:tcPr>
          <w:p w:rsidR="004B071C" w:rsidRPr="00224D96" w:rsidRDefault="004B071C" w:rsidP="00224D96">
            <w:pPr>
              <w:spacing w:after="0"/>
              <w:rPr>
                <w:rFonts w:ascii="Constantia" w:hAnsi="Constantia"/>
                <w:szCs w:val="22"/>
              </w:rPr>
            </w:pPr>
            <w:r w:rsidRPr="00224D96">
              <w:rPr>
                <w:rFonts w:ascii="Constantia" w:hAnsi="Constantia"/>
                <w:szCs w:val="22"/>
              </w:rPr>
              <w:t>Prevlaka</w:t>
            </w:r>
          </w:p>
        </w:tc>
        <w:tc>
          <w:tcPr>
            <w:tcW w:w="1440" w:type="dxa"/>
            <w:shd w:val="clear" w:color="auto" w:fill="CDDDAC"/>
          </w:tcPr>
          <w:p w:rsidR="004B071C" w:rsidRPr="00224D96" w:rsidRDefault="004B071C" w:rsidP="00224D96">
            <w:pPr>
              <w:keepNext/>
              <w:keepLines/>
              <w:spacing w:before="60" w:after="0"/>
              <w:jc w:val="center"/>
              <w:outlineLvl w:val="3"/>
              <w:rPr>
                <w:rFonts w:ascii="Constantia" w:hAnsi="Constantia" w:cs="Arial"/>
                <w:bCs/>
                <w:iCs/>
                <w:color w:val="000000"/>
                <w:szCs w:val="22"/>
              </w:rPr>
            </w:pPr>
            <w:r w:rsidRPr="00224D96">
              <w:rPr>
                <w:rFonts w:ascii="Constantia" w:hAnsi="Constantia" w:cs="Arial"/>
                <w:bCs/>
                <w:iCs/>
                <w:color w:val="000000"/>
                <w:szCs w:val="22"/>
              </w:rPr>
              <w:t>C</w:t>
            </w:r>
          </w:p>
        </w:tc>
      </w:tr>
      <w:tr w:rsidR="004B071C" w:rsidRPr="00224D96" w:rsidTr="00D01BFD">
        <w:trPr>
          <w:trHeight w:val="85"/>
        </w:trPr>
        <w:tc>
          <w:tcPr>
            <w:tcW w:w="2538" w:type="dxa"/>
            <w:vMerge/>
            <w:shd w:val="clear" w:color="auto" w:fill="E6EED5"/>
          </w:tcPr>
          <w:p w:rsidR="004B071C" w:rsidRPr="00224D96" w:rsidRDefault="004B071C" w:rsidP="00224D96">
            <w:pPr>
              <w:spacing w:after="0"/>
              <w:rPr>
                <w:rFonts w:ascii="Constantia" w:hAnsi="Constantia" w:cs="Arial"/>
                <w:bCs/>
                <w:szCs w:val="22"/>
              </w:rPr>
            </w:pPr>
          </w:p>
        </w:tc>
        <w:tc>
          <w:tcPr>
            <w:tcW w:w="5220" w:type="dxa"/>
            <w:shd w:val="clear" w:color="auto" w:fill="E6EED5"/>
          </w:tcPr>
          <w:p w:rsidR="004B071C" w:rsidRPr="00224D96" w:rsidRDefault="004B071C" w:rsidP="00224D96">
            <w:pPr>
              <w:spacing w:after="0"/>
              <w:rPr>
                <w:rFonts w:ascii="Constantia" w:hAnsi="Constantia"/>
                <w:szCs w:val="22"/>
              </w:rPr>
            </w:pPr>
            <w:r w:rsidRPr="00224D96">
              <w:rPr>
                <w:rFonts w:ascii="Constantia" w:hAnsi="Constantia"/>
                <w:szCs w:val="22"/>
              </w:rPr>
              <w:t>Debeli rt</w:t>
            </w:r>
          </w:p>
        </w:tc>
        <w:tc>
          <w:tcPr>
            <w:tcW w:w="1440" w:type="dxa"/>
            <w:shd w:val="clear" w:color="auto" w:fill="E6EED5"/>
          </w:tcPr>
          <w:p w:rsidR="004B071C" w:rsidRPr="00224D96" w:rsidRDefault="004B071C" w:rsidP="00224D96">
            <w:pPr>
              <w:keepNext/>
              <w:keepLines/>
              <w:spacing w:before="60" w:after="0"/>
              <w:jc w:val="center"/>
              <w:outlineLvl w:val="3"/>
              <w:rPr>
                <w:rFonts w:ascii="Constantia" w:hAnsi="Constantia" w:cs="Arial"/>
                <w:bCs/>
                <w:iCs/>
                <w:color w:val="000000"/>
                <w:szCs w:val="22"/>
              </w:rPr>
            </w:pPr>
            <w:r w:rsidRPr="00224D96">
              <w:rPr>
                <w:rFonts w:ascii="Constantia" w:hAnsi="Constantia" w:cs="Arial"/>
                <w:bCs/>
                <w:iCs/>
                <w:color w:val="000000"/>
                <w:szCs w:val="22"/>
              </w:rPr>
              <w:t>A</w:t>
            </w:r>
          </w:p>
        </w:tc>
      </w:tr>
      <w:tr w:rsidR="004B071C" w:rsidRPr="00224D96" w:rsidTr="00D01BFD">
        <w:trPr>
          <w:trHeight w:val="85"/>
        </w:trPr>
        <w:tc>
          <w:tcPr>
            <w:tcW w:w="2538" w:type="dxa"/>
            <w:vMerge/>
            <w:shd w:val="clear" w:color="auto" w:fill="CDDDAC"/>
          </w:tcPr>
          <w:p w:rsidR="004B071C" w:rsidRPr="00224D96" w:rsidRDefault="004B071C" w:rsidP="00224D96">
            <w:pPr>
              <w:spacing w:after="0"/>
              <w:rPr>
                <w:rFonts w:ascii="Constantia" w:hAnsi="Constantia" w:cs="Arial"/>
                <w:bCs/>
                <w:szCs w:val="22"/>
              </w:rPr>
            </w:pPr>
          </w:p>
        </w:tc>
        <w:tc>
          <w:tcPr>
            <w:tcW w:w="5220" w:type="dxa"/>
            <w:shd w:val="clear" w:color="auto" w:fill="CDDDAC"/>
          </w:tcPr>
          <w:p w:rsidR="004B071C" w:rsidRPr="00224D96" w:rsidRDefault="004B071C" w:rsidP="00224D96">
            <w:pPr>
              <w:spacing w:after="0"/>
              <w:rPr>
                <w:rFonts w:ascii="Constantia" w:hAnsi="Constantia"/>
                <w:szCs w:val="22"/>
              </w:rPr>
            </w:pPr>
            <w:r w:rsidRPr="00224D96">
              <w:rPr>
                <w:rFonts w:ascii="Constantia" w:hAnsi="Constantia"/>
                <w:szCs w:val="22"/>
              </w:rPr>
              <w:t>Zaliv Kunježa</w:t>
            </w:r>
          </w:p>
        </w:tc>
        <w:tc>
          <w:tcPr>
            <w:tcW w:w="1440" w:type="dxa"/>
            <w:shd w:val="clear" w:color="auto" w:fill="CDDDAC"/>
          </w:tcPr>
          <w:p w:rsidR="004B071C" w:rsidRPr="00224D96" w:rsidRDefault="004B071C" w:rsidP="00224D96">
            <w:pPr>
              <w:keepNext/>
              <w:keepLines/>
              <w:spacing w:before="60" w:after="0"/>
              <w:jc w:val="center"/>
              <w:outlineLvl w:val="3"/>
              <w:rPr>
                <w:rFonts w:ascii="Constantia" w:hAnsi="Constantia" w:cs="Arial"/>
                <w:bCs/>
                <w:iCs/>
                <w:color w:val="000000"/>
                <w:szCs w:val="22"/>
              </w:rPr>
            </w:pPr>
            <w:r w:rsidRPr="00224D96">
              <w:rPr>
                <w:rFonts w:ascii="Constantia" w:hAnsi="Constantia" w:cs="Arial"/>
                <w:bCs/>
                <w:iCs/>
                <w:color w:val="000000"/>
                <w:szCs w:val="22"/>
              </w:rPr>
              <w:t>B</w:t>
            </w:r>
          </w:p>
        </w:tc>
      </w:tr>
      <w:tr w:rsidR="004B071C" w:rsidRPr="00224D96" w:rsidTr="00D01BFD">
        <w:trPr>
          <w:trHeight w:val="85"/>
        </w:trPr>
        <w:tc>
          <w:tcPr>
            <w:tcW w:w="2538" w:type="dxa"/>
            <w:vMerge/>
            <w:shd w:val="clear" w:color="auto" w:fill="E6EED5"/>
          </w:tcPr>
          <w:p w:rsidR="004B071C" w:rsidRPr="00224D96" w:rsidRDefault="004B071C" w:rsidP="00224D96">
            <w:pPr>
              <w:spacing w:after="0"/>
              <w:rPr>
                <w:rFonts w:ascii="Constantia" w:hAnsi="Constantia" w:cs="Arial"/>
                <w:bCs/>
                <w:szCs w:val="22"/>
              </w:rPr>
            </w:pPr>
          </w:p>
        </w:tc>
        <w:tc>
          <w:tcPr>
            <w:tcW w:w="5220" w:type="dxa"/>
            <w:shd w:val="clear" w:color="auto" w:fill="E6EED5"/>
          </w:tcPr>
          <w:p w:rsidR="004B071C" w:rsidRPr="00224D96" w:rsidRDefault="004B071C" w:rsidP="00224D96">
            <w:pPr>
              <w:spacing w:after="0"/>
              <w:rPr>
                <w:rFonts w:ascii="Constantia" w:hAnsi="Constantia"/>
                <w:szCs w:val="22"/>
              </w:rPr>
            </w:pPr>
            <w:r w:rsidRPr="00224D96">
              <w:rPr>
                <w:rFonts w:ascii="Constantia" w:hAnsi="Constantia"/>
                <w:szCs w:val="22"/>
              </w:rPr>
              <w:t>Pritoke Sutormanske rijeke u Crmničkom polju</w:t>
            </w:r>
          </w:p>
        </w:tc>
        <w:tc>
          <w:tcPr>
            <w:tcW w:w="1440" w:type="dxa"/>
            <w:shd w:val="clear" w:color="auto" w:fill="E6EED5"/>
          </w:tcPr>
          <w:p w:rsidR="004B071C" w:rsidRPr="00224D96" w:rsidRDefault="004B071C" w:rsidP="00224D96">
            <w:pPr>
              <w:keepNext/>
              <w:keepLines/>
              <w:spacing w:before="60" w:after="0"/>
              <w:jc w:val="center"/>
              <w:outlineLvl w:val="3"/>
              <w:rPr>
                <w:rFonts w:ascii="Constantia" w:hAnsi="Constantia" w:cs="Arial"/>
                <w:bCs/>
                <w:iCs/>
                <w:color w:val="000000"/>
                <w:szCs w:val="22"/>
              </w:rPr>
            </w:pPr>
            <w:r w:rsidRPr="00224D96">
              <w:rPr>
                <w:rFonts w:ascii="Constantia" w:hAnsi="Constantia" w:cs="Arial"/>
                <w:bCs/>
                <w:iCs/>
                <w:color w:val="000000"/>
                <w:szCs w:val="22"/>
              </w:rPr>
              <w:t>C</w:t>
            </w:r>
          </w:p>
        </w:tc>
      </w:tr>
      <w:tr w:rsidR="004B071C" w:rsidRPr="00224D96" w:rsidTr="00D01BFD">
        <w:tc>
          <w:tcPr>
            <w:tcW w:w="2538" w:type="dxa"/>
            <w:shd w:val="clear" w:color="auto" w:fill="CDDDAC"/>
          </w:tcPr>
          <w:p w:rsidR="004B071C" w:rsidRPr="00224D96" w:rsidRDefault="004B071C" w:rsidP="00D65E40">
            <w:pPr>
              <w:keepNext/>
              <w:keepLines/>
              <w:spacing w:before="60" w:after="0"/>
              <w:jc w:val="left"/>
              <w:outlineLvl w:val="3"/>
              <w:rPr>
                <w:rFonts w:ascii="Constantia" w:hAnsi="Constantia" w:cs="Arial"/>
                <w:bCs/>
                <w:iCs/>
                <w:color w:val="000000"/>
                <w:szCs w:val="22"/>
              </w:rPr>
            </w:pPr>
            <w:r w:rsidRPr="00224D96">
              <w:rPr>
                <w:rFonts w:ascii="Constantia" w:hAnsi="Constantia" w:cs="Arial"/>
                <w:bCs/>
                <w:iCs/>
                <w:color w:val="000000"/>
                <w:szCs w:val="22"/>
              </w:rPr>
              <w:t>Turizam i istraživanja (posjeta pećina)</w:t>
            </w:r>
          </w:p>
        </w:tc>
        <w:tc>
          <w:tcPr>
            <w:tcW w:w="5220" w:type="dxa"/>
            <w:shd w:val="clear" w:color="auto" w:fill="CDDDAC"/>
          </w:tcPr>
          <w:p w:rsidR="004B071C" w:rsidRPr="00224D96" w:rsidRDefault="004B071C" w:rsidP="00224D96">
            <w:pPr>
              <w:keepNext/>
              <w:keepLines/>
              <w:spacing w:before="60" w:after="0"/>
              <w:outlineLvl w:val="3"/>
              <w:rPr>
                <w:rFonts w:ascii="Constantia" w:hAnsi="Constantia" w:cs="Arial"/>
                <w:bCs/>
                <w:iCs/>
                <w:color w:val="000000"/>
                <w:szCs w:val="22"/>
              </w:rPr>
            </w:pPr>
            <w:r w:rsidRPr="00224D96">
              <w:rPr>
                <w:rFonts w:ascii="Constantia" w:hAnsi="Constantia" w:cs="Arial"/>
                <w:bCs/>
                <w:iCs/>
                <w:color w:val="000000"/>
                <w:szCs w:val="22"/>
              </w:rPr>
              <w:t>Svi slijepi miševi</w:t>
            </w:r>
          </w:p>
        </w:tc>
        <w:tc>
          <w:tcPr>
            <w:tcW w:w="1440" w:type="dxa"/>
            <w:shd w:val="clear" w:color="auto" w:fill="CDDDAC"/>
          </w:tcPr>
          <w:p w:rsidR="004B071C" w:rsidRPr="00224D96" w:rsidRDefault="004B071C" w:rsidP="00224D96">
            <w:pPr>
              <w:keepNext/>
              <w:keepLines/>
              <w:spacing w:before="60" w:after="0"/>
              <w:jc w:val="center"/>
              <w:outlineLvl w:val="3"/>
              <w:rPr>
                <w:rFonts w:ascii="Constantia" w:hAnsi="Constantia" w:cs="Arial"/>
                <w:bCs/>
                <w:iCs/>
                <w:color w:val="000000"/>
                <w:szCs w:val="22"/>
              </w:rPr>
            </w:pPr>
            <w:r w:rsidRPr="00224D96">
              <w:rPr>
                <w:rFonts w:ascii="Constantia" w:hAnsi="Constantia" w:cs="Arial"/>
                <w:bCs/>
                <w:iCs/>
                <w:color w:val="000000"/>
                <w:szCs w:val="22"/>
              </w:rPr>
              <w:t>C</w:t>
            </w:r>
          </w:p>
        </w:tc>
      </w:tr>
      <w:tr w:rsidR="004B071C" w:rsidRPr="00224D96" w:rsidTr="00D01BFD">
        <w:tc>
          <w:tcPr>
            <w:tcW w:w="2538" w:type="dxa"/>
            <w:shd w:val="clear" w:color="auto" w:fill="E6EED5"/>
          </w:tcPr>
          <w:p w:rsidR="004B071C" w:rsidRPr="00224D96" w:rsidRDefault="004B071C" w:rsidP="00224D96">
            <w:pPr>
              <w:keepNext/>
              <w:keepLines/>
              <w:spacing w:before="60" w:after="0"/>
              <w:outlineLvl w:val="3"/>
              <w:rPr>
                <w:rFonts w:ascii="Constantia" w:hAnsi="Constantia" w:cs="Arial"/>
                <w:bCs/>
                <w:iCs/>
                <w:color w:val="000000"/>
                <w:szCs w:val="22"/>
              </w:rPr>
            </w:pPr>
            <w:r w:rsidRPr="00224D96">
              <w:rPr>
                <w:rFonts w:ascii="Constantia" w:hAnsi="Constantia" w:cs="Arial"/>
                <w:bCs/>
                <w:iCs/>
                <w:color w:val="000000"/>
                <w:szCs w:val="22"/>
              </w:rPr>
              <w:t>Fires</w:t>
            </w:r>
          </w:p>
        </w:tc>
        <w:tc>
          <w:tcPr>
            <w:tcW w:w="5220" w:type="dxa"/>
            <w:shd w:val="clear" w:color="auto" w:fill="E6EED5"/>
          </w:tcPr>
          <w:p w:rsidR="004B071C" w:rsidRPr="00224D96" w:rsidRDefault="004B071C" w:rsidP="00224D96">
            <w:pPr>
              <w:keepNext/>
              <w:keepLines/>
              <w:spacing w:before="60" w:after="0"/>
              <w:outlineLvl w:val="3"/>
              <w:rPr>
                <w:rFonts w:ascii="Constantia" w:hAnsi="Constantia" w:cs="Arial"/>
                <w:bCs/>
                <w:iCs/>
                <w:color w:val="000000"/>
                <w:szCs w:val="22"/>
              </w:rPr>
            </w:pPr>
            <w:r w:rsidRPr="00224D96">
              <w:rPr>
                <w:rFonts w:ascii="Constantia" w:hAnsi="Constantia" w:cs="Arial"/>
                <w:bCs/>
                <w:iCs/>
                <w:color w:val="000000"/>
                <w:szCs w:val="22"/>
              </w:rPr>
              <w:t xml:space="preserve"> Svi slijepi miševi</w:t>
            </w:r>
          </w:p>
        </w:tc>
        <w:tc>
          <w:tcPr>
            <w:tcW w:w="1440" w:type="dxa"/>
            <w:shd w:val="clear" w:color="auto" w:fill="E6EED5"/>
          </w:tcPr>
          <w:p w:rsidR="004B071C" w:rsidRPr="00224D96" w:rsidRDefault="004B071C" w:rsidP="00224D96">
            <w:pPr>
              <w:keepNext/>
              <w:keepLines/>
              <w:spacing w:before="60" w:after="0"/>
              <w:jc w:val="center"/>
              <w:outlineLvl w:val="3"/>
              <w:rPr>
                <w:rFonts w:ascii="Constantia" w:hAnsi="Constantia" w:cs="Arial"/>
                <w:bCs/>
                <w:iCs/>
                <w:color w:val="000000"/>
                <w:szCs w:val="22"/>
              </w:rPr>
            </w:pPr>
            <w:r w:rsidRPr="00224D96">
              <w:rPr>
                <w:rFonts w:ascii="Constantia" w:hAnsi="Constantia" w:cs="Arial"/>
                <w:bCs/>
                <w:iCs/>
                <w:color w:val="000000"/>
                <w:szCs w:val="22"/>
              </w:rPr>
              <w:t>B</w:t>
            </w:r>
          </w:p>
        </w:tc>
      </w:tr>
    </w:tbl>
    <w:p w:rsidR="004B071C" w:rsidRDefault="00224D96" w:rsidP="004B071C">
      <w:pPr>
        <w:pStyle w:val="Tabele"/>
        <w:spacing w:before="60" w:after="240"/>
        <w:ind w:left="714" w:hanging="357"/>
        <w:rPr>
          <w:rFonts w:ascii="Constantia" w:hAnsi="Constantia"/>
          <w:sz w:val="22"/>
          <w:szCs w:val="22"/>
        </w:rPr>
      </w:pPr>
      <w:r>
        <w:t xml:space="preserve"> </w:t>
      </w:r>
      <w:r w:rsidR="004B071C" w:rsidRPr="00224D96">
        <w:rPr>
          <w:rFonts w:ascii="Constantia" w:hAnsi="Constantia"/>
          <w:sz w:val="22"/>
          <w:szCs w:val="22"/>
        </w:rPr>
        <w:t>Procjena uticaja aktivnosti na populacije sisara</w:t>
      </w:r>
    </w:p>
    <w:p w:rsidR="008C66E3" w:rsidRDefault="008C66E3" w:rsidP="008C66E3">
      <w:pPr>
        <w:pStyle w:val="Tabele"/>
        <w:numPr>
          <w:ilvl w:val="0"/>
          <w:numId w:val="0"/>
        </w:numPr>
        <w:ind w:left="630" w:hanging="360"/>
        <w:jc w:val="both"/>
        <w:rPr>
          <w:i w:val="0"/>
          <w:sz w:val="22"/>
          <w:szCs w:val="22"/>
        </w:rPr>
      </w:pPr>
    </w:p>
    <w:p w:rsidR="008C66E3" w:rsidRPr="001F1C8E" w:rsidRDefault="008C66E3" w:rsidP="001F1C8E">
      <w:pPr>
        <w:pStyle w:val="Tabele"/>
        <w:numPr>
          <w:ilvl w:val="0"/>
          <w:numId w:val="0"/>
        </w:numPr>
        <w:jc w:val="both"/>
        <w:rPr>
          <w:rFonts w:ascii="Constantia" w:hAnsi="Constantia"/>
          <w:b/>
          <w:i w:val="0"/>
          <w:sz w:val="22"/>
          <w:szCs w:val="22"/>
        </w:rPr>
      </w:pPr>
      <w:r w:rsidRPr="001F1C8E">
        <w:rPr>
          <w:rFonts w:ascii="Constantia" w:hAnsi="Constantia"/>
          <w:b/>
          <w:i w:val="0"/>
          <w:sz w:val="22"/>
          <w:szCs w:val="22"/>
        </w:rPr>
        <w:t>P</w:t>
      </w:r>
      <w:r w:rsidR="001F1C8E">
        <w:rPr>
          <w:rFonts w:ascii="Constantia" w:hAnsi="Constantia"/>
          <w:b/>
          <w:i w:val="0"/>
          <w:sz w:val="22"/>
          <w:szCs w:val="22"/>
        </w:rPr>
        <w:t>RILOG 1</w:t>
      </w:r>
    </w:p>
    <w:p w:rsidR="008C66E3" w:rsidRPr="001F1C8E" w:rsidRDefault="008C66E3" w:rsidP="001F1C8E">
      <w:pPr>
        <w:pStyle w:val="Tabele"/>
        <w:numPr>
          <w:ilvl w:val="0"/>
          <w:numId w:val="0"/>
        </w:numPr>
        <w:jc w:val="both"/>
        <w:rPr>
          <w:rFonts w:ascii="Constantia" w:hAnsi="Constantia"/>
          <w:i w:val="0"/>
          <w:sz w:val="22"/>
          <w:szCs w:val="22"/>
        </w:rPr>
      </w:pPr>
      <w:r w:rsidRPr="001F1C8E">
        <w:rPr>
          <w:rFonts w:ascii="Constantia" w:hAnsi="Constantia"/>
          <w:i w:val="0"/>
          <w:sz w:val="22"/>
          <w:szCs w:val="22"/>
        </w:rPr>
        <w:t>Metodologija izvještavanja</w:t>
      </w:r>
      <w:r w:rsidR="001F1C8E" w:rsidRPr="001F1C8E">
        <w:rPr>
          <w:rFonts w:ascii="Constantia" w:hAnsi="Constantia"/>
          <w:i w:val="0"/>
          <w:sz w:val="22"/>
          <w:szCs w:val="22"/>
        </w:rPr>
        <w:t xml:space="preserve"> </w:t>
      </w:r>
      <w:r w:rsidRPr="001F1C8E">
        <w:rPr>
          <w:rFonts w:ascii="Constantia" w:hAnsi="Constantia"/>
          <w:i w:val="0"/>
          <w:sz w:val="22"/>
          <w:szCs w:val="22"/>
        </w:rPr>
        <w:t>- Skadarsko jezero</w:t>
      </w:r>
    </w:p>
    <w:tbl>
      <w:tblPr>
        <w:tblW w:w="9090" w:type="dxa"/>
        <w:tblInd w:w="108"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firstRow="1" w:lastRow="0" w:firstColumn="1" w:lastColumn="0" w:noHBand="0" w:noVBand="1"/>
      </w:tblPr>
      <w:tblGrid>
        <w:gridCol w:w="4050"/>
        <w:gridCol w:w="5040"/>
      </w:tblGrid>
      <w:tr w:rsidR="008C66E3" w:rsidRPr="001F1C8E" w:rsidTr="00C12489">
        <w:tc>
          <w:tcPr>
            <w:tcW w:w="9090" w:type="dxa"/>
            <w:gridSpan w:val="2"/>
            <w:shd w:val="clear" w:color="auto" w:fill="E6EED5"/>
          </w:tcPr>
          <w:p w:rsidR="008C66E3" w:rsidRPr="001F1C8E" w:rsidRDefault="001F1C8E" w:rsidP="001F1C8E">
            <w:pPr>
              <w:autoSpaceDE w:val="0"/>
              <w:autoSpaceDN w:val="0"/>
              <w:adjustRightInd w:val="0"/>
              <w:spacing w:after="0"/>
              <w:jc w:val="center"/>
              <w:rPr>
                <w:rFonts w:ascii="Constantia" w:hAnsi="Constantia" w:cs="Arial"/>
                <w:b/>
                <w:bCs/>
                <w:color w:val="000000"/>
                <w:szCs w:val="22"/>
              </w:rPr>
            </w:pPr>
            <w:r>
              <w:rPr>
                <w:rFonts w:ascii="Constantia" w:hAnsi="Constantia" w:cs="Arial"/>
                <w:b/>
                <w:bCs/>
                <w:color w:val="000000"/>
                <w:szCs w:val="22"/>
              </w:rPr>
              <w:t>Vrste</w:t>
            </w:r>
          </w:p>
        </w:tc>
      </w:tr>
      <w:tr w:rsidR="008C66E3" w:rsidRPr="001F1C8E" w:rsidTr="00C12489">
        <w:tc>
          <w:tcPr>
            <w:tcW w:w="4050" w:type="dxa"/>
            <w:shd w:val="clear" w:color="auto" w:fill="CDDDAC"/>
          </w:tcPr>
          <w:p w:rsidR="008C66E3" w:rsidRPr="001F1C8E" w:rsidRDefault="008C66E3" w:rsidP="00912E35">
            <w:pPr>
              <w:autoSpaceDE w:val="0"/>
              <w:autoSpaceDN w:val="0"/>
              <w:adjustRightInd w:val="0"/>
              <w:spacing w:after="0"/>
              <w:rPr>
                <w:rFonts w:ascii="Constantia" w:hAnsi="Constantia" w:cs="Arial"/>
                <w:b/>
                <w:bCs/>
                <w:color w:val="000000"/>
                <w:szCs w:val="22"/>
              </w:rPr>
            </w:pPr>
            <w:r w:rsidRPr="001F1C8E">
              <w:rPr>
                <w:rFonts w:ascii="Constantia" w:hAnsi="Constantia" w:cs="Arial"/>
                <w:b/>
                <w:bCs/>
                <w:color w:val="000000"/>
                <w:szCs w:val="22"/>
              </w:rPr>
              <w:t>Grupa</w:t>
            </w:r>
          </w:p>
        </w:tc>
        <w:tc>
          <w:tcPr>
            <w:tcW w:w="5040" w:type="dxa"/>
            <w:shd w:val="clear" w:color="auto" w:fill="CDDDAC"/>
          </w:tcPr>
          <w:p w:rsidR="008C66E3" w:rsidRPr="001F1C8E" w:rsidRDefault="008C66E3" w:rsidP="00912E35">
            <w:pPr>
              <w:autoSpaceDE w:val="0"/>
              <w:autoSpaceDN w:val="0"/>
              <w:adjustRightInd w:val="0"/>
              <w:spacing w:after="0"/>
              <w:rPr>
                <w:rFonts w:ascii="Constantia" w:hAnsi="Constantia" w:cs="Arial"/>
                <w:bCs/>
                <w:color w:val="000000"/>
                <w:szCs w:val="22"/>
              </w:rPr>
            </w:pPr>
            <w:r w:rsidRPr="001F1C8E">
              <w:rPr>
                <w:rFonts w:ascii="Constantia" w:hAnsi="Constantia" w:cs="Arial"/>
                <w:color w:val="000000"/>
                <w:szCs w:val="22"/>
              </w:rPr>
              <w:t>A = Vodozemci (Amphibians), B = Ptice (Birds), F = Ribe (Fish), I = Invertebrate  (Invertebrates), M = Sisari (Mammals), P = Biljke (Plants), R = Gmizavci (Reptiles)</w:t>
            </w:r>
          </w:p>
        </w:tc>
      </w:tr>
      <w:tr w:rsidR="008C66E3" w:rsidRPr="001F1C8E" w:rsidTr="00C12489">
        <w:tc>
          <w:tcPr>
            <w:tcW w:w="4050" w:type="dxa"/>
            <w:shd w:val="clear" w:color="auto" w:fill="E6EED5"/>
          </w:tcPr>
          <w:p w:rsidR="008C66E3" w:rsidRPr="001F1C8E" w:rsidRDefault="008C66E3" w:rsidP="00912E35">
            <w:pPr>
              <w:autoSpaceDE w:val="0"/>
              <w:autoSpaceDN w:val="0"/>
              <w:adjustRightInd w:val="0"/>
              <w:spacing w:after="0"/>
              <w:rPr>
                <w:rFonts w:ascii="Constantia" w:hAnsi="Constantia" w:cs="Arial"/>
                <w:b/>
                <w:bCs/>
                <w:color w:val="000000"/>
                <w:szCs w:val="22"/>
              </w:rPr>
            </w:pPr>
            <w:r w:rsidRPr="001F1C8E">
              <w:rPr>
                <w:rFonts w:ascii="Constantia" w:hAnsi="Constantia" w:cs="Arial"/>
                <w:b/>
                <w:bCs/>
                <w:color w:val="000000"/>
                <w:szCs w:val="22"/>
              </w:rPr>
              <w:t>Kod</w:t>
            </w:r>
          </w:p>
        </w:tc>
        <w:tc>
          <w:tcPr>
            <w:tcW w:w="5040" w:type="dxa"/>
            <w:shd w:val="clear" w:color="auto" w:fill="E6EED5"/>
          </w:tcPr>
          <w:p w:rsidR="008C66E3" w:rsidRPr="001F1C8E" w:rsidRDefault="008C66E3" w:rsidP="00912E35">
            <w:pPr>
              <w:autoSpaceDE w:val="0"/>
              <w:autoSpaceDN w:val="0"/>
              <w:adjustRightInd w:val="0"/>
              <w:spacing w:after="0"/>
              <w:rPr>
                <w:rFonts w:ascii="Constantia" w:hAnsi="Constantia" w:cs="Arial"/>
                <w:bCs/>
                <w:color w:val="000000"/>
                <w:szCs w:val="22"/>
              </w:rPr>
            </w:pPr>
            <w:r w:rsidRPr="001F1C8E">
              <w:rPr>
                <w:rFonts w:ascii="Constantia" w:hAnsi="Constantia" w:cs="Arial"/>
                <w:color w:val="000000"/>
                <w:szCs w:val="22"/>
              </w:rPr>
              <w:t>Kod vrste po Naturi 2000</w:t>
            </w:r>
          </w:p>
        </w:tc>
      </w:tr>
      <w:tr w:rsidR="008C66E3" w:rsidRPr="001F1C8E" w:rsidTr="00C12489">
        <w:tc>
          <w:tcPr>
            <w:tcW w:w="4050" w:type="dxa"/>
            <w:shd w:val="clear" w:color="auto" w:fill="CDDDAC"/>
          </w:tcPr>
          <w:p w:rsidR="008C66E3" w:rsidRPr="001F1C8E" w:rsidRDefault="008C66E3" w:rsidP="00912E35">
            <w:pPr>
              <w:autoSpaceDE w:val="0"/>
              <w:autoSpaceDN w:val="0"/>
              <w:adjustRightInd w:val="0"/>
              <w:spacing w:after="0"/>
              <w:rPr>
                <w:rFonts w:ascii="Constantia" w:hAnsi="Constantia" w:cs="Arial"/>
                <w:b/>
                <w:bCs/>
                <w:color w:val="000000"/>
                <w:szCs w:val="22"/>
              </w:rPr>
            </w:pPr>
            <w:r w:rsidRPr="001F1C8E">
              <w:rPr>
                <w:rFonts w:ascii="Constantia" w:hAnsi="Constantia" w:cs="Arial"/>
                <w:b/>
                <w:bCs/>
                <w:iCs/>
                <w:color w:val="000000"/>
                <w:szCs w:val="22"/>
                <w:lang w:val="sr-Latn-CS"/>
              </w:rPr>
              <w:t>Tip</w:t>
            </w:r>
          </w:p>
        </w:tc>
        <w:tc>
          <w:tcPr>
            <w:tcW w:w="5040" w:type="dxa"/>
            <w:shd w:val="clear" w:color="auto" w:fill="CDDDAC"/>
          </w:tcPr>
          <w:p w:rsidR="008C66E3" w:rsidRPr="001F1C8E" w:rsidRDefault="008C66E3" w:rsidP="00912E35">
            <w:pPr>
              <w:autoSpaceDE w:val="0"/>
              <w:autoSpaceDN w:val="0"/>
              <w:adjustRightInd w:val="0"/>
              <w:spacing w:after="0"/>
              <w:rPr>
                <w:rFonts w:ascii="Constantia" w:hAnsi="Constantia" w:cs="Arial"/>
                <w:bCs/>
                <w:color w:val="000000"/>
                <w:szCs w:val="22"/>
              </w:rPr>
            </w:pPr>
            <w:r w:rsidRPr="001F1C8E">
              <w:rPr>
                <w:rFonts w:ascii="Constantia" w:hAnsi="Constantia" w:cs="Arial"/>
                <w:bCs/>
                <w:color w:val="000000"/>
                <w:szCs w:val="22"/>
              </w:rPr>
              <w:t>p- s</w:t>
            </w:r>
            <w:r w:rsidR="00C12489">
              <w:rPr>
                <w:rFonts w:ascii="Constantia" w:hAnsi="Constantia" w:cs="Arial"/>
                <w:bCs/>
                <w:color w:val="000000"/>
                <w:szCs w:val="22"/>
              </w:rPr>
              <w:t>t</w:t>
            </w:r>
            <w:r w:rsidRPr="001F1C8E">
              <w:rPr>
                <w:rFonts w:ascii="Constantia" w:hAnsi="Constantia" w:cs="Arial"/>
                <w:bCs/>
                <w:color w:val="000000"/>
                <w:szCs w:val="22"/>
              </w:rPr>
              <w:t>alno prisustvo</w:t>
            </w:r>
          </w:p>
          <w:p w:rsidR="008C66E3" w:rsidRPr="001F1C8E" w:rsidRDefault="008C66E3" w:rsidP="00912E35">
            <w:pPr>
              <w:autoSpaceDE w:val="0"/>
              <w:autoSpaceDN w:val="0"/>
              <w:adjustRightInd w:val="0"/>
              <w:spacing w:after="0"/>
              <w:rPr>
                <w:rFonts w:ascii="Constantia" w:hAnsi="Constantia" w:cs="Arial"/>
                <w:bCs/>
                <w:color w:val="000000"/>
                <w:szCs w:val="22"/>
              </w:rPr>
            </w:pPr>
            <w:r w:rsidRPr="001F1C8E">
              <w:rPr>
                <w:rFonts w:ascii="Constantia" w:hAnsi="Constantia" w:cs="Arial"/>
                <w:bCs/>
                <w:color w:val="000000"/>
                <w:szCs w:val="22"/>
              </w:rPr>
              <w:t>r- razmnožavanje</w:t>
            </w:r>
          </w:p>
          <w:p w:rsidR="008C66E3" w:rsidRPr="001F1C8E" w:rsidRDefault="008C66E3" w:rsidP="00912E35">
            <w:pPr>
              <w:autoSpaceDE w:val="0"/>
              <w:autoSpaceDN w:val="0"/>
              <w:adjustRightInd w:val="0"/>
              <w:spacing w:after="0"/>
              <w:rPr>
                <w:rFonts w:ascii="Constantia" w:hAnsi="Constantia" w:cs="Arial"/>
                <w:bCs/>
                <w:color w:val="000000"/>
                <w:szCs w:val="22"/>
              </w:rPr>
            </w:pPr>
            <w:r w:rsidRPr="001F1C8E">
              <w:rPr>
                <w:rFonts w:ascii="Constantia" w:hAnsi="Constantia" w:cs="Arial"/>
                <w:bCs/>
                <w:color w:val="000000"/>
                <w:szCs w:val="22"/>
              </w:rPr>
              <w:t>c- migratorno područje</w:t>
            </w:r>
          </w:p>
          <w:p w:rsidR="008C66E3" w:rsidRPr="001F1C8E" w:rsidRDefault="008C66E3" w:rsidP="00912E35">
            <w:pPr>
              <w:autoSpaceDE w:val="0"/>
              <w:autoSpaceDN w:val="0"/>
              <w:adjustRightInd w:val="0"/>
              <w:spacing w:after="0"/>
              <w:rPr>
                <w:rFonts w:ascii="Constantia" w:hAnsi="Constantia" w:cs="Arial"/>
                <w:bCs/>
                <w:color w:val="000000"/>
                <w:szCs w:val="22"/>
              </w:rPr>
            </w:pPr>
            <w:r w:rsidRPr="001F1C8E">
              <w:rPr>
                <w:rFonts w:ascii="Constantia" w:hAnsi="Constantia" w:cs="Arial"/>
                <w:bCs/>
                <w:color w:val="000000"/>
                <w:szCs w:val="22"/>
              </w:rPr>
              <w:t xml:space="preserve">w- zimovalište </w:t>
            </w:r>
          </w:p>
        </w:tc>
      </w:tr>
      <w:tr w:rsidR="008C66E3" w:rsidRPr="001F1C8E" w:rsidTr="00C12489">
        <w:tc>
          <w:tcPr>
            <w:tcW w:w="4050" w:type="dxa"/>
            <w:shd w:val="clear" w:color="auto" w:fill="E6EED5"/>
          </w:tcPr>
          <w:p w:rsidR="008C66E3" w:rsidRPr="001F1C8E" w:rsidRDefault="008C66E3" w:rsidP="00912E35">
            <w:pPr>
              <w:autoSpaceDE w:val="0"/>
              <w:autoSpaceDN w:val="0"/>
              <w:adjustRightInd w:val="0"/>
              <w:spacing w:after="0"/>
              <w:rPr>
                <w:rFonts w:ascii="Constantia" w:hAnsi="Constantia" w:cs="Arial"/>
                <w:b/>
                <w:bCs/>
                <w:color w:val="000000"/>
                <w:szCs w:val="22"/>
              </w:rPr>
            </w:pPr>
            <w:r w:rsidRPr="001F1C8E">
              <w:rPr>
                <w:rFonts w:ascii="Constantia" w:hAnsi="Constantia" w:cs="Arial"/>
                <w:b/>
                <w:bCs/>
                <w:iCs/>
                <w:color w:val="000000"/>
                <w:szCs w:val="22"/>
                <w:lang w:val="sr-Latn-CS"/>
              </w:rPr>
              <w:t>Brojnost</w:t>
            </w:r>
          </w:p>
        </w:tc>
        <w:tc>
          <w:tcPr>
            <w:tcW w:w="5040" w:type="dxa"/>
            <w:shd w:val="clear" w:color="auto" w:fill="E6EED5"/>
          </w:tcPr>
          <w:p w:rsidR="008C66E3" w:rsidRPr="001F1C8E" w:rsidRDefault="008C66E3" w:rsidP="00912E35">
            <w:pPr>
              <w:autoSpaceDE w:val="0"/>
              <w:autoSpaceDN w:val="0"/>
              <w:adjustRightInd w:val="0"/>
              <w:spacing w:after="0"/>
              <w:rPr>
                <w:rFonts w:ascii="Constantia" w:hAnsi="Constantia" w:cs="Arial"/>
                <w:bCs/>
                <w:color w:val="000000"/>
                <w:szCs w:val="22"/>
              </w:rPr>
            </w:pPr>
            <w:r w:rsidRPr="001F1C8E">
              <w:rPr>
                <w:rFonts w:ascii="Constantia" w:hAnsi="Constantia" w:cs="Arial"/>
                <w:bCs/>
                <w:color w:val="000000"/>
                <w:szCs w:val="22"/>
              </w:rPr>
              <w:t>Izražava se brojem u rasponu min.-max.</w:t>
            </w:r>
          </w:p>
        </w:tc>
      </w:tr>
      <w:tr w:rsidR="008C66E3" w:rsidRPr="001F1C8E" w:rsidTr="00C12489">
        <w:tc>
          <w:tcPr>
            <w:tcW w:w="4050" w:type="dxa"/>
            <w:shd w:val="clear" w:color="auto" w:fill="CDDDAC"/>
          </w:tcPr>
          <w:p w:rsidR="008C66E3" w:rsidRPr="001F1C8E" w:rsidRDefault="008C66E3" w:rsidP="00912E35">
            <w:pPr>
              <w:autoSpaceDE w:val="0"/>
              <w:autoSpaceDN w:val="0"/>
              <w:adjustRightInd w:val="0"/>
              <w:spacing w:after="0"/>
              <w:rPr>
                <w:rFonts w:ascii="Constantia" w:hAnsi="Constantia" w:cs="Arial"/>
                <w:b/>
                <w:bCs/>
                <w:color w:val="000000"/>
                <w:szCs w:val="22"/>
              </w:rPr>
            </w:pPr>
            <w:r w:rsidRPr="001F1C8E">
              <w:rPr>
                <w:rFonts w:ascii="Constantia" w:hAnsi="Constantia" w:cs="Arial"/>
                <w:b/>
                <w:bCs/>
                <w:iCs/>
                <w:color w:val="000000"/>
                <w:szCs w:val="22"/>
                <w:lang w:val="sr-Latn-CS"/>
              </w:rPr>
              <w:t>Jedinica</w:t>
            </w:r>
          </w:p>
        </w:tc>
        <w:tc>
          <w:tcPr>
            <w:tcW w:w="5040" w:type="dxa"/>
            <w:shd w:val="clear" w:color="auto" w:fill="CDDDAC"/>
          </w:tcPr>
          <w:p w:rsidR="008C66E3" w:rsidRPr="001F1C8E" w:rsidRDefault="00F03456" w:rsidP="00F03456">
            <w:pPr>
              <w:autoSpaceDE w:val="0"/>
              <w:autoSpaceDN w:val="0"/>
              <w:adjustRightInd w:val="0"/>
              <w:spacing w:after="0"/>
              <w:jc w:val="left"/>
              <w:rPr>
                <w:rFonts w:ascii="Constantia" w:hAnsi="Constantia" w:cs="Arial"/>
                <w:bCs/>
                <w:color w:val="000000"/>
                <w:szCs w:val="22"/>
              </w:rPr>
            </w:pPr>
            <w:r>
              <w:rPr>
                <w:rFonts w:ascii="Constantia" w:hAnsi="Constantia" w:cs="Arial"/>
                <w:bCs/>
                <w:color w:val="000000"/>
                <w:szCs w:val="22"/>
              </w:rPr>
              <w:t xml:space="preserve">I - </w:t>
            </w:r>
            <w:r w:rsidR="008C66E3" w:rsidRPr="001F1C8E">
              <w:rPr>
                <w:rFonts w:ascii="Constantia" w:hAnsi="Constantia" w:cs="Arial"/>
                <w:bCs/>
                <w:color w:val="000000"/>
                <w:szCs w:val="22"/>
              </w:rPr>
              <w:t>Individue</w:t>
            </w:r>
          </w:p>
          <w:p w:rsidR="008C66E3" w:rsidRPr="001F1C8E" w:rsidRDefault="008C66E3" w:rsidP="00F03456">
            <w:pPr>
              <w:autoSpaceDE w:val="0"/>
              <w:autoSpaceDN w:val="0"/>
              <w:adjustRightInd w:val="0"/>
              <w:spacing w:after="0"/>
              <w:jc w:val="left"/>
              <w:rPr>
                <w:rFonts w:ascii="Constantia" w:hAnsi="Constantia" w:cs="Arial"/>
                <w:bCs/>
                <w:color w:val="000000"/>
                <w:szCs w:val="22"/>
              </w:rPr>
            </w:pPr>
            <w:r w:rsidRPr="001F1C8E">
              <w:rPr>
                <w:rFonts w:ascii="Constantia" w:hAnsi="Constantia" w:cs="Arial"/>
                <w:bCs/>
                <w:color w:val="000000"/>
                <w:szCs w:val="22"/>
              </w:rPr>
              <w:t>P- parovi</w:t>
            </w:r>
          </w:p>
        </w:tc>
      </w:tr>
      <w:tr w:rsidR="008C66E3" w:rsidRPr="001F1C8E" w:rsidTr="00C12489">
        <w:tc>
          <w:tcPr>
            <w:tcW w:w="4050" w:type="dxa"/>
            <w:shd w:val="clear" w:color="auto" w:fill="E6EED5"/>
          </w:tcPr>
          <w:p w:rsidR="008C66E3" w:rsidRPr="001F1C8E" w:rsidRDefault="008C66E3" w:rsidP="00912E35">
            <w:pPr>
              <w:autoSpaceDE w:val="0"/>
              <w:autoSpaceDN w:val="0"/>
              <w:adjustRightInd w:val="0"/>
              <w:spacing w:after="0"/>
              <w:rPr>
                <w:rFonts w:ascii="Constantia" w:hAnsi="Constantia" w:cs="Arial"/>
                <w:b/>
                <w:bCs/>
                <w:color w:val="000000"/>
                <w:szCs w:val="22"/>
              </w:rPr>
            </w:pPr>
            <w:r w:rsidRPr="001F1C8E">
              <w:rPr>
                <w:rFonts w:ascii="Constantia" w:hAnsi="Constantia" w:cs="Arial"/>
                <w:b/>
                <w:bCs/>
                <w:iCs/>
                <w:color w:val="000000"/>
                <w:szCs w:val="22"/>
                <w:lang w:val="sr-Latn-CS"/>
              </w:rPr>
              <w:t>Karakter populacije</w:t>
            </w:r>
          </w:p>
        </w:tc>
        <w:tc>
          <w:tcPr>
            <w:tcW w:w="5040" w:type="dxa"/>
            <w:shd w:val="clear" w:color="auto" w:fill="E6EED5"/>
          </w:tcPr>
          <w:p w:rsidR="008C66E3" w:rsidRPr="001F1C8E" w:rsidRDefault="008C66E3" w:rsidP="00912E35">
            <w:pPr>
              <w:autoSpaceDE w:val="0"/>
              <w:autoSpaceDN w:val="0"/>
              <w:adjustRightInd w:val="0"/>
              <w:spacing w:after="0"/>
              <w:rPr>
                <w:rFonts w:ascii="Constantia" w:hAnsi="Constantia" w:cs="Arial"/>
                <w:bCs/>
                <w:color w:val="000000"/>
                <w:szCs w:val="22"/>
              </w:rPr>
            </w:pPr>
            <w:r w:rsidRPr="001F1C8E">
              <w:rPr>
                <w:rFonts w:ascii="Constantia" w:hAnsi="Constantia" w:cs="Arial"/>
                <w:bCs/>
                <w:color w:val="000000"/>
                <w:szCs w:val="22"/>
              </w:rPr>
              <w:t>C-Čest</w:t>
            </w:r>
          </w:p>
          <w:p w:rsidR="008C66E3" w:rsidRPr="001F1C8E" w:rsidRDefault="008C66E3" w:rsidP="00912E35">
            <w:pPr>
              <w:autoSpaceDE w:val="0"/>
              <w:autoSpaceDN w:val="0"/>
              <w:adjustRightInd w:val="0"/>
              <w:spacing w:after="0"/>
              <w:rPr>
                <w:rFonts w:ascii="Constantia" w:hAnsi="Constantia" w:cs="Arial"/>
                <w:bCs/>
                <w:color w:val="000000"/>
                <w:szCs w:val="22"/>
              </w:rPr>
            </w:pPr>
            <w:r w:rsidRPr="001F1C8E">
              <w:rPr>
                <w:rFonts w:ascii="Constantia" w:hAnsi="Constantia" w:cs="Arial"/>
                <w:bCs/>
                <w:color w:val="000000"/>
                <w:szCs w:val="22"/>
              </w:rPr>
              <w:t>R- rijetko</w:t>
            </w:r>
          </w:p>
          <w:p w:rsidR="008C66E3" w:rsidRPr="001F1C8E" w:rsidRDefault="008C66E3" w:rsidP="00912E35">
            <w:pPr>
              <w:autoSpaceDE w:val="0"/>
              <w:autoSpaceDN w:val="0"/>
              <w:adjustRightInd w:val="0"/>
              <w:spacing w:after="0"/>
              <w:rPr>
                <w:rFonts w:ascii="Constantia" w:hAnsi="Constantia" w:cs="Arial"/>
                <w:bCs/>
                <w:color w:val="000000"/>
                <w:szCs w:val="22"/>
              </w:rPr>
            </w:pPr>
            <w:r w:rsidRPr="001F1C8E">
              <w:rPr>
                <w:rFonts w:ascii="Constantia" w:hAnsi="Constantia" w:cs="Arial"/>
                <w:bCs/>
                <w:color w:val="000000"/>
                <w:szCs w:val="22"/>
              </w:rPr>
              <w:t>V- Veoma rijetko</w:t>
            </w:r>
          </w:p>
          <w:p w:rsidR="008C66E3" w:rsidRPr="001F1C8E" w:rsidRDefault="008C66E3" w:rsidP="00912E35">
            <w:pPr>
              <w:autoSpaceDE w:val="0"/>
              <w:autoSpaceDN w:val="0"/>
              <w:adjustRightInd w:val="0"/>
              <w:spacing w:after="0"/>
              <w:rPr>
                <w:rFonts w:ascii="Constantia" w:hAnsi="Constantia" w:cs="Arial"/>
                <w:bCs/>
                <w:color w:val="000000"/>
                <w:szCs w:val="22"/>
              </w:rPr>
            </w:pPr>
            <w:r w:rsidRPr="001F1C8E">
              <w:rPr>
                <w:rFonts w:ascii="Constantia" w:hAnsi="Constantia" w:cs="Arial"/>
                <w:bCs/>
                <w:color w:val="000000"/>
                <w:szCs w:val="22"/>
              </w:rPr>
              <w:t>P- prisutna (ako se ne može dati ocjena stanja)</w:t>
            </w:r>
          </w:p>
        </w:tc>
      </w:tr>
      <w:tr w:rsidR="008C66E3" w:rsidRPr="001F1C8E" w:rsidTr="00C12489">
        <w:tc>
          <w:tcPr>
            <w:tcW w:w="4050" w:type="dxa"/>
            <w:shd w:val="clear" w:color="auto" w:fill="CDDDAC"/>
          </w:tcPr>
          <w:p w:rsidR="008C66E3" w:rsidRPr="001F1C8E" w:rsidRDefault="008C66E3" w:rsidP="00912E35">
            <w:pPr>
              <w:autoSpaceDE w:val="0"/>
              <w:autoSpaceDN w:val="0"/>
              <w:adjustRightInd w:val="0"/>
              <w:spacing w:after="0"/>
              <w:rPr>
                <w:rFonts w:ascii="Constantia" w:hAnsi="Constantia" w:cs="Arial"/>
                <w:b/>
                <w:bCs/>
                <w:color w:val="000000"/>
                <w:szCs w:val="22"/>
              </w:rPr>
            </w:pPr>
            <w:r w:rsidRPr="001F1C8E">
              <w:rPr>
                <w:rFonts w:ascii="Constantia" w:hAnsi="Constantia" w:cs="Arial"/>
                <w:b/>
                <w:bCs/>
                <w:iCs/>
                <w:color w:val="000000"/>
                <w:szCs w:val="22"/>
                <w:lang w:val="sr-Latn-CS"/>
              </w:rPr>
              <w:lastRenderedPageBreak/>
              <w:t>Kvalitet podataka</w:t>
            </w:r>
          </w:p>
        </w:tc>
        <w:tc>
          <w:tcPr>
            <w:tcW w:w="5040" w:type="dxa"/>
            <w:shd w:val="clear" w:color="auto" w:fill="CDDDAC"/>
          </w:tcPr>
          <w:p w:rsidR="008C66E3" w:rsidRPr="001F1C8E" w:rsidRDefault="008C66E3" w:rsidP="00912E35">
            <w:pPr>
              <w:autoSpaceDE w:val="0"/>
              <w:autoSpaceDN w:val="0"/>
              <w:adjustRightInd w:val="0"/>
              <w:spacing w:after="0"/>
              <w:rPr>
                <w:rFonts w:ascii="Constantia" w:hAnsi="Constantia" w:cs="Arial"/>
                <w:bCs/>
                <w:color w:val="000000"/>
                <w:szCs w:val="22"/>
              </w:rPr>
            </w:pPr>
            <w:r w:rsidRPr="001F1C8E">
              <w:rPr>
                <w:rFonts w:ascii="Constantia" w:hAnsi="Constantia" w:cs="Arial"/>
                <w:bCs/>
                <w:color w:val="000000"/>
                <w:szCs w:val="22"/>
              </w:rPr>
              <w:t>G- Dobar i baziran na istraživanjima</w:t>
            </w:r>
          </w:p>
          <w:p w:rsidR="008C66E3" w:rsidRPr="001F1C8E" w:rsidRDefault="008C66E3" w:rsidP="00912E35">
            <w:pPr>
              <w:autoSpaceDE w:val="0"/>
              <w:autoSpaceDN w:val="0"/>
              <w:adjustRightInd w:val="0"/>
              <w:spacing w:after="0"/>
              <w:rPr>
                <w:rFonts w:ascii="Constantia" w:hAnsi="Constantia" w:cs="Arial"/>
                <w:bCs/>
                <w:color w:val="000000"/>
                <w:szCs w:val="22"/>
              </w:rPr>
            </w:pPr>
            <w:r w:rsidRPr="001F1C8E">
              <w:rPr>
                <w:rFonts w:ascii="Constantia" w:hAnsi="Constantia" w:cs="Arial"/>
                <w:bCs/>
                <w:color w:val="000000"/>
                <w:szCs w:val="22"/>
              </w:rPr>
              <w:t>M- srednje dobar baziran na istraživanjima i literature</w:t>
            </w:r>
          </w:p>
          <w:p w:rsidR="008C66E3" w:rsidRPr="001F1C8E" w:rsidRDefault="008C66E3" w:rsidP="00912E35">
            <w:pPr>
              <w:autoSpaceDE w:val="0"/>
              <w:autoSpaceDN w:val="0"/>
              <w:adjustRightInd w:val="0"/>
              <w:spacing w:after="0"/>
              <w:rPr>
                <w:rFonts w:ascii="Constantia" w:hAnsi="Constantia" w:cs="Arial"/>
                <w:bCs/>
                <w:color w:val="000000"/>
                <w:szCs w:val="22"/>
              </w:rPr>
            </w:pPr>
            <w:r w:rsidRPr="001F1C8E">
              <w:rPr>
                <w:rFonts w:ascii="Constantia" w:hAnsi="Constantia" w:cs="Arial"/>
                <w:bCs/>
                <w:color w:val="000000"/>
                <w:szCs w:val="22"/>
              </w:rPr>
              <w:t>P – gruba procjena</w:t>
            </w:r>
          </w:p>
          <w:p w:rsidR="008C66E3" w:rsidRPr="001F1C8E" w:rsidRDefault="008C66E3" w:rsidP="00912E35">
            <w:pPr>
              <w:autoSpaceDE w:val="0"/>
              <w:autoSpaceDN w:val="0"/>
              <w:adjustRightInd w:val="0"/>
              <w:spacing w:after="0"/>
              <w:rPr>
                <w:rFonts w:ascii="Constantia" w:hAnsi="Constantia" w:cs="Arial"/>
                <w:bCs/>
                <w:color w:val="000000"/>
                <w:szCs w:val="22"/>
              </w:rPr>
            </w:pPr>
            <w:r w:rsidRPr="001F1C8E">
              <w:rPr>
                <w:rFonts w:ascii="Constantia" w:hAnsi="Constantia" w:cs="Arial"/>
                <w:bCs/>
                <w:color w:val="000000"/>
                <w:szCs w:val="22"/>
              </w:rPr>
              <w:t>DD- nedostatak podataka</w:t>
            </w:r>
          </w:p>
        </w:tc>
      </w:tr>
      <w:tr w:rsidR="008C66E3" w:rsidRPr="001F1C8E" w:rsidTr="00C12489">
        <w:tc>
          <w:tcPr>
            <w:tcW w:w="4050" w:type="dxa"/>
            <w:shd w:val="clear" w:color="auto" w:fill="E6EED5"/>
          </w:tcPr>
          <w:p w:rsidR="008C66E3" w:rsidRPr="001F1C8E" w:rsidRDefault="008C66E3" w:rsidP="00C12489">
            <w:pPr>
              <w:autoSpaceDE w:val="0"/>
              <w:autoSpaceDN w:val="0"/>
              <w:adjustRightInd w:val="0"/>
              <w:spacing w:after="0"/>
              <w:jc w:val="left"/>
              <w:rPr>
                <w:rFonts w:ascii="Constantia" w:hAnsi="Constantia" w:cs="Arial"/>
                <w:b/>
                <w:bCs/>
                <w:color w:val="000000"/>
                <w:szCs w:val="22"/>
              </w:rPr>
            </w:pPr>
            <w:r w:rsidRPr="001F1C8E">
              <w:rPr>
                <w:rFonts w:ascii="Constantia" w:hAnsi="Constantia" w:cs="Arial"/>
                <w:b/>
                <w:bCs/>
                <w:iCs/>
                <w:color w:val="000000"/>
                <w:szCs w:val="22"/>
                <w:lang w:val="sr-Latn-CS"/>
              </w:rPr>
              <w:t>Populacioni rang na području u odnosu na rasprostranjenje na nacionalnom nivou</w:t>
            </w:r>
          </w:p>
        </w:tc>
        <w:tc>
          <w:tcPr>
            <w:tcW w:w="5040" w:type="dxa"/>
            <w:shd w:val="clear" w:color="auto" w:fill="E6EED5"/>
          </w:tcPr>
          <w:p w:rsidR="008C66E3" w:rsidRPr="001F1C8E" w:rsidRDefault="008C66E3" w:rsidP="00912E35">
            <w:pPr>
              <w:autoSpaceDE w:val="0"/>
              <w:autoSpaceDN w:val="0"/>
              <w:adjustRightInd w:val="0"/>
              <w:spacing w:after="0"/>
              <w:rPr>
                <w:rFonts w:ascii="Constantia" w:hAnsi="Constantia" w:cs="Arial"/>
                <w:bCs/>
                <w:color w:val="000000"/>
                <w:szCs w:val="22"/>
              </w:rPr>
            </w:pPr>
            <w:r w:rsidRPr="001F1C8E">
              <w:rPr>
                <w:rFonts w:ascii="Constantia" w:hAnsi="Constantia" w:cs="Arial"/>
                <w:bCs/>
                <w:color w:val="000000"/>
                <w:szCs w:val="22"/>
              </w:rPr>
              <w:t xml:space="preserve">A: 100 % ≥ p &gt; 15 %, </w:t>
            </w:r>
          </w:p>
          <w:p w:rsidR="008C66E3" w:rsidRPr="001F1C8E" w:rsidRDefault="008C66E3" w:rsidP="00912E35">
            <w:pPr>
              <w:autoSpaceDE w:val="0"/>
              <w:autoSpaceDN w:val="0"/>
              <w:adjustRightInd w:val="0"/>
              <w:spacing w:after="0"/>
              <w:rPr>
                <w:rFonts w:ascii="Constantia" w:hAnsi="Constantia" w:cs="Arial"/>
                <w:bCs/>
                <w:color w:val="000000"/>
                <w:szCs w:val="22"/>
              </w:rPr>
            </w:pPr>
            <w:r w:rsidRPr="001F1C8E">
              <w:rPr>
                <w:rFonts w:ascii="Constantia" w:hAnsi="Constantia" w:cs="Arial"/>
                <w:bCs/>
                <w:color w:val="000000"/>
                <w:szCs w:val="22"/>
              </w:rPr>
              <w:t xml:space="preserve">B: 15 % ≥ p &gt; 2 %, </w:t>
            </w:r>
          </w:p>
          <w:p w:rsidR="008C66E3" w:rsidRPr="001F1C8E" w:rsidRDefault="008C66E3" w:rsidP="00912E35">
            <w:pPr>
              <w:autoSpaceDE w:val="0"/>
              <w:autoSpaceDN w:val="0"/>
              <w:adjustRightInd w:val="0"/>
              <w:spacing w:after="0"/>
              <w:rPr>
                <w:rFonts w:ascii="Constantia" w:hAnsi="Constantia" w:cs="Arial"/>
                <w:bCs/>
                <w:color w:val="000000"/>
                <w:szCs w:val="22"/>
              </w:rPr>
            </w:pPr>
            <w:r w:rsidRPr="001F1C8E">
              <w:rPr>
                <w:rFonts w:ascii="Constantia" w:hAnsi="Constantia" w:cs="Arial"/>
                <w:bCs/>
                <w:color w:val="000000"/>
                <w:szCs w:val="22"/>
              </w:rPr>
              <w:t>C: 2 % ≥ p &gt; 0 %.</w:t>
            </w:r>
          </w:p>
          <w:p w:rsidR="008C66E3" w:rsidRPr="001F1C8E" w:rsidRDefault="008C66E3" w:rsidP="00912E35">
            <w:pPr>
              <w:autoSpaceDE w:val="0"/>
              <w:autoSpaceDN w:val="0"/>
              <w:adjustRightInd w:val="0"/>
              <w:spacing w:after="0"/>
              <w:rPr>
                <w:rFonts w:ascii="Constantia" w:hAnsi="Constantia" w:cs="Arial"/>
                <w:bCs/>
                <w:color w:val="000000"/>
                <w:szCs w:val="22"/>
              </w:rPr>
            </w:pPr>
            <w:r w:rsidRPr="001F1C8E">
              <w:rPr>
                <w:rFonts w:ascii="Constantia" w:hAnsi="Constantia" w:cs="Arial"/>
                <w:bCs/>
                <w:color w:val="000000"/>
                <w:szCs w:val="22"/>
              </w:rPr>
              <w:t>D: neznačajna populacija</w:t>
            </w:r>
          </w:p>
        </w:tc>
      </w:tr>
      <w:tr w:rsidR="008C66E3" w:rsidRPr="001F1C8E" w:rsidTr="00C12489">
        <w:tc>
          <w:tcPr>
            <w:tcW w:w="4050" w:type="dxa"/>
            <w:shd w:val="clear" w:color="auto" w:fill="CDDDAC"/>
          </w:tcPr>
          <w:p w:rsidR="008C66E3" w:rsidRPr="001F1C8E" w:rsidRDefault="008C66E3" w:rsidP="00912E35">
            <w:pPr>
              <w:autoSpaceDE w:val="0"/>
              <w:autoSpaceDN w:val="0"/>
              <w:adjustRightInd w:val="0"/>
              <w:spacing w:after="0"/>
              <w:rPr>
                <w:rFonts w:ascii="Constantia" w:hAnsi="Constantia" w:cs="Arial"/>
                <w:b/>
                <w:bCs/>
                <w:iCs/>
                <w:color w:val="000000"/>
                <w:szCs w:val="22"/>
              </w:rPr>
            </w:pPr>
            <w:r w:rsidRPr="001F1C8E">
              <w:rPr>
                <w:rFonts w:ascii="Constantia" w:hAnsi="Constantia" w:cs="Arial"/>
                <w:b/>
                <w:bCs/>
                <w:iCs/>
                <w:color w:val="000000"/>
                <w:szCs w:val="22"/>
                <w:lang w:val="sr-Latn-CS"/>
              </w:rPr>
              <w:t>Stepen zaštite područja</w:t>
            </w:r>
          </w:p>
        </w:tc>
        <w:tc>
          <w:tcPr>
            <w:tcW w:w="5040" w:type="dxa"/>
            <w:shd w:val="clear" w:color="auto" w:fill="CDDDAC"/>
          </w:tcPr>
          <w:p w:rsidR="008C66E3" w:rsidRPr="001F1C8E" w:rsidRDefault="008C66E3" w:rsidP="00912E35">
            <w:pPr>
              <w:autoSpaceDE w:val="0"/>
              <w:autoSpaceDN w:val="0"/>
              <w:adjustRightInd w:val="0"/>
              <w:spacing w:after="0"/>
              <w:rPr>
                <w:rFonts w:ascii="Constantia" w:hAnsi="Constantia" w:cs="Arial"/>
                <w:bCs/>
                <w:color w:val="000000"/>
                <w:szCs w:val="22"/>
              </w:rPr>
            </w:pPr>
            <w:r w:rsidRPr="001F1C8E">
              <w:rPr>
                <w:rFonts w:ascii="Constantia" w:hAnsi="Constantia" w:cs="Arial"/>
                <w:bCs/>
                <w:color w:val="000000"/>
                <w:szCs w:val="22"/>
              </w:rPr>
              <w:t>A: odlićna zaštita</w:t>
            </w:r>
          </w:p>
          <w:p w:rsidR="008C66E3" w:rsidRPr="001F1C8E" w:rsidRDefault="008C66E3" w:rsidP="00912E35">
            <w:pPr>
              <w:autoSpaceDE w:val="0"/>
              <w:autoSpaceDN w:val="0"/>
              <w:adjustRightInd w:val="0"/>
              <w:spacing w:after="0"/>
              <w:rPr>
                <w:rFonts w:ascii="Constantia" w:hAnsi="Constantia" w:cs="Arial"/>
                <w:bCs/>
                <w:color w:val="000000"/>
                <w:szCs w:val="22"/>
              </w:rPr>
            </w:pPr>
            <w:r w:rsidRPr="001F1C8E">
              <w:rPr>
                <w:rFonts w:ascii="Constantia" w:hAnsi="Constantia" w:cs="Arial"/>
                <w:bCs/>
                <w:color w:val="000000"/>
                <w:szCs w:val="22"/>
              </w:rPr>
              <w:t xml:space="preserve">B: dobra zaštita </w:t>
            </w:r>
          </w:p>
          <w:p w:rsidR="008C66E3" w:rsidRPr="001F1C8E" w:rsidRDefault="008C66E3" w:rsidP="00912E35">
            <w:pPr>
              <w:autoSpaceDE w:val="0"/>
              <w:autoSpaceDN w:val="0"/>
              <w:adjustRightInd w:val="0"/>
              <w:spacing w:after="0"/>
              <w:rPr>
                <w:rFonts w:ascii="Constantia" w:hAnsi="Constantia" w:cs="Arial"/>
                <w:bCs/>
                <w:color w:val="000000"/>
                <w:szCs w:val="22"/>
              </w:rPr>
            </w:pPr>
            <w:r w:rsidRPr="001F1C8E">
              <w:rPr>
                <w:rFonts w:ascii="Constantia" w:hAnsi="Constantia" w:cs="Arial"/>
                <w:bCs/>
                <w:color w:val="000000"/>
                <w:szCs w:val="22"/>
              </w:rPr>
              <w:t>C: srednja ili redukovana zaštita</w:t>
            </w:r>
          </w:p>
        </w:tc>
      </w:tr>
      <w:tr w:rsidR="008C66E3" w:rsidRPr="001F1C8E" w:rsidTr="00C12489">
        <w:tc>
          <w:tcPr>
            <w:tcW w:w="4050" w:type="dxa"/>
            <w:shd w:val="clear" w:color="auto" w:fill="E6EED5"/>
          </w:tcPr>
          <w:p w:rsidR="008C66E3" w:rsidRPr="001F1C8E" w:rsidRDefault="008C66E3" w:rsidP="00912E35">
            <w:pPr>
              <w:autoSpaceDE w:val="0"/>
              <w:autoSpaceDN w:val="0"/>
              <w:adjustRightInd w:val="0"/>
              <w:spacing w:after="0"/>
              <w:rPr>
                <w:rFonts w:ascii="Constantia" w:hAnsi="Constantia" w:cs="Arial"/>
                <w:b/>
                <w:bCs/>
                <w:iCs/>
                <w:color w:val="000000"/>
                <w:szCs w:val="22"/>
                <w:lang w:val="sr-Latn-CS"/>
              </w:rPr>
            </w:pPr>
            <w:r w:rsidRPr="001F1C8E">
              <w:rPr>
                <w:rFonts w:ascii="Constantia" w:hAnsi="Constantia" w:cs="Arial"/>
                <w:b/>
                <w:bCs/>
                <w:iCs/>
                <w:color w:val="000000"/>
                <w:szCs w:val="22"/>
                <w:lang w:val="sr-Latn-CS"/>
              </w:rPr>
              <w:t>Izolacija</w:t>
            </w:r>
          </w:p>
        </w:tc>
        <w:tc>
          <w:tcPr>
            <w:tcW w:w="5040" w:type="dxa"/>
            <w:shd w:val="clear" w:color="auto" w:fill="E6EED5"/>
          </w:tcPr>
          <w:p w:rsidR="008C66E3" w:rsidRPr="001F1C8E" w:rsidRDefault="008C66E3" w:rsidP="00912E35">
            <w:pPr>
              <w:autoSpaceDE w:val="0"/>
              <w:autoSpaceDN w:val="0"/>
              <w:adjustRightInd w:val="0"/>
              <w:spacing w:after="0"/>
              <w:rPr>
                <w:rFonts w:ascii="Constantia" w:hAnsi="Constantia" w:cs="Arial"/>
                <w:bCs/>
                <w:color w:val="000000"/>
                <w:szCs w:val="22"/>
              </w:rPr>
            </w:pPr>
            <w:r w:rsidRPr="001F1C8E">
              <w:rPr>
                <w:rFonts w:ascii="Constantia" w:hAnsi="Constantia" w:cs="Arial"/>
                <w:bCs/>
                <w:color w:val="000000"/>
                <w:szCs w:val="22"/>
              </w:rPr>
              <w:t>A: izolovana populacija</w:t>
            </w:r>
          </w:p>
          <w:p w:rsidR="008C66E3" w:rsidRPr="001F1C8E" w:rsidRDefault="008C66E3" w:rsidP="00912E35">
            <w:pPr>
              <w:autoSpaceDE w:val="0"/>
              <w:autoSpaceDN w:val="0"/>
              <w:adjustRightInd w:val="0"/>
              <w:spacing w:after="0"/>
              <w:rPr>
                <w:rFonts w:ascii="Constantia" w:hAnsi="Constantia" w:cs="Arial"/>
                <w:bCs/>
                <w:color w:val="000000"/>
                <w:szCs w:val="22"/>
              </w:rPr>
            </w:pPr>
            <w:r w:rsidRPr="001F1C8E">
              <w:rPr>
                <w:rFonts w:ascii="Constantia" w:hAnsi="Constantia" w:cs="Arial"/>
                <w:bCs/>
                <w:color w:val="000000"/>
                <w:szCs w:val="22"/>
              </w:rPr>
              <w:t>B: nije izolovana ali na graničnim područjima rasprostranjena</w:t>
            </w:r>
          </w:p>
          <w:p w:rsidR="008C66E3" w:rsidRPr="001F1C8E" w:rsidRDefault="008C66E3" w:rsidP="00912E35">
            <w:pPr>
              <w:autoSpaceDE w:val="0"/>
              <w:autoSpaceDN w:val="0"/>
              <w:adjustRightInd w:val="0"/>
              <w:spacing w:after="0"/>
              <w:rPr>
                <w:rFonts w:ascii="Constantia" w:hAnsi="Constantia" w:cs="Arial"/>
                <w:bCs/>
                <w:color w:val="000000"/>
                <w:szCs w:val="22"/>
              </w:rPr>
            </w:pPr>
            <w:r w:rsidRPr="001F1C8E">
              <w:rPr>
                <w:rFonts w:ascii="Constantia" w:hAnsi="Constantia" w:cs="Arial"/>
                <w:bCs/>
                <w:color w:val="000000"/>
                <w:szCs w:val="22"/>
              </w:rPr>
              <w:t>C: nije izolovana</w:t>
            </w:r>
          </w:p>
        </w:tc>
      </w:tr>
      <w:tr w:rsidR="008C66E3" w:rsidRPr="001F1C8E" w:rsidTr="00C12489">
        <w:tc>
          <w:tcPr>
            <w:tcW w:w="4050" w:type="dxa"/>
            <w:shd w:val="clear" w:color="auto" w:fill="CDDDAC"/>
          </w:tcPr>
          <w:p w:rsidR="008C66E3" w:rsidRPr="001F1C8E" w:rsidRDefault="008C66E3" w:rsidP="00C12489">
            <w:pPr>
              <w:autoSpaceDE w:val="0"/>
              <w:autoSpaceDN w:val="0"/>
              <w:adjustRightInd w:val="0"/>
              <w:spacing w:after="0"/>
              <w:jc w:val="left"/>
              <w:rPr>
                <w:rFonts w:ascii="Constantia" w:hAnsi="Constantia" w:cs="Arial"/>
                <w:b/>
                <w:bCs/>
                <w:iCs/>
                <w:color w:val="000000"/>
                <w:szCs w:val="22"/>
                <w:lang w:val="sr-Latn-CS"/>
              </w:rPr>
            </w:pPr>
            <w:r w:rsidRPr="001F1C8E">
              <w:rPr>
                <w:rFonts w:ascii="Constantia" w:hAnsi="Constantia" w:cs="Arial"/>
                <w:b/>
                <w:bCs/>
                <w:iCs/>
                <w:color w:val="000000"/>
                <w:szCs w:val="22"/>
                <w:lang w:val="sr-Latn-CS"/>
              </w:rPr>
              <w:t>Global (Vrijednost staništa sa globalnog aspekta)</w:t>
            </w:r>
          </w:p>
        </w:tc>
        <w:tc>
          <w:tcPr>
            <w:tcW w:w="5040" w:type="dxa"/>
            <w:shd w:val="clear" w:color="auto" w:fill="CDDDAC"/>
          </w:tcPr>
          <w:p w:rsidR="008C66E3" w:rsidRPr="001F1C8E" w:rsidRDefault="008C66E3" w:rsidP="00912E35">
            <w:pPr>
              <w:autoSpaceDE w:val="0"/>
              <w:autoSpaceDN w:val="0"/>
              <w:adjustRightInd w:val="0"/>
              <w:spacing w:after="0"/>
              <w:rPr>
                <w:rFonts w:ascii="Constantia" w:hAnsi="Constantia" w:cs="Arial"/>
                <w:bCs/>
                <w:color w:val="000000"/>
                <w:szCs w:val="22"/>
              </w:rPr>
            </w:pPr>
            <w:r w:rsidRPr="001F1C8E">
              <w:rPr>
                <w:rFonts w:ascii="Constantia" w:hAnsi="Constantia" w:cs="Arial"/>
                <w:bCs/>
                <w:color w:val="000000"/>
                <w:szCs w:val="22"/>
              </w:rPr>
              <w:t>A: odlično</w:t>
            </w:r>
          </w:p>
          <w:p w:rsidR="008C66E3" w:rsidRPr="001F1C8E" w:rsidRDefault="008C66E3" w:rsidP="00912E35">
            <w:pPr>
              <w:autoSpaceDE w:val="0"/>
              <w:autoSpaceDN w:val="0"/>
              <w:adjustRightInd w:val="0"/>
              <w:spacing w:after="0"/>
              <w:rPr>
                <w:rFonts w:ascii="Constantia" w:hAnsi="Constantia" w:cs="Arial"/>
                <w:bCs/>
                <w:color w:val="000000"/>
                <w:szCs w:val="22"/>
              </w:rPr>
            </w:pPr>
            <w:r w:rsidRPr="001F1C8E">
              <w:rPr>
                <w:rFonts w:ascii="Constantia" w:hAnsi="Constantia" w:cs="Arial"/>
                <w:bCs/>
                <w:color w:val="000000"/>
                <w:szCs w:val="22"/>
              </w:rPr>
              <w:t>B: dobro</w:t>
            </w:r>
          </w:p>
          <w:p w:rsidR="008C66E3" w:rsidRPr="001F1C8E" w:rsidRDefault="008C66E3" w:rsidP="00912E35">
            <w:pPr>
              <w:autoSpaceDE w:val="0"/>
              <w:autoSpaceDN w:val="0"/>
              <w:adjustRightInd w:val="0"/>
              <w:spacing w:after="0"/>
              <w:rPr>
                <w:rFonts w:ascii="Constantia" w:hAnsi="Constantia" w:cs="Arial"/>
                <w:bCs/>
                <w:color w:val="000000"/>
                <w:szCs w:val="22"/>
              </w:rPr>
            </w:pPr>
            <w:r w:rsidRPr="001F1C8E">
              <w:rPr>
                <w:rFonts w:ascii="Constantia" w:hAnsi="Constantia" w:cs="Arial"/>
                <w:bCs/>
                <w:color w:val="000000"/>
                <w:szCs w:val="22"/>
              </w:rPr>
              <w:t>C: značajno</w:t>
            </w:r>
          </w:p>
        </w:tc>
      </w:tr>
      <w:tr w:rsidR="008C66E3" w:rsidRPr="001F1C8E" w:rsidTr="00C12489">
        <w:tc>
          <w:tcPr>
            <w:tcW w:w="9090" w:type="dxa"/>
            <w:gridSpan w:val="2"/>
            <w:shd w:val="clear" w:color="auto" w:fill="E6EED5"/>
          </w:tcPr>
          <w:p w:rsidR="008C66E3" w:rsidRPr="001F1C8E" w:rsidRDefault="008C66E3" w:rsidP="00912E35">
            <w:pPr>
              <w:autoSpaceDE w:val="0"/>
              <w:autoSpaceDN w:val="0"/>
              <w:adjustRightInd w:val="0"/>
              <w:spacing w:after="0"/>
              <w:jc w:val="center"/>
              <w:rPr>
                <w:rFonts w:ascii="Constantia" w:hAnsi="Constantia" w:cs="Arial"/>
                <w:b/>
                <w:bCs/>
                <w:color w:val="000000"/>
                <w:szCs w:val="22"/>
              </w:rPr>
            </w:pPr>
            <w:r w:rsidRPr="001F1C8E">
              <w:rPr>
                <w:rFonts w:ascii="Constantia" w:hAnsi="Constantia" w:cs="Arial"/>
                <w:b/>
                <w:bCs/>
                <w:color w:val="000000"/>
                <w:szCs w:val="22"/>
              </w:rPr>
              <w:t>Staništa</w:t>
            </w:r>
          </w:p>
        </w:tc>
      </w:tr>
      <w:tr w:rsidR="008C66E3" w:rsidRPr="001F1C8E" w:rsidTr="00C12489">
        <w:tc>
          <w:tcPr>
            <w:tcW w:w="4050" w:type="dxa"/>
            <w:shd w:val="clear" w:color="auto" w:fill="CDDDAC"/>
          </w:tcPr>
          <w:p w:rsidR="008C66E3" w:rsidRPr="001F1C8E" w:rsidRDefault="008C66E3" w:rsidP="00912E35">
            <w:pPr>
              <w:autoSpaceDE w:val="0"/>
              <w:autoSpaceDN w:val="0"/>
              <w:adjustRightInd w:val="0"/>
              <w:spacing w:after="0"/>
              <w:rPr>
                <w:rFonts w:ascii="Constantia" w:hAnsi="Constantia" w:cs="Arial"/>
                <w:b/>
                <w:bCs/>
                <w:iCs/>
                <w:color w:val="000000"/>
                <w:szCs w:val="22"/>
                <w:lang w:val="sr-Latn-CS"/>
              </w:rPr>
            </w:pPr>
            <w:r w:rsidRPr="001F1C8E">
              <w:rPr>
                <w:rFonts w:ascii="Constantia" w:hAnsi="Constantia" w:cs="Arial"/>
                <w:b/>
                <w:bCs/>
                <w:iCs/>
                <w:color w:val="000000"/>
                <w:szCs w:val="22"/>
                <w:lang w:val="sr-Latn-CS"/>
              </w:rPr>
              <w:t>Code</w:t>
            </w:r>
          </w:p>
        </w:tc>
        <w:tc>
          <w:tcPr>
            <w:tcW w:w="5040" w:type="dxa"/>
            <w:shd w:val="clear" w:color="auto" w:fill="CDDDAC"/>
          </w:tcPr>
          <w:p w:rsidR="008C66E3" w:rsidRPr="001F1C8E" w:rsidRDefault="008C66E3" w:rsidP="00912E35">
            <w:pPr>
              <w:autoSpaceDE w:val="0"/>
              <w:autoSpaceDN w:val="0"/>
              <w:adjustRightInd w:val="0"/>
              <w:spacing w:after="0"/>
              <w:rPr>
                <w:rFonts w:ascii="Constantia" w:hAnsi="Constantia" w:cs="Arial"/>
                <w:bCs/>
                <w:color w:val="000000"/>
                <w:szCs w:val="22"/>
              </w:rPr>
            </w:pPr>
            <w:r w:rsidRPr="001F1C8E">
              <w:rPr>
                <w:rFonts w:ascii="Constantia" w:hAnsi="Constantia" w:cs="Arial"/>
                <w:bCs/>
                <w:color w:val="000000"/>
                <w:szCs w:val="22"/>
              </w:rPr>
              <w:t>Kod staništa po Naturi 2000</w:t>
            </w:r>
          </w:p>
        </w:tc>
      </w:tr>
      <w:tr w:rsidR="008C66E3" w:rsidRPr="001F1C8E" w:rsidTr="00C12489">
        <w:tc>
          <w:tcPr>
            <w:tcW w:w="4050" w:type="dxa"/>
            <w:shd w:val="clear" w:color="auto" w:fill="E6EED5"/>
          </w:tcPr>
          <w:p w:rsidR="008C66E3" w:rsidRPr="001F1C8E" w:rsidRDefault="008C66E3" w:rsidP="00912E35">
            <w:pPr>
              <w:autoSpaceDE w:val="0"/>
              <w:autoSpaceDN w:val="0"/>
              <w:adjustRightInd w:val="0"/>
              <w:spacing w:after="0"/>
              <w:rPr>
                <w:rFonts w:ascii="Constantia" w:hAnsi="Constantia" w:cs="Arial"/>
                <w:b/>
                <w:bCs/>
                <w:iCs/>
                <w:color w:val="000000"/>
                <w:szCs w:val="22"/>
                <w:lang w:val="sr-Latn-CS"/>
              </w:rPr>
            </w:pPr>
            <w:r w:rsidRPr="001F1C8E">
              <w:rPr>
                <w:rFonts w:ascii="Constantia" w:hAnsi="Constantia" w:cs="Arial"/>
                <w:b/>
                <w:bCs/>
                <w:iCs/>
                <w:color w:val="000000"/>
                <w:szCs w:val="22"/>
                <w:lang w:val="sr-Latn-CS"/>
              </w:rPr>
              <w:t>PF</w:t>
            </w:r>
          </w:p>
        </w:tc>
        <w:tc>
          <w:tcPr>
            <w:tcW w:w="5040" w:type="dxa"/>
            <w:shd w:val="clear" w:color="auto" w:fill="E6EED5"/>
          </w:tcPr>
          <w:p w:rsidR="008C66E3" w:rsidRPr="001F1C8E" w:rsidRDefault="008C66E3" w:rsidP="00912E35">
            <w:pPr>
              <w:autoSpaceDE w:val="0"/>
              <w:autoSpaceDN w:val="0"/>
              <w:adjustRightInd w:val="0"/>
              <w:spacing w:after="0"/>
              <w:rPr>
                <w:rFonts w:ascii="Constantia" w:hAnsi="Constantia" w:cs="Arial"/>
                <w:bCs/>
                <w:color w:val="000000"/>
                <w:szCs w:val="22"/>
              </w:rPr>
            </w:pPr>
            <w:r w:rsidRPr="001F1C8E">
              <w:rPr>
                <w:rFonts w:ascii="Constantia" w:hAnsi="Constantia" w:cs="Arial"/>
                <w:bCs/>
                <w:color w:val="000000"/>
                <w:szCs w:val="22"/>
              </w:rPr>
              <w:t>Prioritetno</w:t>
            </w:r>
          </w:p>
        </w:tc>
      </w:tr>
      <w:tr w:rsidR="008C66E3" w:rsidRPr="001F1C8E" w:rsidTr="00C12489">
        <w:tc>
          <w:tcPr>
            <w:tcW w:w="4050" w:type="dxa"/>
            <w:shd w:val="clear" w:color="auto" w:fill="CDDDAC"/>
          </w:tcPr>
          <w:p w:rsidR="008C66E3" w:rsidRPr="001F1C8E" w:rsidRDefault="008C66E3" w:rsidP="00912E35">
            <w:pPr>
              <w:autoSpaceDE w:val="0"/>
              <w:autoSpaceDN w:val="0"/>
              <w:adjustRightInd w:val="0"/>
              <w:spacing w:after="0"/>
              <w:rPr>
                <w:rFonts w:ascii="Constantia" w:hAnsi="Constantia" w:cs="Arial"/>
                <w:b/>
                <w:bCs/>
                <w:iCs/>
                <w:color w:val="000000"/>
                <w:szCs w:val="22"/>
                <w:lang w:val="sr-Latn-CS"/>
              </w:rPr>
            </w:pPr>
            <w:r w:rsidRPr="001F1C8E">
              <w:rPr>
                <w:rFonts w:ascii="Constantia" w:hAnsi="Constantia" w:cs="Arial"/>
                <w:b/>
                <w:bCs/>
                <w:iCs/>
                <w:color w:val="000000"/>
                <w:szCs w:val="22"/>
                <w:lang w:val="sr-Latn-CS"/>
              </w:rPr>
              <w:t>NP</w:t>
            </w:r>
          </w:p>
        </w:tc>
        <w:tc>
          <w:tcPr>
            <w:tcW w:w="5040" w:type="dxa"/>
            <w:shd w:val="clear" w:color="auto" w:fill="CDDDAC"/>
          </w:tcPr>
          <w:p w:rsidR="008C66E3" w:rsidRPr="001F1C8E" w:rsidRDefault="008C66E3" w:rsidP="00912E35">
            <w:pPr>
              <w:autoSpaceDE w:val="0"/>
              <w:autoSpaceDN w:val="0"/>
              <w:adjustRightInd w:val="0"/>
              <w:spacing w:after="0"/>
              <w:rPr>
                <w:rFonts w:ascii="Constantia" w:hAnsi="Constantia" w:cs="Arial"/>
                <w:bCs/>
                <w:color w:val="000000"/>
                <w:szCs w:val="22"/>
              </w:rPr>
            </w:pPr>
            <w:r w:rsidRPr="001F1C8E">
              <w:rPr>
                <w:rFonts w:ascii="Constantia" w:hAnsi="Constantia" w:cs="Arial"/>
                <w:bCs/>
                <w:color w:val="000000"/>
                <w:szCs w:val="22"/>
              </w:rPr>
              <w:t>Iščezlo</w:t>
            </w:r>
          </w:p>
        </w:tc>
      </w:tr>
      <w:tr w:rsidR="008C66E3" w:rsidRPr="001F1C8E" w:rsidTr="00C12489">
        <w:tc>
          <w:tcPr>
            <w:tcW w:w="4050" w:type="dxa"/>
            <w:shd w:val="clear" w:color="auto" w:fill="E6EED5"/>
          </w:tcPr>
          <w:p w:rsidR="008C66E3" w:rsidRPr="001F1C8E" w:rsidRDefault="008C66E3" w:rsidP="00912E35">
            <w:pPr>
              <w:autoSpaceDE w:val="0"/>
              <w:autoSpaceDN w:val="0"/>
              <w:adjustRightInd w:val="0"/>
              <w:spacing w:after="0"/>
              <w:rPr>
                <w:rFonts w:ascii="Constantia" w:hAnsi="Constantia" w:cs="Arial"/>
                <w:b/>
                <w:bCs/>
                <w:iCs/>
                <w:color w:val="000000"/>
                <w:szCs w:val="22"/>
                <w:lang w:val="sr-Latn-CS"/>
              </w:rPr>
            </w:pPr>
            <w:r w:rsidRPr="001F1C8E">
              <w:rPr>
                <w:rFonts w:ascii="Constantia" w:hAnsi="Constantia" w:cs="Arial"/>
                <w:b/>
                <w:bCs/>
                <w:iCs/>
                <w:color w:val="000000"/>
                <w:szCs w:val="22"/>
                <w:lang w:val="sr-Latn-CS"/>
              </w:rPr>
              <w:t>Cover (ha)</w:t>
            </w:r>
          </w:p>
        </w:tc>
        <w:tc>
          <w:tcPr>
            <w:tcW w:w="5040" w:type="dxa"/>
            <w:shd w:val="clear" w:color="auto" w:fill="E6EED5"/>
          </w:tcPr>
          <w:p w:rsidR="008C66E3" w:rsidRPr="001F1C8E" w:rsidRDefault="008C66E3" w:rsidP="00912E35">
            <w:pPr>
              <w:autoSpaceDE w:val="0"/>
              <w:autoSpaceDN w:val="0"/>
              <w:adjustRightInd w:val="0"/>
              <w:spacing w:after="0"/>
              <w:rPr>
                <w:rFonts w:ascii="Constantia" w:hAnsi="Constantia" w:cs="Arial"/>
                <w:bCs/>
                <w:color w:val="000000"/>
                <w:szCs w:val="22"/>
              </w:rPr>
            </w:pPr>
            <w:r w:rsidRPr="001F1C8E">
              <w:rPr>
                <w:rFonts w:ascii="Constantia" w:hAnsi="Constantia" w:cs="Arial"/>
                <w:bCs/>
                <w:color w:val="000000"/>
                <w:szCs w:val="22"/>
              </w:rPr>
              <w:t>Površina</w:t>
            </w:r>
          </w:p>
        </w:tc>
      </w:tr>
      <w:tr w:rsidR="008C66E3" w:rsidRPr="001F1C8E" w:rsidTr="00C12489">
        <w:tc>
          <w:tcPr>
            <w:tcW w:w="4050" w:type="dxa"/>
            <w:shd w:val="clear" w:color="auto" w:fill="CDDDAC"/>
          </w:tcPr>
          <w:p w:rsidR="008C66E3" w:rsidRPr="001F1C8E" w:rsidRDefault="008C66E3" w:rsidP="00912E35">
            <w:pPr>
              <w:autoSpaceDE w:val="0"/>
              <w:autoSpaceDN w:val="0"/>
              <w:adjustRightInd w:val="0"/>
              <w:spacing w:after="0"/>
              <w:rPr>
                <w:rFonts w:ascii="Constantia" w:hAnsi="Constantia" w:cs="Arial"/>
                <w:b/>
                <w:bCs/>
                <w:iCs/>
                <w:color w:val="000000"/>
                <w:szCs w:val="22"/>
                <w:lang w:val="sr-Latn-CS"/>
              </w:rPr>
            </w:pPr>
            <w:r w:rsidRPr="001F1C8E">
              <w:rPr>
                <w:rFonts w:ascii="Constantia" w:hAnsi="Constantia" w:cs="Arial"/>
                <w:b/>
                <w:bCs/>
                <w:iCs/>
                <w:color w:val="000000"/>
                <w:szCs w:val="22"/>
                <w:lang w:val="sr-Latn-CS"/>
              </w:rPr>
              <w:t>Pećine</w:t>
            </w:r>
          </w:p>
        </w:tc>
        <w:tc>
          <w:tcPr>
            <w:tcW w:w="5040" w:type="dxa"/>
            <w:shd w:val="clear" w:color="auto" w:fill="CDDDAC"/>
          </w:tcPr>
          <w:p w:rsidR="008C66E3" w:rsidRPr="001F1C8E" w:rsidRDefault="008C66E3" w:rsidP="00912E35">
            <w:pPr>
              <w:autoSpaceDE w:val="0"/>
              <w:autoSpaceDN w:val="0"/>
              <w:adjustRightInd w:val="0"/>
              <w:spacing w:after="0"/>
              <w:rPr>
                <w:rFonts w:ascii="Constantia" w:hAnsi="Constantia" w:cs="Arial"/>
                <w:bCs/>
                <w:color w:val="000000"/>
                <w:szCs w:val="22"/>
              </w:rPr>
            </w:pPr>
            <w:r w:rsidRPr="001F1C8E">
              <w:rPr>
                <w:rFonts w:ascii="Constantia" w:hAnsi="Constantia" w:cs="Arial"/>
                <w:bCs/>
                <w:color w:val="000000"/>
                <w:szCs w:val="22"/>
              </w:rPr>
              <w:t xml:space="preserve">Broj </w:t>
            </w:r>
          </w:p>
        </w:tc>
      </w:tr>
      <w:tr w:rsidR="008C66E3" w:rsidRPr="001F1C8E" w:rsidTr="00C12489">
        <w:tc>
          <w:tcPr>
            <w:tcW w:w="4050" w:type="dxa"/>
            <w:shd w:val="clear" w:color="auto" w:fill="E6EED5"/>
          </w:tcPr>
          <w:p w:rsidR="008C66E3" w:rsidRPr="001F1C8E" w:rsidRDefault="008C66E3" w:rsidP="00912E35">
            <w:pPr>
              <w:autoSpaceDE w:val="0"/>
              <w:autoSpaceDN w:val="0"/>
              <w:adjustRightInd w:val="0"/>
              <w:spacing w:after="0"/>
              <w:rPr>
                <w:rFonts w:ascii="Constantia" w:hAnsi="Constantia" w:cs="Arial"/>
                <w:b/>
                <w:bCs/>
                <w:iCs/>
                <w:color w:val="000000"/>
                <w:szCs w:val="22"/>
                <w:lang w:val="sr-Latn-CS"/>
              </w:rPr>
            </w:pPr>
            <w:r w:rsidRPr="001F1C8E">
              <w:rPr>
                <w:rFonts w:ascii="Constantia" w:hAnsi="Constantia" w:cs="Arial"/>
                <w:b/>
                <w:bCs/>
                <w:iCs/>
                <w:color w:val="000000"/>
                <w:szCs w:val="22"/>
                <w:lang w:val="sr-Latn-CS"/>
              </w:rPr>
              <w:t>Kvalitet podataka</w:t>
            </w:r>
          </w:p>
        </w:tc>
        <w:tc>
          <w:tcPr>
            <w:tcW w:w="5040" w:type="dxa"/>
            <w:shd w:val="clear" w:color="auto" w:fill="E6EED5"/>
          </w:tcPr>
          <w:p w:rsidR="008C66E3" w:rsidRPr="001F1C8E" w:rsidRDefault="008C66E3" w:rsidP="00912E35">
            <w:pPr>
              <w:autoSpaceDE w:val="0"/>
              <w:autoSpaceDN w:val="0"/>
              <w:adjustRightInd w:val="0"/>
              <w:spacing w:after="0"/>
              <w:rPr>
                <w:rFonts w:ascii="Constantia" w:hAnsi="Constantia" w:cs="Arial"/>
                <w:bCs/>
                <w:color w:val="000000"/>
                <w:szCs w:val="22"/>
              </w:rPr>
            </w:pPr>
            <w:r w:rsidRPr="001F1C8E">
              <w:rPr>
                <w:rFonts w:ascii="Constantia" w:hAnsi="Constantia" w:cs="Arial"/>
                <w:bCs/>
                <w:color w:val="000000"/>
                <w:szCs w:val="22"/>
              </w:rPr>
              <w:t>G- Dobar i baziran na istraživanjima</w:t>
            </w:r>
          </w:p>
          <w:p w:rsidR="008C66E3" w:rsidRPr="001F1C8E" w:rsidRDefault="008C66E3" w:rsidP="00912E35">
            <w:pPr>
              <w:autoSpaceDE w:val="0"/>
              <w:autoSpaceDN w:val="0"/>
              <w:adjustRightInd w:val="0"/>
              <w:spacing w:after="0"/>
              <w:rPr>
                <w:rFonts w:ascii="Constantia" w:hAnsi="Constantia" w:cs="Arial"/>
                <w:bCs/>
                <w:color w:val="000000"/>
                <w:szCs w:val="22"/>
              </w:rPr>
            </w:pPr>
            <w:r w:rsidRPr="001F1C8E">
              <w:rPr>
                <w:rFonts w:ascii="Constantia" w:hAnsi="Constantia" w:cs="Arial"/>
                <w:bCs/>
                <w:color w:val="000000"/>
                <w:szCs w:val="22"/>
              </w:rPr>
              <w:t>M- srednje dobar baziran na istraživanjima i literature</w:t>
            </w:r>
          </w:p>
          <w:p w:rsidR="008C66E3" w:rsidRPr="001F1C8E" w:rsidRDefault="008C66E3" w:rsidP="00912E35">
            <w:pPr>
              <w:autoSpaceDE w:val="0"/>
              <w:autoSpaceDN w:val="0"/>
              <w:adjustRightInd w:val="0"/>
              <w:spacing w:after="0"/>
              <w:rPr>
                <w:rFonts w:ascii="Constantia" w:hAnsi="Constantia" w:cs="Arial"/>
                <w:bCs/>
                <w:color w:val="000000"/>
                <w:szCs w:val="22"/>
              </w:rPr>
            </w:pPr>
            <w:r w:rsidRPr="001F1C8E">
              <w:rPr>
                <w:rFonts w:ascii="Constantia" w:hAnsi="Constantia" w:cs="Arial"/>
                <w:bCs/>
                <w:color w:val="000000"/>
                <w:szCs w:val="22"/>
              </w:rPr>
              <w:t>P – gruba procjena</w:t>
            </w:r>
          </w:p>
          <w:p w:rsidR="008C66E3" w:rsidRPr="001F1C8E" w:rsidRDefault="008C66E3" w:rsidP="00912E35">
            <w:pPr>
              <w:autoSpaceDE w:val="0"/>
              <w:autoSpaceDN w:val="0"/>
              <w:adjustRightInd w:val="0"/>
              <w:spacing w:after="0"/>
              <w:rPr>
                <w:rFonts w:ascii="Constantia" w:hAnsi="Constantia" w:cs="Arial"/>
                <w:bCs/>
                <w:color w:val="000000"/>
                <w:szCs w:val="22"/>
              </w:rPr>
            </w:pPr>
            <w:r w:rsidRPr="001F1C8E">
              <w:rPr>
                <w:rFonts w:ascii="Constantia" w:hAnsi="Constantia" w:cs="Arial"/>
                <w:bCs/>
                <w:color w:val="000000"/>
                <w:szCs w:val="22"/>
              </w:rPr>
              <w:t>DD- nedostatak podataka</w:t>
            </w:r>
          </w:p>
        </w:tc>
      </w:tr>
      <w:tr w:rsidR="008C66E3" w:rsidRPr="001F1C8E" w:rsidTr="00C12489">
        <w:tc>
          <w:tcPr>
            <w:tcW w:w="4050" w:type="dxa"/>
            <w:shd w:val="clear" w:color="auto" w:fill="CDDDAC"/>
          </w:tcPr>
          <w:p w:rsidR="008C66E3" w:rsidRPr="001F1C8E" w:rsidRDefault="008C66E3" w:rsidP="00912E35">
            <w:pPr>
              <w:autoSpaceDE w:val="0"/>
              <w:autoSpaceDN w:val="0"/>
              <w:adjustRightInd w:val="0"/>
              <w:spacing w:after="0"/>
              <w:rPr>
                <w:rFonts w:ascii="Constantia" w:hAnsi="Constantia" w:cs="Arial"/>
                <w:b/>
                <w:bCs/>
                <w:iCs/>
                <w:color w:val="000000"/>
                <w:szCs w:val="22"/>
                <w:lang w:val="sr-Latn-CS"/>
              </w:rPr>
            </w:pPr>
            <w:r w:rsidRPr="001F1C8E">
              <w:rPr>
                <w:rFonts w:ascii="Constantia" w:hAnsi="Constantia" w:cs="Arial"/>
                <w:b/>
                <w:bCs/>
                <w:iCs/>
                <w:color w:val="000000"/>
                <w:szCs w:val="22"/>
                <w:lang w:val="sr-Latn-CS"/>
              </w:rPr>
              <w:t>Reprezentativnost</w:t>
            </w:r>
          </w:p>
        </w:tc>
        <w:tc>
          <w:tcPr>
            <w:tcW w:w="5040" w:type="dxa"/>
            <w:shd w:val="clear" w:color="auto" w:fill="CDDDAC"/>
          </w:tcPr>
          <w:p w:rsidR="008C66E3" w:rsidRPr="001F1C8E" w:rsidRDefault="008C66E3" w:rsidP="00912E35">
            <w:pPr>
              <w:autoSpaceDE w:val="0"/>
              <w:autoSpaceDN w:val="0"/>
              <w:adjustRightInd w:val="0"/>
              <w:spacing w:after="0"/>
              <w:rPr>
                <w:rFonts w:ascii="Constantia" w:hAnsi="Constantia" w:cs="Arial"/>
                <w:bCs/>
                <w:color w:val="000000"/>
                <w:szCs w:val="22"/>
              </w:rPr>
            </w:pPr>
            <w:r w:rsidRPr="001F1C8E">
              <w:rPr>
                <w:rFonts w:ascii="Constantia" w:hAnsi="Constantia" w:cs="Arial"/>
                <w:bCs/>
                <w:color w:val="000000"/>
                <w:szCs w:val="22"/>
              </w:rPr>
              <w:t>A: odlična</w:t>
            </w:r>
          </w:p>
          <w:p w:rsidR="008C66E3" w:rsidRPr="001F1C8E" w:rsidRDefault="008C66E3" w:rsidP="00912E35">
            <w:pPr>
              <w:autoSpaceDE w:val="0"/>
              <w:autoSpaceDN w:val="0"/>
              <w:adjustRightInd w:val="0"/>
              <w:spacing w:after="0"/>
              <w:rPr>
                <w:rFonts w:ascii="Constantia" w:hAnsi="Constantia" w:cs="Arial"/>
                <w:bCs/>
                <w:color w:val="000000"/>
                <w:szCs w:val="22"/>
              </w:rPr>
            </w:pPr>
            <w:r w:rsidRPr="001F1C8E">
              <w:rPr>
                <w:rFonts w:ascii="Constantia" w:hAnsi="Constantia" w:cs="Arial"/>
                <w:bCs/>
                <w:color w:val="000000"/>
                <w:szCs w:val="22"/>
              </w:rPr>
              <w:t>B: dobra</w:t>
            </w:r>
          </w:p>
          <w:p w:rsidR="008C66E3" w:rsidRPr="001F1C8E" w:rsidRDefault="008C66E3" w:rsidP="00912E35">
            <w:pPr>
              <w:autoSpaceDE w:val="0"/>
              <w:autoSpaceDN w:val="0"/>
              <w:adjustRightInd w:val="0"/>
              <w:spacing w:after="0"/>
              <w:rPr>
                <w:rFonts w:ascii="Constantia" w:hAnsi="Constantia" w:cs="Arial"/>
                <w:bCs/>
                <w:color w:val="000000"/>
                <w:szCs w:val="22"/>
              </w:rPr>
            </w:pPr>
            <w:r w:rsidRPr="001F1C8E">
              <w:rPr>
                <w:rFonts w:ascii="Constantia" w:hAnsi="Constantia" w:cs="Arial"/>
                <w:bCs/>
                <w:color w:val="000000"/>
                <w:szCs w:val="22"/>
              </w:rPr>
              <w:t>C: značajna</w:t>
            </w:r>
          </w:p>
          <w:p w:rsidR="008C66E3" w:rsidRPr="001F1C8E" w:rsidRDefault="008C66E3" w:rsidP="00912E35">
            <w:pPr>
              <w:autoSpaceDE w:val="0"/>
              <w:autoSpaceDN w:val="0"/>
              <w:adjustRightInd w:val="0"/>
              <w:spacing w:after="0"/>
              <w:rPr>
                <w:rFonts w:ascii="Constantia" w:hAnsi="Constantia" w:cs="Arial"/>
                <w:bCs/>
                <w:color w:val="000000"/>
                <w:szCs w:val="22"/>
              </w:rPr>
            </w:pPr>
            <w:r w:rsidRPr="001F1C8E">
              <w:rPr>
                <w:rFonts w:ascii="Constantia" w:hAnsi="Constantia" w:cs="Arial"/>
                <w:bCs/>
                <w:color w:val="000000"/>
                <w:szCs w:val="22"/>
              </w:rPr>
              <w:t>D: neznačajno prisustvo</w:t>
            </w:r>
          </w:p>
        </w:tc>
      </w:tr>
      <w:tr w:rsidR="008C66E3" w:rsidRPr="001F1C8E" w:rsidTr="00C12489">
        <w:tc>
          <w:tcPr>
            <w:tcW w:w="4050" w:type="dxa"/>
            <w:shd w:val="clear" w:color="auto" w:fill="E6EED5"/>
          </w:tcPr>
          <w:p w:rsidR="008C66E3" w:rsidRPr="001F1C8E" w:rsidRDefault="008C66E3" w:rsidP="00912E35">
            <w:pPr>
              <w:autoSpaceDE w:val="0"/>
              <w:autoSpaceDN w:val="0"/>
              <w:adjustRightInd w:val="0"/>
              <w:spacing w:after="0"/>
              <w:rPr>
                <w:rFonts w:ascii="Constantia" w:hAnsi="Constantia" w:cs="Arial"/>
                <w:b/>
                <w:bCs/>
                <w:iCs/>
                <w:color w:val="000000"/>
                <w:szCs w:val="22"/>
                <w:lang w:val="sr-Latn-CS"/>
              </w:rPr>
            </w:pPr>
            <w:r w:rsidRPr="001F1C8E">
              <w:rPr>
                <w:rFonts w:ascii="Constantia" w:hAnsi="Constantia" w:cs="Arial"/>
                <w:b/>
                <w:bCs/>
                <w:iCs/>
                <w:color w:val="000000"/>
                <w:szCs w:val="22"/>
                <w:lang w:val="sr-Latn-CS"/>
              </w:rPr>
              <w:t>Rang relativne površine staništa</w:t>
            </w:r>
          </w:p>
        </w:tc>
        <w:tc>
          <w:tcPr>
            <w:tcW w:w="5040" w:type="dxa"/>
            <w:shd w:val="clear" w:color="auto" w:fill="E6EED5"/>
          </w:tcPr>
          <w:p w:rsidR="008C66E3" w:rsidRPr="001F1C8E" w:rsidRDefault="008C66E3" w:rsidP="00912E35">
            <w:pPr>
              <w:autoSpaceDE w:val="0"/>
              <w:autoSpaceDN w:val="0"/>
              <w:adjustRightInd w:val="0"/>
              <w:spacing w:after="0"/>
              <w:rPr>
                <w:rFonts w:ascii="Constantia" w:hAnsi="Constantia" w:cs="Arial"/>
                <w:bCs/>
                <w:color w:val="000000"/>
                <w:szCs w:val="22"/>
              </w:rPr>
            </w:pPr>
            <w:r w:rsidRPr="001F1C8E">
              <w:rPr>
                <w:rFonts w:ascii="Constantia" w:hAnsi="Constantia" w:cs="Arial"/>
                <w:bCs/>
                <w:color w:val="000000"/>
                <w:szCs w:val="22"/>
              </w:rPr>
              <w:t xml:space="preserve">A: 100 ≥ p &gt; 15 % </w:t>
            </w:r>
          </w:p>
          <w:p w:rsidR="008C66E3" w:rsidRPr="001F1C8E" w:rsidRDefault="008C66E3" w:rsidP="00912E35">
            <w:pPr>
              <w:autoSpaceDE w:val="0"/>
              <w:autoSpaceDN w:val="0"/>
              <w:adjustRightInd w:val="0"/>
              <w:spacing w:after="0"/>
              <w:rPr>
                <w:rFonts w:ascii="Constantia" w:hAnsi="Constantia" w:cs="Arial"/>
                <w:bCs/>
                <w:color w:val="000000"/>
                <w:szCs w:val="22"/>
              </w:rPr>
            </w:pPr>
            <w:r w:rsidRPr="001F1C8E">
              <w:rPr>
                <w:rFonts w:ascii="Constantia" w:hAnsi="Constantia" w:cs="Arial"/>
                <w:bCs/>
                <w:color w:val="000000"/>
                <w:szCs w:val="22"/>
              </w:rPr>
              <w:t xml:space="preserve">B: 15 ≥ p &gt; 2 % </w:t>
            </w:r>
          </w:p>
          <w:p w:rsidR="008C66E3" w:rsidRPr="001F1C8E" w:rsidRDefault="008C66E3" w:rsidP="00912E35">
            <w:pPr>
              <w:autoSpaceDE w:val="0"/>
              <w:autoSpaceDN w:val="0"/>
              <w:adjustRightInd w:val="0"/>
              <w:spacing w:after="0"/>
              <w:rPr>
                <w:rFonts w:ascii="Constantia" w:hAnsi="Constantia" w:cs="Arial"/>
                <w:bCs/>
                <w:color w:val="000000"/>
                <w:szCs w:val="22"/>
              </w:rPr>
            </w:pPr>
            <w:r w:rsidRPr="001F1C8E">
              <w:rPr>
                <w:rFonts w:ascii="Constantia" w:hAnsi="Constantia" w:cs="Arial"/>
                <w:bCs/>
                <w:color w:val="000000"/>
                <w:szCs w:val="22"/>
              </w:rPr>
              <w:t>C: 2 ≥ p &gt; 0 %</w:t>
            </w:r>
          </w:p>
        </w:tc>
      </w:tr>
      <w:tr w:rsidR="008C66E3" w:rsidRPr="001F1C8E" w:rsidTr="00C12489">
        <w:tc>
          <w:tcPr>
            <w:tcW w:w="4050" w:type="dxa"/>
            <w:shd w:val="clear" w:color="auto" w:fill="CDDDAC"/>
          </w:tcPr>
          <w:p w:rsidR="008C66E3" w:rsidRPr="001F1C8E" w:rsidRDefault="008C66E3" w:rsidP="00912E35">
            <w:pPr>
              <w:autoSpaceDE w:val="0"/>
              <w:autoSpaceDN w:val="0"/>
              <w:adjustRightInd w:val="0"/>
              <w:spacing w:after="0"/>
              <w:rPr>
                <w:rFonts w:ascii="Constantia" w:hAnsi="Constantia" w:cs="Arial"/>
                <w:b/>
                <w:bCs/>
                <w:iCs/>
                <w:color w:val="000000"/>
                <w:szCs w:val="22"/>
                <w:lang w:val="sr-Latn-CS"/>
              </w:rPr>
            </w:pPr>
            <w:r w:rsidRPr="001F1C8E">
              <w:rPr>
                <w:rFonts w:ascii="Constantia" w:hAnsi="Constantia" w:cs="Arial"/>
                <w:b/>
                <w:bCs/>
                <w:iCs/>
                <w:color w:val="000000"/>
                <w:szCs w:val="22"/>
                <w:lang w:val="sr-Latn-CS"/>
              </w:rPr>
              <w:t>Stepen zaštite područja</w:t>
            </w:r>
          </w:p>
        </w:tc>
        <w:tc>
          <w:tcPr>
            <w:tcW w:w="5040" w:type="dxa"/>
            <w:shd w:val="clear" w:color="auto" w:fill="CDDDAC"/>
          </w:tcPr>
          <w:p w:rsidR="008C66E3" w:rsidRPr="001F1C8E" w:rsidRDefault="008C66E3" w:rsidP="00912E35">
            <w:pPr>
              <w:autoSpaceDE w:val="0"/>
              <w:autoSpaceDN w:val="0"/>
              <w:adjustRightInd w:val="0"/>
              <w:spacing w:after="0"/>
              <w:rPr>
                <w:rFonts w:ascii="Constantia" w:hAnsi="Constantia" w:cs="Arial"/>
                <w:bCs/>
                <w:color w:val="000000"/>
                <w:szCs w:val="22"/>
              </w:rPr>
            </w:pPr>
            <w:r w:rsidRPr="001F1C8E">
              <w:rPr>
                <w:rFonts w:ascii="Constantia" w:hAnsi="Constantia" w:cs="Arial"/>
                <w:bCs/>
                <w:color w:val="000000"/>
                <w:szCs w:val="22"/>
              </w:rPr>
              <w:t>A: odlićna zaštita</w:t>
            </w:r>
          </w:p>
          <w:p w:rsidR="008C66E3" w:rsidRPr="001F1C8E" w:rsidRDefault="008C66E3" w:rsidP="00912E35">
            <w:pPr>
              <w:autoSpaceDE w:val="0"/>
              <w:autoSpaceDN w:val="0"/>
              <w:adjustRightInd w:val="0"/>
              <w:spacing w:after="0"/>
              <w:rPr>
                <w:rFonts w:ascii="Constantia" w:hAnsi="Constantia" w:cs="Arial"/>
                <w:bCs/>
                <w:color w:val="000000"/>
                <w:szCs w:val="22"/>
              </w:rPr>
            </w:pPr>
            <w:r w:rsidRPr="001F1C8E">
              <w:rPr>
                <w:rFonts w:ascii="Constantia" w:hAnsi="Constantia" w:cs="Arial"/>
                <w:bCs/>
                <w:color w:val="000000"/>
                <w:szCs w:val="22"/>
              </w:rPr>
              <w:t xml:space="preserve">B: dobra zaštita </w:t>
            </w:r>
          </w:p>
          <w:p w:rsidR="008C66E3" w:rsidRPr="001F1C8E" w:rsidRDefault="008C66E3" w:rsidP="00912E35">
            <w:pPr>
              <w:autoSpaceDE w:val="0"/>
              <w:autoSpaceDN w:val="0"/>
              <w:adjustRightInd w:val="0"/>
              <w:spacing w:after="0"/>
              <w:rPr>
                <w:rFonts w:ascii="Constantia" w:hAnsi="Constantia" w:cs="Arial"/>
                <w:bCs/>
                <w:color w:val="000000"/>
                <w:szCs w:val="22"/>
              </w:rPr>
            </w:pPr>
            <w:r w:rsidRPr="001F1C8E">
              <w:rPr>
                <w:rFonts w:ascii="Constantia" w:hAnsi="Constantia" w:cs="Arial"/>
                <w:bCs/>
                <w:color w:val="000000"/>
                <w:szCs w:val="22"/>
              </w:rPr>
              <w:t>C: srednja ili redukovana zaštita</w:t>
            </w:r>
          </w:p>
        </w:tc>
      </w:tr>
      <w:tr w:rsidR="008C66E3" w:rsidRPr="001F1C8E" w:rsidTr="00C12489">
        <w:tc>
          <w:tcPr>
            <w:tcW w:w="4050" w:type="dxa"/>
            <w:shd w:val="clear" w:color="auto" w:fill="E6EED5"/>
          </w:tcPr>
          <w:p w:rsidR="008C66E3" w:rsidRPr="001F1C8E" w:rsidRDefault="008C66E3" w:rsidP="00C12489">
            <w:pPr>
              <w:autoSpaceDE w:val="0"/>
              <w:autoSpaceDN w:val="0"/>
              <w:adjustRightInd w:val="0"/>
              <w:spacing w:after="0"/>
              <w:jc w:val="left"/>
              <w:rPr>
                <w:rFonts w:ascii="Constantia" w:hAnsi="Constantia" w:cs="Arial"/>
                <w:b/>
                <w:bCs/>
                <w:iCs/>
                <w:color w:val="000000"/>
                <w:szCs w:val="22"/>
                <w:lang w:val="sr-Latn-CS"/>
              </w:rPr>
            </w:pPr>
            <w:r w:rsidRPr="001F1C8E">
              <w:rPr>
                <w:rFonts w:ascii="Constantia" w:hAnsi="Constantia" w:cs="Arial"/>
                <w:b/>
                <w:bCs/>
                <w:iCs/>
                <w:color w:val="000000"/>
                <w:szCs w:val="22"/>
                <w:lang w:val="sr-Latn-CS"/>
              </w:rPr>
              <w:t>Global (Vrijednost staništa sa globalnog aspekta)</w:t>
            </w:r>
          </w:p>
        </w:tc>
        <w:tc>
          <w:tcPr>
            <w:tcW w:w="5040" w:type="dxa"/>
            <w:shd w:val="clear" w:color="auto" w:fill="E6EED5"/>
          </w:tcPr>
          <w:p w:rsidR="008C66E3" w:rsidRPr="001F1C8E" w:rsidRDefault="008C66E3" w:rsidP="00912E35">
            <w:pPr>
              <w:autoSpaceDE w:val="0"/>
              <w:autoSpaceDN w:val="0"/>
              <w:adjustRightInd w:val="0"/>
              <w:spacing w:after="0"/>
              <w:rPr>
                <w:rFonts w:ascii="Constantia" w:hAnsi="Constantia" w:cs="Arial"/>
                <w:bCs/>
                <w:color w:val="000000"/>
                <w:szCs w:val="22"/>
              </w:rPr>
            </w:pPr>
            <w:r w:rsidRPr="001F1C8E">
              <w:rPr>
                <w:rFonts w:ascii="Constantia" w:hAnsi="Constantia" w:cs="Arial"/>
                <w:bCs/>
                <w:color w:val="000000"/>
                <w:szCs w:val="22"/>
              </w:rPr>
              <w:t>A: odlično</w:t>
            </w:r>
          </w:p>
          <w:p w:rsidR="008C66E3" w:rsidRPr="001F1C8E" w:rsidRDefault="008C66E3" w:rsidP="00912E35">
            <w:pPr>
              <w:autoSpaceDE w:val="0"/>
              <w:autoSpaceDN w:val="0"/>
              <w:adjustRightInd w:val="0"/>
              <w:spacing w:after="0"/>
              <w:rPr>
                <w:rFonts w:ascii="Constantia" w:hAnsi="Constantia" w:cs="Arial"/>
                <w:bCs/>
                <w:color w:val="000000"/>
                <w:szCs w:val="22"/>
              </w:rPr>
            </w:pPr>
            <w:r w:rsidRPr="001F1C8E">
              <w:rPr>
                <w:rFonts w:ascii="Constantia" w:hAnsi="Constantia" w:cs="Arial"/>
                <w:bCs/>
                <w:color w:val="000000"/>
                <w:szCs w:val="22"/>
              </w:rPr>
              <w:t>B: dobro</w:t>
            </w:r>
          </w:p>
          <w:p w:rsidR="008C66E3" w:rsidRPr="001F1C8E" w:rsidRDefault="008C66E3" w:rsidP="00912E35">
            <w:pPr>
              <w:autoSpaceDE w:val="0"/>
              <w:autoSpaceDN w:val="0"/>
              <w:adjustRightInd w:val="0"/>
              <w:spacing w:after="0"/>
              <w:rPr>
                <w:rFonts w:ascii="Constantia" w:hAnsi="Constantia" w:cs="Arial"/>
                <w:bCs/>
                <w:color w:val="000000"/>
                <w:szCs w:val="22"/>
              </w:rPr>
            </w:pPr>
            <w:r w:rsidRPr="001F1C8E">
              <w:rPr>
                <w:rFonts w:ascii="Constantia" w:hAnsi="Constantia" w:cs="Arial"/>
                <w:bCs/>
                <w:color w:val="000000"/>
                <w:szCs w:val="22"/>
              </w:rPr>
              <w:t>C: značajno</w:t>
            </w:r>
          </w:p>
        </w:tc>
      </w:tr>
    </w:tbl>
    <w:p w:rsidR="008C66E3" w:rsidRPr="001F1C8E" w:rsidRDefault="001F1C8E" w:rsidP="008C66E3">
      <w:pPr>
        <w:pStyle w:val="Tabele"/>
        <w:spacing w:before="60" w:after="240"/>
        <w:ind w:left="714" w:hanging="357"/>
        <w:rPr>
          <w:rFonts w:ascii="Constantia" w:hAnsi="Constantia"/>
          <w:sz w:val="22"/>
          <w:szCs w:val="22"/>
        </w:rPr>
      </w:pPr>
      <w:r>
        <w:t xml:space="preserve"> </w:t>
      </w:r>
      <w:r w:rsidR="008C66E3" w:rsidRPr="001F1C8E">
        <w:rPr>
          <w:rFonts w:ascii="Constantia" w:hAnsi="Constantia"/>
          <w:sz w:val="22"/>
          <w:szCs w:val="22"/>
        </w:rPr>
        <w:t>Metodologija izvještavanja</w:t>
      </w:r>
    </w:p>
    <w:p w:rsidR="00D65E40" w:rsidRDefault="00D65E40" w:rsidP="00077AA6">
      <w:pPr>
        <w:pStyle w:val="Grafikon"/>
        <w:numPr>
          <w:ilvl w:val="0"/>
          <w:numId w:val="0"/>
        </w:numPr>
        <w:spacing w:line="276" w:lineRule="auto"/>
        <w:rPr>
          <w:rFonts w:ascii="Constantia" w:eastAsia="Calibri" w:hAnsi="Constantia"/>
          <w:i w:val="0"/>
          <w:sz w:val="22"/>
          <w:szCs w:val="22"/>
        </w:rPr>
      </w:pPr>
    </w:p>
    <w:p w:rsidR="00077AA6" w:rsidRPr="005E4028" w:rsidRDefault="00077AA6" w:rsidP="00077AA6">
      <w:pPr>
        <w:pStyle w:val="Grafikon"/>
        <w:numPr>
          <w:ilvl w:val="0"/>
          <w:numId w:val="0"/>
        </w:numPr>
        <w:spacing w:line="276" w:lineRule="auto"/>
        <w:rPr>
          <w:rFonts w:ascii="Constantia" w:eastAsia="Calibri" w:hAnsi="Constantia"/>
          <w:i w:val="0"/>
          <w:sz w:val="22"/>
          <w:szCs w:val="22"/>
        </w:rPr>
      </w:pPr>
      <w:r>
        <w:rPr>
          <w:rFonts w:ascii="Constantia" w:eastAsia="Calibri" w:hAnsi="Constantia"/>
          <w:i w:val="0"/>
          <w:sz w:val="22"/>
          <w:szCs w:val="22"/>
        </w:rPr>
        <w:t>*</w:t>
      </w:r>
      <w:r>
        <w:rPr>
          <w:rFonts w:ascii="Constantia" w:eastAsia="Calibri" w:hAnsi="Constantia"/>
          <w:i w:val="0"/>
          <w:sz w:val="22"/>
          <w:szCs w:val="22"/>
        </w:rPr>
        <w:tab/>
        <w:t>*           *</w:t>
      </w:r>
    </w:p>
    <w:p w:rsidR="008C66E3" w:rsidRPr="00077AA6" w:rsidRDefault="008C66E3" w:rsidP="00077AA6">
      <w:pPr>
        <w:pStyle w:val="Tabele"/>
        <w:numPr>
          <w:ilvl w:val="0"/>
          <w:numId w:val="0"/>
        </w:numPr>
        <w:spacing w:before="60" w:after="240"/>
        <w:ind w:left="357"/>
        <w:rPr>
          <w:rFonts w:ascii="Constantia" w:hAnsi="Constantia"/>
          <w:i w:val="0"/>
          <w:sz w:val="22"/>
          <w:szCs w:val="22"/>
        </w:rPr>
      </w:pPr>
    </w:p>
    <w:p w:rsidR="00EB3E54" w:rsidRPr="00EB3E54" w:rsidRDefault="00EB3E54" w:rsidP="004C5739">
      <w:pPr>
        <w:pStyle w:val="Heading1"/>
        <w:spacing w:before="0"/>
        <w:rPr>
          <w:noProof/>
          <w:lang w:val="sr-Latn-CS"/>
        </w:rPr>
      </w:pPr>
      <w:bookmarkStart w:id="154" w:name="_Toc357157649"/>
      <w:bookmarkStart w:id="155" w:name="_Toc393897934"/>
      <w:r w:rsidRPr="00EB3E54">
        <w:rPr>
          <w:noProof/>
          <w:lang w:val="sr-Latn-CS"/>
        </w:rPr>
        <w:lastRenderedPageBreak/>
        <w:t>B</w:t>
      </w:r>
      <w:r>
        <w:rPr>
          <w:noProof/>
          <w:lang w:val="sr-Latn-CS"/>
        </w:rPr>
        <w:t>UKA</w:t>
      </w:r>
      <w:bookmarkEnd w:id="154"/>
      <w:bookmarkEnd w:id="155"/>
    </w:p>
    <w:p w:rsidR="00EB3E54" w:rsidRPr="00EB3E54" w:rsidRDefault="00EB3E54" w:rsidP="00EB3E54">
      <w:pPr>
        <w:pStyle w:val="Heading3"/>
      </w:pPr>
      <w:bookmarkStart w:id="156" w:name="_Toc357157650"/>
      <w:bookmarkStart w:id="157" w:name="_Toc393897935"/>
      <w:r w:rsidRPr="00EB3E54">
        <w:t>U</w:t>
      </w:r>
      <w:r>
        <w:t>vod</w:t>
      </w:r>
      <w:bookmarkEnd w:id="156"/>
      <w:bookmarkEnd w:id="157"/>
    </w:p>
    <w:p w:rsidR="00EB3E54" w:rsidRDefault="00EB3E54" w:rsidP="00EB3E54">
      <w:pPr>
        <w:rPr>
          <w:rFonts w:ascii="Constantia" w:hAnsi="Constantia"/>
        </w:rPr>
      </w:pPr>
      <w:r w:rsidRPr="00EB3E54">
        <w:rPr>
          <w:rFonts w:ascii="Constantia" w:hAnsi="Constantia"/>
        </w:rPr>
        <w:t xml:space="preserve">U skladu sa Zakonom o zaštiti od buke u životnoj sredini </w:t>
      </w:r>
      <w:r w:rsidRPr="00EB3E54">
        <w:rPr>
          <w:rFonts w:ascii="Constantia" w:hAnsi="Constantia" w:cs="Arial"/>
          <w:szCs w:val="22"/>
        </w:rPr>
        <w:t>("Sl. list CG", br. 28/11 od 10.06.2011, 28/12 od 05.06.2012, 01/14 od 09.01.2014)</w:t>
      </w:r>
      <w:r w:rsidRPr="00EB3E54">
        <w:rPr>
          <w:rFonts w:ascii="Constantia" w:hAnsi="Constantia"/>
        </w:rPr>
        <w:t xml:space="preserve">, buka u životnoj sredini je nepoželjan ili štetan zvuk na otvorenom prostoru koji je izazvan ljudskom aktivnošću, uključujući buku koja potiče iz drumskog, željezničkog i vazdušnog saobraćaja i od industrijskih postrojenja za koje se izdaje integrisana dozvola. </w:t>
      </w:r>
    </w:p>
    <w:p w:rsidR="00EB3E54" w:rsidRPr="00EB3E54" w:rsidRDefault="00A359B2" w:rsidP="00EB3E54">
      <w:pPr>
        <w:rPr>
          <w:rFonts w:ascii="Constantia" w:hAnsi="Constantia"/>
        </w:rPr>
      </w:pPr>
      <w:r>
        <w:rPr>
          <w:rFonts w:ascii="Constantia" w:hAnsi="Constantia"/>
        </w:rPr>
        <w:t>Iz Z</w:t>
      </w:r>
      <w:r w:rsidR="00EB3E54" w:rsidRPr="00EB3E54">
        <w:rPr>
          <w:rFonts w:ascii="Constantia" w:hAnsi="Constantia"/>
        </w:rPr>
        <w:t>akona je proistekao Pravilnik o graničnim vrijednostima buke u životnoj sredini, načinu utvrđivanja indikatora buke i akustičkih zona i metodama ocjenjivanja štetnih efekata buke (“Sl</w:t>
      </w:r>
      <w:r>
        <w:rPr>
          <w:rFonts w:ascii="Constantia" w:hAnsi="Constantia"/>
        </w:rPr>
        <w:t>.</w:t>
      </w:r>
      <w:r w:rsidR="00EB3E54" w:rsidRPr="00EB3E54">
        <w:rPr>
          <w:rFonts w:ascii="Constantia" w:hAnsi="Constantia"/>
        </w:rPr>
        <w:t xml:space="preserve"> list CG”, br. 60/11). </w:t>
      </w:r>
    </w:p>
    <w:p w:rsidR="00EB3E54" w:rsidRPr="00EB3E54" w:rsidRDefault="00EB3E54" w:rsidP="00EB3E54">
      <w:pPr>
        <w:rPr>
          <w:rFonts w:ascii="Constantia" w:hAnsi="Constantia"/>
        </w:rPr>
      </w:pPr>
      <w:r w:rsidRPr="00EB3E54">
        <w:rPr>
          <w:rFonts w:ascii="Constantia" w:hAnsi="Constantia"/>
        </w:rPr>
        <w:t>Na osnovu gore navedene zakonske regulative, opštine</w:t>
      </w:r>
      <w:r w:rsidR="00B92676">
        <w:rPr>
          <w:rFonts w:ascii="Constantia" w:hAnsi="Constantia"/>
        </w:rPr>
        <w:t xml:space="preserve"> su</w:t>
      </w:r>
      <w:r w:rsidRPr="00EB3E54">
        <w:rPr>
          <w:rFonts w:ascii="Constantia" w:hAnsi="Constantia"/>
        </w:rPr>
        <w:t xml:space="preserve"> donijele Rješenja o akustičkom zoniranju svojih teritorija, što je osnovni uslov za implementaciju Pravilnika o graničnim vrijednostima buke u životnoj sredini, načinu utvrđivanja indikatora buke i akustičkih zona i metodama ocjenjivanja štetnih efekata buke. </w:t>
      </w:r>
    </w:p>
    <w:p w:rsidR="003367A5" w:rsidRPr="00D32128" w:rsidRDefault="00EB3E54" w:rsidP="003367A5">
      <w:pPr>
        <w:rPr>
          <w:rFonts w:ascii="Constantia" w:hAnsi="Constantia"/>
        </w:rPr>
      </w:pPr>
      <w:r w:rsidRPr="00EB3E54">
        <w:rPr>
          <w:rFonts w:ascii="Constantia" w:hAnsi="Constantia"/>
        </w:rPr>
        <w:t xml:space="preserve">Određivanjem akustičkih zona, propisane su granične vrijednosti za definisane djelove opštinske teritorije, što je od značaja za zaštitu od buke u životnoj sredini, a i za buduće planiranje izgradnje objekata i izdavanje dozvola za rad ugostiteljskim i drugim objektima.  U </w:t>
      </w:r>
      <w:r w:rsidRPr="00D32128">
        <w:rPr>
          <w:rFonts w:ascii="Constantia" w:hAnsi="Constantia"/>
          <w:i/>
        </w:rPr>
        <w:t xml:space="preserve">Tabeli </w:t>
      </w:r>
      <w:r w:rsidR="00D32128" w:rsidRPr="00D32128">
        <w:rPr>
          <w:rFonts w:ascii="Constantia" w:hAnsi="Constantia"/>
          <w:i/>
        </w:rPr>
        <w:t>88.</w:t>
      </w:r>
      <w:r w:rsidRPr="00D32128">
        <w:rPr>
          <w:rFonts w:ascii="Constantia" w:hAnsi="Constantia"/>
        </w:rPr>
        <w:t xml:space="preserve"> </w:t>
      </w:r>
      <w:r w:rsidRPr="00EB3E54">
        <w:rPr>
          <w:rFonts w:ascii="Constantia" w:hAnsi="Constantia"/>
        </w:rPr>
        <w:t>su prikazane granične vrijednosti nivoa buke koje su propisane Pravilnikom.</w:t>
      </w:r>
    </w:p>
    <w:tbl>
      <w:tblPr>
        <w:tblStyle w:val="LightList-Accent6"/>
        <w:tblpPr w:leftFromText="180" w:rightFromText="180" w:vertAnchor="text" w:horzAnchor="margin" w:tblpXSpec="center" w:tblpY="143"/>
        <w:tblW w:w="9198" w:type="dxa"/>
        <w:tblLayout w:type="fixed"/>
        <w:tblLook w:val="01E0" w:firstRow="1" w:lastRow="1" w:firstColumn="1" w:lastColumn="1" w:noHBand="0" w:noVBand="0"/>
      </w:tblPr>
      <w:tblGrid>
        <w:gridCol w:w="1170"/>
        <w:gridCol w:w="4058"/>
        <w:gridCol w:w="1360"/>
        <w:gridCol w:w="1350"/>
        <w:gridCol w:w="1260"/>
      </w:tblGrid>
      <w:tr w:rsidR="00EB3E54" w:rsidRPr="00D32128" w:rsidTr="003367A5">
        <w:trPr>
          <w:cnfStyle w:val="100000000000" w:firstRow="1" w:lastRow="0" w:firstColumn="0" w:lastColumn="0" w:oddVBand="0" w:evenVBand="0" w:oddHBand="0"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170" w:type="dxa"/>
            <w:vMerge w:val="restart"/>
          </w:tcPr>
          <w:p w:rsidR="00EB3E54" w:rsidRPr="00D32128" w:rsidRDefault="00EB3E54" w:rsidP="00EB3E54">
            <w:pPr>
              <w:spacing w:after="0"/>
              <w:rPr>
                <w:rFonts w:ascii="Constantia" w:hAnsi="Constantia" w:cs="Arial"/>
                <w:lang w:val="sr-Latn-CS"/>
              </w:rPr>
            </w:pPr>
          </w:p>
        </w:tc>
        <w:tc>
          <w:tcPr>
            <w:cnfStyle w:val="000010000000" w:firstRow="0" w:lastRow="0" w:firstColumn="0" w:lastColumn="0" w:oddVBand="1" w:evenVBand="0" w:oddHBand="0" w:evenHBand="0" w:firstRowFirstColumn="0" w:firstRowLastColumn="0" w:lastRowFirstColumn="0" w:lastRowLastColumn="0"/>
            <w:tcW w:w="4058" w:type="dxa"/>
            <w:vMerge w:val="restart"/>
          </w:tcPr>
          <w:p w:rsidR="00EB3E54" w:rsidRPr="00D32128" w:rsidRDefault="00EB3E54" w:rsidP="00EB3E54">
            <w:pPr>
              <w:spacing w:after="0"/>
              <w:rPr>
                <w:rFonts w:ascii="Constantia" w:hAnsi="Constantia" w:cs="Arial"/>
                <w:color w:val="auto"/>
                <w:lang w:val="pl-PL"/>
              </w:rPr>
            </w:pPr>
            <w:r w:rsidRPr="00D32128">
              <w:rPr>
                <w:rFonts w:ascii="Constantia" w:hAnsi="Constantia" w:cs="Arial"/>
                <w:color w:val="auto"/>
                <w:lang w:val="pl-PL"/>
              </w:rPr>
              <w:t xml:space="preserve">Akustička zona </w:t>
            </w:r>
          </w:p>
        </w:tc>
        <w:tc>
          <w:tcPr>
            <w:cnfStyle w:val="000100000000" w:firstRow="0" w:lastRow="0" w:firstColumn="0" w:lastColumn="1" w:oddVBand="0" w:evenVBand="0" w:oddHBand="0" w:evenHBand="0" w:firstRowFirstColumn="0" w:firstRowLastColumn="0" w:lastRowFirstColumn="0" w:lastRowLastColumn="0"/>
            <w:tcW w:w="3970" w:type="dxa"/>
            <w:gridSpan w:val="3"/>
          </w:tcPr>
          <w:p w:rsidR="00EB3E54" w:rsidRPr="00D32128" w:rsidRDefault="00EB3E54" w:rsidP="00D32128">
            <w:pPr>
              <w:jc w:val="center"/>
              <w:rPr>
                <w:rFonts w:ascii="Constantia" w:hAnsi="Constantia" w:cs="Arial"/>
                <w:color w:val="auto"/>
                <w:lang w:val="pl-PL"/>
              </w:rPr>
            </w:pPr>
            <w:r w:rsidRPr="00D32128">
              <w:rPr>
                <w:rFonts w:ascii="Constantia" w:hAnsi="Constantia" w:cs="Arial"/>
                <w:color w:val="auto"/>
                <w:lang w:val="pl-PL"/>
              </w:rPr>
              <w:t>Nivo buke u dB</w:t>
            </w:r>
            <w:r w:rsidR="00D32128">
              <w:rPr>
                <w:rFonts w:ascii="Constantia" w:hAnsi="Constantia" w:cs="Arial"/>
                <w:color w:val="auto"/>
                <w:lang w:val="pl-PL"/>
              </w:rPr>
              <w:t xml:space="preserve"> </w:t>
            </w:r>
            <w:r w:rsidRPr="00D32128">
              <w:rPr>
                <w:rFonts w:ascii="Constantia" w:hAnsi="Constantia" w:cs="Arial"/>
                <w:color w:val="auto"/>
                <w:lang w:val="pl-PL"/>
              </w:rPr>
              <w:t>(A)</w:t>
            </w:r>
          </w:p>
        </w:tc>
      </w:tr>
      <w:tr w:rsidR="00EB3E54" w:rsidRPr="00D32128" w:rsidTr="00D32128">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1170" w:type="dxa"/>
            <w:vMerge/>
          </w:tcPr>
          <w:p w:rsidR="00EB3E54" w:rsidRPr="00D32128" w:rsidRDefault="00EB3E54" w:rsidP="00EB3E54">
            <w:pPr>
              <w:spacing w:after="0"/>
              <w:rPr>
                <w:rFonts w:ascii="Constantia" w:hAnsi="Constantia" w:cs="Arial"/>
                <w:lang w:val="pl-PL"/>
              </w:rPr>
            </w:pPr>
          </w:p>
        </w:tc>
        <w:tc>
          <w:tcPr>
            <w:cnfStyle w:val="000010000000" w:firstRow="0" w:lastRow="0" w:firstColumn="0" w:lastColumn="0" w:oddVBand="1" w:evenVBand="0" w:oddHBand="0" w:evenHBand="0" w:firstRowFirstColumn="0" w:firstRowLastColumn="0" w:lastRowFirstColumn="0" w:lastRowLastColumn="0"/>
            <w:tcW w:w="4058" w:type="dxa"/>
            <w:vMerge/>
          </w:tcPr>
          <w:p w:rsidR="00EB3E54" w:rsidRPr="00D32128" w:rsidRDefault="00EB3E54" w:rsidP="00EB3E54">
            <w:pPr>
              <w:spacing w:after="0"/>
              <w:rPr>
                <w:rFonts w:ascii="Constantia" w:hAnsi="Constantia" w:cs="Arial"/>
                <w:lang w:val="pl-PL"/>
              </w:rPr>
            </w:pPr>
          </w:p>
        </w:tc>
        <w:tc>
          <w:tcPr>
            <w:tcW w:w="1360" w:type="dxa"/>
          </w:tcPr>
          <w:p w:rsidR="00EB3E54" w:rsidRPr="00D32128" w:rsidRDefault="00EB3E54" w:rsidP="00EB3E54">
            <w:pPr>
              <w:spacing w:after="0"/>
              <w:cnfStyle w:val="000000100000" w:firstRow="0" w:lastRow="0" w:firstColumn="0" w:lastColumn="0" w:oddVBand="0" w:evenVBand="0" w:oddHBand="1" w:evenHBand="0" w:firstRowFirstColumn="0" w:firstRowLastColumn="0" w:lastRowFirstColumn="0" w:lastRowLastColumn="0"/>
              <w:rPr>
                <w:rFonts w:ascii="Constantia" w:hAnsi="Constantia" w:cs="Arial"/>
                <w:lang w:val="pl-PL"/>
              </w:rPr>
            </w:pPr>
            <w:r w:rsidRPr="00D32128">
              <w:rPr>
                <w:rFonts w:ascii="Constantia" w:hAnsi="Constantia" w:cs="Arial"/>
                <w:lang w:val="pl-PL"/>
              </w:rPr>
              <w:t>L</w:t>
            </w:r>
            <w:r w:rsidRPr="00D32128">
              <w:rPr>
                <w:rFonts w:ascii="Constantia" w:hAnsi="Constantia" w:cs="Arial"/>
                <w:vertAlign w:val="subscript"/>
                <w:lang w:val="pl-PL"/>
              </w:rPr>
              <w:t>day</w:t>
            </w:r>
          </w:p>
        </w:tc>
        <w:tc>
          <w:tcPr>
            <w:cnfStyle w:val="000010000000" w:firstRow="0" w:lastRow="0" w:firstColumn="0" w:lastColumn="0" w:oddVBand="1" w:evenVBand="0" w:oddHBand="0" w:evenHBand="0" w:firstRowFirstColumn="0" w:firstRowLastColumn="0" w:lastRowFirstColumn="0" w:lastRowLastColumn="0"/>
            <w:tcW w:w="1350" w:type="dxa"/>
          </w:tcPr>
          <w:p w:rsidR="00EB3E54" w:rsidRPr="00D32128" w:rsidRDefault="00EB3E54" w:rsidP="00EB3E54">
            <w:pPr>
              <w:spacing w:after="0"/>
              <w:rPr>
                <w:rFonts w:ascii="Constantia" w:hAnsi="Constantia" w:cs="Arial"/>
                <w:lang w:val="pl-PL"/>
              </w:rPr>
            </w:pPr>
            <w:r w:rsidRPr="00D32128">
              <w:rPr>
                <w:rFonts w:ascii="Constantia" w:hAnsi="Constantia" w:cs="Arial"/>
                <w:lang w:val="pl-PL"/>
              </w:rPr>
              <w:t>L</w:t>
            </w:r>
            <w:r w:rsidRPr="00D32128">
              <w:rPr>
                <w:rFonts w:ascii="Constantia" w:hAnsi="Constantia" w:cs="Arial"/>
                <w:vertAlign w:val="subscript"/>
                <w:lang w:val="pl-PL"/>
              </w:rPr>
              <w:t>evening</w:t>
            </w:r>
          </w:p>
        </w:tc>
        <w:tc>
          <w:tcPr>
            <w:cnfStyle w:val="000100000000" w:firstRow="0" w:lastRow="0" w:firstColumn="0" w:lastColumn="1" w:oddVBand="0" w:evenVBand="0" w:oddHBand="0" w:evenHBand="0" w:firstRowFirstColumn="0" w:firstRowLastColumn="0" w:lastRowFirstColumn="0" w:lastRowLastColumn="0"/>
            <w:tcW w:w="1260" w:type="dxa"/>
          </w:tcPr>
          <w:p w:rsidR="00EB3E54" w:rsidRPr="00D32128" w:rsidRDefault="00EB3E54" w:rsidP="00EB3E54">
            <w:pPr>
              <w:rPr>
                <w:rFonts w:ascii="Constantia" w:hAnsi="Constantia" w:cs="Arial"/>
                <w:lang w:val="pl-PL"/>
              </w:rPr>
            </w:pPr>
            <w:r w:rsidRPr="00D32128">
              <w:rPr>
                <w:rFonts w:ascii="Constantia" w:hAnsi="Constantia" w:cs="Arial"/>
                <w:lang w:val="pl-PL"/>
              </w:rPr>
              <w:t>L</w:t>
            </w:r>
            <w:r w:rsidRPr="00D32128">
              <w:rPr>
                <w:rFonts w:ascii="Constantia" w:hAnsi="Constantia" w:cs="Arial"/>
                <w:vertAlign w:val="subscript"/>
                <w:lang w:val="pl-PL"/>
              </w:rPr>
              <w:t>night</w:t>
            </w:r>
          </w:p>
        </w:tc>
      </w:tr>
      <w:tr w:rsidR="00EB3E54" w:rsidRPr="00D32128" w:rsidTr="00D32128">
        <w:trPr>
          <w:trHeight w:val="248"/>
        </w:trPr>
        <w:tc>
          <w:tcPr>
            <w:cnfStyle w:val="001000000000" w:firstRow="0" w:lastRow="0" w:firstColumn="1" w:lastColumn="0" w:oddVBand="0" w:evenVBand="0" w:oddHBand="0" w:evenHBand="0" w:firstRowFirstColumn="0" w:firstRowLastColumn="0" w:lastRowFirstColumn="0" w:lastRowLastColumn="0"/>
            <w:tcW w:w="1170" w:type="dxa"/>
          </w:tcPr>
          <w:p w:rsidR="00EB3E54" w:rsidRPr="00D32128" w:rsidRDefault="00EB3E54" w:rsidP="00EB3E54">
            <w:pPr>
              <w:spacing w:after="0"/>
              <w:rPr>
                <w:rFonts w:ascii="Constantia" w:hAnsi="Constantia" w:cs="Arial"/>
                <w:b w:val="0"/>
                <w:lang w:val="pl-PL"/>
              </w:rPr>
            </w:pPr>
            <w:r w:rsidRPr="00D32128">
              <w:rPr>
                <w:rFonts w:ascii="Constantia" w:hAnsi="Constantia" w:cs="Arial"/>
                <w:b w:val="0"/>
                <w:lang w:val="pl-PL"/>
              </w:rPr>
              <w:t>1.</w:t>
            </w:r>
          </w:p>
        </w:tc>
        <w:tc>
          <w:tcPr>
            <w:cnfStyle w:val="000010000000" w:firstRow="0" w:lastRow="0" w:firstColumn="0" w:lastColumn="0" w:oddVBand="1" w:evenVBand="0" w:oddHBand="0" w:evenHBand="0" w:firstRowFirstColumn="0" w:firstRowLastColumn="0" w:lastRowFirstColumn="0" w:lastRowLastColumn="0"/>
            <w:tcW w:w="4058" w:type="dxa"/>
          </w:tcPr>
          <w:p w:rsidR="00EB3E54" w:rsidRPr="00D32128" w:rsidRDefault="00EB3E54" w:rsidP="00EB3E54">
            <w:pPr>
              <w:spacing w:after="0"/>
              <w:rPr>
                <w:rFonts w:ascii="Constantia" w:hAnsi="Constantia" w:cs="Arial"/>
                <w:lang w:val="it-IT"/>
              </w:rPr>
            </w:pPr>
            <w:r w:rsidRPr="00D32128">
              <w:rPr>
                <w:rFonts w:ascii="Constantia" w:hAnsi="Constantia" w:cs="Arial"/>
                <w:lang w:val="it-IT"/>
              </w:rPr>
              <w:t xml:space="preserve">tiha zona u prirodi </w:t>
            </w:r>
          </w:p>
        </w:tc>
        <w:tc>
          <w:tcPr>
            <w:tcW w:w="1360" w:type="dxa"/>
          </w:tcPr>
          <w:p w:rsidR="00EB3E54" w:rsidRPr="00D32128" w:rsidRDefault="00EB3E54" w:rsidP="00EB3E54">
            <w:pPr>
              <w:spacing w:after="0"/>
              <w:cnfStyle w:val="000000000000" w:firstRow="0" w:lastRow="0" w:firstColumn="0" w:lastColumn="0" w:oddVBand="0" w:evenVBand="0" w:oddHBand="0" w:evenHBand="0" w:firstRowFirstColumn="0" w:firstRowLastColumn="0" w:lastRowFirstColumn="0" w:lastRowLastColumn="0"/>
              <w:rPr>
                <w:rFonts w:ascii="Constantia" w:hAnsi="Constantia" w:cs="Arial"/>
                <w:lang w:val="it-IT"/>
              </w:rPr>
            </w:pPr>
            <w:r w:rsidRPr="00D32128">
              <w:rPr>
                <w:rFonts w:ascii="Constantia" w:hAnsi="Constantia" w:cs="Arial"/>
                <w:lang w:val="it-IT"/>
              </w:rPr>
              <w:t xml:space="preserve">35 </w:t>
            </w:r>
          </w:p>
        </w:tc>
        <w:tc>
          <w:tcPr>
            <w:cnfStyle w:val="000010000000" w:firstRow="0" w:lastRow="0" w:firstColumn="0" w:lastColumn="0" w:oddVBand="1" w:evenVBand="0" w:oddHBand="0" w:evenHBand="0" w:firstRowFirstColumn="0" w:firstRowLastColumn="0" w:lastRowFirstColumn="0" w:lastRowLastColumn="0"/>
            <w:tcW w:w="1350" w:type="dxa"/>
          </w:tcPr>
          <w:p w:rsidR="00EB3E54" w:rsidRPr="00D32128" w:rsidRDefault="00EB3E54" w:rsidP="00EB3E54">
            <w:pPr>
              <w:spacing w:after="0"/>
              <w:rPr>
                <w:rFonts w:ascii="Constantia" w:hAnsi="Constantia" w:cs="Arial"/>
                <w:lang w:val="it-IT"/>
              </w:rPr>
            </w:pPr>
            <w:r w:rsidRPr="00D32128">
              <w:rPr>
                <w:rFonts w:ascii="Constantia" w:hAnsi="Constantia" w:cs="Arial"/>
                <w:lang w:val="it-IT"/>
              </w:rPr>
              <w:t xml:space="preserve">35 </w:t>
            </w:r>
          </w:p>
        </w:tc>
        <w:tc>
          <w:tcPr>
            <w:cnfStyle w:val="000100000000" w:firstRow="0" w:lastRow="0" w:firstColumn="0" w:lastColumn="1" w:oddVBand="0" w:evenVBand="0" w:oddHBand="0" w:evenHBand="0" w:firstRowFirstColumn="0" w:firstRowLastColumn="0" w:lastRowFirstColumn="0" w:lastRowLastColumn="0"/>
            <w:tcW w:w="1260" w:type="dxa"/>
          </w:tcPr>
          <w:p w:rsidR="00EB3E54" w:rsidRPr="00D32128" w:rsidRDefault="00EB3E54" w:rsidP="00EB3E54">
            <w:pPr>
              <w:spacing w:after="0"/>
              <w:rPr>
                <w:rFonts w:ascii="Constantia" w:hAnsi="Constantia" w:cs="Arial"/>
                <w:b w:val="0"/>
                <w:lang w:val="it-IT"/>
              </w:rPr>
            </w:pPr>
            <w:r w:rsidRPr="00D32128">
              <w:rPr>
                <w:rFonts w:ascii="Constantia" w:hAnsi="Constantia" w:cs="Arial"/>
                <w:b w:val="0"/>
                <w:lang w:val="it-IT"/>
              </w:rPr>
              <w:t>30</w:t>
            </w:r>
          </w:p>
        </w:tc>
      </w:tr>
      <w:tr w:rsidR="00EB3E54" w:rsidRPr="00D32128" w:rsidTr="00D32128">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1170" w:type="dxa"/>
          </w:tcPr>
          <w:p w:rsidR="00EB3E54" w:rsidRPr="00D32128" w:rsidRDefault="00EB3E54" w:rsidP="00EB3E54">
            <w:pPr>
              <w:spacing w:after="0"/>
              <w:rPr>
                <w:rFonts w:ascii="Constantia" w:hAnsi="Constantia" w:cs="Arial"/>
                <w:b w:val="0"/>
                <w:lang w:val="it-IT"/>
              </w:rPr>
            </w:pPr>
            <w:r w:rsidRPr="00D32128">
              <w:rPr>
                <w:rFonts w:ascii="Constantia" w:hAnsi="Constantia" w:cs="Arial"/>
                <w:b w:val="0"/>
                <w:lang w:val="it-IT"/>
              </w:rPr>
              <w:t>2.</w:t>
            </w:r>
          </w:p>
        </w:tc>
        <w:tc>
          <w:tcPr>
            <w:cnfStyle w:val="000010000000" w:firstRow="0" w:lastRow="0" w:firstColumn="0" w:lastColumn="0" w:oddVBand="1" w:evenVBand="0" w:oddHBand="0" w:evenHBand="0" w:firstRowFirstColumn="0" w:firstRowLastColumn="0" w:lastRowFirstColumn="0" w:lastRowLastColumn="0"/>
            <w:tcW w:w="4058" w:type="dxa"/>
          </w:tcPr>
          <w:p w:rsidR="00EB3E54" w:rsidRPr="00D32128" w:rsidRDefault="00EB3E54" w:rsidP="00EB3E54">
            <w:pPr>
              <w:spacing w:after="0"/>
              <w:rPr>
                <w:rFonts w:ascii="Constantia" w:hAnsi="Constantia" w:cs="Arial"/>
                <w:lang w:val="pl-PL"/>
              </w:rPr>
            </w:pPr>
            <w:r w:rsidRPr="00D32128">
              <w:rPr>
                <w:rFonts w:ascii="Constantia" w:hAnsi="Constantia" w:cs="Arial"/>
                <w:lang w:val="pl-PL"/>
              </w:rPr>
              <w:t>tiha zona u aglomeraciji</w:t>
            </w:r>
          </w:p>
        </w:tc>
        <w:tc>
          <w:tcPr>
            <w:tcW w:w="1360" w:type="dxa"/>
          </w:tcPr>
          <w:p w:rsidR="00EB3E54" w:rsidRPr="00D32128" w:rsidRDefault="00EB3E54" w:rsidP="00EB3E54">
            <w:pPr>
              <w:spacing w:after="0"/>
              <w:cnfStyle w:val="000000100000" w:firstRow="0" w:lastRow="0" w:firstColumn="0" w:lastColumn="0" w:oddVBand="0" w:evenVBand="0" w:oddHBand="1" w:evenHBand="0" w:firstRowFirstColumn="0" w:firstRowLastColumn="0" w:lastRowFirstColumn="0" w:lastRowLastColumn="0"/>
              <w:rPr>
                <w:rFonts w:ascii="Constantia" w:hAnsi="Constantia" w:cs="Arial"/>
                <w:lang w:val="it-IT"/>
              </w:rPr>
            </w:pPr>
            <w:r w:rsidRPr="00D32128">
              <w:rPr>
                <w:rFonts w:ascii="Constantia" w:hAnsi="Constantia" w:cs="Arial"/>
                <w:lang w:val="it-IT"/>
              </w:rPr>
              <w:t xml:space="preserve">40 </w:t>
            </w:r>
          </w:p>
        </w:tc>
        <w:tc>
          <w:tcPr>
            <w:cnfStyle w:val="000010000000" w:firstRow="0" w:lastRow="0" w:firstColumn="0" w:lastColumn="0" w:oddVBand="1" w:evenVBand="0" w:oddHBand="0" w:evenHBand="0" w:firstRowFirstColumn="0" w:firstRowLastColumn="0" w:lastRowFirstColumn="0" w:lastRowLastColumn="0"/>
            <w:tcW w:w="1350" w:type="dxa"/>
          </w:tcPr>
          <w:p w:rsidR="00EB3E54" w:rsidRPr="00D32128" w:rsidRDefault="00EB3E54" w:rsidP="00EB3E54">
            <w:pPr>
              <w:spacing w:after="0"/>
              <w:rPr>
                <w:rFonts w:ascii="Constantia" w:hAnsi="Constantia" w:cs="Arial"/>
                <w:lang w:val="it-IT"/>
              </w:rPr>
            </w:pPr>
            <w:r w:rsidRPr="00D32128">
              <w:rPr>
                <w:rFonts w:ascii="Constantia" w:hAnsi="Constantia" w:cs="Arial"/>
                <w:lang w:val="it-IT"/>
              </w:rPr>
              <w:t xml:space="preserve">40 </w:t>
            </w:r>
          </w:p>
        </w:tc>
        <w:tc>
          <w:tcPr>
            <w:cnfStyle w:val="000100000000" w:firstRow="0" w:lastRow="0" w:firstColumn="0" w:lastColumn="1" w:oddVBand="0" w:evenVBand="0" w:oddHBand="0" w:evenHBand="0" w:firstRowFirstColumn="0" w:firstRowLastColumn="0" w:lastRowFirstColumn="0" w:lastRowLastColumn="0"/>
            <w:tcW w:w="1260" w:type="dxa"/>
          </w:tcPr>
          <w:p w:rsidR="00EB3E54" w:rsidRPr="00D32128" w:rsidRDefault="00EB3E54" w:rsidP="00EB3E54">
            <w:pPr>
              <w:spacing w:after="0"/>
              <w:rPr>
                <w:rFonts w:ascii="Constantia" w:hAnsi="Constantia" w:cs="Arial"/>
                <w:b w:val="0"/>
                <w:lang w:val="it-IT"/>
              </w:rPr>
            </w:pPr>
            <w:r w:rsidRPr="00D32128">
              <w:rPr>
                <w:rFonts w:ascii="Constantia" w:hAnsi="Constantia" w:cs="Arial"/>
                <w:b w:val="0"/>
                <w:lang w:val="it-IT"/>
              </w:rPr>
              <w:t>35</w:t>
            </w:r>
          </w:p>
        </w:tc>
      </w:tr>
      <w:tr w:rsidR="00EB3E54" w:rsidRPr="00D32128" w:rsidTr="00D32128">
        <w:trPr>
          <w:trHeight w:val="248"/>
        </w:trPr>
        <w:tc>
          <w:tcPr>
            <w:cnfStyle w:val="001000000000" w:firstRow="0" w:lastRow="0" w:firstColumn="1" w:lastColumn="0" w:oddVBand="0" w:evenVBand="0" w:oddHBand="0" w:evenHBand="0" w:firstRowFirstColumn="0" w:firstRowLastColumn="0" w:lastRowFirstColumn="0" w:lastRowLastColumn="0"/>
            <w:tcW w:w="1170" w:type="dxa"/>
          </w:tcPr>
          <w:p w:rsidR="00EB3E54" w:rsidRPr="00D32128" w:rsidRDefault="00EB3E54" w:rsidP="00EB3E54">
            <w:pPr>
              <w:spacing w:after="0"/>
              <w:rPr>
                <w:rFonts w:ascii="Constantia" w:hAnsi="Constantia" w:cs="Arial"/>
                <w:b w:val="0"/>
                <w:lang w:val="it-IT"/>
              </w:rPr>
            </w:pPr>
            <w:r w:rsidRPr="00D32128">
              <w:rPr>
                <w:rFonts w:ascii="Constantia" w:hAnsi="Constantia" w:cs="Arial"/>
                <w:b w:val="0"/>
                <w:lang w:val="it-IT"/>
              </w:rPr>
              <w:t>3.</w:t>
            </w:r>
          </w:p>
        </w:tc>
        <w:tc>
          <w:tcPr>
            <w:cnfStyle w:val="000010000000" w:firstRow="0" w:lastRow="0" w:firstColumn="0" w:lastColumn="0" w:oddVBand="1" w:evenVBand="0" w:oddHBand="0" w:evenHBand="0" w:firstRowFirstColumn="0" w:firstRowLastColumn="0" w:lastRowFirstColumn="0" w:lastRowLastColumn="0"/>
            <w:tcW w:w="4058" w:type="dxa"/>
          </w:tcPr>
          <w:p w:rsidR="00EB3E54" w:rsidRPr="00D32128" w:rsidRDefault="00EB3E54" w:rsidP="00EB3E54">
            <w:pPr>
              <w:spacing w:after="0"/>
              <w:rPr>
                <w:rFonts w:ascii="Constantia" w:hAnsi="Constantia" w:cs="Arial"/>
                <w:lang w:val="it-IT"/>
              </w:rPr>
            </w:pPr>
            <w:r w:rsidRPr="00D32128">
              <w:rPr>
                <w:rFonts w:ascii="Constantia" w:hAnsi="Constantia" w:cs="Arial"/>
                <w:lang w:val="it-IT"/>
              </w:rPr>
              <w:t>zona povišenog režima zaštite od buke</w:t>
            </w:r>
          </w:p>
        </w:tc>
        <w:tc>
          <w:tcPr>
            <w:tcW w:w="1360" w:type="dxa"/>
          </w:tcPr>
          <w:p w:rsidR="00EB3E54" w:rsidRPr="00D32128" w:rsidRDefault="00EB3E54" w:rsidP="00EB3E54">
            <w:pPr>
              <w:spacing w:after="0"/>
              <w:cnfStyle w:val="000000000000" w:firstRow="0" w:lastRow="0" w:firstColumn="0" w:lastColumn="0" w:oddVBand="0" w:evenVBand="0" w:oddHBand="0" w:evenHBand="0" w:firstRowFirstColumn="0" w:firstRowLastColumn="0" w:lastRowFirstColumn="0" w:lastRowLastColumn="0"/>
              <w:rPr>
                <w:rFonts w:ascii="Constantia" w:hAnsi="Constantia" w:cs="Arial"/>
                <w:lang w:val="it-IT"/>
              </w:rPr>
            </w:pPr>
            <w:r w:rsidRPr="00D32128">
              <w:rPr>
                <w:rFonts w:ascii="Constantia" w:hAnsi="Constantia" w:cs="Arial"/>
                <w:lang w:val="it-IT"/>
              </w:rPr>
              <w:t xml:space="preserve">50 </w:t>
            </w:r>
          </w:p>
        </w:tc>
        <w:tc>
          <w:tcPr>
            <w:cnfStyle w:val="000010000000" w:firstRow="0" w:lastRow="0" w:firstColumn="0" w:lastColumn="0" w:oddVBand="1" w:evenVBand="0" w:oddHBand="0" w:evenHBand="0" w:firstRowFirstColumn="0" w:firstRowLastColumn="0" w:lastRowFirstColumn="0" w:lastRowLastColumn="0"/>
            <w:tcW w:w="1350" w:type="dxa"/>
          </w:tcPr>
          <w:p w:rsidR="00EB3E54" w:rsidRPr="00D32128" w:rsidRDefault="00EB3E54" w:rsidP="00EB3E54">
            <w:pPr>
              <w:spacing w:after="0"/>
              <w:rPr>
                <w:rFonts w:ascii="Constantia" w:hAnsi="Constantia" w:cs="Arial"/>
                <w:lang w:val="it-IT"/>
              </w:rPr>
            </w:pPr>
            <w:r w:rsidRPr="00D32128">
              <w:rPr>
                <w:rFonts w:ascii="Constantia" w:hAnsi="Constantia" w:cs="Arial"/>
                <w:lang w:val="it-IT"/>
              </w:rPr>
              <w:t xml:space="preserve">50 </w:t>
            </w:r>
          </w:p>
        </w:tc>
        <w:tc>
          <w:tcPr>
            <w:cnfStyle w:val="000100000000" w:firstRow="0" w:lastRow="0" w:firstColumn="0" w:lastColumn="1" w:oddVBand="0" w:evenVBand="0" w:oddHBand="0" w:evenHBand="0" w:firstRowFirstColumn="0" w:firstRowLastColumn="0" w:lastRowFirstColumn="0" w:lastRowLastColumn="0"/>
            <w:tcW w:w="1260" w:type="dxa"/>
          </w:tcPr>
          <w:p w:rsidR="00EB3E54" w:rsidRPr="00D32128" w:rsidRDefault="00EB3E54" w:rsidP="00EB3E54">
            <w:pPr>
              <w:spacing w:after="0"/>
              <w:rPr>
                <w:rFonts w:ascii="Constantia" w:hAnsi="Constantia" w:cs="Arial"/>
                <w:b w:val="0"/>
                <w:lang w:val="it-IT"/>
              </w:rPr>
            </w:pPr>
            <w:r w:rsidRPr="00D32128">
              <w:rPr>
                <w:rFonts w:ascii="Constantia" w:hAnsi="Constantia" w:cs="Arial"/>
                <w:b w:val="0"/>
                <w:lang w:val="it-IT"/>
              </w:rPr>
              <w:t>40</w:t>
            </w:r>
          </w:p>
        </w:tc>
      </w:tr>
      <w:tr w:rsidR="00EB3E54" w:rsidRPr="00D32128" w:rsidTr="00D32128">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1170" w:type="dxa"/>
          </w:tcPr>
          <w:p w:rsidR="00EB3E54" w:rsidRPr="00D32128" w:rsidRDefault="00EB3E54" w:rsidP="00EB3E54">
            <w:pPr>
              <w:spacing w:after="0"/>
              <w:rPr>
                <w:rFonts w:ascii="Constantia" w:hAnsi="Constantia" w:cs="Arial"/>
                <w:b w:val="0"/>
                <w:lang w:val="it-IT"/>
              </w:rPr>
            </w:pPr>
            <w:r w:rsidRPr="00D32128">
              <w:rPr>
                <w:rFonts w:ascii="Constantia" w:hAnsi="Constantia" w:cs="Arial"/>
                <w:b w:val="0"/>
                <w:lang w:val="it-IT"/>
              </w:rPr>
              <w:t>4.</w:t>
            </w:r>
          </w:p>
        </w:tc>
        <w:tc>
          <w:tcPr>
            <w:cnfStyle w:val="000010000000" w:firstRow="0" w:lastRow="0" w:firstColumn="0" w:lastColumn="0" w:oddVBand="1" w:evenVBand="0" w:oddHBand="0" w:evenHBand="0" w:firstRowFirstColumn="0" w:firstRowLastColumn="0" w:lastRowFirstColumn="0" w:lastRowLastColumn="0"/>
            <w:tcW w:w="4058" w:type="dxa"/>
          </w:tcPr>
          <w:p w:rsidR="00EB3E54" w:rsidRPr="00D32128" w:rsidRDefault="00EB3E54" w:rsidP="00EB3E54">
            <w:pPr>
              <w:spacing w:after="0"/>
              <w:rPr>
                <w:rFonts w:ascii="Constantia" w:hAnsi="Constantia" w:cs="Arial"/>
                <w:lang w:val="it-IT"/>
              </w:rPr>
            </w:pPr>
            <w:r w:rsidRPr="00D32128">
              <w:rPr>
                <w:rFonts w:ascii="Constantia" w:hAnsi="Constantia" w:cs="Arial"/>
                <w:lang w:val="it-IT"/>
              </w:rPr>
              <w:t>stambena zona</w:t>
            </w:r>
          </w:p>
        </w:tc>
        <w:tc>
          <w:tcPr>
            <w:tcW w:w="1360" w:type="dxa"/>
          </w:tcPr>
          <w:p w:rsidR="00EB3E54" w:rsidRPr="00D32128" w:rsidRDefault="00EB3E54" w:rsidP="00EB3E54">
            <w:pPr>
              <w:spacing w:after="0"/>
              <w:cnfStyle w:val="000000100000" w:firstRow="0" w:lastRow="0" w:firstColumn="0" w:lastColumn="0" w:oddVBand="0" w:evenVBand="0" w:oddHBand="1" w:evenHBand="0" w:firstRowFirstColumn="0" w:firstRowLastColumn="0" w:lastRowFirstColumn="0" w:lastRowLastColumn="0"/>
              <w:rPr>
                <w:rFonts w:ascii="Constantia" w:hAnsi="Constantia" w:cs="Arial"/>
                <w:lang w:val="pl-PL"/>
              </w:rPr>
            </w:pPr>
            <w:r w:rsidRPr="00D32128">
              <w:rPr>
                <w:rFonts w:ascii="Constantia" w:hAnsi="Constantia" w:cs="Arial"/>
                <w:lang w:val="pl-PL"/>
              </w:rPr>
              <w:t xml:space="preserve">55 </w:t>
            </w:r>
          </w:p>
        </w:tc>
        <w:tc>
          <w:tcPr>
            <w:cnfStyle w:val="000010000000" w:firstRow="0" w:lastRow="0" w:firstColumn="0" w:lastColumn="0" w:oddVBand="1" w:evenVBand="0" w:oddHBand="0" w:evenHBand="0" w:firstRowFirstColumn="0" w:firstRowLastColumn="0" w:lastRowFirstColumn="0" w:lastRowLastColumn="0"/>
            <w:tcW w:w="1350" w:type="dxa"/>
          </w:tcPr>
          <w:p w:rsidR="00EB3E54" w:rsidRPr="00D32128" w:rsidRDefault="00EB3E54" w:rsidP="00EB3E54">
            <w:pPr>
              <w:spacing w:after="0"/>
              <w:rPr>
                <w:rFonts w:ascii="Constantia" w:hAnsi="Constantia" w:cs="Arial"/>
                <w:lang w:val="pl-PL"/>
              </w:rPr>
            </w:pPr>
            <w:r w:rsidRPr="00D32128">
              <w:rPr>
                <w:rFonts w:ascii="Constantia" w:hAnsi="Constantia" w:cs="Arial"/>
                <w:lang w:val="pl-PL"/>
              </w:rPr>
              <w:t xml:space="preserve">55 </w:t>
            </w:r>
          </w:p>
        </w:tc>
        <w:tc>
          <w:tcPr>
            <w:cnfStyle w:val="000100000000" w:firstRow="0" w:lastRow="0" w:firstColumn="0" w:lastColumn="1" w:oddVBand="0" w:evenVBand="0" w:oddHBand="0" w:evenHBand="0" w:firstRowFirstColumn="0" w:firstRowLastColumn="0" w:lastRowFirstColumn="0" w:lastRowLastColumn="0"/>
            <w:tcW w:w="1260" w:type="dxa"/>
          </w:tcPr>
          <w:p w:rsidR="00EB3E54" w:rsidRPr="00D32128" w:rsidRDefault="00EB3E54" w:rsidP="00EB3E54">
            <w:pPr>
              <w:spacing w:after="0"/>
              <w:rPr>
                <w:rFonts w:ascii="Constantia" w:hAnsi="Constantia" w:cs="Arial"/>
                <w:b w:val="0"/>
                <w:lang w:val="pl-PL"/>
              </w:rPr>
            </w:pPr>
            <w:r w:rsidRPr="00D32128">
              <w:rPr>
                <w:rFonts w:ascii="Constantia" w:hAnsi="Constantia" w:cs="Arial"/>
                <w:b w:val="0"/>
                <w:lang w:val="pl-PL"/>
              </w:rPr>
              <w:t>45</w:t>
            </w:r>
          </w:p>
        </w:tc>
      </w:tr>
      <w:tr w:rsidR="00EB3E54" w:rsidRPr="00D32128" w:rsidTr="00D32128">
        <w:trPr>
          <w:cnfStyle w:val="010000000000" w:firstRow="0" w:lastRow="1" w:firstColumn="0" w:lastColumn="0" w:oddVBand="0" w:evenVBand="0" w:oddHBand="0"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1170" w:type="dxa"/>
          </w:tcPr>
          <w:p w:rsidR="00EB3E54" w:rsidRPr="00D32128" w:rsidRDefault="00EB3E54" w:rsidP="00EB3E54">
            <w:pPr>
              <w:spacing w:after="0"/>
              <w:rPr>
                <w:rFonts w:ascii="Constantia" w:hAnsi="Constantia" w:cs="Arial"/>
                <w:b w:val="0"/>
                <w:lang w:val="pl-PL"/>
              </w:rPr>
            </w:pPr>
            <w:r w:rsidRPr="00D32128">
              <w:rPr>
                <w:rFonts w:ascii="Constantia" w:hAnsi="Constantia" w:cs="Arial"/>
                <w:b w:val="0"/>
                <w:lang w:val="pl-PL"/>
              </w:rPr>
              <w:t>5.</w:t>
            </w:r>
          </w:p>
        </w:tc>
        <w:tc>
          <w:tcPr>
            <w:cnfStyle w:val="000010000000" w:firstRow="0" w:lastRow="0" w:firstColumn="0" w:lastColumn="0" w:oddVBand="1" w:evenVBand="0" w:oddHBand="0" w:evenHBand="0" w:firstRowFirstColumn="0" w:firstRowLastColumn="0" w:lastRowFirstColumn="0" w:lastRowLastColumn="0"/>
            <w:tcW w:w="4058" w:type="dxa"/>
          </w:tcPr>
          <w:p w:rsidR="00EB3E54" w:rsidRPr="00D32128" w:rsidRDefault="00EB3E54" w:rsidP="00EB3E54">
            <w:pPr>
              <w:spacing w:after="0"/>
              <w:rPr>
                <w:rFonts w:ascii="Constantia" w:hAnsi="Constantia" w:cs="Arial"/>
                <w:b w:val="0"/>
                <w:lang w:val="it-IT"/>
              </w:rPr>
            </w:pPr>
            <w:r w:rsidRPr="00D32128">
              <w:rPr>
                <w:rFonts w:ascii="Constantia" w:hAnsi="Constantia" w:cs="Arial"/>
                <w:b w:val="0"/>
                <w:lang w:val="it-IT"/>
              </w:rPr>
              <w:t>zona mješovite namjene</w:t>
            </w:r>
          </w:p>
        </w:tc>
        <w:tc>
          <w:tcPr>
            <w:tcW w:w="1360" w:type="dxa"/>
          </w:tcPr>
          <w:p w:rsidR="00EB3E54" w:rsidRPr="00D32128" w:rsidRDefault="00EB3E54" w:rsidP="00EB3E54">
            <w:pPr>
              <w:spacing w:after="0"/>
              <w:cnfStyle w:val="010000000000" w:firstRow="0" w:lastRow="1" w:firstColumn="0" w:lastColumn="0" w:oddVBand="0" w:evenVBand="0" w:oddHBand="0" w:evenHBand="0" w:firstRowFirstColumn="0" w:firstRowLastColumn="0" w:lastRowFirstColumn="0" w:lastRowLastColumn="0"/>
              <w:rPr>
                <w:rFonts w:ascii="Constantia" w:hAnsi="Constantia" w:cs="Arial"/>
                <w:b w:val="0"/>
                <w:lang w:val="pl-PL"/>
              </w:rPr>
            </w:pPr>
            <w:r w:rsidRPr="00D32128">
              <w:rPr>
                <w:rFonts w:ascii="Constantia" w:hAnsi="Constantia" w:cs="Arial"/>
                <w:b w:val="0"/>
                <w:lang w:val="pl-PL"/>
              </w:rPr>
              <w:t xml:space="preserve">60 </w:t>
            </w:r>
          </w:p>
        </w:tc>
        <w:tc>
          <w:tcPr>
            <w:cnfStyle w:val="000010000000" w:firstRow="0" w:lastRow="0" w:firstColumn="0" w:lastColumn="0" w:oddVBand="1" w:evenVBand="0" w:oddHBand="0" w:evenHBand="0" w:firstRowFirstColumn="0" w:firstRowLastColumn="0" w:lastRowFirstColumn="0" w:lastRowLastColumn="0"/>
            <w:tcW w:w="1350" w:type="dxa"/>
          </w:tcPr>
          <w:p w:rsidR="00EB3E54" w:rsidRPr="00D32128" w:rsidRDefault="00EB3E54" w:rsidP="00EB3E54">
            <w:pPr>
              <w:spacing w:after="0"/>
              <w:rPr>
                <w:rFonts w:ascii="Constantia" w:hAnsi="Constantia" w:cs="Arial"/>
                <w:b w:val="0"/>
                <w:lang w:val="pl-PL"/>
              </w:rPr>
            </w:pPr>
            <w:r w:rsidRPr="00D32128">
              <w:rPr>
                <w:rFonts w:ascii="Constantia" w:hAnsi="Constantia" w:cs="Arial"/>
                <w:b w:val="0"/>
                <w:lang w:val="pl-PL"/>
              </w:rPr>
              <w:t xml:space="preserve">60 </w:t>
            </w:r>
          </w:p>
        </w:tc>
        <w:tc>
          <w:tcPr>
            <w:cnfStyle w:val="000100000000" w:firstRow="0" w:lastRow="0" w:firstColumn="0" w:lastColumn="1" w:oddVBand="0" w:evenVBand="0" w:oddHBand="0" w:evenHBand="0" w:firstRowFirstColumn="0" w:firstRowLastColumn="0" w:lastRowFirstColumn="0" w:lastRowLastColumn="0"/>
            <w:tcW w:w="1260" w:type="dxa"/>
          </w:tcPr>
          <w:p w:rsidR="00EB3E54" w:rsidRPr="00D32128" w:rsidRDefault="00EB3E54" w:rsidP="00EB3E54">
            <w:pPr>
              <w:spacing w:after="0"/>
              <w:rPr>
                <w:rFonts w:ascii="Constantia" w:hAnsi="Constantia" w:cs="Arial"/>
                <w:b w:val="0"/>
                <w:lang w:val="pl-PL"/>
              </w:rPr>
            </w:pPr>
            <w:r w:rsidRPr="00D32128">
              <w:rPr>
                <w:rFonts w:ascii="Constantia" w:hAnsi="Constantia" w:cs="Arial"/>
                <w:b w:val="0"/>
                <w:lang w:val="pl-PL"/>
              </w:rPr>
              <w:t>50</w:t>
            </w:r>
          </w:p>
        </w:tc>
      </w:tr>
    </w:tbl>
    <w:p w:rsidR="00EB3E54" w:rsidRPr="00EB3E54" w:rsidRDefault="00EB3E54" w:rsidP="00EB3E54">
      <w:pPr>
        <w:spacing w:after="0"/>
        <w:rPr>
          <w:sz w:val="16"/>
          <w:szCs w:val="16"/>
        </w:rPr>
      </w:pPr>
    </w:p>
    <w:tbl>
      <w:tblPr>
        <w:tblStyle w:val="LightList-Accent3"/>
        <w:tblpPr w:leftFromText="180" w:rightFromText="180" w:vertAnchor="text" w:horzAnchor="margin" w:tblpXSpec="center" w:tblpY="75"/>
        <w:tblW w:w="9198" w:type="dxa"/>
        <w:tblLayout w:type="fixed"/>
        <w:tblLook w:val="01E0" w:firstRow="1" w:lastRow="1" w:firstColumn="1" w:lastColumn="1" w:noHBand="0" w:noVBand="0"/>
      </w:tblPr>
      <w:tblGrid>
        <w:gridCol w:w="828"/>
        <w:gridCol w:w="4410"/>
        <w:gridCol w:w="1350"/>
        <w:gridCol w:w="1350"/>
        <w:gridCol w:w="1260"/>
      </w:tblGrid>
      <w:tr w:rsidR="00EB3E54" w:rsidRPr="003367A5" w:rsidTr="003367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rsidR="00EB3E54" w:rsidRPr="003367A5" w:rsidRDefault="00EB3E54" w:rsidP="00EB3E54">
            <w:pPr>
              <w:spacing w:after="0"/>
              <w:rPr>
                <w:rFonts w:ascii="Constantia" w:hAnsi="Constantia" w:cs="Arial"/>
                <w:b w:val="0"/>
                <w:lang w:val="pl-PL"/>
              </w:rPr>
            </w:pPr>
            <w:r w:rsidRPr="003367A5">
              <w:rPr>
                <w:rFonts w:ascii="Constantia" w:hAnsi="Constantia" w:cs="Arial"/>
                <w:b w:val="0"/>
                <w:lang w:val="pl-PL"/>
              </w:rPr>
              <w:t>6.</w:t>
            </w:r>
          </w:p>
        </w:tc>
        <w:tc>
          <w:tcPr>
            <w:cnfStyle w:val="000010000000" w:firstRow="0" w:lastRow="0" w:firstColumn="0" w:lastColumn="0" w:oddVBand="1" w:evenVBand="0" w:oddHBand="0" w:evenHBand="0" w:firstRowFirstColumn="0" w:firstRowLastColumn="0" w:lastRowFirstColumn="0" w:lastRowLastColumn="0"/>
            <w:tcW w:w="4410" w:type="dxa"/>
          </w:tcPr>
          <w:p w:rsidR="00EB3E54" w:rsidRPr="003367A5" w:rsidRDefault="00EB3E54" w:rsidP="00EB3E54">
            <w:pPr>
              <w:spacing w:after="0"/>
              <w:rPr>
                <w:rFonts w:ascii="Constantia" w:hAnsi="Constantia" w:cs="Arial"/>
                <w:b w:val="0"/>
                <w:lang w:val="pl-PL"/>
              </w:rPr>
            </w:pPr>
            <w:r w:rsidRPr="003367A5">
              <w:rPr>
                <w:rFonts w:ascii="Constantia" w:hAnsi="Constantia" w:cs="Arial"/>
                <w:b w:val="0"/>
                <w:lang w:val="pl-PL"/>
              </w:rPr>
              <w:t>zone pod jakim uticajem buke koja potiče od saobraćaja</w:t>
            </w:r>
          </w:p>
        </w:tc>
        <w:tc>
          <w:tcPr>
            <w:tcW w:w="1350" w:type="dxa"/>
          </w:tcPr>
          <w:p w:rsidR="00EB3E54" w:rsidRPr="003367A5" w:rsidRDefault="00EB3E54" w:rsidP="00EB3E54">
            <w:pPr>
              <w:spacing w:after="0"/>
              <w:cnfStyle w:val="100000000000" w:firstRow="1" w:lastRow="0" w:firstColumn="0" w:lastColumn="0" w:oddVBand="0" w:evenVBand="0" w:oddHBand="0" w:evenHBand="0" w:firstRowFirstColumn="0" w:firstRowLastColumn="0" w:lastRowFirstColumn="0" w:lastRowLastColumn="0"/>
              <w:rPr>
                <w:rFonts w:ascii="Constantia" w:hAnsi="Constantia" w:cs="Arial"/>
                <w:b w:val="0"/>
                <w:lang w:val="pl-PL"/>
              </w:rPr>
            </w:pPr>
            <w:r w:rsidRPr="003367A5">
              <w:rPr>
                <w:rFonts w:ascii="Constantia" w:hAnsi="Constantia" w:cs="Arial"/>
                <w:b w:val="0"/>
                <w:lang w:val="pl-PL"/>
              </w:rPr>
              <w:t xml:space="preserve">L </w:t>
            </w:r>
            <w:r w:rsidRPr="003367A5">
              <w:rPr>
                <w:rFonts w:ascii="Constantia" w:hAnsi="Constantia" w:cs="Arial"/>
                <w:b w:val="0"/>
                <w:vertAlign w:val="subscript"/>
                <w:lang w:val="pl-PL"/>
              </w:rPr>
              <w:t>day</w:t>
            </w:r>
          </w:p>
        </w:tc>
        <w:tc>
          <w:tcPr>
            <w:cnfStyle w:val="000010000000" w:firstRow="0" w:lastRow="0" w:firstColumn="0" w:lastColumn="0" w:oddVBand="1" w:evenVBand="0" w:oddHBand="0" w:evenHBand="0" w:firstRowFirstColumn="0" w:firstRowLastColumn="0" w:lastRowFirstColumn="0" w:lastRowLastColumn="0"/>
            <w:tcW w:w="1350" w:type="dxa"/>
          </w:tcPr>
          <w:p w:rsidR="00EB3E54" w:rsidRPr="003367A5" w:rsidRDefault="00EB3E54" w:rsidP="00EB3E54">
            <w:pPr>
              <w:spacing w:after="0"/>
              <w:rPr>
                <w:rFonts w:ascii="Constantia" w:hAnsi="Constantia" w:cs="Arial"/>
                <w:b w:val="0"/>
                <w:lang w:val="pl-PL"/>
              </w:rPr>
            </w:pPr>
            <w:r w:rsidRPr="003367A5">
              <w:rPr>
                <w:rFonts w:ascii="Constantia" w:hAnsi="Constantia" w:cs="Arial"/>
                <w:b w:val="0"/>
                <w:lang w:val="pl-PL"/>
              </w:rPr>
              <w:t xml:space="preserve">L </w:t>
            </w:r>
            <w:r w:rsidRPr="003367A5">
              <w:rPr>
                <w:rFonts w:ascii="Constantia" w:hAnsi="Constantia" w:cs="Arial"/>
                <w:b w:val="0"/>
                <w:vertAlign w:val="subscript"/>
                <w:lang w:val="pl-PL"/>
              </w:rPr>
              <w:t>evening</w:t>
            </w:r>
          </w:p>
        </w:tc>
        <w:tc>
          <w:tcPr>
            <w:cnfStyle w:val="000100000000" w:firstRow="0" w:lastRow="0" w:firstColumn="0" w:lastColumn="1" w:oddVBand="0" w:evenVBand="0" w:oddHBand="0" w:evenHBand="0" w:firstRowFirstColumn="0" w:firstRowLastColumn="0" w:lastRowFirstColumn="0" w:lastRowLastColumn="0"/>
            <w:tcW w:w="1260" w:type="dxa"/>
          </w:tcPr>
          <w:p w:rsidR="00EB3E54" w:rsidRPr="003367A5" w:rsidRDefault="00EB3E54" w:rsidP="00EB3E54">
            <w:pPr>
              <w:rPr>
                <w:rFonts w:ascii="Constantia" w:hAnsi="Constantia" w:cs="Arial"/>
                <w:b w:val="0"/>
                <w:lang w:val="pl-PL"/>
              </w:rPr>
            </w:pPr>
            <w:r w:rsidRPr="003367A5">
              <w:rPr>
                <w:rFonts w:ascii="Constantia" w:hAnsi="Constantia" w:cs="Arial"/>
                <w:b w:val="0"/>
                <w:lang w:val="pl-PL"/>
              </w:rPr>
              <w:t>L</w:t>
            </w:r>
            <w:r w:rsidRPr="003367A5">
              <w:rPr>
                <w:rFonts w:ascii="Constantia" w:hAnsi="Constantia" w:cs="Arial"/>
                <w:b w:val="0"/>
                <w:vertAlign w:val="subscript"/>
                <w:lang w:val="pl-PL"/>
              </w:rPr>
              <w:t>night</w:t>
            </w:r>
          </w:p>
        </w:tc>
      </w:tr>
      <w:tr w:rsidR="00EB3E54" w:rsidRPr="003367A5" w:rsidTr="003367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rsidR="00EB3E54" w:rsidRPr="003367A5" w:rsidRDefault="00EB3E54" w:rsidP="00EB3E54">
            <w:pPr>
              <w:spacing w:after="0"/>
              <w:rPr>
                <w:rFonts w:ascii="Constantia" w:hAnsi="Constantia" w:cs="Arial"/>
                <w:b w:val="0"/>
                <w:lang w:val="pl-PL"/>
              </w:rPr>
            </w:pPr>
            <w:r w:rsidRPr="003367A5">
              <w:rPr>
                <w:rFonts w:ascii="Constantia" w:hAnsi="Constantia" w:cs="Arial"/>
                <w:b w:val="0"/>
                <w:lang w:val="pl-PL"/>
              </w:rPr>
              <w:t>6a</w:t>
            </w:r>
          </w:p>
        </w:tc>
        <w:tc>
          <w:tcPr>
            <w:cnfStyle w:val="000010000000" w:firstRow="0" w:lastRow="0" w:firstColumn="0" w:lastColumn="0" w:oddVBand="1" w:evenVBand="0" w:oddHBand="0" w:evenHBand="0" w:firstRowFirstColumn="0" w:firstRowLastColumn="0" w:lastRowFirstColumn="0" w:lastRowLastColumn="0"/>
            <w:tcW w:w="4410" w:type="dxa"/>
          </w:tcPr>
          <w:p w:rsidR="00EB3E54" w:rsidRPr="003367A5" w:rsidRDefault="00EB3E54" w:rsidP="00EB3E54">
            <w:pPr>
              <w:spacing w:after="0"/>
              <w:rPr>
                <w:rFonts w:ascii="Constantia" w:hAnsi="Constantia" w:cs="Arial"/>
                <w:lang w:val="pl-PL"/>
              </w:rPr>
            </w:pPr>
            <w:r w:rsidRPr="003367A5">
              <w:rPr>
                <w:rFonts w:ascii="Constantia" w:hAnsi="Constantia" w:cs="Arial"/>
                <w:lang w:val="pl-PL"/>
              </w:rPr>
              <w:t>zona pod jakim uticajem buke koja potiče od vazdušnog saobraćaja</w:t>
            </w:r>
          </w:p>
        </w:tc>
        <w:tc>
          <w:tcPr>
            <w:tcW w:w="1350" w:type="dxa"/>
          </w:tcPr>
          <w:p w:rsidR="00EB3E54" w:rsidRPr="003367A5" w:rsidRDefault="00EB3E54" w:rsidP="00EB3E54">
            <w:pPr>
              <w:spacing w:after="0"/>
              <w:cnfStyle w:val="000000100000" w:firstRow="0" w:lastRow="0" w:firstColumn="0" w:lastColumn="0" w:oddVBand="0" w:evenVBand="0" w:oddHBand="1" w:evenHBand="0" w:firstRowFirstColumn="0" w:firstRowLastColumn="0" w:lastRowFirstColumn="0" w:lastRowLastColumn="0"/>
              <w:rPr>
                <w:rFonts w:ascii="Constantia" w:hAnsi="Constantia" w:cs="Arial"/>
                <w:lang w:val="pl-PL"/>
              </w:rPr>
            </w:pPr>
            <w:r w:rsidRPr="003367A5">
              <w:rPr>
                <w:rFonts w:ascii="Constantia" w:hAnsi="Constantia" w:cs="Arial"/>
                <w:lang w:val="pl-PL"/>
              </w:rPr>
              <w:t>55</w:t>
            </w:r>
          </w:p>
        </w:tc>
        <w:tc>
          <w:tcPr>
            <w:cnfStyle w:val="000010000000" w:firstRow="0" w:lastRow="0" w:firstColumn="0" w:lastColumn="0" w:oddVBand="1" w:evenVBand="0" w:oddHBand="0" w:evenHBand="0" w:firstRowFirstColumn="0" w:firstRowLastColumn="0" w:lastRowFirstColumn="0" w:lastRowLastColumn="0"/>
            <w:tcW w:w="1350" w:type="dxa"/>
          </w:tcPr>
          <w:p w:rsidR="00EB3E54" w:rsidRPr="003367A5" w:rsidRDefault="00EB3E54" w:rsidP="00EB3E54">
            <w:pPr>
              <w:spacing w:after="0"/>
              <w:rPr>
                <w:rFonts w:ascii="Constantia" w:hAnsi="Constantia" w:cs="Arial"/>
                <w:lang w:val="pl-PL"/>
              </w:rPr>
            </w:pPr>
            <w:r w:rsidRPr="003367A5">
              <w:rPr>
                <w:rFonts w:ascii="Constantia" w:hAnsi="Constantia" w:cs="Arial"/>
                <w:lang w:val="pl-PL"/>
              </w:rPr>
              <w:t>55</w:t>
            </w:r>
          </w:p>
        </w:tc>
        <w:tc>
          <w:tcPr>
            <w:cnfStyle w:val="000100000000" w:firstRow="0" w:lastRow="0" w:firstColumn="0" w:lastColumn="1" w:oddVBand="0" w:evenVBand="0" w:oddHBand="0" w:evenHBand="0" w:firstRowFirstColumn="0" w:firstRowLastColumn="0" w:lastRowFirstColumn="0" w:lastRowLastColumn="0"/>
            <w:tcW w:w="1260" w:type="dxa"/>
          </w:tcPr>
          <w:p w:rsidR="00EB3E54" w:rsidRPr="003367A5" w:rsidRDefault="00EB3E54" w:rsidP="00EB3E54">
            <w:pPr>
              <w:spacing w:after="0"/>
              <w:rPr>
                <w:rFonts w:ascii="Constantia" w:hAnsi="Constantia" w:cs="Arial"/>
                <w:b w:val="0"/>
                <w:lang w:val="pl-PL"/>
              </w:rPr>
            </w:pPr>
            <w:r w:rsidRPr="003367A5">
              <w:rPr>
                <w:rFonts w:ascii="Constantia" w:hAnsi="Constantia" w:cs="Arial"/>
                <w:b w:val="0"/>
                <w:lang w:val="pl-PL"/>
              </w:rPr>
              <w:t>50</w:t>
            </w:r>
          </w:p>
        </w:tc>
      </w:tr>
      <w:tr w:rsidR="00EB3E54" w:rsidRPr="003367A5" w:rsidTr="003367A5">
        <w:tc>
          <w:tcPr>
            <w:cnfStyle w:val="001000000000" w:firstRow="0" w:lastRow="0" w:firstColumn="1" w:lastColumn="0" w:oddVBand="0" w:evenVBand="0" w:oddHBand="0" w:evenHBand="0" w:firstRowFirstColumn="0" w:firstRowLastColumn="0" w:lastRowFirstColumn="0" w:lastRowLastColumn="0"/>
            <w:tcW w:w="828" w:type="dxa"/>
          </w:tcPr>
          <w:p w:rsidR="00EB3E54" w:rsidRPr="003367A5" w:rsidRDefault="00EB3E54" w:rsidP="00EB3E54">
            <w:pPr>
              <w:spacing w:after="0"/>
              <w:rPr>
                <w:rFonts w:ascii="Constantia" w:hAnsi="Constantia" w:cs="Arial"/>
                <w:b w:val="0"/>
                <w:lang w:val="pl-PL"/>
              </w:rPr>
            </w:pPr>
            <w:r w:rsidRPr="003367A5">
              <w:rPr>
                <w:rFonts w:ascii="Constantia" w:hAnsi="Constantia" w:cs="Arial"/>
                <w:b w:val="0"/>
                <w:lang w:val="pl-PL"/>
              </w:rPr>
              <w:t>6b</w:t>
            </w:r>
          </w:p>
        </w:tc>
        <w:tc>
          <w:tcPr>
            <w:cnfStyle w:val="000010000000" w:firstRow="0" w:lastRow="0" w:firstColumn="0" w:lastColumn="0" w:oddVBand="1" w:evenVBand="0" w:oddHBand="0" w:evenHBand="0" w:firstRowFirstColumn="0" w:firstRowLastColumn="0" w:lastRowFirstColumn="0" w:lastRowLastColumn="0"/>
            <w:tcW w:w="4410" w:type="dxa"/>
          </w:tcPr>
          <w:p w:rsidR="00EB3E54" w:rsidRPr="003367A5" w:rsidRDefault="00EB3E54" w:rsidP="00EB3E54">
            <w:pPr>
              <w:spacing w:after="0"/>
              <w:rPr>
                <w:rFonts w:ascii="Constantia" w:hAnsi="Constantia" w:cs="Arial"/>
                <w:lang w:val="pl-PL"/>
              </w:rPr>
            </w:pPr>
            <w:r w:rsidRPr="003367A5">
              <w:rPr>
                <w:rFonts w:ascii="Constantia" w:hAnsi="Constantia" w:cs="Arial"/>
                <w:lang w:val="pl-PL"/>
              </w:rPr>
              <w:t>zona pod jakim uticajem buke koja potiče od drumskog saobraćaja</w:t>
            </w:r>
          </w:p>
        </w:tc>
        <w:tc>
          <w:tcPr>
            <w:tcW w:w="1350" w:type="dxa"/>
          </w:tcPr>
          <w:p w:rsidR="00EB3E54" w:rsidRPr="003367A5" w:rsidRDefault="00EB3E54" w:rsidP="00EB3E54">
            <w:pPr>
              <w:spacing w:after="0"/>
              <w:cnfStyle w:val="000000000000" w:firstRow="0" w:lastRow="0" w:firstColumn="0" w:lastColumn="0" w:oddVBand="0" w:evenVBand="0" w:oddHBand="0" w:evenHBand="0" w:firstRowFirstColumn="0" w:firstRowLastColumn="0" w:lastRowFirstColumn="0" w:lastRowLastColumn="0"/>
              <w:rPr>
                <w:rFonts w:ascii="Constantia" w:hAnsi="Constantia" w:cs="Arial"/>
                <w:lang w:val="pl-PL"/>
              </w:rPr>
            </w:pPr>
            <w:r w:rsidRPr="003367A5">
              <w:rPr>
                <w:rFonts w:ascii="Constantia" w:hAnsi="Constantia" w:cs="Arial"/>
                <w:lang w:val="pl-PL"/>
              </w:rPr>
              <w:t>60</w:t>
            </w:r>
          </w:p>
        </w:tc>
        <w:tc>
          <w:tcPr>
            <w:cnfStyle w:val="000010000000" w:firstRow="0" w:lastRow="0" w:firstColumn="0" w:lastColumn="0" w:oddVBand="1" w:evenVBand="0" w:oddHBand="0" w:evenHBand="0" w:firstRowFirstColumn="0" w:firstRowLastColumn="0" w:lastRowFirstColumn="0" w:lastRowLastColumn="0"/>
            <w:tcW w:w="1350" w:type="dxa"/>
          </w:tcPr>
          <w:p w:rsidR="00EB3E54" w:rsidRPr="003367A5" w:rsidRDefault="00EB3E54" w:rsidP="00EB3E54">
            <w:pPr>
              <w:spacing w:after="0"/>
              <w:rPr>
                <w:rFonts w:ascii="Constantia" w:hAnsi="Constantia" w:cs="Arial"/>
                <w:lang w:val="pl-PL"/>
              </w:rPr>
            </w:pPr>
            <w:r w:rsidRPr="003367A5">
              <w:rPr>
                <w:rFonts w:ascii="Constantia" w:hAnsi="Constantia" w:cs="Arial"/>
                <w:lang w:val="pl-PL"/>
              </w:rPr>
              <w:t>60</w:t>
            </w:r>
          </w:p>
        </w:tc>
        <w:tc>
          <w:tcPr>
            <w:cnfStyle w:val="000100000000" w:firstRow="0" w:lastRow="0" w:firstColumn="0" w:lastColumn="1" w:oddVBand="0" w:evenVBand="0" w:oddHBand="0" w:evenHBand="0" w:firstRowFirstColumn="0" w:firstRowLastColumn="0" w:lastRowFirstColumn="0" w:lastRowLastColumn="0"/>
            <w:tcW w:w="1260" w:type="dxa"/>
          </w:tcPr>
          <w:p w:rsidR="00EB3E54" w:rsidRPr="003367A5" w:rsidRDefault="00EB3E54" w:rsidP="00EB3E54">
            <w:pPr>
              <w:spacing w:after="0"/>
              <w:rPr>
                <w:rFonts w:ascii="Constantia" w:hAnsi="Constantia" w:cs="Arial"/>
                <w:b w:val="0"/>
                <w:lang w:val="pl-PL"/>
              </w:rPr>
            </w:pPr>
            <w:r w:rsidRPr="003367A5">
              <w:rPr>
                <w:rFonts w:ascii="Constantia" w:hAnsi="Constantia" w:cs="Arial"/>
                <w:b w:val="0"/>
                <w:lang w:val="pl-PL"/>
              </w:rPr>
              <w:t>55</w:t>
            </w:r>
          </w:p>
        </w:tc>
      </w:tr>
      <w:tr w:rsidR="00EB3E54" w:rsidRPr="003367A5" w:rsidTr="003367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rsidR="00EB3E54" w:rsidRPr="003367A5" w:rsidRDefault="00EB3E54" w:rsidP="00EB3E54">
            <w:pPr>
              <w:spacing w:after="0"/>
              <w:rPr>
                <w:rFonts w:ascii="Constantia" w:hAnsi="Constantia" w:cs="Arial"/>
                <w:b w:val="0"/>
                <w:lang w:val="pl-PL"/>
              </w:rPr>
            </w:pPr>
            <w:r w:rsidRPr="003367A5">
              <w:rPr>
                <w:rFonts w:ascii="Constantia" w:hAnsi="Constantia" w:cs="Arial"/>
                <w:b w:val="0"/>
                <w:lang w:val="pl-PL"/>
              </w:rPr>
              <w:t>6c</w:t>
            </w:r>
          </w:p>
        </w:tc>
        <w:tc>
          <w:tcPr>
            <w:cnfStyle w:val="000010000000" w:firstRow="0" w:lastRow="0" w:firstColumn="0" w:lastColumn="0" w:oddVBand="1" w:evenVBand="0" w:oddHBand="0" w:evenHBand="0" w:firstRowFirstColumn="0" w:firstRowLastColumn="0" w:lastRowFirstColumn="0" w:lastRowLastColumn="0"/>
            <w:tcW w:w="4410" w:type="dxa"/>
          </w:tcPr>
          <w:p w:rsidR="00EB3E54" w:rsidRPr="003367A5" w:rsidRDefault="00EB3E54" w:rsidP="00EB3E54">
            <w:pPr>
              <w:spacing w:after="0"/>
              <w:rPr>
                <w:rFonts w:ascii="Constantia" w:hAnsi="Constantia" w:cs="Arial"/>
                <w:lang w:val="pl-PL"/>
              </w:rPr>
            </w:pPr>
            <w:r w:rsidRPr="003367A5">
              <w:rPr>
                <w:rFonts w:ascii="Constantia" w:hAnsi="Constantia" w:cs="Arial"/>
                <w:lang w:val="pl-PL"/>
              </w:rPr>
              <w:t>zona pod jakim uticajem buke koja potiče od željezničkog saobraćaja</w:t>
            </w:r>
          </w:p>
        </w:tc>
        <w:tc>
          <w:tcPr>
            <w:tcW w:w="1350" w:type="dxa"/>
          </w:tcPr>
          <w:p w:rsidR="00EB3E54" w:rsidRPr="003367A5" w:rsidRDefault="00EB3E54" w:rsidP="00EB3E54">
            <w:pPr>
              <w:spacing w:after="0"/>
              <w:cnfStyle w:val="000000100000" w:firstRow="0" w:lastRow="0" w:firstColumn="0" w:lastColumn="0" w:oddVBand="0" w:evenVBand="0" w:oddHBand="1" w:evenHBand="0" w:firstRowFirstColumn="0" w:firstRowLastColumn="0" w:lastRowFirstColumn="0" w:lastRowLastColumn="0"/>
              <w:rPr>
                <w:rFonts w:ascii="Constantia" w:hAnsi="Constantia" w:cs="Arial"/>
                <w:lang w:val="pl-PL"/>
              </w:rPr>
            </w:pPr>
            <w:r w:rsidRPr="003367A5">
              <w:rPr>
                <w:rFonts w:ascii="Constantia" w:hAnsi="Constantia" w:cs="Arial"/>
                <w:lang w:val="pl-PL"/>
              </w:rPr>
              <w:t>65</w:t>
            </w:r>
          </w:p>
        </w:tc>
        <w:tc>
          <w:tcPr>
            <w:cnfStyle w:val="000010000000" w:firstRow="0" w:lastRow="0" w:firstColumn="0" w:lastColumn="0" w:oddVBand="1" w:evenVBand="0" w:oddHBand="0" w:evenHBand="0" w:firstRowFirstColumn="0" w:firstRowLastColumn="0" w:lastRowFirstColumn="0" w:lastRowLastColumn="0"/>
            <w:tcW w:w="1350" w:type="dxa"/>
          </w:tcPr>
          <w:p w:rsidR="00EB3E54" w:rsidRPr="003367A5" w:rsidRDefault="00EB3E54" w:rsidP="00EB3E54">
            <w:pPr>
              <w:spacing w:after="0"/>
              <w:rPr>
                <w:rFonts w:ascii="Constantia" w:hAnsi="Constantia" w:cs="Arial"/>
                <w:lang w:val="pl-PL"/>
              </w:rPr>
            </w:pPr>
            <w:r w:rsidRPr="003367A5">
              <w:rPr>
                <w:rFonts w:ascii="Constantia" w:hAnsi="Constantia" w:cs="Arial"/>
                <w:lang w:val="pl-PL"/>
              </w:rPr>
              <w:t>65</w:t>
            </w:r>
          </w:p>
        </w:tc>
        <w:tc>
          <w:tcPr>
            <w:cnfStyle w:val="000100000000" w:firstRow="0" w:lastRow="0" w:firstColumn="0" w:lastColumn="1" w:oddVBand="0" w:evenVBand="0" w:oddHBand="0" w:evenHBand="0" w:firstRowFirstColumn="0" w:firstRowLastColumn="0" w:lastRowFirstColumn="0" w:lastRowLastColumn="0"/>
            <w:tcW w:w="1260" w:type="dxa"/>
          </w:tcPr>
          <w:p w:rsidR="00EB3E54" w:rsidRPr="003367A5" w:rsidRDefault="00EB3E54" w:rsidP="00EB3E54">
            <w:pPr>
              <w:spacing w:after="0"/>
              <w:rPr>
                <w:rFonts w:ascii="Constantia" w:hAnsi="Constantia" w:cs="Arial"/>
                <w:b w:val="0"/>
                <w:lang w:val="pl-PL"/>
              </w:rPr>
            </w:pPr>
            <w:r w:rsidRPr="003367A5">
              <w:rPr>
                <w:rFonts w:ascii="Constantia" w:hAnsi="Constantia" w:cs="Arial"/>
                <w:b w:val="0"/>
                <w:lang w:val="pl-PL"/>
              </w:rPr>
              <w:t>60</w:t>
            </w:r>
          </w:p>
        </w:tc>
      </w:tr>
      <w:tr w:rsidR="00EB3E54" w:rsidRPr="003367A5" w:rsidTr="003367A5">
        <w:tc>
          <w:tcPr>
            <w:cnfStyle w:val="001000000000" w:firstRow="0" w:lastRow="0" w:firstColumn="1" w:lastColumn="0" w:oddVBand="0" w:evenVBand="0" w:oddHBand="0" w:evenHBand="0" w:firstRowFirstColumn="0" w:firstRowLastColumn="0" w:lastRowFirstColumn="0" w:lastRowLastColumn="0"/>
            <w:tcW w:w="828" w:type="dxa"/>
          </w:tcPr>
          <w:p w:rsidR="00EB3E54" w:rsidRPr="003367A5" w:rsidRDefault="00EB3E54" w:rsidP="00EB3E54">
            <w:pPr>
              <w:spacing w:after="0"/>
              <w:rPr>
                <w:rFonts w:ascii="Constantia" w:hAnsi="Constantia" w:cs="Arial"/>
                <w:b w:val="0"/>
                <w:lang w:val="pl-PL"/>
              </w:rPr>
            </w:pPr>
            <w:r w:rsidRPr="003367A5">
              <w:rPr>
                <w:rFonts w:ascii="Constantia" w:hAnsi="Constantia" w:cs="Arial"/>
                <w:b w:val="0"/>
                <w:lang w:val="pl-PL"/>
              </w:rPr>
              <w:t>7.</w:t>
            </w:r>
          </w:p>
        </w:tc>
        <w:tc>
          <w:tcPr>
            <w:cnfStyle w:val="000010000000" w:firstRow="0" w:lastRow="0" w:firstColumn="0" w:lastColumn="0" w:oddVBand="1" w:evenVBand="0" w:oddHBand="0" w:evenHBand="0" w:firstRowFirstColumn="0" w:firstRowLastColumn="0" w:lastRowFirstColumn="0" w:lastRowLastColumn="0"/>
            <w:tcW w:w="4410" w:type="dxa"/>
          </w:tcPr>
          <w:p w:rsidR="00EB3E54" w:rsidRPr="003367A5" w:rsidRDefault="00EB3E54" w:rsidP="00EB3E54">
            <w:pPr>
              <w:spacing w:after="0"/>
              <w:rPr>
                <w:rFonts w:ascii="Constantia" w:hAnsi="Constantia" w:cs="Arial"/>
                <w:lang w:val="it-IT"/>
              </w:rPr>
            </w:pPr>
            <w:r w:rsidRPr="003367A5">
              <w:rPr>
                <w:rFonts w:ascii="Constantia" w:hAnsi="Constantia" w:cs="Arial"/>
                <w:lang w:val="it-IT"/>
              </w:rPr>
              <w:t>industrijska zona</w:t>
            </w:r>
          </w:p>
        </w:tc>
        <w:tc>
          <w:tcPr>
            <w:cnfStyle w:val="000100000000" w:firstRow="0" w:lastRow="0" w:firstColumn="0" w:lastColumn="1" w:oddVBand="0" w:evenVBand="0" w:oddHBand="0" w:evenHBand="0" w:firstRowFirstColumn="0" w:firstRowLastColumn="0" w:lastRowFirstColumn="0" w:lastRowLastColumn="0"/>
            <w:tcW w:w="3960" w:type="dxa"/>
            <w:gridSpan w:val="3"/>
          </w:tcPr>
          <w:p w:rsidR="00EB3E54" w:rsidRPr="003367A5" w:rsidRDefault="003367A5" w:rsidP="003367A5">
            <w:pPr>
              <w:spacing w:after="0"/>
              <w:rPr>
                <w:rFonts w:ascii="Constantia" w:hAnsi="Constantia" w:cs="Arial"/>
                <w:b w:val="0"/>
                <w:lang w:val="it-IT"/>
              </w:rPr>
            </w:pPr>
            <w:r>
              <w:rPr>
                <w:rFonts w:ascii="Constantia" w:hAnsi="Constantia" w:cs="Arial"/>
                <w:b w:val="0"/>
                <w:lang w:val="it-IT"/>
              </w:rPr>
              <w:t>N</w:t>
            </w:r>
            <w:r w:rsidR="00EB3E54" w:rsidRPr="003367A5">
              <w:rPr>
                <w:rFonts w:ascii="Constantia" w:hAnsi="Constantia" w:cs="Arial"/>
                <w:b w:val="0"/>
                <w:lang w:val="it-IT"/>
              </w:rPr>
              <w:t>a granici ove zone</w:t>
            </w:r>
            <w:r>
              <w:rPr>
                <w:rFonts w:ascii="Constantia" w:hAnsi="Constantia" w:cs="Arial"/>
                <w:b w:val="0"/>
                <w:lang w:val="it-IT"/>
              </w:rPr>
              <w:t xml:space="preserve"> </w:t>
            </w:r>
            <w:r w:rsidR="00EB3E54" w:rsidRPr="003367A5">
              <w:rPr>
                <w:rFonts w:ascii="Constantia" w:hAnsi="Constantia" w:cs="Arial"/>
                <w:b w:val="0"/>
                <w:lang w:val="it-IT"/>
              </w:rPr>
              <w:t xml:space="preserve">buka ne smije prelaziti granične </w:t>
            </w:r>
            <w:r w:rsidR="00480DEC">
              <w:rPr>
                <w:rFonts w:ascii="Constantia" w:hAnsi="Constantia" w:cs="Arial"/>
                <w:b w:val="0"/>
                <w:lang w:val="it-IT"/>
              </w:rPr>
              <w:t>vrijednosti nivoa buke u zoni s</w:t>
            </w:r>
            <w:r w:rsidR="00EB3E54" w:rsidRPr="003367A5">
              <w:rPr>
                <w:rFonts w:ascii="Constantia" w:hAnsi="Constantia" w:cs="Arial"/>
                <w:b w:val="0"/>
                <w:lang w:val="it-IT"/>
              </w:rPr>
              <w:t xml:space="preserve"> kojom se graniči</w:t>
            </w:r>
            <w:r>
              <w:rPr>
                <w:rFonts w:ascii="Constantia" w:hAnsi="Constantia" w:cs="Arial"/>
                <w:b w:val="0"/>
                <w:lang w:val="it-IT"/>
              </w:rPr>
              <w:t>.</w:t>
            </w:r>
          </w:p>
        </w:tc>
      </w:tr>
      <w:tr w:rsidR="00EB3E54" w:rsidRPr="003367A5" w:rsidTr="003367A5">
        <w:trPr>
          <w:cnfStyle w:val="010000000000" w:firstRow="0" w:lastRow="1" w:firstColumn="0" w:lastColumn="0" w:oddVBand="0" w:evenVBand="0" w:oddHBand="0" w:evenHBand="0" w:firstRowFirstColumn="0" w:firstRowLastColumn="0" w:lastRowFirstColumn="0" w:lastRowLastColumn="0"/>
          <w:trHeight w:val="693"/>
        </w:trPr>
        <w:tc>
          <w:tcPr>
            <w:cnfStyle w:val="001000000000" w:firstRow="0" w:lastRow="0" w:firstColumn="1" w:lastColumn="0" w:oddVBand="0" w:evenVBand="0" w:oddHBand="0" w:evenHBand="0" w:firstRowFirstColumn="0" w:firstRowLastColumn="0" w:lastRowFirstColumn="0" w:lastRowLastColumn="0"/>
            <w:tcW w:w="828" w:type="dxa"/>
          </w:tcPr>
          <w:p w:rsidR="00EB3E54" w:rsidRPr="003367A5" w:rsidRDefault="00EB3E54" w:rsidP="00EB3E54">
            <w:pPr>
              <w:spacing w:after="0"/>
              <w:rPr>
                <w:rFonts w:ascii="Constantia" w:hAnsi="Constantia" w:cs="Arial"/>
                <w:b w:val="0"/>
                <w:lang w:val="pl-PL"/>
              </w:rPr>
            </w:pPr>
            <w:r w:rsidRPr="003367A5">
              <w:rPr>
                <w:rFonts w:ascii="Constantia" w:hAnsi="Constantia" w:cs="Arial"/>
                <w:b w:val="0"/>
                <w:lang w:val="pl-PL"/>
              </w:rPr>
              <w:t>8.</w:t>
            </w:r>
          </w:p>
        </w:tc>
        <w:tc>
          <w:tcPr>
            <w:cnfStyle w:val="000010000000" w:firstRow="0" w:lastRow="0" w:firstColumn="0" w:lastColumn="0" w:oddVBand="1" w:evenVBand="0" w:oddHBand="0" w:evenHBand="0" w:firstRowFirstColumn="0" w:firstRowLastColumn="0" w:lastRowFirstColumn="0" w:lastRowLastColumn="0"/>
            <w:tcW w:w="4410" w:type="dxa"/>
          </w:tcPr>
          <w:p w:rsidR="00EB3E54" w:rsidRPr="003367A5" w:rsidRDefault="00EB3E54" w:rsidP="00EB3E54">
            <w:pPr>
              <w:spacing w:after="0"/>
              <w:rPr>
                <w:rFonts w:ascii="Constantia" w:hAnsi="Constantia" w:cs="Arial"/>
                <w:b w:val="0"/>
                <w:lang w:val="it-IT"/>
              </w:rPr>
            </w:pPr>
            <w:r w:rsidRPr="003367A5">
              <w:rPr>
                <w:rFonts w:ascii="Constantia" w:hAnsi="Constantia" w:cs="Arial"/>
                <w:b w:val="0"/>
                <w:lang w:val="it-IT"/>
              </w:rPr>
              <w:t>zona eksploatacije mineralnih sirovina</w:t>
            </w:r>
          </w:p>
        </w:tc>
        <w:tc>
          <w:tcPr>
            <w:cnfStyle w:val="000100000000" w:firstRow="0" w:lastRow="0" w:firstColumn="0" w:lastColumn="1" w:oddVBand="0" w:evenVBand="0" w:oddHBand="0" w:evenHBand="0" w:firstRowFirstColumn="0" w:firstRowLastColumn="0" w:lastRowFirstColumn="0" w:lastRowLastColumn="0"/>
            <w:tcW w:w="3960" w:type="dxa"/>
            <w:gridSpan w:val="3"/>
          </w:tcPr>
          <w:p w:rsidR="00EB3E54" w:rsidRPr="003367A5" w:rsidRDefault="003367A5" w:rsidP="00480DEC">
            <w:pPr>
              <w:spacing w:after="0"/>
              <w:rPr>
                <w:rFonts w:ascii="Constantia" w:hAnsi="Constantia" w:cs="Arial"/>
                <w:b w:val="0"/>
                <w:lang w:val="it-IT"/>
              </w:rPr>
            </w:pPr>
            <w:r>
              <w:rPr>
                <w:rFonts w:ascii="Constantia" w:hAnsi="Constantia" w:cs="Arial"/>
                <w:b w:val="0"/>
                <w:lang w:val="it-IT"/>
              </w:rPr>
              <w:t>N</w:t>
            </w:r>
            <w:r w:rsidR="00EB3E54" w:rsidRPr="003367A5">
              <w:rPr>
                <w:rFonts w:ascii="Constantia" w:hAnsi="Constantia" w:cs="Arial"/>
                <w:b w:val="0"/>
                <w:lang w:val="it-IT"/>
              </w:rPr>
              <w:t>a granici ove zone buka ne smije prelaziti granične vrijednosti nivoa buke u zoni s kojom se graniči</w:t>
            </w:r>
            <w:r>
              <w:rPr>
                <w:rFonts w:ascii="Constantia" w:hAnsi="Constantia" w:cs="Arial"/>
                <w:b w:val="0"/>
                <w:lang w:val="it-IT"/>
              </w:rPr>
              <w:t>.</w:t>
            </w:r>
          </w:p>
        </w:tc>
      </w:tr>
    </w:tbl>
    <w:p w:rsidR="00D32128" w:rsidRPr="00D32128" w:rsidRDefault="00D32128" w:rsidP="004C5739">
      <w:pPr>
        <w:pStyle w:val="Tabele"/>
        <w:ind w:left="0" w:firstLine="0"/>
        <w:rPr>
          <w:rFonts w:ascii="Constantia" w:hAnsi="Constantia"/>
          <w:sz w:val="22"/>
          <w:szCs w:val="22"/>
        </w:rPr>
      </w:pPr>
      <w:r w:rsidRPr="00D32128">
        <w:rPr>
          <w:rFonts w:ascii="Constantia" w:hAnsi="Constantia"/>
          <w:sz w:val="22"/>
          <w:szCs w:val="22"/>
        </w:rPr>
        <w:t>Granične vrijednosti buke u akustičkim zonama</w:t>
      </w:r>
    </w:p>
    <w:p w:rsidR="00D32128" w:rsidRDefault="00D32128" w:rsidP="00EB3E54">
      <w:pPr>
        <w:rPr>
          <w:i/>
          <w:lang w:val="sr-Latn-CS"/>
        </w:rPr>
      </w:pPr>
    </w:p>
    <w:p w:rsidR="00EB3E54" w:rsidRPr="00480DEC" w:rsidRDefault="00EB3E54" w:rsidP="00EB3E54">
      <w:pPr>
        <w:rPr>
          <w:rFonts w:ascii="Constantia" w:hAnsi="Constantia"/>
          <w:lang w:val="sr-Latn-CS"/>
        </w:rPr>
      </w:pPr>
      <w:r w:rsidRPr="00480DEC">
        <w:rPr>
          <w:rFonts w:ascii="Constantia" w:hAnsi="Constantia"/>
          <w:lang w:val="sr-Latn-CS"/>
        </w:rPr>
        <w:lastRenderedPageBreak/>
        <w:t xml:space="preserve">Vrijednosti navedene u </w:t>
      </w:r>
      <w:r w:rsidR="00480DEC">
        <w:rPr>
          <w:rFonts w:ascii="Constantia" w:hAnsi="Constantia"/>
          <w:lang w:val="sr-Latn-CS"/>
        </w:rPr>
        <w:t xml:space="preserve">prethodnoj </w:t>
      </w:r>
      <w:r w:rsidRPr="00480DEC">
        <w:rPr>
          <w:rFonts w:ascii="Constantia" w:hAnsi="Constantia"/>
          <w:lang w:val="sr-Latn-CS"/>
        </w:rPr>
        <w:t>tabeli odnose se na ukupni nivo buke iz svih izvora u akustičkoj zoni.</w:t>
      </w:r>
      <w:r w:rsidR="00480DEC">
        <w:rPr>
          <w:rFonts w:ascii="Constantia" w:hAnsi="Constantia"/>
          <w:lang w:val="sr-Latn-CS"/>
        </w:rPr>
        <w:t xml:space="preserve"> </w:t>
      </w:r>
      <w:r w:rsidRPr="00480DEC">
        <w:rPr>
          <w:rFonts w:ascii="Constantia" w:hAnsi="Constantia"/>
          <w:lang w:val="sr-Latn-CS"/>
        </w:rPr>
        <w:t>U područjima razgraničenja akustičkih zona,</w:t>
      </w:r>
      <w:r w:rsidR="00480DEC">
        <w:rPr>
          <w:rFonts w:ascii="Constantia" w:hAnsi="Constantia"/>
          <w:lang w:val="sr-Latn-CS"/>
        </w:rPr>
        <w:t xml:space="preserve"> </w:t>
      </w:r>
      <w:r w:rsidRPr="00480DEC">
        <w:rPr>
          <w:rFonts w:ascii="Constantia" w:hAnsi="Constantia"/>
          <w:lang w:val="sr-Latn-CS"/>
        </w:rPr>
        <w:t>nivo buke u svakoj akustičkoj zoni ne smije prelaziti najnižu graničnu vrijednost propisanu za zonu s kojom se graniči.</w:t>
      </w:r>
      <w:r w:rsidR="00D32128" w:rsidRPr="00480DEC">
        <w:rPr>
          <w:rFonts w:ascii="Constantia" w:hAnsi="Constantia"/>
          <w:lang w:val="sr-Latn-CS"/>
        </w:rPr>
        <w:t xml:space="preserve"> </w:t>
      </w:r>
      <w:r w:rsidRPr="00480DEC">
        <w:rPr>
          <w:rFonts w:ascii="Constantia" w:hAnsi="Constantia"/>
          <w:lang w:val="sr-Latn-CS"/>
        </w:rPr>
        <w:t>Vrijednosti indikatora navedenih u ovoj tabeli (</w:t>
      </w:r>
      <w:r w:rsidRPr="00480DEC">
        <w:rPr>
          <w:rFonts w:ascii="Constantia" w:hAnsi="Constantia"/>
          <w:szCs w:val="22"/>
          <w:lang w:val="sr-Latn-CS"/>
        </w:rPr>
        <w:t>L</w:t>
      </w:r>
      <w:r w:rsidRPr="00480DEC">
        <w:rPr>
          <w:rFonts w:ascii="Constantia" w:hAnsi="Constantia"/>
          <w:szCs w:val="22"/>
          <w:vertAlign w:val="subscript"/>
          <w:lang w:val="sr-Latn-CS"/>
        </w:rPr>
        <w:t>day</w:t>
      </w:r>
      <w:r w:rsidRPr="00480DEC">
        <w:rPr>
          <w:rFonts w:ascii="Constantia" w:hAnsi="Constantia"/>
          <w:szCs w:val="22"/>
          <w:lang w:val="sr-Latn-CS"/>
        </w:rPr>
        <w:t>,L</w:t>
      </w:r>
      <w:r w:rsidRPr="00480DEC">
        <w:rPr>
          <w:rFonts w:ascii="Constantia" w:hAnsi="Constantia"/>
          <w:szCs w:val="22"/>
          <w:vertAlign w:val="subscript"/>
          <w:lang w:val="sr-Latn-CS"/>
        </w:rPr>
        <w:t>evening</w:t>
      </w:r>
      <w:r w:rsidRPr="00480DEC">
        <w:rPr>
          <w:rFonts w:ascii="Constantia" w:hAnsi="Constantia"/>
          <w:szCs w:val="22"/>
          <w:lang w:val="sr-Latn-CS"/>
        </w:rPr>
        <w:t>,L</w:t>
      </w:r>
      <w:r w:rsidRPr="00480DEC">
        <w:rPr>
          <w:rFonts w:ascii="Constantia" w:hAnsi="Constantia"/>
          <w:szCs w:val="22"/>
          <w:vertAlign w:val="subscript"/>
          <w:lang w:val="sr-Latn-CS"/>
        </w:rPr>
        <w:t>night</w:t>
      </w:r>
      <w:r w:rsidRPr="00480DEC">
        <w:rPr>
          <w:rFonts w:ascii="Constantia" w:hAnsi="Constantia"/>
          <w:lang w:val="sr-Latn-CS"/>
        </w:rPr>
        <w:t>) predstavljaju</w:t>
      </w:r>
      <w:r w:rsidR="00480DEC">
        <w:rPr>
          <w:rFonts w:ascii="Constantia" w:hAnsi="Constantia"/>
          <w:lang w:val="sr-Latn-CS"/>
        </w:rPr>
        <w:t xml:space="preserve"> </w:t>
      </w:r>
      <w:r w:rsidRPr="00480DEC">
        <w:rPr>
          <w:rFonts w:ascii="Constantia" w:hAnsi="Constantia"/>
          <w:lang w:val="sr-Latn-CS"/>
        </w:rPr>
        <w:t>prosječne dnevne vrijednosti.</w:t>
      </w:r>
    </w:p>
    <w:p w:rsidR="00EB3E54" w:rsidRPr="00EB3E54" w:rsidRDefault="00EB3E54" w:rsidP="00EB3E54">
      <w:pPr>
        <w:pStyle w:val="Heading2"/>
        <w:ind w:left="720"/>
      </w:pPr>
      <w:bookmarkStart w:id="158" w:name="_Toc357157651"/>
      <w:bookmarkStart w:id="159" w:name="_Toc393897936"/>
      <w:r w:rsidRPr="00EB3E54">
        <w:t>Monitoring buke u životnoj sredini</w:t>
      </w:r>
      <w:bookmarkEnd w:id="158"/>
      <w:bookmarkEnd w:id="159"/>
      <w:r w:rsidRPr="00EB3E54">
        <w:t xml:space="preserve"> </w:t>
      </w:r>
    </w:p>
    <w:p w:rsidR="00EB3E54" w:rsidRPr="003D6E49" w:rsidRDefault="00EB3E54" w:rsidP="00EB3E54">
      <w:pPr>
        <w:rPr>
          <w:rFonts w:ascii="Constantia" w:hAnsi="Constantia"/>
          <w:lang w:val="sr-Latn-CS"/>
        </w:rPr>
      </w:pPr>
      <w:r w:rsidRPr="003D6E49">
        <w:rPr>
          <w:rFonts w:ascii="Constantia" w:hAnsi="Constantia"/>
          <w:lang w:val="sr-Latn-CS"/>
        </w:rPr>
        <w:t xml:space="preserve">Monitoring buke u životnoj sredini u Crnoj Gori vršen je u skladu sa Programom monitoringa buke u životnoj sredini za 2013. godinu </w:t>
      </w:r>
      <w:r w:rsidR="003D6E49">
        <w:rPr>
          <w:rFonts w:ascii="Constantia" w:hAnsi="Constantia"/>
          <w:lang w:val="sr-Latn-CS"/>
        </w:rPr>
        <w:t xml:space="preserve">i to </w:t>
      </w:r>
      <w:r w:rsidRPr="003D6E49">
        <w:rPr>
          <w:rFonts w:ascii="Constantia" w:hAnsi="Constantia"/>
          <w:lang w:val="sr-Latn-CS"/>
        </w:rPr>
        <w:t>u</w:t>
      </w:r>
      <w:r w:rsidR="003D6E49">
        <w:rPr>
          <w:rFonts w:ascii="Constantia" w:hAnsi="Constantia"/>
          <w:lang w:val="sr-Latn-CS"/>
        </w:rPr>
        <w:t>:</w:t>
      </w:r>
      <w:r w:rsidRPr="003D6E49">
        <w:rPr>
          <w:rFonts w:ascii="Constantia" w:hAnsi="Constantia"/>
          <w:lang w:val="sr-Latn-CS"/>
        </w:rPr>
        <w:t xml:space="preserve"> Ulcinju, Podgorici, Budvi, Petrovcu, Kotoru, Žabljaku, Nikšiću, Bijelom Polju, Beranama, Kolašinu i Mojkovcu. U </w:t>
      </w:r>
      <w:r w:rsidRPr="003D6E49">
        <w:rPr>
          <w:rFonts w:ascii="Constantia" w:hAnsi="Constantia"/>
          <w:i/>
          <w:lang w:val="sr-Latn-CS"/>
        </w:rPr>
        <w:t xml:space="preserve">Tabeli </w:t>
      </w:r>
      <w:r w:rsidR="003D6E49">
        <w:rPr>
          <w:rFonts w:ascii="Constantia" w:hAnsi="Constantia"/>
          <w:i/>
          <w:lang w:val="sr-Latn-CS"/>
        </w:rPr>
        <w:t>89.</w:t>
      </w:r>
      <w:r w:rsidRPr="003D6E49">
        <w:rPr>
          <w:rFonts w:ascii="Constantia" w:hAnsi="Constantia"/>
          <w:lang w:val="sr-Latn-CS"/>
        </w:rPr>
        <w:t xml:space="preserve"> prikazane su tačne lokacije na kojima je vršeno mjerenje nivoa buke u pojedinim opštinama.</w:t>
      </w:r>
    </w:p>
    <w:p w:rsidR="00EB3E54" w:rsidRPr="00961458" w:rsidRDefault="00EB3E54" w:rsidP="00961458">
      <w:pPr>
        <w:spacing w:after="0"/>
        <w:rPr>
          <w:rFonts w:ascii="Constantia" w:hAnsi="Constantia"/>
          <w:lang w:val="sr-Latn-CS"/>
        </w:rPr>
      </w:pPr>
    </w:p>
    <w:tbl>
      <w:tblPr>
        <w:tblStyle w:val="MediumGrid3-Accent32"/>
        <w:tblW w:w="8962" w:type="dxa"/>
        <w:jc w:val="center"/>
        <w:tblInd w:w="-256" w:type="dxa"/>
        <w:shd w:val="clear" w:color="auto" w:fill="FABF8F" w:themeFill="accent6" w:themeFillTint="99"/>
        <w:tblLook w:val="01E0" w:firstRow="1" w:lastRow="1" w:firstColumn="1" w:lastColumn="1" w:noHBand="0" w:noVBand="0"/>
      </w:tblPr>
      <w:tblGrid>
        <w:gridCol w:w="1942"/>
        <w:gridCol w:w="7020"/>
      </w:tblGrid>
      <w:tr w:rsidR="00EB3E54" w:rsidRPr="00FF685A" w:rsidTr="0096145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42" w:type="dxa"/>
            <w:shd w:val="clear" w:color="auto" w:fill="FABF8F" w:themeFill="accent6" w:themeFillTint="99"/>
            <w:vAlign w:val="center"/>
          </w:tcPr>
          <w:p w:rsidR="00EB3E54" w:rsidRPr="00FF685A" w:rsidRDefault="00EB3E54" w:rsidP="00EB3E54">
            <w:pPr>
              <w:spacing w:after="0"/>
              <w:jc w:val="center"/>
              <w:rPr>
                <w:rFonts w:ascii="Constantia" w:hAnsi="Constantia"/>
                <w:szCs w:val="22"/>
              </w:rPr>
            </w:pPr>
            <w:r w:rsidRPr="00FF685A">
              <w:rPr>
                <w:rFonts w:ascii="Constantia" w:hAnsi="Constantia"/>
                <w:szCs w:val="22"/>
              </w:rPr>
              <w:t>Grad</w:t>
            </w:r>
          </w:p>
        </w:tc>
        <w:tc>
          <w:tcPr>
            <w:cnfStyle w:val="000100000000" w:firstRow="0" w:lastRow="0" w:firstColumn="0" w:lastColumn="1" w:oddVBand="0" w:evenVBand="0" w:oddHBand="0" w:evenHBand="0" w:firstRowFirstColumn="0" w:firstRowLastColumn="0" w:lastRowFirstColumn="0" w:lastRowLastColumn="0"/>
            <w:tcW w:w="7020" w:type="dxa"/>
            <w:shd w:val="clear" w:color="auto" w:fill="FABF8F" w:themeFill="accent6" w:themeFillTint="99"/>
            <w:vAlign w:val="center"/>
          </w:tcPr>
          <w:p w:rsidR="00EB3E54" w:rsidRPr="00961458" w:rsidRDefault="00EB3E54" w:rsidP="00EB3E54">
            <w:pPr>
              <w:spacing w:after="0"/>
              <w:jc w:val="center"/>
              <w:rPr>
                <w:rFonts w:ascii="Constantia" w:hAnsi="Constantia"/>
                <w:szCs w:val="22"/>
              </w:rPr>
            </w:pPr>
            <w:r w:rsidRPr="00961458">
              <w:rPr>
                <w:rFonts w:ascii="Constantia" w:hAnsi="Constantia"/>
                <w:szCs w:val="22"/>
              </w:rPr>
              <w:t>Mjerno mjesto</w:t>
            </w:r>
          </w:p>
        </w:tc>
      </w:tr>
      <w:tr w:rsidR="00EB3E54" w:rsidRPr="00FF685A" w:rsidTr="009614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42" w:type="dxa"/>
            <w:shd w:val="clear" w:color="auto" w:fill="FABF8F" w:themeFill="accent6" w:themeFillTint="99"/>
            <w:vAlign w:val="center"/>
          </w:tcPr>
          <w:p w:rsidR="00EB3E54" w:rsidRPr="00FF685A" w:rsidRDefault="00EB3E54" w:rsidP="00EB3E54">
            <w:pPr>
              <w:spacing w:after="0"/>
              <w:jc w:val="center"/>
              <w:rPr>
                <w:rFonts w:ascii="Constantia" w:hAnsi="Constantia"/>
                <w:szCs w:val="22"/>
              </w:rPr>
            </w:pPr>
            <w:r w:rsidRPr="00FF685A">
              <w:rPr>
                <w:rFonts w:ascii="Constantia" w:hAnsi="Constantia"/>
                <w:szCs w:val="22"/>
              </w:rPr>
              <w:t>Ulcinj</w:t>
            </w:r>
          </w:p>
        </w:tc>
        <w:tc>
          <w:tcPr>
            <w:cnfStyle w:val="000100000000" w:firstRow="0" w:lastRow="0" w:firstColumn="0" w:lastColumn="1" w:oddVBand="0" w:evenVBand="0" w:oddHBand="0" w:evenHBand="0" w:firstRowFirstColumn="0" w:firstRowLastColumn="0" w:lastRowFirstColumn="0" w:lastRowLastColumn="0"/>
            <w:tcW w:w="7020" w:type="dxa"/>
            <w:shd w:val="clear" w:color="auto" w:fill="FABF8F" w:themeFill="accent6" w:themeFillTint="99"/>
            <w:vAlign w:val="center"/>
          </w:tcPr>
          <w:p w:rsidR="00EB3E54" w:rsidRPr="00961458" w:rsidRDefault="00EB3E54" w:rsidP="00EB3E54">
            <w:pPr>
              <w:spacing w:after="0"/>
              <w:jc w:val="center"/>
              <w:rPr>
                <w:rFonts w:ascii="Constantia" w:hAnsi="Constantia"/>
                <w:szCs w:val="22"/>
              </w:rPr>
            </w:pPr>
            <w:r w:rsidRPr="00961458">
              <w:rPr>
                <w:rFonts w:ascii="Constantia" w:hAnsi="Constantia"/>
                <w:szCs w:val="22"/>
              </w:rPr>
              <w:t>Bulevar 26.novembra bb, individualni poslovni objekat „Hypo Alpe Adria Banka“, I sprat</w:t>
            </w:r>
          </w:p>
        </w:tc>
      </w:tr>
      <w:tr w:rsidR="00EB3E54" w:rsidRPr="00FF685A" w:rsidTr="00961458">
        <w:trPr>
          <w:jc w:val="center"/>
        </w:trPr>
        <w:tc>
          <w:tcPr>
            <w:cnfStyle w:val="001000000000" w:firstRow="0" w:lastRow="0" w:firstColumn="1" w:lastColumn="0" w:oddVBand="0" w:evenVBand="0" w:oddHBand="0" w:evenHBand="0" w:firstRowFirstColumn="0" w:firstRowLastColumn="0" w:lastRowFirstColumn="0" w:lastRowLastColumn="0"/>
            <w:tcW w:w="1942" w:type="dxa"/>
            <w:vMerge w:val="restart"/>
            <w:shd w:val="clear" w:color="auto" w:fill="FABF8F" w:themeFill="accent6" w:themeFillTint="99"/>
            <w:vAlign w:val="center"/>
          </w:tcPr>
          <w:p w:rsidR="00EB3E54" w:rsidRPr="00FF685A" w:rsidRDefault="00EB3E54" w:rsidP="00EB3E54">
            <w:pPr>
              <w:spacing w:after="0"/>
              <w:jc w:val="center"/>
              <w:rPr>
                <w:rFonts w:ascii="Constantia" w:hAnsi="Constantia"/>
                <w:szCs w:val="22"/>
              </w:rPr>
            </w:pPr>
            <w:r w:rsidRPr="00FF685A">
              <w:rPr>
                <w:rFonts w:ascii="Constantia" w:hAnsi="Constantia"/>
                <w:szCs w:val="22"/>
              </w:rPr>
              <w:t>Podgorica</w:t>
            </w:r>
          </w:p>
        </w:tc>
        <w:tc>
          <w:tcPr>
            <w:cnfStyle w:val="000100000000" w:firstRow="0" w:lastRow="0" w:firstColumn="0" w:lastColumn="1" w:oddVBand="0" w:evenVBand="0" w:oddHBand="0" w:evenHBand="0" w:firstRowFirstColumn="0" w:firstRowLastColumn="0" w:lastRowFirstColumn="0" w:lastRowLastColumn="0"/>
            <w:tcW w:w="7020" w:type="dxa"/>
            <w:shd w:val="clear" w:color="auto" w:fill="FABF8F" w:themeFill="accent6" w:themeFillTint="99"/>
            <w:vAlign w:val="center"/>
          </w:tcPr>
          <w:p w:rsidR="00EB3E54" w:rsidRPr="00961458" w:rsidRDefault="00EB3E54" w:rsidP="00EB3E54">
            <w:pPr>
              <w:spacing w:after="0"/>
              <w:jc w:val="center"/>
              <w:rPr>
                <w:rFonts w:ascii="Constantia" w:hAnsi="Constantia"/>
                <w:szCs w:val="22"/>
              </w:rPr>
            </w:pPr>
            <w:r w:rsidRPr="00961458">
              <w:rPr>
                <w:rFonts w:ascii="Constantia" w:hAnsi="Constantia"/>
                <w:szCs w:val="22"/>
              </w:rPr>
              <w:t>Stari Aerodrom, ul</w:t>
            </w:r>
            <w:r w:rsidR="00961458">
              <w:rPr>
                <w:rFonts w:ascii="Constantia" w:hAnsi="Constantia"/>
                <w:szCs w:val="22"/>
              </w:rPr>
              <w:t>.</w:t>
            </w:r>
            <w:r w:rsidRPr="00961458">
              <w:rPr>
                <w:rFonts w:ascii="Constantia" w:hAnsi="Constantia"/>
                <w:szCs w:val="22"/>
              </w:rPr>
              <w:t xml:space="preserve"> Aerodromska 1, zajednička stambena zgrada, I sprat</w:t>
            </w:r>
          </w:p>
        </w:tc>
      </w:tr>
      <w:tr w:rsidR="00EB3E54" w:rsidRPr="00FF685A" w:rsidTr="009614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42" w:type="dxa"/>
            <w:vMerge/>
            <w:shd w:val="clear" w:color="auto" w:fill="FABF8F" w:themeFill="accent6" w:themeFillTint="99"/>
            <w:vAlign w:val="center"/>
          </w:tcPr>
          <w:p w:rsidR="00EB3E54" w:rsidRPr="00FF685A" w:rsidRDefault="00EB3E54" w:rsidP="00EB3E54">
            <w:pPr>
              <w:spacing w:after="0"/>
              <w:jc w:val="center"/>
              <w:rPr>
                <w:rFonts w:ascii="Constantia" w:hAnsi="Constantia"/>
                <w:szCs w:val="22"/>
              </w:rPr>
            </w:pPr>
          </w:p>
        </w:tc>
        <w:tc>
          <w:tcPr>
            <w:cnfStyle w:val="000100000000" w:firstRow="0" w:lastRow="0" w:firstColumn="0" w:lastColumn="1" w:oddVBand="0" w:evenVBand="0" w:oddHBand="0" w:evenHBand="0" w:firstRowFirstColumn="0" w:firstRowLastColumn="0" w:lastRowFirstColumn="0" w:lastRowLastColumn="0"/>
            <w:tcW w:w="7020" w:type="dxa"/>
            <w:shd w:val="clear" w:color="auto" w:fill="FABF8F" w:themeFill="accent6" w:themeFillTint="99"/>
            <w:vAlign w:val="center"/>
          </w:tcPr>
          <w:p w:rsidR="00EB3E54" w:rsidRPr="00961458" w:rsidRDefault="00EB3E54" w:rsidP="00EB3E54">
            <w:pPr>
              <w:spacing w:after="0"/>
              <w:jc w:val="center"/>
              <w:rPr>
                <w:rFonts w:ascii="Constantia" w:hAnsi="Constantia"/>
                <w:szCs w:val="22"/>
                <w:lang w:val="pl-PL"/>
              </w:rPr>
            </w:pPr>
            <w:r w:rsidRPr="00961458">
              <w:rPr>
                <w:rFonts w:ascii="Constantia" w:hAnsi="Constantia"/>
                <w:szCs w:val="22"/>
                <w:lang w:val="pl-PL"/>
              </w:rPr>
              <w:t>I Proleterske brigade 33, mini obilaznica, individualni stambeni objekat, I sprat</w:t>
            </w:r>
          </w:p>
        </w:tc>
      </w:tr>
      <w:tr w:rsidR="00EB3E54" w:rsidRPr="00FF685A" w:rsidTr="00961458">
        <w:trPr>
          <w:jc w:val="center"/>
        </w:trPr>
        <w:tc>
          <w:tcPr>
            <w:cnfStyle w:val="001000000000" w:firstRow="0" w:lastRow="0" w:firstColumn="1" w:lastColumn="0" w:oddVBand="0" w:evenVBand="0" w:oddHBand="0" w:evenHBand="0" w:firstRowFirstColumn="0" w:firstRowLastColumn="0" w:lastRowFirstColumn="0" w:lastRowLastColumn="0"/>
            <w:tcW w:w="1942" w:type="dxa"/>
            <w:shd w:val="clear" w:color="auto" w:fill="FABF8F" w:themeFill="accent6" w:themeFillTint="99"/>
            <w:vAlign w:val="center"/>
          </w:tcPr>
          <w:p w:rsidR="00EB3E54" w:rsidRPr="00FF685A" w:rsidRDefault="00EB3E54" w:rsidP="00EB3E54">
            <w:pPr>
              <w:spacing w:after="0"/>
              <w:jc w:val="center"/>
              <w:rPr>
                <w:rFonts w:ascii="Constantia" w:hAnsi="Constantia"/>
                <w:szCs w:val="22"/>
              </w:rPr>
            </w:pPr>
            <w:r w:rsidRPr="00FF685A">
              <w:rPr>
                <w:rFonts w:ascii="Constantia" w:hAnsi="Constantia"/>
                <w:szCs w:val="22"/>
              </w:rPr>
              <w:t>Budva</w:t>
            </w:r>
          </w:p>
        </w:tc>
        <w:tc>
          <w:tcPr>
            <w:cnfStyle w:val="000100000000" w:firstRow="0" w:lastRow="0" w:firstColumn="0" w:lastColumn="1" w:oddVBand="0" w:evenVBand="0" w:oddHBand="0" w:evenHBand="0" w:firstRowFirstColumn="0" w:firstRowLastColumn="0" w:lastRowFirstColumn="0" w:lastRowLastColumn="0"/>
            <w:tcW w:w="7020" w:type="dxa"/>
            <w:shd w:val="clear" w:color="auto" w:fill="FABF8F" w:themeFill="accent6" w:themeFillTint="99"/>
            <w:vAlign w:val="center"/>
          </w:tcPr>
          <w:p w:rsidR="00EB3E54" w:rsidRPr="00961458" w:rsidRDefault="00EB3E54" w:rsidP="00EB3E54">
            <w:pPr>
              <w:spacing w:after="0"/>
              <w:jc w:val="center"/>
              <w:rPr>
                <w:rFonts w:ascii="Constantia" w:hAnsi="Constantia"/>
                <w:szCs w:val="22"/>
              </w:rPr>
            </w:pPr>
            <w:r w:rsidRPr="00961458">
              <w:rPr>
                <w:rFonts w:ascii="Constantia" w:hAnsi="Constantia"/>
                <w:szCs w:val="22"/>
              </w:rPr>
              <w:t>Jadranski put bb, zajednička stambena zgrada „Bogetića“, I sprat</w:t>
            </w:r>
          </w:p>
        </w:tc>
      </w:tr>
      <w:tr w:rsidR="00EB3E54" w:rsidRPr="00FF685A" w:rsidTr="009614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42" w:type="dxa"/>
            <w:shd w:val="clear" w:color="auto" w:fill="FABF8F" w:themeFill="accent6" w:themeFillTint="99"/>
            <w:vAlign w:val="center"/>
          </w:tcPr>
          <w:p w:rsidR="00EB3E54" w:rsidRPr="00FF685A" w:rsidRDefault="00EB3E54" w:rsidP="00EB3E54">
            <w:pPr>
              <w:spacing w:after="0"/>
              <w:jc w:val="center"/>
              <w:rPr>
                <w:rFonts w:ascii="Constantia" w:hAnsi="Constantia"/>
                <w:szCs w:val="22"/>
              </w:rPr>
            </w:pPr>
            <w:r w:rsidRPr="00FF685A">
              <w:rPr>
                <w:rFonts w:ascii="Constantia" w:hAnsi="Constantia"/>
                <w:szCs w:val="22"/>
              </w:rPr>
              <w:t>Petrovac</w:t>
            </w:r>
          </w:p>
        </w:tc>
        <w:tc>
          <w:tcPr>
            <w:cnfStyle w:val="000100000000" w:firstRow="0" w:lastRow="0" w:firstColumn="0" w:lastColumn="1" w:oddVBand="0" w:evenVBand="0" w:oddHBand="0" w:evenHBand="0" w:firstRowFirstColumn="0" w:firstRowLastColumn="0" w:lastRowFirstColumn="0" w:lastRowLastColumn="0"/>
            <w:tcW w:w="7020" w:type="dxa"/>
            <w:shd w:val="clear" w:color="auto" w:fill="FABF8F" w:themeFill="accent6" w:themeFillTint="99"/>
            <w:vAlign w:val="center"/>
          </w:tcPr>
          <w:p w:rsidR="00EB3E54" w:rsidRPr="00961458" w:rsidRDefault="00961458" w:rsidP="00EB3E54">
            <w:pPr>
              <w:spacing w:after="0"/>
              <w:jc w:val="center"/>
              <w:rPr>
                <w:rFonts w:ascii="Constantia" w:hAnsi="Constantia"/>
                <w:szCs w:val="22"/>
              </w:rPr>
            </w:pPr>
            <w:r>
              <w:rPr>
                <w:rFonts w:ascii="Constantia" w:hAnsi="Constantia"/>
                <w:szCs w:val="22"/>
              </w:rPr>
              <w:t>Z</w:t>
            </w:r>
            <w:r w:rsidR="00EB3E54" w:rsidRPr="00961458">
              <w:rPr>
                <w:rFonts w:ascii="Constantia" w:hAnsi="Constantia"/>
                <w:szCs w:val="22"/>
              </w:rPr>
              <w:t>grada „Crvene komune“, Obala bb, zajednički poslovni objekat, I sprat</w:t>
            </w:r>
          </w:p>
        </w:tc>
      </w:tr>
      <w:tr w:rsidR="00EB3E54" w:rsidRPr="00FF685A" w:rsidTr="00961458">
        <w:trPr>
          <w:jc w:val="center"/>
        </w:trPr>
        <w:tc>
          <w:tcPr>
            <w:cnfStyle w:val="001000000000" w:firstRow="0" w:lastRow="0" w:firstColumn="1" w:lastColumn="0" w:oddVBand="0" w:evenVBand="0" w:oddHBand="0" w:evenHBand="0" w:firstRowFirstColumn="0" w:firstRowLastColumn="0" w:lastRowFirstColumn="0" w:lastRowLastColumn="0"/>
            <w:tcW w:w="1942" w:type="dxa"/>
            <w:shd w:val="clear" w:color="auto" w:fill="FABF8F" w:themeFill="accent6" w:themeFillTint="99"/>
            <w:vAlign w:val="center"/>
          </w:tcPr>
          <w:p w:rsidR="00EB3E54" w:rsidRPr="00FF685A" w:rsidRDefault="00EB3E54" w:rsidP="00EB3E54">
            <w:pPr>
              <w:spacing w:after="0"/>
              <w:jc w:val="center"/>
              <w:rPr>
                <w:rFonts w:ascii="Constantia" w:hAnsi="Constantia"/>
                <w:szCs w:val="22"/>
              </w:rPr>
            </w:pPr>
            <w:r w:rsidRPr="00FF685A">
              <w:rPr>
                <w:rFonts w:ascii="Constantia" w:hAnsi="Constantia"/>
                <w:szCs w:val="22"/>
              </w:rPr>
              <w:t>Kotor</w:t>
            </w:r>
          </w:p>
        </w:tc>
        <w:tc>
          <w:tcPr>
            <w:cnfStyle w:val="000100000000" w:firstRow="0" w:lastRow="0" w:firstColumn="0" w:lastColumn="1" w:oddVBand="0" w:evenVBand="0" w:oddHBand="0" w:evenHBand="0" w:firstRowFirstColumn="0" w:firstRowLastColumn="0" w:lastRowFirstColumn="0" w:lastRowLastColumn="0"/>
            <w:tcW w:w="7020" w:type="dxa"/>
            <w:shd w:val="clear" w:color="auto" w:fill="FABF8F" w:themeFill="accent6" w:themeFillTint="99"/>
            <w:vAlign w:val="center"/>
          </w:tcPr>
          <w:p w:rsidR="00EB3E54" w:rsidRPr="00961458" w:rsidRDefault="00961458" w:rsidP="00EB3E54">
            <w:pPr>
              <w:spacing w:after="0"/>
              <w:jc w:val="center"/>
              <w:rPr>
                <w:rFonts w:ascii="Constantia" w:hAnsi="Constantia"/>
                <w:szCs w:val="22"/>
              </w:rPr>
            </w:pPr>
            <w:r>
              <w:rPr>
                <w:rFonts w:ascii="Constantia" w:hAnsi="Constantia"/>
                <w:szCs w:val="22"/>
              </w:rPr>
              <w:t>S</w:t>
            </w:r>
            <w:r w:rsidR="00EB3E54" w:rsidRPr="00961458">
              <w:rPr>
                <w:rFonts w:ascii="Constantia" w:hAnsi="Constantia"/>
                <w:szCs w:val="22"/>
              </w:rPr>
              <w:t>tari grad, zgrada Pomorskog muzeja, Trg Bokeljske mornarice 391, I sprat</w:t>
            </w:r>
          </w:p>
        </w:tc>
      </w:tr>
      <w:tr w:rsidR="00EB3E54" w:rsidRPr="00FF685A" w:rsidTr="00961458">
        <w:trPr>
          <w:cnfStyle w:val="000000100000" w:firstRow="0" w:lastRow="0" w:firstColumn="0" w:lastColumn="0" w:oddVBand="0" w:evenVBand="0" w:oddHBand="1" w:evenHBand="0" w:firstRowFirstColumn="0" w:firstRowLastColumn="0" w:lastRowFirstColumn="0" w:lastRowLastColumn="0"/>
          <w:trHeight w:val="299"/>
          <w:jc w:val="center"/>
        </w:trPr>
        <w:tc>
          <w:tcPr>
            <w:cnfStyle w:val="001000000000" w:firstRow="0" w:lastRow="0" w:firstColumn="1" w:lastColumn="0" w:oddVBand="0" w:evenVBand="0" w:oddHBand="0" w:evenHBand="0" w:firstRowFirstColumn="0" w:firstRowLastColumn="0" w:lastRowFirstColumn="0" w:lastRowLastColumn="0"/>
            <w:tcW w:w="1942" w:type="dxa"/>
            <w:shd w:val="clear" w:color="auto" w:fill="FABF8F" w:themeFill="accent6" w:themeFillTint="99"/>
            <w:vAlign w:val="center"/>
          </w:tcPr>
          <w:p w:rsidR="00EB3E54" w:rsidRPr="00FF685A" w:rsidRDefault="00EB3E54" w:rsidP="00EB3E54">
            <w:pPr>
              <w:spacing w:after="0"/>
              <w:jc w:val="center"/>
              <w:rPr>
                <w:rFonts w:ascii="Constantia" w:hAnsi="Constantia"/>
                <w:szCs w:val="22"/>
              </w:rPr>
            </w:pPr>
            <w:r w:rsidRPr="00FF685A">
              <w:rPr>
                <w:rFonts w:ascii="Constantia" w:hAnsi="Constantia"/>
                <w:szCs w:val="22"/>
              </w:rPr>
              <w:t>Žabljak</w:t>
            </w:r>
          </w:p>
        </w:tc>
        <w:tc>
          <w:tcPr>
            <w:cnfStyle w:val="000100000000" w:firstRow="0" w:lastRow="0" w:firstColumn="0" w:lastColumn="1" w:oddVBand="0" w:evenVBand="0" w:oddHBand="0" w:evenHBand="0" w:firstRowFirstColumn="0" w:firstRowLastColumn="0" w:lastRowFirstColumn="0" w:lastRowLastColumn="0"/>
            <w:tcW w:w="7020" w:type="dxa"/>
            <w:shd w:val="clear" w:color="auto" w:fill="FABF8F" w:themeFill="accent6" w:themeFillTint="99"/>
            <w:vAlign w:val="center"/>
          </w:tcPr>
          <w:p w:rsidR="00EB3E54" w:rsidRPr="00961458" w:rsidRDefault="00EB3E54" w:rsidP="00EB3E54">
            <w:pPr>
              <w:spacing w:after="0"/>
              <w:jc w:val="center"/>
              <w:rPr>
                <w:rFonts w:ascii="Constantia" w:hAnsi="Constantia"/>
                <w:szCs w:val="22"/>
              </w:rPr>
            </w:pPr>
            <w:r w:rsidRPr="00961458">
              <w:rPr>
                <w:rFonts w:ascii="Constantia" w:hAnsi="Constantia"/>
                <w:szCs w:val="22"/>
              </w:rPr>
              <w:t>Njegoševa 1, zajednička stambena zgrada, I sprat</w:t>
            </w:r>
          </w:p>
        </w:tc>
      </w:tr>
      <w:tr w:rsidR="00EB3E54" w:rsidRPr="00FF685A" w:rsidTr="00961458">
        <w:trPr>
          <w:trHeight w:val="299"/>
          <w:jc w:val="center"/>
        </w:trPr>
        <w:tc>
          <w:tcPr>
            <w:cnfStyle w:val="001000000000" w:firstRow="0" w:lastRow="0" w:firstColumn="1" w:lastColumn="0" w:oddVBand="0" w:evenVBand="0" w:oddHBand="0" w:evenHBand="0" w:firstRowFirstColumn="0" w:firstRowLastColumn="0" w:lastRowFirstColumn="0" w:lastRowLastColumn="0"/>
            <w:tcW w:w="1942" w:type="dxa"/>
            <w:shd w:val="clear" w:color="auto" w:fill="FABF8F" w:themeFill="accent6" w:themeFillTint="99"/>
            <w:vAlign w:val="center"/>
          </w:tcPr>
          <w:p w:rsidR="00EB3E54" w:rsidRPr="00FF685A" w:rsidRDefault="00EB3E54" w:rsidP="00EB3E54">
            <w:pPr>
              <w:spacing w:after="0"/>
              <w:jc w:val="center"/>
              <w:rPr>
                <w:rFonts w:ascii="Constantia" w:hAnsi="Constantia"/>
                <w:szCs w:val="22"/>
              </w:rPr>
            </w:pPr>
            <w:r w:rsidRPr="00FF685A">
              <w:rPr>
                <w:rFonts w:ascii="Constantia" w:hAnsi="Constantia"/>
                <w:szCs w:val="22"/>
              </w:rPr>
              <w:t>Nikšić</w:t>
            </w:r>
          </w:p>
        </w:tc>
        <w:tc>
          <w:tcPr>
            <w:cnfStyle w:val="000100000000" w:firstRow="0" w:lastRow="0" w:firstColumn="0" w:lastColumn="1" w:oddVBand="0" w:evenVBand="0" w:oddHBand="0" w:evenHBand="0" w:firstRowFirstColumn="0" w:firstRowLastColumn="0" w:lastRowFirstColumn="0" w:lastRowLastColumn="0"/>
            <w:tcW w:w="7020" w:type="dxa"/>
            <w:shd w:val="clear" w:color="auto" w:fill="FABF8F" w:themeFill="accent6" w:themeFillTint="99"/>
            <w:vAlign w:val="center"/>
          </w:tcPr>
          <w:p w:rsidR="00EB3E54" w:rsidRPr="00961458" w:rsidRDefault="00EB3E54" w:rsidP="00EB3E54">
            <w:pPr>
              <w:spacing w:after="0"/>
              <w:jc w:val="center"/>
              <w:rPr>
                <w:rFonts w:ascii="Constantia" w:hAnsi="Constantia"/>
                <w:szCs w:val="22"/>
              </w:rPr>
            </w:pPr>
            <w:r w:rsidRPr="00961458">
              <w:rPr>
                <w:rFonts w:ascii="Constantia" w:hAnsi="Constantia"/>
                <w:szCs w:val="22"/>
              </w:rPr>
              <w:t>JZU Opšta bolnica, plato iznad ulaznih vrata</w:t>
            </w:r>
          </w:p>
        </w:tc>
      </w:tr>
      <w:tr w:rsidR="00EB3E54" w:rsidRPr="00FF685A" w:rsidTr="009614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42" w:type="dxa"/>
            <w:shd w:val="clear" w:color="auto" w:fill="FABF8F" w:themeFill="accent6" w:themeFillTint="99"/>
            <w:vAlign w:val="center"/>
          </w:tcPr>
          <w:p w:rsidR="00EB3E54" w:rsidRPr="00FF685A" w:rsidRDefault="00EB3E54" w:rsidP="00EB3E54">
            <w:pPr>
              <w:spacing w:after="0"/>
              <w:jc w:val="center"/>
              <w:rPr>
                <w:rFonts w:ascii="Constantia" w:hAnsi="Constantia"/>
                <w:szCs w:val="22"/>
              </w:rPr>
            </w:pPr>
            <w:r w:rsidRPr="00FF685A">
              <w:rPr>
                <w:rFonts w:ascii="Constantia" w:hAnsi="Constantia"/>
                <w:szCs w:val="22"/>
              </w:rPr>
              <w:t>Bijelo Polje</w:t>
            </w:r>
          </w:p>
        </w:tc>
        <w:tc>
          <w:tcPr>
            <w:cnfStyle w:val="000100000000" w:firstRow="0" w:lastRow="0" w:firstColumn="0" w:lastColumn="1" w:oddVBand="0" w:evenVBand="0" w:oddHBand="0" w:evenHBand="0" w:firstRowFirstColumn="0" w:firstRowLastColumn="0" w:lastRowFirstColumn="0" w:lastRowLastColumn="0"/>
            <w:tcW w:w="7020" w:type="dxa"/>
            <w:shd w:val="clear" w:color="auto" w:fill="FABF8F" w:themeFill="accent6" w:themeFillTint="99"/>
            <w:vAlign w:val="center"/>
          </w:tcPr>
          <w:p w:rsidR="00EB3E54" w:rsidRPr="00961458" w:rsidRDefault="00EB3E54" w:rsidP="00EB3E54">
            <w:pPr>
              <w:spacing w:after="0"/>
              <w:jc w:val="center"/>
              <w:rPr>
                <w:rFonts w:ascii="Constantia" w:hAnsi="Constantia"/>
                <w:szCs w:val="22"/>
              </w:rPr>
            </w:pPr>
            <w:r w:rsidRPr="00961458">
              <w:rPr>
                <w:rFonts w:ascii="Constantia" w:hAnsi="Constantia"/>
                <w:szCs w:val="22"/>
              </w:rPr>
              <w:t>Živka Žižića 30, zajednička stambena zgrada, I sprat</w:t>
            </w:r>
          </w:p>
        </w:tc>
      </w:tr>
      <w:tr w:rsidR="00EB3E54" w:rsidRPr="00FF685A" w:rsidTr="00961458">
        <w:trPr>
          <w:jc w:val="center"/>
        </w:trPr>
        <w:tc>
          <w:tcPr>
            <w:cnfStyle w:val="001000000000" w:firstRow="0" w:lastRow="0" w:firstColumn="1" w:lastColumn="0" w:oddVBand="0" w:evenVBand="0" w:oddHBand="0" w:evenHBand="0" w:firstRowFirstColumn="0" w:firstRowLastColumn="0" w:lastRowFirstColumn="0" w:lastRowLastColumn="0"/>
            <w:tcW w:w="1942" w:type="dxa"/>
            <w:shd w:val="clear" w:color="auto" w:fill="FABF8F" w:themeFill="accent6" w:themeFillTint="99"/>
            <w:vAlign w:val="center"/>
          </w:tcPr>
          <w:p w:rsidR="00EB3E54" w:rsidRPr="00FF685A" w:rsidRDefault="00EB3E54" w:rsidP="00EB3E54">
            <w:pPr>
              <w:spacing w:after="0"/>
              <w:jc w:val="center"/>
              <w:rPr>
                <w:rFonts w:ascii="Constantia" w:hAnsi="Constantia"/>
                <w:szCs w:val="22"/>
              </w:rPr>
            </w:pPr>
            <w:r w:rsidRPr="00FF685A">
              <w:rPr>
                <w:rFonts w:ascii="Constantia" w:hAnsi="Constantia"/>
                <w:szCs w:val="22"/>
              </w:rPr>
              <w:t>Berane</w:t>
            </w:r>
          </w:p>
        </w:tc>
        <w:tc>
          <w:tcPr>
            <w:cnfStyle w:val="000100000000" w:firstRow="0" w:lastRow="0" w:firstColumn="0" w:lastColumn="1" w:oddVBand="0" w:evenVBand="0" w:oddHBand="0" w:evenHBand="0" w:firstRowFirstColumn="0" w:firstRowLastColumn="0" w:lastRowFirstColumn="0" w:lastRowLastColumn="0"/>
            <w:tcW w:w="7020" w:type="dxa"/>
            <w:shd w:val="clear" w:color="auto" w:fill="FABF8F" w:themeFill="accent6" w:themeFillTint="99"/>
            <w:vAlign w:val="center"/>
          </w:tcPr>
          <w:p w:rsidR="00961458" w:rsidRDefault="00961458" w:rsidP="00EB3E54">
            <w:pPr>
              <w:spacing w:after="0"/>
              <w:jc w:val="center"/>
              <w:rPr>
                <w:rFonts w:ascii="Constantia" w:hAnsi="Constantia"/>
                <w:szCs w:val="22"/>
              </w:rPr>
            </w:pPr>
            <w:r>
              <w:rPr>
                <w:rFonts w:ascii="Constantia" w:hAnsi="Constantia"/>
                <w:szCs w:val="22"/>
              </w:rPr>
              <w:t>C</w:t>
            </w:r>
            <w:r w:rsidR="00EB3E54" w:rsidRPr="00961458">
              <w:rPr>
                <w:rFonts w:ascii="Constantia" w:hAnsi="Constantia"/>
                <w:szCs w:val="22"/>
              </w:rPr>
              <w:t xml:space="preserve">entar, Dušana Vujoševića 5, individualni poslovni objekat, </w:t>
            </w:r>
          </w:p>
          <w:p w:rsidR="00EB3E54" w:rsidRPr="00961458" w:rsidRDefault="00EB3E54" w:rsidP="00EB3E54">
            <w:pPr>
              <w:spacing w:after="0"/>
              <w:jc w:val="center"/>
              <w:rPr>
                <w:rFonts w:ascii="Constantia" w:hAnsi="Constantia"/>
                <w:szCs w:val="22"/>
              </w:rPr>
            </w:pPr>
            <w:r w:rsidRPr="00961458">
              <w:rPr>
                <w:rFonts w:ascii="Constantia" w:hAnsi="Constantia"/>
                <w:szCs w:val="22"/>
              </w:rPr>
              <w:t>I sprat</w:t>
            </w:r>
          </w:p>
        </w:tc>
      </w:tr>
      <w:tr w:rsidR="00EB3E54" w:rsidRPr="00FF685A" w:rsidTr="009614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42" w:type="dxa"/>
            <w:shd w:val="clear" w:color="auto" w:fill="FABF8F" w:themeFill="accent6" w:themeFillTint="99"/>
            <w:vAlign w:val="center"/>
          </w:tcPr>
          <w:p w:rsidR="00EB3E54" w:rsidRPr="00FF685A" w:rsidRDefault="00EB3E54" w:rsidP="00EB3E54">
            <w:pPr>
              <w:spacing w:after="0"/>
              <w:jc w:val="center"/>
              <w:rPr>
                <w:rFonts w:ascii="Constantia" w:hAnsi="Constantia"/>
                <w:szCs w:val="22"/>
              </w:rPr>
            </w:pPr>
            <w:r w:rsidRPr="00FF685A">
              <w:rPr>
                <w:rFonts w:ascii="Constantia" w:hAnsi="Constantia"/>
                <w:szCs w:val="22"/>
              </w:rPr>
              <w:t>Kolašin</w:t>
            </w:r>
          </w:p>
        </w:tc>
        <w:tc>
          <w:tcPr>
            <w:cnfStyle w:val="000100000000" w:firstRow="0" w:lastRow="0" w:firstColumn="0" w:lastColumn="1" w:oddVBand="0" w:evenVBand="0" w:oddHBand="0" w:evenHBand="0" w:firstRowFirstColumn="0" w:firstRowLastColumn="0" w:lastRowFirstColumn="0" w:lastRowLastColumn="0"/>
            <w:tcW w:w="7020" w:type="dxa"/>
            <w:shd w:val="clear" w:color="auto" w:fill="FABF8F" w:themeFill="accent6" w:themeFillTint="99"/>
            <w:vAlign w:val="center"/>
          </w:tcPr>
          <w:p w:rsidR="00EB3E54" w:rsidRPr="00961458" w:rsidRDefault="00EB3E54" w:rsidP="00EB3E54">
            <w:pPr>
              <w:spacing w:after="0"/>
              <w:jc w:val="center"/>
              <w:rPr>
                <w:rFonts w:ascii="Constantia" w:hAnsi="Constantia"/>
                <w:szCs w:val="22"/>
              </w:rPr>
            </w:pPr>
            <w:r w:rsidRPr="00961458">
              <w:rPr>
                <w:rFonts w:ascii="Constantia" w:hAnsi="Constantia"/>
                <w:szCs w:val="22"/>
              </w:rPr>
              <w:t>Palih Partizanki 8, individualni stambeni objekat, I sprat</w:t>
            </w:r>
          </w:p>
        </w:tc>
      </w:tr>
      <w:tr w:rsidR="00FF685A" w:rsidRPr="00FF685A" w:rsidTr="00961458">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42" w:type="dxa"/>
            <w:shd w:val="clear" w:color="auto" w:fill="FABF8F" w:themeFill="accent6" w:themeFillTint="99"/>
            <w:vAlign w:val="center"/>
          </w:tcPr>
          <w:p w:rsidR="00FF685A" w:rsidRPr="00FF685A" w:rsidRDefault="00FF685A" w:rsidP="00F45DE6">
            <w:pPr>
              <w:spacing w:after="0"/>
              <w:jc w:val="center"/>
              <w:rPr>
                <w:rFonts w:ascii="Constantia" w:hAnsi="Constantia"/>
                <w:szCs w:val="22"/>
              </w:rPr>
            </w:pPr>
            <w:r w:rsidRPr="00FF685A">
              <w:rPr>
                <w:rFonts w:ascii="Constantia" w:hAnsi="Constantia"/>
                <w:szCs w:val="22"/>
              </w:rPr>
              <w:t>Mojkovac</w:t>
            </w:r>
          </w:p>
        </w:tc>
        <w:tc>
          <w:tcPr>
            <w:cnfStyle w:val="000100000000" w:firstRow="0" w:lastRow="0" w:firstColumn="0" w:lastColumn="1" w:oddVBand="0" w:evenVBand="0" w:oddHBand="0" w:evenHBand="0" w:firstRowFirstColumn="0" w:firstRowLastColumn="0" w:lastRowFirstColumn="0" w:lastRowLastColumn="0"/>
            <w:tcW w:w="7020" w:type="dxa"/>
            <w:shd w:val="clear" w:color="auto" w:fill="FABF8F" w:themeFill="accent6" w:themeFillTint="99"/>
            <w:vAlign w:val="center"/>
          </w:tcPr>
          <w:p w:rsidR="00FF685A" w:rsidRPr="00961458" w:rsidRDefault="00FF685A" w:rsidP="00F45DE6">
            <w:pPr>
              <w:spacing w:after="0"/>
              <w:jc w:val="center"/>
              <w:rPr>
                <w:rFonts w:ascii="Constantia" w:hAnsi="Constantia"/>
                <w:szCs w:val="22"/>
              </w:rPr>
            </w:pPr>
            <w:r w:rsidRPr="00961458">
              <w:rPr>
                <w:rFonts w:ascii="Constantia" w:hAnsi="Constantia"/>
                <w:szCs w:val="22"/>
              </w:rPr>
              <w:t>centar, Filipa Žurića 1, zajednička stambena zgrada, II sprat</w:t>
            </w:r>
          </w:p>
        </w:tc>
      </w:tr>
    </w:tbl>
    <w:p w:rsidR="00EB3E54" w:rsidRPr="00FF685A" w:rsidRDefault="00EB3E54" w:rsidP="00FF685A">
      <w:pPr>
        <w:numPr>
          <w:ilvl w:val="0"/>
          <w:numId w:val="3"/>
        </w:numPr>
        <w:spacing w:before="60" w:after="240"/>
        <w:ind w:left="1440" w:firstLine="0"/>
        <w:jc w:val="center"/>
        <w:rPr>
          <w:rFonts w:ascii="Constantia" w:hAnsi="Constantia"/>
          <w:i/>
          <w:szCs w:val="22"/>
          <w:lang w:val="sr-Latn-CS"/>
        </w:rPr>
      </w:pPr>
      <w:r w:rsidRPr="00FF685A">
        <w:rPr>
          <w:rFonts w:ascii="Constantia" w:hAnsi="Constantia"/>
          <w:i/>
          <w:szCs w:val="22"/>
          <w:lang w:val="sr-Latn-CS"/>
        </w:rPr>
        <w:t>Mjerna mjesta</w:t>
      </w:r>
    </w:p>
    <w:p w:rsidR="00C939D8" w:rsidRDefault="00C939D8" w:rsidP="00EB3E54">
      <w:pPr>
        <w:rPr>
          <w:rFonts w:ascii="Constantia" w:hAnsi="Constantia"/>
          <w:lang w:val="sr-Latn-CS"/>
        </w:rPr>
      </w:pPr>
    </w:p>
    <w:p w:rsidR="00EB3E54" w:rsidRPr="005A1CA7" w:rsidRDefault="00EB3E54" w:rsidP="00EB3E54">
      <w:pPr>
        <w:rPr>
          <w:rFonts w:ascii="Constantia" w:hAnsi="Constantia"/>
          <w:lang w:val="sr-Latn-CS"/>
        </w:rPr>
      </w:pPr>
      <w:r w:rsidRPr="005A1CA7">
        <w:rPr>
          <w:rFonts w:ascii="Constantia" w:hAnsi="Constantia"/>
          <w:lang w:val="sr-Latn-CS"/>
        </w:rPr>
        <w:t>Mjerenje u toku jednog dana</w:t>
      </w:r>
      <w:r w:rsidR="005A1CA7">
        <w:rPr>
          <w:rFonts w:ascii="Constantia" w:hAnsi="Constantia"/>
          <w:lang w:val="sr-Latn-CS"/>
        </w:rPr>
        <w:t>,</w:t>
      </w:r>
      <w:r w:rsidRPr="005A1CA7">
        <w:rPr>
          <w:rFonts w:ascii="Constantia" w:hAnsi="Constantia"/>
          <w:lang w:val="sr-Latn-CS"/>
        </w:rPr>
        <w:t xml:space="preserve"> u trajanju od 24 časa</w:t>
      </w:r>
      <w:r w:rsidR="005A1CA7">
        <w:rPr>
          <w:rFonts w:ascii="Constantia" w:hAnsi="Constantia"/>
          <w:lang w:val="sr-Latn-CS"/>
        </w:rPr>
        <w:t>,</w:t>
      </w:r>
      <w:r w:rsidRPr="005A1CA7">
        <w:rPr>
          <w:rFonts w:ascii="Constantia" w:hAnsi="Constantia"/>
          <w:lang w:val="sr-Latn-CS"/>
        </w:rPr>
        <w:t xml:space="preserve"> podijeljeno</w:t>
      </w:r>
      <w:r w:rsidR="005A1CA7">
        <w:rPr>
          <w:rFonts w:ascii="Constantia" w:hAnsi="Constantia"/>
          <w:lang w:val="sr-Latn-CS"/>
        </w:rPr>
        <w:t xml:space="preserve"> je</w:t>
      </w:r>
      <w:r w:rsidRPr="005A1CA7">
        <w:rPr>
          <w:rFonts w:ascii="Constantia" w:hAnsi="Constantia"/>
          <w:lang w:val="sr-Latn-CS"/>
        </w:rPr>
        <w:t xml:space="preserve"> na dnevno, večernje i noćno mjerenje, u skladu sa zakonski definisanim terminima mjerenja.</w:t>
      </w:r>
    </w:p>
    <w:p w:rsidR="00EB3E54" w:rsidRPr="005A1CA7" w:rsidRDefault="00EB3E54" w:rsidP="00EB3E54">
      <w:pPr>
        <w:rPr>
          <w:rFonts w:ascii="Constantia" w:hAnsi="Constantia"/>
          <w:lang w:val="sr-Latn-CS"/>
        </w:rPr>
      </w:pPr>
      <w:r w:rsidRPr="005A1CA7">
        <w:rPr>
          <w:rFonts w:ascii="Constantia" w:hAnsi="Constantia"/>
          <w:b/>
          <w:sz w:val="28"/>
          <w:szCs w:val="28"/>
          <w:lang w:val="sr-Latn-CS"/>
        </w:rPr>
        <w:t>L</w:t>
      </w:r>
      <w:r w:rsidRPr="005A1CA7">
        <w:rPr>
          <w:rFonts w:ascii="Constantia" w:hAnsi="Constantia"/>
          <w:b/>
          <w:sz w:val="28"/>
          <w:szCs w:val="28"/>
          <w:vertAlign w:val="subscript"/>
          <w:lang w:val="sr-Latn-CS"/>
        </w:rPr>
        <w:t>den</w:t>
      </w:r>
      <w:r w:rsidRPr="005A1CA7">
        <w:rPr>
          <w:rFonts w:ascii="Constantia" w:hAnsi="Constantia"/>
          <w:lang w:val="sr-Latn-CS"/>
        </w:rPr>
        <w:t xml:space="preserve"> </w:t>
      </w:r>
      <w:r w:rsidR="005A1CA7">
        <w:rPr>
          <w:rFonts w:ascii="Constantia" w:hAnsi="Constantia"/>
          <w:lang w:val="sr-Latn-CS"/>
        </w:rPr>
        <w:t>–</w:t>
      </w:r>
      <w:r w:rsidRPr="005A1CA7">
        <w:rPr>
          <w:rFonts w:ascii="Constantia" w:hAnsi="Constantia"/>
          <w:lang w:val="sr-Latn-CS"/>
        </w:rPr>
        <w:t xml:space="preserve">  ukupni indikator nivoa buke tokom dana, večeri i noći,</w:t>
      </w:r>
    </w:p>
    <w:p w:rsidR="00EB3E54" w:rsidRPr="005A1CA7" w:rsidRDefault="00EB3E54" w:rsidP="00EB3E54">
      <w:pPr>
        <w:rPr>
          <w:rFonts w:ascii="Constantia" w:hAnsi="Constantia"/>
          <w:lang w:val="sr-Latn-CS"/>
        </w:rPr>
      </w:pPr>
      <w:r w:rsidRPr="005A1CA7">
        <w:rPr>
          <w:rFonts w:ascii="Constantia" w:hAnsi="Constantia"/>
          <w:b/>
          <w:sz w:val="28"/>
          <w:szCs w:val="28"/>
          <w:lang w:val="sr-Latn-CS"/>
        </w:rPr>
        <w:t>L</w:t>
      </w:r>
      <w:r w:rsidRPr="005A1CA7">
        <w:rPr>
          <w:rFonts w:ascii="Constantia" w:hAnsi="Constantia"/>
          <w:b/>
          <w:sz w:val="28"/>
          <w:szCs w:val="28"/>
          <w:vertAlign w:val="subscript"/>
          <w:lang w:val="sr-Latn-CS"/>
        </w:rPr>
        <w:t>day</w:t>
      </w:r>
      <w:r w:rsidRPr="005A1CA7">
        <w:rPr>
          <w:rFonts w:ascii="Constantia" w:hAnsi="Constantia"/>
          <w:sz w:val="28"/>
          <w:szCs w:val="28"/>
          <w:lang w:val="sr-Latn-CS"/>
        </w:rPr>
        <w:t xml:space="preserve"> </w:t>
      </w:r>
      <w:r w:rsidRPr="005A1CA7">
        <w:rPr>
          <w:rFonts w:ascii="Constantia" w:hAnsi="Constantia"/>
          <w:lang w:val="sr-Latn-CS"/>
        </w:rPr>
        <w:t>– indikator dnevnog nivoa buke i odnosi se na vrijeme od 7 do 19 časova,</w:t>
      </w:r>
    </w:p>
    <w:p w:rsidR="00EB3E54" w:rsidRPr="005A1CA7" w:rsidRDefault="00EB3E54" w:rsidP="00EB3E54">
      <w:pPr>
        <w:rPr>
          <w:rFonts w:ascii="Constantia" w:hAnsi="Constantia"/>
          <w:lang w:val="sr-Latn-CS"/>
        </w:rPr>
      </w:pPr>
      <w:r w:rsidRPr="005A1CA7">
        <w:rPr>
          <w:rFonts w:ascii="Constantia" w:hAnsi="Constantia"/>
          <w:b/>
          <w:sz w:val="28"/>
          <w:szCs w:val="28"/>
          <w:lang w:val="sr-Latn-CS"/>
        </w:rPr>
        <w:t>L</w:t>
      </w:r>
      <w:r w:rsidRPr="005A1CA7">
        <w:rPr>
          <w:rFonts w:ascii="Constantia" w:hAnsi="Constantia"/>
          <w:b/>
          <w:sz w:val="28"/>
          <w:szCs w:val="28"/>
          <w:vertAlign w:val="subscript"/>
          <w:lang w:val="sr-Latn-CS"/>
        </w:rPr>
        <w:t>evening</w:t>
      </w:r>
      <w:r w:rsidRPr="005A1CA7">
        <w:rPr>
          <w:rFonts w:ascii="Constantia" w:hAnsi="Constantia"/>
          <w:lang w:val="sr-Latn-CS"/>
        </w:rPr>
        <w:t xml:space="preserve"> – indikator nivoa buke tokom večernjih časova i odnosi se na vrijeme od 19 do 23 čas</w:t>
      </w:r>
      <w:r w:rsidR="005A1CA7">
        <w:rPr>
          <w:rFonts w:ascii="Constantia" w:hAnsi="Constantia"/>
          <w:lang w:val="sr-Latn-CS"/>
        </w:rPr>
        <w:t>ov</w:t>
      </w:r>
      <w:r w:rsidRPr="005A1CA7">
        <w:rPr>
          <w:rFonts w:ascii="Constantia" w:hAnsi="Constantia"/>
          <w:lang w:val="sr-Latn-CS"/>
        </w:rPr>
        <w:t>a,</w:t>
      </w:r>
    </w:p>
    <w:p w:rsidR="00EB3E54" w:rsidRPr="005A1CA7" w:rsidRDefault="00EB3E54" w:rsidP="00EB3E54">
      <w:pPr>
        <w:rPr>
          <w:rFonts w:ascii="Constantia" w:hAnsi="Constantia"/>
          <w:lang w:val="sr-Latn-CS"/>
        </w:rPr>
      </w:pPr>
      <w:r w:rsidRPr="005A1CA7">
        <w:rPr>
          <w:rFonts w:ascii="Constantia" w:hAnsi="Constantia"/>
          <w:b/>
          <w:sz w:val="28"/>
          <w:szCs w:val="28"/>
          <w:lang w:val="sr-Latn-CS"/>
        </w:rPr>
        <w:t>L</w:t>
      </w:r>
      <w:r w:rsidRPr="005A1CA7">
        <w:rPr>
          <w:rFonts w:ascii="Constantia" w:hAnsi="Constantia"/>
          <w:b/>
          <w:sz w:val="28"/>
          <w:szCs w:val="28"/>
          <w:vertAlign w:val="subscript"/>
          <w:lang w:val="sr-Latn-CS"/>
        </w:rPr>
        <w:t>night</w:t>
      </w:r>
      <w:r w:rsidRPr="005A1CA7">
        <w:rPr>
          <w:rFonts w:ascii="Constantia" w:hAnsi="Constantia"/>
          <w:lang w:val="sr-Latn-CS"/>
        </w:rPr>
        <w:t xml:space="preserve"> – indikator noćnog nivoa buke i odnosi se na vrijeme od 23 do 7 časova.</w:t>
      </w:r>
    </w:p>
    <w:p w:rsidR="00C939D8" w:rsidRDefault="00C939D8" w:rsidP="00EB3E54">
      <w:pPr>
        <w:rPr>
          <w:rFonts w:ascii="Constantia" w:hAnsi="Constantia"/>
          <w:lang w:val="sr-Latn-CS"/>
        </w:rPr>
      </w:pPr>
    </w:p>
    <w:p w:rsidR="00EB3E54" w:rsidRPr="005A1CA7" w:rsidRDefault="00EB3E54" w:rsidP="00EB3E54">
      <w:pPr>
        <w:rPr>
          <w:rFonts w:ascii="Constantia" w:hAnsi="Constantia"/>
          <w:lang w:val="sr-Latn-CS"/>
        </w:rPr>
      </w:pPr>
      <w:r w:rsidRPr="005A1CA7">
        <w:rPr>
          <w:rFonts w:ascii="Constantia" w:hAnsi="Constantia"/>
          <w:lang w:val="sr-Latn-CS"/>
        </w:rPr>
        <w:lastRenderedPageBreak/>
        <w:t>Mjerenja su vršena u dva ciklusa: prv</w:t>
      </w:r>
      <w:r w:rsidR="006F69A4">
        <w:rPr>
          <w:rFonts w:ascii="Constantia" w:hAnsi="Constantia"/>
          <w:lang w:val="sr-Latn-CS"/>
        </w:rPr>
        <w:t>i ciklus tokom ljetnjeg perioda</w:t>
      </w:r>
      <w:r w:rsidRPr="005A1CA7">
        <w:rPr>
          <w:rFonts w:ascii="Constantia" w:hAnsi="Constantia"/>
          <w:lang w:val="sr-Latn-CS"/>
        </w:rPr>
        <w:t xml:space="preserve"> i drugi </w:t>
      </w:r>
      <w:r w:rsidR="006F69A4">
        <w:rPr>
          <w:rFonts w:ascii="Constantia" w:hAnsi="Constantia"/>
          <w:lang w:val="sr-Latn-CS"/>
        </w:rPr>
        <w:t>ciklus u jesenjem/zimskom period</w:t>
      </w:r>
      <w:r w:rsidRPr="005A1CA7">
        <w:rPr>
          <w:rFonts w:ascii="Constantia" w:hAnsi="Constantia"/>
          <w:lang w:val="sr-Latn-CS"/>
        </w:rPr>
        <w:t>u godine.</w:t>
      </w:r>
    </w:p>
    <w:p w:rsidR="00EB3E54" w:rsidRPr="005A1CA7" w:rsidRDefault="00EB3E54" w:rsidP="00EB3E54">
      <w:pPr>
        <w:rPr>
          <w:rFonts w:ascii="Constantia" w:hAnsi="Constantia"/>
          <w:lang w:val="sr-Latn-CS"/>
        </w:rPr>
      </w:pPr>
      <w:r w:rsidRPr="005A1CA7">
        <w:rPr>
          <w:rFonts w:ascii="Constantia" w:hAnsi="Constantia"/>
          <w:lang w:val="sr-Latn-CS"/>
        </w:rPr>
        <w:t xml:space="preserve">Za potrebe zoniranja, planiranja zvučne zaštite i ocjenu smetnji od buke u naseljenim mjestima, prema zonama naselja navedenih teritorija, izvršeno je sistemsko mjerenje nivoa zvučnog pritiska i definisanje njegove vremenske zavisnosti na izabranim mjernim lokalitetima. </w:t>
      </w:r>
    </w:p>
    <w:p w:rsidR="00EB3E54" w:rsidRDefault="00EB3E54" w:rsidP="00EB3E54">
      <w:pPr>
        <w:rPr>
          <w:rFonts w:ascii="Constantia" w:hAnsi="Constantia"/>
          <w:lang w:val="sr-Latn-CS"/>
        </w:rPr>
      </w:pPr>
      <w:r w:rsidRPr="005A1CA7">
        <w:rPr>
          <w:rFonts w:ascii="Constantia" w:hAnsi="Constantia"/>
        </w:rPr>
        <w:t>Analizirani</w:t>
      </w:r>
      <w:r w:rsidRPr="005A1CA7">
        <w:rPr>
          <w:rFonts w:ascii="Constantia" w:hAnsi="Constantia"/>
          <w:lang w:val="sr-Latn-CS"/>
        </w:rPr>
        <w:t xml:space="preserve"> </w:t>
      </w:r>
      <w:r w:rsidRPr="005A1CA7">
        <w:rPr>
          <w:rFonts w:ascii="Constantia" w:hAnsi="Constantia"/>
        </w:rPr>
        <w:t>rezultati</w:t>
      </w:r>
      <w:r w:rsidRPr="005A1CA7">
        <w:rPr>
          <w:rFonts w:ascii="Constantia" w:hAnsi="Constantia"/>
          <w:lang w:val="sr-Latn-CS"/>
        </w:rPr>
        <w:t xml:space="preserve"> </w:t>
      </w:r>
      <w:r w:rsidRPr="005A1CA7">
        <w:rPr>
          <w:rFonts w:ascii="Constantia" w:hAnsi="Constantia"/>
        </w:rPr>
        <w:t>mjerenja</w:t>
      </w:r>
      <w:r w:rsidRPr="005A1CA7">
        <w:rPr>
          <w:rFonts w:ascii="Constantia" w:hAnsi="Constantia"/>
          <w:lang w:val="sr-Latn-CS"/>
        </w:rPr>
        <w:t xml:space="preserve"> </w:t>
      </w:r>
      <w:r w:rsidRPr="005A1CA7">
        <w:rPr>
          <w:rFonts w:ascii="Constantia" w:hAnsi="Constantia"/>
        </w:rPr>
        <w:t>grafi</w:t>
      </w:r>
      <w:r w:rsidRPr="005A1CA7">
        <w:rPr>
          <w:rFonts w:ascii="Constantia" w:hAnsi="Constantia"/>
          <w:lang w:val="sr-Latn-CS"/>
        </w:rPr>
        <w:t>č</w:t>
      </w:r>
      <w:r w:rsidRPr="005A1CA7">
        <w:rPr>
          <w:rFonts w:ascii="Constantia" w:hAnsi="Constantia"/>
        </w:rPr>
        <w:t>ki</w:t>
      </w:r>
      <w:r w:rsidRPr="005A1CA7">
        <w:rPr>
          <w:rFonts w:ascii="Constantia" w:hAnsi="Constantia"/>
          <w:lang w:val="sr-Latn-CS"/>
        </w:rPr>
        <w:t xml:space="preserve"> </w:t>
      </w:r>
      <w:r w:rsidRPr="005A1CA7">
        <w:rPr>
          <w:rFonts w:ascii="Constantia" w:hAnsi="Constantia"/>
        </w:rPr>
        <w:t>su</w:t>
      </w:r>
      <w:r w:rsidRPr="005A1CA7">
        <w:rPr>
          <w:rFonts w:ascii="Constantia" w:hAnsi="Constantia"/>
          <w:lang w:val="sr-Latn-CS"/>
        </w:rPr>
        <w:t xml:space="preserve"> </w:t>
      </w:r>
      <w:r w:rsidRPr="005A1CA7">
        <w:rPr>
          <w:rFonts w:ascii="Constantia" w:hAnsi="Constantia"/>
        </w:rPr>
        <w:t>prikazani</w:t>
      </w:r>
      <w:r w:rsidRPr="005A1CA7">
        <w:rPr>
          <w:rFonts w:ascii="Constantia" w:hAnsi="Constantia"/>
          <w:lang w:val="sr-Latn-CS"/>
        </w:rPr>
        <w:t xml:space="preserve"> </w:t>
      </w:r>
      <w:r w:rsidRPr="005A1CA7">
        <w:rPr>
          <w:rFonts w:ascii="Constantia" w:hAnsi="Constantia"/>
        </w:rPr>
        <w:t>kao</w:t>
      </w:r>
      <w:r w:rsidRPr="005A1CA7">
        <w:rPr>
          <w:rFonts w:ascii="Constantia" w:hAnsi="Constantia"/>
          <w:lang w:val="sr-Latn-CS"/>
        </w:rPr>
        <w:t xml:space="preserve"> </w:t>
      </w:r>
      <w:r w:rsidRPr="005A1CA7">
        <w:rPr>
          <w:rFonts w:ascii="Constantia" w:hAnsi="Constantia"/>
        </w:rPr>
        <w:t>srednje</w:t>
      </w:r>
      <w:r w:rsidRPr="005A1CA7">
        <w:rPr>
          <w:rFonts w:ascii="Constantia" w:hAnsi="Constantia"/>
          <w:lang w:val="sr-Latn-CS"/>
        </w:rPr>
        <w:t xml:space="preserve"> </w:t>
      </w:r>
      <w:r w:rsidRPr="005A1CA7">
        <w:rPr>
          <w:rFonts w:ascii="Constantia" w:hAnsi="Constantia"/>
        </w:rPr>
        <w:t>vrijednosti</w:t>
      </w:r>
      <w:r w:rsidRPr="005A1CA7">
        <w:rPr>
          <w:rFonts w:ascii="Constantia" w:hAnsi="Constantia"/>
          <w:lang w:val="sr-Latn-CS"/>
        </w:rPr>
        <w:t xml:space="preserve"> </w:t>
      </w:r>
      <w:r w:rsidRPr="005A1CA7">
        <w:rPr>
          <w:rFonts w:ascii="Constantia" w:hAnsi="Constantia"/>
        </w:rPr>
        <w:t>nivoa</w:t>
      </w:r>
      <w:r w:rsidRPr="005A1CA7">
        <w:rPr>
          <w:rFonts w:ascii="Constantia" w:hAnsi="Constantia"/>
          <w:lang w:val="sr-Latn-CS"/>
        </w:rPr>
        <w:t xml:space="preserve"> </w:t>
      </w:r>
      <w:r w:rsidRPr="005A1CA7">
        <w:rPr>
          <w:rFonts w:ascii="Constantia" w:hAnsi="Constantia"/>
        </w:rPr>
        <w:t>buke</w:t>
      </w:r>
      <w:r w:rsidRPr="005A1CA7">
        <w:rPr>
          <w:rFonts w:ascii="Constantia" w:hAnsi="Constantia"/>
          <w:lang w:val="sr-Latn-CS"/>
        </w:rPr>
        <w:t xml:space="preserve"> </w:t>
      </w:r>
      <w:r w:rsidRPr="005A1CA7">
        <w:rPr>
          <w:rFonts w:ascii="Constantia" w:hAnsi="Constantia"/>
        </w:rPr>
        <w:t>upore</w:t>
      </w:r>
      <w:r w:rsidRPr="005A1CA7">
        <w:rPr>
          <w:rFonts w:ascii="Constantia" w:hAnsi="Constantia"/>
          <w:lang w:val="sr-Latn-CS"/>
        </w:rPr>
        <w:t>đ</w:t>
      </w:r>
      <w:r w:rsidRPr="005A1CA7">
        <w:rPr>
          <w:rFonts w:ascii="Constantia" w:hAnsi="Constantia"/>
        </w:rPr>
        <w:t>ene</w:t>
      </w:r>
      <w:r w:rsidRPr="005A1CA7">
        <w:rPr>
          <w:rFonts w:ascii="Constantia" w:hAnsi="Constantia"/>
          <w:lang w:val="sr-Latn-CS"/>
        </w:rPr>
        <w:t xml:space="preserve"> </w:t>
      </w:r>
      <w:r w:rsidRPr="005A1CA7">
        <w:rPr>
          <w:rFonts w:ascii="Constantia" w:hAnsi="Constantia"/>
        </w:rPr>
        <w:t>sa</w:t>
      </w:r>
      <w:r w:rsidRPr="005A1CA7">
        <w:rPr>
          <w:rFonts w:ascii="Constantia" w:hAnsi="Constantia"/>
          <w:lang w:val="sr-Latn-CS"/>
        </w:rPr>
        <w:t xml:space="preserve"> </w:t>
      </w:r>
      <w:r w:rsidRPr="005A1CA7">
        <w:rPr>
          <w:rFonts w:ascii="Constantia" w:hAnsi="Constantia"/>
        </w:rPr>
        <w:t>propisanim</w:t>
      </w:r>
      <w:r w:rsidRPr="005A1CA7">
        <w:rPr>
          <w:rFonts w:ascii="Constantia" w:hAnsi="Constantia"/>
          <w:lang w:val="sr-Latn-CS"/>
        </w:rPr>
        <w:t xml:space="preserve"> </w:t>
      </w:r>
      <w:r w:rsidRPr="005A1CA7">
        <w:rPr>
          <w:rFonts w:ascii="Constantia" w:hAnsi="Constantia"/>
        </w:rPr>
        <w:t>grani</w:t>
      </w:r>
      <w:r w:rsidRPr="005A1CA7">
        <w:rPr>
          <w:rFonts w:ascii="Constantia" w:hAnsi="Constantia"/>
          <w:lang w:val="sr-Latn-CS"/>
        </w:rPr>
        <w:t>č</w:t>
      </w:r>
      <w:r w:rsidRPr="005A1CA7">
        <w:rPr>
          <w:rFonts w:ascii="Constantia" w:hAnsi="Constantia"/>
        </w:rPr>
        <w:t>nim</w:t>
      </w:r>
      <w:r w:rsidRPr="005A1CA7">
        <w:rPr>
          <w:rFonts w:ascii="Constantia" w:hAnsi="Constantia"/>
          <w:lang w:val="sr-Latn-CS"/>
        </w:rPr>
        <w:t xml:space="preserve"> </w:t>
      </w:r>
      <w:r w:rsidRPr="005A1CA7">
        <w:rPr>
          <w:rFonts w:ascii="Constantia" w:hAnsi="Constantia"/>
        </w:rPr>
        <w:t>vrijednostima</w:t>
      </w:r>
      <w:r w:rsidRPr="005A1CA7">
        <w:rPr>
          <w:rFonts w:ascii="Constantia" w:hAnsi="Constantia"/>
          <w:lang w:val="sr-Latn-CS"/>
        </w:rPr>
        <w:t xml:space="preserve"> </w:t>
      </w:r>
      <w:r w:rsidRPr="005A1CA7">
        <w:rPr>
          <w:rFonts w:ascii="Constantia" w:hAnsi="Constantia"/>
        </w:rPr>
        <w:t>za</w:t>
      </w:r>
      <w:r w:rsidRPr="005A1CA7">
        <w:rPr>
          <w:rFonts w:ascii="Constantia" w:hAnsi="Constantia"/>
          <w:lang w:val="sr-Latn-CS"/>
        </w:rPr>
        <w:t xml:space="preserve"> </w:t>
      </w:r>
      <w:r w:rsidRPr="005A1CA7">
        <w:rPr>
          <w:rFonts w:ascii="Constantia" w:hAnsi="Constantia"/>
        </w:rPr>
        <w:t>zone</w:t>
      </w:r>
      <w:r w:rsidRPr="005A1CA7">
        <w:rPr>
          <w:rFonts w:ascii="Constantia" w:hAnsi="Constantia"/>
          <w:lang w:val="sr-Latn-CS"/>
        </w:rPr>
        <w:t xml:space="preserve"> </w:t>
      </w:r>
      <w:r w:rsidRPr="005A1CA7">
        <w:rPr>
          <w:rFonts w:ascii="Constantia" w:hAnsi="Constantia"/>
        </w:rPr>
        <w:t>u</w:t>
      </w:r>
      <w:r w:rsidRPr="005A1CA7">
        <w:rPr>
          <w:rFonts w:ascii="Constantia" w:hAnsi="Constantia"/>
          <w:lang w:val="sr-Latn-CS"/>
        </w:rPr>
        <w:t xml:space="preserve"> </w:t>
      </w:r>
      <w:r w:rsidRPr="005A1CA7">
        <w:rPr>
          <w:rFonts w:ascii="Constantia" w:hAnsi="Constantia"/>
        </w:rPr>
        <w:t>kojima</w:t>
      </w:r>
      <w:r w:rsidRPr="005A1CA7">
        <w:rPr>
          <w:rFonts w:ascii="Constantia" w:hAnsi="Constantia"/>
          <w:lang w:val="sr-Latn-CS"/>
        </w:rPr>
        <w:t xml:space="preserve"> </w:t>
      </w:r>
      <w:r w:rsidRPr="005A1CA7">
        <w:rPr>
          <w:rFonts w:ascii="Constantia" w:hAnsi="Constantia"/>
        </w:rPr>
        <w:t>se</w:t>
      </w:r>
      <w:r w:rsidRPr="005A1CA7">
        <w:rPr>
          <w:rFonts w:ascii="Constantia" w:hAnsi="Constantia"/>
          <w:lang w:val="sr-Latn-CS"/>
        </w:rPr>
        <w:t xml:space="preserve"> </w:t>
      </w:r>
      <w:r w:rsidRPr="005A1CA7">
        <w:rPr>
          <w:rFonts w:ascii="Constantia" w:hAnsi="Constantia"/>
        </w:rPr>
        <w:t>vr</w:t>
      </w:r>
      <w:r w:rsidRPr="005A1CA7">
        <w:rPr>
          <w:rFonts w:ascii="Constantia" w:hAnsi="Constantia"/>
          <w:lang w:val="sr-Latn-CS"/>
        </w:rPr>
        <w:t>š</w:t>
      </w:r>
      <w:r w:rsidRPr="005A1CA7">
        <w:rPr>
          <w:rFonts w:ascii="Constantia" w:hAnsi="Constantia"/>
        </w:rPr>
        <w:t>ilo</w:t>
      </w:r>
      <w:r w:rsidRPr="005A1CA7">
        <w:rPr>
          <w:rFonts w:ascii="Constantia" w:hAnsi="Constantia"/>
          <w:lang w:val="sr-Latn-CS"/>
        </w:rPr>
        <w:t xml:space="preserve"> </w:t>
      </w:r>
      <w:r w:rsidRPr="005A1CA7">
        <w:rPr>
          <w:rFonts w:ascii="Constantia" w:hAnsi="Constantia"/>
        </w:rPr>
        <w:t>mjerenje</w:t>
      </w:r>
      <w:r w:rsidRPr="005A1CA7">
        <w:rPr>
          <w:rFonts w:ascii="Constantia" w:hAnsi="Constantia"/>
          <w:lang w:val="sr-Latn-CS"/>
        </w:rPr>
        <w:t>.</w:t>
      </w:r>
    </w:p>
    <w:p w:rsidR="00EB3E54" w:rsidRPr="00EB3E54" w:rsidRDefault="00EB3E54" w:rsidP="00EB3E54">
      <w:pPr>
        <w:pStyle w:val="Heading2"/>
        <w:ind w:left="720"/>
        <w:rPr>
          <w:lang w:val="sr-Latn-CS"/>
        </w:rPr>
      </w:pPr>
      <w:bookmarkStart w:id="160" w:name="_Toc357157652"/>
      <w:bookmarkStart w:id="161" w:name="_Toc393897937"/>
      <w:r w:rsidRPr="00EB3E54">
        <w:rPr>
          <w:lang w:val="sr-Latn-CS"/>
        </w:rPr>
        <w:t>Podgorica</w:t>
      </w:r>
      <w:bookmarkEnd w:id="160"/>
      <w:bookmarkEnd w:id="161"/>
      <w:r w:rsidRPr="00EB3E54">
        <w:rPr>
          <w:lang w:val="sr-Latn-CS"/>
        </w:rPr>
        <w:t xml:space="preserve"> </w:t>
      </w:r>
    </w:p>
    <w:p w:rsidR="00EB3E54" w:rsidRPr="00DF05C1" w:rsidRDefault="00EB3E54" w:rsidP="00EB3E54">
      <w:pPr>
        <w:rPr>
          <w:rFonts w:ascii="Constantia" w:hAnsi="Constantia"/>
          <w:lang w:val="sr-Latn-CS"/>
        </w:rPr>
      </w:pPr>
      <w:r w:rsidRPr="00DF05C1">
        <w:rPr>
          <w:rFonts w:ascii="Constantia" w:hAnsi="Constantia"/>
          <w:lang w:val="sr-Latn-CS"/>
        </w:rPr>
        <w:t>Na teritoriji opštine Podgorica mjerenje nivoa buke vršeno je na dvije lokacije</w:t>
      </w:r>
      <w:r w:rsidR="00DF05C1">
        <w:rPr>
          <w:rFonts w:ascii="Constantia" w:hAnsi="Constantia"/>
          <w:lang w:val="sr-Latn-CS"/>
        </w:rPr>
        <w:t>:</w:t>
      </w:r>
      <w:r w:rsidRPr="00DF05C1">
        <w:rPr>
          <w:rFonts w:ascii="Constantia" w:hAnsi="Constantia"/>
          <w:lang w:val="sr-Latn-CS"/>
        </w:rPr>
        <w:t xml:space="preserve"> </w:t>
      </w:r>
      <w:r w:rsidR="00DF05C1">
        <w:rPr>
          <w:rFonts w:ascii="Constantia" w:hAnsi="Constantia"/>
          <w:szCs w:val="22"/>
        </w:rPr>
        <w:t>Stari Aerodrom (</w:t>
      </w:r>
      <w:r w:rsidRPr="00DF05C1">
        <w:rPr>
          <w:rFonts w:ascii="Constantia" w:hAnsi="Constantia"/>
          <w:szCs w:val="22"/>
        </w:rPr>
        <w:t>ul</w:t>
      </w:r>
      <w:r w:rsidR="00DF05C1">
        <w:rPr>
          <w:rFonts w:ascii="Constantia" w:hAnsi="Constantia"/>
          <w:szCs w:val="22"/>
        </w:rPr>
        <w:t>.</w:t>
      </w:r>
      <w:r w:rsidRPr="00DF05C1">
        <w:rPr>
          <w:rFonts w:ascii="Constantia" w:hAnsi="Constantia"/>
          <w:szCs w:val="22"/>
        </w:rPr>
        <w:t xml:space="preserve"> Aerodromska 1, zajednička stambena zgrada, I sprat</w:t>
      </w:r>
      <w:r w:rsidR="00DF05C1">
        <w:rPr>
          <w:rFonts w:ascii="Constantia" w:hAnsi="Constantia"/>
          <w:szCs w:val="22"/>
        </w:rPr>
        <w:t>)</w:t>
      </w:r>
      <w:r w:rsidRPr="00DF05C1">
        <w:rPr>
          <w:rFonts w:ascii="Constantia" w:hAnsi="Constantia"/>
          <w:szCs w:val="22"/>
        </w:rPr>
        <w:t xml:space="preserve"> i </w:t>
      </w:r>
      <w:r w:rsidRPr="00DF05C1">
        <w:rPr>
          <w:rFonts w:ascii="Constantia" w:hAnsi="Constantia"/>
          <w:szCs w:val="22"/>
          <w:lang w:val="pl-PL"/>
        </w:rPr>
        <w:t>I Proleterske brigade 33</w:t>
      </w:r>
      <w:r w:rsidR="00DF05C1">
        <w:rPr>
          <w:rFonts w:ascii="Constantia" w:hAnsi="Constantia"/>
          <w:szCs w:val="22"/>
          <w:lang w:val="pl-PL"/>
        </w:rPr>
        <w:t xml:space="preserve"> (mini obilaznica, </w:t>
      </w:r>
      <w:r w:rsidRPr="00DF05C1">
        <w:rPr>
          <w:rFonts w:ascii="Constantia" w:hAnsi="Constantia"/>
          <w:szCs w:val="22"/>
          <w:lang w:val="pl-PL"/>
        </w:rPr>
        <w:t>individualni stambeni objekat, I sprat</w:t>
      </w:r>
      <w:r w:rsidRPr="00DF05C1">
        <w:rPr>
          <w:rFonts w:ascii="Constantia" w:hAnsi="Constantia"/>
          <w:lang w:val="sr-Latn-CS"/>
        </w:rPr>
        <w:t>), u intervalu dnevnog (L</w:t>
      </w:r>
      <w:r w:rsidRPr="00DF05C1">
        <w:rPr>
          <w:rFonts w:ascii="Constantia" w:hAnsi="Constantia"/>
          <w:vertAlign w:val="subscript"/>
          <w:lang w:val="sr-Latn-CS"/>
        </w:rPr>
        <w:t>day</w:t>
      </w:r>
      <w:r w:rsidRPr="00DF05C1">
        <w:rPr>
          <w:rFonts w:ascii="Constantia" w:hAnsi="Constantia"/>
          <w:lang w:val="sr-Latn-CS"/>
        </w:rPr>
        <w:t>) 7-19</w:t>
      </w:r>
      <w:r w:rsidR="00DF05C1">
        <w:rPr>
          <w:rFonts w:ascii="Constantia" w:hAnsi="Constantia"/>
          <w:lang w:val="sr-Latn-CS"/>
        </w:rPr>
        <w:t xml:space="preserve"> </w:t>
      </w:r>
      <w:r w:rsidR="005D32A4">
        <w:rPr>
          <w:rFonts w:ascii="Constantia" w:hAnsi="Constantia"/>
          <w:lang w:val="sr-Latn-ME"/>
        </w:rPr>
        <w:t>č</w:t>
      </w:r>
      <w:r w:rsidR="005D32A4">
        <w:rPr>
          <w:rFonts w:ascii="Constantia" w:hAnsi="Constantia"/>
          <w:lang w:val="sr-Latn-CS"/>
        </w:rPr>
        <w:t>asova</w:t>
      </w:r>
      <w:r w:rsidRPr="00DF05C1">
        <w:rPr>
          <w:rFonts w:ascii="Constantia" w:hAnsi="Constantia"/>
          <w:lang w:val="sr-Latn-CS"/>
        </w:rPr>
        <w:t>, večernjeg (L</w:t>
      </w:r>
      <w:r w:rsidRPr="00DF05C1">
        <w:rPr>
          <w:rFonts w:ascii="Constantia" w:hAnsi="Constantia"/>
          <w:vertAlign w:val="subscript"/>
          <w:lang w:val="sr-Latn-CS"/>
        </w:rPr>
        <w:t>evening</w:t>
      </w:r>
      <w:r w:rsidRPr="00DF05C1">
        <w:rPr>
          <w:rFonts w:ascii="Constantia" w:hAnsi="Constantia"/>
          <w:lang w:val="sr-Latn-CS"/>
        </w:rPr>
        <w:t>) 19-23</w:t>
      </w:r>
      <w:r w:rsidR="00DF05C1">
        <w:rPr>
          <w:rFonts w:ascii="Constantia" w:hAnsi="Constantia"/>
          <w:lang w:val="sr-Latn-CS"/>
        </w:rPr>
        <w:t xml:space="preserve"> </w:t>
      </w:r>
      <w:r w:rsidR="005D32A4">
        <w:rPr>
          <w:rFonts w:ascii="Constantia" w:hAnsi="Constantia"/>
          <w:lang w:val="sr-Latn-CS"/>
        </w:rPr>
        <w:t>časova</w:t>
      </w:r>
      <w:r w:rsidRPr="00DF05C1">
        <w:rPr>
          <w:rFonts w:ascii="Constantia" w:hAnsi="Constantia"/>
          <w:lang w:val="sr-Latn-CS"/>
        </w:rPr>
        <w:t xml:space="preserve"> i noćnog perioda (L</w:t>
      </w:r>
      <w:r w:rsidRPr="00DF05C1">
        <w:rPr>
          <w:rFonts w:ascii="Constantia" w:hAnsi="Constantia"/>
          <w:vertAlign w:val="subscript"/>
          <w:lang w:val="sr-Latn-CS"/>
        </w:rPr>
        <w:t>night</w:t>
      </w:r>
      <w:r w:rsidRPr="00DF05C1">
        <w:rPr>
          <w:rFonts w:ascii="Constantia" w:hAnsi="Constantia"/>
          <w:lang w:val="sr-Latn-CS"/>
        </w:rPr>
        <w:t>) 23-7</w:t>
      </w:r>
      <w:r w:rsidR="00DF05C1">
        <w:rPr>
          <w:rFonts w:ascii="Constantia" w:hAnsi="Constantia"/>
          <w:lang w:val="sr-Latn-CS"/>
        </w:rPr>
        <w:t xml:space="preserve"> </w:t>
      </w:r>
      <w:r w:rsidR="005D32A4">
        <w:rPr>
          <w:rFonts w:ascii="Constantia" w:hAnsi="Constantia"/>
          <w:lang w:val="sr-Latn-CS"/>
        </w:rPr>
        <w:t>časova</w:t>
      </w:r>
      <w:r w:rsidRPr="00DF05C1">
        <w:rPr>
          <w:rFonts w:ascii="Constantia" w:hAnsi="Constantia"/>
          <w:lang w:val="sr-Latn-CS"/>
        </w:rPr>
        <w:t>.</w:t>
      </w:r>
    </w:p>
    <w:p w:rsidR="00EB3E54" w:rsidRPr="00DF05C1" w:rsidRDefault="00EB3E54" w:rsidP="00EB3E54">
      <w:pPr>
        <w:rPr>
          <w:rFonts w:ascii="Constantia" w:hAnsi="Constantia"/>
          <w:lang w:val="sr-Latn-CS"/>
        </w:rPr>
      </w:pPr>
      <w:r w:rsidRPr="00DF05C1">
        <w:rPr>
          <w:rFonts w:ascii="Constantia" w:hAnsi="Constantia"/>
          <w:b/>
          <w:lang w:val="sr-Latn-CS"/>
        </w:rPr>
        <w:t>Nivo buke u I ciklusu</w:t>
      </w:r>
      <w:r w:rsidRPr="00DF05C1">
        <w:rPr>
          <w:rFonts w:ascii="Constantia" w:hAnsi="Constantia"/>
          <w:lang w:val="sr-Latn-CS"/>
        </w:rPr>
        <w:t xml:space="preserve"> mjeren je na </w:t>
      </w:r>
      <w:r w:rsidRPr="00DF05C1">
        <w:rPr>
          <w:rFonts w:ascii="Constantia" w:hAnsi="Constantia"/>
          <w:szCs w:val="22"/>
        </w:rPr>
        <w:t>Starom Aerodromu</w:t>
      </w:r>
      <w:r w:rsidR="00D7124D">
        <w:rPr>
          <w:rFonts w:ascii="Constantia" w:hAnsi="Constantia"/>
          <w:lang w:val="sr-Latn-CS"/>
        </w:rPr>
        <w:t xml:space="preserve"> u periodu od 06-14.06.</w:t>
      </w:r>
      <w:r w:rsidRPr="00DF05C1">
        <w:rPr>
          <w:rFonts w:ascii="Constantia" w:hAnsi="Constantia"/>
          <w:lang w:val="sr-Latn-CS"/>
        </w:rPr>
        <w:t>2013. godine,</w:t>
      </w:r>
      <w:r w:rsidR="00D7124D">
        <w:rPr>
          <w:rFonts w:ascii="Constantia" w:hAnsi="Constantia"/>
          <w:lang w:val="sr-Latn-CS"/>
        </w:rPr>
        <w:t xml:space="preserve"> </w:t>
      </w:r>
      <w:r w:rsidRPr="00DF05C1">
        <w:rPr>
          <w:rFonts w:ascii="Constantia" w:hAnsi="Constantia"/>
          <w:lang w:val="sr-Latn-CS"/>
        </w:rPr>
        <w:t xml:space="preserve">i na lokaciji </w:t>
      </w:r>
      <w:r w:rsidRPr="00DF05C1">
        <w:rPr>
          <w:rFonts w:ascii="Constantia" w:hAnsi="Constantia"/>
          <w:szCs w:val="22"/>
          <w:lang w:val="pl-PL"/>
        </w:rPr>
        <w:t xml:space="preserve">I Proleterske brigade </w:t>
      </w:r>
      <w:r w:rsidRPr="00DF05C1">
        <w:rPr>
          <w:rFonts w:ascii="Constantia" w:hAnsi="Constantia"/>
          <w:lang w:val="sr-Latn-CS"/>
        </w:rPr>
        <w:t xml:space="preserve">od 14-21.06.2013. godine. </w:t>
      </w:r>
    </w:p>
    <w:p w:rsidR="00EB3E54" w:rsidRPr="00DF05C1" w:rsidRDefault="00EB3E54" w:rsidP="00EB3E54">
      <w:pPr>
        <w:rPr>
          <w:rFonts w:ascii="Constantia" w:hAnsi="Constantia"/>
          <w:lang w:val="sr-Latn-CS"/>
        </w:rPr>
      </w:pPr>
      <w:r w:rsidRPr="00DF05C1">
        <w:rPr>
          <w:rFonts w:ascii="Constantia" w:hAnsi="Constantia"/>
          <w:b/>
          <w:lang w:val="de-CH"/>
        </w:rPr>
        <w:t>Nivo buke u II ciklusu</w:t>
      </w:r>
      <w:r w:rsidRPr="00DF05C1">
        <w:rPr>
          <w:rFonts w:ascii="Constantia" w:hAnsi="Constantia"/>
          <w:lang w:val="de-CH"/>
        </w:rPr>
        <w:t xml:space="preserve"> </w:t>
      </w:r>
      <w:r w:rsidRPr="00DF05C1">
        <w:rPr>
          <w:rFonts w:ascii="Constantia" w:hAnsi="Constantia"/>
        </w:rPr>
        <w:t xml:space="preserve">mjeren je na </w:t>
      </w:r>
      <w:r w:rsidRPr="00DF05C1">
        <w:rPr>
          <w:rFonts w:ascii="Constantia" w:hAnsi="Constantia"/>
          <w:szCs w:val="22"/>
          <w:lang w:val="de-CH"/>
        </w:rPr>
        <w:t>Starom Aerodromu</w:t>
      </w:r>
      <w:r w:rsidR="00D7124D">
        <w:rPr>
          <w:rFonts w:ascii="Constantia" w:hAnsi="Constantia"/>
          <w:lang w:val="sr-Latn-CS"/>
        </w:rPr>
        <w:t xml:space="preserve"> u periodu od 01-08.10.2013. </w:t>
      </w:r>
      <w:r w:rsidRPr="00DF05C1">
        <w:rPr>
          <w:rFonts w:ascii="Constantia" w:hAnsi="Constantia"/>
          <w:lang w:val="sr-Latn-CS"/>
        </w:rPr>
        <w:t xml:space="preserve">godine, i na lokaciji </w:t>
      </w:r>
      <w:r w:rsidRPr="00DF05C1">
        <w:rPr>
          <w:rFonts w:ascii="Constantia" w:hAnsi="Constantia"/>
          <w:szCs w:val="22"/>
          <w:lang w:val="pl-PL"/>
        </w:rPr>
        <w:t xml:space="preserve">I Proleterske brigade </w:t>
      </w:r>
      <w:r w:rsidRPr="00DF05C1">
        <w:rPr>
          <w:rFonts w:ascii="Constantia" w:hAnsi="Constantia"/>
          <w:lang w:val="sr-Latn-CS"/>
        </w:rPr>
        <w:t xml:space="preserve">od 08-15.10.2013. godine. </w:t>
      </w:r>
    </w:p>
    <w:p w:rsidR="00EB3E54" w:rsidRDefault="00EB3E54" w:rsidP="00EB3E54">
      <w:pPr>
        <w:rPr>
          <w:rFonts w:ascii="Constantia" w:hAnsi="Constantia"/>
          <w:lang w:val="sr-Latn-CS"/>
        </w:rPr>
      </w:pPr>
      <w:r w:rsidRPr="00DF05C1">
        <w:rPr>
          <w:rFonts w:ascii="Constantia" w:hAnsi="Constantia"/>
          <w:lang w:val="sr-Latn-CS"/>
        </w:rPr>
        <w:t xml:space="preserve">Srednje vrijednosti nivoa buke za </w:t>
      </w:r>
      <w:r w:rsidRPr="00DF05C1">
        <w:rPr>
          <w:rFonts w:ascii="Constantia" w:hAnsi="Constantia"/>
          <w:b/>
          <w:lang w:val="sr-Latn-CS"/>
        </w:rPr>
        <w:t>L</w:t>
      </w:r>
      <w:r w:rsidRPr="00DF05C1">
        <w:rPr>
          <w:rFonts w:ascii="Constantia" w:hAnsi="Constantia"/>
          <w:b/>
          <w:vertAlign w:val="subscript"/>
          <w:lang w:val="sr-Latn-CS"/>
        </w:rPr>
        <w:t>night</w:t>
      </w:r>
      <w:r w:rsidRPr="00DF05C1">
        <w:rPr>
          <w:rFonts w:ascii="Constantia" w:hAnsi="Constantia"/>
          <w:lang w:val="sr-Latn-CS"/>
        </w:rPr>
        <w:t xml:space="preserve"> – indikator noćnog nivoa buke koji se odnosi na vri</w:t>
      </w:r>
      <w:r w:rsidR="003F394C">
        <w:rPr>
          <w:rFonts w:ascii="Constantia" w:hAnsi="Constantia"/>
          <w:lang w:val="sr-Latn-CS"/>
        </w:rPr>
        <w:t xml:space="preserve">jeme od 23 do 7 časova prikazane su na </w:t>
      </w:r>
      <w:r w:rsidR="003F394C" w:rsidRPr="003F394C">
        <w:rPr>
          <w:rFonts w:ascii="Constantia" w:hAnsi="Constantia"/>
          <w:i/>
          <w:lang w:val="sr-Latn-CS"/>
        </w:rPr>
        <w:t>G</w:t>
      </w:r>
      <w:r w:rsidRPr="003F394C">
        <w:rPr>
          <w:rFonts w:ascii="Constantia" w:hAnsi="Constantia"/>
          <w:i/>
          <w:lang w:val="sr-Latn-CS"/>
        </w:rPr>
        <w:t xml:space="preserve">rafikonu </w:t>
      </w:r>
      <w:r w:rsidR="003F394C" w:rsidRPr="003F394C">
        <w:rPr>
          <w:rFonts w:ascii="Constantia" w:hAnsi="Constantia"/>
          <w:i/>
          <w:lang w:val="sr-Latn-CS"/>
        </w:rPr>
        <w:t>8</w:t>
      </w:r>
      <w:r w:rsidRPr="003F394C">
        <w:rPr>
          <w:rFonts w:ascii="Constantia" w:hAnsi="Constantia"/>
          <w:i/>
          <w:lang w:val="sr-Latn-CS"/>
        </w:rPr>
        <w:t>1</w:t>
      </w:r>
      <w:r w:rsidRPr="00DF05C1">
        <w:rPr>
          <w:rFonts w:ascii="Constantia" w:hAnsi="Constantia"/>
          <w:lang w:val="sr-Latn-CS"/>
        </w:rPr>
        <w:t>.</w:t>
      </w:r>
    </w:p>
    <w:p w:rsidR="003F394C" w:rsidRDefault="003F394C" w:rsidP="00EB3E54">
      <w:pPr>
        <w:rPr>
          <w:rFonts w:ascii="Constantia" w:hAnsi="Constantia"/>
          <w:lang w:val="sr-Latn-CS"/>
        </w:rPr>
      </w:pPr>
    </w:p>
    <w:p w:rsidR="00DF05C1" w:rsidRDefault="003F394C" w:rsidP="00C939D8">
      <w:pPr>
        <w:spacing w:after="0"/>
        <w:rPr>
          <w:rFonts w:ascii="Constantia" w:hAnsi="Constantia"/>
          <w:lang w:val="sr-Latn-CS"/>
        </w:rPr>
      </w:pPr>
      <w:r w:rsidRPr="00EB3E54">
        <w:rPr>
          <w:noProof/>
        </w:rPr>
        <w:drawing>
          <wp:anchor distT="0" distB="0" distL="114300" distR="114300" simplePos="0" relativeHeight="251700224" behindDoc="0" locked="0" layoutInCell="1" allowOverlap="1" wp14:anchorId="407EE170" wp14:editId="5E9B5902">
            <wp:simplePos x="0" y="0"/>
            <wp:positionH relativeFrom="column">
              <wp:posOffset>471170</wp:posOffset>
            </wp:positionH>
            <wp:positionV relativeFrom="paragraph">
              <wp:posOffset>78740</wp:posOffset>
            </wp:positionV>
            <wp:extent cx="4819650" cy="2562225"/>
            <wp:effectExtent l="0" t="0" r="0" b="0"/>
            <wp:wrapTopAndBottom/>
            <wp:docPr id="2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14:sizeRelH relativeFrom="page">
              <wp14:pctWidth>0</wp14:pctWidth>
            </wp14:sizeRelH>
            <wp14:sizeRelV relativeFrom="page">
              <wp14:pctHeight>0</wp14:pctHeight>
            </wp14:sizeRelV>
          </wp:anchor>
        </w:drawing>
      </w:r>
    </w:p>
    <w:p w:rsidR="00EB3E54" w:rsidRPr="00C939D8" w:rsidRDefault="00EB3E54" w:rsidP="00EB3E54">
      <w:pPr>
        <w:numPr>
          <w:ilvl w:val="0"/>
          <w:numId w:val="4"/>
        </w:numPr>
        <w:ind w:left="360"/>
        <w:jc w:val="center"/>
        <w:rPr>
          <w:rFonts w:ascii="Constantia" w:hAnsi="Constantia"/>
          <w:b/>
          <w:i/>
          <w:szCs w:val="22"/>
          <w:lang w:val="sr-Latn-CS"/>
        </w:rPr>
      </w:pPr>
      <w:r w:rsidRPr="00C939D8">
        <w:rPr>
          <w:rFonts w:ascii="Constantia" w:hAnsi="Constantia"/>
          <w:i/>
          <w:szCs w:val="22"/>
          <w:lang w:val="sr-Latn-CS"/>
        </w:rPr>
        <w:t>Srednje vrijednosti nivoa buke (L</w:t>
      </w:r>
      <w:r w:rsidRPr="00C939D8">
        <w:rPr>
          <w:rFonts w:ascii="Constantia" w:hAnsi="Constantia"/>
          <w:i/>
          <w:szCs w:val="22"/>
          <w:vertAlign w:val="subscript"/>
          <w:lang w:val="sr-Latn-CS"/>
        </w:rPr>
        <w:t>night</w:t>
      </w:r>
      <w:r w:rsidRPr="00C939D8">
        <w:rPr>
          <w:rFonts w:ascii="Constantia" w:hAnsi="Constantia"/>
          <w:i/>
          <w:szCs w:val="22"/>
          <w:lang w:val="sr-Latn-CS"/>
        </w:rPr>
        <w:t>) na mjernim mjestima u Podgorici</w:t>
      </w:r>
    </w:p>
    <w:p w:rsidR="00EB3E54" w:rsidRPr="00EB3E54" w:rsidRDefault="00EB3E54" w:rsidP="00EB3E54">
      <w:pPr>
        <w:rPr>
          <w:lang w:val="sr-Latn-CS"/>
        </w:rPr>
      </w:pPr>
    </w:p>
    <w:p w:rsidR="00EB3E54" w:rsidRPr="00C939D8" w:rsidRDefault="00EB3E54" w:rsidP="00EB3E54">
      <w:pPr>
        <w:rPr>
          <w:rFonts w:ascii="Constantia" w:hAnsi="Constantia"/>
          <w:lang w:val="sr-Latn-CS"/>
        </w:rPr>
      </w:pPr>
      <w:r w:rsidRPr="00C939D8">
        <w:rPr>
          <w:rFonts w:ascii="Constantia" w:hAnsi="Constantia"/>
          <w:lang w:val="sr-Latn-CS"/>
        </w:rPr>
        <w:t xml:space="preserve">Mjerna mjesta u Podgorici prikazana su na </w:t>
      </w:r>
      <w:r w:rsidR="00C939D8" w:rsidRPr="009505AF">
        <w:rPr>
          <w:rFonts w:ascii="Constantia" w:hAnsi="Constantia"/>
          <w:i/>
          <w:lang w:val="sr-Latn-CS"/>
        </w:rPr>
        <w:t>S</w:t>
      </w:r>
      <w:r w:rsidRPr="009505AF">
        <w:rPr>
          <w:rFonts w:ascii="Constantia" w:hAnsi="Constantia"/>
          <w:i/>
          <w:lang w:val="sr-Latn-CS"/>
        </w:rPr>
        <w:t>li</w:t>
      </w:r>
      <w:r w:rsidR="00C939D8" w:rsidRPr="009505AF">
        <w:rPr>
          <w:rFonts w:ascii="Constantia" w:hAnsi="Constantia"/>
          <w:i/>
          <w:lang w:val="sr-Latn-CS"/>
        </w:rPr>
        <w:t xml:space="preserve">ci </w:t>
      </w:r>
      <w:r w:rsidR="00AA1132" w:rsidRPr="009505AF">
        <w:rPr>
          <w:rFonts w:ascii="Constantia" w:hAnsi="Constantia"/>
          <w:i/>
          <w:lang w:val="sr-Latn-CS"/>
        </w:rPr>
        <w:t>15</w:t>
      </w:r>
      <w:r w:rsidRPr="009505AF">
        <w:rPr>
          <w:rFonts w:ascii="Constantia" w:hAnsi="Constantia"/>
          <w:lang w:val="sr-Latn-CS"/>
        </w:rPr>
        <w:t>.</w:t>
      </w:r>
    </w:p>
    <w:p w:rsidR="00EB3E54" w:rsidRPr="00EB3E54" w:rsidRDefault="00EB3E54" w:rsidP="00EB3E54">
      <w:pPr>
        <w:jc w:val="left"/>
        <w:rPr>
          <w:noProof/>
        </w:rPr>
      </w:pPr>
    </w:p>
    <w:p w:rsidR="00EB3E54" w:rsidRPr="00EB3E54" w:rsidRDefault="00EB3E54" w:rsidP="00A620C1">
      <w:pPr>
        <w:jc w:val="center"/>
        <w:rPr>
          <w:noProof/>
        </w:rPr>
      </w:pPr>
      <w:r w:rsidRPr="00EB3E54">
        <w:rPr>
          <w:b/>
          <w:noProof/>
          <w:sz w:val="24"/>
        </w:rPr>
        <w:lastRenderedPageBreak/>
        <w:drawing>
          <wp:inline distT="0" distB="0" distL="0" distR="0" wp14:anchorId="08B27AF8" wp14:editId="42243C62">
            <wp:extent cx="2638425" cy="2015868"/>
            <wp:effectExtent l="0" t="0" r="0" b="0"/>
            <wp:docPr id="229" name="Picture 229" descr="DSC03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C03422"/>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646927" cy="2022364"/>
                    </a:xfrm>
                    <a:prstGeom prst="rect">
                      <a:avLst/>
                    </a:prstGeom>
                    <a:noFill/>
                    <a:ln>
                      <a:noFill/>
                    </a:ln>
                  </pic:spPr>
                </pic:pic>
              </a:graphicData>
            </a:graphic>
          </wp:inline>
        </w:drawing>
      </w:r>
      <w:r w:rsidR="00A620C1">
        <w:rPr>
          <w:noProof/>
        </w:rPr>
        <w:t xml:space="preserve">      </w:t>
      </w:r>
      <w:r w:rsidRPr="00EB3E54">
        <w:rPr>
          <w:noProof/>
          <w:sz w:val="24"/>
        </w:rPr>
        <w:drawing>
          <wp:inline distT="0" distB="0" distL="0" distR="0" wp14:anchorId="032D4F9A" wp14:editId="7C536BCF">
            <wp:extent cx="2105025" cy="2085975"/>
            <wp:effectExtent l="0" t="0" r="0" b="0"/>
            <wp:docPr id="230" name="Picture 230" descr="DSC03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3426"/>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114065" cy="2094933"/>
                    </a:xfrm>
                    <a:prstGeom prst="rect">
                      <a:avLst/>
                    </a:prstGeom>
                    <a:noFill/>
                    <a:ln>
                      <a:noFill/>
                    </a:ln>
                  </pic:spPr>
                </pic:pic>
              </a:graphicData>
            </a:graphic>
          </wp:inline>
        </w:drawing>
      </w:r>
    </w:p>
    <w:p w:rsidR="00EB3E54" w:rsidRPr="00BB40E9" w:rsidRDefault="00BB40E9" w:rsidP="00BB40E9">
      <w:pPr>
        <w:pStyle w:val="Slika"/>
        <w:tabs>
          <w:tab w:val="left" w:pos="1080"/>
        </w:tabs>
        <w:ind w:left="360"/>
        <w:rPr>
          <w:szCs w:val="22"/>
        </w:rPr>
      </w:pPr>
      <w:r>
        <w:rPr>
          <w:rFonts w:ascii="Constantia" w:hAnsi="Constantia"/>
          <w:szCs w:val="22"/>
        </w:rPr>
        <w:t xml:space="preserve">Mjerna mjesta u Podgorici: </w:t>
      </w:r>
      <w:r w:rsidR="00EB3E54" w:rsidRPr="00BB40E9">
        <w:rPr>
          <w:rFonts w:ascii="Constantia" w:hAnsi="Constantia"/>
          <w:szCs w:val="22"/>
        </w:rPr>
        <w:t xml:space="preserve">Stari </w:t>
      </w:r>
      <w:r>
        <w:rPr>
          <w:rFonts w:ascii="Constantia" w:hAnsi="Constantia"/>
          <w:szCs w:val="22"/>
        </w:rPr>
        <w:t xml:space="preserve">aerodrom i </w:t>
      </w:r>
      <w:r w:rsidR="00EB3E54" w:rsidRPr="00BB40E9">
        <w:rPr>
          <w:rFonts w:ascii="Constantia" w:hAnsi="Constantia"/>
          <w:szCs w:val="22"/>
        </w:rPr>
        <w:t>I Proleterske brigade</w:t>
      </w:r>
    </w:p>
    <w:p w:rsidR="009505AF" w:rsidRDefault="009505AF" w:rsidP="00EB3E54">
      <w:pPr>
        <w:rPr>
          <w:szCs w:val="22"/>
        </w:rPr>
      </w:pPr>
    </w:p>
    <w:p w:rsidR="00EB3E54" w:rsidRPr="009505AF" w:rsidRDefault="00EB3E54" w:rsidP="00EB3E54">
      <w:pPr>
        <w:rPr>
          <w:rFonts w:ascii="Constantia" w:hAnsi="Constantia"/>
          <w:lang w:val="sr-Latn-CS"/>
        </w:rPr>
      </w:pPr>
      <w:r w:rsidRPr="009505AF">
        <w:rPr>
          <w:rFonts w:ascii="Constantia" w:hAnsi="Constantia"/>
          <w:szCs w:val="22"/>
        </w:rPr>
        <w:t>Rezultati</w:t>
      </w:r>
      <w:r w:rsidRPr="009505AF">
        <w:rPr>
          <w:rFonts w:ascii="Constantia" w:hAnsi="Constantia"/>
          <w:szCs w:val="22"/>
          <w:lang w:val="sr-Latn-CS"/>
        </w:rPr>
        <w:t xml:space="preserve"> </w:t>
      </w:r>
      <w:r w:rsidRPr="009505AF">
        <w:rPr>
          <w:rFonts w:ascii="Constantia" w:hAnsi="Constantia"/>
          <w:szCs w:val="22"/>
        </w:rPr>
        <w:t>mjerenja</w:t>
      </w:r>
      <w:r w:rsidRPr="009505AF">
        <w:rPr>
          <w:rFonts w:ascii="Constantia" w:hAnsi="Constantia"/>
          <w:szCs w:val="22"/>
          <w:lang w:val="sr-Latn-CS"/>
        </w:rPr>
        <w:t xml:space="preserve"> </w:t>
      </w:r>
      <w:r w:rsidRPr="009505AF">
        <w:rPr>
          <w:rFonts w:ascii="Constantia" w:hAnsi="Constantia"/>
          <w:szCs w:val="22"/>
        </w:rPr>
        <w:t>prikazani</w:t>
      </w:r>
      <w:r w:rsidRPr="009505AF">
        <w:rPr>
          <w:rFonts w:ascii="Constantia" w:hAnsi="Constantia"/>
          <w:szCs w:val="22"/>
          <w:lang w:val="sr-Latn-CS"/>
        </w:rPr>
        <w:t xml:space="preserve"> </w:t>
      </w:r>
      <w:r w:rsidRPr="009505AF">
        <w:rPr>
          <w:rFonts w:ascii="Constantia" w:hAnsi="Constantia"/>
          <w:szCs w:val="22"/>
        </w:rPr>
        <w:t>kao</w:t>
      </w:r>
      <w:r w:rsidRPr="009505AF">
        <w:rPr>
          <w:rFonts w:ascii="Constantia" w:hAnsi="Constantia"/>
          <w:szCs w:val="22"/>
          <w:lang w:val="sr-Latn-CS"/>
        </w:rPr>
        <w:t xml:space="preserve"> </w:t>
      </w:r>
      <w:r w:rsidRPr="009505AF">
        <w:rPr>
          <w:rFonts w:ascii="Constantia" w:hAnsi="Constantia"/>
          <w:szCs w:val="22"/>
        </w:rPr>
        <w:t>srednje</w:t>
      </w:r>
      <w:r w:rsidRPr="009505AF">
        <w:rPr>
          <w:rFonts w:ascii="Constantia" w:hAnsi="Constantia"/>
          <w:szCs w:val="22"/>
          <w:lang w:val="sr-Latn-CS"/>
        </w:rPr>
        <w:t xml:space="preserve"> </w:t>
      </w:r>
      <w:r w:rsidRPr="009505AF">
        <w:rPr>
          <w:rFonts w:ascii="Constantia" w:hAnsi="Constantia"/>
          <w:szCs w:val="22"/>
        </w:rPr>
        <w:t>vrijednosti</w:t>
      </w:r>
      <w:r w:rsidRPr="009505AF">
        <w:rPr>
          <w:rFonts w:ascii="Constantia" w:hAnsi="Constantia"/>
          <w:szCs w:val="22"/>
          <w:lang w:val="sr-Latn-CS"/>
        </w:rPr>
        <w:t xml:space="preserve"> </w:t>
      </w:r>
      <w:r w:rsidRPr="009505AF">
        <w:rPr>
          <w:rFonts w:ascii="Constantia" w:hAnsi="Constantia"/>
          <w:szCs w:val="22"/>
        </w:rPr>
        <w:t>za</w:t>
      </w:r>
      <w:r w:rsidRPr="009505AF">
        <w:rPr>
          <w:rFonts w:ascii="Constantia" w:hAnsi="Constantia"/>
          <w:b/>
          <w:lang w:val="sr-Latn-CS"/>
        </w:rPr>
        <w:t xml:space="preserve"> L</w:t>
      </w:r>
      <w:r w:rsidRPr="009505AF">
        <w:rPr>
          <w:rFonts w:ascii="Constantia" w:hAnsi="Constantia"/>
          <w:b/>
          <w:vertAlign w:val="subscript"/>
          <w:lang w:val="sr-Latn-CS"/>
        </w:rPr>
        <w:t>den</w:t>
      </w:r>
      <w:r w:rsidRPr="009505AF">
        <w:rPr>
          <w:rFonts w:ascii="Constantia" w:hAnsi="Constantia"/>
          <w:lang w:val="sr-Latn-CS"/>
        </w:rPr>
        <w:t xml:space="preserve"> -  ukupni indikator nivoa buke tokom dana, večeri i noći, </w:t>
      </w:r>
      <w:r w:rsidRPr="009505AF">
        <w:rPr>
          <w:rFonts w:ascii="Constantia" w:hAnsi="Constantia"/>
          <w:b/>
          <w:lang w:val="sr-Latn-CS"/>
        </w:rPr>
        <w:t>L</w:t>
      </w:r>
      <w:r w:rsidRPr="009505AF">
        <w:rPr>
          <w:rFonts w:ascii="Constantia" w:hAnsi="Constantia"/>
          <w:b/>
          <w:vertAlign w:val="subscript"/>
          <w:lang w:val="sr-Latn-CS"/>
        </w:rPr>
        <w:t>day</w:t>
      </w:r>
      <w:r w:rsidRPr="009505AF">
        <w:rPr>
          <w:rFonts w:ascii="Constantia" w:hAnsi="Constantia"/>
          <w:lang w:val="sr-Latn-CS"/>
        </w:rPr>
        <w:t xml:space="preserve"> – indikator dnevnog nivoa buke </w:t>
      </w:r>
      <w:r w:rsidR="009505AF">
        <w:rPr>
          <w:rFonts w:ascii="Constantia" w:hAnsi="Constantia"/>
          <w:lang w:val="sr-Latn-CS"/>
        </w:rPr>
        <w:t>koj</w:t>
      </w:r>
      <w:r w:rsidRPr="009505AF">
        <w:rPr>
          <w:rFonts w:ascii="Constantia" w:hAnsi="Constantia"/>
          <w:lang w:val="sr-Latn-CS"/>
        </w:rPr>
        <w:t xml:space="preserve">i </w:t>
      </w:r>
      <w:r w:rsidR="009505AF">
        <w:rPr>
          <w:rFonts w:ascii="Constantia" w:hAnsi="Constantia"/>
          <w:lang w:val="sr-Latn-CS"/>
        </w:rPr>
        <w:t>se odnosi</w:t>
      </w:r>
      <w:r w:rsidRPr="009505AF">
        <w:rPr>
          <w:rFonts w:ascii="Constantia" w:hAnsi="Constantia"/>
          <w:lang w:val="sr-Latn-CS"/>
        </w:rPr>
        <w:t xml:space="preserve"> na vrijeme od 7 do 19 časova, </w:t>
      </w:r>
      <w:r w:rsidRPr="009505AF">
        <w:rPr>
          <w:rFonts w:ascii="Constantia" w:hAnsi="Constantia"/>
          <w:b/>
          <w:lang w:val="sr-Latn-CS"/>
        </w:rPr>
        <w:t>L</w:t>
      </w:r>
      <w:r w:rsidRPr="009505AF">
        <w:rPr>
          <w:rFonts w:ascii="Constantia" w:hAnsi="Constantia"/>
          <w:b/>
          <w:vertAlign w:val="subscript"/>
          <w:lang w:val="sr-Latn-CS"/>
        </w:rPr>
        <w:t>evening</w:t>
      </w:r>
      <w:r w:rsidRPr="009505AF">
        <w:rPr>
          <w:rFonts w:ascii="Constantia" w:hAnsi="Constantia"/>
          <w:lang w:val="sr-Latn-CS"/>
        </w:rPr>
        <w:t xml:space="preserve"> – indikator nivoa buke tokom večernjih časova</w:t>
      </w:r>
      <w:r w:rsidR="009505AF">
        <w:rPr>
          <w:rFonts w:ascii="Constantia" w:hAnsi="Constantia"/>
          <w:lang w:val="sr-Latn-CS"/>
        </w:rPr>
        <w:t xml:space="preserve"> koji</w:t>
      </w:r>
      <w:r w:rsidRPr="009505AF">
        <w:rPr>
          <w:rFonts w:ascii="Constantia" w:hAnsi="Constantia"/>
          <w:lang w:val="sr-Latn-CS"/>
        </w:rPr>
        <w:t xml:space="preserve"> </w:t>
      </w:r>
      <w:r w:rsidR="009505AF">
        <w:rPr>
          <w:rFonts w:ascii="Constantia" w:hAnsi="Constantia"/>
          <w:lang w:val="sr-Latn-CS"/>
        </w:rPr>
        <w:t>se</w:t>
      </w:r>
      <w:r w:rsidRPr="009505AF">
        <w:rPr>
          <w:rFonts w:ascii="Constantia" w:hAnsi="Constantia"/>
          <w:lang w:val="sr-Latn-CS"/>
        </w:rPr>
        <w:t xml:space="preserve"> odnosi na vrijeme od 19 do 23 časova, </w:t>
      </w:r>
      <w:r w:rsidRPr="009505AF">
        <w:rPr>
          <w:rFonts w:ascii="Constantia" w:hAnsi="Constantia"/>
          <w:b/>
          <w:lang w:val="sr-Latn-CS"/>
        </w:rPr>
        <w:t>L</w:t>
      </w:r>
      <w:r w:rsidRPr="009505AF">
        <w:rPr>
          <w:rFonts w:ascii="Constantia" w:hAnsi="Constantia"/>
          <w:b/>
          <w:vertAlign w:val="subscript"/>
          <w:lang w:val="sr-Latn-CS"/>
        </w:rPr>
        <w:t>night</w:t>
      </w:r>
      <w:r w:rsidRPr="009505AF">
        <w:rPr>
          <w:rFonts w:ascii="Constantia" w:hAnsi="Constantia"/>
          <w:lang w:val="sr-Latn-CS"/>
        </w:rPr>
        <w:t xml:space="preserve"> – indikator noćnog nivoa buke </w:t>
      </w:r>
      <w:r w:rsidR="009505AF">
        <w:rPr>
          <w:rFonts w:ascii="Constantia" w:hAnsi="Constantia"/>
          <w:lang w:val="sr-Latn-CS"/>
        </w:rPr>
        <w:t>koj</w:t>
      </w:r>
      <w:r w:rsidRPr="009505AF">
        <w:rPr>
          <w:rFonts w:ascii="Constantia" w:hAnsi="Constantia"/>
          <w:lang w:val="sr-Latn-CS"/>
        </w:rPr>
        <w:t xml:space="preserve">i </w:t>
      </w:r>
      <w:r w:rsidR="009505AF">
        <w:rPr>
          <w:rFonts w:ascii="Constantia" w:hAnsi="Constantia"/>
          <w:lang w:val="sr-Latn-CS"/>
        </w:rPr>
        <w:t xml:space="preserve">se </w:t>
      </w:r>
      <w:r w:rsidRPr="009505AF">
        <w:rPr>
          <w:rFonts w:ascii="Constantia" w:hAnsi="Constantia"/>
          <w:lang w:val="sr-Latn-CS"/>
        </w:rPr>
        <w:t xml:space="preserve">odnosi na vrijeme od 23 do 7 časova </w:t>
      </w:r>
      <w:r w:rsidR="009505AF">
        <w:rPr>
          <w:rFonts w:ascii="Constantia" w:hAnsi="Constantia"/>
          <w:lang w:val="sr-Latn-CS"/>
        </w:rPr>
        <w:t xml:space="preserve">za Podgoricu </w:t>
      </w:r>
      <w:r w:rsidR="00D7613A">
        <w:rPr>
          <w:rFonts w:ascii="Constantia" w:hAnsi="Constantia"/>
          <w:lang w:val="sr-Latn-CS"/>
        </w:rPr>
        <w:t xml:space="preserve">prikazani su u </w:t>
      </w:r>
      <w:r w:rsidR="00D7613A" w:rsidRPr="00197E2B">
        <w:rPr>
          <w:rFonts w:ascii="Constantia" w:hAnsi="Constantia"/>
          <w:i/>
          <w:lang w:val="sr-Latn-CS"/>
        </w:rPr>
        <w:t>T</w:t>
      </w:r>
      <w:r w:rsidRPr="00197E2B">
        <w:rPr>
          <w:rFonts w:ascii="Constantia" w:hAnsi="Constantia"/>
          <w:i/>
          <w:lang w:val="sr-Latn-CS"/>
        </w:rPr>
        <w:t>abelama</w:t>
      </w:r>
      <w:r w:rsidR="00D7613A" w:rsidRPr="00197E2B">
        <w:rPr>
          <w:rFonts w:ascii="Constantia" w:hAnsi="Constantia"/>
          <w:i/>
          <w:lang w:val="sr-Latn-CS"/>
        </w:rPr>
        <w:t xml:space="preserve"> 90 </w:t>
      </w:r>
      <w:r w:rsidRPr="00197E2B">
        <w:rPr>
          <w:rFonts w:ascii="Constantia" w:hAnsi="Constantia"/>
          <w:i/>
          <w:lang w:val="sr-Latn-CS"/>
        </w:rPr>
        <w:t xml:space="preserve">i </w:t>
      </w:r>
      <w:r w:rsidR="00D7613A" w:rsidRPr="00197E2B">
        <w:rPr>
          <w:rFonts w:ascii="Constantia" w:hAnsi="Constantia"/>
          <w:i/>
          <w:lang w:val="sr-Latn-CS"/>
        </w:rPr>
        <w:t>91</w:t>
      </w:r>
      <w:r w:rsidRPr="009505AF">
        <w:rPr>
          <w:rFonts w:ascii="Constantia" w:hAnsi="Constantia"/>
          <w:lang w:val="sr-Latn-CS"/>
        </w:rPr>
        <w:t>.</w:t>
      </w:r>
    </w:p>
    <w:p w:rsidR="009505AF" w:rsidRPr="00EB3E54" w:rsidRDefault="009505AF" w:rsidP="003E1894">
      <w:pPr>
        <w:spacing w:after="0"/>
        <w:rPr>
          <w:lang w:val="sr-Latn-CS"/>
        </w:rPr>
      </w:pPr>
    </w:p>
    <w:tbl>
      <w:tblPr>
        <w:tblStyle w:val="LightList-Accent6"/>
        <w:tblW w:w="0" w:type="auto"/>
        <w:tblInd w:w="198" w:type="dxa"/>
        <w:tblLook w:val="04A0" w:firstRow="1" w:lastRow="0" w:firstColumn="1" w:lastColumn="0" w:noHBand="0" w:noVBand="1"/>
      </w:tblPr>
      <w:tblGrid>
        <w:gridCol w:w="2268"/>
        <w:gridCol w:w="1710"/>
        <w:gridCol w:w="1710"/>
        <w:gridCol w:w="1710"/>
        <w:gridCol w:w="1512"/>
      </w:tblGrid>
      <w:tr w:rsidR="00EB3E54" w:rsidRPr="00197E2B" w:rsidTr="00140F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rsidR="00EB3E54" w:rsidRPr="00197E2B" w:rsidRDefault="00EB3E54" w:rsidP="00EB3E54">
            <w:pPr>
              <w:keepLines/>
              <w:widowControl w:val="0"/>
              <w:tabs>
                <w:tab w:val="left" w:pos="1134"/>
                <w:tab w:val="left" w:pos="2268"/>
              </w:tabs>
              <w:autoSpaceDE w:val="0"/>
              <w:autoSpaceDN w:val="0"/>
              <w:spacing w:before="120" w:after="60"/>
              <w:jc w:val="center"/>
              <w:rPr>
                <w:rFonts w:ascii="Constantia" w:hAnsi="Constantia"/>
                <w:b w:val="0"/>
                <w:color w:val="auto"/>
                <w:szCs w:val="22"/>
                <w:lang w:val="pl-PL"/>
              </w:rPr>
            </w:pPr>
          </w:p>
        </w:tc>
        <w:tc>
          <w:tcPr>
            <w:tcW w:w="1710" w:type="dxa"/>
          </w:tcPr>
          <w:p w:rsidR="00EB3E54" w:rsidRPr="00197E2B" w:rsidRDefault="00EB3E54" w:rsidP="00EB3E54">
            <w:pPr>
              <w:keepLines/>
              <w:widowControl w:val="0"/>
              <w:tabs>
                <w:tab w:val="left" w:pos="1134"/>
                <w:tab w:val="left" w:pos="2268"/>
              </w:tabs>
              <w:autoSpaceDE w:val="0"/>
              <w:autoSpaceDN w:val="0"/>
              <w:spacing w:before="120" w:after="60"/>
              <w:jc w:val="center"/>
              <w:cnfStyle w:val="100000000000" w:firstRow="1" w:lastRow="0" w:firstColumn="0" w:lastColumn="0" w:oddVBand="0" w:evenVBand="0" w:oddHBand="0" w:evenHBand="0" w:firstRowFirstColumn="0" w:firstRowLastColumn="0" w:lastRowFirstColumn="0" w:lastRowLastColumn="0"/>
              <w:rPr>
                <w:rFonts w:ascii="Constantia" w:hAnsi="Constantia"/>
                <w:color w:val="auto"/>
                <w:szCs w:val="22"/>
              </w:rPr>
            </w:pPr>
            <w:r w:rsidRPr="00197E2B">
              <w:rPr>
                <w:rFonts w:ascii="Constantia" w:hAnsi="Constantia"/>
                <w:color w:val="auto"/>
                <w:szCs w:val="22"/>
              </w:rPr>
              <w:t>L</w:t>
            </w:r>
            <w:r w:rsidRPr="00197E2B">
              <w:rPr>
                <w:rFonts w:ascii="Constantia" w:hAnsi="Constantia"/>
                <w:b w:val="0"/>
                <w:color w:val="auto"/>
                <w:szCs w:val="22"/>
                <w:vertAlign w:val="subscript"/>
              </w:rPr>
              <w:t>day</w:t>
            </w:r>
            <w:r w:rsidRPr="00197E2B">
              <w:rPr>
                <w:rFonts w:ascii="Constantia" w:hAnsi="Constantia"/>
                <w:color w:val="auto"/>
                <w:szCs w:val="22"/>
              </w:rPr>
              <w:t xml:space="preserve"> (dB)</w:t>
            </w:r>
          </w:p>
        </w:tc>
        <w:tc>
          <w:tcPr>
            <w:tcW w:w="1710" w:type="dxa"/>
          </w:tcPr>
          <w:p w:rsidR="00EB3E54" w:rsidRPr="00197E2B" w:rsidRDefault="00EB3E54" w:rsidP="00EB3E54">
            <w:pPr>
              <w:keepLines/>
              <w:widowControl w:val="0"/>
              <w:tabs>
                <w:tab w:val="left" w:pos="1134"/>
                <w:tab w:val="left" w:pos="2268"/>
              </w:tabs>
              <w:autoSpaceDE w:val="0"/>
              <w:autoSpaceDN w:val="0"/>
              <w:spacing w:before="120" w:after="60"/>
              <w:jc w:val="center"/>
              <w:cnfStyle w:val="100000000000" w:firstRow="1" w:lastRow="0" w:firstColumn="0" w:lastColumn="0" w:oddVBand="0" w:evenVBand="0" w:oddHBand="0" w:evenHBand="0" w:firstRowFirstColumn="0" w:firstRowLastColumn="0" w:lastRowFirstColumn="0" w:lastRowLastColumn="0"/>
              <w:rPr>
                <w:rFonts w:ascii="Constantia" w:hAnsi="Constantia"/>
                <w:color w:val="auto"/>
                <w:szCs w:val="22"/>
              </w:rPr>
            </w:pPr>
            <w:r w:rsidRPr="00197E2B">
              <w:rPr>
                <w:rFonts w:ascii="Constantia" w:hAnsi="Constantia"/>
                <w:color w:val="auto"/>
                <w:szCs w:val="22"/>
              </w:rPr>
              <w:t>L</w:t>
            </w:r>
            <w:r w:rsidRPr="00197E2B">
              <w:rPr>
                <w:rFonts w:ascii="Constantia" w:hAnsi="Constantia"/>
                <w:b w:val="0"/>
                <w:color w:val="auto"/>
                <w:szCs w:val="22"/>
                <w:vertAlign w:val="subscript"/>
              </w:rPr>
              <w:t>evening</w:t>
            </w:r>
            <w:r w:rsidRPr="00197E2B">
              <w:rPr>
                <w:rFonts w:ascii="Constantia" w:hAnsi="Constantia"/>
                <w:color w:val="auto"/>
                <w:szCs w:val="22"/>
              </w:rPr>
              <w:t xml:space="preserve"> (dB)</w:t>
            </w:r>
          </w:p>
        </w:tc>
        <w:tc>
          <w:tcPr>
            <w:tcW w:w="1710" w:type="dxa"/>
          </w:tcPr>
          <w:p w:rsidR="00EB3E54" w:rsidRPr="00197E2B" w:rsidRDefault="00EB3E54" w:rsidP="00EB3E54">
            <w:pPr>
              <w:keepLines/>
              <w:widowControl w:val="0"/>
              <w:tabs>
                <w:tab w:val="left" w:pos="1134"/>
                <w:tab w:val="left" w:pos="2268"/>
              </w:tabs>
              <w:autoSpaceDE w:val="0"/>
              <w:autoSpaceDN w:val="0"/>
              <w:spacing w:before="120" w:after="60"/>
              <w:jc w:val="center"/>
              <w:cnfStyle w:val="100000000000" w:firstRow="1" w:lastRow="0" w:firstColumn="0" w:lastColumn="0" w:oddVBand="0" w:evenVBand="0" w:oddHBand="0" w:evenHBand="0" w:firstRowFirstColumn="0" w:firstRowLastColumn="0" w:lastRowFirstColumn="0" w:lastRowLastColumn="0"/>
              <w:rPr>
                <w:rFonts w:ascii="Constantia" w:hAnsi="Constantia"/>
                <w:b w:val="0"/>
                <w:color w:val="auto"/>
                <w:szCs w:val="22"/>
              </w:rPr>
            </w:pPr>
            <w:r w:rsidRPr="00197E2B">
              <w:rPr>
                <w:rFonts w:ascii="Constantia" w:hAnsi="Constantia"/>
                <w:color w:val="auto"/>
                <w:szCs w:val="22"/>
              </w:rPr>
              <w:t>L</w:t>
            </w:r>
            <w:r w:rsidRPr="00197E2B">
              <w:rPr>
                <w:rFonts w:ascii="Constantia" w:hAnsi="Constantia"/>
                <w:b w:val="0"/>
                <w:color w:val="auto"/>
                <w:szCs w:val="22"/>
                <w:vertAlign w:val="subscript"/>
              </w:rPr>
              <w:t>night</w:t>
            </w:r>
            <w:r w:rsidRPr="00197E2B">
              <w:rPr>
                <w:rFonts w:ascii="Constantia" w:hAnsi="Constantia"/>
                <w:b w:val="0"/>
                <w:color w:val="auto"/>
                <w:szCs w:val="22"/>
              </w:rPr>
              <w:t xml:space="preserve"> </w:t>
            </w:r>
            <w:r w:rsidRPr="00197E2B">
              <w:rPr>
                <w:rFonts w:ascii="Constantia" w:hAnsi="Constantia"/>
                <w:color w:val="auto"/>
                <w:szCs w:val="22"/>
              </w:rPr>
              <w:t>(dB)</w:t>
            </w:r>
          </w:p>
        </w:tc>
        <w:tc>
          <w:tcPr>
            <w:tcW w:w="1512" w:type="dxa"/>
          </w:tcPr>
          <w:p w:rsidR="00EB3E54" w:rsidRPr="00197E2B" w:rsidRDefault="00EB3E54" w:rsidP="00EB3E54">
            <w:pPr>
              <w:keepLines/>
              <w:widowControl w:val="0"/>
              <w:tabs>
                <w:tab w:val="left" w:pos="1134"/>
                <w:tab w:val="left" w:pos="2268"/>
              </w:tabs>
              <w:autoSpaceDE w:val="0"/>
              <w:autoSpaceDN w:val="0"/>
              <w:spacing w:before="120" w:after="60"/>
              <w:jc w:val="center"/>
              <w:cnfStyle w:val="100000000000" w:firstRow="1" w:lastRow="0" w:firstColumn="0" w:lastColumn="0" w:oddVBand="0" w:evenVBand="0" w:oddHBand="0" w:evenHBand="0" w:firstRowFirstColumn="0" w:firstRowLastColumn="0" w:lastRowFirstColumn="0" w:lastRowLastColumn="0"/>
              <w:rPr>
                <w:rFonts w:ascii="Constantia" w:hAnsi="Constantia"/>
                <w:color w:val="auto"/>
                <w:szCs w:val="22"/>
              </w:rPr>
            </w:pPr>
            <w:r w:rsidRPr="00197E2B">
              <w:rPr>
                <w:rFonts w:ascii="Constantia" w:hAnsi="Constantia"/>
                <w:color w:val="auto"/>
                <w:szCs w:val="22"/>
              </w:rPr>
              <w:t>L</w:t>
            </w:r>
            <w:r w:rsidRPr="00197E2B">
              <w:rPr>
                <w:rFonts w:ascii="Constantia" w:hAnsi="Constantia"/>
                <w:b w:val="0"/>
                <w:color w:val="auto"/>
                <w:szCs w:val="22"/>
                <w:vertAlign w:val="subscript"/>
              </w:rPr>
              <w:t>den</w:t>
            </w:r>
            <w:r w:rsidRPr="00197E2B">
              <w:rPr>
                <w:rFonts w:ascii="Constantia" w:hAnsi="Constantia"/>
                <w:color w:val="auto"/>
                <w:szCs w:val="22"/>
              </w:rPr>
              <w:t xml:space="preserve"> (dB)</w:t>
            </w:r>
          </w:p>
        </w:tc>
      </w:tr>
      <w:tr w:rsidR="00EB3E54" w:rsidRPr="00197E2B" w:rsidTr="00140F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rsidR="00EB3E54" w:rsidRPr="00197E2B" w:rsidRDefault="00EB3E54" w:rsidP="0097248A">
            <w:pPr>
              <w:keepLines/>
              <w:widowControl w:val="0"/>
              <w:tabs>
                <w:tab w:val="left" w:pos="1134"/>
                <w:tab w:val="left" w:pos="2268"/>
              </w:tabs>
              <w:autoSpaceDE w:val="0"/>
              <w:autoSpaceDN w:val="0"/>
              <w:spacing w:after="60"/>
              <w:jc w:val="center"/>
              <w:rPr>
                <w:rFonts w:ascii="Constantia" w:hAnsi="Constantia"/>
                <w:szCs w:val="22"/>
              </w:rPr>
            </w:pPr>
            <w:r w:rsidRPr="00197E2B">
              <w:rPr>
                <w:rFonts w:ascii="Constantia" w:hAnsi="Constantia"/>
                <w:szCs w:val="22"/>
              </w:rPr>
              <w:t>I Ciklus</w:t>
            </w:r>
          </w:p>
        </w:tc>
        <w:tc>
          <w:tcPr>
            <w:tcW w:w="1710" w:type="dxa"/>
          </w:tcPr>
          <w:p w:rsidR="00EB3E54" w:rsidRPr="00197E2B" w:rsidRDefault="00EB3E54" w:rsidP="0097248A">
            <w:pPr>
              <w:keepLines/>
              <w:widowControl w:val="0"/>
              <w:tabs>
                <w:tab w:val="left" w:pos="1134"/>
                <w:tab w:val="left" w:pos="2268"/>
              </w:tabs>
              <w:autoSpaceDE w:val="0"/>
              <w:autoSpaceDN w:val="0"/>
              <w:spacing w:after="6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197E2B">
              <w:rPr>
                <w:rFonts w:ascii="Constantia" w:hAnsi="Constantia"/>
                <w:b/>
                <w:szCs w:val="22"/>
              </w:rPr>
              <w:t>55</w:t>
            </w:r>
          </w:p>
        </w:tc>
        <w:tc>
          <w:tcPr>
            <w:tcW w:w="1710" w:type="dxa"/>
          </w:tcPr>
          <w:p w:rsidR="00EB3E54" w:rsidRPr="00197E2B" w:rsidRDefault="00EB3E54" w:rsidP="0097248A">
            <w:pPr>
              <w:keepLines/>
              <w:widowControl w:val="0"/>
              <w:tabs>
                <w:tab w:val="left" w:pos="1134"/>
                <w:tab w:val="left" w:pos="2268"/>
              </w:tabs>
              <w:autoSpaceDE w:val="0"/>
              <w:autoSpaceDN w:val="0"/>
              <w:spacing w:after="6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197E2B">
              <w:rPr>
                <w:rFonts w:ascii="Constantia" w:hAnsi="Constantia"/>
                <w:b/>
                <w:szCs w:val="22"/>
              </w:rPr>
              <w:t>54</w:t>
            </w:r>
          </w:p>
        </w:tc>
        <w:tc>
          <w:tcPr>
            <w:tcW w:w="1710" w:type="dxa"/>
          </w:tcPr>
          <w:p w:rsidR="00EB3E54" w:rsidRPr="00197E2B" w:rsidRDefault="00EB3E54" w:rsidP="0097248A">
            <w:pPr>
              <w:keepLines/>
              <w:widowControl w:val="0"/>
              <w:tabs>
                <w:tab w:val="left" w:pos="1134"/>
                <w:tab w:val="left" w:pos="2268"/>
              </w:tabs>
              <w:autoSpaceDE w:val="0"/>
              <w:autoSpaceDN w:val="0"/>
              <w:spacing w:after="6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197E2B">
              <w:rPr>
                <w:rFonts w:ascii="Constantia" w:hAnsi="Constantia"/>
                <w:b/>
                <w:szCs w:val="22"/>
              </w:rPr>
              <w:t>49</w:t>
            </w:r>
          </w:p>
        </w:tc>
        <w:tc>
          <w:tcPr>
            <w:tcW w:w="1512" w:type="dxa"/>
          </w:tcPr>
          <w:p w:rsidR="00EB3E54" w:rsidRPr="00197E2B" w:rsidRDefault="00EB3E54" w:rsidP="0097248A">
            <w:pPr>
              <w:keepLines/>
              <w:widowControl w:val="0"/>
              <w:tabs>
                <w:tab w:val="left" w:pos="1134"/>
                <w:tab w:val="left" w:pos="2268"/>
              </w:tabs>
              <w:autoSpaceDE w:val="0"/>
              <w:autoSpaceDN w:val="0"/>
              <w:spacing w:after="6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197E2B">
              <w:rPr>
                <w:rFonts w:ascii="Constantia" w:hAnsi="Constantia"/>
                <w:b/>
                <w:szCs w:val="22"/>
              </w:rPr>
              <w:t>57</w:t>
            </w:r>
          </w:p>
        </w:tc>
      </w:tr>
      <w:tr w:rsidR="00EB3E54" w:rsidRPr="00197E2B" w:rsidTr="00140F14">
        <w:tc>
          <w:tcPr>
            <w:cnfStyle w:val="001000000000" w:firstRow="0" w:lastRow="0" w:firstColumn="1" w:lastColumn="0" w:oddVBand="0" w:evenVBand="0" w:oddHBand="0" w:evenHBand="0" w:firstRowFirstColumn="0" w:firstRowLastColumn="0" w:lastRowFirstColumn="0" w:lastRowLastColumn="0"/>
            <w:tcW w:w="2268" w:type="dxa"/>
          </w:tcPr>
          <w:p w:rsidR="00EB3E54" w:rsidRPr="00197E2B" w:rsidRDefault="00EB3E54" w:rsidP="0097248A">
            <w:pPr>
              <w:keepLines/>
              <w:widowControl w:val="0"/>
              <w:tabs>
                <w:tab w:val="left" w:pos="1134"/>
                <w:tab w:val="left" w:pos="2268"/>
              </w:tabs>
              <w:autoSpaceDE w:val="0"/>
              <w:autoSpaceDN w:val="0"/>
              <w:spacing w:after="60"/>
              <w:jc w:val="center"/>
              <w:rPr>
                <w:rFonts w:ascii="Constantia" w:hAnsi="Constantia"/>
                <w:szCs w:val="22"/>
              </w:rPr>
            </w:pPr>
            <w:r w:rsidRPr="00197E2B">
              <w:rPr>
                <w:rFonts w:ascii="Constantia" w:hAnsi="Constantia"/>
                <w:szCs w:val="22"/>
              </w:rPr>
              <w:t>II Ciklus</w:t>
            </w:r>
          </w:p>
        </w:tc>
        <w:tc>
          <w:tcPr>
            <w:tcW w:w="1710" w:type="dxa"/>
          </w:tcPr>
          <w:p w:rsidR="00EB3E54" w:rsidRPr="00197E2B" w:rsidRDefault="00EB3E54" w:rsidP="0097248A">
            <w:pPr>
              <w:keepLines/>
              <w:widowControl w:val="0"/>
              <w:tabs>
                <w:tab w:val="left" w:pos="1134"/>
                <w:tab w:val="left" w:pos="2268"/>
              </w:tabs>
              <w:autoSpaceDE w:val="0"/>
              <w:autoSpaceDN w:val="0"/>
              <w:spacing w:after="60"/>
              <w:jc w:val="center"/>
              <w:cnfStyle w:val="000000000000" w:firstRow="0" w:lastRow="0" w:firstColumn="0" w:lastColumn="0" w:oddVBand="0" w:evenVBand="0" w:oddHBand="0" w:evenHBand="0" w:firstRowFirstColumn="0" w:firstRowLastColumn="0" w:lastRowFirstColumn="0" w:lastRowLastColumn="0"/>
              <w:rPr>
                <w:rFonts w:ascii="Constantia" w:hAnsi="Constantia"/>
                <w:b/>
                <w:szCs w:val="22"/>
              </w:rPr>
            </w:pPr>
            <w:r w:rsidRPr="00197E2B">
              <w:rPr>
                <w:rFonts w:ascii="Constantia" w:hAnsi="Constantia"/>
                <w:b/>
                <w:szCs w:val="22"/>
              </w:rPr>
              <w:t>53</w:t>
            </w:r>
          </w:p>
        </w:tc>
        <w:tc>
          <w:tcPr>
            <w:tcW w:w="1710" w:type="dxa"/>
          </w:tcPr>
          <w:p w:rsidR="00EB3E54" w:rsidRPr="00197E2B" w:rsidRDefault="00EB3E54" w:rsidP="0097248A">
            <w:pPr>
              <w:keepLines/>
              <w:widowControl w:val="0"/>
              <w:tabs>
                <w:tab w:val="left" w:pos="1134"/>
                <w:tab w:val="left" w:pos="2268"/>
              </w:tabs>
              <w:autoSpaceDE w:val="0"/>
              <w:autoSpaceDN w:val="0"/>
              <w:spacing w:after="60"/>
              <w:jc w:val="center"/>
              <w:cnfStyle w:val="000000000000" w:firstRow="0" w:lastRow="0" w:firstColumn="0" w:lastColumn="0" w:oddVBand="0" w:evenVBand="0" w:oddHBand="0" w:evenHBand="0" w:firstRowFirstColumn="0" w:firstRowLastColumn="0" w:lastRowFirstColumn="0" w:lastRowLastColumn="0"/>
              <w:rPr>
                <w:rFonts w:ascii="Constantia" w:hAnsi="Constantia"/>
                <w:b/>
                <w:szCs w:val="22"/>
              </w:rPr>
            </w:pPr>
            <w:r w:rsidRPr="00197E2B">
              <w:rPr>
                <w:rFonts w:ascii="Constantia" w:hAnsi="Constantia"/>
                <w:b/>
                <w:szCs w:val="22"/>
              </w:rPr>
              <w:t>52</w:t>
            </w:r>
          </w:p>
        </w:tc>
        <w:tc>
          <w:tcPr>
            <w:tcW w:w="1710" w:type="dxa"/>
          </w:tcPr>
          <w:p w:rsidR="00EB3E54" w:rsidRPr="00197E2B" w:rsidRDefault="00EB3E54" w:rsidP="0097248A">
            <w:pPr>
              <w:keepLines/>
              <w:widowControl w:val="0"/>
              <w:tabs>
                <w:tab w:val="left" w:pos="1134"/>
                <w:tab w:val="left" w:pos="2268"/>
              </w:tabs>
              <w:autoSpaceDE w:val="0"/>
              <w:autoSpaceDN w:val="0"/>
              <w:spacing w:after="60"/>
              <w:jc w:val="center"/>
              <w:cnfStyle w:val="000000000000" w:firstRow="0" w:lastRow="0" w:firstColumn="0" w:lastColumn="0" w:oddVBand="0" w:evenVBand="0" w:oddHBand="0" w:evenHBand="0" w:firstRowFirstColumn="0" w:firstRowLastColumn="0" w:lastRowFirstColumn="0" w:lastRowLastColumn="0"/>
              <w:rPr>
                <w:rFonts w:ascii="Constantia" w:hAnsi="Constantia"/>
                <w:b/>
                <w:szCs w:val="22"/>
              </w:rPr>
            </w:pPr>
            <w:r w:rsidRPr="00197E2B">
              <w:rPr>
                <w:rFonts w:ascii="Constantia" w:hAnsi="Constantia"/>
                <w:b/>
                <w:szCs w:val="22"/>
              </w:rPr>
              <w:t>46</w:t>
            </w:r>
          </w:p>
        </w:tc>
        <w:tc>
          <w:tcPr>
            <w:tcW w:w="1512" w:type="dxa"/>
          </w:tcPr>
          <w:p w:rsidR="00EB3E54" w:rsidRPr="00197E2B" w:rsidRDefault="00EB3E54" w:rsidP="0097248A">
            <w:pPr>
              <w:keepLines/>
              <w:widowControl w:val="0"/>
              <w:tabs>
                <w:tab w:val="left" w:pos="1134"/>
                <w:tab w:val="left" w:pos="2268"/>
              </w:tabs>
              <w:autoSpaceDE w:val="0"/>
              <w:autoSpaceDN w:val="0"/>
              <w:spacing w:after="60"/>
              <w:jc w:val="center"/>
              <w:cnfStyle w:val="000000000000" w:firstRow="0" w:lastRow="0" w:firstColumn="0" w:lastColumn="0" w:oddVBand="0" w:evenVBand="0" w:oddHBand="0" w:evenHBand="0" w:firstRowFirstColumn="0" w:firstRowLastColumn="0" w:lastRowFirstColumn="0" w:lastRowLastColumn="0"/>
              <w:rPr>
                <w:rFonts w:ascii="Constantia" w:hAnsi="Constantia"/>
                <w:b/>
                <w:szCs w:val="22"/>
              </w:rPr>
            </w:pPr>
            <w:r w:rsidRPr="00197E2B">
              <w:rPr>
                <w:rFonts w:ascii="Constantia" w:hAnsi="Constantia"/>
                <w:b/>
                <w:szCs w:val="22"/>
              </w:rPr>
              <w:t>55</w:t>
            </w:r>
          </w:p>
        </w:tc>
      </w:tr>
      <w:tr w:rsidR="00EB3E54" w:rsidRPr="00197E2B" w:rsidTr="00140F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rsidR="00EB3E54" w:rsidRPr="00197E2B" w:rsidRDefault="00EB3E54" w:rsidP="0097248A">
            <w:pPr>
              <w:keepLines/>
              <w:widowControl w:val="0"/>
              <w:tabs>
                <w:tab w:val="left" w:pos="1134"/>
                <w:tab w:val="left" w:pos="2268"/>
              </w:tabs>
              <w:autoSpaceDE w:val="0"/>
              <w:autoSpaceDN w:val="0"/>
              <w:spacing w:after="60"/>
              <w:jc w:val="center"/>
              <w:rPr>
                <w:rFonts w:ascii="Constantia" w:hAnsi="Constantia"/>
                <w:szCs w:val="22"/>
              </w:rPr>
            </w:pPr>
            <w:r w:rsidRPr="00197E2B">
              <w:rPr>
                <w:rFonts w:ascii="Constantia" w:hAnsi="Constantia"/>
                <w:szCs w:val="22"/>
              </w:rPr>
              <w:t>Granična vrijednost</w:t>
            </w:r>
          </w:p>
        </w:tc>
        <w:tc>
          <w:tcPr>
            <w:tcW w:w="1710" w:type="dxa"/>
          </w:tcPr>
          <w:p w:rsidR="00EB3E54" w:rsidRPr="00197E2B" w:rsidRDefault="00EB3E54" w:rsidP="0097248A">
            <w:pPr>
              <w:keepLines/>
              <w:widowControl w:val="0"/>
              <w:tabs>
                <w:tab w:val="left" w:pos="1134"/>
                <w:tab w:val="left" w:pos="2268"/>
              </w:tabs>
              <w:autoSpaceDE w:val="0"/>
              <w:autoSpaceDN w:val="0"/>
              <w:spacing w:after="6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197E2B">
              <w:rPr>
                <w:rFonts w:ascii="Constantia" w:hAnsi="Constantia"/>
                <w:b/>
                <w:szCs w:val="22"/>
              </w:rPr>
              <w:t>55</w:t>
            </w:r>
          </w:p>
        </w:tc>
        <w:tc>
          <w:tcPr>
            <w:tcW w:w="1710" w:type="dxa"/>
          </w:tcPr>
          <w:p w:rsidR="00EB3E54" w:rsidRPr="00197E2B" w:rsidRDefault="00EB3E54" w:rsidP="0097248A">
            <w:pPr>
              <w:keepLines/>
              <w:widowControl w:val="0"/>
              <w:tabs>
                <w:tab w:val="left" w:pos="1134"/>
                <w:tab w:val="left" w:pos="2268"/>
              </w:tabs>
              <w:autoSpaceDE w:val="0"/>
              <w:autoSpaceDN w:val="0"/>
              <w:spacing w:after="6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197E2B">
              <w:rPr>
                <w:rFonts w:ascii="Constantia" w:hAnsi="Constantia"/>
                <w:b/>
                <w:szCs w:val="22"/>
              </w:rPr>
              <w:t>55</w:t>
            </w:r>
          </w:p>
        </w:tc>
        <w:tc>
          <w:tcPr>
            <w:tcW w:w="1710" w:type="dxa"/>
          </w:tcPr>
          <w:p w:rsidR="00EB3E54" w:rsidRPr="00197E2B" w:rsidRDefault="00EB3E54" w:rsidP="0097248A">
            <w:pPr>
              <w:keepLines/>
              <w:widowControl w:val="0"/>
              <w:tabs>
                <w:tab w:val="left" w:pos="1134"/>
                <w:tab w:val="left" w:pos="2268"/>
              </w:tabs>
              <w:autoSpaceDE w:val="0"/>
              <w:autoSpaceDN w:val="0"/>
              <w:spacing w:after="6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197E2B">
              <w:rPr>
                <w:rFonts w:ascii="Constantia" w:hAnsi="Constantia"/>
                <w:b/>
                <w:szCs w:val="22"/>
              </w:rPr>
              <w:t>45</w:t>
            </w:r>
          </w:p>
        </w:tc>
        <w:tc>
          <w:tcPr>
            <w:tcW w:w="1512" w:type="dxa"/>
          </w:tcPr>
          <w:p w:rsidR="00EB3E54" w:rsidRPr="00197E2B" w:rsidRDefault="00EB3E54" w:rsidP="0097248A">
            <w:pPr>
              <w:keepLines/>
              <w:widowControl w:val="0"/>
              <w:tabs>
                <w:tab w:val="left" w:pos="1134"/>
                <w:tab w:val="left" w:pos="2268"/>
              </w:tabs>
              <w:autoSpaceDE w:val="0"/>
              <w:autoSpaceDN w:val="0"/>
              <w:spacing w:after="6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197E2B">
              <w:rPr>
                <w:rFonts w:ascii="Constantia" w:hAnsi="Constantia"/>
                <w:b/>
                <w:szCs w:val="22"/>
              </w:rPr>
              <w:t>---</w:t>
            </w:r>
          </w:p>
        </w:tc>
      </w:tr>
    </w:tbl>
    <w:p w:rsidR="00EB3E54" w:rsidRPr="00197E2B" w:rsidRDefault="00EB3E54" w:rsidP="00197E2B">
      <w:pPr>
        <w:numPr>
          <w:ilvl w:val="0"/>
          <w:numId w:val="3"/>
        </w:numPr>
        <w:tabs>
          <w:tab w:val="left" w:pos="1260"/>
          <w:tab w:val="left" w:pos="1800"/>
        </w:tabs>
        <w:spacing w:before="60" w:after="240"/>
        <w:ind w:left="0" w:firstLine="0"/>
        <w:jc w:val="center"/>
        <w:rPr>
          <w:rFonts w:ascii="Constantia" w:hAnsi="Constantia"/>
          <w:i/>
          <w:szCs w:val="22"/>
          <w:lang w:val="sr-Latn-CS"/>
        </w:rPr>
      </w:pPr>
      <w:r w:rsidRPr="00197E2B">
        <w:rPr>
          <w:rFonts w:ascii="Constantia" w:hAnsi="Constantia"/>
          <w:i/>
          <w:szCs w:val="22"/>
          <w:lang w:val="sr-Latn-CS"/>
        </w:rPr>
        <w:t>Srednji indikatori buke na mjernom mjestu Stari aerodrom</w:t>
      </w:r>
    </w:p>
    <w:p w:rsidR="00EB3E54" w:rsidRPr="003E1894" w:rsidRDefault="00EB3E54" w:rsidP="003E1894">
      <w:pPr>
        <w:spacing w:before="240"/>
        <w:rPr>
          <w:rFonts w:ascii="Constantia" w:hAnsi="Constantia"/>
          <w:lang w:val="sr-Latn-CS"/>
        </w:rPr>
      </w:pPr>
      <w:r w:rsidRPr="003E1894">
        <w:rPr>
          <w:rFonts w:ascii="Constantia" w:hAnsi="Constantia"/>
        </w:rPr>
        <w:t>Vrijednosti</w:t>
      </w:r>
      <w:r w:rsidRPr="003E1894">
        <w:rPr>
          <w:rFonts w:ascii="Constantia" w:hAnsi="Constantia"/>
          <w:lang w:val="sr-Latn-CS"/>
        </w:rPr>
        <w:t xml:space="preserve"> </w:t>
      </w:r>
      <w:r w:rsidRPr="003E1894">
        <w:rPr>
          <w:rFonts w:ascii="Constantia" w:hAnsi="Constantia"/>
        </w:rPr>
        <w:t>indikatora</w:t>
      </w:r>
      <w:r w:rsidRPr="003E1894">
        <w:rPr>
          <w:rFonts w:ascii="Constantia" w:hAnsi="Constantia"/>
          <w:lang w:val="sr-Latn-CS"/>
        </w:rPr>
        <w:t xml:space="preserve"> </w:t>
      </w:r>
      <w:r w:rsidRPr="003E1894">
        <w:rPr>
          <w:rFonts w:ascii="Constantia" w:hAnsi="Constantia"/>
        </w:rPr>
        <w:t>buke</w:t>
      </w:r>
      <w:r w:rsidRPr="003E1894">
        <w:rPr>
          <w:rFonts w:ascii="Constantia" w:hAnsi="Constantia"/>
          <w:lang w:val="sr-Latn-CS"/>
        </w:rPr>
        <w:t xml:space="preserve"> </w:t>
      </w:r>
      <w:r w:rsidRPr="003E1894">
        <w:rPr>
          <w:rFonts w:ascii="Constantia" w:hAnsi="Constantia"/>
        </w:rPr>
        <w:t>su</w:t>
      </w:r>
      <w:r w:rsidRPr="003E1894">
        <w:rPr>
          <w:rFonts w:ascii="Constantia" w:hAnsi="Constantia"/>
          <w:lang w:val="sr-Latn-CS"/>
        </w:rPr>
        <w:t xml:space="preserve"> </w:t>
      </w:r>
      <w:r w:rsidRPr="003E1894">
        <w:rPr>
          <w:rFonts w:ascii="Constantia" w:hAnsi="Constantia"/>
        </w:rPr>
        <w:t>ve</w:t>
      </w:r>
      <w:r w:rsidRPr="003E1894">
        <w:rPr>
          <w:rFonts w:ascii="Constantia" w:hAnsi="Constantia"/>
          <w:lang w:val="sr-Latn-CS"/>
        </w:rPr>
        <w:t>ć</w:t>
      </w:r>
      <w:r w:rsidRPr="003E1894">
        <w:rPr>
          <w:rFonts w:ascii="Constantia" w:hAnsi="Constantia"/>
        </w:rPr>
        <w:t>e</w:t>
      </w:r>
      <w:r w:rsidRPr="003E1894">
        <w:rPr>
          <w:rFonts w:ascii="Constantia" w:hAnsi="Constantia"/>
          <w:lang w:val="sr-Latn-CS"/>
        </w:rPr>
        <w:t xml:space="preserve"> </w:t>
      </w:r>
      <w:r w:rsidRPr="003E1894">
        <w:rPr>
          <w:rFonts w:ascii="Constantia" w:hAnsi="Constantia"/>
        </w:rPr>
        <w:t>u</w:t>
      </w:r>
      <w:r w:rsidRPr="003E1894">
        <w:rPr>
          <w:rFonts w:ascii="Constantia" w:hAnsi="Constantia"/>
          <w:lang w:val="sr-Latn-CS"/>
        </w:rPr>
        <w:t xml:space="preserve"> </w:t>
      </w:r>
      <w:r w:rsidRPr="003E1894">
        <w:rPr>
          <w:rFonts w:ascii="Constantia" w:hAnsi="Constantia"/>
        </w:rPr>
        <w:t>prvom</w:t>
      </w:r>
      <w:r w:rsidRPr="003E1894">
        <w:rPr>
          <w:rFonts w:ascii="Constantia" w:hAnsi="Constantia"/>
          <w:lang w:val="sr-Latn-CS"/>
        </w:rPr>
        <w:t xml:space="preserve"> </w:t>
      </w:r>
      <w:r w:rsidRPr="003E1894">
        <w:rPr>
          <w:rFonts w:ascii="Constantia" w:hAnsi="Constantia"/>
        </w:rPr>
        <w:t>ciklusu</w:t>
      </w:r>
      <w:r w:rsidRPr="003E1894">
        <w:rPr>
          <w:rFonts w:ascii="Constantia" w:hAnsi="Constantia"/>
          <w:lang w:val="sr-Latn-CS"/>
        </w:rPr>
        <w:t xml:space="preserve"> </w:t>
      </w:r>
      <w:r w:rsidRPr="003E1894">
        <w:rPr>
          <w:rFonts w:ascii="Constantia" w:hAnsi="Constantia"/>
        </w:rPr>
        <w:t>mjerenja</w:t>
      </w:r>
      <w:r w:rsidRPr="003E1894">
        <w:rPr>
          <w:rFonts w:ascii="Constantia" w:hAnsi="Constantia"/>
          <w:lang w:val="sr-Latn-CS"/>
        </w:rPr>
        <w:t xml:space="preserve"> (</w:t>
      </w:r>
      <w:r w:rsidRPr="003E1894">
        <w:rPr>
          <w:rFonts w:ascii="Constantia" w:hAnsi="Constantia"/>
        </w:rPr>
        <w:t>po</w:t>
      </w:r>
      <w:r w:rsidRPr="003E1894">
        <w:rPr>
          <w:rFonts w:ascii="Constantia" w:hAnsi="Constantia"/>
          <w:lang w:val="sr-Latn-CS"/>
        </w:rPr>
        <w:t>č</w:t>
      </w:r>
      <w:r w:rsidRPr="003E1894">
        <w:rPr>
          <w:rFonts w:ascii="Constantia" w:hAnsi="Constantia"/>
        </w:rPr>
        <w:t>etak</w:t>
      </w:r>
      <w:r w:rsidRPr="003E1894">
        <w:rPr>
          <w:rFonts w:ascii="Constantia" w:hAnsi="Constantia"/>
          <w:lang w:val="sr-Latn-CS"/>
        </w:rPr>
        <w:t xml:space="preserve"> </w:t>
      </w:r>
      <w:r w:rsidRPr="003E1894">
        <w:rPr>
          <w:rFonts w:ascii="Constantia" w:hAnsi="Constantia"/>
        </w:rPr>
        <w:t>juna</w:t>
      </w:r>
      <w:r w:rsidRPr="003E1894">
        <w:rPr>
          <w:rFonts w:ascii="Constantia" w:hAnsi="Constantia"/>
          <w:lang w:val="sr-Latn-CS"/>
        </w:rPr>
        <w:t xml:space="preserve">) </w:t>
      </w:r>
      <w:r w:rsidRPr="003E1894">
        <w:rPr>
          <w:rFonts w:ascii="Constantia" w:hAnsi="Constantia"/>
        </w:rPr>
        <w:t>nego</w:t>
      </w:r>
      <w:r w:rsidRPr="003E1894">
        <w:rPr>
          <w:rFonts w:ascii="Constantia" w:hAnsi="Constantia"/>
          <w:lang w:val="sr-Latn-CS"/>
        </w:rPr>
        <w:t xml:space="preserve"> </w:t>
      </w:r>
      <w:r w:rsidRPr="003E1894">
        <w:rPr>
          <w:rFonts w:ascii="Constantia" w:hAnsi="Constantia"/>
        </w:rPr>
        <w:t>u</w:t>
      </w:r>
      <w:r w:rsidRPr="003E1894">
        <w:rPr>
          <w:rFonts w:ascii="Constantia" w:hAnsi="Constantia"/>
          <w:lang w:val="sr-Latn-CS"/>
        </w:rPr>
        <w:t xml:space="preserve"> </w:t>
      </w:r>
      <w:r w:rsidRPr="003E1894">
        <w:rPr>
          <w:rFonts w:ascii="Constantia" w:hAnsi="Constantia"/>
        </w:rPr>
        <w:t>drugom</w:t>
      </w:r>
      <w:r w:rsidRPr="003E1894">
        <w:rPr>
          <w:rFonts w:ascii="Constantia" w:hAnsi="Constantia"/>
          <w:lang w:val="sr-Latn-CS"/>
        </w:rPr>
        <w:t xml:space="preserve"> </w:t>
      </w:r>
      <w:r w:rsidRPr="003E1894">
        <w:rPr>
          <w:rFonts w:ascii="Constantia" w:hAnsi="Constantia"/>
        </w:rPr>
        <w:t>ciklusu</w:t>
      </w:r>
      <w:r w:rsidRPr="003E1894">
        <w:rPr>
          <w:rFonts w:ascii="Constantia" w:hAnsi="Constantia"/>
          <w:lang w:val="sr-Latn-CS"/>
        </w:rPr>
        <w:t xml:space="preserve"> </w:t>
      </w:r>
      <w:r w:rsidRPr="003E1894">
        <w:rPr>
          <w:rFonts w:ascii="Constantia" w:hAnsi="Constantia"/>
        </w:rPr>
        <w:t>mjerenja</w:t>
      </w:r>
      <w:r w:rsidRPr="003E1894">
        <w:rPr>
          <w:rFonts w:ascii="Constantia" w:hAnsi="Constantia"/>
          <w:lang w:val="sr-Latn-CS"/>
        </w:rPr>
        <w:t xml:space="preserve"> (</w:t>
      </w:r>
      <w:r w:rsidRPr="003E1894">
        <w:rPr>
          <w:rFonts w:ascii="Constantia" w:hAnsi="Constantia"/>
        </w:rPr>
        <w:t>po</w:t>
      </w:r>
      <w:r w:rsidRPr="003E1894">
        <w:rPr>
          <w:rFonts w:ascii="Constantia" w:hAnsi="Constantia"/>
          <w:lang w:val="sr-Latn-CS"/>
        </w:rPr>
        <w:t>č</w:t>
      </w:r>
      <w:r w:rsidRPr="003E1894">
        <w:rPr>
          <w:rFonts w:ascii="Constantia" w:hAnsi="Constantia"/>
        </w:rPr>
        <w:t>etak</w:t>
      </w:r>
      <w:r w:rsidRPr="003E1894">
        <w:rPr>
          <w:rFonts w:ascii="Constantia" w:hAnsi="Constantia"/>
          <w:lang w:val="sr-Latn-CS"/>
        </w:rPr>
        <w:t xml:space="preserve"> </w:t>
      </w:r>
      <w:r w:rsidRPr="003E1894">
        <w:rPr>
          <w:rFonts w:ascii="Constantia" w:hAnsi="Constantia"/>
        </w:rPr>
        <w:t>oktobra</w:t>
      </w:r>
      <w:r w:rsidRPr="003E1894">
        <w:rPr>
          <w:rFonts w:ascii="Constantia" w:hAnsi="Constantia"/>
          <w:lang w:val="sr-Latn-CS"/>
        </w:rPr>
        <w:t xml:space="preserve">). </w:t>
      </w:r>
    </w:p>
    <w:p w:rsidR="00EB3E54" w:rsidRDefault="00EB3E54" w:rsidP="003E1894">
      <w:pPr>
        <w:spacing w:after="0"/>
        <w:rPr>
          <w:rFonts w:ascii="Constantia" w:hAnsi="Constantia"/>
          <w:lang w:val="sr-Latn-CS"/>
        </w:rPr>
      </w:pPr>
      <w:r w:rsidRPr="003E1894">
        <w:rPr>
          <w:rFonts w:ascii="Constantia" w:hAnsi="Constantia"/>
        </w:rPr>
        <w:t>Vrijednosti</w:t>
      </w:r>
      <w:r w:rsidRPr="003E1894">
        <w:rPr>
          <w:rFonts w:ascii="Constantia" w:hAnsi="Constantia"/>
          <w:lang w:val="sr-Latn-CS"/>
        </w:rPr>
        <w:t xml:space="preserve"> </w:t>
      </w:r>
      <w:r w:rsidRPr="003E1894">
        <w:rPr>
          <w:rFonts w:ascii="Constantia" w:hAnsi="Constantia"/>
        </w:rPr>
        <w:t>indikatora</w:t>
      </w:r>
      <w:r w:rsidRPr="003E1894">
        <w:rPr>
          <w:rFonts w:ascii="Constantia" w:hAnsi="Constantia"/>
          <w:lang w:val="sr-Latn-CS"/>
        </w:rPr>
        <w:t xml:space="preserve"> </w:t>
      </w:r>
      <w:r w:rsidRPr="003E1894">
        <w:rPr>
          <w:rFonts w:ascii="Constantia" w:hAnsi="Constantia"/>
        </w:rPr>
        <w:t>buke</w:t>
      </w:r>
      <w:r w:rsidRPr="003E1894">
        <w:rPr>
          <w:rFonts w:ascii="Constantia" w:hAnsi="Constantia"/>
          <w:lang w:val="sr-Latn-CS"/>
        </w:rPr>
        <w:t xml:space="preserve"> </w:t>
      </w:r>
      <w:r w:rsidRPr="003E1894">
        <w:rPr>
          <w:rFonts w:ascii="Constantia" w:hAnsi="Constantia"/>
        </w:rPr>
        <w:t>za</w:t>
      </w:r>
      <w:r w:rsidRPr="003E1894">
        <w:rPr>
          <w:rFonts w:ascii="Constantia" w:hAnsi="Constantia"/>
          <w:lang w:val="sr-Latn-CS"/>
        </w:rPr>
        <w:t xml:space="preserve"> </w:t>
      </w:r>
      <w:r w:rsidRPr="003E1894">
        <w:rPr>
          <w:rFonts w:ascii="Constantia" w:hAnsi="Constantia"/>
        </w:rPr>
        <w:t>dan</w:t>
      </w:r>
      <w:r w:rsidRPr="003E1894">
        <w:rPr>
          <w:rFonts w:ascii="Constantia" w:hAnsi="Constantia"/>
          <w:lang w:val="sr-Latn-CS"/>
        </w:rPr>
        <w:t xml:space="preserve"> </w:t>
      </w:r>
      <w:r w:rsidRPr="003E1894">
        <w:rPr>
          <w:rFonts w:ascii="Constantia" w:hAnsi="Constantia"/>
        </w:rPr>
        <w:t>i</w:t>
      </w:r>
      <w:r w:rsidRPr="003E1894">
        <w:rPr>
          <w:rFonts w:ascii="Constantia" w:hAnsi="Constantia"/>
          <w:lang w:val="sr-Latn-CS"/>
        </w:rPr>
        <w:t xml:space="preserve"> </w:t>
      </w:r>
      <w:r w:rsidRPr="003E1894">
        <w:rPr>
          <w:rFonts w:ascii="Constantia" w:hAnsi="Constantia"/>
        </w:rPr>
        <w:t>ve</w:t>
      </w:r>
      <w:r w:rsidRPr="003E1894">
        <w:rPr>
          <w:rFonts w:ascii="Constantia" w:hAnsi="Constantia"/>
          <w:lang w:val="sr-Latn-CS"/>
        </w:rPr>
        <w:t>č</w:t>
      </w:r>
      <w:r w:rsidRPr="003E1894">
        <w:rPr>
          <w:rFonts w:ascii="Constantia" w:hAnsi="Constantia"/>
        </w:rPr>
        <w:t>e</w:t>
      </w:r>
      <w:r w:rsidRPr="003E1894">
        <w:rPr>
          <w:rFonts w:ascii="Constantia" w:hAnsi="Constantia"/>
          <w:lang w:val="sr-Latn-CS"/>
        </w:rPr>
        <w:t xml:space="preserve"> </w:t>
      </w:r>
      <w:r w:rsidRPr="003E1894">
        <w:rPr>
          <w:rFonts w:ascii="Constantia" w:hAnsi="Constantia"/>
        </w:rPr>
        <w:t>ne</w:t>
      </w:r>
      <w:r w:rsidRPr="003E1894">
        <w:rPr>
          <w:rFonts w:ascii="Constantia" w:hAnsi="Constantia"/>
          <w:lang w:val="sr-Latn-CS"/>
        </w:rPr>
        <w:t xml:space="preserve"> </w:t>
      </w:r>
      <w:r w:rsidRPr="003E1894">
        <w:rPr>
          <w:rFonts w:ascii="Constantia" w:hAnsi="Constantia"/>
        </w:rPr>
        <w:t>prelaze</w:t>
      </w:r>
      <w:r w:rsidRPr="003E1894">
        <w:rPr>
          <w:rFonts w:ascii="Constantia" w:hAnsi="Constantia"/>
          <w:lang w:val="sr-Latn-CS"/>
        </w:rPr>
        <w:t xml:space="preserve"> </w:t>
      </w:r>
      <w:r w:rsidRPr="003E1894">
        <w:rPr>
          <w:rFonts w:ascii="Constantia" w:hAnsi="Constantia"/>
        </w:rPr>
        <w:t>grani</w:t>
      </w:r>
      <w:r w:rsidRPr="003E1894">
        <w:rPr>
          <w:rFonts w:ascii="Constantia" w:hAnsi="Constantia"/>
          <w:lang w:val="sr-Latn-CS"/>
        </w:rPr>
        <w:t>č</w:t>
      </w:r>
      <w:r w:rsidRPr="003E1894">
        <w:rPr>
          <w:rFonts w:ascii="Constantia" w:hAnsi="Constantia"/>
        </w:rPr>
        <w:t>ne</w:t>
      </w:r>
      <w:r w:rsidRPr="003E1894">
        <w:rPr>
          <w:rFonts w:ascii="Constantia" w:hAnsi="Constantia"/>
          <w:lang w:val="sr-Latn-CS"/>
        </w:rPr>
        <w:t xml:space="preserve"> </w:t>
      </w:r>
      <w:r w:rsidRPr="003E1894">
        <w:rPr>
          <w:rFonts w:ascii="Constantia" w:hAnsi="Constantia"/>
        </w:rPr>
        <w:t>vrijednosti</w:t>
      </w:r>
      <w:r w:rsidRPr="003E1894">
        <w:rPr>
          <w:rFonts w:ascii="Constantia" w:hAnsi="Constantia"/>
          <w:lang w:val="sr-Latn-CS"/>
        </w:rPr>
        <w:t xml:space="preserve"> </w:t>
      </w:r>
      <w:r w:rsidRPr="003E1894">
        <w:rPr>
          <w:rFonts w:ascii="Constantia" w:hAnsi="Constantia"/>
        </w:rPr>
        <w:t>nivoa</w:t>
      </w:r>
      <w:r w:rsidRPr="003E1894">
        <w:rPr>
          <w:rFonts w:ascii="Constantia" w:hAnsi="Constantia"/>
          <w:lang w:val="sr-Latn-CS"/>
        </w:rPr>
        <w:t xml:space="preserve"> </w:t>
      </w:r>
      <w:r w:rsidRPr="003E1894">
        <w:rPr>
          <w:rFonts w:ascii="Constantia" w:hAnsi="Constantia"/>
        </w:rPr>
        <w:t>buke</w:t>
      </w:r>
      <w:r w:rsidRPr="003E1894">
        <w:rPr>
          <w:rFonts w:ascii="Constantia" w:hAnsi="Constantia"/>
          <w:lang w:val="sr-Latn-CS"/>
        </w:rPr>
        <w:t xml:space="preserve"> </w:t>
      </w:r>
      <w:r w:rsidRPr="003E1894">
        <w:rPr>
          <w:rFonts w:ascii="Constantia" w:hAnsi="Constantia"/>
        </w:rPr>
        <w:t>ni</w:t>
      </w:r>
      <w:r w:rsidRPr="003E1894">
        <w:rPr>
          <w:rFonts w:ascii="Constantia" w:hAnsi="Constantia"/>
          <w:lang w:val="sr-Latn-CS"/>
        </w:rPr>
        <w:t xml:space="preserve"> </w:t>
      </w:r>
      <w:r w:rsidRPr="003E1894">
        <w:rPr>
          <w:rFonts w:ascii="Constantia" w:hAnsi="Constantia"/>
        </w:rPr>
        <w:t>u</w:t>
      </w:r>
      <w:r w:rsidRPr="003E1894">
        <w:rPr>
          <w:rFonts w:ascii="Constantia" w:hAnsi="Constantia"/>
          <w:lang w:val="sr-Latn-CS"/>
        </w:rPr>
        <w:t xml:space="preserve"> </w:t>
      </w:r>
      <w:r w:rsidRPr="003E1894">
        <w:rPr>
          <w:rFonts w:ascii="Constantia" w:hAnsi="Constantia"/>
        </w:rPr>
        <w:t>prvom</w:t>
      </w:r>
      <w:r w:rsidRPr="003E1894">
        <w:rPr>
          <w:rFonts w:ascii="Constantia" w:hAnsi="Constantia"/>
          <w:lang w:val="sr-Latn-CS"/>
        </w:rPr>
        <w:t xml:space="preserve"> </w:t>
      </w:r>
      <w:r w:rsidRPr="003E1894">
        <w:rPr>
          <w:rFonts w:ascii="Constantia" w:hAnsi="Constantia"/>
        </w:rPr>
        <w:t>ni</w:t>
      </w:r>
      <w:r w:rsidRPr="003E1894">
        <w:rPr>
          <w:rFonts w:ascii="Constantia" w:hAnsi="Constantia"/>
          <w:lang w:val="sr-Latn-CS"/>
        </w:rPr>
        <w:t xml:space="preserve"> </w:t>
      </w:r>
      <w:r w:rsidRPr="003E1894">
        <w:rPr>
          <w:rFonts w:ascii="Constantia" w:hAnsi="Constantia"/>
        </w:rPr>
        <w:t>u</w:t>
      </w:r>
      <w:r w:rsidRPr="003E1894">
        <w:rPr>
          <w:rFonts w:ascii="Constantia" w:hAnsi="Constantia"/>
          <w:lang w:val="sr-Latn-CS"/>
        </w:rPr>
        <w:t xml:space="preserve"> </w:t>
      </w:r>
      <w:r w:rsidRPr="003E1894">
        <w:rPr>
          <w:rFonts w:ascii="Constantia" w:hAnsi="Constantia"/>
        </w:rPr>
        <w:t>drugom</w:t>
      </w:r>
      <w:r w:rsidRPr="003E1894">
        <w:rPr>
          <w:rFonts w:ascii="Constantia" w:hAnsi="Constantia"/>
          <w:lang w:val="sr-Latn-CS"/>
        </w:rPr>
        <w:t xml:space="preserve"> </w:t>
      </w:r>
      <w:r w:rsidRPr="003E1894">
        <w:rPr>
          <w:rFonts w:ascii="Constantia" w:hAnsi="Constantia"/>
        </w:rPr>
        <w:t>ciklusu</w:t>
      </w:r>
      <w:r w:rsidRPr="003E1894">
        <w:rPr>
          <w:rFonts w:ascii="Constantia" w:hAnsi="Constantia"/>
          <w:lang w:val="sr-Latn-CS"/>
        </w:rPr>
        <w:t xml:space="preserve">. </w:t>
      </w:r>
      <w:r w:rsidRPr="003E1894">
        <w:rPr>
          <w:rFonts w:ascii="Constantia" w:hAnsi="Constantia"/>
        </w:rPr>
        <w:t>No</w:t>
      </w:r>
      <w:r w:rsidRPr="003E1894">
        <w:rPr>
          <w:rFonts w:ascii="Constantia" w:hAnsi="Constantia"/>
          <w:lang w:val="sr-Latn-CS"/>
        </w:rPr>
        <w:t>ć</w:t>
      </w:r>
      <w:r w:rsidRPr="003E1894">
        <w:rPr>
          <w:rFonts w:ascii="Constantia" w:hAnsi="Constantia"/>
        </w:rPr>
        <w:t>ni</w:t>
      </w:r>
      <w:r w:rsidRPr="003E1894">
        <w:rPr>
          <w:rFonts w:ascii="Constantia" w:hAnsi="Constantia"/>
          <w:lang w:val="sr-Latn-CS"/>
        </w:rPr>
        <w:t xml:space="preserve"> </w:t>
      </w:r>
      <w:r w:rsidRPr="003E1894">
        <w:rPr>
          <w:rFonts w:ascii="Constantia" w:hAnsi="Constantia"/>
        </w:rPr>
        <w:t>indikatori</w:t>
      </w:r>
      <w:r w:rsidRPr="003E1894">
        <w:rPr>
          <w:rFonts w:ascii="Constantia" w:hAnsi="Constantia"/>
          <w:lang w:val="sr-Latn-CS"/>
        </w:rPr>
        <w:t xml:space="preserve"> </w:t>
      </w:r>
      <w:r w:rsidRPr="003E1894">
        <w:rPr>
          <w:rFonts w:ascii="Constantia" w:hAnsi="Constantia"/>
        </w:rPr>
        <w:t>buke</w:t>
      </w:r>
      <w:r w:rsidRPr="003E1894">
        <w:rPr>
          <w:rFonts w:ascii="Constantia" w:hAnsi="Constantia"/>
          <w:lang w:val="sr-Latn-CS"/>
        </w:rPr>
        <w:t xml:space="preserve"> </w:t>
      </w:r>
      <w:r w:rsidRPr="003E1894">
        <w:rPr>
          <w:rFonts w:ascii="Constantia" w:hAnsi="Constantia"/>
        </w:rPr>
        <w:t>prelaze</w:t>
      </w:r>
      <w:r w:rsidRPr="003E1894">
        <w:rPr>
          <w:rFonts w:ascii="Constantia" w:hAnsi="Constantia"/>
          <w:lang w:val="sr-Latn-CS"/>
        </w:rPr>
        <w:t xml:space="preserve"> </w:t>
      </w:r>
      <w:r w:rsidRPr="003E1894">
        <w:rPr>
          <w:rFonts w:ascii="Constantia" w:hAnsi="Constantia"/>
        </w:rPr>
        <w:t>grani</w:t>
      </w:r>
      <w:r w:rsidRPr="003E1894">
        <w:rPr>
          <w:rFonts w:ascii="Constantia" w:hAnsi="Constantia"/>
          <w:lang w:val="sr-Latn-CS"/>
        </w:rPr>
        <w:t>č</w:t>
      </w:r>
      <w:r w:rsidRPr="003E1894">
        <w:rPr>
          <w:rFonts w:ascii="Constantia" w:hAnsi="Constantia"/>
        </w:rPr>
        <w:t>nu</w:t>
      </w:r>
      <w:r w:rsidRPr="003E1894">
        <w:rPr>
          <w:rFonts w:ascii="Constantia" w:hAnsi="Constantia"/>
          <w:lang w:val="sr-Latn-CS"/>
        </w:rPr>
        <w:t xml:space="preserve"> </w:t>
      </w:r>
      <w:r w:rsidRPr="003E1894">
        <w:rPr>
          <w:rFonts w:ascii="Constantia" w:hAnsi="Constantia"/>
        </w:rPr>
        <w:t>vrijednost</w:t>
      </w:r>
      <w:r w:rsidRPr="003E1894">
        <w:rPr>
          <w:rFonts w:ascii="Constantia" w:hAnsi="Constantia"/>
          <w:lang w:val="sr-Latn-CS"/>
        </w:rPr>
        <w:t xml:space="preserve"> </w:t>
      </w:r>
      <w:r w:rsidRPr="003E1894">
        <w:rPr>
          <w:rFonts w:ascii="Constantia" w:hAnsi="Constantia"/>
        </w:rPr>
        <w:t>nivoa</w:t>
      </w:r>
      <w:r w:rsidRPr="003E1894">
        <w:rPr>
          <w:rFonts w:ascii="Constantia" w:hAnsi="Constantia"/>
          <w:lang w:val="sr-Latn-CS"/>
        </w:rPr>
        <w:t xml:space="preserve"> </w:t>
      </w:r>
      <w:r w:rsidRPr="003E1894">
        <w:rPr>
          <w:rFonts w:ascii="Constantia" w:hAnsi="Constantia"/>
        </w:rPr>
        <w:t>buke</w:t>
      </w:r>
      <w:r w:rsidRPr="003E1894">
        <w:rPr>
          <w:rFonts w:ascii="Constantia" w:hAnsi="Constantia"/>
          <w:lang w:val="sr-Latn-CS"/>
        </w:rPr>
        <w:t xml:space="preserve"> </w:t>
      </w:r>
      <w:r w:rsidRPr="003E1894">
        <w:rPr>
          <w:rFonts w:ascii="Constantia" w:hAnsi="Constantia"/>
        </w:rPr>
        <w:t>u</w:t>
      </w:r>
      <w:r w:rsidRPr="003E1894">
        <w:rPr>
          <w:rFonts w:ascii="Constantia" w:hAnsi="Constantia"/>
          <w:lang w:val="sr-Latn-CS"/>
        </w:rPr>
        <w:t xml:space="preserve"> </w:t>
      </w:r>
      <w:r w:rsidRPr="003E1894">
        <w:rPr>
          <w:rFonts w:ascii="Constantia" w:hAnsi="Constantia"/>
        </w:rPr>
        <w:t>oba</w:t>
      </w:r>
      <w:r w:rsidRPr="003E1894">
        <w:rPr>
          <w:rFonts w:ascii="Constantia" w:hAnsi="Constantia"/>
          <w:lang w:val="sr-Latn-CS"/>
        </w:rPr>
        <w:t xml:space="preserve"> </w:t>
      </w:r>
      <w:r w:rsidRPr="003E1894">
        <w:rPr>
          <w:rFonts w:ascii="Constantia" w:hAnsi="Constantia"/>
        </w:rPr>
        <w:t>ciklusa</w:t>
      </w:r>
      <w:r w:rsidRPr="003E1894">
        <w:rPr>
          <w:rFonts w:ascii="Constantia" w:hAnsi="Constantia"/>
          <w:lang w:val="sr-Latn-CS"/>
        </w:rPr>
        <w:t>.</w:t>
      </w:r>
    </w:p>
    <w:p w:rsidR="003E1894" w:rsidRPr="003E1894" w:rsidRDefault="003E1894" w:rsidP="003E1894">
      <w:pPr>
        <w:spacing w:after="0"/>
        <w:rPr>
          <w:rFonts w:ascii="Constantia" w:hAnsi="Constantia"/>
          <w:lang w:val="sr-Latn-CS"/>
        </w:rPr>
      </w:pPr>
    </w:p>
    <w:tbl>
      <w:tblPr>
        <w:tblStyle w:val="LightList-Accent6"/>
        <w:tblW w:w="8910" w:type="dxa"/>
        <w:tblInd w:w="198" w:type="dxa"/>
        <w:tblLook w:val="04A0" w:firstRow="1" w:lastRow="0" w:firstColumn="1" w:lastColumn="0" w:noHBand="0" w:noVBand="1"/>
      </w:tblPr>
      <w:tblGrid>
        <w:gridCol w:w="2268"/>
        <w:gridCol w:w="1710"/>
        <w:gridCol w:w="1710"/>
        <w:gridCol w:w="1710"/>
        <w:gridCol w:w="1512"/>
      </w:tblGrid>
      <w:tr w:rsidR="00EB3E54" w:rsidRPr="00140F14" w:rsidTr="004F10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rsidR="00EB3E54" w:rsidRPr="00140F14" w:rsidRDefault="00EB3E54" w:rsidP="00EB3E54">
            <w:pPr>
              <w:keepLines/>
              <w:widowControl w:val="0"/>
              <w:tabs>
                <w:tab w:val="left" w:pos="1134"/>
                <w:tab w:val="left" w:pos="2268"/>
              </w:tabs>
              <w:autoSpaceDE w:val="0"/>
              <w:autoSpaceDN w:val="0"/>
              <w:spacing w:before="120" w:after="60"/>
              <w:jc w:val="center"/>
              <w:rPr>
                <w:rFonts w:ascii="Constantia" w:hAnsi="Constantia"/>
                <w:b w:val="0"/>
                <w:color w:val="auto"/>
                <w:szCs w:val="22"/>
                <w:lang w:val="sr-Latn-CS"/>
              </w:rPr>
            </w:pPr>
          </w:p>
        </w:tc>
        <w:tc>
          <w:tcPr>
            <w:tcW w:w="1710" w:type="dxa"/>
          </w:tcPr>
          <w:p w:rsidR="00EB3E54" w:rsidRPr="00140F14" w:rsidRDefault="00EB3E54" w:rsidP="00EB3E54">
            <w:pPr>
              <w:keepLines/>
              <w:widowControl w:val="0"/>
              <w:tabs>
                <w:tab w:val="left" w:pos="1134"/>
                <w:tab w:val="left" w:pos="2268"/>
              </w:tabs>
              <w:autoSpaceDE w:val="0"/>
              <w:autoSpaceDN w:val="0"/>
              <w:spacing w:before="120" w:after="60"/>
              <w:jc w:val="center"/>
              <w:cnfStyle w:val="100000000000" w:firstRow="1" w:lastRow="0" w:firstColumn="0" w:lastColumn="0" w:oddVBand="0" w:evenVBand="0" w:oddHBand="0" w:evenHBand="0" w:firstRowFirstColumn="0" w:firstRowLastColumn="0" w:lastRowFirstColumn="0" w:lastRowLastColumn="0"/>
              <w:rPr>
                <w:rFonts w:ascii="Constantia" w:hAnsi="Constantia"/>
                <w:color w:val="auto"/>
                <w:szCs w:val="22"/>
              </w:rPr>
            </w:pPr>
            <w:r w:rsidRPr="00140F14">
              <w:rPr>
                <w:rFonts w:ascii="Constantia" w:hAnsi="Constantia"/>
                <w:color w:val="auto"/>
                <w:szCs w:val="22"/>
              </w:rPr>
              <w:t>L</w:t>
            </w:r>
            <w:r w:rsidRPr="00140F14">
              <w:rPr>
                <w:rFonts w:ascii="Constantia" w:hAnsi="Constantia"/>
                <w:b w:val="0"/>
                <w:color w:val="auto"/>
                <w:szCs w:val="22"/>
                <w:vertAlign w:val="subscript"/>
              </w:rPr>
              <w:t>day</w:t>
            </w:r>
            <w:r w:rsidRPr="00140F14">
              <w:rPr>
                <w:rFonts w:ascii="Constantia" w:hAnsi="Constantia"/>
                <w:color w:val="auto"/>
                <w:szCs w:val="22"/>
              </w:rPr>
              <w:t xml:space="preserve"> (dB)</w:t>
            </w:r>
          </w:p>
        </w:tc>
        <w:tc>
          <w:tcPr>
            <w:tcW w:w="1710" w:type="dxa"/>
          </w:tcPr>
          <w:p w:rsidR="00EB3E54" w:rsidRPr="00140F14" w:rsidRDefault="00EB3E54" w:rsidP="00EB3E54">
            <w:pPr>
              <w:keepLines/>
              <w:widowControl w:val="0"/>
              <w:tabs>
                <w:tab w:val="left" w:pos="1134"/>
                <w:tab w:val="left" w:pos="2268"/>
              </w:tabs>
              <w:autoSpaceDE w:val="0"/>
              <w:autoSpaceDN w:val="0"/>
              <w:spacing w:before="120" w:after="60"/>
              <w:jc w:val="center"/>
              <w:cnfStyle w:val="100000000000" w:firstRow="1" w:lastRow="0" w:firstColumn="0" w:lastColumn="0" w:oddVBand="0" w:evenVBand="0" w:oddHBand="0" w:evenHBand="0" w:firstRowFirstColumn="0" w:firstRowLastColumn="0" w:lastRowFirstColumn="0" w:lastRowLastColumn="0"/>
              <w:rPr>
                <w:rFonts w:ascii="Constantia" w:hAnsi="Constantia"/>
                <w:color w:val="auto"/>
                <w:szCs w:val="22"/>
              </w:rPr>
            </w:pPr>
            <w:r w:rsidRPr="00140F14">
              <w:rPr>
                <w:rFonts w:ascii="Constantia" w:hAnsi="Constantia"/>
                <w:color w:val="auto"/>
                <w:szCs w:val="22"/>
              </w:rPr>
              <w:t>L</w:t>
            </w:r>
            <w:r w:rsidRPr="00140F14">
              <w:rPr>
                <w:rFonts w:ascii="Constantia" w:hAnsi="Constantia"/>
                <w:b w:val="0"/>
                <w:color w:val="auto"/>
                <w:szCs w:val="22"/>
                <w:vertAlign w:val="subscript"/>
              </w:rPr>
              <w:t>evening</w:t>
            </w:r>
            <w:r w:rsidRPr="00140F14">
              <w:rPr>
                <w:rFonts w:ascii="Constantia" w:hAnsi="Constantia"/>
                <w:color w:val="auto"/>
                <w:szCs w:val="22"/>
              </w:rPr>
              <w:t xml:space="preserve"> (dB)</w:t>
            </w:r>
          </w:p>
        </w:tc>
        <w:tc>
          <w:tcPr>
            <w:tcW w:w="1710" w:type="dxa"/>
          </w:tcPr>
          <w:p w:rsidR="00EB3E54" w:rsidRPr="00140F14" w:rsidRDefault="00EB3E54" w:rsidP="00EB3E54">
            <w:pPr>
              <w:keepLines/>
              <w:widowControl w:val="0"/>
              <w:tabs>
                <w:tab w:val="left" w:pos="1134"/>
                <w:tab w:val="left" w:pos="2268"/>
              </w:tabs>
              <w:autoSpaceDE w:val="0"/>
              <w:autoSpaceDN w:val="0"/>
              <w:spacing w:before="120" w:after="60"/>
              <w:jc w:val="center"/>
              <w:cnfStyle w:val="100000000000" w:firstRow="1" w:lastRow="0" w:firstColumn="0" w:lastColumn="0" w:oddVBand="0" w:evenVBand="0" w:oddHBand="0" w:evenHBand="0" w:firstRowFirstColumn="0" w:firstRowLastColumn="0" w:lastRowFirstColumn="0" w:lastRowLastColumn="0"/>
              <w:rPr>
                <w:rFonts w:ascii="Constantia" w:hAnsi="Constantia"/>
                <w:b w:val="0"/>
                <w:color w:val="auto"/>
                <w:szCs w:val="22"/>
              </w:rPr>
            </w:pPr>
            <w:r w:rsidRPr="00140F14">
              <w:rPr>
                <w:rFonts w:ascii="Constantia" w:hAnsi="Constantia"/>
                <w:color w:val="auto"/>
                <w:szCs w:val="22"/>
              </w:rPr>
              <w:t>L</w:t>
            </w:r>
            <w:r w:rsidRPr="00140F14">
              <w:rPr>
                <w:rFonts w:ascii="Constantia" w:hAnsi="Constantia"/>
                <w:b w:val="0"/>
                <w:color w:val="auto"/>
                <w:szCs w:val="22"/>
                <w:vertAlign w:val="subscript"/>
              </w:rPr>
              <w:t>night</w:t>
            </w:r>
            <w:r w:rsidRPr="00140F14">
              <w:rPr>
                <w:rFonts w:ascii="Constantia" w:hAnsi="Constantia"/>
                <w:b w:val="0"/>
                <w:color w:val="auto"/>
                <w:szCs w:val="22"/>
              </w:rPr>
              <w:t xml:space="preserve"> </w:t>
            </w:r>
            <w:r w:rsidRPr="00140F14">
              <w:rPr>
                <w:rFonts w:ascii="Constantia" w:hAnsi="Constantia"/>
                <w:color w:val="auto"/>
                <w:szCs w:val="22"/>
              </w:rPr>
              <w:t>(dB)</w:t>
            </w:r>
          </w:p>
        </w:tc>
        <w:tc>
          <w:tcPr>
            <w:tcW w:w="1512" w:type="dxa"/>
          </w:tcPr>
          <w:p w:rsidR="00EB3E54" w:rsidRPr="00140F14" w:rsidRDefault="00EB3E54" w:rsidP="00EB3E54">
            <w:pPr>
              <w:keepLines/>
              <w:widowControl w:val="0"/>
              <w:tabs>
                <w:tab w:val="left" w:pos="1134"/>
                <w:tab w:val="left" w:pos="2268"/>
              </w:tabs>
              <w:autoSpaceDE w:val="0"/>
              <w:autoSpaceDN w:val="0"/>
              <w:spacing w:before="120" w:after="60"/>
              <w:jc w:val="center"/>
              <w:cnfStyle w:val="100000000000" w:firstRow="1" w:lastRow="0" w:firstColumn="0" w:lastColumn="0" w:oddVBand="0" w:evenVBand="0" w:oddHBand="0" w:evenHBand="0" w:firstRowFirstColumn="0" w:firstRowLastColumn="0" w:lastRowFirstColumn="0" w:lastRowLastColumn="0"/>
              <w:rPr>
                <w:rFonts w:ascii="Constantia" w:hAnsi="Constantia"/>
                <w:color w:val="auto"/>
                <w:szCs w:val="22"/>
              </w:rPr>
            </w:pPr>
            <w:r w:rsidRPr="00140F14">
              <w:rPr>
                <w:rFonts w:ascii="Constantia" w:hAnsi="Constantia"/>
                <w:color w:val="auto"/>
                <w:szCs w:val="22"/>
              </w:rPr>
              <w:t>L</w:t>
            </w:r>
            <w:r w:rsidRPr="00140F14">
              <w:rPr>
                <w:rFonts w:ascii="Constantia" w:hAnsi="Constantia"/>
                <w:b w:val="0"/>
                <w:color w:val="auto"/>
                <w:szCs w:val="22"/>
                <w:vertAlign w:val="subscript"/>
              </w:rPr>
              <w:t>den</w:t>
            </w:r>
            <w:r w:rsidRPr="00140F14">
              <w:rPr>
                <w:rFonts w:ascii="Constantia" w:hAnsi="Constantia"/>
                <w:color w:val="auto"/>
                <w:szCs w:val="22"/>
              </w:rPr>
              <w:t xml:space="preserve"> (dB)</w:t>
            </w:r>
          </w:p>
        </w:tc>
      </w:tr>
      <w:tr w:rsidR="00EB3E54" w:rsidRPr="00140F14" w:rsidTr="004F10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rsidR="00EB3E54" w:rsidRPr="00140F14" w:rsidRDefault="00EB3E54" w:rsidP="0097248A">
            <w:pPr>
              <w:keepLines/>
              <w:widowControl w:val="0"/>
              <w:tabs>
                <w:tab w:val="left" w:pos="1134"/>
                <w:tab w:val="left" w:pos="2268"/>
              </w:tabs>
              <w:autoSpaceDE w:val="0"/>
              <w:autoSpaceDN w:val="0"/>
              <w:spacing w:after="60"/>
              <w:jc w:val="center"/>
              <w:rPr>
                <w:rFonts w:ascii="Constantia" w:hAnsi="Constantia"/>
                <w:szCs w:val="22"/>
              </w:rPr>
            </w:pPr>
            <w:r w:rsidRPr="00140F14">
              <w:rPr>
                <w:rFonts w:ascii="Constantia" w:hAnsi="Constantia"/>
                <w:szCs w:val="22"/>
              </w:rPr>
              <w:t>I Ciklus</w:t>
            </w:r>
          </w:p>
        </w:tc>
        <w:tc>
          <w:tcPr>
            <w:tcW w:w="1710" w:type="dxa"/>
          </w:tcPr>
          <w:p w:rsidR="00EB3E54" w:rsidRPr="00140F14" w:rsidRDefault="00EB3E54" w:rsidP="0097248A">
            <w:pPr>
              <w:keepLines/>
              <w:widowControl w:val="0"/>
              <w:tabs>
                <w:tab w:val="left" w:pos="1134"/>
                <w:tab w:val="left" w:pos="2268"/>
              </w:tabs>
              <w:autoSpaceDE w:val="0"/>
              <w:autoSpaceDN w:val="0"/>
              <w:spacing w:after="6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140F14">
              <w:rPr>
                <w:rFonts w:ascii="Constantia" w:hAnsi="Constantia"/>
                <w:b/>
                <w:szCs w:val="22"/>
              </w:rPr>
              <w:t>67</w:t>
            </w:r>
          </w:p>
        </w:tc>
        <w:tc>
          <w:tcPr>
            <w:tcW w:w="1710" w:type="dxa"/>
          </w:tcPr>
          <w:p w:rsidR="00EB3E54" w:rsidRPr="00140F14" w:rsidRDefault="00EB3E54" w:rsidP="0097248A">
            <w:pPr>
              <w:keepLines/>
              <w:widowControl w:val="0"/>
              <w:tabs>
                <w:tab w:val="left" w:pos="1134"/>
                <w:tab w:val="left" w:pos="2268"/>
              </w:tabs>
              <w:autoSpaceDE w:val="0"/>
              <w:autoSpaceDN w:val="0"/>
              <w:spacing w:after="6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140F14">
              <w:rPr>
                <w:rFonts w:ascii="Constantia" w:hAnsi="Constantia"/>
                <w:b/>
                <w:szCs w:val="22"/>
              </w:rPr>
              <w:t>66</w:t>
            </w:r>
          </w:p>
        </w:tc>
        <w:tc>
          <w:tcPr>
            <w:tcW w:w="1710" w:type="dxa"/>
          </w:tcPr>
          <w:p w:rsidR="00EB3E54" w:rsidRPr="00140F14" w:rsidRDefault="00EB3E54" w:rsidP="0097248A">
            <w:pPr>
              <w:keepLines/>
              <w:widowControl w:val="0"/>
              <w:tabs>
                <w:tab w:val="left" w:pos="1134"/>
                <w:tab w:val="left" w:pos="2268"/>
              </w:tabs>
              <w:autoSpaceDE w:val="0"/>
              <w:autoSpaceDN w:val="0"/>
              <w:spacing w:after="6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140F14">
              <w:rPr>
                <w:rFonts w:ascii="Constantia" w:hAnsi="Constantia"/>
                <w:b/>
                <w:szCs w:val="22"/>
              </w:rPr>
              <w:t>64</w:t>
            </w:r>
          </w:p>
        </w:tc>
        <w:tc>
          <w:tcPr>
            <w:tcW w:w="1512" w:type="dxa"/>
          </w:tcPr>
          <w:p w:rsidR="00EB3E54" w:rsidRPr="00140F14" w:rsidRDefault="00EB3E54" w:rsidP="0097248A">
            <w:pPr>
              <w:keepLines/>
              <w:widowControl w:val="0"/>
              <w:tabs>
                <w:tab w:val="left" w:pos="1134"/>
                <w:tab w:val="left" w:pos="2268"/>
              </w:tabs>
              <w:autoSpaceDE w:val="0"/>
              <w:autoSpaceDN w:val="0"/>
              <w:spacing w:after="6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140F14">
              <w:rPr>
                <w:rFonts w:ascii="Constantia" w:hAnsi="Constantia"/>
                <w:b/>
                <w:szCs w:val="22"/>
              </w:rPr>
              <w:t>72</w:t>
            </w:r>
          </w:p>
        </w:tc>
      </w:tr>
      <w:tr w:rsidR="00EB3E54" w:rsidRPr="00140F14" w:rsidTr="004F1041">
        <w:tc>
          <w:tcPr>
            <w:cnfStyle w:val="001000000000" w:firstRow="0" w:lastRow="0" w:firstColumn="1" w:lastColumn="0" w:oddVBand="0" w:evenVBand="0" w:oddHBand="0" w:evenHBand="0" w:firstRowFirstColumn="0" w:firstRowLastColumn="0" w:lastRowFirstColumn="0" w:lastRowLastColumn="0"/>
            <w:tcW w:w="2268" w:type="dxa"/>
          </w:tcPr>
          <w:p w:rsidR="00EB3E54" w:rsidRPr="00140F14" w:rsidRDefault="00EB3E54" w:rsidP="0097248A">
            <w:pPr>
              <w:keepLines/>
              <w:widowControl w:val="0"/>
              <w:tabs>
                <w:tab w:val="left" w:pos="1134"/>
                <w:tab w:val="left" w:pos="2268"/>
              </w:tabs>
              <w:autoSpaceDE w:val="0"/>
              <w:autoSpaceDN w:val="0"/>
              <w:spacing w:after="60"/>
              <w:jc w:val="center"/>
              <w:rPr>
                <w:rFonts w:ascii="Constantia" w:hAnsi="Constantia"/>
                <w:szCs w:val="22"/>
              </w:rPr>
            </w:pPr>
            <w:r w:rsidRPr="00140F14">
              <w:rPr>
                <w:rFonts w:ascii="Constantia" w:hAnsi="Constantia"/>
                <w:szCs w:val="22"/>
              </w:rPr>
              <w:t>II Ciklus</w:t>
            </w:r>
          </w:p>
        </w:tc>
        <w:tc>
          <w:tcPr>
            <w:tcW w:w="1710" w:type="dxa"/>
          </w:tcPr>
          <w:p w:rsidR="00EB3E54" w:rsidRPr="00140F14" w:rsidRDefault="00EB3E54" w:rsidP="0097248A">
            <w:pPr>
              <w:keepLines/>
              <w:widowControl w:val="0"/>
              <w:tabs>
                <w:tab w:val="left" w:pos="1134"/>
                <w:tab w:val="left" w:pos="2268"/>
              </w:tabs>
              <w:autoSpaceDE w:val="0"/>
              <w:autoSpaceDN w:val="0"/>
              <w:spacing w:after="60"/>
              <w:jc w:val="center"/>
              <w:cnfStyle w:val="000000000000" w:firstRow="0" w:lastRow="0" w:firstColumn="0" w:lastColumn="0" w:oddVBand="0" w:evenVBand="0" w:oddHBand="0" w:evenHBand="0" w:firstRowFirstColumn="0" w:firstRowLastColumn="0" w:lastRowFirstColumn="0" w:lastRowLastColumn="0"/>
              <w:rPr>
                <w:rFonts w:ascii="Constantia" w:hAnsi="Constantia"/>
                <w:b/>
                <w:szCs w:val="22"/>
              </w:rPr>
            </w:pPr>
            <w:r w:rsidRPr="00140F14">
              <w:rPr>
                <w:rFonts w:ascii="Constantia" w:hAnsi="Constantia"/>
                <w:b/>
                <w:szCs w:val="22"/>
              </w:rPr>
              <w:t>61</w:t>
            </w:r>
          </w:p>
        </w:tc>
        <w:tc>
          <w:tcPr>
            <w:tcW w:w="1710" w:type="dxa"/>
          </w:tcPr>
          <w:p w:rsidR="00EB3E54" w:rsidRPr="00140F14" w:rsidRDefault="00EB3E54" w:rsidP="0097248A">
            <w:pPr>
              <w:keepLines/>
              <w:widowControl w:val="0"/>
              <w:tabs>
                <w:tab w:val="left" w:pos="1134"/>
                <w:tab w:val="left" w:pos="2268"/>
              </w:tabs>
              <w:autoSpaceDE w:val="0"/>
              <w:autoSpaceDN w:val="0"/>
              <w:spacing w:after="60"/>
              <w:jc w:val="center"/>
              <w:cnfStyle w:val="000000000000" w:firstRow="0" w:lastRow="0" w:firstColumn="0" w:lastColumn="0" w:oddVBand="0" w:evenVBand="0" w:oddHBand="0" w:evenHBand="0" w:firstRowFirstColumn="0" w:firstRowLastColumn="0" w:lastRowFirstColumn="0" w:lastRowLastColumn="0"/>
              <w:rPr>
                <w:rFonts w:ascii="Constantia" w:hAnsi="Constantia"/>
                <w:b/>
                <w:szCs w:val="22"/>
              </w:rPr>
            </w:pPr>
            <w:r w:rsidRPr="00140F14">
              <w:rPr>
                <w:rFonts w:ascii="Constantia" w:hAnsi="Constantia"/>
                <w:b/>
                <w:szCs w:val="22"/>
              </w:rPr>
              <w:t>59</w:t>
            </w:r>
          </w:p>
        </w:tc>
        <w:tc>
          <w:tcPr>
            <w:tcW w:w="1710" w:type="dxa"/>
          </w:tcPr>
          <w:p w:rsidR="00EB3E54" w:rsidRPr="00140F14" w:rsidRDefault="00EB3E54" w:rsidP="0097248A">
            <w:pPr>
              <w:keepLines/>
              <w:widowControl w:val="0"/>
              <w:tabs>
                <w:tab w:val="left" w:pos="1134"/>
                <w:tab w:val="left" w:pos="2268"/>
              </w:tabs>
              <w:autoSpaceDE w:val="0"/>
              <w:autoSpaceDN w:val="0"/>
              <w:spacing w:after="60"/>
              <w:jc w:val="center"/>
              <w:cnfStyle w:val="000000000000" w:firstRow="0" w:lastRow="0" w:firstColumn="0" w:lastColumn="0" w:oddVBand="0" w:evenVBand="0" w:oddHBand="0" w:evenHBand="0" w:firstRowFirstColumn="0" w:firstRowLastColumn="0" w:lastRowFirstColumn="0" w:lastRowLastColumn="0"/>
              <w:rPr>
                <w:rFonts w:ascii="Constantia" w:hAnsi="Constantia"/>
                <w:b/>
                <w:szCs w:val="22"/>
              </w:rPr>
            </w:pPr>
            <w:r w:rsidRPr="00140F14">
              <w:rPr>
                <w:rFonts w:ascii="Constantia" w:hAnsi="Constantia"/>
                <w:b/>
                <w:szCs w:val="22"/>
              </w:rPr>
              <w:t>56</w:t>
            </w:r>
          </w:p>
        </w:tc>
        <w:tc>
          <w:tcPr>
            <w:tcW w:w="1512" w:type="dxa"/>
          </w:tcPr>
          <w:p w:rsidR="00EB3E54" w:rsidRPr="00140F14" w:rsidRDefault="00EB3E54" w:rsidP="0097248A">
            <w:pPr>
              <w:keepLines/>
              <w:widowControl w:val="0"/>
              <w:tabs>
                <w:tab w:val="left" w:pos="1134"/>
                <w:tab w:val="left" w:pos="2268"/>
              </w:tabs>
              <w:autoSpaceDE w:val="0"/>
              <w:autoSpaceDN w:val="0"/>
              <w:spacing w:after="60"/>
              <w:jc w:val="center"/>
              <w:cnfStyle w:val="000000000000" w:firstRow="0" w:lastRow="0" w:firstColumn="0" w:lastColumn="0" w:oddVBand="0" w:evenVBand="0" w:oddHBand="0" w:evenHBand="0" w:firstRowFirstColumn="0" w:firstRowLastColumn="0" w:lastRowFirstColumn="0" w:lastRowLastColumn="0"/>
              <w:rPr>
                <w:rFonts w:ascii="Constantia" w:hAnsi="Constantia"/>
                <w:b/>
                <w:szCs w:val="22"/>
              </w:rPr>
            </w:pPr>
            <w:r w:rsidRPr="00140F14">
              <w:rPr>
                <w:rFonts w:ascii="Constantia" w:hAnsi="Constantia"/>
                <w:b/>
                <w:szCs w:val="22"/>
              </w:rPr>
              <w:t>64</w:t>
            </w:r>
          </w:p>
        </w:tc>
      </w:tr>
      <w:tr w:rsidR="00EB3E54" w:rsidRPr="00140F14" w:rsidTr="004F10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rsidR="00EB3E54" w:rsidRPr="00140F14" w:rsidRDefault="00EB3E54" w:rsidP="0097248A">
            <w:pPr>
              <w:keepLines/>
              <w:widowControl w:val="0"/>
              <w:tabs>
                <w:tab w:val="left" w:pos="1134"/>
                <w:tab w:val="left" w:pos="2268"/>
              </w:tabs>
              <w:autoSpaceDE w:val="0"/>
              <w:autoSpaceDN w:val="0"/>
              <w:spacing w:after="60"/>
              <w:jc w:val="center"/>
              <w:rPr>
                <w:rFonts w:ascii="Constantia" w:hAnsi="Constantia"/>
                <w:szCs w:val="22"/>
              </w:rPr>
            </w:pPr>
            <w:r w:rsidRPr="00140F14">
              <w:rPr>
                <w:rFonts w:ascii="Constantia" w:hAnsi="Constantia"/>
                <w:szCs w:val="22"/>
              </w:rPr>
              <w:t>Granična vrijednost</w:t>
            </w:r>
          </w:p>
        </w:tc>
        <w:tc>
          <w:tcPr>
            <w:tcW w:w="1710" w:type="dxa"/>
          </w:tcPr>
          <w:p w:rsidR="00EB3E54" w:rsidRPr="00140F14" w:rsidRDefault="00EB3E54" w:rsidP="0097248A">
            <w:pPr>
              <w:keepLines/>
              <w:widowControl w:val="0"/>
              <w:tabs>
                <w:tab w:val="left" w:pos="1134"/>
                <w:tab w:val="left" w:pos="2268"/>
              </w:tabs>
              <w:autoSpaceDE w:val="0"/>
              <w:autoSpaceDN w:val="0"/>
              <w:spacing w:after="6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140F14">
              <w:rPr>
                <w:rFonts w:ascii="Constantia" w:hAnsi="Constantia"/>
                <w:b/>
                <w:szCs w:val="22"/>
              </w:rPr>
              <w:t>60</w:t>
            </w:r>
          </w:p>
        </w:tc>
        <w:tc>
          <w:tcPr>
            <w:tcW w:w="1710" w:type="dxa"/>
          </w:tcPr>
          <w:p w:rsidR="00EB3E54" w:rsidRPr="00140F14" w:rsidRDefault="00EB3E54" w:rsidP="0097248A">
            <w:pPr>
              <w:keepLines/>
              <w:widowControl w:val="0"/>
              <w:tabs>
                <w:tab w:val="left" w:pos="1134"/>
                <w:tab w:val="left" w:pos="2268"/>
              </w:tabs>
              <w:autoSpaceDE w:val="0"/>
              <w:autoSpaceDN w:val="0"/>
              <w:spacing w:after="6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140F14">
              <w:rPr>
                <w:rFonts w:ascii="Constantia" w:hAnsi="Constantia"/>
                <w:b/>
                <w:szCs w:val="22"/>
              </w:rPr>
              <w:t>60</w:t>
            </w:r>
          </w:p>
        </w:tc>
        <w:tc>
          <w:tcPr>
            <w:tcW w:w="1710" w:type="dxa"/>
          </w:tcPr>
          <w:p w:rsidR="00EB3E54" w:rsidRPr="00140F14" w:rsidRDefault="00EB3E54" w:rsidP="0097248A">
            <w:pPr>
              <w:keepLines/>
              <w:widowControl w:val="0"/>
              <w:tabs>
                <w:tab w:val="left" w:pos="1134"/>
                <w:tab w:val="left" w:pos="2268"/>
              </w:tabs>
              <w:autoSpaceDE w:val="0"/>
              <w:autoSpaceDN w:val="0"/>
              <w:spacing w:after="6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140F14">
              <w:rPr>
                <w:rFonts w:ascii="Constantia" w:hAnsi="Constantia"/>
                <w:b/>
                <w:szCs w:val="22"/>
              </w:rPr>
              <w:t>55</w:t>
            </w:r>
          </w:p>
        </w:tc>
        <w:tc>
          <w:tcPr>
            <w:tcW w:w="1512" w:type="dxa"/>
          </w:tcPr>
          <w:p w:rsidR="00EB3E54" w:rsidRPr="00140F14" w:rsidRDefault="00EB3E54" w:rsidP="0097248A">
            <w:pPr>
              <w:keepLines/>
              <w:widowControl w:val="0"/>
              <w:tabs>
                <w:tab w:val="left" w:pos="1134"/>
                <w:tab w:val="left" w:pos="2268"/>
              </w:tabs>
              <w:autoSpaceDE w:val="0"/>
              <w:autoSpaceDN w:val="0"/>
              <w:spacing w:after="6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140F14">
              <w:rPr>
                <w:rFonts w:ascii="Constantia" w:hAnsi="Constantia"/>
                <w:b/>
                <w:szCs w:val="22"/>
              </w:rPr>
              <w:t>---</w:t>
            </w:r>
          </w:p>
        </w:tc>
      </w:tr>
    </w:tbl>
    <w:p w:rsidR="00EB3E54" w:rsidRPr="00EB3E54" w:rsidRDefault="004F1041" w:rsidP="004F1041">
      <w:pPr>
        <w:numPr>
          <w:ilvl w:val="0"/>
          <w:numId w:val="3"/>
        </w:numPr>
        <w:tabs>
          <w:tab w:val="left" w:pos="1170"/>
          <w:tab w:val="left" w:pos="1350"/>
        </w:tabs>
        <w:spacing w:before="60" w:after="0"/>
        <w:ind w:left="0" w:firstLine="0"/>
        <w:jc w:val="center"/>
        <w:rPr>
          <w:i/>
          <w:sz w:val="20"/>
          <w:lang w:val="sr-Latn-CS"/>
        </w:rPr>
      </w:pPr>
      <w:r w:rsidRPr="00197E2B">
        <w:rPr>
          <w:rFonts w:ascii="Constantia" w:hAnsi="Constantia"/>
          <w:i/>
          <w:szCs w:val="22"/>
          <w:lang w:val="sr-Latn-CS"/>
        </w:rPr>
        <w:t xml:space="preserve">Srednji indikatori buke na mjernom </w:t>
      </w:r>
      <w:r w:rsidRPr="004F1041">
        <w:rPr>
          <w:rFonts w:ascii="Constantia" w:hAnsi="Constantia"/>
          <w:i/>
          <w:szCs w:val="22"/>
          <w:lang w:val="sr-Latn-CS"/>
        </w:rPr>
        <w:t xml:space="preserve">mjestu </w:t>
      </w:r>
      <w:r w:rsidR="00EB3E54" w:rsidRPr="004F1041">
        <w:rPr>
          <w:rFonts w:ascii="Constantia" w:hAnsi="Constantia"/>
          <w:i/>
          <w:szCs w:val="22"/>
          <w:lang w:val="sr-Latn-CS"/>
        </w:rPr>
        <w:t>I Proleterske brigade</w:t>
      </w:r>
    </w:p>
    <w:p w:rsidR="003E1894" w:rsidRDefault="003E1894" w:rsidP="00EB3E54"/>
    <w:p w:rsidR="00EB3E54" w:rsidRPr="004F1041" w:rsidRDefault="00EB3E54" w:rsidP="00EB3E54">
      <w:pPr>
        <w:rPr>
          <w:rFonts w:ascii="Constantia" w:hAnsi="Constantia"/>
          <w:lang w:val="sr-Latn-CS"/>
        </w:rPr>
      </w:pPr>
      <w:r w:rsidRPr="004F1041">
        <w:rPr>
          <w:rFonts w:ascii="Constantia" w:hAnsi="Constantia"/>
        </w:rPr>
        <w:t>Vrijednosti</w:t>
      </w:r>
      <w:r w:rsidRPr="004F1041">
        <w:rPr>
          <w:rFonts w:ascii="Constantia" w:hAnsi="Constantia"/>
          <w:lang w:val="sr-Latn-CS"/>
        </w:rPr>
        <w:t xml:space="preserve"> </w:t>
      </w:r>
      <w:r w:rsidRPr="004F1041">
        <w:rPr>
          <w:rFonts w:ascii="Constantia" w:hAnsi="Constantia"/>
        </w:rPr>
        <w:t>indikatora</w:t>
      </w:r>
      <w:r w:rsidRPr="004F1041">
        <w:rPr>
          <w:rFonts w:ascii="Constantia" w:hAnsi="Constantia"/>
          <w:lang w:val="sr-Latn-CS"/>
        </w:rPr>
        <w:t xml:space="preserve"> </w:t>
      </w:r>
      <w:r w:rsidRPr="004F1041">
        <w:rPr>
          <w:rFonts w:ascii="Constantia" w:hAnsi="Constantia"/>
        </w:rPr>
        <w:t>buke</w:t>
      </w:r>
      <w:r w:rsidRPr="004F1041">
        <w:rPr>
          <w:rFonts w:ascii="Constantia" w:hAnsi="Constantia"/>
          <w:lang w:val="sr-Latn-CS"/>
        </w:rPr>
        <w:t xml:space="preserve"> </w:t>
      </w:r>
      <w:r w:rsidRPr="004F1041">
        <w:rPr>
          <w:rFonts w:ascii="Constantia" w:hAnsi="Constantia"/>
        </w:rPr>
        <w:t>su</w:t>
      </w:r>
      <w:r w:rsidRPr="004F1041">
        <w:rPr>
          <w:rFonts w:ascii="Constantia" w:hAnsi="Constantia"/>
          <w:lang w:val="sr-Latn-CS"/>
        </w:rPr>
        <w:t xml:space="preserve"> </w:t>
      </w:r>
      <w:r w:rsidRPr="004F1041">
        <w:rPr>
          <w:rFonts w:ascii="Constantia" w:hAnsi="Constantia"/>
        </w:rPr>
        <w:t>ve</w:t>
      </w:r>
      <w:r w:rsidRPr="004F1041">
        <w:rPr>
          <w:rFonts w:ascii="Constantia" w:hAnsi="Constantia"/>
          <w:lang w:val="sr-Latn-CS"/>
        </w:rPr>
        <w:t>ć</w:t>
      </w:r>
      <w:r w:rsidRPr="004F1041">
        <w:rPr>
          <w:rFonts w:ascii="Constantia" w:hAnsi="Constantia"/>
        </w:rPr>
        <w:t>e</w:t>
      </w:r>
      <w:r w:rsidRPr="004F1041">
        <w:rPr>
          <w:rFonts w:ascii="Constantia" w:hAnsi="Constantia"/>
          <w:lang w:val="sr-Latn-CS"/>
        </w:rPr>
        <w:t xml:space="preserve"> </w:t>
      </w:r>
      <w:r w:rsidRPr="004F1041">
        <w:rPr>
          <w:rFonts w:ascii="Constantia" w:hAnsi="Constantia"/>
        </w:rPr>
        <w:t>u</w:t>
      </w:r>
      <w:r w:rsidRPr="004F1041">
        <w:rPr>
          <w:rFonts w:ascii="Constantia" w:hAnsi="Constantia"/>
          <w:lang w:val="sr-Latn-CS"/>
        </w:rPr>
        <w:t xml:space="preserve"> </w:t>
      </w:r>
      <w:r w:rsidRPr="004F1041">
        <w:rPr>
          <w:rFonts w:ascii="Constantia" w:hAnsi="Constantia"/>
        </w:rPr>
        <w:t>prvom</w:t>
      </w:r>
      <w:r w:rsidRPr="004F1041">
        <w:rPr>
          <w:rFonts w:ascii="Constantia" w:hAnsi="Constantia"/>
          <w:lang w:val="sr-Latn-CS"/>
        </w:rPr>
        <w:t xml:space="preserve"> </w:t>
      </w:r>
      <w:r w:rsidRPr="004F1041">
        <w:rPr>
          <w:rFonts w:ascii="Constantia" w:hAnsi="Constantia"/>
        </w:rPr>
        <w:t>ciklusu</w:t>
      </w:r>
      <w:r w:rsidRPr="004F1041">
        <w:rPr>
          <w:rFonts w:ascii="Constantia" w:hAnsi="Constantia"/>
          <w:lang w:val="sr-Latn-CS"/>
        </w:rPr>
        <w:t xml:space="preserve"> </w:t>
      </w:r>
      <w:r w:rsidRPr="004F1041">
        <w:rPr>
          <w:rFonts w:ascii="Constantia" w:hAnsi="Constantia"/>
        </w:rPr>
        <w:t>mjerenja</w:t>
      </w:r>
      <w:r w:rsidRPr="004F1041">
        <w:rPr>
          <w:rFonts w:ascii="Constantia" w:hAnsi="Constantia"/>
          <w:lang w:val="sr-Latn-CS"/>
        </w:rPr>
        <w:t xml:space="preserve"> (</w:t>
      </w:r>
      <w:r w:rsidRPr="004F1041">
        <w:rPr>
          <w:rFonts w:ascii="Constantia" w:hAnsi="Constantia"/>
        </w:rPr>
        <w:t>sredina</w:t>
      </w:r>
      <w:r w:rsidRPr="004F1041">
        <w:rPr>
          <w:rFonts w:ascii="Constantia" w:hAnsi="Constantia"/>
          <w:lang w:val="sr-Latn-CS"/>
        </w:rPr>
        <w:t xml:space="preserve"> </w:t>
      </w:r>
      <w:r w:rsidRPr="004F1041">
        <w:rPr>
          <w:rFonts w:ascii="Constantia" w:hAnsi="Constantia"/>
        </w:rPr>
        <w:t>juna</w:t>
      </w:r>
      <w:r w:rsidRPr="004F1041">
        <w:rPr>
          <w:rFonts w:ascii="Constantia" w:hAnsi="Constantia"/>
          <w:lang w:val="sr-Latn-CS"/>
        </w:rPr>
        <w:t xml:space="preserve">) </w:t>
      </w:r>
      <w:r w:rsidRPr="004F1041">
        <w:rPr>
          <w:rFonts w:ascii="Constantia" w:hAnsi="Constantia"/>
        </w:rPr>
        <w:t>nego</w:t>
      </w:r>
      <w:r w:rsidRPr="004F1041">
        <w:rPr>
          <w:rFonts w:ascii="Constantia" w:hAnsi="Constantia"/>
          <w:lang w:val="sr-Latn-CS"/>
        </w:rPr>
        <w:t xml:space="preserve"> </w:t>
      </w:r>
      <w:r w:rsidRPr="004F1041">
        <w:rPr>
          <w:rFonts w:ascii="Constantia" w:hAnsi="Constantia"/>
        </w:rPr>
        <w:t>u</w:t>
      </w:r>
      <w:r w:rsidRPr="004F1041">
        <w:rPr>
          <w:rFonts w:ascii="Constantia" w:hAnsi="Constantia"/>
          <w:lang w:val="sr-Latn-CS"/>
        </w:rPr>
        <w:t xml:space="preserve"> </w:t>
      </w:r>
      <w:r w:rsidRPr="004F1041">
        <w:rPr>
          <w:rFonts w:ascii="Constantia" w:hAnsi="Constantia"/>
        </w:rPr>
        <w:t>drugom</w:t>
      </w:r>
      <w:r w:rsidRPr="004F1041">
        <w:rPr>
          <w:rFonts w:ascii="Constantia" w:hAnsi="Constantia"/>
          <w:lang w:val="sr-Latn-CS"/>
        </w:rPr>
        <w:t xml:space="preserve"> </w:t>
      </w:r>
      <w:r w:rsidRPr="004F1041">
        <w:rPr>
          <w:rFonts w:ascii="Constantia" w:hAnsi="Constantia"/>
        </w:rPr>
        <w:t>ciklusu</w:t>
      </w:r>
      <w:r w:rsidRPr="004F1041">
        <w:rPr>
          <w:rFonts w:ascii="Constantia" w:hAnsi="Constantia"/>
          <w:lang w:val="sr-Latn-CS"/>
        </w:rPr>
        <w:t xml:space="preserve"> </w:t>
      </w:r>
      <w:r w:rsidRPr="004F1041">
        <w:rPr>
          <w:rFonts w:ascii="Constantia" w:hAnsi="Constantia"/>
        </w:rPr>
        <w:t>mjerenja</w:t>
      </w:r>
      <w:r w:rsidRPr="004F1041">
        <w:rPr>
          <w:rFonts w:ascii="Constantia" w:hAnsi="Constantia"/>
          <w:lang w:val="sr-Latn-CS"/>
        </w:rPr>
        <w:t xml:space="preserve"> (</w:t>
      </w:r>
      <w:r w:rsidRPr="004F1041">
        <w:rPr>
          <w:rFonts w:ascii="Constantia" w:hAnsi="Constantia"/>
        </w:rPr>
        <w:t>sredina</w:t>
      </w:r>
      <w:r w:rsidRPr="004F1041">
        <w:rPr>
          <w:rFonts w:ascii="Constantia" w:hAnsi="Constantia"/>
          <w:lang w:val="sr-Latn-CS"/>
        </w:rPr>
        <w:t xml:space="preserve"> </w:t>
      </w:r>
      <w:r w:rsidRPr="004F1041">
        <w:rPr>
          <w:rFonts w:ascii="Constantia" w:hAnsi="Constantia"/>
        </w:rPr>
        <w:t>oktobra</w:t>
      </w:r>
      <w:r w:rsidRPr="004F1041">
        <w:rPr>
          <w:rFonts w:ascii="Constantia" w:hAnsi="Constantia"/>
          <w:lang w:val="sr-Latn-CS"/>
        </w:rPr>
        <w:t xml:space="preserve">). </w:t>
      </w:r>
    </w:p>
    <w:p w:rsidR="00EB3E54" w:rsidRPr="004F1041" w:rsidRDefault="00EB3E54" w:rsidP="00EB3E54">
      <w:pPr>
        <w:rPr>
          <w:rFonts w:ascii="Constantia" w:hAnsi="Constantia"/>
          <w:lang w:val="sr-Latn-CS"/>
        </w:rPr>
      </w:pPr>
      <w:r w:rsidRPr="004F1041">
        <w:rPr>
          <w:rFonts w:ascii="Constantia" w:hAnsi="Constantia"/>
        </w:rPr>
        <w:t>U</w:t>
      </w:r>
      <w:r w:rsidRPr="004F1041">
        <w:rPr>
          <w:rFonts w:ascii="Constantia" w:hAnsi="Constantia"/>
          <w:lang w:val="sr-Latn-CS"/>
        </w:rPr>
        <w:t xml:space="preserve"> </w:t>
      </w:r>
      <w:r w:rsidRPr="004F1041">
        <w:rPr>
          <w:rFonts w:ascii="Constantia" w:hAnsi="Constantia"/>
        </w:rPr>
        <w:t>prvom</w:t>
      </w:r>
      <w:r w:rsidRPr="004F1041">
        <w:rPr>
          <w:rFonts w:ascii="Constantia" w:hAnsi="Constantia"/>
          <w:lang w:val="sr-Latn-CS"/>
        </w:rPr>
        <w:t xml:space="preserve"> </w:t>
      </w:r>
      <w:r w:rsidRPr="004F1041">
        <w:rPr>
          <w:rFonts w:ascii="Constantia" w:hAnsi="Constantia"/>
        </w:rPr>
        <w:t>ciklusu</w:t>
      </w:r>
      <w:r w:rsidRPr="004F1041">
        <w:rPr>
          <w:rFonts w:ascii="Constantia" w:hAnsi="Constantia"/>
          <w:lang w:val="sr-Latn-CS"/>
        </w:rPr>
        <w:t xml:space="preserve"> </w:t>
      </w:r>
      <w:r w:rsidRPr="004F1041">
        <w:rPr>
          <w:rFonts w:ascii="Constantia" w:hAnsi="Constantia"/>
        </w:rPr>
        <w:t>sve</w:t>
      </w:r>
      <w:r w:rsidRPr="004F1041">
        <w:rPr>
          <w:rFonts w:ascii="Constantia" w:hAnsi="Constantia"/>
          <w:lang w:val="sr-Latn-CS"/>
        </w:rPr>
        <w:t xml:space="preserve"> </w:t>
      </w:r>
      <w:r w:rsidRPr="004F1041">
        <w:rPr>
          <w:rFonts w:ascii="Constantia" w:hAnsi="Constantia"/>
        </w:rPr>
        <w:t>tri</w:t>
      </w:r>
      <w:r w:rsidRPr="004F1041">
        <w:rPr>
          <w:rFonts w:ascii="Constantia" w:hAnsi="Constantia"/>
          <w:lang w:val="sr-Latn-CS"/>
        </w:rPr>
        <w:t xml:space="preserve"> </w:t>
      </w:r>
      <w:r w:rsidRPr="004F1041">
        <w:rPr>
          <w:rFonts w:ascii="Constantia" w:hAnsi="Constantia"/>
        </w:rPr>
        <w:t>vrijednosti</w:t>
      </w:r>
      <w:r w:rsidRPr="004F1041">
        <w:rPr>
          <w:rFonts w:ascii="Constantia" w:hAnsi="Constantia"/>
          <w:lang w:val="sr-Latn-CS"/>
        </w:rPr>
        <w:t xml:space="preserve"> </w:t>
      </w:r>
      <w:r w:rsidRPr="004F1041">
        <w:rPr>
          <w:rFonts w:ascii="Constantia" w:hAnsi="Constantia"/>
        </w:rPr>
        <w:t>indikatora</w:t>
      </w:r>
      <w:r w:rsidRPr="004F1041">
        <w:rPr>
          <w:rFonts w:ascii="Constantia" w:hAnsi="Constantia"/>
          <w:lang w:val="sr-Latn-CS"/>
        </w:rPr>
        <w:t xml:space="preserve"> </w:t>
      </w:r>
      <w:r w:rsidRPr="004F1041">
        <w:rPr>
          <w:rFonts w:ascii="Constantia" w:hAnsi="Constantia"/>
        </w:rPr>
        <w:t>buke</w:t>
      </w:r>
      <w:r w:rsidRPr="004F1041">
        <w:rPr>
          <w:rFonts w:ascii="Constantia" w:hAnsi="Constantia"/>
          <w:lang w:val="sr-Latn-CS"/>
        </w:rPr>
        <w:t xml:space="preserve"> </w:t>
      </w:r>
      <w:r w:rsidRPr="004F1041">
        <w:rPr>
          <w:rFonts w:ascii="Constantia" w:hAnsi="Constantia"/>
        </w:rPr>
        <w:t>za</w:t>
      </w:r>
      <w:r w:rsidRPr="004F1041">
        <w:rPr>
          <w:rFonts w:ascii="Constantia" w:hAnsi="Constantia"/>
          <w:lang w:val="sr-Latn-CS"/>
        </w:rPr>
        <w:t xml:space="preserve"> </w:t>
      </w:r>
      <w:r w:rsidRPr="004F1041">
        <w:rPr>
          <w:rFonts w:ascii="Constantia" w:hAnsi="Constantia"/>
        </w:rPr>
        <w:t>dan</w:t>
      </w:r>
      <w:r w:rsidRPr="004F1041">
        <w:rPr>
          <w:rFonts w:ascii="Constantia" w:hAnsi="Constantia"/>
          <w:lang w:val="sr-Latn-CS"/>
        </w:rPr>
        <w:t xml:space="preserve">, </w:t>
      </w:r>
      <w:r w:rsidRPr="004F1041">
        <w:rPr>
          <w:rFonts w:ascii="Constantia" w:hAnsi="Constantia"/>
        </w:rPr>
        <w:t>ve</w:t>
      </w:r>
      <w:r w:rsidRPr="004F1041">
        <w:rPr>
          <w:rFonts w:ascii="Constantia" w:hAnsi="Constantia"/>
          <w:lang w:val="sr-Latn-CS"/>
        </w:rPr>
        <w:t>č</w:t>
      </w:r>
      <w:r w:rsidRPr="004F1041">
        <w:rPr>
          <w:rFonts w:ascii="Constantia" w:hAnsi="Constantia"/>
        </w:rPr>
        <w:t>e</w:t>
      </w:r>
      <w:r w:rsidRPr="004F1041">
        <w:rPr>
          <w:rFonts w:ascii="Constantia" w:hAnsi="Constantia"/>
          <w:lang w:val="sr-Latn-CS"/>
        </w:rPr>
        <w:t xml:space="preserve"> </w:t>
      </w:r>
      <w:r w:rsidRPr="004F1041">
        <w:rPr>
          <w:rFonts w:ascii="Constantia" w:hAnsi="Constantia"/>
        </w:rPr>
        <w:t>i</w:t>
      </w:r>
      <w:r w:rsidRPr="004F1041">
        <w:rPr>
          <w:rFonts w:ascii="Constantia" w:hAnsi="Constantia"/>
          <w:lang w:val="sr-Latn-CS"/>
        </w:rPr>
        <w:t xml:space="preserve"> </w:t>
      </w:r>
      <w:r w:rsidRPr="004F1041">
        <w:rPr>
          <w:rFonts w:ascii="Constantia" w:hAnsi="Constantia"/>
        </w:rPr>
        <w:t>no</w:t>
      </w:r>
      <w:r w:rsidRPr="004F1041">
        <w:rPr>
          <w:rFonts w:ascii="Constantia" w:hAnsi="Constantia"/>
          <w:lang w:val="sr-Latn-CS"/>
        </w:rPr>
        <w:t xml:space="preserve">ć </w:t>
      </w:r>
      <w:r w:rsidRPr="004F1041">
        <w:rPr>
          <w:rFonts w:ascii="Constantia" w:hAnsi="Constantia"/>
        </w:rPr>
        <w:t>prelaze</w:t>
      </w:r>
      <w:r w:rsidRPr="004F1041">
        <w:rPr>
          <w:rFonts w:ascii="Constantia" w:hAnsi="Constantia"/>
          <w:lang w:val="sr-Latn-CS"/>
        </w:rPr>
        <w:t xml:space="preserve"> </w:t>
      </w:r>
      <w:r w:rsidRPr="004F1041">
        <w:rPr>
          <w:rFonts w:ascii="Constantia" w:hAnsi="Constantia"/>
        </w:rPr>
        <w:t>grani</w:t>
      </w:r>
      <w:r w:rsidRPr="004F1041">
        <w:rPr>
          <w:rFonts w:ascii="Constantia" w:hAnsi="Constantia"/>
          <w:lang w:val="sr-Latn-CS"/>
        </w:rPr>
        <w:t>č</w:t>
      </w:r>
      <w:r w:rsidRPr="004F1041">
        <w:rPr>
          <w:rFonts w:ascii="Constantia" w:hAnsi="Constantia"/>
        </w:rPr>
        <w:t>ne</w:t>
      </w:r>
      <w:r w:rsidRPr="004F1041">
        <w:rPr>
          <w:rFonts w:ascii="Constantia" w:hAnsi="Constantia"/>
          <w:lang w:val="sr-Latn-CS"/>
        </w:rPr>
        <w:t xml:space="preserve"> </w:t>
      </w:r>
      <w:r w:rsidRPr="004F1041">
        <w:rPr>
          <w:rFonts w:ascii="Constantia" w:hAnsi="Constantia"/>
        </w:rPr>
        <w:t>vrijednosti</w:t>
      </w:r>
      <w:r w:rsidRPr="004F1041">
        <w:rPr>
          <w:rFonts w:ascii="Constantia" w:hAnsi="Constantia"/>
          <w:lang w:val="sr-Latn-CS"/>
        </w:rPr>
        <w:t xml:space="preserve"> </w:t>
      </w:r>
      <w:r w:rsidRPr="004F1041">
        <w:rPr>
          <w:rFonts w:ascii="Constantia" w:hAnsi="Constantia"/>
        </w:rPr>
        <w:t>nivoa</w:t>
      </w:r>
      <w:r w:rsidRPr="004F1041">
        <w:rPr>
          <w:rFonts w:ascii="Constantia" w:hAnsi="Constantia"/>
          <w:lang w:val="sr-Latn-CS"/>
        </w:rPr>
        <w:t xml:space="preserve"> </w:t>
      </w:r>
      <w:r w:rsidRPr="004F1041">
        <w:rPr>
          <w:rFonts w:ascii="Constantia" w:hAnsi="Constantia"/>
        </w:rPr>
        <w:t>buke</w:t>
      </w:r>
      <w:r w:rsidRPr="004F1041">
        <w:rPr>
          <w:rFonts w:ascii="Constantia" w:hAnsi="Constantia"/>
          <w:lang w:val="sr-Latn-CS"/>
        </w:rPr>
        <w:t>.</w:t>
      </w:r>
    </w:p>
    <w:p w:rsidR="00EB3E54" w:rsidRPr="004F1041" w:rsidRDefault="00EB3E54" w:rsidP="00EB3E54">
      <w:pPr>
        <w:rPr>
          <w:rFonts w:ascii="Constantia" w:hAnsi="Constantia"/>
          <w:lang w:val="sr-Latn-CS"/>
        </w:rPr>
      </w:pPr>
      <w:r w:rsidRPr="004F1041">
        <w:rPr>
          <w:rFonts w:ascii="Constantia" w:hAnsi="Constantia"/>
        </w:rPr>
        <w:lastRenderedPageBreak/>
        <w:t>U</w:t>
      </w:r>
      <w:r w:rsidRPr="004F1041">
        <w:rPr>
          <w:rFonts w:ascii="Constantia" w:hAnsi="Constantia"/>
          <w:lang w:val="sr-Latn-CS"/>
        </w:rPr>
        <w:t xml:space="preserve"> </w:t>
      </w:r>
      <w:r w:rsidRPr="004F1041">
        <w:rPr>
          <w:rFonts w:ascii="Constantia" w:hAnsi="Constantia"/>
        </w:rPr>
        <w:t>drugom</w:t>
      </w:r>
      <w:r w:rsidRPr="004F1041">
        <w:rPr>
          <w:rFonts w:ascii="Constantia" w:hAnsi="Constantia"/>
          <w:lang w:val="sr-Latn-CS"/>
        </w:rPr>
        <w:t xml:space="preserve"> </w:t>
      </w:r>
      <w:r w:rsidRPr="004F1041">
        <w:rPr>
          <w:rFonts w:ascii="Constantia" w:hAnsi="Constantia"/>
        </w:rPr>
        <w:t>ciklusu</w:t>
      </w:r>
      <w:r w:rsidRPr="004F1041">
        <w:rPr>
          <w:rFonts w:ascii="Constantia" w:hAnsi="Constantia"/>
          <w:lang w:val="sr-Latn-CS"/>
        </w:rPr>
        <w:t xml:space="preserve"> </w:t>
      </w:r>
      <w:r w:rsidRPr="004F1041">
        <w:rPr>
          <w:rFonts w:ascii="Constantia" w:hAnsi="Constantia"/>
        </w:rPr>
        <w:t>indikator</w:t>
      </w:r>
      <w:r w:rsidRPr="004F1041">
        <w:rPr>
          <w:rFonts w:ascii="Constantia" w:hAnsi="Constantia"/>
          <w:lang w:val="sr-Latn-CS"/>
        </w:rPr>
        <w:t xml:space="preserve"> </w:t>
      </w:r>
      <w:r w:rsidRPr="004F1041">
        <w:rPr>
          <w:rFonts w:ascii="Constantia" w:hAnsi="Constantia"/>
        </w:rPr>
        <w:t>buke</w:t>
      </w:r>
      <w:r w:rsidRPr="004F1041">
        <w:rPr>
          <w:rFonts w:ascii="Constantia" w:hAnsi="Constantia"/>
          <w:lang w:val="sr-Latn-CS"/>
        </w:rPr>
        <w:t xml:space="preserve"> </w:t>
      </w:r>
      <w:r w:rsidRPr="004F1041">
        <w:rPr>
          <w:rFonts w:ascii="Constantia" w:hAnsi="Constantia"/>
        </w:rPr>
        <w:t>za</w:t>
      </w:r>
      <w:r w:rsidRPr="004F1041">
        <w:rPr>
          <w:rFonts w:ascii="Constantia" w:hAnsi="Constantia"/>
          <w:lang w:val="sr-Latn-CS"/>
        </w:rPr>
        <w:t xml:space="preserve"> </w:t>
      </w:r>
      <w:r w:rsidRPr="004F1041">
        <w:rPr>
          <w:rFonts w:ascii="Constantia" w:hAnsi="Constantia"/>
        </w:rPr>
        <w:t>ve</w:t>
      </w:r>
      <w:r w:rsidRPr="004F1041">
        <w:rPr>
          <w:rFonts w:ascii="Constantia" w:hAnsi="Constantia"/>
          <w:lang w:val="sr-Latn-CS"/>
        </w:rPr>
        <w:t>č</w:t>
      </w:r>
      <w:r w:rsidRPr="004F1041">
        <w:rPr>
          <w:rFonts w:ascii="Constantia" w:hAnsi="Constantia"/>
        </w:rPr>
        <w:t>e</w:t>
      </w:r>
      <w:r w:rsidRPr="004F1041">
        <w:rPr>
          <w:rFonts w:ascii="Constantia" w:hAnsi="Constantia"/>
          <w:lang w:val="sr-Latn-CS"/>
        </w:rPr>
        <w:t xml:space="preserve"> </w:t>
      </w:r>
      <w:r w:rsidRPr="004F1041">
        <w:rPr>
          <w:rFonts w:ascii="Constantia" w:hAnsi="Constantia"/>
        </w:rPr>
        <w:t>je</w:t>
      </w:r>
      <w:r w:rsidRPr="004F1041">
        <w:rPr>
          <w:rFonts w:ascii="Constantia" w:hAnsi="Constantia"/>
          <w:lang w:val="sr-Latn-CS"/>
        </w:rPr>
        <w:t xml:space="preserve"> </w:t>
      </w:r>
      <w:r w:rsidRPr="004F1041">
        <w:rPr>
          <w:rFonts w:ascii="Constantia" w:hAnsi="Constantia"/>
        </w:rPr>
        <w:t>ispod</w:t>
      </w:r>
      <w:r w:rsidRPr="004F1041">
        <w:rPr>
          <w:rFonts w:ascii="Constantia" w:hAnsi="Constantia"/>
          <w:lang w:val="sr-Latn-CS"/>
        </w:rPr>
        <w:t xml:space="preserve"> </w:t>
      </w:r>
      <w:r w:rsidRPr="004F1041">
        <w:rPr>
          <w:rFonts w:ascii="Constantia" w:hAnsi="Constantia"/>
        </w:rPr>
        <w:t>grani</w:t>
      </w:r>
      <w:r w:rsidRPr="004F1041">
        <w:rPr>
          <w:rFonts w:ascii="Constantia" w:hAnsi="Constantia"/>
          <w:lang w:val="sr-Latn-CS"/>
        </w:rPr>
        <w:t>č</w:t>
      </w:r>
      <w:r w:rsidRPr="004F1041">
        <w:rPr>
          <w:rFonts w:ascii="Constantia" w:hAnsi="Constantia"/>
        </w:rPr>
        <w:t>ne</w:t>
      </w:r>
      <w:r w:rsidRPr="004F1041">
        <w:rPr>
          <w:rFonts w:ascii="Constantia" w:hAnsi="Constantia"/>
          <w:lang w:val="sr-Latn-CS"/>
        </w:rPr>
        <w:t xml:space="preserve"> </w:t>
      </w:r>
      <w:r w:rsidRPr="004F1041">
        <w:rPr>
          <w:rFonts w:ascii="Constantia" w:hAnsi="Constantia"/>
        </w:rPr>
        <w:t>vrijednosti</w:t>
      </w:r>
      <w:r w:rsidRPr="004F1041">
        <w:rPr>
          <w:rFonts w:ascii="Constantia" w:hAnsi="Constantia"/>
          <w:lang w:val="sr-Latn-CS"/>
        </w:rPr>
        <w:t xml:space="preserve">, </w:t>
      </w:r>
      <w:r w:rsidRPr="004F1041">
        <w:rPr>
          <w:rFonts w:ascii="Constantia" w:hAnsi="Constantia"/>
        </w:rPr>
        <w:t>dok</w:t>
      </w:r>
      <w:r w:rsidRPr="004F1041">
        <w:rPr>
          <w:rFonts w:ascii="Constantia" w:hAnsi="Constantia"/>
          <w:lang w:val="sr-Latn-CS"/>
        </w:rPr>
        <w:t xml:space="preserve"> </w:t>
      </w:r>
      <w:r w:rsidRPr="004F1041">
        <w:rPr>
          <w:rFonts w:ascii="Constantia" w:hAnsi="Constantia"/>
        </w:rPr>
        <w:t>dnevni</w:t>
      </w:r>
      <w:r w:rsidRPr="004F1041">
        <w:rPr>
          <w:rFonts w:ascii="Constantia" w:hAnsi="Constantia"/>
          <w:lang w:val="sr-Latn-CS"/>
        </w:rPr>
        <w:t xml:space="preserve"> </w:t>
      </w:r>
      <w:r w:rsidRPr="004F1041">
        <w:rPr>
          <w:rFonts w:ascii="Constantia" w:hAnsi="Constantia"/>
        </w:rPr>
        <w:t>i</w:t>
      </w:r>
      <w:r w:rsidRPr="004F1041">
        <w:rPr>
          <w:rFonts w:ascii="Constantia" w:hAnsi="Constantia"/>
          <w:lang w:val="sr-Latn-CS"/>
        </w:rPr>
        <w:t xml:space="preserve"> </w:t>
      </w:r>
      <w:r w:rsidRPr="004F1041">
        <w:rPr>
          <w:rFonts w:ascii="Constantia" w:hAnsi="Constantia"/>
        </w:rPr>
        <w:t>no</w:t>
      </w:r>
      <w:r w:rsidRPr="004F1041">
        <w:rPr>
          <w:rFonts w:ascii="Constantia" w:hAnsi="Constantia"/>
          <w:lang w:val="sr-Latn-CS"/>
        </w:rPr>
        <w:t>ć</w:t>
      </w:r>
      <w:r w:rsidRPr="004F1041">
        <w:rPr>
          <w:rFonts w:ascii="Constantia" w:hAnsi="Constantia"/>
        </w:rPr>
        <w:t>ni</w:t>
      </w:r>
      <w:r w:rsidRPr="004F1041">
        <w:rPr>
          <w:rFonts w:ascii="Constantia" w:hAnsi="Constantia"/>
          <w:lang w:val="sr-Latn-CS"/>
        </w:rPr>
        <w:t xml:space="preserve"> </w:t>
      </w:r>
      <w:r w:rsidRPr="004F1041">
        <w:rPr>
          <w:rFonts w:ascii="Constantia" w:hAnsi="Constantia"/>
        </w:rPr>
        <w:t>indikatori</w:t>
      </w:r>
      <w:r w:rsidRPr="004F1041">
        <w:rPr>
          <w:rFonts w:ascii="Constantia" w:hAnsi="Constantia"/>
          <w:lang w:val="sr-Latn-CS"/>
        </w:rPr>
        <w:t xml:space="preserve"> </w:t>
      </w:r>
      <w:r w:rsidRPr="004F1041">
        <w:rPr>
          <w:rFonts w:ascii="Constantia" w:hAnsi="Constantia"/>
        </w:rPr>
        <w:t>buke</w:t>
      </w:r>
      <w:r w:rsidRPr="004F1041">
        <w:rPr>
          <w:rFonts w:ascii="Constantia" w:hAnsi="Constantia"/>
          <w:lang w:val="sr-Latn-CS"/>
        </w:rPr>
        <w:t xml:space="preserve"> </w:t>
      </w:r>
      <w:r w:rsidRPr="004F1041">
        <w:rPr>
          <w:rFonts w:ascii="Constantia" w:hAnsi="Constantia"/>
        </w:rPr>
        <w:t>prelaze</w:t>
      </w:r>
      <w:r w:rsidRPr="004F1041">
        <w:rPr>
          <w:rFonts w:ascii="Constantia" w:hAnsi="Constantia"/>
          <w:lang w:val="sr-Latn-CS"/>
        </w:rPr>
        <w:t xml:space="preserve"> </w:t>
      </w:r>
      <w:r w:rsidRPr="004F1041">
        <w:rPr>
          <w:rFonts w:ascii="Constantia" w:hAnsi="Constantia"/>
        </w:rPr>
        <w:t>grani</w:t>
      </w:r>
      <w:r w:rsidRPr="004F1041">
        <w:rPr>
          <w:rFonts w:ascii="Constantia" w:hAnsi="Constantia"/>
          <w:lang w:val="sr-Latn-CS"/>
        </w:rPr>
        <w:t>č</w:t>
      </w:r>
      <w:r w:rsidRPr="004F1041">
        <w:rPr>
          <w:rFonts w:ascii="Constantia" w:hAnsi="Constantia"/>
        </w:rPr>
        <w:t>ne</w:t>
      </w:r>
      <w:r w:rsidRPr="004F1041">
        <w:rPr>
          <w:rFonts w:ascii="Constantia" w:hAnsi="Constantia"/>
          <w:lang w:val="sr-Latn-CS"/>
        </w:rPr>
        <w:t xml:space="preserve"> </w:t>
      </w:r>
      <w:r w:rsidRPr="004F1041">
        <w:rPr>
          <w:rFonts w:ascii="Constantia" w:hAnsi="Constantia"/>
        </w:rPr>
        <w:t>vrijednosti</w:t>
      </w:r>
      <w:r w:rsidRPr="004F1041">
        <w:rPr>
          <w:rFonts w:ascii="Constantia" w:hAnsi="Constantia"/>
          <w:lang w:val="sr-Latn-CS"/>
        </w:rPr>
        <w:t xml:space="preserve"> </w:t>
      </w:r>
      <w:r w:rsidRPr="004F1041">
        <w:rPr>
          <w:rFonts w:ascii="Constantia" w:hAnsi="Constantia"/>
        </w:rPr>
        <w:t>nivoa</w:t>
      </w:r>
      <w:r w:rsidRPr="004F1041">
        <w:rPr>
          <w:rFonts w:ascii="Constantia" w:hAnsi="Constantia"/>
          <w:lang w:val="sr-Latn-CS"/>
        </w:rPr>
        <w:t xml:space="preserve"> </w:t>
      </w:r>
      <w:r w:rsidRPr="004F1041">
        <w:rPr>
          <w:rFonts w:ascii="Constantia" w:hAnsi="Constantia"/>
        </w:rPr>
        <w:t>buke</w:t>
      </w:r>
      <w:r w:rsidRPr="004F1041">
        <w:rPr>
          <w:rFonts w:ascii="Constantia" w:hAnsi="Constantia"/>
          <w:lang w:val="sr-Latn-CS"/>
        </w:rPr>
        <w:t xml:space="preserve">.   </w:t>
      </w:r>
    </w:p>
    <w:p w:rsidR="00B50B6E" w:rsidRPr="004F1041" w:rsidRDefault="00EB3E54" w:rsidP="00B50B6E">
      <w:pPr>
        <w:spacing w:after="360"/>
        <w:rPr>
          <w:rFonts w:ascii="Constantia" w:hAnsi="Constantia"/>
          <w:lang w:val="sr-Latn-CS"/>
        </w:rPr>
      </w:pPr>
      <w:bookmarkStart w:id="162" w:name="_Toc357157653"/>
      <w:r w:rsidRPr="004F1041">
        <w:rPr>
          <w:rFonts w:ascii="Constantia" w:hAnsi="Constantia"/>
          <w:lang w:val="sr-Latn-CS"/>
        </w:rPr>
        <w:t>Na osnovu Odluke o</w:t>
      </w:r>
      <w:r w:rsidR="00B41BBF">
        <w:rPr>
          <w:rFonts w:ascii="Constantia" w:hAnsi="Constantia"/>
          <w:lang w:val="sr-Latn-CS"/>
        </w:rPr>
        <w:t xml:space="preserve"> utvrđivanju akustičk</w:t>
      </w:r>
      <w:r w:rsidRPr="004F1041">
        <w:rPr>
          <w:rFonts w:ascii="Constantia" w:hAnsi="Constantia"/>
          <w:lang w:val="sr-Latn-CS"/>
        </w:rPr>
        <w:t>ih zona na teritoriji Glavnog grada Podgorice</w:t>
      </w:r>
      <w:r w:rsidR="004F1041">
        <w:rPr>
          <w:rFonts w:ascii="Constantia" w:hAnsi="Constantia"/>
          <w:lang w:val="sr-Latn-CS"/>
        </w:rPr>
        <w:t>,</w:t>
      </w:r>
      <w:r w:rsidRPr="004F1041">
        <w:rPr>
          <w:rFonts w:ascii="Constantia" w:hAnsi="Constantia"/>
          <w:lang w:val="sr-Latn-CS"/>
        </w:rPr>
        <w:t xml:space="preserve"> mjerno mjesto na Starom aerodromu pripada stambenoj zoni, a mjerno mjesto u uluci I Proleterske brigade pripada zoni pod jakim uticajem buke koja potiče od drumskog saobraćaja. </w:t>
      </w:r>
    </w:p>
    <w:p w:rsidR="00EB3E54" w:rsidRPr="00EB3E54" w:rsidRDefault="00EB3E54" w:rsidP="00EB3E54">
      <w:pPr>
        <w:pStyle w:val="Heading2"/>
        <w:ind w:left="720"/>
      </w:pPr>
      <w:bookmarkStart w:id="163" w:name="_Toc393897938"/>
      <w:bookmarkEnd w:id="162"/>
      <w:r w:rsidRPr="00EB3E54">
        <w:t>Nikšić</w:t>
      </w:r>
      <w:bookmarkEnd w:id="163"/>
      <w:r w:rsidRPr="00EB3E54">
        <w:t xml:space="preserve"> </w:t>
      </w:r>
    </w:p>
    <w:p w:rsidR="00EB3E54" w:rsidRPr="00176BFE" w:rsidRDefault="00EB3E54" w:rsidP="00EB3E54">
      <w:pPr>
        <w:rPr>
          <w:rFonts w:ascii="Constantia" w:hAnsi="Constantia"/>
          <w:lang w:val="sr-Latn-CS"/>
        </w:rPr>
      </w:pPr>
      <w:r w:rsidRPr="00176BFE">
        <w:rPr>
          <w:rFonts w:ascii="Constantia" w:hAnsi="Constantia"/>
          <w:lang w:val="sr-Latn-CS"/>
        </w:rPr>
        <w:t xml:space="preserve">Na teritoriji opštine Nikšić mjerenje nivoa buke vršeno je </w:t>
      </w:r>
      <w:r w:rsidR="00176BFE">
        <w:rPr>
          <w:rFonts w:ascii="Constantia" w:hAnsi="Constantia"/>
          <w:lang w:val="sr-Latn-CS"/>
        </w:rPr>
        <w:t xml:space="preserve">na </w:t>
      </w:r>
      <w:r w:rsidRPr="00176BFE">
        <w:rPr>
          <w:rFonts w:ascii="Constantia" w:hAnsi="Constantia"/>
          <w:lang w:val="sr-Latn-CS"/>
        </w:rPr>
        <w:t xml:space="preserve">lokaciji </w:t>
      </w:r>
      <w:r w:rsidRPr="00176BFE">
        <w:rPr>
          <w:rFonts w:ascii="Constantia" w:hAnsi="Constantia"/>
        </w:rPr>
        <w:t>plato</w:t>
      </w:r>
      <w:r w:rsidR="00176BFE">
        <w:rPr>
          <w:rFonts w:ascii="Constantia" w:hAnsi="Constantia"/>
        </w:rPr>
        <w:t>a</w:t>
      </w:r>
      <w:r w:rsidRPr="00176BFE">
        <w:rPr>
          <w:rFonts w:ascii="Constantia" w:hAnsi="Constantia"/>
        </w:rPr>
        <w:t xml:space="preserve"> iznad prijemnog odeljenja JZU Opšta bolnica</w:t>
      </w:r>
      <w:r w:rsidRPr="00176BFE">
        <w:rPr>
          <w:rFonts w:ascii="Constantia" w:hAnsi="Constantia"/>
          <w:lang w:val="sr-Latn-CS"/>
        </w:rPr>
        <w:t>, u intervalu dnevnog (L</w:t>
      </w:r>
      <w:r w:rsidRPr="00176BFE">
        <w:rPr>
          <w:rFonts w:ascii="Constantia" w:hAnsi="Constantia"/>
          <w:vertAlign w:val="subscript"/>
          <w:lang w:val="sr-Latn-CS"/>
        </w:rPr>
        <w:t>day</w:t>
      </w:r>
      <w:r w:rsidRPr="00176BFE">
        <w:rPr>
          <w:rFonts w:ascii="Constantia" w:hAnsi="Constantia"/>
          <w:lang w:val="sr-Latn-CS"/>
        </w:rPr>
        <w:t>) 7-19</w:t>
      </w:r>
      <w:r w:rsidR="00176BFE">
        <w:rPr>
          <w:rFonts w:ascii="Constantia" w:hAnsi="Constantia"/>
          <w:lang w:val="sr-Latn-CS"/>
        </w:rPr>
        <w:t xml:space="preserve"> časova</w:t>
      </w:r>
      <w:r w:rsidRPr="00176BFE">
        <w:rPr>
          <w:rFonts w:ascii="Constantia" w:hAnsi="Constantia"/>
          <w:lang w:val="sr-Latn-CS"/>
        </w:rPr>
        <w:t>, večernjeg (L</w:t>
      </w:r>
      <w:r w:rsidRPr="00176BFE">
        <w:rPr>
          <w:rFonts w:ascii="Constantia" w:hAnsi="Constantia"/>
          <w:vertAlign w:val="subscript"/>
          <w:lang w:val="sr-Latn-CS"/>
        </w:rPr>
        <w:t>evening</w:t>
      </w:r>
      <w:r w:rsidRPr="00176BFE">
        <w:rPr>
          <w:rFonts w:ascii="Constantia" w:hAnsi="Constantia"/>
          <w:lang w:val="sr-Latn-CS"/>
        </w:rPr>
        <w:t>) 19-23</w:t>
      </w:r>
      <w:r w:rsidR="00176BFE">
        <w:rPr>
          <w:rFonts w:ascii="Constantia" w:hAnsi="Constantia"/>
          <w:lang w:val="sr-Latn-CS"/>
        </w:rPr>
        <w:t xml:space="preserve"> časova</w:t>
      </w:r>
      <w:r w:rsidRPr="00176BFE">
        <w:rPr>
          <w:rFonts w:ascii="Constantia" w:hAnsi="Constantia"/>
          <w:lang w:val="sr-Latn-CS"/>
        </w:rPr>
        <w:t xml:space="preserve"> i noćnog perioda (L</w:t>
      </w:r>
      <w:r w:rsidRPr="00176BFE">
        <w:rPr>
          <w:rFonts w:ascii="Constantia" w:hAnsi="Constantia"/>
          <w:vertAlign w:val="subscript"/>
          <w:lang w:val="sr-Latn-CS"/>
        </w:rPr>
        <w:t>night</w:t>
      </w:r>
      <w:r w:rsidR="00176BFE">
        <w:rPr>
          <w:rFonts w:ascii="Constantia" w:hAnsi="Constantia"/>
          <w:lang w:val="sr-Latn-CS"/>
        </w:rPr>
        <w:t>) 23-7 časova</w:t>
      </w:r>
      <w:r w:rsidRPr="00176BFE">
        <w:rPr>
          <w:rFonts w:ascii="Constantia" w:hAnsi="Constantia"/>
          <w:lang w:val="sr-Latn-CS"/>
        </w:rPr>
        <w:t>.</w:t>
      </w:r>
    </w:p>
    <w:p w:rsidR="00EB3E54" w:rsidRPr="00176BFE" w:rsidRDefault="00EB3E54" w:rsidP="00EB3E54">
      <w:pPr>
        <w:rPr>
          <w:rFonts w:ascii="Constantia" w:hAnsi="Constantia"/>
        </w:rPr>
      </w:pPr>
      <w:r w:rsidRPr="00176BFE">
        <w:rPr>
          <w:rFonts w:ascii="Constantia" w:hAnsi="Constantia"/>
          <w:b/>
          <w:lang w:val="sr-Latn-CS"/>
        </w:rPr>
        <w:t>Nivo buke u I ciklusu</w:t>
      </w:r>
      <w:r w:rsidRPr="00176BFE">
        <w:rPr>
          <w:rFonts w:ascii="Constantia" w:hAnsi="Constantia"/>
          <w:lang w:val="sr-Latn-CS"/>
        </w:rPr>
        <w:t xml:space="preserve"> mjeren je u periodu </w:t>
      </w:r>
      <w:r w:rsidRPr="00176BFE">
        <w:rPr>
          <w:rFonts w:ascii="Constantia" w:hAnsi="Constantia"/>
        </w:rPr>
        <w:t>od 21-28.06.2013. godine.</w:t>
      </w:r>
    </w:p>
    <w:p w:rsidR="00EB3E54" w:rsidRPr="00176BFE" w:rsidRDefault="00EB3E54" w:rsidP="00EB3E54">
      <w:pPr>
        <w:rPr>
          <w:rFonts w:ascii="Constantia" w:hAnsi="Constantia"/>
        </w:rPr>
      </w:pPr>
      <w:r w:rsidRPr="00176BFE">
        <w:rPr>
          <w:rFonts w:ascii="Constantia" w:hAnsi="Constantia"/>
          <w:b/>
        </w:rPr>
        <w:t>Nivo buke u II ciklusu</w:t>
      </w:r>
      <w:r w:rsidRPr="00176BFE">
        <w:rPr>
          <w:rFonts w:ascii="Constantia" w:hAnsi="Constantia"/>
        </w:rPr>
        <w:t xml:space="preserve"> </w:t>
      </w:r>
      <w:r w:rsidRPr="00176BFE">
        <w:rPr>
          <w:rFonts w:ascii="Constantia" w:hAnsi="Constantia"/>
          <w:lang w:val="sr-Latn-CS"/>
        </w:rPr>
        <w:t xml:space="preserve">mjeren je u periodu </w:t>
      </w:r>
      <w:r w:rsidRPr="00176BFE">
        <w:rPr>
          <w:rFonts w:ascii="Constantia" w:hAnsi="Constantia"/>
        </w:rPr>
        <w:t>od 16-28.10.2013. godine.</w:t>
      </w:r>
    </w:p>
    <w:p w:rsidR="000D6A12" w:rsidRPr="00176BFE" w:rsidRDefault="00EB3E54" w:rsidP="00EB3E54">
      <w:pPr>
        <w:rPr>
          <w:rFonts w:ascii="Constantia" w:hAnsi="Constantia"/>
          <w:lang w:val="sr-Latn-CS"/>
        </w:rPr>
      </w:pPr>
      <w:r w:rsidRPr="00176BFE">
        <w:rPr>
          <w:rFonts w:ascii="Constantia" w:hAnsi="Constantia"/>
          <w:lang w:val="sr-Latn-CS"/>
        </w:rPr>
        <w:t xml:space="preserve">Srednje vrijednosti nivoa buke za </w:t>
      </w:r>
      <w:r w:rsidRPr="00176BFE">
        <w:rPr>
          <w:rFonts w:ascii="Constantia" w:hAnsi="Constantia"/>
          <w:b/>
          <w:lang w:val="sr-Latn-CS"/>
        </w:rPr>
        <w:t>L</w:t>
      </w:r>
      <w:r w:rsidRPr="00176BFE">
        <w:rPr>
          <w:rFonts w:ascii="Constantia" w:hAnsi="Constantia"/>
          <w:b/>
          <w:vertAlign w:val="subscript"/>
          <w:lang w:val="sr-Latn-CS"/>
        </w:rPr>
        <w:t>night</w:t>
      </w:r>
      <w:r w:rsidRPr="00176BFE">
        <w:rPr>
          <w:rFonts w:ascii="Constantia" w:hAnsi="Constantia"/>
          <w:lang w:val="sr-Latn-CS"/>
        </w:rPr>
        <w:t xml:space="preserve"> – indikator noćnog nivoa buke koji se odnosi na vrijeme od 23 do 7 časova, prikazane su </w:t>
      </w:r>
      <w:r w:rsidR="000D6A12">
        <w:rPr>
          <w:rFonts w:ascii="Constantia" w:hAnsi="Constantia"/>
          <w:lang w:val="sr-Latn-CS"/>
        </w:rPr>
        <w:t xml:space="preserve">na </w:t>
      </w:r>
      <w:r w:rsidR="000D6A12" w:rsidRPr="000D6A12">
        <w:rPr>
          <w:rFonts w:ascii="Constantia" w:hAnsi="Constantia"/>
          <w:i/>
          <w:lang w:val="sr-Latn-CS"/>
        </w:rPr>
        <w:t>G</w:t>
      </w:r>
      <w:r w:rsidRPr="000D6A12">
        <w:rPr>
          <w:rFonts w:ascii="Constantia" w:hAnsi="Constantia"/>
          <w:i/>
          <w:lang w:val="sr-Latn-CS"/>
        </w:rPr>
        <w:t xml:space="preserve">rafikonu </w:t>
      </w:r>
      <w:r w:rsidR="000D6A12" w:rsidRPr="000D6A12">
        <w:rPr>
          <w:rFonts w:ascii="Constantia" w:hAnsi="Constantia"/>
          <w:i/>
          <w:lang w:val="sr-Latn-CS"/>
        </w:rPr>
        <w:t>8</w:t>
      </w:r>
      <w:r w:rsidRPr="000D6A12">
        <w:rPr>
          <w:rFonts w:ascii="Constantia" w:hAnsi="Constantia"/>
          <w:i/>
          <w:lang w:val="sr-Latn-CS"/>
        </w:rPr>
        <w:t>2</w:t>
      </w:r>
      <w:r w:rsidRPr="00176BFE">
        <w:rPr>
          <w:rFonts w:ascii="Constantia" w:hAnsi="Constantia"/>
          <w:lang w:val="sr-Latn-CS"/>
        </w:rPr>
        <w:t>.</w:t>
      </w:r>
    </w:p>
    <w:p w:rsidR="00EB3E54" w:rsidRPr="00EB3E54" w:rsidRDefault="00EB3E54" w:rsidP="00EB3E54">
      <w:pPr>
        <w:jc w:val="center"/>
        <w:rPr>
          <w:b/>
        </w:rPr>
      </w:pPr>
      <w:r w:rsidRPr="00EB3E54">
        <w:rPr>
          <w:noProof/>
        </w:rPr>
        <w:drawing>
          <wp:inline distT="0" distB="0" distL="0" distR="0" wp14:anchorId="275BCC21" wp14:editId="07B2D600">
            <wp:extent cx="4010025" cy="2105025"/>
            <wp:effectExtent l="0" t="0" r="0" b="0"/>
            <wp:docPr id="231"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p>
    <w:p w:rsidR="00EB3E54" w:rsidRPr="000D6A12" w:rsidRDefault="00EB3E54" w:rsidP="00EB3E54">
      <w:pPr>
        <w:numPr>
          <w:ilvl w:val="0"/>
          <w:numId w:val="4"/>
        </w:numPr>
        <w:ind w:left="360"/>
        <w:jc w:val="center"/>
        <w:rPr>
          <w:rFonts w:ascii="Constantia" w:hAnsi="Constantia"/>
          <w:i/>
          <w:szCs w:val="22"/>
          <w:lang w:val="sr-Latn-CS"/>
        </w:rPr>
      </w:pPr>
      <w:r w:rsidRPr="000D6A12">
        <w:rPr>
          <w:rFonts w:ascii="Constantia" w:hAnsi="Constantia"/>
          <w:i/>
          <w:szCs w:val="22"/>
          <w:lang w:val="sr-Latn-CS"/>
        </w:rPr>
        <w:t>Srednje vrijednosti nivoa buke (L</w:t>
      </w:r>
      <w:r w:rsidRPr="000D6A12">
        <w:rPr>
          <w:rFonts w:ascii="Constantia" w:hAnsi="Constantia"/>
          <w:i/>
          <w:szCs w:val="22"/>
          <w:vertAlign w:val="subscript"/>
          <w:lang w:val="sr-Latn-CS"/>
        </w:rPr>
        <w:t>night</w:t>
      </w:r>
      <w:r w:rsidRPr="000D6A12">
        <w:rPr>
          <w:rFonts w:ascii="Constantia" w:hAnsi="Constantia"/>
          <w:i/>
          <w:szCs w:val="22"/>
          <w:lang w:val="sr-Latn-CS"/>
        </w:rPr>
        <w:t xml:space="preserve">) na mjernom mjestu u Nikšiću </w:t>
      </w:r>
    </w:p>
    <w:p w:rsidR="000D6A12" w:rsidRDefault="000D6A12" w:rsidP="00EB3E54">
      <w:pPr>
        <w:rPr>
          <w:rFonts w:ascii="Constantia" w:hAnsi="Constantia"/>
        </w:rPr>
      </w:pPr>
    </w:p>
    <w:p w:rsidR="00EB3E54" w:rsidRDefault="000D6A12" w:rsidP="00EB3E54">
      <w:pPr>
        <w:rPr>
          <w:rFonts w:ascii="Constantia" w:hAnsi="Constantia"/>
        </w:rPr>
      </w:pPr>
      <w:r>
        <w:rPr>
          <w:rFonts w:ascii="Constantia" w:hAnsi="Constantia"/>
        </w:rPr>
        <w:t xml:space="preserve">Na </w:t>
      </w:r>
      <w:r w:rsidRPr="000D6A12">
        <w:rPr>
          <w:rFonts w:ascii="Constantia" w:hAnsi="Constantia"/>
          <w:i/>
        </w:rPr>
        <w:t>S</w:t>
      </w:r>
      <w:r w:rsidR="00EB3E54" w:rsidRPr="000D6A12">
        <w:rPr>
          <w:rFonts w:ascii="Constantia" w:hAnsi="Constantia"/>
          <w:i/>
        </w:rPr>
        <w:t xml:space="preserve">lici </w:t>
      </w:r>
      <w:r w:rsidRPr="000D6A12">
        <w:rPr>
          <w:rFonts w:ascii="Constantia" w:hAnsi="Constantia"/>
          <w:i/>
        </w:rPr>
        <w:t>16.</w:t>
      </w:r>
      <w:r w:rsidR="00EB3E54" w:rsidRPr="000D6A12">
        <w:rPr>
          <w:rFonts w:ascii="Constantia" w:hAnsi="Constantia"/>
        </w:rPr>
        <w:t xml:space="preserve"> prikazano je mjerno mjesto u Nikšiću.</w:t>
      </w:r>
    </w:p>
    <w:p w:rsidR="0097248A" w:rsidRPr="000D6A12" w:rsidRDefault="0097248A" w:rsidP="0097248A">
      <w:pPr>
        <w:spacing w:after="0"/>
        <w:rPr>
          <w:rFonts w:ascii="Constantia" w:hAnsi="Constantia"/>
        </w:rPr>
      </w:pPr>
    </w:p>
    <w:p w:rsidR="00EB3E54" w:rsidRPr="00EB3E54" w:rsidRDefault="00EB3E54" w:rsidP="0097248A">
      <w:pPr>
        <w:jc w:val="center"/>
      </w:pPr>
      <w:r w:rsidRPr="00EB3E54">
        <w:rPr>
          <w:noProof/>
          <w:sz w:val="24"/>
        </w:rPr>
        <w:drawing>
          <wp:inline distT="0" distB="0" distL="0" distR="0" wp14:anchorId="72C86077" wp14:editId="0C29A45A">
            <wp:extent cx="3142425" cy="1838325"/>
            <wp:effectExtent l="0" t="0" r="0" b="0"/>
            <wp:docPr id="232" name="Picture 232" descr="DSC03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C03431"/>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3149471" cy="1842447"/>
                    </a:xfrm>
                    <a:prstGeom prst="rect">
                      <a:avLst/>
                    </a:prstGeom>
                    <a:noFill/>
                    <a:ln>
                      <a:noFill/>
                    </a:ln>
                  </pic:spPr>
                </pic:pic>
              </a:graphicData>
            </a:graphic>
          </wp:inline>
        </w:drawing>
      </w:r>
    </w:p>
    <w:p w:rsidR="00EB3E54" w:rsidRPr="000D6A12" w:rsidRDefault="000D6A12" w:rsidP="000D6A12">
      <w:pPr>
        <w:pStyle w:val="Slika"/>
        <w:tabs>
          <w:tab w:val="left" w:pos="1080"/>
          <w:tab w:val="left" w:pos="1620"/>
        </w:tabs>
        <w:ind w:left="360"/>
        <w:rPr>
          <w:rFonts w:ascii="Constantia" w:hAnsi="Constantia"/>
          <w:b/>
          <w:szCs w:val="22"/>
        </w:rPr>
      </w:pPr>
      <w:r w:rsidRPr="000D6A12">
        <w:rPr>
          <w:rFonts w:ascii="Constantia" w:hAnsi="Constantia"/>
          <w:szCs w:val="22"/>
        </w:rPr>
        <w:t>M</w:t>
      </w:r>
      <w:r w:rsidR="00EB3E54" w:rsidRPr="000D6A12">
        <w:rPr>
          <w:rFonts w:ascii="Constantia" w:hAnsi="Constantia"/>
          <w:color w:val="000000" w:themeColor="text1"/>
          <w:szCs w:val="22"/>
        </w:rPr>
        <w:t xml:space="preserve">jerno mjesto ispred JZU Opšta bolnica </w:t>
      </w:r>
      <w:r>
        <w:rPr>
          <w:rFonts w:ascii="Constantia" w:hAnsi="Constantia"/>
          <w:color w:val="000000" w:themeColor="text1"/>
          <w:szCs w:val="22"/>
        </w:rPr>
        <w:t xml:space="preserve">u </w:t>
      </w:r>
      <w:r w:rsidR="00EB3E54" w:rsidRPr="000D6A12">
        <w:rPr>
          <w:rFonts w:ascii="Constantia" w:hAnsi="Constantia"/>
          <w:color w:val="000000" w:themeColor="text1"/>
          <w:szCs w:val="22"/>
        </w:rPr>
        <w:t>Nikšić</w:t>
      </w:r>
      <w:r>
        <w:rPr>
          <w:rFonts w:ascii="Constantia" w:hAnsi="Constantia"/>
          <w:color w:val="000000" w:themeColor="text1"/>
          <w:szCs w:val="22"/>
        </w:rPr>
        <w:t>u</w:t>
      </w:r>
    </w:p>
    <w:p w:rsidR="0097248A" w:rsidRDefault="0097248A" w:rsidP="00EB3E54">
      <w:pPr>
        <w:rPr>
          <w:rFonts w:ascii="Constantia" w:hAnsi="Constantia"/>
          <w:szCs w:val="22"/>
        </w:rPr>
      </w:pPr>
    </w:p>
    <w:p w:rsidR="00EB3E54" w:rsidRPr="00AC2893" w:rsidRDefault="00EB3E54" w:rsidP="00EB3E54">
      <w:pPr>
        <w:rPr>
          <w:rFonts w:ascii="Constantia" w:hAnsi="Constantia"/>
          <w:lang w:val="sr-Latn-CS"/>
        </w:rPr>
      </w:pPr>
      <w:r w:rsidRPr="00AC2893">
        <w:rPr>
          <w:rFonts w:ascii="Constantia" w:hAnsi="Constantia"/>
          <w:szCs w:val="22"/>
        </w:rPr>
        <w:lastRenderedPageBreak/>
        <w:t>Rezultati mjerenja prikazani kao srednje vrijednosti za:</w:t>
      </w:r>
      <w:r w:rsidRPr="00AC2893">
        <w:rPr>
          <w:rFonts w:ascii="Constantia" w:hAnsi="Constantia"/>
          <w:b/>
          <w:lang w:val="sr-Latn-CS"/>
        </w:rPr>
        <w:t xml:space="preserve"> L</w:t>
      </w:r>
      <w:r w:rsidRPr="00AC2893">
        <w:rPr>
          <w:rFonts w:ascii="Constantia" w:hAnsi="Constantia"/>
          <w:b/>
          <w:vertAlign w:val="subscript"/>
          <w:lang w:val="sr-Latn-CS"/>
        </w:rPr>
        <w:t>den</w:t>
      </w:r>
      <w:r w:rsidRPr="00AC2893">
        <w:rPr>
          <w:rFonts w:ascii="Constantia" w:hAnsi="Constantia"/>
          <w:lang w:val="sr-Latn-CS"/>
        </w:rPr>
        <w:t xml:space="preserve"> -  ukupni indikator nivoa buke tokom dana, večeri i noći, </w:t>
      </w:r>
      <w:r w:rsidRPr="00AC2893">
        <w:rPr>
          <w:rFonts w:ascii="Constantia" w:hAnsi="Constantia"/>
          <w:b/>
          <w:lang w:val="sr-Latn-CS"/>
        </w:rPr>
        <w:t>L</w:t>
      </w:r>
      <w:r w:rsidRPr="00AC2893">
        <w:rPr>
          <w:rFonts w:ascii="Constantia" w:hAnsi="Constantia"/>
          <w:b/>
          <w:vertAlign w:val="subscript"/>
          <w:lang w:val="sr-Latn-CS"/>
        </w:rPr>
        <w:t>day</w:t>
      </w:r>
      <w:r w:rsidRPr="00AC2893">
        <w:rPr>
          <w:rFonts w:ascii="Constantia" w:hAnsi="Constantia"/>
          <w:lang w:val="sr-Latn-CS"/>
        </w:rPr>
        <w:t xml:space="preserve"> – indikator dnevnog nivoa buke i odnosi se na vrijeme od 7 do 19 časova, </w:t>
      </w:r>
      <w:r w:rsidRPr="00AC2893">
        <w:rPr>
          <w:rFonts w:ascii="Constantia" w:hAnsi="Constantia"/>
          <w:b/>
          <w:lang w:val="sr-Latn-CS"/>
        </w:rPr>
        <w:t>L</w:t>
      </w:r>
      <w:r w:rsidRPr="00AC2893">
        <w:rPr>
          <w:rFonts w:ascii="Constantia" w:hAnsi="Constantia"/>
          <w:b/>
          <w:vertAlign w:val="subscript"/>
          <w:lang w:val="sr-Latn-CS"/>
        </w:rPr>
        <w:t>evening</w:t>
      </w:r>
      <w:r w:rsidRPr="00AC2893">
        <w:rPr>
          <w:rFonts w:ascii="Constantia" w:hAnsi="Constantia"/>
          <w:lang w:val="sr-Latn-CS"/>
        </w:rPr>
        <w:t xml:space="preserve"> – indikator nivoa buke tokom večernjih časova i odnosi se na vrijeme od 19 do 23 časova, </w:t>
      </w:r>
      <w:r w:rsidRPr="00AC2893">
        <w:rPr>
          <w:rFonts w:ascii="Constantia" w:hAnsi="Constantia"/>
          <w:b/>
          <w:lang w:val="sr-Latn-CS"/>
        </w:rPr>
        <w:t>L</w:t>
      </w:r>
      <w:r w:rsidRPr="00AC2893">
        <w:rPr>
          <w:rFonts w:ascii="Constantia" w:hAnsi="Constantia"/>
          <w:b/>
          <w:vertAlign w:val="subscript"/>
          <w:lang w:val="sr-Latn-CS"/>
        </w:rPr>
        <w:t>night</w:t>
      </w:r>
      <w:r w:rsidRPr="00AC2893">
        <w:rPr>
          <w:rFonts w:ascii="Constantia" w:hAnsi="Constantia"/>
          <w:lang w:val="sr-Latn-CS"/>
        </w:rPr>
        <w:t xml:space="preserve"> – indikator noćnog nivoa buke i odnosi se na vrijeme od 23 do 7 časova</w:t>
      </w:r>
      <w:r w:rsidR="00AC2893">
        <w:rPr>
          <w:rFonts w:ascii="Constantia" w:hAnsi="Constantia"/>
          <w:lang w:val="sr-Latn-CS"/>
        </w:rPr>
        <w:t xml:space="preserve"> za Nikšić</w:t>
      </w:r>
      <w:r w:rsidRPr="00AC2893">
        <w:rPr>
          <w:rFonts w:ascii="Constantia" w:hAnsi="Constantia"/>
          <w:lang w:val="sr-Latn-CS"/>
        </w:rPr>
        <w:t xml:space="preserve"> prikazani su u </w:t>
      </w:r>
      <w:r w:rsidR="00AC2893" w:rsidRPr="00AC2893">
        <w:rPr>
          <w:rFonts w:ascii="Constantia" w:hAnsi="Constantia"/>
          <w:i/>
          <w:lang w:val="sr-Latn-CS"/>
        </w:rPr>
        <w:t>T</w:t>
      </w:r>
      <w:r w:rsidRPr="00AC2893">
        <w:rPr>
          <w:rFonts w:ascii="Constantia" w:hAnsi="Constantia"/>
          <w:i/>
          <w:lang w:val="sr-Latn-CS"/>
        </w:rPr>
        <w:t xml:space="preserve">abeli </w:t>
      </w:r>
      <w:r w:rsidR="00AC2893" w:rsidRPr="00AC2893">
        <w:rPr>
          <w:rFonts w:ascii="Constantia" w:hAnsi="Constantia"/>
          <w:i/>
          <w:lang w:val="sr-Latn-CS"/>
        </w:rPr>
        <w:t>92</w:t>
      </w:r>
      <w:r w:rsidRPr="00AC2893">
        <w:rPr>
          <w:rFonts w:ascii="Constantia" w:hAnsi="Constantia"/>
          <w:lang w:val="sr-Latn-CS"/>
        </w:rPr>
        <w:t>.</w:t>
      </w:r>
    </w:p>
    <w:p w:rsidR="00AC2893" w:rsidRPr="00AC2893" w:rsidRDefault="00AC2893" w:rsidP="00D20C18">
      <w:pPr>
        <w:spacing w:after="0"/>
        <w:rPr>
          <w:rFonts w:ascii="Constantia" w:hAnsi="Constantia"/>
          <w:lang w:val="sr-Latn-CS"/>
        </w:rPr>
      </w:pPr>
    </w:p>
    <w:tbl>
      <w:tblPr>
        <w:tblStyle w:val="LightList-Accent6"/>
        <w:tblW w:w="8910" w:type="dxa"/>
        <w:tblInd w:w="198" w:type="dxa"/>
        <w:tblLook w:val="04A0" w:firstRow="1" w:lastRow="0" w:firstColumn="1" w:lastColumn="0" w:noHBand="0" w:noVBand="1"/>
      </w:tblPr>
      <w:tblGrid>
        <w:gridCol w:w="2268"/>
        <w:gridCol w:w="1710"/>
        <w:gridCol w:w="1710"/>
        <w:gridCol w:w="1710"/>
        <w:gridCol w:w="1512"/>
      </w:tblGrid>
      <w:tr w:rsidR="00EB3E54" w:rsidRPr="00D20C18" w:rsidTr="00D20C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rsidR="00EB3E54" w:rsidRPr="00D20C18" w:rsidRDefault="00EB3E54" w:rsidP="00EB3E54">
            <w:pPr>
              <w:keepLines/>
              <w:widowControl w:val="0"/>
              <w:tabs>
                <w:tab w:val="left" w:pos="1134"/>
                <w:tab w:val="left" w:pos="2268"/>
              </w:tabs>
              <w:autoSpaceDE w:val="0"/>
              <w:autoSpaceDN w:val="0"/>
              <w:spacing w:before="120" w:after="60"/>
              <w:jc w:val="center"/>
              <w:rPr>
                <w:rFonts w:ascii="Constantia" w:hAnsi="Constantia"/>
                <w:b w:val="0"/>
                <w:color w:val="auto"/>
                <w:szCs w:val="22"/>
              </w:rPr>
            </w:pPr>
          </w:p>
        </w:tc>
        <w:tc>
          <w:tcPr>
            <w:tcW w:w="1710" w:type="dxa"/>
          </w:tcPr>
          <w:p w:rsidR="00EB3E54" w:rsidRPr="00D20C18" w:rsidRDefault="00EB3E54" w:rsidP="00EB3E54">
            <w:pPr>
              <w:keepLines/>
              <w:widowControl w:val="0"/>
              <w:tabs>
                <w:tab w:val="left" w:pos="1134"/>
                <w:tab w:val="left" w:pos="2268"/>
              </w:tabs>
              <w:autoSpaceDE w:val="0"/>
              <w:autoSpaceDN w:val="0"/>
              <w:spacing w:before="120" w:after="60"/>
              <w:jc w:val="center"/>
              <w:cnfStyle w:val="100000000000" w:firstRow="1" w:lastRow="0" w:firstColumn="0" w:lastColumn="0" w:oddVBand="0" w:evenVBand="0" w:oddHBand="0" w:evenHBand="0" w:firstRowFirstColumn="0" w:firstRowLastColumn="0" w:lastRowFirstColumn="0" w:lastRowLastColumn="0"/>
              <w:rPr>
                <w:rFonts w:ascii="Constantia" w:hAnsi="Constantia"/>
                <w:color w:val="auto"/>
                <w:szCs w:val="22"/>
              </w:rPr>
            </w:pPr>
            <w:r w:rsidRPr="00D20C18">
              <w:rPr>
                <w:rFonts w:ascii="Constantia" w:hAnsi="Constantia"/>
                <w:color w:val="auto"/>
                <w:szCs w:val="22"/>
              </w:rPr>
              <w:t>L</w:t>
            </w:r>
            <w:r w:rsidRPr="00D20C18">
              <w:rPr>
                <w:rFonts w:ascii="Constantia" w:hAnsi="Constantia"/>
                <w:b w:val="0"/>
                <w:color w:val="auto"/>
                <w:szCs w:val="22"/>
                <w:vertAlign w:val="subscript"/>
              </w:rPr>
              <w:t>day</w:t>
            </w:r>
            <w:r w:rsidRPr="00D20C18">
              <w:rPr>
                <w:rFonts w:ascii="Constantia" w:hAnsi="Constantia"/>
                <w:color w:val="auto"/>
                <w:szCs w:val="22"/>
              </w:rPr>
              <w:t xml:space="preserve"> (dB)</w:t>
            </w:r>
          </w:p>
        </w:tc>
        <w:tc>
          <w:tcPr>
            <w:tcW w:w="1710" w:type="dxa"/>
          </w:tcPr>
          <w:p w:rsidR="00EB3E54" w:rsidRPr="00D20C18" w:rsidRDefault="00EB3E54" w:rsidP="00EB3E54">
            <w:pPr>
              <w:keepLines/>
              <w:widowControl w:val="0"/>
              <w:tabs>
                <w:tab w:val="left" w:pos="1134"/>
                <w:tab w:val="left" w:pos="2268"/>
              </w:tabs>
              <w:autoSpaceDE w:val="0"/>
              <w:autoSpaceDN w:val="0"/>
              <w:spacing w:before="120" w:after="60"/>
              <w:jc w:val="center"/>
              <w:cnfStyle w:val="100000000000" w:firstRow="1" w:lastRow="0" w:firstColumn="0" w:lastColumn="0" w:oddVBand="0" w:evenVBand="0" w:oddHBand="0" w:evenHBand="0" w:firstRowFirstColumn="0" w:firstRowLastColumn="0" w:lastRowFirstColumn="0" w:lastRowLastColumn="0"/>
              <w:rPr>
                <w:rFonts w:ascii="Constantia" w:hAnsi="Constantia"/>
                <w:color w:val="auto"/>
                <w:szCs w:val="22"/>
              </w:rPr>
            </w:pPr>
            <w:r w:rsidRPr="00D20C18">
              <w:rPr>
                <w:rFonts w:ascii="Constantia" w:hAnsi="Constantia"/>
                <w:color w:val="auto"/>
                <w:szCs w:val="22"/>
              </w:rPr>
              <w:t>L</w:t>
            </w:r>
            <w:r w:rsidRPr="00D20C18">
              <w:rPr>
                <w:rFonts w:ascii="Constantia" w:hAnsi="Constantia"/>
                <w:b w:val="0"/>
                <w:color w:val="auto"/>
                <w:szCs w:val="22"/>
                <w:vertAlign w:val="subscript"/>
              </w:rPr>
              <w:t>evening</w:t>
            </w:r>
            <w:r w:rsidRPr="00D20C18">
              <w:rPr>
                <w:rFonts w:ascii="Constantia" w:hAnsi="Constantia"/>
                <w:color w:val="auto"/>
                <w:szCs w:val="22"/>
              </w:rPr>
              <w:t xml:space="preserve"> (dB)</w:t>
            </w:r>
          </w:p>
        </w:tc>
        <w:tc>
          <w:tcPr>
            <w:tcW w:w="1710" w:type="dxa"/>
          </w:tcPr>
          <w:p w:rsidR="00EB3E54" w:rsidRPr="00D20C18" w:rsidRDefault="00EB3E54" w:rsidP="00EB3E54">
            <w:pPr>
              <w:keepLines/>
              <w:widowControl w:val="0"/>
              <w:tabs>
                <w:tab w:val="left" w:pos="1134"/>
                <w:tab w:val="left" w:pos="2268"/>
              </w:tabs>
              <w:autoSpaceDE w:val="0"/>
              <w:autoSpaceDN w:val="0"/>
              <w:spacing w:before="120" w:after="60"/>
              <w:jc w:val="center"/>
              <w:cnfStyle w:val="100000000000" w:firstRow="1" w:lastRow="0" w:firstColumn="0" w:lastColumn="0" w:oddVBand="0" w:evenVBand="0" w:oddHBand="0" w:evenHBand="0" w:firstRowFirstColumn="0" w:firstRowLastColumn="0" w:lastRowFirstColumn="0" w:lastRowLastColumn="0"/>
              <w:rPr>
                <w:rFonts w:ascii="Constantia" w:hAnsi="Constantia"/>
                <w:b w:val="0"/>
                <w:color w:val="auto"/>
                <w:szCs w:val="22"/>
              </w:rPr>
            </w:pPr>
            <w:r w:rsidRPr="00D20C18">
              <w:rPr>
                <w:rFonts w:ascii="Constantia" w:hAnsi="Constantia"/>
                <w:color w:val="auto"/>
                <w:szCs w:val="22"/>
              </w:rPr>
              <w:t>L</w:t>
            </w:r>
            <w:r w:rsidRPr="00D20C18">
              <w:rPr>
                <w:rFonts w:ascii="Constantia" w:hAnsi="Constantia"/>
                <w:b w:val="0"/>
                <w:color w:val="auto"/>
                <w:szCs w:val="22"/>
                <w:vertAlign w:val="subscript"/>
              </w:rPr>
              <w:t>night</w:t>
            </w:r>
            <w:r w:rsidRPr="00D20C18">
              <w:rPr>
                <w:rFonts w:ascii="Constantia" w:hAnsi="Constantia"/>
                <w:b w:val="0"/>
                <w:color w:val="auto"/>
                <w:szCs w:val="22"/>
              </w:rPr>
              <w:t xml:space="preserve"> </w:t>
            </w:r>
            <w:r w:rsidRPr="00D20C18">
              <w:rPr>
                <w:rFonts w:ascii="Constantia" w:hAnsi="Constantia"/>
                <w:color w:val="auto"/>
                <w:szCs w:val="22"/>
              </w:rPr>
              <w:t>(dB)</w:t>
            </w:r>
          </w:p>
        </w:tc>
        <w:tc>
          <w:tcPr>
            <w:tcW w:w="1512" w:type="dxa"/>
          </w:tcPr>
          <w:p w:rsidR="00EB3E54" w:rsidRPr="00D20C18" w:rsidRDefault="00EB3E54" w:rsidP="00EB3E54">
            <w:pPr>
              <w:keepLines/>
              <w:widowControl w:val="0"/>
              <w:tabs>
                <w:tab w:val="left" w:pos="1134"/>
                <w:tab w:val="left" w:pos="2268"/>
              </w:tabs>
              <w:autoSpaceDE w:val="0"/>
              <w:autoSpaceDN w:val="0"/>
              <w:spacing w:before="120" w:after="60"/>
              <w:jc w:val="center"/>
              <w:cnfStyle w:val="100000000000" w:firstRow="1" w:lastRow="0" w:firstColumn="0" w:lastColumn="0" w:oddVBand="0" w:evenVBand="0" w:oddHBand="0" w:evenHBand="0" w:firstRowFirstColumn="0" w:firstRowLastColumn="0" w:lastRowFirstColumn="0" w:lastRowLastColumn="0"/>
              <w:rPr>
                <w:rFonts w:ascii="Constantia" w:hAnsi="Constantia"/>
                <w:color w:val="auto"/>
                <w:szCs w:val="22"/>
              </w:rPr>
            </w:pPr>
            <w:r w:rsidRPr="00D20C18">
              <w:rPr>
                <w:rFonts w:ascii="Constantia" w:hAnsi="Constantia"/>
                <w:color w:val="auto"/>
                <w:szCs w:val="22"/>
              </w:rPr>
              <w:t>L</w:t>
            </w:r>
            <w:r w:rsidRPr="00D20C18">
              <w:rPr>
                <w:rFonts w:ascii="Constantia" w:hAnsi="Constantia"/>
                <w:b w:val="0"/>
                <w:color w:val="auto"/>
                <w:szCs w:val="22"/>
                <w:vertAlign w:val="subscript"/>
              </w:rPr>
              <w:t>den</w:t>
            </w:r>
            <w:r w:rsidRPr="00D20C18">
              <w:rPr>
                <w:rFonts w:ascii="Constantia" w:hAnsi="Constantia"/>
                <w:color w:val="auto"/>
                <w:szCs w:val="22"/>
              </w:rPr>
              <w:t xml:space="preserve"> (dB)</w:t>
            </w:r>
          </w:p>
        </w:tc>
      </w:tr>
      <w:tr w:rsidR="00EB3E54" w:rsidRPr="00D20C18" w:rsidTr="00D20C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rsidR="00EB3E54" w:rsidRPr="00D20C18" w:rsidRDefault="00EB3E54" w:rsidP="0097248A">
            <w:pPr>
              <w:keepLines/>
              <w:widowControl w:val="0"/>
              <w:tabs>
                <w:tab w:val="left" w:pos="1134"/>
                <w:tab w:val="left" w:pos="2268"/>
              </w:tabs>
              <w:autoSpaceDE w:val="0"/>
              <w:autoSpaceDN w:val="0"/>
              <w:spacing w:after="60"/>
              <w:jc w:val="center"/>
              <w:rPr>
                <w:rFonts w:ascii="Constantia" w:hAnsi="Constantia"/>
                <w:szCs w:val="22"/>
              </w:rPr>
            </w:pPr>
            <w:r w:rsidRPr="00D20C18">
              <w:rPr>
                <w:rFonts w:ascii="Constantia" w:hAnsi="Constantia"/>
                <w:szCs w:val="22"/>
              </w:rPr>
              <w:t>I Ciklus</w:t>
            </w:r>
          </w:p>
        </w:tc>
        <w:tc>
          <w:tcPr>
            <w:tcW w:w="1710" w:type="dxa"/>
          </w:tcPr>
          <w:p w:rsidR="00EB3E54" w:rsidRPr="00D20C18" w:rsidRDefault="00EB3E54" w:rsidP="0097248A">
            <w:pPr>
              <w:keepLines/>
              <w:widowControl w:val="0"/>
              <w:tabs>
                <w:tab w:val="left" w:pos="1134"/>
                <w:tab w:val="left" w:pos="2268"/>
              </w:tabs>
              <w:autoSpaceDE w:val="0"/>
              <w:autoSpaceDN w:val="0"/>
              <w:spacing w:after="6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D20C18">
              <w:rPr>
                <w:rFonts w:ascii="Constantia" w:hAnsi="Constantia"/>
                <w:b/>
                <w:szCs w:val="22"/>
              </w:rPr>
              <w:t>66</w:t>
            </w:r>
          </w:p>
        </w:tc>
        <w:tc>
          <w:tcPr>
            <w:tcW w:w="1710" w:type="dxa"/>
          </w:tcPr>
          <w:p w:rsidR="00EB3E54" w:rsidRPr="00D20C18" w:rsidRDefault="00EB3E54" w:rsidP="0097248A">
            <w:pPr>
              <w:keepLines/>
              <w:widowControl w:val="0"/>
              <w:tabs>
                <w:tab w:val="left" w:pos="1134"/>
                <w:tab w:val="left" w:pos="2268"/>
              </w:tabs>
              <w:autoSpaceDE w:val="0"/>
              <w:autoSpaceDN w:val="0"/>
              <w:spacing w:after="6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D20C18">
              <w:rPr>
                <w:rFonts w:ascii="Constantia" w:hAnsi="Constantia"/>
                <w:b/>
                <w:szCs w:val="22"/>
              </w:rPr>
              <w:t>65</w:t>
            </w:r>
          </w:p>
        </w:tc>
        <w:tc>
          <w:tcPr>
            <w:tcW w:w="1710" w:type="dxa"/>
          </w:tcPr>
          <w:p w:rsidR="00EB3E54" w:rsidRPr="00D20C18" w:rsidRDefault="00EB3E54" w:rsidP="0097248A">
            <w:pPr>
              <w:keepLines/>
              <w:widowControl w:val="0"/>
              <w:tabs>
                <w:tab w:val="left" w:pos="1134"/>
                <w:tab w:val="left" w:pos="2268"/>
              </w:tabs>
              <w:autoSpaceDE w:val="0"/>
              <w:autoSpaceDN w:val="0"/>
              <w:spacing w:after="6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D20C18">
              <w:rPr>
                <w:rFonts w:ascii="Constantia" w:hAnsi="Constantia"/>
                <w:b/>
                <w:szCs w:val="22"/>
              </w:rPr>
              <w:t>66</w:t>
            </w:r>
          </w:p>
        </w:tc>
        <w:tc>
          <w:tcPr>
            <w:tcW w:w="1512" w:type="dxa"/>
          </w:tcPr>
          <w:p w:rsidR="00EB3E54" w:rsidRPr="00D20C18" w:rsidRDefault="00EB3E54" w:rsidP="0097248A">
            <w:pPr>
              <w:keepLines/>
              <w:widowControl w:val="0"/>
              <w:tabs>
                <w:tab w:val="left" w:pos="1134"/>
                <w:tab w:val="left" w:pos="2268"/>
              </w:tabs>
              <w:autoSpaceDE w:val="0"/>
              <w:autoSpaceDN w:val="0"/>
              <w:spacing w:after="6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D20C18">
              <w:rPr>
                <w:rFonts w:ascii="Constantia" w:hAnsi="Constantia"/>
                <w:b/>
                <w:szCs w:val="22"/>
              </w:rPr>
              <w:t>72</w:t>
            </w:r>
          </w:p>
        </w:tc>
      </w:tr>
      <w:tr w:rsidR="00EB3E54" w:rsidRPr="00D20C18" w:rsidTr="00D20C18">
        <w:tc>
          <w:tcPr>
            <w:cnfStyle w:val="001000000000" w:firstRow="0" w:lastRow="0" w:firstColumn="1" w:lastColumn="0" w:oddVBand="0" w:evenVBand="0" w:oddHBand="0" w:evenHBand="0" w:firstRowFirstColumn="0" w:firstRowLastColumn="0" w:lastRowFirstColumn="0" w:lastRowLastColumn="0"/>
            <w:tcW w:w="2268" w:type="dxa"/>
          </w:tcPr>
          <w:p w:rsidR="00EB3E54" w:rsidRPr="00D20C18" w:rsidRDefault="00EB3E54" w:rsidP="0097248A">
            <w:pPr>
              <w:keepLines/>
              <w:widowControl w:val="0"/>
              <w:tabs>
                <w:tab w:val="left" w:pos="1134"/>
                <w:tab w:val="left" w:pos="2268"/>
              </w:tabs>
              <w:autoSpaceDE w:val="0"/>
              <w:autoSpaceDN w:val="0"/>
              <w:spacing w:after="60"/>
              <w:jc w:val="center"/>
              <w:rPr>
                <w:rFonts w:ascii="Constantia" w:hAnsi="Constantia"/>
                <w:szCs w:val="22"/>
              </w:rPr>
            </w:pPr>
            <w:r w:rsidRPr="00D20C18">
              <w:rPr>
                <w:rFonts w:ascii="Constantia" w:hAnsi="Constantia"/>
                <w:szCs w:val="22"/>
              </w:rPr>
              <w:t>II Ciklus</w:t>
            </w:r>
          </w:p>
        </w:tc>
        <w:tc>
          <w:tcPr>
            <w:tcW w:w="1710" w:type="dxa"/>
          </w:tcPr>
          <w:p w:rsidR="00EB3E54" w:rsidRPr="00D20C18" w:rsidRDefault="00EB3E54" w:rsidP="0097248A">
            <w:pPr>
              <w:keepLines/>
              <w:widowControl w:val="0"/>
              <w:tabs>
                <w:tab w:val="left" w:pos="1134"/>
                <w:tab w:val="left" w:pos="2268"/>
              </w:tabs>
              <w:autoSpaceDE w:val="0"/>
              <w:autoSpaceDN w:val="0"/>
              <w:spacing w:after="60"/>
              <w:jc w:val="center"/>
              <w:cnfStyle w:val="000000000000" w:firstRow="0" w:lastRow="0" w:firstColumn="0" w:lastColumn="0" w:oddVBand="0" w:evenVBand="0" w:oddHBand="0" w:evenHBand="0" w:firstRowFirstColumn="0" w:firstRowLastColumn="0" w:lastRowFirstColumn="0" w:lastRowLastColumn="0"/>
              <w:rPr>
                <w:rFonts w:ascii="Constantia" w:hAnsi="Constantia"/>
                <w:b/>
                <w:szCs w:val="22"/>
              </w:rPr>
            </w:pPr>
            <w:r w:rsidRPr="00D20C18">
              <w:rPr>
                <w:rFonts w:ascii="Constantia" w:hAnsi="Constantia"/>
                <w:b/>
                <w:szCs w:val="22"/>
              </w:rPr>
              <w:t>53</w:t>
            </w:r>
          </w:p>
        </w:tc>
        <w:tc>
          <w:tcPr>
            <w:tcW w:w="1710" w:type="dxa"/>
          </w:tcPr>
          <w:p w:rsidR="00EB3E54" w:rsidRPr="00D20C18" w:rsidRDefault="00EB3E54" w:rsidP="0097248A">
            <w:pPr>
              <w:keepLines/>
              <w:widowControl w:val="0"/>
              <w:tabs>
                <w:tab w:val="left" w:pos="1134"/>
                <w:tab w:val="left" w:pos="2268"/>
              </w:tabs>
              <w:autoSpaceDE w:val="0"/>
              <w:autoSpaceDN w:val="0"/>
              <w:spacing w:after="60"/>
              <w:jc w:val="center"/>
              <w:cnfStyle w:val="000000000000" w:firstRow="0" w:lastRow="0" w:firstColumn="0" w:lastColumn="0" w:oddVBand="0" w:evenVBand="0" w:oddHBand="0" w:evenHBand="0" w:firstRowFirstColumn="0" w:firstRowLastColumn="0" w:lastRowFirstColumn="0" w:lastRowLastColumn="0"/>
              <w:rPr>
                <w:rFonts w:ascii="Constantia" w:hAnsi="Constantia"/>
                <w:b/>
                <w:szCs w:val="22"/>
              </w:rPr>
            </w:pPr>
            <w:r w:rsidRPr="00D20C18">
              <w:rPr>
                <w:rFonts w:ascii="Constantia" w:hAnsi="Constantia"/>
                <w:b/>
                <w:szCs w:val="22"/>
              </w:rPr>
              <w:t>57</w:t>
            </w:r>
          </w:p>
        </w:tc>
        <w:tc>
          <w:tcPr>
            <w:tcW w:w="1710" w:type="dxa"/>
          </w:tcPr>
          <w:p w:rsidR="00EB3E54" w:rsidRPr="00D20C18" w:rsidRDefault="00EB3E54" w:rsidP="0097248A">
            <w:pPr>
              <w:keepLines/>
              <w:widowControl w:val="0"/>
              <w:tabs>
                <w:tab w:val="left" w:pos="1134"/>
                <w:tab w:val="left" w:pos="2268"/>
              </w:tabs>
              <w:autoSpaceDE w:val="0"/>
              <w:autoSpaceDN w:val="0"/>
              <w:spacing w:after="60"/>
              <w:jc w:val="center"/>
              <w:cnfStyle w:val="000000000000" w:firstRow="0" w:lastRow="0" w:firstColumn="0" w:lastColumn="0" w:oddVBand="0" w:evenVBand="0" w:oddHBand="0" w:evenHBand="0" w:firstRowFirstColumn="0" w:firstRowLastColumn="0" w:lastRowFirstColumn="0" w:lastRowLastColumn="0"/>
              <w:rPr>
                <w:rFonts w:ascii="Constantia" w:hAnsi="Constantia"/>
                <w:b/>
                <w:szCs w:val="22"/>
              </w:rPr>
            </w:pPr>
            <w:r w:rsidRPr="00D20C18">
              <w:rPr>
                <w:rFonts w:ascii="Constantia" w:hAnsi="Constantia"/>
                <w:b/>
                <w:szCs w:val="22"/>
              </w:rPr>
              <w:t>47</w:t>
            </w:r>
          </w:p>
        </w:tc>
        <w:tc>
          <w:tcPr>
            <w:tcW w:w="1512" w:type="dxa"/>
          </w:tcPr>
          <w:p w:rsidR="00EB3E54" w:rsidRPr="00D20C18" w:rsidRDefault="00EB3E54" w:rsidP="0097248A">
            <w:pPr>
              <w:keepLines/>
              <w:widowControl w:val="0"/>
              <w:tabs>
                <w:tab w:val="left" w:pos="1134"/>
                <w:tab w:val="left" w:pos="2268"/>
              </w:tabs>
              <w:autoSpaceDE w:val="0"/>
              <w:autoSpaceDN w:val="0"/>
              <w:spacing w:after="60"/>
              <w:jc w:val="center"/>
              <w:cnfStyle w:val="000000000000" w:firstRow="0" w:lastRow="0" w:firstColumn="0" w:lastColumn="0" w:oddVBand="0" w:evenVBand="0" w:oddHBand="0" w:evenHBand="0" w:firstRowFirstColumn="0" w:firstRowLastColumn="0" w:lastRowFirstColumn="0" w:lastRowLastColumn="0"/>
              <w:rPr>
                <w:rFonts w:ascii="Constantia" w:hAnsi="Constantia"/>
                <w:b/>
                <w:szCs w:val="22"/>
              </w:rPr>
            </w:pPr>
            <w:r w:rsidRPr="00D20C18">
              <w:rPr>
                <w:rFonts w:ascii="Constantia" w:hAnsi="Constantia"/>
                <w:b/>
                <w:szCs w:val="22"/>
              </w:rPr>
              <w:t>57</w:t>
            </w:r>
          </w:p>
        </w:tc>
      </w:tr>
      <w:tr w:rsidR="00EB3E54" w:rsidRPr="00D20C18" w:rsidTr="00D20C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rsidR="00EB3E54" w:rsidRPr="00D20C18" w:rsidRDefault="00EB3E54" w:rsidP="0097248A">
            <w:pPr>
              <w:keepLines/>
              <w:widowControl w:val="0"/>
              <w:tabs>
                <w:tab w:val="left" w:pos="1134"/>
                <w:tab w:val="left" w:pos="2268"/>
              </w:tabs>
              <w:autoSpaceDE w:val="0"/>
              <w:autoSpaceDN w:val="0"/>
              <w:spacing w:after="60"/>
              <w:jc w:val="center"/>
              <w:rPr>
                <w:rFonts w:ascii="Constantia" w:hAnsi="Constantia"/>
                <w:szCs w:val="22"/>
              </w:rPr>
            </w:pPr>
            <w:r w:rsidRPr="00D20C18">
              <w:rPr>
                <w:rFonts w:ascii="Constantia" w:hAnsi="Constantia"/>
                <w:szCs w:val="22"/>
              </w:rPr>
              <w:t>Granična vrijednost</w:t>
            </w:r>
          </w:p>
        </w:tc>
        <w:tc>
          <w:tcPr>
            <w:tcW w:w="1710" w:type="dxa"/>
          </w:tcPr>
          <w:p w:rsidR="00EB3E54" w:rsidRPr="00D20C18" w:rsidRDefault="00EB3E54" w:rsidP="0097248A">
            <w:pPr>
              <w:keepLines/>
              <w:widowControl w:val="0"/>
              <w:tabs>
                <w:tab w:val="left" w:pos="1134"/>
                <w:tab w:val="left" w:pos="2268"/>
              </w:tabs>
              <w:autoSpaceDE w:val="0"/>
              <w:autoSpaceDN w:val="0"/>
              <w:spacing w:after="6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D20C18">
              <w:rPr>
                <w:rFonts w:ascii="Constantia" w:hAnsi="Constantia"/>
                <w:b/>
                <w:szCs w:val="22"/>
              </w:rPr>
              <w:t>50</w:t>
            </w:r>
          </w:p>
        </w:tc>
        <w:tc>
          <w:tcPr>
            <w:tcW w:w="1710" w:type="dxa"/>
          </w:tcPr>
          <w:p w:rsidR="00EB3E54" w:rsidRPr="00D20C18" w:rsidRDefault="00EB3E54" w:rsidP="0097248A">
            <w:pPr>
              <w:keepLines/>
              <w:widowControl w:val="0"/>
              <w:tabs>
                <w:tab w:val="left" w:pos="1134"/>
                <w:tab w:val="left" w:pos="2268"/>
              </w:tabs>
              <w:autoSpaceDE w:val="0"/>
              <w:autoSpaceDN w:val="0"/>
              <w:spacing w:after="6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D20C18">
              <w:rPr>
                <w:rFonts w:ascii="Constantia" w:hAnsi="Constantia"/>
                <w:b/>
                <w:szCs w:val="22"/>
              </w:rPr>
              <w:t>50</w:t>
            </w:r>
          </w:p>
        </w:tc>
        <w:tc>
          <w:tcPr>
            <w:tcW w:w="1710" w:type="dxa"/>
          </w:tcPr>
          <w:p w:rsidR="00EB3E54" w:rsidRPr="00D20C18" w:rsidRDefault="00EB3E54" w:rsidP="0097248A">
            <w:pPr>
              <w:keepLines/>
              <w:widowControl w:val="0"/>
              <w:tabs>
                <w:tab w:val="left" w:pos="1134"/>
                <w:tab w:val="left" w:pos="2268"/>
              </w:tabs>
              <w:autoSpaceDE w:val="0"/>
              <w:autoSpaceDN w:val="0"/>
              <w:spacing w:after="6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D20C18">
              <w:rPr>
                <w:rFonts w:ascii="Constantia" w:hAnsi="Constantia"/>
                <w:b/>
                <w:szCs w:val="22"/>
              </w:rPr>
              <w:t>40</w:t>
            </w:r>
          </w:p>
        </w:tc>
        <w:tc>
          <w:tcPr>
            <w:tcW w:w="1512" w:type="dxa"/>
          </w:tcPr>
          <w:p w:rsidR="00EB3E54" w:rsidRPr="00D20C18" w:rsidRDefault="00EB3E54" w:rsidP="0097248A">
            <w:pPr>
              <w:keepLines/>
              <w:widowControl w:val="0"/>
              <w:tabs>
                <w:tab w:val="left" w:pos="1134"/>
                <w:tab w:val="left" w:pos="2268"/>
              </w:tabs>
              <w:autoSpaceDE w:val="0"/>
              <w:autoSpaceDN w:val="0"/>
              <w:spacing w:after="6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D20C18">
              <w:rPr>
                <w:rFonts w:ascii="Constantia" w:hAnsi="Constantia"/>
                <w:b/>
                <w:szCs w:val="22"/>
              </w:rPr>
              <w:t>---</w:t>
            </w:r>
          </w:p>
        </w:tc>
      </w:tr>
    </w:tbl>
    <w:p w:rsidR="00EB3E54" w:rsidRPr="00D20C18" w:rsidRDefault="00EB3E54" w:rsidP="00D20C18">
      <w:pPr>
        <w:numPr>
          <w:ilvl w:val="0"/>
          <w:numId w:val="3"/>
        </w:numPr>
        <w:tabs>
          <w:tab w:val="left" w:pos="2520"/>
        </w:tabs>
        <w:spacing w:before="60" w:after="240"/>
        <w:ind w:left="1170" w:firstLine="90"/>
        <w:jc w:val="center"/>
        <w:rPr>
          <w:rFonts w:ascii="Constantia" w:hAnsi="Constantia"/>
          <w:i/>
          <w:szCs w:val="22"/>
          <w:lang w:val="sr-Latn-CS"/>
        </w:rPr>
      </w:pPr>
      <w:r w:rsidRPr="00D20C18">
        <w:rPr>
          <w:rFonts w:ascii="Constantia" w:hAnsi="Constantia"/>
          <w:i/>
          <w:szCs w:val="22"/>
          <w:lang w:val="sr-Latn-CS"/>
        </w:rPr>
        <w:t>Srednji indikatori buke na mjernom mjestu u Nikšiću</w:t>
      </w:r>
    </w:p>
    <w:p w:rsidR="00EB3E54" w:rsidRPr="00EB3E54" w:rsidRDefault="00EB3E54" w:rsidP="00B50B6E">
      <w:pPr>
        <w:spacing w:after="0"/>
        <w:ind w:left="720"/>
        <w:jc w:val="left"/>
        <w:rPr>
          <w:i/>
          <w:sz w:val="20"/>
          <w:lang w:val="sr-Latn-CS"/>
        </w:rPr>
      </w:pPr>
    </w:p>
    <w:p w:rsidR="00EB3E54" w:rsidRPr="002A6616" w:rsidRDefault="00EB3E54" w:rsidP="00EB3E54">
      <w:pPr>
        <w:rPr>
          <w:rFonts w:ascii="Constantia" w:hAnsi="Constantia"/>
          <w:lang w:val="sr-Latn-CS"/>
        </w:rPr>
      </w:pPr>
      <w:r w:rsidRPr="002A6616">
        <w:rPr>
          <w:rFonts w:ascii="Constantia" w:hAnsi="Constantia"/>
        </w:rPr>
        <w:t>Vrijednosti</w:t>
      </w:r>
      <w:r w:rsidRPr="002A6616">
        <w:rPr>
          <w:rFonts w:ascii="Constantia" w:hAnsi="Constantia"/>
          <w:lang w:val="sr-Latn-CS"/>
        </w:rPr>
        <w:t xml:space="preserve"> </w:t>
      </w:r>
      <w:r w:rsidRPr="002A6616">
        <w:rPr>
          <w:rFonts w:ascii="Constantia" w:hAnsi="Constantia"/>
        </w:rPr>
        <w:t>indikatora</w:t>
      </w:r>
      <w:r w:rsidRPr="002A6616">
        <w:rPr>
          <w:rFonts w:ascii="Constantia" w:hAnsi="Constantia"/>
          <w:lang w:val="sr-Latn-CS"/>
        </w:rPr>
        <w:t xml:space="preserve"> </w:t>
      </w:r>
      <w:r w:rsidRPr="002A6616">
        <w:rPr>
          <w:rFonts w:ascii="Constantia" w:hAnsi="Constantia"/>
        </w:rPr>
        <w:t>buke</w:t>
      </w:r>
      <w:r w:rsidRPr="002A6616">
        <w:rPr>
          <w:rFonts w:ascii="Constantia" w:hAnsi="Constantia"/>
          <w:lang w:val="sr-Latn-CS"/>
        </w:rPr>
        <w:t xml:space="preserve"> </w:t>
      </w:r>
      <w:r w:rsidRPr="002A6616">
        <w:rPr>
          <w:rFonts w:ascii="Constantia" w:hAnsi="Constantia"/>
        </w:rPr>
        <w:t>su</w:t>
      </w:r>
      <w:r w:rsidRPr="002A6616">
        <w:rPr>
          <w:rFonts w:ascii="Constantia" w:hAnsi="Constantia"/>
          <w:lang w:val="sr-Latn-CS"/>
        </w:rPr>
        <w:t xml:space="preserve"> </w:t>
      </w:r>
      <w:r w:rsidRPr="002A6616">
        <w:rPr>
          <w:rFonts w:ascii="Constantia" w:hAnsi="Constantia"/>
        </w:rPr>
        <w:t>znatno</w:t>
      </w:r>
      <w:r w:rsidRPr="002A6616">
        <w:rPr>
          <w:rFonts w:ascii="Constantia" w:hAnsi="Constantia"/>
          <w:lang w:val="sr-Latn-CS"/>
        </w:rPr>
        <w:t xml:space="preserve"> </w:t>
      </w:r>
      <w:r w:rsidRPr="002A6616">
        <w:rPr>
          <w:rFonts w:ascii="Constantia" w:hAnsi="Constantia"/>
        </w:rPr>
        <w:t>ve</w:t>
      </w:r>
      <w:r w:rsidRPr="002A6616">
        <w:rPr>
          <w:rFonts w:ascii="Constantia" w:hAnsi="Constantia"/>
          <w:lang w:val="sr-Latn-CS"/>
        </w:rPr>
        <w:t>ć</w:t>
      </w:r>
      <w:r w:rsidRPr="002A6616">
        <w:rPr>
          <w:rFonts w:ascii="Constantia" w:hAnsi="Constantia"/>
        </w:rPr>
        <w:t>e</w:t>
      </w:r>
      <w:r w:rsidRPr="002A6616">
        <w:rPr>
          <w:rFonts w:ascii="Constantia" w:hAnsi="Constantia"/>
          <w:lang w:val="sr-Latn-CS"/>
        </w:rPr>
        <w:t xml:space="preserve"> </w:t>
      </w:r>
      <w:r w:rsidRPr="002A6616">
        <w:rPr>
          <w:rFonts w:ascii="Constantia" w:hAnsi="Constantia"/>
        </w:rPr>
        <w:t>u</w:t>
      </w:r>
      <w:r w:rsidRPr="002A6616">
        <w:rPr>
          <w:rFonts w:ascii="Constantia" w:hAnsi="Constantia"/>
          <w:lang w:val="sr-Latn-CS"/>
        </w:rPr>
        <w:t xml:space="preserve"> </w:t>
      </w:r>
      <w:r w:rsidRPr="002A6616">
        <w:rPr>
          <w:rFonts w:ascii="Constantia" w:hAnsi="Constantia"/>
        </w:rPr>
        <w:t>prvom</w:t>
      </w:r>
      <w:r w:rsidRPr="002A6616">
        <w:rPr>
          <w:rFonts w:ascii="Constantia" w:hAnsi="Constantia"/>
          <w:lang w:val="sr-Latn-CS"/>
        </w:rPr>
        <w:t xml:space="preserve"> </w:t>
      </w:r>
      <w:r w:rsidRPr="002A6616">
        <w:rPr>
          <w:rFonts w:ascii="Constantia" w:hAnsi="Constantia"/>
        </w:rPr>
        <w:t>ciklusu</w:t>
      </w:r>
      <w:r w:rsidRPr="002A6616">
        <w:rPr>
          <w:rFonts w:ascii="Constantia" w:hAnsi="Constantia"/>
          <w:lang w:val="sr-Latn-CS"/>
        </w:rPr>
        <w:t xml:space="preserve"> </w:t>
      </w:r>
      <w:r w:rsidRPr="002A6616">
        <w:rPr>
          <w:rFonts w:ascii="Constantia" w:hAnsi="Constantia"/>
        </w:rPr>
        <w:t>mjerenja</w:t>
      </w:r>
      <w:r w:rsidRPr="002A6616">
        <w:rPr>
          <w:rFonts w:ascii="Constantia" w:hAnsi="Constantia"/>
          <w:lang w:val="sr-Latn-CS"/>
        </w:rPr>
        <w:t xml:space="preserve"> (</w:t>
      </w:r>
      <w:r w:rsidRPr="002A6616">
        <w:rPr>
          <w:rFonts w:ascii="Constantia" w:hAnsi="Constantia"/>
        </w:rPr>
        <w:t>kraj</w:t>
      </w:r>
      <w:r w:rsidRPr="002A6616">
        <w:rPr>
          <w:rFonts w:ascii="Constantia" w:hAnsi="Constantia"/>
          <w:lang w:val="sr-Latn-CS"/>
        </w:rPr>
        <w:t xml:space="preserve"> </w:t>
      </w:r>
      <w:r w:rsidRPr="002A6616">
        <w:rPr>
          <w:rFonts w:ascii="Constantia" w:hAnsi="Constantia"/>
        </w:rPr>
        <w:t>juna</w:t>
      </w:r>
      <w:r w:rsidRPr="002A6616">
        <w:rPr>
          <w:rFonts w:ascii="Constantia" w:hAnsi="Constantia"/>
          <w:lang w:val="sr-Latn-CS"/>
        </w:rPr>
        <w:t xml:space="preserve">) </w:t>
      </w:r>
      <w:r w:rsidRPr="002A6616">
        <w:rPr>
          <w:rFonts w:ascii="Constantia" w:hAnsi="Constantia"/>
        </w:rPr>
        <w:t>nego</w:t>
      </w:r>
      <w:r w:rsidRPr="002A6616">
        <w:rPr>
          <w:rFonts w:ascii="Constantia" w:hAnsi="Constantia"/>
          <w:lang w:val="sr-Latn-CS"/>
        </w:rPr>
        <w:t xml:space="preserve"> </w:t>
      </w:r>
      <w:r w:rsidRPr="002A6616">
        <w:rPr>
          <w:rFonts w:ascii="Constantia" w:hAnsi="Constantia"/>
        </w:rPr>
        <w:t>u</w:t>
      </w:r>
      <w:r w:rsidRPr="002A6616">
        <w:rPr>
          <w:rFonts w:ascii="Constantia" w:hAnsi="Constantia"/>
          <w:lang w:val="sr-Latn-CS"/>
        </w:rPr>
        <w:t xml:space="preserve"> </w:t>
      </w:r>
      <w:r w:rsidRPr="002A6616">
        <w:rPr>
          <w:rFonts w:ascii="Constantia" w:hAnsi="Constantia"/>
        </w:rPr>
        <w:t>drugom</w:t>
      </w:r>
      <w:r w:rsidRPr="002A6616">
        <w:rPr>
          <w:rFonts w:ascii="Constantia" w:hAnsi="Constantia"/>
          <w:lang w:val="sr-Latn-CS"/>
        </w:rPr>
        <w:t xml:space="preserve"> </w:t>
      </w:r>
      <w:r w:rsidRPr="002A6616">
        <w:rPr>
          <w:rFonts w:ascii="Constantia" w:hAnsi="Constantia"/>
        </w:rPr>
        <w:t>ciklusu</w:t>
      </w:r>
      <w:r w:rsidRPr="002A6616">
        <w:rPr>
          <w:rFonts w:ascii="Constantia" w:hAnsi="Constantia"/>
          <w:lang w:val="sr-Latn-CS"/>
        </w:rPr>
        <w:t xml:space="preserve"> </w:t>
      </w:r>
      <w:r w:rsidRPr="002A6616">
        <w:rPr>
          <w:rFonts w:ascii="Constantia" w:hAnsi="Constantia"/>
        </w:rPr>
        <w:t>mjerenja</w:t>
      </w:r>
      <w:r w:rsidRPr="002A6616">
        <w:rPr>
          <w:rFonts w:ascii="Constantia" w:hAnsi="Constantia"/>
          <w:lang w:val="sr-Latn-CS"/>
        </w:rPr>
        <w:t xml:space="preserve"> (</w:t>
      </w:r>
      <w:r w:rsidRPr="002A6616">
        <w:rPr>
          <w:rFonts w:ascii="Constantia" w:hAnsi="Constantia"/>
        </w:rPr>
        <w:t>sredina</w:t>
      </w:r>
      <w:r w:rsidRPr="002A6616">
        <w:rPr>
          <w:rFonts w:ascii="Constantia" w:hAnsi="Constantia"/>
          <w:lang w:val="sr-Latn-CS"/>
        </w:rPr>
        <w:t xml:space="preserve"> </w:t>
      </w:r>
      <w:r w:rsidRPr="002A6616">
        <w:rPr>
          <w:rFonts w:ascii="Constantia" w:hAnsi="Constantia"/>
        </w:rPr>
        <w:t>oktobra</w:t>
      </w:r>
      <w:r w:rsidRPr="002A6616">
        <w:rPr>
          <w:rFonts w:ascii="Constantia" w:hAnsi="Constantia"/>
          <w:lang w:val="sr-Latn-CS"/>
        </w:rPr>
        <w:t xml:space="preserve">). </w:t>
      </w:r>
    </w:p>
    <w:p w:rsidR="00EB3E54" w:rsidRPr="002A6616" w:rsidRDefault="00EB3E54" w:rsidP="00EB3E54">
      <w:pPr>
        <w:rPr>
          <w:rFonts w:ascii="Constantia" w:hAnsi="Constantia"/>
          <w:lang w:val="sr-Latn-CS"/>
        </w:rPr>
      </w:pPr>
      <w:r w:rsidRPr="002A6616">
        <w:rPr>
          <w:rFonts w:ascii="Constantia" w:hAnsi="Constantia"/>
        </w:rPr>
        <w:t>U</w:t>
      </w:r>
      <w:r w:rsidRPr="002A6616">
        <w:rPr>
          <w:rFonts w:ascii="Constantia" w:hAnsi="Constantia"/>
          <w:lang w:val="sr-Latn-CS"/>
        </w:rPr>
        <w:t xml:space="preserve"> </w:t>
      </w:r>
      <w:r w:rsidRPr="002A6616">
        <w:rPr>
          <w:rFonts w:ascii="Constantia" w:hAnsi="Constantia"/>
        </w:rPr>
        <w:t>oba</w:t>
      </w:r>
      <w:r w:rsidRPr="002A6616">
        <w:rPr>
          <w:rFonts w:ascii="Constantia" w:hAnsi="Constantia"/>
          <w:lang w:val="sr-Latn-CS"/>
        </w:rPr>
        <w:t xml:space="preserve"> </w:t>
      </w:r>
      <w:r w:rsidRPr="002A6616">
        <w:rPr>
          <w:rFonts w:ascii="Constantia" w:hAnsi="Constantia"/>
        </w:rPr>
        <w:t>ciklusa</w:t>
      </w:r>
      <w:r w:rsidRPr="002A6616">
        <w:rPr>
          <w:rFonts w:ascii="Constantia" w:hAnsi="Constantia"/>
          <w:lang w:val="sr-Latn-CS"/>
        </w:rPr>
        <w:t xml:space="preserve"> </w:t>
      </w:r>
      <w:r w:rsidRPr="002A6616">
        <w:rPr>
          <w:rFonts w:ascii="Constantia" w:hAnsi="Constantia"/>
        </w:rPr>
        <w:t>mjerenja</w:t>
      </w:r>
      <w:r w:rsidRPr="002A6616">
        <w:rPr>
          <w:rFonts w:ascii="Constantia" w:hAnsi="Constantia"/>
          <w:lang w:val="sr-Latn-CS"/>
        </w:rPr>
        <w:t xml:space="preserve"> </w:t>
      </w:r>
      <w:r w:rsidRPr="002A6616">
        <w:rPr>
          <w:rFonts w:ascii="Constantia" w:hAnsi="Constantia"/>
        </w:rPr>
        <w:t>vrijednosti</w:t>
      </w:r>
      <w:r w:rsidRPr="002A6616">
        <w:rPr>
          <w:rFonts w:ascii="Constantia" w:hAnsi="Constantia"/>
          <w:lang w:val="sr-Latn-CS"/>
        </w:rPr>
        <w:t xml:space="preserve"> </w:t>
      </w:r>
      <w:r w:rsidRPr="002A6616">
        <w:rPr>
          <w:rFonts w:ascii="Constantia" w:hAnsi="Constantia"/>
        </w:rPr>
        <w:t>indikatora</w:t>
      </w:r>
      <w:r w:rsidRPr="002A6616">
        <w:rPr>
          <w:rFonts w:ascii="Constantia" w:hAnsi="Constantia"/>
          <w:lang w:val="sr-Latn-CS"/>
        </w:rPr>
        <w:t xml:space="preserve"> </w:t>
      </w:r>
      <w:r w:rsidRPr="002A6616">
        <w:rPr>
          <w:rFonts w:ascii="Constantia" w:hAnsi="Constantia"/>
        </w:rPr>
        <w:t>buke</w:t>
      </w:r>
      <w:r w:rsidRPr="002A6616">
        <w:rPr>
          <w:rFonts w:ascii="Constantia" w:hAnsi="Constantia"/>
          <w:lang w:val="sr-Latn-CS"/>
        </w:rPr>
        <w:t xml:space="preserve"> </w:t>
      </w:r>
      <w:r w:rsidRPr="002A6616">
        <w:rPr>
          <w:rFonts w:ascii="Constantia" w:hAnsi="Constantia"/>
        </w:rPr>
        <w:t>za</w:t>
      </w:r>
      <w:r w:rsidRPr="002A6616">
        <w:rPr>
          <w:rFonts w:ascii="Constantia" w:hAnsi="Constantia"/>
          <w:lang w:val="sr-Latn-CS"/>
        </w:rPr>
        <w:t xml:space="preserve"> </w:t>
      </w:r>
      <w:r w:rsidRPr="002A6616">
        <w:rPr>
          <w:rFonts w:ascii="Constantia" w:hAnsi="Constantia"/>
        </w:rPr>
        <w:t>dan</w:t>
      </w:r>
      <w:r w:rsidRPr="002A6616">
        <w:rPr>
          <w:rFonts w:ascii="Constantia" w:hAnsi="Constantia"/>
          <w:lang w:val="sr-Latn-CS"/>
        </w:rPr>
        <w:t xml:space="preserve">, </w:t>
      </w:r>
      <w:r w:rsidRPr="002A6616">
        <w:rPr>
          <w:rFonts w:ascii="Constantia" w:hAnsi="Constantia"/>
        </w:rPr>
        <w:t>ve</w:t>
      </w:r>
      <w:r w:rsidRPr="002A6616">
        <w:rPr>
          <w:rFonts w:ascii="Constantia" w:hAnsi="Constantia"/>
          <w:lang w:val="sr-Latn-CS"/>
        </w:rPr>
        <w:t>č</w:t>
      </w:r>
      <w:r w:rsidRPr="002A6616">
        <w:rPr>
          <w:rFonts w:ascii="Constantia" w:hAnsi="Constantia"/>
        </w:rPr>
        <w:t>e</w:t>
      </w:r>
      <w:r w:rsidRPr="002A6616">
        <w:rPr>
          <w:rFonts w:ascii="Constantia" w:hAnsi="Constantia"/>
          <w:lang w:val="sr-Latn-CS"/>
        </w:rPr>
        <w:t xml:space="preserve"> </w:t>
      </w:r>
      <w:r w:rsidRPr="002A6616">
        <w:rPr>
          <w:rFonts w:ascii="Constantia" w:hAnsi="Constantia"/>
        </w:rPr>
        <w:t>i</w:t>
      </w:r>
      <w:r w:rsidRPr="002A6616">
        <w:rPr>
          <w:rFonts w:ascii="Constantia" w:hAnsi="Constantia"/>
          <w:lang w:val="sr-Latn-CS"/>
        </w:rPr>
        <w:t xml:space="preserve"> </w:t>
      </w:r>
      <w:r w:rsidRPr="002A6616">
        <w:rPr>
          <w:rFonts w:ascii="Constantia" w:hAnsi="Constantia"/>
        </w:rPr>
        <w:t>no</w:t>
      </w:r>
      <w:r w:rsidRPr="002A6616">
        <w:rPr>
          <w:rFonts w:ascii="Constantia" w:hAnsi="Constantia"/>
          <w:lang w:val="sr-Latn-CS"/>
        </w:rPr>
        <w:t xml:space="preserve">ć </w:t>
      </w:r>
      <w:r w:rsidRPr="002A6616">
        <w:rPr>
          <w:rFonts w:ascii="Constantia" w:hAnsi="Constantia"/>
        </w:rPr>
        <w:t>prelaze</w:t>
      </w:r>
      <w:r w:rsidRPr="002A6616">
        <w:rPr>
          <w:rFonts w:ascii="Constantia" w:hAnsi="Constantia"/>
          <w:lang w:val="sr-Latn-CS"/>
        </w:rPr>
        <w:t xml:space="preserve"> </w:t>
      </w:r>
      <w:r w:rsidRPr="002A6616">
        <w:rPr>
          <w:rFonts w:ascii="Constantia" w:hAnsi="Constantia"/>
        </w:rPr>
        <w:t>grani</w:t>
      </w:r>
      <w:r w:rsidRPr="002A6616">
        <w:rPr>
          <w:rFonts w:ascii="Constantia" w:hAnsi="Constantia"/>
          <w:lang w:val="sr-Latn-CS"/>
        </w:rPr>
        <w:t>č</w:t>
      </w:r>
      <w:r w:rsidRPr="002A6616">
        <w:rPr>
          <w:rFonts w:ascii="Constantia" w:hAnsi="Constantia"/>
        </w:rPr>
        <w:t>ne</w:t>
      </w:r>
      <w:r w:rsidRPr="002A6616">
        <w:rPr>
          <w:rFonts w:ascii="Constantia" w:hAnsi="Constantia"/>
          <w:lang w:val="sr-Latn-CS"/>
        </w:rPr>
        <w:t xml:space="preserve"> </w:t>
      </w:r>
      <w:r w:rsidRPr="002A6616">
        <w:rPr>
          <w:rFonts w:ascii="Constantia" w:hAnsi="Constantia"/>
        </w:rPr>
        <w:t>vrijednosti</w:t>
      </w:r>
      <w:r w:rsidRPr="002A6616">
        <w:rPr>
          <w:rFonts w:ascii="Constantia" w:hAnsi="Constantia"/>
          <w:lang w:val="sr-Latn-CS"/>
        </w:rPr>
        <w:t xml:space="preserve"> </w:t>
      </w:r>
      <w:r w:rsidRPr="002A6616">
        <w:rPr>
          <w:rFonts w:ascii="Constantia" w:hAnsi="Constantia"/>
        </w:rPr>
        <w:t>nivoa</w:t>
      </w:r>
      <w:r w:rsidRPr="002A6616">
        <w:rPr>
          <w:rFonts w:ascii="Constantia" w:hAnsi="Constantia"/>
          <w:lang w:val="sr-Latn-CS"/>
        </w:rPr>
        <w:t xml:space="preserve"> </w:t>
      </w:r>
      <w:r w:rsidRPr="002A6616">
        <w:rPr>
          <w:rFonts w:ascii="Constantia" w:hAnsi="Constantia"/>
        </w:rPr>
        <w:t>buke</w:t>
      </w:r>
      <w:r w:rsidRPr="002A6616">
        <w:rPr>
          <w:rFonts w:ascii="Constantia" w:hAnsi="Constantia"/>
          <w:lang w:val="sr-Latn-CS"/>
        </w:rPr>
        <w:t>.</w:t>
      </w:r>
    </w:p>
    <w:p w:rsidR="00EB3E54" w:rsidRPr="002A6616" w:rsidRDefault="00EB3E54" w:rsidP="00EB3E54">
      <w:pPr>
        <w:rPr>
          <w:rFonts w:ascii="Constantia" w:hAnsi="Constantia"/>
          <w:lang w:val="sr-Latn-CS"/>
        </w:rPr>
      </w:pPr>
      <w:r w:rsidRPr="002A6616">
        <w:rPr>
          <w:rFonts w:ascii="Constantia" w:hAnsi="Constantia"/>
        </w:rPr>
        <w:t>Na</w:t>
      </w:r>
      <w:r w:rsidRPr="002A6616">
        <w:rPr>
          <w:rFonts w:ascii="Constantia" w:hAnsi="Constantia"/>
          <w:lang w:val="sr-Latn-CS"/>
        </w:rPr>
        <w:t xml:space="preserve"> </w:t>
      </w:r>
      <w:r w:rsidRPr="002A6616">
        <w:rPr>
          <w:rFonts w:ascii="Constantia" w:hAnsi="Constantia"/>
        </w:rPr>
        <w:t>osnovu</w:t>
      </w:r>
      <w:r w:rsidRPr="002A6616">
        <w:rPr>
          <w:rFonts w:ascii="Constantia" w:hAnsi="Constantia"/>
          <w:lang w:val="sr-Latn-CS"/>
        </w:rPr>
        <w:t xml:space="preserve"> </w:t>
      </w:r>
      <w:r w:rsidRPr="002A6616">
        <w:rPr>
          <w:rFonts w:ascii="Constantia" w:hAnsi="Constantia"/>
        </w:rPr>
        <w:t>Rje</w:t>
      </w:r>
      <w:r w:rsidRPr="002A6616">
        <w:rPr>
          <w:rFonts w:ascii="Constantia" w:hAnsi="Constantia"/>
          <w:lang w:val="sr-Latn-CS"/>
        </w:rPr>
        <w:t>š</w:t>
      </w:r>
      <w:r w:rsidRPr="002A6616">
        <w:rPr>
          <w:rFonts w:ascii="Constantia" w:hAnsi="Constantia"/>
        </w:rPr>
        <w:t>enja</w:t>
      </w:r>
      <w:r w:rsidRPr="002A6616">
        <w:rPr>
          <w:rFonts w:ascii="Constantia" w:hAnsi="Constantia"/>
          <w:lang w:val="sr-Latn-CS"/>
        </w:rPr>
        <w:t xml:space="preserve"> </w:t>
      </w:r>
      <w:r w:rsidRPr="002A6616">
        <w:rPr>
          <w:rFonts w:ascii="Constantia" w:hAnsi="Constantia"/>
        </w:rPr>
        <w:t>o</w:t>
      </w:r>
      <w:r w:rsidRPr="002A6616">
        <w:rPr>
          <w:rFonts w:ascii="Constantia" w:hAnsi="Constantia"/>
          <w:lang w:val="sr-Latn-CS"/>
        </w:rPr>
        <w:t xml:space="preserve"> </w:t>
      </w:r>
      <w:r w:rsidRPr="002A6616">
        <w:rPr>
          <w:rFonts w:ascii="Constantia" w:hAnsi="Constantia"/>
        </w:rPr>
        <w:t>utvr</w:t>
      </w:r>
      <w:r w:rsidRPr="002A6616">
        <w:rPr>
          <w:rFonts w:ascii="Constantia" w:hAnsi="Constantia"/>
          <w:lang w:val="sr-Latn-CS"/>
        </w:rPr>
        <w:t>đ</w:t>
      </w:r>
      <w:r w:rsidRPr="002A6616">
        <w:rPr>
          <w:rFonts w:ascii="Constantia" w:hAnsi="Constantia"/>
        </w:rPr>
        <w:t>ivanju</w:t>
      </w:r>
      <w:r w:rsidRPr="002A6616">
        <w:rPr>
          <w:rFonts w:ascii="Constantia" w:hAnsi="Constantia"/>
          <w:lang w:val="sr-Latn-CS"/>
        </w:rPr>
        <w:t xml:space="preserve"> </w:t>
      </w:r>
      <w:r w:rsidRPr="002A6616">
        <w:rPr>
          <w:rFonts w:ascii="Constantia" w:hAnsi="Constantia"/>
        </w:rPr>
        <w:t>akusti</w:t>
      </w:r>
      <w:r w:rsidRPr="002A6616">
        <w:rPr>
          <w:rFonts w:ascii="Constantia" w:hAnsi="Constantia"/>
          <w:lang w:val="sr-Latn-CS"/>
        </w:rPr>
        <w:t>č</w:t>
      </w:r>
      <w:r w:rsidR="00B41BBF">
        <w:rPr>
          <w:rFonts w:ascii="Constantia" w:hAnsi="Constantia"/>
        </w:rPr>
        <w:t>k</w:t>
      </w:r>
      <w:r w:rsidRPr="002A6616">
        <w:rPr>
          <w:rFonts w:ascii="Constantia" w:hAnsi="Constantia"/>
        </w:rPr>
        <w:t>ih</w:t>
      </w:r>
      <w:r w:rsidRPr="002A6616">
        <w:rPr>
          <w:rFonts w:ascii="Constantia" w:hAnsi="Constantia"/>
          <w:lang w:val="sr-Latn-CS"/>
        </w:rPr>
        <w:t xml:space="preserve"> </w:t>
      </w:r>
      <w:r w:rsidRPr="002A6616">
        <w:rPr>
          <w:rFonts w:ascii="Constantia" w:hAnsi="Constantia"/>
        </w:rPr>
        <w:t>zona</w:t>
      </w:r>
      <w:r w:rsidRPr="002A6616">
        <w:rPr>
          <w:rFonts w:ascii="Constantia" w:hAnsi="Constantia"/>
          <w:lang w:val="sr-Latn-CS"/>
        </w:rPr>
        <w:t xml:space="preserve"> </w:t>
      </w:r>
      <w:r w:rsidRPr="002A6616">
        <w:rPr>
          <w:rFonts w:ascii="Constantia" w:hAnsi="Constantia"/>
        </w:rPr>
        <w:t>u</w:t>
      </w:r>
      <w:r w:rsidRPr="002A6616">
        <w:rPr>
          <w:rFonts w:ascii="Constantia" w:hAnsi="Constantia"/>
          <w:lang w:val="sr-Latn-CS"/>
        </w:rPr>
        <w:t xml:space="preserve"> </w:t>
      </w:r>
      <w:r w:rsidR="00FA6D1E">
        <w:rPr>
          <w:rFonts w:ascii="Constantia" w:hAnsi="Constantia"/>
          <w:lang w:val="sr-Latn-CS"/>
        </w:rPr>
        <w:t>o</w:t>
      </w:r>
      <w:r w:rsidRPr="002A6616">
        <w:rPr>
          <w:rFonts w:ascii="Constantia" w:hAnsi="Constantia"/>
        </w:rPr>
        <w:t>p</w:t>
      </w:r>
      <w:r w:rsidRPr="002A6616">
        <w:rPr>
          <w:rFonts w:ascii="Constantia" w:hAnsi="Constantia"/>
          <w:lang w:val="sr-Latn-CS"/>
        </w:rPr>
        <w:t>š</w:t>
      </w:r>
      <w:r w:rsidRPr="002A6616">
        <w:rPr>
          <w:rFonts w:ascii="Constantia" w:hAnsi="Constantia"/>
        </w:rPr>
        <w:t>tini</w:t>
      </w:r>
      <w:r w:rsidRPr="002A6616">
        <w:rPr>
          <w:rFonts w:ascii="Constantia" w:hAnsi="Constantia"/>
          <w:lang w:val="sr-Latn-CS"/>
        </w:rPr>
        <w:t xml:space="preserve"> </w:t>
      </w:r>
      <w:r w:rsidRPr="002A6616">
        <w:rPr>
          <w:rFonts w:ascii="Constantia" w:hAnsi="Constantia"/>
        </w:rPr>
        <w:t>Nik</w:t>
      </w:r>
      <w:r w:rsidRPr="002A6616">
        <w:rPr>
          <w:rFonts w:ascii="Constantia" w:hAnsi="Constantia"/>
          <w:lang w:val="sr-Latn-CS"/>
        </w:rPr>
        <w:t>š</w:t>
      </w:r>
      <w:r w:rsidRPr="002A6616">
        <w:rPr>
          <w:rFonts w:ascii="Constantia" w:hAnsi="Constantia"/>
        </w:rPr>
        <w:t>i</w:t>
      </w:r>
      <w:r w:rsidRPr="002A6616">
        <w:rPr>
          <w:rFonts w:ascii="Constantia" w:hAnsi="Constantia"/>
          <w:lang w:val="sr-Latn-CS"/>
        </w:rPr>
        <w:t>ć</w:t>
      </w:r>
      <w:r w:rsidR="00FA6D1E">
        <w:rPr>
          <w:rFonts w:ascii="Constantia" w:hAnsi="Constantia"/>
          <w:lang w:val="sr-Latn-CS"/>
        </w:rPr>
        <w:t>,</w:t>
      </w:r>
      <w:r w:rsidRPr="002A6616">
        <w:rPr>
          <w:rFonts w:ascii="Constantia" w:hAnsi="Constantia"/>
          <w:lang w:val="sr-Latn-CS"/>
        </w:rPr>
        <w:t xml:space="preserve"> </w:t>
      </w:r>
      <w:r w:rsidRPr="002A6616">
        <w:rPr>
          <w:rFonts w:ascii="Constantia" w:hAnsi="Constantia"/>
        </w:rPr>
        <w:t>mjerno</w:t>
      </w:r>
      <w:r w:rsidRPr="002A6616">
        <w:rPr>
          <w:rFonts w:ascii="Constantia" w:hAnsi="Constantia"/>
          <w:lang w:val="sr-Latn-CS"/>
        </w:rPr>
        <w:t xml:space="preserve"> </w:t>
      </w:r>
      <w:r w:rsidRPr="002A6616">
        <w:rPr>
          <w:rFonts w:ascii="Constantia" w:hAnsi="Constantia"/>
        </w:rPr>
        <w:t>mjesto</w:t>
      </w:r>
      <w:r w:rsidRPr="002A6616">
        <w:rPr>
          <w:rFonts w:ascii="Constantia" w:hAnsi="Constantia"/>
          <w:lang w:val="sr-Latn-CS"/>
        </w:rPr>
        <w:t xml:space="preserve"> </w:t>
      </w:r>
      <w:r w:rsidRPr="002A6616">
        <w:rPr>
          <w:rFonts w:ascii="Constantia" w:hAnsi="Constantia"/>
        </w:rPr>
        <w:t>u</w:t>
      </w:r>
      <w:r w:rsidRPr="002A6616">
        <w:rPr>
          <w:rFonts w:ascii="Constantia" w:hAnsi="Constantia"/>
          <w:lang w:val="sr-Latn-CS"/>
        </w:rPr>
        <w:t xml:space="preserve"> </w:t>
      </w:r>
      <w:r w:rsidRPr="002A6616">
        <w:rPr>
          <w:rFonts w:ascii="Constantia" w:hAnsi="Constantia"/>
        </w:rPr>
        <w:t>Nik</w:t>
      </w:r>
      <w:r w:rsidRPr="002A6616">
        <w:rPr>
          <w:rFonts w:ascii="Constantia" w:hAnsi="Constantia"/>
          <w:lang w:val="sr-Latn-CS"/>
        </w:rPr>
        <w:t>š</w:t>
      </w:r>
      <w:r w:rsidRPr="002A6616">
        <w:rPr>
          <w:rFonts w:ascii="Constantia" w:hAnsi="Constantia"/>
        </w:rPr>
        <w:t>i</w:t>
      </w:r>
      <w:r w:rsidRPr="002A6616">
        <w:rPr>
          <w:rFonts w:ascii="Constantia" w:hAnsi="Constantia"/>
          <w:lang w:val="sr-Latn-CS"/>
        </w:rPr>
        <w:t>ć</w:t>
      </w:r>
      <w:r w:rsidRPr="002A6616">
        <w:rPr>
          <w:rFonts w:ascii="Constantia" w:hAnsi="Constantia"/>
        </w:rPr>
        <w:t>u</w:t>
      </w:r>
      <w:r w:rsidRPr="002A6616">
        <w:rPr>
          <w:rFonts w:ascii="Constantia" w:hAnsi="Constantia"/>
          <w:lang w:val="sr-Latn-CS"/>
        </w:rPr>
        <w:t xml:space="preserve"> </w:t>
      </w:r>
      <w:r w:rsidRPr="002A6616">
        <w:rPr>
          <w:rFonts w:ascii="Constantia" w:hAnsi="Constantia"/>
        </w:rPr>
        <w:t>grada</w:t>
      </w:r>
      <w:r w:rsidRPr="002A6616">
        <w:rPr>
          <w:rFonts w:ascii="Constantia" w:hAnsi="Constantia"/>
          <w:lang w:val="sr-Latn-CS"/>
        </w:rPr>
        <w:t xml:space="preserve"> </w:t>
      </w:r>
      <w:r w:rsidRPr="002A6616">
        <w:rPr>
          <w:rFonts w:ascii="Constantia" w:hAnsi="Constantia"/>
        </w:rPr>
        <w:t>pripada</w:t>
      </w:r>
      <w:r w:rsidRPr="002A6616">
        <w:rPr>
          <w:rFonts w:ascii="Constantia" w:hAnsi="Constantia"/>
          <w:lang w:val="sr-Latn-CS"/>
        </w:rPr>
        <w:t xml:space="preserve"> </w:t>
      </w:r>
      <w:r w:rsidRPr="002A6616">
        <w:rPr>
          <w:rFonts w:ascii="Constantia" w:hAnsi="Constantia" w:cs="Arial"/>
          <w:lang w:val="it-IT"/>
        </w:rPr>
        <w:t>zoni povišenog režima zaštite od buke</w:t>
      </w:r>
      <w:r w:rsidRPr="002A6616">
        <w:rPr>
          <w:rFonts w:ascii="Constantia" w:hAnsi="Constantia"/>
          <w:lang w:val="sr-Latn-CS"/>
        </w:rPr>
        <w:t>.</w:t>
      </w:r>
    </w:p>
    <w:p w:rsidR="00EB3E54" w:rsidRPr="00EB3E54" w:rsidRDefault="00EB3E54" w:rsidP="00EB3E54">
      <w:pPr>
        <w:pStyle w:val="Heading2"/>
        <w:ind w:left="720"/>
      </w:pPr>
      <w:bookmarkStart w:id="164" w:name="_Toc393897939"/>
      <w:bookmarkStart w:id="165" w:name="_GoBack"/>
      <w:bookmarkEnd w:id="165"/>
      <w:r w:rsidRPr="00EB3E54">
        <w:t>Žabljak</w:t>
      </w:r>
      <w:bookmarkEnd w:id="164"/>
    </w:p>
    <w:p w:rsidR="00EB3E54" w:rsidRPr="00B50B6E" w:rsidRDefault="00EB3E54" w:rsidP="00EB3E54">
      <w:pPr>
        <w:rPr>
          <w:rFonts w:ascii="Constantia" w:hAnsi="Constantia"/>
          <w:lang w:val="sr-Latn-CS"/>
        </w:rPr>
      </w:pPr>
      <w:r w:rsidRPr="00B50B6E">
        <w:rPr>
          <w:rFonts w:ascii="Constantia" w:hAnsi="Constantia"/>
          <w:lang w:val="sr-Latn-CS"/>
        </w:rPr>
        <w:t>Na teritoriji opštine Žabljak mjerenje nivoa buke vršeno je lokaciji Njegoševa 1, u intervalu dnevnog (L</w:t>
      </w:r>
      <w:r w:rsidRPr="00B50B6E">
        <w:rPr>
          <w:rFonts w:ascii="Constantia" w:hAnsi="Constantia"/>
          <w:vertAlign w:val="subscript"/>
          <w:lang w:val="sr-Latn-CS"/>
        </w:rPr>
        <w:t>day</w:t>
      </w:r>
      <w:r w:rsidRPr="00B50B6E">
        <w:rPr>
          <w:rFonts w:ascii="Constantia" w:hAnsi="Constantia"/>
          <w:lang w:val="sr-Latn-CS"/>
        </w:rPr>
        <w:t>) 7-19h, večernjeg (L</w:t>
      </w:r>
      <w:r w:rsidRPr="00B50B6E">
        <w:rPr>
          <w:rFonts w:ascii="Constantia" w:hAnsi="Constantia"/>
          <w:vertAlign w:val="subscript"/>
          <w:lang w:val="sr-Latn-CS"/>
        </w:rPr>
        <w:t>evening</w:t>
      </w:r>
      <w:r w:rsidRPr="00B50B6E">
        <w:rPr>
          <w:rFonts w:ascii="Constantia" w:hAnsi="Constantia"/>
          <w:lang w:val="sr-Latn-CS"/>
        </w:rPr>
        <w:t>) 19-23h i noćnog perioda (L</w:t>
      </w:r>
      <w:r w:rsidRPr="00B50B6E">
        <w:rPr>
          <w:rFonts w:ascii="Constantia" w:hAnsi="Constantia"/>
          <w:vertAlign w:val="subscript"/>
          <w:lang w:val="sr-Latn-CS"/>
        </w:rPr>
        <w:t>night</w:t>
      </w:r>
      <w:r w:rsidRPr="00B50B6E">
        <w:rPr>
          <w:rFonts w:ascii="Constantia" w:hAnsi="Constantia"/>
          <w:lang w:val="sr-Latn-CS"/>
        </w:rPr>
        <w:t>) 23-7h.</w:t>
      </w:r>
    </w:p>
    <w:p w:rsidR="00EB3E54" w:rsidRPr="00B50B6E" w:rsidRDefault="00EB3E54" w:rsidP="00EB3E54">
      <w:pPr>
        <w:rPr>
          <w:rFonts w:ascii="Constantia" w:hAnsi="Constantia"/>
        </w:rPr>
      </w:pPr>
      <w:r w:rsidRPr="00B50B6E">
        <w:rPr>
          <w:rFonts w:ascii="Constantia" w:hAnsi="Constantia"/>
          <w:b/>
          <w:lang w:val="sr-Latn-CS"/>
        </w:rPr>
        <w:t>Nivo buke u I ciklusu</w:t>
      </w:r>
      <w:r w:rsidRPr="00B50B6E">
        <w:rPr>
          <w:rFonts w:ascii="Constantia" w:hAnsi="Constantia"/>
          <w:lang w:val="sr-Latn-CS"/>
        </w:rPr>
        <w:t xml:space="preserve"> mjeren je u periodu </w:t>
      </w:r>
      <w:r w:rsidRPr="00B50B6E">
        <w:rPr>
          <w:rFonts w:ascii="Constantia" w:hAnsi="Constantia"/>
        </w:rPr>
        <w:t xml:space="preserve">od </w:t>
      </w:r>
      <w:r w:rsidRPr="00B50B6E">
        <w:rPr>
          <w:rFonts w:ascii="Constantia" w:hAnsi="Constantia"/>
          <w:lang w:val="sr-Latn-CS"/>
        </w:rPr>
        <w:t>28.06</w:t>
      </w:r>
      <w:r w:rsidR="00B50B6E">
        <w:rPr>
          <w:rFonts w:ascii="Constantia" w:hAnsi="Constantia"/>
          <w:lang w:val="sr-Latn-CS"/>
        </w:rPr>
        <w:t>.</w:t>
      </w:r>
      <w:r w:rsidRPr="00B50B6E">
        <w:rPr>
          <w:rFonts w:ascii="Constantia" w:hAnsi="Constantia"/>
          <w:lang w:val="sr-Latn-CS"/>
        </w:rPr>
        <w:t xml:space="preserve">-05.07.2013. </w:t>
      </w:r>
      <w:r w:rsidRPr="00B50B6E">
        <w:rPr>
          <w:rFonts w:ascii="Constantia" w:hAnsi="Constantia"/>
        </w:rPr>
        <w:t xml:space="preserve">godine. </w:t>
      </w:r>
    </w:p>
    <w:p w:rsidR="00EB3E54" w:rsidRPr="00B50B6E" w:rsidRDefault="00EB3E54" w:rsidP="00EB3E54">
      <w:pPr>
        <w:rPr>
          <w:rFonts w:ascii="Constantia" w:hAnsi="Constantia"/>
          <w:lang w:val="sr-Latn-CS"/>
        </w:rPr>
      </w:pPr>
      <w:r w:rsidRPr="00B50B6E">
        <w:rPr>
          <w:rFonts w:ascii="Constantia" w:hAnsi="Constantia"/>
          <w:b/>
        </w:rPr>
        <w:t>Nivo</w:t>
      </w:r>
      <w:r w:rsidRPr="00B50B6E">
        <w:rPr>
          <w:rFonts w:ascii="Constantia" w:hAnsi="Constantia"/>
          <w:b/>
          <w:lang w:val="sr-Latn-CS"/>
        </w:rPr>
        <w:t xml:space="preserve"> </w:t>
      </w:r>
      <w:r w:rsidRPr="00B50B6E">
        <w:rPr>
          <w:rFonts w:ascii="Constantia" w:hAnsi="Constantia"/>
          <w:b/>
        </w:rPr>
        <w:t>buke</w:t>
      </w:r>
      <w:r w:rsidRPr="00B50B6E">
        <w:rPr>
          <w:rFonts w:ascii="Constantia" w:hAnsi="Constantia"/>
          <w:b/>
          <w:lang w:val="sr-Latn-CS"/>
        </w:rPr>
        <w:t xml:space="preserve"> </w:t>
      </w:r>
      <w:r w:rsidRPr="00B50B6E">
        <w:rPr>
          <w:rFonts w:ascii="Constantia" w:hAnsi="Constantia"/>
          <w:b/>
        </w:rPr>
        <w:t>u</w:t>
      </w:r>
      <w:r w:rsidRPr="00B50B6E">
        <w:rPr>
          <w:rFonts w:ascii="Constantia" w:hAnsi="Constantia"/>
          <w:b/>
          <w:lang w:val="sr-Latn-CS"/>
        </w:rPr>
        <w:t xml:space="preserve"> </w:t>
      </w:r>
      <w:r w:rsidRPr="00B50B6E">
        <w:rPr>
          <w:rFonts w:ascii="Constantia" w:hAnsi="Constantia"/>
          <w:b/>
        </w:rPr>
        <w:t>II</w:t>
      </w:r>
      <w:r w:rsidRPr="00B50B6E">
        <w:rPr>
          <w:rFonts w:ascii="Constantia" w:hAnsi="Constantia"/>
          <w:b/>
          <w:lang w:val="sr-Latn-CS"/>
        </w:rPr>
        <w:t xml:space="preserve"> </w:t>
      </w:r>
      <w:r w:rsidRPr="00B50B6E">
        <w:rPr>
          <w:rFonts w:ascii="Constantia" w:hAnsi="Constantia"/>
          <w:b/>
        </w:rPr>
        <w:t>ciklusu</w:t>
      </w:r>
      <w:r w:rsidRPr="00B50B6E">
        <w:rPr>
          <w:rFonts w:ascii="Constantia" w:hAnsi="Constantia"/>
          <w:lang w:val="sr-Latn-CS"/>
        </w:rPr>
        <w:t xml:space="preserve"> mjeren je u periodu </w:t>
      </w:r>
      <w:r w:rsidRPr="00B50B6E">
        <w:rPr>
          <w:rFonts w:ascii="Constantia" w:hAnsi="Constantia"/>
        </w:rPr>
        <w:t xml:space="preserve">od </w:t>
      </w:r>
      <w:r w:rsidRPr="00B50B6E">
        <w:rPr>
          <w:rFonts w:ascii="Constantia" w:hAnsi="Constantia"/>
          <w:lang w:val="sr-Latn-CS"/>
        </w:rPr>
        <w:t>25.10</w:t>
      </w:r>
      <w:r w:rsidR="00B50B6E">
        <w:rPr>
          <w:rFonts w:ascii="Constantia" w:hAnsi="Constantia"/>
          <w:lang w:val="sr-Latn-CS"/>
        </w:rPr>
        <w:t>.</w:t>
      </w:r>
      <w:r w:rsidRPr="00B50B6E">
        <w:rPr>
          <w:rFonts w:ascii="Constantia" w:hAnsi="Constantia"/>
          <w:lang w:val="sr-Latn-CS"/>
        </w:rPr>
        <w:t xml:space="preserve">-01.11. </w:t>
      </w:r>
      <w:r w:rsidRPr="00B50B6E">
        <w:rPr>
          <w:rFonts w:ascii="Constantia" w:hAnsi="Constantia"/>
        </w:rPr>
        <w:t>2013. godine.</w:t>
      </w:r>
      <w:r w:rsidRPr="00B50B6E">
        <w:rPr>
          <w:rFonts w:ascii="Constantia" w:hAnsi="Constantia"/>
          <w:lang w:val="sr-Latn-CS"/>
        </w:rPr>
        <w:t xml:space="preserve"> </w:t>
      </w:r>
    </w:p>
    <w:p w:rsidR="00EB3E54" w:rsidRPr="00B50B6E" w:rsidRDefault="00EB3E54" w:rsidP="00EB3E54">
      <w:pPr>
        <w:rPr>
          <w:rFonts w:ascii="Constantia" w:hAnsi="Constantia"/>
          <w:lang w:val="sr-Latn-CS"/>
        </w:rPr>
      </w:pPr>
      <w:r w:rsidRPr="00B50B6E">
        <w:rPr>
          <w:rFonts w:ascii="Constantia" w:hAnsi="Constantia"/>
          <w:lang w:val="sr-Latn-CS"/>
        </w:rPr>
        <w:t xml:space="preserve">Srednje vrijednosti nivoa buke za </w:t>
      </w:r>
      <w:r w:rsidRPr="00B50B6E">
        <w:rPr>
          <w:rFonts w:ascii="Constantia" w:hAnsi="Constantia"/>
          <w:b/>
          <w:lang w:val="sr-Latn-CS"/>
        </w:rPr>
        <w:t>L</w:t>
      </w:r>
      <w:r w:rsidRPr="00B50B6E">
        <w:rPr>
          <w:rFonts w:ascii="Constantia" w:hAnsi="Constantia"/>
          <w:b/>
          <w:vertAlign w:val="subscript"/>
          <w:lang w:val="sr-Latn-CS"/>
        </w:rPr>
        <w:t>night</w:t>
      </w:r>
      <w:r w:rsidRPr="00B50B6E">
        <w:rPr>
          <w:rFonts w:ascii="Constantia" w:hAnsi="Constantia"/>
          <w:lang w:val="sr-Latn-CS"/>
        </w:rPr>
        <w:t xml:space="preserve"> – indikator noćnog nivoa buke koji se odnosi na vrijeme od </w:t>
      </w:r>
      <w:r w:rsidR="00142FD8">
        <w:rPr>
          <w:rFonts w:ascii="Constantia" w:hAnsi="Constantia"/>
          <w:lang w:val="sr-Latn-CS"/>
        </w:rPr>
        <w:t xml:space="preserve">23 do 7 časova, prikazane su na </w:t>
      </w:r>
      <w:r w:rsidR="00142FD8" w:rsidRPr="00142FD8">
        <w:rPr>
          <w:rFonts w:ascii="Constantia" w:hAnsi="Constantia"/>
          <w:i/>
          <w:lang w:val="sr-Latn-CS"/>
        </w:rPr>
        <w:t>G</w:t>
      </w:r>
      <w:r w:rsidRPr="00142FD8">
        <w:rPr>
          <w:rFonts w:ascii="Constantia" w:hAnsi="Constantia"/>
          <w:i/>
          <w:lang w:val="sr-Latn-CS"/>
        </w:rPr>
        <w:t xml:space="preserve">rafikonu </w:t>
      </w:r>
      <w:r w:rsidR="00142FD8" w:rsidRPr="00142FD8">
        <w:rPr>
          <w:rFonts w:ascii="Constantia" w:hAnsi="Constantia"/>
          <w:i/>
          <w:lang w:val="sr-Latn-CS"/>
        </w:rPr>
        <w:t>8</w:t>
      </w:r>
      <w:r w:rsidRPr="00142FD8">
        <w:rPr>
          <w:rFonts w:ascii="Constantia" w:hAnsi="Constantia"/>
          <w:i/>
          <w:lang w:val="sr-Latn-CS"/>
        </w:rPr>
        <w:t>3</w:t>
      </w:r>
      <w:r w:rsidRPr="00B50B6E">
        <w:rPr>
          <w:rFonts w:ascii="Constantia" w:hAnsi="Constantia"/>
          <w:lang w:val="sr-Latn-CS"/>
        </w:rPr>
        <w:t>.</w:t>
      </w:r>
    </w:p>
    <w:p w:rsidR="00EB3E54" w:rsidRPr="00EB3E54" w:rsidRDefault="00EB3E54" w:rsidP="00EB3E54">
      <w:pPr>
        <w:jc w:val="center"/>
      </w:pPr>
      <w:r w:rsidRPr="00EB3E54">
        <w:rPr>
          <w:noProof/>
        </w:rPr>
        <w:drawing>
          <wp:inline distT="0" distB="0" distL="0" distR="0" wp14:anchorId="3492D28F" wp14:editId="7FA484D2">
            <wp:extent cx="3924300" cy="2085975"/>
            <wp:effectExtent l="0" t="0" r="0" b="0"/>
            <wp:docPr id="233"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inline>
        </w:drawing>
      </w:r>
    </w:p>
    <w:p w:rsidR="00EB3E54" w:rsidRPr="00757537" w:rsidRDefault="00EB3E54" w:rsidP="00EB3E54">
      <w:pPr>
        <w:numPr>
          <w:ilvl w:val="0"/>
          <w:numId w:val="4"/>
        </w:numPr>
        <w:ind w:left="360"/>
        <w:jc w:val="center"/>
        <w:rPr>
          <w:rFonts w:ascii="Constantia" w:hAnsi="Constantia"/>
          <w:i/>
          <w:szCs w:val="22"/>
          <w:lang w:val="sr-Latn-CS"/>
        </w:rPr>
      </w:pPr>
      <w:r w:rsidRPr="00757537">
        <w:rPr>
          <w:rFonts w:ascii="Constantia" w:hAnsi="Constantia"/>
          <w:i/>
          <w:szCs w:val="22"/>
          <w:lang w:val="sr-Latn-CS"/>
        </w:rPr>
        <w:t>Srednje vrijednosti nivoa buke (L</w:t>
      </w:r>
      <w:r w:rsidRPr="00757537">
        <w:rPr>
          <w:rFonts w:ascii="Constantia" w:hAnsi="Constantia"/>
          <w:i/>
          <w:szCs w:val="22"/>
          <w:vertAlign w:val="subscript"/>
          <w:lang w:val="sr-Latn-CS"/>
        </w:rPr>
        <w:t>night</w:t>
      </w:r>
      <w:r w:rsidRPr="00757537">
        <w:rPr>
          <w:rFonts w:ascii="Constantia" w:hAnsi="Constantia"/>
          <w:i/>
          <w:szCs w:val="22"/>
          <w:lang w:val="sr-Latn-CS"/>
        </w:rPr>
        <w:t>) na mjernom mjestu</w:t>
      </w:r>
      <w:r w:rsidR="00757537">
        <w:rPr>
          <w:rFonts w:ascii="Constantia" w:hAnsi="Constantia"/>
          <w:i/>
          <w:szCs w:val="22"/>
          <w:lang w:val="sr-Latn-CS"/>
        </w:rPr>
        <w:t xml:space="preserve"> </w:t>
      </w:r>
      <w:r w:rsidRPr="00757537">
        <w:rPr>
          <w:rFonts w:ascii="Constantia" w:hAnsi="Constantia"/>
          <w:i/>
          <w:szCs w:val="22"/>
          <w:lang w:val="sr-Latn-CS"/>
        </w:rPr>
        <w:t>na Žabljaku</w:t>
      </w:r>
    </w:p>
    <w:p w:rsidR="00757537" w:rsidRDefault="00757537" w:rsidP="00EB3E54"/>
    <w:p w:rsidR="00EB3E54" w:rsidRPr="00EB3E54" w:rsidRDefault="00775C08" w:rsidP="00EB3E54">
      <w:pPr>
        <w:rPr>
          <w:szCs w:val="22"/>
        </w:rPr>
      </w:pPr>
      <w:r>
        <w:t xml:space="preserve">Na </w:t>
      </w:r>
      <w:r w:rsidRPr="00775C08">
        <w:rPr>
          <w:i/>
        </w:rPr>
        <w:t>S</w:t>
      </w:r>
      <w:r w:rsidR="00EB3E54" w:rsidRPr="00775C08">
        <w:rPr>
          <w:i/>
        </w:rPr>
        <w:t xml:space="preserve">lici </w:t>
      </w:r>
      <w:r w:rsidRPr="00775C08">
        <w:rPr>
          <w:i/>
        </w:rPr>
        <w:t>17.</w:t>
      </w:r>
      <w:r w:rsidR="00EB3E54" w:rsidRPr="00EB3E54">
        <w:t xml:space="preserve"> prikazano je mjerno mjesto na Žabljaku</w:t>
      </w:r>
      <w:r w:rsidR="00EB3E54" w:rsidRPr="00EB3E54">
        <w:rPr>
          <w:szCs w:val="22"/>
        </w:rPr>
        <w:t>.</w:t>
      </w:r>
      <w:r>
        <w:rPr>
          <w:szCs w:val="22"/>
        </w:rPr>
        <w:t xml:space="preserve"> </w:t>
      </w:r>
    </w:p>
    <w:p w:rsidR="00EB3E54" w:rsidRPr="00EB3E54" w:rsidRDefault="00EB3E54" w:rsidP="00775C08">
      <w:pPr>
        <w:spacing w:before="240"/>
        <w:jc w:val="center"/>
        <w:rPr>
          <w:color w:val="000000" w:themeColor="text1"/>
          <w:sz w:val="20"/>
          <w:lang w:val="sr-Latn-CS"/>
        </w:rPr>
      </w:pPr>
      <w:r w:rsidRPr="00EB3E54">
        <w:rPr>
          <w:b/>
          <w:i/>
          <w:noProof/>
          <w:sz w:val="24"/>
        </w:rPr>
        <w:lastRenderedPageBreak/>
        <w:drawing>
          <wp:inline distT="0" distB="0" distL="0" distR="0" wp14:anchorId="65887A6D" wp14:editId="3FCD9777">
            <wp:extent cx="2247900" cy="2200275"/>
            <wp:effectExtent l="0" t="0" r="0" b="0"/>
            <wp:docPr id="234" name="Picture 234" descr="DSC03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SC03442"/>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256281" cy="2208478"/>
                    </a:xfrm>
                    <a:prstGeom prst="rect">
                      <a:avLst/>
                    </a:prstGeom>
                    <a:noFill/>
                    <a:ln>
                      <a:noFill/>
                    </a:ln>
                  </pic:spPr>
                </pic:pic>
              </a:graphicData>
            </a:graphic>
          </wp:inline>
        </w:drawing>
      </w:r>
    </w:p>
    <w:p w:rsidR="00EB3E54" w:rsidRPr="00C35AD9" w:rsidRDefault="00C35AD9" w:rsidP="00C35AD9">
      <w:pPr>
        <w:pStyle w:val="Slika"/>
        <w:tabs>
          <w:tab w:val="left" w:pos="990"/>
        </w:tabs>
        <w:ind w:left="360"/>
        <w:rPr>
          <w:color w:val="000000" w:themeColor="text1"/>
          <w:sz w:val="20"/>
          <w:lang w:val="sr-Latn-CS"/>
        </w:rPr>
      </w:pPr>
      <w:r w:rsidRPr="000D6A12">
        <w:t>M</w:t>
      </w:r>
      <w:r w:rsidRPr="00C35AD9">
        <w:t xml:space="preserve">jerno mjesto </w:t>
      </w:r>
      <w:r>
        <w:t>na Žabljaku</w:t>
      </w:r>
    </w:p>
    <w:p w:rsidR="00C35AD9" w:rsidRPr="00C35AD9" w:rsidRDefault="00C35AD9" w:rsidP="00A74362">
      <w:pPr>
        <w:pStyle w:val="Slika"/>
        <w:numPr>
          <w:ilvl w:val="0"/>
          <w:numId w:val="0"/>
        </w:numPr>
        <w:spacing w:after="0"/>
        <w:ind w:left="2790"/>
        <w:jc w:val="both"/>
        <w:rPr>
          <w:color w:val="000000" w:themeColor="text1"/>
          <w:sz w:val="20"/>
          <w:lang w:val="sr-Latn-CS"/>
        </w:rPr>
      </w:pPr>
    </w:p>
    <w:p w:rsidR="00EB3E54" w:rsidRPr="00A74362" w:rsidRDefault="00EB3E54" w:rsidP="00C16985">
      <w:pPr>
        <w:spacing w:after="0"/>
        <w:rPr>
          <w:rFonts w:ascii="Constantia" w:hAnsi="Constantia"/>
          <w:lang w:val="sr-Latn-CS"/>
        </w:rPr>
      </w:pPr>
      <w:r w:rsidRPr="00A74362">
        <w:rPr>
          <w:rFonts w:ascii="Constantia" w:hAnsi="Constantia"/>
          <w:szCs w:val="22"/>
        </w:rPr>
        <w:t>Rezultati mjerenja prikazani kao srednje vrijednosti za</w:t>
      </w:r>
      <w:r w:rsidRPr="00A74362">
        <w:rPr>
          <w:rFonts w:ascii="Constantia" w:hAnsi="Constantia"/>
          <w:b/>
          <w:lang w:val="sr-Latn-CS"/>
        </w:rPr>
        <w:t xml:space="preserve"> L</w:t>
      </w:r>
      <w:r w:rsidRPr="00A74362">
        <w:rPr>
          <w:rFonts w:ascii="Constantia" w:hAnsi="Constantia"/>
          <w:b/>
          <w:vertAlign w:val="subscript"/>
          <w:lang w:val="sr-Latn-CS"/>
        </w:rPr>
        <w:t>den</w:t>
      </w:r>
      <w:r w:rsidRPr="00A74362">
        <w:rPr>
          <w:rFonts w:ascii="Constantia" w:hAnsi="Constantia"/>
          <w:lang w:val="sr-Latn-CS"/>
        </w:rPr>
        <w:t xml:space="preserve"> -  ukupni indikator nivoa buke tokom dana, večeri i noći, </w:t>
      </w:r>
      <w:r w:rsidRPr="00A74362">
        <w:rPr>
          <w:rFonts w:ascii="Constantia" w:hAnsi="Constantia"/>
          <w:b/>
          <w:lang w:val="sr-Latn-CS"/>
        </w:rPr>
        <w:t>L</w:t>
      </w:r>
      <w:r w:rsidRPr="00A74362">
        <w:rPr>
          <w:rFonts w:ascii="Constantia" w:hAnsi="Constantia"/>
          <w:b/>
          <w:vertAlign w:val="subscript"/>
          <w:lang w:val="sr-Latn-CS"/>
        </w:rPr>
        <w:t>day</w:t>
      </w:r>
      <w:r w:rsidRPr="00A74362">
        <w:rPr>
          <w:rFonts w:ascii="Constantia" w:hAnsi="Constantia"/>
          <w:lang w:val="sr-Latn-CS"/>
        </w:rPr>
        <w:t xml:space="preserve"> – indikator dnevnog nivoa buke i odnosi se na vrijeme od 7 do 19 časova, </w:t>
      </w:r>
      <w:r w:rsidRPr="00A74362">
        <w:rPr>
          <w:rFonts w:ascii="Constantia" w:hAnsi="Constantia"/>
          <w:b/>
          <w:lang w:val="sr-Latn-CS"/>
        </w:rPr>
        <w:t>L</w:t>
      </w:r>
      <w:r w:rsidRPr="00A74362">
        <w:rPr>
          <w:rFonts w:ascii="Constantia" w:hAnsi="Constantia"/>
          <w:b/>
          <w:vertAlign w:val="subscript"/>
          <w:lang w:val="sr-Latn-CS"/>
        </w:rPr>
        <w:t>evening</w:t>
      </w:r>
      <w:r w:rsidRPr="00A74362">
        <w:rPr>
          <w:rFonts w:ascii="Constantia" w:hAnsi="Constantia"/>
          <w:lang w:val="sr-Latn-CS"/>
        </w:rPr>
        <w:t xml:space="preserve"> – indikator nivoa buke tokom večernjih časova i odnosi se na vrijeme od 19 do 23 časova, </w:t>
      </w:r>
      <w:r w:rsidRPr="00A74362">
        <w:rPr>
          <w:rFonts w:ascii="Constantia" w:hAnsi="Constantia"/>
          <w:b/>
          <w:lang w:val="sr-Latn-CS"/>
        </w:rPr>
        <w:t>L</w:t>
      </w:r>
      <w:r w:rsidRPr="00A74362">
        <w:rPr>
          <w:rFonts w:ascii="Constantia" w:hAnsi="Constantia"/>
          <w:b/>
          <w:vertAlign w:val="subscript"/>
          <w:lang w:val="sr-Latn-CS"/>
        </w:rPr>
        <w:t>night</w:t>
      </w:r>
      <w:r w:rsidRPr="00A74362">
        <w:rPr>
          <w:rFonts w:ascii="Constantia" w:hAnsi="Constantia"/>
          <w:lang w:val="sr-Latn-CS"/>
        </w:rPr>
        <w:t xml:space="preserve"> – indikator noćnog nivoa buke i odnosi se na vrijeme od 23 do 7 časova</w:t>
      </w:r>
      <w:r w:rsidR="00A74362">
        <w:rPr>
          <w:rFonts w:ascii="Constantia" w:hAnsi="Constantia"/>
          <w:lang w:val="sr-Latn-CS"/>
        </w:rPr>
        <w:t xml:space="preserve"> za Žabljak</w:t>
      </w:r>
      <w:r w:rsidRPr="00A74362">
        <w:rPr>
          <w:rFonts w:ascii="Constantia" w:hAnsi="Constantia"/>
          <w:lang w:val="sr-Latn-CS"/>
        </w:rPr>
        <w:t xml:space="preserve"> prikazani su u </w:t>
      </w:r>
      <w:r w:rsidR="00A74362" w:rsidRPr="00A74362">
        <w:rPr>
          <w:rFonts w:ascii="Constantia" w:hAnsi="Constantia"/>
          <w:i/>
          <w:lang w:val="sr-Latn-CS"/>
        </w:rPr>
        <w:t>T</w:t>
      </w:r>
      <w:r w:rsidRPr="00A74362">
        <w:rPr>
          <w:rFonts w:ascii="Constantia" w:hAnsi="Constantia"/>
          <w:i/>
          <w:lang w:val="sr-Latn-CS"/>
        </w:rPr>
        <w:t xml:space="preserve">abeli </w:t>
      </w:r>
      <w:r w:rsidR="00A74362" w:rsidRPr="00A74362">
        <w:rPr>
          <w:rFonts w:ascii="Constantia" w:hAnsi="Constantia"/>
          <w:i/>
          <w:lang w:val="sr-Latn-CS"/>
        </w:rPr>
        <w:t>93</w:t>
      </w:r>
      <w:r w:rsidRPr="00A74362">
        <w:rPr>
          <w:rFonts w:ascii="Constantia" w:hAnsi="Constantia"/>
          <w:lang w:val="sr-Latn-CS"/>
        </w:rPr>
        <w:t>.</w:t>
      </w:r>
    </w:p>
    <w:p w:rsidR="00A74362" w:rsidRPr="00A74362" w:rsidRDefault="00A74362" w:rsidP="00A74362">
      <w:pPr>
        <w:spacing w:after="0"/>
        <w:rPr>
          <w:rFonts w:ascii="Constantia" w:hAnsi="Constantia"/>
          <w:lang w:val="sr-Latn-CS"/>
        </w:rPr>
      </w:pPr>
    </w:p>
    <w:tbl>
      <w:tblPr>
        <w:tblStyle w:val="LightList-Accent3"/>
        <w:tblW w:w="0" w:type="auto"/>
        <w:tblInd w:w="108" w:type="dxa"/>
        <w:tblLook w:val="04A0" w:firstRow="1" w:lastRow="0" w:firstColumn="1" w:lastColumn="0" w:noHBand="0" w:noVBand="1"/>
      </w:tblPr>
      <w:tblGrid>
        <w:gridCol w:w="2268"/>
        <w:gridCol w:w="1710"/>
        <w:gridCol w:w="1710"/>
        <w:gridCol w:w="1710"/>
        <w:gridCol w:w="1602"/>
      </w:tblGrid>
      <w:tr w:rsidR="00EB3E54" w:rsidRPr="00A74362" w:rsidTr="00300A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shd w:val="clear" w:color="auto" w:fill="F79646" w:themeFill="accent6"/>
          </w:tcPr>
          <w:p w:rsidR="00EB3E54" w:rsidRPr="00A74362" w:rsidRDefault="00EB3E54" w:rsidP="00EB3E54">
            <w:pPr>
              <w:keepLines/>
              <w:widowControl w:val="0"/>
              <w:tabs>
                <w:tab w:val="left" w:pos="1134"/>
                <w:tab w:val="left" w:pos="2268"/>
              </w:tabs>
              <w:autoSpaceDE w:val="0"/>
              <w:autoSpaceDN w:val="0"/>
              <w:spacing w:before="120" w:after="60"/>
              <w:jc w:val="center"/>
              <w:rPr>
                <w:rFonts w:ascii="Constantia" w:hAnsi="Constantia"/>
                <w:szCs w:val="22"/>
              </w:rPr>
            </w:pPr>
          </w:p>
        </w:tc>
        <w:tc>
          <w:tcPr>
            <w:tcW w:w="1710" w:type="dxa"/>
            <w:shd w:val="clear" w:color="auto" w:fill="F79646" w:themeFill="accent6"/>
          </w:tcPr>
          <w:p w:rsidR="00EB3E54" w:rsidRPr="00A74362" w:rsidRDefault="00EB3E54" w:rsidP="00EB3E54">
            <w:pPr>
              <w:keepLines/>
              <w:widowControl w:val="0"/>
              <w:tabs>
                <w:tab w:val="left" w:pos="1134"/>
                <w:tab w:val="left" w:pos="2268"/>
              </w:tabs>
              <w:autoSpaceDE w:val="0"/>
              <w:autoSpaceDN w:val="0"/>
              <w:spacing w:before="120" w:after="60"/>
              <w:jc w:val="center"/>
              <w:cnfStyle w:val="100000000000" w:firstRow="1" w:lastRow="0" w:firstColumn="0" w:lastColumn="0" w:oddVBand="0" w:evenVBand="0" w:oddHBand="0" w:evenHBand="0" w:firstRowFirstColumn="0" w:firstRowLastColumn="0" w:lastRowFirstColumn="0" w:lastRowLastColumn="0"/>
              <w:rPr>
                <w:rFonts w:ascii="Constantia" w:hAnsi="Constantia"/>
                <w:szCs w:val="22"/>
              </w:rPr>
            </w:pPr>
            <w:r w:rsidRPr="00A74362">
              <w:rPr>
                <w:rFonts w:ascii="Constantia" w:hAnsi="Constantia"/>
                <w:szCs w:val="22"/>
              </w:rPr>
              <w:t>L</w:t>
            </w:r>
            <w:r w:rsidRPr="00A74362">
              <w:rPr>
                <w:rFonts w:ascii="Constantia" w:hAnsi="Constantia"/>
                <w:szCs w:val="22"/>
                <w:vertAlign w:val="subscript"/>
              </w:rPr>
              <w:t>day</w:t>
            </w:r>
            <w:r w:rsidRPr="00A74362">
              <w:rPr>
                <w:rFonts w:ascii="Constantia" w:hAnsi="Constantia"/>
                <w:szCs w:val="22"/>
              </w:rPr>
              <w:t xml:space="preserve"> (dB)</w:t>
            </w:r>
          </w:p>
        </w:tc>
        <w:tc>
          <w:tcPr>
            <w:tcW w:w="1710" w:type="dxa"/>
            <w:shd w:val="clear" w:color="auto" w:fill="F79646" w:themeFill="accent6"/>
          </w:tcPr>
          <w:p w:rsidR="00EB3E54" w:rsidRPr="00A74362" w:rsidRDefault="00EB3E54" w:rsidP="00EB3E54">
            <w:pPr>
              <w:keepLines/>
              <w:widowControl w:val="0"/>
              <w:tabs>
                <w:tab w:val="left" w:pos="1134"/>
                <w:tab w:val="left" w:pos="2268"/>
              </w:tabs>
              <w:autoSpaceDE w:val="0"/>
              <w:autoSpaceDN w:val="0"/>
              <w:spacing w:before="120" w:after="60"/>
              <w:jc w:val="center"/>
              <w:cnfStyle w:val="100000000000" w:firstRow="1" w:lastRow="0" w:firstColumn="0" w:lastColumn="0" w:oddVBand="0" w:evenVBand="0" w:oddHBand="0" w:evenHBand="0" w:firstRowFirstColumn="0" w:firstRowLastColumn="0" w:lastRowFirstColumn="0" w:lastRowLastColumn="0"/>
              <w:rPr>
                <w:rFonts w:ascii="Constantia" w:hAnsi="Constantia"/>
                <w:szCs w:val="22"/>
              </w:rPr>
            </w:pPr>
            <w:r w:rsidRPr="00A74362">
              <w:rPr>
                <w:rFonts w:ascii="Constantia" w:hAnsi="Constantia"/>
                <w:szCs w:val="22"/>
              </w:rPr>
              <w:t>L</w:t>
            </w:r>
            <w:r w:rsidRPr="00A74362">
              <w:rPr>
                <w:rFonts w:ascii="Constantia" w:hAnsi="Constantia"/>
                <w:szCs w:val="22"/>
                <w:vertAlign w:val="subscript"/>
              </w:rPr>
              <w:t>evening</w:t>
            </w:r>
            <w:r w:rsidRPr="00A74362">
              <w:rPr>
                <w:rFonts w:ascii="Constantia" w:hAnsi="Constantia"/>
                <w:szCs w:val="22"/>
              </w:rPr>
              <w:t xml:space="preserve"> (dB)</w:t>
            </w:r>
          </w:p>
        </w:tc>
        <w:tc>
          <w:tcPr>
            <w:tcW w:w="1710" w:type="dxa"/>
            <w:shd w:val="clear" w:color="auto" w:fill="F79646" w:themeFill="accent6"/>
          </w:tcPr>
          <w:p w:rsidR="00EB3E54" w:rsidRPr="00A74362" w:rsidRDefault="00EB3E54" w:rsidP="00EB3E54">
            <w:pPr>
              <w:keepLines/>
              <w:widowControl w:val="0"/>
              <w:tabs>
                <w:tab w:val="left" w:pos="1134"/>
                <w:tab w:val="left" w:pos="2268"/>
              </w:tabs>
              <w:autoSpaceDE w:val="0"/>
              <w:autoSpaceDN w:val="0"/>
              <w:spacing w:before="120" w:after="60"/>
              <w:jc w:val="center"/>
              <w:cnfStyle w:val="100000000000" w:firstRow="1" w:lastRow="0" w:firstColumn="0" w:lastColumn="0" w:oddVBand="0" w:evenVBand="0" w:oddHBand="0" w:evenHBand="0" w:firstRowFirstColumn="0" w:firstRowLastColumn="0" w:lastRowFirstColumn="0" w:lastRowLastColumn="0"/>
              <w:rPr>
                <w:rFonts w:ascii="Constantia" w:hAnsi="Constantia"/>
                <w:szCs w:val="22"/>
              </w:rPr>
            </w:pPr>
            <w:r w:rsidRPr="00A74362">
              <w:rPr>
                <w:rFonts w:ascii="Constantia" w:hAnsi="Constantia"/>
                <w:szCs w:val="22"/>
              </w:rPr>
              <w:t>L</w:t>
            </w:r>
            <w:r w:rsidRPr="00A74362">
              <w:rPr>
                <w:rFonts w:ascii="Constantia" w:hAnsi="Constantia"/>
                <w:szCs w:val="22"/>
                <w:vertAlign w:val="subscript"/>
              </w:rPr>
              <w:t>night</w:t>
            </w:r>
            <w:r w:rsidRPr="00A74362">
              <w:rPr>
                <w:rFonts w:ascii="Constantia" w:hAnsi="Constantia"/>
                <w:szCs w:val="22"/>
              </w:rPr>
              <w:t xml:space="preserve"> (dB)</w:t>
            </w:r>
          </w:p>
        </w:tc>
        <w:tc>
          <w:tcPr>
            <w:tcW w:w="1602" w:type="dxa"/>
            <w:shd w:val="clear" w:color="auto" w:fill="F79646" w:themeFill="accent6"/>
          </w:tcPr>
          <w:p w:rsidR="00EB3E54" w:rsidRPr="00A74362" w:rsidRDefault="00EB3E54" w:rsidP="00EB3E54">
            <w:pPr>
              <w:keepLines/>
              <w:widowControl w:val="0"/>
              <w:tabs>
                <w:tab w:val="left" w:pos="1134"/>
                <w:tab w:val="left" w:pos="2268"/>
              </w:tabs>
              <w:autoSpaceDE w:val="0"/>
              <w:autoSpaceDN w:val="0"/>
              <w:spacing w:before="120" w:after="60"/>
              <w:jc w:val="center"/>
              <w:cnfStyle w:val="100000000000" w:firstRow="1" w:lastRow="0" w:firstColumn="0" w:lastColumn="0" w:oddVBand="0" w:evenVBand="0" w:oddHBand="0" w:evenHBand="0" w:firstRowFirstColumn="0" w:firstRowLastColumn="0" w:lastRowFirstColumn="0" w:lastRowLastColumn="0"/>
              <w:rPr>
                <w:rFonts w:ascii="Constantia" w:hAnsi="Constantia"/>
                <w:szCs w:val="22"/>
              </w:rPr>
            </w:pPr>
            <w:r w:rsidRPr="00A74362">
              <w:rPr>
                <w:rFonts w:ascii="Constantia" w:hAnsi="Constantia"/>
                <w:szCs w:val="22"/>
              </w:rPr>
              <w:t>L</w:t>
            </w:r>
            <w:r w:rsidRPr="00A74362">
              <w:rPr>
                <w:rFonts w:ascii="Constantia" w:hAnsi="Constantia"/>
                <w:szCs w:val="22"/>
                <w:vertAlign w:val="subscript"/>
              </w:rPr>
              <w:t>den</w:t>
            </w:r>
            <w:r w:rsidRPr="00A74362">
              <w:rPr>
                <w:rFonts w:ascii="Constantia" w:hAnsi="Constantia"/>
                <w:szCs w:val="22"/>
              </w:rPr>
              <w:t xml:space="preserve"> (dB)</w:t>
            </w:r>
          </w:p>
        </w:tc>
      </w:tr>
      <w:tr w:rsidR="00EB3E54" w:rsidRPr="00A74362" w:rsidTr="00A743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rsidR="00EB3E54" w:rsidRPr="00A74362" w:rsidRDefault="00EB3E54" w:rsidP="0097248A">
            <w:pPr>
              <w:keepLines/>
              <w:widowControl w:val="0"/>
              <w:tabs>
                <w:tab w:val="left" w:pos="1134"/>
                <w:tab w:val="left" w:pos="2268"/>
              </w:tabs>
              <w:autoSpaceDE w:val="0"/>
              <w:autoSpaceDN w:val="0"/>
              <w:spacing w:after="60"/>
              <w:jc w:val="center"/>
              <w:rPr>
                <w:rFonts w:ascii="Constantia" w:hAnsi="Constantia"/>
                <w:szCs w:val="22"/>
              </w:rPr>
            </w:pPr>
            <w:r w:rsidRPr="00A74362">
              <w:rPr>
                <w:rFonts w:ascii="Constantia" w:hAnsi="Constantia"/>
                <w:szCs w:val="22"/>
              </w:rPr>
              <w:t>I Ciklus</w:t>
            </w:r>
          </w:p>
        </w:tc>
        <w:tc>
          <w:tcPr>
            <w:tcW w:w="1710" w:type="dxa"/>
          </w:tcPr>
          <w:p w:rsidR="00EB3E54" w:rsidRPr="00A74362" w:rsidRDefault="00EB3E54" w:rsidP="0097248A">
            <w:pPr>
              <w:keepLines/>
              <w:widowControl w:val="0"/>
              <w:tabs>
                <w:tab w:val="left" w:pos="1134"/>
                <w:tab w:val="left" w:pos="2268"/>
              </w:tabs>
              <w:autoSpaceDE w:val="0"/>
              <w:autoSpaceDN w:val="0"/>
              <w:spacing w:after="6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A74362">
              <w:rPr>
                <w:rFonts w:ascii="Constantia" w:hAnsi="Constantia"/>
                <w:b/>
                <w:szCs w:val="22"/>
              </w:rPr>
              <w:t>64</w:t>
            </w:r>
          </w:p>
        </w:tc>
        <w:tc>
          <w:tcPr>
            <w:tcW w:w="1710" w:type="dxa"/>
          </w:tcPr>
          <w:p w:rsidR="00EB3E54" w:rsidRPr="00A74362" w:rsidRDefault="00EB3E54" w:rsidP="0097248A">
            <w:pPr>
              <w:keepLines/>
              <w:widowControl w:val="0"/>
              <w:tabs>
                <w:tab w:val="left" w:pos="1134"/>
                <w:tab w:val="left" w:pos="2268"/>
              </w:tabs>
              <w:autoSpaceDE w:val="0"/>
              <w:autoSpaceDN w:val="0"/>
              <w:spacing w:after="6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A74362">
              <w:rPr>
                <w:rFonts w:ascii="Constantia" w:hAnsi="Constantia"/>
                <w:b/>
                <w:szCs w:val="22"/>
              </w:rPr>
              <w:t>59</w:t>
            </w:r>
          </w:p>
        </w:tc>
        <w:tc>
          <w:tcPr>
            <w:tcW w:w="1710" w:type="dxa"/>
          </w:tcPr>
          <w:p w:rsidR="00EB3E54" w:rsidRPr="00A74362" w:rsidRDefault="00EB3E54" w:rsidP="0097248A">
            <w:pPr>
              <w:keepLines/>
              <w:widowControl w:val="0"/>
              <w:tabs>
                <w:tab w:val="left" w:pos="1134"/>
                <w:tab w:val="left" w:pos="2268"/>
              </w:tabs>
              <w:autoSpaceDE w:val="0"/>
              <w:autoSpaceDN w:val="0"/>
              <w:spacing w:after="6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A74362">
              <w:rPr>
                <w:rFonts w:ascii="Constantia" w:hAnsi="Constantia"/>
                <w:b/>
                <w:szCs w:val="22"/>
              </w:rPr>
              <w:t>57</w:t>
            </w:r>
          </w:p>
        </w:tc>
        <w:tc>
          <w:tcPr>
            <w:tcW w:w="1602" w:type="dxa"/>
          </w:tcPr>
          <w:p w:rsidR="00EB3E54" w:rsidRPr="00A74362" w:rsidRDefault="00EB3E54" w:rsidP="0097248A">
            <w:pPr>
              <w:keepLines/>
              <w:widowControl w:val="0"/>
              <w:tabs>
                <w:tab w:val="left" w:pos="1134"/>
                <w:tab w:val="left" w:pos="2268"/>
              </w:tabs>
              <w:autoSpaceDE w:val="0"/>
              <w:autoSpaceDN w:val="0"/>
              <w:spacing w:after="6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A74362">
              <w:rPr>
                <w:rFonts w:ascii="Constantia" w:hAnsi="Constantia"/>
                <w:b/>
                <w:szCs w:val="22"/>
              </w:rPr>
              <w:t>66</w:t>
            </w:r>
          </w:p>
        </w:tc>
      </w:tr>
      <w:tr w:rsidR="00EB3E54" w:rsidRPr="00A74362" w:rsidTr="00A74362">
        <w:tc>
          <w:tcPr>
            <w:cnfStyle w:val="001000000000" w:firstRow="0" w:lastRow="0" w:firstColumn="1" w:lastColumn="0" w:oddVBand="0" w:evenVBand="0" w:oddHBand="0" w:evenHBand="0" w:firstRowFirstColumn="0" w:firstRowLastColumn="0" w:lastRowFirstColumn="0" w:lastRowLastColumn="0"/>
            <w:tcW w:w="2268" w:type="dxa"/>
          </w:tcPr>
          <w:p w:rsidR="00EB3E54" w:rsidRPr="00A74362" w:rsidRDefault="00EB3E54" w:rsidP="0097248A">
            <w:pPr>
              <w:keepLines/>
              <w:widowControl w:val="0"/>
              <w:tabs>
                <w:tab w:val="left" w:pos="1134"/>
                <w:tab w:val="left" w:pos="2268"/>
              </w:tabs>
              <w:autoSpaceDE w:val="0"/>
              <w:autoSpaceDN w:val="0"/>
              <w:spacing w:after="60"/>
              <w:jc w:val="center"/>
              <w:rPr>
                <w:rFonts w:ascii="Constantia" w:hAnsi="Constantia"/>
                <w:szCs w:val="22"/>
              </w:rPr>
            </w:pPr>
            <w:r w:rsidRPr="00A74362">
              <w:rPr>
                <w:rFonts w:ascii="Constantia" w:hAnsi="Constantia"/>
                <w:szCs w:val="22"/>
              </w:rPr>
              <w:t>II Ciklus</w:t>
            </w:r>
          </w:p>
        </w:tc>
        <w:tc>
          <w:tcPr>
            <w:tcW w:w="1710" w:type="dxa"/>
          </w:tcPr>
          <w:p w:rsidR="00EB3E54" w:rsidRPr="00A74362" w:rsidRDefault="00EB3E54" w:rsidP="0097248A">
            <w:pPr>
              <w:keepLines/>
              <w:widowControl w:val="0"/>
              <w:tabs>
                <w:tab w:val="left" w:pos="1134"/>
                <w:tab w:val="left" w:pos="2268"/>
              </w:tabs>
              <w:autoSpaceDE w:val="0"/>
              <w:autoSpaceDN w:val="0"/>
              <w:spacing w:after="60"/>
              <w:jc w:val="center"/>
              <w:cnfStyle w:val="000000000000" w:firstRow="0" w:lastRow="0" w:firstColumn="0" w:lastColumn="0" w:oddVBand="0" w:evenVBand="0" w:oddHBand="0" w:evenHBand="0" w:firstRowFirstColumn="0" w:firstRowLastColumn="0" w:lastRowFirstColumn="0" w:lastRowLastColumn="0"/>
              <w:rPr>
                <w:rFonts w:ascii="Constantia" w:hAnsi="Constantia"/>
                <w:b/>
                <w:szCs w:val="22"/>
              </w:rPr>
            </w:pPr>
            <w:r w:rsidRPr="00A74362">
              <w:rPr>
                <w:rFonts w:ascii="Constantia" w:hAnsi="Constantia"/>
                <w:b/>
                <w:szCs w:val="22"/>
              </w:rPr>
              <w:t>51</w:t>
            </w:r>
          </w:p>
        </w:tc>
        <w:tc>
          <w:tcPr>
            <w:tcW w:w="1710" w:type="dxa"/>
          </w:tcPr>
          <w:p w:rsidR="00EB3E54" w:rsidRPr="00A74362" w:rsidRDefault="00EB3E54" w:rsidP="0097248A">
            <w:pPr>
              <w:keepLines/>
              <w:widowControl w:val="0"/>
              <w:tabs>
                <w:tab w:val="left" w:pos="1134"/>
                <w:tab w:val="left" w:pos="2268"/>
              </w:tabs>
              <w:autoSpaceDE w:val="0"/>
              <w:autoSpaceDN w:val="0"/>
              <w:spacing w:after="60"/>
              <w:jc w:val="center"/>
              <w:cnfStyle w:val="000000000000" w:firstRow="0" w:lastRow="0" w:firstColumn="0" w:lastColumn="0" w:oddVBand="0" w:evenVBand="0" w:oddHBand="0" w:evenHBand="0" w:firstRowFirstColumn="0" w:firstRowLastColumn="0" w:lastRowFirstColumn="0" w:lastRowLastColumn="0"/>
              <w:rPr>
                <w:rFonts w:ascii="Constantia" w:hAnsi="Constantia"/>
                <w:b/>
                <w:szCs w:val="22"/>
              </w:rPr>
            </w:pPr>
            <w:r w:rsidRPr="00A74362">
              <w:rPr>
                <w:rFonts w:ascii="Constantia" w:hAnsi="Constantia"/>
                <w:b/>
                <w:szCs w:val="22"/>
              </w:rPr>
              <w:t>49</w:t>
            </w:r>
          </w:p>
        </w:tc>
        <w:tc>
          <w:tcPr>
            <w:tcW w:w="1710" w:type="dxa"/>
          </w:tcPr>
          <w:p w:rsidR="00EB3E54" w:rsidRPr="00A74362" w:rsidRDefault="00EB3E54" w:rsidP="0097248A">
            <w:pPr>
              <w:keepLines/>
              <w:widowControl w:val="0"/>
              <w:tabs>
                <w:tab w:val="left" w:pos="1134"/>
                <w:tab w:val="left" w:pos="2268"/>
              </w:tabs>
              <w:autoSpaceDE w:val="0"/>
              <w:autoSpaceDN w:val="0"/>
              <w:spacing w:after="60"/>
              <w:jc w:val="center"/>
              <w:cnfStyle w:val="000000000000" w:firstRow="0" w:lastRow="0" w:firstColumn="0" w:lastColumn="0" w:oddVBand="0" w:evenVBand="0" w:oddHBand="0" w:evenHBand="0" w:firstRowFirstColumn="0" w:firstRowLastColumn="0" w:lastRowFirstColumn="0" w:lastRowLastColumn="0"/>
              <w:rPr>
                <w:rFonts w:ascii="Constantia" w:hAnsi="Constantia"/>
                <w:b/>
                <w:szCs w:val="22"/>
              </w:rPr>
            </w:pPr>
            <w:r w:rsidRPr="00A74362">
              <w:rPr>
                <w:rFonts w:ascii="Constantia" w:hAnsi="Constantia"/>
                <w:b/>
                <w:szCs w:val="22"/>
              </w:rPr>
              <w:t>44</w:t>
            </w:r>
          </w:p>
        </w:tc>
        <w:tc>
          <w:tcPr>
            <w:tcW w:w="1602" w:type="dxa"/>
          </w:tcPr>
          <w:p w:rsidR="00EB3E54" w:rsidRPr="00A74362" w:rsidRDefault="00EB3E54" w:rsidP="0097248A">
            <w:pPr>
              <w:keepLines/>
              <w:widowControl w:val="0"/>
              <w:tabs>
                <w:tab w:val="left" w:pos="1134"/>
                <w:tab w:val="left" w:pos="2268"/>
              </w:tabs>
              <w:autoSpaceDE w:val="0"/>
              <w:autoSpaceDN w:val="0"/>
              <w:spacing w:after="60"/>
              <w:jc w:val="center"/>
              <w:cnfStyle w:val="000000000000" w:firstRow="0" w:lastRow="0" w:firstColumn="0" w:lastColumn="0" w:oddVBand="0" w:evenVBand="0" w:oddHBand="0" w:evenHBand="0" w:firstRowFirstColumn="0" w:firstRowLastColumn="0" w:lastRowFirstColumn="0" w:lastRowLastColumn="0"/>
              <w:rPr>
                <w:rFonts w:ascii="Constantia" w:hAnsi="Constantia"/>
                <w:b/>
                <w:szCs w:val="22"/>
              </w:rPr>
            </w:pPr>
            <w:r w:rsidRPr="00A74362">
              <w:rPr>
                <w:rFonts w:ascii="Constantia" w:hAnsi="Constantia"/>
                <w:b/>
                <w:szCs w:val="22"/>
              </w:rPr>
              <w:t>53</w:t>
            </w:r>
          </w:p>
        </w:tc>
      </w:tr>
      <w:tr w:rsidR="00EB3E54" w:rsidRPr="00A74362" w:rsidTr="00A743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rsidR="00EB3E54" w:rsidRPr="00A74362" w:rsidRDefault="00EB3E54" w:rsidP="0097248A">
            <w:pPr>
              <w:keepLines/>
              <w:widowControl w:val="0"/>
              <w:tabs>
                <w:tab w:val="left" w:pos="1134"/>
                <w:tab w:val="left" w:pos="2268"/>
              </w:tabs>
              <w:autoSpaceDE w:val="0"/>
              <w:autoSpaceDN w:val="0"/>
              <w:spacing w:after="60"/>
              <w:jc w:val="center"/>
              <w:rPr>
                <w:rFonts w:ascii="Constantia" w:hAnsi="Constantia"/>
                <w:szCs w:val="22"/>
              </w:rPr>
            </w:pPr>
            <w:r w:rsidRPr="00A74362">
              <w:rPr>
                <w:rFonts w:ascii="Constantia" w:hAnsi="Constantia"/>
                <w:szCs w:val="22"/>
              </w:rPr>
              <w:t>Granična vrijednost</w:t>
            </w:r>
          </w:p>
        </w:tc>
        <w:tc>
          <w:tcPr>
            <w:tcW w:w="1710" w:type="dxa"/>
          </w:tcPr>
          <w:p w:rsidR="00EB3E54" w:rsidRPr="00A74362" w:rsidRDefault="00EB3E54" w:rsidP="0097248A">
            <w:pPr>
              <w:keepLines/>
              <w:widowControl w:val="0"/>
              <w:tabs>
                <w:tab w:val="left" w:pos="1134"/>
                <w:tab w:val="left" w:pos="2268"/>
              </w:tabs>
              <w:autoSpaceDE w:val="0"/>
              <w:autoSpaceDN w:val="0"/>
              <w:spacing w:after="6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A74362">
              <w:rPr>
                <w:rFonts w:ascii="Constantia" w:hAnsi="Constantia"/>
                <w:b/>
                <w:szCs w:val="22"/>
              </w:rPr>
              <w:t>60</w:t>
            </w:r>
          </w:p>
        </w:tc>
        <w:tc>
          <w:tcPr>
            <w:tcW w:w="1710" w:type="dxa"/>
          </w:tcPr>
          <w:p w:rsidR="00EB3E54" w:rsidRPr="00A74362" w:rsidRDefault="00EB3E54" w:rsidP="0097248A">
            <w:pPr>
              <w:keepLines/>
              <w:widowControl w:val="0"/>
              <w:tabs>
                <w:tab w:val="left" w:pos="1134"/>
                <w:tab w:val="left" w:pos="2268"/>
              </w:tabs>
              <w:autoSpaceDE w:val="0"/>
              <w:autoSpaceDN w:val="0"/>
              <w:spacing w:after="6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A74362">
              <w:rPr>
                <w:rFonts w:ascii="Constantia" w:hAnsi="Constantia"/>
                <w:b/>
                <w:szCs w:val="22"/>
              </w:rPr>
              <w:t>60</w:t>
            </w:r>
          </w:p>
        </w:tc>
        <w:tc>
          <w:tcPr>
            <w:tcW w:w="1710" w:type="dxa"/>
          </w:tcPr>
          <w:p w:rsidR="00EB3E54" w:rsidRPr="00A74362" w:rsidRDefault="00EB3E54" w:rsidP="0097248A">
            <w:pPr>
              <w:keepLines/>
              <w:widowControl w:val="0"/>
              <w:tabs>
                <w:tab w:val="left" w:pos="1134"/>
                <w:tab w:val="left" w:pos="2268"/>
              </w:tabs>
              <w:autoSpaceDE w:val="0"/>
              <w:autoSpaceDN w:val="0"/>
              <w:spacing w:after="6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A74362">
              <w:rPr>
                <w:rFonts w:ascii="Constantia" w:hAnsi="Constantia"/>
                <w:b/>
                <w:szCs w:val="22"/>
              </w:rPr>
              <w:t>50</w:t>
            </w:r>
          </w:p>
        </w:tc>
        <w:tc>
          <w:tcPr>
            <w:tcW w:w="1602" w:type="dxa"/>
          </w:tcPr>
          <w:p w:rsidR="00EB3E54" w:rsidRPr="00A74362" w:rsidRDefault="00EB3E54" w:rsidP="0097248A">
            <w:pPr>
              <w:keepLines/>
              <w:widowControl w:val="0"/>
              <w:tabs>
                <w:tab w:val="left" w:pos="1134"/>
                <w:tab w:val="left" w:pos="2268"/>
              </w:tabs>
              <w:autoSpaceDE w:val="0"/>
              <w:autoSpaceDN w:val="0"/>
              <w:spacing w:after="6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A74362">
              <w:rPr>
                <w:rFonts w:ascii="Constantia" w:hAnsi="Constantia"/>
                <w:b/>
                <w:szCs w:val="22"/>
              </w:rPr>
              <w:t>---</w:t>
            </w:r>
          </w:p>
        </w:tc>
      </w:tr>
    </w:tbl>
    <w:p w:rsidR="00EB3E54" w:rsidRPr="004A1E9F" w:rsidRDefault="00EB3E54" w:rsidP="004A1E9F">
      <w:pPr>
        <w:numPr>
          <w:ilvl w:val="0"/>
          <w:numId w:val="3"/>
        </w:numPr>
        <w:tabs>
          <w:tab w:val="left" w:pos="1260"/>
        </w:tabs>
        <w:spacing w:before="60" w:after="240"/>
        <w:ind w:left="0" w:firstLine="0"/>
        <w:jc w:val="center"/>
        <w:rPr>
          <w:rFonts w:ascii="Constantia" w:hAnsi="Constantia"/>
          <w:i/>
          <w:szCs w:val="22"/>
          <w:lang w:val="sr-Latn-CS"/>
        </w:rPr>
      </w:pPr>
      <w:r w:rsidRPr="004A1E9F">
        <w:rPr>
          <w:rFonts w:ascii="Constantia" w:hAnsi="Constantia"/>
          <w:i/>
          <w:szCs w:val="22"/>
          <w:lang w:val="sr-Latn-CS"/>
        </w:rPr>
        <w:t>Srednji indikatori buke na mjernom mjestu na Žabljaku</w:t>
      </w:r>
    </w:p>
    <w:p w:rsidR="00EB3E54" w:rsidRPr="00C16985" w:rsidRDefault="00EB3E54" w:rsidP="00C16985">
      <w:pPr>
        <w:spacing w:before="240"/>
        <w:rPr>
          <w:rFonts w:ascii="Constantia" w:hAnsi="Constantia"/>
          <w:szCs w:val="22"/>
        </w:rPr>
      </w:pPr>
      <w:r w:rsidRPr="00C16985">
        <w:rPr>
          <w:rFonts w:ascii="Constantia" w:hAnsi="Constantia"/>
          <w:szCs w:val="22"/>
        </w:rPr>
        <w:t xml:space="preserve">Vrijednosti indikatora buke su znatno veće u prvom ciklusu mjerenja (kraj juna, početak jula) nego u drugom ciklusu mjerenja (kraj oktobra). </w:t>
      </w:r>
    </w:p>
    <w:p w:rsidR="00EB3E54" w:rsidRPr="00C16985" w:rsidRDefault="00EB3E54" w:rsidP="00EB3E54">
      <w:pPr>
        <w:rPr>
          <w:rFonts w:ascii="Constantia" w:hAnsi="Constantia"/>
          <w:szCs w:val="22"/>
        </w:rPr>
      </w:pPr>
      <w:r w:rsidRPr="00C16985">
        <w:rPr>
          <w:rFonts w:ascii="Constantia" w:hAnsi="Constantia"/>
          <w:szCs w:val="22"/>
        </w:rPr>
        <w:t>U prvom ciklusu vrijednost indikatora buke za veče je ispod granične vrijednosti nivoa buke, dok indikatori buke za dan i noć prelaze granične vrijednosti.</w:t>
      </w:r>
    </w:p>
    <w:p w:rsidR="00EB3E54" w:rsidRPr="00C16985" w:rsidRDefault="00EB3E54" w:rsidP="00EB3E54">
      <w:pPr>
        <w:rPr>
          <w:rFonts w:ascii="Constantia" w:hAnsi="Constantia"/>
          <w:szCs w:val="22"/>
        </w:rPr>
      </w:pPr>
      <w:r w:rsidRPr="00C16985">
        <w:rPr>
          <w:rFonts w:ascii="Constantia" w:hAnsi="Constantia"/>
          <w:szCs w:val="22"/>
        </w:rPr>
        <w:t>U drugom ciklusu indikatori buke za dan, veče i noć su ispod granične vrijednosti.</w:t>
      </w:r>
    </w:p>
    <w:p w:rsidR="00EB3E54" w:rsidRPr="00C16985" w:rsidRDefault="00EB3E54" w:rsidP="00EB3E54">
      <w:pPr>
        <w:rPr>
          <w:rFonts w:ascii="Constantia" w:hAnsi="Constantia"/>
        </w:rPr>
      </w:pPr>
      <w:r w:rsidRPr="00C16985">
        <w:rPr>
          <w:rFonts w:ascii="Constantia" w:hAnsi="Constantia"/>
        </w:rPr>
        <w:t>Na osnovu Rješenja o</w:t>
      </w:r>
      <w:r w:rsidR="00B41BBF">
        <w:rPr>
          <w:rFonts w:ascii="Constantia" w:hAnsi="Constantia"/>
        </w:rPr>
        <w:t xml:space="preserve"> utvrđivanju akustičk</w:t>
      </w:r>
      <w:r w:rsidR="00C16985">
        <w:rPr>
          <w:rFonts w:ascii="Constantia" w:hAnsi="Constantia"/>
        </w:rPr>
        <w:t>ih zona u o</w:t>
      </w:r>
      <w:r w:rsidRPr="00C16985">
        <w:rPr>
          <w:rFonts w:ascii="Constantia" w:hAnsi="Constantia"/>
        </w:rPr>
        <w:t xml:space="preserve">pštini Žabljak, posmatrano mjerno mjesto pripada </w:t>
      </w:r>
      <w:r w:rsidRPr="00C16985">
        <w:rPr>
          <w:rFonts w:ascii="Constantia" w:hAnsi="Constantia" w:cs="Arial"/>
          <w:lang w:val="it-IT"/>
        </w:rPr>
        <w:t>zoni mješovite namjene</w:t>
      </w:r>
      <w:r w:rsidRPr="00C16985">
        <w:rPr>
          <w:rFonts w:ascii="Constantia" w:hAnsi="Constantia"/>
          <w:lang w:val="sr-Latn-CS"/>
        </w:rPr>
        <w:t>.</w:t>
      </w:r>
    </w:p>
    <w:p w:rsidR="00EB3E54" w:rsidRPr="00EB3E54" w:rsidRDefault="00EB3E54" w:rsidP="00077AA6">
      <w:pPr>
        <w:pStyle w:val="Heading2"/>
        <w:ind w:left="720"/>
      </w:pPr>
      <w:bookmarkStart w:id="166" w:name="_Toc393897940"/>
      <w:r w:rsidRPr="00EB3E54">
        <w:t>Petrovac</w:t>
      </w:r>
      <w:bookmarkEnd w:id="166"/>
    </w:p>
    <w:p w:rsidR="00EB3E54" w:rsidRPr="001D4073" w:rsidRDefault="00EB3E54" w:rsidP="00EB3E54">
      <w:pPr>
        <w:rPr>
          <w:rFonts w:ascii="Constantia" w:hAnsi="Constantia"/>
          <w:lang w:val="sr-Latn-CS"/>
        </w:rPr>
      </w:pPr>
      <w:r w:rsidRPr="001D4073">
        <w:rPr>
          <w:rFonts w:ascii="Constantia" w:hAnsi="Constantia"/>
          <w:lang w:val="sr-Latn-CS"/>
        </w:rPr>
        <w:t>Na teritoriji Petrovca mjerenje nivoa buke vršeno je na lokaciji Obala bb, u intervalu dnevnog (L</w:t>
      </w:r>
      <w:r w:rsidRPr="001D4073">
        <w:rPr>
          <w:rFonts w:ascii="Constantia" w:hAnsi="Constantia"/>
          <w:vertAlign w:val="subscript"/>
          <w:lang w:val="sr-Latn-CS"/>
        </w:rPr>
        <w:t>day</w:t>
      </w:r>
      <w:r w:rsidRPr="001D4073">
        <w:rPr>
          <w:rFonts w:ascii="Constantia" w:hAnsi="Constantia"/>
          <w:lang w:val="sr-Latn-CS"/>
        </w:rPr>
        <w:t>) 7-19h, večernjeg (L</w:t>
      </w:r>
      <w:r w:rsidRPr="001D4073">
        <w:rPr>
          <w:rFonts w:ascii="Constantia" w:hAnsi="Constantia"/>
          <w:vertAlign w:val="subscript"/>
          <w:lang w:val="sr-Latn-CS"/>
        </w:rPr>
        <w:t>evening</w:t>
      </w:r>
      <w:r w:rsidRPr="001D4073">
        <w:rPr>
          <w:rFonts w:ascii="Constantia" w:hAnsi="Constantia"/>
          <w:lang w:val="sr-Latn-CS"/>
        </w:rPr>
        <w:t>) 19-23h i noćnog perioda (L</w:t>
      </w:r>
      <w:r w:rsidRPr="001D4073">
        <w:rPr>
          <w:rFonts w:ascii="Constantia" w:hAnsi="Constantia"/>
          <w:vertAlign w:val="subscript"/>
          <w:lang w:val="sr-Latn-CS"/>
        </w:rPr>
        <w:t>night</w:t>
      </w:r>
      <w:r w:rsidRPr="001D4073">
        <w:rPr>
          <w:rFonts w:ascii="Constantia" w:hAnsi="Constantia"/>
          <w:lang w:val="sr-Latn-CS"/>
        </w:rPr>
        <w:t>) 23-7h.</w:t>
      </w:r>
    </w:p>
    <w:p w:rsidR="00EB3E54" w:rsidRPr="001D4073" w:rsidRDefault="00EB3E54" w:rsidP="00EB3E54">
      <w:pPr>
        <w:rPr>
          <w:rFonts w:ascii="Constantia" w:hAnsi="Constantia"/>
        </w:rPr>
      </w:pPr>
      <w:r w:rsidRPr="001D4073">
        <w:rPr>
          <w:rFonts w:ascii="Constantia" w:hAnsi="Constantia"/>
          <w:b/>
          <w:lang w:val="sr-Latn-CS"/>
        </w:rPr>
        <w:t>Nivo buke u I ciklusu</w:t>
      </w:r>
      <w:r w:rsidRPr="001D4073">
        <w:rPr>
          <w:rFonts w:ascii="Constantia" w:hAnsi="Constantia"/>
          <w:lang w:val="sr-Latn-CS"/>
        </w:rPr>
        <w:t xml:space="preserve"> mjeren je u periodu </w:t>
      </w:r>
      <w:r w:rsidRPr="001D4073">
        <w:rPr>
          <w:rFonts w:ascii="Constantia" w:hAnsi="Constantia"/>
        </w:rPr>
        <w:t>od 24.07</w:t>
      </w:r>
      <w:r w:rsidR="001D4073">
        <w:rPr>
          <w:rFonts w:ascii="Constantia" w:hAnsi="Constantia"/>
        </w:rPr>
        <w:t>.</w:t>
      </w:r>
      <w:r w:rsidRPr="001D4073">
        <w:rPr>
          <w:rFonts w:ascii="Constantia" w:hAnsi="Constantia"/>
        </w:rPr>
        <w:t xml:space="preserve">-01.08.2013. godine. </w:t>
      </w:r>
    </w:p>
    <w:p w:rsidR="00EB3E54" w:rsidRPr="001D4073" w:rsidRDefault="00EB3E54" w:rsidP="00EB3E54">
      <w:pPr>
        <w:rPr>
          <w:rFonts w:ascii="Constantia" w:hAnsi="Constantia"/>
          <w:lang w:val="sr-Latn-CS"/>
        </w:rPr>
      </w:pPr>
      <w:r w:rsidRPr="001D4073">
        <w:rPr>
          <w:rFonts w:ascii="Constantia" w:hAnsi="Constantia"/>
          <w:b/>
        </w:rPr>
        <w:t>Nivo buke u II ciklusu</w:t>
      </w:r>
      <w:r w:rsidRPr="001D4073">
        <w:rPr>
          <w:rFonts w:ascii="Constantia" w:hAnsi="Constantia"/>
        </w:rPr>
        <w:t xml:space="preserve"> </w:t>
      </w:r>
      <w:r w:rsidRPr="001D4073">
        <w:rPr>
          <w:rFonts w:ascii="Constantia" w:hAnsi="Constantia"/>
          <w:lang w:val="sr-Latn-CS"/>
        </w:rPr>
        <w:t xml:space="preserve">mjeren je u periodu </w:t>
      </w:r>
      <w:r w:rsidRPr="001D4073">
        <w:rPr>
          <w:rFonts w:ascii="Constantia" w:hAnsi="Constantia"/>
        </w:rPr>
        <w:t>od 12-18.12.2013. godine.</w:t>
      </w:r>
      <w:r w:rsidRPr="001D4073">
        <w:rPr>
          <w:rFonts w:ascii="Constantia" w:hAnsi="Constantia"/>
          <w:lang w:val="sr-Latn-CS"/>
        </w:rPr>
        <w:t xml:space="preserve"> </w:t>
      </w:r>
    </w:p>
    <w:p w:rsidR="00EB3E54" w:rsidRPr="001D4073" w:rsidRDefault="00EB3E54" w:rsidP="00EB3E54">
      <w:pPr>
        <w:rPr>
          <w:rFonts w:ascii="Constantia" w:hAnsi="Constantia"/>
          <w:lang w:val="sr-Latn-CS"/>
        </w:rPr>
      </w:pPr>
      <w:r w:rsidRPr="001D4073">
        <w:rPr>
          <w:rFonts w:ascii="Constantia" w:hAnsi="Constantia"/>
          <w:lang w:val="sr-Latn-CS"/>
        </w:rPr>
        <w:t xml:space="preserve">Srednje vrijednosti nivoa buke za </w:t>
      </w:r>
      <w:r w:rsidRPr="001D4073">
        <w:rPr>
          <w:rFonts w:ascii="Constantia" w:hAnsi="Constantia"/>
          <w:b/>
          <w:lang w:val="sr-Latn-CS"/>
        </w:rPr>
        <w:t>L</w:t>
      </w:r>
      <w:r w:rsidRPr="001D4073">
        <w:rPr>
          <w:rFonts w:ascii="Constantia" w:hAnsi="Constantia"/>
          <w:b/>
          <w:vertAlign w:val="subscript"/>
          <w:lang w:val="sr-Latn-CS"/>
        </w:rPr>
        <w:t>night</w:t>
      </w:r>
      <w:r w:rsidRPr="001D4073">
        <w:rPr>
          <w:rFonts w:ascii="Constantia" w:hAnsi="Constantia"/>
          <w:lang w:val="sr-Latn-CS"/>
        </w:rPr>
        <w:t xml:space="preserve"> – indikator noćnog nivoa buke koji se odno</w:t>
      </w:r>
      <w:r w:rsidR="00A83610">
        <w:rPr>
          <w:rFonts w:ascii="Constantia" w:hAnsi="Constantia"/>
          <w:lang w:val="sr-Latn-CS"/>
        </w:rPr>
        <w:t>si na vrijeme od 23 do 7 časova</w:t>
      </w:r>
      <w:r w:rsidRPr="001D4073">
        <w:rPr>
          <w:rFonts w:ascii="Constantia" w:hAnsi="Constantia"/>
          <w:lang w:val="sr-Latn-CS"/>
        </w:rPr>
        <w:t xml:space="preserve"> prikazane su </w:t>
      </w:r>
      <w:r w:rsidR="00A83610">
        <w:rPr>
          <w:rFonts w:ascii="Constantia" w:hAnsi="Constantia"/>
          <w:lang w:val="sr-Latn-CS"/>
        </w:rPr>
        <w:t xml:space="preserve">na </w:t>
      </w:r>
      <w:r w:rsidR="00A83610" w:rsidRPr="00A83610">
        <w:rPr>
          <w:rFonts w:ascii="Constantia" w:hAnsi="Constantia"/>
          <w:i/>
          <w:lang w:val="sr-Latn-CS"/>
        </w:rPr>
        <w:t>G</w:t>
      </w:r>
      <w:r w:rsidRPr="00A83610">
        <w:rPr>
          <w:rFonts w:ascii="Constantia" w:hAnsi="Constantia"/>
          <w:i/>
          <w:lang w:val="sr-Latn-CS"/>
        </w:rPr>
        <w:t xml:space="preserve">rafikonu </w:t>
      </w:r>
      <w:r w:rsidR="00A83610" w:rsidRPr="00A83610">
        <w:rPr>
          <w:rFonts w:ascii="Constantia" w:hAnsi="Constantia"/>
          <w:i/>
          <w:lang w:val="sr-Latn-CS"/>
        </w:rPr>
        <w:t>8</w:t>
      </w:r>
      <w:r w:rsidRPr="00A83610">
        <w:rPr>
          <w:rFonts w:ascii="Constantia" w:hAnsi="Constantia"/>
          <w:i/>
          <w:lang w:val="sr-Latn-CS"/>
        </w:rPr>
        <w:t>4</w:t>
      </w:r>
      <w:r w:rsidRPr="001D4073">
        <w:rPr>
          <w:rFonts w:ascii="Constantia" w:hAnsi="Constantia"/>
          <w:lang w:val="sr-Latn-CS"/>
        </w:rPr>
        <w:t>.</w:t>
      </w:r>
    </w:p>
    <w:p w:rsidR="00EB3E54" w:rsidRPr="00EB3E54" w:rsidRDefault="00EB3E54" w:rsidP="00A83610">
      <w:pPr>
        <w:jc w:val="center"/>
      </w:pPr>
      <w:r w:rsidRPr="00EB3E54">
        <w:rPr>
          <w:noProof/>
        </w:rPr>
        <w:lastRenderedPageBreak/>
        <w:drawing>
          <wp:inline distT="0" distB="0" distL="0" distR="0" wp14:anchorId="4D389156" wp14:editId="0E2C79AB">
            <wp:extent cx="4371975" cy="2219325"/>
            <wp:effectExtent l="0" t="0" r="0" b="0"/>
            <wp:docPr id="238" name="Chart 23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9"/>
              </a:graphicData>
            </a:graphic>
          </wp:inline>
        </w:drawing>
      </w:r>
    </w:p>
    <w:p w:rsidR="00EB3E54" w:rsidRPr="00B12065" w:rsidRDefault="00EB3E54" w:rsidP="00EB3E54">
      <w:pPr>
        <w:numPr>
          <w:ilvl w:val="0"/>
          <w:numId w:val="4"/>
        </w:numPr>
        <w:ind w:left="360"/>
        <w:jc w:val="center"/>
        <w:rPr>
          <w:rFonts w:ascii="Constantia" w:hAnsi="Constantia"/>
          <w:i/>
          <w:szCs w:val="22"/>
          <w:lang w:val="sr-Latn-CS"/>
        </w:rPr>
      </w:pPr>
      <w:r w:rsidRPr="00B12065">
        <w:rPr>
          <w:rFonts w:ascii="Constantia" w:hAnsi="Constantia"/>
          <w:i/>
          <w:szCs w:val="22"/>
          <w:lang w:val="sr-Latn-CS"/>
        </w:rPr>
        <w:t>Srednje vrijednosti nivoa buke (L</w:t>
      </w:r>
      <w:r w:rsidRPr="00B12065">
        <w:rPr>
          <w:rFonts w:ascii="Constantia" w:hAnsi="Constantia"/>
          <w:i/>
          <w:szCs w:val="22"/>
          <w:vertAlign w:val="subscript"/>
          <w:lang w:val="sr-Latn-CS"/>
        </w:rPr>
        <w:t>night</w:t>
      </w:r>
      <w:r w:rsidRPr="00B12065">
        <w:rPr>
          <w:rFonts w:ascii="Constantia" w:hAnsi="Constantia"/>
          <w:i/>
          <w:szCs w:val="22"/>
          <w:lang w:val="sr-Latn-CS"/>
        </w:rPr>
        <w:t>) na mjernom mjestu u Petrovcu</w:t>
      </w:r>
    </w:p>
    <w:p w:rsidR="00EB3E54" w:rsidRPr="00B12065" w:rsidRDefault="00EB3E54" w:rsidP="00B12065">
      <w:pPr>
        <w:spacing w:after="0"/>
        <w:jc w:val="center"/>
        <w:rPr>
          <w:rFonts w:ascii="Constantia" w:hAnsi="Constantia"/>
          <w:b/>
          <w:i/>
          <w:sz w:val="20"/>
          <w:lang w:val="sr-Latn-CS"/>
        </w:rPr>
      </w:pPr>
    </w:p>
    <w:p w:rsidR="00B12065" w:rsidRPr="00B12065" w:rsidRDefault="00EB3E54" w:rsidP="00EB3E54">
      <w:pPr>
        <w:rPr>
          <w:rFonts w:ascii="Constantia" w:hAnsi="Constantia"/>
        </w:rPr>
      </w:pPr>
      <w:r w:rsidRPr="00B12065">
        <w:rPr>
          <w:rFonts w:ascii="Constantia" w:hAnsi="Constantia"/>
        </w:rPr>
        <w:t xml:space="preserve">Na </w:t>
      </w:r>
      <w:r w:rsidR="00B12065" w:rsidRPr="00B12065">
        <w:rPr>
          <w:rFonts w:ascii="Constantia" w:hAnsi="Constantia"/>
          <w:i/>
        </w:rPr>
        <w:t>S</w:t>
      </w:r>
      <w:r w:rsidRPr="00B12065">
        <w:rPr>
          <w:rFonts w:ascii="Constantia" w:hAnsi="Constantia"/>
          <w:i/>
        </w:rPr>
        <w:t xml:space="preserve">lici </w:t>
      </w:r>
      <w:r w:rsidR="00B12065" w:rsidRPr="00B12065">
        <w:rPr>
          <w:rFonts w:ascii="Constantia" w:hAnsi="Constantia"/>
          <w:i/>
        </w:rPr>
        <w:t>18.</w:t>
      </w:r>
      <w:r w:rsidRPr="00B12065">
        <w:rPr>
          <w:rFonts w:ascii="Constantia" w:hAnsi="Constantia"/>
        </w:rPr>
        <w:t xml:space="preserve"> prikazano je mjerno mjesto u Petrovcu.</w:t>
      </w:r>
    </w:p>
    <w:p w:rsidR="00EB3E54" w:rsidRPr="00EB3E54" w:rsidRDefault="00EB3E54" w:rsidP="00B12065">
      <w:pPr>
        <w:spacing w:before="240"/>
        <w:jc w:val="center"/>
        <w:rPr>
          <w:szCs w:val="22"/>
        </w:rPr>
      </w:pPr>
      <w:r w:rsidRPr="00EB3E54">
        <w:rPr>
          <w:noProof/>
          <w:sz w:val="24"/>
        </w:rPr>
        <w:drawing>
          <wp:inline distT="0" distB="0" distL="0" distR="0" wp14:anchorId="5B445E66" wp14:editId="68E6619E">
            <wp:extent cx="2486025" cy="2200275"/>
            <wp:effectExtent l="0" t="0" r="0" b="0"/>
            <wp:docPr id="239" name="Picture 239" descr="DSC03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SC03484"/>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488037" cy="2202056"/>
                    </a:xfrm>
                    <a:prstGeom prst="rect">
                      <a:avLst/>
                    </a:prstGeom>
                    <a:noFill/>
                    <a:ln>
                      <a:noFill/>
                    </a:ln>
                  </pic:spPr>
                </pic:pic>
              </a:graphicData>
            </a:graphic>
          </wp:inline>
        </w:drawing>
      </w:r>
    </w:p>
    <w:p w:rsidR="00EB3E54" w:rsidRPr="00FF34B8" w:rsidRDefault="00FF34B8" w:rsidP="00FF34B8">
      <w:pPr>
        <w:pStyle w:val="Slika"/>
        <w:tabs>
          <w:tab w:val="left" w:pos="990"/>
          <w:tab w:val="left" w:pos="3510"/>
        </w:tabs>
        <w:spacing w:after="0"/>
        <w:ind w:left="360"/>
        <w:rPr>
          <w:rFonts w:ascii="Constantia" w:hAnsi="Constantia"/>
          <w:color w:val="000000" w:themeColor="text1"/>
          <w:sz w:val="20"/>
          <w:lang w:val="sr-Latn-CS"/>
        </w:rPr>
      </w:pPr>
      <w:r w:rsidRPr="00FF34B8">
        <w:rPr>
          <w:rFonts w:ascii="Constantia" w:hAnsi="Constantia"/>
        </w:rPr>
        <w:t xml:space="preserve">Mjerno mjesto </w:t>
      </w:r>
      <w:r>
        <w:rPr>
          <w:rFonts w:ascii="Constantia" w:hAnsi="Constantia"/>
        </w:rPr>
        <w:t>u</w:t>
      </w:r>
      <w:r w:rsidRPr="00FF34B8">
        <w:rPr>
          <w:rFonts w:ascii="Constantia" w:hAnsi="Constantia"/>
        </w:rPr>
        <w:t xml:space="preserve"> Petrovcu</w:t>
      </w:r>
    </w:p>
    <w:p w:rsidR="00EB3E54" w:rsidRPr="00EB3E54" w:rsidRDefault="00EB3E54" w:rsidP="00FF34B8">
      <w:pPr>
        <w:spacing w:after="0"/>
        <w:rPr>
          <w:color w:val="000000" w:themeColor="text1"/>
          <w:sz w:val="20"/>
          <w:lang w:val="sr-Latn-CS"/>
        </w:rPr>
      </w:pPr>
    </w:p>
    <w:p w:rsidR="00EB3E54" w:rsidRDefault="00EB3E54" w:rsidP="00EB3E54">
      <w:pPr>
        <w:rPr>
          <w:rFonts w:ascii="Constantia" w:hAnsi="Constantia"/>
          <w:lang w:val="sr-Latn-CS"/>
        </w:rPr>
      </w:pPr>
      <w:r w:rsidRPr="00003242">
        <w:rPr>
          <w:rFonts w:ascii="Constantia" w:hAnsi="Constantia"/>
          <w:szCs w:val="22"/>
        </w:rPr>
        <w:t>Rezultati mjerenja prikazani kao srednje vrijednosti za</w:t>
      </w:r>
      <w:r w:rsidRPr="00003242">
        <w:rPr>
          <w:rFonts w:ascii="Constantia" w:hAnsi="Constantia"/>
          <w:b/>
          <w:lang w:val="sr-Latn-CS"/>
        </w:rPr>
        <w:t xml:space="preserve"> L</w:t>
      </w:r>
      <w:r w:rsidRPr="00003242">
        <w:rPr>
          <w:rFonts w:ascii="Constantia" w:hAnsi="Constantia"/>
          <w:b/>
          <w:vertAlign w:val="subscript"/>
          <w:lang w:val="sr-Latn-CS"/>
        </w:rPr>
        <w:t>den</w:t>
      </w:r>
      <w:r w:rsidRPr="00003242">
        <w:rPr>
          <w:rFonts w:ascii="Constantia" w:hAnsi="Constantia"/>
          <w:lang w:val="sr-Latn-CS"/>
        </w:rPr>
        <w:t xml:space="preserve"> -  ukupni indikator nivoa buke tokom dana, večeri i noći, </w:t>
      </w:r>
      <w:r w:rsidRPr="00003242">
        <w:rPr>
          <w:rFonts w:ascii="Constantia" w:hAnsi="Constantia"/>
          <w:b/>
          <w:lang w:val="sr-Latn-CS"/>
        </w:rPr>
        <w:t>L</w:t>
      </w:r>
      <w:r w:rsidRPr="00003242">
        <w:rPr>
          <w:rFonts w:ascii="Constantia" w:hAnsi="Constantia"/>
          <w:b/>
          <w:vertAlign w:val="subscript"/>
          <w:lang w:val="sr-Latn-CS"/>
        </w:rPr>
        <w:t>day</w:t>
      </w:r>
      <w:r w:rsidRPr="00003242">
        <w:rPr>
          <w:rFonts w:ascii="Constantia" w:hAnsi="Constantia"/>
          <w:lang w:val="sr-Latn-CS"/>
        </w:rPr>
        <w:t xml:space="preserve"> – indikator dnevnog nivoa buke i odnosi se na vrijeme od 7 do 19 časova, </w:t>
      </w:r>
      <w:r w:rsidRPr="00003242">
        <w:rPr>
          <w:rFonts w:ascii="Constantia" w:hAnsi="Constantia"/>
          <w:b/>
          <w:lang w:val="sr-Latn-CS"/>
        </w:rPr>
        <w:t>L</w:t>
      </w:r>
      <w:r w:rsidRPr="00003242">
        <w:rPr>
          <w:rFonts w:ascii="Constantia" w:hAnsi="Constantia"/>
          <w:b/>
          <w:vertAlign w:val="subscript"/>
          <w:lang w:val="sr-Latn-CS"/>
        </w:rPr>
        <w:t>evening</w:t>
      </w:r>
      <w:r w:rsidRPr="00003242">
        <w:rPr>
          <w:rFonts w:ascii="Constantia" w:hAnsi="Constantia"/>
          <w:lang w:val="sr-Latn-CS"/>
        </w:rPr>
        <w:t xml:space="preserve"> – indikator nivoa buke tokom večernjih časova i odnosi se na vrijeme od 19 do 23 časova, </w:t>
      </w:r>
      <w:r w:rsidRPr="00003242">
        <w:rPr>
          <w:rFonts w:ascii="Constantia" w:hAnsi="Constantia"/>
          <w:b/>
          <w:lang w:val="sr-Latn-CS"/>
        </w:rPr>
        <w:t>L</w:t>
      </w:r>
      <w:r w:rsidRPr="00003242">
        <w:rPr>
          <w:rFonts w:ascii="Constantia" w:hAnsi="Constantia"/>
          <w:b/>
          <w:vertAlign w:val="subscript"/>
          <w:lang w:val="sr-Latn-CS"/>
        </w:rPr>
        <w:t>night</w:t>
      </w:r>
      <w:r w:rsidRPr="00003242">
        <w:rPr>
          <w:rFonts w:ascii="Constantia" w:hAnsi="Constantia"/>
          <w:lang w:val="sr-Latn-CS"/>
        </w:rPr>
        <w:t xml:space="preserve"> – indikator noćnog nivoa buke i odnosi se na vrijeme od</w:t>
      </w:r>
      <w:r w:rsidR="00003242">
        <w:rPr>
          <w:rFonts w:ascii="Constantia" w:hAnsi="Constantia"/>
          <w:lang w:val="sr-Latn-CS"/>
        </w:rPr>
        <w:t xml:space="preserve"> 23 do 7 časova</w:t>
      </w:r>
      <w:r w:rsidR="001617B1">
        <w:rPr>
          <w:rFonts w:ascii="Constantia" w:hAnsi="Constantia"/>
          <w:lang w:val="sr-Latn-CS"/>
        </w:rPr>
        <w:t xml:space="preserve"> za Petrovac</w:t>
      </w:r>
      <w:r w:rsidR="00003242">
        <w:rPr>
          <w:rFonts w:ascii="Constantia" w:hAnsi="Constantia"/>
          <w:lang w:val="sr-Latn-CS"/>
        </w:rPr>
        <w:t xml:space="preserve"> prikazani su u </w:t>
      </w:r>
      <w:r w:rsidR="00003242" w:rsidRPr="00003242">
        <w:rPr>
          <w:rFonts w:ascii="Constantia" w:hAnsi="Constantia"/>
          <w:i/>
          <w:lang w:val="sr-Latn-CS"/>
        </w:rPr>
        <w:t>T</w:t>
      </w:r>
      <w:r w:rsidRPr="00003242">
        <w:rPr>
          <w:rFonts w:ascii="Constantia" w:hAnsi="Constantia"/>
          <w:i/>
          <w:lang w:val="sr-Latn-CS"/>
        </w:rPr>
        <w:t xml:space="preserve">abeli </w:t>
      </w:r>
      <w:r w:rsidR="00003242" w:rsidRPr="00003242">
        <w:rPr>
          <w:rFonts w:ascii="Constantia" w:hAnsi="Constantia"/>
          <w:i/>
          <w:lang w:val="sr-Latn-CS"/>
        </w:rPr>
        <w:t>94</w:t>
      </w:r>
      <w:r w:rsidRPr="00003242">
        <w:rPr>
          <w:rFonts w:ascii="Constantia" w:hAnsi="Constantia"/>
          <w:lang w:val="sr-Latn-CS"/>
        </w:rPr>
        <w:t>.</w:t>
      </w:r>
    </w:p>
    <w:p w:rsidR="001617B1" w:rsidRPr="00003242" w:rsidRDefault="001617B1" w:rsidP="001617B1">
      <w:pPr>
        <w:spacing w:after="0"/>
        <w:rPr>
          <w:rFonts w:ascii="Constantia" w:hAnsi="Constantia"/>
          <w:lang w:val="sr-Latn-CS"/>
        </w:rPr>
      </w:pPr>
    </w:p>
    <w:tbl>
      <w:tblPr>
        <w:tblStyle w:val="LightList-Accent6"/>
        <w:tblW w:w="8910" w:type="dxa"/>
        <w:tblInd w:w="198" w:type="dxa"/>
        <w:tblLook w:val="04A0" w:firstRow="1" w:lastRow="0" w:firstColumn="1" w:lastColumn="0" w:noHBand="0" w:noVBand="1"/>
      </w:tblPr>
      <w:tblGrid>
        <w:gridCol w:w="2268"/>
        <w:gridCol w:w="1710"/>
        <w:gridCol w:w="1710"/>
        <w:gridCol w:w="1710"/>
        <w:gridCol w:w="1512"/>
      </w:tblGrid>
      <w:tr w:rsidR="00EB3E54" w:rsidRPr="001617B1" w:rsidTr="001617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rsidR="00EB3E54" w:rsidRPr="001617B1" w:rsidRDefault="00EB3E54" w:rsidP="00EB3E54">
            <w:pPr>
              <w:keepLines/>
              <w:widowControl w:val="0"/>
              <w:tabs>
                <w:tab w:val="left" w:pos="1134"/>
                <w:tab w:val="left" w:pos="2268"/>
              </w:tabs>
              <w:autoSpaceDE w:val="0"/>
              <w:autoSpaceDN w:val="0"/>
              <w:spacing w:before="120" w:after="60"/>
              <w:jc w:val="center"/>
              <w:rPr>
                <w:rFonts w:ascii="Constantia" w:hAnsi="Constantia"/>
                <w:b w:val="0"/>
                <w:color w:val="auto"/>
                <w:szCs w:val="22"/>
              </w:rPr>
            </w:pPr>
          </w:p>
        </w:tc>
        <w:tc>
          <w:tcPr>
            <w:tcW w:w="1710" w:type="dxa"/>
          </w:tcPr>
          <w:p w:rsidR="00EB3E54" w:rsidRPr="001617B1" w:rsidRDefault="00EB3E54" w:rsidP="00EB3E54">
            <w:pPr>
              <w:keepLines/>
              <w:widowControl w:val="0"/>
              <w:tabs>
                <w:tab w:val="left" w:pos="1134"/>
                <w:tab w:val="left" w:pos="2268"/>
              </w:tabs>
              <w:autoSpaceDE w:val="0"/>
              <w:autoSpaceDN w:val="0"/>
              <w:spacing w:before="120" w:after="60"/>
              <w:jc w:val="center"/>
              <w:cnfStyle w:val="100000000000" w:firstRow="1" w:lastRow="0" w:firstColumn="0" w:lastColumn="0" w:oddVBand="0" w:evenVBand="0" w:oddHBand="0" w:evenHBand="0" w:firstRowFirstColumn="0" w:firstRowLastColumn="0" w:lastRowFirstColumn="0" w:lastRowLastColumn="0"/>
              <w:rPr>
                <w:rFonts w:ascii="Constantia" w:hAnsi="Constantia"/>
                <w:color w:val="auto"/>
                <w:szCs w:val="22"/>
              </w:rPr>
            </w:pPr>
            <w:r w:rsidRPr="001617B1">
              <w:rPr>
                <w:rFonts w:ascii="Constantia" w:hAnsi="Constantia"/>
                <w:color w:val="auto"/>
                <w:szCs w:val="22"/>
              </w:rPr>
              <w:t>L</w:t>
            </w:r>
            <w:r w:rsidRPr="001617B1">
              <w:rPr>
                <w:rFonts w:ascii="Constantia" w:hAnsi="Constantia"/>
                <w:b w:val="0"/>
                <w:color w:val="auto"/>
                <w:szCs w:val="22"/>
                <w:vertAlign w:val="subscript"/>
              </w:rPr>
              <w:t>day</w:t>
            </w:r>
            <w:r w:rsidRPr="001617B1">
              <w:rPr>
                <w:rFonts w:ascii="Constantia" w:hAnsi="Constantia"/>
                <w:color w:val="auto"/>
                <w:szCs w:val="22"/>
              </w:rPr>
              <w:t xml:space="preserve"> (dB)</w:t>
            </w:r>
          </w:p>
        </w:tc>
        <w:tc>
          <w:tcPr>
            <w:tcW w:w="1710" w:type="dxa"/>
          </w:tcPr>
          <w:p w:rsidR="00EB3E54" w:rsidRPr="001617B1" w:rsidRDefault="00EB3E54" w:rsidP="00EB3E54">
            <w:pPr>
              <w:keepLines/>
              <w:widowControl w:val="0"/>
              <w:tabs>
                <w:tab w:val="left" w:pos="1134"/>
                <w:tab w:val="left" w:pos="2268"/>
              </w:tabs>
              <w:autoSpaceDE w:val="0"/>
              <w:autoSpaceDN w:val="0"/>
              <w:spacing w:before="120" w:after="60"/>
              <w:jc w:val="center"/>
              <w:cnfStyle w:val="100000000000" w:firstRow="1" w:lastRow="0" w:firstColumn="0" w:lastColumn="0" w:oddVBand="0" w:evenVBand="0" w:oddHBand="0" w:evenHBand="0" w:firstRowFirstColumn="0" w:firstRowLastColumn="0" w:lastRowFirstColumn="0" w:lastRowLastColumn="0"/>
              <w:rPr>
                <w:rFonts w:ascii="Constantia" w:hAnsi="Constantia"/>
                <w:color w:val="auto"/>
                <w:szCs w:val="22"/>
              </w:rPr>
            </w:pPr>
            <w:r w:rsidRPr="001617B1">
              <w:rPr>
                <w:rFonts w:ascii="Constantia" w:hAnsi="Constantia"/>
                <w:color w:val="auto"/>
                <w:szCs w:val="22"/>
              </w:rPr>
              <w:t>L</w:t>
            </w:r>
            <w:r w:rsidRPr="001617B1">
              <w:rPr>
                <w:rFonts w:ascii="Constantia" w:hAnsi="Constantia"/>
                <w:b w:val="0"/>
                <w:color w:val="auto"/>
                <w:szCs w:val="22"/>
                <w:vertAlign w:val="subscript"/>
              </w:rPr>
              <w:t>evening</w:t>
            </w:r>
            <w:r w:rsidRPr="001617B1">
              <w:rPr>
                <w:rFonts w:ascii="Constantia" w:hAnsi="Constantia"/>
                <w:color w:val="auto"/>
                <w:szCs w:val="22"/>
              </w:rPr>
              <w:t xml:space="preserve"> (dB)</w:t>
            </w:r>
          </w:p>
        </w:tc>
        <w:tc>
          <w:tcPr>
            <w:tcW w:w="1710" w:type="dxa"/>
          </w:tcPr>
          <w:p w:rsidR="00EB3E54" w:rsidRPr="001617B1" w:rsidRDefault="00EB3E54" w:rsidP="00EB3E54">
            <w:pPr>
              <w:keepLines/>
              <w:widowControl w:val="0"/>
              <w:tabs>
                <w:tab w:val="left" w:pos="1134"/>
                <w:tab w:val="left" w:pos="2268"/>
              </w:tabs>
              <w:autoSpaceDE w:val="0"/>
              <w:autoSpaceDN w:val="0"/>
              <w:spacing w:before="120" w:after="60"/>
              <w:jc w:val="center"/>
              <w:cnfStyle w:val="100000000000" w:firstRow="1" w:lastRow="0" w:firstColumn="0" w:lastColumn="0" w:oddVBand="0" w:evenVBand="0" w:oddHBand="0" w:evenHBand="0" w:firstRowFirstColumn="0" w:firstRowLastColumn="0" w:lastRowFirstColumn="0" w:lastRowLastColumn="0"/>
              <w:rPr>
                <w:rFonts w:ascii="Constantia" w:hAnsi="Constantia"/>
                <w:b w:val="0"/>
                <w:color w:val="auto"/>
                <w:szCs w:val="22"/>
              </w:rPr>
            </w:pPr>
            <w:r w:rsidRPr="001617B1">
              <w:rPr>
                <w:rFonts w:ascii="Constantia" w:hAnsi="Constantia"/>
                <w:color w:val="auto"/>
                <w:szCs w:val="22"/>
              </w:rPr>
              <w:t>L</w:t>
            </w:r>
            <w:r w:rsidRPr="001617B1">
              <w:rPr>
                <w:rFonts w:ascii="Constantia" w:hAnsi="Constantia"/>
                <w:b w:val="0"/>
                <w:color w:val="auto"/>
                <w:szCs w:val="22"/>
                <w:vertAlign w:val="subscript"/>
              </w:rPr>
              <w:t>night</w:t>
            </w:r>
            <w:r w:rsidRPr="001617B1">
              <w:rPr>
                <w:rFonts w:ascii="Constantia" w:hAnsi="Constantia"/>
                <w:b w:val="0"/>
                <w:color w:val="auto"/>
                <w:szCs w:val="22"/>
              </w:rPr>
              <w:t xml:space="preserve"> </w:t>
            </w:r>
            <w:r w:rsidRPr="001617B1">
              <w:rPr>
                <w:rFonts w:ascii="Constantia" w:hAnsi="Constantia"/>
                <w:color w:val="auto"/>
                <w:szCs w:val="22"/>
              </w:rPr>
              <w:t>(dB)</w:t>
            </w:r>
          </w:p>
        </w:tc>
        <w:tc>
          <w:tcPr>
            <w:tcW w:w="1512" w:type="dxa"/>
          </w:tcPr>
          <w:p w:rsidR="00EB3E54" w:rsidRPr="001617B1" w:rsidRDefault="00EB3E54" w:rsidP="00EB3E54">
            <w:pPr>
              <w:keepLines/>
              <w:widowControl w:val="0"/>
              <w:tabs>
                <w:tab w:val="left" w:pos="1134"/>
                <w:tab w:val="left" w:pos="2268"/>
              </w:tabs>
              <w:autoSpaceDE w:val="0"/>
              <w:autoSpaceDN w:val="0"/>
              <w:spacing w:before="120" w:after="60"/>
              <w:jc w:val="center"/>
              <w:cnfStyle w:val="100000000000" w:firstRow="1" w:lastRow="0" w:firstColumn="0" w:lastColumn="0" w:oddVBand="0" w:evenVBand="0" w:oddHBand="0" w:evenHBand="0" w:firstRowFirstColumn="0" w:firstRowLastColumn="0" w:lastRowFirstColumn="0" w:lastRowLastColumn="0"/>
              <w:rPr>
                <w:rFonts w:ascii="Constantia" w:hAnsi="Constantia"/>
                <w:color w:val="auto"/>
                <w:szCs w:val="22"/>
              </w:rPr>
            </w:pPr>
            <w:r w:rsidRPr="001617B1">
              <w:rPr>
                <w:rFonts w:ascii="Constantia" w:hAnsi="Constantia"/>
                <w:color w:val="auto"/>
                <w:szCs w:val="22"/>
              </w:rPr>
              <w:t>L</w:t>
            </w:r>
            <w:r w:rsidRPr="001617B1">
              <w:rPr>
                <w:rFonts w:ascii="Constantia" w:hAnsi="Constantia"/>
                <w:b w:val="0"/>
                <w:color w:val="auto"/>
                <w:szCs w:val="22"/>
                <w:vertAlign w:val="subscript"/>
              </w:rPr>
              <w:t>den</w:t>
            </w:r>
            <w:r w:rsidRPr="001617B1">
              <w:rPr>
                <w:rFonts w:ascii="Constantia" w:hAnsi="Constantia"/>
                <w:color w:val="auto"/>
                <w:szCs w:val="22"/>
              </w:rPr>
              <w:t xml:space="preserve"> (dB)</w:t>
            </w:r>
          </w:p>
        </w:tc>
      </w:tr>
      <w:tr w:rsidR="00EB3E54" w:rsidRPr="001617B1" w:rsidTr="001617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rsidR="00EB3E54" w:rsidRPr="001617B1" w:rsidRDefault="00EB3E54" w:rsidP="0097248A">
            <w:pPr>
              <w:keepLines/>
              <w:widowControl w:val="0"/>
              <w:tabs>
                <w:tab w:val="left" w:pos="1134"/>
                <w:tab w:val="left" w:pos="2268"/>
              </w:tabs>
              <w:autoSpaceDE w:val="0"/>
              <w:autoSpaceDN w:val="0"/>
              <w:spacing w:after="60"/>
              <w:jc w:val="center"/>
              <w:rPr>
                <w:rFonts w:ascii="Constantia" w:hAnsi="Constantia"/>
                <w:szCs w:val="22"/>
              </w:rPr>
            </w:pPr>
            <w:r w:rsidRPr="001617B1">
              <w:rPr>
                <w:rFonts w:ascii="Constantia" w:hAnsi="Constantia"/>
                <w:szCs w:val="22"/>
              </w:rPr>
              <w:t>I Ciklus</w:t>
            </w:r>
          </w:p>
        </w:tc>
        <w:tc>
          <w:tcPr>
            <w:tcW w:w="1710" w:type="dxa"/>
          </w:tcPr>
          <w:p w:rsidR="00EB3E54" w:rsidRPr="001617B1" w:rsidRDefault="00EB3E54" w:rsidP="0097248A">
            <w:pPr>
              <w:keepLines/>
              <w:widowControl w:val="0"/>
              <w:tabs>
                <w:tab w:val="left" w:pos="1134"/>
                <w:tab w:val="left" w:pos="2268"/>
              </w:tabs>
              <w:autoSpaceDE w:val="0"/>
              <w:autoSpaceDN w:val="0"/>
              <w:spacing w:after="6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1617B1">
              <w:rPr>
                <w:rFonts w:ascii="Constantia" w:hAnsi="Constantia"/>
                <w:b/>
                <w:szCs w:val="22"/>
              </w:rPr>
              <w:t>64</w:t>
            </w:r>
          </w:p>
        </w:tc>
        <w:tc>
          <w:tcPr>
            <w:tcW w:w="1710" w:type="dxa"/>
          </w:tcPr>
          <w:p w:rsidR="00EB3E54" w:rsidRPr="001617B1" w:rsidRDefault="00EB3E54" w:rsidP="0097248A">
            <w:pPr>
              <w:keepLines/>
              <w:widowControl w:val="0"/>
              <w:tabs>
                <w:tab w:val="left" w:pos="1134"/>
                <w:tab w:val="left" w:pos="2268"/>
              </w:tabs>
              <w:autoSpaceDE w:val="0"/>
              <w:autoSpaceDN w:val="0"/>
              <w:spacing w:after="6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1617B1">
              <w:rPr>
                <w:rFonts w:ascii="Constantia" w:hAnsi="Constantia"/>
                <w:b/>
                <w:szCs w:val="22"/>
              </w:rPr>
              <w:t>69</w:t>
            </w:r>
          </w:p>
        </w:tc>
        <w:tc>
          <w:tcPr>
            <w:tcW w:w="1710" w:type="dxa"/>
          </w:tcPr>
          <w:p w:rsidR="00EB3E54" w:rsidRPr="001617B1" w:rsidRDefault="00EB3E54" w:rsidP="0097248A">
            <w:pPr>
              <w:keepLines/>
              <w:widowControl w:val="0"/>
              <w:tabs>
                <w:tab w:val="left" w:pos="1134"/>
                <w:tab w:val="left" w:pos="2268"/>
              </w:tabs>
              <w:autoSpaceDE w:val="0"/>
              <w:autoSpaceDN w:val="0"/>
              <w:spacing w:after="6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1617B1">
              <w:rPr>
                <w:rFonts w:ascii="Constantia" w:hAnsi="Constantia"/>
                <w:b/>
                <w:szCs w:val="22"/>
              </w:rPr>
              <w:t>69</w:t>
            </w:r>
          </w:p>
        </w:tc>
        <w:tc>
          <w:tcPr>
            <w:tcW w:w="1512" w:type="dxa"/>
          </w:tcPr>
          <w:p w:rsidR="00EB3E54" w:rsidRPr="001617B1" w:rsidRDefault="00EB3E54" w:rsidP="0097248A">
            <w:pPr>
              <w:keepLines/>
              <w:widowControl w:val="0"/>
              <w:tabs>
                <w:tab w:val="left" w:pos="1134"/>
                <w:tab w:val="left" w:pos="2268"/>
              </w:tabs>
              <w:autoSpaceDE w:val="0"/>
              <w:autoSpaceDN w:val="0"/>
              <w:spacing w:after="6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1617B1">
              <w:rPr>
                <w:rFonts w:ascii="Constantia" w:hAnsi="Constantia"/>
                <w:b/>
                <w:szCs w:val="22"/>
              </w:rPr>
              <w:t>75</w:t>
            </w:r>
          </w:p>
        </w:tc>
      </w:tr>
      <w:tr w:rsidR="00EB3E54" w:rsidRPr="001617B1" w:rsidTr="001617B1">
        <w:tc>
          <w:tcPr>
            <w:cnfStyle w:val="001000000000" w:firstRow="0" w:lastRow="0" w:firstColumn="1" w:lastColumn="0" w:oddVBand="0" w:evenVBand="0" w:oddHBand="0" w:evenHBand="0" w:firstRowFirstColumn="0" w:firstRowLastColumn="0" w:lastRowFirstColumn="0" w:lastRowLastColumn="0"/>
            <w:tcW w:w="2268" w:type="dxa"/>
          </w:tcPr>
          <w:p w:rsidR="00EB3E54" w:rsidRPr="001617B1" w:rsidRDefault="00EB3E54" w:rsidP="0097248A">
            <w:pPr>
              <w:keepLines/>
              <w:widowControl w:val="0"/>
              <w:tabs>
                <w:tab w:val="left" w:pos="1134"/>
                <w:tab w:val="left" w:pos="2268"/>
              </w:tabs>
              <w:autoSpaceDE w:val="0"/>
              <w:autoSpaceDN w:val="0"/>
              <w:spacing w:after="60"/>
              <w:jc w:val="center"/>
              <w:rPr>
                <w:rFonts w:ascii="Constantia" w:hAnsi="Constantia"/>
                <w:szCs w:val="22"/>
              </w:rPr>
            </w:pPr>
            <w:r w:rsidRPr="001617B1">
              <w:rPr>
                <w:rFonts w:ascii="Constantia" w:hAnsi="Constantia"/>
                <w:szCs w:val="22"/>
              </w:rPr>
              <w:t>II Ciklus</w:t>
            </w:r>
          </w:p>
        </w:tc>
        <w:tc>
          <w:tcPr>
            <w:tcW w:w="1710" w:type="dxa"/>
          </w:tcPr>
          <w:p w:rsidR="00EB3E54" w:rsidRPr="001617B1" w:rsidRDefault="00EB3E54" w:rsidP="0097248A">
            <w:pPr>
              <w:keepLines/>
              <w:widowControl w:val="0"/>
              <w:tabs>
                <w:tab w:val="left" w:pos="1134"/>
                <w:tab w:val="left" w:pos="2268"/>
              </w:tabs>
              <w:autoSpaceDE w:val="0"/>
              <w:autoSpaceDN w:val="0"/>
              <w:spacing w:after="60"/>
              <w:jc w:val="center"/>
              <w:cnfStyle w:val="000000000000" w:firstRow="0" w:lastRow="0" w:firstColumn="0" w:lastColumn="0" w:oddVBand="0" w:evenVBand="0" w:oddHBand="0" w:evenHBand="0" w:firstRowFirstColumn="0" w:firstRowLastColumn="0" w:lastRowFirstColumn="0" w:lastRowLastColumn="0"/>
              <w:rPr>
                <w:rFonts w:ascii="Constantia" w:hAnsi="Constantia"/>
                <w:b/>
                <w:szCs w:val="22"/>
              </w:rPr>
            </w:pPr>
            <w:r w:rsidRPr="001617B1">
              <w:rPr>
                <w:rFonts w:ascii="Constantia" w:hAnsi="Constantia"/>
                <w:b/>
                <w:szCs w:val="22"/>
              </w:rPr>
              <w:t>54</w:t>
            </w:r>
          </w:p>
        </w:tc>
        <w:tc>
          <w:tcPr>
            <w:tcW w:w="1710" w:type="dxa"/>
          </w:tcPr>
          <w:p w:rsidR="00EB3E54" w:rsidRPr="001617B1" w:rsidRDefault="00EB3E54" w:rsidP="0097248A">
            <w:pPr>
              <w:keepLines/>
              <w:widowControl w:val="0"/>
              <w:tabs>
                <w:tab w:val="left" w:pos="1134"/>
                <w:tab w:val="left" w:pos="2268"/>
              </w:tabs>
              <w:autoSpaceDE w:val="0"/>
              <w:autoSpaceDN w:val="0"/>
              <w:spacing w:after="60"/>
              <w:jc w:val="center"/>
              <w:cnfStyle w:val="000000000000" w:firstRow="0" w:lastRow="0" w:firstColumn="0" w:lastColumn="0" w:oddVBand="0" w:evenVBand="0" w:oddHBand="0" w:evenHBand="0" w:firstRowFirstColumn="0" w:firstRowLastColumn="0" w:lastRowFirstColumn="0" w:lastRowLastColumn="0"/>
              <w:rPr>
                <w:rFonts w:ascii="Constantia" w:hAnsi="Constantia"/>
                <w:b/>
                <w:szCs w:val="22"/>
              </w:rPr>
            </w:pPr>
            <w:r w:rsidRPr="001617B1">
              <w:rPr>
                <w:rFonts w:ascii="Constantia" w:hAnsi="Constantia"/>
                <w:b/>
                <w:szCs w:val="22"/>
              </w:rPr>
              <w:t>50</w:t>
            </w:r>
          </w:p>
        </w:tc>
        <w:tc>
          <w:tcPr>
            <w:tcW w:w="1710" w:type="dxa"/>
          </w:tcPr>
          <w:p w:rsidR="00EB3E54" w:rsidRPr="001617B1" w:rsidRDefault="00EB3E54" w:rsidP="0097248A">
            <w:pPr>
              <w:keepLines/>
              <w:widowControl w:val="0"/>
              <w:tabs>
                <w:tab w:val="left" w:pos="1134"/>
                <w:tab w:val="left" w:pos="2268"/>
              </w:tabs>
              <w:autoSpaceDE w:val="0"/>
              <w:autoSpaceDN w:val="0"/>
              <w:spacing w:after="60"/>
              <w:jc w:val="center"/>
              <w:cnfStyle w:val="000000000000" w:firstRow="0" w:lastRow="0" w:firstColumn="0" w:lastColumn="0" w:oddVBand="0" w:evenVBand="0" w:oddHBand="0" w:evenHBand="0" w:firstRowFirstColumn="0" w:firstRowLastColumn="0" w:lastRowFirstColumn="0" w:lastRowLastColumn="0"/>
              <w:rPr>
                <w:rFonts w:ascii="Constantia" w:hAnsi="Constantia"/>
                <w:b/>
                <w:szCs w:val="22"/>
              </w:rPr>
            </w:pPr>
            <w:r w:rsidRPr="001617B1">
              <w:rPr>
                <w:rFonts w:ascii="Constantia" w:hAnsi="Constantia"/>
                <w:b/>
                <w:szCs w:val="22"/>
              </w:rPr>
              <w:t>51</w:t>
            </w:r>
          </w:p>
        </w:tc>
        <w:tc>
          <w:tcPr>
            <w:tcW w:w="1512" w:type="dxa"/>
          </w:tcPr>
          <w:p w:rsidR="00EB3E54" w:rsidRPr="001617B1" w:rsidRDefault="00EB3E54" w:rsidP="0097248A">
            <w:pPr>
              <w:keepLines/>
              <w:widowControl w:val="0"/>
              <w:tabs>
                <w:tab w:val="left" w:pos="1134"/>
                <w:tab w:val="left" w:pos="2268"/>
              </w:tabs>
              <w:autoSpaceDE w:val="0"/>
              <w:autoSpaceDN w:val="0"/>
              <w:spacing w:after="60"/>
              <w:jc w:val="center"/>
              <w:cnfStyle w:val="000000000000" w:firstRow="0" w:lastRow="0" w:firstColumn="0" w:lastColumn="0" w:oddVBand="0" w:evenVBand="0" w:oddHBand="0" w:evenHBand="0" w:firstRowFirstColumn="0" w:firstRowLastColumn="0" w:lastRowFirstColumn="0" w:lastRowLastColumn="0"/>
              <w:rPr>
                <w:rFonts w:ascii="Constantia" w:hAnsi="Constantia"/>
                <w:b/>
                <w:szCs w:val="22"/>
              </w:rPr>
            </w:pPr>
            <w:r w:rsidRPr="001617B1">
              <w:rPr>
                <w:rFonts w:ascii="Constantia" w:hAnsi="Constantia"/>
                <w:b/>
                <w:szCs w:val="22"/>
              </w:rPr>
              <w:t>58</w:t>
            </w:r>
          </w:p>
        </w:tc>
      </w:tr>
      <w:tr w:rsidR="00EB3E54" w:rsidRPr="001617B1" w:rsidTr="001617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rsidR="00EB3E54" w:rsidRPr="001617B1" w:rsidRDefault="00EB3E54" w:rsidP="0097248A">
            <w:pPr>
              <w:keepLines/>
              <w:widowControl w:val="0"/>
              <w:tabs>
                <w:tab w:val="left" w:pos="1134"/>
                <w:tab w:val="left" w:pos="2268"/>
              </w:tabs>
              <w:autoSpaceDE w:val="0"/>
              <w:autoSpaceDN w:val="0"/>
              <w:spacing w:after="0"/>
              <w:jc w:val="center"/>
              <w:rPr>
                <w:rFonts w:ascii="Constantia" w:hAnsi="Constantia"/>
                <w:szCs w:val="22"/>
              </w:rPr>
            </w:pPr>
            <w:r w:rsidRPr="001617B1">
              <w:rPr>
                <w:rFonts w:ascii="Constantia" w:hAnsi="Constantia"/>
                <w:szCs w:val="22"/>
              </w:rPr>
              <w:t>Granična vrijednost</w:t>
            </w:r>
          </w:p>
        </w:tc>
        <w:tc>
          <w:tcPr>
            <w:tcW w:w="1710" w:type="dxa"/>
          </w:tcPr>
          <w:p w:rsidR="00EB3E54" w:rsidRPr="001617B1" w:rsidRDefault="00EB3E54" w:rsidP="0097248A">
            <w:pPr>
              <w:keepLines/>
              <w:widowControl w:val="0"/>
              <w:tabs>
                <w:tab w:val="left" w:pos="1134"/>
                <w:tab w:val="left" w:pos="2268"/>
              </w:tabs>
              <w:autoSpaceDE w:val="0"/>
              <w:autoSpaceDN w:val="0"/>
              <w:spacing w:after="6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1617B1">
              <w:rPr>
                <w:rFonts w:ascii="Constantia" w:hAnsi="Constantia"/>
                <w:b/>
                <w:szCs w:val="22"/>
              </w:rPr>
              <w:t>60</w:t>
            </w:r>
          </w:p>
        </w:tc>
        <w:tc>
          <w:tcPr>
            <w:tcW w:w="1710" w:type="dxa"/>
          </w:tcPr>
          <w:p w:rsidR="00EB3E54" w:rsidRPr="001617B1" w:rsidRDefault="00EB3E54" w:rsidP="0097248A">
            <w:pPr>
              <w:keepLines/>
              <w:widowControl w:val="0"/>
              <w:tabs>
                <w:tab w:val="left" w:pos="1134"/>
                <w:tab w:val="left" w:pos="2268"/>
              </w:tabs>
              <w:autoSpaceDE w:val="0"/>
              <w:autoSpaceDN w:val="0"/>
              <w:spacing w:after="6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1617B1">
              <w:rPr>
                <w:rFonts w:ascii="Constantia" w:hAnsi="Constantia"/>
                <w:b/>
                <w:szCs w:val="22"/>
              </w:rPr>
              <w:t>60</w:t>
            </w:r>
          </w:p>
        </w:tc>
        <w:tc>
          <w:tcPr>
            <w:tcW w:w="1710" w:type="dxa"/>
          </w:tcPr>
          <w:p w:rsidR="00EB3E54" w:rsidRPr="001617B1" w:rsidRDefault="00EB3E54" w:rsidP="0097248A">
            <w:pPr>
              <w:keepLines/>
              <w:widowControl w:val="0"/>
              <w:tabs>
                <w:tab w:val="left" w:pos="1134"/>
                <w:tab w:val="left" w:pos="2268"/>
              </w:tabs>
              <w:autoSpaceDE w:val="0"/>
              <w:autoSpaceDN w:val="0"/>
              <w:spacing w:after="6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1617B1">
              <w:rPr>
                <w:rFonts w:ascii="Constantia" w:hAnsi="Constantia"/>
                <w:b/>
                <w:szCs w:val="22"/>
              </w:rPr>
              <w:t>50</w:t>
            </w:r>
          </w:p>
        </w:tc>
        <w:tc>
          <w:tcPr>
            <w:tcW w:w="1512" w:type="dxa"/>
          </w:tcPr>
          <w:p w:rsidR="00EB3E54" w:rsidRPr="001617B1" w:rsidRDefault="00EB3E54" w:rsidP="0097248A">
            <w:pPr>
              <w:keepLines/>
              <w:widowControl w:val="0"/>
              <w:tabs>
                <w:tab w:val="left" w:pos="1134"/>
                <w:tab w:val="left" w:pos="2268"/>
              </w:tabs>
              <w:autoSpaceDE w:val="0"/>
              <w:autoSpaceDN w:val="0"/>
              <w:spacing w:after="6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1617B1">
              <w:rPr>
                <w:rFonts w:ascii="Constantia" w:hAnsi="Constantia"/>
                <w:b/>
                <w:szCs w:val="22"/>
              </w:rPr>
              <w:t>---</w:t>
            </w:r>
          </w:p>
        </w:tc>
      </w:tr>
    </w:tbl>
    <w:p w:rsidR="00EB3E54" w:rsidRPr="001617B1" w:rsidRDefault="00EB3E54" w:rsidP="001617B1">
      <w:pPr>
        <w:numPr>
          <w:ilvl w:val="0"/>
          <w:numId w:val="3"/>
        </w:numPr>
        <w:tabs>
          <w:tab w:val="left" w:pos="1260"/>
        </w:tabs>
        <w:spacing w:before="60" w:after="240"/>
        <w:ind w:left="0" w:firstLine="0"/>
        <w:jc w:val="center"/>
        <w:rPr>
          <w:rFonts w:ascii="Constantia" w:hAnsi="Constantia"/>
          <w:i/>
          <w:szCs w:val="22"/>
          <w:lang w:val="sr-Latn-CS"/>
        </w:rPr>
      </w:pPr>
      <w:r w:rsidRPr="001617B1">
        <w:rPr>
          <w:rFonts w:ascii="Constantia" w:hAnsi="Constantia"/>
          <w:i/>
          <w:szCs w:val="22"/>
          <w:lang w:val="sr-Latn-CS"/>
        </w:rPr>
        <w:t>Srednji indikatori buke na mjernom mjestu Obala bb, Petrovac</w:t>
      </w:r>
    </w:p>
    <w:p w:rsidR="00EB3E54" w:rsidRPr="00F27012" w:rsidRDefault="00EB3E54" w:rsidP="0097248A">
      <w:pPr>
        <w:spacing w:before="240"/>
        <w:rPr>
          <w:rFonts w:ascii="Constantia" w:hAnsi="Constantia"/>
          <w:szCs w:val="22"/>
        </w:rPr>
      </w:pPr>
      <w:r w:rsidRPr="00F27012">
        <w:rPr>
          <w:rFonts w:ascii="Constantia" w:hAnsi="Constantia"/>
          <w:szCs w:val="22"/>
        </w:rPr>
        <w:t xml:space="preserve">Vrijednosti indikatora buke su znatno veće u prvom, toplijem ciklusu mjerenja (kraj jula) nego u drugom ciklusu mjerenja (sredina decembra). </w:t>
      </w:r>
    </w:p>
    <w:p w:rsidR="00EB3E54" w:rsidRPr="00F27012" w:rsidRDefault="00EB3E54" w:rsidP="00EB3E54">
      <w:pPr>
        <w:rPr>
          <w:rFonts w:ascii="Constantia" w:hAnsi="Constantia"/>
          <w:szCs w:val="22"/>
        </w:rPr>
      </w:pPr>
      <w:r w:rsidRPr="00F27012">
        <w:rPr>
          <w:rFonts w:ascii="Constantia" w:hAnsi="Constantia"/>
          <w:szCs w:val="22"/>
        </w:rPr>
        <w:lastRenderedPageBreak/>
        <w:t>U prvom ciklusu vrijednosti indikatora buke za dan, veče i noć prelaze graničnu vrijednost nivoa buke.</w:t>
      </w:r>
    </w:p>
    <w:p w:rsidR="00EB3E54" w:rsidRPr="00F27012" w:rsidRDefault="00EB3E54" w:rsidP="00EB3E54">
      <w:pPr>
        <w:rPr>
          <w:rFonts w:ascii="Constantia" w:hAnsi="Constantia"/>
          <w:szCs w:val="22"/>
        </w:rPr>
      </w:pPr>
      <w:r w:rsidRPr="00F27012">
        <w:rPr>
          <w:rFonts w:ascii="Constantia" w:hAnsi="Constantia"/>
          <w:szCs w:val="22"/>
        </w:rPr>
        <w:t>U drugom ciklusu vrijednosti indikatora buke za dan i veče su ispod graničnih vrijednosti nivoa buke dok je indikator buke za noć iznad granične vrijednosti nivoa buke.</w:t>
      </w:r>
    </w:p>
    <w:p w:rsidR="00EB3E54" w:rsidRPr="00F27012" w:rsidRDefault="00EB3E54" w:rsidP="00EB3E54">
      <w:pPr>
        <w:rPr>
          <w:rFonts w:ascii="Constantia" w:hAnsi="Constantia"/>
        </w:rPr>
      </w:pPr>
      <w:r w:rsidRPr="00F27012">
        <w:rPr>
          <w:rFonts w:ascii="Constantia" w:hAnsi="Constantia"/>
        </w:rPr>
        <w:t>Na osnovu Rješenja o</w:t>
      </w:r>
      <w:r w:rsidR="005B7CED">
        <w:rPr>
          <w:rFonts w:ascii="Constantia" w:hAnsi="Constantia"/>
        </w:rPr>
        <w:t xml:space="preserve"> utvrđivanju akustičk</w:t>
      </w:r>
      <w:r w:rsidR="00F27012">
        <w:rPr>
          <w:rFonts w:ascii="Constantia" w:hAnsi="Constantia"/>
        </w:rPr>
        <w:t>ih zona u o</w:t>
      </w:r>
      <w:r w:rsidRPr="00F27012">
        <w:rPr>
          <w:rFonts w:ascii="Constantia" w:hAnsi="Constantia"/>
        </w:rPr>
        <w:t xml:space="preserve">pštini Bar, posmatrano mjerno mjesto u Petrovcu pripada </w:t>
      </w:r>
      <w:r w:rsidRPr="00F27012">
        <w:rPr>
          <w:rFonts w:ascii="Constantia" w:hAnsi="Constantia" w:cs="Arial"/>
          <w:lang w:val="it-IT"/>
        </w:rPr>
        <w:t>zoni mješovite namjene</w:t>
      </w:r>
      <w:r w:rsidRPr="00F27012">
        <w:rPr>
          <w:rFonts w:ascii="Constantia" w:hAnsi="Constantia"/>
          <w:lang w:val="sr-Latn-CS"/>
        </w:rPr>
        <w:t>.</w:t>
      </w:r>
    </w:p>
    <w:p w:rsidR="00EB3E54" w:rsidRPr="00EB3E54" w:rsidRDefault="00EB3E54" w:rsidP="00077AA6">
      <w:pPr>
        <w:pStyle w:val="Heading2"/>
        <w:ind w:left="720"/>
      </w:pPr>
      <w:bookmarkStart w:id="167" w:name="_Toc393897941"/>
      <w:r w:rsidRPr="00EB3E54">
        <w:t>Budva</w:t>
      </w:r>
      <w:bookmarkEnd w:id="167"/>
    </w:p>
    <w:p w:rsidR="00EB3E54" w:rsidRPr="005B7CED" w:rsidRDefault="00EB3E54" w:rsidP="00EB3E54">
      <w:pPr>
        <w:rPr>
          <w:rFonts w:ascii="Constantia" w:hAnsi="Constantia"/>
          <w:lang w:val="sr-Latn-CS"/>
        </w:rPr>
      </w:pPr>
      <w:r w:rsidRPr="005B7CED">
        <w:rPr>
          <w:rFonts w:ascii="Constantia" w:hAnsi="Constantia"/>
          <w:lang w:val="sr-Latn-CS"/>
        </w:rPr>
        <w:t>Na teritoriji opštine Budva mjerenje nivoa buke vršeno</w:t>
      </w:r>
      <w:r w:rsidR="00406708">
        <w:rPr>
          <w:rFonts w:ascii="Constantia" w:hAnsi="Constantia"/>
          <w:lang w:val="sr-Latn-CS"/>
        </w:rPr>
        <w:t xml:space="preserve"> je</w:t>
      </w:r>
      <w:r w:rsidRPr="005B7CED">
        <w:rPr>
          <w:rFonts w:ascii="Constantia" w:hAnsi="Constantia"/>
          <w:lang w:val="sr-Latn-CS"/>
        </w:rPr>
        <w:t xml:space="preserve"> na lokaciji Jadranski put bb, u intervalu dnevnog (L</w:t>
      </w:r>
      <w:r w:rsidRPr="005B7CED">
        <w:rPr>
          <w:rFonts w:ascii="Constantia" w:hAnsi="Constantia"/>
          <w:vertAlign w:val="subscript"/>
          <w:lang w:val="sr-Latn-CS"/>
        </w:rPr>
        <w:t>day</w:t>
      </w:r>
      <w:r w:rsidRPr="005B7CED">
        <w:rPr>
          <w:rFonts w:ascii="Constantia" w:hAnsi="Constantia"/>
          <w:lang w:val="sr-Latn-CS"/>
        </w:rPr>
        <w:t>) 7-19h, večernjeg (L</w:t>
      </w:r>
      <w:r w:rsidRPr="005B7CED">
        <w:rPr>
          <w:rFonts w:ascii="Constantia" w:hAnsi="Constantia"/>
          <w:vertAlign w:val="subscript"/>
          <w:lang w:val="sr-Latn-CS"/>
        </w:rPr>
        <w:t>evening</w:t>
      </w:r>
      <w:r w:rsidRPr="005B7CED">
        <w:rPr>
          <w:rFonts w:ascii="Constantia" w:hAnsi="Constantia"/>
          <w:lang w:val="sr-Latn-CS"/>
        </w:rPr>
        <w:t>) 19-23h i noćnog perioda (L</w:t>
      </w:r>
      <w:r w:rsidRPr="005B7CED">
        <w:rPr>
          <w:rFonts w:ascii="Constantia" w:hAnsi="Constantia"/>
          <w:vertAlign w:val="subscript"/>
          <w:lang w:val="sr-Latn-CS"/>
        </w:rPr>
        <w:t>night</w:t>
      </w:r>
      <w:r w:rsidRPr="005B7CED">
        <w:rPr>
          <w:rFonts w:ascii="Constantia" w:hAnsi="Constantia"/>
          <w:lang w:val="sr-Latn-CS"/>
        </w:rPr>
        <w:t>) 23-7h.</w:t>
      </w:r>
    </w:p>
    <w:p w:rsidR="00EB3E54" w:rsidRPr="005B7CED" w:rsidRDefault="00EB3E54" w:rsidP="00EB3E54">
      <w:pPr>
        <w:rPr>
          <w:rFonts w:ascii="Constantia" w:hAnsi="Constantia"/>
        </w:rPr>
      </w:pPr>
      <w:r w:rsidRPr="005B7CED">
        <w:rPr>
          <w:rFonts w:ascii="Constantia" w:hAnsi="Constantia"/>
          <w:b/>
          <w:lang w:val="sr-Latn-CS"/>
        </w:rPr>
        <w:t>Nivo buke u I ciklusu</w:t>
      </w:r>
      <w:r w:rsidRPr="005B7CED">
        <w:rPr>
          <w:rFonts w:ascii="Constantia" w:hAnsi="Constantia"/>
          <w:lang w:val="sr-Latn-CS"/>
        </w:rPr>
        <w:t xml:space="preserve"> mjeren je u periodu </w:t>
      </w:r>
      <w:r w:rsidR="00406708">
        <w:rPr>
          <w:rFonts w:ascii="Constantia" w:hAnsi="Constantia"/>
        </w:rPr>
        <w:t>od 02-</w:t>
      </w:r>
      <w:r w:rsidRPr="005B7CED">
        <w:rPr>
          <w:rFonts w:ascii="Constantia" w:hAnsi="Constantia"/>
        </w:rPr>
        <w:t xml:space="preserve">10.08.2013. godine. </w:t>
      </w:r>
    </w:p>
    <w:p w:rsidR="00EB3E54" w:rsidRPr="005B7CED" w:rsidRDefault="00EB3E54" w:rsidP="00EB3E54">
      <w:pPr>
        <w:rPr>
          <w:rFonts w:ascii="Constantia" w:hAnsi="Constantia"/>
          <w:lang w:val="sr-Latn-CS"/>
        </w:rPr>
      </w:pPr>
      <w:r w:rsidRPr="005B7CED">
        <w:rPr>
          <w:rFonts w:ascii="Constantia" w:hAnsi="Constantia"/>
          <w:b/>
        </w:rPr>
        <w:t>Nivo buke u II ciklusu</w:t>
      </w:r>
      <w:r w:rsidRPr="005B7CED">
        <w:rPr>
          <w:rFonts w:ascii="Constantia" w:hAnsi="Constantia"/>
        </w:rPr>
        <w:t xml:space="preserve"> </w:t>
      </w:r>
      <w:r w:rsidRPr="005B7CED">
        <w:rPr>
          <w:rFonts w:ascii="Constantia" w:hAnsi="Constantia"/>
          <w:lang w:val="sr-Latn-CS"/>
        </w:rPr>
        <w:t xml:space="preserve">mjeren je u periodu </w:t>
      </w:r>
      <w:r w:rsidRPr="005B7CED">
        <w:rPr>
          <w:rFonts w:ascii="Constantia" w:hAnsi="Constantia"/>
        </w:rPr>
        <w:t>od 18-24.12.2013. godine.</w:t>
      </w:r>
      <w:r w:rsidRPr="005B7CED">
        <w:rPr>
          <w:rFonts w:ascii="Constantia" w:hAnsi="Constantia"/>
          <w:lang w:val="sr-Latn-CS"/>
        </w:rPr>
        <w:t xml:space="preserve"> </w:t>
      </w:r>
    </w:p>
    <w:p w:rsidR="00EB3E54" w:rsidRPr="005B7CED" w:rsidRDefault="00EB3E54" w:rsidP="00EB3E54">
      <w:pPr>
        <w:rPr>
          <w:rFonts w:ascii="Constantia" w:hAnsi="Constantia"/>
          <w:lang w:val="sr-Latn-CS"/>
        </w:rPr>
      </w:pPr>
      <w:r w:rsidRPr="005B7CED">
        <w:rPr>
          <w:rFonts w:ascii="Constantia" w:hAnsi="Constantia"/>
          <w:lang w:val="sr-Latn-CS"/>
        </w:rPr>
        <w:t xml:space="preserve">Srednje vrijednosti nivoa buke za </w:t>
      </w:r>
      <w:r w:rsidRPr="005B7CED">
        <w:rPr>
          <w:rFonts w:ascii="Constantia" w:hAnsi="Constantia"/>
          <w:b/>
          <w:lang w:val="sr-Latn-CS"/>
        </w:rPr>
        <w:t>L</w:t>
      </w:r>
      <w:r w:rsidRPr="005B7CED">
        <w:rPr>
          <w:rFonts w:ascii="Constantia" w:hAnsi="Constantia"/>
          <w:b/>
          <w:vertAlign w:val="subscript"/>
          <w:lang w:val="sr-Latn-CS"/>
        </w:rPr>
        <w:t>night</w:t>
      </w:r>
      <w:r w:rsidRPr="005B7CED">
        <w:rPr>
          <w:rFonts w:ascii="Constantia" w:hAnsi="Constantia"/>
          <w:lang w:val="sr-Latn-CS"/>
        </w:rPr>
        <w:t xml:space="preserve"> – indikator noćnog nivoa buke koji se odnosi na vrijeme od 23 do 7 časova prikazane su </w:t>
      </w:r>
      <w:r w:rsidR="005B7CED">
        <w:rPr>
          <w:rFonts w:ascii="Constantia" w:hAnsi="Constantia"/>
          <w:lang w:val="sr-Latn-CS"/>
        </w:rPr>
        <w:t xml:space="preserve">na </w:t>
      </w:r>
      <w:r w:rsidR="005B7CED" w:rsidRPr="00406708">
        <w:rPr>
          <w:rFonts w:ascii="Constantia" w:hAnsi="Constantia"/>
          <w:i/>
          <w:lang w:val="sr-Latn-CS"/>
        </w:rPr>
        <w:t>G</w:t>
      </w:r>
      <w:r w:rsidRPr="00406708">
        <w:rPr>
          <w:rFonts w:ascii="Constantia" w:hAnsi="Constantia"/>
          <w:i/>
          <w:lang w:val="sr-Latn-CS"/>
        </w:rPr>
        <w:t xml:space="preserve">rafikonu </w:t>
      </w:r>
      <w:r w:rsidR="00406708" w:rsidRPr="00406708">
        <w:rPr>
          <w:rFonts w:ascii="Constantia" w:hAnsi="Constantia"/>
          <w:i/>
          <w:lang w:val="sr-Latn-CS"/>
        </w:rPr>
        <w:t>8</w:t>
      </w:r>
      <w:r w:rsidRPr="00406708">
        <w:rPr>
          <w:rFonts w:ascii="Constantia" w:hAnsi="Constantia"/>
          <w:i/>
          <w:lang w:val="sr-Latn-CS"/>
        </w:rPr>
        <w:t>5</w:t>
      </w:r>
      <w:r w:rsidRPr="005B7CED">
        <w:rPr>
          <w:rFonts w:ascii="Constantia" w:hAnsi="Constantia"/>
          <w:lang w:val="sr-Latn-CS"/>
        </w:rPr>
        <w:t>.</w:t>
      </w:r>
    </w:p>
    <w:p w:rsidR="00EB3E54" w:rsidRPr="00EB3E54" w:rsidRDefault="00EB3E54" w:rsidP="00EB3E54">
      <w:pPr>
        <w:jc w:val="center"/>
      </w:pPr>
      <w:r w:rsidRPr="00EB3E54">
        <w:rPr>
          <w:noProof/>
        </w:rPr>
        <w:drawing>
          <wp:inline distT="0" distB="0" distL="0" distR="0" wp14:anchorId="693BE02F" wp14:editId="39145998">
            <wp:extent cx="5219700" cy="2000250"/>
            <wp:effectExtent l="0" t="0" r="0" b="0"/>
            <wp:docPr id="240" name="Chart 24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1"/>
              </a:graphicData>
            </a:graphic>
          </wp:inline>
        </w:drawing>
      </w:r>
    </w:p>
    <w:p w:rsidR="00EB3E54" w:rsidRPr="00624D01" w:rsidRDefault="00EB3E54" w:rsidP="00EB3E54">
      <w:pPr>
        <w:numPr>
          <w:ilvl w:val="0"/>
          <w:numId w:val="4"/>
        </w:numPr>
        <w:ind w:left="360"/>
        <w:jc w:val="center"/>
        <w:rPr>
          <w:rFonts w:ascii="Constantia" w:hAnsi="Constantia"/>
          <w:i/>
          <w:szCs w:val="22"/>
          <w:lang w:val="sr-Latn-CS"/>
        </w:rPr>
      </w:pPr>
      <w:r w:rsidRPr="00624D01">
        <w:rPr>
          <w:rFonts w:ascii="Constantia" w:hAnsi="Constantia"/>
          <w:i/>
          <w:szCs w:val="22"/>
          <w:lang w:val="sr-Latn-CS"/>
        </w:rPr>
        <w:t>Srednje vrijednosti nivoa buke (L</w:t>
      </w:r>
      <w:r w:rsidRPr="00624D01">
        <w:rPr>
          <w:rFonts w:ascii="Constantia" w:hAnsi="Constantia"/>
          <w:i/>
          <w:szCs w:val="22"/>
          <w:vertAlign w:val="subscript"/>
          <w:lang w:val="sr-Latn-CS"/>
        </w:rPr>
        <w:t>night</w:t>
      </w:r>
      <w:r w:rsidRPr="00624D01">
        <w:rPr>
          <w:rFonts w:ascii="Constantia" w:hAnsi="Constantia"/>
          <w:i/>
          <w:szCs w:val="22"/>
          <w:lang w:val="sr-Latn-CS"/>
        </w:rPr>
        <w:t>) na mjernom mjestu u Budvi</w:t>
      </w:r>
    </w:p>
    <w:p w:rsidR="00EB3E54" w:rsidRPr="007F0714" w:rsidRDefault="00EB3E54" w:rsidP="00EB3E54">
      <w:pPr>
        <w:rPr>
          <w:rFonts w:ascii="Constantia" w:hAnsi="Constantia"/>
          <w:b/>
          <w:i/>
          <w:sz w:val="20"/>
          <w:lang w:val="sr-Latn-CS"/>
        </w:rPr>
      </w:pPr>
    </w:p>
    <w:p w:rsidR="00EB3E54" w:rsidRPr="007F0714" w:rsidRDefault="007F0714" w:rsidP="00EB3E54">
      <w:pPr>
        <w:rPr>
          <w:rFonts w:ascii="Constantia" w:hAnsi="Constantia"/>
        </w:rPr>
      </w:pPr>
      <w:r>
        <w:rPr>
          <w:rFonts w:ascii="Constantia" w:hAnsi="Constantia"/>
        </w:rPr>
        <w:t xml:space="preserve">Na </w:t>
      </w:r>
      <w:r w:rsidRPr="007F0714">
        <w:rPr>
          <w:rFonts w:ascii="Constantia" w:hAnsi="Constantia"/>
          <w:i/>
        </w:rPr>
        <w:t>S</w:t>
      </w:r>
      <w:r w:rsidR="00EB3E54" w:rsidRPr="007F0714">
        <w:rPr>
          <w:rFonts w:ascii="Constantia" w:hAnsi="Constantia"/>
          <w:i/>
        </w:rPr>
        <w:t xml:space="preserve">lici </w:t>
      </w:r>
      <w:r w:rsidRPr="007F0714">
        <w:rPr>
          <w:rFonts w:ascii="Constantia" w:hAnsi="Constantia"/>
          <w:i/>
        </w:rPr>
        <w:t>19.</w:t>
      </w:r>
      <w:r w:rsidR="00EB3E54" w:rsidRPr="007F0714">
        <w:rPr>
          <w:rFonts w:ascii="Constantia" w:hAnsi="Constantia"/>
        </w:rPr>
        <w:t xml:space="preserve"> prikazano je mjerno mjesto u Budvi, Jadranski put bb, zgrada </w:t>
      </w:r>
      <w:r>
        <w:rPr>
          <w:rFonts w:ascii="Constantia" w:hAnsi="Constantia"/>
        </w:rPr>
        <w:t>“</w:t>
      </w:r>
      <w:r w:rsidR="00EB3E54" w:rsidRPr="007F0714">
        <w:rPr>
          <w:rFonts w:ascii="Constantia" w:hAnsi="Constantia"/>
        </w:rPr>
        <w:t>Bogetića</w:t>
      </w:r>
      <w:r>
        <w:rPr>
          <w:rFonts w:ascii="Constantia" w:hAnsi="Constantia"/>
        </w:rPr>
        <w:t>”</w:t>
      </w:r>
      <w:r w:rsidR="00EB3E54" w:rsidRPr="007F0714">
        <w:rPr>
          <w:rFonts w:ascii="Constantia" w:hAnsi="Constantia"/>
          <w:szCs w:val="22"/>
        </w:rPr>
        <w:t>.</w:t>
      </w:r>
    </w:p>
    <w:p w:rsidR="00EB3E54" w:rsidRPr="00EB3E54" w:rsidRDefault="00EB3E54" w:rsidP="00285C53">
      <w:pPr>
        <w:spacing w:before="240"/>
        <w:jc w:val="center"/>
        <w:rPr>
          <w:lang w:val="sr-Latn-CS"/>
        </w:rPr>
      </w:pPr>
      <w:r w:rsidRPr="00EB3E54">
        <w:rPr>
          <w:noProof/>
          <w:sz w:val="24"/>
        </w:rPr>
        <w:drawing>
          <wp:inline distT="0" distB="0" distL="0" distR="0" wp14:anchorId="5CBDF2FC" wp14:editId="7E1F946C">
            <wp:extent cx="3362325" cy="1828800"/>
            <wp:effectExtent l="0" t="0" r="0" b="0"/>
            <wp:docPr id="241" name="Picture 241" descr="DSC03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SC03504"/>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3364397" cy="1829927"/>
                    </a:xfrm>
                    <a:prstGeom prst="rect">
                      <a:avLst/>
                    </a:prstGeom>
                    <a:noFill/>
                    <a:ln>
                      <a:noFill/>
                    </a:ln>
                  </pic:spPr>
                </pic:pic>
              </a:graphicData>
            </a:graphic>
          </wp:inline>
        </w:drawing>
      </w:r>
    </w:p>
    <w:p w:rsidR="00EB3E54" w:rsidRPr="00285C53" w:rsidRDefault="00285C53" w:rsidP="00285C53">
      <w:pPr>
        <w:pStyle w:val="Slika"/>
        <w:tabs>
          <w:tab w:val="left" w:pos="1080"/>
        </w:tabs>
        <w:ind w:left="360"/>
        <w:rPr>
          <w:rFonts w:ascii="Constantia" w:hAnsi="Constantia"/>
          <w:color w:val="000000" w:themeColor="text1"/>
          <w:sz w:val="20"/>
          <w:lang w:val="sr-Latn-CS"/>
        </w:rPr>
      </w:pPr>
      <w:r w:rsidRPr="00285C53">
        <w:rPr>
          <w:rFonts w:ascii="Constantia" w:hAnsi="Constantia"/>
        </w:rPr>
        <w:t>Mjerno mjesto u Budvi</w:t>
      </w:r>
    </w:p>
    <w:p w:rsidR="0097248A" w:rsidRDefault="0097248A" w:rsidP="00EB3E54">
      <w:pPr>
        <w:rPr>
          <w:rFonts w:ascii="Constantia" w:hAnsi="Constantia"/>
          <w:szCs w:val="22"/>
        </w:rPr>
      </w:pPr>
    </w:p>
    <w:p w:rsidR="00EB3E54" w:rsidRDefault="00EB3E54" w:rsidP="00EB3E54">
      <w:pPr>
        <w:rPr>
          <w:rFonts w:ascii="Constantia" w:hAnsi="Constantia"/>
          <w:lang w:val="sr-Latn-CS"/>
        </w:rPr>
      </w:pPr>
      <w:r w:rsidRPr="002D5BBA">
        <w:rPr>
          <w:rFonts w:ascii="Constantia" w:hAnsi="Constantia"/>
          <w:szCs w:val="22"/>
        </w:rPr>
        <w:t>Rezultati mjerenja prikazani kao srednje vrijednosti za:</w:t>
      </w:r>
      <w:r w:rsidRPr="002D5BBA">
        <w:rPr>
          <w:rFonts w:ascii="Constantia" w:hAnsi="Constantia"/>
          <w:b/>
          <w:lang w:val="sr-Latn-CS"/>
        </w:rPr>
        <w:t xml:space="preserve"> L</w:t>
      </w:r>
      <w:r w:rsidRPr="002D5BBA">
        <w:rPr>
          <w:rFonts w:ascii="Constantia" w:hAnsi="Constantia"/>
          <w:b/>
          <w:vertAlign w:val="subscript"/>
          <w:lang w:val="sr-Latn-CS"/>
        </w:rPr>
        <w:t>den</w:t>
      </w:r>
      <w:r w:rsidRPr="002D5BBA">
        <w:rPr>
          <w:rFonts w:ascii="Constantia" w:hAnsi="Constantia"/>
          <w:lang w:val="sr-Latn-CS"/>
        </w:rPr>
        <w:t xml:space="preserve"> -  ukupni indikator nivoa buke tokom dana, večeri i noći, </w:t>
      </w:r>
      <w:r w:rsidRPr="002D5BBA">
        <w:rPr>
          <w:rFonts w:ascii="Constantia" w:hAnsi="Constantia"/>
          <w:b/>
          <w:lang w:val="sr-Latn-CS"/>
        </w:rPr>
        <w:t>L</w:t>
      </w:r>
      <w:r w:rsidRPr="002D5BBA">
        <w:rPr>
          <w:rFonts w:ascii="Constantia" w:hAnsi="Constantia"/>
          <w:b/>
          <w:vertAlign w:val="subscript"/>
          <w:lang w:val="sr-Latn-CS"/>
        </w:rPr>
        <w:t>day</w:t>
      </w:r>
      <w:r w:rsidRPr="002D5BBA">
        <w:rPr>
          <w:rFonts w:ascii="Constantia" w:hAnsi="Constantia"/>
          <w:lang w:val="sr-Latn-CS"/>
        </w:rPr>
        <w:t xml:space="preserve"> – indikator dnevnog nivoa buke i odnosi se na vrijeme od 7 do </w:t>
      </w:r>
      <w:r w:rsidRPr="002D5BBA">
        <w:rPr>
          <w:rFonts w:ascii="Constantia" w:hAnsi="Constantia"/>
          <w:lang w:val="sr-Latn-CS"/>
        </w:rPr>
        <w:lastRenderedPageBreak/>
        <w:t xml:space="preserve">19 časova, </w:t>
      </w:r>
      <w:r w:rsidRPr="002D5BBA">
        <w:rPr>
          <w:rFonts w:ascii="Constantia" w:hAnsi="Constantia"/>
          <w:b/>
          <w:lang w:val="sr-Latn-CS"/>
        </w:rPr>
        <w:t>L</w:t>
      </w:r>
      <w:r w:rsidRPr="002D5BBA">
        <w:rPr>
          <w:rFonts w:ascii="Constantia" w:hAnsi="Constantia"/>
          <w:b/>
          <w:vertAlign w:val="subscript"/>
          <w:lang w:val="sr-Latn-CS"/>
        </w:rPr>
        <w:t>evening</w:t>
      </w:r>
      <w:r w:rsidRPr="002D5BBA">
        <w:rPr>
          <w:rFonts w:ascii="Constantia" w:hAnsi="Constantia"/>
          <w:lang w:val="sr-Latn-CS"/>
        </w:rPr>
        <w:t xml:space="preserve"> – indikator nivoa buke tokom večernjih časova i odnosi se na vrijeme od 19 do 23 časova, </w:t>
      </w:r>
      <w:r w:rsidRPr="002D5BBA">
        <w:rPr>
          <w:rFonts w:ascii="Constantia" w:hAnsi="Constantia"/>
          <w:b/>
          <w:lang w:val="sr-Latn-CS"/>
        </w:rPr>
        <w:t>L</w:t>
      </w:r>
      <w:r w:rsidRPr="002D5BBA">
        <w:rPr>
          <w:rFonts w:ascii="Constantia" w:hAnsi="Constantia"/>
          <w:b/>
          <w:vertAlign w:val="subscript"/>
          <w:lang w:val="sr-Latn-CS"/>
        </w:rPr>
        <w:t>night</w:t>
      </w:r>
      <w:r w:rsidRPr="002D5BBA">
        <w:rPr>
          <w:rFonts w:ascii="Constantia" w:hAnsi="Constantia"/>
          <w:lang w:val="sr-Latn-CS"/>
        </w:rPr>
        <w:t xml:space="preserve"> – indikator noćnog nivoa buke i odnosi se na vrijeme od 23 do 7 časova</w:t>
      </w:r>
      <w:r w:rsidR="002D5BBA">
        <w:rPr>
          <w:rFonts w:ascii="Constantia" w:hAnsi="Constantia"/>
          <w:lang w:val="sr-Latn-CS"/>
        </w:rPr>
        <w:t xml:space="preserve"> za Budvu</w:t>
      </w:r>
      <w:r w:rsidRPr="002D5BBA">
        <w:rPr>
          <w:rFonts w:ascii="Constantia" w:hAnsi="Constantia"/>
          <w:lang w:val="sr-Latn-CS"/>
        </w:rPr>
        <w:t xml:space="preserve"> prikazani su u </w:t>
      </w:r>
      <w:r w:rsidR="002D5BBA" w:rsidRPr="002D5BBA">
        <w:rPr>
          <w:rFonts w:ascii="Constantia" w:hAnsi="Constantia"/>
          <w:i/>
          <w:lang w:val="sr-Latn-CS"/>
        </w:rPr>
        <w:t>T</w:t>
      </w:r>
      <w:r w:rsidRPr="002D5BBA">
        <w:rPr>
          <w:rFonts w:ascii="Constantia" w:hAnsi="Constantia"/>
          <w:i/>
          <w:lang w:val="sr-Latn-CS"/>
        </w:rPr>
        <w:t>abeli</w:t>
      </w:r>
      <w:r w:rsidR="002D5BBA">
        <w:rPr>
          <w:rFonts w:ascii="Constantia" w:hAnsi="Constantia"/>
          <w:lang w:val="sr-Latn-CS"/>
        </w:rPr>
        <w:t xml:space="preserve"> 95</w:t>
      </w:r>
      <w:r w:rsidRPr="002D5BBA">
        <w:rPr>
          <w:rFonts w:ascii="Constantia" w:hAnsi="Constantia"/>
          <w:lang w:val="sr-Latn-CS"/>
        </w:rPr>
        <w:t>.</w:t>
      </w:r>
    </w:p>
    <w:p w:rsidR="002D5BBA" w:rsidRPr="002D5BBA" w:rsidRDefault="002D5BBA" w:rsidP="002D5BBA">
      <w:pPr>
        <w:spacing w:after="0"/>
        <w:rPr>
          <w:rFonts w:ascii="Constantia" w:hAnsi="Constantia"/>
          <w:lang w:val="sr-Latn-CS"/>
        </w:rPr>
      </w:pPr>
    </w:p>
    <w:tbl>
      <w:tblPr>
        <w:tblStyle w:val="LightList-Accent6"/>
        <w:tblW w:w="9000" w:type="dxa"/>
        <w:tblInd w:w="108" w:type="dxa"/>
        <w:tblLook w:val="04A0" w:firstRow="1" w:lastRow="0" w:firstColumn="1" w:lastColumn="0" w:noHBand="0" w:noVBand="1"/>
      </w:tblPr>
      <w:tblGrid>
        <w:gridCol w:w="2268"/>
        <w:gridCol w:w="1710"/>
        <w:gridCol w:w="1710"/>
        <w:gridCol w:w="1710"/>
        <w:gridCol w:w="1602"/>
      </w:tblGrid>
      <w:tr w:rsidR="00EB3E54" w:rsidRPr="002D5BBA" w:rsidTr="002D5B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rsidR="00EB3E54" w:rsidRPr="002D5BBA" w:rsidRDefault="00EB3E54" w:rsidP="00EB3E54">
            <w:pPr>
              <w:keepLines/>
              <w:widowControl w:val="0"/>
              <w:tabs>
                <w:tab w:val="left" w:pos="1134"/>
                <w:tab w:val="left" w:pos="2268"/>
              </w:tabs>
              <w:autoSpaceDE w:val="0"/>
              <w:autoSpaceDN w:val="0"/>
              <w:spacing w:before="120" w:after="60"/>
              <w:jc w:val="center"/>
              <w:rPr>
                <w:rFonts w:ascii="Constantia" w:hAnsi="Constantia"/>
                <w:b w:val="0"/>
                <w:color w:val="auto"/>
                <w:szCs w:val="22"/>
                <w:lang w:val="sv-SE"/>
              </w:rPr>
            </w:pPr>
          </w:p>
        </w:tc>
        <w:tc>
          <w:tcPr>
            <w:tcW w:w="1710" w:type="dxa"/>
          </w:tcPr>
          <w:p w:rsidR="00EB3E54" w:rsidRPr="002D5BBA" w:rsidRDefault="00EB3E54" w:rsidP="00EB3E54">
            <w:pPr>
              <w:keepLines/>
              <w:widowControl w:val="0"/>
              <w:tabs>
                <w:tab w:val="left" w:pos="1134"/>
                <w:tab w:val="left" w:pos="2268"/>
              </w:tabs>
              <w:autoSpaceDE w:val="0"/>
              <w:autoSpaceDN w:val="0"/>
              <w:spacing w:before="120" w:after="60"/>
              <w:jc w:val="center"/>
              <w:cnfStyle w:val="100000000000" w:firstRow="1" w:lastRow="0" w:firstColumn="0" w:lastColumn="0" w:oddVBand="0" w:evenVBand="0" w:oddHBand="0" w:evenHBand="0" w:firstRowFirstColumn="0" w:firstRowLastColumn="0" w:lastRowFirstColumn="0" w:lastRowLastColumn="0"/>
              <w:rPr>
                <w:rFonts w:ascii="Constantia" w:hAnsi="Constantia"/>
                <w:color w:val="auto"/>
                <w:szCs w:val="22"/>
              </w:rPr>
            </w:pPr>
            <w:r w:rsidRPr="002D5BBA">
              <w:rPr>
                <w:rFonts w:ascii="Constantia" w:hAnsi="Constantia"/>
                <w:color w:val="auto"/>
                <w:szCs w:val="22"/>
              </w:rPr>
              <w:t>L</w:t>
            </w:r>
            <w:r w:rsidRPr="002D5BBA">
              <w:rPr>
                <w:rFonts w:ascii="Constantia" w:hAnsi="Constantia"/>
                <w:b w:val="0"/>
                <w:color w:val="auto"/>
                <w:szCs w:val="22"/>
                <w:vertAlign w:val="subscript"/>
              </w:rPr>
              <w:t>day</w:t>
            </w:r>
            <w:r w:rsidRPr="002D5BBA">
              <w:rPr>
                <w:rFonts w:ascii="Constantia" w:hAnsi="Constantia"/>
                <w:color w:val="auto"/>
                <w:szCs w:val="22"/>
              </w:rPr>
              <w:t xml:space="preserve"> (dB)</w:t>
            </w:r>
          </w:p>
        </w:tc>
        <w:tc>
          <w:tcPr>
            <w:tcW w:w="1710" w:type="dxa"/>
          </w:tcPr>
          <w:p w:rsidR="00EB3E54" w:rsidRPr="002D5BBA" w:rsidRDefault="00EB3E54" w:rsidP="00EB3E54">
            <w:pPr>
              <w:keepLines/>
              <w:widowControl w:val="0"/>
              <w:tabs>
                <w:tab w:val="left" w:pos="1134"/>
                <w:tab w:val="left" w:pos="2268"/>
              </w:tabs>
              <w:autoSpaceDE w:val="0"/>
              <w:autoSpaceDN w:val="0"/>
              <w:spacing w:before="120" w:after="60"/>
              <w:jc w:val="center"/>
              <w:cnfStyle w:val="100000000000" w:firstRow="1" w:lastRow="0" w:firstColumn="0" w:lastColumn="0" w:oddVBand="0" w:evenVBand="0" w:oddHBand="0" w:evenHBand="0" w:firstRowFirstColumn="0" w:firstRowLastColumn="0" w:lastRowFirstColumn="0" w:lastRowLastColumn="0"/>
              <w:rPr>
                <w:rFonts w:ascii="Constantia" w:hAnsi="Constantia"/>
                <w:color w:val="auto"/>
                <w:szCs w:val="22"/>
              </w:rPr>
            </w:pPr>
            <w:r w:rsidRPr="002D5BBA">
              <w:rPr>
                <w:rFonts w:ascii="Constantia" w:hAnsi="Constantia"/>
                <w:color w:val="auto"/>
                <w:szCs w:val="22"/>
              </w:rPr>
              <w:t>L</w:t>
            </w:r>
            <w:r w:rsidRPr="002D5BBA">
              <w:rPr>
                <w:rFonts w:ascii="Constantia" w:hAnsi="Constantia"/>
                <w:b w:val="0"/>
                <w:color w:val="auto"/>
                <w:szCs w:val="22"/>
                <w:vertAlign w:val="subscript"/>
              </w:rPr>
              <w:t>evening</w:t>
            </w:r>
            <w:r w:rsidRPr="002D5BBA">
              <w:rPr>
                <w:rFonts w:ascii="Constantia" w:hAnsi="Constantia"/>
                <w:color w:val="auto"/>
                <w:szCs w:val="22"/>
              </w:rPr>
              <w:t xml:space="preserve"> (dB)</w:t>
            </w:r>
          </w:p>
        </w:tc>
        <w:tc>
          <w:tcPr>
            <w:tcW w:w="1710" w:type="dxa"/>
          </w:tcPr>
          <w:p w:rsidR="00EB3E54" w:rsidRPr="002D5BBA" w:rsidRDefault="00EB3E54" w:rsidP="00EB3E54">
            <w:pPr>
              <w:keepLines/>
              <w:widowControl w:val="0"/>
              <w:tabs>
                <w:tab w:val="left" w:pos="1134"/>
                <w:tab w:val="left" w:pos="2268"/>
              </w:tabs>
              <w:autoSpaceDE w:val="0"/>
              <w:autoSpaceDN w:val="0"/>
              <w:spacing w:before="120" w:after="60"/>
              <w:jc w:val="center"/>
              <w:cnfStyle w:val="100000000000" w:firstRow="1" w:lastRow="0" w:firstColumn="0" w:lastColumn="0" w:oddVBand="0" w:evenVBand="0" w:oddHBand="0" w:evenHBand="0" w:firstRowFirstColumn="0" w:firstRowLastColumn="0" w:lastRowFirstColumn="0" w:lastRowLastColumn="0"/>
              <w:rPr>
                <w:rFonts w:ascii="Constantia" w:hAnsi="Constantia"/>
                <w:b w:val="0"/>
                <w:color w:val="auto"/>
                <w:szCs w:val="22"/>
              </w:rPr>
            </w:pPr>
            <w:r w:rsidRPr="002D5BBA">
              <w:rPr>
                <w:rFonts w:ascii="Constantia" w:hAnsi="Constantia"/>
                <w:color w:val="auto"/>
                <w:szCs w:val="22"/>
              </w:rPr>
              <w:t>L</w:t>
            </w:r>
            <w:r w:rsidRPr="002D5BBA">
              <w:rPr>
                <w:rFonts w:ascii="Constantia" w:hAnsi="Constantia"/>
                <w:b w:val="0"/>
                <w:color w:val="auto"/>
                <w:szCs w:val="22"/>
                <w:vertAlign w:val="subscript"/>
              </w:rPr>
              <w:t>night</w:t>
            </w:r>
            <w:r w:rsidRPr="002D5BBA">
              <w:rPr>
                <w:rFonts w:ascii="Constantia" w:hAnsi="Constantia"/>
                <w:b w:val="0"/>
                <w:color w:val="auto"/>
                <w:szCs w:val="22"/>
              </w:rPr>
              <w:t xml:space="preserve"> </w:t>
            </w:r>
            <w:r w:rsidRPr="002D5BBA">
              <w:rPr>
                <w:rFonts w:ascii="Constantia" w:hAnsi="Constantia"/>
                <w:color w:val="auto"/>
                <w:szCs w:val="22"/>
              </w:rPr>
              <w:t>(dB)</w:t>
            </w:r>
          </w:p>
        </w:tc>
        <w:tc>
          <w:tcPr>
            <w:tcW w:w="1602" w:type="dxa"/>
          </w:tcPr>
          <w:p w:rsidR="00EB3E54" w:rsidRPr="002D5BBA" w:rsidRDefault="00EB3E54" w:rsidP="00EB3E54">
            <w:pPr>
              <w:keepLines/>
              <w:widowControl w:val="0"/>
              <w:tabs>
                <w:tab w:val="left" w:pos="1134"/>
                <w:tab w:val="left" w:pos="2268"/>
              </w:tabs>
              <w:autoSpaceDE w:val="0"/>
              <w:autoSpaceDN w:val="0"/>
              <w:spacing w:before="120" w:after="60"/>
              <w:jc w:val="center"/>
              <w:cnfStyle w:val="100000000000" w:firstRow="1" w:lastRow="0" w:firstColumn="0" w:lastColumn="0" w:oddVBand="0" w:evenVBand="0" w:oddHBand="0" w:evenHBand="0" w:firstRowFirstColumn="0" w:firstRowLastColumn="0" w:lastRowFirstColumn="0" w:lastRowLastColumn="0"/>
              <w:rPr>
                <w:rFonts w:ascii="Constantia" w:hAnsi="Constantia"/>
                <w:color w:val="auto"/>
                <w:szCs w:val="22"/>
              </w:rPr>
            </w:pPr>
            <w:r w:rsidRPr="002D5BBA">
              <w:rPr>
                <w:rFonts w:ascii="Constantia" w:hAnsi="Constantia"/>
                <w:color w:val="auto"/>
                <w:szCs w:val="22"/>
              </w:rPr>
              <w:t>L</w:t>
            </w:r>
            <w:r w:rsidRPr="002D5BBA">
              <w:rPr>
                <w:rFonts w:ascii="Constantia" w:hAnsi="Constantia"/>
                <w:b w:val="0"/>
                <w:color w:val="auto"/>
                <w:szCs w:val="22"/>
                <w:vertAlign w:val="subscript"/>
              </w:rPr>
              <w:t>den</w:t>
            </w:r>
            <w:r w:rsidRPr="002D5BBA">
              <w:rPr>
                <w:rFonts w:ascii="Constantia" w:hAnsi="Constantia"/>
                <w:color w:val="auto"/>
                <w:szCs w:val="22"/>
              </w:rPr>
              <w:t xml:space="preserve"> (dB)</w:t>
            </w:r>
          </w:p>
        </w:tc>
      </w:tr>
      <w:tr w:rsidR="00EB3E54" w:rsidRPr="002D5BBA" w:rsidTr="002D5B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rsidR="00EB3E54" w:rsidRPr="002D5BBA" w:rsidRDefault="00EB3E54" w:rsidP="0097248A">
            <w:pPr>
              <w:keepLines/>
              <w:widowControl w:val="0"/>
              <w:tabs>
                <w:tab w:val="left" w:pos="1134"/>
                <w:tab w:val="left" w:pos="2268"/>
              </w:tabs>
              <w:autoSpaceDE w:val="0"/>
              <w:autoSpaceDN w:val="0"/>
              <w:spacing w:after="60"/>
              <w:jc w:val="center"/>
              <w:rPr>
                <w:rFonts w:ascii="Constantia" w:hAnsi="Constantia"/>
                <w:szCs w:val="22"/>
              </w:rPr>
            </w:pPr>
            <w:r w:rsidRPr="002D5BBA">
              <w:rPr>
                <w:rFonts w:ascii="Constantia" w:hAnsi="Constantia"/>
                <w:szCs w:val="22"/>
              </w:rPr>
              <w:t>I Ciklus</w:t>
            </w:r>
          </w:p>
        </w:tc>
        <w:tc>
          <w:tcPr>
            <w:tcW w:w="1710" w:type="dxa"/>
          </w:tcPr>
          <w:p w:rsidR="00EB3E54" w:rsidRPr="002D5BBA" w:rsidRDefault="00EB3E54" w:rsidP="0097248A">
            <w:pPr>
              <w:keepLines/>
              <w:widowControl w:val="0"/>
              <w:tabs>
                <w:tab w:val="left" w:pos="1134"/>
                <w:tab w:val="left" w:pos="2268"/>
              </w:tabs>
              <w:autoSpaceDE w:val="0"/>
              <w:autoSpaceDN w:val="0"/>
              <w:spacing w:after="6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2D5BBA">
              <w:rPr>
                <w:rFonts w:ascii="Constantia" w:hAnsi="Constantia"/>
                <w:b/>
                <w:szCs w:val="22"/>
              </w:rPr>
              <w:t>65</w:t>
            </w:r>
          </w:p>
        </w:tc>
        <w:tc>
          <w:tcPr>
            <w:tcW w:w="1710" w:type="dxa"/>
          </w:tcPr>
          <w:p w:rsidR="00EB3E54" w:rsidRPr="002D5BBA" w:rsidRDefault="00EB3E54" w:rsidP="0097248A">
            <w:pPr>
              <w:keepLines/>
              <w:widowControl w:val="0"/>
              <w:tabs>
                <w:tab w:val="left" w:pos="1134"/>
                <w:tab w:val="left" w:pos="2268"/>
              </w:tabs>
              <w:autoSpaceDE w:val="0"/>
              <w:autoSpaceDN w:val="0"/>
              <w:spacing w:after="6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2D5BBA">
              <w:rPr>
                <w:rFonts w:ascii="Constantia" w:hAnsi="Constantia"/>
                <w:b/>
                <w:szCs w:val="22"/>
              </w:rPr>
              <w:t>65</w:t>
            </w:r>
          </w:p>
        </w:tc>
        <w:tc>
          <w:tcPr>
            <w:tcW w:w="1710" w:type="dxa"/>
          </w:tcPr>
          <w:p w:rsidR="00EB3E54" w:rsidRPr="002D5BBA" w:rsidRDefault="00EB3E54" w:rsidP="0097248A">
            <w:pPr>
              <w:keepLines/>
              <w:widowControl w:val="0"/>
              <w:tabs>
                <w:tab w:val="left" w:pos="1134"/>
                <w:tab w:val="left" w:pos="2268"/>
              </w:tabs>
              <w:autoSpaceDE w:val="0"/>
              <w:autoSpaceDN w:val="0"/>
              <w:spacing w:after="6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2D5BBA">
              <w:rPr>
                <w:rFonts w:ascii="Constantia" w:hAnsi="Constantia"/>
                <w:b/>
                <w:szCs w:val="22"/>
              </w:rPr>
              <w:t>64</w:t>
            </w:r>
          </w:p>
        </w:tc>
        <w:tc>
          <w:tcPr>
            <w:tcW w:w="1602" w:type="dxa"/>
          </w:tcPr>
          <w:p w:rsidR="00EB3E54" w:rsidRPr="002D5BBA" w:rsidRDefault="00EB3E54" w:rsidP="0097248A">
            <w:pPr>
              <w:keepLines/>
              <w:widowControl w:val="0"/>
              <w:tabs>
                <w:tab w:val="left" w:pos="1134"/>
                <w:tab w:val="left" w:pos="2268"/>
              </w:tabs>
              <w:autoSpaceDE w:val="0"/>
              <w:autoSpaceDN w:val="0"/>
              <w:spacing w:after="6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2D5BBA">
              <w:rPr>
                <w:rFonts w:ascii="Constantia" w:hAnsi="Constantia"/>
                <w:b/>
                <w:szCs w:val="22"/>
              </w:rPr>
              <w:t>70</w:t>
            </w:r>
          </w:p>
        </w:tc>
      </w:tr>
      <w:tr w:rsidR="00EB3E54" w:rsidRPr="002D5BBA" w:rsidTr="002D5BBA">
        <w:tc>
          <w:tcPr>
            <w:cnfStyle w:val="001000000000" w:firstRow="0" w:lastRow="0" w:firstColumn="1" w:lastColumn="0" w:oddVBand="0" w:evenVBand="0" w:oddHBand="0" w:evenHBand="0" w:firstRowFirstColumn="0" w:firstRowLastColumn="0" w:lastRowFirstColumn="0" w:lastRowLastColumn="0"/>
            <w:tcW w:w="2268" w:type="dxa"/>
          </w:tcPr>
          <w:p w:rsidR="00EB3E54" w:rsidRPr="002D5BBA" w:rsidRDefault="00EB3E54" w:rsidP="0097248A">
            <w:pPr>
              <w:keepLines/>
              <w:widowControl w:val="0"/>
              <w:tabs>
                <w:tab w:val="left" w:pos="1134"/>
                <w:tab w:val="left" w:pos="2268"/>
              </w:tabs>
              <w:autoSpaceDE w:val="0"/>
              <w:autoSpaceDN w:val="0"/>
              <w:spacing w:after="60"/>
              <w:jc w:val="center"/>
              <w:rPr>
                <w:rFonts w:ascii="Constantia" w:hAnsi="Constantia"/>
                <w:szCs w:val="22"/>
              </w:rPr>
            </w:pPr>
            <w:r w:rsidRPr="002D5BBA">
              <w:rPr>
                <w:rFonts w:ascii="Constantia" w:hAnsi="Constantia"/>
                <w:szCs w:val="22"/>
              </w:rPr>
              <w:t>II Ciklus</w:t>
            </w:r>
          </w:p>
        </w:tc>
        <w:tc>
          <w:tcPr>
            <w:tcW w:w="1710" w:type="dxa"/>
          </w:tcPr>
          <w:p w:rsidR="00EB3E54" w:rsidRPr="002D5BBA" w:rsidRDefault="00EB3E54" w:rsidP="0097248A">
            <w:pPr>
              <w:keepLines/>
              <w:widowControl w:val="0"/>
              <w:tabs>
                <w:tab w:val="left" w:pos="1134"/>
                <w:tab w:val="left" w:pos="2268"/>
              </w:tabs>
              <w:autoSpaceDE w:val="0"/>
              <w:autoSpaceDN w:val="0"/>
              <w:spacing w:after="60"/>
              <w:jc w:val="center"/>
              <w:cnfStyle w:val="000000000000" w:firstRow="0" w:lastRow="0" w:firstColumn="0" w:lastColumn="0" w:oddVBand="0" w:evenVBand="0" w:oddHBand="0" w:evenHBand="0" w:firstRowFirstColumn="0" w:firstRowLastColumn="0" w:lastRowFirstColumn="0" w:lastRowLastColumn="0"/>
              <w:rPr>
                <w:rFonts w:ascii="Constantia" w:hAnsi="Constantia"/>
                <w:b/>
                <w:szCs w:val="22"/>
              </w:rPr>
            </w:pPr>
            <w:r w:rsidRPr="002D5BBA">
              <w:rPr>
                <w:rFonts w:ascii="Constantia" w:hAnsi="Constantia"/>
                <w:b/>
                <w:szCs w:val="22"/>
              </w:rPr>
              <w:t>65</w:t>
            </w:r>
          </w:p>
        </w:tc>
        <w:tc>
          <w:tcPr>
            <w:tcW w:w="1710" w:type="dxa"/>
          </w:tcPr>
          <w:p w:rsidR="00EB3E54" w:rsidRPr="002D5BBA" w:rsidRDefault="00EB3E54" w:rsidP="0097248A">
            <w:pPr>
              <w:keepLines/>
              <w:widowControl w:val="0"/>
              <w:tabs>
                <w:tab w:val="left" w:pos="1134"/>
                <w:tab w:val="left" w:pos="2268"/>
              </w:tabs>
              <w:autoSpaceDE w:val="0"/>
              <w:autoSpaceDN w:val="0"/>
              <w:spacing w:after="60"/>
              <w:jc w:val="center"/>
              <w:cnfStyle w:val="000000000000" w:firstRow="0" w:lastRow="0" w:firstColumn="0" w:lastColumn="0" w:oddVBand="0" w:evenVBand="0" w:oddHBand="0" w:evenHBand="0" w:firstRowFirstColumn="0" w:firstRowLastColumn="0" w:lastRowFirstColumn="0" w:lastRowLastColumn="0"/>
              <w:rPr>
                <w:rFonts w:ascii="Constantia" w:hAnsi="Constantia"/>
                <w:b/>
                <w:szCs w:val="22"/>
              </w:rPr>
            </w:pPr>
            <w:r w:rsidRPr="002D5BBA">
              <w:rPr>
                <w:rFonts w:ascii="Constantia" w:hAnsi="Constantia"/>
                <w:b/>
                <w:szCs w:val="22"/>
              </w:rPr>
              <w:t>63</w:t>
            </w:r>
          </w:p>
        </w:tc>
        <w:tc>
          <w:tcPr>
            <w:tcW w:w="1710" w:type="dxa"/>
          </w:tcPr>
          <w:p w:rsidR="00EB3E54" w:rsidRPr="002D5BBA" w:rsidRDefault="00EB3E54" w:rsidP="0097248A">
            <w:pPr>
              <w:keepLines/>
              <w:widowControl w:val="0"/>
              <w:tabs>
                <w:tab w:val="left" w:pos="1134"/>
                <w:tab w:val="left" w:pos="2268"/>
              </w:tabs>
              <w:autoSpaceDE w:val="0"/>
              <w:autoSpaceDN w:val="0"/>
              <w:spacing w:after="60"/>
              <w:jc w:val="center"/>
              <w:cnfStyle w:val="000000000000" w:firstRow="0" w:lastRow="0" w:firstColumn="0" w:lastColumn="0" w:oddVBand="0" w:evenVBand="0" w:oddHBand="0" w:evenHBand="0" w:firstRowFirstColumn="0" w:firstRowLastColumn="0" w:lastRowFirstColumn="0" w:lastRowLastColumn="0"/>
              <w:rPr>
                <w:rFonts w:ascii="Constantia" w:hAnsi="Constantia"/>
                <w:b/>
                <w:szCs w:val="22"/>
              </w:rPr>
            </w:pPr>
            <w:r w:rsidRPr="002D5BBA">
              <w:rPr>
                <w:rFonts w:ascii="Constantia" w:hAnsi="Constantia"/>
                <w:b/>
                <w:szCs w:val="22"/>
              </w:rPr>
              <w:t>59</w:t>
            </w:r>
          </w:p>
        </w:tc>
        <w:tc>
          <w:tcPr>
            <w:tcW w:w="1602" w:type="dxa"/>
          </w:tcPr>
          <w:p w:rsidR="00EB3E54" w:rsidRPr="002D5BBA" w:rsidRDefault="00EB3E54" w:rsidP="0097248A">
            <w:pPr>
              <w:keepLines/>
              <w:widowControl w:val="0"/>
              <w:tabs>
                <w:tab w:val="left" w:pos="1134"/>
                <w:tab w:val="left" w:pos="2268"/>
              </w:tabs>
              <w:autoSpaceDE w:val="0"/>
              <w:autoSpaceDN w:val="0"/>
              <w:spacing w:after="60"/>
              <w:jc w:val="center"/>
              <w:cnfStyle w:val="000000000000" w:firstRow="0" w:lastRow="0" w:firstColumn="0" w:lastColumn="0" w:oddVBand="0" w:evenVBand="0" w:oddHBand="0" w:evenHBand="0" w:firstRowFirstColumn="0" w:firstRowLastColumn="0" w:lastRowFirstColumn="0" w:lastRowLastColumn="0"/>
              <w:rPr>
                <w:rFonts w:ascii="Constantia" w:hAnsi="Constantia"/>
                <w:b/>
                <w:szCs w:val="22"/>
              </w:rPr>
            </w:pPr>
            <w:r w:rsidRPr="002D5BBA">
              <w:rPr>
                <w:rFonts w:ascii="Constantia" w:hAnsi="Constantia"/>
                <w:b/>
                <w:szCs w:val="22"/>
              </w:rPr>
              <w:t>67</w:t>
            </w:r>
          </w:p>
        </w:tc>
      </w:tr>
      <w:tr w:rsidR="00EB3E54" w:rsidRPr="002D5BBA" w:rsidTr="002D5B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rsidR="00EB3E54" w:rsidRPr="002D5BBA" w:rsidRDefault="00EB3E54" w:rsidP="0097248A">
            <w:pPr>
              <w:keepLines/>
              <w:widowControl w:val="0"/>
              <w:tabs>
                <w:tab w:val="left" w:pos="1134"/>
                <w:tab w:val="left" w:pos="2268"/>
              </w:tabs>
              <w:autoSpaceDE w:val="0"/>
              <w:autoSpaceDN w:val="0"/>
              <w:spacing w:after="60"/>
              <w:jc w:val="center"/>
              <w:rPr>
                <w:rFonts w:ascii="Constantia" w:hAnsi="Constantia"/>
                <w:szCs w:val="22"/>
              </w:rPr>
            </w:pPr>
            <w:r w:rsidRPr="002D5BBA">
              <w:rPr>
                <w:rFonts w:ascii="Constantia" w:hAnsi="Constantia"/>
                <w:szCs w:val="22"/>
              </w:rPr>
              <w:t>Granična vrijednost</w:t>
            </w:r>
          </w:p>
        </w:tc>
        <w:tc>
          <w:tcPr>
            <w:tcW w:w="1710" w:type="dxa"/>
          </w:tcPr>
          <w:p w:rsidR="00EB3E54" w:rsidRPr="002D5BBA" w:rsidRDefault="00EB3E54" w:rsidP="0097248A">
            <w:pPr>
              <w:keepLines/>
              <w:widowControl w:val="0"/>
              <w:tabs>
                <w:tab w:val="left" w:pos="1134"/>
                <w:tab w:val="left" w:pos="2268"/>
              </w:tabs>
              <w:autoSpaceDE w:val="0"/>
              <w:autoSpaceDN w:val="0"/>
              <w:spacing w:after="6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2D5BBA">
              <w:rPr>
                <w:rFonts w:ascii="Constantia" w:hAnsi="Constantia"/>
                <w:b/>
                <w:szCs w:val="22"/>
              </w:rPr>
              <w:t>60</w:t>
            </w:r>
          </w:p>
        </w:tc>
        <w:tc>
          <w:tcPr>
            <w:tcW w:w="1710" w:type="dxa"/>
          </w:tcPr>
          <w:p w:rsidR="00EB3E54" w:rsidRPr="002D5BBA" w:rsidRDefault="00EB3E54" w:rsidP="0097248A">
            <w:pPr>
              <w:keepLines/>
              <w:widowControl w:val="0"/>
              <w:tabs>
                <w:tab w:val="left" w:pos="1134"/>
                <w:tab w:val="left" w:pos="2268"/>
              </w:tabs>
              <w:autoSpaceDE w:val="0"/>
              <w:autoSpaceDN w:val="0"/>
              <w:spacing w:after="6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2D5BBA">
              <w:rPr>
                <w:rFonts w:ascii="Constantia" w:hAnsi="Constantia"/>
                <w:b/>
                <w:szCs w:val="22"/>
              </w:rPr>
              <w:t>60</w:t>
            </w:r>
          </w:p>
        </w:tc>
        <w:tc>
          <w:tcPr>
            <w:tcW w:w="1710" w:type="dxa"/>
          </w:tcPr>
          <w:p w:rsidR="00EB3E54" w:rsidRPr="002D5BBA" w:rsidRDefault="00EB3E54" w:rsidP="0097248A">
            <w:pPr>
              <w:keepLines/>
              <w:widowControl w:val="0"/>
              <w:tabs>
                <w:tab w:val="left" w:pos="1134"/>
                <w:tab w:val="left" w:pos="2268"/>
              </w:tabs>
              <w:autoSpaceDE w:val="0"/>
              <w:autoSpaceDN w:val="0"/>
              <w:spacing w:after="6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2D5BBA">
              <w:rPr>
                <w:rFonts w:ascii="Constantia" w:hAnsi="Constantia"/>
                <w:b/>
                <w:szCs w:val="22"/>
              </w:rPr>
              <w:t>55</w:t>
            </w:r>
          </w:p>
        </w:tc>
        <w:tc>
          <w:tcPr>
            <w:tcW w:w="1602" w:type="dxa"/>
          </w:tcPr>
          <w:p w:rsidR="00EB3E54" w:rsidRPr="002D5BBA" w:rsidRDefault="00EB3E54" w:rsidP="0097248A">
            <w:pPr>
              <w:keepLines/>
              <w:widowControl w:val="0"/>
              <w:tabs>
                <w:tab w:val="left" w:pos="1134"/>
                <w:tab w:val="left" w:pos="2268"/>
              </w:tabs>
              <w:autoSpaceDE w:val="0"/>
              <w:autoSpaceDN w:val="0"/>
              <w:spacing w:after="6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2D5BBA">
              <w:rPr>
                <w:rFonts w:ascii="Constantia" w:hAnsi="Constantia"/>
                <w:b/>
                <w:szCs w:val="22"/>
              </w:rPr>
              <w:t>---</w:t>
            </w:r>
          </w:p>
        </w:tc>
      </w:tr>
    </w:tbl>
    <w:p w:rsidR="00EB3E54" w:rsidRPr="002D5BBA" w:rsidRDefault="00EB3E54" w:rsidP="002D5BBA">
      <w:pPr>
        <w:numPr>
          <w:ilvl w:val="0"/>
          <w:numId w:val="3"/>
        </w:numPr>
        <w:tabs>
          <w:tab w:val="left" w:pos="1260"/>
        </w:tabs>
        <w:spacing w:before="60" w:after="240"/>
        <w:ind w:left="0" w:firstLine="0"/>
        <w:jc w:val="center"/>
        <w:rPr>
          <w:rFonts w:ascii="Constantia" w:hAnsi="Constantia"/>
          <w:i/>
          <w:szCs w:val="22"/>
          <w:lang w:val="sr-Latn-CS"/>
        </w:rPr>
      </w:pPr>
      <w:r w:rsidRPr="002D5BBA">
        <w:rPr>
          <w:rFonts w:ascii="Constantia" w:hAnsi="Constantia"/>
          <w:i/>
          <w:szCs w:val="22"/>
          <w:lang w:val="sr-Latn-CS"/>
        </w:rPr>
        <w:t>Srednji indikatori buke na mjernom mjestu Jadranski put bb</w:t>
      </w:r>
    </w:p>
    <w:p w:rsidR="00EB3E54" w:rsidRPr="002D5BBA" w:rsidRDefault="00EB3E54" w:rsidP="00EB3E54">
      <w:pPr>
        <w:rPr>
          <w:rFonts w:ascii="Constantia" w:hAnsi="Constantia"/>
        </w:rPr>
      </w:pPr>
      <w:bookmarkStart w:id="168" w:name="_Toc357157657"/>
      <w:r w:rsidRPr="002D5BBA">
        <w:rPr>
          <w:rFonts w:ascii="Constantia" w:hAnsi="Constantia"/>
        </w:rPr>
        <w:t>Vrijednosti indikatora buke su veći u prvom ciklusu mjerenja (početak avgusta) nego u drugom ciklusu mjerenja (sredina decembra).</w:t>
      </w:r>
    </w:p>
    <w:p w:rsidR="00EB3E54" w:rsidRPr="002D5BBA" w:rsidRDefault="00EB3E54" w:rsidP="00EB3E54">
      <w:pPr>
        <w:rPr>
          <w:rFonts w:ascii="Constantia" w:hAnsi="Constantia"/>
        </w:rPr>
      </w:pPr>
      <w:r w:rsidRPr="002D5BBA">
        <w:rPr>
          <w:rFonts w:ascii="Constantia" w:hAnsi="Constantia"/>
        </w:rPr>
        <w:t>U oba ciklusa mjerenja vrijednosti indikatora buke za dan, veče i noć prelaze granične vrijednosti nivoa buke.</w:t>
      </w:r>
    </w:p>
    <w:p w:rsidR="00EB3E54" w:rsidRPr="002D5BBA" w:rsidRDefault="00EB3E54" w:rsidP="00EB3E54">
      <w:pPr>
        <w:spacing w:before="120" w:after="360"/>
        <w:rPr>
          <w:rFonts w:ascii="Constantia" w:hAnsi="Constantia"/>
          <w:lang w:val="sr-Latn-CS"/>
        </w:rPr>
      </w:pPr>
      <w:r w:rsidRPr="002D5BBA">
        <w:rPr>
          <w:rFonts w:ascii="Constantia" w:hAnsi="Constantia"/>
          <w:lang w:val="sr-Latn-CS"/>
        </w:rPr>
        <w:t xml:space="preserve">Na osnovu Odluke o utvrđivanju akustičhih zona na teritoriji Opštine Budva posmatrano mjerno mjesto pripada zoni pod jakim uticajem buke koja potiče od drumskog saobraćaja. </w:t>
      </w:r>
    </w:p>
    <w:p w:rsidR="00EB3E54" w:rsidRPr="00EB3E54" w:rsidRDefault="00EB3E54" w:rsidP="00077AA6">
      <w:pPr>
        <w:pStyle w:val="Heading2"/>
        <w:ind w:left="720"/>
      </w:pPr>
      <w:bookmarkStart w:id="169" w:name="_Toc393897942"/>
      <w:bookmarkEnd w:id="168"/>
      <w:r w:rsidRPr="00EB3E54">
        <w:t>Kotor</w:t>
      </w:r>
      <w:bookmarkEnd w:id="169"/>
    </w:p>
    <w:p w:rsidR="00EB3E54" w:rsidRPr="002D5BBA" w:rsidRDefault="00EB3E54" w:rsidP="00EB3E54">
      <w:pPr>
        <w:rPr>
          <w:rFonts w:ascii="Constantia" w:hAnsi="Constantia"/>
          <w:lang w:val="sr-Latn-CS"/>
        </w:rPr>
      </w:pPr>
      <w:r w:rsidRPr="002D5BBA">
        <w:rPr>
          <w:rFonts w:ascii="Constantia" w:hAnsi="Constantia"/>
          <w:lang w:val="sr-Latn-CS"/>
        </w:rPr>
        <w:t>Na teritoriji opštine Kotor mjerenje nivoa buke vršeno je u Starom gradu – zgrada Pomorskog muzeja, u intervalu dnevnog (L</w:t>
      </w:r>
      <w:r w:rsidRPr="002D5BBA">
        <w:rPr>
          <w:rFonts w:ascii="Constantia" w:hAnsi="Constantia"/>
          <w:vertAlign w:val="subscript"/>
          <w:lang w:val="sr-Latn-CS"/>
        </w:rPr>
        <w:t>day</w:t>
      </w:r>
      <w:r w:rsidRPr="002D5BBA">
        <w:rPr>
          <w:rFonts w:ascii="Constantia" w:hAnsi="Constantia"/>
          <w:lang w:val="sr-Latn-CS"/>
        </w:rPr>
        <w:t>) 7-19h, večernjeg (L</w:t>
      </w:r>
      <w:r w:rsidRPr="002D5BBA">
        <w:rPr>
          <w:rFonts w:ascii="Constantia" w:hAnsi="Constantia"/>
          <w:vertAlign w:val="subscript"/>
          <w:lang w:val="sr-Latn-CS"/>
        </w:rPr>
        <w:t>evening</w:t>
      </w:r>
      <w:r w:rsidRPr="002D5BBA">
        <w:rPr>
          <w:rFonts w:ascii="Constantia" w:hAnsi="Constantia"/>
          <w:lang w:val="sr-Latn-CS"/>
        </w:rPr>
        <w:t>) 19-23h i noćnog perioda (L</w:t>
      </w:r>
      <w:r w:rsidRPr="002D5BBA">
        <w:rPr>
          <w:rFonts w:ascii="Constantia" w:hAnsi="Constantia"/>
          <w:vertAlign w:val="subscript"/>
          <w:lang w:val="sr-Latn-CS"/>
        </w:rPr>
        <w:t>night</w:t>
      </w:r>
      <w:r w:rsidRPr="002D5BBA">
        <w:rPr>
          <w:rFonts w:ascii="Constantia" w:hAnsi="Constantia"/>
          <w:lang w:val="sr-Latn-CS"/>
        </w:rPr>
        <w:t>) 23-7h.</w:t>
      </w:r>
    </w:p>
    <w:p w:rsidR="00EB3E54" w:rsidRPr="002D5BBA" w:rsidRDefault="00EB3E54" w:rsidP="00EB3E54">
      <w:pPr>
        <w:rPr>
          <w:rFonts w:ascii="Constantia" w:hAnsi="Constantia"/>
        </w:rPr>
      </w:pPr>
      <w:r w:rsidRPr="002D5BBA">
        <w:rPr>
          <w:rFonts w:ascii="Constantia" w:hAnsi="Constantia"/>
          <w:b/>
          <w:lang w:val="sr-Latn-CS"/>
        </w:rPr>
        <w:t>Nivo buke u I ciklusu</w:t>
      </w:r>
      <w:r w:rsidRPr="002D5BBA">
        <w:rPr>
          <w:rFonts w:ascii="Constantia" w:hAnsi="Constantia"/>
          <w:lang w:val="sr-Latn-CS"/>
        </w:rPr>
        <w:t xml:space="preserve"> mjeren je u periodu </w:t>
      </w:r>
      <w:r w:rsidRPr="002D5BBA">
        <w:rPr>
          <w:rFonts w:ascii="Constantia" w:hAnsi="Constantia"/>
        </w:rPr>
        <w:t xml:space="preserve">od 10-19.08.2013. godine. </w:t>
      </w:r>
    </w:p>
    <w:p w:rsidR="00EB3E54" w:rsidRPr="002D5BBA" w:rsidRDefault="00EB3E54" w:rsidP="00EB3E54">
      <w:pPr>
        <w:rPr>
          <w:rFonts w:ascii="Constantia" w:hAnsi="Constantia"/>
          <w:lang w:val="sr-Latn-CS"/>
        </w:rPr>
      </w:pPr>
      <w:r w:rsidRPr="002D5BBA">
        <w:rPr>
          <w:rFonts w:ascii="Constantia" w:hAnsi="Constantia"/>
          <w:b/>
        </w:rPr>
        <w:t>Nivo buke u II ciklusu</w:t>
      </w:r>
      <w:r w:rsidRPr="002D5BBA">
        <w:rPr>
          <w:rFonts w:ascii="Constantia" w:hAnsi="Constantia"/>
        </w:rPr>
        <w:t xml:space="preserve"> </w:t>
      </w:r>
      <w:r w:rsidRPr="002D5BBA">
        <w:rPr>
          <w:rFonts w:ascii="Constantia" w:hAnsi="Constantia"/>
          <w:lang w:val="sr-Latn-CS"/>
        </w:rPr>
        <w:t xml:space="preserve">mjeren je u periodu </w:t>
      </w:r>
      <w:r w:rsidRPr="002D5BBA">
        <w:rPr>
          <w:rFonts w:ascii="Constantia" w:hAnsi="Constantia"/>
        </w:rPr>
        <w:t>od 24-30.12.2013. godine.</w:t>
      </w:r>
      <w:r w:rsidRPr="002D5BBA">
        <w:rPr>
          <w:rFonts w:ascii="Constantia" w:hAnsi="Constantia"/>
          <w:lang w:val="sr-Latn-CS"/>
        </w:rPr>
        <w:t xml:space="preserve"> </w:t>
      </w:r>
    </w:p>
    <w:p w:rsidR="00EB3E54" w:rsidRPr="002D5BBA" w:rsidRDefault="00EB3E54" w:rsidP="00EB3E54">
      <w:pPr>
        <w:rPr>
          <w:rFonts w:ascii="Constantia" w:hAnsi="Constantia"/>
          <w:lang w:val="sr-Latn-CS"/>
        </w:rPr>
      </w:pPr>
      <w:r w:rsidRPr="002D5BBA">
        <w:rPr>
          <w:rFonts w:ascii="Constantia" w:hAnsi="Constantia"/>
          <w:lang w:val="sr-Latn-CS"/>
        </w:rPr>
        <w:t xml:space="preserve">Srednje vrijednosti nivoa buke za </w:t>
      </w:r>
      <w:r w:rsidRPr="002D5BBA">
        <w:rPr>
          <w:rFonts w:ascii="Constantia" w:hAnsi="Constantia"/>
          <w:b/>
          <w:lang w:val="sr-Latn-CS"/>
        </w:rPr>
        <w:t>L</w:t>
      </w:r>
      <w:r w:rsidRPr="002D5BBA">
        <w:rPr>
          <w:rFonts w:ascii="Constantia" w:hAnsi="Constantia"/>
          <w:b/>
          <w:vertAlign w:val="subscript"/>
          <w:lang w:val="sr-Latn-CS"/>
        </w:rPr>
        <w:t>night</w:t>
      </w:r>
      <w:r w:rsidRPr="002D5BBA">
        <w:rPr>
          <w:rFonts w:ascii="Constantia" w:hAnsi="Constantia"/>
          <w:lang w:val="sr-Latn-CS"/>
        </w:rPr>
        <w:t xml:space="preserve"> – indikator noćnog nivoa buke koji se odnosi na vrijeme od 23 do 7 časova prikazane, prikazane su </w:t>
      </w:r>
      <w:r w:rsidR="00172DC4">
        <w:rPr>
          <w:rFonts w:ascii="Constantia" w:hAnsi="Constantia"/>
          <w:lang w:val="sr-Latn-CS"/>
        </w:rPr>
        <w:t xml:space="preserve">na </w:t>
      </w:r>
      <w:r w:rsidR="00172DC4" w:rsidRPr="00172DC4">
        <w:rPr>
          <w:rFonts w:ascii="Constantia" w:hAnsi="Constantia"/>
          <w:i/>
          <w:lang w:val="sr-Latn-CS"/>
        </w:rPr>
        <w:t>Gr</w:t>
      </w:r>
      <w:r w:rsidRPr="00172DC4">
        <w:rPr>
          <w:rFonts w:ascii="Constantia" w:hAnsi="Constantia"/>
          <w:i/>
          <w:lang w:val="sr-Latn-CS"/>
        </w:rPr>
        <w:t xml:space="preserve">afikonu </w:t>
      </w:r>
      <w:r w:rsidR="00172DC4" w:rsidRPr="00172DC4">
        <w:rPr>
          <w:rFonts w:ascii="Constantia" w:hAnsi="Constantia"/>
          <w:i/>
          <w:lang w:val="sr-Latn-CS"/>
        </w:rPr>
        <w:t>8</w:t>
      </w:r>
      <w:r w:rsidRPr="00172DC4">
        <w:rPr>
          <w:rFonts w:ascii="Constantia" w:hAnsi="Constantia"/>
          <w:i/>
          <w:lang w:val="sr-Latn-CS"/>
        </w:rPr>
        <w:t>6</w:t>
      </w:r>
      <w:r w:rsidRPr="002D5BBA">
        <w:rPr>
          <w:rFonts w:ascii="Constantia" w:hAnsi="Constantia"/>
          <w:lang w:val="sr-Latn-CS"/>
        </w:rPr>
        <w:t>.</w:t>
      </w:r>
    </w:p>
    <w:p w:rsidR="00EB3E54" w:rsidRPr="00EB3E54" w:rsidRDefault="00EB3E54" w:rsidP="00425BEC">
      <w:pPr>
        <w:spacing w:before="240"/>
        <w:jc w:val="center"/>
        <w:rPr>
          <w:lang w:val="sr-Latn-CS"/>
        </w:rPr>
      </w:pPr>
      <w:r w:rsidRPr="00EB3E54">
        <w:rPr>
          <w:noProof/>
        </w:rPr>
        <w:drawing>
          <wp:inline distT="0" distB="0" distL="0" distR="0" wp14:anchorId="1C8DDC23" wp14:editId="0942E995">
            <wp:extent cx="5095875" cy="2019300"/>
            <wp:effectExtent l="0" t="0" r="0" b="0"/>
            <wp:docPr id="242" name="Chart 2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3"/>
              </a:graphicData>
            </a:graphic>
          </wp:inline>
        </w:drawing>
      </w:r>
    </w:p>
    <w:p w:rsidR="00EB3E54" w:rsidRPr="00690B1C" w:rsidRDefault="00EB3E54" w:rsidP="00EB3E54">
      <w:pPr>
        <w:numPr>
          <w:ilvl w:val="0"/>
          <w:numId w:val="4"/>
        </w:numPr>
        <w:ind w:left="360"/>
        <w:jc w:val="center"/>
        <w:rPr>
          <w:rFonts w:ascii="Constantia" w:hAnsi="Constantia"/>
          <w:i/>
          <w:szCs w:val="22"/>
          <w:lang w:val="sr-Latn-CS"/>
        </w:rPr>
      </w:pPr>
      <w:r w:rsidRPr="00690B1C">
        <w:rPr>
          <w:rFonts w:ascii="Constantia" w:hAnsi="Constantia"/>
          <w:i/>
          <w:szCs w:val="22"/>
          <w:lang w:val="sr-Latn-CS"/>
        </w:rPr>
        <w:t>Srednje vrijednosti nivoa buke (L</w:t>
      </w:r>
      <w:r w:rsidRPr="00690B1C">
        <w:rPr>
          <w:rFonts w:ascii="Constantia" w:hAnsi="Constantia"/>
          <w:i/>
          <w:szCs w:val="22"/>
          <w:vertAlign w:val="subscript"/>
          <w:lang w:val="sr-Latn-CS"/>
        </w:rPr>
        <w:t>night</w:t>
      </w:r>
      <w:r w:rsidRPr="00690B1C">
        <w:rPr>
          <w:rFonts w:ascii="Constantia" w:hAnsi="Constantia"/>
          <w:i/>
          <w:szCs w:val="22"/>
          <w:lang w:val="sr-Latn-CS"/>
        </w:rPr>
        <w:t>) na mjernom mjestu u Kotoru</w:t>
      </w:r>
    </w:p>
    <w:p w:rsidR="00172DC4" w:rsidRDefault="00172DC4" w:rsidP="00EB3E54"/>
    <w:p w:rsidR="00EB3E54" w:rsidRPr="00B345F4" w:rsidRDefault="00425BEC" w:rsidP="00EB3E54">
      <w:pPr>
        <w:rPr>
          <w:rFonts w:ascii="Constantia" w:hAnsi="Constantia"/>
          <w:szCs w:val="22"/>
        </w:rPr>
      </w:pPr>
      <w:r w:rsidRPr="00B345F4">
        <w:rPr>
          <w:rFonts w:ascii="Constantia" w:hAnsi="Constantia"/>
        </w:rPr>
        <w:t xml:space="preserve">Na </w:t>
      </w:r>
      <w:r w:rsidRPr="00B345F4">
        <w:rPr>
          <w:rFonts w:ascii="Constantia" w:hAnsi="Constantia"/>
          <w:i/>
        </w:rPr>
        <w:t>S</w:t>
      </w:r>
      <w:r w:rsidR="00EB3E54" w:rsidRPr="00B345F4">
        <w:rPr>
          <w:rFonts w:ascii="Constantia" w:hAnsi="Constantia"/>
          <w:i/>
        </w:rPr>
        <w:t xml:space="preserve">lici </w:t>
      </w:r>
      <w:r w:rsidR="00B345F4" w:rsidRPr="00B345F4">
        <w:rPr>
          <w:rFonts w:ascii="Constantia" w:hAnsi="Constantia"/>
          <w:i/>
        </w:rPr>
        <w:t>20.</w:t>
      </w:r>
      <w:r w:rsidR="00EB3E54" w:rsidRPr="00B345F4">
        <w:rPr>
          <w:rFonts w:ascii="Constantia" w:hAnsi="Constantia"/>
        </w:rPr>
        <w:t xml:space="preserve"> prikazano je mjerno mjesto u Starom gradu - Kotor</w:t>
      </w:r>
      <w:r w:rsidR="00EB3E54" w:rsidRPr="00B345F4">
        <w:rPr>
          <w:rFonts w:ascii="Constantia" w:hAnsi="Constantia"/>
          <w:szCs w:val="22"/>
        </w:rPr>
        <w:t>.</w:t>
      </w:r>
    </w:p>
    <w:p w:rsidR="00EB3E54" w:rsidRPr="00EB3E54" w:rsidRDefault="00EB3E54" w:rsidP="00B345F4">
      <w:pPr>
        <w:spacing w:before="240"/>
        <w:jc w:val="center"/>
      </w:pPr>
      <w:r w:rsidRPr="00EB3E54">
        <w:rPr>
          <w:noProof/>
          <w:sz w:val="24"/>
        </w:rPr>
        <w:lastRenderedPageBreak/>
        <w:drawing>
          <wp:inline distT="0" distB="0" distL="0" distR="0" wp14:anchorId="6707BBD0" wp14:editId="2EBD0DBB">
            <wp:extent cx="2867025" cy="1924050"/>
            <wp:effectExtent l="0" t="0" r="0" b="0"/>
            <wp:docPr id="243" name="Picture 243" descr="DSC03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SC03514"/>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867025" cy="1924050"/>
                    </a:xfrm>
                    <a:prstGeom prst="rect">
                      <a:avLst/>
                    </a:prstGeom>
                    <a:noFill/>
                    <a:ln>
                      <a:noFill/>
                    </a:ln>
                  </pic:spPr>
                </pic:pic>
              </a:graphicData>
            </a:graphic>
          </wp:inline>
        </w:drawing>
      </w:r>
    </w:p>
    <w:p w:rsidR="003C1FAD" w:rsidRPr="00143B62" w:rsidRDefault="00143B62" w:rsidP="00143B62">
      <w:pPr>
        <w:pStyle w:val="Slika"/>
        <w:tabs>
          <w:tab w:val="left" w:pos="1080"/>
        </w:tabs>
        <w:ind w:left="360"/>
        <w:rPr>
          <w:rFonts w:ascii="Constantia" w:hAnsi="Constantia"/>
          <w:color w:val="000000" w:themeColor="text1"/>
          <w:sz w:val="20"/>
          <w:lang w:val="sr-Latn-CS"/>
        </w:rPr>
      </w:pPr>
      <w:r w:rsidRPr="00143B62">
        <w:rPr>
          <w:rFonts w:ascii="Constantia" w:hAnsi="Constantia"/>
        </w:rPr>
        <w:t xml:space="preserve">Mjerno mjesto u </w:t>
      </w:r>
      <w:r w:rsidR="003B1EF8">
        <w:rPr>
          <w:rFonts w:ascii="Constantia" w:hAnsi="Constantia"/>
        </w:rPr>
        <w:t>Kotoru</w:t>
      </w:r>
    </w:p>
    <w:p w:rsidR="00143B62" w:rsidRDefault="00143B62" w:rsidP="00300A0E">
      <w:pPr>
        <w:spacing w:after="0"/>
        <w:rPr>
          <w:rFonts w:ascii="Constantia" w:hAnsi="Constantia"/>
          <w:szCs w:val="22"/>
        </w:rPr>
      </w:pPr>
    </w:p>
    <w:p w:rsidR="00EB3E54" w:rsidRDefault="00EB3E54" w:rsidP="00EB3E54">
      <w:pPr>
        <w:rPr>
          <w:rFonts w:ascii="Constantia" w:hAnsi="Constantia"/>
          <w:lang w:val="sr-Latn-CS"/>
        </w:rPr>
      </w:pPr>
      <w:r w:rsidRPr="00B345F4">
        <w:rPr>
          <w:rFonts w:ascii="Constantia" w:hAnsi="Constantia"/>
          <w:szCs w:val="22"/>
        </w:rPr>
        <w:t>Rezultati mjerenja prikazani kao srednje vrijednosti za</w:t>
      </w:r>
      <w:r w:rsidR="00874AEE">
        <w:rPr>
          <w:rFonts w:ascii="Constantia" w:hAnsi="Constantia"/>
          <w:szCs w:val="22"/>
        </w:rPr>
        <w:t xml:space="preserve"> </w:t>
      </w:r>
      <w:r w:rsidRPr="00B345F4">
        <w:rPr>
          <w:rFonts w:ascii="Constantia" w:hAnsi="Constantia"/>
          <w:b/>
          <w:lang w:val="sr-Latn-CS"/>
        </w:rPr>
        <w:t>L</w:t>
      </w:r>
      <w:r w:rsidRPr="00B345F4">
        <w:rPr>
          <w:rFonts w:ascii="Constantia" w:hAnsi="Constantia"/>
          <w:b/>
          <w:vertAlign w:val="subscript"/>
          <w:lang w:val="sr-Latn-CS"/>
        </w:rPr>
        <w:t>den</w:t>
      </w:r>
      <w:r w:rsidRPr="00B345F4">
        <w:rPr>
          <w:rFonts w:ascii="Constantia" w:hAnsi="Constantia"/>
          <w:lang w:val="sr-Latn-CS"/>
        </w:rPr>
        <w:t xml:space="preserve"> -  ukupni indikator nivoa buke tokom dana, večeri i noći, </w:t>
      </w:r>
      <w:r w:rsidRPr="00B345F4">
        <w:rPr>
          <w:rFonts w:ascii="Constantia" w:hAnsi="Constantia"/>
          <w:b/>
          <w:lang w:val="sr-Latn-CS"/>
        </w:rPr>
        <w:t>L</w:t>
      </w:r>
      <w:r w:rsidRPr="00B345F4">
        <w:rPr>
          <w:rFonts w:ascii="Constantia" w:hAnsi="Constantia"/>
          <w:b/>
          <w:vertAlign w:val="subscript"/>
          <w:lang w:val="sr-Latn-CS"/>
        </w:rPr>
        <w:t>day</w:t>
      </w:r>
      <w:r w:rsidRPr="00B345F4">
        <w:rPr>
          <w:rFonts w:ascii="Constantia" w:hAnsi="Constantia"/>
          <w:lang w:val="sr-Latn-CS"/>
        </w:rPr>
        <w:t xml:space="preserve"> – indikator dnevnog nivoa buke i odnosi se na vrijeme od 7 do 19 časova, </w:t>
      </w:r>
      <w:r w:rsidRPr="00B345F4">
        <w:rPr>
          <w:rFonts w:ascii="Constantia" w:hAnsi="Constantia"/>
          <w:b/>
          <w:lang w:val="sr-Latn-CS"/>
        </w:rPr>
        <w:t>L</w:t>
      </w:r>
      <w:r w:rsidRPr="00B345F4">
        <w:rPr>
          <w:rFonts w:ascii="Constantia" w:hAnsi="Constantia"/>
          <w:b/>
          <w:vertAlign w:val="subscript"/>
          <w:lang w:val="sr-Latn-CS"/>
        </w:rPr>
        <w:t>evening</w:t>
      </w:r>
      <w:r w:rsidRPr="00B345F4">
        <w:rPr>
          <w:rFonts w:ascii="Constantia" w:hAnsi="Constantia"/>
          <w:lang w:val="sr-Latn-CS"/>
        </w:rPr>
        <w:t xml:space="preserve"> – indikator nivoa buke tokom večernjih časova i odnosi se na vrijeme od 19 do 23 časova, </w:t>
      </w:r>
      <w:r w:rsidRPr="00B345F4">
        <w:rPr>
          <w:rFonts w:ascii="Constantia" w:hAnsi="Constantia"/>
          <w:b/>
          <w:lang w:val="sr-Latn-CS"/>
        </w:rPr>
        <w:t>L</w:t>
      </w:r>
      <w:r w:rsidRPr="00B345F4">
        <w:rPr>
          <w:rFonts w:ascii="Constantia" w:hAnsi="Constantia"/>
          <w:b/>
          <w:vertAlign w:val="subscript"/>
          <w:lang w:val="sr-Latn-CS"/>
        </w:rPr>
        <w:t>night</w:t>
      </w:r>
      <w:r w:rsidRPr="00B345F4">
        <w:rPr>
          <w:rFonts w:ascii="Constantia" w:hAnsi="Constantia"/>
          <w:lang w:val="sr-Latn-CS"/>
        </w:rPr>
        <w:t xml:space="preserve"> – indikator noćnog nivoa buke i odnosi se na vrijeme od</w:t>
      </w:r>
      <w:r w:rsidR="003C1FAD">
        <w:rPr>
          <w:rFonts w:ascii="Constantia" w:hAnsi="Constantia"/>
          <w:lang w:val="sr-Latn-CS"/>
        </w:rPr>
        <w:t xml:space="preserve"> 23 do 7 časova</w:t>
      </w:r>
      <w:r w:rsidR="003B1EF8">
        <w:rPr>
          <w:rFonts w:ascii="Constantia" w:hAnsi="Constantia"/>
          <w:lang w:val="sr-Latn-CS"/>
        </w:rPr>
        <w:t xml:space="preserve"> za Kotoru</w:t>
      </w:r>
      <w:r w:rsidR="003C1FAD">
        <w:rPr>
          <w:rFonts w:ascii="Constantia" w:hAnsi="Constantia"/>
          <w:lang w:val="sr-Latn-CS"/>
        </w:rPr>
        <w:t xml:space="preserve"> prikazani su u </w:t>
      </w:r>
      <w:r w:rsidR="003C1FAD" w:rsidRPr="003C1FAD">
        <w:rPr>
          <w:rFonts w:ascii="Constantia" w:hAnsi="Constantia"/>
          <w:i/>
          <w:lang w:val="sr-Latn-CS"/>
        </w:rPr>
        <w:t>T</w:t>
      </w:r>
      <w:r w:rsidRPr="003C1FAD">
        <w:rPr>
          <w:rFonts w:ascii="Constantia" w:hAnsi="Constantia"/>
          <w:i/>
          <w:lang w:val="sr-Latn-CS"/>
        </w:rPr>
        <w:t>abeli 9</w:t>
      </w:r>
      <w:r w:rsidR="003C1FAD" w:rsidRPr="003C1FAD">
        <w:rPr>
          <w:rFonts w:ascii="Constantia" w:hAnsi="Constantia"/>
          <w:i/>
          <w:lang w:val="sr-Latn-CS"/>
        </w:rPr>
        <w:t>6</w:t>
      </w:r>
      <w:r w:rsidRPr="00B345F4">
        <w:rPr>
          <w:rFonts w:ascii="Constantia" w:hAnsi="Constantia"/>
          <w:lang w:val="sr-Latn-CS"/>
        </w:rPr>
        <w:t>.</w:t>
      </w:r>
    </w:p>
    <w:p w:rsidR="003C1FAD" w:rsidRPr="00B345F4" w:rsidRDefault="003C1FAD" w:rsidP="00874AEE">
      <w:pPr>
        <w:spacing w:after="0"/>
        <w:rPr>
          <w:rFonts w:ascii="Constantia" w:hAnsi="Constantia"/>
          <w:lang w:val="sr-Latn-CS"/>
        </w:rPr>
      </w:pPr>
    </w:p>
    <w:tbl>
      <w:tblPr>
        <w:tblStyle w:val="LightList-Accent6"/>
        <w:tblW w:w="0" w:type="auto"/>
        <w:tblInd w:w="198" w:type="dxa"/>
        <w:tblLook w:val="04A0" w:firstRow="1" w:lastRow="0" w:firstColumn="1" w:lastColumn="0" w:noHBand="0" w:noVBand="1"/>
      </w:tblPr>
      <w:tblGrid>
        <w:gridCol w:w="2268"/>
        <w:gridCol w:w="1710"/>
        <w:gridCol w:w="1710"/>
        <w:gridCol w:w="1710"/>
        <w:gridCol w:w="1602"/>
      </w:tblGrid>
      <w:tr w:rsidR="00EB3E54" w:rsidRPr="003C1FAD" w:rsidTr="003C1F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rsidR="00EB3E54" w:rsidRPr="003C1FAD" w:rsidRDefault="00EB3E54" w:rsidP="00EB3E54">
            <w:pPr>
              <w:keepLines/>
              <w:widowControl w:val="0"/>
              <w:tabs>
                <w:tab w:val="left" w:pos="1134"/>
                <w:tab w:val="left" w:pos="2268"/>
              </w:tabs>
              <w:autoSpaceDE w:val="0"/>
              <w:autoSpaceDN w:val="0"/>
              <w:spacing w:before="120" w:after="60"/>
              <w:jc w:val="center"/>
              <w:rPr>
                <w:rFonts w:ascii="Constantia" w:hAnsi="Constantia"/>
                <w:b w:val="0"/>
                <w:color w:val="auto"/>
                <w:szCs w:val="22"/>
                <w:lang w:val="pl-PL"/>
              </w:rPr>
            </w:pPr>
          </w:p>
        </w:tc>
        <w:tc>
          <w:tcPr>
            <w:tcW w:w="1710" w:type="dxa"/>
          </w:tcPr>
          <w:p w:rsidR="00EB3E54" w:rsidRPr="003C1FAD" w:rsidRDefault="00EB3E54" w:rsidP="00EB3E54">
            <w:pPr>
              <w:keepLines/>
              <w:widowControl w:val="0"/>
              <w:tabs>
                <w:tab w:val="left" w:pos="1134"/>
                <w:tab w:val="left" w:pos="2268"/>
              </w:tabs>
              <w:autoSpaceDE w:val="0"/>
              <w:autoSpaceDN w:val="0"/>
              <w:spacing w:before="120" w:after="60"/>
              <w:jc w:val="center"/>
              <w:cnfStyle w:val="100000000000" w:firstRow="1" w:lastRow="0" w:firstColumn="0" w:lastColumn="0" w:oddVBand="0" w:evenVBand="0" w:oddHBand="0" w:evenHBand="0" w:firstRowFirstColumn="0" w:firstRowLastColumn="0" w:lastRowFirstColumn="0" w:lastRowLastColumn="0"/>
              <w:rPr>
                <w:rFonts w:ascii="Constantia" w:hAnsi="Constantia"/>
                <w:color w:val="auto"/>
                <w:szCs w:val="22"/>
              </w:rPr>
            </w:pPr>
            <w:r w:rsidRPr="003C1FAD">
              <w:rPr>
                <w:rFonts w:ascii="Constantia" w:hAnsi="Constantia"/>
                <w:color w:val="auto"/>
                <w:szCs w:val="22"/>
              </w:rPr>
              <w:t>L</w:t>
            </w:r>
            <w:r w:rsidRPr="003C1FAD">
              <w:rPr>
                <w:rFonts w:ascii="Constantia" w:hAnsi="Constantia"/>
                <w:b w:val="0"/>
                <w:color w:val="auto"/>
                <w:szCs w:val="22"/>
                <w:vertAlign w:val="subscript"/>
              </w:rPr>
              <w:t>day</w:t>
            </w:r>
            <w:r w:rsidRPr="003C1FAD">
              <w:rPr>
                <w:rFonts w:ascii="Constantia" w:hAnsi="Constantia"/>
                <w:color w:val="auto"/>
                <w:szCs w:val="22"/>
              </w:rPr>
              <w:t xml:space="preserve"> (dB)</w:t>
            </w:r>
          </w:p>
        </w:tc>
        <w:tc>
          <w:tcPr>
            <w:tcW w:w="1710" w:type="dxa"/>
          </w:tcPr>
          <w:p w:rsidR="00EB3E54" w:rsidRPr="003C1FAD" w:rsidRDefault="00EB3E54" w:rsidP="00EB3E54">
            <w:pPr>
              <w:keepLines/>
              <w:widowControl w:val="0"/>
              <w:tabs>
                <w:tab w:val="left" w:pos="1134"/>
                <w:tab w:val="left" w:pos="2268"/>
              </w:tabs>
              <w:autoSpaceDE w:val="0"/>
              <w:autoSpaceDN w:val="0"/>
              <w:spacing w:before="120" w:after="60"/>
              <w:jc w:val="center"/>
              <w:cnfStyle w:val="100000000000" w:firstRow="1" w:lastRow="0" w:firstColumn="0" w:lastColumn="0" w:oddVBand="0" w:evenVBand="0" w:oddHBand="0" w:evenHBand="0" w:firstRowFirstColumn="0" w:firstRowLastColumn="0" w:lastRowFirstColumn="0" w:lastRowLastColumn="0"/>
              <w:rPr>
                <w:rFonts w:ascii="Constantia" w:hAnsi="Constantia"/>
                <w:color w:val="auto"/>
                <w:szCs w:val="22"/>
              </w:rPr>
            </w:pPr>
            <w:r w:rsidRPr="003C1FAD">
              <w:rPr>
                <w:rFonts w:ascii="Constantia" w:hAnsi="Constantia"/>
                <w:color w:val="auto"/>
                <w:szCs w:val="22"/>
              </w:rPr>
              <w:t>L</w:t>
            </w:r>
            <w:r w:rsidRPr="003C1FAD">
              <w:rPr>
                <w:rFonts w:ascii="Constantia" w:hAnsi="Constantia"/>
                <w:b w:val="0"/>
                <w:color w:val="auto"/>
                <w:szCs w:val="22"/>
                <w:vertAlign w:val="subscript"/>
              </w:rPr>
              <w:t>evening</w:t>
            </w:r>
            <w:r w:rsidRPr="003C1FAD">
              <w:rPr>
                <w:rFonts w:ascii="Constantia" w:hAnsi="Constantia"/>
                <w:color w:val="auto"/>
                <w:szCs w:val="22"/>
              </w:rPr>
              <w:t xml:space="preserve"> (dB)</w:t>
            </w:r>
          </w:p>
        </w:tc>
        <w:tc>
          <w:tcPr>
            <w:tcW w:w="1710" w:type="dxa"/>
          </w:tcPr>
          <w:p w:rsidR="00EB3E54" w:rsidRPr="003C1FAD" w:rsidRDefault="00EB3E54" w:rsidP="00EB3E54">
            <w:pPr>
              <w:keepLines/>
              <w:widowControl w:val="0"/>
              <w:tabs>
                <w:tab w:val="left" w:pos="1134"/>
                <w:tab w:val="left" w:pos="2268"/>
              </w:tabs>
              <w:autoSpaceDE w:val="0"/>
              <w:autoSpaceDN w:val="0"/>
              <w:spacing w:before="120" w:after="60"/>
              <w:jc w:val="center"/>
              <w:cnfStyle w:val="100000000000" w:firstRow="1" w:lastRow="0" w:firstColumn="0" w:lastColumn="0" w:oddVBand="0" w:evenVBand="0" w:oddHBand="0" w:evenHBand="0" w:firstRowFirstColumn="0" w:firstRowLastColumn="0" w:lastRowFirstColumn="0" w:lastRowLastColumn="0"/>
              <w:rPr>
                <w:rFonts w:ascii="Constantia" w:hAnsi="Constantia"/>
                <w:b w:val="0"/>
                <w:color w:val="auto"/>
                <w:szCs w:val="22"/>
              </w:rPr>
            </w:pPr>
            <w:r w:rsidRPr="003C1FAD">
              <w:rPr>
                <w:rFonts w:ascii="Constantia" w:hAnsi="Constantia"/>
                <w:color w:val="auto"/>
                <w:szCs w:val="22"/>
              </w:rPr>
              <w:t>L</w:t>
            </w:r>
            <w:r w:rsidRPr="003C1FAD">
              <w:rPr>
                <w:rFonts w:ascii="Constantia" w:hAnsi="Constantia"/>
                <w:b w:val="0"/>
                <w:color w:val="auto"/>
                <w:szCs w:val="22"/>
                <w:vertAlign w:val="subscript"/>
              </w:rPr>
              <w:t>night</w:t>
            </w:r>
            <w:r w:rsidRPr="003C1FAD">
              <w:rPr>
                <w:rFonts w:ascii="Constantia" w:hAnsi="Constantia"/>
                <w:b w:val="0"/>
                <w:color w:val="auto"/>
                <w:szCs w:val="22"/>
              </w:rPr>
              <w:t xml:space="preserve"> </w:t>
            </w:r>
            <w:r w:rsidRPr="003C1FAD">
              <w:rPr>
                <w:rFonts w:ascii="Constantia" w:hAnsi="Constantia"/>
                <w:color w:val="auto"/>
                <w:szCs w:val="22"/>
              </w:rPr>
              <w:t>(dB)</w:t>
            </w:r>
          </w:p>
        </w:tc>
        <w:tc>
          <w:tcPr>
            <w:tcW w:w="1602" w:type="dxa"/>
          </w:tcPr>
          <w:p w:rsidR="00EB3E54" w:rsidRPr="003C1FAD" w:rsidRDefault="00EB3E54" w:rsidP="00EB3E54">
            <w:pPr>
              <w:keepLines/>
              <w:widowControl w:val="0"/>
              <w:tabs>
                <w:tab w:val="left" w:pos="1134"/>
                <w:tab w:val="left" w:pos="2268"/>
              </w:tabs>
              <w:autoSpaceDE w:val="0"/>
              <w:autoSpaceDN w:val="0"/>
              <w:spacing w:before="120" w:after="60"/>
              <w:jc w:val="center"/>
              <w:cnfStyle w:val="100000000000" w:firstRow="1" w:lastRow="0" w:firstColumn="0" w:lastColumn="0" w:oddVBand="0" w:evenVBand="0" w:oddHBand="0" w:evenHBand="0" w:firstRowFirstColumn="0" w:firstRowLastColumn="0" w:lastRowFirstColumn="0" w:lastRowLastColumn="0"/>
              <w:rPr>
                <w:rFonts w:ascii="Constantia" w:hAnsi="Constantia"/>
                <w:color w:val="auto"/>
                <w:szCs w:val="22"/>
              </w:rPr>
            </w:pPr>
            <w:r w:rsidRPr="003C1FAD">
              <w:rPr>
                <w:rFonts w:ascii="Constantia" w:hAnsi="Constantia"/>
                <w:color w:val="auto"/>
                <w:szCs w:val="22"/>
              </w:rPr>
              <w:t>L</w:t>
            </w:r>
            <w:r w:rsidRPr="003C1FAD">
              <w:rPr>
                <w:rFonts w:ascii="Constantia" w:hAnsi="Constantia"/>
                <w:b w:val="0"/>
                <w:color w:val="auto"/>
                <w:szCs w:val="22"/>
                <w:vertAlign w:val="subscript"/>
              </w:rPr>
              <w:t>den</w:t>
            </w:r>
            <w:r w:rsidRPr="003C1FAD">
              <w:rPr>
                <w:rFonts w:ascii="Constantia" w:hAnsi="Constantia"/>
                <w:color w:val="auto"/>
                <w:szCs w:val="22"/>
              </w:rPr>
              <w:t xml:space="preserve"> (dB)</w:t>
            </w:r>
          </w:p>
        </w:tc>
      </w:tr>
      <w:tr w:rsidR="00EB3E54" w:rsidRPr="003C1FAD" w:rsidTr="003C1F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rsidR="00EB3E54" w:rsidRPr="003C1FAD" w:rsidRDefault="00EB3E54" w:rsidP="0097248A">
            <w:pPr>
              <w:keepLines/>
              <w:widowControl w:val="0"/>
              <w:tabs>
                <w:tab w:val="left" w:pos="1134"/>
                <w:tab w:val="left" w:pos="2268"/>
              </w:tabs>
              <w:autoSpaceDE w:val="0"/>
              <w:autoSpaceDN w:val="0"/>
              <w:spacing w:after="60"/>
              <w:jc w:val="center"/>
              <w:rPr>
                <w:rFonts w:ascii="Constantia" w:hAnsi="Constantia"/>
                <w:szCs w:val="22"/>
              </w:rPr>
            </w:pPr>
            <w:r w:rsidRPr="003C1FAD">
              <w:rPr>
                <w:rFonts w:ascii="Constantia" w:hAnsi="Constantia"/>
                <w:szCs w:val="22"/>
              </w:rPr>
              <w:t>I Ciklus</w:t>
            </w:r>
          </w:p>
        </w:tc>
        <w:tc>
          <w:tcPr>
            <w:tcW w:w="1710" w:type="dxa"/>
          </w:tcPr>
          <w:p w:rsidR="00EB3E54" w:rsidRPr="003C1FAD" w:rsidRDefault="00EB3E54" w:rsidP="0097248A">
            <w:pPr>
              <w:keepLines/>
              <w:widowControl w:val="0"/>
              <w:tabs>
                <w:tab w:val="left" w:pos="1134"/>
                <w:tab w:val="left" w:pos="2268"/>
              </w:tabs>
              <w:autoSpaceDE w:val="0"/>
              <w:autoSpaceDN w:val="0"/>
              <w:spacing w:after="6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3C1FAD">
              <w:rPr>
                <w:rFonts w:ascii="Constantia" w:hAnsi="Constantia"/>
                <w:b/>
                <w:szCs w:val="22"/>
              </w:rPr>
              <w:t>58</w:t>
            </w:r>
          </w:p>
        </w:tc>
        <w:tc>
          <w:tcPr>
            <w:tcW w:w="1710" w:type="dxa"/>
          </w:tcPr>
          <w:p w:rsidR="00EB3E54" w:rsidRPr="003C1FAD" w:rsidRDefault="00EB3E54" w:rsidP="0097248A">
            <w:pPr>
              <w:keepLines/>
              <w:widowControl w:val="0"/>
              <w:tabs>
                <w:tab w:val="left" w:pos="1134"/>
                <w:tab w:val="left" w:pos="2268"/>
              </w:tabs>
              <w:autoSpaceDE w:val="0"/>
              <w:autoSpaceDN w:val="0"/>
              <w:spacing w:after="6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3C1FAD">
              <w:rPr>
                <w:rFonts w:ascii="Constantia" w:hAnsi="Constantia"/>
                <w:b/>
                <w:szCs w:val="22"/>
              </w:rPr>
              <w:t>74</w:t>
            </w:r>
          </w:p>
        </w:tc>
        <w:tc>
          <w:tcPr>
            <w:tcW w:w="1710" w:type="dxa"/>
          </w:tcPr>
          <w:p w:rsidR="00EB3E54" w:rsidRPr="003C1FAD" w:rsidRDefault="00EB3E54" w:rsidP="0097248A">
            <w:pPr>
              <w:keepLines/>
              <w:widowControl w:val="0"/>
              <w:tabs>
                <w:tab w:val="left" w:pos="1134"/>
                <w:tab w:val="left" w:pos="2268"/>
              </w:tabs>
              <w:autoSpaceDE w:val="0"/>
              <w:autoSpaceDN w:val="0"/>
              <w:spacing w:after="6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3C1FAD">
              <w:rPr>
                <w:rFonts w:ascii="Constantia" w:hAnsi="Constantia"/>
                <w:b/>
                <w:szCs w:val="22"/>
              </w:rPr>
              <w:t>83</w:t>
            </w:r>
          </w:p>
        </w:tc>
        <w:tc>
          <w:tcPr>
            <w:tcW w:w="1602" w:type="dxa"/>
          </w:tcPr>
          <w:p w:rsidR="00EB3E54" w:rsidRPr="003C1FAD" w:rsidRDefault="00EB3E54" w:rsidP="0097248A">
            <w:pPr>
              <w:keepLines/>
              <w:widowControl w:val="0"/>
              <w:tabs>
                <w:tab w:val="left" w:pos="1134"/>
                <w:tab w:val="left" w:pos="2268"/>
              </w:tabs>
              <w:autoSpaceDE w:val="0"/>
              <w:autoSpaceDN w:val="0"/>
              <w:spacing w:after="6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3C1FAD">
              <w:rPr>
                <w:rFonts w:ascii="Constantia" w:hAnsi="Constantia"/>
                <w:b/>
                <w:szCs w:val="22"/>
              </w:rPr>
              <w:t>89</w:t>
            </w:r>
          </w:p>
        </w:tc>
      </w:tr>
      <w:tr w:rsidR="00EB3E54" w:rsidRPr="003C1FAD" w:rsidTr="003C1FAD">
        <w:tc>
          <w:tcPr>
            <w:cnfStyle w:val="001000000000" w:firstRow="0" w:lastRow="0" w:firstColumn="1" w:lastColumn="0" w:oddVBand="0" w:evenVBand="0" w:oddHBand="0" w:evenHBand="0" w:firstRowFirstColumn="0" w:firstRowLastColumn="0" w:lastRowFirstColumn="0" w:lastRowLastColumn="0"/>
            <w:tcW w:w="2268" w:type="dxa"/>
          </w:tcPr>
          <w:p w:rsidR="00EB3E54" w:rsidRPr="003C1FAD" w:rsidRDefault="00EB3E54" w:rsidP="0097248A">
            <w:pPr>
              <w:keepLines/>
              <w:widowControl w:val="0"/>
              <w:tabs>
                <w:tab w:val="left" w:pos="1134"/>
                <w:tab w:val="left" w:pos="2268"/>
              </w:tabs>
              <w:autoSpaceDE w:val="0"/>
              <w:autoSpaceDN w:val="0"/>
              <w:spacing w:after="60"/>
              <w:jc w:val="center"/>
              <w:rPr>
                <w:rFonts w:ascii="Constantia" w:hAnsi="Constantia"/>
                <w:szCs w:val="22"/>
              </w:rPr>
            </w:pPr>
            <w:r w:rsidRPr="003C1FAD">
              <w:rPr>
                <w:rFonts w:ascii="Constantia" w:hAnsi="Constantia"/>
                <w:szCs w:val="22"/>
              </w:rPr>
              <w:t>II Ciklus</w:t>
            </w:r>
          </w:p>
        </w:tc>
        <w:tc>
          <w:tcPr>
            <w:tcW w:w="1710" w:type="dxa"/>
          </w:tcPr>
          <w:p w:rsidR="00EB3E54" w:rsidRPr="003C1FAD" w:rsidRDefault="00EB3E54" w:rsidP="0097248A">
            <w:pPr>
              <w:keepLines/>
              <w:widowControl w:val="0"/>
              <w:tabs>
                <w:tab w:val="left" w:pos="1134"/>
                <w:tab w:val="left" w:pos="2268"/>
              </w:tabs>
              <w:autoSpaceDE w:val="0"/>
              <w:autoSpaceDN w:val="0"/>
              <w:spacing w:after="60"/>
              <w:jc w:val="center"/>
              <w:cnfStyle w:val="000000000000" w:firstRow="0" w:lastRow="0" w:firstColumn="0" w:lastColumn="0" w:oddVBand="0" w:evenVBand="0" w:oddHBand="0" w:evenHBand="0" w:firstRowFirstColumn="0" w:firstRowLastColumn="0" w:lastRowFirstColumn="0" w:lastRowLastColumn="0"/>
              <w:rPr>
                <w:rFonts w:ascii="Constantia" w:hAnsi="Constantia"/>
                <w:b/>
                <w:szCs w:val="22"/>
              </w:rPr>
            </w:pPr>
            <w:r w:rsidRPr="003C1FAD">
              <w:rPr>
                <w:rFonts w:ascii="Constantia" w:hAnsi="Constantia"/>
                <w:b/>
                <w:szCs w:val="22"/>
              </w:rPr>
              <w:t>59</w:t>
            </w:r>
          </w:p>
        </w:tc>
        <w:tc>
          <w:tcPr>
            <w:tcW w:w="1710" w:type="dxa"/>
          </w:tcPr>
          <w:p w:rsidR="00EB3E54" w:rsidRPr="003C1FAD" w:rsidRDefault="00EB3E54" w:rsidP="0097248A">
            <w:pPr>
              <w:keepLines/>
              <w:widowControl w:val="0"/>
              <w:tabs>
                <w:tab w:val="left" w:pos="1134"/>
                <w:tab w:val="left" w:pos="2268"/>
              </w:tabs>
              <w:autoSpaceDE w:val="0"/>
              <w:autoSpaceDN w:val="0"/>
              <w:spacing w:after="60"/>
              <w:jc w:val="center"/>
              <w:cnfStyle w:val="000000000000" w:firstRow="0" w:lastRow="0" w:firstColumn="0" w:lastColumn="0" w:oddVBand="0" w:evenVBand="0" w:oddHBand="0" w:evenHBand="0" w:firstRowFirstColumn="0" w:firstRowLastColumn="0" w:lastRowFirstColumn="0" w:lastRowLastColumn="0"/>
              <w:rPr>
                <w:rFonts w:ascii="Constantia" w:hAnsi="Constantia"/>
                <w:b/>
                <w:szCs w:val="22"/>
              </w:rPr>
            </w:pPr>
            <w:r w:rsidRPr="003C1FAD">
              <w:rPr>
                <w:rFonts w:ascii="Constantia" w:hAnsi="Constantia"/>
                <w:b/>
                <w:szCs w:val="22"/>
              </w:rPr>
              <w:t>63</w:t>
            </w:r>
          </w:p>
        </w:tc>
        <w:tc>
          <w:tcPr>
            <w:tcW w:w="1710" w:type="dxa"/>
          </w:tcPr>
          <w:p w:rsidR="00EB3E54" w:rsidRPr="003C1FAD" w:rsidRDefault="00EB3E54" w:rsidP="0097248A">
            <w:pPr>
              <w:keepLines/>
              <w:widowControl w:val="0"/>
              <w:tabs>
                <w:tab w:val="left" w:pos="1134"/>
                <w:tab w:val="left" w:pos="2268"/>
              </w:tabs>
              <w:autoSpaceDE w:val="0"/>
              <w:autoSpaceDN w:val="0"/>
              <w:spacing w:after="60"/>
              <w:jc w:val="center"/>
              <w:cnfStyle w:val="000000000000" w:firstRow="0" w:lastRow="0" w:firstColumn="0" w:lastColumn="0" w:oddVBand="0" w:evenVBand="0" w:oddHBand="0" w:evenHBand="0" w:firstRowFirstColumn="0" w:firstRowLastColumn="0" w:lastRowFirstColumn="0" w:lastRowLastColumn="0"/>
              <w:rPr>
                <w:rFonts w:ascii="Constantia" w:hAnsi="Constantia"/>
                <w:b/>
                <w:szCs w:val="22"/>
              </w:rPr>
            </w:pPr>
            <w:r w:rsidRPr="003C1FAD">
              <w:rPr>
                <w:rFonts w:ascii="Constantia" w:hAnsi="Constantia"/>
                <w:b/>
                <w:szCs w:val="22"/>
              </w:rPr>
              <w:t>61</w:t>
            </w:r>
          </w:p>
        </w:tc>
        <w:tc>
          <w:tcPr>
            <w:tcW w:w="1602" w:type="dxa"/>
          </w:tcPr>
          <w:p w:rsidR="00EB3E54" w:rsidRPr="003C1FAD" w:rsidRDefault="00EB3E54" w:rsidP="0097248A">
            <w:pPr>
              <w:keepLines/>
              <w:widowControl w:val="0"/>
              <w:tabs>
                <w:tab w:val="left" w:pos="1134"/>
                <w:tab w:val="left" w:pos="2268"/>
              </w:tabs>
              <w:autoSpaceDE w:val="0"/>
              <w:autoSpaceDN w:val="0"/>
              <w:spacing w:after="60"/>
              <w:jc w:val="center"/>
              <w:cnfStyle w:val="000000000000" w:firstRow="0" w:lastRow="0" w:firstColumn="0" w:lastColumn="0" w:oddVBand="0" w:evenVBand="0" w:oddHBand="0" w:evenHBand="0" w:firstRowFirstColumn="0" w:firstRowLastColumn="0" w:lastRowFirstColumn="0" w:lastRowLastColumn="0"/>
              <w:rPr>
                <w:rFonts w:ascii="Constantia" w:hAnsi="Constantia"/>
                <w:b/>
                <w:szCs w:val="22"/>
              </w:rPr>
            </w:pPr>
            <w:r w:rsidRPr="003C1FAD">
              <w:rPr>
                <w:rFonts w:ascii="Constantia" w:hAnsi="Constantia"/>
                <w:b/>
                <w:szCs w:val="22"/>
              </w:rPr>
              <w:t>68</w:t>
            </w:r>
          </w:p>
        </w:tc>
      </w:tr>
      <w:tr w:rsidR="00EB3E54" w:rsidRPr="003C1FAD" w:rsidTr="003C1F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rsidR="00EB3E54" w:rsidRPr="003C1FAD" w:rsidRDefault="00EB3E54" w:rsidP="0097248A">
            <w:pPr>
              <w:keepLines/>
              <w:widowControl w:val="0"/>
              <w:tabs>
                <w:tab w:val="left" w:pos="1134"/>
                <w:tab w:val="left" w:pos="2268"/>
              </w:tabs>
              <w:autoSpaceDE w:val="0"/>
              <w:autoSpaceDN w:val="0"/>
              <w:spacing w:after="60"/>
              <w:jc w:val="center"/>
              <w:rPr>
                <w:rFonts w:ascii="Constantia" w:hAnsi="Constantia"/>
                <w:szCs w:val="22"/>
              </w:rPr>
            </w:pPr>
            <w:r w:rsidRPr="003C1FAD">
              <w:rPr>
                <w:rFonts w:ascii="Constantia" w:hAnsi="Constantia"/>
                <w:szCs w:val="22"/>
              </w:rPr>
              <w:t>Granična vrijednost</w:t>
            </w:r>
          </w:p>
        </w:tc>
        <w:tc>
          <w:tcPr>
            <w:tcW w:w="1710" w:type="dxa"/>
          </w:tcPr>
          <w:p w:rsidR="00EB3E54" w:rsidRPr="003C1FAD" w:rsidRDefault="00EB3E54" w:rsidP="0097248A">
            <w:pPr>
              <w:keepLines/>
              <w:widowControl w:val="0"/>
              <w:tabs>
                <w:tab w:val="left" w:pos="1134"/>
                <w:tab w:val="left" w:pos="2268"/>
              </w:tabs>
              <w:autoSpaceDE w:val="0"/>
              <w:autoSpaceDN w:val="0"/>
              <w:spacing w:after="6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3C1FAD">
              <w:rPr>
                <w:rFonts w:ascii="Constantia" w:hAnsi="Constantia"/>
                <w:b/>
                <w:szCs w:val="22"/>
              </w:rPr>
              <w:t>60</w:t>
            </w:r>
          </w:p>
        </w:tc>
        <w:tc>
          <w:tcPr>
            <w:tcW w:w="1710" w:type="dxa"/>
          </w:tcPr>
          <w:p w:rsidR="00EB3E54" w:rsidRPr="003C1FAD" w:rsidRDefault="00EB3E54" w:rsidP="0097248A">
            <w:pPr>
              <w:keepLines/>
              <w:widowControl w:val="0"/>
              <w:tabs>
                <w:tab w:val="left" w:pos="1134"/>
                <w:tab w:val="left" w:pos="2268"/>
              </w:tabs>
              <w:autoSpaceDE w:val="0"/>
              <w:autoSpaceDN w:val="0"/>
              <w:spacing w:after="6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3C1FAD">
              <w:rPr>
                <w:rFonts w:ascii="Constantia" w:hAnsi="Constantia"/>
                <w:b/>
                <w:szCs w:val="22"/>
              </w:rPr>
              <w:t>60</w:t>
            </w:r>
          </w:p>
        </w:tc>
        <w:tc>
          <w:tcPr>
            <w:tcW w:w="1710" w:type="dxa"/>
          </w:tcPr>
          <w:p w:rsidR="00EB3E54" w:rsidRPr="003C1FAD" w:rsidRDefault="00EB3E54" w:rsidP="0097248A">
            <w:pPr>
              <w:keepLines/>
              <w:widowControl w:val="0"/>
              <w:tabs>
                <w:tab w:val="left" w:pos="1134"/>
                <w:tab w:val="left" w:pos="2268"/>
              </w:tabs>
              <w:autoSpaceDE w:val="0"/>
              <w:autoSpaceDN w:val="0"/>
              <w:spacing w:after="6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3C1FAD">
              <w:rPr>
                <w:rFonts w:ascii="Constantia" w:hAnsi="Constantia"/>
                <w:b/>
                <w:szCs w:val="22"/>
              </w:rPr>
              <w:t>50</w:t>
            </w:r>
          </w:p>
        </w:tc>
        <w:tc>
          <w:tcPr>
            <w:tcW w:w="1602" w:type="dxa"/>
          </w:tcPr>
          <w:p w:rsidR="00EB3E54" w:rsidRPr="003C1FAD" w:rsidRDefault="00EB3E54" w:rsidP="0097248A">
            <w:pPr>
              <w:keepLines/>
              <w:widowControl w:val="0"/>
              <w:tabs>
                <w:tab w:val="left" w:pos="1134"/>
                <w:tab w:val="left" w:pos="2268"/>
              </w:tabs>
              <w:autoSpaceDE w:val="0"/>
              <w:autoSpaceDN w:val="0"/>
              <w:spacing w:after="6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3C1FAD">
              <w:rPr>
                <w:rFonts w:ascii="Constantia" w:hAnsi="Constantia"/>
                <w:b/>
                <w:szCs w:val="22"/>
              </w:rPr>
              <w:t>---</w:t>
            </w:r>
          </w:p>
        </w:tc>
      </w:tr>
    </w:tbl>
    <w:p w:rsidR="00EB3E54" w:rsidRPr="003C1FAD" w:rsidRDefault="00EB3E54" w:rsidP="00874AEE">
      <w:pPr>
        <w:numPr>
          <w:ilvl w:val="0"/>
          <w:numId w:val="3"/>
        </w:numPr>
        <w:spacing w:before="60" w:after="0"/>
        <w:ind w:left="1440" w:firstLine="0"/>
        <w:jc w:val="center"/>
        <w:rPr>
          <w:rFonts w:ascii="Constantia" w:hAnsi="Constantia"/>
          <w:i/>
          <w:szCs w:val="22"/>
          <w:lang w:val="sr-Latn-CS"/>
        </w:rPr>
      </w:pPr>
      <w:r w:rsidRPr="003C1FAD">
        <w:rPr>
          <w:rFonts w:ascii="Constantia" w:hAnsi="Constantia"/>
          <w:i/>
          <w:szCs w:val="22"/>
          <w:lang w:val="sr-Latn-CS"/>
        </w:rPr>
        <w:t>Srednji indikatori buke na mjernom mjestu u Kotoru</w:t>
      </w:r>
    </w:p>
    <w:p w:rsidR="00874AEE" w:rsidRDefault="00874AEE" w:rsidP="00874AEE">
      <w:pPr>
        <w:spacing w:after="0"/>
        <w:rPr>
          <w:rFonts w:ascii="Constantia" w:hAnsi="Constantia"/>
        </w:rPr>
      </w:pPr>
      <w:bookmarkStart w:id="170" w:name="_Toc357157658"/>
    </w:p>
    <w:p w:rsidR="00EB3E54" w:rsidRPr="003C1FAD" w:rsidRDefault="00EB3E54" w:rsidP="00EB3E54">
      <w:pPr>
        <w:rPr>
          <w:rFonts w:ascii="Constantia" w:hAnsi="Constantia"/>
        </w:rPr>
      </w:pPr>
      <w:r w:rsidRPr="003C1FAD">
        <w:rPr>
          <w:rFonts w:ascii="Constantia" w:hAnsi="Constantia"/>
        </w:rPr>
        <w:t xml:space="preserve">Vrijednosti indikatora buke za dan su bliske dok su indikatori buke za veče i noć znatno veće u prvom, toplijem ciklusu mjerenja (sredina avgusta) nego u drugom, hladnijem ciklusu mjerenja (kraj decembra). </w:t>
      </w:r>
    </w:p>
    <w:p w:rsidR="00EB3E54" w:rsidRPr="003C1FAD" w:rsidRDefault="00EB3E54" w:rsidP="00EB3E54">
      <w:pPr>
        <w:rPr>
          <w:rFonts w:ascii="Constantia" w:hAnsi="Constantia"/>
        </w:rPr>
      </w:pPr>
      <w:r w:rsidRPr="003C1FAD">
        <w:rPr>
          <w:rFonts w:ascii="Constantia" w:hAnsi="Constantia"/>
        </w:rPr>
        <w:t>U prvom ciklusu vrijednost indikatora buke za dan je ispod granične vrijednosti nivoa buke, dok vrijednosti indikatora buke za veče i noć prelaze granične vrijednosti nivoa buke.</w:t>
      </w:r>
    </w:p>
    <w:p w:rsidR="00EB3E54" w:rsidRPr="003C1FAD" w:rsidRDefault="00EB3E54" w:rsidP="00EB3E54">
      <w:pPr>
        <w:rPr>
          <w:rFonts w:ascii="Constantia" w:hAnsi="Constantia"/>
        </w:rPr>
      </w:pPr>
      <w:r w:rsidRPr="003C1FAD">
        <w:rPr>
          <w:rFonts w:ascii="Constantia" w:hAnsi="Constantia"/>
        </w:rPr>
        <w:t>U drugom ciklusu vrijednost indikatora buke za dan je ispod granične vrijednosti nivoa buke, dok vrijednosti indikatora buke za veče i noć prelaze granične vrijednosti nivoa buke.</w:t>
      </w:r>
    </w:p>
    <w:p w:rsidR="00EB3E54" w:rsidRPr="003C1FAD" w:rsidRDefault="00EB3E54" w:rsidP="00EB3E54">
      <w:pPr>
        <w:spacing w:before="120" w:after="360"/>
        <w:rPr>
          <w:rFonts w:ascii="Constantia" w:hAnsi="Constantia"/>
          <w:lang w:val="sr-Latn-CS"/>
        </w:rPr>
      </w:pPr>
      <w:r w:rsidRPr="003C1FAD">
        <w:rPr>
          <w:rFonts w:ascii="Constantia" w:hAnsi="Constantia"/>
          <w:lang w:val="sr-Latn-CS"/>
        </w:rPr>
        <w:t>Na osnovu Odluke o utvrđivanju akustič</w:t>
      </w:r>
      <w:r w:rsidR="00874AEE">
        <w:rPr>
          <w:rFonts w:ascii="Constantia" w:hAnsi="Constantia"/>
          <w:lang w:val="sr-Latn-CS"/>
        </w:rPr>
        <w:t>kih zona na teritoriji o</w:t>
      </w:r>
      <w:r w:rsidRPr="003C1FAD">
        <w:rPr>
          <w:rFonts w:ascii="Constantia" w:hAnsi="Constantia"/>
          <w:lang w:val="sr-Latn-CS"/>
        </w:rPr>
        <w:t xml:space="preserve">pštine Kotor posmatrano mjerno mjesto pripada zoni mješovite namjene. </w:t>
      </w:r>
    </w:p>
    <w:p w:rsidR="00EB3E54" w:rsidRPr="00EB3E54" w:rsidRDefault="00EB3E54" w:rsidP="00077AA6">
      <w:pPr>
        <w:pStyle w:val="Heading2"/>
        <w:ind w:left="720"/>
      </w:pPr>
      <w:bookmarkStart w:id="171" w:name="_Toc393897943"/>
      <w:bookmarkEnd w:id="170"/>
      <w:r w:rsidRPr="00EB3E54">
        <w:t>Ulcinj</w:t>
      </w:r>
      <w:bookmarkEnd w:id="171"/>
    </w:p>
    <w:p w:rsidR="00EB3E54" w:rsidRPr="006C0306" w:rsidRDefault="00EB3E54" w:rsidP="00EB3E54">
      <w:pPr>
        <w:spacing w:line="276" w:lineRule="auto"/>
        <w:rPr>
          <w:rFonts w:ascii="Constantia" w:hAnsi="Constantia"/>
          <w:lang w:val="sr-Latn-CS"/>
        </w:rPr>
      </w:pPr>
      <w:r w:rsidRPr="006C0306">
        <w:rPr>
          <w:rFonts w:ascii="Constantia" w:hAnsi="Constantia"/>
          <w:lang w:val="sr-Latn-CS"/>
        </w:rPr>
        <w:t>Na teritoriji opštine Ulcinj mjerenje nivoa buke vršeno je u Bulevaru 28. novembra bb, u intervalu dnevnog (L</w:t>
      </w:r>
      <w:r w:rsidRPr="006C0306">
        <w:rPr>
          <w:rFonts w:ascii="Constantia" w:hAnsi="Constantia"/>
          <w:vertAlign w:val="subscript"/>
          <w:lang w:val="sr-Latn-CS"/>
        </w:rPr>
        <w:t>day</w:t>
      </w:r>
      <w:r w:rsidRPr="006C0306">
        <w:rPr>
          <w:rFonts w:ascii="Constantia" w:hAnsi="Constantia"/>
          <w:lang w:val="sr-Latn-CS"/>
        </w:rPr>
        <w:t>) 7-19h, večernjeg (L</w:t>
      </w:r>
      <w:r w:rsidRPr="006C0306">
        <w:rPr>
          <w:rFonts w:ascii="Constantia" w:hAnsi="Constantia"/>
          <w:vertAlign w:val="subscript"/>
          <w:lang w:val="sr-Latn-CS"/>
        </w:rPr>
        <w:t>evening</w:t>
      </w:r>
      <w:r w:rsidRPr="006C0306">
        <w:rPr>
          <w:rFonts w:ascii="Constantia" w:hAnsi="Constantia"/>
          <w:lang w:val="sr-Latn-CS"/>
        </w:rPr>
        <w:t>) 19-23h i noćnog perioda (L</w:t>
      </w:r>
      <w:r w:rsidRPr="006C0306">
        <w:rPr>
          <w:rFonts w:ascii="Constantia" w:hAnsi="Constantia"/>
          <w:vertAlign w:val="subscript"/>
          <w:lang w:val="sr-Latn-CS"/>
        </w:rPr>
        <w:t>night</w:t>
      </w:r>
      <w:r w:rsidRPr="006C0306">
        <w:rPr>
          <w:rFonts w:ascii="Constantia" w:hAnsi="Constantia"/>
          <w:lang w:val="sr-Latn-CS"/>
        </w:rPr>
        <w:t>) 23-7h.</w:t>
      </w:r>
    </w:p>
    <w:p w:rsidR="00EB3E54" w:rsidRPr="00EB3E54" w:rsidRDefault="00EB3E54" w:rsidP="00EB3E54">
      <w:pPr>
        <w:spacing w:line="276" w:lineRule="auto"/>
      </w:pPr>
      <w:r w:rsidRPr="006C0306">
        <w:rPr>
          <w:rFonts w:ascii="Constantia" w:hAnsi="Constantia"/>
          <w:b/>
          <w:lang w:val="sr-Latn-CS"/>
        </w:rPr>
        <w:t>Nivo buke u I ciklusu</w:t>
      </w:r>
      <w:r w:rsidRPr="006C0306">
        <w:rPr>
          <w:rFonts w:ascii="Constantia" w:hAnsi="Constantia"/>
          <w:lang w:val="sr-Latn-CS"/>
        </w:rPr>
        <w:t xml:space="preserve"> mjeren je u periodu </w:t>
      </w:r>
      <w:r w:rsidRPr="006C0306">
        <w:rPr>
          <w:rFonts w:ascii="Constantia" w:hAnsi="Constantia"/>
        </w:rPr>
        <w:t>od 19-26.08.2013. godine.</w:t>
      </w:r>
      <w:r w:rsidRPr="00EB3E54">
        <w:t xml:space="preserve"> </w:t>
      </w:r>
    </w:p>
    <w:p w:rsidR="00EB3E54" w:rsidRPr="006C0306" w:rsidRDefault="00EB3E54" w:rsidP="00EB3E54">
      <w:pPr>
        <w:spacing w:line="276" w:lineRule="auto"/>
        <w:rPr>
          <w:rFonts w:ascii="Constantia" w:hAnsi="Constantia"/>
          <w:lang w:val="sr-Latn-CS"/>
        </w:rPr>
      </w:pPr>
      <w:r w:rsidRPr="006C0306">
        <w:rPr>
          <w:rFonts w:ascii="Constantia" w:hAnsi="Constantia"/>
          <w:b/>
        </w:rPr>
        <w:t>Nivo buke u II ciklusu</w:t>
      </w:r>
      <w:r w:rsidRPr="006C0306">
        <w:rPr>
          <w:rFonts w:ascii="Constantia" w:hAnsi="Constantia"/>
        </w:rPr>
        <w:t xml:space="preserve"> </w:t>
      </w:r>
      <w:r w:rsidRPr="006C0306">
        <w:rPr>
          <w:rFonts w:ascii="Constantia" w:hAnsi="Constantia"/>
          <w:lang w:val="sr-Latn-CS"/>
        </w:rPr>
        <w:t xml:space="preserve">mjeren je u periodu </w:t>
      </w:r>
      <w:r w:rsidRPr="006C0306">
        <w:rPr>
          <w:rFonts w:ascii="Constantia" w:hAnsi="Constantia"/>
        </w:rPr>
        <w:t>od 03-12.12.2013. godine.</w:t>
      </w:r>
      <w:r w:rsidRPr="006C0306">
        <w:rPr>
          <w:rFonts w:ascii="Constantia" w:hAnsi="Constantia"/>
          <w:lang w:val="sr-Latn-CS"/>
        </w:rPr>
        <w:t xml:space="preserve"> </w:t>
      </w:r>
    </w:p>
    <w:p w:rsidR="00EB3E54" w:rsidRPr="006C0306" w:rsidRDefault="00EB3E54" w:rsidP="00EB3E54">
      <w:pPr>
        <w:spacing w:line="276" w:lineRule="auto"/>
        <w:rPr>
          <w:rFonts w:ascii="Constantia" w:hAnsi="Constantia"/>
          <w:b/>
          <w:i/>
          <w:u w:val="single"/>
        </w:rPr>
      </w:pPr>
      <w:r w:rsidRPr="006C0306">
        <w:rPr>
          <w:rFonts w:ascii="Constantia" w:hAnsi="Constantia"/>
          <w:lang w:val="sr-Latn-CS"/>
        </w:rPr>
        <w:lastRenderedPageBreak/>
        <w:t xml:space="preserve">Srednje vrijednosti nivoa buke za </w:t>
      </w:r>
      <w:r w:rsidRPr="006C0306">
        <w:rPr>
          <w:rFonts w:ascii="Constantia" w:hAnsi="Constantia"/>
          <w:b/>
          <w:lang w:val="sr-Latn-CS"/>
        </w:rPr>
        <w:t>L</w:t>
      </w:r>
      <w:r w:rsidRPr="006C0306">
        <w:rPr>
          <w:rFonts w:ascii="Constantia" w:hAnsi="Constantia"/>
          <w:b/>
          <w:vertAlign w:val="subscript"/>
          <w:lang w:val="sr-Latn-CS"/>
        </w:rPr>
        <w:t>night</w:t>
      </w:r>
      <w:r w:rsidRPr="006C0306">
        <w:rPr>
          <w:rFonts w:ascii="Constantia" w:hAnsi="Constantia"/>
          <w:lang w:val="sr-Latn-CS"/>
        </w:rPr>
        <w:t xml:space="preserve"> – indikator noćnog nivoa buke koji se odnosi na vrijeme od 23 do 7 časova prikazane su </w:t>
      </w:r>
      <w:r w:rsidR="006C0306">
        <w:rPr>
          <w:rFonts w:ascii="Constantia" w:hAnsi="Constantia"/>
          <w:lang w:val="sr-Latn-CS"/>
        </w:rPr>
        <w:t xml:space="preserve">na </w:t>
      </w:r>
      <w:r w:rsidR="006C0306" w:rsidRPr="006C0306">
        <w:rPr>
          <w:rFonts w:ascii="Constantia" w:hAnsi="Constantia"/>
          <w:i/>
          <w:lang w:val="sr-Latn-CS"/>
        </w:rPr>
        <w:t>G</w:t>
      </w:r>
      <w:r w:rsidRPr="006C0306">
        <w:rPr>
          <w:rFonts w:ascii="Constantia" w:hAnsi="Constantia"/>
          <w:i/>
          <w:lang w:val="sr-Latn-CS"/>
        </w:rPr>
        <w:t xml:space="preserve">rafikonu </w:t>
      </w:r>
      <w:r w:rsidR="006C0306" w:rsidRPr="006C0306">
        <w:rPr>
          <w:rFonts w:ascii="Constantia" w:hAnsi="Constantia"/>
          <w:i/>
          <w:lang w:val="sr-Latn-CS"/>
        </w:rPr>
        <w:t>8</w:t>
      </w:r>
      <w:r w:rsidRPr="006C0306">
        <w:rPr>
          <w:rFonts w:ascii="Constantia" w:hAnsi="Constantia"/>
          <w:i/>
          <w:lang w:val="sr-Latn-CS"/>
        </w:rPr>
        <w:t>7</w:t>
      </w:r>
      <w:r w:rsidRPr="006C0306">
        <w:rPr>
          <w:rFonts w:ascii="Constantia" w:hAnsi="Constantia"/>
          <w:lang w:val="sr-Latn-CS"/>
        </w:rPr>
        <w:t>.</w:t>
      </w:r>
    </w:p>
    <w:p w:rsidR="00EB3E54" w:rsidRPr="00EB3E54" w:rsidRDefault="00EB3E54" w:rsidP="00034AB2">
      <w:pPr>
        <w:spacing w:before="120" w:after="0"/>
        <w:ind w:left="720" w:hanging="360"/>
        <w:jc w:val="center"/>
        <w:rPr>
          <w:i/>
          <w:sz w:val="20"/>
          <w:lang w:val="sr-Latn-CS"/>
        </w:rPr>
      </w:pPr>
      <w:r w:rsidRPr="00EB3E54">
        <w:rPr>
          <w:i/>
          <w:noProof/>
          <w:color w:val="000000" w:themeColor="text1"/>
          <w:sz w:val="20"/>
        </w:rPr>
        <w:drawing>
          <wp:inline distT="0" distB="0" distL="0" distR="0" wp14:anchorId="25C47961" wp14:editId="7D714BC9">
            <wp:extent cx="5219700" cy="2219325"/>
            <wp:effectExtent l="0" t="0" r="0" b="0"/>
            <wp:docPr id="244" name="Chart 24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5"/>
              </a:graphicData>
            </a:graphic>
          </wp:inline>
        </w:drawing>
      </w:r>
    </w:p>
    <w:p w:rsidR="00EB3E54" w:rsidRPr="00034AB2" w:rsidRDefault="00EB3E54" w:rsidP="00EB3E54">
      <w:pPr>
        <w:numPr>
          <w:ilvl w:val="0"/>
          <w:numId w:val="4"/>
        </w:numPr>
        <w:ind w:left="360"/>
        <w:jc w:val="center"/>
        <w:rPr>
          <w:rFonts w:ascii="Constantia" w:hAnsi="Constantia"/>
          <w:i/>
          <w:szCs w:val="22"/>
          <w:lang w:val="sr-Latn-CS"/>
        </w:rPr>
      </w:pPr>
      <w:r w:rsidRPr="00034AB2">
        <w:rPr>
          <w:rFonts w:ascii="Constantia" w:hAnsi="Constantia"/>
          <w:i/>
          <w:szCs w:val="22"/>
          <w:lang w:val="sr-Latn-CS"/>
        </w:rPr>
        <w:t>Srednje vrijednosti nivoa buke (L</w:t>
      </w:r>
      <w:r w:rsidRPr="00034AB2">
        <w:rPr>
          <w:rFonts w:ascii="Constantia" w:hAnsi="Constantia"/>
          <w:i/>
          <w:szCs w:val="22"/>
          <w:vertAlign w:val="subscript"/>
          <w:lang w:val="sr-Latn-CS"/>
        </w:rPr>
        <w:t>night</w:t>
      </w:r>
      <w:r w:rsidRPr="00034AB2">
        <w:rPr>
          <w:rFonts w:ascii="Constantia" w:hAnsi="Constantia"/>
          <w:i/>
          <w:szCs w:val="22"/>
          <w:lang w:val="sr-Latn-CS"/>
        </w:rPr>
        <w:t>) na mjernom mjestu u Ulcinju</w:t>
      </w:r>
    </w:p>
    <w:p w:rsidR="00EB3E54" w:rsidRPr="00EB3E54" w:rsidRDefault="00EB3E54" w:rsidP="00EB3E54">
      <w:pPr>
        <w:rPr>
          <w:b/>
          <w:i/>
          <w:sz w:val="20"/>
          <w:lang w:val="sr-Latn-CS"/>
        </w:rPr>
      </w:pPr>
    </w:p>
    <w:p w:rsidR="00EB3E54" w:rsidRPr="006C0306" w:rsidRDefault="00034AB2" w:rsidP="00EB3E54">
      <w:pPr>
        <w:rPr>
          <w:rFonts w:ascii="Constantia" w:hAnsi="Constantia"/>
          <w:szCs w:val="22"/>
        </w:rPr>
      </w:pPr>
      <w:r>
        <w:rPr>
          <w:rFonts w:ascii="Constantia" w:hAnsi="Constantia"/>
        </w:rPr>
        <w:t xml:space="preserve">Na </w:t>
      </w:r>
      <w:r w:rsidRPr="00034AB2">
        <w:rPr>
          <w:rFonts w:ascii="Constantia" w:hAnsi="Constantia"/>
          <w:i/>
        </w:rPr>
        <w:t>S</w:t>
      </w:r>
      <w:r w:rsidR="00EB3E54" w:rsidRPr="00034AB2">
        <w:rPr>
          <w:rFonts w:ascii="Constantia" w:hAnsi="Constantia"/>
          <w:i/>
        </w:rPr>
        <w:t xml:space="preserve">lici </w:t>
      </w:r>
      <w:r w:rsidRPr="00034AB2">
        <w:rPr>
          <w:rFonts w:ascii="Constantia" w:hAnsi="Constantia"/>
          <w:i/>
        </w:rPr>
        <w:t>21.</w:t>
      </w:r>
      <w:r w:rsidR="00EB3E54" w:rsidRPr="006C0306">
        <w:rPr>
          <w:rFonts w:ascii="Constantia" w:hAnsi="Constantia"/>
        </w:rPr>
        <w:t xml:space="preserve"> prikazano je mjerno mjesto u Ulcinju</w:t>
      </w:r>
      <w:r w:rsidR="00EB3E54" w:rsidRPr="006C0306">
        <w:rPr>
          <w:rFonts w:ascii="Constantia" w:hAnsi="Constantia"/>
          <w:szCs w:val="22"/>
        </w:rPr>
        <w:t>.</w:t>
      </w:r>
    </w:p>
    <w:p w:rsidR="00EB3E54" w:rsidRPr="00EB3E54" w:rsidRDefault="00EB3E54" w:rsidP="00C26403">
      <w:pPr>
        <w:spacing w:before="240"/>
        <w:jc w:val="center"/>
        <w:rPr>
          <w:szCs w:val="22"/>
        </w:rPr>
      </w:pPr>
      <w:r w:rsidRPr="00EB3E54">
        <w:rPr>
          <w:noProof/>
        </w:rPr>
        <w:drawing>
          <wp:inline distT="0" distB="0" distL="0" distR="0" wp14:anchorId="7E755E25" wp14:editId="77A9A281">
            <wp:extent cx="3000375" cy="1866900"/>
            <wp:effectExtent l="0" t="0" r="0" b="0"/>
            <wp:docPr id="245" name="Picture 245" descr="image-f9f655ca44dacfb99adeecb7fb4873407ca7db2eabc71eecc989a6f5aca68cc5-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f9f655ca44dacfb99adeecb7fb4873407ca7db2eabc71eecc989a6f5aca68cc5-V"/>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3000870" cy="1867208"/>
                    </a:xfrm>
                    <a:prstGeom prst="rect">
                      <a:avLst/>
                    </a:prstGeom>
                    <a:noFill/>
                    <a:ln>
                      <a:noFill/>
                    </a:ln>
                  </pic:spPr>
                </pic:pic>
              </a:graphicData>
            </a:graphic>
          </wp:inline>
        </w:drawing>
      </w:r>
    </w:p>
    <w:p w:rsidR="00C26403" w:rsidRPr="00C26403" w:rsidRDefault="00C26403" w:rsidP="00C26403">
      <w:pPr>
        <w:pStyle w:val="Slika"/>
        <w:tabs>
          <w:tab w:val="left" w:pos="990"/>
        </w:tabs>
        <w:ind w:left="360"/>
        <w:rPr>
          <w:rFonts w:ascii="Constantia" w:hAnsi="Constantia"/>
          <w:color w:val="000000" w:themeColor="text1"/>
          <w:sz w:val="20"/>
          <w:lang w:val="sr-Latn-CS"/>
        </w:rPr>
      </w:pPr>
      <w:r w:rsidRPr="00C26403">
        <w:rPr>
          <w:rFonts w:ascii="Constantia" w:hAnsi="Constantia"/>
        </w:rPr>
        <w:t>Mjerno mjesto u Ulcinju</w:t>
      </w:r>
    </w:p>
    <w:p w:rsidR="00EB3E54" w:rsidRPr="00EB3E54" w:rsidRDefault="00EB3E54" w:rsidP="00C26403">
      <w:pPr>
        <w:spacing w:after="0"/>
        <w:rPr>
          <w:szCs w:val="22"/>
        </w:rPr>
      </w:pPr>
    </w:p>
    <w:p w:rsidR="00EB3E54" w:rsidRPr="006C0306" w:rsidRDefault="00EB3E54" w:rsidP="00EB3E54">
      <w:pPr>
        <w:rPr>
          <w:rFonts w:ascii="Constantia" w:hAnsi="Constantia"/>
          <w:lang w:val="sr-Latn-CS"/>
        </w:rPr>
      </w:pPr>
      <w:r w:rsidRPr="006C0306">
        <w:rPr>
          <w:rFonts w:ascii="Constantia" w:hAnsi="Constantia"/>
          <w:szCs w:val="22"/>
        </w:rPr>
        <w:t>Rezultati mjerenja prikazani kao srednje vrijednosti za</w:t>
      </w:r>
      <w:r w:rsidRPr="006C0306">
        <w:rPr>
          <w:rFonts w:ascii="Constantia" w:hAnsi="Constantia"/>
          <w:b/>
          <w:lang w:val="sr-Latn-CS"/>
        </w:rPr>
        <w:t xml:space="preserve"> L</w:t>
      </w:r>
      <w:r w:rsidRPr="006C0306">
        <w:rPr>
          <w:rFonts w:ascii="Constantia" w:hAnsi="Constantia"/>
          <w:b/>
          <w:vertAlign w:val="subscript"/>
          <w:lang w:val="sr-Latn-CS"/>
        </w:rPr>
        <w:t>den</w:t>
      </w:r>
      <w:r w:rsidRPr="006C0306">
        <w:rPr>
          <w:rFonts w:ascii="Constantia" w:hAnsi="Constantia"/>
          <w:lang w:val="sr-Latn-CS"/>
        </w:rPr>
        <w:t xml:space="preserve"> -  ukupni indikator nivoa buke tokom dana, večeri i noći, </w:t>
      </w:r>
      <w:r w:rsidRPr="006C0306">
        <w:rPr>
          <w:rFonts w:ascii="Constantia" w:hAnsi="Constantia"/>
          <w:b/>
          <w:lang w:val="sr-Latn-CS"/>
        </w:rPr>
        <w:t>L</w:t>
      </w:r>
      <w:r w:rsidRPr="006C0306">
        <w:rPr>
          <w:rFonts w:ascii="Constantia" w:hAnsi="Constantia"/>
          <w:b/>
          <w:vertAlign w:val="subscript"/>
          <w:lang w:val="sr-Latn-CS"/>
        </w:rPr>
        <w:t>day</w:t>
      </w:r>
      <w:r w:rsidRPr="006C0306">
        <w:rPr>
          <w:rFonts w:ascii="Constantia" w:hAnsi="Constantia"/>
          <w:lang w:val="sr-Latn-CS"/>
        </w:rPr>
        <w:t xml:space="preserve"> – indikator dnevnog nivoa buke i odnosi se na vrijeme od 7 do 19 časova, </w:t>
      </w:r>
      <w:r w:rsidRPr="006C0306">
        <w:rPr>
          <w:rFonts w:ascii="Constantia" w:hAnsi="Constantia"/>
          <w:b/>
          <w:lang w:val="sr-Latn-CS"/>
        </w:rPr>
        <w:t>L</w:t>
      </w:r>
      <w:r w:rsidRPr="006C0306">
        <w:rPr>
          <w:rFonts w:ascii="Constantia" w:hAnsi="Constantia"/>
          <w:b/>
          <w:vertAlign w:val="subscript"/>
          <w:lang w:val="sr-Latn-CS"/>
        </w:rPr>
        <w:t>evening</w:t>
      </w:r>
      <w:r w:rsidRPr="006C0306">
        <w:rPr>
          <w:rFonts w:ascii="Constantia" w:hAnsi="Constantia"/>
          <w:lang w:val="sr-Latn-CS"/>
        </w:rPr>
        <w:t xml:space="preserve"> – indikator nivoa buke tokom večernjih časova i odnosi se na vrijeme od 19 do 23 časova, </w:t>
      </w:r>
      <w:r w:rsidRPr="006C0306">
        <w:rPr>
          <w:rFonts w:ascii="Constantia" w:hAnsi="Constantia"/>
          <w:b/>
          <w:lang w:val="sr-Latn-CS"/>
        </w:rPr>
        <w:t>L</w:t>
      </w:r>
      <w:r w:rsidRPr="006C0306">
        <w:rPr>
          <w:rFonts w:ascii="Constantia" w:hAnsi="Constantia"/>
          <w:b/>
          <w:vertAlign w:val="subscript"/>
          <w:lang w:val="sr-Latn-CS"/>
        </w:rPr>
        <w:t>night</w:t>
      </w:r>
      <w:r w:rsidRPr="006C0306">
        <w:rPr>
          <w:rFonts w:ascii="Constantia" w:hAnsi="Constantia"/>
          <w:lang w:val="sr-Latn-CS"/>
        </w:rPr>
        <w:t xml:space="preserve"> – indikator noćnog nivoa buke i odnosi se na vrijeme od 23 do 7 časova</w:t>
      </w:r>
      <w:r w:rsidR="00A36A7D">
        <w:rPr>
          <w:rFonts w:ascii="Constantia" w:hAnsi="Constantia"/>
          <w:lang w:val="sr-Latn-CS"/>
        </w:rPr>
        <w:t xml:space="preserve"> za Ulcinj</w:t>
      </w:r>
      <w:r w:rsidRPr="006C0306">
        <w:rPr>
          <w:rFonts w:ascii="Constantia" w:hAnsi="Constantia"/>
          <w:lang w:val="sr-Latn-CS"/>
        </w:rPr>
        <w:t xml:space="preserve"> prikazani su u </w:t>
      </w:r>
      <w:r w:rsidR="00A36A7D" w:rsidRPr="00A36A7D">
        <w:rPr>
          <w:rFonts w:ascii="Constantia" w:hAnsi="Constantia"/>
          <w:i/>
          <w:lang w:val="sr-Latn-CS"/>
        </w:rPr>
        <w:t>T</w:t>
      </w:r>
      <w:r w:rsidRPr="00A36A7D">
        <w:rPr>
          <w:rFonts w:ascii="Constantia" w:hAnsi="Constantia"/>
          <w:i/>
          <w:lang w:val="sr-Latn-CS"/>
        </w:rPr>
        <w:t xml:space="preserve">abeli </w:t>
      </w:r>
      <w:r w:rsidR="00A36A7D" w:rsidRPr="00A36A7D">
        <w:rPr>
          <w:rFonts w:ascii="Constantia" w:hAnsi="Constantia"/>
          <w:i/>
          <w:lang w:val="sr-Latn-CS"/>
        </w:rPr>
        <w:t>97</w:t>
      </w:r>
      <w:r w:rsidRPr="006C0306">
        <w:rPr>
          <w:rFonts w:ascii="Constantia" w:hAnsi="Constantia"/>
          <w:lang w:val="sr-Latn-CS"/>
        </w:rPr>
        <w:t>.</w:t>
      </w:r>
    </w:p>
    <w:p w:rsidR="00EB3E54" w:rsidRPr="00EB3E54" w:rsidRDefault="00EB3E54" w:rsidP="00C26403">
      <w:pPr>
        <w:spacing w:after="0"/>
        <w:rPr>
          <w:lang w:val="sr-Latn-CS"/>
        </w:rPr>
      </w:pPr>
    </w:p>
    <w:tbl>
      <w:tblPr>
        <w:tblStyle w:val="LightList-Accent6"/>
        <w:tblW w:w="8910" w:type="dxa"/>
        <w:tblInd w:w="198" w:type="dxa"/>
        <w:tblLook w:val="04A0" w:firstRow="1" w:lastRow="0" w:firstColumn="1" w:lastColumn="0" w:noHBand="0" w:noVBand="1"/>
      </w:tblPr>
      <w:tblGrid>
        <w:gridCol w:w="2268"/>
        <w:gridCol w:w="1710"/>
        <w:gridCol w:w="1710"/>
        <w:gridCol w:w="1710"/>
        <w:gridCol w:w="1512"/>
      </w:tblGrid>
      <w:tr w:rsidR="00EB3E54" w:rsidRPr="006C0306" w:rsidTr="00724F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rsidR="00EB3E54" w:rsidRPr="006C0306" w:rsidRDefault="00EB3E54" w:rsidP="00EB3E54">
            <w:pPr>
              <w:keepLines/>
              <w:widowControl w:val="0"/>
              <w:tabs>
                <w:tab w:val="left" w:pos="1134"/>
                <w:tab w:val="left" w:pos="2268"/>
              </w:tabs>
              <w:autoSpaceDE w:val="0"/>
              <w:autoSpaceDN w:val="0"/>
              <w:spacing w:before="120" w:after="60"/>
              <w:jc w:val="center"/>
              <w:rPr>
                <w:rFonts w:ascii="Constantia" w:hAnsi="Constantia"/>
                <w:b w:val="0"/>
                <w:color w:val="auto"/>
                <w:szCs w:val="22"/>
                <w:lang w:val="pt-BR"/>
              </w:rPr>
            </w:pPr>
          </w:p>
        </w:tc>
        <w:tc>
          <w:tcPr>
            <w:tcW w:w="1710" w:type="dxa"/>
          </w:tcPr>
          <w:p w:rsidR="00EB3E54" w:rsidRPr="006C0306" w:rsidRDefault="00EB3E54" w:rsidP="00EB3E54">
            <w:pPr>
              <w:keepLines/>
              <w:widowControl w:val="0"/>
              <w:tabs>
                <w:tab w:val="left" w:pos="1134"/>
                <w:tab w:val="left" w:pos="2268"/>
              </w:tabs>
              <w:autoSpaceDE w:val="0"/>
              <w:autoSpaceDN w:val="0"/>
              <w:spacing w:before="120" w:after="60"/>
              <w:jc w:val="center"/>
              <w:cnfStyle w:val="100000000000" w:firstRow="1" w:lastRow="0" w:firstColumn="0" w:lastColumn="0" w:oddVBand="0" w:evenVBand="0" w:oddHBand="0" w:evenHBand="0" w:firstRowFirstColumn="0" w:firstRowLastColumn="0" w:lastRowFirstColumn="0" w:lastRowLastColumn="0"/>
              <w:rPr>
                <w:rFonts w:ascii="Constantia" w:hAnsi="Constantia"/>
                <w:color w:val="auto"/>
                <w:szCs w:val="22"/>
              </w:rPr>
            </w:pPr>
            <w:r w:rsidRPr="006C0306">
              <w:rPr>
                <w:rFonts w:ascii="Constantia" w:hAnsi="Constantia"/>
                <w:color w:val="auto"/>
                <w:szCs w:val="22"/>
              </w:rPr>
              <w:t>L</w:t>
            </w:r>
            <w:r w:rsidRPr="006C0306">
              <w:rPr>
                <w:rFonts w:ascii="Constantia" w:hAnsi="Constantia"/>
                <w:b w:val="0"/>
                <w:color w:val="auto"/>
                <w:szCs w:val="22"/>
                <w:vertAlign w:val="subscript"/>
              </w:rPr>
              <w:t>day</w:t>
            </w:r>
            <w:r w:rsidRPr="006C0306">
              <w:rPr>
                <w:rFonts w:ascii="Constantia" w:hAnsi="Constantia"/>
                <w:color w:val="auto"/>
                <w:szCs w:val="22"/>
              </w:rPr>
              <w:t xml:space="preserve"> (dB)</w:t>
            </w:r>
          </w:p>
        </w:tc>
        <w:tc>
          <w:tcPr>
            <w:tcW w:w="1710" w:type="dxa"/>
          </w:tcPr>
          <w:p w:rsidR="00EB3E54" w:rsidRPr="006C0306" w:rsidRDefault="00EB3E54" w:rsidP="00EB3E54">
            <w:pPr>
              <w:keepLines/>
              <w:widowControl w:val="0"/>
              <w:tabs>
                <w:tab w:val="left" w:pos="1134"/>
                <w:tab w:val="left" w:pos="2268"/>
              </w:tabs>
              <w:autoSpaceDE w:val="0"/>
              <w:autoSpaceDN w:val="0"/>
              <w:spacing w:before="120" w:after="60"/>
              <w:jc w:val="center"/>
              <w:cnfStyle w:val="100000000000" w:firstRow="1" w:lastRow="0" w:firstColumn="0" w:lastColumn="0" w:oddVBand="0" w:evenVBand="0" w:oddHBand="0" w:evenHBand="0" w:firstRowFirstColumn="0" w:firstRowLastColumn="0" w:lastRowFirstColumn="0" w:lastRowLastColumn="0"/>
              <w:rPr>
                <w:rFonts w:ascii="Constantia" w:hAnsi="Constantia"/>
                <w:color w:val="auto"/>
                <w:szCs w:val="22"/>
              </w:rPr>
            </w:pPr>
            <w:r w:rsidRPr="006C0306">
              <w:rPr>
                <w:rFonts w:ascii="Constantia" w:hAnsi="Constantia"/>
                <w:color w:val="auto"/>
                <w:szCs w:val="22"/>
              </w:rPr>
              <w:t>L</w:t>
            </w:r>
            <w:r w:rsidRPr="006C0306">
              <w:rPr>
                <w:rFonts w:ascii="Constantia" w:hAnsi="Constantia"/>
                <w:b w:val="0"/>
                <w:color w:val="auto"/>
                <w:szCs w:val="22"/>
                <w:vertAlign w:val="subscript"/>
              </w:rPr>
              <w:t>evening</w:t>
            </w:r>
            <w:r w:rsidRPr="006C0306">
              <w:rPr>
                <w:rFonts w:ascii="Constantia" w:hAnsi="Constantia"/>
                <w:color w:val="auto"/>
                <w:szCs w:val="22"/>
              </w:rPr>
              <w:t xml:space="preserve"> (dB)</w:t>
            </w:r>
          </w:p>
        </w:tc>
        <w:tc>
          <w:tcPr>
            <w:tcW w:w="1710" w:type="dxa"/>
          </w:tcPr>
          <w:p w:rsidR="00EB3E54" w:rsidRPr="006C0306" w:rsidRDefault="00EB3E54" w:rsidP="00EB3E54">
            <w:pPr>
              <w:keepLines/>
              <w:widowControl w:val="0"/>
              <w:tabs>
                <w:tab w:val="left" w:pos="1134"/>
                <w:tab w:val="left" w:pos="2268"/>
              </w:tabs>
              <w:autoSpaceDE w:val="0"/>
              <w:autoSpaceDN w:val="0"/>
              <w:spacing w:before="120" w:after="60"/>
              <w:jc w:val="center"/>
              <w:cnfStyle w:val="100000000000" w:firstRow="1" w:lastRow="0" w:firstColumn="0" w:lastColumn="0" w:oddVBand="0" w:evenVBand="0" w:oddHBand="0" w:evenHBand="0" w:firstRowFirstColumn="0" w:firstRowLastColumn="0" w:lastRowFirstColumn="0" w:lastRowLastColumn="0"/>
              <w:rPr>
                <w:rFonts w:ascii="Constantia" w:hAnsi="Constantia"/>
                <w:b w:val="0"/>
                <w:color w:val="auto"/>
                <w:szCs w:val="22"/>
              </w:rPr>
            </w:pPr>
            <w:r w:rsidRPr="006C0306">
              <w:rPr>
                <w:rFonts w:ascii="Constantia" w:hAnsi="Constantia"/>
                <w:color w:val="auto"/>
                <w:szCs w:val="22"/>
              </w:rPr>
              <w:t>L</w:t>
            </w:r>
            <w:r w:rsidRPr="006C0306">
              <w:rPr>
                <w:rFonts w:ascii="Constantia" w:hAnsi="Constantia"/>
                <w:b w:val="0"/>
                <w:color w:val="auto"/>
                <w:szCs w:val="22"/>
                <w:vertAlign w:val="subscript"/>
              </w:rPr>
              <w:t>night</w:t>
            </w:r>
            <w:r w:rsidRPr="006C0306">
              <w:rPr>
                <w:rFonts w:ascii="Constantia" w:hAnsi="Constantia"/>
                <w:b w:val="0"/>
                <w:color w:val="auto"/>
                <w:szCs w:val="22"/>
              </w:rPr>
              <w:t xml:space="preserve"> </w:t>
            </w:r>
            <w:r w:rsidRPr="006C0306">
              <w:rPr>
                <w:rFonts w:ascii="Constantia" w:hAnsi="Constantia"/>
                <w:color w:val="auto"/>
                <w:szCs w:val="22"/>
              </w:rPr>
              <w:t>(dB)</w:t>
            </w:r>
          </w:p>
        </w:tc>
        <w:tc>
          <w:tcPr>
            <w:tcW w:w="1512" w:type="dxa"/>
          </w:tcPr>
          <w:p w:rsidR="00EB3E54" w:rsidRPr="006C0306" w:rsidRDefault="00EB3E54" w:rsidP="00EB3E54">
            <w:pPr>
              <w:keepLines/>
              <w:widowControl w:val="0"/>
              <w:tabs>
                <w:tab w:val="left" w:pos="1134"/>
                <w:tab w:val="left" w:pos="2268"/>
              </w:tabs>
              <w:autoSpaceDE w:val="0"/>
              <w:autoSpaceDN w:val="0"/>
              <w:spacing w:before="120" w:after="60"/>
              <w:jc w:val="center"/>
              <w:cnfStyle w:val="100000000000" w:firstRow="1" w:lastRow="0" w:firstColumn="0" w:lastColumn="0" w:oddVBand="0" w:evenVBand="0" w:oddHBand="0" w:evenHBand="0" w:firstRowFirstColumn="0" w:firstRowLastColumn="0" w:lastRowFirstColumn="0" w:lastRowLastColumn="0"/>
              <w:rPr>
                <w:rFonts w:ascii="Constantia" w:hAnsi="Constantia"/>
                <w:color w:val="auto"/>
                <w:szCs w:val="22"/>
              </w:rPr>
            </w:pPr>
            <w:r w:rsidRPr="006C0306">
              <w:rPr>
                <w:rFonts w:ascii="Constantia" w:hAnsi="Constantia"/>
                <w:color w:val="auto"/>
                <w:szCs w:val="22"/>
              </w:rPr>
              <w:t>L</w:t>
            </w:r>
            <w:r w:rsidRPr="006C0306">
              <w:rPr>
                <w:rFonts w:ascii="Constantia" w:hAnsi="Constantia"/>
                <w:b w:val="0"/>
                <w:color w:val="auto"/>
                <w:szCs w:val="22"/>
                <w:vertAlign w:val="subscript"/>
              </w:rPr>
              <w:t>den</w:t>
            </w:r>
            <w:r w:rsidRPr="006C0306">
              <w:rPr>
                <w:rFonts w:ascii="Constantia" w:hAnsi="Constantia"/>
                <w:color w:val="auto"/>
                <w:szCs w:val="22"/>
              </w:rPr>
              <w:t xml:space="preserve"> (dB)</w:t>
            </w:r>
          </w:p>
        </w:tc>
      </w:tr>
      <w:tr w:rsidR="00EB3E54" w:rsidRPr="006C0306" w:rsidTr="00724F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rsidR="00EB3E54" w:rsidRPr="006C0306" w:rsidRDefault="00EB3E54" w:rsidP="0097248A">
            <w:pPr>
              <w:keepLines/>
              <w:widowControl w:val="0"/>
              <w:tabs>
                <w:tab w:val="left" w:pos="1134"/>
                <w:tab w:val="left" w:pos="2268"/>
              </w:tabs>
              <w:autoSpaceDE w:val="0"/>
              <w:autoSpaceDN w:val="0"/>
              <w:spacing w:after="60"/>
              <w:jc w:val="center"/>
              <w:rPr>
                <w:rFonts w:ascii="Constantia" w:hAnsi="Constantia"/>
                <w:szCs w:val="22"/>
              </w:rPr>
            </w:pPr>
            <w:r w:rsidRPr="006C0306">
              <w:rPr>
                <w:rFonts w:ascii="Constantia" w:hAnsi="Constantia"/>
                <w:szCs w:val="22"/>
              </w:rPr>
              <w:t>I Ciklus</w:t>
            </w:r>
          </w:p>
        </w:tc>
        <w:tc>
          <w:tcPr>
            <w:tcW w:w="1710" w:type="dxa"/>
          </w:tcPr>
          <w:p w:rsidR="00EB3E54" w:rsidRPr="006C0306" w:rsidRDefault="00EB3E54" w:rsidP="0097248A">
            <w:pPr>
              <w:keepLines/>
              <w:widowControl w:val="0"/>
              <w:tabs>
                <w:tab w:val="left" w:pos="1134"/>
                <w:tab w:val="left" w:pos="2268"/>
              </w:tabs>
              <w:autoSpaceDE w:val="0"/>
              <w:autoSpaceDN w:val="0"/>
              <w:spacing w:after="6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6C0306">
              <w:rPr>
                <w:rFonts w:ascii="Constantia" w:hAnsi="Constantia"/>
                <w:b/>
                <w:szCs w:val="22"/>
              </w:rPr>
              <w:t>68</w:t>
            </w:r>
          </w:p>
        </w:tc>
        <w:tc>
          <w:tcPr>
            <w:tcW w:w="1710" w:type="dxa"/>
          </w:tcPr>
          <w:p w:rsidR="00EB3E54" w:rsidRPr="006C0306" w:rsidRDefault="00EB3E54" w:rsidP="0097248A">
            <w:pPr>
              <w:keepLines/>
              <w:widowControl w:val="0"/>
              <w:tabs>
                <w:tab w:val="left" w:pos="1134"/>
                <w:tab w:val="left" w:pos="2268"/>
              </w:tabs>
              <w:autoSpaceDE w:val="0"/>
              <w:autoSpaceDN w:val="0"/>
              <w:spacing w:after="6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6C0306">
              <w:rPr>
                <w:rFonts w:ascii="Constantia" w:hAnsi="Constantia"/>
                <w:b/>
                <w:szCs w:val="22"/>
              </w:rPr>
              <w:t>66</w:t>
            </w:r>
          </w:p>
        </w:tc>
        <w:tc>
          <w:tcPr>
            <w:tcW w:w="1710" w:type="dxa"/>
          </w:tcPr>
          <w:p w:rsidR="00EB3E54" w:rsidRPr="006C0306" w:rsidRDefault="00EB3E54" w:rsidP="0097248A">
            <w:pPr>
              <w:keepLines/>
              <w:widowControl w:val="0"/>
              <w:tabs>
                <w:tab w:val="left" w:pos="1134"/>
                <w:tab w:val="left" w:pos="2268"/>
              </w:tabs>
              <w:autoSpaceDE w:val="0"/>
              <w:autoSpaceDN w:val="0"/>
              <w:spacing w:after="6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6C0306">
              <w:rPr>
                <w:rFonts w:ascii="Constantia" w:hAnsi="Constantia"/>
                <w:b/>
                <w:szCs w:val="22"/>
              </w:rPr>
              <w:t>63</w:t>
            </w:r>
          </w:p>
        </w:tc>
        <w:tc>
          <w:tcPr>
            <w:tcW w:w="1512" w:type="dxa"/>
          </w:tcPr>
          <w:p w:rsidR="00EB3E54" w:rsidRPr="006C0306" w:rsidRDefault="00EB3E54" w:rsidP="0097248A">
            <w:pPr>
              <w:keepLines/>
              <w:widowControl w:val="0"/>
              <w:tabs>
                <w:tab w:val="left" w:pos="1134"/>
                <w:tab w:val="left" w:pos="2268"/>
              </w:tabs>
              <w:autoSpaceDE w:val="0"/>
              <w:autoSpaceDN w:val="0"/>
              <w:spacing w:after="6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6C0306">
              <w:rPr>
                <w:rFonts w:ascii="Constantia" w:hAnsi="Constantia"/>
                <w:b/>
                <w:szCs w:val="22"/>
              </w:rPr>
              <w:t>71</w:t>
            </w:r>
          </w:p>
        </w:tc>
      </w:tr>
      <w:tr w:rsidR="00EB3E54" w:rsidRPr="006C0306" w:rsidTr="00724FAE">
        <w:tc>
          <w:tcPr>
            <w:cnfStyle w:val="001000000000" w:firstRow="0" w:lastRow="0" w:firstColumn="1" w:lastColumn="0" w:oddVBand="0" w:evenVBand="0" w:oddHBand="0" w:evenHBand="0" w:firstRowFirstColumn="0" w:firstRowLastColumn="0" w:lastRowFirstColumn="0" w:lastRowLastColumn="0"/>
            <w:tcW w:w="2268" w:type="dxa"/>
          </w:tcPr>
          <w:p w:rsidR="00EB3E54" w:rsidRPr="006C0306" w:rsidRDefault="00EB3E54" w:rsidP="0097248A">
            <w:pPr>
              <w:keepLines/>
              <w:widowControl w:val="0"/>
              <w:tabs>
                <w:tab w:val="left" w:pos="1134"/>
                <w:tab w:val="left" w:pos="2268"/>
              </w:tabs>
              <w:autoSpaceDE w:val="0"/>
              <w:autoSpaceDN w:val="0"/>
              <w:spacing w:after="60"/>
              <w:jc w:val="center"/>
              <w:rPr>
                <w:rFonts w:ascii="Constantia" w:hAnsi="Constantia"/>
                <w:szCs w:val="22"/>
              </w:rPr>
            </w:pPr>
            <w:r w:rsidRPr="006C0306">
              <w:rPr>
                <w:rFonts w:ascii="Constantia" w:hAnsi="Constantia"/>
                <w:szCs w:val="22"/>
              </w:rPr>
              <w:t>II Ciklus</w:t>
            </w:r>
          </w:p>
        </w:tc>
        <w:tc>
          <w:tcPr>
            <w:tcW w:w="1710" w:type="dxa"/>
          </w:tcPr>
          <w:p w:rsidR="00EB3E54" w:rsidRPr="006C0306" w:rsidRDefault="00EB3E54" w:rsidP="0097248A">
            <w:pPr>
              <w:keepLines/>
              <w:widowControl w:val="0"/>
              <w:tabs>
                <w:tab w:val="left" w:pos="1134"/>
                <w:tab w:val="left" w:pos="2268"/>
              </w:tabs>
              <w:autoSpaceDE w:val="0"/>
              <w:autoSpaceDN w:val="0"/>
              <w:spacing w:after="60"/>
              <w:jc w:val="center"/>
              <w:cnfStyle w:val="000000000000" w:firstRow="0" w:lastRow="0" w:firstColumn="0" w:lastColumn="0" w:oddVBand="0" w:evenVBand="0" w:oddHBand="0" w:evenHBand="0" w:firstRowFirstColumn="0" w:firstRowLastColumn="0" w:lastRowFirstColumn="0" w:lastRowLastColumn="0"/>
              <w:rPr>
                <w:rFonts w:ascii="Constantia" w:hAnsi="Constantia"/>
                <w:b/>
                <w:szCs w:val="22"/>
              </w:rPr>
            </w:pPr>
            <w:r w:rsidRPr="006C0306">
              <w:rPr>
                <w:rFonts w:ascii="Constantia" w:hAnsi="Constantia"/>
                <w:b/>
                <w:szCs w:val="22"/>
              </w:rPr>
              <w:t>65</w:t>
            </w:r>
          </w:p>
        </w:tc>
        <w:tc>
          <w:tcPr>
            <w:tcW w:w="1710" w:type="dxa"/>
          </w:tcPr>
          <w:p w:rsidR="00EB3E54" w:rsidRPr="006C0306" w:rsidRDefault="00EB3E54" w:rsidP="0097248A">
            <w:pPr>
              <w:keepLines/>
              <w:widowControl w:val="0"/>
              <w:tabs>
                <w:tab w:val="left" w:pos="1134"/>
                <w:tab w:val="left" w:pos="2268"/>
              </w:tabs>
              <w:autoSpaceDE w:val="0"/>
              <w:autoSpaceDN w:val="0"/>
              <w:spacing w:after="60"/>
              <w:jc w:val="center"/>
              <w:cnfStyle w:val="000000000000" w:firstRow="0" w:lastRow="0" w:firstColumn="0" w:lastColumn="0" w:oddVBand="0" w:evenVBand="0" w:oddHBand="0" w:evenHBand="0" w:firstRowFirstColumn="0" w:firstRowLastColumn="0" w:lastRowFirstColumn="0" w:lastRowLastColumn="0"/>
              <w:rPr>
                <w:rFonts w:ascii="Constantia" w:hAnsi="Constantia"/>
                <w:b/>
                <w:szCs w:val="22"/>
              </w:rPr>
            </w:pPr>
            <w:r w:rsidRPr="006C0306">
              <w:rPr>
                <w:rFonts w:ascii="Constantia" w:hAnsi="Constantia"/>
                <w:b/>
                <w:szCs w:val="22"/>
              </w:rPr>
              <w:t>64</w:t>
            </w:r>
          </w:p>
        </w:tc>
        <w:tc>
          <w:tcPr>
            <w:tcW w:w="1710" w:type="dxa"/>
          </w:tcPr>
          <w:p w:rsidR="00EB3E54" w:rsidRPr="006C0306" w:rsidRDefault="00EB3E54" w:rsidP="0097248A">
            <w:pPr>
              <w:keepLines/>
              <w:widowControl w:val="0"/>
              <w:tabs>
                <w:tab w:val="left" w:pos="1134"/>
                <w:tab w:val="left" w:pos="2268"/>
              </w:tabs>
              <w:autoSpaceDE w:val="0"/>
              <w:autoSpaceDN w:val="0"/>
              <w:spacing w:after="60"/>
              <w:jc w:val="center"/>
              <w:cnfStyle w:val="000000000000" w:firstRow="0" w:lastRow="0" w:firstColumn="0" w:lastColumn="0" w:oddVBand="0" w:evenVBand="0" w:oddHBand="0" w:evenHBand="0" w:firstRowFirstColumn="0" w:firstRowLastColumn="0" w:lastRowFirstColumn="0" w:lastRowLastColumn="0"/>
              <w:rPr>
                <w:rFonts w:ascii="Constantia" w:hAnsi="Constantia"/>
                <w:b/>
                <w:szCs w:val="22"/>
              </w:rPr>
            </w:pPr>
            <w:r w:rsidRPr="006C0306">
              <w:rPr>
                <w:rFonts w:ascii="Constantia" w:hAnsi="Constantia"/>
                <w:b/>
                <w:szCs w:val="22"/>
              </w:rPr>
              <w:t>58</w:t>
            </w:r>
          </w:p>
        </w:tc>
        <w:tc>
          <w:tcPr>
            <w:tcW w:w="1512" w:type="dxa"/>
          </w:tcPr>
          <w:p w:rsidR="00EB3E54" w:rsidRPr="006C0306" w:rsidRDefault="00EB3E54" w:rsidP="0097248A">
            <w:pPr>
              <w:keepLines/>
              <w:widowControl w:val="0"/>
              <w:tabs>
                <w:tab w:val="left" w:pos="1134"/>
                <w:tab w:val="left" w:pos="2268"/>
              </w:tabs>
              <w:autoSpaceDE w:val="0"/>
              <w:autoSpaceDN w:val="0"/>
              <w:spacing w:after="60"/>
              <w:jc w:val="center"/>
              <w:cnfStyle w:val="000000000000" w:firstRow="0" w:lastRow="0" w:firstColumn="0" w:lastColumn="0" w:oddVBand="0" w:evenVBand="0" w:oddHBand="0" w:evenHBand="0" w:firstRowFirstColumn="0" w:firstRowLastColumn="0" w:lastRowFirstColumn="0" w:lastRowLastColumn="0"/>
              <w:rPr>
                <w:rFonts w:ascii="Constantia" w:hAnsi="Constantia"/>
                <w:b/>
                <w:szCs w:val="22"/>
              </w:rPr>
            </w:pPr>
            <w:r w:rsidRPr="006C0306">
              <w:rPr>
                <w:rFonts w:ascii="Constantia" w:hAnsi="Constantia"/>
                <w:b/>
                <w:szCs w:val="22"/>
              </w:rPr>
              <w:t>67</w:t>
            </w:r>
          </w:p>
        </w:tc>
      </w:tr>
      <w:tr w:rsidR="00EB3E54" w:rsidRPr="006C0306" w:rsidTr="00724F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rsidR="00EB3E54" w:rsidRPr="006C0306" w:rsidRDefault="00EB3E54" w:rsidP="0097248A">
            <w:pPr>
              <w:keepLines/>
              <w:widowControl w:val="0"/>
              <w:tabs>
                <w:tab w:val="left" w:pos="1134"/>
                <w:tab w:val="left" w:pos="2268"/>
              </w:tabs>
              <w:autoSpaceDE w:val="0"/>
              <w:autoSpaceDN w:val="0"/>
              <w:spacing w:after="60"/>
              <w:jc w:val="center"/>
              <w:rPr>
                <w:rFonts w:ascii="Constantia" w:hAnsi="Constantia"/>
                <w:szCs w:val="22"/>
              </w:rPr>
            </w:pPr>
            <w:r w:rsidRPr="006C0306">
              <w:rPr>
                <w:rFonts w:ascii="Constantia" w:hAnsi="Constantia"/>
                <w:szCs w:val="22"/>
              </w:rPr>
              <w:t>Granična vrijednost</w:t>
            </w:r>
          </w:p>
        </w:tc>
        <w:tc>
          <w:tcPr>
            <w:tcW w:w="1710" w:type="dxa"/>
          </w:tcPr>
          <w:p w:rsidR="00EB3E54" w:rsidRPr="006C0306" w:rsidRDefault="00EB3E54" w:rsidP="0097248A">
            <w:pPr>
              <w:keepLines/>
              <w:widowControl w:val="0"/>
              <w:tabs>
                <w:tab w:val="left" w:pos="1134"/>
                <w:tab w:val="left" w:pos="2268"/>
              </w:tabs>
              <w:autoSpaceDE w:val="0"/>
              <w:autoSpaceDN w:val="0"/>
              <w:spacing w:after="6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6C0306">
              <w:rPr>
                <w:rFonts w:ascii="Constantia" w:hAnsi="Constantia"/>
                <w:b/>
                <w:szCs w:val="22"/>
              </w:rPr>
              <w:t>60</w:t>
            </w:r>
          </w:p>
        </w:tc>
        <w:tc>
          <w:tcPr>
            <w:tcW w:w="1710" w:type="dxa"/>
          </w:tcPr>
          <w:p w:rsidR="00EB3E54" w:rsidRPr="006C0306" w:rsidRDefault="00EB3E54" w:rsidP="0097248A">
            <w:pPr>
              <w:keepLines/>
              <w:widowControl w:val="0"/>
              <w:tabs>
                <w:tab w:val="left" w:pos="1134"/>
                <w:tab w:val="left" w:pos="2268"/>
              </w:tabs>
              <w:autoSpaceDE w:val="0"/>
              <w:autoSpaceDN w:val="0"/>
              <w:spacing w:after="6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6C0306">
              <w:rPr>
                <w:rFonts w:ascii="Constantia" w:hAnsi="Constantia"/>
                <w:b/>
                <w:szCs w:val="22"/>
              </w:rPr>
              <w:t>60</w:t>
            </w:r>
          </w:p>
        </w:tc>
        <w:tc>
          <w:tcPr>
            <w:tcW w:w="1710" w:type="dxa"/>
          </w:tcPr>
          <w:p w:rsidR="00EB3E54" w:rsidRPr="006C0306" w:rsidRDefault="00EB3E54" w:rsidP="0097248A">
            <w:pPr>
              <w:keepLines/>
              <w:widowControl w:val="0"/>
              <w:tabs>
                <w:tab w:val="left" w:pos="1134"/>
                <w:tab w:val="left" w:pos="2268"/>
              </w:tabs>
              <w:autoSpaceDE w:val="0"/>
              <w:autoSpaceDN w:val="0"/>
              <w:spacing w:after="6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6C0306">
              <w:rPr>
                <w:rFonts w:ascii="Constantia" w:hAnsi="Constantia"/>
                <w:b/>
                <w:szCs w:val="22"/>
              </w:rPr>
              <w:t>55</w:t>
            </w:r>
          </w:p>
        </w:tc>
        <w:tc>
          <w:tcPr>
            <w:tcW w:w="1512" w:type="dxa"/>
          </w:tcPr>
          <w:p w:rsidR="00EB3E54" w:rsidRPr="006C0306" w:rsidRDefault="00EB3E54" w:rsidP="0097248A">
            <w:pPr>
              <w:keepLines/>
              <w:widowControl w:val="0"/>
              <w:tabs>
                <w:tab w:val="left" w:pos="1134"/>
                <w:tab w:val="left" w:pos="2268"/>
              </w:tabs>
              <w:autoSpaceDE w:val="0"/>
              <w:autoSpaceDN w:val="0"/>
              <w:spacing w:after="6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6C0306">
              <w:rPr>
                <w:rFonts w:ascii="Constantia" w:hAnsi="Constantia"/>
                <w:b/>
                <w:szCs w:val="22"/>
              </w:rPr>
              <w:t>---</w:t>
            </w:r>
          </w:p>
        </w:tc>
      </w:tr>
    </w:tbl>
    <w:p w:rsidR="00EB3E54" w:rsidRPr="00A36A7D" w:rsidRDefault="00EB3E54" w:rsidP="00724FAE">
      <w:pPr>
        <w:numPr>
          <w:ilvl w:val="0"/>
          <w:numId w:val="3"/>
        </w:numPr>
        <w:tabs>
          <w:tab w:val="left" w:pos="2700"/>
        </w:tabs>
        <w:spacing w:before="60" w:after="240"/>
        <w:ind w:left="1440" w:firstLine="0"/>
        <w:jc w:val="center"/>
        <w:rPr>
          <w:rFonts w:ascii="Constantia" w:hAnsi="Constantia"/>
          <w:i/>
          <w:szCs w:val="22"/>
          <w:lang w:val="sr-Latn-CS"/>
        </w:rPr>
      </w:pPr>
      <w:r w:rsidRPr="00A36A7D">
        <w:rPr>
          <w:rFonts w:ascii="Constantia" w:hAnsi="Constantia"/>
          <w:i/>
          <w:szCs w:val="22"/>
          <w:lang w:val="sr-Latn-CS"/>
        </w:rPr>
        <w:t>Srednji indikatori buke na mjernom mjestu u Ulcinju</w:t>
      </w:r>
    </w:p>
    <w:p w:rsidR="00EB3E54" w:rsidRPr="006C0306" w:rsidRDefault="00EB3E54" w:rsidP="00EB3E54">
      <w:pPr>
        <w:rPr>
          <w:rFonts w:ascii="Constantia" w:hAnsi="Constantia"/>
        </w:rPr>
      </w:pPr>
      <w:r w:rsidRPr="006C0306">
        <w:rPr>
          <w:rFonts w:ascii="Constantia" w:hAnsi="Constantia"/>
        </w:rPr>
        <w:t>Vrijednosti indikatora buke su veći u prvom ciklusu mjerenja (kraj avgusta) nego u drugom ciklusu mjerenja (početak decembra).</w:t>
      </w:r>
    </w:p>
    <w:p w:rsidR="00EB3E54" w:rsidRPr="006C0306" w:rsidRDefault="00EB3E54" w:rsidP="00EB3E54">
      <w:pPr>
        <w:rPr>
          <w:rFonts w:ascii="Constantia" w:hAnsi="Constantia"/>
        </w:rPr>
      </w:pPr>
      <w:bookmarkStart w:id="172" w:name="_Toc357157659"/>
      <w:r w:rsidRPr="006C0306">
        <w:rPr>
          <w:rFonts w:ascii="Constantia" w:hAnsi="Constantia"/>
        </w:rPr>
        <w:lastRenderedPageBreak/>
        <w:t>U oba ciklusa mjerenja vrijednosti indikatora buke za dan, veče i noć prelaze granične vrijednosti nivoa buke.</w:t>
      </w:r>
    </w:p>
    <w:p w:rsidR="00EB3E54" w:rsidRPr="006C0306" w:rsidRDefault="00EB3E54" w:rsidP="00EB3E54">
      <w:pPr>
        <w:spacing w:before="120" w:after="360"/>
        <w:rPr>
          <w:rFonts w:ascii="Constantia" w:hAnsi="Constantia"/>
          <w:lang w:val="sr-Latn-CS"/>
        </w:rPr>
      </w:pPr>
      <w:r w:rsidRPr="006C0306">
        <w:rPr>
          <w:rFonts w:ascii="Constantia" w:hAnsi="Constantia"/>
          <w:lang w:val="sr-Latn-CS"/>
        </w:rPr>
        <w:t>Na osnovu Odluke o utvrđivanju akustič</w:t>
      </w:r>
      <w:r w:rsidR="00F04F9D">
        <w:rPr>
          <w:rFonts w:ascii="Constantia" w:hAnsi="Constantia"/>
          <w:lang w:val="sr-Latn-CS"/>
        </w:rPr>
        <w:t>kih zona na teritoriji o</w:t>
      </w:r>
      <w:r w:rsidRPr="006C0306">
        <w:rPr>
          <w:rFonts w:ascii="Constantia" w:hAnsi="Constantia"/>
          <w:lang w:val="sr-Latn-CS"/>
        </w:rPr>
        <w:t>pštine Ulcinj</w:t>
      </w:r>
      <w:r w:rsidR="0097248A">
        <w:rPr>
          <w:rFonts w:ascii="Constantia" w:hAnsi="Constantia"/>
          <w:lang w:val="sr-Latn-CS"/>
        </w:rPr>
        <w:t>,</w:t>
      </w:r>
      <w:r w:rsidRPr="006C0306">
        <w:rPr>
          <w:rFonts w:ascii="Constantia" w:hAnsi="Constantia"/>
          <w:lang w:val="sr-Latn-CS"/>
        </w:rPr>
        <w:t xml:space="preserve"> posmatrano mjerno mjesto pripada zoni pod jakim uticajem buke koja potiče od drumskog saobraćaja. </w:t>
      </w:r>
    </w:p>
    <w:p w:rsidR="00EB3E54" w:rsidRPr="00EB3E54" w:rsidRDefault="00EB3E54" w:rsidP="00077AA6">
      <w:pPr>
        <w:pStyle w:val="Heading2"/>
        <w:ind w:left="720"/>
      </w:pPr>
      <w:bookmarkStart w:id="173" w:name="_Toc393897944"/>
      <w:r w:rsidRPr="00EB3E54">
        <w:t>Kolašin</w:t>
      </w:r>
      <w:bookmarkEnd w:id="173"/>
    </w:p>
    <w:p w:rsidR="00EB3E54" w:rsidRPr="00877E53" w:rsidRDefault="00EB3E54" w:rsidP="00EB3E54">
      <w:pPr>
        <w:spacing w:line="276" w:lineRule="auto"/>
        <w:rPr>
          <w:rFonts w:ascii="Constantia" w:hAnsi="Constantia"/>
          <w:lang w:val="sr-Latn-CS"/>
        </w:rPr>
      </w:pPr>
      <w:r w:rsidRPr="00877E53">
        <w:rPr>
          <w:rFonts w:ascii="Constantia" w:hAnsi="Constantia"/>
          <w:lang w:val="sr-Latn-CS"/>
        </w:rPr>
        <w:t>Na teritoriji opštine Kolašin mjerenje nivoa buke vršeno je u ulici Palih partizanki br.</w:t>
      </w:r>
      <w:r w:rsidR="00877E53">
        <w:rPr>
          <w:rFonts w:ascii="Constantia" w:hAnsi="Constantia"/>
          <w:lang w:val="sr-Latn-CS"/>
        </w:rPr>
        <w:t xml:space="preserve"> </w:t>
      </w:r>
      <w:r w:rsidRPr="00877E53">
        <w:rPr>
          <w:rFonts w:ascii="Constantia" w:hAnsi="Constantia"/>
          <w:lang w:val="sr-Latn-CS"/>
        </w:rPr>
        <w:t>8, u intervalu dnevnog (L</w:t>
      </w:r>
      <w:r w:rsidRPr="00877E53">
        <w:rPr>
          <w:rFonts w:ascii="Constantia" w:hAnsi="Constantia"/>
          <w:vertAlign w:val="subscript"/>
          <w:lang w:val="sr-Latn-CS"/>
        </w:rPr>
        <w:t>day</w:t>
      </w:r>
      <w:r w:rsidRPr="00877E53">
        <w:rPr>
          <w:rFonts w:ascii="Constantia" w:hAnsi="Constantia"/>
          <w:lang w:val="sr-Latn-CS"/>
        </w:rPr>
        <w:t>) 7-19h, večernjeg (L</w:t>
      </w:r>
      <w:r w:rsidRPr="00877E53">
        <w:rPr>
          <w:rFonts w:ascii="Constantia" w:hAnsi="Constantia"/>
          <w:vertAlign w:val="subscript"/>
          <w:lang w:val="sr-Latn-CS"/>
        </w:rPr>
        <w:t>evening</w:t>
      </w:r>
      <w:r w:rsidRPr="00877E53">
        <w:rPr>
          <w:rFonts w:ascii="Constantia" w:hAnsi="Constantia"/>
          <w:lang w:val="sr-Latn-CS"/>
        </w:rPr>
        <w:t>) 19-23h i noćnog perioda (L</w:t>
      </w:r>
      <w:r w:rsidRPr="00877E53">
        <w:rPr>
          <w:rFonts w:ascii="Constantia" w:hAnsi="Constantia"/>
          <w:vertAlign w:val="subscript"/>
          <w:lang w:val="sr-Latn-CS"/>
        </w:rPr>
        <w:t>night</w:t>
      </w:r>
      <w:r w:rsidRPr="00877E53">
        <w:rPr>
          <w:rFonts w:ascii="Constantia" w:hAnsi="Constantia"/>
          <w:lang w:val="sr-Latn-CS"/>
        </w:rPr>
        <w:t>) 23-7h.</w:t>
      </w:r>
    </w:p>
    <w:p w:rsidR="00EB3E54" w:rsidRPr="00877E53" w:rsidRDefault="00EB3E54" w:rsidP="00EB3E54">
      <w:pPr>
        <w:spacing w:line="276" w:lineRule="auto"/>
        <w:rPr>
          <w:rFonts w:ascii="Constantia" w:hAnsi="Constantia"/>
        </w:rPr>
      </w:pPr>
      <w:r w:rsidRPr="00877E53">
        <w:rPr>
          <w:rFonts w:ascii="Constantia" w:hAnsi="Constantia"/>
          <w:b/>
          <w:lang w:val="sr-Latn-CS"/>
        </w:rPr>
        <w:t>Nivo buke u I ciklusu</w:t>
      </w:r>
      <w:r w:rsidRPr="00877E53">
        <w:rPr>
          <w:rFonts w:ascii="Constantia" w:hAnsi="Constantia"/>
          <w:lang w:val="sr-Latn-CS"/>
        </w:rPr>
        <w:t xml:space="preserve"> mjeren je u periodu </w:t>
      </w:r>
      <w:r w:rsidRPr="00877E53">
        <w:rPr>
          <w:rFonts w:ascii="Constantia" w:hAnsi="Constantia"/>
        </w:rPr>
        <w:t>od 28.08</w:t>
      </w:r>
      <w:r w:rsidR="00877E53">
        <w:rPr>
          <w:rFonts w:ascii="Constantia" w:hAnsi="Constantia"/>
        </w:rPr>
        <w:t>.</w:t>
      </w:r>
      <w:r w:rsidRPr="00877E53">
        <w:rPr>
          <w:rFonts w:ascii="Constantia" w:hAnsi="Constantia"/>
        </w:rPr>
        <w:t xml:space="preserve">-04.09.2013. godine. </w:t>
      </w:r>
    </w:p>
    <w:p w:rsidR="00EB3E54" w:rsidRPr="00877E53" w:rsidRDefault="00EB3E54" w:rsidP="00EB3E54">
      <w:pPr>
        <w:spacing w:line="276" w:lineRule="auto"/>
        <w:rPr>
          <w:rFonts w:ascii="Constantia" w:hAnsi="Constantia"/>
          <w:lang w:val="sr-Latn-CS"/>
        </w:rPr>
      </w:pPr>
      <w:r w:rsidRPr="00877E53">
        <w:rPr>
          <w:rFonts w:ascii="Constantia" w:hAnsi="Constantia"/>
          <w:b/>
        </w:rPr>
        <w:t>Nivo buke u II ciklusu</w:t>
      </w:r>
      <w:r w:rsidRPr="00877E53">
        <w:rPr>
          <w:rFonts w:ascii="Constantia" w:hAnsi="Constantia"/>
        </w:rPr>
        <w:t xml:space="preserve"> </w:t>
      </w:r>
      <w:r w:rsidRPr="00877E53">
        <w:rPr>
          <w:rFonts w:ascii="Constantia" w:hAnsi="Constantia"/>
          <w:lang w:val="sr-Latn-CS"/>
        </w:rPr>
        <w:t xml:space="preserve">mjeren je u periodu </w:t>
      </w:r>
      <w:r w:rsidRPr="00877E53">
        <w:rPr>
          <w:rFonts w:ascii="Constantia" w:hAnsi="Constantia"/>
        </w:rPr>
        <w:t>od 01-08.11.2013. godine.</w:t>
      </w:r>
      <w:r w:rsidRPr="00877E53">
        <w:rPr>
          <w:rFonts w:ascii="Constantia" w:hAnsi="Constantia"/>
          <w:lang w:val="sr-Latn-CS"/>
        </w:rPr>
        <w:t xml:space="preserve"> </w:t>
      </w:r>
    </w:p>
    <w:p w:rsidR="00EB3E54" w:rsidRDefault="00EB3E54" w:rsidP="00EB3E54">
      <w:pPr>
        <w:spacing w:line="276" w:lineRule="auto"/>
        <w:rPr>
          <w:rFonts w:ascii="Constantia" w:hAnsi="Constantia"/>
          <w:szCs w:val="22"/>
          <w:lang w:val="sr-Latn-CS"/>
        </w:rPr>
      </w:pPr>
      <w:r w:rsidRPr="00877E53">
        <w:rPr>
          <w:rFonts w:ascii="Constantia" w:hAnsi="Constantia"/>
          <w:szCs w:val="22"/>
          <w:lang w:val="sr-Latn-CS"/>
        </w:rPr>
        <w:t xml:space="preserve">Srednje vrijednosti nivoa buke za </w:t>
      </w:r>
      <w:r w:rsidRPr="00877E53">
        <w:rPr>
          <w:rFonts w:ascii="Constantia" w:hAnsi="Constantia"/>
          <w:b/>
          <w:szCs w:val="22"/>
          <w:lang w:val="sr-Latn-CS"/>
        </w:rPr>
        <w:t>L</w:t>
      </w:r>
      <w:r w:rsidRPr="00877E53">
        <w:rPr>
          <w:rFonts w:ascii="Constantia" w:hAnsi="Constantia"/>
          <w:b/>
          <w:szCs w:val="22"/>
          <w:vertAlign w:val="subscript"/>
          <w:lang w:val="sr-Latn-CS"/>
        </w:rPr>
        <w:t>night</w:t>
      </w:r>
      <w:r w:rsidRPr="00877E53">
        <w:rPr>
          <w:rFonts w:ascii="Constantia" w:hAnsi="Constantia"/>
          <w:szCs w:val="22"/>
          <w:lang w:val="sr-Latn-CS"/>
        </w:rPr>
        <w:t xml:space="preserve"> – indikator noćnog nivoa buke koji se odnosi na vrijeme od 23 do 7 časova prikazane su </w:t>
      </w:r>
      <w:r w:rsidR="00877E53" w:rsidRPr="00877E53">
        <w:rPr>
          <w:rFonts w:ascii="Constantia" w:hAnsi="Constantia"/>
          <w:szCs w:val="22"/>
          <w:lang w:val="sr-Latn-CS"/>
        </w:rPr>
        <w:t xml:space="preserve">na </w:t>
      </w:r>
      <w:r w:rsidR="00877E53" w:rsidRPr="00877E53">
        <w:rPr>
          <w:rFonts w:ascii="Constantia" w:hAnsi="Constantia"/>
          <w:i/>
          <w:szCs w:val="22"/>
          <w:lang w:val="sr-Latn-CS"/>
        </w:rPr>
        <w:t>G</w:t>
      </w:r>
      <w:r w:rsidRPr="00877E53">
        <w:rPr>
          <w:rFonts w:ascii="Constantia" w:hAnsi="Constantia"/>
          <w:i/>
          <w:szCs w:val="22"/>
          <w:lang w:val="sr-Latn-CS"/>
        </w:rPr>
        <w:t xml:space="preserve">rafikonu </w:t>
      </w:r>
      <w:r w:rsidR="00877E53" w:rsidRPr="00877E53">
        <w:rPr>
          <w:rFonts w:ascii="Constantia" w:hAnsi="Constantia"/>
          <w:i/>
          <w:szCs w:val="22"/>
          <w:lang w:val="sr-Latn-CS"/>
        </w:rPr>
        <w:t>8</w:t>
      </w:r>
      <w:r w:rsidRPr="00877E53">
        <w:rPr>
          <w:rFonts w:ascii="Constantia" w:hAnsi="Constantia"/>
          <w:i/>
          <w:szCs w:val="22"/>
          <w:lang w:val="sr-Latn-CS"/>
        </w:rPr>
        <w:t>8</w:t>
      </w:r>
      <w:r w:rsidRPr="00877E53">
        <w:rPr>
          <w:rFonts w:ascii="Constantia" w:hAnsi="Constantia"/>
          <w:szCs w:val="22"/>
          <w:lang w:val="sr-Latn-CS"/>
        </w:rPr>
        <w:t>.</w:t>
      </w:r>
    </w:p>
    <w:p w:rsidR="0097248A" w:rsidRPr="00877E53" w:rsidRDefault="0097248A" w:rsidP="0097248A">
      <w:pPr>
        <w:spacing w:after="0" w:line="276" w:lineRule="auto"/>
        <w:rPr>
          <w:rFonts w:ascii="Constantia" w:hAnsi="Constantia"/>
          <w:b/>
          <w:i/>
          <w:szCs w:val="22"/>
          <w:u w:val="single"/>
        </w:rPr>
      </w:pPr>
    </w:p>
    <w:p w:rsidR="00EB3E54" w:rsidRPr="00877E53" w:rsidRDefault="00EB3E54" w:rsidP="00877E53">
      <w:pPr>
        <w:spacing w:before="120" w:after="0"/>
        <w:ind w:left="720" w:hanging="360"/>
        <w:jc w:val="center"/>
        <w:rPr>
          <w:rFonts w:ascii="Constantia" w:hAnsi="Constantia"/>
          <w:i/>
          <w:szCs w:val="22"/>
          <w:lang w:val="sr-Latn-CS"/>
        </w:rPr>
      </w:pPr>
      <w:r w:rsidRPr="00877E53">
        <w:rPr>
          <w:rFonts w:ascii="Constantia" w:hAnsi="Constantia"/>
          <w:i/>
          <w:noProof/>
          <w:color w:val="000000" w:themeColor="text1"/>
          <w:szCs w:val="22"/>
        </w:rPr>
        <w:drawing>
          <wp:inline distT="0" distB="0" distL="0" distR="0" wp14:anchorId="41CC32D0" wp14:editId="51C62A75">
            <wp:extent cx="5219700" cy="2105025"/>
            <wp:effectExtent l="0" t="0" r="0" b="0"/>
            <wp:docPr id="246" name="Chart 24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7"/>
              </a:graphicData>
            </a:graphic>
          </wp:inline>
        </w:drawing>
      </w:r>
    </w:p>
    <w:p w:rsidR="00EB3E54" w:rsidRPr="00877E53" w:rsidRDefault="00EB3E54" w:rsidP="00EB3E54">
      <w:pPr>
        <w:numPr>
          <w:ilvl w:val="0"/>
          <w:numId w:val="4"/>
        </w:numPr>
        <w:ind w:left="360"/>
        <w:jc w:val="center"/>
        <w:rPr>
          <w:rFonts w:ascii="Constantia" w:hAnsi="Constantia"/>
          <w:i/>
          <w:szCs w:val="22"/>
          <w:lang w:val="sr-Latn-CS"/>
        </w:rPr>
      </w:pPr>
      <w:r w:rsidRPr="00877E53">
        <w:rPr>
          <w:rFonts w:ascii="Constantia" w:hAnsi="Constantia"/>
          <w:i/>
          <w:szCs w:val="22"/>
          <w:lang w:val="sr-Latn-CS"/>
        </w:rPr>
        <w:t>Srednje vrijednosti nivoa buke (L</w:t>
      </w:r>
      <w:r w:rsidRPr="00877E53">
        <w:rPr>
          <w:rFonts w:ascii="Constantia" w:hAnsi="Constantia"/>
          <w:i/>
          <w:szCs w:val="22"/>
          <w:vertAlign w:val="subscript"/>
          <w:lang w:val="sr-Latn-CS"/>
        </w:rPr>
        <w:t>night</w:t>
      </w:r>
      <w:r w:rsidRPr="00877E53">
        <w:rPr>
          <w:rFonts w:ascii="Constantia" w:hAnsi="Constantia"/>
          <w:i/>
          <w:szCs w:val="22"/>
          <w:lang w:val="sr-Latn-CS"/>
        </w:rPr>
        <w:t>) na mjernom mjestu u Kolašinu</w:t>
      </w:r>
    </w:p>
    <w:p w:rsidR="00EB3E54" w:rsidRPr="00877E53" w:rsidRDefault="00EB3E54" w:rsidP="00EB3E54">
      <w:pPr>
        <w:rPr>
          <w:rFonts w:ascii="Constantia" w:hAnsi="Constantia"/>
          <w:b/>
          <w:i/>
          <w:szCs w:val="22"/>
          <w:lang w:val="sr-Latn-CS"/>
        </w:rPr>
      </w:pPr>
    </w:p>
    <w:p w:rsidR="00EB3E54" w:rsidRPr="009B516E" w:rsidRDefault="00B9767C" w:rsidP="00EB3E54">
      <w:pPr>
        <w:rPr>
          <w:rFonts w:ascii="Constantia" w:hAnsi="Constantia"/>
          <w:szCs w:val="22"/>
        </w:rPr>
      </w:pPr>
      <w:r w:rsidRPr="009B516E">
        <w:rPr>
          <w:rFonts w:ascii="Constantia" w:hAnsi="Constantia"/>
          <w:szCs w:val="22"/>
        </w:rPr>
        <w:t xml:space="preserve">Na </w:t>
      </w:r>
      <w:r w:rsidRPr="009B516E">
        <w:rPr>
          <w:rFonts w:ascii="Constantia" w:hAnsi="Constantia"/>
          <w:i/>
          <w:szCs w:val="22"/>
        </w:rPr>
        <w:t>S</w:t>
      </w:r>
      <w:r w:rsidR="00EB3E54" w:rsidRPr="009B516E">
        <w:rPr>
          <w:rFonts w:ascii="Constantia" w:hAnsi="Constantia"/>
          <w:i/>
          <w:szCs w:val="22"/>
        </w:rPr>
        <w:t xml:space="preserve">lici </w:t>
      </w:r>
      <w:r w:rsidRPr="009B516E">
        <w:rPr>
          <w:rFonts w:ascii="Constantia" w:hAnsi="Constantia"/>
          <w:i/>
          <w:szCs w:val="22"/>
        </w:rPr>
        <w:t>22.</w:t>
      </w:r>
      <w:r w:rsidR="00EB3E54" w:rsidRPr="009B516E">
        <w:rPr>
          <w:rFonts w:ascii="Constantia" w:hAnsi="Constantia"/>
          <w:szCs w:val="22"/>
        </w:rPr>
        <w:t xml:space="preserve"> prikazano je mjerno mjesto u Kolašinu.</w:t>
      </w:r>
    </w:p>
    <w:p w:rsidR="00EB3E54" w:rsidRPr="009B516E" w:rsidRDefault="00EB3E54" w:rsidP="00EB3E54">
      <w:pPr>
        <w:jc w:val="center"/>
        <w:rPr>
          <w:rFonts w:ascii="Constantia" w:hAnsi="Constantia"/>
          <w:b/>
          <w:noProof/>
          <w:sz w:val="24"/>
        </w:rPr>
      </w:pPr>
    </w:p>
    <w:p w:rsidR="00EB3E54" w:rsidRPr="009B516E" w:rsidRDefault="00EB3E54" w:rsidP="00EB3E54">
      <w:pPr>
        <w:jc w:val="center"/>
        <w:rPr>
          <w:rFonts w:ascii="Constantia" w:hAnsi="Constantia"/>
          <w:szCs w:val="22"/>
        </w:rPr>
      </w:pPr>
      <w:r w:rsidRPr="009B516E">
        <w:rPr>
          <w:rFonts w:ascii="Constantia" w:hAnsi="Constantia"/>
          <w:noProof/>
          <w:sz w:val="24"/>
        </w:rPr>
        <w:drawing>
          <wp:inline distT="0" distB="0" distL="0" distR="0" wp14:anchorId="3A579CA0" wp14:editId="4E2082F6">
            <wp:extent cx="3248025" cy="1876425"/>
            <wp:effectExtent l="0" t="0" r="0" b="0"/>
            <wp:docPr id="247" name="Picture 247" descr="Photo0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hoto0370"/>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3249521" cy="1877289"/>
                    </a:xfrm>
                    <a:prstGeom prst="rect">
                      <a:avLst/>
                    </a:prstGeom>
                    <a:noFill/>
                    <a:ln>
                      <a:noFill/>
                    </a:ln>
                  </pic:spPr>
                </pic:pic>
              </a:graphicData>
            </a:graphic>
          </wp:inline>
        </w:drawing>
      </w:r>
    </w:p>
    <w:p w:rsidR="009B516E" w:rsidRPr="009B516E" w:rsidRDefault="009B516E" w:rsidP="009B516E">
      <w:pPr>
        <w:pStyle w:val="Slika"/>
        <w:tabs>
          <w:tab w:val="left" w:pos="1080"/>
        </w:tabs>
        <w:ind w:left="360"/>
        <w:rPr>
          <w:rFonts w:ascii="Constantia" w:hAnsi="Constantia"/>
          <w:color w:val="000000" w:themeColor="text1"/>
          <w:sz w:val="20"/>
          <w:lang w:val="sr-Latn-CS"/>
        </w:rPr>
      </w:pPr>
      <w:r w:rsidRPr="009B516E">
        <w:rPr>
          <w:rFonts w:ascii="Constantia" w:hAnsi="Constantia"/>
        </w:rPr>
        <w:t xml:space="preserve">Mjerno mjesto u </w:t>
      </w:r>
      <w:r>
        <w:rPr>
          <w:rFonts w:ascii="Constantia" w:hAnsi="Constantia"/>
        </w:rPr>
        <w:t>Kolašinu</w:t>
      </w:r>
    </w:p>
    <w:p w:rsidR="0097248A" w:rsidRDefault="0097248A" w:rsidP="00EB3E54">
      <w:pPr>
        <w:rPr>
          <w:rFonts w:ascii="Constantia" w:hAnsi="Constantia"/>
          <w:szCs w:val="22"/>
        </w:rPr>
      </w:pPr>
    </w:p>
    <w:p w:rsidR="00EB3E54" w:rsidRDefault="00EB3E54" w:rsidP="00EB3E54">
      <w:pPr>
        <w:rPr>
          <w:rFonts w:ascii="Constantia" w:hAnsi="Constantia"/>
          <w:szCs w:val="22"/>
          <w:lang w:val="sr-Latn-CS"/>
        </w:rPr>
      </w:pPr>
      <w:r w:rsidRPr="00877E53">
        <w:rPr>
          <w:rFonts w:ascii="Constantia" w:hAnsi="Constantia"/>
          <w:szCs w:val="22"/>
        </w:rPr>
        <w:lastRenderedPageBreak/>
        <w:t>Rezultati mjerenja prikazani kao srednje vrijednosti za</w:t>
      </w:r>
      <w:r w:rsidRPr="00877E53">
        <w:rPr>
          <w:rFonts w:ascii="Constantia" w:hAnsi="Constantia"/>
          <w:b/>
          <w:szCs w:val="22"/>
          <w:lang w:val="sr-Latn-CS"/>
        </w:rPr>
        <w:t xml:space="preserve"> L</w:t>
      </w:r>
      <w:r w:rsidRPr="00877E53">
        <w:rPr>
          <w:rFonts w:ascii="Constantia" w:hAnsi="Constantia"/>
          <w:b/>
          <w:szCs w:val="22"/>
          <w:vertAlign w:val="subscript"/>
          <w:lang w:val="sr-Latn-CS"/>
        </w:rPr>
        <w:t>den</w:t>
      </w:r>
      <w:r w:rsidRPr="00877E53">
        <w:rPr>
          <w:rFonts w:ascii="Constantia" w:hAnsi="Constantia"/>
          <w:szCs w:val="22"/>
          <w:lang w:val="sr-Latn-CS"/>
        </w:rPr>
        <w:t xml:space="preserve"> -  ukupni indikator nivoa buke tokom dana, večeri i noći, </w:t>
      </w:r>
      <w:r w:rsidRPr="00877E53">
        <w:rPr>
          <w:rFonts w:ascii="Constantia" w:hAnsi="Constantia"/>
          <w:b/>
          <w:szCs w:val="22"/>
          <w:lang w:val="sr-Latn-CS"/>
        </w:rPr>
        <w:t>L</w:t>
      </w:r>
      <w:r w:rsidRPr="00877E53">
        <w:rPr>
          <w:rFonts w:ascii="Constantia" w:hAnsi="Constantia"/>
          <w:b/>
          <w:szCs w:val="22"/>
          <w:vertAlign w:val="subscript"/>
          <w:lang w:val="sr-Latn-CS"/>
        </w:rPr>
        <w:t>day</w:t>
      </w:r>
      <w:r w:rsidRPr="00877E53">
        <w:rPr>
          <w:rFonts w:ascii="Constantia" w:hAnsi="Constantia"/>
          <w:szCs w:val="22"/>
          <w:lang w:val="sr-Latn-CS"/>
        </w:rPr>
        <w:t xml:space="preserve"> – indikator dnevnog nivoa buke i odnosi se na vrijeme od 7 do 19 časova, </w:t>
      </w:r>
      <w:r w:rsidRPr="00877E53">
        <w:rPr>
          <w:rFonts w:ascii="Constantia" w:hAnsi="Constantia"/>
          <w:b/>
          <w:szCs w:val="22"/>
          <w:lang w:val="sr-Latn-CS"/>
        </w:rPr>
        <w:t>L</w:t>
      </w:r>
      <w:r w:rsidRPr="00877E53">
        <w:rPr>
          <w:rFonts w:ascii="Constantia" w:hAnsi="Constantia"/>
          <w:b/>
          <w:szCs w:val="22"/>
          <w:vertAlign w:val="subscript"/>
          <w:lang w:val="sr-Latn-CS"/>
        </w:rPr>
        <w:t>evening</w:t>
      </w:r>
      <w:r w:rsidRPr="00877E53">
        <w:rPr>
          <w:rFonts w:ascii="Constantia" w:hAnsi="Constantia"/>
          <w:szCs w:val="22"/>
          <w:lang w:val="sr-Latn-CS"/>
        </w:rPr>
        <w:t xml:space="preserve"> – indikator nivoa buke tokom večernjih časova i odnosi se na vrijeme od 19 do 23 časova, </w:t>
      </w:r>
      <w:r w:rsidRPr="00877E53">
        <w:rPr>
          <w:rFonts w:ascii="Constantia" w:hAnsi="Constantia"/>
          <w:b/>
          <w:szCs w:val="22"/>
          <w:lang w:val="sr-Latn-CS"/>
        </w:rPr>
        <w:t>L</w:t>
      </w:r>
      <w:r w:rsidRPr="00877E53">
        <w:rPr>
          <w:rFonts w:ascii="Constantia" w:hAnsi="Constantia"/>
          <w:b/>
          <w:szCs w:val="22"/>
          <w:vertAlign w:val="subscript"/>
          <w:lang w:val="sr-Latn-CS"/>
        </w:rPr>
        <w:t>night</w:t>
      </w:r>
      <w:r w:rsidRPr="00877E53">
        <w:rPr>
          <w:rFonts w:ascii="Constantia" w:hAnsi="Constantia"/>
          <w:szCs w:val="22"/>
          <w:lang w:val="sr-Latn-CS"/>
        </w:rPr>
        <w:t xml:space="preserve"> – indikator noćnog nivoa buke i odnosi se na vrijeme od 23 do 7 časova</w:t>
      </w:r>
      <w:r w:rsidR="00F45DE6">
        <w:rPr>
          <w:rFonts w:ascii="Constantia" w:hAnsi="Constantia"/>
          <w:szCs w:val="22"/>
          <w:lang w:val="sr-Latn-CS"/>
        </w:rPr>
        <w:t xml:space="preserve"> za Kolašin prikazani su u </w:t>
      </w:r>
      <w:r w:rsidR="00F45DE6" w:rsidRPr="00F45DE6">
        <w:rPr>
          <w:rFonts w:ascii="Constantia" w:hAnsi="Constantia"/>
          <w:i/>
          <w:szCs w:val="22"/>
          <w:lang w:val="sr-Latn-CS"/>
        </w:rPr>
        <w:t>T</w:t>
      </w:r>
      <w:r w:rsidRPr="00F45DE6">
        <w:rPr>
          <w:rFonts w:ascii="Constantia" w:hAnsi="Constantia"/>
          <w:i/>
          <w:szCs w:val="22"/>
          <w:lang w:val="sr-Latn-CS"/>
        </w:rPr>
        <w:t>abeli</w:t>
      </w:r>
      <w:r w:rsidR="00F45DE6" w:rsidRPr="00F45DE6">
        <w:rPr>
          <w:rFonts w:ascii="Constantia" w:hAnsi="Constantia"/>
          <w:i/>
          <w:szCs w:val="22"/>
          <w:lang w:val="sr-Latn-CS"/>
        </w:rPr>
        <w:t xml:space="preserve"> 98</w:t>
      </w:r>
      <w:r w:rsidRPr="00877E53">
        <w:rPr>
          <w:rFonts w:ascii="Constantia" w:hAnsi="Constantia"/>
          <w:szCs w:val="22"/>
          <w:lang w:val="sr-Latn-CS"/>
        </w:rPr>
        <w:t>.</w:t>
      </w:r>
    </w:p>
    <w:p w:rsidR="00877E53" w:rsidRPr="00877E53" w:rsidRDefault="00877E53" w:rsidP="00F45DE6">
      <w:pPr>
        <w:spacing w:after="0"/>
        <w:rPr>
          <w:rFonts w:ascii="Constantia" w:hAnsi="Constantia"/>
          <w:szCs w:val="22"/>
          <w:lang w:val="sr-Latn-CS"/>
        </w:rPr>
      </w:pPr>
    </w:p>
    <w:tbl>
      <w:tblPr>
        <w:tblStyle w:val="LightList-Accent6"/>
        <w:tblW w:w="0" w:type="auto"/>
        <w:tblLook w:val="04A0" w:firstRow="1" w:lastRow="0" w:firstColumn="1" w:lastColumn="0" w:noHBand="0" w:noVBand="1"/>
      </w:tblPr>
      <w:tblGrid>
        <w:gridCol w:w="2268"/>
        <w:gridCol w:w="1710"/>
        <w:gridCol w:w="1710"/>
        <w:gridCol w:w="1710"/>
        <w:gridCol w:w="1710"/>
      </w:tblGrid>
      <w:tr w:rsidR="00EB3E54" w:rsidRPr="00877E53" w:rsidTr="00912E3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rsidR="00EB3E54" w:rsidRPr="00877E53" w:rsidRDefault="00EB3E54" w:rsidP="00EB3E54">
            <w:pPr>
              <w:keepLines/>
              <w:widowControl w:val="0"/>
              <w:tabs>
                <w:tab w:val="left" w:pos="1134"/>
                <w:tab w:val="left" w:pos="2268"/>
              </w:tabs>
              <w:autoSpaceDE w:val="0"/>
              <w:autoSpaceDN w:val="0"/>
              <w:spacing w:before="120" w:after="60"/>
              <w:jc w:val="center"/>
              <w:rPr>
                <w:rFonts w:ascii="Constantia" w:hAnsi="Constantia"/>
                <w:color w:val="auto"/>
                <w:szCs w:val="22"/>
              </w:rPr>
            </w:pPr>
          </w:p>
        </w:tc>
        <w:tc>
          <w:tcPr>
            <w:tcW w:w="1710" w:type="dxa"/>
          </w:tcPr>
          <w:p w:rsidR="00EB3E54" w:rsidRPr="00877E53" w:rsidRDefault="00EB3E54" w:rsidP="00EB3E54">
            <w:pPr>
              <w:keepLines/>
              <w:widowControl w:val="0"/>
              <w:tabs>
                <w:tab w:val="left" w:pos="1134"/>
                <w:tab w:val="left" w:pos="2268"/>
              </w:tabs>
              <w:autoSpaceDE w:val="0"/>
              <w:autoSpaceDN w:val="0"/>
              <w:spacing w:before="120" w:after="60"/>
              <w:jc w:val="center"/>
              <w:cnfStyle w:val="100000000000" w:firstRow="1" w:lastRow="0" w:firstColumn="0" w:lastColumn="0" w:oddVBand="0" w:evenVBand="0" w:oddHBand="0" w:evenHBand="0" w:firstRowFirstColumn="0" w:firstRowLastColumn="0" w:lastRowFirstColumn="0" w:lastRowLastColumn="0"/>
              <w:rPr>
                <w:rFonts w:ascii="Constantia" w:hAnsi="Constantia"/>
                <w:color w:val="auto"/>
                <w:szCs w:val="22"/>
              </w:rPr>
            </w:pPr>
            <w:r w:rsidRPr="00877E53">
              <w:rPr>
                <w:rFonts w:ascii="Constantia" w:hAnsi="Constantia"/>
                <w:color w:val="auto"/>
                <w:szCs w:val="22"/>
              </w:rPr>
              <w:t>L</w:t>
            </w:r>
            <w:r w:rsidRPr="00877E53">
              <w:rPr>
                <w:rFonts w:ascii="Constantia" w:hAnsi="Constantia"/>
                <w:color w:val="auto"/>
                <w:szCs w:val="22"/>
                <w:vertAlign w:val="subscript"/>
              </w:rPr>
              <w:t>day</w:t>
            </w:r>
            <w:r w:rsidRPr="00877E53">
              <w:rPr>
                <w:rFonts w:ascii="Constantia" w:hAnsi="Constantia"/>
                <w:color w:val="auto"/>
                <w:szCs w:val="22"/>
              </w:rPr>
              <w:t xml:space="preserve"> (dB)</w:t>
            </w:r>
          </w:p>
        </w:tc>
        <w:tc>
          <w:tcPr>
            <w:tcW w:w="1710" w:type="dxa"/>
          </w:tcPr>
          <w:p w:rsidR="00EB3E54" w:rsidRPr="00877E53" w:rsidRDefault="00EB3E54" w:rsidP="00EB3E54">
            <w:pPr>
              <w:keepLines/>
              <w:widowControl w:val="0"/>
              <w:tabs>
                <w:tab w:val="left" w:pos="1134"/>
                <w:tab w:val="left" w:pos="2268"/>
              </w:tabs>
              <w:autoSpaceDE w:val="0"/>
              <w:autoSpaceDN w:val="0"/>
              <w:spacing w:before="120" w:after="60"/>
              <w:jc w:val="center"/>
              <w:cnfStyle w:val="100000000000" w:firstRow="1" w:lastRow="0" w:firstColumn="0" w:lastColumn="0" w:oddVBand="0" w:evenVBand="0" w:oddHBand="0" w:evenHBand="0" w:firstRowFirstColumn="0" w:firstRowLastColumn="0" w:lastRowFirstColumn="0" w:lastRowLastColumn="0"/>
              <w:rPr>
                <w:rFonts w:ascii="Constantia" w:hAnsi="Constantia"/>
                <w:color w:val="auto"/>
                <w:szCs w:val="22"/>
              </w:rPr>
            </w:pPr>
            <w:r w:rsidRPr="00877E53">
              <w:rPr>
                <w:rFonts w:ascii="Constantia" w:hAnsi="Constantia"/>
                <w:color w:val="auto"/>
                <w:szCs w:val="22"/>
              </w:rPr>
              <w:t>L</w:t>
            </w:r>
            <w:r w:rsidRPr="00877E53">
              <w:rPr>
                <w:rFonts w:ascii="Constantia" w:hAnsi="Constantia"/>
                <w:color w:val="auto"/>
                <w:szCs w:val="22"/>
                <w:vertAlign w:val="subscript"/>
              </w:rPr>
              <w:t>evening</w:t>
            </w:r>
            <w:r w:rsidRPr="00877E53">
              <w:rPr>
                <w:rFonts w:ascii="Constantia" w:hAnsi="Constantia"/>
                <w:color w:val="auto"/>
                <w:szCs w:val="22"/>
              </w:rPr>
              <w:t xml:space="preserve"> (dB)</w:t>
            </w:r>
          </w:p>
        </w:tc>
        <w:tc>
          <w:tcPr>
            <w:tcW w:w="1710" w:type="dxa"/>
          </w:tcPr>
          <w:p w:rsidR="00EB3E54" w:rsidRPr="00877E53" w:rsidRDefault="00EB3E54" w:rsidP="00EB3E54">
            <w:pPr>
              <w:keepLines/>
              <w:widowControl w:val="0"/>
              <w:tabs>
                <w:tab w:val="left" w:pos="1134"/>
                <w:tab w:val="left" w:pos="2268"/>
              </w:tabs>
              <w:autoSpaceDE w:val="0"/>
              <w:autoSpaceDN w:val="0"/>
              <w:spacing w:before="120" w:after="60"/>
              <w:jc w:val="center"/>
              <w:cnfStyle w:val="100000000000" w:firstRow="1" w:lastRow="0" w:firstColumn="0" w:lastColumn="0" w:oddVBand="0" w:evenVBand="0" w:oddHBand="0" w:evenHBand="0" w:firstRowFirstColumn="0" w:firstRowLastColumn="0" w:lastRowFirstColumn="0" w:lastRowLastColumn="0"/>
              <w:rPr>
                <w:rFonts w:ascii="Constantia" w:hAnsi="Constantia"/>
                <w:color w:val="auto"/>
                <w:szCs w:val="22"/>
              </w:rPr>
            </w:pPr>
            <w:r w:rsidRPr="00877E53">
              <w:rPr>
                <w:rFonts w:ascii="Constantia" w:hAnsi="Constantia"/>
                <w:color w:val="auto"/>
                <w:szCs w:val="22"/>
              </w:rPr>
              <w:t>L</w:t>
            </w:r>
            <w:r w:rsidRPr="00877E53">
              <w:rPr>
                <w:rFonts w:ascii="Constantia" w:hAnsi="Constantia"/>
                <w:color w:val="auto"/>
                <w:szCs w:val="22"/>
                <w:vertAlign w:val="subscript"/>
              </w:rPr>
              <w:t>night</w:t>
            </w:r>
            <w:r w:rsidRPr="00877E53">
              <w:rPr>
                <w:rFonts w:ascii="Constantia" w:hAnsi="Constantia"/>
                <w:color w:val="auto"/>
                <w:szCs w:val="22"/>
              </w:rPr>
              <w:t xml:space="preserve"> (dB)</w:t>
            </w:r>
          </w:p>
        </w:tc>
        <w:tc>
          <w:tcPr>
            <w:tcW w:w="1710" w:type="dxa"/>
          </w:tcPr>
          <w:p w:rsidR="00EB3E54" w:rsidRPr="00877E53" w:rsidRDefault="00EB3E54" w:rsidP="00EB3E54">
            <w:pPr>
              <w:keepLines/>
              <w:widowControl w:val="0"/>
              <w:tabs>
                <w:tab w:val="left" w:pos="1134"/>
                <w:tab w:val="left" w:pos="2268"/>
              </w:tabs>
              <w:autoSpaceDE w:val="0"/>
              <w:autoSpaceDN w:val="0"/>
              <w:spacing w:before="120" w:after="60"/>
              <w:jc w:val="center"/>
              <w:cnfStyle w:val="100000000000" w:firstRow="1" w:lastRow="0" w:firstColumn="0" w:lastColumn="0" w:oddVBand="0" w:evenVBand="0" w:oddHBand="0" w:evenHBand="0" w:firstRowFirstColumn="0" w:firstRowLastColumn="0" w:lastRowFirstColumn="0" w:lastRowLastColumn="0"/>
              <w:rPr>
                <w:rFonts w:ascii="Constantia" w:hAnsi="Constantia"/>
                <w:color w:val="auto"/>
                <w:szCs w:val="22"/>
              </w:rPr>
            </w:pPr>
            <w:r w:rsidRPr="00877E53">
              <w:rPr>
                <w:rFonts w:ascii="Constantia" w:hAnsi="Constantia"/>
                <w:color w:val="auto"/>
                <w:szCs w:val="22"/>
              </w:rPr>
              <w:t>L</w:t>
            </w:r>
            <w:r w:rsidRPr="00877E53">
              <w:rPr>
                <w:rFonts w:ascii="Constantia" w:hAnsi="Constantia"/>
                <w:color w:val="auto"/>
                <w:szCs w:val="22"/>
                <w:vertAlign w:val="subscript"/>
              </w:rPr>
              <w:t>den</w:t>
            </w:r>
            <w:r w:rsidRPr="00877E53">
              <w:rPr>
                <w:rFonts w:ascii="Constantia" w:hAnsi="Constantia"/>
                <w:color w:val="auto"/>
                <w:szCs w:val="22"/>
              </w:rPr>
              <w:t xml:space="preserve"> (dB)</w:t>
            </w:r>
          </w:p>
        </w:tc>
      </w:tr>
      <w:tr w:rsidR="00EB3E54" w:rsidRPr="00877E53" w:rsidTr="00912E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rsidR="00EB3E54" w:rsidRPr="00877E53" w:rsidRDefault="00EB3E54" w:rsidP="0097248A">
            <w:pPr>
              <w:keepLines/>
              <w:widowControl w:val="0"/>
              <w:tabs>
                <w:tab w:val="left" w:pos="1134"/>
                <w:tab w:val="left" w:pos="2268"/>
              </w:tabs>
              <w:autoSpaceDE w:val="0"/>
              <w:autoSpaceDN w:val="0"/>
              <w:spacing w:after="60"/>
              <w:jc w:val="center"/>
              <w:rPr>
                <w:rFonts w:ascii="Constantia" w:hAnsi="Constantia"/>
                <w:szCs w:val="22"/>
              </w:rPr>
            </w:pPr>
            <w:r w:rsidRPr="00877E53">
              <w:rPr>
                <w:rFonts w:ascii="Constantia" w:hAnsi="Constantia"/>
                <w:szCs w:val="22"/>
              </w:rPr>
              <w:t>I Ciklus</w:t>
            </w:r>
          </w:p>
        </w:tc>
        <w:tc>
          <w:tcPr>
            <w:tcW w:w="1710" w:type="dxa"/>
          </w:tcPr>
          <w:p w:rsidR="00EB3E54" w:rsidRPr="00877E53" w:rsidRDefault="00EB3E54" w:rsidP="0097248A">
            <w:pPr>
              <w:keepLines/>
              <w:widowControl w:val="0"/>
              <w:tabs>
                <w:tab w:val="left" w:pos="1134"/>
                <w:tab w:val="left" w:pos="2268"/>
              </w:tabs>
              <w:autoSpaceDE w:val="0"/>
              <w:autoSpaceDN w:val="0"/>
              <w:spacing w:after="6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877E53">
              <w:rPr>
                <w:rFonts w:ascii="Constantia" w:hAnsi="Constantia"/>
                <w:b/>
                <w:szCs w:val="22"/>
              </w:rPr>
              <w:t>63</w:t>
            </w:r>
          </w:p>
        </w:tc>
        <w:tc>
          <w:tcPr>
            <w:tcW w:w="1710" w:type="dxa"/>
          </w:tcPr>
          <w:p w:rsidR="00EB3E54" w:rsidRPr="00877E53" w:rsidRDefault="00EB3E54" w:rsidP="0097248A">
            <w:pPr>
              <w:keepLines/>
              <w:widowControl w:val="0"/>
              <w:tabs>
                <w:tab w:val="left" w:pos="1134"/>
                <w:tab w:val="left" w:pos="2268"/>
              </w:tabs>
              <w:autoSpaceDE w:val="0"/>
              <w:autoSpaceDN w:val="0"/>
              <w:spacing w:after="6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877E53">
              <w:rPr>
                <w:rFonts w:ascii="Constantia" w:hAnsi="Constantia"/>
                <w:b/>
                <w:szCs w:val="22"/>
              </w:rPr>
              <w:t>59</w:t>
            </w:r>
          </w:p>
        </w:tc>
        <w:tc>
          <w:tcPr>
            <w:tcW w:w="1710" w:type="dxa"/>
          </w:tcPr>
          <w:p w:rsidR="00EB3E54" w:rsidRPr="00877E53" w:rsidRDefault="00EB3E54" w:rsidP="0097248A">
            <w:pPr>
              <w:keepLines/>
              <w:widowControl w:val="0"/>
              <w:tabs>
                <w:tab w:val="left" w:pos="1134"/>
                <w:tab w:val="left" w:pos="2268"/>
              </w:tabs>
              <w:autoSpaceDE w:val="0"/>
              <w:autoSpaceDN w:val="0"/>
              <w:spacing w:after="6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877E53">
              <w:rPr>
                <w:rFonts w:ascii="Constantia" w:hAnsi="Constantia"/>
                <w:b/>
                <w:szCs w:val="22"/>
              </w:rPr>
              <w:t>55</w:t>
            </w:r>
          </w:p>
        </w:tc>
        <w:tc>
          <w:tcPr>
            <w:tcW w:w="1710" w:type="dxa"/>
          </w:tcPr>
          <w:p w:rsidR="00EB3E54" w:rsidRPr="00877E53" w:rsidRDefault="00EB3E54" w:rsidP="0097248A">
            <w:pPr>
              <w:keepLines/>
              <w:widowControl w:val="0"/>
              <w:tabs>
                <w:tab w:val="left" w:pos="1134"/>
                <w:tab w:val="left" w:pos="2268"/>
              </w:tabs>
              <w:autoSpaceDE w:val="0"/>
              <w:autoSpaceDN w:val="0"/>
              <w:spacing w:after="6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877E53">
              <w:rPr>
                <w:rFonts w:ascii="Constantia" w:hAnsi="Constantia"/>
                <w:b/>
                <w:szCs w:val="22"/>
              </w:rPr>
              <w:t>64</w:t>
            </w:r>
          </w:p>
        </w:tc>
      </w:tr>
      <w:tr w:rsidR="00EB3E54" w:rsidRPr="00877E53" w:rsidTr="00912E35">
        <w:tc>
          <w:tcPr>
            <w:cnfStyle w:val="001000000000" w:firstRow="0" w:lastRow="0" w:firstColumn="1" w:lastColumn="0" w:oddVBand="0" w:evenVBand="0" w:oddHBand="0" w:evenHBand="0" w:firstRowFirstColumn="0" w:firstRowLastColumn="0" w:lastRowFirstColumn="0" w:lastRowLastColumn="0"/>
            <w:tcW w:w="2268" w:type="dxa"/>
          </w:tcPr>
          <w:p w:rsidR="00EB3E54" w:rsidRPr="00877E53" w:rsidRDefault="00EB3E54" w:rsidP="0097248A">
            <w:pPr>
              <w:keepLines/>
              <w:widowControl w:val="0"/>
              <w:tabs>
                <w:tab w:val="left" w:pos="1134"/>
                <w:tab w:val="left" w:pos="2268"/>
              </w:tabs>
              <w:autoSpaceDE w:val="0"/>
              <w:autoSpaceDN w:val="0"/>
              <w:spacing w:after="60"/>
              <w:jc w:val="center"/>
              <w:rPr>
                <w:rFonts w:ascii="Constantia" w:hAnsi="Constantia"/>
                <w:szCs w:val="22"/>
              </w:rPr>
            </w:pPr>
            <w:r w:rsidRPr="00877E53">
              <w:rPr>
                <w:rFonts w:ascii="Constantia" w:hAnsi="Constantia"/>
                <w:szCs w:val="22"/>
              </w:rPr>
              <w:t>II Ciklus</w:t>
            </w:r>
          </w:p>
        </w:tc>
        <w:tc>
          <w:tcPr>
            <w:tcW w:w="1710" w:type="dxa"/>
          </w:tcPr>
          <w:p w:rsidR="00EB3E54" w:rsidRPr="00877E53" w:rsidRDefault="00EB3E54" w:rsidP="0097248A">
            <w:pPr>
              <w:keepLines/>
              <w:widowControl w:val="0"/>
              <w:tabs>
                <w:tab w:val="left" w:pos="1134"/>
                <w:tab w:val="left" w:pos="2268"/>
              </w:tabs>
              <w:autoSpaceDE w:val="0"/>
              <w:autoSpaceDN w:val="0"/>
              <w:spacing w:after="60"/>
              <w:jc w:val="center"/>
              <w:cnfStyle w:val="000000000000" w:firstRow="0" w:lastRow="0" w:firstColumn="0" w:lastColumn="0" w:oddVBand="0" w:evenVBand="0" w:oddHBand="0" w:evenHBand="0" w:firstRowFirstColumn="0" w:firstRowLastColumn="0" w:lastRowFirstColumn="0" w:lastRowLastColumn="0"/>
              <w:rPr>
                <w:rFonts w:ascii="Constantia" w:hAnsi="Constantia"/>
                <w:b/>
                <w:szCs w:val="22"/>
              </w:rPr>
            </w:pPr>
            <w:r w:rsidRPr="00877E53">
              <w:rPr>
                <w:rFonts w:ascii="Constantia" w:hAnsi="Constantia"/>
                <w:b/>
                <w:szCs w:val="22"/>
              </w:rPr>
              <w:t>53</w:t>
            </w:r>
          </w:p>
        </w:tc>
        <w:tc>
          <w:tcPr>
            <w:tcW w:w="1710" w:type="dxa"/>
          </w:tcPr>
          <w:p w:rsidR="00EB3E54" w:rsidRPr="00877E53" w:rsidRDefault="00EB3E54" w:rsidP="0097248A">
            <w:pPr>
              <w:keepLines/>
              <w:widowControl w:val="0"/>
              <w:tabs>
                <w:tab w:val="left" w:pos="1134"/>
                <w:tab w:val="left" w:pos="2268"/>
              </w:tabs>
              <w:autoSpaceDE w:val="0"/>
              <w:autoSpaceDN w:val="0"/>
              <w:spacing w:after="60"/>
              <w:jc w:val="center"/>
              <w:cnfStyle w:val="000000000000" w:firstRow="0" w:lastRow="0" w:firstColumn="0" w:lastColumn="0" w:oddVBand="0" w:evenVBand="0" w:oddHBand="0" w:evenHBand="0" w:firstRowFirstColumn="0" w:firstRowLastColumn="0" w:lastRowFirstColumn="0" w:lastRowLastColumn="0"/>
              <w:rPr>
                <w:rFonts w:ascii="Constantia" w:hAnsi="Constantia"/>
                <w:b/>
                <w:szCs w:val="22"/>
              </w:rPr>
            </w:pPr>
            <w:r w:rsidRPr="00877E53">
              <w:rPr>
                <w:rFonts w:ascii="Constantia" w:hAnsi="Constantia"/>
                <w:b/>
                <w:szCs w:val="22"/>
              </w:rPr>
              <w:t>51</w:t>
            </w:r>
          </w:p>
        </w:tc>
        <w:tc>
          <w:tcPr>
            <w:tcW w:w="1710" w:type="dxa"/>
          </w:tcPr>
          <w:p w:rsidR="00EB3E54" w:rsidRPr="00877E53" w:rsidRDefault="00EB3E54" w:rsidP="0097248A">
            <w:pPr>
              <w:keepLines/>
              <w:widowControl w:val="0"/>
              <w:tabs>
                <w:tab w:val="left" w:pos="1134"/>
                <w:tab w:val="left" w:pos="2268"/>
              </w:tabs>
              <w:autoSpaceDE w:val="0"/>
              <w:autoSpaceDN w:val="0"/>
              <w:spacing w:after="60"/>
              <w:jc w:val="center"/>
              <w:cnfStyle w:val="000000000000" w:firstRow="0" w:lastRow="0" w:firstColumn="0" w:lastColumn="0" w:oddVBand="0" w:evenVBand="0" w:oddHBand="0" w:evenHBand="0" w:firstRowFirstColumn="0" w:firstRowLastColumn="0" w:lastRowFirstColumn="0" w:lastRowLastColumn="0"/>
              <w:rPr>
                <w:rFonts w:ascii="Constantia" w:hAnsi="Constantia"/>
                <w:b/>
                <w:szCs w:val="22"/>
              </w:rPr>
            </w:pPr>
            <w:r w:rsidRPr="00877E53">
              <w:rPr>
                <w:rFonts w:ascii="Constantia" w:hAnsi="Constantia"/>
                <w:b/>
                <w:szCs w:val="22"/>
              </w:rPr>
              <w:t>48</w:t>
            </w:r>
          </w:p>
        </w:tc>
        <w:tc>
          <w:tcPr>
            <w:tcW w:w="1710" w:type="dxa"/>
          </w:tcPr>
          <w:p w:rsidR="00EB3E54" w:rsidRPr="00877E53" w:rsidRDefault="00EB3E54" w:rsidP="0097248A">
            <w:pPr>
              <w:keepLines/>
              <w:widowControl w:val="0"/>
              <w:tabs>
                <w:tab w:val="left" w:pos="1134"/>
                <w:tab w:val="left" w:pos="2268"/>
              </w:tabs>
              <w:autoSpaceDE w:val="0"/>
              <w:autoSpaceDN w:val="0"/>
              <w:spacing w:after="60"/>
              <w:jc w:val="center"/>
              <w:cnfStyle w:val="000000000000" w:firstRow="0" w:lastRow="0" w:firstColumn="0" w:lastColumn="0" w:oddVBand="0" w:evenVBand="0" w:oddHBand="0" w:evenHBand="0" w:firstRowFirstColumn="0" w:firstRowLastColumn="0" w:lastRowFirstColumn="0" w:lastRowLastColumn="0"/>
              <w:rPr>
                <w:rFonts w:ascii="Constantia" w:hAnsi="Constantia"/>
                <w:b/>
                <w:szCs w:val="22"/>
              </w:rPr>
            </w:pPr>
            <w:r w:rsidRPr="00877E53">
              <w:rPr>
                <w:rFonts w:ascii="Constantia" w:hAnsi="Constantia"/>
                <w:b/>
                <w:szCs w:val="22"/>
              </w:rPr>
              <w:t>56</w:t>
            </w:r>
          </w:p>
        </w:tc>
      </w:tr>
      <w:tr w:rsidR="00EB3E54" w:rsidRPr="00877E53" w:rsidTr="00912E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rsidR="00EB3E54" w:rsidRPr="00877E53" w:rsidRDefault="00EB3E54" w:rsidP="0097248A">
            <w:pPr>
              <w:keepLines/>
              <w:widowControl w:val="0"/>
              <w:tabs>
                <w:tab w:val="left" w:pos="1134"/>
                <w:tab w:val="left" w:pos="2268"/>
              </w:tabs>
              <w:autoSpaceDE w:val="0"/>
              <w:autoSpaceDN w:val="0"/>
              <w:spacing w:after="0"/>
              <w:jc w:val="center"/>
              <w:rPr>
                <w:rFonts w:ascii="Constantia" w:hAnsi="Constantia"/>
                <w:szCs w:val="22"/>
              </w:rPr>
            </w:pPr>
            <w:r w:rsidRPr="00877E53">
              <w:rPr>
                <w:rFonts w:ascii="Constantia" w:hAnsi="Constantia"/>
                <w:szCs w:val="22"/>
              </w:rPr>
              <w:t>Granična vrijednost</w:t>
            </w:r>
          </w:p>
        </w:tc>
        <w:tc>
          <w:tcPr>
            <w:tcW w:w="1710" w:type="dxa"/>
          </w:tcPr>
          <w:p w:rsidR="00EB3E54" w:rsidRPr="00877E53" w:rsidRDefault="00EB3E54" w:rsidP="0097248A">
            <w:pPr>
              <w:keepLines/>
              <w:widowControl w:val="0"/>
              <w:tabs>
                <w:tab w:val="left" w:pos="1134"/>
                <w:tab w:val="left" w:pos="2268"/>
              </w:tabs>
              <w:autoSpaceDE w:val="0"/>
              <w:autoSpaceDN w:val="0"/>
              <w:spacing w:after="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877E53">
              <w:rPr>
                <w:rFonts w:ascii="Constantia" w:hAnsi="Constantia"/>
                <w:b/>
                <w:szCs w:val="22"/>
              </w:rPr>
              <w:t>60</w:t>
            </w:r>
          </w:p>
        </w:tc>
        <w:tc>
          <w:tcPr>
            <w:tcW w:w="1710" w:type="dxa"/>
          </w:tcPr>
          <w:p w:rsidR="00EB3E54" w:rsidRPr="00877E53" w:rsidRDefault="00EB3E54" w:rsidP="0097248A">
            <w:pPr>
              <w:keepLines/>
              <w:widowControl w:val="0"/>
              <w:tabs>
                <w:tab w:val="left" w:pos="1134"/>
                <w:tab w:val="left" w:pos="2268"/>
              </w:tabs>
              <w:autoSpaceDE w:val="0"/>
              <w:autoSpaceDN w:val="0"/>
              <w:spacing w:after="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877E53">
              <w:rPr>
                <w:rFonts w:ascii="Constantia" w:hAnsi="Constantia"/>
                <w:b/>
                <w:szCs w:val="22"/>
              </w:rPr>
              <w:t>60</w:t>
            </w:r>
          </w:p>
        </w:tc>
        <w:tc>
          <w:tcPr>
            <w:tcW w:w="1710" w:type="dxa"/>
          </w:tcPr>
          <w:p w:rsidR="00EB3E54" w:rsidRPr="00877E53" w:rsidRDefault="00EB3E54" w:rsidP="0097248A">
            <w:pPr>
              <w:keepLines/>
              <w:widowControl w:val="0"/>
              <w:tabs>
                <w:tab w:val="left" w:pos="1134"/>
                <w:tab w:val="left" w:pos="2268"/>
              </w:tabs>
              <w:autoSpaceDE w:val="0"/>
              <w:autoSpaceDN w:val="0"/>
              <w:spacing w:after="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877E53">
              <w:rPr>
                <w:rFonts w:ascii="Constantia" w:hAnsi="Constantia"/>
                <w:b/>
                <w:szCs w:val="22"/>
              </w:rPr>
              <w:t>50</w:t>
            </w:r>
          </w:p>
        </w:tc>
        <w:tc>
          <w:tcPr>
            <w:tcW w:w="1710" w:type="dxa"/>
          </w:tcPr>
          <w:p w:rsidR="00EB3E54" w:rsidRPr="00877E53" w:rsidRDefault="00EB3E54" w:rsidP="0097248A">
            <w:pPr>
              <w:keepLines/>
              <w:widowControl w:val="0"/>
              <w:tabs>
                <w:tab w:val="left" w:pos="1134"/>
                <w:tab w:val="left" w:pos="2268"/>
              </w:tabs>
              <w:autoSpaceDE w:val="0"/>
              <w:autoSpaceDN w:val="0"/>
              <w:spacing w:after="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877E53">
              <w:rPr>
                <w:rFonts w:ascii="Constantia" w:hAnsi="Constantia"/>
                <w:b/>
                <w:szCs w:val="22"/>
              </w:rPr>
              <w:t>---</w:t>
            </w:r>
          </w:p>
        </w:tc>
      </w:tr>
    </w:tbl>
    <w:p w:rsidR="00EB3E54" w:rsidRPr="00877E53" w:rsidRDefault="00EB3E54" w:rsidP="00ED6D6E">
      <w:pPr>
        <w:numPr>
          <w:ilvl w:val="0"/>
          <w:numId w:val="3"/>
        </w:numPr>
        <w:tabs>
          <w:tab w:val="left" w:pos="720"/>
        </w:tabs>
        <w:spacing w:before="60" w:after="240"/>
        <w:ind w:left="0" w:firstLine="0"/>
        <w:jc w:val="center"/>
        <w:rPr>
          <w:rFonts w:ascii="Constantia" w:hAnsi="Constantia"/>
          <w:i/>
          <w:szCs w:val="22"/>
          <w:lang w:val="sr-Latn-CS"/>
        </w:rPr>
      </w:pPr>
      <w:r w:rsidRPr="00877E53">
        <w:rPr>
          <w:rFonts w:ascii="Constantia" w:hAnsi="Constantia"/>
          <w:i/>
          <w:szCs w:val="22"/>
          <w:lang w:val="sr-Latn-CS"/>
        </w:rPr>
        <w:t>Srednji indikatori buke na mjernom mjestu u Kolašinu</w:t>
      </w:r>
    </w:p>
    <w:p w:rsidR="00EB3E54" w:rsidRPr="00877E53" w:rsidRDefault="00EB3E54" w:rsidP="00EB3E54">
      <w:pPr>
        <w:rPr>
          <w:rFonts w:ascii="Constantia" w:hAnsi="Constantia"/>
          <w:szCs w:val="22"/>
        </w:rPr>
      </w:pPr>
      <w:r w:rsidRPr="00877E53">
        <w:rPr>
          <w:rFonts w:ascii="Constantia" w:hAnsi="Constantia"/>
          <w:szCs w:val="22"/>
        </w:rPr>
        <w:t>Vrijednosti indikatora buke su veći u prvom ciklusu mjerenja (kraj avgusta, početak septembra) nego u drugom ciklusu mjerenja (početak novembra).</w:t>
      </w:r>
    </w:p>
    <w:p w:rsidR="00EB3E54" w:rsidRPr="00877E53" w:rsidRDefault="00EB3E54" w:rsidP="00EB3E54">
      <w:pPr>
        <w:rPr>
          <w:rFonts w:ascii="Constantia" w:hAnsi="Constantia"/>
          <w:szCs w:val="22"/>
        </w:rPr>
      </w:pPr>
      <w:r w:rsidRPr="00877E53">
        <w:rPr>
          <w:rFonts w:ascii="Constantia" w:hAnsi="Constantia"/>
          <w:szCs w:val="22"/>
        </w:rPr>
        <w:t>U prvom ciklusu vrijednosti indikatora buke za dan i noć prelaze granične vrijednosti nivoa buke, dok je vrijednost indikatora buke za veče ispod graničnog nivoa buke.</w:t>
      </w:r>
    </w:p>
    <w:p w:rsidR="00EB3E54" w:rsidRPr="00877E53" w:rsidRDefault="00EB3E54" w:rsidP="00EB3E54">
      <w:pPr>
        <w:rPr>
          <w:rFonts w:ascii="Constantia" w:hAnsi="Constantia"/>
          <w:szCs w:val="22"/>
        </w:rPr>
      </w:pPr>
      <w:r w:rsidRPr="00877E53">
        <w:rPr>
          <w:rFonts w:ascii="Constantia" w:hAnsi="Constantia"/>
          <w:szCs w:val="22"/>
        </w:rPr>
        <w:t>U drugom ciklusu su vrijednosti indikatora buke za dan, veče i noć ispod graničnih vrijednosti nivoa buke.</w:t>
      </w:r>
    </w:p>
    <w:p w:rsidR="00EB3E54" w:rsidRPr="00877E53" w:rsidRDefault="00EB3E54" w:rsidP="00EB3E54">
      <w:pPr>
        <w:spacing w:before="120" w:after="360"/>
        <w:rPr>
          <w:rFonts w:ascii="Constantia" w:hAnsi="Constantia"/>
          <w:szCs w:val="22"/>
          <w:lang w:val="sr-Latn-CS"/>
        </w:rPr>
      </w:pPr>
      <w:r w:rsidRPr="00877E53">
        <w:rPr>
          <w:rFonts w:ascii="Constantia" w:hAnsi="Constantia"/>
          <w:szCs w:val="22"/>
          <w:lang w:val="sr-Latn-CS"/>
        </w:rPr>
        <w:t>Na osno</w:t>
      </w:r>
      <w:r w:rsidR="008A4DE4">
        <w:rPr>
          <w:rFonts w:ascii="Constantia" w:hAnsi="Constantia"/>
          <w:szCs w:val="22"/>
          <w:lang w:val="sr-Latn-CS"/>
        </w:rPr>
        <w:t>vu Odluke o utvrđivanju akustičkih zona na teritoriji o</w:t>
      </w:r>
      <w:r w:rsidRPr="00877E53">
        <w:rPr>
          <w:rFonts w:ascii="Constantia" w:hAnsi="Constantia"/>
          <w:szCs w:val="22"/>
          <w:lang w:val="sr-Latn-CS"/>
        </w:rPr>
        <w:t>pštine Kolašin</w:t>
      </w:r>
      <w:r w:rsidR="004E4CFB">
        <w:rPr>
          <w:rFonts w:ascii="Constantia" w:hAnsi="Constantia"/>
          <w:szCs w:val="22"/>
          <w:lang w:val="sr-Latn-CS"/>
        </w:rPr>
        <w:t>,</w:t>
      </w:r>
      <w:r w:rsidRPr="00877E53">
        <w:rPr>
          <w:rFonts w:ascii="Constantia" w:hAnsi="Constantia"/>
          <w:szCs w:val="22"/>
          <w:lang w:val="sr-Latn-CS"/>
        </w:rPr>
        <w:t xml:space="preserve"> posmatrano mjerno mjesto pripada zoni mješovite namjene. </w:t>
      </w:r>
    </w:p>
    <w:p w:rsidR="00EB3E54" w:rsidRPr="00EB3E54" w:rsidRDefault="00EB3E54" w:rsidP="00077AA6">
      <w:pPr>
        <w:pStyle w:val="Heading2"/>
        <w:ind w:left="720"/>
      </w:pPr>
      <w:bookmarkStart w:id="174" w:name="_Toc393897945"/>
      <w:r w:rsidRPr="00EB3E54">
        <w:t>Mojkovac</w:t>
      </w:r>
      <w:bookmarkEnd w:id="174"/>
    </w:p>
    <w:p w:rsidR="00EB3E54" w:rsidRPr="00506FF2" w:rsidRDefault="00EB3E54" w:rsidP="00EB3E54">
      <w:pPr>
        <w:spacing w:line="276" w:lineRule="auto"/>
        <w:rPr>
          <w:rFonts w:ascii="Constantia" w:hAnsi="Constantia"/>
          <w:szCs w:val="22"/>
          <w:lang w:val="sr-Latn-CS"/>
        </w:rPr>
      </w:pPr>
      <w:r w:rsidRPr="00506FF2">
        <w:rPr>
          <w:rFonts w:ascii="Constantia" w:hAnsi="Constantia"/>
          <w:szCs w:val="22"/>
          <w:lang w:val="sr-Latn-CS"/>
        </w:rPr>
        <w:t>Na teritoriji opštine Mojkovac mjerenje nivoa buke vršeno je u ulici Filipa Žurića br.</w:t>
      </w:r>
      <w:r w:rsidR="00506FF2">
        <w:rPr>
          <w:rFonts w:ascii="Constantia" w:hAnsi="Constantia"/>
          <w:szCs w:val="22"/>
          <w:lang w:val="sr-Latn-CS"/>
        </w:rPr>
        <w:t xml:space="preserve"> </w:t>
      </w:r>
      <w:r w:rsidRPr="00506FF2">
        <w:rPr>
          <w:rFonts w:ascii="Constantia" w:hAnsi="Constantia"/>
          <w:szCs w:val="22"/>
          <w:lang w:val="sr-Latn-CS"/>
        </w:rPr>
        <w:t>1, u intervalu dnevnog (L</w:t>
      </w:r>
      <w:r w:rsidRPr="00506FF2">
        <w:rPr>
          <w:rFonts w:ascii="Constantia" w:hAnsi="Constantia"/>
          <w:szCs w:val="22"/>
          <w:vertAlign w:val="subscript"/>
          <w:lang w:val="sr-Latn-CS"/>
        </w:rPr>
        <w:t>day</w:t>
      </w:r>
      <w:r w:rsidRPr="00506FF2">
        <w:rPr>
          <w:rFonts w:ascii="Constantia" w:hAnsi="Constantia"/>
          <w:szCs w:val="22"/>
          <w:lang w:val="sr-Latn-CS"/>
        </w:rPr>
        <w:t>) 7-19h, večernjeg (L</w:t>
      </w:r>
      <w:r w:rsidRPr="00506FF2">
        <w:rPr>
          <w:rFonts w:ascii="Constantia" w:hAnsi="Constantia"/>
          <w:szCs w:val="22"/>
          <w:vertAlign w:val="subscript"/>
          <w:lang w:val="sr-Latn-CS"/>
        </w:rPr>
        <w:t>evening</w:t>
      </w:r>
      <w:r w:rsidRPr="00506FF2">
        <w:rPr>
          <w:rFonts w:ascii="Constantia" w:hAnsi="Constantia"/>
          <w:szCs w:val="22"/>
          <w:lang w:val="sr-Latn-CS"/>
        </w:rPr>
        <w:t>) 19-23h i noćnog perioda (L</w:t>
      </w:r>
      <w:r w:rsidRPr="00506FF2">
        <w:rPr>
          <w:rFonts w:ascii="Constantia" w:hAnsi="Constantia"/>
          <w:szCs w:val="22"/>
          <w:vertAlign w:val="subscript"/>
          <w:lang w:val="sr-Latn-CS"/>
        </w:rPr>
        <w:t>night</w:t>
      </w:r>
      <w:r w:rsidRPr="00506FF2">
        <w:rPr>
          <w:rFonts w:ascii="Constantia" w:hAnsi="Constantia"/>
          <w:szCs w:val="22"/>
          <w:lang w:val="sr-Latn-CS"/>
        </w:rPr>
        <w:t>) 23-7h.</w:t>
      </w:r>
    </w:p>
    <w:p w:rsidR="00EB3E54" w:rsidRPr="00506FF2" w:rsidRDefault="00EB3E54" w:rsidP="00EB3E54">
      <w:pPr>
        <w:spacing w:line="276" w:lineRule="auto"/>
        <w:rPr>
          <w:rFonts w:ascii="Constantia" w:hAnsi="Constantia"/>
          <w:szCs w:val="22"/>
        </w:rPr>
      </w:pPr>
      <w:r w:rsidRPr="00506FF2">
        <w:rPr>
          <w:rFonts w:ascii="Constantia" w:hAnsi="Constantia"/>
          <w:b/>
          <w:szCs w:val="22"/>
          <w:lang w:val="sr-Latn-CS"/>
        </w:rPr>
        <w:t>Nivo buke u I ciklusu</w:t>
      </w:r>
      <w:r w:rsidRPr="00506FF2">
        <w:rPr>
          <w:rFonts w:ascii="Constantia" w:hAnsi="Constantia"/>
          <w:szCs w:val="22"/>
          <w:lang w:val="sr-Latn-CS"/>
        </w:rPr>
        <w:t xml:space="preserve"> mjeren je u periodu </w:t>
      </w:r>
      <w:r w:rsidRPr="00506FF2">
        <w:rPr>
          <w:rFonts w:ascii="Constantia" w:hAnsi="Constantia"/>
          <w:szCs w:val="22"/>
        </w:rPr>
        <w:t xml:space="preserve">od 04-12.09.2013. godine. </w:t>
      </w:r>
    </w:p>
    <w:p w:rsidR="00EB3E54" w:rsidRPr="00506FF2" w:rsidRDefault="00EB3E54" w:rsidP="00EB3E54">
      <w:pPr>
        <w:spacing w:line="276" w:lineRule="auto"/>
        <w:rPr>
          <w:rFonts w:ascii="Constantia" w:hAnsi="Constantia"/>
          <w:szCs w:val="22"/>
          <w:lang w:val="sr-Latn-CS"/>
        </w:rPr>
      </w:pPr>
      <w:r w:rsidRPr="00506FF2">
        <w:rPr>
          <w:rFonts w:ascii="Constantia" w:hAnsi="Constantia"/>
          <w:b/>
          <w:szCs w:val="22"/>
        </w:rPr>
        <w:t>Nivo buke u II ciklusu</w:t>
      </w:r>
      <w:r w:rsidRPr="00506FF2">
        <w:rPr>
          <w:rFonts w:ascii="Constantia" w:hAnsi="Constantia"/>
          <w:szCs w:val="22"/>
        </w:rPr>
        <w:t xml:space="preserve"> </w:t>
      </w:r>
      <w:r w:rsidRPr="00506FF2">
        <w:rPr>
          <w:rFonts w:ascii="Constantia" w:hAnsi="Constantia"/>
          <w:szCs w:val="22"/>
          <w:lang w:val="sr-Latn-CS"/>
        </w:rPr>
        <w:t xml:space="preserve">mjeren je u periodu </w:t>
      </w:r>
      <w:r w:rsidRPr="00506FF2">
        <w:rPr>
          <w:rFonts w:ascii="Constantia" w:hAnsi="Constantia"/>
          <w:szCs w:val="22"/>
        </w:rPr>
        <w:t>od 08-14.11.2013. godine.</w:t>
      </w:r>
      <w:r w:rsidRPr="00506FF2">
        <w:rPr>
          <w:rFonts w:ascii="Constantia" w:hAnsi="Constantia"/>
          <w:szCs w:val="22"/>
          <w:lang w:val="sr-Latn-CS"/>
        </w:rPr>
        <w:t xml:space="preserve"> </w:t>
      </w:r>
    </w:p>
    <w:p w:rsidR="00EB3E54" w:rsidRPr="00506FF2" w:rsidRDefault="00EB3E54" w:rsidP="00EB3E54">
      <w:pPr>
        <w:spacing w:line="276" w:lineRule="auto"/>
        <w:rPr>
          <w:rFonts w:ascii="Constantia" w:hAnsi="Constantia"/>
          <w:b/>
          <w:i/>
          <w:szCs w:val="22"/>
          <w:u w:val="single"/>
        </w:rPr>
      </w:pPr>
      <w:r w:rsidRPr="00506FF2">
        <w:rPr>
          <w:rFonts w:ascii="Constantia" w:hAnsi="Constantia"/>
          <w:szCs w:val="22"/>
          <w:lang w:val="sr-Latn-CS"/>
        </w:rPr>
        <w:t xml:space="preserve">Srednje vrijednosti nivoa buke za </w:t>
      </w:r>
      <w:r w:rsidRPr="00506FF2">
        <w:rPr>
          <w:rFonts w:ascii="Constantia" w:hAnsi="Constantia"/>
          <w:b/>
          <w:szCs w:val="22"/>
          <w:lang w:val="sr-Latn-CS"/>
        </w:rPr>
        <w:t>L</w:t>
      </w:r>
      <w:r w:rsidRPr="00506FF2">
        <w:rPr>
          <w:rFonts w:ascii="Constantia" w:hAnsi="Constantia"/>
          <w:b/>
          <w:szCs w:val="22"/>
          <w:vertAlign w:val="subscript"/>
          <w:lang w:val="sr-Latn-CS"/>
        </w:rPr>
        <w:t>night</w:t>
      </w:r>
      <w:r w:rsidRPr="00506FF2">
        <w:rPr>
          <w:rFonts w:ascii="Constantia" w:hAnsi="Constantia"/>
          <w:szCs w:val="22"/>
          <w:lang w:val="sr-Latn-CS"/>
        </w:rPr>
        <w:t xml:space="preserve"> – indikator noćnog nivoa buke koji se odnosi na vrijeme od 23 do 7 časova prikazane su </w:t>
      </w:r>
      <w:r w:rsidR="00506FF2">
        <w:rPr>
          <w:rFonts w:ascii="Constantia" w:hAnsi="Constantia"/>
          <w:szCs w:val="22"/>
          <w:lang w:val="sr-Latn-CS"/>
        </w:rPr>
        <w:t xml:space="preserve">na </w:t>
      </w:r>
      <w:r w:rsidR="00506FF2" w:rsidRPr="00506FF2">
        <w:rPr>
          <w:rFonts w:ascii="Constantia" w:hAnsi="Constantia"/>
          <w:i/>
          <w:szCs w:val="22"/>
          <w:lang w:val="sr-Latn-CS"/>
        </w:rPr>
        <w:t>G</w:t>
      </w:r>
      <w:r w:rsidRPr="00506FF2">
        <w:rPr>
          <w:rFonts w:ascii="Constantia" w:hAnsi="Constantia"/>
          <w:i/>
          <w:szCs w:val="22"/>
          <w:lang w:val="sr-Latn-CS"/>
        </w:rPr>
        <w:t xml:space="preserve">rafikonu </w:t>
      </w:r>
      <w:r w:rsidR="00506FF2" w:rsidRPr="00506FF2">
        <w:rPr>
          <w:rFonts w:ascii="Constantia" w:hAnsi="Constantia"/>
          <w:i/>
          <w:szCs w:val="22"/>
          <w:lang w:val="sr-Latn-CS"/>
        </w:rPr>
        <w:t>8</w:t>
      </w:r>
      <w:r w:rsidRPr="00506FF2">
        <w:rPr>
          <w:rFonts w:ascii="Constantia" w:hAnsi="Constantia"/>
          <w:i/>
          <w:szCs w:val="22"/>
          <w:lang w:val="sr-Latn-CS"/>
        </w:rPr>
        <w:t>9</w:t>
      </w:r>
      <w:r w:rsidRPr="00506FF2">
        <w:rPr>
          <w:rFonts w:ascii="Constantia" w:hAnsi="Constantia"/>
          <w:szCs w:val="22"/>
          <w:lang w:val="sr-Latn-CS"/>
        </w:rPr>
        <w:t>.</w:t>
      </w:r>
    </w:p>
    <w:p w:rsidR="00EB3E54" w:rsidRPr="00506FF2" w:rsidRDefault="00EB3E54" w:rsidP="00506FF2">
      <w:pPr>
        <w:spacing w:before="120" w:after="0"/>
        <w:ind w:left="720" w:hanging="360"/>
        <w:jc w:val="center"/>
        <w:rPr>
          <w:rFonts w:ascii="Constantia" w:hAnsi="Constantia"/>
          <w:i/>
          <w:szCs w:val="22"/>
          <w:lang w:val="sr-Latn-CS"/>
        </w:rPr>
      </w:pPr>
      <w:r w:rsidRPr="00506FF2">
        <w:rPr>
          <w:rFonts w:ascii="Constantia" w:hAnsi="Constantia"/>
          <w:i/>
          <w:noProof/>
          <w:color w:val="000000" w:themeColor="text1"/>
          <w:szCs w:val="22"/>
        </w:rPr>
        <w:drawing>
          <wp:inline distT="0" distB="0" distL="0" distR="0" wp14:anchorId="504CF33B" wp14:editId="331BEC6F">
            <wp:extent cx="3733800" cy="2009775"/>
            <wp:effectExtent l="0" t="0" r="0" b="0"/>
            <wp:docPr id="248" name="Chart 24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9"/>
              </a:graphicData>
            </a:graphic>
          </wp:inline>
        </w:drawing>
      </w:r>
    </w:p>
    <w:p w:rsidR="00EB3E54" w:rsidRPr="00506FF2" w:rsidRDefault="00EB3E54" w:rsidP="00EB3E54">
      <w:pPr>
        <w:numPr>
          <w:ilvl w:val="0"/>
          <w:numId w:val="4"/>
        </w:numPr>
        <w:ind w:left="360"/>
        <w:jc w:val="center"/>
        <w:rPr>
          <w:rFonts w:ascii="Constantia" w:hAnsi="Constantia"/>
          <w:i/>
          <w:szCs w:val="22"/>
          <w:lang w:val="sr-Latn-CS"/>
        </w:rPr>
      </w:pPr>
      <w:r w:rsidRPr="00506FF2">
        <w:rPr>
          <w:rFonts w:ascii="Constantia" w:hAnsi="Constantia"/>
          <w:i/>
          <w:szCs w:val="22"/>
          <w:lang w:val="sr-Latn-CS"/>
        </w:rPr>
        <w:t>Srednje vrijednosti nivoa buke (L</w:t>
      </w:r>
      <w:r w:rsidRPr="00506FF2">
        <w:rPr>
          <w:rFonts w:ascii="Constantia" w:hAnsi="Constantia"/>
          <w:i/>
          <w:szCs w:val="22"/>
          <w:vertAlign w:val="subscript"/>
          <w:lang w:val="sr-Latn-CS"/>
        </w:rPr>
        <w:t>night</w:t>
      </w:r>
      <w:r w:rsidRPr="00506FF2">
        <w:rPr>
          <w:rFonts w:ascii="Constantia" w:hAnsi="Constantia"/>
          <w:i/>
          <w:szCs w:val="22"/>
          <w:lang w:val="sr-Latn-CS"/>
        </w:rPr>
        <w:t>) na mjernom mjestu u Mojkovcu</w:t>
      </w:r>
    </w:p>
    <w:p w:rsidR="004E4CFB" w:rsidRDefault="004E4CFB" w:rsidP="00EB3E54">
      <w:pPr>
        <w:rPr>
          <w:rFonts w:ascii="Constantia" w:hAnsi="Constantia"/>
          <w:szCs w:val="22"/>
        </w:rPr>
      </w:pPr>
    </w:p>
    <w:p w:rsidR="00EB3E54" w:rsidRPr="00506FF2" w:rsidRDefault="00EB3E54" w:rsidP="00EB3E54">
      <w:pPr>
        <w:rPr>
          <w:rFonts w:ascii="Constantia" w:hAnsi="Constantia"/>
          <w:szCs w:val="22"/>
        </w:rPr>
      </w:pPr>
      <w:r w:rsidRPr="00506FF2">
        <w:rPr>
          <w:rFonts w:ascii="Constantia" w:hAnsi="Constantia"/>
          <w:szCs w:val="22"/>
        </w:rPr>
        <w:lastRenderedPageBreak/>
        <w:t xml:space="preserve">Na </w:t>
      </w:r>
      <w:r w:rsidR="000D649E" w:rsidRPr="000D649E">
        <w:rPr>
          <w:rFonts w:ascii="Constantia" w:hAnsi="Constantia"/>
          <w:i/>
          <w:szCs w:val="22"/>
        </w:rPr>
        <w:t>S</w:t>
      </w:r>
      <w:r w:rsidRPr="000D649E">
        <w:rPr>
          <w:rFonts w:ascii="Constantia" w:hAnsi="Constantia"/>
          <w:i/>
          <w:szCs w:val="22"/>
        </w:rPr>
        <w:t xml:space="preserve">lici </w:t>
      </w:r>
      <w:r w:rsidR="000D649E" w:rsidRPr="000D649E">
        <w:rPr>
          <w:rFonts w:ascii="Constantia" w:hAnsi="Constantia"/>
          <w:i/>
          <w:szCs w:val="22"/>
        </w:rPr>
        <w:t>23.</w:t>
      </w:r>
      <w:r w:rsidRPr="00506FF2">
        <w:rPr>
          <w:rFonts w:ascii="Constantia" w:hAnsi="Constantia"/>
          <w:szCs w:val="22"/>
        </w:rPr>
        <w:t xml:space="preserve"> prikazano je mjerno mjesto u Mojkovcu.</w:t>
      </w:r>
    </w:p>
    <w:p w:rsidR="00EB3E54" w:rsidRPr="00506FF2" w:rsidRDefault="00EB3E54" w:rsidP="004E4CFB">
      <w:pPr>
        <w:spacing w:before="240"/>
        <w:jc w:val="center"/>
        <w:rPr>
          <w:rFonts w:ascii="Constantia" w:hAnsi="Constantia"/>
          <w:szCs w:val="22"/>
        </w:rPr>
      </w:pPr>
      <w:r w:rsidRPr="00506FF2">
        <w:rPr>
          <w:rFonts w:ascii="Constantia" w:hAnsi="Constantia"/>
          <w:noProof/>
          <w:szCs w:val="22"/>
        </w:rPr>
        <w:drawing>
          <wp:inline distT="0" distB="0" distL="0" distR="0" wp14:anchorId="514A3B89" wp14:editId="27DACF1D">
            <wp:extent cx="2457450" cy="1971675"/>
            <wp:effectExtent l="0" t="0" r="0" b="0"/>
            <wp:docPr id="249" name="Picture 249" descr="DSC03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SC03582"/>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2458110" cy="1972205"/>
                    </a:xfrm>
                    <a:prstGeom prst="rect">
                      <a:avLst/>
                    </a:prstGeom>
                    <a:noFill/>
                    <a:ln>
                      <a:noFill/>
                    </a:ln>
                  </pic:spPr>
                </pic:pic>
              </a:graphicData>
            </a:graphic>
          </wp:inline>
        </w:drawing>
      </w:r>
    </w:p>
    <w:p w:rsidR="00EB3E54" w:rsidRPr="000D649E" w:rsidRDefault="00EB3E54" w:rsidP="000D649E">
      <w:pPr>
        <w:pStyle w:val="Slika"/>
        <w:tabs>
          <w:tab w:val="left" w:pos="990"/>
        </w:tabs>
        <w:ind w:left="360"/>
        <w:rPr>
          <w:rFonts w:ascii="Constantia" w:hAnsi="Constantia"/>
          <w:lang w:val="sr-Latn-CS"/>
        </w:rPr>
      </w:pPr>
      <w:r w:rsidRPr="000D649E">
        <w:rPr>
          <w:rFonts w:ascii="Constantia" w:hAnsi="Constantia"/>
          <w:lang w:val="sr-Latn-CS"/>
        </w:rPr>
        <w:t>Mjerno mjesto u Mojkovcu</w:t>
      </w:r>
    </w:p>
    <w:p w:rsidR="00F55B7A" w:rsidRDefault="00F55B7A" w:rsidP="00F55B7A">
      <w:pPr>
        <w:spacing w:after="0"/>
        <w:rPr>
          <w:rFonts w:ascii="Constantia" w:hAnsi="Constantia"/>
          <w:szCs w:val="22"/>
        </w:rPr>
      </w:pPr>
    </w:p>
    <w:p w:rsidR="00EB3E54" w:rsidRDefault="00EB3E54" w:rsidP="00EB3E54">
      <w:pPr>
        <w:rPr>
          <w:rFonts w:ascii="Constantia" w:hAnsi="Constantia"/>
          <w:szCs w:val="22"/>
          <w:lang w:val="sr-Latn-CS"/>
        </w:rPr>
      </w:pPr>
      <w:r w:rsidRPr="00506FF2">
        <w:rPr>
          <w:rFonts w:ascii="Constantia" w:hAnsi="Constantia"/>
          <w:szCs w:val="22"/>
        </w:rPr>
        <w:t>Rezultati mjerenja prikazani kao srednje vrijednosti za</w:t>
      </w:r>
      <w:r w:rsidRPr="00506FF2">
        <w:rPr>
          <w:rFonts w:ascii="Constantia" w:hAnsi="Constantia"/>
          <w:b/>
          <w:szCs w:val="22"/>
          <w:lang w:val="sr-Latn-CS"/>
        </w:rPr>
        <w:t xml:space="preserve"> L</w:t>
      </w:r>
      <w:r w:rsidRPr="00506FF2">
        <w:rPr>
          <w:rFonts w:ascii="Constantia" w:hAnsi="Constantia"/>
          <w:b/>
          <w:szCs w:val="22"/>
          <w:vertAlign w:val="subscript"/>
          <w:lang w:val="sr-Latn-CS"/>
        </w:rPr>
        <w:t>den</w:t>
      </w:r>
      <w:r w:rsidRPr="00506FF2">
        <w:rPr>
          <w:rFonts w:ascii="Constantia" w:hAnsi="Constantia"/>
          <w:szCs w:val="22"/>
          <w:lang w:val="sr-Latn-CS"/>
        </w:rPr>
        <w:t xml:space="preserve"> -  ukupni indikator nivoa buke tokom dana, večeri i noći, </w:t>
      </w:r>
      <w:r w:rsidRPr="00506FF2">
        <w:rPr>
          <w:rFonts w:ascii="Constantia" w:hAnsi="Constantia"/>
          <w:b/>
          <w:szCs w:val="22"/>
          <w:lang w:val="sr-Latn-CS"/>
        </w:rPr>
        <w:t>L</w:t>
      </w:r>
      <w:r w:rsidRPr="00506FF2">
        <w:rPr>
          <w:rFonts w:ascii="Constantia" w:hAnsi="Constantia"/>
          <w:b/>
          <w:szCs w:val="22"/>
          <w:vertAlign w:val="subscript"/>
          <w:lang w:val="sr-Latn-CS"/>
        </w:rPr>
        <w:t>day</w:t>
      </w:r>
      <w:r w:rsidRPr="00506FF2">
        <w:rPr>
          <w:rFonts w:ascii="Constantia" w:hAnsi="Constantia"/>
          <w:szCs w:val="22"/>
          <w:lang w:val="sr-Latn-CS"/>
        </w:rPr>
        <w:t xml:space="preserve"> – indikator dnevnog nivoa buke i odnosi se na vrijeme od 7 do 19 časova, </w:t>
      </w:r>
      <w:r w:rsidRPr="00506FF2">
        <w:rPr>
          <w:rFonts w:ascii="Constantia" w:hAnsi="Constantia"/>
          <w:b/>
          <w:szCs w:val="22"/>
          <w:lang w:val="sr-Latn-CS"/>
        </w:rPr>
        <w:t>L</w:t>
      </w:r>
      <w:r w:rsidRPr="00506FF2">
        <w:rPr>
          <w:rFonts w:ascii="Constantia" w:hAnsi="Constantia"/>
          <w:b/>
          <w:szCs w:val="22"/>
          <w:vertAlign w:val="subscript"/>
          <w:lang w:val="sr-Latn-CS"/>
        </w:rPr>
        <w:t>evening</w:t>
      </w:r>
      <w:r w:rsidRPr="00506FF2">
        <w:rPr>
          <w:rFonts w:ascii="Constantia" w:hAnsi="Constantia"/>
          <w:szCs w:val="22"/>
          <w:lang w:val="sr-Latn-CS"/>
        </w:rPr>
        <w:t xml:space="preserve"> – indikator nivoa buke tokom večernjih časova i odnosi se na vrijeme od 19 do 23 časova, </w:t>
      </w:r>
      <w:r w:rsidRPr="00506FF2">
        <w:rPr>
          <w:rFonts w:ascii="Constantia" w:hAnsi="Constantia"/>
          <w:b/>
          <w:szCs w:val="22"/>
          <w:lang w:val="sr-Latn-CS"/>
        </w:rPr>
        <w:t>L</w:t>
      </w:r>
      <w:r w:rsidRPr="00506FF2">
        <w:rPr>
          <w:rFonts w:ascii="Constantia" w:hAnsi="Constantia"/>
          <w:b/>
          <w:szCs w:val="22"/>
          <w:vertAlign w:val="subscript"/>
          <w:lang w:val="sr-Latn-CS"/>
        </w:rPr>
        <w:t>night</w:t>
      </w:r>
      <w:r w:rsidRPr="00506FF2">
        <w:rPr>
          <w:rFonts w:ascii="Constantia" w:hAnsi="Constantia"/>
          <w:szCs w:val="22"/>
          <w:lang w:val="sr-Latn-CS"/>
        </w:rPr>
        <w:t xml:space="preserve"> – indikator noćnog nivoa buke i odnosi se na vrijeme od 23 do 7 časova</w:t>
      </w:r>
      <w:r w:rsidR="00F55B7A">
        <w:rPr>
          <w:rFonts w:ascii="Constantia" w:hAnsi="Constantia"/>
          <w:szCs w:val="22"/>
          <w:lang w:val="sr-Latn-CS"/>
        </w:rPr>
        <w:t xml:space="preserve"> za Mojkovac prikazani su u T</w:t>
      </w:r>
      <w:r w:rsidRPr="00506FF2">
        <w:rPr>
          <w:rFonts w:ascii="Constantia" w:hAnsi="Constantia"/>
          <w:szCs w:val="22"/>
          <w:lang w:val="sr-Latn-CS"/>
        </w:rPr>
        <w:t xml:space="preserve">abeli </w:t>
      </w:r>
      <w:r w:rsidR="00F55B7A">
        <w:rPr>
          <w:rFonts w:ascii="Constantia" w:hAnsi="Constantia"/>
          <w:szCs w:val="22"/>
          <w:lang w:val="sr-Latn-CS"/>
        </w:rPr>
        <w:t>99</w:t>
      </w:r>
      <w:r w:rsidRPr="00506FF2">
        <w:rPr>
          <w:rFonts w:ascii="Constantia" w:hAnsi="Constantia"/>
          <w:szCs w:val="22"/>
          <w:lang w:val="sr-Latn-CS"/>
        </w:rPr>
        <w:t>.</w:t>
      </w:r>
    </w:p>
    <w:p w:rsidR="00F55B7A" w:rsidRPr="00506FF2" w:rsidRDefault="00F55B7A" w:rsidP="00F55B7A">
      <w:pPr>
        <w:spacing w:after="0"/>
        <w:rPr>
          <w:rFonts w:ascii="Constantia" w:hAnsi="Constantia"/>
          <w:szCs w:val="22"/>
          <w:lang w:val="sr-Latn-CS"/>
        </w:rPr>
      </w:pPr>
    </w:p>
    <w:tbl>
      <w:tblPr>
        <w:tblStyle w:val="LightList-Accent6"/>
        <w:tblW w:w="8910" w:type="dxa"/>
        <w:tblInd w:w="198" w:type="dxa"/>
        <w:tblLook w:val="04A0" w:firstRow="1" w:lastRow="0" w:firstColumn="1" w:lastColumn="0" w:noHBand="0" w:noVBand="1"/>
      </w:tblPr>
      <w:tblGrid>
        <w:gridCol w:w="2268"/>
        <w:gridCol w:w="1710"/>
        <w:gridCol w:w="1710"/>
        <w:gridCol w:w="1710"/>
        <w:gridCol w:w="1512"/>
      </w:tblGrid>
      <w:tr w:rsidR="00EB3E54" w:rsidRPr="00506FF2" w:rsidTr="00F55B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rsidR="00EB3E54" w:rsidRPr="00506FF2" w:rsidRDefault="00EB3E54" w:rsidP="00EB3E54">
            <w:pPr>
              <w:keepLines/>
              <w:widowControl w:val="0"/>
              <w:tabs>
                <w:tab w:val="left" w:pos="1134"/>
                <w:tab w:val="left" w:pos="2268"/>
              </w:tabs>
              <w:autoSpaceDE w:val="0"/>
              <w:autoSpaceDN w:val="0"/>
              <w:spacing w:before="120" w:after="60"/>
              <w:jc w:val="center"/>
              <w:rPr>
                <w:rFonts w:ascii="Constantia" w:hAnsi="Constantia"/>
                <w:b w:val="0"/>
                <w:color w:val="auto"/>
                <w:szCs w:val="22"/>
              </w:rPr>
            </w:pPr>
          </w:p>
        </w:tc>
        <w:tc>
          <w:tcPr>
            <w:tcW w:w="1710" w:type="dxa"/>
          </w:tcPr>
          <w:p w:rsidR="00EB3E54" w:rsidRPr="00506FF2" w:rsidRDefault="00EB3E54" w:rsidP="00EB3E54">
            <w:pPr>
              <w:keepLines/>
              <w:widowControl w:val="0"/>
              <w:tabs>
                <w:tab w:val="left" w:pos="1134"/>
                <w:tab w:val="left" w:pos="2268"/>
              </w:tabs>
              <w:autoSpaceDE w:val="0"/>
              <w:autoSpaceDN w:val="0"/>
              <w:spacing w:before="120" w:after="60"/>
              <w:jc w:val="center"/>
              <w:cnfStyle w:val="100000000000" w:firstRow="1" w:lastRow="0" w:firstColumn="0" w:lastColumn="0" w:oddVBand="0" w:evenVBand="0" w:oddHBand="0" w:evenHBand="0" w:firstRowFirstColumn="0" w:firstRowLastColumn="0" w:lastRowFirstColumn="0" w:lastRowLastColumn="0"/>
              <w:rPr>
                <w:rFonts w:ascii="Constantia" w:hAnsi="Constantia"/>
                <w:color w:val="auto"/>
                <w:szCs w:val="22"/>
              </w:rPr>
            </w:pPr>
            <w:r w:rsidRPr="00506FF2">
              <w:rPr>
                <w:rFonts w:ascii="Constantia" w:hAnsi="Constantia"/>
                <w:color w:val="auto"/>
                <w:szCs w:val="22"/>
              </w:rPr>
              <w:t>L</w:t>
            </w:r>
            <w:r w:rsidRPr="00506FF2">
              <w:rPr>
                <w:rFonts w:ascii="Constantia" w:hAnsi="Constantia"/>
                <w:b w:val="0"/>
                <w:color w:val="auto"/>
                <w:szCs w:val="22"/>
                <w:vertAlign w:val="subscript"/>
              </w:rPr>
              <w:t>day</w:t>
            </w:r>
            <w:r w:rsidRPr="00506FF2">
              <w:rPr>
                <w:rFonts w:ascii="Constantia" w:hAnsi="Constantia"/>
                <w:color w:val="auto"/>
                <w:szCs w:val="22"/>
              </w:rPr>
              <w:t xml:space="preserve"> (dB)</w:t>
            </w:r>
          </w:p>
        </w:tc>
        <w:tc>
          <w:tcPr>
            <w:tcW w:w="1710" w:type="dxa"/>
          </w:tcPr>
          <w:p w:rsidR="00EB3E54" w:rsidRPr="00506FF2" w:rsidRDefault="00EB3E54" w:rsidP="00EB3E54">
            <w:pPr>
              <w:keepLines/>
              <w:widowControl w:val="0"/>
              <w:tabs>
                <w:tab w:val="left" w:pos="1134"/>
                <w:tab w:val="left" w:pos="2268"/>
              </w:tabs>
              <w:autoSpaceDE w:val="0"/>
              <w:autoSpaceDN w:val="0"/>
              <w:spacing w:before="120" w:after="60"/>
              <w:jc w:val="center"/>
              <w:cnfStyle w:val="100000000000" w:firstRow="1" w:lastRow="0" w:firstColumn="0" w:lastColumn="0" w:oddVBand="0" w:evenVBand="0" w:oddHBand="0" w:evenHBand="0" w:firstRowFirstColumn="0" w:firstRowLastColumn="0" w:lastRowFirstColumn="0" w:lastRowLastColumn="0"/>
              <w:rPr>
                <w:rFonts w:ascii="Constantia" w:hAnsi="Constantia"/>
                <w:color w:val="auto"/>
                <w:szCs w:val="22"/>
              </w:rPr>
            </w:pPr>
            <w:r w:rsidRPr="00506FF2">
              <w:rPr>
                <w:rFonts w:ascii="Constantia" w:hAnsi="Constantia"/>
                <w:color w:val="auto"/>
                <w:szCs w:val="22"/>
              </w:rPr>
              <w:t>L</w:t>
            </w:r>
            <w:r w:rsidRPr="00506FF2">
              <w:rPr>
                <w:rFonts w:ascii="Constantia" w:hAnsi="Constantia"/>
                <w:b w:val="0"/>
                <w:color w:val="auto"/>
                <w:szCs w:val="22"/>
                <w:vertAlign w:val="subscript"/>
              </w:rPr>
              <w:t>evening</w:t>
            </w:r>
            <w:r w:rsidRPr="00506FF2">
              <w:rPr>
                <w:rFonts w:ascii="Constantia" w:hAnsi="Constantia"/>
                <w:color w:val="auto"/>
                <w:szCs w:val="22"/>
              </w:rPr>
              <w:t xml:space="preserve"> (dB)</w:t>
            </w:r>
          </w:p>
        </w:tc>
        <w:tc>
          <w:tcPr>
            <w:tcW w:w="1710" w:type="dxa"/>
          </w:tcPr>
          <w:p w:rsidR="00EB3E54" w:rsidRPr="00506FF2" w:rsidRDefault="00EB3E54" w:rsidP="00EB3E54">
            <w:pPr>
              <w:keepLines/>
              <w:widowControl w:val="0"/>
              <w:tabs>
                <w:tab w:val="left" w:pos="1134"/>
                <w:tab w:val="left" w:pos="2268"/>
              </w:tabs>
              <w:autoSpaceDE w:val="0"/>
              <w:autoSpaceDN w:val="0"/>
              <w:spacing w:before="120" w:after="60"/>
              <w:jc w:val="center"/>
              <w:cnfStyle w:val="100000000000" w:firstRow="1" w:lastRow="0" w:firstColumn="0" w:lastColumn="0" w:oddVBand="0" w:evenVBand="0" w:oddHBand="0" w:evenHBand="0" w:firstRowFirstColumn="0" w:firstRowLastColumn="0" w:lastRowFirstColumn="0" w:lastRowLastColumn="0"/>
              <w:rPr>
                <w:rFonts w:ascii="Constantia" w:hAnsi="Constantia"/>
                <w:b w:val="0"/>
                <w:color w:val="auto"/>
                <w:szCs w:val="22"/>
              </w:rPr>
            </w:pPr>
            <w:r w:rsidRPr="00506FF2">
              <w:rPr>
                <w:rFonts w:ascii="Constantia" w:hAnsi="Constantia"/>
                <w:color w:val="auto"/>
                <w:szCs w:val="22"/>
              </w:rPr>
              <w:t>L</w:t>
            </w:r>
            <w:r w:rsidRPr="00506FF2">
              <w:rPr>
                <w:rFonts w:ascii="Constantia" w:hAnsi="Constantia"/>
                <w:b w:val="0"/>
                <w:color w:val="auto"/>
                <w:szCs w:val="22"/>
                <w:vertAlign w:val="subscript"/>
              </w:rPr>
              <w:t>night</w:t>
            </w:r>
            <w:r w:rsidRPr="00506FF2">
              <w:rPr>
                <w:rFonts w:ascii="Constantia" w:hAnsi="Constantia"/>
                <w:b w:val="0"/>
                <w:color w:val="auto"/>
                <w:szCs w:val="22"/>
              </w:rPr>
              <w:t xml:space="preserve"> </w:t>
            </w:r>
            <w:r w:rsidRPr="00506FF2">
              <w:rPr>
                <w:rFonts w:ascii="Constantia" w:hAnsi="Constantia"/>
                <w:color w:val="auto"/>
                <w:szCs w:val="22"/>
              </w:rPr>
              <w:t>(dB)</w:t>
            </w:r>
          </w:p>
        </w:tc>
        <w:tc>
          <w:tcPr>
            <w:tcW w:w="1512" w:type="dxa"/>
          </w:tcPr>
          <w:p w:rsidR="00EB3E54" w:rsidRPr="00506FF2" w:rsidRDefault="00EB3E54" w:rsidP="00EB3E54">
            <w:pPr>
              <w:keepLines/>
              <w:widowControl w:val="0"/>
              <w:tabs>
                <w:tab w:val="left" w:pos="1134"/>
                <w:tab w:val="left" w:pos="2268"/>
              </w:tabs>
              <w:autoSpaceDE w:val="0"/>
              <w:autoSpaceDN w:val="0"/>
              <w:spacing w:before="120" w:after="60"/>
              <w:jc w:val="center"/>
              <w:cnfStyle w:val="100000000000" w:firstRow="1" w:lastRow="0" w:firstColumn="0" w:lastColumn="0" w:oddVBand="0" w:evenVBand="0" w:oddHBand="0" w:evenHBand="0" w:firstRowFirstColumn="0" w:firstRowLastColumn="0" w:lastRowFirstColumn="0" w:lastRowLastColumn="0"/>
              <w:rPr>
                <w:rFonts w:ascii="Constantia" w:hAnsi="Constantia"/>
                <w:color w:val="auto"/>
                <w:szCs w:val="22"/>
              </w:rPr>
            </w:pPr>
            <w:r w:rsidRPr="00506FF2">
              <w:rPr>
                <w:rFonts w:ascii="Constantia" w:hAnsi="Constantia"/>
                <w:color w:val="auto"/>
                <w:szCs w:val="22"/>
              </w:rPr>
              <w:t>L</w:t>
            </w:r>
            <w:r w:rsidRPr="00506FF2">
              <w:rPr>
                <w:rFonts w:ascii="Constantia" w:hAnsi="Constantia"/>
                <w:b w:val="0"/>
                <w:color w:val="auto"/>
                <w:szCs w:val="22"/>
                <w:vertAlign w:val="subscript"/>
              </w:rPr>
              <w:t>den</w:t>
            </w:r>
            <w:r w:rsidRPr="00506FF2">
              <w:rPr>
                <w:rFonts w:ascii="Constantia" w:hAnsi="Constantia"/>
                <w:color w:val="auto"/>
                <w:szCs w:val="22"/>
              </w:rPr>
              <w:t xml:space="preserve"> (dB)</w:t>
            </w:r>
          </w:p>
        </w:tc>
      </w:tr>
      <w:tr w:rsidR="00EB3E54" w:rsidRPr="00506FF2" w:rsidTr="00F55B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rsidR="00EB3E54" w:rsidRPr="00506FF2" w:rsidRDefault="00EB3E54" w:rsidP="0097248A">
            <w:pPr>
              <w:keepLines/>
              <w:widowControl w:val="0"/>
              <w:tabs>
                <w:tab w:val="left" w:pos="1134"/>
                <w:tab w:val="left" w:pos="2268"/>
              </w:tabs>
              <w:autoSpaceDE w:val="0"/>
              <w:autoSpaceDN w:val="0"/>
              <w:spacing w:after="60"/>
              <w:jc w:val="center"/>
              <w:rPr>
                <w:rFonts w:ascii="Constantia" w:hAnsi="Constantia"/>
                <w:szCs w:val="22"/>
              </w:rPr>
            </w:pPr>
            <w:r w:rsidRPr="00506FF2">
              <w:rPr>
                <w:rFonts w:ascii="Constantia" w:hAnsi="Constantia"/>
                <w:szCs w:val="22"/>
              </w:rPr>
              <w:t>I Ciklus</w:t>
            </w:r>
          </w:p>
        </w:tc>
        <w:tc>
          <w:tcPr>
            <w:tcW w:w="1710" w:type="dxa"/>
          </w:tcPr>
          <w:p w:rsidR="00EB3E54" w:rsidRPr="00506FF2" w:rsidRDefault="00EB3E54" w:rsidP="0097248A">
            <w:pPr>
              <w:keepLines/>
              <w:widowControl w:val="0"/>
              <w:tabs>
                <w:tab w:val="left" w:pos="1134"/>
                <w:tab w:val="left" w:pos="2268"/>
              </w:tabs>
              <w:autoSpaceDE w:val="0"/>
              <w:autoSpaceDN w:val="0"/>
              <w:spacing w:after="6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506FF2">
              <w:rPr>
                <w:rFonts w:ascii="Constantia" w:hAnsi="Constantia"/>
                <w:b/>
                <w:szCs w:val="22"/>
              </w:rPr>
              <w:t>60</w:t>
            </w:r>
          </w:p>
        </w:tc>
        <w:tc>
          <w:tcPr>
            <w:tcW w:w="1710" w:type="dxa"/>
          </w:tcPr>
          <w:p w:rsidR="00EB3E54" w:rsidRPr="00506FF2" w:rsidRDefault="00EB3E54" w:rsidP="0097248A">
            <w:pPr>
              <w:keepLines/>
              <w:widowControl w:val="0"/>
              <w:tabs>
                <w:tab w:val="left" w:pos="1134"/>
                <w:tab w:val="left" w:pos="2268"/>
              </w:tabs>
              <w:autoSpaceDE w:val="0"/>
              <w:autoSpaceDN w:val="0"/>
              <w:spacing w:after="6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506FF2">
              <w:rPr>
                <w:rFonts w:ascii="Constantia" w:hAnsi="Constantia"/>
                <w:b/>
                <w:szCs w:val="22"/>
              </w:rPr>
              <w:t>59</w:t>
            </w:r>
          </w:p>
        </w:tc>
        <w:tc>
          <w:tcPr>
            <w:tcW w:w="1710" w:type="dxa"/>
          </w:tcPr>
          <w:p w:rsidR="00EB3E54" w:rsidRPr="00506FF2" w:rsidRDefault="00EB3E54" w:rsidP="0097248A">
            <w:pPr>
              <w:keepLines/>
              <w:widowControl w:val="0"/>
              <w:tabs>
                <w:tab w:val="left" w:pos="1134"/>
                <w:tab w:val="left" w:pos="2268"/>
              </w:tabs>
              <w:autoSpaceDE w:val="0"/>
              <w:autoSpaceDN w:val="0"/>
              <w:spacing w:after="6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506FF2">
              <w:rPr>
                <w:rFonts w:ascii="Constantia" w:hAnsi="Constantia"/>
                <w:b/>
                <w:szCs w:val="22"/>
              </w:rPr>
              <w:t>55</w:t>
            </w:r>
          </w:p>
        </w:tc>
        <w:tc>
          <w:tcPr>
            <w:tcW w:w="1512" w:type="dxa"/>
          </w:tcPr>
          <w:p w:rsidR="00EB3E54" w:rsidRPr="00506FF2" w:rsidRDefault="00EB3E54" w:rsidP="0097248A">
            <w:pPr>
              <w:keepLines/>
              <w:widowControl w:val="0"/>
              <w:tabs>
                <w:tab w:val="left" w:pos="1134"/>
                <w:tab w:val="left" w:pos="2268"/>
              </w:tabs>
              <w:autoSpaceDE w:val="0"/>
              <w:autoSpaceDN w:val="0"/>
              <w:spacing w:after="6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506FF2">
              <w:rPr>
                <w:rFonts w:ascii="Constantia" w:hAnsi="Constantia"/>
                <w:b/>
                <w:szCs w:val="22"/>
              </w:rPr>
              <w:t>63</w:t>
            </w:r>
          </w:p>
        </w:tc>
      </w:tr>
      <w:tr w:rsidR="00EB3E54" w:rsidRPr="00506FF2" w:rsidTr="00F55B7A">
        <w:tc>
          <w:tcPr>
            <w:cnfStyle w:val="001000000000" w:firstRow="0" w:lastRow="0" w:firstColumn="1" w:lastColumn="0" w:oddVBand="0" w:evenVBand="0" w:oddHBand="0" w:evenHBand="0" w:firstRowFirstColumn="0" w:firstRowLastColumn="0" w:lastRowFirstColumn="0" w:lastRowLastColumn="0"/>
            <w:tcW w:w="2268" w:type="dxa"/>
          </w:tcPr>
          <w:p w:rsidR="00EB3E54" w:rsidRPr="00506FF2" w:rsidRDefault="00EB3E54" w:rsidP="0097248A">
            <w:pPr>
              <w:keepLines/>
              <w:widowControl w:val="0"/>
              <w:tabs>
                <w:tab w:val="left" w:pos="1134"/>
                <w:tab w:val="left" w:pos="2268"/>
              </w:tabs>
              <w:autoSpaceDE w:val="0"/>
              <w:autoSpaceDN w:val="0"/>
              <w:spacing w:after="60"/>
              <w:jc w:val="center"/>
              <w:rPr>
                <w:rFonts w:ascii="Constantia" w:hAnsi="Constantia"/>
                <w:szCs w:val="22"/>
              </w:rPr>
            </w:pPr>
            <w:r w:rsidRPr="00506FF2">
              <w:rPr>
                <w:rFonts w:ascii="Constantia" w:hAnsi="Constantia"/>
                <w:szCs w:val="22"/>
              </w:rPr>
              <w:t>II Ciklus</w:t>
            </w:r>
          </w:p>
        </w:tc>
        <w:tc>
          <w:tcPr>
            <w:tcW w:w="1710" w:type="dxa"/>
          </w:tcPr>
          <w:p w:rsidR="00EB3E54" w:rsidRPr="00506FF2" w:rsidRDefault="00EB3E54" w:rsidP="0097248A">
            <w:pPr>
              <w:keepLines/>
              <w:widowControl w:val="0"/>
              <w:tabs>
                <w:tab w:val="left" w:pos="1134"/>
                <w:tab w:val="left" w:pos="2268"/>
              </w:tabs>
              <w:autoSpaceDE w:val="0"/>
              <w:autoSpaceDN w:val="0"/>
              <w:spacing w:after="60"/>
              <w:jc w:val="center"/>
              <w:cnfStyle w:val="000000000000" w:firstRow="0" w:lastRow="0" w:firstColumn="0" w:lastColumn="0" w:oddVBand="0" w:evenVBand="0" w:oddHBand="0" w:evenHBand="0" w:firstRowFirstColumn="0" w:firstRowLastColumn="0" w:lastRowFirstColumn="0" w:lastRowLastColumn="0"/>
              <w:rPr>
                <w:rFonts w:ascii="Constantia" w:hAnsi="Constantia"/>
                <w:b/>
                <w:szCs w:val="22"/>
              </w:rPr>
            </w:pPr>
            <w:r w:rsidRPr="00506FF2">
              <w:rPr>
                <w:rFonts w:ascii="Constantia" w:hAnsi="Constantia"/>
                <w:b/>
                <w:szCs w:val="22"/>
              </w:rPr>
              <w:t>62</w:t>
            </w:r>
          </w:p>
        </w:tc>
        <w:tc>
          <w:tcPr>
            <w:tcW w:w="1710" w:type="dxa"/>
          </w:tcPr>
          <w:p w:rsidR="00EB3E54" w:rsidRPr="00506FF2" w:rsidRDefault="00EB3E54" w:rsidP="0097248A">
            <w:pPr>
              <w:keepLines/>
              <w:widowControl w:val="0"/>
              <w:tabs>
                <w:tab w:val="left" w:pos="1134"/>
                <w:tab w:val="left" w:pos="2268"/>
              </w:tabs>
              <w:autoSpaceDE w:val="0"/>
              <w:autoSpaceDN w:val="0"/>
              <w:spacing w:after="60"/>
              <w:jc w:val="center"/>
              <w:cnfStyle w:val="000000000000" w:firstRow="0" w:lastRow="0" w:firstColumn="0" w:lastColumn="0" w:oddVBand="0" w:evenVBand="0" w:oddHBand="0" w:evenHBand="0" w:firstRowFirstColumn="0" w:firstRowLastColumn="0" w:lastRowFirstColumn="0" w:lastRowLastColumn="0"/>
              <w:rPr>
                <w:rFonts w:ascii="Constantia" w:hAnsi="Constantia"/>
                <w:b/>
                <w:szCs w:val="22"/>
              </w:rPr>
            </w:pPr>
            <w:r w:rsidRPr="00506FF2">
              <w:rPr>
                <w:rFonts w:ascii="Constantia" w:hAnsi="Constantia"/>
                <w:b/>
                <w:szCs w:val="22"/>
              </w:rPr>
              <w:t>55</w:t>
            </w:r>
          </w:p>
        </w:tc>
        <w:tc>
          <w:tcPr>
            <w:tcW w:w="1710" w:type="dxa"/>
          </w:tcPr>
          <w:p w:rsidR="00EB3E54" w:rsidRPr="00506FF2" w:rsidRDefault="00EB3E54" w:rsidP="0097248A">
            <w:pPr>
              <w:keepLines/>
              <w:widowControl w:val="0"/>
              <w:tabs>
                <w:tab w:val="left" w:pos="1134"/>
                <w:tab w:val="left" w:pos="2268"/>
              </w:tabs>
              <w:autoSpaceDE w:val="0"/>
              <w:autoSpaceDN w:val="0"/>
              <w:spacing w:after="60"/>
              <w:jc w:val="center"/>
              <w:cnfStyle w:val="000000000000" w:firstRow="0" w:lastRow="0" w:firstColumn="0" w:lastColumn="0" w:oddVBand="0" w:evenVBand="0" w:oddHBand="0" w:evenHBand="0" w:firstRowFirstColumn="0" w:firstRowLastColumn="0" w:lastRowFirstColumn="0" w:lastRowLastColumn="0"/>
              <w:rPr>
                <w:rFonts w:ascii="Constantia" w:hAnsi="Constantia"/>
                <w:b/>
                <w:szCs w:val="22"/>
              </w:rPr>
            </w:pPr>
            <w:r w:rsidRPr="00506FF2">
              <w:rPr>
                <w:rFonts w:ascii="Constantia" w:hAnsi="Constantia"/>
                <w:b/>
                <w:szCs w:val="22"/>
              </w:rPr>
              <w:t>50</w:t>
            </w:r>
          </w:p>
        </w:tc>
        <w:tc>
          <w:tcPr>
            <w:tcW w:w="1512" w:type="dxa"/>
          </w:tcPr>
          <w:p w:rsidR="00EB3E54" w:rsidRPr="00506FF2" w:rsidRDefault="00EB3E54" w:rsidP="0097248A">
            <w:pPr>
              <w:keepLines/>
              <w:widowControl w:val="0"/>
              <w:tabs>
                <w:tab w:val="left" w:pos="1134"/>
                <w:tab w:val="left" w:pos="2268"/>
              </w:tabs>
              <w:autoSpaceDE w:val="0"/>
              <w:autoSpaceDN w:val="0"/>
              <w:spacing w:after="60"/>
              <w:jc w:val="center"/>
              <w:cnfStyle w:val="000000000000" w:firstRow="0" w:lastRow="0" w:firstColumn="0" w:lastColumn="0" w:oddVBand="0" w:evenVBand="0" w:oddHBand="0" w:evenHBand="0" w:firstRowFirstColumn="0" w:firstRowLastColumn="0" w:lastRowFirstColumn="0" w:lastRowLastColumn="0"/>
              <w:rPr>
                <w:rFonts w:ascii="Constantia" w:hAnsi="Constantia"/>
                <w:b/>
                <w:szCs w:val="22"/>
              </w:rPr>
            </w:pPr>
            <w:r w:rsidRPr="00506FF2">
              <w:rPr>
                <w:rFonts w:ascii="Constantia" w:hAnsi="Constantia"/>
                <w:b/>
                <w:szCs w:val="22"/>
              </w:rPr>
              <w:t>62</w:t>
            </w:r>
          </w:p>
        </w:tc>
      </w:tr>
      <w:tr w:rsidR="00EB3E54" w:rsidRPr="00506FF2" w:rsidTr="00F55B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rsidR="00EB3E54" w:rsidRPr="00506FF2" w:rsidRDefault="00EB3E54" w:rsidP="00506FF2">
            <w:pPr>
              <w:keepLines/>
              <w:widowControl w:val="0"/>
              <w:tabs>
                <w:tab w:val="left" w:pos="1134"/>
                <w:tab w:val="left" w:pos="2268"/>
              </w:tabs>
              <w:autoSpaceDE w:val="0"/>
              <w:autoSpaceDN w:val="0"/>
              <w:spacing w:after="0"/>
              <w:jc w:val="center"/>
              <w:rPr>
                <w:rFonts w:ascii="Constantia" w:hAnsi="Constantia"/>
                <w:szCs w:val="22"/>
              </w:rPr>
            </w:pPr>
            <w:r w:rsidRPr="00506FF2">
              <w:rPr>
                <w:rFonts w:ascii="Constantia" w:hAnsi="Constantia"/>
                <w:szCs w:val="22"/>
              </w:rPr>
              <w:t>Granična vrijednost</w:t>
            </w:r>
          </w:p>
        </w:tc>
        <w:tc>
          <w:tcPr>
            <w:tcW w:w="1710" w:type="dxa"/>
          </w:tcPr>
          <w:p w:rsidR="00EB3E54" w:rsidRPr="00506FF2" w:rsidRDefault="00EB3E54" w:rsidP="00506FF2">
            <w:pPr>
              <w:keepLines/>
              <w:widowControl w:val="0"/>
              <w:tabs>
                <w:tab w:val="left" w:pos="1134"/>
                <w:tab w:val="left" w:pos="2268"/>
              </w:tabs>
              <w:autoSpaceDE w:val="0"/>
              <w:autoSpaceDN w:val="0"/>
              <w:spacing w:after="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506FF2">
              <w:rPr>
                <w:rFonts w:ascii="Constantia" w:hAnsi="Constantia"/>
                <w:b/>
                <w:szCs w:val="22"/>
              </w:rPr>
              <w:t>60</w:t>
            </w:r>
          </w:p>
        </w:tc>
        <w:tc>
          <w:tcPr>
            <w:tcW w:w="1710" w:type="dxa"/>
          </w:tcPr>
          <w:p w:rsidR="00EB3E54" w:rsidRPr="00506FF2" w:rsidRDefault="00EB3E54" w:rsidP="00506FF2">
            <w:pPr>
              <w:keepLines/>
              <w:widowControl w:val="0"/>
              <w:tabs>
                <w:tab w:val="left" w:pos="1134"/>
                <w:tab w:val="left" w:pos="2268"/>
              </w:tabs>
              <w:autoSpaceDE w:val="0"/>
              <w:autoSpaceDN w:val="0"/>
              <w:spacing w:after="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506FF2">
              <w:rPr>
                <w:rFonts w:ascii="Constantia" w:hAnsi="Constantia"/>
                <w:b/>
                <w:szCs w:val="22"/>
              </w:rPr>
              <w:t>60</w:t>
            </w:r>
          </w:p>
        </w:tc>
        <w:tc>
          <w:tcPr>
            <w:tcW w:w="1710" w:type="dxa"/>
          </w:tcPr>
          <w:p w:rsidR="00EB3E54" w:rsidRPr="00506FF2" w:rsidRDefault="00EB3E54" w:rsidP="00506FF2">
            <w:pPr>
              <w:keepLines/>
              <w:widowControl w:val="0"/>
              <w:tabs>
                <w:tab w:val="left" w:pos="1134"/>
                <w:tab w:val="left" w:pos="2268"/>
              </w:tabs>
              <w:autoSpaceDE w:val="0"/>
              <w:autoSpaceDN w:val="0"/>
              <w:spacing w:after="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506FF2">
              <w:rPr>
                <w:rFonts w:ascii="Constantia" w:hAnsi="Constantia"/>
                <w:b/>
                <w:szCs w:val="22"/>
              </w:rPr>
              <w:t>50</w:t>
            </w:r>
          </w:p>
        </w:tc>
        <w:tc>
          <w:tcPr>
            <w:tcW w:w="1512" w:type="dxa"/>
          </w:tcPr>
          <w:p w:rsidR="00EB3E54" w:rsidRPr="00506FF2" w:rsidRDefault="00EB3E54" w:rsidP="00506FF2">
            <w:pPr>
              <w:keepLines/>
              <w:widowControl w:val="0"/>
              <w:tabs>
                <w:tab w:val="left" w:pos="1134"/>
                <w:tab w:val="left" w:pos="2268"/>
              </w:tabs>
              <w:autoSpaceDE w:val="0"/>
              <w:autoSpaceDN w:val="0"/>
              <w:spacing w:after="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506FF2">
              <w:rPr>
                <w:rFonts w:ascii="Constantia" w:hAnsi="Constantia"/>
                <w:b/>
                <w:szCs w:val="22"/>
              </w:rPr>
              <w:t>---</w:t>
            </w:r>
          </w:p>
        </w:tc>
      </w:tr>
    </w:tbl>
    <w:p w:rsidR="00EB3E54" w:rsidRPr="00506FF2" w:rsidRDefault="00EB3E54" w:rsidP="00F55B7A">
      <w:pPr>
        <w:numPr>
          <w:ilvl w:val="0"/>
          <w:numId w:val="3"/>
        </w:numPr>
        <w:tabs>
          <w:tab w:val="left" w:pos="2610"/>
        </w:tabs>
        <w:spacing w:before="60" w:after="240"/>
        <w:ind w:left="1440" w:firstLine="0"/>
        <w:jc w:val="center"/>
        <w:rPr>
          <w:rFonts w:ascii="Constantia" w:hAnsi="Constantia"/>
          <w:i/>
          <w:szCs w:val="22"/>
          <w:lang w:val="sr-Latn-CS"/>
        </w:rPr>
      </w:pPr>
      <w:r w:rsidRPr="00506FF2">
        <w:rPr>
          <w:rFonts w:ascii="Constantia" w:hAnsi="Constantia"/>
          <w:i/>
          <w:szCs w:val="22"/>
          <w:lang w:val="sr-Latn-CS"/>
        </w:rPr>
        <w:t>Srednji indikatori buke na mjernom mjestu u Mojkovcu</w:t>
      </w:r>
    </w:p>
    <w:p w:rsidR="00EB3E54" w:rsidRPr="00506FF2" w:rsidRDefault="00EB3E54" w:rsidP="00EB3E54">
      <w:pPr>
        <w:rPr>
          <w:rFonts w:ascii="Constantia" w:hAnsi="Constantia"/>
          <w:szCs w:val="22"/>
        </w:rPr>
      </w:pPr>
      <w:r w:rsidRPr="00506FF2">
        <w:rPr>
          <w:rFonts w:ascii="Constantia" w:hAnsi="Constantia"/>
          <w:szCs w:val="22"/>
        </w:rPr>
        <w:t xml:space="preserve">Vrijednosti indikatora buke za dan su bliske dok su indikatori buke za veče i noć veće u prvom ciklusu mjerenja (početak septembra) nego u drugom ciklusu mjerenja (sredina novembra). </w:t>
      </w:r>
    </w:p>
    <w:p w:rsidR="00EB3E54" w:rsidRPr="00506FF2" w:rsidRDefault="00EB3E54" w:rsidP="00EB3E54">
      <w:pPr>
        <w:rPr>
          <w:rFonts w:ascii="Constantia" w:hAnsi="Constantia"/>
          <w:szCs w:val="22"/>
        </w:rPr>
      </w:pPr>
      <w:r w:rsidRPr="00506FF2">
        <w:rPr>
          <w:rFonts w:ascii="Constantia" w:hAnsi="Constantia"/>
          <w:szCs w:val="22"/>
        </w:rPr>
        <w:t>U prvom ciklusu vrijednosti indikatora buke za dan i veče ne prelaze granične vrijednosti nivoa buke, dok vrijednost indikatora buke za noć prelazi granični nivo buke.</w:t>
      </w:r>
    </w:p>
    <w:p w:rsidR="00EB3E54" w:rsidRPr="00506FF2" w:rsidRDefault="00EB3E54" w:rsidP="00EB3E54">
      <w:pPr>
        <w:rPr>
          <w:rFonts w:ascii="Constantia" w:hAnsi="Constantia"/>
          <w:szCs w:val="22"/>
        </w:rPr>
      </w:pPr>
      <w:r w:rsidRPr="00506FF2">
        <w:rPr>
          <w:rFonts w:ascii="Constantia" w:hAnsi="Constantia"/>
          <w:szCs w:val="22"/>
        </w:rPr>
        <w:t>U drugom ciklusu vrijednost indikatora buke za dan prelazi graničnu vrijednost nivoa buke, dok vrijednosti indikatora za veče i noć ne prelaze nične nivoe buke.</w:t>
      </w:r>
    </w:p>
    <w:p w:rsidR="00EB3E54" w:rsidRPr="00506FF2" w:rsidRDefault="00EB3E54" w:rsidP="00EB3E54">
      <w:pPr>
        <w:rPr>
          <w:rFonts w:ascii="Constantia" w:hAnsi="Constantia"/>
          <w:szCs w:val="22"/>
        </w:rPr>
      </w:pPr>
      <w:r w:rsidRPr="00506FF2">
        <w:rPr>
          <w:rFonts w:ascii="Constantia" w:hAnsi="Constantia"/>
          <w:szCs w:val="22"/>
        </w:rPr>
        <w:t>Na osnovu Odluke o utvrđivanju</w:t>
      </w:r>
      <w:r w:rsidR="00F55B7A">
        <w:rPr>
          <w:rFonts w:ascii="Constantia" w:hAnsi="Constantia"/>
          <w:szCs w:val="22"/>
        </w:rPr>
        <w:t xml:space="preserve"> akustičkih zona na teritoriji o</w:t>
      </w:r>
      <w:r w:rsidRPr="00506FF2">
        <w:rPr>
          <w:rFonts w:ascii="Constantia" w:hAnsi="Constantia"/>
          <w:szCs w:val="22"/>
        </w:rPr>
        <w:t>pštine Mojkovac</w:t>
      </w:r>
      <w:r w:rsidR="006A1254">
        <w:rPr>
          <w:rFonts w:ascii="Constantia" w:hAnsi="Constantia"/>
          <w:szCs w:val="22"/>
        </w:rPr>
        <w:t>,</w:t>
      </w:r>
      <w:r w:rsidRPr="00506FF2">
        <w:rPr>
          <w:rFonts w:ascii="Constantia" w:hAnsi="Constantia"/>
          <w:szCs w:val="22"/>
        </w:rPr>
        <w:t xml:space="preserve"> posmatrano mjerno mjesto pripada zoni mješovite namjene.</w:t>
      </w:r>
    </w:p>
    <w:p w:rsidR="00EB3E54" w:rsidRPr="00EB3E54" w:rsidRDefault="00EB3E54" w:rsidP="00077AA6">
      <w:pPr>
        <w:pStyle w:val="Heading2"/>
        <w:ind w:left="720"/>
      </w:pPr>
      <w:bookmarkStart w:id="175" w:name="_Toc393897946"/>
      <w:r w:rsidRPr="00EB3E54">
        <w:t>Bijelo Polje</w:t>
      </w:r>
      <w:bookmarkEnd w:id="175"/>
    </w:p>
    <w:p w:rsidR="00EB3E54" w:rsidRPr="00F55B7A" w:rsidRDefault="00EB3E54" w:rsidP="00EB3E54">
      <w:pPr>
        <w:spacing w:line="276" w:lineRule="auto"/>
        <w:rPr>
          <w:rFonts w:ascii="Constantia" w:hAnsi="Constantia"/>
          <w:lang w:val="sr-Latn-CS"/>
        </w:rPr>
      </w:pPr>
      <w:r w:rsidRPr="00F55B7A">
        <w:rPr>
          <w:rFonts w:ascii="Constantia" w:hAnsi="Constantia"/>
          <w:lang w:val="sr-Latn-CS"/>
        </w:rPr>
        <w:t>Na teritoriji opštine Bijelo Polje mjerenje nivoa buke vršeno je uz magistralni put, ulica Živka Žižića 30, u intervalu dnevnog (L</w:t>
      </w:r>
      <w:r w:rsidRPr="00F55B7A">
        <w:rPr>
          <w:rFonts w:ascii="Constantia" w:hAnsi="Constantia"/>
          <w:vertAlign w:val="subscript"/>
          <w:lang w:val="sr-Latn-CS"/>
        </w:rPr>
        <w:t>day</w:t>
      </w:r>
      <w:r w:rsidRPr="00F55B7A">
        <w:rPr>
          <w:rFonts w:ascii="Constantia" w:hAnsi="Constantia"/>
          <w:lang w:val="sr-Latn-CS"/>
        </w:rPr>
        <w:t>) 7-19h, večernjeg (L</w:t>
      </w:r>
      <w:r w:rsidRPr="00F55B7A">
        <w:rPr>
          <w:rFonts w:ascii="Constantia" w:hAnsi="Constantia"/>
          <w:vertAlign w:val="subscript"/>
          <w:lang w:val="sr-Latn-CS"/>
        </w:rPr>
        <w:t>evening</w:t>
      </w:r>
      <w:r w:rsidRPr="00F55B7A">
        <w:rPr>
          <w:rFonts w:ascii="Constantia" w:hAnsi="Constantia"/>
          <w:lang w:val="sr-Latn-CS"/>
        </w:rPr>
        <w:t>) 19-23h i noćnog perioda (L</w:t>
      </w:r>
      <w:r w:rsidRPr="00F55B7A">
        <w:rPr>
          <w:rFonts w:ascii="Constantia" w:hAnsi="Constantia"/>
          <w:vertAlign w:val="subscript"/>
          <w:lang w:val="sr-Latn-CS"/>
        </w:rPr>
        <w:t>night</w:t>
      </w:r>
      <w:r w:rsidRPr="00F55B7A">
        <w:rPr>
          <w:rFonts w:ascii="Constantia" w:hAnsi="Constantia"/>
          <w:lang w:val="sr-Latn-CS"/>
        </w:rPr>
        <w:t>) 23-7h.</w:t>
      </w:r>
    </w:p>
    <w:p w:rsidR="00EB3E54" w:rsidRPr="00F55B7A" w:rsidRDefault="00EB3E54" w:rsidP="00EB3E54">
      <w:pPr>
        <w:spacing w:line="276" w:lineRule="auto"/>
        <w:rPr>
          <w:rFonts w:ascii="Constantia" w:hAnsi="Constantia"/>
        </w:rPr>
      </w:pPr>
      <w:r w:rsidRPr="00F55B7A">
        <w:rPr>
          <w:rFonts w:ascii="Constantia" w:hAnsi="Constantia"/>
          <w:b/>
          <w:lang w:val="sr-Latn-CS"/>
        </w:rPr>
        <w:t>Nivo buke u I ciklusu</w:t>
      </w:r>
      <w:r w:rsidRPr="00F55B7A">
        <w:rPr>
          <w:rFonts w:ascii="Constantia" w:hAnsi="Constantia"/>
          <w:lang w:val="sr-Latn-CS"/>
        </w:rPr>
        <w:t xml:space="preserve"> mjeren je u periodu </w:t>
      </w:r>
      <w:r w:rsidRPr="00F55B7A">
        <w:rPr>
          <w:rFonts w:ascii="Constantia" w:hAnsi="Constantia"/>
        </w:rPr>
        <w:t xml:space="preserve">od 15-21.09.2013. godine. </w:t>
      </w:r>
    </w:p>
    <w:p w:rsidR="00EB3E54" w:rsidRPr="004357A2" w:rsidRDefault="00EB3E54" w:rsidP="00EB3E54">
      <w:pPr>
        <w:spacing w:line="276" w:lineRule="auto"/>
        <w:rPr>
          <w:rFonts w:ascii="Constantia" w:hAnsi="Constantia"/>
          <w:szCs w:val="22"/>
          <w:lang w:val="sr-Latn-CS"/>
        </w:rPr>
      </w:pPr>
      <w:r w:rsidRPr="004357A2">
        <w:rPr>
          <w:rFonts w:ascii="Constantia" w:hAnsi="Constantia"/>
          <w:b/>
          <w:szCs w:val="22"/>
        </w:rPr>
        <w:t>Nivo buke u II ciklusu</w:t>
      </w:r>
      <w:r w:rsidRPr="004357A2">
        <w:rPr>
          <w:rFonts w:ascii="Constantia" w:hAnsi="Constantia"/>
          <w:szCs w:val="22"/>
        </w:rPr>
        <w:t xml:space="preserve"> </w:t>
      </w:r>
      <w:r w:rsidRPr="004357A2">
        <w:rPr>
          <w:rFonts w:ascii="Constantia" w:hAnsi="Constantia"/>
          <w:szCs w:val="22"/>
          <w:lang w:val="sr-Latn-CS"/>
        </w:rPr>
        <w:t xml:space="preserve">mjeren je u periodu </w:t>
      </w:r>
      <w:r w:rsidRPr="004357A2">
        <w:rPr>
          <w:rFonts w:ascii="Constantia" w:hAnsi="Constantia"/>
          <w:szCs w:val="22"/>
        </w:rPr>
        <w:t>od 14-22.11.2013. godine.</w:t>
      </w:r>
      <w:r w:rsidRPr="004357A2">
        <w:rPr>
          <w:rFonts w:ascii="Constantia" w:hAnsi="Constantia"/>
          <w:szCs w:val="22"/>
          <w:lang w:val="sr-Latn-CS"/>
        </w:rPr>
        <w:t xml:space="preserve"> </w:t>
      </w:r>
    </w:p>
    <w:p w:rsidR="00EB3E54" w:rsidRDefault="00EB3E54" w:rsidP="00C51186">
      <w:pPr>
        <w:spacing w:after="0" w:line="276" w:lineRule="auto"/>
        <w:rPr>
          <w:rFonts w:ascii="Constantia" w:hAnsi="Constantia"/>
          <w:szCs w:val="22"/>
          <w:lang w:val="sr-Latn-CS"/>
        </w:rPr>
      </w:pPr>
      <w:r w:rsidRPr="004357A2">
        <w:rPr>
          <w:rFonts w:ascii="Constantia" w:hAnsi="Constantia"/>
          <w:szCs w:val="22"/>
          <w:lang w:val="sr-Latn-CS"/>
        </w:rPr>
        <w:lastRenderedPageBreak/>
        <w:t xml:space="preserve">Srednje vrijednosti nivoa buke za </w:t>
      </w:r>
      <w:r w:rsidRPr="004357A2">
        <w:rPr>
          <w:rFonts w:ascii="Constantia" w:hAnsi="Constantia"/>
          <w:b/>
          <w:szCs w:val="22"/>
          <w:lang w:val="sr-Latn-CS"/>
        </w:rPr>
        <w:t>L</w:t>
      </w:r>
      <w:r w:rsidRPr="004357A2">
        <w:rPr>
          <w:rFonts w:ascii="Constantia" w:hAnsi="Constantia"/>
          <w:b/>
          <w:szCs w:val="22"/>
          <w:vertAlign w:val="subscript"/>
          <w:lang w:val="sr-Latn-CS"/>
        </w:rPr>
        <w:t>night</w:t>
      </w:r>
      <w:r w:rsidRPr="004357A2">
        <w:rPr>
          <w:rFonts w:ascii="Constantia" w:hAnsi="Constantia"/>
          <w:szCs w:val="22"/>
          <w:lang w:val="sr-Latn-CS"/>
        </w:rPr>
        <w:t xml:space="preserve"> – indikator noćnog nivoa buke koji se odnosi na vrijeme od 23 </w:t>
      </w:r>
      <w:r w:rsidR="00E57142">
        <w:rPr>
          <w:rFonts w:ascii="Constantia" w:hAnsi="Constantia"/>
          <w:szCs w:val="22"/>
          <w:lang w:val="sr-Latn-CS"/>
        </w:rPr>
        <w:t>do 7 časova prikazane</w:t>
      </w:r>
      <w:r w:rsidRPr="004357A2">
        <w:rPr>
          <w:rFonts w:ascii="Constantia" w:hAnsi="Constantia"/>
          <w:szCs w:val="22"/>
          <w:lang w:val="sr-Latn-CS"/>
        </w:rPr>
        <w:t xml:space="preserve"> su </w:t>
      </w:r>
      <w:r w:rsidR="00E57142">
        <w:rPr>
          <w:rFonts w:ascii="Constantia" w:hAnsi="Constantia"/>
          <w:szCs w:val="22"/>
          <w:lang w:val="sr-Latn-CS"/>
        </w:rPr>
        <w:t xml:space="preserve">na </w:t>
      </w:r>
      <w:r w:rsidR="00E57142" w:rsidRPr="00E57142">
        <w:rPr>
          <w:rFonts w:ascii="Constantia" w:hAnsi="Constantia"/>
          <w:i/>
          <w:szCs w:val="22"/>
          <w:lang w:val="sr-Latn-CS"/>
        </w:rPr>
        <w:t>G</w:t>
      </w:r>
      <w:r w:rsidRPr="00E57142">
        <w:rPr>
          <w:rFonts w:ascii="Constantia" w:hAnsi="Constantia"/>
          <w:i/>
          <w:szCs w:val="22"/>
          <w:lang w:val="sr-Latn-CS"/>
        </w:rPr>
        <w:t xml:space="preserve">rafikonu </w:t>
      </w:r>
      <w:r w:rsidR="00E57142" w:rsidRPr="00E57142">
        <w:rPr>
          <w:rFonts w:ascii="Constantia" w:hAnsi="Constantia"/>
          <w:i/>
          <w:szCs w:val="22"/>
          <w:lang w:val="sr-Latn-CS"/>
        </w:rPr>
        <w:t>9</w:t>
      </w:r>
      <w:r w:rsidRPr="00E57142">
        <w:rPr>
          <w:rFonts w:ascii="Constantia" w:hAnsi="Constantia"/>
          <w:i/>
          <w:szCs w:val="22"/>
          <w:lang w:val="sr-Latn-CS"/>
        </w:rPr>
        <w:t>0</w:t>
      </w:r>
      <w:r w:rsidRPr="004357A2">
        <w:rPr>
          <w:rFonts w:ascii="Constantia" w:hAnsi="Constantia"/>
          <w:szCs w:val="22"/>
          <w:lang w:val="sr-Latn-CS"/>
        </w:rPr>
        <w:t>.</w:t>
      </w:r>
    </w:p>
    <w:p w:rsidR="0097248A" w:rsidRPr="004357A2" w:rsidRDefault="0097248A" w:rsidP="0097248A">
      <w:pPr>
        <w:spacing w:after="0" w:line="276" w:lineRule="auto"/>
        <w:rPr>
          <w:rFonts w:ascii="Constantia" w:hAnsi="Constantia"/>
          <w:b/>
          <w:i/>
          <w:szCs w:val="22"/>
          <w:u w:val="single"/>
        </w:rPr>
      </w:pPr>
    </w:p>
    <w:p w:rsidR="00EB3E54" w:rsidRPr="004357A2" w:rsidRDefault="00EB3E54" w:rsidP="00EB3E54">
      <w:pPr>
        <w:spacing w:before="120" w:after="360"/>
        <w:ind w:left="720" w:hanging="360"/>
        <w:jc w:val="center"/>
        <w:rPr>
          <w:rFonts w:ascii="Constantia" w:hAnsi="Constantia"/>
          <w:i/>
          <w:szCs w:val="22"/>
          <w:lang w:val="sr-Latn-CS"/>
        </w:rPr>
      </w:pPr>
      <w:r w:rsidRPr="004357A2">
        <w:rPr>
          <w:rFonts w:ascii="Constantia" w:hAnsi="Constantia"/>
          <w:i/>
          <w:noProof/>
          <w:color w:val="000000" w:themeColor="text1"/>
          <w:szCs w:val="22"/>
        </w:rPr>
        <w:drawing>
          <wp:inline distT="0" distB="0" distL="0" distR="0" wp14:anchorId="104844EF" wp14:editId="3F893D8C">
            <wp:extent cx="5124450" cy="1790700"/>
            <wp:effectExtent l="0" t="0" r="0" b="0"/>
            <wp:docPr id="250" name="Chart 25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1"/>
              </a:graphicData>
            </a:graphic>
          </wp:inline>
        </w:drawing>
      </w:r>
    </w:p>
    <w:p w:rsidR="00EB3E54" w:rsidRPr="004357A2" w:rsidRDefault="00EB3E54" w:rsidP="00EB3E54">
      <w:pPr>
        <w:numPr>
          <w:ilvl w:val="0"/>
          <w:numId w:val="4"/>
        </w:numPr>
        <w:spacing w:after="0"/>
        <w:ind w:left="360"/>
        <w:jc w:val="center"/>
        <w:rPr>
          <w:rFonts w:ascii="Constantia" w:hAnsi="Constantia"/>
          <w:i/>
          <w:szCs w:val="22"/>
          <w:lang w:val="sr-Latn-CS"/>
        </w:rPr>
      </w:pPr>
      <w:r w:rsidRPr="004357A2">
        <w:rPr>
          <w:rFonts w:ascii="Constantia" w:hAnsi="Constantia"/>
          <w:i/>
          <w:szCs w:val="22"/>
          <w:lang w:val="sr-Latn-CS"/>
        </w:rPr>
        <w:t>Srednje vrijednosti nivoa buke (L</w:t>
      </w:r>
      <w:r w:rsidRPr="004357A2">
        <w:rPr>
          <w:rFonts w:ascii="Constantia" w:hAnsi="Constantia"/>
          <w:i/>
          <w:szCs w:val="22"/>
          <w:vertAlign w:val="subscript"/>
          <w:lang w:val="sr-Latn-CS"/>
        </w:rPr>
        <w:t>night</w:t>
      </w:r>
      <w:r w:rsidRPr="004357A2">
        <w:rPr>
          <w:rFonts w:ascii="Constantia" w:hAnsi="Constantia"/>
          <w:i/>
          <w:szCs w:val="22"/>
          <w:lang w:val="sr-Latn-CS"/>
        </w:rPr>
        <w:t>) na mjernom mjestu u Bijelom Polju</w:t>
      </w:r>
    </w:p>
    <w:p w:rsidR="0097248A" w:rsidRDefault="0097248A" w:rsidP="00EB3E54">
      <w:pPr>
        <w:rPr>
          <w:rFonts w:ascii="Constantia" w:hAnsi="Constantia"/>
          <w:szCs w:val="22"/>
        </w:rPr>
      </w:pPr>
    </w:p>
    <w:p w:rsidR="00EB3E54" w:rsidRDefault="00EB3E54" w:rsidP="00EB3E54">
      <w:pPr>
        <w:rPr>
          <w:rFonts w:ascii="Constantia" w:hAnsi="Constantia"/>
          <w:szCs w:val="22"/>
        </w:rPr>
      </w:pPr>
      <w:r w:rsidRPr="004357A2">
        <w:rPr>
          <w:rFonts w:ascii="Constantia" w:hAnsi="Constantia"/>
          <w:szCs w:val="22"/>
        </w:rPr>
        <w:t xml:space="preserve">Na </w:t>
      </w:r>
      <w:r w:rsidR="0097248A" w:rsidRPr="0097248A">
        <w:rPr>
          <w:rFonts w:ascii="Constantia" w:hAnsi="Constantia"/>
          <w:i/>
          <w:szCs w:val="22"/>
        </w:rPr>
        <w:t>S</w:t>
      </w:r>
      <w:r w:rsidRPr="0097248A">
        <w:rPr>
          <w:rFonts w:ascii="Constantia" w:hAnsi="Constantia"/>
          <w:i/>
          <w:szCs w:val="22"/>
        </w:rPr>
        <w:t xml:space="preserve">lici </w:t>
      </w:r>
      <w:r w:rsidR="0097248A" w:rsidRPr="0097248A">
        <w:rPr>
          <w:rFonts w:ascii="Constantia" w:hAnsi="Constantia"/>
          <w:i/>
          <w:szCs w:val="22"/>
        </w:rPr>
        <w:t>24.</w:t>
      </w:r>
      <w:r w:rsidRPr="004357A2">
        <w:rPr>
          <w:rFonts w:ascii="Constantia" w:hAnsi="Constantia"/>
          <w:szCs w:val="22"/>
        </w:rPr>
        <w:t xml:space="preserve"> prikazano je mjerno mjesto u Bijelom Polju.</w:t>
      </w:r>
    </w:p>
    <w:p w:rsidR="0097248A" w:rsidRPr="004357A2" w:rsidRDefault="0097248A" w:rsidP="00EB3E54">
      <w:pPr>
        <w:rPr>
          <w:rFonts w:ascii="Constantia" w:hAnsi="Constantia"/>
          <w:szCs w:val="22"/>
        </w:rPr>
      </w:pPr>
    </w:p>
    <w:p w:rsidR="00EB3E54" w:rsidRPr="004357A2" w:rsidRDefault="00EB3E54" w:rsidP="00EB3E54">
      <w:pPr>
        <w:jc w:val="center"/>
        <w:rPr>
          <w:rFonts w:ascii="Constantia" w:hAnsi="Constantia"/>
          <w:b/>
          <w:noProof/>
          <w:szCs w:val="22"/>
        </w:rPr>
      </w:pPr>
      <w:r w:rsidRPr="004357A2">
        <w:rPr>
          <w:rFonts w:ascii="Constantia" w:hAnsi="Constantia"/>
          <w:noProof/>
          <w:szCs w:val="22"/>
        </w:rPr>
        <w:drawing>
          <wp:inline distT="0" distB="0" distL="0" distR="0" wp14:anchorId="0F0AEA98" wp14:editId="30D68EAE">
            <wp:extent cx="3274735" cy="1857375"/>
            <wp:effectExtent l="0" t="0" r="0" b="0"/>
            <wp:docPr id="251" name="Picture 251" descr="DSC03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SC03589"/>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280510" cy="1860651"/>
                    </a:xfrm>
                    <a:prstGeom prst="rect">
                      <a:avLst/>
                    </a:prstGeom>
                    <a:noFill/>
                    <a:ln>
                      <a:noFill/>
                    </a:ln>
                  </pic:spPr>
                </pic:pic>
              </a:graphicData>
            </a:graphic>
          </wp:inline>
        </w:drawing>
      </w:r>
    </w:p>
    <w:p w:rsidR="00EB3E54" w:rsidRPr="0097248A" w:rsidRDefault="00EB3E54" w:rsidP="00EC5025">
      <w:pPr>
        <w:pStyle w:val="Slika"/>
        <w:tabs>
          <w:tab w:val="left" w:pos="1080"/>
        </w:tabs>
        <w:ind w:left="360"/>
        <w:rPr>
          <w:rFonts w:ascii="Constantia" w:hAnsi="Constantia"/>
          <w:lang w:val="sr-Latn-CS"/>
        </w:rPr>
      </w:pPr>
      <w:r w:rsidRPr="0097248A">
        <w:rPr>
          <w:rFonts w:ascii="Constantia" w:hAnsi="Constantia"/>
          <w:lang w:val="sr-Latn-CS"/>
        </w:rPr>
        <w:t>Mjerno mjesto u Bijelom Polju</w:t>
      </w:r>
    </w:p>
    <w:p w:rsidR="00EB3E54" w:rsidRPr="004357A2" w:rsidRDefault="00EB3E54" w:rsidP="00AF7987">
      <w:pPr>
        <w:spacing w:after="0"/>
        <w:rPr>
          <w:rFonts w:ascii="Constantia" w:hAnsi="Constantia"/>
          <w:szCs w:val="22"/>
        </w:rPr>
      </w:pPr>
    </w:p>
    <w:p w:rsidR="00EB3E54" w:rsidRDefault="00EB3E54" w:rsidP="00EB3E54">
      <w:pPr>
        <w:rPr>
          <w:rFonts w:ascii="Constantia" w:hAnsi="Constantia"/>
          <w:szCs w:val="22"/>
          <w:lang w:val="sr-Latn-CS"/>
        </w:rPr>
      </w:pPr>
      <w:r w:rsidRPr="004357A2">
        <w:rPr>
          <w:rFonts w:ascii="Constantia" w:hAnsi="Constantia"/>
          <w:szCs w:val="22"/>
        </w:rPr>
        <w:t>Rezultati mjerenja prikazani kao srednje vrijednosti za</w:t>
      </w:r>
      <w:r w:rsidRPr="004357A2">
        <w:rPr>
          <w:rFonts w:ascii="Constantia" w:hAnsi="Constantia"/>
          <w:b/>
          <w:szCs w:val="22"/>
          <w:lang w:val="sr-Latn-CS"/>
        </w:rPr>
        <w:t xml:space="preserve"> L</w:t>
      </w:r>
      <w:r w:rsidRPr="004357A2">
        <w:rPr>
          <w:rFonts w:ascii="Constantia" w:hAnsi="Constantia"/>
          <w:b/>
          <w:szCs w:val="22"/>
          <w:vertAlign w:val="subscript"/>
          <w:lang w:val="sr-Latn-CS"/>
        </w:rPr>
        <w:t>den</w:t>
      </w:r>
      <w:r w:rsidRPr="004357A2">
        <w:rPr>
          <w:rFonts w:ascii="Constantia" w:hAnsi="Constantia"/>
          <w:szCs w:val="22"/>
          <w:lang w:val="sr-Latn-CS"/>
        </w:rPr>
        <w:t xml:space="preserve"> -  ukupni indikator nivoa buke tokom dana, večeri i noći, </w:t>
      </w:r>
      <w:r w:rsidRPr="004357A2">
        <w:rPr>
          <w:rFonts w:ascii="Constantia" w:hAnsi="Constantia"/>
          <w:b/>
          <w:szCs w:val="22"/>
          <w:lang w:val="sr-Latn-CS"/>
        </w:rPr>
        <w:t>L</w:t>
      </w:r>
      <w:r w:rsidRPr="004357A2">
        <w:rPr>
          <w:rFonts w:ascii="Constantia" w:hAnsi="Constantia"/>
          <w:b/>
          <w:szCs w:val="22"/>
          <w:vertAlign w:val="subscript"/>
          <w:lang w:val="sr-Latn-CS"/>
        </w:rPr>
        <w:t>day</w:t>
      </w:r>
      <w:r w:rsidRPr="004357A2">
        <w:rPr>
          <w:rFonts w:ascii="Constantia" w:hAnsi="Constantia"/>
          <w:szCs w:val="22"/>
          <w:lang w:val="sr-Latn-CS"/>
        </w:rPr>
        <w:t xml:space="preserve"> – indikator dnevnog nivoa buke i odnosi se na vrijeme od 7 do 19 časova, </w:t>
      </w:r>
      <w:r w:rsidRPr="004357A2">
        <w:rPr>
          <w:rFonts w:ascii="Constantia" w:hAnsi="Constantia"/>
          <w:b/>
          <w:szCs w:val="22"/>
          <w:lang w:val="sr-Latn-CS"/>
        </w:rPr>
        <w:t>L</w:t>
      </w:r>
      <w:r w:rsidRPr="004357A2">
        <w:rPr>
          <w:rFonts w:ascii="Constantia" w:hAnsi="Constantia"/>
          <w:b/>
          <w:szCs w:val="22"/>
          <w:vertAlign w:val="subscript"/>
          <w:lang w:val="sr-Latn-CS"/>
        </w:rPr>
        <w:t>evening</w:t>
      </w:r>
      <w:r w:rsidRPr="004357A2">
        <w:rPr>
          <w:rFonts w:ascii="Constantia" w:hAnsi="Constantia"/>
          <w:szCs w:val="22"/>
          <w:lang w:val="sr-Latn-CS"/>
        </w:rPr>
        <w:t xml:space="preserve"> – indikator nivoa buke tokom večernjih časova i odnosi se na vrijeme od 19 do 23 časova, </w:t>
      </w:r>
      <w:r w:rsidRPr="004357A2">
        <w:rPr>
          <w:rFonts w:ascii="Constantia" w:hAnsi="Constantia"/>
          <w:b/>
          <w:szCs w:val="22"/>
          <w:lang w:val="sr-Latn-CS"/>
        </w:rPr>
        <w:t>L</w:t>
      </w:r>
      <w:r w:rsidRPr="004357A2">
        <w:rPr>
          <w:rFonts w:ascii="Constantia" w:hAnsi="Constantia"/>
          <w:b/>
          <w:szCs w:val="22"/>
          <w:vertAlign w:val="subscript"/>
          <w:lang w:val="sr-Latn-CS"/>
        </w:rPr>
        <w:t>night</w:t>
      </w:r>
      <w:r w:rsidRPr="004357A2">
        <w:rPr>
          <w:rFonts w:ascii="Constantia" w:hAnsi="Constantia"/>
          <w:szCs w:val="22"/>
          <w:lang w:val="sr-Latn-CS"/>
        </w:rPr>
        <w:t xml:space="preserve"> – indikator noćnog nivoa buke i odnosi se na vrijeme od 23 do 7 časova</w:t>
      </w:r>
      <w:r w:rsidR="00AF7987">
        <w:rPr>
          <w:rFonts w:ascii="Constantia" w:hAnsi="Constantia"/>
          <w:szCs w:val="22"/>
          <w:lang w:val="sr-Latn-CS"/>
        </w:rPr>
        <w:t xml:space="preserve"> zy Bijelo Polje</w:t>
      </w:r>
      <w:r w:rsidRPr="004357A2">
        <w:rPr>
          <w:rFonts w:ascii="Constantia" w:hAnsi="Constantia"/>
          <w:szCs w:val="22"/>
          <w:lang w:val="sr-Latn-CS"/>
        </w:rPr>
        <w:t xml:space="preserve"> prikazani su u </w:t>
      </w:r>
      <w:r w:rsidR="00AF7987" w:rsidRPr="00AF7987">
        <w:rPr>
          <w:rFonts w:ascii="Constantia" w:hAnsi="Constantia"/>
          <w:i/>
          <w:szCs w:val="22"/>
          <w:lang w:val="sr-Latn-CS"/>
        </w:rPr>
        <w:t>T</w:t>
      </w:r>
      <w:r w:rsidRPr="00AF7987">
        <w:rPr>
          <w:rFonts w:ascii="Constantia" w:hAnsi="Constantia"/>
          <w:i/>
          <w:szCs w:val="22"/>
          <w:lang w:val="sr-Latn-CS"/>
        </w:rPr>
        <w:t>abeli 1</w:t>
      </w:r>
      <w:r w:rsidR="00AF7987" w:rsidRPr="00AF7987">
        <w:rPr>
          <w:rFonts w:ascii="Constantia" w:hAnsi="Constantia"/>
          <w:i/>
          <w:szCs w:val="22"/>
          <w:lang w:val="sr-Latn-CS"/>
        </w:rPr>
        <w:t>00</w:t>
      </w:r>
      <w:r w:rsidRPr="004357A2">
        <w:rPr>
          <w:rFonts w:ascii="Constantia" w:hAnsi="Constantia"/>
          <w:szCs w:val="22"/>
          <w:lang w:val="sr-Latn-CS"/>
        </w:rPr>
        <w:t>.</w:t>
      </w:r>
    </w:p>
    <w:p w:rsidR="0097248A" w:rsidRPr="004357A2" w:rsidRDefault="0097248A" w:rsidP="0097248A">
      <w:pPr>
        <w:spacing w:after="0"/>
        <w:rPr>
          <w:rFonts w:ascii="Constantia" w:hAnsi="Constantia"/>
          <w:szCs w:val="22"/>
          <w:lang w:val="sr-Latn-CS"/>
        </w:rPr>
      </w:pPr>
    </w:p>
    <w:tbl>
      <w:tblPr>
        <w:tblStyle w:val="LightList-Accent6"/>
        <w:tblW w:w="0" w:type="auto"/>
        <w:tblInd w:w="198" w:type="dxa"/>
        <w:tblLook w:val="04A0" w:firstRow="1" w:lastRow="0" w:firstColumn="1" w:lastColumn="0" w:noHBand="0" w:noVBand="1"/>
      </w:tblPr>
      <w:tblGrid>
        <w:gridCol w:w="2070"/>
        <w:gridCol w:w="1710"/>
        <w:gridCol w:w="1710"/>
        <w:gridCol w:w="1710"/>
        <w:gridCol w:w="1710"/>
      </w:tblGrid>
      <w:tr w:rsidR="00EB3E54" w:rsidRPr="004357A2" w:rsidTr="009724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tcPr>
          <w:p w:rsidR="00EB3E54" w:rsidRPr="004357A2" w:rsidRDefault="00EB3E54" w:rsidP="00EB3E54">
            <w:pPr>
              <w:keepLines/>
              <w:widowControl w:val="0"/>
              <w:tabs>
                <w:tab w:val="left" w:pos="1134"/>
                <w:tab w:val="left" w:pos="2268"/>
              </w:tabs>
              <w:autoSpaceDE w:val="0"/>
              <w:autoSpaceDN w:val="0"/>
              <w:spacing w:before="120" w:after="60"/>
              <w:jc w:val="center"/>
              <w:rPr>
                <w:rFonts w:ascii="Constantia" w:hAnsi="Constantia"/>
                <w:b w:val="0"/>
                <w:color w:val="auto"/>
                <w:szCs w:val="22"/>
              </w:rPr>
            </w:pPr>
          </w:p>
        </w:tc>
        <w:tc>
          <w:tcPr>
            <w:tcW w:w="1710" w:type="dxa"/>
          </w:tcPr>
          <w:p w:rsidR="00EB3E54" w:rsidRPr="004357A2" w:rsidRDefault="00EB3E54" w:rsidP="00EB3E54">
            <w:pPr>
              <w:keepLines/>
              <w:widowControl w:val="0"/>
              <w:tabs>
                <w:tab w:val="left" w:pos="1134"/>
                <w:tab w:val="left" w:pos="2268"/>
              </w:tabs>
              <w:autoSpaceDE w:val="0"/>
              <w:autoSpaceDN w:val="0"/>
              <w:spacing w:before="120" w:after="60"/>
              <w:jc w:val="center"/>
              <w:cnfStyle w:val="100000000000" w:firstRow="1" w:lastRow="0" w:firstColumn="0" w:lastColumn="0" w:oddVBand="0" w:evenVBand="0" w:oddHBand="0" w:evenHBand="0" w:firstRowFirstColumn="0" w:firstRowLastColumn="0" w:lastRowFirstColumn="0" w:lastRowLastColumn="0"/>
              <w:rPr>
                <w:rFonts w:ascii="Constantia" w:hAnsi="Constantia"/>
                <w:color w:val="auto"/>
                <w:szCs w:val="22"/>
              </w:rPr>
            </w:pPr>
            <w:r w:rsidRPr="004357A2">
              <w:rPr>
                <w:rFonts w:ascii="Constantia" w:hAnsi="Constantia"/>
                <w:color w:val="auto"/>
                <w:szCs w:val="22"/>
              </w:rPr>
              <w:t>L</w:t>
            </w:r>
            <w:r w:rsidRPr="004357A2">
              <w:rPr>
                <w:rFonts w:ascii="Constantia" w:hAnsi="Constantia"/>
                <w:b w:val="0"/>
                <w:color w:val="auto"/>
                <w:szCs w:val="22"/>
                <w:vertAlign w:val="subscript"/>
              </w:rPr>
              <w:t>day</w:t>
            </w:r>
            <w:r w:rsidRPr="004357A2">
              <w:rPr>
                <w:rFonts w:ascii="Constantia" w:hAnsi="Constantia"/>
                <w:color w:val="auto"/>
                <w:szCs w:val="22"/>
              </w:rPr>
              <w:t xml:space="preserve"> (dB)</w:t>
            </w:r>
          </w:p>
        </w:tc>
        <w:tc>
          <w:tcPr>
            <w:tcW w:w="1710" w:type="dxa"/>
          </w:tcPr>
          <w:p w:rsidR="00EB3E54" w:rsidRPr="004357A2" w:rsidRDefault="00EB3E54" w:rsidP="00EB3E54">
            <w:pPr>
              <w:keepLines/>
              <w:widowControl w:val="0"/>
              <w:tabs>
                <w:tab w:val="left" w:pos="1134"/>
                <w:tab w:val="left" w:pos="2268"/>
              </w:tabs>
              <w:autoSpaceDE w:val="0"/>
              <w:autoSpaceDN w:val="0"/>
              <w:spacing w:before="120" w:after="60"/>
              <w:jc w:val="center"/>
              <w:cnfStyle w:val="100000000000" w:firstRow="1" w:lastRow="0" w:firstColumn="0" w:lastColumn="0" w:oddVBand="0" w:evenVBand="0" w:oddHBand="0" w:evenHBand="0" w:firstRowFirstColumn="0" w:firstRowLastColumn="0" w:lastRowFirstColumn="0" w:lastRowLastColumn="0"/>
              <w:rPr>
                <w:rFonts w:ascii="Constantia" w:hAnsi="Constantia"/>
                <w:color w:val="auto"/>
                <w:szCs w:val="22"/>
              </w:rPr>
            </w:pPr>
            <w:r w:rsidRPr="004357A2">
              <w:rPr>
                <w:rFonts w:ascii="Constantia" w:hAnsi="Constantia"/>
                <w:color w:val="auto"/>
                <w:szCs w:val="22"/>
              </w:rPr>
              <w:t>L</w:t>
            </w:r>
            <w:r w:rsidRPr="004357A2">
              <w:rPr>
                <w:rFonts w:ascii="Constantia" w:hAnsi="Constantia"/>
                <w:b w:val="0"/>
                <w:color w:val="auto"/>
                <w:szCs w:val="22"/>
                <w:vertAlign w:val="subscript"/>
              </w:rPr>
              <w:t>evening</w:t>
            </w:r>
            <w:r w:rsidRPr="004357A2">
              <w:rPr>
                <w:rFonts w:ascii="Constantia" w:hAnsi="Constantia"/>
                <w:color w:val="auto"/>
                <w:szCs w:val="22"/>
              </w:rPr>
              <w:t xml:space="preserve"> (dB)</w:t>
            </w:r>
          </w:p>
        </w:tc>
        <w:tc>
          <w:tcPr>
            <w:tcW w:w="1710" w:type="dxa"/>
          </w:tcPr>
          <w:p w:rsidR="00EB3E54" w:rsidRPr="004357A2" w:rsidRDefault="00EB3E54" w:rsidP="00EB3E54">
            <w:pPr>
              <w:keepLines/>
              <w:widowControl w:val="0"/>
              <w:tabs>
                <w:tab w:val="left" w:pos="1134"/>
                <w:tab w:val="left" w:pos="2268"/>
              </w:tabs>
              <w:autoSpaceDE w:val="0"/>
              <w:autoSpaceDN w:val="0"/>
              <w:spacing w:before="120" w:after="60"/>
              <w:jc w:val="center"/>
              <w:cnfStyle w:val="100000000000" w:firstRow="1" w:lastRow="0" w:firstColumn="0" w:lastColumn="0" w:oddVBand="0" w:evenVBand="0" w:oddHBand="0" w:evenHBand="0" w:firstRowFirstColumn="0" w:firstRowLastColumn="0" w:lastRowFirstColumn="0" w:lastRowLastColumn="0"/>
              <w:rPr>
                <w:rFonts w:ascii="Constantia" w:hAnsi="Constantia"/>
                <w:b w:val="0"/>
                <w:color w:val="auto"/>
                <w:szCs w:val="22"/>
              </w:rPr>
            </w:pPr>
            <w:r w:rsidRPr="004357A2">
              <w:rPr>
                <w:rFonts w:ascii="Constantia" w:hAnsi="Constantia"/>
                <w:color w:val="auto"/>
                <w:szCs w:val="22"/>
              </w:rPr>
              <w:t>L</w:t>
            </w:r>
            <w:r w:rsidRPr="004357A2">
              <w:rPr>
                <w:rFonts w:ascii="Constantia" w:hAnsi="Constantia"/>
                <w:b w:val="0"/>
                <w:color w:val="auto"/>
                <w:szCs w:val="22"/>
                <w:vertAlign w:val="subscript"/>
              </w:rPr>
              <w:t>night</w:t>
            </w:r>
            <w:r w:rsidRPr="004357A2">
              <w:rPr>
                <w:rFonts w:ascii="Constantia" w:hAnsi="Constantia"/>
                <w:b w:val="0"/>
                <w:color w:val="auto"/>
                <w:szCs w:val="22"/>
              </w:rPr>
              <w:t xml:space="preserve"> </w:t>
            </w:r>
            <w:r w:rsidRPr="004357A2">
              <w:rPr>
                <w:rFonts w:ascii="Constantia" w:hAnsi="Constantia"/>
                <w:color w:val="auto"/>
                <w:szCs w:val="22"/>
              </w:rPr>
              <w:t>(dB)</w:t>
            </w:r>
          </w:p>
        </w:tc>
        <w:tc>
          <w:tcPr>
            <w:tcW w:w="1710" w:type="dxa"/>
          </w:tcPr>
          <w:p w:rsidR="00EB3E54" w:rsidRPr="004357A2" w:rsidRDefault="00EB3E54" w:rsidP="00EB3E54">
            <w:pPr>
              <w:keepLines/>
              <w:widowControl w:val="0"/>
              <w:tabs>
                <w:tab w:val="left" w:pos="1134"/>
                <w:tab w:val="left" w:pos="2268"/>
              </w:tabs>
              <w:autoSpaceDE w:val="0"/>
              <w:autoSpaceDN w:val="0"/>
              <w:spacing w:before="120" w:after="60"/>
              <w:jc w:val="center"/>
              <w:cnfStyle w:val="100000000000" w:firstRow="1" w:lastRow="0" w:firstColumn="0" w:lastColumn="0" w:oddVBand="0" w:evenVBand="0" w:oddHBand="0" w:evenHBand="0" w:firstRowFirstColumn="0" w:firstRowLastColumn="0" w:lastRowFirstColumn="0" w:lastRowLastColumn="0"/>
              <w:rPr>
                <w:rFonts w:ascii="Constantia" w:hAnsi="Constantia"/>
                <w:color w:val="auto"/>
                <w:szCs w:val="22"/>
              </w:rPr>
            </w:pPr>
            <w:r w:rsidRPr="004357A2">
              <w:rPr>
                <w:rFonts w:ascii="Constantia" w:hAnsi="Constantia"/>
                <w:color w:val="auto"/>
                <w:szCs w:val="22"/>
              </w:rPr>
              <w:t>L</w:t>
            </w:r>
            <w:r w:rsidRPr="004357A2">
              <w:rPr>
                <w:rFonts w:ascii="Constantia" w:hAnsi="Constantia"/>
                <w:b w:val="0"/>
                <w:color w:val="auto"/>
                <w:szCs w:val="22"/>
                <w:vertAlign w:val="subscript"/>
              </w:rPr>
              <w:t>den</w:t>
            </w:r>
            <w:r w:rsidRPr="004357A2">
              <w:rPr>
                <w:rFonts w:ascii="Constantia" w:hAnsi="Constantia"/>
                <w:color w:val="auto"/>
                <w:szCs w:val="22"/>
              </w:rPr>
              <w:t xml:space="preserve"> (dB)</w:t>
            </w:r>
          </w:p>
        </w:tc>
      </w:tr>
      <w:tr w:rsidR="00EB3E54" w:rsidRPr="004357A2" w:rsidTr="009724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tcPr>
          <w:p w:rsidR="00EB3E54" w:rsidRPr="004357A2" w:rsidRDefault="00EB3E54" w:rsidP="0097248A">
            <w:pPr>
              <w:keepLines/>
              <w:widowControl w:val="0"/>
              <w:tabs>
                <w:tab w:val="left" w:pos="1134"/>
                <w:tab w:val="left" w:pos="2268"/>
              </w:tabs>
              <w:autoSpaceDE w:val="0"/>
              <w:autoSpaceDN w:val="0"/>
              <w:spacing w:after="60"/>
              <w:jc w:val="center"/>
              <w:rPr>
                <w:rFonts w:ascii="Constantia" w:hAnsi="Constantia"/>
                <w:szCs w:val="22"/>
              </w:rPr>
            </w:pPr>
            <w:r w:rsidRPr="004357A2">
              <w:rPr>
                <w:rFonts w:ascii="Constantia" w:hAnsi="Constantia"/>
                <w:szCs w:val="22"/>
              </w:rPr>
              <w:t>I Ciklus</w:t>
            </w:r>
          </w:p>
        </w:tc>
        <w:tc>
          <w:tcPr>
            <w:tcW w:w="1710" w:type="dxa"/>
          </w:tcPr>
          <w:p w:rsidR="00EB3E54" w:rsidRPr="004357A2" w:rsidRDefault="00EB3E54" w:rsidP="0097248A">
            <w:pPr>
              <w:keepLines/>
              <w:widowControl w:val="0"/>
              <w:tabs>
                <w:tab w:val="left" w:pos="1134"/>
                <w:tab w:val="left" w:pos="2268"/>
              </w:tabs>
              <w:autoSpaceDE w:val="0"/>
              <w:autoSpaceDN w:val="0"/>
              <w:spacing w:after="6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4357A2">
              <w:rPr>
                <w:rFonts w:ascii="Constantia" w:hAnsi="Constantia"/>
                <w:b/>
                <w:szCs w:val="22"/>
              </w:rPr>
              <w:t>63</w:t>
            </w:r>
          </w:p>
        </w:tc>
        <w:tc>
          <w:tcPr>
            <w:tcW w:w="1710" w:type="dxa"/>
          </w:tcPr>
          <w:p w:rsidR="00EB3E54" w:rsidRPr="004357A2" w:rsidRDefault="00EB3E54" w:rsidP="0097248A">
            <w:pPr>
              <w:keepLines/>
              <w:widowControl w:val="0"/>
              <w:tabs>
                <w:tab w:val="left" w:pos="1134"/>
                <w:tab w:val="left" w:pos="2268"/>
              </w:tabs>
              <w:autoSpaceDE w:val="0"/>
              <w:autoSpaceDN w:val="0"/>
              <w:spacing w:after="6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4357A2">
              <w:rPr>
                <w:rFonts w:ascii="Constantia" w:hAnsi="Constantia"/>
                <w:b/>
                <w:szCs w:val="22"/>
              </w:rPr>
              <w:t>63</w:t>
            </w:r>
          </w:p>
        </w:tc>
        <w:tc>
          <w:tcPr>
            <w:tcW w:w="1710" w:type="dxa"/>
          </w:tcPr>
          <w:p w:rsidR="00EB3E54" w:rsidRPr="004357A2" w:rsidRDefault="00EB3E54" w:rsidP="0097248A">
            <w:pPr>
              <w:keepLines/>
              <w:widowControl w:val="0"/>
              <w:tabs>
                <w:tab w:val="left" w:pos="1134"/>
                <w:tab w:val="left" w:pos="2268"/>
              </w:tabs>
              <w:autoSpaceDE w:val="0"/>
              <w:autoSpaceDN w:val="0"/>
              <w:spacing w:after="6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4357A2">
              <w:rPr>
                <w:rFonts w:ascii="Constantia" w:hAnsi="Constantia"/>
                <w:b/>
                <w:szCs w:val="22"/>
              </w:rPr>
              <w:t>58</w:t>
            </w:r>
          </w:p>
        </w:tc>
        <w:tc>
          <w:tcPr>
            <w:tcW w:w="1710" w:type="dxa"/>
          </w:tcPr>
          <w:p w:rsidR="00EB3E54" w:rsidRPr="004357A2" w:rsidRDefault="00EB3E54" w:rsidP="0097248A">
            <w:pPr>
              <w:keepLines/>
              <w:widowControl w:val="0"/>
              <w:tabs>
                <w:tab w:val="left" w:pos="1134"/>
                <w:tab w:val="left" w:pos="2268"/>
              </w:tabs>
              <w:autoSpaceDE w:val="0"/>
              <w:autoSpaceDN w:val="0"/>
              <w:spacing w:after="6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4357A2">
              <w:rPr>
                <w:rFonts w:ascii="Constantia" w:hAnsi="Constantia"/>
                <w:b/>
                <w:szCs w:val="22"/>
              </w:rPr>
              <w:t>66</w:t>
            </w:r>
          </w:p>
        </w:tc>
      </w:tr>
      <w:tr w:rsidR="00EB3E54" w:rsidRPr="004357A2" w:rsidTr="0097248A">
        <w:tc>
          <w:tcPr>
            <w:cnfStyle w:val="001000000000" w:firstRow="0" w:lastRow="0" w:firstColumn="1" w:lastColumn="0" w:oddVBand="0" w:evenVBand="0" w:oddHBand="0" w:evenHBand="0" w:firstRowFirstColumn="0" w:firstRowLastColumn="0" w:lastRowFirstColumn="0" w:lastRowLastColumn="0"/>
            <w:tcW w:w="2070" w:type="dxa"/>
          </w:tcPr>
          <w:p w:rsidR="00EB3E54" w:rsidRPr="004357A2" w:rsidRDefault="00EB3E54" w:rsidP="0097248A">
            <w:pPr>
              <w:keepLines/>
              <w:widowControl w:val="0"/>
              <w:tabs>
                <w:tab w:val="left" w:pos="1134"/>
                <w:tab w:val="left" w:pos="2268"/>
              </w:tabs>
              <w:autoSpaceDE w:val="0"/>
              <w:autoSpaceDN w:val="0"/>
              <w:spacing w:after="60"/>
              <w:jc w:val="center"/>
              <w:rPr>
                <w:rFonts w:ascii="Constantia" w:hAnsi="Constantia"/>
                <w:szCs w:val="22"/>
              </w:rPr>
            </w:pPr>
            <w:r w:rsidRPr="004357A2">
              <w:rPr>
                <w:rFonts w:ascii="Constantia" w:hAnsi="Constantia"/>
                <w:szCs w:val="22"/>
              </w:rPr>
              <w:t>II Ciklus</w:t>
            </w:r>
          </w:p>
        </w:tc>
        <w:tc>
          <w:tcPr>
            <w:tcW w:w="1710" w:type="dxa"/>
          </w:tcPr>
          <w:p w:rsidR="00EB3E54" w:rsidRPr="004357A2" w:rsidRDefault="00EB3E54" w:rsidP="0097248A">
            <w:pPr>
              <w:keepLines/>
              <w:widowControl w:val="0"/>
              <w:tabs>
                <w:tab w:val="left" w:pos="1134"/>
                <w:tab w:val="left" w:pos="2268"/>
              </w:tabs>
              <w:autoSpaceDE w:val="0"/>
              <w:autoSpaceDN w:val="0"/>
              <w:spacing w:after="60"/>
              <w:jc w:val="center"/>
              <w:cnfStyle w:val="000000000000" w:firstRow="0" w:lastRow="0" w:firstColumn="0" w:lastColumn="0" w:oddVBand="0" w:evenVBand="0" w:oddHBand="0" w:evenHBand="0" w:firstRowFirstColumn="0" w:firstRowLastColumn="0" w:lastRowFirstColumn="0" w:lastRowLastColumn="0"/>
              <w:rPr>
                <w:rFonts w:ascii="Constantia" w:hAnsi="Constantia"/>
                <w:b/>
                <w:szCs w:val="22"/>
              </w:rPr>
            </w:pPr>
            <w:r w:rsidRPr="004357A2">
              <w:rPr>
                <w:rFonts w:ascii="Constantia" w:hAnsi="Constantia"/>
                <w:b/>
                <w:szCs w:val="22"/>
              </w:rPr>
              <w:t>60</w:t>
            </w:r>
          </w:p>
        </w:tc>
        <w:tc>
          <w:tcPr>
            <w:tcW w:w="1710" w:type="dxa"/>
          </w:tcPr>
          <w:p w:rsidR="00EB3E54" w:rsidRPr="004357A2" w:rsidRDefault="00EB3E54" w:rsidP="0097248A">
            <w:pPr>
              <w:keepLines/>
              <w:widowControl w:val="0"/>
              <w:tabs>
                <w:tab w:val="left" w:pos="1134"/>
                <w:tab w:val="left" w:pos="2268"/>
              </w:tabs>
              <w:autoSpaceDE w:val="0"/>
              <w:autoSpaceDN w:val="0"/>
              <w:spacing w:after="60"/>
              <w:jc w:val="center"/>
              <w:cnfStyle w:val="000000000000" w:firstRow="0" w:lastRow="0" w:firstColumn="0" w:lastColumn="0" w:oddVBand="0" w:evenVBand="0" w:oddHBand="0" w:evenHBand="0" w:firstRowFirstColumn="0" w:firstRowLastColumn="0" w:lastRowFirstColumn="0" w:lastRowLastColumn="0"/>
              <w:rPr>
                <w:rFonts w:ascii="Constantia" w:hAnsi="Constantia"/>
                <w:b/>
                <w:szCs w:val="22"/>
              </w:rPr>
            </w:pPr>
            <w:r w:rsidRPr="004357A2">
              <w:rPr>
                <w:rFonts w:ascii="Constantia" w:hAnsi="Constantia"/>
                <w:b/>
                <w:szCs w:val="22"/>
              </w:rPr>
              <w:t>58</w:t>
            </w:r>
          </w:p>
        </w:tc>
        <w:tc>
          <w:tcPr>
            <w:tcW w:w="1710" w:type="dxa"/>
          </w:tcPr>
          <w:p w:rsidR="00EB3E54" w:rsidRPr="004357A2" w:rsidRDefault="00EB3E54" w:rsidP="0097248A">
            <w:pPr>
              <w:keepLines/>
              <w:widowControl w:val="0"/>
              <w:tabs>
                <w:tab w:val="left" w:pos="1134"/>
                <w:tab w:val="left" w:pos="2268"/>
              </w:tabs>
              <w:autoSpaceDE w:val="0"/>
              <w:autoSpaceDN w:val="0"/>
              <w:spacing w:after="60"/>
              <w:jc w:val="center"/>
              <w:cnfStyle w:val="000000000000" w:firstRow="0" w:lastRow="0" w:firstColumn="0" w:lastColumn="0" w:oddVBand="0" w:evenVBand="0" w:oddHBand="0" w:evenHBand="0" w:firstRowFirstColumn="0" w:firstRowLastColumn="0" w:lastRowFirstColumn="0" w:lastRowLastColumn="0"/>
              <w:rPr>
                <w:rFonts w:ascii="Constantia" w:hAnsi="Constantia"/>
                <w:b/>
                <w:szCs w:val="22"/>
              </w:rPr>
            </w:pPr>
            <w:r w:rsidRPr="004357A2">
              <w:rPr>
                <w:rFonts w:ascii="Constantia" w:hAnsi="Constantia"/>
                <w:b/>
                <w:szCs w:val="22"/>
              </w:rPr>
              <w:t>55</w:t>
            </w:r>
          </w:p>
        </w:tc>
        <w:tc>
          <w:tcPr>
            <w:tcW w:w="1710" w:type="dxa"/>
          </w:tcPr>
          <w:p w:rsidR="00EB3E54" w:rsidRPr="004357A2" w:rsidRDefault="00EB3E54" w:rsidP="0097248A">
            <w:pPr>
              <w:keepLines/>
              <w:widowControl w:val="0"/>
              <w:tabs>
                <w:tab w:val="left" w:pos="1134"/>
                <w:tab w:val="left" w:pos="2268"/>
              </w:tabs>
              <w:autoSpaceDE w:val="0"/>
              <w:autoSpaceDN w:val="0"/>
              <w:spacing w:after="60"/>
              <w:jc w:val="center"/>
              <w:cnfStyle w:val="000000000000" w:firstRow="0" w:lastRow="0" w:firstColumn="0" w:lastColumn="0" w:oddVBand="0" w:evenVBand="0" w:oddHBand="0" w:evenHBand="0" w:firstRowFirstColumn="0" w:firstRowLastColumn="0" w:lastRowFirstColumn="0" w:lastRowLastColumn="0"/>
              <w:rPr>
                <w:rFonts w:ascii="Constantia" w:hAnsi="Constantia"/>
                <w:b/>
                <w:szCs w:val="22"/>
              </w:rPr>
            </w:pPr>
            <w:r w:rsidRPr="004357A2">
              <w:rPr>
                <w:rFonts w:ascii="Constantia" w:hAnsi="Constantia"/>
                <w:b/>
                <w:szCs w:val="22"/>
              </w:rPr>
              <w:t>63</w:t>
            </w:r>
          </w:p>
        </w:tc>
      </w:tr>
      <w:tr w:rsidR="00EB3E54" w:rsidRPr="004357A2" w:rsidTr="009724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tcPr>
          <w:p w:rsidR="00EB3E54" w:rsidRPr="004357A2" w:rsidRDefault="00EB3E54" w:rsidP="0097248A">
            <w:pPr>
              <w:keepLines/>
              <w:widowControl w:val="0"/>
              <w:tabs>
                <w:tab w:val="left" w:pos="1134"/>
                <w:tab w:val="left" w:pos="2268"/>
              </w:tabs>
              <w:autoSpaceDE w:val="0"/>
              <w:autoSpaceDN w:val="0"/>
              <w:spacing w:after="0"/>
              <w:jc w:val="center"/>
              <w:rPr>
                <w:rFonts w:ascii="Constantia" w:hAnsi="Constantia"/>
                <w:szCs w:val="22"/>
              </w:rPr>
            </w:pPr>
            <w:r w:rsidRPr="004357A2">
              <w:rPr>
                <w:rFonts w:ascii="Constantia" w:hAnsi="Constantia"/>
                <w:szCs w:val="22"/>
              </w:rPr>
              <w:t>Granična vrijednost</w:t>
            </w:r>
          </w:p>
        </w:tc>
        <w:tc>
          <w:tcPr>
            <w:tcW w:w="1710" w:type="dxa"/>
          </w:tcPr>
          <w:p w:rsidR="00EB3E54" w:rsidRPr="004357A2" w:rsidRDefault="00EB3E54" w:rsidP="0097248A">
            <w:pPr>
              <w:keepLines/>
              <w:widowControl w:val="0"/>
              <w:tabs>
                <w:tab w:val="left" w:pos="1134"/>
                <w:tab w:val="left" w:pos="2268"/>
              </w:tabs>
              <w:autoSpaceDE w:val="0"/>
              <w:autoSpaceDN w:val="0"/>
              <w:spacing w:after="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4357A2">
              <w:rPr>
                <w:rFonts w:ascii="Constantia" w:hAnsi="Constantia"/>
                <w:b/>
                <w:szCs w:val="22"/>
              </w:rPr>
              <w:t>60</w:t>
            </w:r>
          </w:p>
        </w:tc>
        <w:tc>
          <w:tcPr>
            <w:tcW w:w="1710" w:type="dxa"/>
          </w:tcPr>
          <w:p w:rsidR="00EB3E54" w:rsidRPr="004357A2" w:rsidRDefault="00EB3E54" w:rsidP="0097248A">
            <w:pPr>
              <w:keepLines/>
              <w:widowControl w:val="0"/>
              <w:tabs>
                <w:tab w:val="left" w:pos="1134"/>
                <w:tab w:val="left" w:pos="2268"/>
              </w:tabs>
              <w:autoSpaceDE w:val="0"/>
              <w:autoSpaceDN w:val="0"/>
              <w:spacing w:after="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4357A2">
              <w:rPr>
                <w:rFonts w:ascii="Constantia" w:hAnsi="Constantia"/>
                <w:b/>
                <w:szCs w:val="22"/>
              </w:rPr>
              <w:t>60</w:t>
            </w:r>
          </w:p>
        </w:tc>
        <w:tc>
          <w:tcPr>
            <w:tcW w:w="1710" w:type="dxa"/>
          </w:tcPr>
          <w:p w:rsidR="00EB3E54" w:rsidRPr="004357A2" w:rsidRDefault="00EB3E54" w:rsidP="0097248A">
            <w:pPr>
              <w:keepLines/>
              <w:widowControl w:val="0"/>
              <w:tabs>
                <w:tab w:val="left" w:pos="1134"/>
                <w:tab w:val="left" w:pos="2268"/>
              </w:tabs>
              <w:autoSpaceDE w:val="0"/>
              <w:autoSpaceDN w:val="0"/>
              <w:spacing w:after="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4357A2">
              <w:rPr>
                <w:rFonts w:ascii="Constantia" w:hAnsi="Constantia"/>
                <w:b/>
                <w:szCs w:val="22"/>
              </w:rPr>
              <w:t>55</w:t>
            </w:r>
          </w:p>
        </w:tc>
        <w:tc>
          <w:tcPr>
            <w:tcW w:w="1710" w:type="dxa"/>
          </w:tcPr>
          <w:p w:rsidR="00EB3E54" w:rsidRPr="004357A2" w:rsidRDefault="00EB3E54" w:rsidP="0097248A">
            <w:pPr>
              <w:keepLines/>
              <w:widowControl w:val="0"/>
              <w:tabs>
                <w:tab w:val="left" w:pos="1134"/>
                <w:tab w:val="left" w:pos="2268"/>
              </w:tabs>
              <w:autoSpaceDE w:val="0"/>
              <w:autoSpaceDN w:val="0"/>
              <w:spacing w:after="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4357A2">
              <w:rPr>
                <w:rFonts w:ascii="Constantia" w:hAnsi="Constantia"/>
                <w:b/>
                <w:szCs w:val="22"/>
              </w:rPr>
              <w:t>---</w:t>
            </w:r>
          </w:p>
        </w:tc>
      </w:tr>
    </w:tbl>
    <w:p w:rsidR="00EB3E54" w:rsidRPr="004357A2" w:rsidRDefault="00EB3E54" w:rsidP="00EB3E54">
      <w:pPr>
        <w:numPr>
          <w:ilvl w:val="0"/>
          <w:numId w:val="3"/>
        </w:numPr>
        <w:spacing w:before="60" w:after="240"/>
        <w:ind w:left="1440" w:firstLine="0"/>
        <w:jc w:val="center"/>
        <w:rPr>
          <w:rFonts w:ascii="Constantia" w:hAnsi="Constantia"/>
          <w:i/>
          <w:szCs w:val="22"/>
          <w:lang w:val="sr-Latn-CS"/>
        </w:rPr>
      </w:pPr>
      <w:r w:rsidRPr="004357A2">
        <w:rPr>
          <w:rFonts w:ascii="Constantia" w:hAnsi="Constantia"/>
          <w:i/>
          <w:szCs w:val="22"/>
          <w:lang w:val="sr-Latn-CS"/>
        </w:rPr>
        <w:t>Srednji indikatori buke na mjernom mjestu u Bijelom Polju</w:t>
      </w:r>
    </w:p>
    <w:p w:rsidR="00EB3E54" w:rsidRPr="004357A2" w:rsidRDefault="00EB3E54" w:rsidP="00EB3E54">
      <w:pPr>
        <w:rPr>
          <w:rFonts w:ascii="Constantia" w:hAnsi="Constantia"/>
          <w:szCs w:val="22"/>
        </w:rPr>
      </w:pPr>
      <w:r w:rsidRPr="004357A2">
        <w:rPr>
          <w:rFonts w:ascii="Constantia" w:hAnsi="Constantia"/>
          <w:szCs w:val="22"/>
        </w:rPr>
        <w:t>Vrijednosti indikatora buke su veći u prvom ciklusu mjerenja (sredina septembra) nego u drugom ciklusu mjerenja (sredina novembra).</w:t>
      </w:r>
    </w:p>
    <w:p w:rsidR="00EB3E54" w:rsidRPr="004357A2" w:rsidRDefault="00EB3E54" w:rsidP="00EB3E54">
      <w:pPr>
        <w:rPr>
          <w:rFonts w:ascii="Constantia" w:hAnsi="Constantia"/>
          <w:szCs w:val="22"/>
        </w:rPr>
      </w:pPr>
      <w:r w:rsidRPr="004357A2">
        <w:rPr>
          <w:rFonts w:ascii="Constantia" w:hAnsi="Constantia"/>
          <w:szCs w:val="22"/>
        </w:rPr>
        <w:lastRenderedPageBreak/>
        <w:t>U prvom ciklusu vrijednosti indikatora buke za dan, veče i noć prelaze granične vrijednosti nivoa buke.</w:t>
      </w:r>
    </w:p>
    <w:p w:rsidR="00EB3E54" w:rsidRPr="004357A2" w:rsidRDefault="00EB3E54" w:rsidP="00EB3E54">
      <w:pPr>
        <w:rPr>
          <w:rFonts w:ascii="Constantia" w:hAnsi="Constantia"/>
          <w:szCs w:val="22"/>
        </w:rPr>
      </w:pPr>
      <w:r w:rsidRPr="004357A2">
        <w:rPr>
          <w:rFonts w:ascii="Constantia" w:hAnsi="Constantia"/>
          <w:szCs w:val="22"/>
        </w:rPr>
        <w:t>U drugom ciklusu vrijednosti indikatora buke za dan, veče i noć ne prelaze granične vrijednosti nivoa buke.</w:t>
      </w:r>
    </w:p>
    <w:p w:rsidR="00EB3E54" w:rsidRPr="004357A2" w:rsidRDefault="00EB3E54" w:rsidP="00EB3E54">
      <w:pPr>
        <w:rPr>
          <w:rFonts w:ascii="Constantia" w:hAnsi="Constantia"/>
          <w:szCs w:val="22"/>
        </w:rPr>
      </w:pPr>
      <w:r w:rsidRPr="004357A2">
        <w:rPr>
          <w:rFonts w:ascii="Constantia" w:hAnsi="Constantia"/>
          <w:szCs w:val="22"/>
        </w:rPr>
        <w:t>Na osnovu Odluke o utvrđivanju</w:t>
      </w:r>
      <w:r w:rsidR="00AF7987">
        <w:rPr>
          <w:rFonts w:ascii="Constantia" w:hAnsi="Constantia"/>
          <w:szCs w:val="22"/>
        </w:rPr>
        <w:t xml:space="preserve"> akustič</w:t>
      </w:r>
      <w:r w:rsidR="00FF6B55">
        <w:rPr>
          <w:rFonts w:ascii="Constantia" w:hAnsi="Constantia"/>
          <w:szCs w:val="22"/>
        </w:rPr>
        <w:t>k</w:t>
      </w:r>
      <w:r w:rsidR="00AF7987">
        <w:rPr>
          <w:rFonts w:ascii="Constantia" w:hAnsi="Constantia"/>
          <w:szCs w:val="22"/>
        </w:rPr>
        <w:t>ih zona na teritoriji o</w:t>
      </w:r>
      <w:r w:rsidRPr="004357A2">
        <w:rPr>
          <w:rFonts w:ascii="Constantia" w:hAnsi="Constantia"/>
          <w:szCs w:val="22"/>
        </w:rPr>
        <w:t>pštine Bijelo Polje</w:t>
      </w:r>
      <w:r w:rsidR="00AF7987">
        <w:rPr>
          <w:rFonts w:ascii="Constantia" w:hAnsi="Constantia"/>
          <w:szCs w:val="22"/>
        </w:rPr>
        <w:t>,</w:t>
      </w:r>
      <w:r w:rsidRPr="004357A2">
        <w:rPr>
          <w:rFonts w:ascii="Constantia" w:hAnsi="Constantia"/>
          <w:szCs w:val="22"/>
        </w:rPr>
        <w:t xml:space="preserve"> posmatrano mjerno mjesto pripada zoni pod jakim uticajem buke koja potiče od drumskog saobraćaja.</w:t>
      </w:r>
    </w:p>
    <w:p w:rsidR="00EB3E54" w:rsidRPr="00EB3E54" w:rsidRDefault="00EB3E54" w:rsidP="00077AA6">
      <w:pPr>
        <w:pStyle w:val="Heading2"/>
        <w:ind w:left="720"/>
      </w:pPr>
      <w:bookmarkStart w:id="176" w:name="_Toc393897947"/>
      <w:r w:rsidRPr="00EB3E54">
        <w:t>Berane</w:t>
      </w:r>
      <w:bookmarkEnd w:id="176"/>
    </w:p>
    <w:p w:rsidR="00EB3E54" w:rsidRPr="00E2728C" w:rsidRDefault="00EB3E54" w:rsidP="00EB3E54">
      <w:pPr>
        <w:spacing w:line="276" w:lineRule="auto"/>
        <w:rPr>
          <w:rFonts w:ascii="Constantia" w:hAnsi="Constantia"/>
          <w:szCs w:val="22"/>
          <w:lang w:val="sr-Latn-CS"/>
        </w:rPr>
      </w:pPr>
      <w:r w:rsidRPr="00E2728C">
        <w:rPr>
          <w:rFonts w:ascii="Constantia" w:hAnsi="Constantia"/>
          <w:szCs w:val="22"/>
          <w:lang w:val="sr-Latn-CS"/>
        </w:rPr>
        <w:t>Na teritoriji opštine berane mjerenje nivoa buke vršeno je u ulici Dušana Vujoševića br.</w:t>
      </w:r>
      <w:r w:rsidR="00E2728C">
        <w:rPr>
          <w:rFonts w:ascii="Constantia" w:hAnsi="Constantia"/>
          <w:szCs w:val="22"/>
          <w:lang w:val="sr-Latn-CS"/>
        </w:rPr>
        <w:t xml:space="preserve"> </w:t>
      </w:r>
      <w:r w:rsidRPr="00E2728C">
        <w:rPr>
          <w:rFonts w:ascii="Constantia" w:hAnsi="Constantia"/>
          <w:szCs w:val="22"/>
          <w:lang w:val="sr-Latn-CS"/>
        </w:rPr>
        <w:t>5, u intervalu dnevnog (L</w:t>
      </w:r>
      <w:r w:rsidRPr="00E2728C">
        <w:rPr>
          <w:rFonts w:ascii="Constantia" w:hAnsi="Constantia"/>
          <w:szCs w:val="22"/>
          <w:vertAlign w:val="subscript"/>
          <w:lang w:val="sr-Latn-CS"/>
        </w:rPr>
        <w:t>day</w:t>
      </w:r>
      <w:r w:rsidRPr="00E2728C">
        <w:rPr>
          <w:rFonts w:ascii="Constantia" w:hAnsi="Constantia"/>
          <w:szCs w:val="22"/>
          <w:lang w:val="sr-Latn-CS"/>
        </w:rPr>
        <w:t>) 7-19h, večernjeg (L</w:t>
      </w:r>
      <w:r w:rsidRPr="00E2728C">
        <w:rPr>
          <w:rFonts w:ascii="Constantia" w:hAnsi="Constantia"/>
          <w:szCs w:val="22"/>
          <w:vertAlign w:val="subscript"/>
          <w:lang w:val="sr-Latn-CS"/>
        </w:rPr>
        <w:t>evening</w:t>
      </w:r>
      <w:r w:rsidRPr="00E2728C">
        <w:rPr>
          <w:rFonts w:ascii="Constantia" w:hAnsi="Constantia"/>
          <w:szCs w:val="22"/>
          <w:lang w:val="sr-Latn-CS"/>
        </w:rPr>
        <w:t>) 19-23h i noćnog perioda (L</w:t>
      </w:r>
      <w:r w:rsidRPr="00E2728C">
        <w:rPr>
          <w:rFonts w:ascii="Constantia" w:hAnsi="Constantia"/>
          <w:szCs w:val="22"/>
          <w:vertAlign w:val="subscript"/>
          <w:lang w:val="sr-Latn-CS"/>
        </w:rPr>
        <w:t>night</w:t>
      </w:r>
      <w:r w:rsidRPr="00E2728C">
        <w:rPr>
          <w:rFonts w:ascii="Constantia" w:hAnsi="Constantia"/>
          <w:szCs w:val="22"/>
          <w:lang w:val="sr-Latn-CS"/>
        </w:rPr>
        <w:t>) 23-7h.</w:t>
      </w:r>
    </w:p>
    <w:p w:rsidR="00EB3E54" w:rsidRPr="00E2728C" w:rsidRDefault="00EB3E54" w:rsidP="00EB3E54">
      <w:pPr>
        <w:spacing w:line="276" w:lineRule="auto"/>
        <w:rPr>
          <w:rFonts w:ascii="Constantia" w:hAnsi="Constantia"/>
          <w:szCs w:val="22"/>
        </w:rPr>
      </w:pPr>
      <w:r w:rsidRPr="00E2728C">
        <w:rPr>
          <w:rFonts w:ascii="Constantia" w:hAnsi="Constantia"/>
          <w:b/>
          <w:szCs w:val="22"/>
          <w:lang w:val="sr-Latn-CS"/>
        </w:rPr>
        <w:t>Nivo buke u I ciklusu</w:t>
      </w:r>
      <w:r w:rsidRPr="00E2728C">
        <w:rPr>
          <w:rFonts w:ascii="Constantia" w:hAnsi="Constantia"/>
          <w:szCs w:val="22"/>
          <w:lang w:val="sr-Latn-CS"/>
        </w:rPr>
        <w:t xml:space="preserve"> mjeren je u periodu </w:t>
      </w:r>
      <w:r w:rsidRPr="00E2728C">
        <w:rPr>
          <w:rFonts w:ascii="Constantia" w:hAnsi="Constantia"/>
          <w:szCs w:val="22"/>
        </w:rPr>
        <w:t xml:space="preserve">od 21-27.09.2013. godine. </w:t>
      </w:r>
    </w:p>
    <w:p w:rsidR="00EB3E54" w:rsidRPr="00E2728C" w:rsidRDefault="00EB3E54" w:rsidP="00EB3E54">
      <w:pPr>
        <w:spacing w:line="276" w:lineRule="auto"/>
        <w:rPr>
          <w:rFonts w:ascii="Constantia" w:hAnsi="Constantia"/>
          <w:szCs w:val="22"/>
          <w:lang w:val="sr-Latn-CS"/>
        </w:rPr>
      </w:pPr>
      <w:r w:rsidRPr="00E2728C">
        <w:rPr>
          <w:rFonts w:ascii="Constantia" w:hAnsi="Constantia"/>
          <w:b/>
          <w:szCs w:val="22"/>
        </w:rPr>
        <w:t>Nivo buke u II ciklusu</w:t>
      </w:r>
      <w:r w:rsidRPr="00E2728C">
        <w:rPr>
          <w:rFonts w:ascii="Constantia" w:hAnsi="Constantia"/>
          <w:szCs w:val="22"/>
        </w:rPr>
        <w:t xml:space="preserve"> </w:t>
      </w:r>
      <w:r w:rsidRPr="00E2728C">
        <w:rPr>
          <w:rFonts w:ascii="Constantia" w:hAnsi="Constantia"/>
          <w:szCs w:val="22"/>
          <w:lang w:val="sr-Latn-CS"/>
        </w:rPr>
        <w:t xml:space="preserve">mjeren je u periodu </w:t>
      </w:r>
      <w:r w:rsidRPr="00E2728C">
        <w:rPr>
          <w:rFonts w:ascii="Constantia" w:hAnsi="Constantia"/>
          <w:szCs w:val="22"/>
        </w:rPr>
        <w:t>od 22-29.11.2013. godine.</w:t>
      </w:r>
      <w:r w:rsidRPr="00E2728C">
        <w:rPr>
          <w:rFonts w:ascii="Constantia" w:hAnsi="Constantia"/>
          <w:szCs w:val="22"/>
          <w:lang w:val="sr-Latn-CS"/>
        </w:rPr>
        <w:t xml:space="preserve"> </w:t>
      </w:r>
    </w:p>
    <w:p w:rsidR="00EB3E54" w:rsidRPr="00E2728C" w:rsidRDefault="00EB3E54" w:rsidP="00EB3E54">
      <w:pPr>
        <w:spacing w:line="276" w:lineRule="auto"/>
        <w:rPr>
          <w:rFonts w:ascii="Constantia" w:hAnsi="Constantia"/>
          <w:b/>
          <w:i/>
          <w:szCs w:val="22"/>
          <w:u w:val="single"/>
        </w:rPr>
      </w:pPr>
      <w:r w:rsidRPr="00E2728C">
        <w:rPr>
          <w:rFonts w:ascii="Constantia" w:hAnsi="Constantia"/>
          <w:szCs w:val="22"/>
          <w:lang w:val="sr-Latn-CS"/>
        </w:rPr>
        <w:t xml:space="preserve">Srednje vrijednosti nivoa buke za </w:t>
      </w:r>
      <w:r w:rsidRPr="00E2728C">
        <w:rPr>
          <w:rFonts w:ascii="Constantia" w:hAnsi="Constantia"/>
          <w:b/>
          <w:szCs w:val="22"/>
          <w:lang w:val="sr-Latn-CS"/>
        </w:rPr>
        <w:t>L</w:t>
      </w:r>
      <w:r w:rsidRPr="00E2728C">
        <w:rPr>
          <w:rFonts w:ascii="Constantia" w:hAnsi="Constantia"/>
          <w:b/>
          <w:szCs w:val="22"/>
          <w:vertAlign w:val="subscript"/>
          <w:lang w:val="sr-Latn-CS"/>
        </w:rPr>
        <w:t>night</w:t>
      </w:r>
      <w:r w:rsidRPr="00E2728C">
        <w:rPr>
          <w:rFonts w:ascii="Constantia" w:hAnsi="Constantia"/>
          <w:szCs w:val="22"/>
          <w:lang w:val="sr-Latn-CS"/>
        </w:rPr>
        <w:t xml:space="preserve"> – indikator noćnog nivoa buke koji se odnosi na vrijeme od 23 do 7 časova prikazane</w:t>
      </w:r>
      <w:r w:rsidR="00E2728C">
        <w:rPr>
          <w:rFonts w:ascii="Constantia" w:hAnsi="Constantia"/>
          <w:szCs w:val="22"/>
          <w:lang w:val="sr-Latn-CS"/>
        </w:rPr>
        <w:t xml:space="preserve"> su na </w:t>
      </w:r>
      <w:r w:rsidR="00E2728C" w:rsidRPr="00E2728C">
        <w:rPr>
          <w:rFonts w:ascii="Constantia" w:hAnsi="Constantia"/>
          <w:i/>
          <w:szCs w:val="22"/>
          <w:lang w:val="sr-Latn-CS"/>
        </w:rPr>
        <w:t>G</w:t>
      </w:r>
      <w:r w:rsidRPr="00E2728C">
        <w:rPr>
          <w:rFonts w:ascii="Constantia" w:hAnsi="Constantia"/>
          <w:i/>
          <w:szCs w:val="22"/>
          <w:lang w:val="sr-Latn-CS"/>
        </w:rPr>
        <w:t xml:space="preserve">rafikonu </w:t>
      </w:r>
      <w:r w:rsidR="00E2728C" w:rsidRPr="00E2728C">
        <w:rPr>
          <w:rFonts w:ascii="Constantia" w:hAnsi="Constantia"/>
          <w:i/>
          <w:szCs w:val="22"/>
          <w:lang w:val="sr-Latn-CS"/>
        </w:rPr>
        <w:t>9</w:t>
      </w:r>
      <w:r w:rsidRPr="00E2728C">
        <w:rPr>
          <w:rFonts w:ascii="Constantia" w:hAnsi="Constantia"/>
          <w:i/>
          <w:szCs w:val="22"/>
          <w:lang w:val="sr-Latn-CS"/>
        </w:rPr>
        <w:t>1</w:t>
      </w:r>
      <w:r w:rsidRPr="00E2728C">
        <w:rPr>
          <w:rFonts w:ascii="Constantia" w:hAnsi="Constantia"/>
          <w:szCs w:val="22"/>
          <w:lang w:val="sr-Latn-CS"/>
        </w:rPr>
        <w:t>.</w:t>
      </w:r>
    </w:p>
    <w:p w:rsidR="00EB3E54" w:rsidRPr="00E2728C" w:rsidRDefault="00EB3E54" w:rsidP="00BF23FD">
      <w:pPr>
        <w:spacing w:before="120" w:after="0"/>
        <w:ind w:left="720" w:hanging="360"/>
        <w:jc w:val="center"/>
        <w:rPr>
          <w:rFonts w:ascii="Constantia" w:hAnsi="Constantia"/>
          <w:i/>
          <w:szCs w:val="22"/>
          <w:lang w:val="sr-Latn-CS"/>
        </w:rPr>
      </w:pPr>
      <w:r w:rsidRPr="00E2728C">
        <w:rPr>
          <w:rFonts w:ascii="Constantia" w:hAnsi="Constantia"/>
          <w:i/>
          <w:noProof/>
          <w:color w:val="000000" w:themeColor="text1"/>
          <w:szCs w:val="22"/>
        </w:rPr>
        <w:drawing>
          <wp:inline distT="0" distB="0" distL="0" distR="0" wp14:anchorId="322C6B4D" wp14:editId="6D1D2463">
            <wp:extent cx="5219700" cy="2314575"/>
            <wp:effectExtent l="0" t="0" r="0" b="0"/>
            <wp:docPr id="252" name="Chart 25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3"/>
              </a:graphicData>
            </a:graphic>
          </wp:inline>
        </w:drawing>
      </w:r>
    </w:p>
    <w:p w:rsidR="00EB3E54" w:rsidRPr="00E2728C" w:rsidRDefault="00EB3E54" w:rsidP="00EB3E54">
      <w:pPr>
        <w:numPr>
          <w:ilvl w:val="0"/>
          <w:numId w:val="4"/>
        </w:numPr>
        <w:ind w:left="360"/>
        <w:jc w:val="center"/>
        <w:rPr>
          <w:rFonts w:ascii="Constantia" w:hAnsi="Constantia"/>
          <w:i/>
          <w:szCs w:val="22"/>
          <w:lang w:val="sr-Latn-CS"/>
        </w:rPr>
      </w:pPr>
      <w:r w:rsidRPr="00E2728C">
        <w:rPr>
          <w:rFonts w:ascii="Constantia" w:hAnsi="Constantia"/>
          <w:i/>
          <w:szCs w:val="22"/>
          <w:lang w:val="sr-Latn-CS"/>
        </w:rPr>
        <w:t>Srednje vrijednosti nivoa buke (L</w:t>
      </w:r>
      <w:r w:rsidRPr="00E2728C">
        <w:rPr>
          <w:rFonts w:ascii="Constantia" w:hAnsi="Constantia"/>
          <w:i/>
          <w:szCs w:val="22"/>
          <w:vertAlign w:val="subscript"/>
          <w:lang w:val="sr-Latn-CS"/>
        </w:rPr>
        <w:t>night</w:t>
      </w:r>
      <w:r w:rsidRPr="00E2728C">
        <w:rPr>
          <w:rFonts w:ascii="Constantia" w:hAnsi="Constantia"/>
          <w:i/>
          <w:szCs w:val="22"/>
          <w:lang w:val="sr-Latn-CS"/>
        </w:rPr>
        <w:t>) na mjernom mjestu u Beranama</w:t>
      </w:r>
    </w:p>
    <w:p w:rsidR="00EB3E54" w:rsidRPr="00E2728C" w:rsidRDefault="00EB3E54" w:rsidP="007248A4">
      <w:pPr>
        <w:spacing w:after="0"/>
        <w:rPr>
          <w:rFonts w:ascii="Constantia" w:hAnsi="Constantia"/>
          <w:b/>
          <w:i/>
          <w:szCs w:val="22"/>
          <w:lang w:val="sr-Latn-CS"/>
        </w:rPr>
      </w:pPr>
    </w:p>
    <w:p w:rsidR="00EB3E54" w:rsidRPr="00E2728C" w:rsidRDefault="00EB3E54" w:rsidP="00EB3E54">
      <w:pPr>
        <w:rPr>
          <w:rFonts w:ascii="Constantia" w:hAnsi="Constantia"/>
          <w:szCs w:val="22"/>
        </w:rPr>
      </w:pPr>
      <w:r w:rsidRPr="00E2728C">
        <w:rPr>
          <w:rFonts w:ascii="Constantia" w:hAnsi="Constantia"/>
          <w:szCs w:val="22"/>
        </w:rPr>
        <w:t xml:space="preserve">Na </w:t>
      </w:r>
      <w:r w:rsidR="00BF23FD" w:rsidRPr="00BF23FD">
        <w:rPr>
          <w:rFonts w:ascii="Constantia" w:hAnsi="Constantia"/>
          <w:i/>
          <w:szCs w:val="22"/>
        </w:rPr>
        <w:t>S</w:t>
      </w:r>
      <w:r w:rsidRPr="00BF23FD">
        <w:rPr>
          <w:rFonts w:ascii="Constantia" w:hAnsi="Constantia"/>
          <w:i/>
          <w:szCs w:val="22"/>
        </w:rPr>
        <w:t>lici 2</w:t>
      </w:r>
      <w:r w:rsidR="00BF23FD" w:rsidRPr="00BF23FD">
        <w:rPr>
          <w:rFonts w:ascii="Constantia" w:hAnsi="Constantia"/>
          <w:i/>
          <w:szCs w:val="22"/>
        </w:rPr>
        <w:t>5.</w:t>
      </w:r>
      <w:r w:rsidRPr="00E2728C">
        <w:rPr>
          <w:rFonts w:ascii="Constantia" w:hAnsi="Constantia"/>
          <w:szCs w:val="22"/>
        </w:rPr>
        <w:t xml:space="preserve"> prikazano je mjerno mjesto u Beranama.</w:t>
      </w:r>
    </w:p>
    <w:p w:rsidR="00EB3E54" w:rsidRPr="00E2728C" w:rsidRDefault="00EB3E54" w:rsidP="007248A4">
      <w:pPr>
        <w:spacing w:before="240"/>
        <w:jc w:val="center"/>
        <w:rPr>
          <w:rFonts w:ascii="Constantia" w:hAnsi="Constantia"/>
          <w:b/>
          <w:noProof/>
          <w:szCs w:val="22"/>
        </w:rPr>
      </w:pPr>
      <w:r w:rsidRPr="00E2728C">
        <w:rPr>
          <w:rFonts w:ascii="Constantia" w:hAnsi="Constantia"/>
          <w:noProof/>
          <w:szCs w:val="22"/>
        </w:rPr>
        <w:drawing>
          <wp:inline distT="0" distB="0" distL="0" distR="0" wp14:anchorId="1209EBBE" wp14:editId="21A5A294">
            <wp:extent cx="2790825" cy="1914525"/>
            <wp:effectExtent l="0" t="0" r="0" b="0"/>
            <wp:docPr id="253" name="Picture 253" descr="DSC03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SC03573"/>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2793858" cy="1916606"/>
                    </a:xfrm>
                    <a:prstGeom prst="rect">
                      <a:avLst/>
                    </a:prstGeom>
                    <a:noFill/>
                    <a:ln>
                      <a:noFill/>
                    </a:ln>
                  </pic:spPr>
                </pic:pic>
              </a:graphicData>
            </a:graphic>
          </wp:inline>
        </w:drawing>
      </w:r>
    </w:p>
    <w:p w:rsidR="00EB3E54" w:rsidRPr="007248A4" w:rsidRDefault="00EB3E54" w:rsidP="007248A4">
      <w:pPr>
        <w:pStyle w:val="Slika"/>
        <w:tabs>
          <w:tab w:val="left" w:pos="900"/>
          <w:tab w:val="left" w:pos="4140"/>
        </w:tabs>
        <w:ind w:left="360"/>
        <w:rPr>
          <w:rFonts w:ascii="Constantia" w:hAnsi="Constantia"/>
          <w:lang w:val="sr-Latn-CS"/>
        </w:rPr>
      </w:pPr>
      <w:r w:rsidRPr="007248A4">
        <w:rPr>
          <w:rFonts w:ascii="Constantia" w:hAnsi="Constantia"/>
          <w:lang w:val="sr-Latn-CS"/>
        </w:rPr>
        <w:t>Mjerno mjesto u Beranama</w:t>
      </w:r>
    </w:p>
    <w:p w:rsidR="00EB3E54" w:rsidRPr="00E2728C" w:rsidRDefault="00EB3E54" w:rsidP="00EB3E54">
      <w:pPr>
        <w:rPr>
          <w:rFonts w:ascii="Constantia" w:hAnsi="Constantia"/>
          <w:szCs w:val="22"/>
        </w:rPr>
      </w:pPr>
    </w:p>
    <w:p w:rsidR="00EB3E54" w:rsidRDefault="00EB3E54" w:rsidP="00EB3E54">
      <w:pPr>
        <w:rPr>
          <w:rFonts w:ascii="Constantia" w:hAnsi="Constantia"/>
          <w:szCs w:val="22"/>
          <w:lang w:val="sr-Latn-CS"/>
        </w:rPr>
      </w:pPr>
      <w:r w:rsidRPr="00E2728C">
        <w:rPr>
          <w:rFonts w:ascii="Constantia" w:hAnsi="Constantia"/>
          <w:szCs w:val="22"/>
        </w:rPr>
        <w:lastRenderedPageBreak/>
        <w:t>Rezultati mjerenja prikazani kao srednje vrijednosti za</w:t>
      </w:r>
      <w:r w:rsidRPr="00E2728C">
        <w:rPr>
          <w:rFonts w:ascii="Constantia" w:hAnsi="Constantia"/>
          <w:b/>
          <w:szCs w:val="22"/>
          <w:lang w:val="sr-Latn-CS"/>
        </w:rPr>
        <w:t xml:space="preserve"> L</w:t>
      </w:r>
      <w:r w:rsidRPr="00E2728C">
        <w:rPr>
          <w:rFonts w:ascii="Constantia" w:hAnsi="Constantia"/>
          <w:b/>
          <w:szCs w:val="22"/>
          <w:vertAlign w:val="subscript"/>
          <w:lang w:val="sr-Latn-CS"/>
        </w:rPr>
        <w:t>den</w:t>
      </w:r>
      <w:r w:rsidRPr="00E2728C">
        <w:rPr>
          <w:rFonts w:ascii="Constantia" w:hAnsi="Constantia"/>
          <w:szCs w:val="22"/>
          <w:lang w:val="sr-Latn-CS"/>
        </w:rPr>
        <w:t xml:space="preserve"> -  ukupni indikator nivoa buke tokom dana, večeri i noći, </w:t>
      </w:r>
      <w:r w:rsidRPr="00E2728C">
        <w:rPr>
          <w:rFonts w:ascii="Constantia" w:hAnsi="Constantia"/>
          <w:b/>
          <w:szCs w:val="22"/>
          <w:lang w:val="sr-Latn-CS"/>
        </w:rPr>
        <w:t>L</w:t>
      </w:r>
      <w:r w:rsidRPr="00E2728C">
        <w:rPr>
          <w:rFonts w:ascii="Constantia" w:hAnsi="Constantia"/>
          <w:b/>
          <w:szCs w:val="22"/>
          <w:vertAlign w:val="subscript"/>
          <w:lang w:val="sr-Latn-CS"/>
        </w:rPr>
        <w:t>day</w:t>
      </w:r>
      <w:r w:rsidRPr="00E2728C">
        <w:rPr>
          <w:rFonts w:ascii="Constantia" w:hAnsi="Constantia"/>
          <w:szCs w:val="22"/>
          <w:lang w:val="sr-Latn-CS"/>
        </w:rPr>
        <w:t xml:space="preserve"> – indikator dnevnog nivoa buke i odnosi se na vrijeme od 7 do 19 časova, </w:t>
      </w:r>
      <w:r w:rsidRPr="00E2728C">
        <w:rPr>
          <w:rFonts w:ascii="Constantia" w:hAnsi="Constantia"/>
          <w:b/>
          <w:szCs w:val="22"/>
          <w:lang w:val="sr-Latn-CS"/>
        </w:rPr>
        <w:t>L</w:t>
      </w:r>
      <w:r w:rsidRPr="00E2728C">
        <w:rPr>
          <w:rFonts w:ascii="Constantia" w:hAnsi="Constantia"/>
          <w:b/>
          <w:szCs w:val="22"/>
          <w:vertAlign w:val="subscript"/>
          <w:lang w:val="sr-Latn-CS"/>
        </w:rPr>
        <w:t>evening</w:t>
      </w:r>
      <w:r w:rsidRPr="00E2728C">
        <w:rPr>
          <w:rFonts w:ascii="Constantia" w:hAnsi="Constantia"/>
          <w:szCs w:val="22"/>
          <w:lang w:val="sr-Latn-CS"/>
        </w:rPr>
        <w:t xml:space="preserve"> – indikator nivoa buke tokom večernjih časova i odnosi se na vrijeme od 19 do 23 časova, </w:t>
      </w:r>
      <w:r w:rsidRPr="00E2728C">
        <w:rPr>
          <w:rFonts w:ascii="Constantia" w:hAnsi="Constantia"/>
          <w:b/>
          <w:szCs w:val="22"/>
          <w:lang w:val="sr-Latn-CS"/>
        </w:rPr>
        <w:t>L</w:t>
      </w:r>
      <w:r w:rsidRPr="00E2728C">
        <w:rPr>
          <w:rFonts w:ascii="Constantia" w:hAnsi="Constantia"/>
          <w:b/>
          <w:szCs w:val="22"/>
          <w:vertAlign w:val="subscript"/>
          <w:lang w:val="sr-Latn-CS"/>
        </w:rPr>
        <w:t>night</w:t>
      </w:r>
      <w:r w:rsidRPr="00E2728C">
        <w:rPr>
          <w:rFonts w:ascii="Constantia" w:hAnsi="Constantia"/>
          <w:szCs w:val="22"/>
          <w:lang w:val="sr-Latn-CS"/>
        </w:rPr>
        <w:t xml:space="preserve"> – indikator noćnog nivoa buke i odnosi se na vrijeme od 23 do 7 časova</w:t>
      </w:r>
      <w:r w:rsidR="008205E1">
        <w:rPr>
          <w:rFonts w:ascii="Constantia" w:hAnsi="Constantia"/>
          <w:szCs w:val="22"/>
          <w:lang w:val="sr-Latn-CS"/>
        </w:rPr>
        <w:t xml:space="preserve"> za Berane</w:t>
      </w:r>
      <w:r w:rsidRPr="00E2728C">
        <w:rPr>
          <w:rFonts w:ascii="Constantia" w:hAnsi="Constantia"/>
          <w:szCs w:val="22"/>
          <w:lang w:val="sr-Latn-CS"/>
        </w:rPr>
        <w:t xml:space="preserve"> prikazani su u </w:t>
      </w:r>
      <w:r w:rsidR="008205E1" w:rsidRPr="008205E1">
        <w:rPr>
          <w:rFonts w:ascii="Constantia" w:hAnsi="Constantia"/>
          <w:i/>
          <w:szCs w:val="22"/>
          <w:lang w:val="sr-Latn-CS"/>
        </w:rPr>
        <w:t>T</w:t>
      </w:r>
      <w:r w:rsidRPr="008205E1">
        <w:rPr>
          <w:rFonts w:ascii="Constantia" w:hAnsi="Constantia"/>
          <w:i/>
          <w:szCs w:val="22"/>
          <w:lang w:val="sr-Latn-CS"/>
        </w:rPr>
        <w:t>abeli 1</w:t>
      </w:r>
      <w:r w:rsidR="008205E1" w:rsidRPr="008205E1">
        <w:rPr>
          <w:rFonts w:ascii="Constantia" w:hAnsi="Constantia"/>
          <w:i/>
          <w:szCs w:val="22"/>
          <w:lang w:val="sr-Latn-CS"/>
        </w:rPr>
        <w:t>01</w:t>
      </w:r>
      <w:r w:rsidRPr="00E2728C">
        <w:rPr>
          <w:rFonts w:ascii="Constantia" w:hAnsi="Constantia"/>
          <w:szCs w:val="22"/>
          <w:lang w:val="sr-Latn-CS"/>
        </w:rPr>
        <w:t>.</w:t>
      </w:r>
    </w:p>
    <w:p w:rsidR="00E2728C" w:rsidRPr="00E2728C" w:rsidRDefault="00E2728C" w:rsidP="008205E1">
      <w:pPr>
        <w:spacing w:after="0"/>
        <w:rPr>
          <w:rFonts w:ascii="Constantia" w:hAnsi="Constantia"/>
          <w:szCs w:val="22"/>
          <w:lang w:val="sr-Latn-CS"/>
        </w:rPr>
      </w:pPr>
    </w:p>
    <w:tbl>
      <w:tblPr>
        <w:tblStyle w:val="LightList-Accent6"/>
        <w:tblW w:w="0" w:type="auto"/>
        <w:tblInd w:w="198" w:type="dxa"/>
        <w:tblLook w:val="04A0" w:firstRow="1" w:lastRow="0" w:firstColumn="1" w:lastColumn="0" w:noHBand="0" w:noVBand="1"/>
      </w:tblPr>
      <w:tblGrid>
        <w:gridCol w:w="2070"/>
        <w:gridCol w:w="1710"/>
        <w:gridCol w:w="1710"/>
        <w:gridCol w:w="1710"/>
        <w:gridCol w:w="1710"/>
      </w:tblGrid>
      <w:tr w:rsidR="00EB3E54" w:rsidRPr="00E2728C" w:rsidTr="008205E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tcPr>
          <w:p w:rsidR="00EB3E54" w:rsidRPr="00E2728C" w:rsidRDefault="00EB3E54" w:rsidP="00EB3E54">
            <w:pPr>
              <w:keepLines/>
              <w:widowControl w:val="0"/>
              <w:tabs>
                <w:tab w:val="left" w:pos="1134"/>
                <w:tab w:val="left" w:pos="2268"/>
              </w:tabs>
              <w:autoSpaceDE w:val="0"/>
              <w:autoSpaceDN w:val="0"/>
              <w:spacing w:before="120" w:after="60"/>
              <w:jc w:val="center"/>
              <w:rPr>
                <w:rFonts w:ascii="Constantia" w:hAnsi="Constantia"/>
                <w:b w:val="0"/>
                <w:color w:val="auto"/>
                <w:szCs w:val="22"/>
              </w:rPr>
            </w:pPr>
          </w:p>
        </w:tc>
        <w:tc>
          <w:tcPr>
            <w:tcW w:w="1710" w:type="dxa"/>
          </w:tcPr>
          <w:p w:rsidR="00EB3E54" w:rsidRPr="00E2728C" w:rsidRDefault="00EB3E54" w:rsidP="00EB3E54">
            <w:pPr>
              <w:keepLines/>
              <w:widowControl w:val="0"/>
              <w:tabs>
                <w:tab w:val="left" w:pos="1134"/>
                <w:tab w:val="left" w:pos="2268"/>
              </w:tabs>
              <w:autoSpaceDE w:val="0"/>
              <w:autoSpaceDN w:val="0"/>
              <w:spacing w:before="120" w:after="60"/>
              <w:jc w:val="center"/>
              <w:cnfStyle w:val="100000000000" w:firstRow="1" w:lastRow="0" w:firstColumn="0" w:lastColumn="0" w:oddVBand="0" w:evenVBand="0" w:oddHBand="0" w:evenHBand="0" w:firstRowFirstColumn="0" w:firstRowLastColumn="0" w:lastRowFirstColumn="0" w:lastRowLastColumn="0"/>
              <w:rPr>
                <w:rFonts w:ascii="Constantia" w:hAnsi="Constantia"/>
                <w:color w:val="auto"/>
                <w:szCs w:val="22"/>
              </w:rPr>
            </w:pPr>
            <w:r w:rsidRPr="00E2728C">
              <w:rPr>
                <w:rFonts w:ascii="Constantia" w:hAnsi="Constantia"/>
                <w:color w:val="auto"/>
                <w:szCs w:val="22"/>
              </w:rPr>
              <w:t>L</w:t>
            </w:r>
            <w:r w:rsidRPr="00E2728C">
              <w:rPr>
                <w:rFonts w:ascii="Constantia" w:hAnsi="Constantia"/>
                <w:b w:val="0"/>
                <w:color w:val="auto"/>
                <w:szCs w:val="22"/>
                <w:vertAlign w:val="subscript"/>
              </w:rPr>
              <w:t>day</w:t>
            </w:r>
            <w:r w:rsidRPr="00E2728C">
              <w:rPr>
                <w:rFonts w:ascii="Constantia" w:hAnsi="Constantia"/>
                <w:color w:val="auto"/>
                <w:szCs w:val="22"/>
              </w:rPr>
              <w:t xml:space="preserve"> (dB)</w:t>
            </w:r>
          </w:p>
        </w:tc>
        <w:tc>
          <w:tcPr>
            <w:tcW w:w="1710" w:type="dxa"/>
          </w:tcPr>
          <w:p w:rsidR="00EB3E54" w:rsidRPr="00E2728C" w:rsidRDefault="00EB3E54" w:rsidP="00EB3E54">
            <w:pPr>
              <w:keepLines/>
              <w:widowControl w:val="0"/>
              <w:tabs>
                <w:tab w:val="left" w:pos="1134"/>
                <w:tab w:val="left" w:pos="2268"/>
              </w:tabs>
              <w:autoSpaceDE w:val="0"/>
              <w:autoSpaceDN w:val="0"/>
              <w:spacing w:before="120" w:after="60"/>
              <w:jc w:val="center"/>
              <w:cnfStyle w:val="100000000000" w:firstRow="1" w:lastRow="0" w:firstColumn="0" w:lastColumn="0" w:oddVBand="0" w:evenVBand="0" w:oddHBand="0" w:evenHBand="0" w:firstRowFirstColumn="0" w:firstRowLastColumn="0" w:lastRowFirstColumn="0" w:lastRowLastColumn="0"/>
              <w:rPr>
                <w:rFonts w:ascii="Constantia" w:hAnsi="Constantia"/>
                <w:color w:val="auto"/>
                <w:szCs w:val="22"/>
              </w:rPr>
            </w:pPr>
            <w:r w:rsidRPr="00E2728C">
              <w:rPr>
                <w:rFonts w:ascii="Constantia" w:hAnsi="Constantia"/>
                <w:color w:val="auto"/>
                <w:szCs w:val="22"/>
              </w:rPr>
              <w:t>L</w:t>
            </w:r>
            <w:r w:rsidRPr="00E2728C">
              <w:rPr>
                <w:rFonts w:ascii="Constantia" w:hAnsi="Constantia"/>
                <w:b w:val="0"/>
                <w:color w:val="auto"/>
                <w:szCs w:val="22"/>
                <w:vertAlign w:val="subscript"/>
              </w:rPr>
              <w:t>evening</w:t>
            </w:r>
            <w:r w:rsidRPr="00E2728C">
              <w:rPr>
                <w:rFonts w:ascii="Constantia" w:hAnsi="Constantia"/>
                <w:color w:val="auto"/>
                <w:szCs w:val="22"/>
              </w:rPr>
              <w:t xml:space="preserve"> (dB)</w:t>
            </w:r>
          </w:p>
        </w:tc>
        <w:tc>
          <w:tcPr>
            <w:tcW w:w="1710" w:type="dxa"/>
          </w:tcPr>
          <w:p w:rsidR="00EB3E54" w:rsidRPr="00E2728C" w:rsidRDefault="00EB3E54" w:rsidP="00EB3E54">
            <w:pPr>
              <w:keepLines/>
              <w:widowControl w:val="0"/>
              <w:tabs>
                <w:tab w:val="left" w:pos="1134"/>
                <w:tab w:val="left" w:pos="2268"/>
              </w:tabs>
              <w:autoSpaceDE w:val="0"/>
              <w:autoSpaceDN w:val="0"/>
              <w:spacing w:before="120" w:after="60"/>
              <w:jc w:val="center"/>
              <w:cnfStyle w:val="100000000000" w:firstRow="1" w:lastRow="0" w:firstColumn="0" w:lastColumn="0" w:oddVBand="0" w:evenVBand="0" w:oddHBand="0" w:evenHBand="0" w:firstRowFirstColumn="0" w:firstRowLastColumn="0" w:lastRowFirstColumn="0" w:lastRowLastColumn="0"/>
              <w:rPr>
                <w:rFonts w:ascii="Constantia" w:hAnsi="Constantia"/>
                <w:b w:val="0"/>
                <w:color w:val="auto"/>
                <w:szCs w:val="22"/>
              </w:rPr>
            </w:pPr>
            <w:r w:rsidRPr="00E2728C">
              <w:rPr>
                <w:rFonts w:ascii="Constantia" w:hAnsi="Constantia"/>
                <w:color w:val="auto"/>
                <w:szCs w:val="22"/>
              </w:rPr>
              <w:t>L</w:t>
            </w:r>
            <w:r w:rsidRPr="00E2728C">
              <w:rPr>
                <w:rFonts w:ascii="Constantia" w:hAnsi="Constantia"/>
                <w:b w:val="0"/>
                <w:color w:val="auto"/>
                <w:szCs w:val="22"/>
                <w:vertAlign w:val="subscript"/>
              </w:rPr>
              <w:t>night</w:t>
            </w:r>
            <w:r w:rsidRPr="00E2728C">
              <w:rPr>
                <w:rFonts w:ascii="Constantia" w:hAnsi="Constantia"/>
                <w:b w:val="0"/>
                <w:color w:val="auto"/>
                <w:szCs w:val="22"/>
              </w:rPr>
              <w:t xml:space="preserve"> </w:t>
            </w:r>
            <w:r w:rsidRPr="00E2728C">
              <w:rPr>
                <w:rFonts w:ascii="Constantia" w:hAnsi="Constantia"/>
                <w:color w:val="auto"/>
                <w:szCs w:val="22"/>
              </w:rPr>
              <w:t>(dB)</w:t>
            </w:r>
          </w:p>
        </w:tc>
        <w:tc>
          <w:tcPr>
            <w:tcW w:w="1710" w:type="dxa"/>
          </w:tcPr>
          <w:p w:rsidR="00EB3E54" w:rsidRPr="00E2728C" w:rsidRDefault="00EB3E54" w:rsidP="00EB3E54">
            <w:pPr>
              <w:keepLines/>
              <w:widowControl w:val="0"/>
              <w:tabs>
                <w:tab w:val="left" w:pos="1134"/>
                <w:tab w:val="left" w:pos="2268"/>
              </w:tabs>
              <w:autoSpaceDE w:val="0"/>
              <w:autoSpaceDN w:val="0"/>
              <w:spacing w:before="120" w:after="60"/>
              <w:jc w:val="center"/>
              <w:cnfStyle w:val="100000000000" w:firstRow="1" w:lastRow="0" w:firstColumn="0" w:lastColumn="0" w:oddVBand="0" w:evenVBand="0" w:oddHBand="0" w:evenHBand="0" w:firstRowFirstColumn="0" w:firstRowLastColumn="0" w:lastRowFirstColumn="0" w:lastRowLastColumn="0"/>
              <w:rPr>
                <w:rFonts w:ascii="Constantia" w:hAnsi="Constantia"/>
                <w:color w:val="auto"/>
                <w:szCs w:val="22"/>
              </w:rPr>
            </w:pPr>
            <w:r w:rsidRPr="00E2728C">
              <w:rPr>
                <w:rFonts w:ascii="Constantia" w:hAnsi="Constantia"/>
                <w:color w:val="auto"/>
                <w:szCs w:val="22"/>
              </w:rPr>
              <w:t>L</w:t>
            </w:r>
            <w:r w:rsidRPr="00E2728C">
              <w:rPr>
                <w:rFonts w:ascii="Constantia" w:hAnsi="Constantia"/>
                <w:b w:val="0"/>
                <w:color w:val="auto"/>
                <w:szCs w:val="22"/>
                <w:vertAlign w:val="subscript"/>
              </w:rPr>
              <w:t>den</w:t>
            </w:r>
            <w:r w:rsidRPr="00E2728C">
              <w:rPr>
                <w:rFonts w:ascii="Constantia" w:hAnsi="Constantia"/>
                <w:color w:val="auto"/>
                <w:szCs w:val="22"/>
              </w:rPr>
              <w:t xml:space="preserve"> (dB)</w:t>
            </w:r>
          </w:p>
        </w:tc>
      </w:tr>
      <w:tr w:rsidR="00EB3E54" w:rsidRPr="00E2728C" w:rsidTr="008205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tcPr>
          <w:p w:rsidR="00EB3E54" w:rsidRPr="00E2728C" w:rsidRDefault="00EB3E54" w:rsidP="00E2728C">
            <w:pPr>
              <w:keepLines/>
              <w:widowControl w:val="0"/>
              <w:tabs>
                <w:tab w:val="left" w:pos="1134"/>
                <w:tab w:val="left" w:pos="2268"/>
              </w:tabs>
              <w:autoSpaceDE w:val="0"/>
              <w:autoSpaceDN w:val="0"/>
              <w:spacing w:after="60"/>
              <w:jc w:val="center"/>
              <w:rPr>
                <w:rFonts w:ascii="Constantia" w:hAnsi="Constantia"/>
                <w:szCs w:val="22"/>
              </w:rPr>
            </w:pPr>
            <w:r w:rsidRPr="00E2728C">
              <w:rPr>
                <w:rFonts w:ascii="Constantia" w:hAnsi="Constantia"/>
                <w:szCs w:val="22"/>
              </w:rPr>
              <w:t>I Ciklus</w:t>
            </w:r>
          </w:p>
        </w:tc>
        <w:tc>
          <w:tcPr>
            <w:tcW w:w="1710" w:type="dxa"/>
          </w:tcPr>
          <w:p w:rsidR="00EB3E54" w:rsidRPr="00E2728C" w:rsidRDefault="00EB3E54" w:rsidP="00E2728C">
            <w:pPr>
              <w:keepLines/>
              <w:widowControl w:val="0"/>
              <w:tabs>
                <w:tab w:val="left" w:pos="1134"/>
                <w:tab w:val="left" w:pos="2268"/>
              </w:tabs>
              <w:autoSpaceDE w:val="0"/>
              <w:autoSpaceDN w:val="0"/>
              <w:spacing w:after="6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E2728C">
              <w:rPr>
                <w:rFonts w:ascii="Constantia" w:hAnsi="Constantia"/>
                <w:b/>
                <w:szCs w:val="22"/>
              </w:rPr>
              <w:t>58</w:t>
            </w:r>
          </w:p>
        </w:tc>
        <w:tc>
          <w:tcPr>
            <w:tcW w:w="1710" w:type="dxa"/>
          </w:tcPr>
          <w:p w:rsidR="00EB3E54" w:rsidRPr="00E2728C" w:rsidRDefault="00EB3E54" w:rsidP="00E2728C">
            <w:pPr>
              <w:keepLines/>
              <w:widowControl w:val="0"/>
              <w:tabs>
                <w:tab w:val="left" w:pos="1134"/>
                <w:tab w:val="left" w:pos="2268"/>
              </w:tabs>
              <w:autoSpaceDE w:val="0"/>
              <w:autoSpaceDN w:val="0"/>
              <w:spacing w:after="6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E2728C">
              <w:rPr>
                <w:rFonts w:ascii="Constantia" w:hAnsi="Constantia"/>
                <w:b/>
                <w:szCs w:val="22"/>
              </w:rPr>
              <w:t>56</w:t>
            </w:r>
          </w:p>
        </w:tc>
        <w:tc>
          <w:tcPr>
            <w:tcW w:w="1710" w:type="dxa"/>
          </w:tcPr>
          <w:p w:rsidR="00EB3E54" w:rsidRPr="00E2728C" w:rsidRDefault="00EB3E54" w:rsidP="00E2728C">
            <w:pPr>
              <w:keepLines/>
              <w:widowControl w:val="0"/>
              <w:tabs>
                <w:tab w:val="left" w:pos="1134"/>
                <w:tab w:val="left" w:pos="2268"/>
              </w:tabs>
              <w:autoSpaceDE w:val="0"/>
              <w:autoSpaceDN w:val="0"/>
              <w:spacing w:after="6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E2728C">
              <w:rPr>
                <w:rFonts w:ascii="Constantia" w:hAnsi="Constantia"/>
                <w:b/>
                <w:szCs w:val="22"/>
              </w:rPr>
              <w:t>52</w:t>
            </w:r>
          </w:p>
        </w:tc>
        <w:tc>
          <w:tcPr>
            <w:tcW w:w="1710" w:type="dxa"/>
          </w:tcPr>
          <w:p w:rsidR="00EB3E54" w:rsidRPr="00E2728C" w:rsidRDefault="00EB3E54" w:rsidP="00E2728C">
            <w:pPr>
              <w:keepLines/>
              <w:widowControl w:val="0"/>
              <w:tabs>
                <w:tab w:val="left" w:pos="1134"/>
                <w:tab w:val="left" w:pos="2268"/>
              </w:tabs>
              <w:autoSpaceDE w:val="0"/>
              <w:autoSpaceDN w:val="0"/>
              <w:spacing w:after="6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E2728C">
              <w:rPr>
                <w:rFonts w:ascii="Constantia" w:hAnsi="Constantia"/>
                <w:b/>
                <w:szCs w:val="22"/>
              </w:rPr>
              <w:t>60</w:t>
            </w:r>
          </w:p>
        </w:tc>
      </w:tr>
      <w:tr w:rsidR="00EB3E54" w:rsidRPr="00E2728C" w:rsidTr="008205E1">
        <w:tc>
          <w:tcPr>
            <w:cnfStyle w:val="001000000000" w:firstRow="0" w:lastRow="0" w:firstColumn="1" w:lastColumn="0" w:oddVBand="0" w:evenVBand="0" w:oddHBand="0" w:evenHBand="0" w:firstRowFirstColumn="0" w:firstRowLastColumn="0" w:lastRowFirstColumn="0" w:lastRowLastColumn="0"/>
            <w:tcW w:w="2070" w:type="dxa"/>
          </w:tcPr>
          <w:p w:rsidR="00EB3E54" w:rsidRPr="00E2728C" w:rsidRDefault="00EB3E54" w:rsidP="00E2728C">
            <w:pPr>
              <w:keepLines/>
              <w:widowControl w:val="0"/>
              <w:tabs>
                <w:tab w:val="left" w:pos="1134"/>
                <w:tab w:val="left" w:pos="2268"/>
              </w:tabs>
              <w:autoSpaceDE w:val="0"/>
              <w:autoSpaceDN w:val="0"/>
              <w:spacing w:after="60"/>
              <w:jc w:val="center"/>
              <w:rPr>
                <w:rFonts w:ascii="Constantia" w:hAnsi="Constantia"/>
                <w:szCs w:val="22"/>
              </w:rPr>
            </w:pPr>
            <w:r w:rsidRPr="00E2728C">
              <w:rPr>
                <w:rFonts w:ascii="Constantia" w:hAnsi="Constantia"/>
                <w:szCs w:val="22"/>
              </w:rPr>
              <w:t>II Ciklus</w:t>
            </w:r>
          </w:p>
        </w:tc>
        <w:tc>
          <w:tcPr>
            <w:tcW w:w="1710" w:type="dxa"/>
          </w:tcPr>
          <w:p w:rsidR="00EB3E54" w:rsidRPr="00E2728C" w:rsidRDefault="00EB3E54" w:rsidP="00E2728C">
            <w:pPr>
              <w:keepLines/>
              <w:widowControl w:val="0"/>
              <w:tabs>
                <w:tab w:val="left" w:pos="1134"/>
                <w:tab w:val="left" w:pos="2268"/>
              </w:tabs>
              <w:autoSpaceDE w:val="0"/>
              <w:autoSpaceDN w:val="0"/>
              <w:spacing w:after="60"/>
              <w:jc w:val="center"/>
              <w:cnfStyle w:val="000000000000" w:firstRow="0" w:lastRow="0" w:firstColumn="0" w:lastColumn="0" w:oddVBand="0" w:evenVBand="0" w:oddHBand="0" w:evenHBand="0" w:firstRowFirstColumn="0" w:firstRowLastColumn="0" w:lastRowFirstColumn="0" w:lastRowLastColumn="0"/>
              <w:rPr>
                <w:rFonts w:ascii="Constantia" w:hAnsi="Constantia"/>
                <w:b/>
                <w:szCs w:val="22"/>
              </w:rPr>
            </w:pPr>
            <w:r w:rsidRPr="00E2728C">
              <w:rPr>
                <w:rFonts w:ascii="Constantia" w:hAnsi="Constantia"/>
                <w:b/>
                <w:szCs w:val="22"/>
              </w:rPr>
              <w:t>58</w:t>
            </w:r>
          </w:p>
        </w:tc>
        <w:tc>
          <w:tcPr>
            <w:tcW w:w="1710" w:type="dxa"/>
          </w:tcPr>
          <w:p w:rsidR="00EB3E54" w:rsidRPr="00E2728C" w:rsidRDefault="00EB3E54" w:rsidP="00E2728C">
            <w:pPr>
              <w:keepLines/>
              <w:widowControl w:val="0"/>
              <w:tabs>
                <w:tab w:val="left" w:pos="1134"/>
                <w:tab w:val="left" w:pos="2268"/>
              </w:tabs>
              <w:autoSpaceDE w:val="0"/>
              <w:autoSpaceDN w:val="0"/>
              <w:spacing w:after="60"/>
              <w:jc w:val="center"/>
              <w:cnfStyle w:val="000000000000" w:firstRow="0" w:lastRow="0" w:firstColumn="0" w:lastColumn="0" w:oddVBand="0" w:evenVBand="0" w:oddHBand="0" w:evenHBand="0" w:firstRowFirstColumn="0" w:firstRowLastColumn="0" w:lastRowFirstColumn="0" w:lastRowLastColumn="0"/>
              <w:rPr>
                <w:rFonts w:ascii="Constantia" w:hAnsi="Constantia"/>
                <w:b/>
                <w:szCs w:val="22"/>
              </w:rPr>
            </w:pPr>
            <w:r w:rsidRPr="00E2728C">
              <w:rPr>
                <w:rFonts w:ascii="Constantia" w:hAnsi="Constantia"/>
                <w:b/>
                <w:szCs w:val="22"/>
              </w:rPr>
              <w:t>56</w:t>
            </w:r>
          </w:p>
        </w:tc>
        <w:tc>
          <w:tcPr>
            <w:tcW w:w="1710" w:type="dxa"/>
          </w:tcPr>
          <w:p w:rsidR="00EB3E54" w:rsidRPr="00E2728C" w:rsidRDefault="00EB3E54" w:rsidP="00E2728C">
            <w:pPr>
              <w:keepLines/>
              <w:widowControl w:val="0"/>
              <w:tabs>
                <w:tab w:val="left" w:pos="1134"/>
                <w:tab w:val="left" w:pos="2268"/>
              </w:tabs>
              <w:autoSpaceDE w:val="0"/>
              <w:autoSpaceDN w:val="0"/>
              <w:spacing w:after="60"/>
              <w:jc w:val="center"/>
              <w:cnfStyle w:val="000000000000" w:firstRow="0" w:lastRow="0" w:firstColumn="0" w:lastColumn="0" w:oddVBand="0" w:evenVBand="0" w:oddHBand="0" w:evenHBand="0" w:firstRowFirstColumn="0" w:firstRowLastColumn="0" w:lastRowFirstColumn="0" w:lastRowLastColumn="0"/>
              <w:rPr>
                <w:rFonts w:ascii="Constantia" w:hAnsi="Constantia"/>
                <w:b/>
                <w:szCs w:val="22"/>
              </w:rPr>
            </w:pPr>
            <w:r w:rsidRPr="00E2728C">
              <w:rPr>
                <w:rFonts w:ascii="Constantia" w:hAnsi="Constantia"/>
                <w:b/>
                <w:szCs w:val="22"/>
              </w:rPr>
              <w:t>48</w:t>
            </w:r>
          </w:p>
        </w:tc>
        <w:tc>
          <w:tcPr>
            <w:tcW w:w="1710" w:type="dxa"/>
          </w:tcPr>
          <w:p w:rsidR="00EB3E54" w:rsidRPr="00E2728C" w:rsidRDefault="00EB3E54" w:rsidP="00E2728C">
            <w:pPr>
              <w:keepLines/>
              <w:widowControl w:val="0"/>
              <w:tabs>
                <w:tab w:val="left" w:pos="1134"/>
                <w:tab w:val="left" w:pos="2268"/>
              </w:tabs>
              <w:autoSpaceDE w:val="0"/>
              <w:autoSpaceDN w:val="0"/>
              <w:spacing w:after="60"/>
              <w:jc w:val="center"/>
              <w:cnfStyle w:val="000000000000" w:firstRow="0" w:lastRow="0" w:firstColumn="0" w:lastColumn="0" w:oddVBand="0" w:evenVBand="0" w:oddHBand="0" w:evenHBand="0" w:firstRowFirstColumn="0" w:firstRowLastColumn="0" w:lastRowFirstColumn="0" w:lastRowLastColumn="0"/>
              <w:rPr>
                <w:rFonts w:ascii="Constantia" w:hAnsi="Constantia"/>
                <w:b/>
                <w:szCs w:val="22"/>
              </w:rPr>
            </w:pPr>
            <w:r w:rsidRPr="00E2728C">
              <w:rPr>
                <w:rFonts w:ascii="Constantia" w:hAnsi="Constantia"/>
                <w:b/>
                <w:szCs w:val="22"/>
              </w:rPr>
              <w:t>59</w:t>
            </w:r>
          </w:p>
        </w:tc>
      </w:tr>
      <w:tr w:rsidR="00EB3E54" w:rsidRPr="00E2728C" w:rsidTr="008205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tcPr>
          <w:p w:rsidR="00EB3E54" w:rsidRPr="00E2728C" w:rsidRDefault="00EB3E54" w:rsidP="00E2728C">
            <w:pPr>
              <w:keepLines/>
              <w:widowControl w:val="0"/>
              <w:tabs>
                <w:tab w:val="left" w:pos="1134"/>
                <w:tab w:val="left" w:pos="2268"/>
              </w:tabs>
              <w:autoSpaceDE w:val="0"/>
              <w:autoSpaceDN w:val="0"/>
              <w:spacing w:after="60"/>
              <w:jc w:val="center"/>
              <w:rPr>
                <w:rFonts w:ascii="Constantia" w:hAnsi="Constantia"/>
                <w:szCs w:val="22"/>
              </w:rPr>
            </w:pPr>
            <w:r w:rsidRPr="00E2728C">
              <w:rPr>
                <w:rFonts w:ascii="Constantia" w:hAnsi="Constantia"/>
                <w:szCs w:val="22"/>
              </w:rPr>
              <w:t>Granična vrijednost</w:t>
            </w:r>
          </w:p>
        </w:tc>
        <w:tc>
          <w:tcPr>
            <w:tcW w:w="1710" w:type="dxa"/>
          </w:tcPr>
          <w:p w:rsidR="00EB3E54" w:rsidRPr="00E2728C" w:rsidRDefault="00EB3E54" w:rsidP="00E2728C">
            <w:pPr>
              <w:keepLines/>
              <w:widowControl w:val="0"/>
              <w:tabs>
                <w:tab w:val="left" w:pos="1134"/>
                <w:tab w:val="left" w:pos="2268"/>
              </w:tabs>
              <w:autoSpaceDE w:val="0"/>
              <w:autoSpaceDN w:val="0"/>
              <w:spacing w:after="6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E2728C">
              <w:rPr>
                <w:rFonts w:ascii="Constantia" w:hAnsi="Constantia"/>
                <w:b/>
                <w:szCs w:val="22"/>
              </w:rPr>
              <w:t>60</w:t>
            </w:r>
          </w:p>
        </w:tc>
        <w:tc>
          <w:tcPr>
            <w:tcW w:w="1710" w:type="dxa"/>
          </w:tcPr>
          <w:p w:rsidR="00EB3E54" w:rsidRPr="00E2728C" w:rsidRDefault="00EB3E54" w:rsidP="00E2728C">
            <w:pPr>
              <w:keepLines/>
              <w:widowControl w:val="0"/>
              <w:tabs>
                <w:tab w:val="left" w:pos="1134"/>
                <w:tab w:val="left" w:pos="2268"/>
              </w:tabs>
              <w:autoSpaceDE w:val="0"/>
              <w:autoSpaceDN w:val="0"/>
              <w:spacing w:after="6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E2728C">
              <w:rPr>
                <w:rFonts w:ascii="Constantia" w:hAnsi="Constantia"/>
                <w:b/>
                <w:szCs w:val="22"/>
              </w:rPr>
              <w:t>60</w:t>
            </w:r>
          </w:p>
        </w:tc>
        <w:tc>
          <w:tcPr>
            <w:tcW w:w="1710" w:type="dxa"/>
          </w:tcPr>
          <w:p w:rsidR="00EB3E54" w:rsidRPr="00E2728C" w:rsidRDefault="00EB3E54" w:rsidP="00E2728C">
            <w:pPr>
              <w:keepLines/>
              <w:widowControl w:val="0"/>
              <w:tabs>
                <w:tab w:val="left" w:pos="1134"/>
                <w:tab w:val="left" w:pos="2268"/>
              </w:tabs>
              <w:autoSpaceDE w:val="0"/>
              <w:autoSpaceDN w:val="0"/>
              <w:spacing w:after="6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E2728C">
              <w:rPr>
                <w:rFonts w:ascii="Constantia" w:hAnsi="Constantia"/>
                <w:b/>
                <w:szCs w:val="22"/>
              </w:rPr>
              <w:t>50</w:t>
            </w:r>
          </w:p>
        </w:tc>
        <w:tc>
          <w:tcPr>
            <w:tcW w:w="1710" w:type="dxa"/>
          </w:tcPr>
          <w:p w:rsidR="00EB3E54" w:rsidRPr="00E2728C" w:rsidRDefault="00EB3E54" w:rsidP="00E2728C">
            <w:pPr>
              <w:keepLines/>
              <w:widowControl w:val="0"/>
              <w:tabs>
                <w:tab w:val="left" w:pos="1134"/>
                <w:tab w:val="left" w:pos="2268"/>
              </w:tabs>
              <w:autoSpaceDE w:val="0"/>
              <w:autoSpaceDN w:val="0"/>
              <w:spacing w:after="60"/>
              <w:jc w:val="center"/>
              <w:cnfStyle w:val="000000100000" w:firstRow="0" w:lastRow="0" w:firstColumn="0" w:lastColumn="0" w:oddVBand="0" w:evenVBand="0" w:oddHBand="1" w:evenHBand="0" w:firstRowFirstColumn="0" w:firstRowLastColumn="0" w:lastRowFirstColumn="0" w:lastRowLastColumn="0"/>
              <w:rPr>
                <w:rFonts w:ascii="Constantia" w:hAnsi="Constantia"/>
                <w:b/>
                <w:szCs w:val="22"/>
              </w:rPr>
            </w:pPr>
            <w:r w:rsidRPr="00E2728C">
              <w:rPr>
                <w:rFonts w:ascii="Constantia" w:hAnsi="Constantia"/>
                <w:b/>
                <w:szCs w:val="22"/>
              </w:rPr>
              <w:t>---</w:t>
            </w:r>
          </w:p>
        </w:tc>
      </w:tr>
    </w:tbl>
    <w:p w:rsidR="00EB3E54" w:rsidRPr="00E2728C" w:rsidRDefault="00EB3E54" w:rsidP="00EB3E54">
      <w:pPr>
        <w:numPr>
          <w:ilvl w:val="0"/>
          <w:numId w:val="3"/>
        </w:numPr>
        <w:spacing w:before="60" w:after="240"/>
        <w:ind w:left="1440" w:firstLine="0"/>
        <w:jc w:val="center"/>
        <w:rPr>
          <w:rFonts w:ascii="Constantia" w:hAnsi="Constantia"/>
          <w:i/>
          <w:szCs w:val="22"/>
          <w:lang w:val="sr-Latn-CS"/>
        </w:rPr>
      </w:pPr>
      <w:r w:rsidRPr="00E2728C">
        <w:rPr>
          <w:rFonts w:ascii="Constantia" w:hAnsi="Constantia"/>
          <w:i/>
          <w:szCs w:val="22"/>
          <w:lang w:val="sr-Latn-CS"/>
        </w:rPr>
        <w:t>Srednji indikatori buke na mjernom mjestu u Beranama</w:t>
      </w:r>
    </w:p>
    <w:p w:rsidR="00EB3E54" w:rsidRPr="00E2728C" w:rsidRDefault="00EB3E54" w:rsidP="00EB3E54">
      <w:pPr>
        <w:rPr>
          <w:rFonts w:ascii="Constantia" w:hAnsi="Constantia"/>
          <w:szCs w:val="22"/>
        </w:rPr>
      </w:pPr>
      <w:r w:rsidRPr="00E2728C">
        <w:rPr>
          <w:rFonts w:ascii="Constantia" w:hAnsi="Constantia"/>
          <w:szCs w:val="22"/>
        </w:rPr>
        <w:t>Vrijednosti indikatora buke se podudaraju u oba ciklusa dok je indikator buke za noć veći u prvom ciklusu mjerenja (kraj septembra) nego u drugom ciklusu mjerenja (kraj novembra).</w:t>
      </w:r>
    </w:p>
    <w:p w:rsidR="00EB3E54" w:rsidRPr="00E2728C" w:rsidRDefault="00EB3E54" w:rsidP="00EB3E54">
      <w:pPr>
        <w:rPr>
          <w:rFonts w:ascii="Constantia" w:hAnsi="Constantia"/>
          <w:szCs w:val="22"/>
        </w:rPr>
      </w:pPr>
      <w:r w:rsidRPr="00E2728C">
        <w:rPr>
          <w:rFonts w:ascii="Constantia" w:hAnsi="Constantia"/>
          <w:szCs w:val="22"/>
        </w:rPr>
        <w:t>U prvom ciklusu su vrijednosti indikatora buke za dan i veče ispod graničnih vrijednosti nivoa buke, dok vrijednost indikatora buke za noć prelazi granični nivo buke.</w:t>
      </w:r>
    </w:p>
    <w:p w:rsidR="00EB3E54" w:rsidRPr="00E2728C" w:rsidRDefault="00EB3E54" w:rsidP="00EB3E54">
      <w:pPr>
        <w:rPr>
          <w:rFonts w:ascii="Constantia" w:hAnsi="Constantia"/>
          <w:szCs w:val="22"/>
        </w:rPr>
      </w:pPr>
      <w:r w:rsidRPr="00E2728C">
        <w:rPr>
          <w:rFonts w:ascii="Constantia" w:hAnsi="Constantia"/>
          <w:szCs w:val="22"/>
        </w:rPr>
        <w:t>U drugom ciklusu su vrijednosti indikatora buke za dan, veče i noć ispod graničnih vrijednosti nivoa buke.</w:t>
      </w:r>
    </w:p>
    <w:p w:rsidR="00EB3E54" w:rsidRPr="00E2728C" w:rsidRDefault="00EB3E54" w:rsidP="00EB3E54">
      <w:pPr>
        <w:rPr>
          <w:rFonts w:ascii="Constantia" w:hAnsi="Constantia"/>
          <w:szCs w:val="22"/>
        </w:rPr>
      </w:pPr>
      <w:r w:rsidRPr="00E2728C">
        <w:rPr>
          <w:rFonts w:ascii="Constantia" w:hAnsi="Constantia"/>
          <w:szCs w:val="22"/>
        </w:rPr>
        <w:t>Na osno</w:t>
      </w:r>
      <w:r w:rsidR="000734D3">
        <w:rPr>
          <w:rFonts w:ascii="Constantia" w:hAnsi="Constantia"/>
          <w:szCs w:val="22"/>
        </w:rPr>
        <w:t>vu Odluke o utvrđivanju akustičkih zona na teritoriji o</w:t>
      </w:r>
      <w:r w:rsidRPr="00E2728C">
        <w:rPr>
          <w:rFonts w:ascii="Constantia" w:hAnsi="Constantia"/>
          <w:szCs w:val="22"/>
        </w:rPr>
        <w:t>pštine Berane</w:t>
      </w:r>
      <w:r w:rsidR="000734D3">
        <w:rPr>
          <w:rFonts w:ascii="Constantia" w:hAnsi="Constantia"/>
          <w:szCs w:val="22"/>
        </w:rPr>
        <w:t>,</w:t>
      </w:r>
      <w:r w:rsidRPr="00E2728C">
        <w:rPr>
          <w:rFonts w:ascii="Constantia" w:hAnsi="Constantia"/>
          <w:szCs w:val="22"/>
        </w:rPr>
        <w:t xml:space="preserve"> posmatrano mjerno mjesto pripada zoni mješovite namjene.</w:t>
      </w:r>
    </w:p>
    <w:p w:rsidR="00EB3E54" w:rsidRPr="00EB3E54" w:rsidRDefault="00EB3E54" w:rsidP="00077AA6">
      <w:pPr>
        <w:pStyle w:val="Heading2"/>
        <w:ind w:left="720"/>
      </w:pPr>
      <w:bookmarkStart w:id="177" w:name="_Toc393897948"/>
      <w:r w:rsidRPr="00EB3E54">
        <w:t>Zaključak</w:t>
      </w:r>
      <w:bookmarkEnd w:id="172"/>
      <w:bookmarkEnd w:id="177"/>
      <w:r w:rsidRPr="00EB3E54">
        <w:t xml:space="preserve"> </w:t>
      </w:r>
    </w:p>
    <w:p w:rsidR="00EB3E54" w:rsidRPr="00D03712" w:rsidRDefault="00EB3E54" w:rsidP="00EB3E54">
      <w:pPr>
        <w:rPr>
          <w:rFonts w:ascii="Constantia" w:hAnsi="Constantia"/>
        </w:rPr>
      </w:pPr>
      <w:r w:rsidRPr="00D03712">
        <w:rPr>
          <w:rFonts w:ascii="Constantia" w:hAnsi="Constantia"/>
        </w:rPr>
        <w:t>U realizaciji Programa monitoringa buke u Crnoj Gori za 2013. godinu, izvršeno je ispitivanje komunalne buke na 12 mjernih pozicija u gradskim sredinama:</w:t>
      </w:r>
    </w:p>
    <w:p w:rsidR="00EB3E54" w:rsidRPr="00D03712" w:rsidRDefault="00D03712" w:rsidP="00EB3E54">
      <w:pPr>
        <w:rPr>
          <w:rFonts w:ascii="Constantia" w:hAnsi="Constantia"/>
        </w:rPr>
      </w:pPr>
      <w:r>
        <w:rPr>
          <w:rFonts w:ascii="Constantia" w:hAnsi="Constantia"/>
        </w:rPr>
        <w:t xml:space="preserve">      </w:t>
      </w:r>
      <w:r w:rsidR="00EB3E54" w:rsidRPr="00D03712">
        <w:rPr>
          <w:rFonts w:ascii="Constantia" w:hAnsi="Constantia"/>
        </w:rPr>
        <w:t>•</w:t>
      </w:r>
      <w:r w:rsidR="00EB3E54" w:rsidRPr="00D03712">
        <w:rPr>
          <w:rFonts w:ascii="Constantia" w:hAnsi="Constantia"/>
        </w:rPr>
        <w:tab/>
        <w:t>6 mjernih pozicija pripada zoni mješovite namjene</w:t>
      </w:r>
      <w:r>
        <w:rPr>
          <w:rFonts w:ascii="Constantia" w:hAnsi="Constantia"/>
        </w:rPr>
        <w:t>,</w:t>
      </w:r>
    </w:p>
    <w:p w:rsidR="00D03712" w:rsidRDefault="00D03712" w:rsidP="00D03712">
      <w:pPr>
        <w:spacing w:after="0"/>
        <w:rPr>
          <w:rFonts w:ascii="Constantia" w:hAnsi="Constantia"/>
        </w:rPr>
      </w:pPr>
      <w:r>
        <w:rPr>
          <w:rFonts w:ascii="Constantia" w:hAnsi="Constantia"/>
        </w:rPr>
        <w:t xml:space="preserve">      </w:t>
      </w:r>
      <w:r w:rsidR="00EB3E54" w:rsidRPr="00D03712">
        <w:rPr>
          <w:rFonts w:ascii="Constantia" w:hAnsi="Constantia"/>
        </w:rPr>
        <w:t>•</w:t>
      </w:r>
      <w:r w:rsidR="00EB3E54" w:rsidRPr="00D03712">
        <w:rPr>
          <w:rFonts w:ascii="Constantia" w:hAnsi="Constantia"/>
        </w:rPr>
        <w:tab/>
        <w:t>4 mjerne pozicije pripadaju zoni pod jakim uticajem buke koja potiče od drumskog</w:t>
      </w:r>
    </w:p>
    <w:p w:rsidR="00EB3E54" w:rsidRPr="00D03712" w:rsidRDefault="00D03712" w:rsidP="00EB3E54">
      <w:pPr>
        <w:rPr>
          <w:rFonts w:ascii="Constantia" w:hAnsi="Constantia"/>
        </w:rPr>
      </w:pPr>
      <w:r>
        <w:rPr>
          <w:rFonts w:ascii="Constantia" w:hAnsi="Constantia"/>
        </w:rPr>
        <w:t xml:space="preserve">           </w:t>
      </w:r>
      <w:r w:rsidR="00EB3E54" w:rsidRPr="00D03712">
        <w:rPr>
          <w:rFonts w:ascii="Constantia" w:hAnsi="Constantia"/>
        </w:rPr>
        <w:t xml:space="preserve"> </w:t>
      </w:r>
      <w:r>
        <w:rPr>
          <w:rFonts w:ascii="Constantia" w:hAnsi="Constantia"/>
        </w:rPr>
        <w:t>s</w:t>
      </w:r>
      <w:r w:rsidR="00EB3E54" w:rsidRPr="00D03712">
        <w:rPr>
          <w:rFonts w:ascii="Constantia" w:hAnsi="Constantia"/>
        </w:rPr>
        <w:t>aobraćaja</w:t>
      </w:r>
      <w:r>
        <w:rPr>
          <w:rFonts w:ascii="Constantia" w:hAnsi="Constantia"/>
        </w:rPr>
        <w:t>,</w:t>
      </w:r>
      <w:r w:rsidR="00EB3E54" w:rsidRPr="00D03712">
        <w:rPr>
          <w:rFonts w:ascii="Constantia" w:hAnsi="Constantia"/>
        </w:rPr>
        <w:t xml:space="preserve"> </w:t>
      </w:r>
    </w:p>
    <w:p w:rsidR="00EB3E54" w:rsidRPr="00D03712" w:rsidRDefault="00D03712" w:rsidP="00EB3E54">
      <w:pPr>
        <w:rPr>
          <w:rFonts w:ascii="Constantia" w:hAnsi="Constantia"/>
        </w:rPr>
      </w:pPr>
      <w:r>
        <w:rPr>
          <w:rFonts w:ascii="Constantia" w:hAnsi="Constantia"/>
        </w:rPr>
        <w:t xml:space="preserve">      </w:t>
      </w:r>
      <w:r w:rsidR="00EB3E54" w:rsidRPr="00D03712">
        <w:rPr>
          <w:rFonts w:ascii="Constantia" w:hAnsi="Constantia"/>
        </w:rPr>
        <w:t>•</w:t>
      </w:r>
      <w:r w:rsidR="00EB3E54" w:rsidRPr="00D03712">
        <w:rPr>
          <w:rFonts w:ascii="Constantia" w:hAnsi="Constantia"/>
        </w:rPr>
        <w:tab/>
        <w:t>jedna mjerna pozicija koja pripada zoni povišenog režima zaštite od buke</w:t>
      </w:r>
      <w:r>
        <w:rPr>
          <w:rFonts w:ascii="Constantia" w:hAnsi="Constantia"/>
        </w:rPr>
        <w:t>,</w:t>
      </w:r>
    </w:p>
    <w:p w:rsidR="00EB3E54" w:rsidRPr="00D03712" w:rsidRDefault="00D03712" w:rsidP="00EB3E54">
      <w:pPr>
        <w:rPr>
          <w:rFonts w:ascii="Constantia" w:hAnsi="Constantia"/>
        </w:rPr>
      </w:pPr>
      <w:r>
        <w:rPr>
          <w:rFonts w:ascii="Constantia" w:hAnsi="Constantia"/>
        </w:rPr>
        <w:t xml:space="preserve">      </w:t>
      </w:r>
      <w:r w:rsidR="00EB3E54" w:rsidRPr="00D03712">
        <w:rPr>
          <w:rFonts w:ascii="Constantia" w:hAnsi="Constantia"/>
        </w:rPr>
        <w:t>•</w:t>
      </w:r>
      <w:r w:rsidR="00EB3E54" w:rsidRPr="00D03712">
        <w:rPr>
          <w:rFonts w:ascii="Constantia" w:hAnsi="Constantia"/>
        </w:rPr>
        <w:tab/>
        <w:t xml:space="preserve">jedna mjerna pozicija koja pripada stambenoj zoni. </w:t>
      </w:r>
    </w:p>
    <w:p w:rsidR="00EB3E54" w:rsidRPr="00D03712" w:rsidRDefault="00EB3E54" w:rsidP="00EB3E54">
      <w:pPr>
        <w:rPr>
          <w:rFonts w:ascii="Constantia" w:hAnsi="Constantia"/>
        </w:rPr>
      </w:pPr>
      <w:r w:rsidRPr="00D03712">
        <w:rPr>
          <w:rFonts w:ascii="Constantia" w:hAnsi="Constantia"/>
        </w:rPr>
        <w:t>Ispitivanja su izvršena u dva ciklusa na svim mjernim pozicijama, ukupno 24 višednevna mjerenja. Na svakoj lokaciji su prikazana 3 indikatora buke koji imaju granične vrijednosti (Lday, Levening i Lnight) i Lden za koji nema propisane granične vrijednosti. Ukupno su prikazana 72 indikatora buke.</w:t>
      </w:r>
    </w:p>
    <w:p w:rsidR="00EB3E54" w:rsidRPr="00D03712" w:rsidRDefault="00EB3E54" w:rsidP="00EB3E54">
      <w:pPr>
        <w:rPr>
          <w:rFonts w:ascii="Constantia" w:hAnsi="Constantia"/>
        </w:rPr>
      </w:pPr>
      <w:r w:rsidRPr="00D03712">
        <w:rPr>
          <w:rFonts w:ascii="Constantia" w:hAnsi="Constantia"/>
        </w:rPr>
        <w:t>Analize su pokazale da su gotovo na svim mjernim pozicijama zabilježene veće vrijednosti indikatora buke u I ciklusu, nego u II ciklusu mjerenja. Izračunata su samo dva indikatora buke koji su veći u II nego u I ciklusu i tri indikatora buke koja bilježe iste vrijednosti u oba ciklusa.</w:t>
      </w:r>
    </w:p>
    <w:p w:rsidR="00EB3E54" w:rsidRPr="00D03712" w:rsidRDefault="00EB3E54" w:rsidP="00EB3E54">
      <w:pPr>
        <w:rPr>
          <w:rFonts w:ascii="Constantia" w:hAnsi="Constantia"/>
        </w:rPr>
      </w:pPr>
      <w:r w:rsidRPr="00D03712">
        <w:rPr>
          <w:rFonts w:ascii="Constantia" w:hAnsi="Constantia"/>
        </w:rPr>
        <w:t>Od 72 indikatora buke, njih 29 zadovoljava granične vrijednosti (40%), dok njih 43 ne zadovoljava granične vrijednosti (60%).</w:t>
      </w:r>
    </w:p>
    <w:p w:rsidR="00EB3E54" w:rsidRPr="00D03712" w:rsidRDefault="00EB3E54" w:rsidP="00EB3E54">
      <w:pPr>
        <w:rPr>
          <w:rFonts w:ascii="Constantia" w:hAnsi="Constantia"/>
        </w:rPr>
      </w:pPr>
      <w:r w:rsidRPr="00D03712">
        <w:rPr>
          <w:rFonts w:ascii="Constantia" w:hAnsi="Constantia"/>
        </w:rPr>
        <w:t>Analizom rezultata mjerenja u odnosu na podjelu teritorija opština na akustičke zone, zaključuje se sledeće:</w:t>
      </w:r>
    </w:p>
    <w:p w:rsidR="00EB3E54" w:rsidRPr="00D03712" w:rsidRDefault="00EB3E54" w:rsidP="00EB3E54">
      <w:pPr>
        <w:rPr>
          <w:rFonts w:ascii="Constantia" w:hAnsi="Constantia"/>
        </w:rPr>
      </w:pPr>
      <w:r w:rsidRPr="002F6E4E">
        <w:rPr>
          <w:rFonts w:ascii="Constantia" w:hAnsi="Constantia"/>
          <w:i/>
        </w:rPr>
        <w:lastRenderedPageBreak/>
        <w:t>Mješovita zona</w:t>
      </w:r>
      <w:r w:rsidRPr="00D03712">
        <w:rPr>
          <w:rFonts w:ascii="Constantia" w:hAnsi="Constantia"/>
        </w:rPr>
        <w:t xml:space="preserve"> - Od 6 mjernih pozicija koje pripadaju mješovitoj zoni, 21 indikator buke zadovoljava granične vrijednosti (58%), dok 15 indikatora buke ne zadovoljavaju granične vrijednosti (42%).</w:t>
      </w:r>
    </w:p>
    <w:p w:rsidR="00EB3E54" w:rsidRPr="00D03712" w:rsidRDefault="00EB3E54" w:rsidP="00EB3E54">
      <w:pPr>
        <w:rPr>
          <w:rFonts w:ascii="Constantia" w:hAnsi="Constantia"/>
        </w:rPr>
      </w:pPr>
      <w:r w:rsidRPr="002F6E4E">
        <w:rPr>
          <w:rFonts w:ascii="Constantia" w:hAnsi="Constantia"/>
          <w:i/>
        </w:rPr>
        <w:t>Zona pod jakim uticajem buke koja potiče od drumskog saobraćaja</w:t>
      </w:r>
      <w:r w:rsidRPr="00D03712">
        <w:rPr>
          <w:rFonts w:ascii="Constantia" w:hAnsi="Constantia"/>
        </w:rPr>
        <w:t xml:space="preserve"> - Od 4 mjerne pozicije, 4 indikatora zadovoljavaju granične vrijednosti (17%), dok njih 20 ne zadovoljava granične vrijednosti (83%).</w:t>
      </w:r>
    </w:p>
    <w:p w:rsidR="00EB3E54" w:rsidRPr="00D03712" w:rsidRDefault="00EB3E54" w:rsidP="00EB3E54">
      <w:pPr>
        <w:rPr>
          <w:rFonts w:ascii="Constantia" w:hAnsi="Constantia"/>
        </w:rPr>
      </w:pPr>
      <w:r w:rsidRPr="002F6E4E">
        <w:rPr>
          <w:rFonts w:ascii="Constantia" w:hAnsi="Constantia"/>
          <w:i/>
        </w:rPr>
        <w:t>Stambena zona</w:t>
      </w:r>
      <w:r w:rsidRPr="00D03712">
        <w:rPr>
          <w:rFonts w:ascii="Constantia" w:hAnsi="Constantia"/>
        </w:rPr>
        <w:t xml:space="preserve"> – Kod mjernih pozicija koja pripadaju stambenoj zoni 4 indikatora zadovoljavaju granične vrijednosti, dok 2 indikatora buke ne zadovoljavaju granične vrijednosti.</w:t>
      </w:r>
    </w:p>
    <w:p w:rsidR="00EB3E54" w:rsidRPr="00D03712" w:rsidRDefault="00EB3E54" w:rsidP="00EB3E54">
      <w:pPr>
        <w:rPr>
          <w:rFonts w:ascii="Constantia" w:hAnsi="Constantia"/>
        </w:rPr>
      </w:pPr>
      <w:r w:rsidRPr="002F6E4E">
        <w:rPr>
          <w:rFonts w:ascii="Constantia" w:hAnsi="Constantia"/>
          <w:i/>
        </w:rPr>
        <w:t>Zona povišenog režima zaštite od buke</w:t>
      </w:r>
      <w:r w:rsidR="0051787D">
        <w:rPr>
          <w:rFonts w:ascii="Constantia" w:hAnsi="Constantia"/>
        </w:rPr>
        <w:t xml:space="preserve"> - S</w:t>
      </w:r>
      <w:r w:rsidRPr="00D03712">
        <w:rPr>
          <w:rFonts w:ascii="Constantia" w:hAnsi="Constantia"/>
        </w:rPr>
        <w:t>vih 6 indikatora buke ne zadovoljavaju granične vrijednosti.</w:t>
      </w:r>
    </w:p>
    <w:p w:rsidR="009A662C" w:rsidRDefault="009A662C" w:rsidP="00EB3E54"/>
    <w:p w:rsidR="009A662C" w:rsidRDefault="009A662C" w:rsidP="00EB3E54"/>
    <w:p w:rsidR="009A662C" w:rsidRPr="005E4028" w:rsidRDefault="009A662C" w:rsidP="009A662C">
      <w:pPr>
        <w:pStyle w:val="Grafikon"/>
        <w:numPr>
          <w:ilvl w:val="0"/>
          <w:numId w:val="0"/>
        </w:numPr>
        <w:spacing w:line="276" w:lineRule="auto"/>
        <w:rPr>
          <w:rFonts w:ascii="Constantia" w:eastAsia="Calibri" w:hAnsi="Constantia"/>
          <w:i w:val="0"/>
          <w:sz w:val="22"/>
          <w:szCs w:val="22"/>
        </w:rPr>
      </w:pPr>
      <w:r>
        <w:rPr>
          <w:rFonts w:ascii="Constantia" w:eastAsia="Calibri" w:hAnsi="Constantia"/>
          <w:i w:val="0"/>
          <w:sz w:val="22"/>
          <w:szCs w:val="22"/>
        </w:rPr>
        <w:t>*</w:t>
      </w:r>
      <w:r>
        <w:rPr>
          <w:rFonts w:ascii="Constantia" w:eastAsia="Calibri" w:hAnsi="Constantia"/>
          <w:i w:val="0"/>
          <w:sz w:val="22"/>
          <w:szCs w:val="22"/>
        </w:rPr>
        <w:tab/>
        <w:t>*           *</w:t>
      </w:r>
    </w:p>
    <w:p w:rsidR="00B65A71" w:rsidRDefault="00F06A67" w:rsidP="00B65A71">
      <w:pPr>
        <w:pStyle w:val="Heading1"/>
        <w:shd w:val="clear" w:color="auto" w:fill="C2E59E" w:themeFill="accent5" w:themeFillTint="99"/>
        <w:tabs>
          <w:tab w:val="clear" w:pos="630"/>
          <w:tab w:val="left" w:pos="851"/>
        </w:tabs>
        <w:spacing w:before="0"/>
        <w:ind w:left="567" w:hanging="567"/>
        <w:rPr>
          <w:szCs w:val="28"/>
        </w:rPr>
      </w:pPr>
      <w:bookmarkStart w:id="178" w:name="_Toc393897949"/>
      <w:r>
        <w:rPr>
          <w:szCs w:val="28"/>
        </w:rPr>
        <w:lastRenderedPageBreak/>
        <w:t>MONITORING RADIOAKTIVNOSTI U ŽIVOTNOJ SREDINI</w:t>
      </w:r>
      <w:bookmarkEnd w:id="178"/>
    </w:p>
    <w:p w:rsidR="00B65A71" w:rsidRPr="00F06A67" w:rsidRDefault="00B65A71" w:rsidP="00B65A71">
      <w:pPr>
        <w:pStyle w:val="Heading2"/>
        <w:ind w:left="851" w:hanging="851"/>
      </w:pPr>
      <w:bookmarkStart w:id="179" w:name="_Toc290541596"/>
      <w:bookmarkStart w:id="180" w:name="_Toc319930907"/>
      <w:bookmarkStart w:id="181" w:name="_Toc319931718"/>
      <w:bookmarkStart w:id="182" w:name="_Toc320796890"/>
      <w:bookmarkStart w:id="183" w:name="_Toc321316117"/>
      <w:bookmarkStart w:id="184" w:name="_Toc352657387"/>
      <w:bookmarkStart w:id="185" w:name="_Toc352759503"/>
      <w:bookmarkStart w:id="186" w:name="_Toc352759604"/>
      <w:bookmarkStart w:id="187" w:name="_Toc352760042"/>
      <w:bookmarkStart w:id="188" w:name="_Toc352760151"/>
      <w:bookmarkStart w:id="189" w:name="_Toc384895577"/>
      <w:bookmarkStart w:id="190" w:name="_Toc393897950"/>
      <w:r w:rsidRPr="00F06A67">
        <w:t>Uvod</w:t>
      </w:r>
      <w:bookmarkEnd w:id="179"/>
      <w:bookmarkEnd w:id="180"/>
      <w:bookmarkEnd w:id="181"/>
      <w:bookmarkEnd w:id="182"/>
      <w:bookmarkEnd w:id="183"/>
      <w:bookmarkEnd w:id="184"/>
      <w:bookmarkEnd w:id="185"/>
      <w:bookmarkEnd w:id="186"/>
      <w:bookmarkEnd w:id="187"/>
      <w:bookmarkEnd w:id="188"/>
      <w:bookmarkEnd w:id="189"/>
      <w:bookmarkEnd w:id="190"/>
    </w:p>
    <w:p w:rsidR="00B65A71" w:rsidRPr="00E31B54" w:rsidRDefault="00B65A71" w:rsidP="00B65A71">
      <w:pPr>
        <w:spacing w:before="60"/>
        <w:rPr>
          <w:rFonts w:ascii="Constantia" w:hAnsi="Constantia"/>
          <w:szCs w:val="22"/>
          <w:lang w:val="sr-Latn-CS"/>
        </w:rPr>
      </w:pPr>
      <w:r w:rsidRPr="00E31B54">
        <w:rPr>
          <w:rFonts w:ascii="Constantia" w:hAnsi="Constantia"/>
          <w:szCs w:val="22"/>
          <w:lang w:val="sr-Latn-CS"/>
        </w:rPr>
        <w:t xml:space="preserve">Osnovni zadatak ovog Izvještaja, koji predstavlja centralni dokument u oblasti zaštite životne sredine od uticaja jonizujućih zračenja, je da prikaže stanje i promjene životne sredine u Crnoj Gori sa stanovišta sadržaja radionuklida u svim segmentima životne sredine. </w:t>
      </w:r>
    </w:p>
    <w:p w:rsidR="00B65A71" w:rsidRPr="00E31B54" w:rsidRDefault="004D5745" w:rsidP="00B65A71">
      <w:pPr>
        <w:spacing w:before="60"/>
        <w:rPr>
          <w:rFonts w:ascii="Constantia" w:hAnsi="Constantia"/>
          <w:szCs w:val="22"/>
          <w:lang w:val="sr-Latn-CS"/>
        </w:rPr>
      </w:pPr>
      <w:r>
        <w:rPr>
          <w:rFonts w:ascii="Constantia" w:hAnsi="Constantia"/>
          <w:szCs w:val="22"/>
          <w:lang w:val="sr-Latn-CS"/>
        </w:rPr>
        <w:t>Prilikom izrade informacije, v</w:t>
      </w:r>
      <w:r w:rsidR="00B65A71" w:rsidRPr="00E31B54">
        <w:rPr>
          <w:rFonts w:ascii="Constantia" w:hAnsi="Constantia"/>
          <w:szCs w:val="22"/>
          <w:lang w:val="sr-Latn-CS"/>
        </w:rPr>
        <w:t>odilo se računa o granicama radioaktivne kontaminacije vazduha, vode za piće i ljudske hrane, koje su određene granicama godišnjeg unošenja radionuklida u ljudski organizam (GGU) i izvedenim koncentracijama radionuklida u životnoj sredini (IK).</w:t>
      </w:r>
    </w:p>
    <w:p w:rsidR="00B65A71" w:rsidRPr="00E31B54" w:rsidRDefault="00B65A71" w:rsidP="00B65A71">
      <w:pPr>
        <w:spacing w:before="60"/>
        <w:rPr>
          <w:rFonts w:ascii="Constantia" w:hAnsi="Constantia"/>
          <w:szCs w:val="22"/>
          <w:lang w:val="sr-Latn-CS"/>
        </w:rPr>
      </w:pPr>
      <w:r w:rsidRPr="00E31B54">
        <w:rPr>
          <w:rFonts w:ascii="Constantia" w:hAnsi="Constantia"/>
          <w:szCs w:val="22"/>
          <w:lang w:val="sr-Latn-CS"/>
        </w:rPr>
        <w:t>Izvedene koncentracije radionuklida u životnoj sredini su granične vrijednosti kontaminacije životne sredine koje su na osnovu standardizovanih metoda izvedene iz primarnih ili sekundarnih granica i čijom se upotrebom obezbjeđuje da propisane granice ne budu prekoračene.</w:t>
      </w:r>
    </w:p>
    <w:p w:rsidR="00B65A71" w:rsidRPr="00E31B54" w:rsidRDefault="00B65A71" w:rsidP="00B65A71">
      <w:pPr>
        <w:rPr>
          <w:rFonts w:ascii="Constantia" w:hAnsi="Constantia"/>
          <w:szCs w:val="22"/>
          <w:lang w:val="sr-Latn-CS"/>
        </w:rPr>
      </w:pPr>
      <w:r w:rsidRPr="00E31B54">
        <w:rPr>
          <w:rFonts w:ascii="Constantia" w:hAnsi="Constantia"/>
          <w:szCs w:val="22"/>
          <w:lang w:val="sr-Latn-CS"/>
        </w:rPr>
        <w:t>Program sistematskog ispitivanja r</w:t>
      </w:r>
      <w:r w:rsidR="004D5745">
        <w:rPr>
          <w:rFonts w:ascii="Constantia" w:hAnsi="Constantia"/>
          <w:szCs w:val="22"/>
          <w:lang w:val="sr-Latn-CS"/>
        </w:rPr>
        <w:t>adioaktivnosti</w:t>
      </w:r>
      <w:r w:rsidRPr="00E31B54">
        <w:rPr>
          <w:rFonts w:ascii="Constantia" w:hAnsi="Constantia"/>
          <w:szCs w:val="22"/>
          <w:lang w:val="sr-Latn-CS"/>
        </w:rPr>
        <w:t xml:space="preserve"> u životnoj sredini definisala je Agencija za zaštitu životne sredine Crne Gore, </w:t>
      </w:r>
      <w:r w:rsidR="00C01894">
        <w:rPr>
          <w:rFonts w:ascii="Constantia" w:hAnsi="Constantia"/>
          <w:szCs w:val="22"/>
          <w:lang w:val="sr-Latn-CS"/>
        </w:rPr>
        <w:t xml:space="preserve">a </w:t>
      </w:r>
      <w:r w:rsidRPr="00E31B54">
        <w:rPr>
          <w:rFonts w:ascii="Constantia" w:hAnsi="Constantia"/>
          <w:szCs w:val="22"/>
          <w:lang w:val="sr-Latn-CS"/>
        </w:rPr>
        <w:t>realizovalo ga je D.O.O „Centar za ekotok</w:t>
      </w:r>
      <w:r w:rsidR="000E388C">
        <w:rPr>
          <w:rFonts w:ascii="Constantia" w:hAnsi="Constantia"/>
          <w:szCs w:val="22"/>
          <w:lang w:val="sr-Latn-CS"/>
        </w:rPr>
        <w:t>sikološka ispitivanja“- Podgorica</w:t>
      </w:r>
      <w:r w:rsidRPr="00E31B54">
        <w:rPr>
          <w:rFonts w:ascii="Constantia" w:hAnsi="Constantia"/>
          <w:szCs w:val="22"/>
          <w:lang w:val="sr-Latn-CS"/>
        </w:rPr>
        <w:t>.</w:t>
      </w:r>
    </w:p>
    <w:p w:rsidR="00B65A71" w:rsidRPr="00E31B54" w:rsidRDefault="00B65A71" w:rsidP="00B65A71">
      <w:pPr>
        <w:rPr>
          <w:rFonts w:ascii="Constantia" w:hAnsi="Constantia"/>
          <w:szCs w:val="22"/>
          <w:lang w:val="sr-Latn-CS"/>
        </w:rPr>
      </w:pPr>
      <w:r w:rsidRPr="00E31B54">
        <w:rPr>
          <w:rFonts w:ascii="Constantia" w:hAnsi="Constantia"/>
          <w:szCs w:val="22"/>
          <w:lang w:val="sr-Latn-CS"/>
        </w:rPr>
        <w:t>Monitoring  radioaktivnosti  životne sredine u Crnoj Gori obuhvata: ispitivanje jačine apsorbovane doze γ zračenja u vazduhu, sadržaja radionuklida u vazduhu, čvrstim i tečnim padavinama, rijekama, jezerima, moru, zemljištu, građevinskom materijalu, vodi za piće,  životnim namirnicama i stočnoj hrani, ispitivanje nivoa izlaganja jonizujućem zračenju u  boravišnim prostorijama i radnoj sredini.</w:t>
      </w:r>
    </w:p>
    <w:p w:rsidR="00B65A71" w:rsidRPr="00E31B54" w:rsidRDefault="00B65A71" w:rsidP="00B65A71">
      <w:pPr>
        <w:rPr>
          <w:rFonts w:ascii="Constantia" w:hAnsi="Constantia"/>
          <w:szCs w:val="22"/>
          <w:lang w:val="sr-Latn-CS"/>
        </w:rPr>
      </w:pPr>
    </w:p>
    <w:p w:rsidR="00B65A71" w:rsidRPr="00E31B54" w:rsidRDefault="00B65A71" w:rsidP="00B65A71">
      <w:pPr>
        <w:rPr>
          <w:rFonts w:ascii="Constantia" w:hAnsi="Constantia"/>
          <w:szCs w:val="22"/>
          <w:lang w:val="sr-Latn-CS"/>
        </w:rPr>
      </w:pPr>
      <w:r w:rsidRPr="00E31B54">
        <w:rPr>
          <w:rFonts w:ascii="Constantia" w:hAnsi="Constantia"/>
          <w:szCs w:val="22"/>
          <w:lang w:val="sr-Latn-CS"/>
        </w:rPr>
        <w:t>Zakonski okvir:</w:t>
      </w:r>
    </w:p>
    <w:p w:rsidR="00B65A71" w:rsidRPr="00E31B54" w:rsidRDefault="00B65A71" w:rsidP="00B65A71">
      <w:pPr>
        <w:spacing w:before="60"/>
        <w:rPr>
          <w:rFonts w:ascii="Constantia" w:hAnsi="Constantia"/>
          <w:szCs w:val="22"/>
          <w:lang w:val="sr-Latn-CS"/>
        </w:rPr>
      </w:pPr>
      <w:r w:rsidRPr="00E31B54">
        <w:rPr>
          <w:rFonts w:ascii="Constantia" w:hAnsi="Constantia"/>
          <w:szCs w:val="22"/>
          <w:lang w:val="sr-Latn-CS"/>
        </w:rPr>
        <w:t>Program sistematskog ispitivanja sadržaja radionuklida u životnoj sredini, koji se u Crnoj Gori sprovodi od 1998. godine,  urađen je u skladu sa Zakonom o životnoj sredini (“Sl. list RCG”, br. 48/08), Zakonom o zaštiti od jonizujućeg zračenja i radijacionoj sigurnosti (“Sl. list CG”,br 56/09, 58/09), Odlukom o sistematskom ispitivanju sadržaja radionuklida u životnoj sredini ("Sl. list SRJ", br. 45/97)</w:t>
      </w:r>
      <w:r w:rsidRPr="00E31B54">
        <w:rPr>
          <w:rFonts w:ascii="Constantia" w:hAnsi="Constantia"/>
          <w:szCs w:val="22"/>
          <w:lang w:val="sr-Latn-CS"/>
        </w:rPr>
        <w:fldChar w:fldCharType="begin"/>
      </w:r>
      <w:r w:rsidRPr="00E31B54">
        <w:rPr>
          <w:rFonts w:ascii="Constantia" w:hAnsi="Constantia"/>
          <w:szCs w:val="22"/>
          <w:lang w:val="sr-Latn-CS"/>
        </w:rPr>
        <w:instrText xml:space="preserve"> XE "Aneks 91 - Odluka o sistematskom ispitivanju sadržaja radionuklida u životnoj sredini" </w:instrText>
      </w:r>
      <w:r w:rsidRPr="00E31B54">
        <w:rPr>
          <w:rFonts w:ascii="Constantia" w:hAnsi="Constantia"/>
          <w:szCs w:val="22"/>
          <w:lang w:val="sr-Latn-CS"/>
        </w:rPr>
        <w:fldChar w:fldCharType="end"/>
      </w:r>
      <w:r w:rsidRPr="00E31B54">
        <w:rPr>
          <w:rFonts w:ascii="Constantia" w:hAnsi="Constantia"/>
          <w:szCs w:val="22"/>
          <w:lang w:val="sr-Latn-CS"/>
        </w:rPr>
        <w:t xml:space="preserve">, Pravilnikom o granicama radioaktivne kontaminacije životne sredine i o načinu sprovođenja dekontaminacije ("Sl. list SRJ", br. 9/99). </w:t>
      </w:r>
    </w:p>
    <w:p w:rsidR="00B65A71" w:rsidRPr="00E31B54" w:rsidRDefault="00B65A71" w:rsidP="00B65A71">
      <w:pPr>
        <w:spacing w:before="60"/>
        <w:rPr>
          <w:rFonts w:ascii="Constantia" w:hAnsi="Constantia"/>
          <w:szCs w:val="22"/>
          <w:lang w:val="sr-Latn-CS"/>
        </w:rPr>
      </w:pPr>
      <w:r w:rsidRPr="00E31B54">
        <w:rPr>
          <w:rFonts w:ascii="Constantia" w:hAnsi="Constantia"/>
          <w:szCs w:val="22"/>
          <w:lang w:val="sr-Latn-CS"/>
        </w:rPr>
        <w:t xml:space="preserve">Uzorci su se uzimali po sledećem planu: </w:t>
      </w:r>
    </w:p>
    <w:tbl>
      <w:tblPr>
        <w:tblStyle w:val="MediumGrid3-Accent5"/>
        <w:tblW w:w="0" w:type="auto"/>
        <w:tblLook w:val="04A0" w:firstRow="1" w:lastRow="0" w:firstColumn="1" w:lastColumn="0" w:noHBand="0" w:noVBand="1"/>
      </w:tblPr>
      <w:tblGrid>
        <w:gridCol w:w="1638"/>
        <w:gridCol w:w="3062"/>
        <w:gridCol w:w="2430"/>
        <w:gridCol w:w="1980"/>
      </w:tblGrid>
      <w:tr w:rsidR="00B65A71" w:rsidRPr="008D7E68" w:rsidTr="00B65A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tcPr>
          <w:p w:rsidR="00B65A71" w:rsidRPr="008D7E68" w:rsidRDefault="00B65A71" w:rsidP="00B65A71">
            <w:pPr>
              <w:rPr>
                <w:rFonts w:ascii="Arial" w:hAnsi="Arial" w:cs="Arial"/>
                <w:color w:val="000000" w:themeColor="text1"/>
                <w:sz w:val="18"/>
                <w:szCs w:val="18"/>
                <w:lang w:val="sr-Latn-CS"/>
              </w:rPr>
            </w:pPr>
            <w:r w:rsidRPr="008D7E68">
              <w:rPr>
                <w:rFonts w:ascii="Arial" w:hAnsi="Arial" w:cs="Arial"/>
                <w:color w:val="000000" w:themeColor="text1"/>
                <w:sz w:val="18"/>
                <w:szCs w:val="18"/>
                <w:lang w:val="sr-Latn-CS"/>
              </w:rPr>
              <w:t>Uzorci</w:t>
            </w:r>
          </w:p>
        </w:tc>
        <w:tc>
          <w:tcPr>
            <w:tcW w:w="3062" w:type="dxa"/>
          </w:tcPr>
          <w:p w:rsidR="00B65A71" w:rsidRPr="008D7E68" w:rsidRDefault="00B65A71" w:rsidP="00B65A71">
            <w:pP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sr-Latn-CS"/>
              </w:rPr>
            </w:pPr>
            <w:r w:rsidRPr="008D7E68">
              <w:rPr>
                <w:rFonts w:ascii="Arial" w:hAnsi="Arial" w:cs="Arial"/>
                <w:color w:val="000000" w:themeColor="text1"/>
                <w:sz w:val="18"/>
                <w:szCs w:val="18"/>
                <w:lang w:val="sr-Latn-CS"/>
              </w:rPr>
              <w:t>Uzorkovanje</w:t>
            </w:r>
          </w:p>
        </w:tc>
        <w:tc>
          <w:tcPr>
            <w:tcW w:w="2430" w:type="dxa"/>
          </w:tcPr>
          <w:p w:rsidR="00B65A71" w:rsidRPr="008D7E68" w:rsidRDefault="00B65A71" w:rsidP="00B65A71">
            <w:pP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sr-Latn-CS"/>
              </w:rPr>
            </w:pPr>
            <w:r w:rsidRPr="008D7E68">
              <w:rPr>
                <w:rFonts w:ascii="Arial" w:hAnsi="Arial" w:cs="Arial"/>
                <w:color w:val="000000" w:themeColor="text1"/>
                <w:sz w:val="18"/>
                <w:szCs w:val="18"/>
                <w:lang w:val="sr-Latn-CS"/>
              </w:rPr>
              <w:t>Analiza</w:t>
            </w:r>
          </w:p>
        </w:tc>
        <w:tc>
          <w:tcPr>
            <w:tcW w:w="1980" w:type="dxa"/>
          </w:tcPr>
          <w:p w:rsidR="00B65A71" w:rsidRPr="008D7E68" w:rsidRDefault="00B65A71" w:rsidP="00B65A71">
            <w:pP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sr-Latn-CS"/>
              </w:rPr>
            </w:pPr>
            <w:r w:rsidRPr="008D7E68">
              <w:rPr>
                <w:rFonts w:ascii="Arial" w:hAnsi="Arial" w:cs="Arial"/>
                <w:color w:val="000000" w:themeColor="text1"/>
                <w:sz w:val="18"/>
                <w:szCs w:val="18"/>
                <w:lang w:val="sr-Latn-CS"/>
              </w:rPr>
              <w:t>Učestalost mjerenja</w:t>
            </w:r>
          </w:p>
        </w:tc>
      </w:tr>
      <w:tr w:rsidR="00B65A71" w:rsidRPr="009E4236" w:rsidTr="00B65A71">
        <w:trPr>
          <w:cnfStyle w:val="000000100000" w:firstRow="0" w:lastRow="0" w:firstColumn="0" w:lastColumn="0" w:oddVBand="0" w:evenVBand="0" w:oddHBand="1" w:evenHBand="0" w:firstRowFirstColumn="0" w:firstRowLastColumn="0" w:lastRowFirstColumn="0" w:lastRowLastColumn="0"/>
          <w:trHeight w:val="870"/>
        </w:trPr>
        <w:tc>
          <w:tcPr>
            <w:cnfStyle w:val="001000000000" w:firstRow="0" w:lastRow="0" w:firstColumn="1" w:lastColumn="0" w:oddVBand="0" w:evenVBand="0" w:oddHBand="0" w:evenHBand="0" w:firstRowFirstColumn="0" w:firstRowLastColumn="0" w:lastRowFirstColumn="0" w:lastRowLastColumn="0"/>
            <w:tcW w:w="1638" w:type="dxa"/>
            <w:tcBorders>
              <w:bottom w:val="single" w:sz="4" w:space="0" w:color="FFFFFF" w:themeColor="background1"/>
            </w:tcBorders>
          </w:tcPr>
          <w:p w:rsidR="00B65A71" w:rsidRDefault="00B65A71" w:rsidP="00B65A71">
            <w:pPr>
              <w:rPr>
                <w:rFonts w:ascii="Arial" w:hAnsi="Arial" w:cs="Arial"/>
                <w:color w:val="000000" w:themeColor="text1"/>
                <w:sz w:val="18"/>
                <w:szCs w:val="18"/>
                <w:lang w:val="sr-Latn-CS"/>
              </w:rPr>
            </w:pPr>
            <w:r w:rsidRPr="008D7E68">
              <w:rPr>
                <w:rFonts w:ascii="Arial" w:hAnsi="Arial" w:cs="Arial"/>
                <w:color w:val="000000" w:themeColor="text1"/>
                <w:sz w:val="18"/>
                <w:szCs w:val="18"/>
                <w:lang w:val="sr-Latn-CS"/>
              </w:rPr>
              <w:t>Vazduh</w:t>
            </w:r>
          </w:p>
          <w:p w:rsidR="00B65A71" w:rsidRDefault="00B65A71" w:rsidP="00B65A71">
            <w:pPr>
              <w:rPr>
                <w:rFonts w:ascii="Arial" w:hAnsi="Arial" w:cs="Arial"/>
                <w:color w:val="000000" w:themeColor="text1"/>
                <w:sz w:val="18"/>
                <w:szCs w:val="18"/>
                <w:lang w:val="sr-Latn-CS"/>
              </w:rPr>
            </w:pPr>
          </w:p>
          <w:p w:rsidR="00B65A71" w:rsidRPr="008D7E68" w:rsidRDefault="00B65A71" w:rsidP="00B65A71">
            <w:pPr>
              <w:rPr>
                <w:rFonts w:ascii="Arial" w:hAnsi="Arial" w:cs="Arial"/>
                <w:color w:val="000000" w:themeColor="text1"/>
                <w:sz w:val="18"/>
                <w:szCs w:val="18"/>
                <w:lang w:val="sr-Latn-CS"/>
              </w:rPr>
            </w:pPr>
            <w:r>
              <w:rPr>
                <w:rFonts w:ascii="Arial" w:hAnsi="Arial" w:cs="Arial"/>
                <w:color w:val="000000" w:themeColor="text1"/>
                <w:sz w:val="18"/>
                <w:szCs w:val="18"/>
                <w:lang w:val="sr-Latn-CS"/>
              </w:rPr>
              <w:t>Podgorica</w:t>
            </w:r>
          </w:p>
        </w:tc>
        <w:tc>
          <w:tcPr>
            <w:tcW w:w="3062" w:type="dxa"/>
            <w:tcBorders>
              <w:bottom w:val="single" w:sz="4" w:space="0" w:color="FFFFFF" w:themeColor="background1"/>
            </w:tcBorders>
            <w:shd w:val="clear" w:color="auto" w:fill="CEEAB0" w:themeFill="accent1"/>
          </w:tcPr>
          <w:p w:rsidR="00B65A71" w:rsidRPr="008D7E68" w:rsidRDefault="00B65A71" w:rsidP="00B65A71">
            <w:pPr>
              <w:jc w:val="lef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lang w:val="sr-Latn-CS"/>
              </w:rPr>
            </w:pPr>
            <w:r w:rsidRPr="008D7E68">
              <w:rPr>
                <w:rFonts w:ascii="Arial" w:hAnsi="Arial" w:cs="Arial"/>
                <w:color w:val="000000" w:themeColor="text1"/>
                <w:sz w:val="18"/>
                <w:szCs w:val="18"/>
                <w:lang w:val="sr-Latn-CS"/>
              </w:rPr>
              <w:t>neprekidno,1m iznad nekultivisane travnate površine :</w:t>
            </w:r>
          </w:p>
          <w:p w:rsidR="00B65A71" w:rsidRDefault="00B65A71" w:rsidP="00B65A7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lang w:val="sr-Latn-CS"/>
              </w:rPr>
            </w:pPr>
            <w:r w:rsidRPr="008D7E68">
              <w:rPr>
                <w:rFonts w:ascii="Arial" w:hAnsi="Arial" w:cs="Arial"/>
                <w:color w:val="000000" w:themeColor="text1"/>
                <w:sz w:val="18"/>
                <w:szCs w:val="18"/>
                <w:lang w:val="sr-Latn-CS"/>
              </w:rPr>
              <w:t>-PC RM siste</w:t>
            </w:r>
            <w:r>
              <w:rPr>
                <w:rFonts w:ascii="Arial" w:hAnsi="Arial" w:cs="Arial"/>
                <w:color w:val="000000" w:themeColor="text1"/>
                <w:sz w:val="18"/>
                <w:szCs w:val="18"/>
                <w:lang w:val="sr-Latn-CS"/>
              </w:rPr>
              <w:t>m,</w:t>
            </w:r>
          </w:p>
          <w:p w:rsidR="00B65A71" w:rsidRPr="008D7E68" w:rsidRDefault="00B65A71" w:rsidP="00B65A71">
            <w:pPr>
              <w:jc w:val="lef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lang w:val="sr-Latn-CS"/>
              </w:rPr>
            </w:pPr>
          </w:p>
        </w:tc>
        <w:tc>
          <w:tcPr>
            <w:tcW w:w="2430" w:type="dxa"/>
            <w:tcBorders>
              <w:bottom w:val="single" w:sz="4" w:space="0" w:color="FFFFFF" w:themeColor="background1"/>
            </w:tcBorders>
          </w:tcPr>
          <w:p w:rsidR="00B65A71" w:rsidRPr="008D7E68" w:rsidRDefault="00B65A71" w:rsidP="00B65A7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lang w:val="sr-Latn-CS"/>
              </w:rPr>
            </w:pPr>
            <w:r>
              <w:rPr>
                <w:rFonts w:ascii="Arial" w:hAnsi="Arial" w:cs="Arial"/>
                <w:color w:val="000000" w:themeColor="text1"/>
                <w:sz w:val="18"/>
                <w:szCs w:val="18"/>
                <w:lang w:val="sr-Latn-CS"/>
              </w:rPr>
              <w:t>j</w:t>
            </w:r>
            <w:r w:rsidRPr="008D7E68">
              <w:rPr>
                <w:rFonts w:ascii="Arial" w:hAnsi="Arial" w:cs="Arial"/>
                <w:color w:val="000000" w:themeColor="text1"/>
                <w:sz w:val="18"/>
                <w:szCs w:val="18"/>
                <w:lang w:val="sr-Latn-CS"/>
              </w:rPr>
              <w:t>ačina apsorbovane doze γ-zračenja</w:t>
            </w:r>
          </w:p>
          <w:p w:rsidR="00B65A71" w:rsidRPr="008D7E68" w:rsidRDefault="00B65A71" w:rsidP="00B65A7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lang w:val="sr-Latn-CS"/>
              </w:rPr>
            </w:pPr>
          </w:p>
          <w:p w:rsidR="00B65A71" w:rsidRPr="008D7E68" w:rsidRDefault="00B65A71" w:rsidP="00B65A7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lang w:val="sr-Latn-CS"/>
              </w:rPr>
            </w:pPr>
          </w:p>
        </w:tc>
        <w:tc>
          <w:tcPr>
            <w:tcW w:w="1980" w:type="dxa"/>
            <w:tcBorders>
              <w:top w:val="single" w:sz="24" w:space="0" w:color="FFFFFF" w:themeColor="background1"/>
              <w:bottom w:val="single" w:sz="4" w:space="0" w:color="FFFFFF" w:themeColor="background1"/>
            </w:tcBorders>
          </w:tcPr>
          <w:p w:rsidR="00B65A71" w:rsidRPr="008D7E68" w:rsidRDefault="00B65A71" w:rsidP="00B65A7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lang w:val="sr-Latn-CS"/>
              </w:rPr>
            </w:pPr>
            <w:r w:rsidRPr="008D7E68">
              <w:rPr>
                <w:rFonts w:ascii="Arial" w:hAnsi="Arial" w:cs="Arial"/>
                <w:color w:val="000000" w:themeColor="text1"/>
                <w:sz w:val="18"/>
                <w:szCs w:val="18"/>
                <w:lang w:val="sr-Latn-CS"/>
              </w:rPr>
              <w:t xml:space="preserve">neprekidno </w:t>
            </w:r>
          </w:p>
          <w:p w:rsidR="00B65A71" w:rsidRPr="008D7E68" w:rsidRDefault="00B65A71" w:rsidP="00B65A7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lang w:val="sr-Latn-CS"/>
              </w:rPr>
            </w:pPr>
          </w:p>
          <w:p w:rsidR="00B65A71" w:rsidRPr="008D7E68" w:rsidRDefault="00B65A71" w:rsidP="00B65A71">
            <w:pPr>
              <w:jc w:val="lef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lang w:val="sr-Latn-CS"/>
              </w:rPr>
            </w:pPr>
          </w:p>
        </w:tc>
      </w:tr>
      <w:tr w:rsidR="00B65A71" w:rsidRPr="009E4236" w:rsidTr="00B65A71">
        <w:trPr>
          <w:trHeight w:val="945"/>
        </w:trPr>
        <w:tc>
          <w:tcPr>
            <w:cnfStyle w:val="001000000000" w:firstRow="0" w:lastRow="0" w:firstColumn="1" w:lastColumn="0" w:oddVBand="0" w:evenVBand="0" w:oddHBand="0" w:evenHBand="0" w:firstRowFirstColumn="0" w:firstRowLastColumn="0" w:lastRowFirstColumn="0" w:lastRowLastColumn="0"/>
            <w:tcW w:w="1638" w:type="dxa"/>
            <w:tcBorders>
              <w:top w:val="single" w:sz="4" w:space="0" w:color="FFFFFF" w:themeColor="background1"/>
              <w:bottom w:val="single" w:sz="4" w:space="0" w:color="FFFFFF" w:themeColor="background1"/>
            </w:tcBorders>
          </w:tcPr>
          <w:p w:rsidR="00B65A71" w:rsidRDefault="00B65A71" w:rsidP="00B65A71">
            <w:pPr>
              <w:rPr>
                <w:rFonts w:ascii="Arial" w:hAnsi="Arial" w:cs="Arial"/>
                <w:color w:val="000000" w:themeColor="text1"/>
                <w:sz w:val="18"/>
                <w:szCs w:val="18"/>
                <w:lang w:val="sr-Latn-CS"/>
              </w:rPr>
            </w:pPr>
            <w:r>
              <w:rPr>
                <w:rFonts w:ascii="Arial" w:hAnsi="Arial" w:cs="Arial"/>
                <w:color w:val="000000" w:themeColor="text1"/>
                <w:sz w:val="18"/>
                <w:szCs w:val="18"/>
                <w:lang w:val="sr-Latn-CS"/>
              </w:rPr>
              <w:t>Podgorica</w:t>
            </w:r>
          </w:p>
          <w:p w:rsidR="00B65A71" w:rsidRDefault="00B65A71" w:rsidP="00B65A71">
            <w:pPr>
              <w:rPr>
                <w:rFonts w:ascii="Arial" w:hAnsi="Arial" w:cs="Arial"/>
                <w:color w:val="000000" w:themeColor="text1"/>
                <w:sz w:val="18"/>
                <w:szCs w:val="18"/>
                <w:lang w:val="sr-Latn-CS"/>
              </w:rPr>
            </w:pPr>
            <w:r>
              <w:rPr>
                <w:rFonts w:ascii="Arial" w:hAnsi="Arial" w:cs="Arial"/>
                <w:color w:val="000000" w:themeColor="text1"/>
                <w:sz w:val="18"/>
                <w:szCs w:val="18"/>
                <w:lang w:val="sr-Latn-CS"/>
              </w:rPr>
              <w:t>Bar</w:t>
            </w:r>
          </w:p>
          <w:p w:rsidR="00B65A71" w:rsidRPr="008D7E68" w:rsidRDefault="00B65A71" w:rsidP="00B65A71">
            <w:pPr>
              <w:rPr>
                <w:rFonts w:ascii="Arial" w:hAnsi="Arial" w:cs="Arial"/>
                <w:color w:val="000000" w:themeColor="text1"/>
                <w:sz w:val="18"/>
                <w:szCs w:val="18"/>
                <w:lang w:val="sr-Latn-CS"/>
              </w:rPr>
            </w:pPr>
            <w:r>
              <w:rPr>
                <w:rFonts w:ascii="Arial" w:hAnsi="Arial" w:cs="Arial"/>
                <w:color w:val="000000" w:themeColor="text1"/>
                <w:sz w:val="18"/>
                <w:szCs w:val="18"/>
                <w:lang w:val="sr-Latn-CS"/>
              </w:rPr>
              <w:t xml:space="preserve"> Pljevlja</w:t>
            </w:r>
          </w:p>
        </w:tc>
        <w:tc>
          <w:tcPr>
            <w:tcW w:w="3062" w:type="dxa"/>
            <w:tcBorders>
              <w:top w:val="single" w:sz="4" w:space="0" w:color="FFFFFF" w:themeColor="background1"/>
              <w:bottom w:val="single" w:sz="4" w:space="0" w:color="FFFFFF" w:themeColor="background1"/>
            </w:tcBorders>
            <w:shd w:val="clear" w:color="auto" w:fill="CEEAB0" w:themeFill="accent1"/>
          </w:tcPr>
          <w:p w:rsidR="00B65A71" w:rsidRPr="008D7E68" w:rsidRDefault="00B65A71" w:rsidP="00B65A7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sr-Latn-CS"/>
              </w:rPr>
            </w:pPr>
            <w:r w:rsidRPr="008D7E68">
              <w:rPr>
                <w:rFonts w:ascii="Arial" w:hAnsi="Arial" w:cs="Arial"/>
                <w:color w:val="000000" w:themeColor="text1"/>
                <w:sz w:val="18"/>
                <w:szCs w:val="18"/>
                <w:lang w:val="sr-Latn-CS"/>
              </w:rPr>
              <w:t>-TL dozimetrima</w:t>
            </w:r>
          </w:p>
          <w:p w:rsidR="00B65A71" w:rsidRDefault="00B65A71" w:rsidP="00B65A7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sr-Latn-CS"/>
              </w:rPr>
            </w:pPr>
          </w:p>
          <w:p w:rsidR="00B65A71" w:rsidRPr="008D7E68" w:rsidRDefault="00B65A71" w:rsidP="00B65A71">
            <w:pPr>
              <w:jc w:val="lef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sr-Latn-CS"/>
              </w:rPr>
            </w:pPr>
          </w:p>
        </w:tc>
        <w:tc>
          <w:tcPr>
            <w:tcW w:w="2430" w:type="dxa"/>
            <w:tcBorders>
              <w:top w:val="single" w:sz="4" w:space="0" w:color="FFFFFF" w:themeColor="background1"/>
              <w:bottom w:val="single" w:sz="4" w:space="0" w:color="FFFFFF" w:themeColor="background1"/>
            </w:tcBorders>
          </w:tcPr>
          <w:p w:rsidR="00B65A71" w:rsidRDefault="00B65A71" w:rsidP="00B65A7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sr-Latn-CS"/>
              </w:rPr>
            </w:pPr>
          </w:p>
        </w:tc>
        <w:tc>
          <w:tcPr>
            <w:tcW w:w="1980" w:type="dxa"/>
            <w:tcBorders>
              <w:top w:val="single" w:sz="4" w:space="0" w:color="FFFFFF" w:themeColor="background1"/>
              <w:bottom w:val="single" w:sz="4" w:space="0" w:color="FFFFFF" w:themeColor="background1"/>
            </w:tcBorders>
          </w:tcPr>
          <w:p w:rsidR="00B65A71" w:rsidRPr="008D7E68" w:rsidRDefault="00B65A71" w:rsidP="00B65A71">
            <w:pPr>
              <w:jc w:val="lef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sr-Latn-CS"/>
              </w:rPr>
            </w:pPr>
            <w:r>
              <w:rPr>
                <w:rFonts w:ascii="Arial" w:hAnsi="Arial" w:cs="Arial"/>
                <w:color w:val="000000" w:themeColor="text1"/>
                <w:sz w:val="18"/>
                <w:szCs w:val="18"/>
                <w:lang w:val="sr-Latn-CS"/>
              </w:rPr>
              <w:t>Polugodišnja zamjena i očitavanje</w:t>
            </w:r>
          </w:p>
        </w:tc>
      </w:tr>
      <w:tr w:rsidR="00B65A71" w:rsidRPr="009E4236" w:rsidTr="00B65A71">
        <w:trPr>
          <w:cnfStyle w:val="000000100000" w:firstRow="0" w:lastRow="0" w:firstColumn="0" w:lastColumn="0" w:oddVBand="0" w:evenVBand="0" w:oddHBand="1" w:evenHBand="0" w:firstRowFirstColumn="0" w:firstRowLastColumn="0" w:lastRowFirstColumn="0" w:lastRowLastColumn="0"/>
          <w:trHeight w:val="813"/>
        </w:trPr>
        <w:tc>
          <w:tcPr>
            <w:cnfStyle w:val="001000000000" w:firstRow="0" w:lastRow="0" w:firstColumn="1" w:lastColumn="0" w:oddVBand="0" w:evenVBand="0" w:oddHBand="0" w:evenHBand="0" w:firstRowFirstColumn="0" w:firstRowLastColumn="0" w:lastRowFirstColumn="0" w:lastRowLastColumn="0"/>
            <w:tcW w:w="1638" w:type="dxa"/>
            <w:tcBorders>
              <w:top w:val="single" w:sz="4" w:space="0" w:color="FFFFFF" w:themeColor="background1"/>
              <w:bottom w:val="single" w:sz="8" w:space="0" w:color="FFFFFF" w:themeColor="background1"/>
            </w:tcBorders>
          </w:tcPr>
          <w:p w:rsidR="00B65A71" w:rsidRDefault="00B65A71" w:rsidP="00B65A71">
            <w:pPr>
              <w:rPr>
                <w:rFonts w:ascii="Arial" w:hAnsi="Arial" w:cs="Arial"/>
                <w:color w:val="000000" w:themeColor="text1"/>
                <w:sz w:val="18"/>
                <w:szCs w:val="18"/>
                <w:lang w:val="sr-Latn-CS"/>
              </w:rPr>
            </w:pPr>
            <w:r>
              <w:rPr>
                <w:rFonts w:ascii="Arial" w:hAnsi="Arial" w:cs="Arial"/>
                <w:color w:val="000000" w:themeColor="text1"/>
                <w:sz w:val="18"/>
                <w:szCs w:val="18"/>
                <w:lang w:val="sr-Latn-CS"/>
              </w:rPr>
              <w:lastRenderedPageBreak/>
              <w:t>Podgorica</w:t>
            </w:r>
          </w:p>
        </w:tc>
        <w:tc>
          <w:tcPr>
            <w:tcW w:w="3062" w:type="dxa"/>
            <w:tcBorders>
              <w:top w:val="single" w:sz="4" w:space="0" w:color="FFFFFF" w:themeColor="background1"/>
            </w:tcBorders>
            <w:shd w:val="clear" w:color="auto" w:fill="CEEAB0" w:themeFill="accent1"/>
          </w:tcPr>
          <w:p w:rsidR="00B65A71" w:rsidRPr="008D7E68" w:rsidRDefault="00B65A71" w:rsidP="00B65A71">
            <w:pPr>
              <w:jc w:val="lef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lang w:val="sr-Latn-CS"/>
              </w:rPr>
            </w:pPr>
            <w:r w:rsidRPr="008D7E68">
              <w:rPr>
                <w:rFonts w:ascii="Arial" w:hAnsi="Arial" w:cs="Arial"/>
                <w:color w:val="000000" w:themeColor="text1"/>
                <w:sz w:val="18"/>
                <w:szCs w:val="18"/>
                <w:lang w:val="sr-Latn-CS"/>
              </w:rPr>
              <w:t xml:space="preserve">dnevno uzorkovanje </w:t>
            </w:r>
          </w:p>
        </w:tc>
        <w:tc>
          <w:tcPr>
            <w:tcW w:w="2430" w:type="dxa"/>
            <w:tcBorders>
              <w:top w:val="single" w:sz="4" w:space="0" w:color="FFFFFF" w:themeColor="background1"/>
            </w:tcBorders>
          </w:tcPr>
          <w:p w:rsidR="00B65A71" w:rsidRPr="008D7E68" w:rsidRDefault="00B65A71" w:rsidP="00B65A7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lang w:val="sr-Latn-CS"/>
              </w:rPr>
            </w:pPr>
            <w:r w:rsidRPr="008D7E68">
              <w:rPr>
                <w:rFonts w:ascii="Arial" w:hAnsi="Arial" w:cs="Arial"/>
                <w:color w:val="000000" w:themeColor="text1"/>
                <w:sz w:val="18"/>
                <w:szCs w:val="18"/>
                <w:lang w:val="sr-Latn-CS"/>
              </w:rPr>
              <w:t>γ-spektrometrija</w:t>
            </w:r>
          </w:p>
          <w:p w:rsidR="00B65A71" w:rsidRDefault="00B65A71" w:rsidP="00B65A7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lang w:val="sr-Latn-CS"/>
              </w:rPr>
            </w:pPr>
          </w:p>
        </w:tc>
        <w:tc>
          <w:tcPr>
            <w:tcW w:w="1980" w:type="dxa"/>
            <w:tcBorders>
              <w:top w:val="single" w:sz="4" w:space="0" w:color="FFFFFF" w:themeColor="background1"/>
            </w:tcBorders>
          </w:tcPr>
          <w:p w:rsidR="00B65A71" w:rsidRPr="008D7E68" w:rsidRDefault="00B65A71" w:rsidP="00B65A71">
            <w:pPr>
              <w:jc w:val="lef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lang w:val="sr-Latn-CS"/>
              </w:rPr>
            </w:pPr>
            <w:r>
              <w:rPr>
                <w:rFonts w:ascii="Arial" w:hAnsi="Arial" w:cs="Arial"/>
                <w:color w:val="000000" w:themeColor="text1"/>
                <w:sz w:val="18"/>
                <w:szCs w:val="18"/>
                <w:lang w:val="sr-Latn-CS"/>
              </w:rPr>
              <w:t>mjesečno</w:t>
            </w:r>
          </w:p>
        </w:tc>
      </w:tr>
      <w:tr w:rsidR="00B65A71" w:rsidRPr="008D7E68" w:rsidTr="00B65A71">
        <w:trPr>
          <w:trHeight w:val="559"/>
        </w:trPr>
        <w:tc>
          <w:tcPr>
            <w:cnfStyle w:val="001000000000" w:firstRow="0" w:lastRow="0" w:firstColumn="1" w:lastColumn="0" w:oddVBand="0" w:evenVBand="0" w:oddHBand="0" w:evenHBand="0" w:firstRowFirstColumn="0" w:firstRowLastColumn="0" w:lastRowFirstColumn="0" w:lastRowLastColumn="0"/>
            <w:tcW w:w="1638" w:type="dxa"/>
            <w:tcBorders>
              <w:top w:val="single" w:sz="4" w:space="0" w:color="FFFFFF" w:themeColor="background1"/>
              <w:bottom w:val="single" w:sz="4" w:space="0" w:color="FFFFFF" w:themeColor="background1"/>
            </w:tcBorders>
          </w:tcPr>
          <w:p w:rsidR="00B65A71" w:rsidRPr="008D7E68" w:rsidRDefault="00B65A71" w:rsidP="00B65A71">
            <w:pPr>
              <w:rPr>
                <w:rFonts w:ascii="Arial" w:hAnsi="Arial" w:cs="Arial"/>
                <w:color w:val="000000" w:themeColor="text1"/>
                <w:sz w:val="18"/>
                <w:szCs w:val="18"/>
                <w:lang w:val="sr-Latn-CS"/>
              </w:rPr>
            </w:pPr>
            <w:r w:rsidRPr="008D7E68">
              <w:rPr>
                <w:rFonts w:ascii="Arial" w:hAnsi="Arial" w:cs="Arial"/>
                <w:color w:val="000000" w:themeColor="text1"/>
                <w:sz w:val="18"/>
                <w:szCs w:val="18"/>
                <w:lang w:val="sr-Latn-CS"/>
              </w:rPr>
              <w:t>Padavine</w:t>
            </w:r>
          </w:p>
        </w:tc>
        <w:tc>
          <w:tcPr>
            <w:tcW w:w="3062" w:type="dxa"/>
            <w:tcBorders>
              <w:top w:val="single" w:sz="4" w:space="0" w:color="FFFFFF" w:themeColor="background1"/>
              <w:bottom w:val="single" w:sz="4" w:space="0" w:color="FFFFFF" w:themeColor="background1"/>
            </w:tcBorders>
            <w:shd w:val="clear" w:color="auto" w:fill="CEEAB0" w:themeFill="accent1"/>
          </w:tcPr>
          <w:p w:rsidR="00B65A71" w:rsidRPr="008D7E68" w:rsidRDefault="00B65A71" w:rsidP="00B65A71">
            <w:pPr>
              <w:jc w:val="lef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sr-Latn-CS"/>
              </w:rPr>
            </w:pPr>
            <w:r w:rsidRPr="008D7E68">
              <w:rPr>
                <w:rFonts w:ascii="Arial" w:hAnsi="Arial" w:cs="Arial"/>
                <w:color w:val="000000" w:themeColor="text1"/>
                <w:sz w:val="18"/>
                <w:szCs w:val="18"/>
                <w:lang w:val="sr-Latn-CS"/>
              </w:rPr>
              <w:t>dnevno uzorkovanje</w:t>
            </w:r>
          </w:p>
        </w:tc>
        <w:tc>
          <w:tcPr>
            <w:tcW w:w="2430" w:type="dxa"/>
            <w:tcBorders>
              <w:top w:val="single" w:sz="4" w:space="0" w:color="FFFFFF" w:themeColor="background1"/>
              <w:bottom w:val="single" w:sz="4" w:space="0" w:color="FFFFFF" w:themeColor="background1"/>
            </w:tcBorders>
            <w:shd w:val="clear" w:color="auto" w:fill="CEEAB0" w:themeFill="accent1"/>
          </w:tcPr>
          <w:p w:rsidR="00B65A71" w:rsidRPr="008D7E68" w:rsidRDefault="00B65A71" w:rsidP="00B65A7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sr-Latn-CS"/>
              </w:rPr>
            </w:pPr>
            <w:r w:rsidRPr="008D7E68">
              <w:rPr>
                <w:rFonts w:ascii="Arial" w:hAnsi="Arial" w:cs="Arial"/>
                <w:color w:val="000000" w:themeColor="text1"/>
                <w:sz w:val="18"/>
                <w:szCs w:val="18"/>
                <w:lang w:val="sr-Latn-CS"/>
              </w:rPr>
              <w:t>γ-spektrometrija</w:t>
            </w:r>
          </w:p>
          <w:p w:rsidR="00B65A71" w:rsidRPr="008D7E68" w:rsidRDefault="00B65A71" w:rsidP="00B65A7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sr-Latn-CS"/>
              </w:rPr>
            </w:pPr>
          </w:p>
        </w:tc>
        <w:tc>
          <w:tcPr>
            <w:tcW w:w="1980" w:type="dxa"/>
            <w:tcBorders>
              <w:top w:val="single" w:sz="4" w:space="0" w:color="FFFFFF" w:themeColor="background1"/>
              <w:bottom w:val="single" w:sz="4" w:space="0" w:color="FFFFFF" w:themeColor="background1"/>
            </w:tcBorders>
            <w:shd w:val="clear" w:color="auto" w:fill="CEEAB0" w:themeFill="accent1"/>
          </w:tcPr>
          <w:p w:rsidR="00B65A71" w:rsidRPr="008D7E68" w:rsidRDefault="00B65A71" w:rsidP="00B65A7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sr-Latn-CS"/>
              </w:rPr>
            </w:pPr>
            <w:r w:rsidRPr="008D7E68">
              <w:rPr>
                <w:rFonts w:ascii="Arial" w:hAnsi="Arial" w:cs="Arial"/>
                <w:color w:val="000000" w:themeColor="text1"/>
                <w:sz w:val="18"/>
                <w:szCs w:val="18"/>
                <w:lang w:val="sr-Latn-CS"/>
              </w:rPr>
              <w:t xml:space="preserve">mjesečno </w:t>
            </w:r>
          </w:p>
        </w:tc>
      </w:tr>
      <w:tr w:rsidR="00B65A71" w:rsidRPr="008D7E68" w:rsidTr="00B65A71">
        <w:trPr>
          <w:cnfStyle w:val="000000100000" w:firstRow="0" w:lastRow="0" w:firstColumn="0" w:lastColumn="0" w:oddVBand="0" w:evenVBand="0" w:oddHBand="1" w:evenHBand="0" w:firstRowFirstColumn="0" w:firstRowLastColumn="0" w:lastRowFirstColumn="0" w:lastRowLastColumn="0"/>
          <w:trHeight w:val="795"/>
        </w:trPr>
        <w:tc>
          <w:tcPr>
            <w:cnfStyle w:val="001000000000" w:firstRow="0" w:lastRow="0" w:firstColumn="1" w:lastColumn="0" w:oddVBand="0" w:evenVBand="0" w:oddHBand="0" w:evenHBand="0" w:firstRowFirstColumn="0" w:firstRowLastColumn="0" w:lastRowFirstColumn="0" w:lastRowLastColumn="0"/>
            <w:tcW w:w="1638" w:type="dxa"/>
            <w:tcBorders>
              <w:top w:val="single" w:sz="4" w:space="0" w:color="FFFFFF" w:themeColor="background1"/>
              <w:bottom w:val="single" w:sz="4" w:space="0" w:color="FFFFFF" w:themeColor="background1"/>
            </w:tcBorders>
          </w:tcPr>
          <w:p w:rsidR="00B65A71" w:rsidRDefault="00B65A71" w:rsidP="00B65A71">
            <w:pPr>
              <w:rPr>
                <w:rFonts w:ascii="Arial" w:hAnsi="Arial" w:cs="Arial"/>
                <w:color w:val="000000" w:themeColor="text1"/>
                <w:sz w:val="18"/>
                <w:szCs w:val="18"/>
                <w:lang w:val="sr-Latn-CS"/>
              </w:rPr>
            </w:pPr>
            <w:r w:rsidRPr="008D7E68">
              <w:rPr>
                <w:rFonts w:ascii="Arial" w:hAnsi="Arial" w:cs="Arial"/>
                <w:color w:val="000000" w:themeColor="text1"/>
                <w:sz w:val="18"/>
                <w:szCs w:val="18"/>
                <w:lang w:val="sr-Latn-CS"/>
              </w:rPr>
              <w:t>Zemljište</w:t>
            </w:r>
            <w:r>
              <w:rPr>
                <w:rFonts w:ascii="Arial" w:hAnsi="Arial" w:cs="Arial"/>
                <w:color w:val="000000" w:themeColor="text1"/>
                <w:sz w:val="18"/>
                <w:szCs w:val="18"/>
                <w:lang w:val="sr-Latn-CS"/>
              </w:rPr>
              <w:t>,</w:t>
            </w:r>
          </w:p>
          <w:p w:rsidR="00B65A71" w:rsidRPr="008D7E68" w:rsidRDefault="00B65A71" w:rsidP="00B65A71">
            <w:pPr>
              <w:rPr>
                <w:rFonts w:ascii="Arial" w:hAnsi="Arial" w:cs="Arial"/>
                <w:color w:val="000000" w:themeColor="text1"/>
                <w:sz w:val="18"/>
                <w:szCs w:val="18"/>
                <w:lang w:val="sr-Latn-CS"/>
              </w:rPr>
            </w:pPr>
            <w:r>
              <w:rPr>
                <w:rFonts w:ascii="Arial" w:hAnsi="Arial" w:cs="Arial"/>
                <w:color w:val="000000" w:themeColor="text1"/>
                <w:sz w:val="18"/>
                <w:szCs w:val="18"/>
                <w:lang w:val="sr-Latn-CS"/>
              </w:rPr>
              <w:t>6 lokacija, obradivo i neobradivo zemljište</w:t>
            </w:r>
          </w:p>
          <w:p w:rsidR="00B65A71" w:rsidRPr="008D7E68" w:rsidRDefault="00B65A71" w:rsidP="00B65A71">
            <w:pPr>
              <w:rPr>
                <w:rFonts w:ascii="Arial" w:hAnsi="Arial" w:cs="Arial"/>
                <w:color w:val="000000" w:themeColor="text1"/>
                <w:sz w:val="18"/>
                <w:szCs w:val="18"/>
                <w:lang w:val="sr-Latn-CS"/>
              </w:rPr>
            </w:pPr>
          </w:p>
        </w:tc>
        <w:tc>
          <w:tcPr>
            <w:tcW w:w="3062" w:type="dxa"/>
            <w:tcBorders>
              <w:top w:val="single" w:sz="4" w:space="0" w:color="FFFFFF" w:themeColor="background1"/>
              <w:bottom w:val="single" w:sz="4" w:space="0" w:color="FFFFFF" w:themeColor="background1"/>
            </w:tcBorders>
            <w:shd w:val="clear" w:color="auto" w:fill="CEEAB0" w:themeFill="accent1"/>
          </w:tcPr>
          <w:p w:rsidR="00B65A71" w:rsidRPr="008D7E68" w:rsidRDefault="00B65A71" w:rsidP="00B65A71">
            <w:pPr>
              <w:jc w:val="lef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lang w:val="sr-Latn-CS"/>
              </w:rPr>
            </w:pPr>
            <w:r>
              <w:rPr>
                <w:rFonts w:ascii="Arial" w:hAnsi="Arial" w:cs="Arial"/>
                <w:color w:val="000000" w:themeColor="text1"/>
                <w:sz w:val="18"/>
                <w:szCs w:val="18"/>
                <w:lang w:val="sr-Latn-CS"/>
              </w:rPr>
              <w:t>godišnje</w:t>
            </w:r>
          </w:p>
          <w:p w:rsidR="00B65A71" w:rsidRPr="008D7E68" w:rsidRDefault="00B65A71" w:rsidP="00B65A71">
            <w:pPr>
              <w:jc w:val="lef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lang w:val="sr-Latn-CS"/>
              </w:rPr>
            </w:pPr>
          </w:p>
        </w:tc>
        <w:tc>
          <w:tcPr>
            <w:tcW w:w="2430" w:type="dxa"/>
            <w:tcBorders>
              <w:top w:val="single" w:sz="4" w:space="0" w:color="FFFFFF" w:themeColor="background1"/>
              <w:bottom w:val="single" w:sz="4" w:space="0" w:color="FFFFFF" w:themeColor="background1"/>
            </w:tcBorders>
            <w:shd w:val="clear" w:color="auto" w:fill="CEEAB0" w:themeFill="accent1"/>
          </w:tcPr>
          <w:p w:rsidR="00B65A71" w:rsidRPr="008D7E68" w:rsidRDefault="00B65A71" w:rsidP="00B65A7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lang w:val="sr-Latn-CS"/>
              </w:rPr>
            </w:pPr>
            <w:r w:rsidRPr="008D7E68">
              <w:rPr>
                <w:rFonts w:ascii="Arial" w:hAnsi="Arial" w:cs="Arial"/>
                <w:color w:val="000000" w:themeColor="text1"/>
                <w:sz w:val="18"/>
                <w:szCs w:val="18"/>
                <w:lang w:val="sr-Latn-CS"/>
              </w:rPr>
              <w:t>γ-spektrometrija</w:t>
            </w:r>
          </w:p>
          <w:p w:rsidR="00B65A71" w:rsidRPr="008D7E68" w:rsidRDefault="00B65A71" w:rsidP="00B65A7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lang w:val="sr-Latn-CS"/>
              </w:rPr>
            </w:pPr>
          </w:p>
        </w:tc>
        <w:tc>
          <w:tcPr>
            <w:tcW w:w="1980" w:type="dxa"/>
            <w:tcBorders>
              <w:top w:val="single" w:sz="4" w:space="0" w:color="FFFFFF" w:themeColor="background1"/>
              <w:bottom w:val="single" w:sz="4" w:space="0" w:color="FFFFFF" w:themeColor="background1"/>
            </w:tcBorders>
            <w:shd w:val="clear" w:color="auto" w:fill="CEEAB0" w:themeFill="accent1"/>
          </w:tcPr>
          <w:p w:rsidR="00B65A71" w:rsidRPr="008D7E68" w:rsidRDefault="00B65A71" w:rsidP="00B65A7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lang w:val="sr-Latn-CS"/>
              </w:rPr>
            </w:pPr>
            <w:r>
              <w:rPr>
                <w:rFonts w:ascii="Arial" w:hAnsi="Arial" w:cs="Arial"/>
                <w:color w:val="000000" w:themeColor="text1"/>
                <w:sz w:val="18"/>
                <w:szCs w:val="18"/>
                <w:lang w:val="sr-Latn-CS"/>
              </w:rPr>
              <w:t>godišnje</w:t>
            </w:r>
          </w:p>
          <w:p w:rsidR="00B65A71" w:rsidRPr="008D7E68" w:rsidRDefault="00B65A71" w:rsidP="00B65A7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lang w:val="sr-Latn-CS"/>
              </w:rPr>
            </w:pPr>
          </w:p>
        </w:tc>
      </w:tr>
      <w:tr w:rsidR="00B65A71" w:rsidRPr="008D7E68" w:rsidTr="00B65A71">
        <w:trPr>
          <w:trHeight w:val="1053"/>
        </w:trPr>
        <w:tc>
          <w:tcPr>
            <w:cnfStyle w:val="001000000000" w:firstRow="0" w:lastRow="0" w:firstColumn="1" w:lastColumn="0" w:oddVBand="0" w:evenVBand="0" w:oddHBand="0" w:evenHBand="0" w:firstRowFirstColumn="0" w:firstRowLastColumn="0" w:lastRowFirstColumn="0" w:lastRowLastColumn="0"/>
            <w:tcW w:w="1638" w:type="dxa"/>
            <w:tcBorders>
              <w:top w:val="single" w:sz="4" w:space="0" w:color="FFFFFF" w:themeColor="background1"/>
            </w:tcBorders>
          </w:tcPr>
          <w:p w:rsidR="00B65A71" w:rsidRDefault="00B65A71" w:rsidP="00B65A71">
            <w:pPr>
              <w:rPr>
                <w:rFonts w:ascii="Arial" w:hAnsi="Arial" w:cs="Arial"/>
                <w:color w:val="000000" w:themeColor="text1"/>
                <w:sz w:val="18"/>
                <w:szCs w:val="18"/>
                <w:lang w:val="sr-Latn-CS"/>
              </w:rPr>
            </w:pPr>
            <w:r>
              <w:rPr>
                <w:rFonts w:ascii="Arial" w:hAnsi="Arial" w:cs="Arial"/>
                <w:color w:val="000000" w:themeColor="text1"/>
                <w:sz w:val="18"/>
                <w:szCs w:val="18"/>
                <w:lang w:val="sr-Latn-CS"/>
              </w:rPr>
              <w:t>-</w:t>
            </w:r>
            <w:r w:rsidRPr="008D7E68">
              <w:rPr>
                <w:rFonts w:ascii="Arial" w:hAnsi="Arial" w:cs="Arial"/>
                <w:color w:val="000000" w:themeColor="text1"/>
                <w:sz w:val="18"/>
                <w:szCs w:val="18"/>
                <w:lang w:val="sr-Latn-CS"/>
              </w:rPr>
              <w:t>Skadarsko jezero</w:t>
            </w:r>
          </w:p>
          <w:p w:rsidR="00B65A71" w:rsidRDefault="00B65A71" w:rsidP="00B65A71">
            <w:pPr>
              <w:rPr>
                <w:rFonts w:ascii="Arial" w:hAnsi="Arial" w:cs="Arial"/>
                <w:color w:val="000000" w:themeColor="text1"/>
                <w:sz w:val="18"/>
                <w:szCs w:val="18"/>
                <w:lang w:val="sr-Latn-CS"/>
              </w:rPr>
            </w:pPr>
            <w:r>
              <w:rPr>
                <w:rFonts w:ascii="Arial" w:hAnsi="Arial" w:cs="Arial"/>
                <w:color w:val="000000" w:themeColor="text1"/>
                <w:sz w:val="18"/>
                <w:szCs w:val="18"/>
                <w:lang w:val="sr-Latn-CS"/>
              </w:rPr>
              <w:t>-Morska voda Bar, H.Novi</w:t>
            </w:r>
          </w:p>
          <w:p w:rsidR="00B65A71" w:rsidRPr="008D7E68" w:rsidRDefault="00B65A71" w:rsidP="00B65A71">
            <w:pPr>
              <w:rPr>
                <w:rFonts w:ascii="Arial" w:hAnsi="Arial" w:cs="Arial"/>
                <w:color w:val="000000" w:themeColor="text1"/>
                <w:sz w:val="18"/>
                <w:szCs w:val="18"/>
                <w:lang w:val="sr-Latn-CS"/>
              </w:rPr>
            </w:pPr>
            <w:r>
              <w:rPr>
                <w:rFonts w:ascii="Arial" w:hAnsi="Arial" w:cs="Arial"/>
                <w:color w:val="000000" w:themeColor="text1"/>
                <w:sz w:val="18"/>
                <w:szCs w:val="18"/>
                <w:lang w:val="sr-Latn-CS"/>
              </w:rPr>
              <w:t>-Rečna voda Vezišnica Palješki potok</w:t>
            </w:r>
          </w:p>
          <w:p w:rsidR="00B65A71" w:rsidRPr="008D7E68" w:rsidRDefault="00B65A71" w:rsidP="00B65A71">
            <w:pPr>
              <w:rPr>
                <w:rFonts w:ascii="Arial" w:hAnsi="Arial" w:cs="Arial"/>
                <w:color w:val="000000" w:themeColor="text1"/>
                <w:sz w:val="18"/>
                <w:szCs w:val="18"/>
                <w:lang w:val="sr-Latn-CS"/>
              </w:rPr>
            </w:pPr>
          </w:p>
        </w:tc>
        <w:tc>
          <w:tcPr>
            <w:tcW w:w="3062" w:type="dxa"/>
            <w:tcBorders>
              <w:top w:val="single" w:sz="4" w:space="0" w:color="FFFFFF" w:themeColor="background1"/>
            </w:tcBorders>
            <w:shd w:val="clear" w:color="auto" w:fill="CEEAB0" w:themeFill="accent1"/>
          </w:tcPr>
          <w:p w:rsidR="00B65A71" w:rsidRDefault="00B65A71" w:rsidP="00B65A71">
            <w:pPr>
              <w:jc w:val="lef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sr-Latn-CS"/>
              </w:rPr>
            </w:pPr>
          </w:p>
          <w:p w:rsidR="00B65A71" w:rsidRDefault="00B65A71" w:rsidP="00B65A71">
            <w:pPr>
              <w:jc w:val="lef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sr-Latn-CS"/>
              </w:rPr>
            </w:pPr>
          </w:p>
          <w:p w:rsidR="00B65A71" w:rsidRDefault="00B65A71" w:rsidP="00B65A71">
            <w:pPr>
              <w:jc w:val="lef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sr-Latn-CS"/>
              </w:rPr>
            </w:pPr>
          </w:p>
          <w:p w:rsidR="00B65A71" w:rsidRPr="008D7E68" w:rsidRDefault="00B65A71" w:rsidP="00B65A71">
            <w:pPr>
              <w:jc w:val="lef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sr-Latn-CS"/>
              </w:rPr>
            </w:pPr>
            <w:r>
              <w:rPr>
                <w:rFonts w:ascii="Arial" w:hAnsi="Arial" w:cs="Arial"/>
                <w:color w:val="000000" w:themeColor="text1"/>
                <w:sz w:val="18"/>
                <w:szCs w:val="18"/>
                <w:lang w:val="sr-Latn-CS"/>
              </w:rPr>
              <w:t>polugodišnje</w:t>
            </w:r>
          </w:p>
        </w:tc>
        <w:tc>
          <w:tcPr>
            <w:tcW w:w="2430" w:type="dxa"/>
            <w:tcBorders>
              <w:top w:val="single" w:sz="4" w:space="0" w:color="FFFFFF" w:themeColor="background1"/>
            </w:tcBorders>
            <w:shd w:val="clear" w:color="auto" w:fill="CEEAB0" w:themeFill="accent1"/>
          </w:tcPr>
          <w:p w:rsidR="00B65A71" w:rsidRDefault="00B65A71" w:rsidP="00B65A7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sr-Latn-CS"/>
              </w:rPr>
            </w:pPr>
          </w:p>
          <w:p w:rsidR="00B65A71" w:rsidRDefault="00B65A71" w:rsidP="00B65A7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sr-Latn-CS"/>
              </w:rPr>
            </w:pPr>
          </w:p>
          <w:p w:rsidR="00B65A71" w:rsidRDefault="00B65A71" w:rsidP="00B65A7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sr-Latn-CS"/>
              </w:rPr>
            </w:pPr>
          </w:p>
          <w:p w:rsidR="00B65A71" w:rsidRPr="008D7E68" w:rsidRDefault="00B65A71" w:rsidP="00B65A7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sr-Latn-CS"/>
              </w:rPr>
            </w:pPr>
            <w:r w:rsidRPr="008D7E68">
              <w:rPr>
                <w:rFonts w:ascii="Arial" w:hAnsi="Arial" w:cs="Arial"/>
                <w:color w:val="000000" w:themeColor="text1"/>
                <w:sz w:val="18"/>
                <w:szCs w:val="18"/>
                <w:lang w:val="sr-Latn-CS"/>
              </w:rPr>
              <w:t>γ-spektrometrija</w:t>
            </w:r>
          </w:p>
          <w:p w:rsidR="00B65A71" w:rsidRPr="008D7E68" w:rsidRDefault="00B65A71" w:rsidP="00B65A7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sr-Latn-CS"/>
              </w:rPr>
            </w:pPr>
          </w:p>
          <w:p w:rsidR="00B65A71" w:rsidRPr="008D7E68" w:rsidRDefault="00B65A71" w:rsidP="00B65A7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sr-Latn-CS"/>
              </w:rPr>
            </w:pPr>
          </w:p>
          <w:p w:rsidR="00B65A71" w:rsidRPr="008D7E68" w:rsidRDefault="00B65A71" w:rsidP="00B65A7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sr-Latn-CS"/>
              </w:rPr>
            </w:pPr>
          </w:p>
        </w:tc>
        <w:tc>
          <w:tcPr>
            <w:tcW w:w="1980" w:type="dxa"/>
            <w:tcBorders>
              <w:top w:val="single" w:sz="4" w:space="0" w:color="FFFFFF" w:themeColor="background1"/>
              <w:bottom w:val="single" w:sz="4" w:space="0" w:color="FFFFFF" w:themeColor="background1"/>
            </w:tcBorders>
            <w:shd w:val="clear" w:color="auto" w:fill="CEEAB0" w:themeFill="accent1"/>
          </w:tcPr>
          <w:p w:rsidR="00B65A71" w:rsidRDefault="00B65A71" w:rsidP="00B65A7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sr-Latn-CS"/>
              </w:rPr>
            </w:pPr>
          </w:p>
          <w:p w:rsidR="00B65A71" w:rsidRDefault="00B65A71" w:rsidP="00B65A7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sr-Latn-CS"/>
              </w:rPr>
            </w:pPr>
          </w:p>
          <w:p w:rsidR="00B65A71" w:rsidRDefault="00B65A71" w:rsidP="00B65A7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sr-Latn-CS"/>
              </w:rPr>
            </w:pPr>
          </w:p>
          <w:p w:rsidR="00B65A71" w:rsidRPr="008D7E68" w:rsidRDefault="00B65A71" w:rsidP="00B65A7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sr-Latn-CS"/>
              </w:rPr>
            </w:pPr>
            <w:r>
              <w:rPr>
                <w:rFonts w:ascii="Arial" w:hAnsi="Arial" w:cs="Arial"/>
                <w:color w:val="000000" w:themeColor="text1"/>
                <w:sz w:val="18"/>
                <w:szCs w:val="18"/>
                <w:lang w:val="sr-Latn-CS"/>
              </w:rPr>
              <w:t>polugodišnje</w:t>
            </w:r>
          </w:p>
          <w:p w:rsidR="00B65A71" w:rsidRPr="008D7E68" w:rsidRDefault="00B65A71" w:rsidP="00B65A71">
            <w:pPr>
              <w:jc w:val="lef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sr-Latn-CS"/>
              </w:rPr>
            </w:pPr>
          </w:p>
        </w:tc>
      </w:tr>
      <w:tr w:rsidR="00B65A71" w:rsidRPr="008D7E68" w:rsidTr="00B65A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tcPr>
          <w:p w:rsidR="00B65A71" w:rsidRPr="008D7E68" w:rsidRDefault="00B65A71" w:rsidP="00B65A71">
            <w:pPr>
              <w:rPr>
                <w:rFonts w:ascii="Arial" w:hAnsi="Arial" w:cs="Arial"/>
                <w:color w:val="000000" w:themeColor="text1"/>
                <w:sz w:val="18"/>
                <w:szCs w:val="18"/>
                <w:lang w:val="sr-Latn-CS"/>
              </w:rPr>
            </w:pPr>
            <w:r w:rsidRPr="008D7E68">
              <w:rPr>
                <w:rFonts w:ascii="Arial" w:hAnsi="Arial" w:cs="Arial"/>
                <w:color w:val="000000" w:themeColor="text1"/>
                <w:sz w:val="18"/>
                <w:szCs w:val="18"/>
                <w:lang w:val="sr-Latn-CS"/>
              </w:rPr>
              <w:t>Vode za piće:</w:t>
            </w:r>
          </w:p>
          <w:p w:rsidR="00B65A71" w:rsidRPr="008D7E68" w:rsidRDefault="00B65A71" w:rsidP="00B65A71">
            <w:pPr>
              <w:rPr>
                <w:rFonts w:ascii="Arial" w:hAnsi="Arial" w:cs="Arial"/>
                <w:color w:val="000000" w:themeColor="text1"/>
                <w:sz w:val="18"/>
                <w:szCs w:val="18"/>
                <w:lang w:val="sr-Latn-CS"/>
              </w:rPr>
            </w:pPr>
            <w:r>
              <w:rPr>
                <w:rFonts w:ascii="Arial" w:hAnsi="Arial" w:cs="Arial"/>
                <w:color w:val="000000" w:themeColor="text1"/>
                <w:sz w:val="18"/>
                <w:szCs w:val="18"/>
                <w:lang w:val="sr-Latn-CS"/>
              </w:rPr>
              <w:t>-gradski vodovodi (Podgorica, Bijelo Polje, Bar)</w:t>
            </w:r>
          </w:p>
          <w:p w:rsidR="00B65A71" w:rsidRPr="008D7E68" w:rsidRDefault="00B65A71" w:rsidP="00B65A71">
            <w:pPr>
              <w:rPr>
                <w:rFonts w:ascii="Arial" w:hAnsi="Arial" w:cs="Arial"/>
                <w:color w:val="000000" w:themeColor="text1"/>
                <w:sz w:val="18"/>
                <w:szCs w:val="18"/>
                <w:lang w:val="sr-Latn-CS"/>
              </w:rPr>
            </w:pPr>
          </w:p>
        </w:tc>
        <w:tc>
          <w:tcPr>
            <w:tcW w:w="3062" w:type="dxa"/>
            <w:shd w:val="clear" w:color="auto" w:fill="CEEAB0" w:themeFill="accent1"/>
          </w:tcPr>
          <w:p w:rsidR="00B65A71" w:rsidRDefault="00B65A71" w:rsidP="00B65A71">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sr-Latn-CS"/>
              </w:rPr>
            </w:pPr>
          </w:p>
          <w:p w:rsidR="00B65A71" w:rsidRDefault="00B65A71" w:rsidP="00B65A71">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sr-Latn-CS"/>
              </w:rPr>
            </w:pPr>
          </w:p>
          <w:p w:rsidR="00B65A71" w:rsidRPr="005330AB" w:rsidRDefault="00B65A71" w:rsidP="00B65A71">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sr-Latn-CS"/>
              </w:rPr>
            </w:pPr>
            <w:r>
              <w:rPr>
                <w:rFonts w:ascii="Arial" w:hAnsi="Arial" w:cs="Arial"/>
                <w:sz w:val="18"/>
                <w:szCs w:val="18"/>
                <w:lang w:val="sr-Latn-CS"/>
              </w:rPr>
              <w:t>tromjesečno</w:t>
            </w:r>
            <w:r w:rsidRPr="005330AB">
              <w:rPr>
                <w:rFonts w:ascii="Arial" w:hAnsi="Arial" w:cs="Arial"/>
                <w:sz w:val="18"/>
                <w:szCs w:val="18"/>
                <w:lang w:val="sr-Latn-CS"/>
              </w:rPr>
              <w:t xml:space="preserve"> </w:t>
            </w:r>
          </w:p>
          <w:p w:rsidR="00B65A71" w:rsidRPr="008D7E68" w:rsidRDefault="00B65A71" w:rsidP="00B65A7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lang w:val="sr-Latn-CS"/>
              </w:rPr>
            </w:pPr>
          </w:p>
        </w:tc>
        <w:tc>
          <w:tcPr>
            <w:tcW w:w="2430" w:type="dxa"/>
            <w:shd w:val="clear" w:color="auto" w:fill="CEEAB0" w:themeFill="accent1"/>
          </w:tcPr>
          <w:p w:rsidR="00B65A71" w:rsidRDefault="00B65A71" w:rsidP="00B65A7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lang w:val="sr-Latn-CS"/>
              </w:rPr>
            </w:pPr>
          </w:p>
          <w:p w:rsidR="00B65A71" w:rsidRDefault="00B65A71" w:rsidP="00B65A7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lang w:val="sr-Latn-CS"/>
              </w:rPr>
            </w:pPr>
          </w:p>
          <w:p w:rsidR="00B65A71" w:rsidRPr="008D7E68" w:rsidRDefault="00B65A71" w:rsidP="00B65A7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lang w:val="sr-Latn-CS"/>
              </w:rPr>
            </w:pPr>
            <w:r w:rsidRPr="008D7E68">
              <w:rPr>
                <w:rFonts w:ascii="Arial" w:hAnsi="Arial" w:cs="Arial"/>
                <w:color w:val="000000" w:themeColor="text1"/>
                <w:sz w:val="18"/>
                <w:szCs w:val="18"/>
                <w:lang w:val="sr-Latn-CS"/>
              </w:rPr>
              <w:t>γ-spektrometrija</w:t>
            </w:r>
          </w:p>
          <w:p w:rsidR="00B65A71" w:rsidRPr="008D7E68" w:rsidRDefault="00B65A71" w:rsidP="00B65A7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lang w:val="sr-Latn-CS"/>
              </w:rPr>
            </w:pPr>
          </w:p>
        </w:tc>
        <w:tc>
          <w:tcPr>
            <w:tcW w:w="1980" w:type="dxa"/>
            <w:shd w:val="clear" w:color="auto" w:fill="CEEAB0" w:themeFill="accent1"/>
          </w:tcPr>
          <w:p w:rsidR="00B65A71" w:rsidRDefault="00B65A71" w:rsidP="00B65A71">
            <w:pPr>
              <w:jc w:val="lef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lang w:val="sr-Latn-CS"/>
              </w:rPr>
            </w:pPr>
          </w:p>
          <w:p w:rsidR="00B65A71" w:rsidRDefault="00B65A71" w:rsidP="00B65A71">
            <w:pPr>
              <w:jc w:val="lef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lang w:val="sr-Latn-CS"/>
              </w:rPr>
            </w:pPr>
          </w:p>
          <w:p w:rsidR="00B65A71" w:rsidRPr="008D7E68" w:rsidRDefault="00B65A71" w:rsidP="00B65A71">
            <w:pPr>
              <w:jc w:val="left"/>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lang w:val="sr-Latn-CS"/>
              </w:rPr>
            </w:pPr>
            <w:r>
              <w:rPr>
                <w:rFonts w:ascii="Arial" w:hAnsi="Arial" w:cs="Arial"/>
                <w:color w:val="000000" w:themeColor="text1"/>
                <w:sz w:val="18"/>
                <w:szCs w:val="18"/>
                <w:lang w:val="sr-Latn-CS"/>
              </w:rPr>
              <w:t>tromjesečno</w:t>
            </w:r>
            <w:r w:rsidRPr="008D7E68">
              <w:rPr>
                <w:rFonts w:ascii="Arial" w:hAnsi="Arial" w:cs="Arial"/>
                <w:color w:val="000000" w:themeColor="text1"/>
                <w:sz w:val="18"/>
                <w:szCs w:val="18"/>
                <w:lang w:val="sr-Latn-CS"/>
              </w:rPr>
              <w:t xml:space="preserve"> </w:t>
            </w:r>
          </w:p>
          <w:p w:rsidR="00B65A71" w:rsidRPr="008D7E68" w:rsidRDefault="00B65A71" w:rsidP="00B65A7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lang w:val="sr-Latn-CS"/>
              </w:rPr>
            </w:pPr>
          </w:p>
        </w:tc>
      </w:tr>
      <w:tr w:rsidR="00B65A71" w:rsidRPr="008D7E68" w:rsidTr="00B65A71">
        <w:trPr>
          <w:trHeight w:val="710"/>
        </w:trPr>
        <w:tc>
          <w:tcPr>
            <w:cnfStyle w:val="001000000000" w:firstRow="0" w:lastRow="0" w:firstColumn="1" w:lastColumn="0" w:oddVBand="0" w:evenVBand="0" w:oddHBand="0" w:evenHBand="0" w:firstRowFirstColumn="0" w:firstRowLastColumn="0" w:lastRowFirstColumn="0" w:lastRowLastColumn="0"/>
            <w:tcW w:w="1638" w:type="dxa"/>
            <w:tcBorders>
              <w:bottom w:val="single" w:sz="4" w:space="0" w:color="FFFFFF" w:themeColor="background1"/>
            </w:tcBorders>
          </w:tcPr>
          <w:p w:rsidR="00B65A71" w:rsidRPr="008D7E68" w:rsidRDefault="00B65A71" w:rsidP="00B65A71">
            <w:pPr>
              <w:rPr>
                <w:rFonts w:ascii="Arial" w:hAnsi="Arial" w:cs="Arial"/>
                <w:color w:val="000000" w:themeColor="text1"/>
                <w:sz w:val="18"/>
                <w:szCs w:val="18"/>
                <w:lang w:val="sr-Latn-CS"/>
              </w:rPr>
            </w:pPr>
            <w:r w:rsidRPr="008D7E68">
              <w:rPr>
                <w:rFonts w:ascii="Arial" w:hAnsi="Arial" w:cs="Arial"/>
                <w:color w:val="000000" w:themeColor="text1"/>
                <w:sz w:val="18"/>
                <w:szCs w:val="18"/>
                <w:lang w:val="sr-Latn-CS"/>
              </w:rPr>
              <w:t>Životne namirnice</w:t>
            </w:r>
          </w:p>
        </w:tc>
        <w:tc>
          <w:tcPr>
            <w:tcW w:w="3062" w:type="dxa"/>
            <w:tcBorders>
              <w:bottom w:val="single" w:sz="4" w:space="0" w:color="FFFFFF" w:themeColor="background1"/>
            </w:tcBorders>
            <w:shd w:val="clear" w:color="auto" w:fill="CEEAB0" w:themeFill="accent1"/>
          </w:tcPr>
          <w:p w:rsidR="00B65A71" w:rsidRPr="008D7E68" w:rsidRDefault="00B65A71" w:rsidP="00B65A7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sr-Latn-CS"/>
              </w:rPr>
            </w:pPr>
            <w:r>
              <w:rPr>
                <w:rFonts w:ascii="Arial" w:hAnsi="Arial" w:cs="Arial"/>
                <w:color w:val="000000" w:themeColor="text1"/>
                <w:sz w:val="18"/>
                <w:szCs w:val="18"/>
                <w:lang w:val="sr-Latn-CS"/>
              </w:rPr>
              <w:t>polugodišnje (</w:t>
            </w:r>
            <w:r w:rsidRPr="008D7E68">
              <w:rPr>
                <w:rFonts w:ascii="Arial" w:hAnsi="Arial" w:cs="Arial"/>
                <w:color w:val="000000" w:themeColor="text1"/>
                <w:sz w:val="18"/>
                <w:szCs w:val="18"/>
                <w:lang w:val="sr-Latn-CS"/>
              </w:rPr>
              <w:t>hleb,meso,mlijeko,sir,voće, povrće, jaja, hrana iz vrtića, sipe, dagnje, pečurke</w:t>
            </w:r>
            <w:r>
              <w:rPr>
                <w:rFonts w:ascii="Arial" w:hAnsi="Arial" w:cs="Arial"/>
                <w:color w:val="000000" w:themeColor="text1"/>
                <w:sz w:val="18"/>
                <w:szCs w:val="18"/>
                <w:lang w:val="sr-Latn-CS"/>
              </w:rPr>
              <w:t>, sipe, dagnje lignje</w:t>
            </w:r>
            <w:r w:rsidRPr="008D7E68">
              <w:rPr>
                <w:rFonts w:ascii="Arial" w:hAnsi="Arial" w:cs="Arial"/>
                <w:color w:val="000000" w:themeColor="text1"/>
                <w:sz w:val="18"/>
                <w:szCs w:val="18"/>
                <w:lang w:val="sr-Latn-CS"/>
              </w:rPr>
              <w:t>….</w:t>
            </w:r>
            <w:r>
              <w:rPr>
                <w:rFonts w:ascii="Arial" w:hAnsi="Arial" w:cs="Arial"/>
                <w:color w:val="000000" w:themeColor="text1"/>
                <w:sz w:val="18"/>
                <w:szCs w:val="18"/>
                <w:lang w:val="sr-Latn-CS"/>
              </w:rPr>
              <w:t>)</w:t>
            </w:r>
          </w:p>
        </w:tc>
        <w:tc>
          <w:tcPr>
            <w:tcW w:w="2430" w:type="dxa"/>
            <w:tcBorders>
              <w:bottom w:val="single" w:sz="4" w:space="0" w:color="FFFFFF" w:themeColor="background1"/>
            </w:tcBorders>
            <w:shd w:val="clear" w:color="auto" w:fill="CEEAB0" w:themeFill="accent1"/>
          </w:tcPr>
          <w:p w:rsidR="00B65A71" w:rsidRPr="008D7E68" w:rsidRDefault="00B65A71" w:rsidP="00B65A7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sr-Latn-CS"/>
              </w:rPr>
            </w:pPr>
            <w:r w:rsidRPr="008D7E68">
              <w:rPr>
                <w:rFonts w:ascii="Arial" w:hAnsi="Arial" w:cs="Arial"/>
                <w:color w:val="000000" w:themeColor="text1"/>
                <w:sz w:val="18"/>
                <w:szCs w:val="18"/>
                <w:lang w:val="sr-Latn-CS"/>
              </w:rPr>
              <w:t>γ-spektrometrija</w:t>
            </w:r>
          </w:p>
          <w:p w:rsidR="00B65A71" w:rsidRPr="008D7E68" w:rsidRDefault="00B65A71" w:rsidP="00B65A7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sr-Latn-CS"/>
              </w:rPr>
            </w:pPr>
          </w:p>
        </w:tc>
        <w:tc>
          <w:tcPr>
            <w:tcW w:w="1980" w:type="dxa"/>
            <w:tcBorders>
              <w:bottom w:val="single" w:sz="4" w:space="0" w:color="FFFFFF" w:themeColor="background1"/>
            </w:tcBorders>
            <w:shd w:val="clear" w:color="auto" w:fill="CEEAB0" w:themeFill="accent1"/>
          </w:tcPr>
          <w:p w:rsidR="00B65A71" w:rsidRPr="008D7E68" w:rsidRDefault="00B65A71" w:rsidP="00B65A7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sr-Latn-CS"/>
              </w:rPr>
            </w:pPr>
            <w:r w:rsidRPr="008D7E68">
              <w:rPr>
                <w:rFonts w:ascii="Arial" w:hAnsi="Arial" w:cs="Arial"/>
                <w:color w:val="000000" w:themeColor="text1"/>
                <w:sz w:val="18"/>
                <w:szCs w:val="18"/>
                <w:lang w:val="sr-Latn-CS"/>
              </w:rPr>
              <w:t>polugodišnje</w:t>
            </w:r>
          </w:p>
        </w:tc>
      </w:tr>
      <w:tr w:rsidR="00B65A71" w:rsidRPr="008D7E68" w:rsidTr="00B65A71">
        <w:trPr>
          <w:cnfStyle w:val="000000100000" w:firstRow="0" w:lastRow="0" w:firstColumn="0" w:lastColumn="0" w:oddVBand="0" w:evenVBand="0" w:oddHBand="1" w:evenHBand="0" w:firstRowFirstColumn="0" w:firstRowLastColumn="0" w:lastRowFirstColumn="0" w:lastRowLastColumn="0"/>
          <w:trHeight w:val="752"/>
        </w:trPr>
        <w:tc>
          <w:tcPr>
            <w:cnfStyle w:val="001000000000" w:firstRow="0" w:lastRow="0" w:firstColumn="1" w:lastColumn="0" w:oddVBand="0" w:evenVBand="0" w:oddHBand="0" w:evenHBand="0" w:firstRowFirstColumn="0" w:firstRowLastColumn="0" w:lastRowFirstColumn="0" w:lastRowLastColumn="0"/>
            <w:tcW w:w="1638" w:type="dxa"/>
            <w:tcBorders>
              <w:top w:val="single" w:sz="4" w:space="0" w:color="FFFFFF" w:themeColor="background1"/>
              <w:bottom w:val="single" w:sz="4" w:space="0" w:color="FFFFFF" w:themeColor="background1"/>
            </w:tcBorders>
          </w:tcPr>
          <w:p w:rsidR="00B65A71" w:rsidRPr="008D7E68" w:rsidRDefault="00B65A71" w:rsidP="00B65A71">
            <w:pPr>
              <w:rPr>
                <w:rFonts w:ascii="Arial" w:hAnsi="Arial" w:cs="Arial"/>
                <w:color w:val="000000" w:themeColor="text1"/>
                <w:sz w:val="18"/>
                <w:szCs w:val="18"/>
                <w:lang w:val="sr-Latn-CS"/>
              </w:rPr>
            </w:pPr>
            <w:r w:rsidRPr="008D7E68">
              <w:rPr>
                <w:rFonts w:ascii="Arial" w:hAnsi="Arial" w:cs="Arial"/>
                <w:color w:val="000000" w:themeColor="text1"/>
                <w:sz w:val="18"/>
                <w:szCs w:val="18"/>
                <w:lang w:val="sr-Latn-CS"/>
              </w:rPr>
              <w:t>Stočna hrana</w:t>
            </w:r>
          </w:p>
          <w:p w:rsidR="00B65A71" w:rsidRPr="008D7E68" w:rsidRDefault="00B65A71" w:rsidP="00B65A71">
            <w:pPr>
              <w:rPr>
                <w:rFonts w:ascii="Arial" w:hAnsi="Arial" w:cs="Arial"/>
                <w:color w:val="000000" w:themeColor="text1"/>
                <w:sz w:val="18"/>
                <w:szCs w:val="18"/>
                <w:lang w:val="sr-Latn-CS"/>
              </w:rPr>
            </w:pPr>
          </w:p>
        </w:tc>
        <w:tc>
          <w:tcPr>
            <w:tcW w:w="3062" w:type="dxa"/>
            <w:tcBorders>
              <w:top w:val="single" w:sz="4" w:space="0" w:color="FFFFFF" w:themeColor="background1"/>
              <w:bottom w:val="single" w:sz="4" w:space="0" w:color="FFFFFF" w:themeColor="background1"/>
            </w:tcBorders>
            <w:shd w:val="clear" w:color="auto" w:fill="CEEAB0" w:themeFill="accent1"/>
          </w:tcPr>
          <w:p w:rsidR="00B65A71" w:rsidRPr="008D7E68" w:rsidRDefault="00B65A71" w:rsidP="00B65A7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lang w:val="sr-Latn-CS"/>
              </w:rPr>
            </w:pPr>
            <w:r>
              <w:rPr>
                <w:rFonts w:ascii="Arial" w:hAnsi="Arial" w:cs="Arial"/>
                <w:color w:val="000000" w:themeColor="text1"/>
                <w:sz w:val="18"/>
                <w:szCs w:val="18"/>
                <w:lang w:val="sr-Latn-CS"/>
              </w:rPr>
              <w:t>godišnje (l</w:t>
            </w:r>
            <w:r w:rsidRPr="008D7E68">
              <w:rPr>
                <w:rFonts w:ascii="Arial" w:hAnsi="Arial" w:cs="Arial"/>
                <w:color w:val="000000" w:themeColor="text1"/>
                <w:sz w:val="18"/>
                <w:szCs w:val="18"/>
                <w:lang w:val="sr-Latn-CS"/>
              </w:rPr>
              <w:t>ivadska trava, sijeno, krmna smješa…</w:t>
            </w:r>
            <w:r>
              <w:rPr>
                <w:rFonts w:ascii="Arial" w:hAnsi="Arial" w:cs="Arial"/>
                <w:color w:val="000000" w:themeColor="text1"/>
                <w:sz w:val="18"/>
                <w:szCs w:val="18"/>
                <w:lang w:val="sr-Latn-CS"/>
              </w:rPr>
              <w:t>)</w:t>
            </w:r>
          </w:p>
        </w:tc>
        <w:tc>
          <w:tcPr>
            <w:tcW w:w="2430" w:type="dxa"/>
            <w:tcBorders>
              <w:top w:val="single" w:sz="4" w:space="0" w:color="FFFFFF" w:themeColor="background1"/>
              <w:bottom w:val="single" w:sz="4" w:space="0" w:color="FFFFFF" w:themeColor="background1"/>
            </w:tcBorders>
            <w:shd w:val="clear" w:color="auto" w:fill="CEEAB0" w:themeFill="accent1"/>
          </w:tcPr>
          <w:p w:rsidR="00B65A71" w:rsidRPr="008D7E68" w:rsidRDefault="00B65A71" w:rsidP="00B65A7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lang w:val="sr-Latn-CS"/>
              </w:rPr>
            </w:pPr>
            <w:r w:rsidRPr="008D7E68">
              <w:rPr>
                <w:rFonts w:ascii="Arial" w:hAnsi="Arial" w:cs="Arial"/>
                <w:color w:val="000000" w:themeColor="text1"/>
                <w:sz w:val="18"/>
                <w:szCs w:val="18"/>
                <w:lang w:val="sr-Latn-CS"/>
              </w:rPr>
              <w:t>γ-spektrometrija</w:t>
            </w:r>
          </w:p>
          <w:p w:rsidR="00B65A71" w:rsidRPr="008D7E68" w:rsidRDefault="00B65A71" w:rsidP="00B65A7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lang w:val="sr-Latn-CS"/>
              </w:rPr>
            </w:pPr>
          </w:p>
        </w:tc>
        <w:tc>
          <w:tcPr>
            <w:tcW w:w="1980" w:type="dxa"/>
            <w:tcBorders>
              <w:top w:val="single" w:sz="4" w:space="0" w:color="FFFFFF" w:themeColor="background1"/>
              <w:bottom w:val="single" w:sz="4" w:space="0" w:color="FFFFFF" w:themeColor="background1"/>
            </w:tcBorders>
            <w:shd w:val="clear" w:color="auto" w:fill="CEEAB0" w:themeFill="accent1"/>
          </w:tcPr>
          <w:p w:rsidR="00B65A71" w:rsidRPr="008D7E68" w:rsidRDefault="00B65A71" w:rsidP="00B65A7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lang w:val="sr-Latn-CS"/>
              </w:rPr>
            </w:pPr>
            <w:r>
              <w:rPr>
                <w:rFonts w:ascii="Arial" w:hAnsi="Arial" w:cs="Arial"/>
                <w:color w:val="000000" w:themeColor="text1"/>
                <w:sz w:val="18"/>
                <w:szCs w:val="18"/>
                <w:lang w:val="sr-Latn-CS"/>
              </w:rPr>
              <w:t xml:space="preserve"> </w:t>
            </w:r>
            <w:r w:rsidRPr="008D7E68">
              <w:rPr>
                <w:rFonts w:ascii="Arial" w:hAnsi="Arial" w:cs="Arial"/>
                <w:color w:val="000000" w:themeColor="text1"/>
                <w:sz w:val="18"/>
                <w:szCs w:val="18"/>
                <w:lang w:val="sr-Latn-CS"/>
              </w:rPr>
              <w:t>godišnje</w:t>
            </w:r>
          </w:p>
        </w:tc>
      </w:tr>
      <w:tr w:rsidR="00B65A71" w:rsidRPr="008D7E68" w:rsidTr="00B65A71">
        <w:trPr>
          <w:trHeight w:val="602"/>
        </w:trPr>
        <w:tc>
          <w:tcPr>
            <w:cnfStyle w:val="001000000000" w:firstRow="0" w:lastRow="0" w:firstColumn="1" w:lastColumn="0" w:oddVBand="0" w:evenVBand="0" w:oddHBand="0" w:evenHBand="0" w:firstRowFirstColumn="0" w:firstRowLastColumn="0" w:lastRowFirstColumn="0" w:lastRowLastColumn="0"/>
            <w:tcW w:w="1638" w:type="dxa"/>
            <w:tcBorders>
              <w:top w:val="single" w:sz="4" w:space="0" w:color="FFFFFF" w:themeColor="background1"/>
              <w:bottom w:val="single" w:sz="4" w:space="0" w:color="FFFFFF" w:themeColor="background1"/>
            </w:tcBorders>
          </w:tcPr>
          <w:p w:rsidR="00B65A71" w:rsidRPr="008D7E68" w:rsidRDefault="00B65A71" w:rsidP="00B65A71">
            <w:pPr>
              <w:rPr>
                <w:rFonts w:ascii="Arial" w:hAnsi="Arial" w:cs="Arial"/>
                <w:color w:val="000000" w:themeColor="text1"/>
                <w:sz w:val="18"/>
                <w:szCs w:val="18"/>
                <w:lang w:val="sr-Latn-CS"/>
              </w:rPr>
            </w:pPr>
            <w:r w:rsidRPr="008D7E68">
              <w:rPr>
                <w:rFonts w:ascii="Arial" w:hAnsi="Arial" w:cs="Arial"/>
                <w:color w:val="000000" w:themeColor="text1"/>
                <w:sz w:val="18"/>
                <w:szCs w:val="18"/>
                <w:lang w:val="sr-Latn-CS"/>
              </w:rPr>
              <w:t>Građevinski materijal</w:t>
            </w:r>
          </w:p>
        </w:tc>
        <w:tc>
          <w:tcPr>
            <w:tcW w:w="3062" w:type="dxa"/>
            <w:tcBorders>
              <w:top w:val="single" w:sz="4" w:space="0" w:color="FFFFFF" w:themeColor="background1"/>
              <w:bottom w:val="single" w:sz="4" w:space="0" w:color="FFFFFF" w:themeColor="background1"/>
            </w:tcBorders>
            <w:shd w:val="clear" w:color="auto" w:fill="CEEAB0" w:themeFill="accent1"/>
          </w:tcPr>
          <w:p w:rsidR="00B65A71" w:rsidRPr="008D7E68" w:rsidRDefault="00B65A71" w:rsidP="00B65A7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sr-Latn-CS"/>
              </w:rPr>
            </w:pPr>
            <w:r w:rsidRPr="008D7E68">
              <w:rPr>
                <w:rFonts w:ascii="Arial" w:hAnsi="Arial" w:cs="Arial"/>
                <w:color w:val="000000" w:themeColor="text1"/>
                <w:sz w:val="18"/>
                <w:szCs w:val="18"/>
                <w:lang w:val="sr-Latn-CS"/>
              </w:rPr>
              <w:t>Šljunak , betonski blok</w:t>
            </w:r>
          </w:p>
        </w:tc>
        <w:tc>
          <w:tcPr>
            <w:tcW w:w="2430" w:type="dxa"/>
            <w:tcBorders>
              <w:top w:val="single" w:sz="4" w:space="0" w:color="FFFFFF" w:themeColor="background1"/>
              <w:bottom w:val="single" w:sz="4" w:space="0" w:color="FFFFFF" w:themeColor="background1"/>
            </w:tcBorders>
            <w:shd w:val="clear" w:color="auto" w:fill="CEEAB0" w:themeFill="accent1"/>
          </w:tcPr>
          <w:p w:rsidR="00B65A71" w:rsidRPr="008D7E68" w:rsidRDefault="00B65A71" w:rsidP="00B65A7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sr-Latn-CS"/>
              </w:rPr>
            </w:pPr>
            <w:r w:rsidRPr="008D7E68">
              <w:rPr>
                <w:rFonts w:ascii="Arial" w:hAnsi="Arial" w:cs="Arial"/>
                <w:color w:val="000000" w:themeColor="text1"/>
                <w:sz w:val="18"/>
                <w:szCs w:val="18"/>
                <w:lang w:val="sr-Latn-CS"/>
              </w:rPr>
              <w:t>γ-spektrometrija</w:t>
            </w:r>
          </w:p>
          <w:p w:rsidR="00B65A71" w:rsidRPr="008D7E68" w:rsidRDefault="00B65A71" w:rsidP="00B65A7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sr-Latn-CS"/>
              </w:rPr>
            </w:pPr>
          </w:p>
        </w:tc>
        <w:tc>
          <w:tcPr>
            <w:tcW w:w="1980" w:type="dxa"/>
            <w:tcBorders>
              <w:top w:val="single" w:sz="4" w:space="0" w:color="FFFFFF" w:themeColor="background1"/>
              <w:bottom w:val="single" w:sz="4" w:space="0" w:color="FFFFFF" w:themeColor="background1"/>
            </w:tcBorders>
            <w:shd w:val="clear" w:color="auto" w:fill="CEEAB0" w:themeFill="accent1"/>
          </w:tcPr>
          <w:p w:rsidR="00B65A71" w:rsidRPr="008D7E68" w:rsidRDefault="00B65A71" w:rsidP="00B65A7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sr-Latn-CS"/>
              </w:rPr>
            </w:pPr>
            <w:r w:rsidRPr="008D7E68">
              <w:rPr>
                <w:rFonts w:ascii="Arial" w:hAnsi="Arial" w:cs="Arial"/>
                <w:color w:val="000000" w:themeColor="text1"/>
                <w:sz w:val="18"/>
                <w:szCs w:val="18"/>
                <w:lang w:val="sr-Latn-CS"/>
              </w:rPr>
              <w:t>godišnje</w:t>
            </w:r>
          </w:p>
        </w:tc>
      </w:tr>
      <w:tr w:rsidR="00B65A71" w:rsidRPr="008D7E68" w:rsidTr="00B65A71">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1638" w:type="dxa"/>
            <w:tcBorders>
              <w:top w:val="single" w:sz="4" w:space="0" w:color="FFFFFF" w:themeColor="background1"/>
            </w:tcBorders>
          </w:tcPr>
          <w:p w:rsidR="00B65A71" w:rsidRPr="008D7E68" w:rsidRDefault="00B65A71" w:rsidP="00B65A71">
            <w:pPr>
              <w:rPr>
                <w:rFonts w:ascii="Arial" w:hAnsi="Arial" w:cs="Arial"/>
                <w:color w:val="000000" w:themeColor="text1"/>
                <w:sz w:val="18"/>
                <w:szCs w:val="18"/>
                <w:lang w:val="sr-Latn-CS"/>
              </w:rPr>
            </w:pPr>
            <w:r w:rsidRPr="008D7E68">
              <w:rPr>
                <w:rFonts w:ascii="Arial" w:hAnsi="Arial" w:cs="Arial"/>
                <w:color w:val="000000" w:themeColor="text1"/>
                <w:sz w:val="18"/>
                <w:szCs w:val="18"/>
                <w:lang w:val="sr-Latn-CS"/>
              </w:rPr>
              <w:t>Radon u boravišnim prostorijama</w:t>
            </w:r>
          </w:p>
        </w:tc>
        <w:tc>
          <w:tcPr>
            <w:tcW w:w="3062" w:type="dxa"/>
            <w:tcBorders>
              <w:top w:val="single" w:sz="4" w:space="0" w:color="FFFFFF" w:themeColor="background1"/>
            </w:tcBorders>
            <w:shd w:val="clear" w:color="auto" w:fill="CEEAB0" w:themeFill="accent1"/>
          </w:tcPr>
          <w:p w:rsidR="00B65A71" w:rsidRPr="008D7E68" w:rsidRDefault="00B65A71" w:rsidP="00B65A7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lang w:val="sr-Latn-CS"/>
              </w:rPr>
            </w:pPr>
            <w:r w:rsidRPr="008D7E68">
              <w:rPr>
                <w:rFonts w:ascii="Arial" w:hAnsi="Arial" w:cs="Arial"/>
                <w:color w:val="000000" w:themeColor="text1"/>
                <w:sz w:val="18"/>
                <w:szCs w:val="18"/>
                <w:lang w:val="sr-Latn-CS"/>
              </w:rPr>
              <w:t>Vazduh</w:t>
            </w:r>
            <w:r>
              <w:rPr>
                <w:rFonts w:ascii="Arial" w:hAnsi="Arial" w:cs="Arial"/>
                <w:color w:val="000000" w:themeColor="text1"/>
                <w:sz w:val="18"/>
                <w:szCs w:val="18"/>
                <w:lang w:val="sr-Latn-CS"/>
              </w:rPr>
              <w:t xml:space="preserve">, 10 </w:t>
            </w:r>
            <w:r w:rsidRPr="008D7E68">
              <w:rPr>
                <w:rFonts w:ascii="Arial" w:hAnsi="Arial" w:cs="Arial"/>
                <w:color w:val="000000" w:themeColor="text1"/>
                <w:sz w:val="18"/>
                <w:szCs w:val="18"/>
                <w:lang w:val="sr-Latn-CS"/>
              </w:rPr>
              <w:t>lokacij</w:t>
            </w:r>
            <w:r>
              <w:rPr>
                <w:rFonts w:ascii="Arial" w:hAnsi="Arial" w:cs="Arial"/>
                <w:color w:val="000000" w:themeColor="text1"/>
                <w:sz w:val="18"/>
                <w:szCs w:val="18"/>
                <w:lang w:val="sr-Latn-CS"/>
              </w:rPr>
              <w:t>a</w:t>
            </w:r>
          </w:p>
        </w:tc>
        <w:tc>
          <w:tcPr>
            <w:tcW w:w="2430" w:type="dxa"/>
            <w:tcBorders>
              <w:top w:val="single" w:sz="4" w:space="0" w:color="FFFFFF" w:themeColor="background1"/>
            </w:tcBorders>
            <w:shd w:val="clear" w:color="auto" w:fill="CEEAB0" w:themeFill="accent1"/>
          </w:tcPr>
          <w:p w:rsidR="00B65A71" w:rsidRPr="008D7E68" w:rsidRDefault="00B65A71" w:rsidP="00B65A7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lang w:val="sr-Latn-CS"/>
              </w:rPr>
            </w:pPr>
          </w:p>
        </w:tc>
        <w:tc>
          <w:tcPr>
            <w:tcW w:w="1980" w:type="dxa"/>
            <w:tcBorders>
              <w:top w:val="single" w:sz="4" w:space="0" w:color="FFFFFF" w:themeColor="background1"/>
            </w:tcBorders>
            <w:shd w:val="clear" w:color="auto" w:fill="CEEAB0" w:themeFill="accent1"/>
          </w:tcPr>
          <w:p w:rsidR="00B65A71" w:rsidRPr="008D7E68" w:rsidRDefault="00B65A71" w:rsidP="00B65A7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lang w:val="sr-Latn-CS"/>
              </w:rPr>
            </w:pPr>
            <w:r>
              <w:rPr>
                <w:rFonts w:ascii="Arial" w:hAnsi="Arial" w:cs="Arial"/>
                <w:color w:val="000000" w:themeColor="text1"/>
                <w:sz w:val="18"/>
                <w:szCs w:val="18"/>
                <w:lang w:val="sr-Latn-CS"/>
              </w:rPr>
              <w:t xml:space="preserve"> 2 </w:t>
            </w:r>
            <w:r w:rsidRPr="008D7E68">
              <w:rPr>
                <w:rFonts w:ascii="Arial" w:hAnsi="Arial" w:cs="Arial"/>
                <w:color w:val="000000" w:themeColor="text1"/>
                <w:sz w:val="18"/>
                <w:szCs w:val="18"/>
                <w:lang w:val="sr-Latn-CS"/>
              </w:rPr>
              <w:t>puta godišnje</w:t>
            </w:r>
          </w:p>
        </w:tc>
      </w:tr>
    </w:tbl>
    <w:p w:rsidR="00B65A71" w:rsidRPr="00F06A67" w:rsidRDefault="00B65A71" w:rsidP="00F06A67">
      <w:pPr>
        <w:pStyle w:val="Heading2"/>
        <w:ind w:left="851" w:hanging="851"/>
      </w:pPr>
      <w:bookmarkStart w:id="191" w:name="_Toc290541597"/>
      <w:bookmarkStart w:id="192" w:name="_Toc319930908"/>
      <w:bookmarkStart w:id="193" w:name="_Toc319931719"/>
      <w:bookmarkStart w:id="194" w:name="_Toc320796891"/>
      <w:bookmarkStart w:id="195" w:name="_Toc321316118"/>
      <w:bookmarkStart w:id="196" w:name="_Toc352657388"/>
      <w:bookmarkStart w:id="197" w:name="_Toc352759504"/>
      <w:bookmarkStart w:id="198" w:name="_Toc352759605"/>
      <w:bookmarkStart w:id="199" w:name="_Toc352760043"/>
      <w:bookmarkStart w:id="200" w:name="_Toc352760152"/>
      <w:bookmarkStart w:id="201" w:name="_Toc384895578"/>
      <w:bookmarkStart w:id="202" w:name="_Toc393897951"/>
      <w:r w:rsidRPr="00F06A67">
        <w:t>Ispitivanje jačine apsorbovane doze γ zračenja u vazduhu</w:t>
      </w:r>
      <w:bookmarkEnd w:id="191"/>
      <w:bookmarkEnd w:id="192"/>
      <w:bookmarkEnd w:id="193"/>
      <w:bookmarkEnd w:id="194"/>
      <w:bookmarkEnd w:id="195"/>
      <w:bookmarkEnd w:id="196"/>
      <w:bookmarkEnd w:id="197"/>
      <w:bookmarkEnd w:id="198"/>
      <w:bookmarkEnd w:id="199"/>
      <w:bookmarkEnd w:id="200"/>
      <w:bookmarkEnd w:id="201"/>
      <w:bookmarkEnd w:id="202"/>
    </w:p>
    <w:p w:rsidR="00B65A71" w:rsidRPr="00E31B54" w:rsidRDefault="00B65A71" w:rsidP="00B65A71">
      <w:pPr>
        <w:rPr>
          <w:rFonts w:ascii="Constantia" w:hAnsi="Constantia"/>
          <w:szCs w:val="22"/>
          <w:lang w:val="sr-Latn-CS"/>
        </w:rPr>
      </w:pPr>
      <w:r w:rsidRPr="00E31B54">
        <w:rPr>
          <w:rFonts w:ascii="Constantia" w:hAnsi="Constantia"/>
          <w:szCs w:val="22"/>
          <w:lang w:val="sr-Latn-CS"/>
        </w:rPr>
        <w:t xml:space="preserve">Jačina apsorbovane doze γ zračenja u vazduhu mjerila se u Podgorici  na dvije lokacije, ispred i iza zgrade </w:t>
      </w:r>
      <w:r w:rsidR="000E388C">
        <w:rPr>
          <w:rFonts w:ascii="Constantia" w:hAnsi="Constantia"/>
          <w:szCs w:val="22"/>
          <w:lang w:val="sr-Latn-CS"/>
        </w:rPr>
        <w:t>D.O.O. „Centar</w:t>
      </w:r>
      <w:r w:rsidRPr="00E31B54">
        <w:rPr>
          <w:rFonts w:ascii="Constantia" w:hAnsi="Constantia"/>
          <w:szCs w:val="22"/>
          <w:lang w:val="sr-Latn-CS"/>
        </w:rPr>
        <w:t xml:space="preserve"> za ekotoksikolška ispitivanja</w:t>
      </w:r>
      <w:r w:rsidR="000E388C">
        <w:rPr>
          <w:rFonts w:ascii="Constantia" w:hAnsi="Constantia"/>
          <w:szCs w:val="22"/>
          <w:lang w:val="sr-Latn-CS"/>
        </w:rPr>
        <w:t>“</w:t>
      </w:r>
      <w:r w:rsidRPr="00E31B54">
        <w:rPr>
          <w:rFonts w:ascii="Constantia" w:hAnsi="Constantia"/>
          <w:szCs w:val="22"/>
          <w:lang w:val="sr-Latn-CS"/>
        </w:rPr>
        <w:t>. Mjerenja se vrše sa dva različita dozimetrijska sistema. Sva mjerenja se vrše  na visini od 1 m iznad nekultivisane travnate povšine.</w:t>
      </w:r>
    </w:p>
    <w:p w:rsidR="00B65A71" w:rsidRPr="00E31B54" w:rsidRDefault="00B65A71" w:rsidP="00B65A71">
      <w:pPr>
        <w:rPr>
          <w:rFonts w:ascii="Constantia" w:hAnsi="Constantia"/>
          <w:szCs w:val="22"/>
          <w:lang w:val="sr-Latn-CS"/>
        </w:rPr>
      </w:pPr>
      <w:r w:rsidRPr="00E31B54">
        <w:rPr>
          <w:rFonts w:ascii="Constantia" w:hAnsi="Constantia"/>
          <w:szCs w:val="22"/>
          <w:lang w:val="sr-Latn-CS"/>
        </w:rPr>
        <w:t>Mjerenje sistemom PC RM</w:t>
      </w:r>
    </w:p>
    <w:p w:rsidR="00B65A71" w:rsidRPr="00E31B54" w:rsidRDefault="00B65A71" w:rsidP="00B65A71">
      <w:pPr>
        <w:rPr>
          <w:rFonts w:ascii="Constantia" w:hAnsi="Constantia"/>
          <w:szCs w:val="22"/>
          <w:lang w:val="sr-Latn-CS"/>
        </w:rPr>
      </w:pPr>
      <w:r w:rsidRPr="00E31B54">
        <w:rPr>
          <w:rFonts w:ascii="Constantia" w:hAnsi="Constantia"/>
          <w:szCs w:val="22"/>
          <w:lang w:val="sr-Latn-CS"/>
        </w:rPr>
        <w:lastRenderedPageBreak/>
        <w:t xml:space="preserve">Osnovni sistem za mjerenje jačine apsorbovane doze γ zračenja u vazduhu je automatizovani dozimetrijski sistem PC RM koji sa nalazi u Podgorici  i njime se radi kontinuirano 24-časovno mjerenje, 365 dana u godini. Ovakvim monitoringom jačine apsorbovane doze γ zračenja u vazduhu otkrivaju se anomalije koje mogu biti posledica   akcidentne situacije sa jonizujućim zračenjem iz okruženja koja se može prenijeti i na našu teritoriju. Nedostatak ovog načina mjerenja je usrednjavanje vrijednosti jačine apsorbovane doze γ zračenja na mjesečnom nivou i zbog toga se dobijaju srednje mjesečne vrijednosti koje veoma malo variraju oko  0.1 μGy/h na godišnjem nivou. </w:t>
      </w:r>
    </w:p>
    <w:p w:rsidR="00B65A71" w:rsidRPr="00E31B54" w:rsidRDefault="00B65A71" w:rsidP="00B65A71">
      <w:pPr>
        <w:rPr>
          <w:rFonts w:ascii="Constantia" w:hAnsi="Constantia"/>
          <w:bCs/>
        </w:rPr>
      </w:pPr>
      <w:r w:rsidRPr="00E31B54">
        <w:rPr>
          <w:rFonts w:ascii="Constantia" w:hAnsi="Constantia"/>
          <w:szCs w:val="22"/>
          <w:lang w:val="sr-Latn-CS"/>
        </w:rPr>
        <w:t xml:space="preserve">Srednja vrijednost </w:t>
      </w:r>
      <w:r w:rsidRPr="00E31B54">
        <w:rPr>
          <w:rFonts w:ascii="Constantia" w:hAnsi="Constantia"/>
          <w:bCs/>
        </w:rPr>
        <w:t xml:space="preserve">jačine apsorbovane doze </w:t>
      </w:r>
      <w:r w:rsidRPr="00E31B54">
        <w:rPr>
          <w:rFonts w:ascii="Constantia" w:hAnsi="Constantia"/>
          <w:bCs/>
          <w:lang w:val="sr-Latn-CS"/>
        </w:rPr>
        <w:t>γ</w:t>
      </w:r>
      <w:r w:rsidRPr="00E31B54">
        <w:rPr>
          <w:rFonts w:ascii="Constantia" w:hAnsi="Constantia"/>
          <w:bCs/>
        </w:rPr>
        <w:t xml:space="preserve"> zračenja u vazduhu dobijena PC RM sistemom u toku 2013. god. je iznosila 0.117 µGy/h na  teritoriji  Podgorice. </w:t>
      </w:r>
    </w:p>
    <w:p w:rsidR="00B65A71" w:rsidRPr="00E31B54" w:rsidRDefault="00B65A71" w:rsidP="00B65A71">
      <w:pPr>
        <w:rPr>
          <w:rFonts w:ascii="Constantia" w:hAnsi="Constantia"/>
          <w:bCs/>
        </w:rPr>
      </w:pPr>
      <w:r w:rsidRPr="00E31B54">
        <w:rPr>
          <w:rFonts w:ascii="Constantia" w:hAnsi="Constantia"/>
          <w:bCs/>
        </w:rPr>
        <w:t>Mjerenje TL dozimetrima</w:t>
      </w:r>
    </w:p>
    <w:p w:rsidR="00B65A71" w:rsidRPr="00E31B54" w:rsidRDefault="00B65A71" w:rsidP="00B65A71">
      <w:pPr>
        <w:rPr>
          <w:rFonts w:ascii="Constantia" w:hAnsi="Constantia"/>
          <w:bCs/>
        </w:rPr>
      </w:pPr>
      <w:r w:rsidRPr="00E31B54">
        <w:rPr>
          <w:rFonts w:ascii="Constantia" w:hAnsi="Constantia"/>
          <w:bCs/>
        </w:rPr>
        <w:t xml:space="preserve">Mjerenje jačine apsorbovane doze </w:t>
      </w:r>
      <w:r w:rsidRPr="00E31B54">
        <w:rPr>
          <w:rFonts w:ascii="Constantia" w:hAnsi="Constantia"/>
          <w:bCs/>
          <w:lang w:val="sr-Latn-CS"/>
        </w:rPr>
        <w:t>γ</w:t>
      </w:r>
      <w:r w:rsidRPr="00E31B54">
        <w:rPr>
          <w:rFonts w:ascii="Constantia" w:hAnsi="Constantia"/>
          <w:bCs/>
        </w:rPr>
        <w:t xml:space="preserve"> zračenja u vazduhu rađeno je i TL dozimetrima. Mjerenja su vršena na sledećim lokacijama: Podgorica, Bar i Pljevlja, </w:t>
      </w:r>
    </w:p>
    <w:p w:rsidR="00B65A71" w:rsidRPr="00E31B54" w:rsidRDefault="00B65A71" w:rsidP="00D62E53">
      <w:pPr>
        <w:rPr>
          <w:rFonts w:ascii="Constantia" w:hAnsi="Constantia"/>
          <w:bCs/>
          <w:lang w:val="sr-Latn-CS"/>
        </w:rPr>
      </w:pPr>
      <w:r w:rsidRPr="00E31B54">
        <w:rPr>
          <w:rFonts w:ascii="Constantia" w:hAnsi="Constantia"/>
          <w:bCs/>
          <w:lang w:val="sr-Latn-CS"/>
        </w:rPr>
        <w:t>Period zamjene i očitavanja TL dozimetara je 6 mjeseci i rezultati mjerenja su dati za dva šestomjesečna perioda.</w:t>
      </w:r>
    </w:p>
    <w:p w:rsidR="00B65A71" w:rsidRPr="0000154C" w:rsidRDefault="00B65A71" w:rsidP="00B65A71">
      <w:pPr>
        <w:rPr>
          <w:rStyle w:val="Strong"/>
          <w:rFonts w:ascii="Arial" w:hAnsi="Arial" w:cs="Arial"/>
          <w:b w:val="0"/>
          <w:szCs w:val="22"/>
        </w:rPr>
      </w:pPr>
    </w:p>
    <w:p w:rsidR="00B65A71" w:rsidRPr="0000154C" w:rsidRDefault="00B65A71" w:rsidP="00B65A71">
      <w:pPr>
        <w:jc w:val="center"/>
        <w:rPr>
          <w:rFonts w:ascii="Arial" w:hAnsi="Arial" w:cs="Arial"/>
          <w:bCs/>
          <w:szCs w:val="22"/>
        </w:rPr>
      </w:pPr>
      <w:r w:rsidRPr="0000154C">
        <w:rPr>
          <w:rFonts w:ascii="Arial" w:hAnsi="Arial" w:cs="Arial"/>
          <w:noProof/>
          <w:szCs w:val="22"/>
        </w:rPr>
        <w:drawing>
          <wp:inline distT="0" distB="0" distL="0" distR="0" wp14:anchorId="6A5AD756" wp14:editId="3A03FAB3">
            <wp:extent cx="3480179" cy="1467134"/>
            <wp:effectExtent l="0" t="0" r="0" b="0"/>
            <wp:docPr id="1" name="Objec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5"/>
              </a:graphicData>
            </a:graphic>
          </wp:inline>
        </w:drawing>
      </w:r>
    </w:p>
    <w:p w:rsidR="00D62E53" w:rsidRPr="00E2728C" w:rsidRDefault="00D62E53" w:rsidP="00D62E53">
      <w:pPr>
        <w:numPr>
          <w:ilvl w:val="0"/>
          <w:numId w:val="4"/>
        </w:numPr>
        <w:ind w:left="0" w:firstLine="0"/>
        <w:rPr>
          <w:rFonts w:ascii="Constantia" w:hAnsi="Constantia"/>
          <w:i/>
          <w:szCs w:val="22"/>
          <w:lang w:val="sr-Latn-CS"/>
        </w:rPr>
      </w:pPr>
      <w:r w:rsidRPr="00D62E53">
        <w:rPr>
          <w:sz w:val="20"/>
        </w:rPr>
        <w:t xml:space="preserve"> </w:t>
      </w:r>
      <w:r w:rsidRPr="00D62E53">
        <w:rPr>
          <w:i/>
          <w:sz w:val="20"/>
        </w:rPr>
        <w:t xml:space="preserve">Jačina </w:t>
      </w:r>
      <w:r w:rsidRPr="00D62E53">
        <w:rPr>
          <w:bCs/>
          <w:i/>
          <w:sz w:val="20"/>
        </w:rPr>
        <w:t>apsorbovane doze γ zračenja u vazduhu mjerena TL dozimetrima izražena u µSv/h za 2013. god.</w:t>
      </w:r>
    </w:p>
    <w:p w:rsidR="00B65A71" w:rsidRPr="00E31B54" w:rsidRDefault="00B65A71" w:rsidP="00B65A71">
      <w:pPr>
        <w:rPr>
          <w:rFonts w:ascii="Constantia" w:hAnsi="Constantia"/>
          <w:bCs/>
        </w:rPr>
      </w:pPr>
      <w:bookmarkStart w:id="203" w:name="_Toc352657389"/>
      <w:r w:rsidRPr="00E31B54">
        <w:rPr>
          <w:rFonts w:ascii="Constantia" w:hAnsi="Constantia"/>
          <w:b/>
        </w:rPr>
        <w:t xml:space="preserve">Zaključak: </w:t>
      </w:r>
      <w:r w:rsidRPr="00E31B54">
        <w:rPr>
          <w:rFonts w:ascii="Constantia" w:hAnsi="Constantia"/>
        </w:rPr>
        <w:t>Shodno Odluci o sistematskom ispitivanju sadržaja radionu</w:t>
      </w:r>
      <w:r w:rsidR="000E388C">
        <w:rPr>
          <w:rFonts w:ascii="Constantia" w:hAnsi="Constantia"/>
        </w:rPr>
        <w:t>klida u životnoj sredini („Sl.</w:t>
      </w:r>
      <w:r w:rsidRPr="00E31B54">
        <w:rPr>
          <w:rFonts w:ascii="Constantia" w:hAnsi="Constantia"/>
        </w:rPr>
        <w:t xml:space="preserve"> list SRJ“ br. 45/97) vrše se ispitivanja i kod sumnje na vanredni događaj i u toku vanrednog događaja ukoliko je izmjerena vrijednost jačine apsorbovane doze γ zračenja u vazduhu na nekoj lokaciji 20% veća od maksimalno izmjerene vrijednosti u proteklom periodu od jedne godine za datu lokaciju. S obzirom da su </w:t>
      </w:r>
      <w:r w:rsidRPr="00E31B54">
        <w:rPr>
          <w:rFonts w:ascii="Constantia" w:hAnsi="Constantia"/>
          <w:bCs/>
        </w:rPr>
        <w:t xml:space="preserve">na području Crne Gore u toku 2013. god. vrijednosti jačine apsorbovane doze γ zračenja u vazduhu bila na  istom nivou kao i prethodnih godina tj. na nivou fona, sa varijacijama koje su uobičajene, </w:t>
      </w:r>
      <w:r w:rsidRPr="000E388C">
        <w:rPr>
          <w:rFonts w:ascii="Constantia" w:hAnsi="Constantia"/>
          <w:b/>
          <w:bCs/>
        </w:rPr>
        <w:t>dolazi se do zaključka da nije bilo povećane vrijednosti jačine apsorbovane doze</w:t>
      </w:r>
      <w:r w:rsidR="000E388C">
        <w:rPr>
          <w:rFonts w:ascii="Constantia" w:hAnsi="Constantia"/>
          <w:b/>
          <w:bCs/>
        </w:rPr>
        <w:t xml:space="preserve"> γ zračenja u vazduhu u toku 2013.</w:t>
      </w:r>
      <w:r w:rsidRPr="000E388C">
        <w:rPr>
          <w:rFonts w:ascii="Constantia" w:hAnsi="Constantia"/>
          <w:b/>
          <w:bCs/>
        </w:rPr>
        <w:t xml:space="preserve"> godine.</w:t>
      </w:r>
      <w:bookmarkEnd w:id="203"/>
      <w:r w:rsidRPr="00E31B54">
        <w:rPr>
          <w:rFonts w:ascii="Constantia" w:hAnsi="Constantia"/>
          <w:bCs/>
        </w:rPr>
        <w:t xml:space="preserve"> </w:t>
      </w:r>
    </w:p>
    <w:p w:rsidR="00B65A71" w:rsidRPr="00E31B54" w:rsidRDefault="00B65A71" w:rsidP="00B65A71">
      <w:pPr>
        <w:rPr>
          <w:rFonts w:ascii="Constantia" w:hAnsi="Constantia"/>
          <w:bCs/>
        </w:rPr>
      </w:pPr>
    </w:p>
    <w:p w:rsidR="00B65A71" w:rsidRPr="00E31B54" w:rsidRDefault="00B65A71" w:rsidP="00B65A71">
      <w:pPr>
        <w:rPr>
          <w:rFonts w:ascii="Constantia" w:hAnsi="Constantia"/>
          <w:b/>
          <w:u w:val="single"/>
        </w:rPr>
      </w:pPr>
      <w:r w:rsidRPr="00E31B54">
        <w:rPr>
          <w:rFonts w:ascii="Constantia" w:hAnsi="Constantia"/>
          <w:b/>
          <w:bCs/>
          <w:u w:val="single"/>
        </w:rPr>
        <w:t>Kosmičko zračenje</w:t>
      </w:r>
    </w:p>
    <w:p w:rsidR="00B65A71" w:rsidRPr="00E31B54" w:rsidRDefault="00B65A71" w:rsidP="00B65A71">
      <w:pPr>
        <w:rPr>
          <w:rFonts w:ascii="Constantia" w:hAnsi="Constantia"/>
        </w:rPr>
      </w:pPr>
      <w:r w:rsidRPr="00E31B54">
        <w:rPr>
          <w:rFonts w:ascii="Constantia" w:hAnsi="Constantia"/>
        </w:rPr>
        <w:t>Za stanovnike sjeverne hemisfere koji žive između 40 i 50 stepeni geografske širine  (Crna Gora se prostire između 41 i 44 stepena sjeverne geografske širine) jačina apsorbovane doze, na nivou mora, koja je posledica kosmičkog zračenja je oko 40 nSv/h (uticaj direktno jonizujuće fotonske komponente kosmičkog zračenja je 32 nSv/h, a neutronske komponente 7,8 nSv/h (podaci su iz UNSCEAR 2000 Annex B Tabela 1 )).</w:t>
      </w:r>
    </w:p>
    <w:p w:rsidR="00B65A71" w:rsidRPr="00E31B54" w:rsidRDefault="00B65A71" w:rsidP="00B65A71">
      <w:pPr>
        <w:rPr>
          <w:rFonts w:ascii="Constantia" w:hAnsi="Constantia"/>
        </w:rPr>
      </w:pPr>
      <w:r w:rsidRPr="00E31B54">
        <w:rPr>
          <w:rFonts w:ascii="Constantia" w:hAnsi="Constantia"/>
        </w:rPr>
        <w:t xml:space="preserve">Za proračun efektivne doze su, osim podataka prethodno  navedenih, korišćeni i podaci (UNSCEAR 2000, Annex B, Tabela </w:t>
      </w:r>
      <w:r w:rsidR="00FA579A" w:rsidRPr="00E31B54">
        <w:rPr>
          <w:rFonts w:ascii="Constantia" w:hAnsi="Constantia"/>
        </w:rPr>
        <w:t>102</w:t>
      </w:r>
      <w:r w:rsidRPr="00E31B54">
        <w:rPr>
          <w:rFonts w:ascii="Constantia" w:hAnsi="Constantia"/>
        </w:rPr>
        <w:t xml:space="preserve"> i </w:t>
      </w:r>
      <w:r w:rsidR="00FA579A" w:rsidRPr="00E31B54">
        <w:rPr>
          <w:rFonts w:ascii="Constantia" w:hAnsi="Constantia"/>
        </w:rPr>
        <w:t>103</w:t>
      </w:r>
      <w:r w:rsidRPr="00E31B54">
        <w:rPr>
          <w:rFonts w:ascii="Constantia" w:hAnsi="Constantia"/>
        </w:rPr>
        <w:t xml:space="preserve"> ) da je boravak u zatvorenim prostorijama 80% od ukupnog vremena. Osim toga 7000 sati koje se provedu u zatvorenom  (od  inače ukupno 8760 u toku jedne godine) se koriguju zaštitnim  faktorom 0,8. Korišćeni su i korekcioni faktori za </w:t>
      </w:r>
      <w:r w:rsidRPr="00E31B54">
        <w:rPr>
          <w:rFonts w:ascii="Constantia" w:hAnsi="Constantia"/>
        </w:rPr>
        <w:lastRenderedPageBreak/>
        <w:t>nadmorsku visinu: 1,02 i 1,1 za fotonsku i neutronsku komponentu kosmičkog zračenja. (UNSCEAR – primjer Belgije)</w:t>
      </w:r>
    </w:p>
    <w:p w:rsidR="00B65A71" w:rsidRPr="00E31B54" w:rsidRDefault="00B65A71" w:rsidP="00B65A71">
      <w:pPr>
        <w:rPr>
          <w:rFonts w:ascii="Constantia" w:hAnsi="Constantia"/>
        </w:rPr>
      </w:pPr>
      <w:r w:rsidRPr="00E31B54">
        <w:rPr>
          <w:rFonts w:ascii="Constantia" w:hAnsi="Constantia"/>
        </w:rPr>
        <w:t xml:space="preserve">Efektivna doza za stanovnika Crne Gore koja je rezultat dejstva fotonske i neutronske komponente kosmičkog zračenja je 0,30 mSv/god. Ukoliko se na ovu vrijednost doda i efektivna doza koja je rezultat uticaja zračenja 4 glavna  kosmogena radionuklida: 14C, 22Na, 7Be,3H (UNSCEAR 2000 Annex B) koja je 0,01 mSv/god. dobija se podatak da je </w:t>
      </w:r>
      <w:r w:rsidRPr="000E388C">
        <w:rPr>
          <w:rFonts w:ascii="Constantia" w:hAnsi="Constantia"/>
          <w:b/>
        </w:rPr>
        <w:t>ukupna efektivna doza za stanovnika Crne Gore koja je rezultat kosmičkog zračenja 0,31 mSv/god.</w:t>
      </w:r>
      <w:r w:rsidRPr="00E31B54">
        <w:rPr>
          <w:rFonts w:ascii="Constantia" w:hAnsi="Constantia"/>
        </w:rPr>
        <w:t xml:space="preserve"> </w:t>
      </w:r>
    </w:p>
    <w:p w:rsidR="00B65A71" w:rsidRPr="00F06A67" w:rsidRDefault="00B65A71" w:rsidP="00B65A71">
      <w:pPr>
        <w:pStyle w:val="Heading2"/>
        <w:ind w:left="851" w:hanging="851"/>
      </w:pPr>
      <w:bookmarkStart w:id="204" w:name="_Toc290541601"/>
      <w:bookmarkStart w:id="205" w:name="_Toc319930911"/>
      <w:bookmarkStart w:id="206" w:name="_Toc319931722"/>
      <w:bookmarkStart w:id="207" w:name="_Toc320796892"/>
      <w:bookmarkStart w:id="208" w:name="_Toc321316119"/>
      <w:bookmarkStart w:id="209" w:name="_Toc352657390"/>
      <w:bookmarkStart w:id="210" w:name="_Toc352759505"/>
      <w:bookmarkStart w:id="211" w:name="_Toc352759606"/>
      <w:bookmarkStart w:id="212" w:name="_Toc352760044"/>
      <w:bookmarkStart w:id="213" w:name="_Toc352760153"/>
      <w:bookmarkStart w:id="214" w:name="_Toc384895579"/>
      <w:bookmarkStart w:id="215" w:name="_Toc393897952"/>
      <w:r w:rsidRPr="00F06A67">
        <w:t>Ispitivanje sadržaja radionuklida u vazduhu</w:t>
      </w:r>
      <w:bookmarkEnd w:id="204"/>
      <w:bookmarkEnd w:id="205"/>
      <w:bookmarkEnd w:id="206"/>
      <w:bookmarkEnd w:id="207"/>
      <w:bookmarkEnd w:id="208"/>
      <w:bookmarkEnd w:id="209"/>
      <w:bookmarkEnd w:id="210"/>
      <w:bookmarkEnd w:id="211"/>
      <w:bookmarkEnd w:id="212"/>
      <w:bookmarkEnd w:id="213"/>
      <w:bookmarkEnd w:id="214"/>
      <w:bookmarkEnd w:id="215"/>
    </w:p>
    <w:p w:rsidR="00B65A71" w:rsidRPr="00E31B54" w:rsidRDefault="00B65A71" w:rsidP="00B65A71">
      <w:pPr>
        <w:rPr>
          <w:rFonts w:ascii="Constantia" w:hAnsi="Constantia"/>
        </w:rPr>
      </w:pPr>
      <w:r w:rsidRPr="00E31B54">
        <w:rPr>
          <w:rFonts w:ascii="Constantia" w:hAnsi="Constantia"/>
        </w:rPr>
        <w:t xml:space="preserve">Analiza obuhvata prirodne radionuklide 40K, 226Ra, 232Th, 7Be i vještački radionuklid 137Cs . </w:t>
      </w:r>
    </w:p>
    <w:p w:rsidR="00B65A71" w:rsidRPr="00E31B54" w:rsidRDefault="00B65A71" w:rsidP="00B65A71">
      <w:pPr>
        <w:rPr>
          <w:rFonts w:ascii="Constantia" w:hAnsi="Constantia"/>
        </w:rPr>
      </w:pPr>
      <w:r w:rsidRPr="00E31B54">
        <w:rPr>
          <w:rFonts w:ascii="Constantia" w:hAnsi="Constantia"/>
        </w:rPr>
        <w:t xml:space="preserve">Za ispitivanje sadržaja radionuklida u vazduhu, vazduh se uzorkuje pumpama i prolazi kroz filter prosječnim protokom od 500 m3/dan. Pumpa radi neprekidno 12 h, a usisnik pumpe za uzorkovanje je postavljen iza zgrade </w:t>
      </w:r>
      <w:r w:rsidR="000E388C">
        <w:rPr>
          <w:rFonts w:ascii="Constantia" w:hAnsi="Constantia"/>
        </w:rPr>
        <w:t>D.O.O. “Centar</w:t>
      </w:r>
      <w:r w:rsidRPr="00E31B54">
        <w:rPr>
          <w:rFonts w:ascii="Constantia" w:hAnsi="Constantia"/>
        </w:rPr>
        <w:t xml:space="preserve"> za ekotoksikološka ispitivanja</w:t>
      </w:r>
      <w:r w:rsidR="000E388C">
        <w:rPr>
          <w:rFonts w:ascii="Constantia" w:hAnsi="Constantia"/>
        </w:rPr>
        <w:t>”-</w:t>
      </w:r>
      <w:r w:rsidRPr="00E31B54">
        <w:rPr>
          <w:rFonts w:ascii="Constantia" w:hAnsi="Constantia"/>
        </w:rPr>
        <w:t xml:space="preserve"> Podgorica, na visini od 1m iznad nekultivisane travnate površine. Uzorkovanje se vrši svakodnevno i formiraju se zbirni mjesečni uzorci.</w:t>
      </w:r>
    </w:p>
    <w:p w:rsidR="00B65A71" w:rsidRPr="00E31B54" w:rsidRDefault="00B65A71" w:rsidP="00FA579A">
      <w:pPr>
        <w:rPr>
          <w:rFonts w:ascii="Constantia" w:hAnsi="Constantia"/>
        </w:rPr>
      </w:pPr>
      <w:r w:rsidRPr="00E31B54">
        <w:rPr>
          <w:rFonts w:ascii="Constantia" w:hAnsi="Constantia"/>
        </w:rPr>
        <w:t xml:space="preserve">U tabeli </w:t>
      </w:r>
      <w:r w:rsidR="00FA579A" w:rsidRPr="00E31B54">
        <w:rPr>
          <w:rFonts w:ascii="Constantia" w:hAnsi="Constantia"/>
        </w:rPr>
        <w:t>102</w:t>
      </w:r>
      <w:r w:rsidRPr="00E31B54">
        <w:rPr>
          <w:rFonts w:ascii="Constantia" w:hAnsi="Constantia"/>
        </w:rPr>
        <w:t xml:space="preserve"> su prikazane srednje vrijednosti specifičnih aktivnosti analiziranih radionuklida </w:t>
      </w:r>
      <w:r w:rsidR="000E388C">
        <w:rPr>
          <w:rFonts w:ascii="Constantia" w:hAnsi="Constantia"/>
        </w:rPr>
        <w:t xml:space="preserve">u vazduhu </w:t>
      </w:r>
      <w:r w:rsidRPr="00E31B54">
        <w:rPr>
          <w:rFonts w:ascii="Constantia" w:hAnsi="Constantia"/>
        </w:rPr>
        <w:t>(</w:t>
      </w:r>
      <w:r w:rsidR="000E388C">
        <w:rPr>
          <w:rFonts w:ascii="Constantia" w:hAnsi="Constantia"/>
        </w:rPr>
        <w:t>izraženih u Bq/m3) za 2013. godinu.</w:t>
      </w:r>
    </w:p>
    <w:p w:rsidR="00B65A71" w:rsidRPr="0000154C" w:rsidRDefault="00B65A71" w:rsidP="00B65A71">
      <w:pPr>
        <w:ind w:firstLine="720"/>
        <w:rPr>
          <w:rFonts w:ascii="Arial" w:hAnsi="Arial" w:cs="Arial"/>
          <w:szCs w:val="22"/>
        </w:rPr>
      </w:pPr>
    </w:p>
    <w:tbl>
      <w:tblPr>
        <w:tblW w:w="0" w:type="auto"/>
        <w:jc w:val="center"/>
        <w:tblInd w:w="1191"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Pr>
      <w:tblGrid>
        <w:gridCol w:w="1797"/>
        <w:gridCol w:w="3240"/>
      </w:tblGrid>
      <w:tr w:rsidR="00B65A71" w:rsidRPr="0000154C" w:rsidTr="00D62E53">
        <w:trPr>
          <w:jc w:val="center"/>
        </w:trPr>
        <w:tc>
          <w:tcPr>
            <w:tcW w:w="1797" w:type="dxa"/>
            <w:tcBorders>
              <w:top w:val="single" w:sz="8" w:space="0" w:color="FFFFFF"/>
              <w:left w:val="single" w:sz="8" w:space="0" w:color="FFFFFF"/>
              <w:bottom w:val="single" w:sz="24" w:space="0" w:color="FFFFFF"/>
              <w:right w:val="single" w:sz="8" w:space="0" w:color="FFFFFF"/>
            </w:tcBorders>
            <w:shd w:val="clear" w:color="auto" w:fill="9BD45F"/>
          </w:tcPr>
          <w:p w:rsidR="00B65A71" w:rsidRPr="003800A3" w:rsidRDefault="00B65A71" w:rsidP="00B65A71">
            <w:pPr>
              <w:rPr>
                <w:rFonts w:ascii="Arial" w:hAnsi="Arial" w:cs="Arial"/>
                <w:b/>
                <w:sz w:val="18"/>
                <w:szCs w:val="18"/>
                <w:lang w:val="sr-Latn-CS"/>
              </w:rPr>
            </w:pPr>
            <w:r w:rsidRPr="003800A3">
              <w:rPr>
                <w:rFonts w:ascii="Arial" w:hAnsi="Arial" w:cs="Arial"/>
                <w:b/>
                <w:sz w:val="18"/>
                <w:szCs w:val="18"/>
                <w:lang w:val="sr-Latn-CS"/>
              </w:rPr>
              <w:t>Radionuklid</w:t>
            </w:r>
          </w:p>
        </w:tc>
        <w:tc>
          <w:tcPr>
            <w:tcW w:w="3240" w:type="dxa"/>
            <w:tcBorders>
              <w:top w:val="single" w:sz="8" w:space="0" w:color="FFFFFF"/>
              <w:left w:val="single" w:sz="8" w:space="0" w:color="FFFFFF"/>
              <w:bottom w:val="single" w:sz="24" w:space="0" w:color="FFFFFF"/>
              <w:right w:val="single" w:sz="8" w:space="0" w:color="FFFFFF"/>
            </w:tcBorders>
            <w:shd w:val="clear" w:color="auto" w:fill="9BD45F"/>
          </w:tcPr>
          <w:p w:rsidR="00B65A71" w:rsidRPr="003800A3" w:rsidRDefault="00B65A71" w:rsidP="00B65A71">
            <w:pPr>
              <w:rPr>
                <w:rFonts w:ascii="Arial" w:hAnsi="Arial" w:cs="Arial"/>
                <w:b/>
                <w:sz w:val="18"/>
                <w:szCs w:val="18"/>
                <w:lang w:val="sr-Latn-CS"/>
              </w:rPr>
            </w:pPr>
            <w:r w:rsidRPr="003800A3">
              <w:rPr>
                <w:rFonts w:ascii="Arial" w:hAnsi="Arial" w:cs="Arial"/>
                <w:b/>
                <w:sz w:val="18"/>
                <w:szCs w:val="18"/>
                <w:lang w:val="sr-Latn-CS"/>
              </w:rPr>
              <w:t>Asr.vr (Bq/m</w:t>
            </w:r>
            <w:r w:rsidRPr="003800A3">
              <w:rPr>
                <w:rFonts w:ascii="Arial" w:hAnsi="Arial" w:cs="Arial"/>
                <w:b/>
                <w:sz w:val="18"/>
                <w:szCs w:val="18"/>
                <w:vertAlign w:val="superscript"/>
                <w:lang w:val="sr-Latn-CS"/>
              </w:rPr>
              <w:t>3</w:t>
            </w:r>
            <w:r w:rsidRPr="003800A3">
              <w:rPr>
                <w:rFonts w:ascii="Arial" w:hAnsi="Arial" w:cs="Arial"/>
                <w:b/>
                <w:sz w:val="18"/>
                <w:szCs w:val="18"/>
                <w:lang w:val="sr-Latn-CS"/>
              </w:rPr>
              <w:t>)</w:t>
            </w:r>
          </w:p>
        </w:tc>
      </w:tr>
      <w:tr w:rsidR="00B65A71" w:rsidRPr="0000154C" w:rsidTr="00D62E53">
        <w:trPr>
          <w:jc w:val="center"/>
        </w:trPr>
        <w:tc>
          <w:tcPr>
            <w:tcW w:w="1797" w:type="dxa"/>
            <w:tcBorders>
              <w:top w:val="single" w:sz="8" w:space="0" w:color="FFFFFF"/>
              <w:left w:val="single" w:sz="8" w:space="0" w:color="FFFFFF"/>
              <w:bottom w:val="nil"/>
              <w:right w:val="single" w:sz="24" w:space="0" w:color="FFFFFF"/>
            </w:tcBorders>
            <w:shd w:val="clear" w:color="auto" w:fill="9BD45F"/>
          </w:tcPr>
          <w:p w:rsidR="00B65A71" w:rsidRPr="003800A3" w:rsidRDefault="00B65A71" w:rsidP="00B65A71">
            <w:pPr>
              <w:rPr>
                <w:rFonts w:ascii="Arial" w:hAnsi="Arial" w:cs="Arial"/>
                <w:b/>
                <w:sz w:val="18"/>
                <w:szCs w:val="18"/>
                <w:lang w:val="sr-Latn-CS"/>
              </w:rPr>
            </w:pPr>
            <w:r>
              <w:rPr>
                <w:rFonts w:ascii="Arial" w:hAnsi="Arial" w:cs="Arial"/>
                <w:b/>
                <w:sz w:val="18"/>
                <w:szCs w:val="18"/>
                <w:vertAlign w:val="superscript"/>
                <w:lang w:val="sr-Latn-CS"/>
              </w:rPr>
              <w:t xml:space="preserve">                 </w:t>
            </w:r>
            <w:r w:rsidRPr="003800A3">
              <w:rPr>
                <w:rFonts w:ascii="Arial" w:hAnsi="Arial" w:cs="Arial"/>
                <w:b/>
                <w:sz w:val="18"/>
                <w:szCs w:val="18"/>
                <w:vertAlign w:val="superscript"/>
                <w:lang w:val="sr-Latn-CS"/>
              </w:rPr>
              <w:t>40</w:t>
            </w:r>
            <w:r w:rsidRPr="003800A3">
              <w:rPr>
                <w:rFonts w:ascii="Arial" w:hAnsi="Arial" w:cs="Arial"/>
                <w:b/>
                <w:sz w:val="18"/>
                <w:szCs w:val="18"/>
                <w:lang w:val="sr-Latn-CS"/>
              </w:rPr>
              <w:t>K</w:t>
            </w:r>
          </w:p>
        </w:tc>
        <w:tc>
          <w:tcPr>
            <w:tcW w:w="3240" w:type="dxa"/>
            <w:tcBorders>
              <w:top w:val="single" w:sz="8" w:space="0" w:color="FFFFFF"/>
              <w:left w:val="single" w:sz="8" w:space="0" w:color="FFFFFF"/>
              <w:bottom w:val="single" w:sz="8" w:space="0" w:color="FFFFFF"/>
              <w:right w:val="single" w:sz="8" w:space="0" w:color="FFFFFF"/>
            </w:tcBorders>
            <w:shd w:val="clear" w:color="auto" w:fill="CCE9AF"/>
          </w:tcPr>
          <w:p w:rsidR="00B65A71" w:rsidRPr="003800A3" w:rsidRDefault="00B65A71" w:rsidP="00B65A71">
            <w:pPr>
              <w:rPr>
                <w:rFonts w:ascii="Arial" w:hAnsi="Arial" w:cs="Arial"/>
                <w:sz w:val="18"/>
                <w:szCs w:val="18"/>
                <w:lang w:val="sr-Latn-CS"/>
              </w:rPr>
            </w:pPr>
            <w:r>
              <w:rPr>
                <w:rFonts w:ascii="Arial" w:hAnsi="Arial" w:cs="Arial"/>
                <w:sz w:val="18"/>
                <w:szCs w:val="18"/>
                <w:lang w:val="sr-Latn-CS"/>
              </w:rPr>
              <w:t xml:space="preserve">    0,79 </w:t>
            </w:r>
            <w:r w:rsidRPr="003800A3">
              <w:rPr>
                <w:rFonts w:ascii="Arial" w:hAnsi="Arial" w:cs="Arial"/>
                <w:sz w:val="18"/>
                <w:szCs w:val="18"/>
                <w:lang w:val="sr-Latn-CS"/>
              </w:rPr>
              <w:t>x</w:t>
            </w:r>
            <w:r>
              <w:rPr>
                <w:rFonts w:ascii="Arial" w:hAnsi="Arial" w:cs="Arial"/>
                <w:sz w:val="18"/>
                <w:szCs w:val="18"/>
                <w:lang w:val="sr-Latn-CS"/>
              </w:rPr>
              <w:t xml:space="preserve"> </w:t>
            </w:r>
            <w:r w:rsidRPr="003800A3">
              <w:rPr>
                <w:rFonts w:ascii="Arial" w:hAnsi="Arial" w:cs="Arial"/>
                <w:sz w:val="18"/>
                <w:szCs w:val="18"/>
                <w:lang w:val="sr-Latn-CS"/>
              </w:rPr>
              <w:t>10</w:t>
            </w:r>
            <w:r w:rsidRPr="003800A3">
              <w:rPr>
                <w:rFonts w:ascii="Arial" w:hAnsi="Arial" w:cs="Arial"/>
                <w:sz w:val="18"/>
                <w:szCs w:val="18"/>
                <w:vertAlign w:val="superscript"/>
                <w:lang w:val="sr-Latn-CS"/>
              </w:rPr>
              <w:t>-3</w:t>
            </w:r>
          </w:p>
        </w:tc>
      </w:tr>
      <w:tr w:rsidR="00B65A71" w:rsidRPr="0000154C" w:rsidTr="00D62E53">
        <w:trPr>
          <w:jc w:val="center"/>
        </w:trPr>
        <w:tc>
          <w:tcPr>
            <w:tcW w:w="1797" w:type="dxa"/>
            <w:tcBorders>
              <w:left w:val="single" w:sz="8" w:space="0" w:color="FFFFFF"/>
              <w:bottom w:val="nil"/>
              <w:right w:val="single" w:sz="24" w:space="0" w:color="FFFFFF"/>
            </w:tcBorders>
            <w:shd w:val="clear" w:color="auto" w:fill="9BD45F"/>
          </w:tcPr>
          <w:p w:rsidR="00B65A71" w:rsidRPr="003800A3" w:rsidRDefault="00B65A71" w:rsidP="00B65A71">
            <w:pPr>
              <w:rPr>
                <w:rFonts w:ascii="Arial" w:hAnsi="Arial" w:cs="Arial"/>
                <w:b/>
                <w:sz w:val="18"/>
                <w:szCs w:val="18"/>
                <w:lang w:val="sr-Latn-CS"/>
              </w:rPr>
            </w:pPr>
            <w:r>
              <w:rPr>
                <w:rFonts w:ascii="Arial" w:hAnsi="Arial" w:cs="Arial"/>
                <w:b/>
                <w:sz w:val="18"/>
                <w:szCs w:val="18"/>
                <w:vertAlign w:val="superscript"/>
                <w:lang w:val="sr-Latn-CS"/>
              </w:rPr>
              <w:t xml:space="preserve">               </w:t>
            </w:r>
            <w:r w:rsidRPr="003800A3">
              <w:rPr>
                <w:rFonts w:ascii="Arial" w:hAnsi="Arial" w:cs="Arial"/>
                <w:b/>
                <w:sz w:val="18"/>
                <w:szCs w:val="18"/>
                <w:vertAlign w:val="superscript"/>
                <w:lang w:val="sr-Latn-CS"/>
              </w:rPr>
              <w:t>137</w:t>
            </w:r>
            <w:r w:rsidRPr="003800A3">
              <w:rPr>
                <w:rFonts w:ascii="Arial" w:hAnsi="Arial" w:cs="Arial"/>
                <w:b/>
                <w:sz w:val="18"/>
                <w:szCs w:val="18"/>
                <w:lang w:val="sr-Latn-CS"/>
              </w:rPr>
              <w:t>Cs</w:t>
            </w:r>
          </w:p>
        </w:tc>
        <w:tc>
          <w:tcPr>
            <w:tcW w:w="3240" w:type="dxa"/>
            <w:shd w:val="clear" w:color="auto" w:fill="E6F4D7"/>
          </w:tcPr>
          <w:p w:rsidR="00B65A71" w:rsidRPr="003800A3" w:rsidRDefault="00B65A71" w:rsidP="00B65A71">
            <w:pPr>
              <w:rPr>
                <w:rFonts w:ascii="Arial" w:hAnsi="Arial" w:cs="Arial"/>
                <w:sz w:val="18"/>
                <w:szCs w:val="18"/>
                <w:lang w:val="sr-Latn-CS"/>
              </w:rPr>
            </w:pPr>
            <w:r>
              <w:rPr>
                <w:rFonts w:ascii="Arial" w:hAnsi="Arial" w:cs="Arial"/>
                <w:sz w:val="18"/>
                <w:szCs w:val="18"/>
                <w:lang w:val="sr-Latn-CS"/>
              </w:rPr>
              <w:t xml:space="preserve"> ≤ 8,0 </w:t>
            </w:r>
            <w:r w:rsidRPr="003800A3">
              <w:rPr>
                <w:rFonts w:ascii="Arial" w:hAnsi="Arial" w:cs="Arial"/>
                <w:sz w:val="18"/>
                <w:szCs w:val="18"/>
                <w:lang w:val="sr-Latn-CS"/>
              </w:rPr>
              <w:t>x</w:t>
            </w:r>
            <w:r>
              <w:rPr>
                <w:rFonts w:ascii="Arial" w:hAnsi="Arial" w:cs="Arial"/>
                <w:sz w:val="18"/>
                <w:szCs w:val="18"/>
                <w:lang w:val="sr-Latn-CS"/>
              </w:rPr>
              <w:t xml:space="preserve"> </w:t>
            </w:r>
            <w:r w:rsidRPr="003800A3">
              <w:rPr>
                <w:rFonts w:ascii="Arial" w:hAnsi="Arial" w:cs="Arial"/>
                <w:sz w:val="18"/>
                <w:szCs w:val="18"/>
                <w:lang w:val="sr-Latn-CS"/>
              </w:rPr>
              <w:t>10</w:t>
            </w:r>
            <w:r w:rsidRPr="003800A3">
              <w:rPr>
                <w:rFonts w:ascii="Arial" w:hAnsi="Arial" w:cs="Arial"/>
                <w:sz w:val="18"/>
                <w:szCs w:val="18"/>
                <w:vertAlign w:val="superscript"/>
                <w:lang w:val="sr-Latn-CS"/>
              </w:rPr>
              <w:t>-6</w:t>
            </w:r>
          </w:p>
        </w:tc>
      </w:tr>
      <w:tr w:rsidR="00B65A71" w:rsidRPr="0000154C" w:rsidTr="00D62E53">
        <w:trPr>
          <w:jc w:val="center"/>
        </w:trPr>
        <w:tc>
          <w:tcPr>
            <w:tcW w:w="1797" w:type="dxa"/>
            <w:tcBorders>
              <w:top w:val="single" w:sz="8" w:space="0" w:color="FFFFFF"/>
              <w:left w:val="single" w:sz="8" w:space="0" w:color="FFFFFF"/>
              <w:bottom w:val="nil"/>
              <w:right w:val="single" w:sz="24" w:space="0" w:color="FFFFFF"/>
            </w:tcBorders>
            <w:shd w:val="clear" w:color="auto" w:fill="9BD45F"/>
          </w:tcPr>
          <w:p w:rsidR="00B65A71" w:rsidRPr="003800A3" w:rsidRDefault="00B65A71" w:rsidP="00B65A71">
            <w:pPr>
              <w:rPr>
                <w:rFonts w:ascii="Arial" w:hAnsi="Arial" w:cs="Arial"/>
                <w:b/>
                <w:sz w:val="18"/>
                <w:szCs w:val="18"/>
                <w:lang w:val="sr-Latn-CS"/>
              </w:rPr>
            </w:pPr>
            <w:r>
              <w:rPr>
                <w:rFonts w:ascii="Arial" w:hAnsi="Arial" w:cs="Arial"/>
                <w:b/>
                <w:sz w:val="18"/>
                <w:szCs w:val="18"/>
                <w:vertAlign w:val="superscript"/>
                <w:lang w:val="sr-Latn-CS"/>
              </w:rPr>
              <w:t xml:space="preserve">               </w:t>
            </w:r>
            <w:r w:rsidRPr="003800A3">
              <w:rPr>
                <w:rFonts w:ascii="Arial" w:hAnsi="Arial" w:cs="Arial"/>
                <w:b/>
                <w:sz w:val="18"/>
                <w:szCs w:val="18"/>
                <w:vertAlign w:val="superscript"/>
                <w:lang w:val="sr-Latn-CS"/>
              </w:rPr>
              <w:t>226</w:t>
            </w:r>
            <w:r w:rsidRPr="003800A3">
              <w:rPr>
                <w:rFonts w:ascii="Arial" w:hAnsi="Arial" w:cs="Arial"/>
                <w:b/>
                <w:sz w:val="18"/>
                <w:szCs w:val="18"/>
                <w:lang w:val="sr-Latn-CS"/>
              </w:rPr>
              <w:t>Ra</w:t>
            </w:r>
          </w:p>
        </w:tc>
        <w:tc>
          <w:tcPr>
            <w:tcW w:w="3240" w:type="dxa"/>
            <w:tcBorders>
              <w:top w:val="single" w:sz="8" w:space="0" w:color="FFFFFF"/>
              <w:left w:val="single" w:sz="8" w:space="0" w:color="FFFFFF"/>
              <w:bottom w:val="single" w:sz="8" w:space="0" w:color="FFFFFF"/>
              <w:right w:val="single" w:sz="8" w:space="0" w:color="FFFFFF"/>
            </w:tcBorders>
            <w:shd w:val="clear" w:color="auto" w:fill="CCE9AF"/>
          </w:tcPr>
          <w:p w:rsidR="00B65A71" w:rsidRPr="003800A3" w:rsidRDefault="00B65A71" w:rsidP="00B65A71">
            <w:pPr>
              <w:rPr>
                <w:rFonts w:ascii="Arial" w:hAnsi="Arial" w:cs="Arial"/>
                <w:sz w:val="18"/>
                <w:szCs w:val="18"/>
                <w:lang w:val="sr-Latn-CS"/>
              </w:rPr>
            </w:pPr>
            <w:r>
              <w:rPr>
                <w:rFonts w:ascii="Arial" w:hAnsi="Arial" w:cs="Arial"/>
                <w:sz w:val="18"/>
                <w:szCs w:val="18"/>
                <w:lang w:val="sr-Latn-CS"/>
              </w:rPr>
              <w:t xml:space="preserve"> ≤ 14,67 </w:t>
            </w:r>
            <w:r w:rsidRPr="003800A3">
              <w:rPr>
                <w:rFonts w:ascii="Arial" w:hAnsi="Arial" w:cs="Arial"/>
                <w:sz w:val="18"/>
                <w:szCs w:val="18"/>
                <w:lang w:val="sr-Latn-CS"/>
              </w:rPr>
              <w:t>x10</w:t>
            </w:r>
            <w:r w:rsidRPr="003800A3">
              <w:rPr>
                <w:rFonts w:ascii="Arial" w:hAnsi="Arial" w:cs="Arial"/>
                <w:sz w:val="18"/>
                <w:szCs w:val="18"/>
                <w:vertAlign w:val="superscript"/>
                <w:lang w:val="sr-Latn-CS"/>
              </w:rPr>
              <w:t>-6</w:t>
            </w:r>
          </w:p>
        </w:tc>
      </w:tr>
      <w:tr w:rsidR="00B65A71" w:rsidRPr="0000154C" w:rsidTr="00D62E53">
        <w:trPr>
          <w:jc w:val="center"/>
        </w:trPr>
        <w:tc>
          <w:tcPr>
            <w:tcW w:w="1797" w:type="dxa"/>
            <w:tcBorders>
              <w:left w:val="single" w:sz="8" w:space="0" w:color="FFFFFF"/>
              <w:bottom w:val="nil"/>
              <w:right w:val="single" w:sz="24" w:space="0" w:color="FFFFFF"/>
            </w:tcBorders>
            <w:shd w:val="clear" w:color="auto" w:fill="9BD45F"/>
          </w:tcPr>
          <w:p w:rsidR="00B65A71" w:rsidRPr="003800A3" w:rsidRDefault="00B65A71" w:rsidP="00B65A71">
            <w:pPr>
              <w:rPr>
                <w:rFonts w:ascii="Arial" w:hAnsi="Arial" w:cs="Arial"/>
                <w:b/>
                <w:sz w:val="18"/>
                <w:szCs w:val="18"/>
                <w:lang w:val="sr-Latn-CS"/>
              </w:rPr>
            </w:pPr>
            <w:r>
              <w:rPr>
                <w:rFonts w:ascii="Arial" w:hAnsi="Arial" w:cs="Arial"/>
                <w:b/>
                <w:sz w:val="18"/>
                <w:szCs w:val="18"/>
                <w:vertAlign w:val="superscript"/>
                <w:lang w:val="sr-Latn-CS"/>
              </w:rPr>
              <w:t xml:space="preserve">              </w:t>
            </w:r>
            <w:r w:rsidRPr="003800A3">
              <w:rPr>
                <w:rFonts w:ascii="Arial" w:hAnsi="Arial" w:cs="Arial"/>
                <w:b/>
                <w:sz w:val="18"/>
                <w:szCs w:val="18"/>
                <w:vertAlign w:val="superscript"/>
                <w:lang w:val="sr-Latn-CS"/>
              </w:rPr>
              <w:t>232</w:t>
            </w:r>
            <w:r w:rsidRPr="003800A3">
              <w:rPr>
                <w:rFonts w:ascii="Arial" w:hAnsi="Arial" w:cs="Arial"/>
                <w:b/>
                <w:sz w:val="18"/>
                <w:szCs w:val="18"/>
                <w:lang w:val="sr-Latn-CS"/>
              </w:rPr>
              <w:t>Th</w:t>
            </w:r>
          </w:p>
        </w:tc>
        <w:tc>
          <w:tcPr>
            <w:tcW w:w="3240" w:type="dxa"/>
            <w:shd w:val="clear" w:color="auto" w:fill="E6F4D7"/>
          </w:tcPr>
          <w:p w:rsidR="00B65A71" w:rsidRPr="003800A3" w:rsidRDefault="00B65A71" w:rsidP="00B65A71">
            <w:pPr>
              <w:rPr>
                <w:rFonts w:ascii="Arial" w:hAnsi="Arial" w:cs="Arial"/>
                <w:sz w:val="18"/>
                <w:szCs w:val="18"/>
                <w:lang w:val="sr-Latn-CS"/>
              </w:rPr>
            </w:pPr>
            <w:r>
              <w:rPr>
                <w:rFonts w:ascii="Arial" w:hAnsi="Arial" w:cs="Arial"/>
                <w:sz w:val="18"/>
                <w:szCs w:val="18"/>
                <w:lang w:val="sr-Latn-CS"/>
              </w:rPr>
              <w:t xml:space="preserve"> ≤ 31,25 </w:t>
            </w:r>
            <w:r w:rsidRPr="003800A3">
              <w:rPr>
                <w:rFonts w:ascii="Arial" w:hAnsi="Arial" w:cs="Arial"/>
                <w:sz w:val="18"/>
                <w:szCs w:val="18"/>
                <w:lang w:val="sr-Latn-CS"/>
              </w:rPr>
              <w:t>x10</w:t>
            </w:r>
            <w:r w:rsidRPr="003800A3">
              <w:rPr>
                <w:rFonts w:ascii="Arial" w:hAnsi="Arial" w:cs="Arial"/>
                <w:sz w:val="18"/>
                <w:szCs w:val="18"/>
                <w:vertAlign w:val="superscript"/>
                <w:lang w:val="sr-Latn-CS"/>
              </w:rPr>
              <w:t>-6</w:t>
            </w:r>
          </w:p>
        </w:tc>
      </w:tr>
      <w:tr w:rsidR="00B65A71" w:rsidRPr="0000154C" w:rsidTr="00D62E53">
        <w:trPr>
          <w:jc w:val="center"/>
        </w:trPr>
        <w:tc>
          <w:tcPr>
            <w:tcW w:w="1797" w:type="dxa"/>
            <w:tcBorders>
              <w:top w:val="single" w:sz="8" w:space="0" w:color="FFFFFF"/>
              <w:left w:val="single" w:sz="8" w:space="0" w:color="FFFFFF"/>
              <w:bottom w:val="single" w:sz="8" w:space="0" w:color="FFFFFF"/>
              <w:right w:val="single" w:sz="24" w:space="0" w:color="FFFFFF"/>
            </w:tcBorders>
            <w:shd w:val="clear" w:color="auto" w:fill="9BD45F"/>
          </w:tcPr>
          <w:p w:rsidR="00B65A71" w:rsidRPr="003800A3" w:rsidRDefault="00B65A71" w:rsidP="00B65A71">
            <w:pPr>
              <w:rPr>
                <w:rFonts w:ascii="Arial" w:hAnsi="Arial" w:cs="Arial"/>
                <w:b/>
                <w:sz w:val="18"/>
                <w:szCs w:val="18"/>
                <w:lang w:val="sr-Latn-CS"/>
              </w:rPr>
            </w:pPr>
            <w:r>
              <w:rPr>
                <w:rFonts w:ascii="Arial" w:hAnsi="Arial" w:cs="Arial"/>
                <w:b/>
                <w:sz w:val="18"/>
                <w:szCs w:val="18"/>
                <w:vertAlign w:val="superscript"/>
                <w:lang w:val="sr-Latn-CS"/>
              </w:rPr>
              <w:t xml:space="preserve">                 </w:t>
            </w:r>
            <w:r w:rsidRPr="003800A3">
              <w:rPr>
                <w:rFonts w:ascii="Arial" w:hAnsi="Arial" w:cs="Arial"/>
                <w:b/>
                <w:sz w:val="18"/>
                <w:szCs w:val="18"/>
                <w:vertAlign w:val="superscript"/>
                <w:lang w:val="sr-Latn-CS"/>
              </w:rPr>
              <w:t>7</w:t>
            </w:r>
            <w:r w:rsidRPr="003800A3">
              <w:rPr>
                <w:rFonts w:ascii="Arial" w:hAnsi="Arial" w:cs="Arial"/>
                <w:b/>
                <w:sz w:val="18"/>
                <w:szCs w:val="18"/>
                <w:lang w:val="sr-Latn-CS"/>
              </w:rPr>
              <w:t>Be</w:t>
            </w:r>
          </w:p>
        </w:tc>
        <w:tc>
          <w:tcPr>
            <w:tcW w:w="3240" w:type="dxa"/>
            <w:tcBorders>
              <w:top w:val="single" w:sz="8" w:space="0" w:color="FFFFFF"/>
              <w:left w:val="single" w:sz="8" w:space="0" w:color="FFFFFF"/>
              <w:bottom w:val="single" w:sz="8" w:space="0" w:color="FFFFFF"/>
              <w:right w:val="single" w:sz="8" w:space="0" w:color="FFFFFF"/>
            </w:tcBorders>
            <w:shd w:val="clear" w:color="auto" w:fill="CCE9AF"/>
          </w:tcPr>
          <w:p w:rsidR="00B65A71" w:rsidRPr="003800A3" w:rsidRDefault="00B65A71" w:rsidP="00B65A71">
            <w:pPr>
              <w:rPr>
                <w:rFonts w:ascii="Arial" w:hAnsi="Arial" w:cs="Arial"/>
                <w:sz w:val="18"/>
                <w:szCs w:val="18"/>
                <w:lang w:val="sr-Latn-CS"/>
              </w:rPr>
            </w:pPr>
            <w:r>
              <w:rPr>
                <w:rFonts w:ascii="Arial" w:hAnsi="Arial" w:cs="Arial"/>
                <w:sz w:val="18"/>
                <w:szCs w:val="18"/>
                <w:lang w:val="sr-Latn-CS"/>
              </w:rPr>
              <w:t xml:space="preserve">      4,51 </w:t>
            </w:r>
            <w:r w:rsidRPr="003800A3">
              <w:rPr>
                <w:rFonts w:ascii="Arial" w:hAnsi="Arial" w:cs="Arial"/>
                <w:sz w:val="18"/>
                <w:szCs w:val="18"/>
                <w:lang w:val="sr-Latn-CS"/>
              </w:rPr>
              <w:t>x10</w:t>
            </w:r>
            <w:r w:rsidRPr="003800A3">
              <w:rPr>
                <w:rFonts w:ascii="Arial" w:hAnsi="Arial" w:cs="Arial"/>
                <w:sz w:val="18"/>
                <w:szCs w:val="18"/>
                <w:vertAlign w:val="superscript"/>
                <w:lang w:val="sr-Latn-CS"/>
              </w:rPr>
              <w:t>-3</w:t>
            </w:r>
          </w:p>
        </w:tc>
      </w:tr>
    </w:tbl>
    <w:p w:rsidR="00B65A71" w:rsidRPr="0000154C" w:rsidRDefault="00B65A71" w:rsidP="00D62E53">
      <w:pPr>
        <w:pStyle w:val="Tabele"/>
        <w:ind w:left="0" w:firstLine="0"/>
      </w:pPr>
      <w:r>
        <w:t>Srednja vrijednost specifičnih aktivnosti radionuklida u Podgorici za 2013. godinu</w:t>
      </w:r>
    </w:p>
    <w:p w:rsidR="00B65A71" w:rsidRPr="00E31B54" w:rsidRDefault="00B65A71" w:rsidP="00B65A71">
      <w:pPr>
        <w:rPr>
          <w:rFonts w:ascii="Constantia" w:hAnsi="Constantia"/>
        </w:rPr>
      </w:pPr>
      <w:r w:rsidRPr="00E31B54">
        <w:rPr>
          <w:rFonts w:ascii="Constantia" w:hAnsi="Constantia"/>
        </w:rPr>
        <w:t>Granice radioaktivne kontaminacije određene su granicama godišnjeg unosa (GGU) i izvedenim  koncentracija</w:t>
      </w:r>
      <w:r w:rsidR="0077224B">
        <w:rPr>
          <w:rFonts w:ascii="Constantia" w:hAnsi="Constantia"/>
        </w:rPr>
        <w:t>ma (IK) čiji je način proračuna</w:t>
      </w:r>
      <w:r w:rsidRPr="00E31B54">
        <w:rPr>
          <w:rFonts w:ascii="Constantia" w:hAnsi="Constantia"/>
        </w:rPr>
        <w:t xml:space="preserve"> dat u Pravilniku o granicama radioaktivne kontaminacije životne sredine i o načinu sprovo</w:t>
      </w:r>
      <w:r w:rsidR="0077224B">
        <w:rPr>
          <w:rFonts w:ascii="Constantia" w:hAnsi="Constantia"/>
        </w:rPr>
        <w:t>đenja dekontaminacije (“Sl.</w:t>
      </w:r>
      <w:r w:rsidRPr="00E31B54">
        <w:rPr>
          <w:rFonts w:ascii="Constantia" w:hAnsi="Constantia"/>
        </w:rPr>
        <w:t xml:space="preserve"> list SRJ” 9/99).</w:t>
      </w:r>
      <w:bookmarkStart w:id="216" w:name="_Toc319930912"/>
      <w:bookmarkStart w:id="217" w:name="_Toc319931723"/>
      <w:bookmarkStart w:id="218" w:name="_Toc320796893"/>
      <w:bookmarkStart w:id="219" w:name="_Toc321316120"/>
      <w:bookmarkStart w:id="220" w:name="_Toc352657391"/>
      <w:r w:rsidRPr="00E31B54">
        <w:rPr>
          <w:rFonts w:ascii="Constantia" w:hAnsi="Constantia"/>
        </w:rPr>
        <w:t xml:space="preserve"> GGU predstavlja ukupnu aktivnost određenog izotopa koju pojedinac smije da unese inhalacijom za period od jedne godine. Pojam IK predstavlja maksimalno dozvoljenu vrijednost koncentracije aktivnosti radionuklida u vazduhu preračunate na osnovu date GGU i procjene količine vazduha koju pojedinac  udahne za godinu da</w:t>
      </w:r>
      <w:bookmarkEnd w:id="216"/>
      <w:bookmarkEnd w:id="217"/>
      <w:bookmarkEnd w:id="218"/>
      <w:bookmarkEnd w:id="219"/>
      <w:r w:rsidRPr="00E31B54">
        <w:rPr>
          <w:rFonts w:ascii="Constantia" w:hAnsi="Constantia"/>
        </w:rPr>
        <w:t>na</w:t>
      </w:r>
      <w:bookmarkEnd w:id="220"/>
      <w:r w:rsidRPr="00E31B54">
        <w:rPr>
          <w:rFonts w:ascii="Constantia" w:hAnsi="Constantia"/>
        </w:rPr>
        <w:t>.</w:t>
      </w:r>
    </w:p>
    <w:p w:rsidR="00B65A71" w:rsidRPr="00E31B54" w:rsidRDefault="00B65A71" w:rsidP="00E31B54">
      <w:pPr>
        <w:rPr>
          <w:rFonts w:ascii="Constantia" w:hAnsi="Constantia"/>
        </w:rPr>
      </w:pPr>
      <w:r w:rsidRPr="00E31B54">
        <w:rPr>
          <w:rFonts w:ascii="Constantia" w:hAnsi="Constantia"/>
        </w:rPr>
        <w:t xml:space="preserve">Za proračun GGU i IK koje su prikazane u tabeli </w:t>
      </w:r>
      <w:r w:rsidR="00FA579A" w:rsidRPr="00E31B54">
        <w:rPr>
          <w:rFonts w:ascii="Constantia" w:hAnsi="Constantia"/>
        </w:rPr>
        <w:t>103</w:t>
      </w:r>
      <w:r w:rsidRPr="00E31B54">
        <w:rPr>
          <w:rFonts w:ascii="Constantia" w:hAnsi="Constantia"/>
        </w:rPr>
        <w:t xml:space="preserve"> koristile su se vrijednosti očekivane efektivne doze po jediničnom unošenju (e(g) izražene u Sv/Bq) za onu inhalacionu klasu radionuklida sa osobinom spore apsorbcije iz pluća u tjelesnu tečnost.</w:t>
      </w:r>
    </w:p>
    <w:p w:rsidR="00181A2D" w:rsidRPr="00E31B54" w:rsidRDefault="00181A2D" w:rsidP="00E31B54">
      <w:pPr>
        <w:rPr>
          <w:rFonts w:ascii="Constantia" w:hAnsi="Constantia"/>
        </w:rPr>
      </w:pPr>
    </w:p>
    <w:p w:rsidR="00B65A71" w:rsidRPr="004B5583" w:rsidRDefault="00B65A71" w:rsidP="00B65A71">
      <w:pPr>
        <w:autoSpaceDE w:val="0"/>
        <w:autoSpaceDN w:val="0"/>
        <w:adjustRightInd w:val="0"/>
        <w:spacing w:after="0"/>
        <w:rPr>
          <w:rFonts w:ascii="Arial" w:hAnsi="Arial" w:cs="Arial"/>
          <w:color w:val="68A22B" w:themeColor="accent1" w:themeShade="80"/>
          <w:szCs w:val="22"/>
          <w:lang w:val="sr-Latn-CS"/>
        </w:rPr>
      </w:pPr>
    </w:p>
    <w:tbl>
      <w:tblPr>
        <w:tblStyle w:val="MediumGrid3-Accent5"/>
        <w:tblW w:w="0" w:type="auto"/>
        <w:jc w:val="center"/>
        <w:tblLook w:val="04A0" w:firstRow="1" w:lastRow="0" w:firstColumn="1" w:lastColumn="0" w:noHBand="0" w:noVBand="1"/>
      </w:tblPr>
      <w:tblGrid>
        <w:gridCol w:w="1677"/>
        <w:gridCol w:w="1814"/>
        <w:gridCol w:w="1924"/>
        <w:gridCol w:w="1950"/>
        <w:gridCol w:w="1924"/>
      </w:tblGrid>
      <w:tr w:rsidR="00B65A71" w:rsidRPr="0000154C" w:rsidTr="00B65A7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77" w:type="dxa"/>
          </w:tcPr>
          <w:p w:rsidR="00B65A71" w:rsidRPr="00351AE3" w:rsidRDefault="00B65A71" w:rsidP="00B65A71">
            <w:pPr>
              <w:spacing w:after="0"/>
              <w:rPr>
                <w:rFonts w:ascii="Arial" w:hAnsi="Arial" w:cs="Arial"/>
                <w:bCs w:val="0"/>
                <w:color w:val="auto"/>
                <w:sz w:val="18"/>
                <w:szCs w:val="18"/>
                <w:lang w:val="sr-Latn-CS"/>
              </w:rPr>
            </w:pPr>
            <w:r w:rsidRPr="00351AE3">
              <w:rPr>
                <w:rFonts w:ascii="Arial" w:hAnsi="Arial" w:cs="Arial"/>
                <w:bCs w:val="0"/>
                <w:color w:val="auto"/>
                <w:sz w:val="18"/>
                <w:szCs w:val="18"/>
                <w:lang w:val="sr-Latn-CS"/>
              </w:rPr>
              <w:t>Vazduh</w:t>
            </w:r>
          </w:p>
        </w:tc>
        <w:tc>
          <w:tcPr>
            <w:tcW w:w="1814" w:type="dxa"/>
          </w:tcPr>
          <w:p w:rsidR="00B65A71" w:rsidRPr="00351AE3" w:rsidRDefault="00B65A71" w:rsidP="00B65A71">
            <w:pPr>
              <w:spacing w:after="0"/>
              <w:cnfStyle w:val="100000000000" w:firstRow="1"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40K(Bq/god</w:t>
            </w:r>
            <w:r w:rsidRPr="00351AE3">
              <w:rPr>
                <w:rFonts w:ascii="Arial" w:hAnsi="Arial" w:cs="Arial"/>
                <w:color w:val="000000"/>
                <w:sz w:val="18"/>
                <w:szCs w:val="18"/>
              </w:rPr>
              <w:t>)</w:t>
            </w:r>
          </w:p>
        </w:tc>
        <w:tc>
          <w:tcPr>
            <w:tcW w:w="1924" w:type="dxa"/>
          </w:tcPr>
          <w:p w:rsidR="00B65A71" w:rsidRPr="00351AE3" w:rsidRDefault="00B65A71" w:rsidP="00B65A71">
            <w:pPr>
              <w:spacing w:after="0"/>
              <w:cnfStyle w:val="100000000000" w:firstRow="1"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137Cs(Bq/god</w:t>
            </w:r>
            <w:r w:rsidRPr="00351AE3">
              <w:rPr>
                <w:rFonts w:ascii="Arial" w:hAnsi="Arial" w:cs="Arial"/>
                <w:color w:val="000000"/>
                <w:sz w:val="18"/>
                <w:szCs w:val="18"/>
              </w:rPr>
              <w:t>)</w:t>
            </w:r>
          </w:p>
        </w:tc>
        <w:tc>
          <w:tcPr>
            <w:tcW w:w="1950" w:type="dxa"/>
          </w:tcPr>
          <w:p w:rsidR="00B65A71" w:rsidRPr="00351AE3" w:rsidRDefault="00B65A71" w:rsidP="00B65A71">
            <w:pPr>
              <w:spacing w:after="0"/>
              <w:cnfStyle w:val="100000000000" w:firstRow="1"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226Ra(Bq/god</w:t>
            </w:r>
            <w:r w:rsidRPr="00351AE3">
              <w:rPr>
                <w:rFonts w:ascii="Arial" w:hAnsi="Arial" w:cs="Arial"/>
                <w:color w:val="000000"/>
                <w:sz w:val="18"/>
                <w:szCs w:val="18"/>
              </w:rPr>
              <w:t>)</w:t>
            </w:r>
          </w:p>
        </w:tc>
        <w:tc>
          <w:tcPr>
            <w:tcW w:w="1924" w:type="dxa"/>
          </w:tcPr>
          <w:p w:rsidR="00B65A71" w:rsidRPr="00351AE3" w:rsidRDefault="00B65A71" w:rsidP="00B65A71">
            <w:pPr>
              <w:spacing w:after="0"/>
              <w:cnfStyle w:val="100000000000" w:firstRow="1"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232Th(Bq/god</w:t>
            </w:r>
            <w:r w:rsidRPr="00351AE3">
              <w:rPr>
                <w:rFonts w:ascii="Arial" w:hAnsi="Arial" w:cs="Arial"/>
                <w:color w:val="000000"/>
                <w:sz w:val="18"/>
                <w:szCs w:val="18"/>
              </w:rPr>
              <w:t>)</w:t>
            </w:r>
          </w:p>
        </w:tc>
      </w:tr>
      <w:tr w:rsidR="00B65A71" w:rsidRPr="0000154C" w:rsidTr="00B65A7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77" w:type="dxa"/>
          </w:tcPr>
          <w:p w:rsidR="00B65A71" w:rsidRPr="00351AE3" w:rsidRDefault="00B65A71" w:rsidP="00B65A71">
            <w:pPr>
              <w:spacing w:after="0"/>
              <w:rPr>
                <w:rFonts w:ascii="Arial" w:hAnsi="Arial" w:cs="Arial"/>
                <w:bCs w:val="0"/>
                <w:color w:val="auto"/>
                <w:sz w:val="18"/>
                <w:szCs w:val="18"/>
                <w:lang w:val="sr-Latn-CS"/>
              </w:rPr>
            </w:pPr>
            <w:r w:rsidRPr="00351AE3">
              <w:rPr>
                <w:rFonts w:ascii="Arial" w:hAnsi="Arial" w:cs="Arial"/>
                <w:bCs w:val="0"/>
                <w:color w:val="auto"/>
                <w:sz w:val="18"/>
                <w:szCs w:val="18"/>
                <w:lang w:val="sr-Latn-CS"/>
              </w:rPr>
              <w:t>GGU</w:t>
            </w:r>
          </w:p>
        </w:tc>
        <w:tc>
          <w:tcPr>
            <w:tcW w:w="1814" w:type="dxa"/>
          </w:tcPr>
          <w:p w:rsidR="00B65A71" w:rsidRPr="00351AE3" w:rsidRDefault="00B65A71" w:rsidP="00B65A71">
            <w:pPr>
              <w:spacing w:after="0"/>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351AE3">
              <w:rPr>
                <w:rFonts w:ascii="Arial" w:hAnsi="Arial" w:cs="Arial"/>
                <w:color w:val="000000"/>
                <w:sz w:val="18"/>
                <w:szCs w:val="18"/>
              </w:rPr>
              <w:t>4762</w:t>
            </w:r>
          </w:p>
        </w:tc>
        <w:tc>
          <w:tcPr>
            <w:tcW w:w="1924" w:type="dxa"/>
          </w:tcPr>
          <w:p w:rsidR="00B65A71" w:rsidRPr="00351AE3" w:rsidRDefault="00B65A71" w:rsidP="00B65A71">
            <w:pPr>
              <w:spacing w:after="0"/>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351AE3">
              <w:rPr>
                <w:rFonts w:ascii="Arial" w:hAnsi="Arial" w:cs="Arial"/>
                <w:color w:val="000000"/>
                <w:sz w:val="18"/>
                <w:szCs w:val="18"/>
              </w:rPr>
              <w:t>256</w:t>
            </w:r>
          </w:p>
        </w:tc>
        <w:tc>
          <w:tcPr>
            <w:tcW w:w="1950" w:type="dxa"/>
          </w:tcPr>
          <w:p w:rsidR="00B65A71" w:rsidRPr="00351AE3" w:rsidRDefault="00B65A71" w:rsidP="00B65A71">
            <w:pPr>
              <w:spacing w:after="0"/>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351AE3">
              <w:rPr>
                <w:rFonts w:ascii="Arial" w:hAnsi="Arial" w:cs="Arial"/>
                <w:color w:val="000000"/>
                <w:sz w:val="18"/>
                <w:szCs w:val="18"/>
              </w:rPr>
              <w:t>1.05</w:t>
            </w:r>
          </w:p>
        </w:tc>
        <w:tc>
          <w:tcPr>
            <w:tcW w:w="1924" w:type="dxa"/>
          </w:tcPr>
          <w:p w:rsidR="00B65A71" w:rsidRPr="00351AE3" w:rsidRDefault="00B65A71" w:rsidP="00B65A71">
            <w:pPr>
              <w:spacing w:after="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51AE3">
              <w:rPr>
                <w:rFonts w:ascii="Arial" w:hAnsi="Arial" w:cs="Arial"/>
                <w:sz w:val="18"/>
                <w:szCs w:val="18"/>
              </w:rPr>
              <w:t>0.4</w:t>
            </w:r>
          </w:p>
        </w:tc>
      </w:tr>
      <w:tr w:rsidR="00B65A71" w:rsidRPr="0000154C" w:rsidTr="00B65A71">
        <w:trPr>
          <w:jc w:val="center"/>
        </w:trPr>
        <w:tc>
          <w:tcPr>
            <w:cnfStyle w:val="001000000000" w:firstRow="0" w:lastRow="0" w:firstColumn="1" w:lastColumn="0" w:oddVBand="0" w:evenVBand="0" w:oddHBand="0" w:evenHBand="0" w:firstRowFirstColumn="0" w:firstRowLastColumn="0" w:lastRowFirstColumn="0" w:lastRowLastColumn="0"/>
            <w:tcW w:w="1677" w:type="dxa"/>
            <w:shd w:val="clear" w:color="auto" w:fill="FFFFFF" w:themeFill="background1"/>
          </w:tcPr>
          <w:p w:rsidR="00B65A71" w:rsidRDefault="00B65A71" w:rsidP="00B65A71">
            <w:pPr>
              <w:spacing w:after="0"/>
              <w:rPr>
                <w:rFonts w:ascii="Arial" w:hAnsi="Arial" w:cs="Arial"/>
                <w:bCs w:val="0"/>
                <w:sz w:val="18"/>
                <w:szCs w:val="18"/>
                <w:lang w:val="sr-Latn-CS"/>
              </w:rPr>
            </w:pPr>
          </w:p>
          <w:p w:rsidR="00B65A71" w:rsidRPr="00351AE3" w:rsidRDefault="00B65A71" w:rsidP="00B65A71">
            <w:pPr>
              <w:spacing w:after="0"/>
              <w:rPr>
                <w:rFonts w:ascii="Arial" w:hAnsi="Arial" w:cs="Arial"/>
                <w:bCs w:val="0"/>
                <w:sz w:val="18"/>
                <w:szCs w:val="18"/>
                <w:lang w:val="sr-Latn-CS"/>
              </w:rPr>
            </w:pPr>
          </w:p>
        </w:tc>
        <w:tc>
          <w:tcPr>
            <w:tcW w:w="1814" w:type="dxa"/>
            <w:shd w:val="clear" w:color="auto" w:fill="FFFFFF" w:themeFill="background1"/>
          </w:tcPr>
          <w:p w:rsidR="00B65A71" w:rsidRPr="00351AE3" w:rsidRDefault="00B65A71" w:rsidP="00B65A71">
            <w:pPr>
              <w:spacing w:after="0"/>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924" w:type="dxa"/>
            <w:shd w:val="clear" w:color="auto" w:fill="FFFFFF" w:themeFill="background1"/>
          </w:tcPr>
          <w:p w:rsidR="00B65A71" w:rsidRPr="00351AE3" w:rsidRDefault="00B65A71" w:rsidP="00B65A71">
            <w:pPr>
              <w:spacing w:after="0"/>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950" w:type="dxa"/>
            <w:shd w:val="clear" w:color="auto" w:fill="FFFFFF" w:themeFill="background1"/>
          </w:tcPr>
          <w:p w:rsidR="00B65A71" w:rsidRPr="00351AE3" w:rsidRDefault="00B65A71" w:rsidP="00B65A71">
            <w:pPr>
              <w:spacing w:after="0"/>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924" w:type="dxa"/>
            <w:shd w:val="clear" w:color="auto" w:fill="FFFFFF" w:themeFill="background1"/>
          </w:tcPr>
          <w:p w:rsidR="00B65A71" w:rsidRPr="00351AE3" w:rsidRDefault="00B65A71" w:rsidP="00B65A71">
            <w:pPr>
              <w:spacing w:after="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B65A71" w:rsidRPr="0000154C" w:rsidTr="00B65A7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77" w:type="dxa"/>
          </w:tcPr>
          <w:p w:rsidR="00B65A71" w:rsidRPr="00351AE3" w:rsidRDefault="00B65A71" w:rsidP="00B65A71">
            <w:pPr>
              <w:spacing w:after="0"/>
              <w:rPr>
                <w:rFonts w:ascii="Arial" w:hAnsi="Arial" w:cs="Arial"/>
                <w:bCs w:val="0"/>
                <w:color w:val="auto"/>
                <w:sz w:val="18"/>
                <w:szCs w:val="18"/>
                <w:lang w:val="sr-Latn-CS"/>
              </w:rPr>
            </w:pPr>
            <w:r w:rsidRPr="00351AE3">
              <w:rPr>
                <w:rFonts w:ascii="Arial" w:hAnsi="Arial" w:cs="Arial"/>
                <w:bCs w:val="0"/>
                <w:color w:val="auto"/>
                <w:sz w:val="18"/>
                <w:szCs w:val="18"/>
                <w:lang w:val="sr-Latn-CS"/>
              </w:rPr>
              <w:t>Vazduh</w:t>
            </w:r>
          </w:p>
        </w:tc>
        <w:tc>
          <w:tcPr>
            <w:tcW w:w="1814" w:type="dxa"/>
          </w:tcPr>
          <w:p w:rsidR="00B65A71" w:rsidRPr="00351AE3" w:rsidRDefault="00B65A71" w:rsidP="00B65A71">
            <w:pPr>
              <w:spacing w:after="0"/>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351AE3">
              <w:rPr>
                <w:rFonts w:ascii="Arial" w:hAnsi="Arial" w:cs="Arial"/>
                <w:color w:val="000000"/>
                <w:sz w:val="18"/>
                <w:szCs w:val="18"/>
              </w:rPr>
              <w:t>40K (10</w:t>
            </w:r>
            <w:r w:rsidRPr="00351AE3">
              <w:rPr>
                <w:rFonts w:ascii="Arial" w:hAnsi="Arial" w:cs="Arial"/>
                <w:color w:val="000000"/>
                <w:sz w:val="18"/>
                <w:szCs w:val="18"/>
                <w:vertAlign w:val="superscript"/>
              </w:rPr>
              <w:t>-3</w:t>
            </w:r>
            <w:r w:rsidRPr="00351AE3">
              <w:rPr>
                <w:rFonts w:ascii="Arial" w:hAnsi="Arial" w:cs="Arial"/>
                <w:color w:val="000000"/>
                <w:sz w:val="18"/>
                <w:szCs w:val="18"/>
              </w:rPr>
              <w:t>Bq/m</w:t>
            </w:r>
            <w:r w:rsidRPr="00351AE3">
              <w:rPr>
                <w:rFonts w:ascii="Arial" w:hAnsi="Arial" w:cs="Arial"/>
                <w:color w:val="000000"/>
                <w:sz w:val="18"/>
                <w:szCs w:val="18"/>
                <w:vertAlign w:val="superscript"/>
              </w:rPr>
              <w:t>3</w:t>
            </w:r>
            <w:r w:rsidRPr="00351AE3">
              <w:rPr>
                <w:rFonts w:ascii="Arial" w:hAnsi="Arial" w:cs="Arial"/>
                <w:color w:val="000000"/>
                <w:sz w:val="18"/>
                <w:szCs w:val="18"/>
              </w:rPr>
              <w:t>)</w:t>
            </w:r>
          </w:p>
        </w:tc>
        <w:tc>
          <w:tcPr>
            <w:tcW w:w="1924" w:type="dxa"/>
          </w:tcPr>
          <w:p w:rsidR="00B65A71" w:rsidRPr="00351AE3" w:rsidRDefault="00B65A71" w:rsidP="00B65A71">
            <w:pPr>
              <w:spacing w:after="0"/>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351AE3">
              <w:rPr>
                <w:rFonts w:ascii="Arial" w:hAnsi="Arial" w:cs="Arial"/>
                <w:color w:val="000000"/>
                <w:sz w:val="18"/>
                <w:szCs w:val="18"/>
              </w:rPr>
              <w:t>137Cs (10</w:t>
            </w:r>
            <w:r w:rsidRPr="00351AE3">
              <w:rPr>
                <w:rFonts w:ascii="Arial" w:hAnsi="Arial" w:cs="Arial"/>
                <w:color w:val="000000"/>
                <w:sz w:val="18"/>
                <w:szCs w:val="18"/>
                <w:vertAlign w:val="superscript"/>
              </w:rPr>
              <w:t>-6</w:t>
            </w:r>
            <w:r w:rsidRPr="00351AE3">
              <w:rPr>
                <w:rFonts w:ascii="Arial" w:hAnsi="Arial" w:cs="Arial"/>
                <w:color w:val="000000"/>
                <w:sz w:val="18"/>
                <w:szCs w:val="18"/>
              </w:rPr>
              <w:t>Bq/m</w:t>
            </w:r>
            <w:r w:rsidRPr="00351AE3">
              <w:rPr>
                <w:rFonts w:ascii="Arial" w:hAnsi="Arial" w:cs="Arial"/>
                <w:color w:val="000000"/>
                <w:sz w:val="18"/>
                <w:szCs w:val="18"/>
                <w:vertAlign w:val="superscript"/>
              </w:rPr>
              <w:t>3</w:t>
            </w:r>
            <w:r w:rsidRPr="00351AE3">
              <w:rPr>
                <w:rFonts w:ascii="Arial" w:hAnsi="Arial" w:cs="Arial"/>
                <w:color w:val="000000"/>
                <w:sz w:val="18"/>
                <w:szCs w:val="18"/>
              </w:rPr>
              <w:t>)</w:t>
            </w:r>
          </w:p>
        </w:tc>
        <w:tc>
          <w:tcPr>
            <w:tcW w:w="1950" w:type="dxa"/>
          </w:tcPr>
          <w:p w:rsidR="00B65A71" w:rsidRPr="00351AE3" w:rsidRDefault="00B65A71" w:rsidP="00B65A71">
            <w:pPr>
              <w:spacing w:after="0"/>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351AE3">
              <w:rPr>
                <w:rFonts w:ascii="Arial" w:hAnsi="Arial" w:cs="Arial"/>
                <w:color w:val="000000"/>
                <w:sz w:val="18"/>
                <w:szCs w:val="18"/>
              </w:rPr>
              <w:t>226 Ra (10</w:t>
            </w:r>
            <w:r w:rsidRPr="00351AE3">
              <w:rPr>
                <w:rFonts w:ascii="Arial" w:hAnsi="Arial" w:cs="Arial"/>
                <w:color w:val="000000"/>
                <w:sz w:val="18"/>
                <w:szCs w:val="18"/>
                <w:vertAlign w:val="superscript"/>
              </w:rPr>
              <w:t>-6</w:t>
            </w:r>
            <w:r w:rsidRPr="00351AE3">
              <w:rPr>
                <w:rFonts w:ascii="Arial" w:hAnsi="Arial" w:cs="Arial"/>
                <w:color w:val="000000"/>
                <w:sz w:val="18"/>
                <w:szCs w:val="18"/>
              </w:rPr>
              <w:t>Bq/m</w:t>
            </w:r>
            <w:r w:rsidRPr="00351AE3">
              <w:rPr>
                <w:rFonts w:ascii="Arial" w:hAnsi="Arial" w:cs="Arial"/>
                <w:color w:val="000000"/>
                <w:sz w:val="18"/>
                <w:szCs w:val="18"/>
                <w:vertAlign w:val="superscript"/>
              </w:rPr>
              <w:t>3</w:t>
            </w:r>
            <w:r w:rsidRPr="00351AE3">
              <w:rPr>
                <w:rFonts w:ascii="Arial" w:hAnsi="Arial" w:cs="Arial"/>
                <w:color w:val="000000"/>
                <w:sz w:val="18"/>
                <w:szCs w:val="18"/>
              </w:rPr>
              <w:t>)</w:t>
            </w:r>
          </w:p>
        </w:tc>
        <w:tc>
          <w:tcPr>
            <w:tcW w:w="1924" w:type="dxa"/>
          </w:tcPr>
          <w:p w:rsidR="00B65A71" w:rsidRPr="00351AE3" w:rsidRDefault="00B65A71" w:rsidP="00B65A71">
            <w:pPr>
              <w:spacing w:after="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51AE3">
              <w:rPr>
                <w:rFonts w:ascii="Arial" w:hAnsi="Arial" w:cs="Arial"/>
                <w:sz w:val="18"/>
                <w:szCs w:val="18"/>
              </w:rPr>
              <w:t>232Th (10</w:t>
            </w:r>
            <w:r w:rsidRPr="00351AE3">
              <w:rPr>
                <w:rFonts w:ascii="Arial" w:hAnsi="Arial" w:cs="Arial"/>
                <w:sz w:val="18"/>
                <w:szCs w:val="18"/>
                <w:vertAlign w:val="superscript"/>
              </w:rPr>
              <w:t>-6</w:t>
            </w:r>
            <w:r w:rsidRPr="00351AE3">
              <w:rPr>
                <w:rFonts w:ascii="Arial" w:hAnsi="Arial" w:cs="Arial"/>
                <w:sz w:val="18"/>
                <w:szCs w:val="18"/>
              </w:rPr>
              <w:t>Bq/m</w:t>
            </w:r>
            <w:r w:rsidRPr="00351AE3">
              <w:rPr>
                <w:rFonts w:ascii="Arial" w:hAnsi="Arial" w:cs="Arial"/>
                <w:sz w:val="18"/>
                <w:szCs w:val="18"/>
                <w:vertAlign w:val="superscript"/>
              </w:rPr>
              <w:t>3</w:t>
            </w:r>
            <w:r w:rsidRPr="00351AE3">
              <w:rPr>
                <w:rFonts w:ascii="Arial" w:hAnsi="Arial" w:cs="Arial"/>
                <w:sz w:val="18"/>
                <w:szCs w:val="18"/>
              </w:rPr>
              <w:t>)</w:t>
            </w:r>
          </w:p>
        </w:tc>
      </w:tr>
      <w:tr w:rsidR="00B65A71" w:rsidRPr="0000154C" w:rsidTr="00B65A71">
        <w:trPr>
          <w:jc w:val="center"/>
        </w:trPr>
        <w:tc>
          <w:tcPr>
            <w:cnfStyle w:val="001000000000" w:firstRow="0" w:lastRow="0" w:firstColumn="1" w:lastColumn="0" w:oddVBand="0" w:evenVBand="0" w:oddHBand="0" w:evenHBand="0" w:firstRowFirstColumn="0" w:firstRowLastColumn="0" w:lastRowFirstColumn="0" w:lastRowLastColumn="0"/>
            <w:tcW w:w="1677" w:type="dxa"/>
          </w:tcPr>
          <w:p w:rsidR="00B65A71" w:rsidRPr="00351AE3" w:rsidRDefault="00B65A71" w:rsidP="00B65A71">
            <w:pPr>
              <w:spacing w:after="0"/>
              <w:rPr>
                <w:rFonts w:ascii="Arial" w:hAnsi="Arial" w:cs="Arial"/>
                <w:bCs w:val="0"/>
                <w:color w:val="FFFFFF"/>
                <w:sz w:val="18"/>
                <w:szCs w:val="18"/>
                <w:lang w:val="sr-Latn-CS"/>
              </w:rPr>
            </w:pPr>
            <w:r w:rsidRPr="00351AE3">
              <w:rPr>
                <w:rFonts w:ascii="Arial" w:hAnsi="Arial" w:cs="Arial"/>
                <w:bCs w:val="0"/>
                <w:color w:val="000000"/>
                <w:sz w:val="18"/>
                <w:szCs w:val="18"/>
              </w:rPr>
              <w:lastRenderedPageBreak/>
              <w:t>IK</w:t>
            </w:r>
          </w:p>
        </w:tc>
        <w:tc>
          <w:tcPr>
            <w:tcW w:w="1814" w:type="dxa"/>
          </w:tcPr>
          <w:p w:rsidR="00B65A71" w:rsidRPr="00351AE3" w:rsidRDefault="00B65A71" w:rsidP="00B65A71">
            <w:pPr>
              <w:spacing w:after="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r-Latn-CS"/>
              </w:rPr>
            </w:pPr>
            <w:r w:rsidRPr="00351AE3">
              <w:rPr>
                <w:rFonts w:ascii="Arial" w:hAnsi="Arial" w:cs="Arial"/>
                <w:sz w:val="18"/>
                <w:szCs w:val="18"/>
                <w:lang w:val="sr-Latn-CS"/>
              </w:rPr>
              <w:t>661</w:t>
            </w:r>
          </w:p>
        </w:tc>
        <w:tc>
          <w:tcPr>
            <w:tcW w:w="1924" w:type="dxa"/>
          </w:tcPr>
          <w:p w:rsidR="00B65A71" w:rsidRPr="00351AE3" w:rsidRDefault="00B65A71" w:rsidP="00B65A71">
            <w:pPr>
              <w:spacing w:after="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r-Latn-CS"/>
              </w:rPr>
            </w:pPr>
            <w:r w:rsidRPr="00351AE3">
              <w:rPr>
                <w:rFonts w:ascii="Arial" w:hAnsi="Arial" w:cs="Arial"/>
                <w:sz w:val="18"/>
                <w:szCs w:val="18"/>
                <w:lang w:val="sr-Latn-CS"/>
              </w:rPr>
              <w:t>35556</w:t>
            </w:r>
          </w:p>
        </w:tc>
        <w:tc>
          <w:tcPr>
            <w:tcW w:w="1950" w:type="dxa"/>
          </w:tcPr>
          <w:p w:rsidR="00B65A71" w:rsidRPr="00351AE3" w:rsidRDefault="00B65A71" w:rsidP="00B65A71">
            <w:pPr>
              <w:spacing w:after="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r-Latn-CS"/>
              </w:rPr>
            </w:pPr>
            <w:r w:rsidRPr="00351AE3">
              <w:rPr>
                <w:rFonts w:ascii="Arial" w:hAnsi="Arial" w:cs="Arial"/>
                <w:sz w:val="18"/>
                <w:szCs w:val="18"/>
                <w:lang w:val="sr-Latn-CS"/>
              </w:rPr>
              <w:t>146</w:t>
            </w:r>
          </w:p>
        </w:tc>
        <w:tc>
          <w:tcPr>
            <w:tcW w:w="1924" w:type="dxa"/>
          </w:tcPr>
          <w:p w:rsidR="00B65A71" w:rsidRPr="00351AE3" w:rsidRDefault="00B65A71" w:rsidP="00B65A71">
            <w:pPr>
              <w:spacing w:after="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r-Latn-CS"/>
              </w:rPr>
            </w:pPr>
            <w:r w:rsidRPr="00351AE3">
              <w:rPr>
                <w:rFonts w:ascii="Arial" w:hAnsi="Arial" w:cs="Arial"/>
                <w:sz w:val="18"/>
                <w:szCs w:val="18"/>
                <w:lang w:val="sr-Latn-CS"/>
              </w:rPr>
              <w:t>56</w:t>
            </w:r>
          </w:p>
        </w:tc>
      </w:tr>
    </w:tbl>
    <w:p w:rsidR="00B65A71" w:rsidRPr="00181A2D" w:rsidRDefault="00B65A71" w:rsidP="00B65A71">
      <w:pPr>
        <w:pStyle w:val="Tabele"/>
        <w:ind w:left="0" w:firstLine="0"/>
        <w:rPr>
          <w:sz w:val="18"/>
          <w:szCs w:val="18"/>
        </w:rPr>
      </w:pPr>
      <w:r>
        <w:t>G</w:t>
      </w:r>
      <w:r w:rsidRPr="00B369A2">
        <w:t>ranice godišnjeg unosa (GGU) i izvedene koncentracije (IK) za vazduh</w:t>
      </w:r>
      <w:r>
        <w:rPr>
          <w:sz w:val="18"/>
          <w:szCs w:val="18"/>
        </w:rPr>
        <w:t>.</w:t>
      </w:r>
      <w:r w:rsidRPr="0074791B">
        <w:rPr>
          <w:sz w:val="18"/>
          <w:szCs w:val="18"/>
        </w:rPr>
        <w:t xml:space="preserve"> </w:t>
      </w:r>
    </w:p>
    <w:p w:rsidR="00B65A71" w:rsidRPr="0077224B" w:rsidRDefault="00B65A71" w:rsidP="00B65A71">
      <w:pPr>
        <w:rPr>
          <w:rFonts w:ascii="Constantia" w:hAnsi="Constantia"/>
          <w:b/>
        </w:rPr>
      </w:pPr>
      <w:r w:rsidRPr="00790CC9">
        <w:rPr>
          <w:rFonts w:ascii="Constantia" w:hAnsi="Constantia"/>
          <w:b/>
        </w:rPr>
        <w:t>Zaključak:</w:t>
      </w:r>
      <w:r w:rsidRPr="00790CC9">
        <w:rPr>
          <w:rFonts w:ascii="Constantia" w:hAnsi="Constantia"/>
        </w:rPr>
        <w:t xml:space="preserve"> </w:t>
      </w:r>
      <w:r w:rsidRPr="0077224B">
        <w:rPr>
          <w:rFonts w:ascii="Constantia" w:hAnsi="Constantia"/>
          <w:b/>
        </w:rPr>
        <w:t>Sve vrijednosti koncentracija aktivnosti radionuklida u uzorcima vazduha su manje od maksimalno dozvoljenih datih u domaćem zakonodavstvu što se zaključuje njihovim upoređivanjem sa vrijednostima IK (tabela</w:t>
      </w:r>
      <w:r w:rsidR="00181A2D" w:rsidRPr="0077224B">
        <w:rPr>
          <w:rFonts w:ascii="Constantia" w:hAnsi="Constantia"/>
          <w:b/>
        </w:rPr>
        <w:t xml:space="preserve"> 103</w:t>
      </w:r>
      <w:r w:rsidRPr="0077224B">
        <w:rPr>
          <w:rFonts w:ascii="Constantia" w:hAnsi="Constantia"/>
          <w:b/>
        </w:rPr>
        <w:t xml:space="preserve">). </w:t>
      </w:r>
    </w:p>
    <w:p w:rsidR="00B65A71" w:rsidRPr="00F06A67" w:rsidRDefault="00B65A71" w:rsidP="00F06A67">
      <w:pPr>
        <w:pStyle w:val="Heading2"/>
        <w:ind w:left="851" w:hanging="851"/>
      </w:pPr>
      <w:bookmarkStart w:id="221" w:name="_Toc290541603"/>
      <w:bookmarkStart w:id="222" w:name="_Toc319930914"/>
      <w:bookmarkStart w:id="223" w:name="_Toc319931725"/>
      <w:bookmarkStart w:id="224" w:name="_Toc320796895"/>
      <w:bookmarkStart w:id="225" w:name="_Toc321316122"/>
      <w:bookmarkStart w:id="226" w:name="_Toc352657392"/>
      <w:bookmarkStart w:id="227" w:name="_Toc352759506"/>
      <w:bookmarkStart w:id="228" w:name="_Toc352759607"/>
      <w:bookmarkStart w:id="229" w:name="_Toc352760045"/>
      <w:bookmarkStart w:id="230" w:name="_Toc352760154"/>
      <w:bookmarkStart w:id="231" w:name="_Toc384895580"/>
      <w:bookmarkStart w:id="232" w:name="_Toc393897953"/>
      <w:r w:rsidRPr="00F06A67">
        <w:t>Ispitivanje sadržaja radionuklida u padavinam</w:t>
      </w:r>
      <w:bookmarkEnd w:id="221"/>
      <w:r w:rsidRPr="00F06A67">
        <w:t>a</w:t>
      </w:r>
      <w:bookmarkEnd w:id="222"/>
      <w:bookmarkEnd w:id="223"/>
      <w:bookmarkEnd w:id="224"/>
      <w:bookmarkEnd w:id="225"/>
      <w:bookmarkEnd w:id="226"/>
      <w:bookmarkEnd w:id="227"/>
      <w:bookmarkEnd w:id="228"/>
      <w:bookmarkEnd w:id="229"/>
      <w:bookmarkEnd w:id="230"/>
      <w:bookmarkEnd w:id="231"/>
      <w:bookmarkEnd w:id="232"/>
    </w:p>
    <w:p w:rsidR="00B65A71" w:rsidRPr="00790CC9" w:rsidRDefault="00B65A71" w:rsidP="00FA579A">
      <w:pPr>
        <w:rPr>
          <w:rFonts w:ascii="Constantia" w:hAnsi="Constantia"/>
        </w:rPr>
      </w:pPr>
      <w:r w:rsidRPr="00790CC9">
        <w:rPr>
          <w:rFonts w:ascii="Constantia" w:hAnsi="Constantia"/>
        </w:rPr>
        <w:t xml:space="preserve">Za uzorkovanje padavina se koristi kolektor koji je postavljen iza zgrade Centra za ekotoksikološka ispitivanja u Podgorici. Uzorkovanje se vrši svakodnevno i  formiraju  se zbirni mjesečni uzorci. Analiza je obuhvatila prirodne radionuklide 40K, 226Ra, 235U, 238U i 232Th, kao i vještački radionuklid 137Cs. </w:t>
      </w:r>
    </w:p>
    <w:p w:rsidR="00B65A71" w:rsidRPr="00EC0AD0" w:rsidRDefault="00B65A71" w:rsidP="00B65A71">
      <w:pPr>
        <w:ind w:firstLine="720"/>
        <w:rPr>
          <w:rFonts w:ascii="Arial" w:hAnsi="Arial" w:cs="Arial"/>
          <w:color w:val="68A22B" w:themeColor="accent1" w:themeShade="80"/>
          <w:szCs w:val="22"/>
        </w:rPr>
      </w:pPr>
    </w:p>
    <w:p w:rsidR="00B65A71" w:rsidRPr="0000154C" w:rsidRDefault="00B65A71" w:rsidP="00B65A71">
      <w:pPr>
        <w:ind w:firstLine="720"/>
        <w:rPr>
          <w:rFonts w:ascii="Arial" w:hAnsi="Arial" w:cs="Arial"/>
          <w:szCs w:val="22"/>
        </w:rPr>
      </w:pPr>
      <w:r w:rsidRPr="00B27E0B">
        <w:rPr>
          <w:rFonts w:ascii="Arial" w:hAnsi="Arial" w:cs="Arial"/>
          <w:noProof/>
          <w:szCs w:val="22"/>
        </w:rPr>
        <w:drawing>
          <wp:inline distT="0" distB="0" distL="0" distR="0" wp14:anchorId="45B5738D" wp14:editId="5D1ECFD9">
            <wp:extent cx="4947314" cy="2108579"/>
            <wp:effectExtent l="0" t="0" r="0" b="0"/>
            <wp:docPr id="1347" name="Objec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6"/>
              </a:graphicData>
            </a:graphic>
          </wp:inline>
        </w:drawing>
      </w:r>
    </w:p>
    <w:p w:rsidR="009C37F3" w:rsidRPr="009C37F3" w:rsidRDefault="009C37F3" w:rsidP="009C37F3">
      <w:pPr>
        <w:numPr>
          <w:ilvl w:val="0"/>
          <w:numId w:val="4"/>
        </w:numPr>
        <w:ind w:left="0" w:firstLine="0"/>
        <w:rPr>
          <w:rFonts w:ascii="Constantia" w:hAnsi="Constantia"/>
          <w:i/>
          <w:sz w:val="20"/>
          <w:szCs w:val="20"/>
          <w:lang w:val="sr-Latn-CS"/>
        </w:rPr>
      </w:pPr>
      <w:r w:rsidRPr="009C37F3">
        <w:rPr>
          <w:rFonts w:ascii="Arial" w:hAnsi="Arial" w:cs="Arial"/>
          <w:i/>
          <w:sz w:val="20"/>
          <w:szCs w:val="20"/>
        </w:rPr>
        <w:t>Koncentracije aktivnosti radionuklida u mjesečnim uzorcima padavina izražene u mBq/l za 2013. god</w:t>
      </w:r>
      <w:r w:rsidRPr="009C37F3">
        <w:rPr>
          <w:bCs/>
          <w:i/>
          <w:sz w:val="20"/>
          <w:szCs w:val="20"/>
        </w:rPr>
        <w:t>.</w:t>
      </w:r>
    </w:p>
    <w:p w:rsidR="00B65A71" w:rsidRPr="00790CC9" w:rsidRDefault="00B65A71" w:rsidP="00B65A71">
      <w:pPr>
        <w:pStyle w:val="Grafikon"/>
        <w:numPr>
          <w:ilvl w:val="0"/>
          <w:numId w:val="0"/>
        </w:numPr>
        <w:jc w:val="both"/>
        <w:rPr>
          <w:rFonts w:ascii="Constantia" w:hAnsi="Constantia"/>
          <w:i w:val="0"/>
          <w:sz w:val="22"/>
          <w:lang w:val="en-US"/>
        </w:rPr>
      </w:pPr>
      <w:r w:rsidRPr="00790CC9">
        <w:rPr>
          <w:rFonts w:ascii="Constantia" w:hAnsi="Constantia"/>
          <w:i w:val="0"/>
          <w:sz w:val="22"/>
          <w:lang w:val="en-US"/>
        </w:rPr>
        <w:t xml:space="preserve">Izvedene koncentracije radionuklida u vodi za piće (Pravilnik o granicama radioaktivne kontaminacije životne sredine i o načinu sprovođenja dekontaminacije ("Sl. list SRJ", br. 9/99) su  </w:t>
      </w:r>
    </w:p>
    <w:p w:rsidR="00B65A71" w:rsidRPr="00790CC9" w:rsidRDefault="00B65A71" w:rsidP="00B65A71">
      <w:pPr>
        <w:pStyle w:val="Grafikon"/>
        <w:numPr>
          <w:ilvl w:val="0"/>
          <w:numId w:val="0"/>
        </w:numPr>
        <w:ind w:left="360" w:hanging="360"/>
        <w:jc w:val="both"/>
        <w:rPr>
          <w:rFonts w:ascii="Constantia" w:hAnsi="Constantia"/>
          <w:i w:val="0"/>
          <w:sz w:val="22"/>
          <w:lang w:val="en-US"/>
        </w:rPr>
      </w:pPr>
      <w:r w:rsidRPr="00790CC9">
        <w:rPr>
          <w:rFonts w:ascii="Constantia" w:hAnsi="Constantia"/>
          <w:i w:val="0"/>
          <w:sz w:val="22"/>
          <w:lang w:val="en-US"/>
        </w:rPr>
        <w:t xml:space="preserve">40K : 2200 mBq/l, 137Cs :1000 mBq/l, 226Ra: 200 mBq/l, 232Th: 100 mBq/l, 238U: 400 mBq/l </w:t>
      </w:r>
    </w:p>
    <w:p w:rsidR="00B65A71" w:rsidRPr="0077224B" w:rsidRDefault="00B65A71" w:rsidP="00B65A71">
      <w:pPr>
        <w:rPr>
          <w:rFonts w:ascii="Constantia" w:hAnsi="Constantia"/>
          <w:b/>
        </w:rPr>
      </w:pPr>
      <w:r w:rsidRPr="00790CC9">
        <w:rPr>
          <w:rFonts w:ascii="Constantia" w:hAnsi="Constantia"/>
          <w:b/>
        </w:rPr>
        <w:t>Zaključak:</w:t>
      </w:r>
      <w:r w:rsidRPr="00790CC9">
        <w:rPr>
          <w:rFonts w:ascii="Constantia" w:hAnsi="Constantia"/>
        </w:rPr>
        <w:t xml:space="preserve"> </w:t>
      </w:r>
      <w:r w:rsidRPr="0077224B">
        <w:rPr>
          <w:rFonts w:ascii="Constantia" w:hAnsi="Constantia"/>
          <w:b/>
        </w:rPr>
        <w:t xml:space="preserve">Upoređivanjem vrijednosti serije rezultata koncentracija aktivnosti radionuklida u padavinama koje su prikazane na grafikonu </w:t>
      </w:r>
      <w:r w:rsidR="005D7A4D" w:rsidRPr="0077224B">
        <w:rPr>
          <w:rFonts w:ascii="Constantia" w:hAnsi="Constantia"/>
          <w:b/>
        </w:rPr>
        <w:t>93</w:t>
      </w:r>
      <w:r w:rsidRPr="0077224B">
        <w:rPr>
          <w:rFonts w:ascii="Constantia" w:hAnsi="Constantia"/>
          <w:b/>
        </w:rPr>
        <w:t xml:space="preserve"> čak i sa izvedenim koncentracijama koje važe za vodu za piće, vidi se da su sve vrijednosti daleko ispod maksimalno dozvoljenih granica, odnosno padavine u Crnoj Gori su radiološki ispravne.</w:t>
      </w:r>
    </w:p>
    <w:p w:rsidR="00B65A71" w:rsidRPr="00F06A67" w:rsidRDefault="00B65A71" w:rsidP="00F06A67">
      <w:pPr>
        <w:pStyle w:val="Heading2"/>
        <w:ind w:left="851" w:hanging="851"/>
      </w:pPr>
      <w:bookmarkStart w:id="233" w:name="_Toc352759507"/>
      <w:bookmarkStart w:id="234" w:name="_Toc352759608"/>
      <w:bookmarkStart w:id="235" w:name="_Toc352760046"/>
      <w:bookmarkStart w:id="236" w:name="_Toc352760155"/>
      <w:bookmarkStart w:id="237" w:name="_Toc384895581"/>
      <w:bookmarkStart w:id="238" w:name="_Toc290541605"/>
      <w:bookmarkStart w:id="239" w:name="_Toc319930915"/>
      <w:bookmarkStart w:id="240" w:name="_Toc319931726"/>
      <w:bookmarkStart w:id="241" w:name="_Toc320796896"/>
      <w:bookmarkStart w:id="242" w:name="_Toc321316123"/>
      <w:bookmarkStart w:id="243" w:name="_Toc352657393"/>
      <w:bookmarkStart w:id="244" w:name="_Toc393897954"/>
      <w:r w:rsidRPr="00F06A67">
        <w:t>Ispitivanje sadržaja radionuklida u vodi  Skadarskog jezera</w:t>
      </w:r>
      <w:bookmarkEnd w:id="233"/>
      <w:bookmarkEnd w:id="234"/>
      <w:bookmarkEnd w:id="235"/>
      <w:bookmarkEnd w:id="236"/>
      <w:bookmarkEnd w:id="237"/>
      <w:bookmarkEnd w:id="244"/>
      <w:r w:rsidRPr="00F06A67">
        <w:t xml:space="preserve"> </w:t>
      </w:r>
      <w:bookmarkEnd w:id="238"/>
      <w:bookmarkEnd w:id="239"/>
      <w:bookmarkEnd w:id="240"/>
      <w:bookmarkEnd w:id="241"/>
      <w:bookmarkEnd w:id="242"/>
      <w:bookmarkEnd w:id="243"/>
    </w:p>
    <w:p w:rsidR="00B65A71" w:rsidRDefault="00B65A71" w:rsidP="00B65A71">
      <w:pPr>
        <w:rPr>
          <w:rFonts w:ascii="Constantia" w:hAnsi="Constantia"/>
        </w:rPr>
      </w:pPr>
      <w:r w:rsidRPr="00790CC9">
        <w:rPr>
          <w:rFonts w:ascii="Constantia" w:hAnsi="Constantia"/>
        </w:rPr>
        <w:t>Analiza je obuhvatila prirodne radionuklide 40K, 226Ra, 232Th, 235U i 238U i vještački 137Cs. Zbog veoma niskih koncentracija pojedini radionuklidi nisu mogli biti detektovani bez obzira što se išlo na koncentrisanje uzoraka tako da su vrijednosti za njih su date u vidu minimalnih detektabilnih aktivnosti.</w:t>
      </w:r>
    </w:p>
    <w:p w:rsidR="00A431AB" w:rsidRPr="00790CC9" w:rsidRDefault="00A431AB" w:rsidP="00B65A71">
      <w:pPr>
        <w:rPr>
          <w:rFonts w:ascii="Constantia" w:hAnsi="Constantia"/>
        </w:rPr>
      </w:pPr>
    </w:p>
    <w:p w:rsidR="00B65A71" w:rsidRPr="0000154C" w:rsidRDefault="00B65A71" w:rsidP="00B65A71">
      <w:pPr>
        <w:rPr>
          <w:rFonts w:cs="Arial"/>
          <w:b/>
          <w:lang w:val="sr-Latn-CS"/>
        </w:rPr>
      </w:pPr>
    </w:p>
    <w:tbl>
      <w:tblPr>
        <w:tblW w:w="0" w:type="auto"/>
        <w:jc w:val="cente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Pr>
      <w:tblGrid>
        <w:gridCol w:w="1431"/>
        <w:gridCol w:w="1238"/>
        <w:gridCol w:w="1269"/>
        <w:gridCol w:w="1390"/>
        <w:gridCol w:w="979"/>
        <w:gridCol w:w="1021"/>
        <w:gridCol w:w="1082"/>
      </w:tblGrid>
      <w:tr w:rsidR="00B65A71" w:rsidRPr="0000154C" w:rsidTr="00B65A71">
        <w:trPr>
          <w:jc w:val="center"/>
        </w:trPr>
        <w:tc>
          <w:tcPr>
            <w:tcW w:w="1431" w:type="dxa"/>
            <w:tcBorders>
              <w:top w:val="single" w:sz="8" w:space="0" w:color="FFFFFF"/>
              <w:left w:val="single" w:sz="8" w:space="0" w:color="FFFFFF"/>
              <w:bottom w:val="single" w:sz="24" w:space="0" w:color="FFFFFF"/>
              <w:right w:val="single" w:sz="8" w:space="0" w:color="FFFFFF"/>
            </w:tcBorders>
            <w:shd w:val="clear" w:color="auto" w:fill="9BD45F"/>
          </w:tcPr>
          <w:p w:rsidR="00B65A71" w:rsidRPr="0000154C" w:rsidRDefault="00B65A71" w:rsidP="00B65A71">
            <w:pPr>
              <w:rPr>
                <w:rFonts w:ascii="Arial" w:hAnsi="Arial" w:cs="Arial"/>
                <w:szCs w:val="22"/>
                <w:lang w:val="sr-Latn-CS"/>
              </w:rPr>
            </w:pPr>
            <w:r w:rsidRPr="0000154C">
              <w:rPr>
                <w:rFonts w:ascii="Arial" w:hAnsi="Arial" w:cs="Arial"/>
                <w:szCs w:val="22"/>
                <w:lang w:val="sr-Latn-CS"/>
              </w:rPr>
              <w:t xml:space="preserve">Skadarsko jezero </w:t>
            </w:r>
          </w:p>
        </w:tc>
        <w:tc>
          <w:tcPr>
            <w:tcW w:w="1238" w:type="dxa"/>
            <w:tcBorders>
              <w:top w:val="single" w:sz="8" w:space="0" w:color="FFFFFF"/>
              <w:left w:val="single" w:sz="8" w:space="0" w:color="FFFFFF"/>
              <w:bottom w:val="single" w:sz="24" w:space="0" w:color="FFFFFF"/>
              <w:right w:val="single" w:sz="8" w:space="0" w:color="FFFFFF"/>
            </w:tcBorders>
            <w:shd w:val="clear" w:color="auto" w:fill="9BD45F"/>
          </w:tcPr>
          <w:p w:rsidR="00B65A71" w:rsidRPr="0000154C" w:rsidRDefault="00B65A71" w:rsidP="00B65A71">
            <w:pPr>
              <w:rPr>
                <w:rFonts w:ascii="Arial" w:hAnsi="Arial" w:cs="Arial"/>
                <w:szCs w:val="22"/>
                <w:lang w:val="sr-Latn-CS"/>
              </w:rPr>
            </w:pPr>
            <w:r w:rsidRPr="0000154C">
              <w:rPr>
                <w:rFonts w:ascii="Arial" w:hAnsi="Arial" w:cs="Arial"/>
                <w:szCs w:val="22"/>
                <w:vertAlign w:val="superscript"/>
                <w:lang w:val="sr-Latn-CS"/>
              </w:rPr>
              <w:t xml:space="preserve">       40</w:t>
            </w:r>
            <w:r w:rsidRPr="0000154C">
              <w:rPr>
                <w:rFonts w:ascii="Arial" w:hAnsi="Arial" w:cs="Arial"/>
                <w:szCs w:val="22"/>
                <w:lang w:val="sr-Latn-CS"/>
              </w:rPr>
              <w:t>K</w:t>
            </w:r>
          </w:p>
          <w:p w:rsidR="00B65A71" w:rsidRPr="0000154C" w:rsidRDefault="00B65A71" w:rsidP="00B65A71">
            <w:pPr>
              <w:rPr>
                <w:rFonts w:ascii="Arial" w:hAnsi="Arial" w:cs="Arial"/>
                <w:szCs w:val="22"/>
              </w:rPr>
            </w:pPr>
            <w:r w:rsidRPr="0000154C">
              <w:rPr>
                <w:rFonts w:ascii="Arial" w:hAnsi="Arial" w:cs="Arial"/>
                <w:szCs w:val="22"/>
                <w:lang w:val="sr-Latn-CS"/>
              </w:rPr>
              <w:t xml:space="preserve">  (mBq/l)</w:t>
            </w:r>
          </w:p>
        </w:tc>
        <w:tc>
          <w:tcPr>
            <w:tcW w:w="1269" w:type="dxa"/>
            <w:tcBorders>
              <w:top w:val="single" w:sz="8" w:space="0" w:color="FFFFFF"/>
              <w:left w:val="single" w:sz="8" w:space="0" w:color="FFFFFF"/>
              <w:bottom w:val="single" w:sz="24" w:space="0" w:color="FFFFFF"/>
              <w:right w:val="single" w:sz="8" w:space="0" w:color="FFFFFF"/>
            </w:tcBorders>
            <w:shd w:val="clear" w:color="auto" w:fill="9BD45F"/>
          </w:tcPr>
          <w:p w:rsidR="00B65A71" w:rsidRPr="0000154C" w:rsidRDefault="00B65A71" w:rsidP="00B65A71">
            <w:pPr>
              <w:rPr>
                <w:rFonts w:ascii="Arial" w:hAnsi="Arial" w:cs="Arial"/>
                <w:szCs w:val="22"/>
                <w:lang w:val="sr-Latn-CS"/>
              </w:rPr>
            </w:pPr>
            <w:r w:rsidRPr="0000154C">
              <w:rPr>
                <w:rFonts w:ascii="Arial" w:hAnsi="Arial" w:cs="Arial"/>
                <w:szCs w:val="22"/>
                <w:vertAlign w:val="superscript"/>
                <w:lang w:val="sr-Latn-CS"/>
              </w:rPr>
              <w:t>137</w:t>
            </w:r>
            <w:r w:rsidRPr="0000154C">
              <w:rPr>
                <w:rFonts w:ascii="Arial" w:hAnsi="Arial" w:cs="Arial"/>
                <w:szCs w:val="22"/>
                <w:lang w:val="sr-Latn-CS"/>
              </w:rPr>
              <w:t>Cs</w:t>
            </w:r>
          </w:p>
          <w:p w:rsidR="00B65A71" w:rsidRPr="0000154C" w:rsidRDefault="00B65A71" w:rsidP="00B65A71">
            <w:pPr>
              <w:rPr>
                <w:rFonts w:ascii="Arial" w:hAnsi="Arial" w:cs="Arial"/>
                <w:szCs w:val="22"/>
                <w:lang w:val="sr-Latn-CS"/>
              </w:rPr>
            </w:pPr>
            <w:r w:rsidRPr="0000154C">
              <w:rPr>
                <w:rFonts w:ascii="Arial" w:hAnsi="Arial" w:cs="Arial"/>
                <w:szCs w:val="22"/>
                <w:lang w:val="sr-Latn-CS"/>
              </w:rPr>
              <w:t>(mBq/l)</w:t>
            </w:r>
          </w:p>
        </w:tc>
        <w:tc>
          <w:tcPr>
            <w:tcW w:w="1390" w:type="dxa"/>
            <w:tcBorders>
              <w:top w:val="single" w:sz="8" w:space="0" w:color="FFFFFF"/>
              <w:left w:val="single" w:sz="8" w:space="0" w:color="FFFFFF"/>
              <w:bottom w:val="single" w:sz="24" w:space="0" w:color="FFFFFF"/>
              <w:right w:val="single" w:sz="8" w:space="0" w:color="FFFFFF"/>
            </w:tcBorders>
            <w:shd w:val="clear" w:color="auto" w:fill="9BD45F"/>
          </w:tcPr>
          <w:p w:rsidR="00B65A71" w:rsidRPr="0000154C" w:rsidRDefault="00B65A71" w:rsidP="00B65A71">
            <w:pPr>
              <w:rPr>
                <w:rFonts w:ascii="Arial" w:hAnsi="Arial" w:cs="Arial"/>
                <w:szCs w:val="22"/>
                <w:lang w:val="sr-Latn-CS"/>
              </w:rPr>
            </w:pPr>
            <w:r w:rsidRPr="0000154C">
              <w:rPr>
                <w:rFonts w:ascii="Arial" w:hAnsi="Arial" w:cs="Arial"/>
                <w:szCs w:val="22"/>
                <w:vertAlign w:val="superscript"/>
                <w:lang w:val="sr-Latn-CS"/>
              </w:rPr>
              <w:t>226</w:t>
            </w:r>
            <w:r w:rsidRPr="0000154C">
              <w:rPr>
                <w:rFonts w:ascii="Arial" w:hAnsi="Arial" w:cs="Arial"/>
                <w:szCs w:val="22"/>
                <w:lang w:val="sr-Latn-CS"/>
              </w:rPr>
              <w:t>Ra</w:t>
            </w:r>
          </w:p>
          <w:p w:rsidR="00B65A71" w:rsidRPr="0000154C" w:rsidRDefault="00B65A71" w:rsidP="00B65A71">
            <w:pPr>
              <w:rPr>
                <w:rFonts w:ascii="Arial" w:hAnsi="Arial" w:cs="Arial"/>
                <w:szCs w:val="22"/>
                <w:lang w:val="sr-Latn-CS"/>
              </w:rPr>
            </w:pPr>
            <w:r w:rsidRPr="0000154C">
              <w:rPr>
                <w:rFonts w:ascii="Arial" w:hAnsi="Arial" w:cs="Arial"/>
                <w:szCs w:val="22"/>
                <w:lang w:val="sr-Latn-CS"/>
              </w:rPr>
              <w:t>(mBq/l)</w:t>
            </w:r>
          </w:p>
        </w:tc>
        <w:tc>
          <w:tcPr>
            <w:tcW w:w="979" w:type="dxa"/>
            <w:tcBorders>
              <w:top w:val="single" w:sz="8" w:space="0" w:color="FFFFFF"/>
              <w:left w:val="single" w:sz="8" w:space="0" w:color="FFFFFF"/>
              <w:bottom w:val="single" w:sz="24" w:space="0" w:color="FFFFFF"/>
              <w:right w:val="single" w:sz="8" w:space="0" w:color="FFFFFF"/>
            </w:tcBorders>
            <w:shd w:val="clear" w:color="auto" w:fill="9BD45F"/>
          </w:tcPr>
          <w:p w:rsidR="00B65A71" w:rsidRPr="0000154C" w:rsidRDefault="00B65A71" w:rsidP="00B65A71">
            <w:pPr>
              <w:rPr>
                <w:rFonts w:ascii="Arial" w:hAnsi="Arial" w:cs="Arial"/>
                <w:szCs w:val="22"/>
                <w:lang w:val="sr-Latn-CS"/>
              </w:rPr>
            </w:pPr>
            <w:r w:rsidRPr="0000154C">
              <w:rPr>
                <w:rFonts w:ascii="Arial" w:hAnsi="Arial" w:cs="Arial"/>
                <w:szCs w:val="22"/>
                <w:vertAlign w:val="superscript"/>
                <w:lang w:val="sr-Latn-CS"/>
              </w:rPr>
              <w:t>232</w:t>
            </w:r>
            <w:r w:rsidRPr="0000154C">
              <w:rPr>
                <w:rFonts w:ascii="Arial" w:hAnsi="Arial" w:cs="Arial"/>
                <w:szCs w:val="22"/>
                <w:lang w:val="sr-Latn-CS"/>
              </w:rPr>
              <w:t>Th</w:t>
            </w:r>
          </w:p>
          <w:p w:rsidR="00B65A71" w:rsidRPr="0000154C" w:rsidRDefault="00B65A71" w:rsidP="00B65A71">
            <w:pPr>
              <w:rPr>
                <w:rFonts w:ascii="Arial" w:hAnsi="Arial" w:cs="Arial"/>
                <w:szCs w:val="22"/>
                <w:lang w:val="sr-Latn-CS"/>
              </w:rPr>
            </w:pPr>
            <w:r w:rsidRPr="0000154C">
              <w:rPr>
                <w:rFonts w:ascii="Arial" w:hAnsi="Arial" w:cs="Arial"/>
                <w:szCs w:val="22"/>
                <w:lang w:val="sr-Latn-CS"/>
              </w:rPr>
              <w:t>(mBq/l)</w:t>
            </w:r>
          </w:p>
        </w:tc>
        <w:tc>
          <w:tcPr>
            <w:tcW w:w="1021" w:type="dxa"/>
            <w:tcBorders>
              <w:top w:val="single" w:sz="8" w:space="0" w:color="FFFFFF"/>
              <w:left w:val="single" w:sz="8" w:space="0" w:color="FFFFFF"/>
              <w:bottom w:val="single" w:sz="24" w:space="0" w:color="FFFFFF"/>
              <w:right w:val="single" w:sz="4" w:space="0" w:color="FFFFFF" w:themeColor="background1"/>
            </w:tcBorders>
            <w:shd w:val="clear" w:color="auto" w:fill="9BD45F"/>
          </w:tcPr>
          <w:p w:rsidR="00B65A71" w:rsidRPr="0000154C" w:rsidRDefault="00B65A71" w:rsidP="00B65A71">
            <w:pPr>
              <w:rPr>
                <w:rFonts w:ascii="Arial" w:hAnsi="Arial" w:cs="Arial"/>
                <w:szCs w:val="22"/>
                <w:lang w:val="sr-Latn-CS"/>
              </w:rPr>
            </w:pPr>
            <w:r w:rsidRPr="0000154C">
              <w:rPr>
                <w:rFonts w:ascii="Arial" w:hAnsi="Arial" w:cs="Arial"/>
                <w:szCs w:val="22"/>
                <w:vertAlign w:val="superscript"/>
                <w:lang w:val="sr-Latn-CS"/>
              </w:rPr>
              <w:t>238</w:t>
            </w:r>
            <w:r w:rsidRPr="0000154C">
              <w:rPr>
                <w:rFonts w:ascii="Arial" w:hAnsi="Arial" w:cs="Arial"/>
                <w:szCs w:val="22"/>
                <w:lang w:val="sr-Latn-CS"/>
              </w:rPr>
              <w:t>U</w:t>
            </w:r>
          </w:p>
          <w:p w:rsidR="00B65A71" w:rsidRPr="0000154C" w:rsidRDefault="00B65A71" w:rsidP="00B65A71">
            <w:pPr>
              <w:rPr>
                <w:rFonts w:ascii="Arial" w:hAnsi="Arial" w:cs="Arial"/>
                <w:szCs w:val="22"/>
                <w:lang w:val="sr-Latn-CS"/>
              </w:rPr>
            </w:pPr>
            <w:r w:rsidRPr="0000154C">
              <w:rPr>
                <w:rFonts w:ascii="Arial" w:hAnsi="Arial" w:cs="Arial"/>
                <w:szCs w:val="22"/>
                <w:lang w:val="sr-Latn-CS"/>
              </w:rPr>
              <w:t>(Bq/l)</w:t>
            </w:r>
          </w:p>
        </w:tc>
        <w:tc>
          <w:tcPr>
            <w:tcW w:w="1082" w:type="dxa"/>
            <w:tcBorders>
              <w:top w:val="single" w:sz="8" w:space="0" w:color="FFFFFF"/>
              <w:left w:val="single" w:sz="4" w:space="0" w:color="FFFFFF" w:themeColor="background1"/>
              <w:bottom w:val="single" w:sz="24" w:space="0" w:color="FFFFFF"/>
              <w:right w:val="single" w:sz="8" w:space="0" w:color="FFFFFF"/>
            </w:tcBorders>
            <w:shd w:val="clear" w:color="auto" w:fill="9BD45F"/>
          </w:tcPr>
          <w:p w:rsidR="00B65A71" w:rsidRPr="0000154C" w:rsidRDefault="00B65A71" w:rsidP="00B65A71">
            <w:pPr>
              <w:rPr>
                <w:rFonts w:ascii="Arial" w:hAnsi="Arial" w:cs="Arial"/>
                <w:szCs w:val="22"/>
                <w:lang w:val="sr-Latn-CS"/>
              </w:rPr>
            </w:pPr>
            <w:r w:rsidRPr="0000154C">
              <w:rPr>
                <w:rFonts w:ascii="Arial" w:hAnsi="Arial" w:cs="Arial"/>
                <w:szCs w:val="22"/>
                <w:vertAlign w:val="superscript"/>
                <w:lang w:val="sr-Latn-CS"/>
              </w:rPr>
              <w:t>23</w:t>
            </w:r>
            <w:r>
              <w:rPr>
                <w:rFonts w:ascii="Arial" w:hAnsi="Arial" w:cs="Arial"/>
                <w:szCs w:val="22"/>
                <w:vertAlign w:val="superscript"/>
                <w:lang w:val="sr-Latn-CS"/>
              </w:rPr>
              <w:t>5</w:t>
            </w:r>
            <w:r w:rsidRPr="0000154C">
              <w:rPr>
                <w:rFonts w:ascii="Arial" w:hAnsi="Arial" w:cs="Arial"/>
                <w:szCs w:val="22"/>
                <w:lang w:val="sr-Latn-CS"/>
              </w:rPr>
              <w:t>U</w:t>
            </w:r>
          </w:p>
          <w:p w:rsidR="00B65A71" w:rsidRPr="0000154C" w:rsidRDefault="00B65A71" w:rsidP="00B65A71">
            <w:pPr>
              <w:spacing w:after="0"/>
              <w:jc w:val="left"/>
              <w:rPr>
                <w:rFonts w:ascii="Arial" w:hAnsi="Arial" w:cs="Arial"/>
                <w:szCs w:val="22"/>
                <w:lang w:val="sr-Latn-CS"/>
              </w:rPr>
            </w:pPr>
            <w:r w:rsidRPr="0000154C">
              <w:rPr>
                <w:rFonts w:ascii="Arial" w:hAnsi="Arial" w:cs="Arial"/>
                <w:szCs w:val="22"/>
                <w:lang w:val="sr-Latn-CS"/>
              </w:rPr>
              <w:t>(</w:t>
            </w:r>
            <w:r>
              <w:rPr>
                <w:rFonts w:ascii="Arial" w:hAnsi="Arial" w:cs="Arial"/>
                <w:szCs w:val="22"/>
                <w:lang w:val="sr-Latn-CS"/>
              </w:rPr>
              <w:t>m</w:t>
            </w:r>
            <w:r w:rsidRPr="0000154C">
              <w:rPr>
                <w:rFonts w:ascii="Arial" w:hAnsi="Arial" w:cs="Arial"/>
                <w:szCs w:val="22"/>
                <w:lang w:val="sr-Latn-CS"/>
              </w:rPr>
              <w:t>Bq/l)</w:t>
            </w:r>
          </w:p>
        </w:tc>
      </w:tr>
      <w:tr w:rsidR="00B65A71" w:rsidRPr="0000154C" w:rsidTr="00B65A71">
        <w:trPr>
          <w:jc w:val="center"/>
        </w:trPr>
        <w:tc>
          <w:tcPr>
            <w:tcW w:w="1431" w:type="dxa"/>
            <w:tcBorders>
              <w:top w:val="single" w:sz="8" w:space="0" w:color="FFFFFF"/>
              <w:left w:val="single" w:sz="8" w:space="0" w:color="FFFFFF"/>
              <w:bottom w:val="nil"/>
              <w:right w:val="single" w:sz="24" w:space="0" w:color="FFFFFF"/>
            </w:tcBorders>
            <w:shd w:val="clear" w:color="auto" w:fill="9BD45F"/>
          </w:tcPr>
          <w:p w:rsidR="00B65A71" w:rsidRPr="0000154C" w:rsidRDefault="00B65A71" w:rsidP="00B65A71">
            <w:pPr>
              <w:rPr>
                <w:rFonts w:ascii="Arial" w:hAnsi="Arial" w:cs="Arial"/>
                <w:szCs w:val="22"/>
                <w:lang w:val="sr-Latn-CS"/>
              </w:rPr>
            </w:pPr>
            <w:r>
              <w:rPr>
                <w:rFonts w:ascii="Arial" w:hAnsi="Arial" w:cs="Arial"/>
                <w:szCs w:val="22"/>
                <w:lang w:val="sr-Latn-CS"/>
              </w:rPr>
              <w:t>I Polugod.</w:t>
            </w:r>
          </w:p>
        </w:tc>
        <w:tc>
          <w:tcPr>
            <w:tcW w:w="1238" w:type="dxa"/>
            <w:tcBorders>
              <w:top w:val="single" w:sz="8" w:space="0" w:color="FFFFFF"/>
              <w:left w:val="single" w:sz="8" w:space="0" w:color="FFFFFF"/>
              <w:bottom w:val="single" w:sz="8" w:space="0" w:color="FFFFFF"/>
              <w:right w:val="single" w:sz="8" w:space="0" w:color="FFFFFF"/>
            </w:tcBorders>
            <w:shd w:val="clear" w:color="auto" w:fill="CCE9AF"/>
          </w:tcPr>
          <w:p w:rsidR="00B65A71" w:rsidRPr="0000154C" w:rsidRDefault="00B65A71" w:rsidP="00B65A71">
            <w:pPr>
              <w:rPr>
                <w:rFonts w:ascii="Arial" w:hAnsi="Arial" w:cs="Arial"/>
                <w:szCs w:val="22"/>
                <w:lang w:val="sr-Latn-CS"/>
              </w:rPr>
            </w:pPr>
            <w:r w:rsidRPr="0000154C">
              <w:rPr>
                <w:rFonts w:ascii="Arial" w:hAnsi="Arial" w:cs="Arial"/>
                <w:szCs w:val="22"/>
                <w:lang w:val="sr-Latn-CS"/>
              </w:rPr>
              <w:t>≤</w:t>
            </w:r>
            <w:r>
              <w:rPr>
                <w:rFonts w:ascii="Arial" w:hAnsi="Arial" w:cs="Arial"/>
                <w:szCs w:val="22"/>
                <w:lang w:val="sr-Latn-CS"/>
              </w:rPr>
              <w:t xml:space="preserve"> 25</w:t>
            </w:r>
            <w:r w:rsidRPr="0000154C">
              <w:rPr>
                <w:rFonts w:ascii="Arial" w:hAnsi="Arial" w:cs="Arial"/>
                <w:szCs w:val="22"/>
                <w:lang w:val="sr-Latn-CS"/>
              </w:rPr>
              <w:t>,</w:t>
            </w:r>
            <w:r>
              <w:rPr>
                <w:rFonts w:ascii="Arial" w:hAnsi="Arial" w:cs="Arial"/>
                <w:szCs w:val="22"/>
                <w:lang w:val="sr-Latn-CS"/>
              </w:rPr>
              <w:t>2</w:t>
            </w:r>
            <w:r w:rsidRPr="0000154C">
              <w:rPr>
                <w:rFonts w:ascii="Arial" w:hAnsi="Arial" w:cs="Arial"/>
                <w:szCs w:val="22"/>
                <w:lang w:val="sr-Latn-CS"/>
              </w:rPr>
              <w:t>1</w:t>
            </w:r>
          </w:p>
        </w:tc>
        <w:tc>
          <w:tcPr>
            <w:tcW w:w="1269" w:type="dxa"/>
            <w:tcBorders>
              <w:top w:val="single" w:sz="8" w:space="0" w:color="FFFFFF"/>
              <w:left w:val="single" w:sz="8" w:space="0" w:color="FFFFFF"/>
              <w:bottom w:val="single" w:sz="8" w:space="0" w:color="FFFFFF"/>
              <w:right w:val="single" w:sz="8" w:space="0" w:color="FFFFFF"/>
            </w:tcBorders>
            <w:shd w:val="clear" w:color="auto" w:fill="CCE9AF"/>
          </w:tcPr>
          <w:p w:rsidR="00B65A71" w:rsidRPr="0000154C" w:rsidRDefault="00B65A71" w:rsidP="00B65A71">
            <w:pPr>
              <w:rPr>
                <w:rFonts w:ascii="Arial" w:hAnsi="Arial" w:cs="Arial"/>
                <w:szCs w:val="22"/>
                <w:lang w:val="sr-Latn-CS"/>
              </w:rPr>
            </w:pPr>
            <w:r w:rsidRPr="0000154C">
              <w:rPr>
                <w:rFonts w:ascii="Arial" w:hAnsi="Arial" w:cs="Arial"/>
                <w:szCs w:val="22"/>
                <w:lang w:val="sr-Latn-CS"/>
              </w:rPr>
              <w:t xml:space="preserve">≤ </w:t>
            </w:r>
            <w:r>
              <w:rPr>
                <w:rFonts w:ascii="Arial" w:hAnsi="Arial" w:cs="Arial"/>
                <w:szCs w:val="22"/>
                <w:lang w:val="sr-Latn-CS"/>
              </w:rPr>
              <w:t>1,77</w:t>
            </w:r>
          </w:p>
        </w:tc>
        <w:tc>
          <w:tcPr>
            <w:tcW w:w="1390" w:type="dxa"/>
            <w:tcBorders>
              <w:top w:val="single" w:sz="8" w:space="0" w:color="FFFFFF"/>
              <w:left w:val="single" w:sz="8" w:space="0" w:color="FFFFFF"/>
              <w:bottom w:val="single" w:sz="8" w:space="0" w:color="FFFFFF"/>
              <w:right w:val="single" w:sz="8" w:space="0" w:color="FFFFFF"/>
            </w:tcBorders>
            <w:shd w:val="clear" w:color="auto" w:fill="CCE9AF"/>
          </w:tcPr>
          <w:p w:rsidR="00B65A71" w:rsidRPr="0000154C" w:rsidRDefault="00B65A71" w:rsidP="00B65A71">
            <w:pPr>
              <w:rPr>
                <w:rFonts w:ascii="Arial" w:hAnsi="Arial" w:cs="Arial"/>
                <w:szCs w:val="22"/>
                <w:lang w:val="sr-Latn-CS"/>
              </w:rPr>
            </w:pPr>
            <w:r>
              <w:rPr>
                <w:rFonts w:ascii="Arial" w:hAnsi="Arial" w:cs="Arial"/>
                <w:szCs w:val="22"/>
                <w:lang w:val="sr-Latn-CS"/>
              </w:rPr>
              <w:t xml:space="preserve">21,14 </w:t>
            </w:r>
            <w:r w:rsidRPr="0000154C">
              <w:rPr>
                <w:rFonts w:ascii="Arial" w:hAnsi="Arial" w:cs="Arial"/>
                <w:szCs w:val="22"/>
                <w:lang w:val="sr-Latn-CS"/>
              </w:rPr>
              <w:t>±1,</w:t>
            </w:r>
            <w:r>
              <w:rPr>
                <w:rFonts w:ascii="Arial" w:hAnsi="Arial" w:cs="Arial"/>
                <w:szCs w:val="22"/>
                <w:lang w:val="sr-Latn-CS"/>
              </w:rPr>
              <w:t>56</w:t>
            </w:r>
          </w:p>
        </w:tc>
        <w:tc>
          <w:tcPr>
            <w:tcW w:w="979" w:type="dxa"/>
            <w:tcBorders>
              <w:top w:val="single" w:sz="8" w:space="0" w:color="FFFFFF"/>
              <w:left w:val="single" w:sz="8" w:space="0" w:color="FFFFFF"/>
              <w:bottom w:val="single" w:sz="8" w:space="0" w:color="FFFFFF"/>
              <w:right w:val="single" w:sz="8" w:space="0" w:color="FFFFFF"/>
            </w:tcBorders>
            <w:shd w:val="clear" w:color="auto" w:fill="CCE9AF"/>
          </w:tcPr>
          <w:p w:rsidR="00B65A71" w:rsidRPr="0000154C" w:rsidRDefault="00B65A71" w:rsidP="00B65A71">
            <w:pPr>
              <w:rPr>
                <w:rFonts w:ascii="Arial" w:hAnsi="Arial" w:cs="Arial"/>
                <w:szCs w:val="22"/>
                <w:lang w:val="sr-Latn-CS"/>
              </w:rPr>
            </w:pPr>
            <w:r w:rsidRPr="0000154C">
              <w:rPr>
                <w:rFonts w:ascii="Arial" w:hAnsi="Arial" w:cs="Arial"/>
                <w:szCs w:val="22"/>
                <w:lang w:val="sr-Latn-CS"/>
              </w:rPr>
              <w:t>≤ 7,</w:t>
            </w:r>
            <w:r>
              <w:rPr>
                <w:rFonts w:ascii="Arial" w:hAnsi="Arial" w:cs="Arial"/>
                <w:szCs w:val="22"/>
                <w:lang w:val="sr-Latn-CS"/>
              </w:rPr>
              <w:t>18</w:t>
            </w:r>
          </w:p>
        </w:tc>
        <w:tc>
          <w:tcPr>
            <w:tcW w:w="1021" w:type="dxa"/>
            <w:tcBorders>
              <w:top w:val="single" w:sz="8" w:space="0" w:color="FFFFFF"/>
              <w:left w:val="single" w:sz="8" w:space="0" w:color="FFFFFF"/>
              <w:bottom w:val="single" w:sz="8" w:space="0" w:color="FFFFFF"/>
              <w:right w:val="single" w:sz="4" w:space="0" w:color="FFFFFF" w:themeColor="background1"/>
            </w:tcBorders>
            <w:shd w:val="clear" w:color="auto" w:fill="CCE9AF"/>
          </w:tcPr>
          <w:p w:rsidR="00B65A71" w:rsidRPr="0000154C" w:rsidRDefault="00B65A71" w:rsidP="00B65A71">
            <w:pPr>
              <w:rPr>
                <w:rFonts w:ascii="Arial" w:hAnsi="Arial" w:cs="Arial"/>
                <w:szCs w:val="22"/>
                <w:lang w:val="sr-Latn-CS"/>
              </w:rPr>
            </w:pPr>
            <w:r w:rsidRPr="0000154C">
              <w:rPr>
                <w:rFonts w:ascii="Arial" w:hAnsi="Arial" w:cs="Arial"/>
                <w:szCs w:val="22"/>
                <w:lang w:val="sr-Latn-CS"/>
              </w:rPr>
              <w:t>≤ 0,2</w:t>
            </w:r>
            <w:r>
              <w:rPr>
                <w:rFonts w:ascii="Arial" w:hAnsi="Arial" w:cs="Arial"/>
                <w:szCs w:val="22"/>
                <w:lang w:val="sr-Latn-CS"/>
              </w:rPr>
              <w:t>1</w:t>
            </w:r>
          </w:p>
        </w:tc>
        <w:tc>
          <w:tcPr>
            <w:tcW w:w="1082" w:type="dxa"/>
            <w:tcBorders>
              <w:top w:val="single" w:sz="8" w:space="0" w:color="FFFFFF"/>
              <w:left w:val="single" w:sz="4" w:space="0" w:color="FFFFFF" w:themeColor="background1"/>
              <w:bottom w:val="single" w:sz="8" w:space="0" w:color="FFFFFF"/>
              <w:right w:val="single" w:sz="8" w:space="0" w:color="FFFFFF"/>
            </w:tcBorders>
            <w:shd w:val="clear" w:color="auto" w:fill="CCE9AF"/>
          </w:tcPr>
          <w:p w:rsidR="00B65A71" w:rsidRPr="0000154C" w:rsidRDefault="00B65A71" w:rsidP="00B65A71">
            <w:pPr>
              <w:rPr>
                <w:rFonts w:ascii="Arial" w:hAnsi="Arial" w:cs="Arial"/>
                <w:szCs w:val="22"/>
                <w:lang w:val="sr-Latn-CS"/>
              </w:rPr>
            </w:pPr>
            <w:r w:rsidRPr="0000154C">
              <w:rPr>
                <w:rFonts w:ascii="Arial" w:hAnsi="Arial" w:cs="Arial"/>
                <w:szCs w:val="22"/>
                <w:lang w:val="sr-Latn-CS"/>
              </w:rPr>
              <w:t xml:space="preserve">≤ </w:t>
            </w:r>
            <w:r>
              <w:rPr>
                <w:rFonts w:ascii="Arial" w:hAnsi="Arial" w:cs="Arial"/>
                <w:szCs w:val="22"/>
                <w:lang w:val="sr-Latn-CS"/>
              </w:rPr>
              <w:t>12,61</w:t>
            </w:r>
          </w:p>
        </w:tc>
      </w:tr>
      <w:tr w:rsidR="00B65A71" w:rsidRPr="0000154C" w:rsidTr="00B65A71">
        <w:trPr>
          <w:jc w:val="center"/>
        </w:trPr>
        <w:tc>
          <w:tcPr>
            <w:tcW w:w="1431" w:type="dxa"/>
            <w:tcBorders>
              <w:left w:val="single" w:sz="8" w:space="0" w:color="FFFFFF"/>
              <w:bottom w:val="nil"/>
              <w:right w:val="single" w:sz="24" w:space="0" w:color="FFFFFF"/>
            </w:tcBorders>
            <w:shd w:val="clear" w:color="auto" w:fill="9BD45F"/>
          </w:tcPr>
          <w:p w:rsidR="00B65A71" w:rsidRPr="0000154C" w:rsidRDefault="00B65A71" w:rsidP="00B65A71">
            <w:pPr>
              <w:rPr>
                <w:rFonts w:ascii="Arial" w:hAnsi="Arial" w:cs="Arial"/>
                <w:szCs w:val="22"/>
                <w:lang w:val="sr-Latn-CS"/>
              </w:rPr>
            </w:pPr>
            <w:r>
              <w:rPr>
                <w:rFonts w:ascii="Arial" w:hAnsi="Arial" w:cs="Arial"/>
                <w:szCs w:val="22"/>
                <w:lang w:val="sr-Latn-CS"/>
              </w:rPr>
              <w:t>II Polugod.</w:t>
            </w:r>
          </w:p>
        </w:tc>
        <w:tc>
          <w:tcPr>
            <w:tcW w:w="1238" w:type="dxa"/>
            <w:shd w:val="clear" w:color="auto" w:fill="E6F4D7"/>
          </w:tcPr>
          <w:p w:rsidR="00B65A71" w:rsidRPr="0000154C" w:rsidRDefault="00B65A71" w:rsidP="00B65A71">
            <w:pPr>
              <w:rPr>
                <w:rFonts w:ascii="Arial" w:hAnsi="Arial" w:cs="Arial"/>
                <w:szCs w:val="22"/>
                <w:lang w:val="sr-Latn-CS"/>
              </w:rPr>
            </w:pPr>
            <w:r w:rsidRPr="0000154C">
              <w:rPr>
                <w:rFonts w:ascii="Arial" w:hAnsi="Arial" w:cs="Arial"/>
                <w:szCs w:val="22"/>
                <w:lang w:val="sr-Latn-CS"/>
              </w:rPr>
              <w:t xml:space="preserve">≤ </w:t>
            </w:r>
            <w:r>
              <w:rPr>
                <w:rFonts w:ascii="Arial" w:hAnsi="Arial" w:cs="Arial"/>
                <w:szCs w:val="22"/>
                <w:lang w:val="sr-Latn-CS"/>
              </w:rPr>
              <w:t>21</w:t>
            </w:r>
            <w:r w:rsidRPr="0000154C">
              <w:rPr>
                <w:rFonts w:ascii="Arial" w:hAnsi="Arial" w:cs="Arial"/>
                <w:szCs w:val="22"/>
                <w:lang w:val="sr-Latn-CS"/>
              </w:rPr>
              <w:t>,</w:t>
            </w:r>
            <w:r>
              <w:rPr>
                <w:rFonts w:ascii="Arial" w:hAnsi="Arial" w:cs="Arial"/>
                <w:szCs w:val="22"/>
                <w:lang w:val="sr-Latn-CS"/>
              </w:rPr>
              <w:t>12</w:t>
            </w:r>
          </w:p>
        </w:tc>
        <w:tc>
          <w:tcPr>
            <w:tcW w:w="1269" w:type="dxa"/>
            <w:shd w:val="clear" w:color="auto" w:fill="E6F4D7"/>
          </w:tcPr>
          <w:p w:rsidR="00B65A71" w:rsidRPr="0000154C" w:rsidRDefault="00B65A71" w:rsidP="00B65A71">
            <w:pPr>
              <w:rPr>
                <w:rFonts w:ascii="Arial" w:hAnsi="Arial" w:cs="Arial"/>
                <w:szCs w:val="22"/>
                <w:lang w:val="sr-Latn-CS"/>
              </w:rPr>
            </w:pPr>
            <w:r w:rsidRPr="0000154C">
              <w:rPr>
                <w:rFonts w:ascii="Arial" w:hAnsi="Arial" w:cs="Arial"/>
                <w:szCs w:val="22"/>
                <w:lang w:val="sr-Latn-CS"/>
              </w:rPr>
              <w:t xml:space="preserve">≤ </w:t>
            </w:r>
            <w:r>
              <w:rPr>
                <w:rFonts w:ascii="Arial" w:hAnsi="Arial" w:cs="Arial"/>
                <w:szCs w:val="22"/>
                <w:lang w:val="sr-Latn-CS"/>
              </w:rPr>
              <w:t>0,20</w:t>
            </w:r>
          </w:p>
        </w:tc>
        <w:tc>
          <w:tcPr>
            <w:tcW w:w="1390" w:type="dxa"/>
            <w:shd w:val="clear" w:color="auto" w:fill="E6F4D7"/>
          </w:tcPr>
          <w:p w:rsidR="00B65A71" w:rsidRPr="0000154C" w:rsidRDefault="00B65A71" w:rsidP="00B65A71">
            <w:pPr>
              <w:jc w:val="center"/>
              <w:rPr>
                <w:rFonts w:ascii="Arial" w:hAnsi="Arial" w:cs="Arial"/>
                <w:szCs w:val="22"/>
                <w:lang w:val="sr-Latn-CS"/>
              </w:rPr>
            </w:pPr>
            <w:r w:rsidRPr="0000154C">
              <w:rPr>
                <w:rFonts w:ascii="Arial" w:hAnsi="Arial" w:cs="Arial"/>
                <w:szCs w:val="22"/>
                <w:lang w:val="sr-Latn-CS"/>
              </w:rPr>
              <w:t>≤ 3,</w:t>
            </w:r>
            <w:r>
              <w:rPr>
                <w:rFonts w:ascii="Arial" w:hAnsi="Arial" w:cs="Arial"/>
                <w:szCs w:val="22"/>
                <w:lang w:val="sr-Latn-CS"/>
              </w:rPr>
              <w:t>67</w:t>
            </w:r>
          </w:p>
        </w:tc>
        <w:tc>
          <w:tcPr>
            <w:tcW w:w="979" w:type="dxa"/>
            <w:shd w:val="clear" w:color="auto" w:fill="E6F4D7"/>
          </w:tcPr>
          <w:p w:rsidR="00B65A71" w:rsidRPr="0000154C" w:rsidRDefault="00B65A71" w:rsidP="00B65A71">
            <w:pPr>
              <w:rPr>
                <w:rFonts w:ascii="Arial" w:hAnsi="Arial" w:cs="Arial"/>
                <w:szCs w:val="22"/>
                <w:lang w:val="sr-Latn-CS"/>
              </w:rPr>
            </w:pPr>
            <w:r w:rsidRPr="0000154C">
              <w:rPr>
                <w:rFonts w:ascii="Arial" w:hAnsi="Arial" w:cs="Arial"/>
                <w:szCs w:val="22"/>
                <w:lang w:val="sr-Latn-CS"/>
              </w:rPr>
              <w:t xml:space="preserve">≤ </w:t>
            </w:r>
            <w:r>
              <w:rPr>
                <w:rFonts w:ascii="Arial" w:hAnsi="Arial" w:cs="Arial"/>
                <w:szCs w:val="22"/>
                <w:lang w:val="sr-Latn-CS"/>
              </w:rPr>
              <w:t>7,81</w:t>
            </w:r>
          </w:p>
        </w:tc>
        <w:tc>
          <w:tcPr>
            <w:tcW w:w="1021" w:type="dxa"/>
            <w:tcBorders>
              <w:right w:val="single" w:sz="4" w:space="0" w:color="FFFFFF" w:themeColor="background1"/>
            </w:tcBorders>
            <w:shd w:val="clear" w:color="auto" w:fill="E6F4D7"/>
          </w:tcPr>
          <w:p w:rsidR="00B65A71" w:rsidRPr="0000154C" w:rsidRDefault="00B65A71" w:rsidP="00B65A71">
            <w:pPr>
              <w:rPr>
                <w:rFonts w:ascii="Arial" w:hAnsi="Arial" w:cs="Arial"/>
                <w:szCs w:val="22"/>
                <w:lang w:val="sr-Latn-CS"/>
              </w:rPr>
            </w:pPr>
            <w:r w:rsidRPr="0000154C">
              <w:rPr>
                <w:rFonts w:ascii="Arial" w:hAnsi="Arial" w:cs="Arial"/>
                <w:szCs w:val="22"/>
                <w:lang w:val="sr-Latn-CS"/>
              </w:rPr>
              <w:t>≤ 0,2</w:t>
            </w:r>
            <w:r>
              <w:rPr>
                <w:rFonts w:ascii="Arial" w:hAnsi="Arial" w:cs="Arial"/>
                <w:szCs w:val="22"/>
                <w:lang w:val="sr-Latn-CS"/>
              </w:rPr>
              <w:t>4</w:t>
            </w:r>
          </w:p>
        </w:tc>
        <w:tc>
          <w:tcPr>
            <w:tcW w:w="1082" w:type="dxa"/>
            <w:tcBorders>
              <w:left w:val="single" w:sz="4" w:space="0" w:color="FFFFFF" w:themeColor="background1"/>
            </w:tcBorders>
            <w:shd w:val="clear" w:color="auto" w:fill="E6F4D7"/>
          </w:tcPr>
          <w:p w:rsidR="00B65A71" w:rsidRPr="0000154C" w:rsidRDefault="00B65A71" w:rsidP="00B65A71">
            <w:pPr>
              <w:rPr>
                <w:rFonts w:ascii="Arial" w:hAnsi="Arial" w:cs="Arial"/>
                <w:szCs w:val="22"/>
                <w:lang w:val="sr-Latn-CS"/>
              </w:rPr>
            </w:pPr>
            <w:r w:rsidRPr="0000154C">
              <w:rPr>
                <w:rFonts w:ascii="Arial" w:hAnsi="Arial" w:cs="Arial"/>
                <w:szCs w:val="22"/>
                <w:lang w:val="sr-Latn-CS"/>
              </w:rPr>
              <w:t xml:space="preserve">≤ </w:t>
            </w:r>
            <w:r>
              <w:rPr>
                <w:rFonts w:ascii="Arial" w:hAnsi="Arial" w:cs="Arial"/>
                <w:szCs w:val="22"/>
                <w:lang w:val="sr-Latn-CS"/>
              </w:rPr>
              <w:t>10,71</w:t>
            </w:r>
          </w:p>
        </w:tc>
      </w:tr>
    </w:tbl>
    <w:p w:rsidR="00B65A71" w:rsidRPr="0000154C" w:rsidRDefault="00B65A71" w:rsidP="009C37F3">
      <w:pPr>
        <w:pStyle w:val="Tabele"/>
        <w:ind w:left="0" w:firstLine="0"/>
      </w:pPr>
      <w:r>
        <w:t xml:space="preserve"> </w:t>
      </w:r>
      <w:r w:rsidRPr="002D119E">
        <w:t>Koncentracije  aktivnosti radionuklida u Skadarskom jezeru u 2013. god.</w:t>
      </w:r>
    </w:p>
    <w:p w:rsidR="00B65A71" w:rsidRPr="00790CC9" w:rsidRDefault="00B65A71" w:rsidP="00BA223F">
      <w:pPr>
        <w:rPr>
          <w:rFonts w:ascii="Constantia" w:hAnsi="Constantia"/>
        </w:rPr>
      </w:pPr>
      <w:bookmarkStart w:id="245" w:name="_Toc290541608"/>
      <w:bookmarkStart w:id="246" w:name="_Toc319930918"/>
      <w:bookmarkStart w:id="247" w:name="_Toc319931729"/>
      <w:r w:rsidRPr="00790CC9">
        <w:rPr>
          <w:rFonts w:ascii="Constantia" w:hAnsi="Constantia"/>
          <w:b/>
        </w:rPr>
        <w:t>Zaključak:</w:t>
      </w:r>
      <w:r w:rsidRPr="00790CC9">
        <w:rPr>
          <w:rFonts w:ascii="Constantia" w:hAnsi="Constantia"/>
        </w:rPr>
        <w:t xml:space="preserve"> </w:t>
      </w:r>
      <w:r w:rsidRPr="0077224B">
        <w:rPr>
          <w:rFonts w:ascii="Constantia" w:hAnsi="Constantia"/>
          <w:b/>
        </w:rPr>
        <w:t xml:space="preserve">Ukoliko se dobijene vrijednosti koncentracije aktivnosti radionuklida u Skadarskom jezeru koje  su prikazane u tabeli </w:t>
      </w:r>
      <w:r w:rsidR="00BA223F" w:rsidRPr="0077224B">
        <w:rPr>
          <w:rFonts w:ascii="Constantia" w:hAnsi="Constantia"/>
          <w:b/>
        </w:rPr>
        <w:t>104</w:t>
      </w:r>
      <w:r w:rsidRPr="0077224B">
        <w:rPr>
          <w:rFonts w:ascii="Constantia" w:hAnsi="Constantia"/>
          <w:b/>
        </w:rPr>
        <w:t xml:space="preserve"> uporede čak i sa izvedenim koncentracijama koje važe za vodu za piće:</w:t>
      </w:r>
      <w:r w:rsidRPr="00790CC9">
        <w:rPr>
          <w:rFonts w:ascii="Constantia" w:hAnsi="Constantia"/>
        </w:rPr>
        <w:t xml:space="preserve"> </w:t>
      </w:r>
    </w:p>
    <w:p w:rsidR="00B65A71" w:rsidRPr="00790CC9" w:rsidRDefault="00B65A71" w:rsidP="00B65A71">
      <w:pPr>
        <w:rPr>
          <w:rFonts w:ascii="Constantia" w:hAnsi="Constantia"/>
        </w:rPr>
      </w:pPr>
      <w:r w:rsidRPr="00790CC9">
        <w:rPr>
          <w:rFonts w:ascii="Constantia" w:hAnsi="Constantia"/>
        </w:rPr>
        <w:t xml:space="preserve">40K : 2,2 Bq/l,  137Cs :1,0 Bq/l,  226Ra: 0,2 Bq/l, 232Th: 0,1 Bq/l,  238U: 0,4 Bq/l </w:t>
      </w:r>
    </w:p>
    <w:p w:rsidR="00B65A71" w:rsidRPr="00790CC9" w:rsidRDefault="00B65A71" w:rsidP="00B65A71">
      <w:pPr>
        <w:rPr>
          <w:rFonts w:ascii="Constantia" w:hAnsi="Constantia"/>
          <w:b/>
        </w:rPr>
      </w:pPr>
      <w:r w:rsidRPr="00790CC9">
        <w:rPr>
          <w:rFonts w:ascii="Constantia" w:hAnsi="Constantia"/>
          <w:b/>
        </w:rPr>
        <w:t>može se zaključiti da je  voda Skadarskog jezera radiološka ispravna</w:t>
      </w:r>
      <w:r w:rsidR="00BA223F" w:rsidRPr="00790CC9">
        <w:rPr>
          <w:rFonts w:ascii="Constantia" w:hAnsi="Constantia"/>
          <w:b/>
        </w:rPr>
        <w:t>.</w:t>
      </w:r>
    </w:p>
    <w:p w:rsidR="00B65A71" w:rsidRPr="00F06A67" w:rsidRDefault="00B65A71" w:rsidP="00B65A71">
      <w:pPr>
        <w:pStyle w:val="Heading2"/>
        <w:ind w:left="851" w:hanging="851"/>
      </w:pPr>
      <w:bookmarkStart w:id="248" w:name="_Toc384895582"/>
      <w:bookmarkStart w:id="249" w:name="_Toc393897955"/>
      <w:r w:rsidRPr="00F06A67">
        <w:t>Ispitivanje sadržaja radionuklida u morskoj vodi</w:t>
      </w:r>
      <w:bookmarkEnd w:id="248"/>
      <w:bookmarkEnd w:id="249"/>
    </w:p>
    <w:p w:rsidR="00B65A71" w:rsidRPr="00DF1CC2" w:rsidRDefault="00B65A71" w:rsidP="005D7A4D">
      <w:pPr>
        <w:rPr>
          <w:rFonts w:ascii="Arial" w:hAnsi="Arial" w:cs="Arial"/>
          <w:szCs w:val="22"/>
          <w:lang w:val="sr-Latn-CS"/>
        </w:rPr>
      </w:pPr>
      <w:r w:rsidRPr="00790CC9">
        <w:rPr>
          <w:rFonts w:ascii="Constantia" w:hAnsi="Constantia"/>
        </w:rPr>
        <w:t xml:space="preserve">Ispitivanje sadržaja radionuklida u morskoj vodi se radila na uzorcima koji su se uzimali kod Bara i Herceg Novog. (tabele </w:t>
      </w:r>
      <w:r w:rsidR="005D7A4D" w:rsidRPr="00790CC9">
        <w:rPr>
          <w:rFonts w:ascii="Constantia" w:hAnsi="Constantia"/>
        </w:rPr>
        <w:t>105</w:t>
      </w:r>
      <w:r w:rsidRPr="00790CC9">
        <w:rPr>
          <w:rFonts w:ascii="Constantia" w:hAnsi="Constantia"/>
        </w:rPr>
        <w:t xml:space="preserve"> i </w:t>
      </w:r>
      <w:r w:rsidR="005D7A4D" w:rsidRPr="00790CC9">
        <w:rPr>
          <w:rFonts w:ascii="Constantia" w:hAnsi="Constantia"/>
        </w:rPr>
        <w:t>106</w:t>
      </w:r>
      <w:r w:rsidRPr="00790CC9">
        <w:rPr>
          <w:rFonts w:ascii="Constantia" w:hAnsi="Constantia"/>
        </w:rPr>
        <w:t>) Analiza je obuhvatila prirodne radionuklide 40K, 226Ra, 232Th, 235U i 238U i vještački 137Cs. Zbog veoma niskih koncentracija pojedini radionuklidi nisu mogli biti detektovani bez obzira što se išlo na koncentrisanje uzoraka tako da su vrijednosti za njih su date u vidu minimalnih detektabilnih aktivnosti</w:t>
      </w:r>
      <w:r w:rsidRPr="00DF1CC2">
        <w:rPr>
          <w:rFonts w:ascii="Arial" w:hAnsi="Arial" w:cs="Arial"/>
          <w:szCs w:val="22"/>
          <w:lang w:val="sr-Latn-CS"/>
        </w:rPr>
        <w:t>.</w:t>
      </w:r>
    </w:p>
    <w:tbl>
      <w:tblPr>
        <w:tblW w:w="0" w:type="auto"/>
        <w:jc w:val="cente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Pr>
      <w:tblGrid>
        <w:gridCol w:w="1431"/>
        <w:gridCol w:w="1396"/>
        <w:gridCol w:w="1111"/>
        <w:gridCol w:w="1390"/>
        <w:gridCol w:w="979"/>
        <w:gridCol w:w="897"/>
        <w:gridCol w:w="1156"/>
      </w:tblGrid>
      <w:tr w:rsidR="00B65A71" w:rsidRPr="0000154C" w:rsidTr="00B65A71">
        <w:trPr>
          <w:jc w:val="center"/>
        </w:trPr>
        <w:tc>
          <w:tcPr>
            <w:tcW w:w="1431" w:type="dxa"/>
            <w:tcBorders>
              <w:top w:val="single" w:sz="8" w:space="0" w:color="FFFFFF"/>
              <w:left w:val="single" w:sz="8" w:space="0" w:color="FFFFFF"/>
              <w:bottom w:val="single" w:sz="24" w:space="0" w:color="FFFFFF"/>
              <w:right w:val="single" w:sz="8" w:space="0" w:color="FFFFFF"/>
            </w:tcBorders>
            <w:shd w:val="clear" w:color="auto" w:fill="9BD45F"/>
          </w:tcPr>
          <w:p w:rsidR="00B65A71" w:rsidRDefault="00B65A71" w:rsidP="00B65A71">
            <w:pPr>
              <w:rPr>
                <w:rFonts w:ascii="Arial" w:hAnsi="Arial" w:cs="Arial"/>
                <w:szCs w:val="22"/>
                <w:lang w:val="sr-Latn-CS"/>
              </w:rPr>
            </w:pPr>
            <w:r>
              <w:rPr>
                <w:rFonts w:ascii="Arial" w:hAnsi="Arial" w:cs="Arial"/>
                <w:szCs w:val="22"/>
                <w:lang w:val="sr-Latn-CS"/>
              </w:rPr>
              <w:t xml:space="preserve">    </w:t>
            </w:r>
          </w:p>
          <w:p w:rsidR="00B65A71" w:rsidRPr="0000154C" w:rsidRDefault="00B65A71" w:rsidP="00B65A71">
            <w:pPr>
              <w:rPr>
                <w:rFonts w:ascii="Arial" w:hAnsi="Arial" w:cs="Arial"/>
                <w:szCs w:val="22"/>
                <w:lang w:val="sr-Latn-CS"/>
              </w:rPr>
            </w:pPr>
            <w:r>
              <w:rPr>
                <w:rFonts w:ascii="Arial" w:hAnsi="Arial" w:cs="Arial"/>
                <w:szCs w:val="22"/>
                <w:lang w:val="sr-Latn-CS"/>
              </w:rPr>
              <w:t xml:space="preserve">      Bar</w:t>
            </w:r>
          </w:p>
        </w:tc>
        <w:tc>
          <w:tcPr>
            <w:tcW w:w="1396" w:type="dxa"/>
            <w:tcBorders>
              <w:top w:val="single" w:sz="8" w:space="0" w:color="FFFFFF"/>
              <w:left w:val="single" w:sz="8" w:space="0" w:color="FFFFFF"/>
              <w:bottom w:val="single" w:sz="24" w:space="0" w:color="FFFFFF"/>
              <w:right w:val="single" w:sz="8" w:space="0" w:color="FFFFFF"/>
            </w:tcBorders>
            <w:shd w:val="clear" w:color="auto" w:fill="9BD45F"/>
          </w:tcPr>
          <w:p w:rsidR="00B65A71" w:rsidRPr="0000154C" w:rsidRDefault="00B65A71" w:rsidP="00B65A71">
            <w:pPr>
              <w:rPr>
                <w:rFonts w:ascii="Arial" w:hAnsi="Arial" w:cs="Arial"/>
                <w:szCs w:val="22"/>
                <w:lang w:val="sr-Latn-CS"/>
              </w:rPr>
            </w:pPr>
            <w:r w:rsidRPr="0000154C">
              <w:rPr>
                <w:rFonts w:ascii="Arial" w:hAnsi="Arial" w:cs="Arial"/>
                <w:szCs w:val="22"/>
                <w:vertAlign w:val="superscript"/>
                <w:lang w:val="sr-Latn-CS"/>
              </w:rPr>
              <w:t xml:space="preserve">       40</w:t>
            </w:r>
            <w:r w:rsidRPr="0000154C">
              <w:rPr>
                <w:rFonts w:ascii="Arial" w:hAnsi="Arial" w:cs="Arial"/>
                <w:szCs w:val="22"/>
                <w:lang w:val="sr-Latn-CS"/>
              </w:rPr>
              <w:t>K</w:t>
            </w:r>
          </w:p>
          <w:p w:rsidR="00B65A71" w:rsidRPr="0000154C" w:rsidRDefault="00B65A71" w:rsidP="00B65A71">
            <w:pPr>
              <w:rPr>
                <w:rFonts w:ascii="Arial" w:hAnsi="Arial" w:cs="Arial"/>
                <w:szCs w:val="22"/>
              </w:rPr>
            </w:pPr>
            <w:r>
              <w:rPr>
                <w:rFonts w:ascii="Arial" w:hAnsi="Arial" w:cs="Arial"/>
                <w:szCs w:val="22"/>
                <w:lang w:val="sr-Latn-CS"/>
              </w:rPr>
              <w:t xml:space="preserve">  (</w:t>
            </w:r>
            <w:r w:rsidRPr="0000154C">
              <w:rPr>
                <w:rFonts w:ascii="Arial" w:hAnsi="Arial" w:cs="Arial"/>
                <w:szCs w:val="22"/>
                <w:lang w:val="sr-Latn-CS"/>
              </w:rPr>
              <w:t>Bq/l)</w:t>
            </w:r>
          </w:p>
        </w:tc>
        <w:tc>
          <w:tcPr>
            <w:tcW w:w="1111" w:type="dxa"/>
            <w:tcBorders>
              <w:top w:val="single" w:sz="8" w:space="0" w:color="FFFFFF"/>
              <w:left w:val="single" w:sz="8" w:space="0" w:color="FFFFFF"/>
              <w:bottom w:val="single" w:sz="24" w:space="0" w:color="FFFFFF"/>
              <w:right w:val="single" w:sz="8" w:space="0" w:color="FFFFFF"/>
            </w:tcBorders>
            <w:shd w:val="clear" w:color="auto" w:fill="9BD45F"/>
          </w:tcPr>
          <w:p w:rsidR="00B65A71" w:rsidRPr="0000154C" w:rsidRDefault="00B65A71" w:rsidP="00B65A71">
            <w:pPr>
              <w:rPr>
                <w:rFonts w:ascii="Arial" w:hAnsi="Arial" w:cs="Arial"/>
                <w:szCs w:val="22"/>
                <w:lang w:val="sr-Latn-CS"/>
              </w:rPr>
            </w:pPr>
            <w:r w:rsidRPr="0000154C">
              <w:rPr>
                <w:rFonts w:ascii="Arial" w:hAnsi="Arial" w:cs="Arial"/>
                <w:szCs w:val="22"/>
                <w:vertAlign w:val="superscript"/>
                <w:lang w:val="sr-Latn-CS"/>
              </w:rPr>
              <w:t>137</w:t>
            </w:r>
            <w:r w:rsidRPr="0000154C">
              <w:rPr>
                <w:rFonts w:ascii="Arial" w:hAnsi="Arial" w:cs="Arial"/>
                <w:szCs w:val="22"/>
                <w:lang w:val="sr-Latn-CS"/>
              </w:rPr>
              <w:t>Cs</w:t>
            </w:r>
          </w:p>
          <w:p w:rsidR="00B65A71" w:rsidRPr="0000154C" w:rsidRDefault="00B65A71" w:rsidP="00B65A71">
            <w:pPr>
              <w:rPr>
                <w:rFonts w:ascii="Arial" w:hAnsi="Arial" w:cs="Arial"/>
                <w:szCs w:val="22"/>
                <w:lang w:val="sr-Latn-CS"/>
              </w:rPr>
            </w:pPr>
            <w:r w:rsidRPr="0000154C">
              <w:rPr>
                <w:rFonts w:ascii="Arial" w:hAnsi="Arial" w:cs="Arial"/>
                <w:szCs w:val="22"/>
                <w:lang w:val="sr-Latn-CS"/>
              </w:rPr>
              <w:t>(mBq/l)</w:t>
            </w:r>
          </w:p>
        </w:tc>
        <w:tc>
          <w:tcPr>
            <w:tcW w:w="1390" w:type="dxa"/>
            <w:tcBorders>
              <w:top w:val="single" w:sz="8" w:space="0" w:color="FFFFFF"/>
              <w:left w:val="single" w:sz="8" w:space="0" w:color="FFFFFF"/>
              <w:bottom w:val="single" w:sz="24" w:space="0" w:color="FFFFFF"/>
              <w:right w:val="single" w:sz="8" w:space="0" w:color="FFFFFF"/>
            </w:tcBorders>
            <w:shd w:val="clear" w:color="auto" w:fill="9BD45F"/>
          </w:tcPr>
          <w:p w:rsidR="00B65A71" w:rsidRPr="0000154C" w:rsidRDefault="00B65A71" w:rsidP="00B65A71">
            <w:pPr>
              <w:rPr>
                <w:rFonts w:ascii="Arial" w:hAnsi="Arial" w:cs="Arial"/>
                <w:szCs w:val="22"/>
                <w:lang w:val="sr-Latn-CS"/>
              </w:rPr>
            </w:pPr>
            <w:r w:rsidRPr="0000154C">
              <w:rPr>
                <w:rFonts w:ascii="Arial" w:hAnsi="Arial" w:cs="Arial"/>
                <w:szCs w:val="22"/>
                <w:vertAlign w:val="superscript"/>
                <w:lang w:val="sr-Latn-CS"/>
              </w:rPr>
              <w:t>226</w:t>
            </w:r>
            <w:r w:rsidRPr="0000154C">
              <w:rPr>
                <w:rFonts w:ascii="Arial" w:hAnsi="Arial" w:cs="Arial"/>
                <w:szCs w:val="22"/>
                <w:lang w:val="sr-Latn-CS"/>
              </w:rPr>
              <w:t>Ra</w:t>
            </w:r>
          </w:p>
          <w:p w:rsidR="00B65A71" w:rsidRPr="0000154C" w:rsidRDefault="00B65A71" w:rsidP="00B65A71">
            <w:pPr>
              <w:rPr>
                <w:rFonts w:ascii="Arial" w:hAnsi="Arial" w:cs="Arial"/>
                <w:szCs w:val="22"/>
                <w:lang w:val="sr-Latn-CS"/>
              </w:rPr>
            </w:pPr>
            <w:r w:rsidRPr="0000154C">
              <w:rPr>
                <w:rFonts w:ascii="Arial" w:hAnsi="Arial" w:cs="Arial"/>
                <w:szCs w:val="22"/>
                <w:lang w:val="sr-Latn-CS"/>
              </w:rPr>
              <w:t>(mBq/l)</w:t>
            </w:r>
          </w:p>
        </w:tc>
        <w:tc>
          <w:tcPr>
            <w:tcW w:w="979" w:type="dxa"/>
            <w:tcBorders>
              <w:top w:val="single" w:sz="8" w:space="0" w:color="FFFFFF"/>
              <w:left w:val="single" w:sz="8" w:space="0" w:color="FFFFFF"/>
              <w:bottom w:val="single" w:sz="24" w:space="0" w:color="FFFFFF"/>
              <w:right w:val="single" w:sz="8" w:space="0" w:color="FFFFFF"/>
            </w:tcBorders>
            <w:shd w:val="clear" w:color="auto" w:fill="9BD45F"/>
          </w:tcPr>
          <w:p w:rsidR="00B65A71" w:rsidRPr="0000154C" w:rsidRDefault="00B65A71" w:rsidP="00B65A71">
            <w:pPr>
              <w:rPr>
                <w:rFonts w:ascii="Arial" w:hAnsi="Arial" w:cs="Arial"/>
                <w:szCs w:val="22"/>
                <w:lang w:val="sr-Latn-CS"/>
              </w:rPr>
            </w:pPr>
            <w:r w:rsidRPr="0000154C">
              <w:rPr>
                <w:rFonts w:ascii="Arial" w:hAnsi="Arial" w:cs="Arial"/>
                <w:szCs w:val="22"/>
                <w:vertAlign w:val="superscript"/>
                <w:lang w:val="sr-Latn-CS"/>
              </w:rPr>
              <w:t>232</w:t>
            </w:r>
            <w:r w:rsidRPr="0000154C">
              <w:rPr>
                <w:rFonts w:ascii="Arial" w:hAnsi="Arial" w:cs="Arial"/>
                <w:szCs w:val="22"/>
                <w:lang w:val="sr-Latn-CS"/>
              </w:rPr>
              <w:t>Th</w:t>
            </w:r>
          </w:p>
          <w:p w:rsidR="00B65A71" w:rsidRPr="0000154C" w:rsidRDefault="00B65A71" w:rsidP="00B65A71">
            <w:pPr>
              <w:rPr>
                <w:rFonts w:ascii="Arial" w:hAnsi="Arial" w:cs="Arial"/>
                <w:szCs w:val="22"/>
                <w:lang w:val="sr-Latn-CS"/>
              </w:rPr>
            </w:pPr>
            <w:r w:rsidRPr="0000154C">
              <w:rPr>
                <w:rFonts w:ascii="Arial" w:hAnsi="Arial" w:cs="Arial"/>
                <w:szCs w:val="22"/>
                <w:lang w:val="sr-Latn-CS"/>
              </w:rPr>
              <w:t>(mBq/l)</w:t>
            </w:r>
          </w:p>
        </w:tc>
        <w:tc>
          <w:tcPr>
            <w:tcW w:w="897" w:type="dxa"/>
            <w:tcBorders>
              <w:top w:val="single" w:sz="8" w:space="0" w:color="FFFFFF"/>
              <w:left w:val="single" w:sz="8" w:space="0" w:color="FFFFFF"/>
              <w:bottom w:val="single" w:sz="24" w:space="0" w:color="FFFFFF"/>
              <w:right w:val="single" w:sz="4" w:space="0" w:color="FFFFFF" w:themeColor="background1"/>
            </w:tcBorders>
            <w:shd w:val="clear" w:color="auto" w:fill="9BD45F"/>
          </w:tcPr>
          <w:p w:rsidR="00B65A71" w:rsidRPr="0000154C" w:rsidRDefault="00B65A71" w:rsidP="00B65A71">
            <w:pPr>
              <w:rPr>
                <w:rFonts w:ascii="Arial" w:hAnsi="Arial" w:cs="Arial"/>
                <w:szCs w:val="22"/>
                <w:lang w:val="sr-Latn-CS"/>
              </w:rPr>
            </w:pPr>
            <w:r w:rsidRPr="0000154C">
              <w:rPr>
                <w:rFonts w:ascii="Arial" w:hAnsi="Arial" w:cs="Arial"/>
                <w:szCs w:val="22"/>
                <w:vertAlign w:val="superscript"/>
                <w:lang w:val="sr-Latn-CS"/>
              </w:rPr>
              <w:t>238</w:t>
            </w:r>
            <w:r w:rsidRPr="0000154C">
              <w:rPr>
                <w:rFonts w:ascii="Arial" w:hAnsi="Arial" w:cs="Arial"/>
                <w:szCs w:val="22"/>
                <w:lang w:val="sr-Latn-CS"/>
              </w:rPr>
              <w:t>U</w:t>
            </w:r>
          </w:p>
          <w:p w:rsidR="00B65A71" w:rsidRPr="0000154C" w:rsidRDefault="00B65A71" w:rsidP="00B65A71">
            <w:pPr>
              <w:rPr>
                <w:rFonts w:ascii="Arial" w:hAnsi="Arial" w:cs="Arial"/>
                <w:szCs w:val="22"/>
                <w:lang w:val="sr-Latn-CS"/>
              </w:rPr>
            </w:pPr>
            <w:r w:rsidRPr="0000154C">
              <w:rPr>
                <w:rFonts w:ascii="Arial" w:hAnsi="Arial" w:cs="Arial"/>
                <w:szCs w:val="22"/>
                <w:lang w:val="sr-Latn-CS"/>
              </w:rPr>
              <w:t>(Bq/l)</w:t>
            </w:r>
          </w:p>
        </w:tc>
        <w:tc>
          <w:tcPr>
            <w:tcW w:w="1156" w:type="dxa"/>
            <w:tcBorders>
              <w:top w:val="single" w:sz="8" w:space="0" w:color="FFFFFF"/>
              <w:left w:val="single" w:sz="4" w:space="0" w:color="FFFFFF" w:themeColor="background1"/>
              <w:bottom w:val="single" w:sz="24" w:space="0" w:color="FFFFFF"/>
              <w:right w:val="single" w:sz="8" w:space="0" w:color="FFFFFF"/>
            </w:tcBorders>
            <w:shd w:val="clear" w:color="auto" w:fill="9BD45F"/>
          </w:tcPr>
          <w:p w:rsidR="00B65A71" w:rsidRPr="0000154C" w:rsidRDefault="00B65A71" w:rsidP="00B65A71">
            <w:pPr>
              <w:rPr>
                <w:rFonts w:ascii="Arial" w:hAnsi="Arial" w:cs="Arial"/>
                <w:szCs w:val="22"/>
                <w:lang w:val="sr-Latn-CS"/>
              </w:rPr>
            </w:pPr>
            <w:r w:rsidRPr="0000154C">
              <w:rPr>
                <w:rFonts w:ascii="Arial" w:hAnsi="Arial" w:cs="Arial"/>
                <w:szCs w:val="22"/>
                <w:vertAlign w:val="superscript"/>
                <w:lang w:val="sr-Latn-CS"/>
              </w:rPr>
              <w:t>23</w:t>
            </w:r>
            <w:r>
              <w:rPr>
                <w:rFonts w:ascii="Arial" w:hAnsi="Arial" w:cs="Arial"/>
                <w:szCs w:val="22"/>
                <w:vertAlign w:val="superscript"/>
                <w:lang w:val="sr-Latn-CS"/>
              </w:rPr>
              <w:t>5</w:t>
            </w:r>
            <w:r w:rsidRPr="0000154C">
              <w:rPr>
                <w:rFonts w:ascii="Arial" w:hAnsi="Arial" w:cs="Arial"/>
                <w:szCs w:val="22"/>
                <w:lang w:val="sr-Latn-CS"/>
              </w:rPr>
              <w:t>U</w:t>
            </w:r>
          </w:p>
          <w:p w:rsidR="00B65A71" w:rsidRDefault="00B65A71" w:rsidP="00B65A71">
            <w:pPr>
              <w:spacing w:after="0"/>
              <w:jc w:val="left"/>
              <w:rPr>
                <w:rFonts w:ascii="Arial" w:hAnsi="Arial" w:cs="Arial"/>
                <w:szCs w:val="22"/>
                <w:lang w:val="sr-Latn-CS"/>
              </w:rPr>
            </w:pPr>
            <w:r w:rsidRPr="0000154C">
              <w:rPr>
                <w:rFonts w:ascii="Arial" w:hAnsi="Arial" w:cs="Arial"/>
                <w:szCs w:val="22"/>
                <w:lang w:val="sr-Latn-CS"/>
              </w:rPr>
              <w:t>(</w:t>
            </w:r>
            <w:r>
              <w:rPr>
                <w:rFonts w:ascii="Arial" w:hAnsi="Arial" w:cs="Arial"/>
                <w:szCs w:val="22"/>
                <w:lang w:val="sr-Latn-CS"/>
              </w:rPr>
              <w:t>m</w:t>
            </w:r>
            <w:r w:rsidRPr="0000154C">
              <w:rPr>
                <w:rFonts w:ascii="Arial" w:hAnsi="Arial" w:cs="Arial"/>
                <w:szCs w:val="22"/>
                <w:lang w:val="sr-Latn-CS"/>
              </w:rPr>
              <w:t>Bq/l)</w:t>
            </w:r>
          </w:p>
          <w:p w:rsidR="00B65A71" w:rsidRPr="0000154C" w:rsidRDefault="00B65A71" w:rsidP="00B65A71">
            <w:pPr>
              <w:rPr>
                <w:rFonts w:ascii="Arial" w:hAnsi="Arial" w:cs="Arial"/>
                <w:szCs w:val="22"/>
                <w:lang w:val="sr-Latn-CS"/>
              </w:rPr>
            </w:pPr>
          </w:p>
        </w:tc>
      </w:tr>
      <w:tr w:rsidR="00B65A71" w:rsidRPr="0000154C" w:rsidTr="00B65A71">
        <w:trPr>
          <w:jc w:val="center"/>
        </w:trPr>
        <w:tc>
          <w:tcPr>
            <w:tcW w:w="1431" w:type="dxa"/>
            <w:tcBorders>
              <w:top w:val="single" w:sz="8" w:space="0" w:color="FFFFFF"/>
              <w:left w:val="single" w:sz="8" w:space="0" w:color="FFFFFF"/>
              <w:bottom w:val="nil"/>
              <w:right w:val="single" w:sz="24" w:space="0" w:color="FFFFFF"/>
            </w:tcBorders>
            <w:shd w:val="clear" w:color="auto" w:fill="9BD45F"/>
          </w:tcPr>
          <w:p w:rsidR="00B65A71" w:rsidRPr="0000154C" w:rsidRDefault="00B65A71" w:rsidP="00B65A71">
            <w:pPr>
              <w:rPr>
                <w:rFonts w:ascii="Arial" w:hAnsi="Arial" w:cs="Arial"/>
                <w:szCs w:val="22"/>
                <w:lang w:val="sr-Latn-CS"/>
              </w:rPr>
            </w:pPr>
            <w:r>
              <w:rPr>
                <w:rFonts w:ascii="Arial" w:hAnsi="Arial" w:cs="Arial"/>
                <w:szCs w:val="22"/>
                <w:lang w:val="sr-Latn-CS"/>
              </w:rPr>
              <w:t>I Polugod.</w:t>
            </w:r>
          </w:p>
        </w:tc>
        <w:tc>
          <w:tcPr>
            <w:tcW w:w="1396" w:type="dxa"/>
            <w:tcBorders>
              <w:top w:val="single" w:sz="8" w:space="0" w:color="FFFFFF"/>
              <w:left w:val="single" w:sz="8" w:space="0" w:color="FFFFFF"/>
              <w:bottom w:val="single" w:sz="8" w:space="0" w:color="FFFFFF"/>
              <w:right w:val="single" w:sz="8" w:space="0" w:color="FFFFFF"/>
            </w:tcBorders>
            <w:shd w:val="clear" w:color="auto" w:fill="CCE9AF"/>
          </w:tcPr>
          <w:p w:rsidR="00B65A71" w:rsidRPr="0000154C" w:rsidRDefault="00B65A71" w:rsidP="00B65A71">
            <w:pPr>
              <w:rPr>
                <w:rFonts w:ascii="Arial" w:hAnsi="Arial" w:cs="Arial"/>
                <w:szCs w:val="22"/>
                <w:lang w:val="sr-Latn-CS"/>
              </w:rPr>
            </w:pPr>
            <w:r>
              <w:rPr>
                <w:rFonts w:ascii="Arial" w:hAnsi="Arial" w:cs="Arial"/>
                <w:szCs w:val="22"/>
                <w:lang w:val="sr-Latn-CS"/>
              </w:rPr>
              <w:t>9,01 ± 0,30</w:t>
            </w:r>
          </w:p>
        </w:tc>
        <w:tc>
          <w:tcPr>
            <w:tcW w:w="1111" w:type="dxa"/>
            <w:tcBorders>
              <w:top w:val="single" w:sz="8" w:space="0" w:color="FFFFFF"/>
              <w:left w:val="single" w:sz="8" w:space="0" w:color="FFFFFF"/>
              <w:bottom w:val="single" w:sz="8" w:space="0" w:color="FFFFFF"/>
              <w:right w:val="single" w:sz="8" w:space="0" w:color="FFFFFF"/>
            </w:tcBorders>
            <w:shd w:val="clear" w:color="auto" w:fill="CCE9AF"/>
          </w:tcPr>
          <w:p w:rsidR="00B65A71" w:rsidRPr="0000154C" w:rsidRDefault="00B65A71" w:rsidP="00B65A71">
            <w:pPr>
              <w:rPr>
                <w:rFonts w:ascii="Arial" w:hAnsi="Arial" w:cs="Arial"/>
                <w:szCs w:val="22"/>
                <w:lang w:val="sr-Latn-CS"/>
              </w:rPr>
            </w:pPr>
            <w:r>
              <w:rPr>
                <w:rFonts w:ascii="Arial" w:hAnsi="Arial" w:cs="Arial"/>
                <w:szCs w:val="22"/>
                <w:lang w:val="sr-Latn-CS"/>
              </w:rPr>
              <w:t>≤ 3,21</w:t>
            </w:r>
          </w:p>
        </w:tc>
        <w:tc>
          <w:tcPr>
            <w:tcW w:w="1390" w:type="dxa"/>
            <w:tcBorders>
              <w:top w:val="single" w:sz="8" w:space="0" w:color="FFFFFF"/>
              <w:left w:val="single" w:sz="8" w:space="0" w:color="FFFFFF"/>
              <w:bottom w:val="single" w:sz="8" w:space="0" w:color="FFFFFF"/>
              <w:right w:val="single" w:sz="8" w:space="0" w:color="FFFFFF"/>
            </w:tcBorders>
            <w:shd w:val="clear" w:color="auto" w:fill="CCE9AF"/>
          </w:tcPr>
          <w:p w:rsidR="00B65A71" w:rsidRPr="0000154C" w:rsidRDefault="00B65A71" w:rsidP="00B65A71">
            <w:pPr>
              <w:rPr>
                <w:rFonts w:ascii="Arial" w:hAnsi="Arial" w:cs="Arial"/>
                <w:szCs w:val="22"/>
                <w:lang w:val="sr-Latn-CS"/>
              </w:rPr>
            </w:pPr>
            <w:r>
              <w:rPr>
                <w:rFonts w:ascii="Arial" w:hAnsi="Arial" w:cs="Arial"/>
                <w:szCs w:val="22"/>
                <w:lang w:val="sr-Latn-CS"/>
              </w:rPr>
              <w:t>≤ 5,22</w:t>
            </w:r>
          </w:p>
        </w:tc>
        <w:tc>
          <w:tcPr>
            <w:tcW w:w="979" w:type="dxa"/>
            <w:tcBorders>
              <w:top w:val="single" w:sz="8" w:space="0" w:color="FFFFFF"/>
              <w:left w:val="single" w:sz="8" w:space="0" w:color="FFFFFF"/>
              <w:bottom w:val="single" w:sz="8" w:space="0" w:color="FFFFFF"/>
              <w:right w:val="single" w:sz="8" w:space="0" w:color="FFFFFF"/>
            </w:tcBorders>
            <w:shd w:val="clear" w:color="auto" w:fill="CCE9AF"/>
          </w:tcPr>
          <w:p w:rsidR="00B65A71" w:rsidRPr="0000154C" w:rsidRDefault="00B65A71" w:rsidP="00B65A71">
            <w:pPr>
              <w:rPr>
                <w:rFonts w:ascii="Arial" w:hAnsi="Arial" w:cs="Arial"/>
                <w:szCs w:val="22"/>
                <w:lang w:val="sr-Latn-CS"/>
              </w:rPr>
            </w:pPr>
            <w:r>
              <w:rPr>
                <w:rFonts w:ascii="Arial" w:hAnsi="Arial" w:cs="Arial"/>
                <w:szCs w:val="22"/>
                <w:lang w:val="sr-Latn-CS"/>
              </w:rPr>
              <w:t>≤ 10.97</w:t>
            </w:r>
          </w:p>
        </w:tc>
        <w:tc>
          <w:tcPr>
            <w:tcW w:w="897" w:type="dxa"/>
            <w:tcBorders>
              <w:top w:val="single" w:sz="8" w:space="0" w:color="FFFFFF"/>
              <w:left w:val="single" w:sz="8" w:space="0" w:color="FFFFFF"/>
              <w:bottom w:val="single" w:sz="8" w:space="0" w:color="FFFFFF"/>
              <w:right w:val="single" w:sz="4" w:space="0" w:color="FFFFFF" w:themeColor="background1"/>
            </w:tcBorders>
            <w:shd w:val="clear" w:color="auto" w:fill="CCE9AF"/>
          </w:tcPr>
          <w:p w:rsidR="00B65A71" w:rsidRPr="0000154C" w:rsidRDefault="00B65A71" w:rsidP="00B65A71">
            <w:pPr>
              <w:rPr>
                <w:rFonts w:ascii="Arial" w:hAnsi="Arial" w:cs="Arial"/>
                <w:szCs w:val="22"/>
                <w:lang w:val="sr-Latn-CS"/>
              </w:rPr>
            </w:pPr>
            <w:r>
              <w:rPr>
                <w:rFonts w:ascii="Arial" w:hAnsi="Arial" w:cs="Arial"/>
                <w:szCs w:val="22"/>
                <w:lang w:val="sr-Latn-CS"/>
              </w:rPr>
              <w:t>≤ 0,37</w:t>
            </w:r>
          </w:p>
        </w:tc>
        <w:tc>
          <w:tcPr>
            <w:tcW w:w="1156" w:type="dxa"/>
            <w:tcBorders>
              <w:top w:val="single" w:sz="8" w:space="0" w:color="FFFFFF"/>
              <w:left w:val="single" w:sz="4" w:space="0" w:color="FFFFFF" w:themeColor="background1"/>
              <w:bottom w:val="single" w:sz="8" w:space="0" w:color="FFFFFF"/>
              <w:right w:val="single" w:sz="8" w:space="0" w:color="FFFFFF"/>
            </w:tcBorders>
            <w:shd w:val="clear" w:color="auto" w:fill="CCE9AF"/>
          </w:tcPr>
          <w:p w:rsidR="00B65A71" w:rsidRPr="0000154C" w:rsidRDefault="00B65A71" w:rsidP="00B65A71">
            <w:pPr>
              <w:rPr>
                <w:rFonts w:ascii="Arial" w:hAnsi="Arial" w:cs="Arial"/>
                <w:szCs w:val="22"/>
                <w:lang w:val="sr-Latn-CS"/>
              </w:rPr>
            </w:pPr>
            <w:r>
              <w:rPr>
                <w:rFonts w:ascii="Arial" w:hAnsi="Arial" w:cs="Arial"/>
                <w:szCs w:val="22"/>
                <w:lang w:val="sr-Latn-CS"/>
              </w:rPr>
              <w:t>≤ 20,17</w:t>
            </w:r>
          </w:p>
        </w:tc>
      </w:tr>
      <w:tr w:rsidR="00B65A71" w:rsidRPr="0000154C" w:rsidTr="00B65A71">
        <w:trPr>
          <w:jc w:val="center"/>
        </w:trPr>
        <w:tc>
          <w:tcPr>
            <w:tcW w:w="1431" w:type="dxa"/>
            <w:tcBorders>
              <w:left w:val="single" w:sz="8" w:space="0" w:color="FFFFFF"/>
              <w:right w:val="single" w:sz="24" w:space="0" w:color="FFFFFF"/>
            </w:tcBorders>
            <w:shd w:val="clear" w:color="auto" w:fill="9BD45F"/>
          </w:tcPr>
          <w:p w:rsidR="00B65A71" w:rsidRPr="0000154C" w:rsidRDefault="00B65A71" w:rsidP="00B65A71">
            <w:pPr>
              <w:rPr>
                <w:rFonts w:ascii="Arial" w:hAnsi="Arial" w:cs="Arial"/>
                <w:szCs w:val="22"/>
                <w:lang w:val="sr-Latn-CS"/>
              </w:rPr>
            </w:pPr>
            <w:r>
              <w:rPr>
                <w:rFonts w:ascii="Arial" w:hAnsi="Arial" w:cs="Arial"/>
                <w:szCs w:val="22"/>
                <w:lang w:val="sr-Latn-CS"/>
              </w:rPr>
              <w:t>II Polugod.</w:t>
            </w:r>
          </w:p>
        </w:tc>
        <w:tc>
          <w:tcPr>
            <w:tcW w:w="1396" w:type="dxa"/>
            <w:shd w:val="clear" w:color="auto" w:fill="E6F4D7"/>
          </w:tcPr>
          <w:p w:rsidR="00B65A71" w:rsidRPr="0000154C" w:rsidRDefault="00B65A71" w:rsidP="00B65A71">
            <w:pPr>
              <w:rPr>
                <w:rFonts w:ascii="Arial" w:hAnsi="Arial" w:cs="Arial"/>
                <w:szCs w:val="22"/>
                <w:lang w:val="sr-Latn-CS"/>
              </w:rPr>
            </w:pPr>
            <w:r>
              <w:rPr>
                <w:rFonts w:ascii="Arial" w:hAnsi="Arial" w:cs="Arial"/>
                <w:szCs w:val="22"/>
                <w:lang w:val="sr-Latn-CS"/>
              </w:rPr>
              <w:t>8,08 ± 0,27</w:t>
            </w:r>
          </w:p>
        </w:tc>
        <w:tc>
          <w:tcPr>
            <w:tcW w:w="1111" w:type="dxa"/>
            <w:shd w:val="clear" w:color="auto" w:fill="E6F4D7"/>
          </w:tcPr>
          <w:p w:rsidR="00B65A71" w:rsidRPr="0000154C" w:rsidRDefault="00B65A71" w:rsidP="00B65A71">
            <w:pPr>
              <w:rPr>
                <w:rFonts w:ascii="Arial" w:hAnsi="Arial" w:cs="Arial"/>
                <w:szCs w:val="22"/>
                <w:lang w:val="sr-Latn-CS"/>
              </w:rPr>
            </w:pPr>
            <w:r>
              <w:rPr>
                <w:rFonts w:ascii="Arial" w:hAnsi="Arial" w:cs="Arial"/>
                <w:szCs w:val="22"/>
                <w:lang w:val="sr-Latn-CS"/>
              </w:rPr>
              <w:t>≤ 3,73</w:t>
            </w:r>
          </w:p>
        </w:tc>
        <w:tc>
          <w:tcPr>
            <w:tcW w:w="1390" w:type="dxa"/>
            <w:shd w:val="clear" w:color="auto" w:fill="E6F4D7"/>
          </w:tcPr>
          <w:p w:rsidR="00B65A71" w:rsidRPr="0000154C" w:rsidRDefault="00B65A71" w:rsidP="00B65A71">
            <w:pPr>
              <w:rPr>
                <w:rFonts w:ascii="Arial" w:hAnsi="Arial" w:cs="Arial"/>
                <w:szCs w:val="22"/>
                <w:lang w:val="sr-Latn-CS"/>
              </w:rPr>
            </w:pPr>
            <w:r>
              <w:rPr>
                <w:rFonts w:ascii="Arial" w:hAnsi="Arial" w:cs="Arial"/>
                <w:szCs w:val="22"/>
                <w:lang w:val="sr-Latn-CS"/>
              </w:rPr>
              <w:t>≤ 6,47</w:t>
            </w:r>
          </w:p>
        </w:tc>
        <w:tc>
          <w:tcPr>
            <w:tcW w:w="979" w:type="dxa"/>
            <w:shd w:val="clear" w:color="auto" w:fill="E6F4D7"/>
          </w:tcPr>
          <w:p w:rsidR="00B65A71" w:rsidRPr="0000154C" w:rsidRDefault="00B65A71" w:rsidP="00B65A71">
            <w:pPr>
              <w:rPr>
                <w:rFonts w:ascii="Arial" w:hAnsi="Arial" w:cs="Arial"/>
                <w:szCs w:val="22"/>
                <w:lang w:val="sr-Latn-CS"/>
              </w:rPr>
            </w:pPr>
            <w:r>
              <w:rPr>
                <w:rFonts w:ascii="Arial" w:hAnsi="Arial" w:cs="Arial"/>
                <w:szCs w:val="22"/>
                <w:lang w:val="sr-Latn-CS"/>
              </w:rPr>
              <w:t>≤ 16,11</w:t>
            </w:r>
          </w:p>
        </w:tc>
        <w:tc>
          <w:tcPr>
            <w:tcW w:w="897" w:type="dxa"/>
            <w:tcBorders>
              <w:right w:val="single" w:sz="4" w:space="0" w:color="FFFFFF" w:themeColor="background1"/>
            </w:tcBorders>
            <w:shd w:val="clear" w:color="auto" w:fill="E6F4D7"/>
          </w:tcPr>
          <w:p w:rsidR="00B65A71" w:rsidRPr="0000154C" w:rsidRDefault="00B65A71" w:rsidP="00B65A71">
            <w:pPr>
              <w:rPr>
                <w:rFonts w:ascii="Arial" w:hAnsi="Arial" w:cs="Arial"/>
                <w:szCs w:val="22"/>
                <w:lang w:val="sr-Latn-CS"/>
              </w:rPr>
            </w:pPr>
            <w:r>
              <w:rPr>
                <w:rFonts w:ascii="Arial" w:hAnsi="Arial" w:cs="Arial"/>
                <w:szCs w:val="22"/>
                <w:lang w:val="sr-Latn-CS"/>
              </w:rPr>
              <w:t>≤ 0,52</w:t>
            </w:r>
          </w:p>
        </w:tc>
        <w:tc>
          <w:tcPr>
            <w:tcW w:w="1156" w:type="dxa"/>
            <w:tcBorders>
              <w:left w:val="single" w:sz="4" w:space="0" w:color="FFFFFF" w:themeColor="background1"/>
            </w:tcBorders>
            <w:shd w:val="clear" w:color="auto" w:fill="E6F4D7"/>
          </w:tcPr>
          <w:p w:rsidR="00B65A71" w:rsidRPr="0000154C" w:rsidRDefault="00B65A71" w:rsidP="00B65A71">
            <w:pPr>
              <w:rPr>
                <w:rFonts w:ascii="Arial" w:hAnsi="Arial" w:cs="Arial"/>
                <w:szCs w:val="22"/>
                <w:lang w:val="sr-Latn-CS"/>
              </w:rPr>
            </w:pPr>
            <w:r>
              <w:rPr>
                <w:rFonts w:ascii="Arial" w:hAnsi="Arial" w:cs="Arial"/>
                <w:szCs w:val="22"/>
                <w:lang w:val="sr-Latn-CS"/>
              </w:rPr>
              <w:t>≤ 19,22</w:t>
            </w:r>
          </w:p>
        </w:tc>
      </w:tr>
    </w:tbl>
    <w:p w:rsidR="00B65A71" w:rsidRDefault="00B65A71" w:rsidP="009C37F3">
      <w:pPr>
        <w:pStyle w:val="Tabele"/>
        <w:ind w:left="0" w:firstLine="0"/>
      </w:pPr>
    </w:p>
    <w:tbl>
      <w:tblPr>
        <w:tblW w:w="0" w:type="auto"/>
        <w:jc w:val="center"/>
        <w:tblInd w:w="-426"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Pr>
      <w:tblGrid>
        <w:gridCol w:w="1857"/>
        <w:gridCol w:w="1525"/>
        <w:gridCol w:w="1060"/>
        <w:gridCol w:w="1111"/>
        <w:gridCol w:w="990"/>
        <w:gridCol w:w="755"/>
        <w:gridCol w:w="1070"/>
      </w:tblGrid>
      <w:tr w:rsidR="00B65A71" w:rsidRPr="0000154C" w:rsidTr="00B65A71">
        <w:trPr>
          <w:jc w:val="center"/>
        </w:trPr>
        <w:tc>
          <w:tcPr>
            <w:tcW w:w="1857" w:type="dxa"/>
            <w:tcBorders>
              <w:top w:val="single" w:sz="8" w:space="0" w:color="FFFFFF"/>
              <w:left w:val="single" w:sz="8" w:space="0" w:color="FFFFFF"/>
              <w:bottom w:val="single" w:sz="24" w:space="0" w:color="FFFFFF"/>
              <w:right w:val="single" w:sz="8" w:space="0" w:color="FFFFFF"/>
            </w:tcBorders>
            <w:shd w:val="clear" w:color="auto" w:fill="9BD45F"/>
          </w:tcPr>
          <w:p w:rsidR="00B65A71" w:rsidRDefault="00B65A71" w:rsidP="00B65A71">
            <w:pPr>
              <w:rPr>
                <w:rFonts w:ascii="Arial" w:hAnsi="Arial" w:cs="Arial"/>
                <w:szCs w:val="22"/>
                <w:lang w:val="sr-Latn-CS"/>
              </w:rPr>
            </w:pPr>
            <w:r>
              <w:rPr>
                <w:rFonts w:ascii="Arial" w:hAnsi="Arial" w:cs="Arial"/>
                <w:szCs w:val="22"/>
                <w:lang w:val="sr-Latn-CS"/>
              </w:rPr>
              <w:t xml:space="preserve">    </w:t>
            </w:r>
          </w:p>
          <w:p w:rsidR="00B65A71" w:rsidRPr="0000154C" w:rsidRDefault="00B65A71" w:rsidP="00B65A71">
            <w:pPr>
              <w:rPr>
                <w:rFonts w:ascii="Arial" w:hAnsi="Arial" w:cs="Arial"/>
                <w:szCs w:val="22"/>
                <w:lang w:val="sr-Latn-CS"/>
              </w:rPr>
            </w:pPr>
            <w:r>
              <w:rPr>
                <w:rFonts w:ascii="Arial" w:hAnsi="Arial" w:cs="Arial"/>
                <w:szCs w:val="22"/>
                <w:lang w:val="sr-Latn-CS"/>
              </w:rPr>
              <w:t xml:space="preserve">      H.Novi</w:t>
            </w:r>
          </w:p>
        </w:tc>
        <w:tc>
          <w:tcPr>
            <w:tcW w:w="1525" w:type="dxa"/>
            <w:tcBorders>
              <w:top w:val="single" w:sz="8" w:space="0" w:color="FFFFFF"/>
              <w:left w:val="single" w:sz="8" w:space="0" w:color="FFFFFF"/>
              <w:bottom w:val="single" w:sz="24" w:space="0" w:color="FFFFFF"/>
              <w:right w:val="single" w:sz="8" w:space="0" w:color="FFFFFF"/>
            </w:tcBorders>
            <w:shd w:val="clear" w:color="auto" w:fill="9BD45F"/>
          </w:tcPr>
          <w:p w:rsidR="00B65A71" w:rsidRPr="0000154C" w:rsidRDefault="00B65A71" w:rsidP="00B65A71">
            <w:pPr>
              <w:rPr>
                <w:rFonts w:ascii="Arial" w:hAnsi="Arial" w:cs="Arial"/>
                <w:szCs w:val="22"/>
                <w:lang w:val="sr-Latn-CS"/>
              </w:rPr>
            </w:pPr>
            <w:r w:rsidRPr="0000154C">
              <w:rPr>
                <w:rFonts w:ascii="Arial" w:hAnsi="Arial" w:cs="Arial"/>
                <w:szCs w:val="22"/>
                <w:vertAlign w:val="superscript"/>
                <w:lang w:val="sr-Latn-CS"/>
              </w:rPr>
              <w:t xml:space="preserve">       40</w:t>
            </w:r>
            <w:r w:rsidRPr="0000154C">
              <w:rPr>
                <w:rFonts w:ascii="Arial" w:hAnsi="Arial" w:cs="Arial"/>
                <w:szCs w:val="22"/>
                <w:lang w:val="sr-Latn-CS"/>
              </w:rPr>
              <w:t>K</w:t>
            </w:r>
          </w:p>
          <w:p w:rsidR="00B65A71" w:rsidRPr="0000154C" w:rsidRDefault="00B65A71" w:rsidP="00B65A71">
            <w:pPr>
              <w:rPr>
                <w:rFonts w:ascii="Arial" w:hAnsi="Arial" w:cs="Arial"/>
                <w:szCs w:val="22"/>
              </w:rPr>
            </w:pPr>
            <w:r>
              <w:rPr>
                <w:rFonts w:ascii="Arial" w:hAnsi="Arial" w:cs="Arial"/>
                <w:szCs w:val="22"/>
                <w:lang w:val="sr-Latn-CS"/>
              </w:rPr>
              <w:t xml:space="preserve">  (</w:t>
            </w:r>
            <w:r w:rsidRPr="0000154C">
              <w:rPr>
                <w:rFonts w:ascii="Arial" w:hAnsi="Arial" w:cs="Arial"/>
                <w:szCs w:val="22"/>
                <w:lang w:val="sr-Latn-CS"/>
              </w:rPr>
              <w:t>Bq/l)</w:t>
            </w:r>
          </w:p>
        </w:tc>
        <w:tc>
          <w:tcPr>
            <w:tcW w:w="1060" w:type="dxa"/>
            <w:tcBorders>
              <w:top w:val="single" w:sz="8" w:space="0" w:color="FFFFFF"/>
              <w:left w:val="single" w:sz="8" w:space="0" w:color="FFFFFF"/>
              <w:bottom w:val="single" w:sz="24" w:space="0" w:color="FFFFFF"/>
              <w:right w:val="single" w:sz="8" w:space="0" w:color="FFFFFF"/>
            </w:tcBorders>
            <w:shd w:val="clear" w:color="auto" w:fill="9BD45F"/>
          </w:tcPr>
          <w:p w:rsidR="00B65A71" w:rsidRPr="0000154C" w:rsidRDefault="00B65A71" w:rsidP="00B65A71">
            <w:pPr>
              <w:rPr>
                <w:rFonts w:ascii="Arial" w:hAnsi="Arial" w:cs="Arial"/>
                <w:szCs w:val="22"/>
                <w:lang w:val="sr-Latn-CS"/>
              </w:rPr>
            </w:pPr>
            <w:r w:rsidRPr="0000154C">
              <w:rPr>
                <w:rFonts w:ascii="Arial" w:hAnsi="Arial" w:cs="Arial"/>
                <w:szCs w:val="22"/>
                <w:vertAlign w:val="superscript"/>
                <w:lang w:val="sr-Latn-CS"/>
              </w:rPr>
              <w:t>137</w:t>
            </w:r>
            <w:r w:rsidRPr="0000154C">
              <w:rPr>
                <w:rFonts w:ascii="Arial" w:hAnsi="Arial" w:cs="Arial"/>
                <w:szCs w:val="22"/>
                <w:lang w:val="sr-Latn-CS"/>
              </w:rPr>
              <w:t>Cs</w:t>
            </w:r>
          </w:p>
          <w:p w:rsidR="00B65A71" w:rsidRPr="0000154C" w:rsidRDefault="00B65A71" w:rsidP="00B65A71">
            <w:pPr>
              <w:rPr>
                <w:rFonts w:ascii="Arial" w:hAnsi="Arial" w:cs="Arial"/>
                <w:szCs w:val="22"/>
                <w:lang w:val="sr-Latn-CS"/>
              </w:rPr>
            </w:pPr>
            <w:r w:rsidRPr="0000154C">
              <w:rPr>
                <w:rFonts w:ascii="Arial" w:hAnsi="Arial" w:cs="Arial"/>
                <w:szCs w:val="22"/>
                <w:lang w:val="sr-Latn-CS"/>
              </w:rPr>
              <w:t>(mBq/l)</w:t>
            </w:r>
          </w:p>
        </w:tc>
        <w:tc>
          <w:tcPr>
            <w:tcW w:w="1111" w:type="dxa"/>
            <w:tcBorders>
              <w:top w:val="single" w:sz="8" w:space="0" w:color="FFFFFF"/>
              <w:left w:val="single" w:sz="8" w:space="0" w:color="FFFFFF"/>
              <w:bottom w:val="single" w:sz="24" w:space="0" w:color="FFFFFF"/>
              <w:right w:val="single" w:sz="8" w:space="0" w:color="FFFFFF"/>
            </w:tcBorders>
            <w:shd w:val="clear" w:color="auto" w:fill="9BD45F"/>
          </w:tcPr>
          <w:p w:rsidR="00B65A71" w:rsidRPr="0000154C" w:rsidRDefault="00B65A71" w:rsidP="00B65A71">
            <w:pPr>
              <w:rPr>
                <w:rFonts w:ascii="Arial" w:hAnsi="Arial" w:cs="Arial"/>
                <w:szCs w:val="22"/>
                <w:lang w:val="sr-Latn-CS"/>
              </w:rPr>
            </w:pPr>
            <w:r w:rsidRPr="0000154C">
              <w:rPr>
                <w:rFonts w:ascii="Arial" w:hAnsi="Arial" w:cs="Arial"/>
                <w:szCs w:val="22"/>
                <w:vertAlign w:val="superscript"/>
                <w:lang w:val="sr-Latn-CS"/>
              </w:rPr>
              <w:t>226</w:t>
            </w:r>
            <w:r w:rsidRPr="0000154C">
              <w:rPr>
                <w:rFonts w:ascii="Arial" w:hAnsi="Arial" w:cs="Arial"/>
                <w:szCs w:val="22"/>
                <w:lang w:val="sr-Latn-CS"/>
              </w:rPr>
              <w:t>Ra</w:t>
            </w:r>
          </w:p>
          <w:p w:rsidR="00B65A71" w:rsidRPr="0000154C" w:rsidRDefault="00B65A71" w:rsidP="00B65A71">
            <w:pPr>
              <w:rPr>
                <w:rFonts w:ascii="Arial" w:hAnsi="Arial" w:cs="Arial"/>
                <w:szCs w:val="22"/>
                <w:lang w:val="sr-Latn-CS"/>
              </w:rPr>
            </w:pPr>
            <w:r w:rsidRPr="0000154C">
              <w:rPr>
                <w:rFonts w:ascii="Arial" w:hAnsi="Arial" w:cs="Arial"/>
                <w:szCs w:val="22"/>
                <w:lang w:val="sr-Latn-CS"/>
              </w:rPr>
              <w:t>(mBq/l)</w:t>
            </w:r>
          </w:p>
        </w:tc>
        <w:tc>
          <w:tcPr>
            <w:tcW w:w="990" w:type="dxa"/>
            <w:tcBorders>
              <w:top w:val="single" w:sz="8" w:space="0" w:color="FFFFFF"/>
              <w:left w:val="single" w:sz="8" w:space="0" w:color="FFFFFF"/>
              <w:bottom w:val="single" w:sz="24" w:space="0" w:color="FFFFFF"/>
              <w:right w:val="single" w:sz="8" w:space="0" w:color="FFFFFF"/>
            </w:tcBorders>
            <w:shd w:val="clear" w:color="auto" w:fill="9BD45F"/>
          </w:tcPr>
          <w:p w:rsidR="00B65A71" w:rsidRPr="0000154C" w:rsidRDefault="00B65A71" w:rsidP="00B65A71">
            <w:pPr>
              <w:rPr>
                <w:rFonts w:ascii="Arial" w:hAnsi="Arial" w:cs="Arial"/>
                <w:szCs w:val="22"/>
                <w:lang w:val="sr-Latn-CS"/>
              </w:rPr>
            </w:pPr>
            <w:r w:rsidRPr="0000154C">
              <w:rPr>
                <w:rFonts w:ascii="Arial" w:hAnsi="Arial" w:cs="Arial"/>
                <w:szCs w:val="22"/>
                <w:vertAlign w:val="superscript"/>
                <w:lang w:val="sr-Latn-CS"/>
              </w:rPr>
              <w:t>232</w:t>
            </w:r>
            <w:r w:rsidRPr="0000154C">
              <w:rPr>
                <w:rFonts w:ascii="Arial" w:hAnsi="Arial" w:cs="Arial"/>
                <w:szCs w:val="22"/>
                <w:lang w:val="sr-Latn-CS"/>
              </w:rPr>
              <w:t>Th</w:t>
            </w:r>
          </w:p>
          <w:p w:rsidR="00B65A71" w:rsidRPr="0000154C" w:rsidRDefault="00B65A71" w:rsidP="00B65A71">
            <w:pPr>
              <w:rPr>
                <w:rFonts w:ascii="Arial" w:hAnsi="Arial" w:cs="Arial"/>
                <w:szCs w:val="22"/>
                <w:lang w:val="sr-Latn-CS"/>
              </w:rPr>
            </w:pPr>
            <w:r w:rsidRPr="0000154C">
              <w:rPr>
                <w:rFonts w:ascii="Arial" w:hAnsi="Arial" w:cs="Arial"/>
                <w:szCs w:val="22"/>
                <w:lang w:val="sr-Latn-CS"/>
              </w:rPr>
              <w:t>(mBq/l)</w:t>
            </w:r>
          </w:p>
        </w:tc>
        <w:tc>
          <w:tcPr>
            <w:tcW w:w="755" w:type="dxa"/>
            <w:tcBorders>
              <w:top w:val="single" w:sz="8" w:space="0" w:color="FFFFFF"/>
              <w:left w:val="single" w:sz="8" w:space="0" w:color="FFFFFF"/>
              <w:bottom w:val="single" w:sz="24" w:space="0" w:color="FFFFFF"/>
              <w:right w:val="single" w:sz="4" w:space="0" w:color="FFFFFF" w:themeColor="background1"/>
            </w:tcBorders>
            <w:shd w:val="clear" w:color="auto" w:fill="9BD45F"/>
          </w:tcPr>
          <w:p w:rsidR="00B65A71" w:rsidRPr="0000154C" w:rsidRDefault="00B65A71" w:rsidP="00B65A71">
            <w:pPr>
              <w:rPr>
                <w:rFonts w:ascii="Arial" w:hAnsi="Arial" w:cs="Arial"/>
                <w:szCs w:val="22"/>
                <w:lang w:val="sr-Latn-CS"/>
              </w:rPr>
            </w:pPr>
            <w:r w:rsidRPr="0000154C">
              <w:rPr>
                <w:rFonts w:ascii="Arial" w:hAnsi="Arial" w:cs="Arial"/>
                <w:szCs w:val="22"/>
                <w:vertAlign w:val="superscript"/>
                <w:lang w:val="sr-Latn-CS"/>
              </w:rPr>
              <w:t>238</w:t>
            </w:r>
            <w:r w:rsidRPr="0000154C">
              <w:rPr>
                <w:rFonts w:ascii="Arial" w:hAnsi="Arial" w:cs="Arial"/>
                <w:szCs w:val="22"/>
                <w:lang w:val="sr-Latn-CS"/>
              </w:rPr>
              <w:t>U</w:t>
            </w:r>
          </w:p>
          <w:p w:rsidR="00B65A71" w:rsidRPr="0000154C" w:rsidRDefault="00B65A71" w:rsidP="00B65A71">
            <w:pPr>
              <w:rPr>
                <w:rFonts w:ascii="Arial" w:hAnsi="Arial" w:cs="Arial"/>
                <w:szCs w:val="22"/>
                <w:lang w:val="sr-Latn-CS"/>
              </w:rPr>
            </w:pPr>
            <w:r w:rsidRPr="0000154C">
              <w:rPr>
                <w:rFonts w:ascii="Arial" w:hAnsi="Arial" w:cs="Arial"/>
                <w:szCs w:val="22"/>
                <w:lang w:val="sr-Latn-CS"/>
              </w:rPr>
              <w:t>(Bq/l)</w:t>
            </w:r>
          </w:p>
        </w:tc>
        <w:tc>
          <w:tcPr>
            <w:tcW w:w="1070" w:type="dxa"/>
            <w:tcBorders>
              <w:top w:val="single" w:sz="8" w:space="0" w:color="FFFFFF"/>
              <w:left w:val="single" w:sz="4" w:space="0" w:color="FFFFFF" w:themeColor="background1"/>
              <w:bottom w:val="single" w:sz="24" w:space="0" w:color="FFFFFF"/>
              <w:right w:val="single" w:sz="8" w:space="0" w:color="FFFFFF"/>
            </w:tcBorders>
            <w:shd w:val="clear" w:color="auto" w:fill="9BD45F"/>
          </w:tcPr>
          <w:p w:rsidR="00B65A71" w:rsidRPr="0000154C" w:rsidRDefault="00B65A71" w:rsidP="00B65A71">
            <w:pPr>
              <w:rPr>
                <w:rFonts w:ascii="Arial" w:hAnsi="Arial" w:cs="Arial"/>
                <w:szCs w:val="22"/>
                <w:lang w:val="sr-Latn-CS"/>
              </w:rPr>
            </w:pPr>
            <w:r w:rsidRPr="0000154C">
              <w:rPr>
                <w:rFonts w:ascii="Arial" w:hAnsi="Arial" w:cs="Arial"/>
                <w:szCs w:val="22"/>
                <w:vertAlign w:val="superscript"/>
                <w:lang w:val="sr-Latn-CS"/>
              </w:rPr>
              <w:t>23</w:t>
            </w:r>
            <w:r>
              <w:rPr>
                <w:rFonts w:ascii="Arial" w:hAnsi="Arial" w:cs="Arial"/>
                <w:szCs w:val="22"/>
                <w:vertAlign w:val="superscript"/>
                <w:lang w:val="sr-Latn-CS"/>
              </w:rPr>
              <w:t>5</w:t>
            </w:r>
            <w:r w:rsidRPr="0000154C">
              <w:rPr>
                <w:rFonts w:ascii="Arial" w:hAnsi="Arial" w:cs="Arial"/>
                <w:szCs w:val="22"/>
                <w:lang w:val="sr-Latn-CS"/>
              </w:rPr>
              <w:t>U</w:t>
            </w:r>
          </w:p>
          <w:p w:rsidR="00B65A71" w:rsidRDefault="00B65A71" w:rsidP="00B65A71">
            <w:pPr>
              <w:spacing w:after="0"/>
              <w:jc w:val="left"/>
              <w:rPr>
                <w:rFonts w:ascii="Arial" w:hAnsi="Arial" w:cs="Arial"/>
                <w:szCs w:val="22"/>
                <w:lang w:val="sr-Latn-CS"/>
              </w:rPr>
            </w:pPr>
            <w:r w:rsidRPr="0000154C">
              <w:rPr>
                <w:rFonts w:ascii="Arial" w:hAnsi="Arial" w:cs="Arial"/>
                <w:szCs w:val="22"/>
                <w:lang w:val="sr-Latn-CS"/>
              </w:rPr>
              <w:t>(</w:t>
            </w:r>
            <w:r>
              <w:rPr>
                <w:rFonts w:ascii="Arial" w:hAnsi="Arial" w:cs="Arial"/>
                <w:szCs w:val="22"/>
                <w:lang w:val="sr-Latn-CS"/>
              </w:rPr>
              <w:t>m</w:t>
            </w:r>
            <w:r w:rsidRPr="0000154C">
              <w:rPr>
                <w:rFonts w:ascii="Arial" w:hAnsi="Arial" w:cs="Arial"/>
                <w:szCs w:val="22"/>
                <w:lang w:val="sr-Latn-CS"/>
              </w:rPr>
              <w:t>Bq/l)</w:t>
            </w:r>
          </w:p>
          <w:p w:rsidR="00B65A71" w:rsidRPr="0000154C" w:rsidRDefault="00B65A71" w:rsidP="00B65A71">
            <w:pPr>
              <w:rPr>
                <w:rFonts w:ascii="Arial" w:hAnsi="Arial" w:cs="Arial"/>
                <w:szCs w:val="22"/>
                <w:lang w:val="sr-Latn-CS"/>
              </w:rPr>
            </w:pPr>
          </w:p>
        </w:tc>
      </w:tr>
      <w:tr w:rsidR="00B65A71" w:rsidRPr="0000154C" w:rsidTr="00B65A71">
        <w:trPr>
          <w:jc w:val="center"/>
        </w:trPr>
        <w:tc>
          <w:tcPr>
            <w:tcW w:w="1857" w:type="dxa"/>
            <w:tcBorders>
              <w:top w:val="single" w:sz="8" w:space="0" w:color="FFFFFF"/>
              <w:left w:val="single" w:sz="8" w:space="0" w:color="FFFFFF"/>
              <w:bottom w:val="nil"/>
              <w:right w:val="single" w:sz="24" w:space="0" w:color="FFFFFF"/>
            </w:tcBorders>
            <w:shd w:val="clear" w:color="auto" w:fill="9BD45F"/>
          </w:tcPr>
          <w:p w:rsidR="00B65A71" w:rsidRPr="0000154C" w:rsidRDefault="00B65A71" w:rsidP="00B65A71">
            <w:pPr>
              <w:rPr>
                <w:rFonts w:ascii="Arial" w:hAnsi="Arial" w:cs="Arial"/>
                <w:szCs w:val="22"/>
                <w:lang w:val="sr-Latn-CS"/>
              </w:rPr>
            </w:pPr>
            <w:r>
              <w:rPr>
                <w:rFonts w:ascii="Arial" w:hAnsi="Arial" w:cs="Arial"/>
                <w:szCs w:val="22"/>
                <w:lang w:val="sr-Latn-CS"/>
              </w:rPr>
              <w:t>I Polugod.</w:t>
            </w:r>
          </w:p>
        </w:tc>
        <w:tc>
          <w:tcPr>
            <w:tcW w:w="1525" w:type="dxa"/>
            <w:tcBorders>
              <w:top w:val="single" w:sz="8" w:space="0" w:color="FFFFFF"/>
              <w:left w:val="single" w:sz="8" w:space="0" w:color="FFFFFF"/>
              <w:bottom w:val="single" w:sz="8" w:space="0" w:color="FFFFFF"/>
              <w:right w:val="single" w:sz="8" w:space="0" w:color="FFFFFF"/>
            </w:tcBorders>
            <w:shd w:val="clear" w:color="auto" w:fill="CCE9AF"/>
          </w:tcPr>
          <w:p w:rsidR="00B65A71" w:rsidRPr="0000154C" w:rsidRDefault="00B65A71" w:rsidP="00B65A71">
            <w:pPr>
              <w:rPr>
                <w:rFonts w:ascii="Arial" w:hAnsi="Arial" w:cs="Arial"/>
                <w:szCs w:val="22"/>
                <w:lang w:val="sr-Latn-CS"/>
              </w:rPr>
            </w:pPr>
            <w:r>
              <w:rPr>
                <w:rFonts w:ascii="Arial" w:hAnsi="Arial" w:cs="Arial"/>
                <w:szCs w:val="22"/>
                <w:lang w:val="sr-Latn-CS"/>
              </w:rPr>
              <w:t>6,35 ± 0,21</w:t>
            </w:r>
          </w:p>
        </w:tc>
        <w:tc>
          <w:tcPr>
            <w:tcW w:w="1060" w:type="dxa"/>
            <w:tcBorders>
              <w:top w:val="single" w:sz="8" w:space="0" w:color="FFFFFF"/>
              <w:left w:val="single" w:sz="8" w:space="0" w:color="FFFFFF"/>
              <w:bottom w:val="single" w:sz="8" w:space="0" w:color="FFFFFF"/>
              <w:right w:val="single" w:sz="8" w:space="0" w:color="FFFFFF"/>
            </w:tcBorders>
            <w:shd w:val="clear" w:color="auto" w:fill="CCE9AF"/>
          </w:tcPr>
          <w:p w:rsidR="00B65A71" w:rsidRPr="0000154C" w:rsidRDefault="00B65A71" w:rsidP="00B65A71">
            <w:pPr>
              <w:rPr>
                <w:rFonts w:ascii="Arial" w:hAnsi="Arial" w:cs="Arial"/>
                <w:szCs w:val="22"/>
                <w:lang w:val="sr-Latn-CS"/>
              </w:rPr>
            </w:pPr>
            <w:r>
              <w:rPr>
                <w:rFonts w:ascii="Arial" w:hAnsi="Arial" w:cs="Arial"/>
                <w:szCs w:val="22"/>
                <w:lang w:val="sr-Latn-CS"/>
              </w:rPr>
              <w:t>≤ 3,17</w:t>
            </w:r>
          </w:p>
        </w:tc>
        <w:tc>
          <w:tcPr>
            <w:tcW w:w="1111" w:type="dxa"/>
            <w:tcBorders>
              <w:top w:val="single" w:sz="8" w:space="0" w:color="FFFFFF"/>
              <w:left w:val="single" w:sz="8" w:space="0" w:color="FFFFFF"/>
              <w:bottom w:val="single" w:sz="8" w:space="0" w:color="FFFFFF"/>
              <w:right w:val="single" w:sz="8" w:space="0" w:color="FFFFFF"/>
            </w:tcBorders>
            <w:shd w:val="clear" w:color="auto" w:fill="CCE9AF"/>
          </w:tcPr>
          <w:p w:rsidR="00B65A71" w:rsidRPr="0000154C" w:rsidRDefault="00B65A71" w:rsidP="00B65A71">
            <w:pPr>
              <w:rPr>
                <w:rFonts w:ascii="Arial" w:hAnsi="Arial" w:cs="Arial"/>
                <w:szCs w:val="22"/>
                <w:lang w:val="sr-Latn-CS"/>
              </w:rPr>
            </w:pPr>
            <w:r>
              <w:rPr>
                <w:rFonts w:ascii="Arial" w:hAnsi="Arial" w:cs="Arial"/>
                <w:szCs w:val="22"/>
                <w:lang w:val="sr-Latn-CS"/>
              </w:rPr>
              <w:t>≤ 5,54</w:t>
            </w:r>
          </w:p>
        </w:tc>
        <w:tc>
          <w:tcPr>
            <w:tcW w:w="990" w:type="dxa"/>
            <w:tcBorders>
              <w:top w:val="single" w:sz="8" w:space="0" w:color="FFFFFF"/>
              <w:left w:val="single" w:sz="8" w:space="0" w:color="FFFFFF"/>
              <w:bottom w:val="single" w:sz="8" w:space="0" w:color="FFFFFF"/>
              <w:right w:val="single" w:sz="8" w:space="0" w:color="FFFFFF"/>
            </w:tcBorders>
            <w:shd w:val="clear" w:color="auto" w:fill="CCE9AF"/>
          </w:tcPr>
          <w:p w:rsidR="00B65A71" w:rsidRPr="0000154C" w:rsidRDefault="00B65A71" w:rsidP="00B65A71">
            <w:pPr>
              <w:rPr>
                <w:rFonts w:ascii="Arial" w:hAnsi="Arial" w:cs="Arial"/>
                <w:szCs w:val="22"/>
                <w:lang w:val="sr-Latn-CS"/>
              </w:rPr>
            </w:pPr>
            <w:r>
              <w:rPr>
                <w:rFonts w:ascii="Arial" w:hAnsi="Arial" w:cs="Arial"/>
                <w:szCs w:val="22"/>
                <w:lang w:val="sr-Latn-CS"/>
              </w:rPr>
              <w:t>≤ 13,09</w:t>
            </w:r>
          </w:p>
        </w:tc>
        <w:tc>
          <w:tcPr>
            <w:tcW w:w="755" w:type="dxa"/>
            <w:tcBorders>
              <w:top w:val="single" w:sz="8" w:space="0" w:color="FFFFFF"/>
              <w:left w:val="single" w:sz="8" w:space="0" w:color="FFFFFF"/>
              <w:bottom w:val="single" w:sz="8" w:space="0" w:color="FFFFFF"/>
              <w:right w:val="single" w:sz="4" w:space="0" w:color="FFFFFF" w:themeColor="background1"/>
            </w:tcBorders>
            <w:shd w:val="clear" w:color="auto" w:fill="CCE9AF"/>
          </w:tcPr>
          <w:p w:rsidR="00B65A71" w:rsidRPr="0000154C" w:rsidRDefault="00B65A71" w:rsidP="00B65A71">
            <w:pPr>
              <w:rPr>
                <w:rFonts w:ascii="Arial" w:hAnsi="Arial" w:cs="Arial"/>
                <w:szCs w:val="22"/>
                <w:lang w:val="sr-Latn-CS"/>
              </w:rPr>
            </w:pPr>
            <w:r>
              <w:rPr>
                <w:rFonts w:ascii="Arial" w:hAnsi="Arial" w:cs="Arial"/>
                <w:szCs w:val="22"/>
                <w:lang w:val="sr-Latn-CS"/>
              </w:rPr>
              <w:t>≤ 0,1</w:t>
            </w:r>
          </w:p>
        </w:tc>
        <w:tc>
          <w:tcPr>
            <w:tcW w:w="1070" w:type="dxa"/>
            <w:tcBorders>
              <w:top w:val="single" w:sz="8" w:space="0" w:color="FFFFFF"/>
              <w:left w:val="single" w:sz="4" w:space="0" w:color="FFFFFF" w:themeColor="background1"/>
              <w:bottom w:val="single" w:sz="8" w:space="0" w:color="FFFFFF"/>
              <w:right w:val="single" w:sz="8" w:space="0" w:color="FFFFFF"/>
            </w:tcBorders>
            <w:shd w:val="clear" w:color="auto" w:fill="CCE9AF"/>
          </w:tcPr>
          <w:p w:rsidR="00B65A71" w:rsidRPr="0000154C" w:rsidRDefault="00B65A71" w:rsidP="00B65A71">
            <w:pPr>
              <w:rPr>
                <w:rFonts w:ascii="Arial" w:hAnsi="Arial" w:cs="Arial"/>
                <w:szCs w:val="22"/>
                <w:lang w:val="sr-Latn-CS"/>
              </w:rPr>
            </w:pPr>
            <w:r>
              <w:rPr>
                <w:rFonts w:ascii="Arial" w:hAnsi="Arial" w:cs="Arial"/>
                <w:szCs w:val="22"/>
                <w:lang w:val="sr-Latn-CS"/>
              </w:rPr>
              <w:t>≤ 15,55</w:t>
            </w:r>
          </w:p>
        </w:tc>
      </w:tr>
      <w:tr w:rsidR="00B65A71" w:rsidRPr="0000154C" w:rsidTr="00B65A71">
        <w:trPr>
          <w:jc w:val="center"/>
        </w:trPr>
        <w:tc>
          <w:tcPr>
            <w:tcW w:w="1857" w:type="dxa"/>
            <w:tcBorders>
              <w:left w:val="single" w:sz="8" w:space="0" w:color="FFFFFF"/>
              <w:bottom w:val="nil"/>
              <w:right w:val="single" w:sz="24" w:space="0" w:color="FFFFFF"/>
            </w:tcBorders>
            <w:shd w:val="clear" w:color="auto" w:fill="9BD45F"/>
          </w:tcPr>
          <w:p w:rsidR="00B65A71" w:rsidRPr="0000154C" w:rsidRDefault="00B65A71" w:rsidP="00B65A71">
            <w:pPr>
              <w:rPr>
                <w:rFonts w:ascii="Arial" w:hAnsi="Arial" w:cs="Arial"/>
                <w:szCs w:val="22"/>
                <w:lang w:val="sr-Latn-CS"/>
              </w:rPr>
            </w:pPr>
            <w:r>
              <w:rPr>
                <w:rFonts w:ascii="Arial" w:hAnsi="Arial" w:cs="Arial"/>
                <w:szCs w:val="22"/>
                <w:lang w:val="sr-Latn-CS"/>
              </w:rPr>
              <w:t>II Polugod.</w:t>
            </w:r>
          </w:p>
        </w:tc>
        <w:tc>
          <w:tcPr>
            <w:tcW w:w="1525" w:type="dxa"/>
            <w:shd w:val="clear" w:color="auto" w:fill="E6F4D7"/>
          </w:tcPr>
          <w:p w:rsidR="00B65A71" w:rsidRPr="0000154C" w:rsidRDefault="00B65A71" w:rsidP="00B65A71">
            <w:pPr>
              <w:rPr>
                <w:rFonts w:ascii="Arial" w:hAnsi="Arial" w:cs="Arial"/>
                <w:szCs w:val="22"/>
                <w:lang w:val="sr-Latn-CS"/>
              </w:rPr>
            </w:pPr>
            <w:r>
              <w:rPr>
                <w:rFonts w:ascii="Arial" w:hAnsi="Arial" w:cs="Arial"/>
                <w:szCs w:val="22"/>
                <w:lang w:val="sr-Latn-CS"/>
              </w:rPr>
              <w:t>10,30 ± 0,35</w:t>
            </w:r>
          </w:p>
        </w:tc>
        <w:tc>
          <w:tcPr>
            <w:tcW w:w="1060" w:type="dxa"/>
            <w:shd w:val="clear" w:color="auto" w:fill="E6F4D7"/>
          </w:tcPr>
          <w:p w:rsidR="00B65A71" w:rsidRPr="0000154C" w:rsidRDefault="00B65A71" w:rsidP="00B65A71">
            <w:pPr>
              <w:rPr>
                <w:rFonts w:ascii="Arial" w:hAnsi="Arial" w:cs="Arial"/>
                <w:szCs w:val="22"/>
                <w:lang w:val="sr-Latn-CS"/>
              </w:rPr>
            </w:pPr>
            <w:r>
              <w:rPr>
                <w:rFonts w:ascii="Arial" w:hAnsi="Arial" w:cs="Arial"/>
                <w:szCs w:val="22"/>
                <w:lang w:val="sr-Latn-CS"/>
              </w:rPr>
              <w:t>≤ 4,21</w:t>
            </w:r>
          </w:p>
        </w:tc>
        <w:tc>
          <w:tcPr>
            <w:tcW w:w="1111" w:type="dxa"/>
            <w:shd w:val="clear" w:color="auto" w:fill="E6F4D7"/>
          </w:tcPr>
          <w:p w:rsidR="00B65A71" w:rsidRPr="0000154C" w:rsidRDefault="00B65A71" w:rsidP="00B65A71">
            <w:pPr>
              <w:rPr>
                <w:rFonts w:ascii="Arial" w:hAnsi="Arial" w:cs="Arial"/>
                <w:szCs w:val="22"/>
                <w:lang w:val="sr-Latn-CS"/>
              </w:rPr>
            </w:pPr>
            <w:r>
              <w:rPr>
                <w:rFonts w:ascii="Arial" w:hAnsi="Arial" w:cs="Arial"/>
                <w:szCs w:val="22"/>
                <w:lang w:val="sr-Latn-CS"/>
              </w:rPr>
              <w:t>≤ 10,3</w:t>
            </w:r>
          </w:p>
        </w:tc>
        <w:tc>
          <w:tcPr>
            <w:tcW w:w="990" w:type="dxa"/>
            <w:shd w:val="clear" w:color="auto" w:fill="E6F4D7"/>
          </w:tcPr>
          <w:p w:rsidR="00B65A71" w:rsidRPr="0000154C" w:rsidRDefault="00B65A71" w:rsidP="00B65A71">
            <w:pPr>
              <w:rPr>
                <w:rFonts w:ascii="Arial" w:hAnsi="Arial" w:cs="Arial"/>
                <w:szCs w:val="22"/>
                <w:lang w:val="sr-Latn-CS"/>
              </w:rPr>
            </w:pPr>
            <w:r>
              <w:rPr>
                <w:rFonts w:ascii="Arial" w:hAnsi="Arial" w:cs="Arial"/>
                <w:szCs w:val="22"/>
                <w:lang w:val="sr-Latn-CS"/>
              </w:rPr>
              <w:t>≤ 15,20</w:t>
            </w:r>
          </w:p>
        </w:tc>
        <w:tc>
          <w:tcPr>
            <w:tcW w:w="755" w:type="dxa"/>
            <w:tcBorders>
              <w:right w:val="single" w:sz="4" w:space="0" w:color="FFFFFF" w:themeColor="background1"/>
            </w:tcBorders>
            <w:shd w:val="clear" w:color="auto" w:fill="E6F4D7"/>
          </w:tcPr>
          <w:p w:rsidR="00B65A71" w:rsidRPr="0000154C" w:rsidRDefault="00B65A71" w:rsidP="00B65A71">
            <w:pPr>
              <w:rPr>
                <w:rFonts w:ascii="Arial" w:hAnsi="Arial" w:cs="Arial"/>
                <w:szCs w:val="22"/>
                <w:lang w:val="sr-Latn-CS"/>
              </w:rPr>
            </w:pPr>
            <w:r>
              <w:rPr>
                <w:rFonts w:ascii="Arial" w:hAnsi="Arial" w:cs="Arial"/>
                <w:szCs w:val="22"/>
                <w:lang w:val="sr-Latn-CS"/>
              </w:rPr>
              <w:t>≤ 0,1</w:t>
            </w:r>
          </w:p>
        </w:tc>
        <w:tc>
          <w:tcPr>
            <w:tcW w:w="1070" w:type="dxa"/>
            <w:tcBorders>
              <w:left w:val="single" w:sz="4" w:space="0" w:color="FFFFFF" w:themeColor="background1"/>
            </w:tcBorders>
            <w:shd w:val="clear" w:color="auto" w:fill="E6F4D7"/>
          </w:tcPr>
          <w:p w:rsidR="00B65A71" w:rsidRPr="0000154C" w:rsidRDefault="00B65A71" w:rsidP="00B65A71">
            <w:pPr>
              <w:rPr>
                <w:rFonts w:ascii="Arial" w:hAnsi="Arial" w:cs="Arial"/>
                <w:szCs w:val="22"/>
                <w:lang w:val="sr-Latn-CS"/>
              </w:rPr>
            </w:pPr>
            <w:r>
              <w:rPr>
                <w:rFonts w:ascii="Arial" w:hAnsi="Arial" w:cs="Arial"/>
                <w:szCs w:val="22"/>
                <w:lang w:val="sr-Latn-CS"/>
              </w:rPr>
              <w:t>≤ 25,15</w:t>
            </w:r>
          </w:p>
        </w:tc>
      </w:tr>
    </w:tbl>
    <w:p w:rsidR="00B65A71" w:rsidRDefault="00B65A71" w:rsidP="009C37F3">
      <w:pPr>
        <w:pStyle w:val="Tabele"/>
        <w:ind w:left="0" w:firstLine="0"/>
      </w:pPr>
    </w:p>
    <w:p w:rsidR="00B65A71" w:rsidRPr="0077224B" w:rsidRDefault="00B65A71" w:rsidP="00B65A71">
      <w:pPr>
        <w:rPr>
          <w:rFonts w:ascii="Constantia" w:hAnsi="Constantia"/>
          <w:b/>
        </w:rPr>
      </w:pPr>
      <w:r w:rsidRPr="00790CC9">
        <w:rPr>
          <w:rFonts w:ascii="Constantia" w:hAnsi="Constantia"/>
          <w:b/>
        </w:rPr>
        <w:t>Zaključak:</w:t>
      </w:r>
      <w:r w:rsidRPr="00790CC9">
        <w:rPr>
          <w:rFonts w:ascii="Constantia" w:hAnsi="Constantia"/>
        </w:rPr>
        <w:t xml:space="preserve"> </w:t>
      </w:r>
      <w:r w:rsidRPr="0077224B">
        <w:rPr>
          <w:rFonts w:ascii="Constantia" w:hAnsi="Constantia"/>
          <w:b/>
        </w:rPr>
        <w:t xml:space="preserve">Ukoliko se dobijene vrijednosti koncentracije aktivnosti radionuklida u morskoj vodi  koje  su prikazane u tabelama </w:t>
      </w:r>
      <w:r w:rsidR="00BA223F" w:rsidRPr="0077224B">
        <w:rPr>
          <w:rFonts w:ascii="Constantia" w:hAnsi="Constantia"/>
          <w:b/>
        </w:rPr>
        <w:t>105</w:t>
      </w:r>
      <w:r w:rsidRPr="0077224B">
        <w:rPr>
          <w:rFonts w:ascii="Constantia" w:hAnsi="Constantia"/>
          <w:b/>
        </w:rPr>
        <w:t xml:space="preserve"> i </w:t>
      </w:r>
      <w:r w:rsidR="00BA223F" w:rsidRPr="0077224B">
        <w:rPr>
          <w:rFonts w:ascii="Constantia" w:hAnsi="Constantia"/>
          <w:b/>
        </w:rPr>
        <w:t>106</w:t>
      </w:r>
      <w:r w:rsidRPr="0077224B">
        <w:rPr>
          <w:rFonts w:ascii="Constantia" w:hAnsi="Constantia"/>
          <w:b/>
        </w:rPr>
        <w:t xml:space="preserve">  uporede čak i sa izvedenim koncentracijama koje važe za vodu za piće: </w:t>
      </w:r>
    </w:p>
    <w:p w:rsidR="00B65A71" w:rsidRPr="0077224B" w:rsidRDefault="00B65A71" w:rsidP="00B65A71">
      <w:pPr>
        <w:rPr>
          <w:rFonts w:ascii="Constantia" w:hAnsi="Constantia"/>
          <w:b/>
        </w:rPr>
      </w:pPr>
      <w:r w:rsidRPr="0077224B">
        <w:rPr>
          <w:rFonts w:ascii="Constantia" w:hAnsi="Constantia"/>
          <w:b/>
        </w:rPr>
        <w:t xml:space="preserve">40K : 2,2 Bq/l,  137Cs :1,0 Bq/l,  226Ra: 0,2 Bq/l, 232Th: 0,1 Bq/l,  238U: 0,4 Bq/l </w:t>
      </w:r>
    </w:p>
    <w:p w:rsidR="00B65A71" w:rsidRPr="0077224B" w:rsidRDefault="00B65A71" w:rsidP="00B65A71">
      <w:pPr>
        <w:rPr>
          <w:rFonts w:ascii="Constantia" w:hAnsi="Constantia"/>
          <w:b/>
        </w:rPr>
      </w:pPr>
      <w:r w:rsidRPr="0077224B">
        <w:rPr>
          <w:rFonts w:ascii="Constantia" w:hAnsi="Constantia"/>
          <w:b/>
        </w:rPr>
        <w:lastRenderedPageBreak/>
        <w:t>može se zaključiti da je morska voda  radiološka ispravna.</w:t>
      </w:r>
    </w:p>
    <w:p w:rsidR="00B65A71" w:rsidRPr="0077224B" w:rsidRDefault="00B65A71" w:rsidP="00B65A71">
      <w:pPr>
        <w:rPr>
          <w:rFonts w:ascii="Constantia" w:hAnsi="Constantia"/>
          <w:b/>
        </w:rPr>
      </w:pPr>
      <w:r w:rsidRPr="0077224B">
        <w:rPr>
          <w:rFonts w:ascii="Constantia" w:hAnsi="Constantia"/>
          <w:b/>
        </w:rPr>
        <w:t>Jedini izuzetak je 40K koji se prirodno nalazi u morskoj vodi preko KCl</w:t>
      </w:r>
      <w:r w:rsidR="005D7A4D" w:rsidRPr="0077224B">
        <w:rPr>
          <w:rFonts w:ascii="Constantia" w:hAnsi="Constantia"/>
          <w:b/>
        </w:rPr>
        <w:t>.</w:t>
      </w:r>
    </w:p>
    <w:p w:rsidR="00B65A71" w:rsidRPr="00F06A67" w:rsidRDefault="00B65A71" w:rsidP="00A431AB">
      <w:pPr>
        <w:pStyle w:val="Heading2"/>
        <w:spacing w:before="0"/>
        <w:ind w:left="851" w:hanging="851"/>
      </w:pPr>
      <w:bookmarkStart w:id="250" w:name="_Toc384895583"/>
      <w:bookmarkStart w:id="251" w:name="_Toc393897956"/>
      <w:r w:rsidRPr="00F06A67">
        <w:t>Ispitivanje sadržaja radionuklida u vodama rijeka</w:t>
      </w:r>
      <w:bookmarkEnd w:id="250"/>
      <w:bookmarkEnd w:id="251"/>
    </w:p>
    <w:p w:rsidR="00B65A71" w:rsidRPr="00790CC9" w:rsidRDefault="00B65A71" w:rsidP="009C37F3">
      <w:pPr>
        <w:rPr>
          <w:rFonts w:ascii="Constantia" w:hAnsi="Constantia"/>
        </w:rPr>
      </w:pPr>
      <w:r w:rsidRPr="00790CC9">
        <w:rPr>
          <w:rFonts w:ascii="Constantia" w:hAnsi="Constantia"/>
        </w:rPr>
        <w:t xml:space="preserve">Analiza sadržaja radionuklida u vodama rijeka Vezišnica i Palješki potok (tabele </w:t>
      </w:r>
      <w:r w:rsidR="00204B76" w:rsidRPr="00790CC9">
        <w:rPr>
          <w:rFonts w:ascii="Constantia" w:hAnsi="Constantia"/>
        </w:rPr>
        <w:t>107</w:t>
      </w:r>
      <w:r w:rsidRPr="00790CC9">
        <w:rPr>
          <w:rFonts w:ascii="Constantia" w:hAnsi="Constantia"/>
        </w:rPr>
        <w:t xml:space="preserve"> i </w:t>
      </w:r>
      <w:r w:rsidR="00204B76" w:rsidRPr="00790CC9">
        <w:rPr>
          <w:rFonts w:ascii="Constantia" w:hAnsi="Constantia"/>
        </w:rPr>
        <w:t>108</w:t>
      </w:r>
      <w:r w:rsidRPr="00790CC9">
        <w:rPr>
          <w:rFonts w:ascii="Constantia" w:hAnsi="Constantia"/>
        </w:rPr>
        <w:t>)  je obuhvatila prirodne radionuklide 40K, 226Ra, 232Th i vještački 137Cs. Zbog veoma niskih koncentracija pojedini radionuklidi nisu mogli biti detektovani bez obzira što se išlo na koncentrisanje uzoraka tako da su vrijednosti za njih date u vidu minimalnih detektabilnih aktivnosti.</w:t>
      </w:r>
    </w:p>
    <w:tbl>
      <w:tblPr>
        <w:tblW w:w="0" w:type="auto"/>
        <w:jc w:val="cente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Pr>
      <w:tblGrid>
        <w:gridCol w:w="1431"/>
        <w:gridCol w:w="1416"/>
        <w:gridCol w:w="1091"/>
        <w:gridCol w:w="1390"/>
        <w:gridCol w:w="979"/>
      </w:tblGrid>
      <w:tr w:rsidR="00B65A71" w:rsidRPr="0000154C" w:rsidTr="00B65A71">
        <w:trPr>
          <w:jc w:val="center"/>
        </w:trPr>
        <w:tc>
          <w:tcPr>
            <w:tcW w:w="1431" w:type="dxa"/>
            <w:tcBorders>
              <w:top w:val="single" w:sz="8" w:space="0" w:color="FFFFFF"/>
              <w:left w:val="single" w:sz="8" w:space="0" w:color="FFFFFF"/>
              <w:bottom w:val="single" w:sz="24" w:space="0" w:color="FFFFFF"/>
              <w:right w:val="single" w:sz="8" w:space="0" w:color="FFFFFF"/>
            </w:tcBorders>
            <w:shd w:val="clear" w:color="auto" w:fill="9BD45F"/>
          </w:tcPr>
          <w:p w:rsidR="00B65A71" w:rsidRDefault="00B65A71" w:rsidP="00B65A71">
            <w:pPr>
              <w:rPr>
                <w:rFonts w:ascii="Arial" w:hAnsi="Arial" w:cs="Arial"/>
                <w:szCs w:val="22"/>
                <w:lang w:val="sr-Latn-CS"/>
              </w:rPr>
            </w:pPr>
            <w:r>
              <w:rPr>
                <w:rFonts w:ascii="Arial" w:hAnsi="Arial" w:cs="Arial"/>
                <w:szCs w:val="22"/>
                <w:lang w:val="sr-Latn-CS"/>
              </w:rPr>
              <w:t xml:space="preserve">    </w:t>
            </w:r>
          </w:p>
          <w:p w:rsidR="00B65A71" w:rsidRPr="0000154C" w:rsidRDefault="00B65A71" w:rsidP="00B65A71">
            <w:pPr>
              <w:rPr>
                <w:rFonts w:ascii="Arial" w:hAnsi="Arial" w:cs="Arial"/>
                <w:szCs w:val="22"/>
                <w:lang w:val="sr-Latn-CS"/>
              </w:rPr>
            </w:pPr>
            <w:r>
              <w:rPr>
                <w:rFonts w:ascii="Arial" w:hAnsi="Arial" w:cs="Arial"/>
                <w:szCs w:val="22"/>
                <w:lang w:val="sr-Latn-CS"/>
              </w:rPr>
              <w:t xml:space="preserve">      Rijeke I polugodište</w:t>
            </w:r>
          </w:p>
        </w:tc>
        <w:tc>
          <w:tcPr>
            <w:tcW w:w="1416" w:type="dxa"/>
            <w:tcBorders>
              <w:top w:val="single" w:sz="8" w:space="0" w:color="FFFFFF"/>
              <w:left w:val="single" w:sz="8" w:space="0" w:color="FFFFFF"/>
              <w:bottom w:val="single" w:sz="24" w:space="0" w:color="FFFFFF"/>
              <w:right w:val="single" w:sz="8" w:space="0" w:color="FFFFFF"/>
            </w:tcBorders>
            <w:shd w:val="clear" w:color="auto" w:fill="9BD45F"/>
          </w:tcPr>
          <w:p w:rsidR="00B65A71" w:rsidRPr="0000154C" w:rsidRDefault="00B65A71" w:rsidP="00B65A71">
            <w:pPr>
              <w:rPr>
                <w:rFonts w:ascii="Arial" w:hAnsi="Arial" w:cs="Arial"/>
                <w:szCs w:val="22"/>
                <w:lang w:val="sr-Latn-CS"/>
              </w:rPr>
            </w:pPr>
            <w:r w:rsidRPr="0000154C">
              <w:rPr>
                <w:rFonts w:ascii="Arial" w:hAnsi="Arial" w:cs="Arial"/>
                <w:szCs w:val="22"/>
                <w:vertAlign w:val="superscript"/>
                <w:lang w:val="sr-Latn-CS"/>
              </w:rPr>
              <w:t xml:space="preserve">       40</w:t>
            </w:r>
            <w:r w:rsidRPr="0000154C">
              <w:rPr>
                <w:rFonts w:ascii="Arial" w:hAnsi="Arial" w:cs="Arial"/>
                <w:szCs w:val="22"/>
                <w:lang w:val="sr-Latn-CS"/>
              </w:rPr>
              <w:t>K</w:t>
            </w:r>
          </w:p>
          <w:p w:rsidR="00B65A71" w:rsidRPr="0000154C" w:rsidRDefault="00B65A71" w:rsidP="00B65A71">
            <w:pPr>
              <w:rPr>
                <w:rFonts w:ascii="Arial" w:hAnsi="Arial" w:cs="Arial"/>
                <w:szCs w:val="22"/>
              </w:rPr>
            </w:pPr>
            <w:r>
              <w:rPr>
                <w:rFonts w:ascii="Arial" w:hAnsi="Arial" w:cs="Arial"/>
                <w:szCs w:val="22"/>
                <w:lang w:val="sr-Latn-CS"/>
              </w:rPr>
              <w:t xml:space="preserve">  (m</w:t>
            </w:r>
            <w:r w:rsidRPr="0000154C">
              <w:rPr>
                <w:rFonts w:ascii="Arial" w:hAnsi="Arial" w:cs="Arial"/>
                <w:szCs w:val="22"/>
                <w:lang w:val="sr-Latn-CS"/>
              </w:rPr>
              <w:t>Bq/l)</w:t>
            </w:r>
          </w:p>
        </w:tc>
        <w:tc>
          <w:tcPr>
            <w:tcW w:w="1091" w:type="dxa"/>
            <w:tcBorders>
              <w:top w:val="single" w:sz="8" w:space="0" w:color="FFFFFF"/>
              <w:left w:val="single" w:sz="8" w:space="0" w:color="FFFFFF"/>
              <w:bottom w:val="single" w:sz="24" w:space="0" w:color="FFFFFF"/>
              <w:right w:val="single" w:sz="8" w:space="0" w:color="FFFFFF"/>
            </w:tcBorders>
            <w:shd w:val="clear" w:color="auto" w:fill="9BD45F"/>
          </w:tcPr>
          <w:p w:rsidR="00B65A71" w:rsidRPr="0000154C" w:rsidRDefault="00B65A71" w:rsidP="00B65A71">
            <w:pPr>
              <w:rPr>
                <w:rFonts w:ascii="Arial" w:hAnsi="Arial" w:cs="Arial"/>
                <w:szCs w:val="22"/>
                <w:lang w:val="sr-Latn-CS"/>
              </w:rPr>
            </w:pPr>
            <w:r w:rsidRPr="0000154C">
              <w:rPr>
                <w:rFonts w:ascii="Arial" w:hAnsi="Arial" w:cs="Arial"/>
                <w:szCs w:val="22"/>
                <w:vertAlign w:val="superscript"/>
                <w:lang w:val="sr-Latn-CS"/>
              </w:rPr>
              <w:t>137</w:t>
            </w:r>
            <w:r w:rsidRPr="0000154C">
              <w:rPr>
                <w:rFonts w:ascii="Arial" w:hAnsi="Arial" w:cs="Arial"/>
                <w:szCs w:val="22"/>
                <w:lang w:val="sr-Latn-CS"/>
              </w:rPr>
              <w:t>Cs</w:t>
            </w:r>
          </w:p>
          <w:p w:rsidR="00B65A71" w:rsidRPr="0000154C" w:rsidRDefault="00B65A71" w:rsidP="00B65A71">
            <w:pPr>
              <w:rPr>
                <w:rFonts w:ascii="Arial" w:hAnsi="Arial" w:cs="Arial"/>
                <w:szCs w:val="22"/>
                <w:lang w:val="sr-Latn-CS"/>
              </w:rPr>
            </w:pPr>
            <w:r w:rsidRPr="0000154C">
              <w:rPr>
                <w:rFonts w:ascii="Arial" w:hAnsi="Arial" w:cs="Arial"/>
                <w:szCs w:val="22"/>
                <w:lang w:val="sr-Latn-CS"/>
              </w:rPr>
              <w:t>(mBq/l)</w:t>
            </w:r>
          </w:p>
        </w:tc>
        <w:tc>
          <w:tcPr>
            <w:tcW w:w="1390" w:type="dxa"/>
            <w:tcBorders>
              <w:top w:val="single" w:sz="8" w:space="0" w:color="FFFFFF"/>
              <w:left w:val="single" w:sz="8" w:space="0" w:color="FFFFFF"/>
              <w:bottom w:val="single" w:sz="24" w:space="0" w:color="FFFFFF"/>
              <w:right w:val="single" w:sz="8" w:space="0" w:color="FFFFFF"/>
            </w:tcBorders>
            <w:shd w:val="clear" w:color="auto" w:fill="9BD45F"/>
          </w:tcPr>
          <w:p w:rsidR="00B65A71" w:rsidRPr="0000154C" w:rsidRDefault="00B65A71" w:rsidP="00B65A71">
            <w:pPr>
              <w:rPr>
                <w:rFonts w:ascii="Arial" w:hAnsi="Arial" w:cs="Arial"/>
                <w:szCs w:val="22"/>
                <w:lang w:val="sr-Latn-CS"/>
              </w:rPr>
            </w:pPr>
            <w:r w:rsidRPr="0000154C">
              <w:rPr>
                <w:rFonts w:ascii="Arial" w:hAnsi="Arial" w:cs="Arial"/>
                <w:szCs w:val="22"/>
                <w:vertAlign w:val="superscript"/>
                <w:lang w:val="sr-Latn-CS"/>
              </w:rPr>
              <w:t>226</w:t>
            </w:r>
            <w:r w:rsidRPr="0000154C">
              <w:rPr>
                <w:rFonts w:ascii="Arial" w:hAnsi="Arial" w:cs="Arial"/>
                <w:szCs w:val="22"/>
                <w:lang w:val="sr-Latn-CS"/>
              </w:rPr>
              <w:t>Ra</w:t>
            </w:r>
          </w:p>
          <w:p w:rsidR="00B65A71" w:rsidRPr="0000154C" w:rsidRDefault="00B65A71" w:rsidP="00B65A71">
            <w:pPr>
              <w:rPr>
                <w:rFonts w:ascii="Arial" w:hAnsi="Arial" w:cs="Arial"/>
                <w:szCs w:val="22"/>
                <w:lang w:val="sr-Latn-CS"/>
              </w:rPr>
            </w:pPr>
            <w:r w:rsidRPr="0000154C">
              <w:rPr>
                <w:rFonts w:ascii="Arial" w:hAnsi="Arial" w:cs="Arial"/>
                <w:szCs w:val="22"/>
                <w:lang w:val="sr-Latn-CS"/>
              </w:rPr>
              <w:t>(mBq/l)</w:t>
            </w:r>
          </w:p>
        </w:tc>
        <w:tc>
          <w:tcPr>
            <w:tcW w:w="979" w:type="dxa"/>
            <w:tcBorders>
              <w:top w:val="single" w:sz="8" w:space="0" w:color="FFFFFF"/>
              <w:left w:val="single" w:sz="8" w:space="0" w:color="FFFFFF"/>
              <w:bottom w:val="single" w:sz="24" w:space="0" w:color="FFFFFF"/>
              <w:right w:val="single" w:sz="8" w:space="0" w:color="FFFFFF"/>
            </w:tcBorders>
            <w:shd w:val="clear" w:color="auto" w:fill="9BD45F"/>
          </w:tcPr>
          <w:p w:rsidR="00B65A71" w:rsidRPr="0000154C" w:rsidRDefault="00B65A71" w:rsidP="00B65A71">
            <w:pPr>
              <w:rPr>
                <w:rFonts w:ascii="Arial" w:hAnsi="Arial" w:cs="Arial"/>
                <w:szCs w:val="22"/>
                <w:lang w:val="sr-Latn-CS"/>
              </w:rPr>
            </w:pPr>
            <w:r w:rsidRPr="0000154C">
              <w:rPr>
                <w:rFonts w:ascii="Arial" w:hAnsi="Arial" w:cs="Arial"/>
                <w:szCs w:val="22"/>
                <w:vertAlign w:val="superscript"/>
                <w:lang w:val="sr-Latn-CS"/>
              </w:rPr>
              <w:t>232</w:t>
            </w:r>
            <w:r w:rsidRPr="0000154C">
              <w:rPr>
                <w:rFonts w:ascii="Arial" w:hAnsi="Arial" w:cs="Arial"/>
                <w:szCs w:val="22"/>
                <w:lang w:val="sr-Latn-CS"/>
              </w:rPr>
              <w:t>Th</w:t>
            </w:r>
          </w:p>
          <w:p w:rsidR="00B65A71" w:rsidRPr="0000154C" w:rsidRDefault="00B65A71" w:rsidP="00B65A71">
            <w:pPr>
              <w:rPr>
                <w:rFonts w:ascii="Arial" w:hAnsi="Arial" w:cs="Arial"/>
                <w:szCs w:val="22"/>
                <w:lang w:val="sr-Latn-CS"/>
              </w:rPr>
            </w:pPr>
            <w:r w:rsidRPr="0000154C">
              <w:rPr>
                <w:rFonts w:ascii="Arial" w:hAnsi="Arial" w:cs="Arial"/>
                <w:szCs w:val="22"/>
                <w:lang w:val="sr-Latn-CS"/>
              </w:rPr>
              <w:t>(mBq/l)</w:t>
            </w:r>
          </w:p>
        </w:tc>
      </w:tr>
      <w:tr w:rsidR="00B65A71" w:rsidRPr="0000154C" w:rsidTr="00B65A71">
        <w:trPr>
          <w:jc w:val="center"/>
        </w:trPr>
        <w:tc>
          <w:tcPr>
            <w:tcW w:w="1431" w:type="dxa"/>
            <w:tcBorders>
              <w:top w:val="single" w:sz="8" w:space="0" w:color="FFFFFF"/>
              <w:left w:val="single" w:sz="8" w:space="0" w:color="FFFFFF"/>
              <w:bottom w:val="nil"/>
              <w:right w:val="single" w:sz="24" w:space="0" w:color="FFFFFF"/>
            </w:tcBorders>
            <w:shd w:val="clear" w:color="auto" w:fill="9BD45F"/>
          </w:tcPr>
          <w:p w:rsidR="00B65A71" w:rsidRPr="0000154C" w:rsidRDefault="00B65A71" w:rsidP="00B65A71">
            <w:pPr>
              <w:rPr>
                <w:rFonts w:ascii="Arial" w:hAnsi="Arial" w:cs="Arial"/>
                <w:szCs w:val="22"/>
                <w:lang w:val="sr-Latn-CS"/>
              </w:rPr>
            </w:pPr>
            <w:r>
              <w:rPr>
                <w:rFonts w:ascii="Arial" w:hAnsi="Arial" w:cs="Arial"/>
                <w:szCs w:val="22"/>
                <w:lang w:val="sr-Latn-CS"/>
              </w:rPr>
              <w:t>Vezišnica</w:t>
            </w:r>
          </w:p>
        </w:tc>
        <w:tc>
          <w:tcPr>
            <w:tcW w:w="1416" w:type="dxa"/>
            <w:tcBorders>
              <w:top w:val="single" w:sz="8" w:space="0" w:color="FFFFFF"/>
              <w:left w:val="single" w:sz="8" w:space="0" w:color="FFFFFF"/>
              <w:bottom w:val="single" w:sz="8" w:space="0" w:color="FFFFFF"/>
              <w:right w:val="single" w:sz="8" w:space="0" w:color="FFFFFF"/>
            </w:tcBorders>
            <w:shd w:val="clear" w:color="auto" w:fill="CCE9AF"/>
          </w:tcPr>
          <w:p w:rsidR="00B65A71" w:rsidRPr="0000154C" w:rsidRDefault="00B65A71" w:rsidP="00B65A71">
            <w:pPr>
              <w:rPr>
                <w:rFonts w:ascii="Arial" w:hAnsi="Arial" w:cs="Arial"/>
                <w:szCs w:val="22"/>
                <w:lang w:val="sr-Latn-CS"/>
              </w:rPr>
            </w:pPr>
            <w:r>
              <w:rPr>
                <w:rFonts w:ascii="Arial" w:hAnsi="Arial" w:cs="Arial"/>
                <w:szCs w:val="22"/>
                <w:lang w:val="sr-Latn-CS"/>
              </w:rPr>
              <w:t>630 ± 30</w:t>
            </w:r>
          </w:p>
        </w:tc>
        <w:tc>
          <w:tcPr>
            <w:tcW w:w="1091" w:type="dxa"/>
            <w:tcBorders>
              <w:top w:val="single" w:sz="8" w:space="0" w:color="FFFFFF"/>
              <w:left w:val="single" w:sz="8" w:space="0" w:color="FFFFFF"/>
              <w:bottom w:val="single" w:sz="8" w:space="0" w:color="FFFFFF"/>
              <w:right w:val="single" w:sz="8" w:space="0" w:color="FFFFFF"/>
            </w:tcBorders>
            <w:shd w:val="clear" w:color="auto" w:fill="CCE9AF"/>
          </w:tcPr>
          <w:p w:rsidR="00B65A71" w:rsidRPr="0000154C" w:rsidRDefault="00B65A71" w:rsidP="00B65A71">
            <w:pPr>
              <w:rPr>
                <w:rFonts w:ascii="Arial" w:hAnsi="Arial" w:cs="Arial"/>
                <w:szCs w:val="22"/>
                <w:lang w:val="sr-Latn-CS"/>
              </w:rPr>
            </w:pPr>
            <w:r>
              <w:rPr>
                <w:rFonts w:ascii="Arial" w:hAnsi="Arial" w:cs="Arial"/>
                <w:szCs w:val="22"/>
                <w:lang w:val="sr-Latn-CS"/>
              </w:rPr>
              <w:t>≤ 1,28</w:t>
            </w:r>
          </w:p>
        </w:tc>
        <w:tc>
          <w:tcPr>
            <w:tcW w:w="1390" w:type="dxa"/>
            <w:tcBorders>
              <w:top w:val="single" w:sz="8" w:space="0" w:color="FFFFFF"/>
              <w:left w:val="single" w:sz="8" w:space="0" w:color="FFFFFF"/>
              <w:bottom w:val="single" w:sz="8" w:space="0" w:color="FFFFFF"/>
              <w:right w:val="single" w:sz="8" w:space="0" w:color="FFFFFF"/>
            </w:tcBorders>
            <w:shd w:val="clear" w:color="auto" w:fill="CCE9AF"/>
          </w:tcPr>
          <w:p w:rsidR="00B65A71" w:rsidRPr="0000154C" w:rsidRDefault="00B65A71" w:rsidP="00B65A71">
            <w:pPr>
              <w:rPr>
                <w:rFonts w:ascii="Arial" w:hAnsi="Arial" w:cs="Arial"/>
                <w:szCs w:val="22"/>
                <w:lang w:val="sr-Latn-CS"/>
              </w:rPr>
            </w:pPr>
            <w:r>
              <w:rPr>
                <w:rFonts w:ascii="Arial" w:hAnsi="Arial" w:cs="Arial"/>
                <w:szCs w:val="22"/>
                <w:lang w:val="sr-Latn-CS"/>
              </w:rPr>
              <w:t>≤ 2,42</w:t>
            </w:r>
          </w:p>
        </w:tc>
        <w:tc>
          <w:tcPr>
            <w:tcW w:w="979" w:type="dxa"/>
            <w:tcBorders>
              <w:top w:val="single" w:sz="8" w:space="0" w:color="FFFFFF"/>
              <w:left w:val="single" w:sz="8" w:space="0" w:color="FFFFFF"/>
              <w:bottom w:val="single" w:sz="8" w:space="0" w:color="FFFFFF"/>
              <w:right w:val="single" w:sz="8" w:space="0" w:color="FFFFFF"/>
            </w:tcBorders>
            <w:shd w:val="clear" w:color="auto" w:fill="CCE9AF"/>
          </w:tcPr>
          <w:p w:rsidR="00B65A71" w:rsidRPr="0000154C" w:rsidRDefault="00B65A71" w:rsidP="00B65A71">
            <w:pPr>
              <w:rPr>
                <w:rFonts w:ascii="Arial" w:hAnsi="Arial" w:cs="Arial"/>
                <w:szCs w:val="22"/>
                <w:lang w:val="sr-Latn-CS"/>
              </w:rPr>
            </w:pPr>
            <w:r>
              <w:rPr>
                <w:rFonts w:ascii="Arial" w:hAnsi="Arial" w:cs="Arial"/>
                <w:szCs w:val="22"/>
                <w:lang w:val="sr-Latn-CS"/>
              </w:rPr>
              <w:t>≤ 4,70</w:t>
            </w:r>
          </w:p>
        </w:tc>
      </w:tr>
      <w:tr w:rsidR="00B65A71" w:rsidRPr="0000154C" w:rsidTr="00B65A71">
        <w:trPr>
          <w:jc w:val="center"/>
        </w:trPr>
        <w:tc>
          <w:tcPr>
            <w:tcW w:w="1431" w:type="dxa"/>
            <w:tcBorders>
              <w:left w:val="single" w:sz="8" w:space="0" w:color="FFFFFF"/>
              <w:right w:val="single" w:sz="24" w:space="0" w:color="FFFFFF"/>
            </w:tcBorders>
            <w:shd w:val="clear" w:color="auto" w:fill="9BD45F"/>
          </w:tcPr>
          <w:p w:rsidR="00B65A71" w:rsidRPr="0000154C" w:rsidRDefault="00B65A71" w:rsidP="00B65A71">
            <w:pPr>
              <w:rPr>
                <w:rFonts w:ascii="Arial" w:hAnsi="Arial" w:cs="Arial"/>
                <w:szCs w:val="22"/>
                <w:lang w:val="sr-Latn-CS"/>
              </w:rPr>
            </w:pPr>
            <w:r>
              <w:rPr>
                <w:rFonts w:ascii="Arial" w:hAnsi="Arial" w:cs="Arial"/>
                <w:szCs w:val="22"/>
                <w:lang w:val="sr-Latn-CS"/>
              </w:rPr>
              <w:t>Palješki potok</w:t>
            </w:r>
          </w:p>
        </w:tc>
        <w:tc>
          <w:tcPr>
            <w:tcW w:w="1416" w:type="dxa"/>
            <w:shd w:val="clear" w:color="auto" w:fill="E6F4D7"/>
          </w:tcPr>
          <w:p w:rsidR="00B65A71" w:rsidRPr="0000154C" w:rsidRDefault="00B65A71" w:rsidP="00B65A71">
            <w:pPr>
              <w:rPr>
                <w:rFonts w:ascii="Arial" w:hAnsi="Arial" w:cs="Arial"/>
                <w:szCs w:val="22"/>
                <w:lang w:val="sr-Latn-CS"/>
              </w:rPr>
            </w:pPr>
            <w:r>
              <w:rPr>
                <w:rFonts w:ascii="Arial" w:hAnsi="Arial" w:cs="Arial"/>
                <w:szCs w:val="22"/>
                <w:lang w:val="sr-Latn-CS"/>
              </w:rPr>
              <w:t>6230 ± 210</w:t>
            </w:r>
          </w:p>
        </w:tc>
        <w:tc>
          <w:tcPr>
            <w:tcW w:w="1091" w:type="dxa"/>
            <w:shd w:val="clear" w:color="auto" w:fill="E6F4D7"/>
          </w:tcPr>
          <w:p w:rsidR="00B65A71" w:rsidRPr="0000154C" w:rsidRDefault="00B65A71" w:rsidP="00B65A71">
            <w:pPr>
              <w:rPr>
                <w:rFonts w:ascii="Arial" w:hAnsi="Arial" w:cs="Arial"/>
                <w:szCs w:val="22"/>
                <w:lang w:val="sr-Latn-CS"/>
              </w:rPr>
            </w:pPr>
            <w:r>
              <w:rPr>
                <w:rFonts w:ascii="Arial" w:hAnsi="Arial" w:cs="Arial"/>
                <w:szCs w:val="22"/>
                <w:lang w:val="sr-Latn-CS"/>
              </w:rPr>
              <w:t>≤ 4,57</w:t>
            </w:r>
          </w:p>
        </w:tc>
        <w:tc>
          <w:tcPr>
            <w:tcW w:w="1390" w:type="dxa"/>
            <w:shd w:val="clear" w:color="auto" w:fill="E6F4D7"/>
          </w:tcPr>
          <w:p w:rsidR="00B65A71" w:rsidRPr="0000154C" w:rsidRDefault="00B65A71" w:rsidP="00B65A71">
            <w:pPr>
              <w:rPr>
                <w:rFonts w:ascii="Arial" w:hAnsi="Arial" w:cs="Arial"/>
                <w:szCs w:val="22"/>
                <w:lang w:val="sr-Latn-CS"/>
              </w:rPr>
            </w:pPr>
            <w:r>
              <w:rPr>
                <w:rFonts w:ascii="Arial" w:hAnsi="Arial" w:cs="Arial"/>
                <w:szCs w:val="22"/>
                <w:lang w:val="sr-Latn-CS"/>
              </w:rPr>
              <w:t>≤ 5,05</w:t>
            </w:r>
          </w:p>
        </w:tc>
        <w:tc>
          <w:tcPr>
            <w:tcW w:w="979" w:type="dxa"/>
            <w:shd w:val="clear" w:color="auto" w:fill="E6F4D7"/>
          </w:tcPr>
          <w:p w:rsidR="00B65A71" w:rsidRPr="0000154C" w:rsidRDefault="00B65A71" w:rsidP="00B65A71">
            <w:pPr>
              <w:rPr>
                <w:rFonts w:ascii="Arial" w:hAnsi="Arial" w:cs="Arial"/>
                <w:szCs w:val="22"/>
                <w:lang w:val="sr-Latn-CS"/>
              </w:rPr>
            </w:pPr>
            <w:r>
              <w:rPr>
                <w:rFonts w:ascii="Arial" w:hAnsi="Arial" w:cs="Arial"/>
                <w:szCs w:val="22"/>
                <w:lang w:val="sr-Latn-CS"/>
              </w:rPr>
              <w:t>≤ 11,21</w:t>
            </w:r>
          </w:p>
        </w:tc>
      </w:tr>
    </w:tbl>
    <w:p w:rsidR="00B65A71" w:rsidRDefault="00B65A71" w:rsidP="00B65A71">
      <w:pPr>
        <w:pStyle w:val="Tabele"/>
        <w:ind w:left="2160"/>
      </w:pPr>
    </w:p>
    <w:tbl>
      <w:tblPr>
        <w:tblW w:w="0" w:type="auto"/>
        <w:jc w:val="cente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Pr>
      <w:tblGrid>
        <w:gridCol w:w="1431"/>
        <w:gridCol w:w="1416"/>
        <w:gridCol w:w="1091"/>
        <w:gridCol w:w="1390"/>
        <w:gridCol w:w="979"/>
      </w:tblGrid>
      <w:tr w:rsidR="00B65A71" w:rsidRPr="0000154C" w:rsidTr="00B65A71">
        <w:trPr>
          <w:jc w:val="center"/>
        </w:trPr>
        <w:tc>
          <w:tcPr>
            <w:tcW w:w="1431" w:type="dxa"/>
            <w:tcBorders>
              <w:top w:val="single" w:sz="8" w:space="0" w:color="FFFFFF"/>
              <w:left w:val="single" w:sz="8" w:space="0" w:color="FFFFFF"/>
              <w:bottom w:val="single" w:sz="24" w:space="0" w:color="FFFFFF"/>
              <w:right w:val="single" w:sz="8" w:space="0" w:color="FFFFFF"/>
            </w:tcBorders>
            <w:shd w:val="clear" w:color="auto" w:fill="9BD45F"/>
          </w:tcPr>
          <w:p w:rsidR="00B65A71" w:rsidRDefault="00B65A71" w:rsidP="00B65A71">
            <w:pPr>
              <w:rPr>
                <w:rFonts w:ascii="Arial" w:hAnsi="Arial" w:cs="Arial"/>
                <w:szCs w:val="22"/>
                <w:lang w:val="sr-Latn-CS"/>
              </w:rPr>
            </w:pPr>
            <w:r>
              <w:rPr>
                <w:rFonts w:ascii="Arial" w:hAnsi="Arial" w:cs="Arial"/>
                <w:szCs w:val="22"/>
                <w:lang w:val="sr-Latn-CS"/>
              </w:rPr>
              <w:t xml:space="preserve">    </w:t>
            </w:r>
          </w:p>
          <w:p w:rsidR="00B65A71" w:rsidRPr="0000154C" w:rsidRDefault="00204B76" w:rsidP="00B65A71">
            <w:pPr>
              <w:rPr>
                <w:rFonts w:ascii="Arial" w:hAnsi="Arial" w:cs="Arial"/>
                <w:szCs w:val="22"/>
                <w:lang w:val="sr-Latn-CS"/>
              </w:rPr>
            </w:pPr>
            <w:r>
              <w:rPr>
                <w:rFonts w:ascii="Arial" w:hAnsi="Arial" w:cs="Arial"/>
                <w:szCs w:val="22"/>
                <w:lang w:val="sr-Latn-CS"/>
              </w:rPr>
              <w:t xml:space="preserve">   </w:t>
            </w:r>
            <w:r w:rsidR="00B65A71">
              <w:rPr>
                <w:rFonts w:ascii="Arial" w:hAnsi="Arial" w:cs="Arial"/>
                <w:szCs w:val="22"/>
                <w:lang w:val="sr-Latn-CS"/>
              </w:rPr>
              <w:t>Rijeke II polugodište</w:t>
            </w:r>
          </w:p>
        </w:tc>
        <w:tc>
          <w:tcPr>
            <w:tcW w:w="1416" w:type="dxa"/>
            <w:tcBorders>
              <w:top w:val="single" w:sz="8" w:space="0" w:color="FFFFFF"/>
              <w:left w:val="single" w:sz="8" w:space="0" w:color="FFFFFF"/>
              <w:bottom w:val="single" w:sz="24" w:space="0" w:color="FFFFFF"/>
              <w:right w:val="single" w:sz="8" w:space="0" w:color="FFFFFF"/>
            </w:tcBorders>
            <w:shd w:val="clear" w:color="auto" w:fill="9BD45F"/>
          </w:tcPr>
          <w:p w:rsidR="00B65A71" w:rsidRPr="0000154C" w:rsidRDefault="00B65A71" w:rsidP="00B65A71">
            <w:pPr>
              <w:rPr>
                <w:rFonts w:ascii="Arial" w:hAnsi="Arial" w:cs="Arial"/>
                <w:szCs w:val="22"/>
                <w:lang w:val="sr-Latn-CS"/>
              </w:rPr>
            </w:pPr>
            <w:r w:rsidRPr="0000154C">
              <w:rPr>
                <w:rFonts w:ascii="Arial" w:hAnsi="Arial" w:cs="Arial"/>
                <w:szCs w:val="22"/>
                <w:vertAlign w:val="superscript"/>
                <w:lang w:val="sr-Latn-CS"/>
              </w:rPr>
              <w:t xml:space="preserve">       40</w:t>
            </w:r>
            <w:r w:rsidRPr="0000154C">
              <w:rPr>
                <w:rFonts w:ascii="Arial" w:hAnsi="Arial" w:cs="Arial"/>
                <w:szCs w:val="22"/>
                <w:lang w:val="sr-Latn-CS"/>
              </w:rPr>
              <w:t>K</w:t>
            </w:r>
          </w:p>
          <w:p w:rsidR="00B65A71" w:rsidRPr="0000154C" w:rsidRDefault="00B65A71" w:rsidP="00B65A71">
            <w:pPr>
              <w:rPr>
                <w:rFonts w:ascii="Arial" w:hAnsi="Arial" w:cs="Arial"/>
                <w:szCs w:val="22"/>
              </w:rPr>
            </w:pPr>
            <w:r>
              <w:rPr>
                <w:rFonts w:ascii="Arial" w:hAnsi="Arial" w:cs="Arial"/>
                <w:szCs w:val="22"/>
                <w:lang w:val="sr-Latn-CS"/>
              </w:rPr>
              <w:t xml:space="preserve">  (m</w:t>
            </w:r>
            <w:r w:rsidRPr="0000154C">
              <w:rPr>
                <w:rFonts w:ascii="Arial" w:hAnsi="Arial" w:cs="Arial"/>
                <w:szCs w:val="22"/>
                <w:lang w:val="sr-Latn-CS"/>
              </w:rPr>
              <w:t>Bq/l)</w:t>
            </w:r>
          </w:p>
        </w:tc>
        <w:tc>
          <w:tcPr>
            <w:tcW w:w="1091" w:type="dxa"/>
            <w:tcBorders>
              <w:top w:val="single" w:sz="8" w:space="0" w:color="FFFFFF"/>
              <w:left w:val="single" w:sz="8" w:space="0" w:color="FFFFFF"/>
              <w:bottom w:val="single" w:sz="24" w:space="0" w:color="FFFFFF"/>
              <w:right w:val="single" w:sz="8" w:space="0" w:color="FFFFFF"/>
            </w:tcBorders>
            <w:shd w:val="clear" w:color="auto" w:fill="9BD45F"/>
          </w:tcPr>
          <w:p w:rsidR="00B65A71" w:rsidRPr="0000154C" w:rsidRDefault="00B65A71" w:rsidP="00B65A71">
            <w:pPr>
              <w:rPr>
                <w:rFonts w:ascii="Arial" w:hAnsi="Arial" w:cs="Arial"/>
                <w:szCs w:val="22"/>
                <w:lang w:val="sr-Latn-CS"/>
              </w:rPr>
            </w:pPr>
            <w:r w:rsidRPr="0000154C">
              <w:rPr>
                <w:rFonts w:ascii="Arial" w:hAnsi="Arial" w:cs="Arial"/>
                <w:szCs w:val="22"/>
                <w:vertAlign w:val="superscript"/>
                <w:lang w:val="sr-Latn-CS"/>
              </w:rPr>
              <w:t>137</w:t>
            </w:r>
            <w:r w:rsidRPr="0000154C">
              <w:rPr>
                <w:rFonts w:ascii="Arial" w:hAnsi="Arial" w:cs="Arial"/>
                <w:szCs w:val="22"/>
                <w:lang w:val="sr-Latn-CS"/>
              </w:rPr>
              <w:t>Cs</w:t>
            </w:r>
          </w:p>
          <w:p w:rsidR="00B65A71" w:rsidRPr="0000154C" w:rsidRDefault="00B65A71" w:rsidP="00B65A71">
            <w:pPr>
              <w:rPr>
                <w:rFonts w:ascii="Arial" w:hAnsi="Arial" w:cs="Arial"/>
                <w:szCs w:val="22"/>
                <w:lang w:val="sr-Latn-CS"/>
              </w:rPr>
            </w:pPr>
            <w:r w:rsidRPr="0000154C">
              <w:rPr>
                <w:rFonts w:ascii="Arial" w:hAnsi="Arial" w:cs="Arial"/>
                <w:szCs w:val="22"/>
                <w:lang w:val="sr-Latn-CS"/>
              </w:rPr>
              <w:t>(mBq/l)</w:t>
            </w:r>
          </w:p>
        </w:tc>
        <w:tc>
          <w:tcPr>
            <w:tcW w:w="1390" w:type="dxa"/>
            <w:tcBorders>
              <w:top w:val="single" w:sz="8" w:space="0" w:color="FFFFFF"/>
              <w:left w:val="single" w:sz="8" w:space="0" w:color="FFFFFF"/>
              <w:bottom w:val="single" w:sz="24" w:space="0" w:color="FFFFFF"/>
              <w:right w:val="single" w:sz="8" w:space="0" w:color="FFFFFF"/>
            </w:tcBorders>
            <w:shd w:val="clear" w:color="auto" w:fill="9BD45F"/>
          </w:tcPr>
          <w:p w:rsidR="00B65A71" w:rsidRPr="0000154C" w:rsidRDefault="00B65A71" w:rsidP="00B65A71">
            <w:pPr>
              <w:rPr>
                <w:rFonts w:ascii="Arial" w:hAnsi="Arial" w:cs="Arial"/>
                <w:szCs w:val="22"/>
                <w:lang w:val="sr-Latn-CS"/>
              </w:rPr>
            </w:pPr>
            <w:r w:rsidRPr="0000154C">
              <w:rPr>
                <w:rFonts w:ascii="Arial" w:hAnsi="Arial" w:cs="Arial"/>
                <w:szCs w:val="22"/>
                <w:vertAlign w:val="superscript"/>
                <w:lang w:val="sr-Latn-CS"/>
              </w:rPr>
              <w:t>226</w:t>
            </w:r>
            <w:r w:rsidRPr="0000154C">
              <w:rPr>
                <w:rFonts w:ascii="Arial" w:hAnsi="Arial" w:cs="Arial"/>
                <w:szCs w:val="22"/>
                <w:lang w:val="sr-Latn-CS"/>
              </w:rPr>
              <w:t>Ra</w:t>
            </w:r>
          </w:p>
          <w:p w:rsidR="00B65A71" w:rsidRPr="0000154C" w:rsidRDefault="00B65A71" w:rsidP="00B65A71">
            <w:pPr>
              <w:rPr>
                <w:rFonts w:ascii="Arial" w:hAnsi="Arial" w:cs="Arial"/>
                <w:szCs w:val="22"/>
                <w:lang w:val="sr-Latn-CS"/>
              </w:rPr>
            </w:pPr>
            <w:r w:rsidRPr="0000154C">
              <w:rPr>
                <w:rFonts w:ascii="Arial" w:hAnsi="Arial" w:cs="Arial"/>
                <w:szCs w:val="22"/>
                <w:lang w:val="sr-Latn-CS"/>
              </w:rPr>
              <w:t>(mBq/l)</w:t>
            </w:r>
          </w:p>
        </w:tc>
        <w:tc>
          <w:tcPr>
            <w:tcW w:w="979" w:type="dxa"/>
            <w:tcBorders>
              <w:top w:val="single" w:sz="8" w:space="0" w:color="FFFFFF"/>
              <w:left w:val="single" w:sz="8" w:space="0" w:color="FFFFFF"/>
              <w:bottom w:val="single" w:sz="24" w:space="0" w:color="FFFFFF"/>
              <w:right w:val="single" w:sz="8" w:space="0" w:color="FFFFFF"/>
            </w:tcBorders>
            <w:shd w:val="clear" w:color="auto" w:fill="9BD45F"/>
          </w:tcPr>
          <w:p w:rsidR="00B65A71" w:rsidRPr="0000154C" w:rsidRDefault="00B65A71" w:rsidP="00B65A71">
            <w:pPr>
              <w:rPr>
                <w:rFonts w:ascii="Arial" w:hAnsi="Arial" w:cs="Arial"/>
                <w:szCs w:val="22"/>
                <w:lang w:val="sr-Latn-CS"/>
              </w:rPr>
            </w:pPr>
            <w:r w:rsidRPr="0000154C">
              <w:rPr>
                <w:rFonts w:ascii="Arial" w:hAnsi="Arial" w:cs="Arial"/>
                <w:szCs w:val="22"/>
                <w:vertAlign w:val="superscript"/>
                <w:lang w:val="sr-Latn-CS"/>
              </w:rPr>
              <w:t>232</w:t>
            </w:r>
            <w:r w:rsidRPr="0000154C">
              <w:rPr>
                <w:rFonts w:ascii="Arial" w:hAnsi="Arial" w:cs="Arial"/>
                <w:szCs w:val="22"/>
                <w:lang w:val="sr-Latn-CS"/>
              </w:rPr>
              <w:t>Th</w:t>
            </w:r>
          </w:p>
          <w:p w:rsidR="00B65A71" w:rsidRPr="0000154C" w:rsidRDefault="00B65A71" w:rsidP="00B65A71">
            <w:pPr>
              <w:rPr>
                <w:rFonts w:ascii="Arial" w:hAnsi="Arial" w:cs="Arial"/>
                <w:szCs w:val="22"/>
                <w:lang w:val="sr-Latn-CS"/>
              </w:rPr>
            </w:pPr>
            <w:r w:rsidRPr="0000154C">
              <w:rPr>
                <w:rFonts w:ascii="Arial" w:hAnsi="Arial" w:cs="Arial"/>
                <w:szCs w:val="22"/>
                <w:lang w:val="sr-Latn-CS"/>
              </w:rPr>
              <w:t>(mBq/l)</w:t>
            </w:r>
          </w:p>
        </w:tc>
      </w:tr>
      <w:tr w:rsidR="00B65A71" w:rsidRPr="0000154C" w:rsidTr="00B65A71">
        <w:trPr>
          <w:jc w:val="center"/>
        </w:trPr>
        <w:tc>
          <w:tcPr>
            <w:tcW w:w="1431" w:type="dxa"/>
            <w:tcBorders>
              <w:top w:val="single" w:sz="8" w:space="0" w:color="FFFFFF"/>
              <w:left w:val="single" w:sz="8" w:space="0" w:color="FFFFFF"/>
              <w:bottom w:val="nil"/>
              <w:right w:val="single" w:sz="24" w:space="0" w:color="FFFFFF"/>
            </w:tcBorders>
            <w:shd w:val="clear" w:color="auto" w:fill="9BD45F"/>
          </w:tcPr>
          <w:p w:rsidR="00B65A71" w:rsidRPr="0000154C" w:rsidRDefault="00B65A71" w:rsidP="00B65A71">
            <w:pPr>
              <w:rPr>
                <w:rFonts w:ascii="Arial" w:hAnsi="Arial" w:cs="Arial"/>
                <w:szCs w:val="22"/>
                <w:lang w:val="sr-Latn-CS"/>
              </w:rPr>
            </w:pPr>
            <w:r>
              <w:rPr>
                <w:rFonts w:ascii="Arial" w:hAnsi="Arial" w:cs="Arial"/>
                <w:szCs w:val="22"/>
                <w:lang w:val="sr-Latn-CS"/>
              </w:rPr>
              <w:t>Vezišnica</w:t>
            </w:r>
          </w:p>
        </w:tc>
        <w:tc>
          <w:tcPr>
            <w:tcW w:w="1416" w:type="dxa"/>
            <w:tcBorders>
              <w:top w:val="single" w:sz="8" w:space="0" w:color="FFFFFF"/>
              <w:left w:val="single" w:sz="8" w:space="0" w:color="FFFFFF"/>
              <w:bottom w:val="single" w:sz="8" w:space="0" w:color="FFFFFF"/>
              <w:right w:val="single" w:sz="8" w:space="0" w:color="FFFFFF"/>
            </w:tcBorders>
            <w:shd w:val="clear" w:color="auto" w:fill="CCE9AF"/>
          </w:tcPr>
          <w:p w:rsidR="00B65A71" w:rsidRPr="0000154C" w:rsidRDefault="00B65A71" w:rsidP="00B65A71">
            <w:pPr>
              <w:rPr>
                <w:rFonts w:ascii="Arial" w:hAnsi="Arial" w:cs="Arial"/>
                <w:szCs w:val="22"/>
                <w:lang w:val="sr-Latn-CS"/>
              </w:rPr>
            </w:pPr>
            <w:r>
              <w:rPr>
                <w:rFonts w:ascii="Arial" w:hAnsi="Arial" w:cs="Arial"/>
                <w:szCs w:val="22"/>
                <w:lang w:val="sr-Latn-CS"/>
              </w:rPr>
              <w:t>520 ± 30</w:t>
            </w:r>
          </w:p>
        </w:tc>
        <w:tc>
          <w:tcPr>
            <w:tcW w:w="1091" w:type="dxa"/>
            <w:tcBorders>
              <w:top w:val="single" w:sz="8" w:space="0" w:color="FFFFFF"/>
              <w:left w:val="single" w:sz="8" w:space="0" w:color="FFFFFF"/>
              <w:bottom w:val="single" w:sz="8" w:space="0" w:color="FFFFFF"/>
              <w:right w:val="single" w:sz="8" w:space="0" w:color="FFFFFF"/>
            </w:tcBorders>
            <w:shd w:val="clear" w:color="auto" w:fill="CCE9AF"/>
          </w:tcPr>
          <w:p w:rsidR="00B65A71" w:rsidRPr="0000154C" w:rsidRDefault="00B65A71" w:rsidP="00B65A71">
            <w:pPr>
              <w:rPr>
                <w:rFonts w:ascii="Arial" w:hAnsi="Arial" w:cs="Arial"/>
                <w:szCs w:val="22"/>
                <w:lang w:val="sr-Latn-CS"/>
              </w:rPr>
            </w:pPr>
            <w:r>
              <w:rPr>
                <w:rFonts w:ascii="Arial" w:hAnsi="Arial" w:cs="Arial"/>
                <w:szCs w:val="22"/>
                <w:lang w:val="sr-Latn-CS"/>
              </w:rPr>
              <w:t>≤ 2,23</w:t>
            </w:r>
          </w:p>
        </w:tc>
        <w:tc>
          <w:tcPr>
            <w:tcW w:w="1390" w:type="dxa"/>
            <w:tcBorders>
              <w:top w:val="single" w:sz="8" w:space="0" w:color="FFFFFF"/>
              <w:left w:val="single" w:sz="8" w:space="0" w:color="FFFFFF"/>
              <w:bottom w:val="single" w:sz="8" w:space="0" w:color="FFFFFF"/>
              <w:right w:val="single" w:sz="8" w:space="0" w:color="FFFFFF"/>
            </w:tcBorders>
            <w:shd w:val="clear" w:color="auto" w:fill="CCE9AF"/>
          </w:tcPr>
          <w:p w:rsidR="00B65A71" w:rsidRPr="0000154C" w:rsidRDefault="00B65A71" w:rsidP="00B65A71">
            <w:pPr>
              <w:rPr>
                <w:rFonts w:ascii="Arial" w:hAnsi="Arial" w:cs="Arial"/>
                <w:szCs w:val="22"/>
                <w:lang w:val="sr-Latn-CS"/>
              </w:rPr>
            </w:pPr>
            <w:r>
              <w:rPr>
                <w:rFonts w:ascii="Arial" w:hAnsi="Arial" w:cs="Arial"/>
                <w:szCs w:val="22"/>
                <w:lang w:val="sr-Latn-CS"/>
              </w:rPr>
              <w:t>≤ 4,11</w:t>
            </w:r>
          </w:p>
        </w:tc>
        <w:tc>
          <w:tcPr>
            <w:tcW w:w="979" w:type="dxa"/>
            <w:tcBorders>
              <w:top w:val="single" w:sz="8" w:space="0" w:color="FFFFFF"/>
              <w:left w:val="single" w:sz="8" w:space="0" w:color="FFFFFF"/>
              <w:bottom w:val="single" w:sz="8" w:space="0" w:color="FFFFFF"/>
              <w:right w:val="single" w:sz="8" w:space="0" w:color="FFFFFF"/>
            </w:tcBorders>
            <w:shd w:val="clear" w:color="auto" w:fill="CCE9AF"/>
          </w:tcPr>
          <w:p w:rsidR="00B65A71" w:rsidRPr="0000154C" w:rsidRDefault="00B65A71" w:rsidP="00B65A71">
            <w:pPr>
              <w:rPr>
                <w:rFonts w:ascii="Arial" w:hAnsi="Arial" w:cs="Arial"/>
                <w:szCs w:val="22"/>
                <w:lang w:val="sr-Latn-CS"/>
              </w:rPr>
            </w:pPr>
            <w:r>
              <w:rPr>
                <w:rFonts w:ascii="Arial" w:hAnsi="Arial" w:cs="Arial"/>
                <w:szCs w:val="22"/>
                <w:lang w:val="sr-Latn-CS"/>
              </w:rPr>
              <w:t>≤ 8,62</w:t>
            </w:r>
          </w:p>
        </w:tc>
      </w:tr>
      <w:tr w:rsidR="00B65A71" w:rsidRPr="0000154C" w:rsidTr="00B65A71">
        <w:trPr>
          <w:jc w:val="center"/>
        </w:trPr>
        <w:tc>
          <w:tcPr>
            <w:tcW w:w="1431" w:type="dxa"/>
            <w:tcBorders>
              <w:left w:val="single" w:sz="8" w:space="0" w:color="FFFFFF"/>
              <w:right w:val="single" w:sz="24" w:space="0" w:color="FFFFFF"/>
            </w:tcBorders>
            <w:shd w:val="clear" w:color="auto" w:fill="9BD45F"/>
          </w:tcPr>
          <w:p w:rsidR="00B65A71" w:rsidRPr="0000154C" w:rsidRDefault="00B65A71" w:rsidP="00B65A71">
            <w:pPr>
              <w:rPr>
                <w:rFonts w:ascii="Arial" w:hAnsi="Arial" w:cs="Arial"/>
                <w:szCs w:val="22"/>
                <w:lang w:val="sr-Latn-CS"/>
              </w:rPr>
            </w:pPr>
            <w:r>
              <w:rPr>
                <w:rFonts w:ascii="Arial" w:hAnsi="Arial" w:cs="Arial"/>
                <w:szCs w:val="22"/>
                <w:lang w:val="sr-Latn-CS"/>
              </w:rPr>
              <w:t>Palješki potok</w:t>
            </w:r>
          </w:p>
        </w:tc>
        <w:tc>
          <w:tcPr>
            <w:tcW w:w="1416" w:type="dxa"/>
            <w:shd w:val="clear" w:color="auto" w:fill="E6F4D7"/>
          </w:tcPr>
          <w:p w:rsidR="00B65A71" w:rsidRPr="0000154C" w:rsidRDefault="00B65A71" w:rsidP="00B65A71">
            <w:pPr>
              <w:rPr>
                <w:rFonts w:ascii="Arial" w:hAnsi="Arial" w:cs="Arial"/>
                <w:szCs w:val="22"/>
                <w:lang w:val="sr-Latn-CS"/>
              </w:rPr>
            </w:pPr>
            <w:r>
              <w:rPr>
                <w:rFonts w:ascii="Arial" w:hAnsi="Arial" w:cs="Arial"/>
                <w:szCs w:val="22"/>
                <w:lang w:val="sr-Latn-CS"/>
              </w:rPr>
              <w:t>8490 ± 280</w:t>
            </w:r>
          </w:p>
        </w:tc>
        <w:tc>
          <w:tcPr>
            <w:tcW w:w="1091" w:type="dxa"/>
            <w:shd w:val="clear" w:color="auto" w:fill="E6F4D7"/>
          </w:tcPr>
          <w:p w:rsidR="00B65A71" w:rsidRPr="0000154C" w:rsidRDefault="00B65A71" w:rsidP="00B65A71">
            <w:pPr>
              <w:rPr>
                <w:rFonts w:ascii="Arial" w:hAnsi="Arial" w:cs="Arial"/>
                <w:szCs w:val="22"/>
                <w:lang w:val="sr-Latn-CS"/>
              </w:rPr>
            </w:pPr>
            <w:r>
              <w:rPr>
                <w:rFonts w:ascii="Arial" w:hAnsi="Arial" w:cs="Arial"/>
                <w:szCs w:val="22"/>
                <w:lang w:val="sr-Latn-CS"/>
              </w:rPr>
              <w:t>≤ 2,85</w:t>
            </w:r>
          </w:p>
        </w:tc>
        <w:tc>
          <w:tcPr>
            <w:tcW w:w="1390" w:type="dxa"/>
            <w:shd w:val="clear" w:color="auto" w:fill="E6F4D7"/>
          </w:tcPr>
          <w:p w:rsidR="00B65A71" w:rsidRPr="0000154C" w:rsidRDefault="00B65A71" w:rsidP="00B65A71">
            <w:pPr>
              <w:rPr>
                <w:rFonts w:ascii="Arial" w:hAnsi="Arial" w:cs="Arial"/>
                <w:szCs w:val="22"/>
                <w:lang w:val="sr-Latn-CS"/>
              </w:rPr>
            </w:pPr>
            <w:r>
              <w:rPr>
                <w:rFonts w:ascii="Arial" w:hAnsi="Arial" w:cs="Arial"/>
                <w:szCs w:val="22"/>
                <w:lang w:val="sr-Latn-CS"/>
              </w:rPr>
              <w:t>≤ 6,02</w:t>
            </w:r>
          </w:p>
        </w:tc>
        <w:tc>
          <w:tcPr>
            <w:tcW w:w="979" w:type="dxa"/>
            <w:shd w:val="clear" w:color="auto" w:fill="E6F4D7"/>
          </w:tcPr>
          <w:p w:rsidR="00B65A71" w:rsidRPr="0000154C" w:rsidRDefault="00B65A71" w:rsidP="00B65A71">
            <w:pPr>
              <w:rPr>
                <w:rFonts w:ascii="Arial" w:hAnsi="Arial" w:cs="Arial"/>
                <w:szCs w:val="22"/>
                <w:lang w:val="sr-Latn-CS"/>
              </w:rPr>
            </w:pPr>
            <w:r>
              <w:rPr>
                <w:rFonts w:ascii="Arial" w:hAnsi="Arial" w:cs="Arial"/>
                <w:szCs w:val="22"/>
                <w:lang w:val="sr-Latn-CS"/>
              </w:rPr>
              <w:t>≤ 13,20</w:t>
            </w:r>
          </w:p>
        </w:tc>
      </w:tr>
    </w:tbl>
    <w:p w:rsidR="00B65A71" w:rsidRDefault="00B65A71" w:rsidP="005D4584">
      <w:pPr>
        <w:pStyle w:val="Tabele"/>
        <w:ind w:left="2160"/>
      </w:pPr>
    </w:p>
    <w:p w:rsidR="00B65A71" w:rsidRPr="0077224B" w:rsidRDefault="00B65A71" w:rsidP="005D4584">
      <w:pPr>
        <w:rPr>
          <w:rFonts w:ascii="Constantia" w:hAnsi="Constantia"/>
          <w:b/>
        </w:rPr>
      </w:pPr>
      <w:r w:rsidRPr="00790CC9">
        <w:rPr>
          <w:rFonts w:ascii="Constantia" w:hAnsi="Constantia"/>
          <w:b/>
        </w:rPr>
        <w:t>Zaključak:</w:t>
      </w:r>
      <w:r w:rsidRPr="00790CC9">
        <w:rPr>
          <w:rFonts w:ascii="Constantia" w:hAnsi="Constantia"/>
        </w:rPr>
        <w:t xml:space="preserve"> </w:t>
      </w:r>
      <w:r w:rsidRPr="0077224B">
        <w:rPr>
          <w:rFonts w:ascii="Constantia" w:hAnsi="Constantia"/>
          <w:b/>
        </w:rPr>
        <w:t xml:space="preserve">Ukoliko se dobijene vrijednosti koncentracije aktivnosti radionuklida u </w:t>
      </w:r>
      <w:r w:rsidR="0077224B" w:rsidRPr="0077224B">
        <w:rPr>
          <w:rFonts w:ascii="Constantia" w:hAnsi="Constantia"/>
          <w:b/>
        </w:rPr>
        <w:t>vodama rijeka</w:t>
      </w:r>
      <w:r w:rsidRPr="0077224B">
        <w:rPr>
          <w:rFonts w:ascii="Constantia" w:hAnsi="Constantia"/>
          <w:b/>
        </w:rPr>
        <w:t xml:space="preserve"> koje  su prikazane u tabelama </w:t>
      </w:r>
      <w:r w:rsidR="005D7A4D" w:rsidRPr="0077224B">
        <w:rPr>
          <w:rFonts w:ascii="Constantia" w:hAnsi="Constantia"/>
          <w:b/>
        </w:rPr>
        <w:t>107</w:t>
      </w:r>
      <w:r w:rsidRPr="0077224B">
        <w:rPr>
          <w:rFonts w:ascii="Constantia" w:hAnsi="Constantia"/>
          <w:b/>
        </w:rPr>
        <w:t xml:space="preserve"> i </w:t>
      </w:r>
      <w:r w:rsidR="005D7A4D" w:rsidRPr="0077224B">
        <w:rPr>
          <w:rFonts w:ascii="Constantia" w:hAnsi="Constantia"/>
          <w:b/>
        </w:rPr>
        <w:t>108</w:t>
      </w:r>
      <w:r w:rsidRPr="0077224B">
        <w:rPr>
          <w:rFonts w:ascii="Constantia" w:hAnsi="Constantia"/>
          <w:b/>
        </w:rPr>
        <w:t xml:space="preserve">  uporede sa izvedenim koncentracijama koje važe za vodu za piće: </w:t>
      </w:r>
    </w:p>
    <w:p w:rsidR="00B65A71" w:rsidRPr="0077224B" w:rsidRDefault="00B65A71" w:rsidP="00B65A71">
      <w:pPr>
        <w:rPr>
          <w:rFonts w:ascii="Constantia" w:hAnsi="Constantia"/>
          <w:b/>
        </w:rPr>
      </w:pPr>
      <w:r w:rsidRPr="0077224B">
        <w:rPr>
          <w:rFonts w:ascii="Constantia" w:hAnsi="Constantia"/>
          <w:b/>
        </w:rPr>
        <w:t xml:space="preserve">40K : 2,2 Bq/l,  137Cs :1,0 Bq/l,  226Ra: 0,2 Bq/l, 232Th: 0,1 Bq/l,  238U: 0,4 Bq/l </w:t>
      </w:r>
    </w:p>
    <w:p w:rsidR="00B65A71" w:rsidRPr="00790CC9" w:rsidRDefault="00B65A71" w:rsidP="00B65A71">
      <w:pPr>
        <w:pStyle w:val="Tabele"/>
        <w:numPr>
          <w:ilvl w:val="0"/>
          <w:numId w:val="0"/>
        </w:numPr>
        <w:jc w:val="both"/>
        <w:rPr>
          <w:rFonts w:ascii="Constantia" w:hAnsi="Constantia"/>
          <w:b/>
          <w:i w:val="0"/>
          <w:sz w:val="22"/>
          <w:lang w:val="en-US"/>
        </w:rPr>
      </w:pPr>
      <w:r w:rsidRPr="00790CC9">
        <w:rPr>
          <w:rFonts w:ascii="Constantia" w:hAnsi="Constantia"/>
          <w:b/>
          <w:i w:val="0"/>
          <w:sz w:val="22"/>
          <w:lang w:val="en-US"/>
        </w:rPr>
        <w:t xml:space="preserve">može se zaključiti da je voda u  Palješkom potoku  radiološki opterećena  sa radionuklidom 40K. </w:t>
      </w:r>
      <w:bookmarkStart w:id="252" w:name="_Toc290541610"/>
      <w:bookmarkStart w:id="253" w:name="_Toc319930920"/>
      <w:bookmarkStart w:id="254" w:name="_Toc319931731"/>
      <w:bookmarkStart w:id="255" w:name="_Toc320796900"/>
      <w:bookmarkStart w:id="256" w:name="_Toc321316127"/>
      <w:bookmarkStart w:id="257" w:name="_Toc352657396"/>
      <w:bookmarkEnd w:id="245"/>
      <w:bookmarkEnd w:id="246"/>
      <w:bookmarkEnd w:id="247"/>
    </w:p>
    <w:p w:rsidR="00B65A71" w:rsidRPr="00F06A67" w:rsidRDefault="00B65A71" w:rsidP="00F06A67">
      <w:pPr>
        <w:pStyle w:val="Heading2"/>
        <w:ind w:left="851" w:hanging="851"/>
      </w:pPr>
      <w:bookmarkStart w:id="258" w:name="_Toc352759509"/>
      <w:bookmarkStart w:id="259" w:name="_Toc352759610"/>
      <w:bookmarkStart w:id="260" w:name="_Toc352760048"/>
      <w:bookmarkStart w:id="261" w:name="_Toc352760157"/>
      <w:bookmarkStart w:id="262" w:name="_Toc384895584"/>
      <w:bookmarkStart w:id="263" w:name="_Toc393897957"/>
      <w:r w:rsidRPr="00F06A67">
        <w:t>Ispitivanje sadržaja radionuklida u zemljištu</w:t>
      </w:r>
      <w:bookmarkEnd w:id="252"/>
      <w:bookmarkEnd w:id="253"/>
      <w:bookmarkEnd w:id="254"/>
      <w:bookmarkEnd w:id="255"/>
      <w:bookmarkEnd w:id="256"/>
      <w:bookmarkEnd w:id="257"/>
      <w:bookmarkEnd w:id="258"/>
      <w:bookmarkEnd w:id="259"/>
      <w:bookmarkEnd w:id="260"/>
      <w:bookmarkEnd w:id="261"/>
      <w:bookmarkEnd w:id="262"/>
      <w:bookmarkEnd w:id="263"/>
    </w:p>
    <w:p w:rsidR="00B65A71" w:rsidRPr="00790CC9" w:rsidRDefault="00B65A71" w:rsidP="00204B76">
      <w:pPr>
        <w:rPr>
          <w:rFonts w:ascii="Constantia" w:hAnsi="Constantia"/>
        </w:rPr>
      </w:pPr>
      <w:r w:rsidRPr="00790CC9">
        <w:rPr>
          <w:rFonts w:ascii="Constantia" w:hAnsi="Constantia"/>
        </w:rPr>
        <w:t xml:space="preserve">Prirodni radionuklidi terestrijalnog porijekla i produkti njihovih raspada, čije je vrijeme poluraspada komparabilno sa starošću Zemlje, su prisutni i danas u različitim količinama u svim segmentima životne sredine. Ozračivanje ljudi od spoljašnjih izvora zračenja je uglavnom od γ zračenja radionuklida  niza radioaktivnih raspada 238U, 232Th  i 40K prisutnih u zemljištu Osim ovih postoje i drugi radionuklidi terestrijalnog porijekla kao sto su: 235U, 87Rb, 138La, 147Sm, 176Lu, ali u tako niskim koncentracijama da nemaju značajan uticaj na ukupnu efektivnu dozu koja je posledica izlaganja populacije γ zračenju terestrijalnog porijekla. </w:t>
      </w:r>
    </w:p>
    <w:p w:rsidR="00B65A71" w:rsidRPr="00790CC9" w:rsidRDefault="00B65A71" w:rsidP="00204B76">
      <w:pPr>
        <w:rPr>
          <w:rFonts w:ascii="Constantia" w:hAnsi="Constantia"/>
        </w:rPr>
      </w:pPr>
      <w:r w:rsidRPr="00790CC9">
        <w:rPr>
          <w:rFonts w:ascii="Constantia" w:hAnsi="Constantia"/>
        </w:rPr>
        <w:lastRenderedPageBreak/>
        <w:t>Izlaganje spoljašnjim izvorima zračenja na otvorenom prostoru varira i zavisi od tipa stijene odnosno od vrste zemljišta. Visoki nivoi zračenja potiču od stijena magmatskog porijekla kao što je granit dok se niži nivoi primjećuju kod sedimentnih stijena.</w:t>
      </w:r>
    </w:p>
    <w:p w:rsidR="00B65A71" w:rsidRPr="00790CC9" w:rsidRDefault="00B65A71" w:rsidP="00B65A71">
      <w:pPr>
        <w:rPr>
          <w:rFonts w:ascii="Constantia" w:hAnsi="Constantia"/>
        </w:rPr>
      </w:pPr>
      <w:r w:rsidRPr="00790CC9">
        <w:rPr>
          <w:rFonts w:ascii="Constantia" w:hAnsi="Constantia"/>
        </w:rPr>
        <w:t xml:space="preserve">Prve procjene specifičnih aktivnosti ovih radionuklida kojima je izložen najveći procenat svjetske populacije su  </w:t>
      </w:r>
      <w:r w:rsidR="0077224B">
        <w:rPr>
          <w:rFonts w:ascii="Constantia" w:hAnsi="Constantia"/>
        </w:rPr>
        <w:t>predložene</w:t>
      </w:r>
      <w:r w:rsidRPr="00790CC9">
        <w:rPr>
          <w:rFonts w:ascii="Constantia" w:hAnsi="Constantia"/>
        </w:rPr>
        <w:t xml:space="preserve"> još 1982. god. u UNSCEAR izvještaju i iznosile su:</w:t>
      </w:r>
    </w:p>
    <w:p w:rsidR="00B65A71" w:rsidRPr="00790CC9" w:rsidRDefault="00B65A71" w:rsidP="00B65A71">
      <w:pPr>
        <w:rPr>
          <w:rFonts w:ascii="Constantia" w:hAnsi="Constantia"/>
        </w:rPr>
      </w:pPr>
      <w:r w:rsidRPr="00790CC9">
        <w:rPr>
          <w:rFonts w:ascii="Constantia" w:hAnsi="Constantia"/>
        </w:rPr>
        <w:t xml:space="preserve">370 Bq/kg za 40K, 25 Bq/kg za 238U i 25 Bq/kg za 232Th. Međutim u Kini i USA izmjerene su veće specifične aktivnosti pa je 1993. god. UNSCEAR izvršio reviziju za 238U i 232Th na 40Bq/kg.  Ovi rezultati, kao i mnogi drugi koji su dobijeni širom svijeta, imali su za posledicu da se za specifične aktivnosti kojima je izložen najveći dio populacije svijeta  na kraju ipak koriste: </w:t>
      </w:r>
    </w:p>
    <w:p w:rsidR="00B65A71" w:rsidRPr="00790CC9" w:rsidRDefault="00B65A71" w:rsidP="00B65A71">
      <w:pPr>
        <w:rPr>
          <w:rFonts w:ascii="Constantia" w:hAnsi="Constantia"/>
        </w:rPr>
      </w:pPr>
      <w:r w:rsidRPr="00790CC9">
        <w:rPr>
          <w:rFonts w:ascii="Constantia" w:hAnsi="Constantia"/>
        </w:rPr>
        <w:t>420 Bq/kg za 40K,</w:t>
      </w:r>
    </w:p>
    <w:p w:rsidR="00B65A71" w:rsidRPr="00790CC9" w:rsidRDefault="00B65A71" w:rsidP="00B65A71">
      <w:pPr>
        <w:rPr>
          <w:rFonts w:ascii="Constantia" w:hAnsi="Constantia"/>
        </w:rPr>
      </w:pPr>
      <w:r w:rsidRPr="00790CC9">
        <w:rPr>
          <w:rFonts w:ascii="Constantia" w:hAnsi="Constantia"/>
        </w:rPr>
        <w:t xml:space="preserve">33 Bq/kg za 238U, </w:t>
      </w:r>
    </w:p>
    <w:p w:rsidR="00B65A71" w:rsidRPr="00790CC9" w:rsidRDefault="00B65A71" w:rsidP="00B65A71">
      <w:pPr>
        <w:rPr>
          <w:rFonts w:ascii="Constantia" w:hAnsi="Constantia"/>
        </w:rPr>
      </w:pPr>
      <w:r w:rsidRPr="00790CC9">
        <w:rPr>
          <w:rFonts w:ascii="Constantia" w:hAnsi="Constantia"/>
        </w:rPr>
        <w:t>45 Bq/kg za 232Th.</w:t>
      </w:r>
    </w:p>
    <w:p w:rsidR="00B65A71" w:rsidRPr="00790CC9" w:rsidRDefault="00B65A71" w:rsidP="00204B76">
      <w:pPr>
        <w:rPr>
          <w:rFonts w:ascii="Constantia" w:hAnsi="Constantia"/>
        </w:rPr>
      </w:pPr>
      <w:r w:rsidRPr="00790CC9">
        <w:rPr>
          <w:rFonts w:ascii="Constantia" w:hAnsi="Constantia"/>
        </w:rPr>
        <w:t>Izlaganje spoljašnjim izvorima zračenja i u zatvorenom prostoru je rezultat uticaja terestrijalnih radionuklida koji su prisutni u građevinskom materijalu (ukoliko se koriste građevinski materijali zemljanog porijekla) i veće je od izlaganja na otvorenom prostoru i to  zbog izloženosti populacije  različitim geometrijskim konfiguracijama  otvorenog i zatvorenog prostora (poluotvoreni i zatvoreni prostor)</w:t>
      </w:r>
      <w:r w:rsidR="0077224B">
        <w:rPr>
          <w:rFonts w:ascii="Constantia" w:hAnsi="Constantia"/>
        </w:rPr>
        <w:t>, kao</w:t>
      </w:r>
      <w:r w:rsidRPr="00790CC9">
        <w:rPr>
          <w:rFonts w:ascii="Constantia" w:hAnsi="Constantia"/>
        </w:rPr>
        <w:t xml:space="preserve"> i zbog činjenice da je boravak u zatvorenim prostorijama mnogo duži od boravka na otvorenom.  Stoga se zaključuje da je veoma važno uzeti u obzir i ovu vrstu izlaganja jonizujućem zračenju.</w:t>
      </w:r>
    </w:p>
    <w:p w:rsidR="00B65A71" w:rsidRPr="00790CC9" w:rsidRDefault="00B65A71" w:rsidP="00204B76">
      <w:pPr>
        <w:rPr>
          <w:rFonts w:ascii="Constantia" w:hAnsi="Constantia"/>
        </w:rPr>
      </w:pPr>
      <w:r w:rsidRPr="00790CC9">
        <w:rPr>
          <w:rFonts w:ascii="Constantia" w:hAnsi="Constantia"/>
        </w:rPr>
        <w:t xml:space="preserve">Brzina doze γ zračenja kojoj je izložen najveći dio populacije svijeta u zatvorenim prostorijama je 84 nGy/h. Najniže vrijednosti su mjerene na Novom Zelandu, Islandu i USA  i to ispod 40 nGy/h  što je  posledica toga što najveći dio stanovništva živi u kućama od drveta. Najveće mjerene vrijednosti (95 -115 nGy/h) su mjerene u Mađarskoj, Maleziji, Kini, Albaniji, Portugaliji, Australiji, Španiji, Švedskoj i Iranu gdje je kao najčešće korišćeni građevinski materijal cigla ili kamen (UNSCEAR 2000). Treba uzeti u obzir da lokalne geološke </w:t>
      </w:r>
      <w:r w:rsidR="0012535A">
        <w:rPr>
          <w:rFonts w:ascii="Constantia" w:hAnsi="Constantia"/>
        </w:rPr>
        <w:t>karakteristike</w:t>
      </w:r>
      <w:r w:rsidRPr="00790CC9">
        <w:rPr>
          <w:rFonts w:ascii="Constantia" w:hAnsi="Constantia"/>
        </w:rPr>
        <w:t xml:space="preserve"> mogu proizvesti devijacije pomenutih vrijednosti.</w:t>
      </w:r>
    </w:p>
    <w:p w:rsidR="00B65A71" w:rsidRPr="00790CC9" w:rsidRDefault="00B65A71" w:rsidP="00B65A71">
      <w:pPr>
        <w:rPr>
          <w:rFonts w:ascii="Constantia" w:hAnsi="Constantia"/>
        </w:rPr>
      </w:pPr>
      <w:r w:rsidRPr="00790CC9">
        <w:rPr>
          <w:rFonts w:ascii="Constantia" w:hAnsi="Constantia"/>
        </w:rPr>
        <w:t xml:space="preserve"> Konačan zaključak  svih ovih istraživanja je da je brzina doze γ zračenja u vazduhu od terestrijalnih radionuklida u zatvorenom prostoru za 40% veća od brzina doze γ zračenja u vazduhu od terestrijalnih radionuklida na otvorenom prostoru. (Ovo jedino ne važi za zemlje poput  npr. Tajlanda, USA i Islanda gdje su kuće uglavnom od drveta)</w:t>
      </w:r>
    </w:p>
    <w:p w:rsidR="00B65A71" w:rsidRPr="00A431AB" w:rsidRDefault="00B65A71" w:rsidP="00B65A71">
      <w:pPr>
        <w:rPr>
          <w:rFonts w:ascii="Constantia" w:hAnsi="Constantia"/>
        </w:rPr>
      </w:pPr>
      <w:r w:rsidRPr="00790CC9">
        <w:rPr>
          <w:rFonts w:ascii="Constantia" w:hAnsi="Constantia"/>
        </w:rPr>
        <w:t xml:space="preserve">Analiza u Crnoj Gori  je ove godine obuhvatila prirodne radionuklide 40K, 226Ra, 232Th, 235U i 238U. Takođe je data  vrijednost za 137Cs. </w:t>
      </w:r>
    </w:p>
    <w:tbl>
      <w:tblPr>
        <w:tblStyle w:val="MediumGrid3-Accent5"/>
        <w:tblW w:w="0" w:type="auto"/>
        <w:tblLook w:val="04A0" w:firstRow="1" w:lastRow="0" w:firstColumn="1" w:lastColumn="0" w:noHBand="0" w:noVBand="1"/>
      </w:tblPr>
      <w:tblGrid>
        <w:gridCol w:w="1327"/>
        <w:gridCol w:w="1327"/>
        <w:gridCol w:w="1327"/>
        <w:gridCol w:w="1327"/>
        <w:gridCol w:w="1327"/>
        <w:gridCol w:w="1327"/>
        <w:gridCol w:w="1327"/>
      </w:tblGrid>
      <w:tr w:rsidR="00B65A71" w:rsidRPr="0000154C" w:rsidTr="00B65A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7" w:type="dxa"/>
          </w:tcPr>
          <w:p w:rsidR="00B65A71" w:rsidRPr="0000154C" w:rsidRDefault="00B65A71" w:rsidP="00B65A71">
            <w:pPr>
              <w:rPr>
                <w:rFonts w:ascii="Arial" w:hAnsi="Arial" w:cs="Arial"/>
                <w:szCs w:val="22"/>
                <w:lang w:val="sr-Latn-CS"/>
              </w:rPr>
            </w:pPr>
          </w:p>
        </w:tc>
        <w:tc>
          <w:tcPr>
            <w:tcW w:w="1327" w:type="dxa"/>
          </w:tcPr>
          <w:p w:rsidR="00B65A71" w:rsidRPr="004819EF" w:rsidRDefault="00B65A71" w:rsidP="00B65A71">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lang w:val="sr-Latn-CS"/>
              </w:rPr>
            </w:pPr>
            <w:r w:rsidRPr="004819EF">
              <w:rPr>
                <w:rFonts w:ascii="Arial" w:hAnsi="Arial" w:cs="Arial"/>
                <w:b w:val="0"/>
                <w:sz w:val="18"/>
                <w:szCs w:val="18"/>
                <w:vertAlign w:val="superscript"/>
                <w:lang w:val="sr-Latn-CS"/>
              </w:rPr>
              <w:t>40</w:t>
            </w:r>
            <w:r w:rsidRPr="004819EF">
              <w:rPr>
                <w:rFonts w:ascii="Arial" w:hAnsi="Arial" w:cs="Arial"/>
                <w:b w:val="0"/>
                <w:sz w:val="18"/>
                <w:szCs w:val="18"/>
                <w:lang w:val="sr-Latn-CS"/>
              </w:rPr>
              <w:t>K(Bq</w:t>
            </w:r>
            <w:r w:rsidRPr="004819EF">
              <w:rPr>
                <w:rFonts w:ascii="Arial" w:hAnsi="Arial" w:cs="Arial"/>
                <w:b w:val="0"/>
                <w:sz w:val="18"/>
                <w:szCs w:val="18"/>
              </w:rPr>
              <w:t>/kg)</w:t>
            </w:r>
          </w:p>
        </w:tc>
        <w:tc>
          <w:tcPr>
            <w:tcW w:w="1327" w:type="dxa"/>
          </w:tcPr>
          <w:p w:rsidR="00B65A71" w:rsidRPr="004819EF" w:rsidRDefault="00B65A71" w:rsidP="00B65A71">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lang w:val="sr-Latn-CS"/>
              </w:rPr>
            </w:pPr>
            <w:r w:rsidRPr="004819EF">
              <w:rPr>
                <w:rFonts w:ascii="Arial" w:hAnsi="Arial" w:cs="Arial"/>
                <w:b w:val="0"/>
                <w:sz w:val="18"/>
                <w:szCs w:val="18"/>
                <w:vertAlign w:val="superscript"/>
                <w:lang w:val="sr-Latn-CS"/>
              </w:rPr>
              <w:t>137</w:t>
            </w:r>
            <w:r w:rsidRPr="004819EF">
              <w:rPr>
                <w:rFonts w:ascii="Arial" w:hAnsi="Arial" w:cs="Arial"/>
                <w:b w:val="0"/>
                <w:sz w:val="18"/>
                <w:szCs w:val="18"/>
                <w:lang w:val="sr-Latn-CS"/>
              </w:rPr>
              <w:t>Cs(Bq</w:t>
            </w:r>
            <w:r w:rsidRPr="004819EF">
              <w:rPr>
                <w:rFonts w:ascii="Arial" w:hAnsi="Arial" w:cs="Arial"/>
                <w:b w:val="0"/>
                <w:sz w:val="18"/>
                <w:szCs w:val="18"/>
              </w:rPr>
              <w:t>/kg)</w:t>
            </w:r>
          </w:p>
        </w:tc>
        <w:tc>
          <w:tcPr>
            <w:tcW w:w="1327" w:type="dxa"/>
          </w:tcPr>
          <w:p w:rsidR="00B65A71" w:rsidRPr="004819EF" w:rsidRDefault="00B65A71" w:rsidP="00B65A71">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lang w:val="sr-Latn-CS"/>
              </w:rPr>
            </w:pPr>
            <w:r w:rsidRPr="004819EF">
              <w:rPr>
                <w:rFonts w:ascii="Arial" w:hAnsi="Arial" w:cs="Arial"/>
                <w:b w:val="0"/>
                <w:sz w:val="18"/>
                <w:szCs w:val="18"/>
                <w:vertAlign w:val="superscript"/>
                <w:lang w:val="sr-Latn-CS"/>
              </w:rPr>
              <w:t>226</w:t>
            </w:r>
            <w:r w:rsidRPr="004819EF">
              <w:rPr>
                <w:rFonts w:ascii="Arial" w:hAnsi="Arial" w:cs="Arial"/>
                <w:b w:val="0"/>
                <w:sz w:val="18"/>
                <w:szCs w:val="18"/>
                <w:lang w:val="sr-Latn-CS"/>
              </w:rPr>
              <w:t>Ra(Bq</w:t>
            </w:r>
            <w:r w:rsidRPr="004819EF">
              <w:rPr>
                <w:rFonts w:ascii="Arial" w:hAnsi="Arial" w:cs="Arial"/>
                <w:b w:val="0"/>
                <w:sz w:val="18"/>
                <w:szCs w:val="18"/>
              </w:rPr>
              <w:t>/kg)</w:t>
            </w:r>
          </w:p>
        </w:tc>
        <w:tc>
          <w:tcPr>
            <w:tcW w:w="1327" w:type="dxa"/>
          </w:tcPr>
          <w:p w:rsidR="00B65A71" w:rsidRPr="004819EF" w:rsidRDefault="00B65A71" w:rsidP="00B65A71">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lang w:val="sr-Latn-CS"/>
              </w:rPr>
            </w:pPr>
            <w:r w:rsidRPr="004819EF">
              <w:rPr>
                <w:rFonts w:ascii="Arial" w:hAnsi="Arial" w:cs="Arial"/>
                <w:b w:val="0"/>
                <w:sz w:val="18"/>
                <w:szCs w:val="18"/>
                <w:vertAlign w:val="superscript"/>
                <w:lang w:val="sr-Latn-CS"/>
              </w:rPr>
              <w:t>232</w:t>
            </w:r>
            <w:r w:rsidRPr="004819EF">
              <w:rPr>
                <w:rFonts w:ascii="Arial" w:hAnsi="Arial" w:cs="Arial"/>
                <w:b w:val="0"/>
                <w:sz w:val="18"/>
                <w:szCs w:val="18"/>
                <w:lang w:val="sr-Latn-CS"/>
              </w:rPr>
              <w:t>Th(Bq</w:t>
            </w:r>
            <w:r w:rsidRPr="004819EF">
              <w:rPr>
                <w:rFonts w:ascii="Arial" w:hAnsi="Arial" w:cs="Arial"/>
                <w:b w:val="0"/>
                <w:sz w:val="18"/>
                <w:szCs w:val="18"/>
              </w:rPr>
              <w:t>/kg)</w:t>
            </w:r>
          </w:p>
        </w:tc>
        <w:tc>
          <w:tcPr>
            <w:tcW w:w="1327" w:type="dxa"/>
          </w:tcPr>
          <w:p w:rsidR="00B65A71" w:rsidRPr="004819EF" w:rsidRDefault="00B65A71" w:rsidP="00B65A71">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lang w:val="sr-Latn-CS"/>
              </w:rPr>
            </w:pPr>
            <w:r w:rsidRPr="004819EF">
              <w:rPr>
                <w:rFonts w:ascii="Arial" w:hAnsi="Arial" w:cs="Arial"/>
                <w:b w:val="0"/>
                <w:sz w:val="18"/>
                <w:szCs w:val="18"/>
                <w:vertAlign w:val="superscript"/>
                <w:lang w:val="sr-Latn-CS"/>
              </w:rPr>
              <w:t>235</w:t>
            </w:r>
            <w:r w:rsidRPr="004819EF">
              <w:rPr>
                <w:rFonts w:ascii="Arial" w:hAnsi="Arial" w:cs="Arial"/>
                <w:b w:val="0"/>
                <w:sz w:val="18"/>
                <w:szCs w:val="18"/>
                <w:lang w:val="sr-Latn-CS"/>
              </w:rPr>
              <w:t>U(Bq</w:t>
            </w:r>
            <w:r w:rsidRPr="004819EF">
              <w:rPr>
                <w:rFonts w:ascii="Arial" w:hAnsi="Arial" w:cs="Arial"/>
                <w:b w:val="0"/>
                <w:sz w:val="18"/>
                <w:szCs w:val="18"/>
              </w:rPr>
              <w:t>/kg)</w:t>
            </w:r>
          </w:p>
        </w:tc>
        <w:tc>
          <w:tcPr>
            <w:tcW w:w="1327" w:type="dxa"/>
          </w:tcPr>
          <w:p w:rsidR="00B65A71" w:rsidRPr="004819EF" w:rsidRDefault="00B65A71" w:rsidP="00B65A71">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lang w:val="sr-Latn-CS"/>
              </w:rPr>
            </w:pPr>
            <w:r w:rsidRPr="004819EF">
              <w:rPr>
                <w:rFonts w:ascii="Arial" w:hAnsi="Arial" w:cs="Arial"/>
                <w:b w:val="0"/>
                <w:sz w:val="18"/>
                <w:szCs w:val="18"/>
                <w:vertAlign w:val="superscript"/>
                <w:lang w:val="sr-Latn-CS"/>
              </w:rPr>
              <w:t>238</w:t>
            </w:r>
            <w:r w:rsidRPr="004819EF">
              <w:rPr>
                <w:rFonts w:ascii="Arial" w:hAnsi="Arial" w:cs="Arial"/>
                <w:b w:val="0"/>
                <w:sz w:val="18"/>
                <w:szCs w:val="18"/>
                <w:lang w:val="sr-Latn-CS"/>
              </w:rPr>
              <w:t>U(Bq</w:t>
            </w:r>
            <w:r w:rsidRPr="004819EF">
              <w:rPr>
                <w:rFonts w:ascii="Arial" w:hAnsi="Arial" w:cs="Arial"/>
                <w:b w:val="0"/>
                <w:sz w:val="18"/>
                <w:szCs w:val="18"/>
              </w:rPr>
              <w:t>/kg)</w:t>
            </w:r>
          </w:p>
        </w:tc>
      </w:tr>
      <w:tr w:rsidR="00B65A71" w:rsidRPr="0000154C" w:rsidTr="00B65A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7" w:type="dxa"/>
          </w:tcPr>
          <w:p w:rsidR="00B65A71" w:rsidRPr="0000154C" w:rsidRDefault="00B65A71" w:rsidP="00B65A71">
            <w:pPr>
              <w:rPr>
                <w:rFonts w:ascii="Arial" w:hAnsi="Arial" w:cs="Arial"/>
                <w:b w:val="0"/>
                <w:szCs w:val="22"/>
                <w:lang w:val="sr-Latn-CS"/>
              </w:rPr>
            </w:pPr>
            <w:r>
              <w:rPr>
                <w:rFonts w:ascii="Arial" w:hAnsi="Arial" w:cs="Arial"/>
                <w:b w:val="0"/>
                <w:szCs w:val="22"/>
                <w:lang w:val="sr-Latn-CS"/>
              </w:rPr>
              <w:t xml:space="preserve">Berane </w:t>
            </w:r>
            <w:r w:rsidRPr="0000154C">
              <w:rPr>
                <w:rFonts w:ascii="Arial" w:hAnsi="Arial" w:cs="Arial"/>
                <w:b w:val="0"/>
                <w:szCs w:val="22"/>
                <w:lang w:val="sr-Latn-CS"/>
              </w:rPr>
              <w:t xml:space="preserve"> </w:t>
            </w:r>
            <w:r>
              <w:rPr>
                <w:rFonts w:ascii="Arial" w:hAnsi="Arial" w:cs="Arial"/>
                <w:b w:val="0"/>
                <w:szCs w:val="22"/>
                <w:lang w:val="sr-Latn-CS"/>
              </w:rPr>
              <w:t>neobradivo</w:t>
            </w:r>
          </w:p>
        </w:tc>
        <w:tc>
          <w:tcPr>
            <w:tcW w:w="1327" w:type="dxa"/>
          </w:tcPr>
          <w:p w:rsidR="00B65A71" w:rsidRPr="004819EF" w:rsidRDefault="00B65A71" w:rsidP="00B65A7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sr-Latn-CS"/>
              </w:rPr>
            </w:pPr>
            <w:r>
              <w:rPr>
                <w:rFonts w:ascii="Arial" w:hAnsi="Arial" w:cs="Arial"/>
                <w:sz w:val="18"/>
                <w:szCs w:val="18"/>
                <w:lang w:val="sr-Latn-CS"/>
              </w:rPr>
              <w:t>431</w:t>
            </w:r>
            <w:r w:rsidRPr="004819EF">
              <w:rPr>
                <w:rFonts w:ascii="Arial" w:hAnsi="Arial" w:cs="Arial"/>
                <w:sz w:val="18"/>
                <w:szCs w:val="18"/>
                <w:lang w:val="sr-Latn-CS"/>
              </w:rPr>
              <w:t xml:space="preserve"> ± 18</w:t>
            </w:r>
          </w:p>
        </w:tc>
        <w:tc>
          <w:tcPr>
            <w:tcW w:w="1327" w:type="dxa"/>
          </w:tcPr>
          <w:p w:rsidR="00B65A71" w:rsidRPr="004819EF" w:rsidRDefault="00B65A71" w:rsidP="00B65A7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sr-Latn-CS"/>
              </w:rPr>
            </w:pPr>
            <w:r>
              <w:rPr>
                <w:rFonts w:ascii="Arial" w:hAnsi="Arial" w:cs="Arial"/>
                <w:sz w:val="18"/>
                <w:szCs w:val="18"/>
                <w:lang w:val="sr-Latn-CS"/>
              </w:rPr>
              <w:t>48,2</w:t>
            </w:r>
            <w:r w:rsidRPr="004819EF">
              <w:rPr>
                <w:rFonts w:ascii="Arial" w:hAnsi="Arial" w:cs="Arial"/>
                <w:sz w:val="18"/>
                <w:szCs w:val="18"/>
                <w:lang w:val="sr-Latn-CS"/>
              </w:rPr>
              <w:t xml:space="preserve"> ± 1,9</w:t>
            </w:r>
          </w:p>
        </w:tc>
        <w:tc>
          <w:tcPr>
            <w:tcW w:w="1327" w:type="dxa"/>
          </w:tcPr>
          <w:p w:rsidR="00B65A71" w:rsidRPr="004819EF" w:rsidRDefault="00B65A71" w:rsidP="00B65A7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sr-Latn-CS"/>
              </w:rPr>
            </w:pPr>
            <w:r>
              <w:rPr>
                <w:rFonts w:ascii="Arial" w:hAnsi="Arial" w:cs="Arial"/>
                <w:sz w:val="18"/>
                <w:szCs w:val="18"/>
                <w:lang w:val="sr-Latn-CS"/>
              </w:rPr>
              <w:t>20,3</w:t>
            </w:r>
            <w:r w:rsidRPr="004819EF">
              <w:rPr>
                <w:rFonts w:ascii="Arial" w:hAnsi="Arial" w:cs="Arial"/>
                <w:sz w:val="18"/>
                <w:szCs w:val="18"/>
                <w:lang w:val="sr-Latn-CS"/>
              </w:rPr>
              <w:t xml:space="preserve"> ± 1,</w:t>
            </w:r>
            <w:r>
              <w:rPr>
                <w:rFonts w:ascii="Arial" w:hAnsi="Arial" w:cs="Arial"/>
                <w:sz w:val="18"/>
                <w:szCs w:val="18"/>
                <w:lang w:val="sr-Latn-CS"/>
              </w:rPr>
              <w:t>5</w:t>
            </w:r>
          </w:p>
        </w:tc>
        <w:tc>
          <w:tcPr>
            <w:tcW w:w="1327" w:type="dxa"/>
          </w:tcPr>
          <w:p w:rsidR="00B65A71" w:rsidRPr="004819EF" w:rsidRDefault="00B65A71" w:rsidP="00B65A7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sr-Latn-CS"/>
              </w:rPr>
            </w:pPr>
            <w:r>
              <w:rPr>
                <w:rFonts w:ascii="Arial" w:hAnsi="Arial" w:cs="Arial"/>
                <w:sz w:val="18"/>
                <w:szCs w:val="18"/>
                <w:lang w:val="sr-Latn-CS"/>
              </w:rPr>
              <w:t>3</w:t>
            </w:r>
            <w:r w:rsidRPr="004819EF">
              <w:rPr>
                <w:rFonts w:ascii="Arial" w:hAnsi="Arial" w:cs="Arial"/>
                <w:sz w:val="18"/>
                <w:szCs w:val="18"/>
                <w:lang w:val="sr-Latn-CS"/>
              </w:rPr>
              <w:t>3,3 ± 1,8</w:t>
            </w:r>
          </w:p>
        </w:tc>
        <w:tc>
          <w:tcPr>
            <w:tcW w:w="1327" w:type="dxa"/>
          </w:tcPr>
          <w:p w:rsidR="00B65A71" w:rsidRPr="004819EF" w:rsidRDefault="00B65A71" w:rsidP="00B65A7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sr-Latn-CS"/>
              </w:rPr>
            </w:pPr>
            <w:r w:rsidRPr="004819EF">
              <w:rPr>
                <w:rFonts w:ascii="Arial" w:hAnsi="Arial" w:cs="Arial"/>
                <w:sz w:val="18"/>
                <w:szCs w:val="18"/>
                <w:lang w:val="sr-Latn-CS"/>
              </w:rPr>
              <w:t>≤ 2,21</w:t>
            </w:r>
          </w:p>
        </w:tc>
        <w:tc>
          <w:tcPr>
            <w:tcW w:w="1327" w:type="dxa"/>
          </w:tcPr>
          <w:p w:rsidR="00B65A71" w:rsidRPr="004819EF" w:rsidRDefault="00B65A71" w:rsidP="00B65A7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sr-Latn-CS"/>
              </w:rPr>
            </w:pPr>
            <w:r>
              <w:rPr>
                <w:rFonts w:ascii="Arial" w:hAnsi="Arial" w:cs="Arial"/>
                <w:sz w:val="18"/>
                <w:szCs w:val="18"/>
                <w:lang w:val="sr-Latn-CS"/>
              </w:rPr>
              <w:t>≤ 39</w:t>
            </w:r>
            <w:r w:rsidRPr="004819EF">
              <w:rPr>
                <w:rFonts w:ascii="Arial" w:hAnsi="Arial" w:cs="Arial"/>
                <w:sz w:val="18"/>
                <w:szCs w:val="18"/>
                <w:lang w:val="sr-Latn-CS"/>
              </w:rPr>
              <w:t>,</w:t>
            </w:r>
            <w:r>
              <w:rPr>
                <w:rFonts w:ascii="Arial" w:hAnsi="Arial" w:cs="Arial"/>
                <w:sz w:val="18"/>
                <w:szCs w:val="18"/>
                <w:lang w:val="sr-Latn-CS"/>
              </w:rPr>
              <w:t>8</w:t>
            </w:r>
          </w:p>
        </w:tc>
      </w:tr>
      <w:tr w:rsidR="00B65A71" w:rsidRPr="0000154C" w:rsidTr="00B65A71">
        <w:tc>
          <w:tcPr>
            <w:cnfStyle w:val="001000000000" w:firstRow="0" w:lastRow="0" w:firstColumn="1" w:lastColumn="0" w:oddVBand="0" w:evenVBand="0" w:oddHBand="0" w:evenHBand="0" w:firstRowFirstColumn="0" w:firstRowLastColumn="0" w:lastRowFirstColumn="0" w:lastRowLastColumn="0"/>
            <w:tcW w:w="1327" w:type="dxa"/>
          </w:tcPr>
          <w:p w:rsidR="00B65A71" w:rsidRPr="0000154C" w:rsidRDefault="00B65A71" w:rsidP="00B65A71">
            <w:pPr>
              <w:rPr>
                <w:rFonts w:ascii="Arial" w:hAnsi="Arial" w:cs="Arial"/>
                <w:b w:val="0"/>
                <w:szCs w:val="22"/>
                <w:lang w:val="sr-Latn-CS"/>
              </w:rPr>
            </w:pPr>
            <w:r w:rsidRPr="0000154C">
              <w:rPr>
                <w:rFonts w:ascii="Arial" w:hAnsi="Arial" w:cs="Arial"/>
                <w:b w:val="0"/>
                <w:szCs w:val="22"/>
                <w:lang w:val="sr-Latn-CS"/>
              </w:rPr>
              <w:t xml:space="preserve">Berane </w:t>
            </w:r>
            <w:r>
              <w:rPr>
                <w:rFonts w:ascii="Arial" w:hAnsi="Arial" w:cs="Arial"/>
                <w:b w:val="0"/>
                <w:szCs w:val="22"/>
                <w:lang w:val="sr-Latn-CS"/>
              </w:rPr>
              <w:t>obradivo</w:t>
            </w:r>
          </w:p>
        </w:tc>
        <w:tc>
          <w:tcPr>
            <w:tcW w:w="1327" w:type="dxa"/>
          </w:tcPr>
          <w:p w:rsidR="00B65A71" w:rsidRPr="004819EF" w:rsidRDefault="00B65A71" w:rsidP="00B65A7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r-Latn-CS"/>
              </w:rPr>
            </w:pPr>
            <w:r>
              <w:rPr>
                <w:rFonts w:ascii="Arial" w:hAnsi="Arial" w:cs="Arial"/>
                <w:sz w:val="18"/>
                <w:szCs w:val="18"/>
                <w:lang w:val="sr-Latn-CS"/>
              </w:rPr>
              <w:t>488</w:t>
            </w:r>
            <w:r w:rsidRPr="004819EF">
              <w:rPr>
                <w:rFonts w:ascii="Arial" w:hAnsi="Arial" w:cs="Arial"/>
                <w:sz w:val="18"/>
                <w:szCs w:val="18"/>
                <w:lang w:val="sr-Latn-CS"/>
              </w:rPr>
              <w:t xml:space="preserve"> ± </w:t>
            </w:r>
            <w:r>
              <w:rPr>
                <w:rFonts w:ascii="Arial" w:hAnsi="Arial" w:cs="Arial"/>
                <w:sz w:val="18"/>
                <w:szCs w:val="18"/>
                <w:lang w:val="sr-Latn-CS"/>
              </w:rPr>
              <w:t>28</w:t>
            </w:r>
          </w:p>
        </w:tc>
        <w:tc>
          <w:tcPr>
            <w:tcW w:w="1327" w:type="dxa"/>
          </w:tcPr>
          <w:p w:rsidR="00B65A71" w:rsidRPr="004819EF" w:rsidRDefault="00B65A71" w:rsidP="00B65A7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r-Latn-CS"/>
              </w:rPr>
            </w:pPr>
            <w:r>
              <w:rPr>
                <w:rFonts w:ascii="Arial" w:hAnsi="Arial" w:cs="Arial"/>
                <w:sz w:val="18"/>
                <w:szCs w:val="18"/>
                <w:lang w:val="sr-Latn-CS"/>
              </w:rPr>
              <w:t>87,0 ± 3</w:t>
            </w:r>
            <w:r w:rsidRPr="004819EF">
              <w:rPr>
                <w:rFonts w:ascii="Arial" w:hAnsi="Arial" w:cs="Arial"/>
                <w:sz w:val="18"/>
                <w:szCs w:val="18"/>
                <w:lang w:val="sr-Latn-CS"/>
              </w:rPr>
              <w:t>,5</w:t>
            </w:r>
          </w:p>
        </w:tc>
        <w:tc>
          <w:tcPr>
            <w:tcW w:w="1327" w:type="dxa"/>
          </w:tcPr>
          <w:p w:rsidR="00B65A71" w:rsidRPr="004819EF" w:rsidRDefault="00B65A71" w:rsidP="00B65A7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r-Latn-CS"/>
              </w:rPr>
            </w:pPr>
            <w:r>
              <w:rPr>
                <w:rFonts w:ascii="Arial" w:hAnsi="Arial" w:cs="Arial"/>
                <w:sz w:val="18"/>
                <w:szCs w:val="18"/>
                <w:lang w:val="sr-Latn-CS"/>
              </w:rPr>
              <w:t>51,1</w:t>
            </w:r>
            <w:r w:rsidRPr="004819EF">
              <w:rPr>
                <w:rFonts w:ascii="Arial" w:hAnsi="Arial" w:cs="Arial"/>
                <w:sz w:val="18"/>
                <w:szCs w:val="18"/>
                <w:lang w:val="sr-Latn-CS"/>
              </w:rPr>
              <w:t xml:space="preserve"> ± 1,8</w:t>
            </w:r>
          </w:p>
        </w:tc>
        <w:tc>
          <w:tcPr>
            <w:tcW w:w="1327" w:type="dxa"/>
          </w:tcPr>
          <w:p w:rsidR="00B65A71" w:rsidRPr="004819EF" w:rsidRDefault="00B65A71" w:rsidP="00B65A7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r-Latn-CS"/>
              </w:rPr>
            </w:pPr>
            <w:r>
              <w:rPr>
                <w:rFonts w:ascii="Arial" w:hAnsi="Arial" w:cs="Arial"/>
                <w:sz w:val="18"/>
                <w:szCs w:val="18"/>
                <w:lang w:val="sr-Latn-CS"/>
              </w:rPr>
              <w:t>52,2</w:t>
            </w:r>
            <w:r w:rsidRPr="004819EF">
              <w:rPr>
                <w:rFonts w:ascii="Arial" w:hAnsi="Arial" w:cs="Arial"/>
                <w:sz w:val="18"/>
                <w:szCs w:val="18"/>
                <w:lang w:val="sr-Latn-CS"/>
              </w:rPr>
              <w:t xml:space="preserve"> ± 2,</w:t>
            </w:r>
            <w:r>
              <w:rPr>
                <w:rFonts w:ascii="Arial" w:hAnsi="Arial" w:cs="Arial"/>
                <w:sz w:val="18"/>
                <w:szCs w:val="18"/>
                <w:lang w:val="sr-Latn-CS"/>
              </w:rPr>
              <w:t>6</w:t>
            </w:r>
          </w:p>
        </w:tc>
        <w:tc>
          <w:tcPr>
            <w:tcW w:w="1327" w:type="dxa"/>
          </w:tcPr>
          <w:p w:rsidR="00B65A71" w:rsidRPr="004819EF" w:rsidRDefault="00B65A71" w:rsidP="00B65A7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r-Latn-CS"/>
              </w:rPr>
            </w:pPr>
            <w:r w:rsidRPr="004819EF">
              <w:rPr>
                <w:rFonts w:ascii="Arial" w:hAnsi="Arial" w:cs="Arial"/>
                <w:sz w:val="18"/>
                <w:szCs w:val="18"/>
                <w:lang w:val="sr-Latn-CS"/>
              </w:rPr>
              <w:t xml:space="preserve">≤ </w:t>
            </w:r>
            <w:r>
              <w:rPr>
                <w:rFonts w:ascii="Arial" w:hAnsi="Arial" w:cs="Arial"/>
                <w:sz w:val="18"/>
                <w:szCs w:val="18"/>
                <w:lang w:val="sr-Latn-CS"/>
              </w:rPr>
              <w:t>2,77</w:t>
            </w:r>
          </w:p>
        </w:tc>
        <w:tc>
          <w:tcPr>
            <w:tcW w:w="1327" w:type="dxa"/>
          </w:tcPr>
          <w:p w:rsidR="00B65A71" w:rsidRPr="004819EF" w:rsidRDefault="00B65A71" w:rsidP="00B65A7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r-Latn-CS"/>
              </w:rPr>
            </w:pPr>
            <w:r>
              <w:rPr>
                <w:rFonts w:ascii="Arial" w:hAnsi="Arial" w:cs="Arial"/>
                <w:sz w:val="18"/>
                <w:szCs w:val="18"/>
                <w:lang w:val="sr-Latn-CS"/>
              </w:rPr>
              <w:t>48,1±17,1</w:t>
            </w:r>
          </w:p>
        </w:tc>
      </w:tr>
      <w:tr w:rsidR="00B65A71" w:rsidRPr="0000154C" w:rsidTr="00B65A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7" w:type="dxa"/>
          </w:tcPr>
          <w:p w:rsidR="00B65A71" w:rsidRDefault="00B65A71" w:rsidP="00B65A71">
            <w:pPr>
              <w:rPr>
                <w:rFonts w:ascii="Arial" w:hAnsi="Arial" w:cs="Arial"/>
                <w:b w:val="0"/>
                <w:szCs w:val="22"/>
                <w:lang w:val="sr-Latn-CS"/>
              </w:rPr>
            </w:pPr>
            <w:r>
              <w:rPr>
                <w:rFonts w:ascii="Arial" w:hAnsi="Arial" w:cs="Arial"/>
                <w:b w:val="0"/>
                <w:szCs w:val="22"/>
                <w:lang w:val="sr-Latn-CS"/>
              </w:rPr>
              <w:t>Podgorica</w:t>
            </w:r>
          </w:p>
          <w:p w:rsidR="00B65A71" w:rsidRPr="0000154C" w:rsidRDefault="00B65A71" w:rsidP="00B65A71">
            <w:pPr>
              <w:rPr>
                <w:rFonts w:ascii="Arial" w:hAnsi="Arial" w:cs="Arial"/>
                <w:b w:val="0"/>
                <w:szCs w:val="22"/>
                <w:lang w:val="sr-Latn-CS"/>
              </w:rPr>
            </w:pPr>
            <w:r>
              <w:rPr>
                <w:rFonts w:ascii="Arial" w:hAnsi="Arial" w:cs="Arial"/>
                <w:b w:val="0"/>
                <w:szCs w:val="22"/>
                <w:lang w:val="sr-Latn-CS"/>
              </w:rPr>
              <w:t>neobradivo</w:t>
            </w:r>
          </w:p>
        </w:tc>
        <w:tc>
          <w:tcPr>
            <w:tcW w:w="1327" w:type="dxa"/>
          </w:tcPr>
          <w:p w:rsidR="00B65A71" w:rsidRPr="004819EF" w:rsidRDefault="00B65A71" w:rsidP="00B65A7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sr-Latn-CS"/>
              </w:rPr>
            </w:pPr>
            <w:r>
              <w:rPr>
                <w:rFonts w:ascii="Arial" w:hAnsi="Arial" w:cs="Arial"/>
                <w:sz w:val="18"/>
                <w:szCs w:val="18"/>
                <w:lang w:val="sr-Latn-CS"/>
              </w:rPr>
              <w:t>23</w:t>
            </w:r>
            <w:r w:rsidRPr="004819EF">
              <w:rPr>
                <w:rFonts w:ascii="Arial" w:hAnsi="Arial" w:cs="Arial"/>
                <w:sz w:val="18"/>
                <w:szCs w:val="18"/>
                <w:lang w:val="sr-Latn-CS"/>
              </w:rPr>
              <w:t xml:space="preserve">8 ± </w:t>
            </w:r>
            <w:r>
              <w:rPr>
                <w:rFonts w:ascii="Arial" w:hAnsi="Arial" w:cs="Arial"/>
                <w:sz w:val="18"/>
                <w:szCs w:val="18"/>
                <w:lang w:val="sr-Latn-CS"/>
              </w:rPr>
              <w:t>10</w:t>
            </w:r>
          </w:p>
        </w:tc>
        <w:tc>
          <w:tcPr>
            <w:tcW w:w="1327" w:type="dxa"/>
          </w:tcPr>
          <w:p w:rsidR="00B65A71" w:rsidRPr="004819EF" w:rsidRDefault="00B65A71" w:rsidP="00B65A7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sr-Latn-CS"/>
              </w:rPr>
            </w:pPr>
            <w:r>
              <w:rPr>
                <w:rFonts w:ascii="Arial" w:hAnsi="Arial" w:cs="Arial"/>
                <w:sz w:val="18"/>
                <w:szCs w:val="18"/>
                <w:lang w:val="sr-Latn-CS"/>
              </w:rPr>
              <w:t>63,5</w:t>
            </w:r>
            <w:r w:rsidRPr="004819EF">
              <w:rPr>
                <w:rFonts w:ascii="Arial" w:hAnsi="Arial" w:cs="Arial"/>
                <w:sz w:val="18"/>
                <w:szCs w:val="18"/>
                <w:lang w:val="sr-Latn-CS"/>
              </w:rPr>
              <w:t xml:space="preserve"> ± </w:t>
            </w:r>
            <w:r>
              <w:rPr>
                <w:rFonts w:ascii="Arial" w:hAnsi="Arial" w:cs="Arial"/>
                <w:sz w:val="18"/>
                <w:szCs w:val="18"/>
                <w:lang w:val="sr-Latn-CS"/>
              </w:rPr>
              <w:t>5</w:t>
            </w:r>
          </w:p>
        </w:tc>
        <w:tc>
          <w:tcPr>
            <w:tcW w:w="1327" w:type="dxa"/>
          </w:tcPr>
          <w:p w:rsidR="00B65A71" w:rsidRPr="004819EF" w:rsidRDefault="00B65A71" w:rsidP="00B65A7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sr-Latn-CS"/>
              </w:rPr>
            </w:pPr>
            <w:r>
              <w:rPr>
                <w:rFonts w:ascii="Arial" w:hAnsi="Arial" w:cs="Arial"/>
                <w:sz w:val="18"/>
                <w:szCs w:val="18"/>
                <w:lang w:val="sr-Latn-CS"/>
              </w:rPr>
              <w:t>17,0</w:t>
            </w:r>
            <w:r w:rsidRPr="004819EF">
              <w:rPr>
                <w:rFonts w:ascii="Arial" w:hAnsi="Arial" w:cs="Arial"/>
                <w:sz w:val="18"/>
                <w:szCs w:val="18"/>
                <w:lang w:val="sr-Latn-CS"/>
              </w:rPr>
              <w:t xml:space="preserve"> ± </w:t>
            </w:r>
            <w:r>
              <w:rPr>
                <w:rFonts w:ascii="Arial" w:hAnsi="Arial" w:cs="Arial"/>
                <w:sz w:val="18"/>
                <w:szCs w:val="18"/>
                <w:lang w:val="sr-Latn-CS"/>
              </w:rPr>
              <w:t>3,4</w:t>
            </w:r>
          </w:p>
        </w:tc>
        <w:tc>
          <w:tcPr>
            <w:tcW w:w="1327" w:type="dxa"/>
          </w:tcPr>
          <w:p w:rsidR="00B65A71" w:rsidRPr="004819EF" w:rsidRDefault="00B65A71" w:rsidP="00B65A7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sr-Latn-CS"/>
              </w:rPr>
            </w:pPr>
            <w:r>
              <w:rPr>
                <w:rFonts w:ascii="Arial" w:hAnsi="Arial" w:cs="Arial"/>
                <w:sz w:val="18"/>
                <w:szCs w:val="18"/>
                <w:lang w:val="sr-Latn-CS"/>
              </w:rPr>
              <w:t>14,2</w:t>
            </w:r>
            <w:r w:rsidRPr="004819EF">
              <w:rPr>
                <w:rFonts w:ascii="Arial" w:hAnsi="Arial" w:cs="Arial"/>
                <w:sz w:val="18"/>
                <w:szCs w:val="18"/>
                <w:lang w:val="sr-Latn-CS"/>
              </w:rPr>
              <w:t xml:space="preserve"> ± </w:t>
            </w:r>
            <w:r>
              <w:rPr>
                <w:rFonts w:ascii="Arial" w:hAnsi="Arial" w:cs="Arial"/>
                <w:sz w:val="18"/>
                <w:szCs w:val="18"/>
                <w:lang w:val="sr-Latn-CS"/>
              </w:rPr>
              <w:t>0,2</w:t>
            </w:r>
          </w:p>
        </w:tc>
        <w:tc>
          <w:tcPr>
            <w:tcW w:w="1327" w:type="dxa"/>
          </w:tcPr>
          <w:p w:rsidR="00B65A71" w:rsidRPr="004819EF" w:rsidRDefault="00B65A71" w:rsidP="00B65A7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sr-Latn-CS"/>
              </w:rPr>
            </w:pPr>
            <w:r>
              <w:rPr>
                <w:rFonts w:ascii="Arial" w:hAnsi="Arial" w:cs="Arial"/>
                <w:sz w:val="18"/>
                <w:szCs w:val="18"/>
                <w:lang w:val="sr-Latn-CS"/>
              </w:rPr>
              <w:t>2,2 ± 0,3</w:t>
            </w:r>
          </w:p>
        </w:tc>
        <w:tc>
          <w:tcPr>
            <w:tcW w:w="1327" w:type="dxa"/>
          </w:tcPr>
          <w:p w:rsidR="00B65A71" w:rsidRPr="004819EF" w:rsidRDefault="00B65A71" w:rsidP="00B65A7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sr-Latn-CS"/>
              </w:rPr>
            </w:pPr>
            <w:r>
              <w:rPr>
                <w:rFonts w:ascii="Arial" w:hAnsi="Arial" w:cs="Arial"/>
                <w:sz w:val="18"/>
                <w:szCs w:val="18"/>
                <w:lang w:val="sr-Latn-CS"/>
              </w:rPr>
              <w:t>9,6</w:t>
            </w:r>
            <w:r w:rsidRPr="004819EF">
              <w:rPr>
                <w:rFonts w:ascii="Arial" w:hAnsi="Arial" w:cs="Arial"/>
                <w:sz w:val="18"/>
                <w:szCs w:val="18"/>
                <w:lang w:val="sr-Latn-CS"/>
              </w:rPr>
              <w:t xml:space="preserve"> ± </w:t>
            </w:r>
            <w:r>
              <w:rPr>
                <w:rFonts w:ascii="Arial" w:hAnsi="Arial" w:cs="Arial"/>
                <w:sz w:val="18"/>
                <w:szCs w:val="18"/>
                <w:lang w:val="sr-Latn-CS"/>
              </w:rPr>
              <w:t>2,4</w:t>
            </w:r>
          </w:p>
        </w:tc>
      </w:tr>
      <w:tr w:rsidR="00B65A71" w:rsidRPr="0000154C" w:rsidTr="00B65A71">
        <w:tc>
          <w:tcPr>
            <w:cnfStyle w:val="001000000000" w:firstRow="0" w:lastRow="0" w:firstColumn="1" w:lastColumn="0" w:oddVBand="0" w:evenVBand="0" w:oddHBand="0" w:evenHBand="0" w:firstRowFirstColumn="0" w:firstRowLastColumn="0" w:lastRowFirstColumn="0" w:lastRowLastColumn="0"/>
            <w:tcW w:w="1327" w:type="dxa"/>
          </w:tcPr>
          <w:p w:rsidR="00B65A71" w:rsidRPr="0000154C" w:rsidRDefault="00B65A71" w:rsidP="00B65A71">
            <w:pPr>
              <w:rPr>
                <w:rFonts w:ascii="Arial" w:hAnsi="Arial" w:cs="Arial"/>
                <w:szCs w:val="22"/>
                <w:lang w:val="sr-Latn-CS"/>
              </w:rPr>
            </w:pPr>
            <w:r>
              <w:rPr>
                <w:rFonts w:ascii="Arial" w:hAnsi="Arial" w:cs="Arial"/>
                <w:b w:val="0"/>
                <w:szCs w:val="22"/>
                <w:lang w:val="sr-Latn-CS"/>
              </w:rPr>
              <w:t>Podgorica obradivo</w:t>
            </w:r>
          </w:p>
        </w:tc>
        <w:tc>
          <w:tcPr>
            <w:tcW w:w="1327" w:type="dxa"/>
          </w:tcPr>
          <w:p w:rsidR="00B65A71" w:rsidRPr="004819EF" w:rsidRDefault="00B65A71" w:rsidP="00B65A7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r-Latn-CS"/>
              </w:rPr>
            </w:pPr>
            <w:r>
              <w:rPr>
                <w:rFonts w:ascii="Arial" w:hAnsi="Arial" w:cs="Arial"/>
                <w:sz w:val="18"/>
                <w:szCs w:val="18"/>
                <w:lang w:val="sr-Latn-CS"/>
              </w:rPr>
              <w:t>332</w:t>
            </w:r>
            <w:r w:rsidRPr="004819EF">
              <w:rPr>
                <w:rFonts w:ascii="Arial" w:hAnsi="Arial" w:cs="Arial"/>
                <w:sz w:val="18"/>
                <w:szCs w:val="18"/>
                <w:lang w:val="sr-Latn-CS"/>
              </w:rPr>
              <w:t xml:space="preserve"> ± 1</w:t>
            </w:r>
            <w:r>
              <w:rPr>
                <w:rFonts w:ascii="Arial" w:hAnsi="Arial" w:cs="Arial"/>
                <w:sz w:val="18"/>
                <w:szCs w:val="18"/>
                <w:lang w:val="sr-Latn-CS"/>
              </w:rPr>
              <w:t>2</w:t>
            </w:r>
          </w:p>
        </w:tc>
        <w:tc>
          <w:tcPr>
            <w:tcW w:w="1327" w:type="dxa"/>
          </w:tcPr>
          <w:p w:rsidR="00B65A71" w:rsidRPr="004819EF" w:rsidRDefault="00B65A71" w:rsidP="00B65A7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r-Latn-CS"/>
              </w:rPr>
            </w:pPr>
            <w:r>
              <w:rPr>
                <w:rFonts w:ascii="Arial" w:hAnsi="Arial" w:cs="Arial"/>
                <w:sz w:val="18"/>
                <w:szCs w:val="18"/>
                <w:lang w:val="sr-Latn-CS"/>
              </w:rPr>
              <w:t>42,1 ± 1</w:t>
            </w:r>
            <w:r w:rsidRPr="004819EF">
              <w:rPr>
                <w:rFonts w:ascii="Arial" w:hAnsi="Arial" w:cs="Arial"/>
                <w:sz w:val="18"/>
                <w:szCs w:val="18"/>
                <w:lang w:val="sr-Latn-CS"/>
              </w:rPr>
              <w:t>,9</w:t>
            </w:r>
          </w:p>
        </w:tc>
        <w:tc>
          <w:tcPr>
            <w:tcW w:w="1327" w:type="dxa"/>
          </w:tcPr>
          <w:p w:rsidR="00B65A71" w:rsidRPr="004819EF" w:rsidRDefault="00B65A71" w:rsidP="00B65A7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r-Latn-CS"/>
              </w:rPr>
            </w:pPr>
            <w:r>
              <w:rPr>
                <w:rFonts w:ascii="Arial" w:hAnsi="Arial" w:cs="Arial"/>
                <w:sz w:val="18"/>
                <w:szCs w:val="18"/>
                <w:lang w:val="sr-Latn-CS"/>
              </w:rPr>
              <w:t>28,2</w:t>
            </w:r>
            <w:r w:rsidRPr="004819EF">
              <w:rPr>
                <w:rFonts w:ascii="Arial" w:hAnsi="Arial" w:cs="Arial"/>
                <w:sz w:val="18"/>
                <w:szCs w:val="18"/>
                <w:lang w:val="sr-Latn-CS"/>
              </w:rPr>
              <w:t xml:space="preserve"> ± 1,</w:t>
            </w:r>
            <w:r>
              <w:rPr>
                <w:rFonts w:ascii="Arial" w:hAnsi="Arial" w:cs="Arial"/>
                <w:sz w:val="18"/>
                <w:szCs w:val="18"/>
                <w:lang w:val="sr-Latn-CS"/>
              </w:rPr>
              <w:t>7</w:t>
            </w:r>
          </w:p>
        </w:tc>
        <w:tc>
          <w:tcPr>
            <w:tcW w:w="1327" w:type="dxa"/>
          </w:tcPr>
          <w:p w:rsidR="00B65A71" w:rsidRPr="004819EF" w:rsidRDefault="00B65A71" w:rsidP="00B65A7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r-Latn-CS"/>
              </w:rPr>
            </w:pPr>
            <w:r>
              <w:rPr>
                <w:rFonts w:ascii="Arial" w:hAnsi="Arial" w:cs="Arial"/>
                <w:sz w:val="18"/>
                <w:szCs w:val="18"/>
                <w:lang w:val="sr-Latn-CS"/>
              </w:rPr>
              <w:t>31,1</w:t>
            </w:r>
            <w:r w:rsidRPr="004819EF">
              <w:rPr>
                <w:rFonts w:ascii="Arial" w:hAnsi="Arial" w:cs="Arial"/>
                <w:sz w:val="18"/>
                <w:szCs w:val="18"/>
                <w:lang w:val="sr-Latn-CS"/>
              </w:rPr>
              <w:t xml:space="preserve"> ± 1,</w:t>
            </w:r>
            <w:r>
              <w:rPr>
                <w:rFonts w:ascii="Arial" w:hAnsi="Arial" w:cs="Arial"/>
                <w:sz w:val="18"/>
                <w:szCs w:val="18"/>
                <w:lang w:val="sr-Latn-CS"/>
              </w:rPr>
              <w:t>8</w:t>
            </w:r>
          </w:p>
        </w:tc>
        <w:tc>
          <w:tcPr>
            <w:tcW w:w="1327" w:type="dxa"/>
          </w:tcPr>
          <w:p w:rsidR="00B65A71" w:rsidRPr="004819EF" w:rsidRDefault="00B65A71" w:rsidP="00B65A7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r-Latn-CS"/>
              </w:rPr>
            </w:pPr>
            <w:r>
              <w:rPr>
                <w:rFonts w:ascii="Arial" w:hAnsi="Arial" w:cs="Arial"/>
                <w:sz w:val="18"/>
                <w:szCs w:val="18"/>
                <w:lang w:val="sr-Latn-CS"/>
              </w:rPr>
              <w:t>2,93 ± 0,7</w:t>
            </w:r>
          </w:p>
        </w:tc>
        <w:tc>
          <w:tcPr>
            <w:tcW w:w="1327" w:type="dxa"/>
          </w:tcPr>
          <w:p w:rsidR="00B65A71" w:rsidRPr="004819EF" w:rsidRDefault="00B65A71" w:rsidP="00B65A7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r-Latn-CS"/>
              </w:rPr>
            </w:pPr>
            <w:r>
              <w:rPr>
                <w:rFonts w:ascii="Arial" w:hAnsi="Arial" w:cs="Arial"/>
                <w:sz w:val="18"/>
                <w:szCs w:val="18"/>
                <w:lang w:val="sr-Latn-CS"/>
              </w:rPr>
              <w:t>≤ 39,5</w:t>
            </w:r>
          </w:p>
        </w:tc>
      </w:tr>
      <w:tr w:rsidR="00B65A71" w:rsidRPr="0000154C" w:rsidTr="00B65A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7" w:type="dxa"/>
          </w:tcPr>
          <w:p w:rsidR="00B65A71" w:rsidRPr="0000154C" w:rsidRDefault="00B65A71" w:rsidP="00B65A71">
            <w:pPr>
              <w:rPr>
                <w:rFonts w:ascii="Arial" w:hAnsi="Arial" w:cs="Arial"/>
                <w:b w:val="0"/>
                <w:szCs w:val="22"/>
                <w:lang w:val="sr-Latn-CS"/>
              </w:rPr>
            </w:pPr>
            <w:r>
              <w:rPr>
                <w:rFonts w:ascii="Arial" w:hAnsi="Arial" w:cs="Arial"/>
                <w:b w:val="0"/>
                <w:szCs w:val="22"/>
                <w:lang w:val="sr-Latn-CS"/>
              </w:rPr>
              <w:t>Tivat neobradivo</w:t>
            </w:r>
          </w:p>
        </w:tc>
        <w:tc>
          <w:tcPr>
            <w:tcW w:w="1327" w:type="dxa"/>
          </w:tcPr>
          <w:p w:rsidR="00B65A71" w:rsidRPr="004819EF" w:rsidRDefault="00B65A71" w:rsidP="00B65A7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sr-Latn-CS"/>
              </w:rPr>
            </w:pPr>
            <w:r>
              <w:rPr>
                <w:rFonts w:ascii="Arial" w:hAnsi="Arial" w:cs="Arial"/>
                <w:sz w:val="18"/>
                <w:szCs w:val="18"/>
                <w:lang w:val="sr-Latn-CS"/>
              </w:rPr>
              <w:t>414</w:t>
            </w:r>
            <w:r w:rsidRPr="004819EF">
              <w:rPr>
                <w:rFonts w:ascii="Arial" w:hAnsi="Arial" w:cs="Arial"/>
                <w:sz w:val="18"/>
                <w:szCs w:val="18"/>
                <w:lang w:val="sr-Latn-CS"/>
              </w:rPr>
              <w:t xml:space="preserve"> ± 1</w:t>
            </w:r>
            <w:r>
              <w:rPr>
                <w:rFonts w:ascii="Arial" w:hAnsi="Arial" w:cs="Arial"/>
                <w:sz w:val="18"/>
                <w:szCs w:val="18"/>
                <w:lang w:val="sr-Latn-CS"/>
              </w:rPr>
              <w:t>4</w:t>
            </w:r>
          </w:p>
        </w:tc>
        <w:tc>
          <w:tcPr>
            <w:tcW w:w="1327" w:type="dxa"/>
          </w:tcPr>
          <w:p w:rsidR="00B65A71" w:rsidRPr="004819EF" w:rsidRDefault="00B65A71" w:rsidP="00B65A7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sr-Latn-CS"/>
              </w:rPr>
            </w:pPr>
            <w:r>
              <w:rPr>
                <w:rFonts w:ascii="Arial" w:hAnsi="Arial" w:cs="Arial"/>
                <w:sz w:val="18"/>
                <w:szCs w:val="18"/>
                <w:lang w:val="sr-Latn-CS"/>
              </w:rPr>
              <w:t xml:space="preserve">130 </w:t>
            </w:r>
            <w:r w:rsidRPr="004819EF">
              <w:rPr>
                <w:rFonts w:ascii="Arial" w:hAnsi="Arial" w:cs="Arial"/>
                <w:sz w:val="18"/>
                <w:szCs w:val="18"/>
                <w:lang w:val="sr-Latn-CS"/>
              </w:rPr>
              <w:t xml:space="preserve">± </w:t>
            </w:r>
            <w:r>
              <w:rPr>
                <w:rFonts w:ascii="Arial" w:hAnsi="Arial" w:cs="Arial"/>
                <w:sz w:val="18"/>
                <w:szCs w:val="18"/>
                <w:lang w:val="sr-Latn-CS"/>
              </w:rPr>
              <w:t>4</w:t>
            </w:r>
          </w:p>
        </w:tc>
        <w:tc>
          <w:tcPr>
            <w:tcW w:w="1327" w:type="dxa"/>
          </w:tcPr>
          <w:p w:rsidR="00B65A71" w:rsidRPr="004819EF" w:rsidRDefault="00B65A71" w:rsidP="00B65A7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sr-Latn-CS"/>
              </w:rPr>
            </w:pPr>
            <w:r>
              <w:rPr>
                <w:rFonts w:ascii="Arial" w:hAnsi="Arial" w:cs="Arial"/>
                <w:sz w:val="18"/>
                <w:szCs w:val="18"/>
                <w:lang w:val="sr-Latn-CS"/>
              </w:rPr>
              <w:t>14,1 ± 0</w:t>
            </w:r>
            <w:r w:rsidRPr="004819EF">
              <w:rPr>
                <w:rFonts w:ascii="Arial" w:hAnsi="Arial" w:cs="Arial"/>
                <w:sz w:val="18"/>
                <w:szCs w:val="18"/>
                <w:lang w:val="sr-Latn-CS"/>
              </w:rPr>
              <w:t>,</w:t>
            </w:r>
            <w:r>
              <w:rPr>
                <w:rFonts w:ascii="Arial" w:hAnsi="Arial" w:cs="Arial"/>
                <w:sz w:val="18"/>
                <w:szCs w:val="18"/>
                <w:lang w:val="sr-Latn-CS"/>
              </w:rPr>
              <w:t>5</w:t>
            </w:r>
          </w:p>
        </w:tc>
        <w:tc>
          <w:tcPr>
            <w:tcW w:w="1327" w:type="dxa"/>
          </w:tcPr>
          <w:p w:rsidR="00B65A71" w:rsidRPr="004819EF" w:rsidRDefault="00B65A71" w:rsidP="00B65A7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sr-Latn-CS"/>
              </w:rPr>
            </w:pPr>
            <w:r>
              <w:rPr>
                <w:rFonts w:ascii="Arial" w:hAnsi="Arial" w:cs="Arial"/>
                <w:sz w:val="18"/>
                <w:szCs w:val="18"/>
                <w:lang w:val="sr-Latn-CS"/>
              </w:rPr>
              <w:t xml:space="preserve">36,1 </w:t>
            </w:r>
            <w:r w:rsidRPr="004819EF">
              <w:rPr>
                <w:rFonts w:ascii="Arial" w:hAnsi="Arial" w:cs="Arial"/>
                <w:sz w:val="18"/>
                <w:szCs w:val="18"/>
                <w:lang w:val="sr-Latn-CS"/>
              </w:rPr>
              <w:t xml:space="preserve">± </w:t>
            </w:r>
            <w:r>
              <w:rPr>
                <w:rFonts w:ascii="Arial" w:hAnsi="Arial" w:cs="Arial"/>
                <w:sz w:val="18"/>
                <w:szCs w:val="18"/>
                <w:lang w:val="sr-Latn-CS"/>
              </w:rPr>
              <w:t>1,4</w:t>
            </w:r>
          </w:p>
        </w:tc>
        <w:tc>
          <w:tcPr>
            <w:tcW w:w="1327" w:type="dxa"/>
          </w:tcPr>
          <w:p w:rsidR="00B65A71" w:rsidRPr="004819EF" w:rsidRDefault="00B65A71" w:rsidP="00B65A7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sr-Latn-CS"/>
              </w:rPr>
            </w:pPr>
            <w:r>
              <w:rPr>
                <w:rFonts w:ascii="Arial" w:hAnsi="Arial" w:cs="Arial"/>
                <w:sz w:val="18"/>
                <w:szCs w:val="18"/>
                <w:lang w:val="sr-Latn-CS"/>
              </w:rPr>
              <w:t>&lt; 1,75</w:t>
            </w:r>
          </w:p>
        </w:tc>
        <w:tc>
          <w:tcPr>
            <w:tcW w:w="1327" w:type="dxa"/>
          </w:tcPr>
          <w:p w:rsidR="00B65A71" w:rsidRPr="004819EF" w:rsidRDefault="00B65A71" w:rsidP="00B65A7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sr-Latn-CS"/>
              </w:rPr>
            </w:pPr>
            <w:r>
              <w:rPr>
                <w:rFonts w:ascii="Arial" w:hAnsi="Arial" w:cs="Arial"/>
                <w:sz w:val="18"/>
                <w:szCs w:val="18"/>
                <w:lang w:val="sr-Latn-CS"/>
              </w:rPr>
              <w:t>&lt; 31,95</w:t>
            </w:r>
          </w:p>
        </w:tc>
      </w:tr>
      <w:tr w:rsidR="00B65A71" w:rsidRPr="0000154C" w:rsidTr="00B65A71">
        <w:tc>
          <w:tcPr>
            <w:cnfStyle w:val="001000000000" w:firstRow="0" w:lastRow="0" w:firstColumn="1" w:lastColumn="0" w:oddVBand="0" w:evenVBand="0" w:oddHBand="0" w:evenHBand="0" w:firstRowFirstColumn="0" w:firstRowLastColumn="0" w:lastRowFirstColumn="0" w:lastRowLastColumn="0"/>
            <w:tcW w:w="1327" w:type="dxa"/>
          </w:tcPr>
          <w:p w:rsidR="00B65A71" w:rsidRPr="0000154C" w:rsidRDefault="00B65A71" w:rsidP="00B65A71">
            <w:pPr>
              <w:rPr>
                <w:rFonts w:ascii="Arial" w:hAnsi="Arial" w:cs="Arial"/>
                <w:szCs w:val="22"/>
                <w:lang w:val="sr-Latn-CS"/>
              </w:rPr>
            </w:pPr>
            <w:r>
              <w:rPr>
                <w:rFonts w:ascii="Arial" w:hAnsi="Arial" w:cs="Arial"/>
                <w:b w:val="0"/>
                <w:szCs w:val="22"/>
                <w:lang w:val="sr-Latn-CS"/>
              </w:rPr>
              <w:lastRenderedPageBreak/>
              <w:t>Tivat obradivo</w:t>
            </w:r>
          </w:p>
        </w:tc>
        <w:tc>
          <w:tcPr>
            <w:tcW w:w="1327" w:type="dxa"/>
          </w:tcPr>
          <w:p w:rsidR="00B65A71" w:rsidRPr="004819EF" w:rsidRDefault="00B65A71" w:rsidP="00B65A7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r-Latn-CS"/>
              </w:rPr>
            </w:pPr>
            <w:r>
              <w:rPr>
                <w:rFonts w:ascii="Arial" w:hAnsi="Arial" w:cs="Arial"/>
                <w:sz w:val="18"/>
                <w:szCs w:val="18"/>
                <w:lang w:val="sr-Latn-CS"/>
              </w:rPr>
              <w:t>440</w:t>
            </w:r>
            <w:r w:rsidRPr="004819EF">
              <w:rPr>
                <w:rFonts w:ascii="Arial" w:hAnsi="Arial" w:cs="Arial"/>
                <w:sz w:val="18"/>
                <w:szCs w:val="18"/>
                <w:lang w:val="sr-Latn-CS"/>
              </w:rPr>
              <w:t xml:space="preserve"> ± 1</w:t>
            </w:r>
            <w:r>
              <w:rPr>
                <w:rFonts w:ascii="Arial" w:hAnsi="Arial" w:cs="Arial"/>
                <w:sz w:val="18"/>
                <w:szCs w:val="18"/>
                <w:lang w:val="sr-Latn-CS"/>
              </w:rPr>
              <w:t>5</w:t>
            </w:r>
          </w:p>
        </w:tc>
        <w:tc>
          <w:tcPr>
            <w:tcW w:w="1327" w:type="dxa"/>
          </w:tcPr>
          <w:p w:rsidR="00B65A71" w:rsidRPr="004819EF" w:rsidRDefault="00B65A71" w:rsidP="00B65A7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r-Latn-CS"/>
              </w:rPr>
            </w:pPr>
            <w:r>
              <w:rPr>
                <w:rFonts w:ascii="Arial" w:hAnsi="Arial" w:cs="Arial"/>
                <w:sz w:val="18"/>
                <w:szCs w:val="18"/>
                <w:lang w:val="sr-Latn-CS"/>
              </w:rPr>
              <w:t>53,2</w:t>
            </w:r>
            <w:r w:rsidRPr="004819EF">
              <w:rPr>
                <w:rFonts w:ascii="Arial" w:hAnsi="Arial" w:cs="Arial"/>
                <w:sz w:val="18"/>
                <w:szCs w:val="18"/>
                <w:lang w:val="sr-Latn-CS"/>
              </w:rPr>
              <w:t xml:space="preserve"> ± </w:t>
            </w:r>
            <w:r>
              <w:rPr>
                <w:rFonts w:ascii="Arial" w:hAnsi="Arial" w:cs="Arial"/>
                <w:sz w:val="18"/>
                <w:szCs w:val="18"/>
                <w:lang w:val="sr-Latn-CS"/>
              </w:rPr>
              <w:t>2,7</w:t>
            </w:r>
          </w:p>
        </w:tc>
        <w:tc>
          <w:tcPr>
            <w:tcW w:w="1327" w:type="dxa"/>
          </w:tcPr>
          <w:p w:rsidR="00B65A71" w:rsidRPr="004819EF" w:rsidRDefault="00B65A71" w:rsidP="00B65A7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r-Latn-CS"/>
              </w:rPr>
            </w:pPr>
            <w:r>
              <w:rPr>
                <w:rFonts w:ascii="Arial" w:hAnsi="Arial" w:cs="Arial"/>
                <w:sz w:val="18"/>
                <w:szCs w:val="18"/>
                <w:lang w:val="sr-Latn-CS"/>
              </w:rPr>
              <w:t>15,2</w:t>
            </w:r>
            <w:r w:rsidRPr="004819EF">
              <w:rPr>
                <w:rFonts w:ascii="Arial" w:hAnsi="Arial" w:cs="Arial"/>
                <w:sz w:val="18"/>
                <w:szCs w:val="18"/>
                <w:lang w:val="sr-Latn-CS"/>
              </w:rPr>
              <w:t xml:space="preserve"> ± </w:t>
            </w:r>
            <w:r>
              <w:rPr>
                <w:rFonts w:ascii="Arial" w:hAnsi="Arial" w:cs="Arial"/>
                <w:sz w:val="18"/>
                <w:szCs w:val="18"/>
                <w:lang w:val="sr-Latn-CS"/>
              </w:rPr>
              <w:t>0,6</w:t>
            </w:r>
          </w:p>
        </w:tc>
        <w:tc>
          <w:tcPr>
            <w:tcW w:w="1327" w:type="dxa"/>
          </w:tcPr>
          <w:p w:rsidR="00B65A71" w:rsidRPr="004819EF" w:rsidRDefault="00B65A71" w:rsidP="00B65A7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r-Latn-CS"/>
              </w:rPr>
            </w:pPr>
            <w:r>
              <w:rPr>
                <w:rFonts w:ascii="Arial" w:hAnsi="Arial" w:cs="Arial"/>
                <w:sz w:val="18"/>
                <w:szCs w:val="18"/>
                <w:lang w:val="sr-Latn-CS"/>
              </w:rPr>
              <w:t>29,6</w:t>
            </w:r>
            <w:r w:rsidRPr="004819EF">
              <w:rPr>
                <w:rFonts w:ascii="Arial" w:hAnsi="Arial" w:cs="Arial"/>
                <w:sz w:val="18"/>
                <w:szCs w:val="18"/>
                <w:lang w:val="sr-Latn-CS"/>
              </w:rPr>
              <w:t xml:space="preserve"> ± </w:t>
            </w:r>
            <w:r>
              <w:rPr>
                <w:rFonts w:ascii="Arial" w:hAnsi="Arial" w:cs="Arial"/>
                <w:sz w:val="18"/>
                <w:szCs w:val="18"/>
                <w:lang w:val="sr-Latn-CS"/>
              </w:rPr>
              <w:t>1,8</w:t>
            </w:r>
          </w:p>
        </w:tc>
        <w:tc>
          <w:tcPr>
            <w:tcW w:w="1327" w:type="dxa"/>
          </w:tcPr>
          <w:p w:rsidR="00B65A71" w:rsidRPr="004819EF" w:rsidRDefault="00B65A71" w:rsidP="00B65A7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r-Latn-CS"/>
              </w:rPr>
            </w:pPr>
            <w:r>
              <w:rPr>
                <w:rFonts w:ascii="Arial" w:hAnsi="Arial" w:cs="Arial"/>
                <w:sz w:val="18"/>
                <w:szCs w:val="18"/>
                <w:lang w:val="sr-Latn-CS"/>
              </w:rPr>
              <w:t>&lt; 1,92</w:t>
            </w:r>
          </w:p>
        </w:tc>
        <w:tc>
          <w:tcPr>
            <w:tcW w:w="1327" w:type="dxa"/>
          </w:tcPr>
          <w:p w:rsidR="00B65A71" w:rsidRPr="004819EF" w:rsidRDefault="00B65A71" w:rsidP="00B65A7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r-Latn-CS"/>
              </w:rPr>
            </w:pPr>
            <w:r>
              <w:rPr>
                <w:rFonts w:ascii="Arial" w:hAnsi="Arial" w:cs="Arial"/>
                <w:sz w:val="18"/>
                <w:szCs w:val="18"/>
                <w:lang w:val="sr-Latn-CS"/>
              </w:rPr>
              <w:t>&lt; 29,33</w:t>
            </w:r>
          </w:p>
        </w:tc>
      </w:tr>
    </w:tbl>
    <w:p w:rsidR="00B65A71" w:rsidRPr="00204B76" w:rsidRDefault="00204B76" w:rsidP="00204B76">
      <w:pPr>
        <w:pStyle w:val="Tabele"/>
        <w:ind w:left="0" w:firstLine="0"/>
      </w:pPr>
      <w:r w:rsidRPr="0000154C">
        <w:rPr>
          <w:rFonts w:ascii="Arial" w:hAnsi="Arial" w:cs="Arial"/>
          <w:sz w:val="22"/>
          <w:szCs w:val="22"/>
        </w:rPr>
        <w:t>Specifične aktivnosti radionuklida u zemljištu</w:t>
      </w:r>
      <w:r w:rsidRPr="002D119E">
        <w:t xml:space="preserve"> </w:t>
      </w:r>
    </w:p>
    <w:p w:rsidR="00B65A71" w:rsidRPr="00790CC9" w:rsidRDefault="00B65A71" w:rsidP="00204B76">
      <w:pPr>
        <w:rPr>
          <w:rFonts w:ascii="Constantia" w:hAnsi="Constantia"/>
        </w:rPr>
      </w:pPr>
      <w:r w:rsidRPr="00790CC9">
        <w:rPr>
          <w:rFonts w:ascii="Constantia" w:hAnsi="Constantia"/>
        </w:rPr>
        <w:t xml:space="preserve">Upoređivanjem svih rezultata, prikazanih u tabeli </w:t>
      </w:r>
      <w:r w:rsidR="00204B76" w:rsidRPr="00790CC9">
        <w:rPr>
          <w:rFonts w:ascii="Constantia" w:hAnsi="Constantia"/>
        </w:rPr>
        <w:t>109</w:t>
      </w:r>
      <w:r w:rsidRPr="00790CC9">
        <w:rPr>
          <w:rFonts w:ascii="Constantia" w:hAnsi="Constantia"/>
        </w:rPr>
        <w:t xml:space="preserve">, sa rezultatima projekta “Meneko“ prikazanih u tabeli </w:t>
      </w:r>
      <w:r w:rsidR="00204B76" w:rsidRPr="00790CC9">
        <w:rPr>
          <w:rFonts w:ascii="Constantia" w:hAnsi="Constantia"/>
        </w:rPr>
        <w:t>110</w:t>
      </w:r>
      <w:r w:rsidRPr="00790CC9">
        <w:rPr>
          <w:rFonts w:ascii="Constantia" w:hAnsi="Constantia"/>
        </w:rPr>
        <w:t xml:space="preserve"> </w:t>
      </w:r>
      <w:r w:rsidR="0012535A">
        <w:rPr>
          <w:rStyle w:val="FootnoteReference"/>
          <w:rFonts w:ascii="Constantia" w:hAnsi="Constantia"/>
        </w:rPr>
        <w:footnoteReference w:id="12"/>
      </w:r>
      <w:r w:rsidRPr="00790CC9">
        <w:rPr>
          <w:rFonts w:ascii="Constantia" w:hAnsi="Constantia"/>
        </w:rPr>
        <w:t xml:space="preserve"> može se uočiti da su su sve izmjerene vrijednosti u granicama  za prirodne  radionuklide  za teritoriju Crne Gore. Nešto veća odstupanja za 40K ne predstavljaju odstupanja koja zabrinjavaju na šta nam ukazuju i  specifične aktivnosti 40K u zemljištu u nekim zemljama Evrope koje su prikazane na grafikonu </w:t>
      </w:r>
      <w:r w:rsidR="005D7A4D" w:rsidRPr="00790CC9">
        <w:rPr>
          <w:rFonts w:ascii="Constantia" w:hAnsi="Constantia"/>
        </w:rPr>
        <w:t>94</w:t>
      </w:r>
      <w:r w:rsidRPr="00790CC9">
        <w:rPr>
          <w:rFonts w:ascii="Constantia" w:hAnsi="Constantia"/>
        </w:rPr>
        <w:t xml:space="preserve">. Osim toga višestruko veća  srednja vrijednost specifične aktivnosti 40K koja je iznosila 1286 Bq/kg (P.Vukotić, R. Svrkota, T. Anđelić, R. Zekić, N. Antović: „Lokalnosti u Crnoj Gori sa povećanim fonom zračenja, Glasnik OPN, CANU 2013. god.“)  u Crnoj Gori izmjerena je na lokalitetu sa povećanim fonom zračenja u oblasti Durmitorske tektonske jedinice koja obuhvata sjevernoistočni dio Crne Gore sa terenima Pivske planine, Durmitora, Sinjajevine, Komova, Visitora, Prokletija, Ljubišnje i Kovača sa područjima Rožaja, Berana, Bijelog Polja i Pljevalja. </w:t>
      </w:r>
    </w:p>
    <w:p w:rsidR="00B65A71" w:rsidRPr="0000154C" w:rsidRDefault="00B65A71" w:rsidP="00B65A71">
      <w:pPr>
        <w:rPr>
          <w:rFonts w:ascii="Arial" w:hAnsi="Arial" w:cs="Arial"/>
          <w:szCs w:val="22"/>
          <w:lang w:val="sr-Latn-CS"/>
        </w:rPr>
      </w:pPr>
    </w:p>
    <w:tbl>
      <w:tblPr>
        <w:tblStyle w:val="MediumGrid3-Accent5"/>
        <w:tblW w:w="0" w:type="auto"/>
        <w:jc w:val="center"/>
        <w:tblLook w:val="04A0" w:firstRow="1" w:lastRow="0" w:firstColumn="1" w:lastColumn="0" w:noHBand="0" w:noVBand="1"/>
      </w:tblPr>
      <w:tblGrid>
        <w:gridCol w:w="1327"/>
        <w:gridCol w:w="1327"/>
        <w:gridCol w:w="1327"/>
        <w:gridCol w:w="1327"/>
        <w:gridCol w:w="1327"/>
      </w:tblGrid>
      <w:tr w:rsidR="00B65A71" w:rsidRPr="0000154C" w:rsidTr="00204B76">
        <w:trPr>
          <w:cnfStyle w:val="100000000000" w:firstRow="1" w:lastRow="0" w:firstColumn="0" w:lastColumn="0" w:oddVBand="0" w:evenVBand="0" w:oddHBand="0" w:evenHBand="0" w:firstRowFirstColumn="0" w:firstRowLastColumn="0" w:lastRowFirstColumn="0" w:lastRowLastColumn="0"/>
          <w:trHeight w:val="272"/>
          <w:jc w:val="center"/>
        </w:trPr>
        <w:tc>
          <w:tcPr>
            <w:cnfStyle w:val="001000000000" w:firstRow="0" w:lastRow="0" w:firstColumn="1" w:lastColumn="0" w:oddVBand="0" w:evenVBand="0" w:oddHBand="0" w:evenHBand="0" w:firstRowFirstColumn="0" w:firstRowLastColumn="0" w:lastRowFirstColumn="0" w:lastRowLastColumn="0"/>
            <w:tcW w:w="1327" w:type="dxa"/>
          </w:tcPr>
          <w:p w:rsidR="00B65A71" w:rsidRPr="004819EF" w:rsidRDefault="00B65A71" w:rsidP="00B65A71">
            <w:pPr>
              <w:rPr>
                <w:rFonts w:ascii="Arial" w:hAnsi="Arial" w:cs="Arial"/>
                <w:sz w:val="18"/>
                <w:szCs w:val="18"/>
                <w:lang w:val="sr-Latn-CS"/>
              </w:rPr>
            </w:pPr>
            <w:r w:rsidRPr="004819EF">
              <w:rPr>
                <w:rFonts w:ascii="Arial" w:hAnsi="Arial" w:cs="Arial"/>
                <w:sz w:val="18"/>
                <w:szCs w:val="18"/>
                <w:lang w:val="sr-Latn-CS"/>
              </w:rPr>
              <w:t xml:space="preserve">Meneko </w:t>
            </w:r>
          </w:p>
        </w:tc>
        <w:tc>
          <w:tcPr>
            <w:tcW w:w="1327" w:type="dxa"/>
          </w:tcPr>
          <w:p w:rsidR="00B65A71" w:rsidRPr="004819EF" w:rsidRDefault="00B65A71" w:rsidP="00B65A71">
            <w:pP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4819EF">
              <w:rPr>
                <w:rFonts w:ascii="Arial" w:hAnsi="Arial" w:cs="Arial"/>
                <w:b w:val="0"/>
                <w:sz w:val="18"/>
                <w:szCs w:val="18"/>
                <w:vertAlign w:val="superscript"/>
                <w:lang w:val="sr-Latn-CS"/>
              </w:rPr>
              <w:t>40</w:t>
            </w:r>
            <w:r w:rsidRPr="004819EF">
              <w:rPr>
                <w:rFonts w:ascii="Arial" w:hAnsi="Arial" w:cs="Arial"/>
                <w:b w:val="0"/>
                <w:sz w:val="18"/>
                <w:szCs w:val="18"/>
                <w:lang w:val="sr-Latn-CS"/>
              </w:rPr>
              <w:t>K</w:t>
            </w:r>
            <w:r>
              <w:rPr>
                <w:rFonts w:ascii="Arial" w:hAnsi="Arial" w:cs="Arial"/>
                <w:b w:val="0"/>
                <w:sz w:val="18"/>
                <w:szCs w:val="18"/>
                <w:lang w:val="sr-Latn-CS"/>
              </w:rPr>
              <w:t xml:space="preserve"> </w:t>
            </w:r>
            <w:r w:rsidRPr="004819EF">
              <w:rPr>
                <w:rFonts w:ascii="Arial" w:hAnsi="Arial" w:cs="Arial"/>
                <w:b w:val="0"/>
                <w:sz w:val="18"/>
                <w:szCs w:val="18"/>
                <w:lang w:val="sr-Latn-CS"/>
              </w:rPr>
              <w:t>(Bq</w:t>
            </w:r>
            <w:r w:rsidRPr="004819EF">
              <w:rPr>
                <w:rFonts w:ascii="Arial" w:hAnsi="Arial" w:cs="Arial"/>
                <w:b w:val="0"/>
                <w:sz w:val="18"/>
                <w:szCs w:val="18"/>
              </w:rPr>
              <w:t>/kg)</w:t>
            </w:r>
          </w:p>
        </w:tc>
        <w:tc>
          <w:tcPr>
            <w:tcW w:w="1327" w:type="dxa"/>
          </w:tcPr>
          <w:p w:rsidR="00B65A71" w:rsidRPr="004819EF" w:rsidRDefault="00B65A71" w:rsidP="00B65A71">
            <w:pP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lang w:val="sr-Latn-CS"/>
              </w:rPr>
            </w:pPr>
            <w:r w:rsidRPr="004819EF">
              <w:rPr>
                <w:rFonts w:ascii="Arial" w:hAnsi="Arial" w:cs="Arial"/>
                <w:b w:val="0"/>
                <w:sz w:val="18"/>
                <w:szCs w:val="18"/>
                <w:vertAlign w:val="superscript"/>
                <w:lang w:val="sr-Latn-CS"/>
              </w:rPr>
              <w:t>137</w:t>
            </w:r>
            <w:r w:rsidRPr="004819EF">
              <w:rPr>
                <w:rFonts w:ascii="Arial" w:hAnsi="Arial" w:cs="Arial"/>
                <w:b w:val="0"/>
                <w:sz w:val="18"/>
                <w:szCs w:val="18"/>
                <w:lang w:val="sr-Latn-CS"/>
              </w:rPr>
              <w:t>Cs</w:t>
            </w:r>
            <w:r>
              <w:rPr>
                <w:rFonts w:ascii="Arial" w:hAnsi="Arial" w:cs="Arial"/>
                <w:b w:val="0"/>
                <w:sz w:val="18"/>
                <w:szCs w:val="18"/>
                <w:lang w:val="sr-Latn-CS"/>
              </w:rPr>
              <w:t xml:space="preserve"> </w:t>
            </w:r>
            <w:r w:rsidRPr="004819EF">
              <w:rPr>
                <w:rFonts w:ascii="Arial" w:hAnsi="Arial" w:cs="Arial"/>
                <w:b w:val="0"/>
                <w:sz w:val="18"/>
                <w:szCs w:val="18"/>
                <w:lang w:val="sr-Latn-CS"/>
              </w:rPr>
              <w:t>(Bq</w:t>
            </w:r>
            <w:r w:rsidRPr="004819EF">
              <w:rPr>
                <w:rFonts w:ascii="Arial" w:hAnsi="Arial" w:cs="Arial"/>
                <w:b w:val="0"/>
                <w:sz w:val="18"/>
                <w:szCs w:val="18"/>
              </w:rPr>
              <w:t>/kg)</w:t>
            </w:r>
          </w:p>
        </w:tc>
        <w:tc>
          <w:tcPr>
            <w:tcW w:w="1327" w:type="dxa"/>
          </w:tcPr>
          <w:p w:rsidR="00B65A71" w:rsidRPr="004819EF" w:rsidRDefault="00B65A71" w:rsidP="00B65A71">
            <w:pP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lang w:val="sr-Latn-CS"/>
              </w:rPr>
            </w:pPr>
            <w:r w:rsidRPr="004819EF">
              <w:rPr>
                <w:rFonts w:ascii="Arial" w:hAnsi="Arial" w:cs="Arial"/>
                <w:b w:val="0"/>
                <w:sz w:val="18"/>
                <w:szCs w:val="18"/>
                <w:vertAlign w:val="superscript"/>
                <w:lang w:val="sr-Latn-CS"/>
              </w:rPr>
              <w:t>238</w:t>
            </w:r>
            <w:r w:rsidRPr="004819EF">
              <w:rPr>
                <w:rFonts w:ascii="Arial" w:hAnsi="Arial" w:cs="Arial"/>
                <w:b w:val="0"/>
                <w:sz w:val="18"/>
                <w:szCs w:val="18"/>
                <w:lang w:val="sr-Latn-CS"/>
              </w:rPr>
              <w:t>U</w:t>
            </w:r>
            <w:r>
              <w:rPr>
                <w:rFonts w:ascii="Arial" w:hAnsi="Arial" w:cs="Arial"/>
                <w:b w:val="0"/>
                <w:sz w:val="18"/>
                <w:szCs w:val="18"/>
                <w:lang w:val="sr-Latn-CS"/>
              </w:rPr>
              <w:t xml:space="preserve"> </w:t>
            </w:r>
            <w:r w:rsidRPr="004819EF">
              <w:rPr>
                <w:rFonts w:ascii="Arial" w:hAnsi="Arial" w:cs="Arial"/>
                <w:b w:val="0"/>
                <w:sz w:val="18"/>
                <w:szCs w:val="18"/>
                <w:lang w:val="sr-Latn-CS"/>
              </w:rPr>
              <w:t>(Bq</w:t>
            </w:r>
            <w:r w:rsidRPr="004819EF">
              <w:rPr>
                <w:rFonts w:ascii="Arial" w:hAnsi="Arial" w:cs="Arial"/>
                <w:b w:val="0"/>
                <w:sz w:val="18"/>
                <w:szCs w:val="18"/>
              </w:rPr>
              <w:t>/kg)</w:t>
            </w:r>
          </w:p>
        </w:tc>
        <w:tc>
          <w:tcPr>
            <w:tcW w:w="1327" w:type="dxa"/>
          </w:tcPr>
          <w:p w:rsidR="00B65A71" w:rsidRPr="004819EF" w:rsidRDefault="00B65A71" w:rsidP="00B65A71">
            <w:pP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lang w:val="sr-Latn-CS"/>
              </w:rPr>
            </w:pPr>
            <w:r w:rsidRPr="004819EF">
              <w:rPr>
                <w:rFonts w:ascii="Arial" w:hAnsi="Arial" w:cs="Arial"/>
                <w:b w:val="0"/>
                <w:sz w:val="18"/>
                <w:szCs w:val="18"/>
                <w:vertAlign w:val="superscript"/>
                <w:lang w:val="sr-Latn-CS"/>
              </w:rPr>
              <w:t>232</w:t>
            </w:r>
            <w:r w:rsidRPr="004819EF">
              <w:rPr>
                <w:rFonts w:ascii="Arial" w:hAnsi="Arial" w:cs="Arial"/>
                <w:b w:val="0"/>
                <w:sz w:val="18"/>
                <w:szCs w:val="18"/>
                <w:lang w:val="sr-Latn-CS"/>
              </w:rPr>
              <w:t>Th</w:t>
            </w:r>
            <w:r>
              <w:rPr>
                <w:rFonts w:ascii="Arial" w:hAnsi="Arial" w:cs="Arial"/>
                <w:b w:val="0"/>
                <w:sz w:val="18"/>
                <w:szCs w:val="18"/>
                <w:lang w:val="sr-Latn-CS"/>
              </w:rPr>
              <w:t xml:space="preserve"> </w:t>
            </w:r>
            <w:r w:rsidRPr="004819EF">
              <w:rPr>
                <w:rFonts w:ascii="Arial" w:hAnsi="Arial" w:cs="Arial"/>
                <w:b w:val="0"/>
                <w:sz w:val="18"/>
                <w:szCs w:val="18"/>
                <w:lang w:val="sr-Latn-CS"/>
              </w:rPr>
              <w:t>(Bq</w:t>
            </w:r>
            <w:r w:rsidRPr="004819EF">
              <w:rPr>
                <w:rFonts w:ascii="Arial" w:hAnsi="Arial" w:cs="Arial"/>
                <w:b w:val="0"/>
                <w:sz w:val="18"/>
                <w:szCs w:val="18"/>
              </w:rPr>
              <w:t>/kg)</w:t>
            </w:r>
          </w:p>
        </w:tc>
      </w:tr>
      <w:tr w:rsidR="00B65A71" w:rsidRPr="0000154C" w:rsidTr="00204B7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27" w:type="dxa"/>
          </w:tcPr>
          <w:p w:rsidR="00B65A71" w:rsidRPr="004819EF" w:rsidRDefault="00B65A71" w:rsidP="00B65A71">
            <w:pPr>
              <w:rPr>
                <w:rFonts w:ascii="Arial" w:hAnsi="Arial" w:cs="Arial"/>
                <w:b w:val="0"/>
                <w:sz w:val="18"/>
                <w:szCs w:val="18"/>
                <w:lang w:val="sr-Latn-CS"/>
              </w:rPr>
            </w:pPr>
            <w:r w:rsidRPr="004819EF">
              <w:rPr>
                <w:rFonts w:ascii="Arial" w:hAnsi="Arial" w:cs="Arial"/>
                <w:b w:val="0"/>
                <w:sz w:val="18"/>
                <w:szCs w:val="18"/>
                <w:lang w:val="sr-Latn-CS"/>
              </w:rPr>
              <w:t>Srednja vrijednost</w:t>
            </w:r>
          </w:p>
        </w:tc>
        <w:tc>
          <w:tcPr>
            <w:tcW w:w="1327" w:type="dxa"/>
          </w:tcPr>
          <w:p w:rsidR="00B65A71" w:rsidRPr="004819EF" w:rsidRDefault="00B65A71" w:rsidP="00B65A7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lang w:val="sr-Latn-CS"/>
              </w:rPr>
            </w:pPr>
            <w:r w:rsidRPr="004819EF">
              <w:rPr>
                <w:rFonts w:ascii="Arial" w:hAnsi="Arial" w:cs="Arial"/>
                <w:color w:val="000000" w:themeColor="text1"/>
                <w:sz w:val="18"/>
                <w:szCs w:val="18"/>
                <w:lang w:val="sr-Latn-CS"/>
              </w:rPr>
              <w:t xml:space="preserve">     197</w:t>
            </w:r>
          </w:p>
        </w:tc>
        <w:tc>
          <w:tcPr>
            <w:tcW w:w="1327" w:type="dxa"/>
          </w:tcPr>
          <w:p w:rsidR="00B65A71" w:rsidRPr="004819EF" w:rsidRDefault="00B65A71" w:rsidP="00B65A7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lang w:val="sr-Latn-CS"/>
              </w:rPr>
            </w:pPr>
            <w:r w:rsidRPr="004819EF">
              <w:rPr>
                <w:rFonts w:ascii="Arial" w:hAnsi="Arial" w:cs="Arial"/>
                <w:color w:val="000000" w:themeColor="text1"/>
                <w:sz w:val="18"/>
                <w:szCs w:val="18"/>
                <w:lang w:val="sr-Latn-CS"/>
              </w:rPr>
              <w:t xml:space="preserve">      152</w:t>
            </w:r>
          </w:p>
        </w:tc>
        <w:tc>
          <w:tcPr>
            <w:tcW w:w="1327" w:type="dxa"/>
          </w:tcPr>
          <w:p w:rsidR="00B65A71" w:rsidRPr="004819EF" w:rsidRDefault="00B65A71" w:rsidP="00B65A7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lang w:val="sr-Latn-CS"/>
              </w:rPr>
            </w:pPr>
            <w:r w:rsidRPr="004819EF">
              <w:rPr>
                <w:rFonts w:ascii="Arial" w:hAnsi="Arial" w:cs="Arial"/>
                <w:color w:val="000000" w:themeColor="text1"/>
                <w:sz w:val="18"/>
                <w:szCs w:val="18"/>
                <w:lang w:val="sr-Latn-CS"/>
              </w:rPr>
              <w:t xml:space="preserve">    24,2</w:t>
            </w:r>
          </w:p>
        </w:tc>
        <w:tc>
          <w:tcPr>
            <w:tcW w:w="1327" w:type="dxa"/>
          </w:tcPr>
          <w:p w:rsidR="00B65A71" w:rsidRPr="004819EF" w:rsidRDefault="00B65A71" w:rsidP="00B65A7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lang w:val="sr-Latn-CS"/>
              </w:rPr>
            </w:pPr>
            <w:r w:rsidRPr="004819EF">
              <w:rPr>
                <w:rFonts w:ascii="Arial" w:hAnsi="Arial" w:cs="Arial"/>
                <w:color w:val="000000" w:themeColor="text1"/>
                <w:sz w:val="18"/>
                <w:szCs w:val="18"/>
                <w:lang w:val="sr-Latn-CS"/>
              </w:rPr>
              <w:t xml:space="preserve">    20.9</w:t>
            </w:r>
          </w:p>
        </w:tc>
      </w:tr>
      <w:tr w:rsidR="00B65A71" w:rsidRPr="0000154C" w:rsidTr="00204B76">
        <w:trPr>
          <w:jc w:val="center"/>
        </w:trPr>
        <w:tc>
          <w:tcPr>
            <w:cnfStyle w:val="001000000000" w:firstRow="0" w:lastRow="0" w:firstColumn="1" w:lastColumn="0" w:oddVBand="0" w:evenVBand="0" w:oddHBand="0" w:evenHBand="0" w:firstRowFirstColumn="0" w:firstRowLastColumn="0" w:lastRowFirstColumn="0" w:lastRowLastColumn="0"/>
            <w:tcW w:w="1327" w:type="dxa"/>
          </w:tcPr>
          <w:p w:rsidR="00B65A71" w:rsidRPr="009A47A0" w:rsidRDefault="00B65A71" w:rsidP="00B65A71">
            <w:pPr>
              <w:rPr>
                <w:rFonts w:ascii="Arial" w:hAnsi="Arial" w:cs="Arial"/>
                <w:b w:val="0"/>
                <w:sz w:val="18"/>
                <w:szCs w:val="18"/>
                <w:lang w:val="sr-Latn-CS"/>
              </w:rPr>
            </w:pPr>
            <w:r w:rsidRPr="009A47A0">
              <w:rPr>
                <w:rFonts w:ascii="Arial" w:hAnsi="Arial" w:cs="Arial"/>
                <w:b w:val="0"/>
                <w:sz w:val="18"/>
                <w:szCs w:val="18"/>
                <w:lang w:val="sr-Latn-CS"/>
              </w:rPr>
              <w:t>Min. izmjerena vrijednost</w:t>
            </w:r>
          </w:p>
        </w:tc>
        <w:tc>
          <w:tcPr>
            <w:tcW w:w="1327" w:type="dxa"/>
          </w:tcPr>
          <w:p w:rsidR="00B65A71" w:rsidRPr="004819EF" w:rsidRDefault="00B65A71" w:rsidP="00B65A7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sr-Latn-CS"/>
              </w:rPr>
            </w:pPr>
            <w:r w:rsidRPr="004819EF">
              <w:rPr>
                <w:rFonts w:ascii="Arial" w:hAnsi="Arial" w:cs="Arial"/>
                <w:color w:val="000000" w:themeColor="text1"/>
                <w:sz w:val="18"/>
                <w:szCs w:val="18"/>
                <w:lang w:val="sr-Latn-CS"/>
              </w:rPr>
              <w:t xml:space="preserve">     16</w:t>
            </w:r>
          </w:p>
        </w:tc>
        <w:tc>
          <w:tcPr>
            <w:tcW w:w="1327" w:type="dxa"/>
          </w:tcPr>
          <w:p w:rsidR="00B65A71" w:rsidRPr="004819EF" w:rsidRDefault="00B65A71" w:rsidP="00B65A7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sr-Latn-CS"/>
              </w:rPr>
            </w:pPr>
            <w:r w:rsidRPr="004819EF">
              <w:rPr>
                <w:rFonts w:ascii="Arial" w:hAnsi="Arial" w:cs="Arial"/>
                <w:color w:val="000000" w:themeColor="text1"/>
                <w:sz w:val="18"/>
                <w:szCs w:val="18"/>
                <w:lang w:val="sr-Latn-CS"/>
              </w:rPr>
              <w:t xml:space="preserve">       0,7</w:t>
            </w:r>
          </w:p>
        </w:tc>
        <w:tc>
          <w:tcPr>
            <w:tcW w:w="1327" w:type="dxa"/>
          </w:tcPr>
          <w:p w:rsidR="00B65A71" w:rsidRPr="004819EF" w:rsidRDefault="00B65A71" w:rsidP="00B65A7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sr-Latn-CS"/>
              </w:rPr>
            </w:pPr>
            <w:r w:rsidRPr="004819EF">
              <w:rPr>
                <w:rFonts w:ascii="Arial" w:hAnsi="Arial" w:cs="Arial"/>
                <w:color w:val="000000" w:themeColor="text1"/>
                <w:sz w:val="18"/>
                <w:szCs w:val="18"/>
                <w:lang w:val="sr-Latn-CS"/>
              </w:rPr>
              <w:t xml:space="preserve">      2</w:t>
            </w:r>
          </w:p>
        </w:tc>
        <w:tc>
          <w:tcPr>
            <w:tcW w:w="1327" w:type="dxa"/>
          </w:tcPr>
          <w:p w:rsidR="00B65A71" w:rsidRPr="004819EF" w:rsidRDefault="00B65A71" w:rsidP="00B65A7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sr-Latn-CS"/>
              </w:rPr>
            </w:pPr>
            <w:r w:rsidRPr="004819EF">
              <w:rPr>
                <w:rFonts w:ascii="Arial" w:hAnsi="Arial" w:cs="Arial"/>
                <w:color w:val="000000" w:themeColor="text1"/>
                <w:sz w:val="18"/>
                <w:szCs w:val="18"/>
                <w:lang w:val="sr-Latn-CS"/>
              </w:rPr>
              <w:t xml:space="preserve">    0,4</w:t>
            </w:r>
          </w:p>
        </w:tc>
      </w:tr>
      <w:tr w:rsidR="00B65A71" w:rsidRPr="0000154C" w:rsidTr="00204B7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27" w:type="dxa"/>
          </w:tcPr>
          <w:p w:rsidR="00B65A71" w:rsidRPr="004819EF" w:rsidRDefault="00B65A71" w:rsidP="00B65A71">
            <w:pPr>
              <w:rPr>
                <w:rFonts w:ascii="Arial" w:hAnsi="Arial" w:cs="Arial"/>
                <w:b w:val="0"/>
                <w:sz w:val="18"/>
                <w:szCs w:val="18"/>
                <w:lang w:val="sr-Latn-CS"/>
              </w:rPr>
            </w:pPr>
            <w:r w:rsidRPr="004819EF">
              <w:rPr>
                <w:rFonts w:ascii="Arial" w:hAnsi="Arial" w:cs="Arial"/>
                <w:b w:val="0"/>
                <w:sz w:val="18"/>
                <w:szCs w:val="18"/>
                <w:lang w:val="sr-Latn-CS"/>
              </w:rPr>
              <w:t>Max  izmjerena vrijednost</w:t>
            </w:r>
          </w:p>
        </w:tc>
        <w:tc>
          <w:tcPr>
            <w:tcW w:w="1327" w:type="dxa"/>
          </w:tcPr>
          <w:p w:rsidR="00B65A71" w:rsidRPr="004819EF" w:rsidRDefault="00B65A71" w:rsidP="00B65A7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lang w:val="sr-Latn-CS"/>
              </w:rPr>
            </w:pPr>
            <w:r w:rsidRPr="004819EF">
              <w:rPr>
                <w:rFonts w:ascii="Arial" w:hAnsi="Arial" w:cs="Arial"/>
                <w:color w:val="000000" w:themeColor="text1"/>
                <w:sz w:val="18"/>
                <w:szCs w:val="18"/>
                <w:lang w:val="sr-Latn-CS"/>
              </w:rPr>
              <w:t xml:space="preserve">     481</w:t>
            </w:r>
          </w:p>
        </w:tc>
        <w:tc>
          <w:tcPr>
            <w:tcW w:w="1327" w:type="dxa"/>
          </w:tcPr>
          <w:p w:rsidR="00B65A71" w:rsidRPr="004819EF" w:rsidRDefault="00B65A71" w:rsidP="00B65A7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lang w:val="sr-Latn-CS"/>
              </w:rPr>
            </w:pPr>
            <w:r w:rsidRPr="004819EF">
              <w:rPr>
                <w:rFonts w:ascii="Arial" w:hAnsi="Arial" w:cs="Arial"/>
                <w:color w:val="000000" w:themeColor="text1"/>
                <w:sz w:val="18"/>
                <w:szCs w:val="18"/>
                <w:lang w:val="sr-Latn-CS"/>
              </w:rPr>
              <w:t xml:space="preserve">      740</w:t>
            </w:r>
          </w:p>
        </w:tc>
        <w:tc>
          <w:tcPr>
            <w:tcW w:w="1327" w:type="dxa"/>
          </w:tcPr>
          <w:p w:rsidR="00B65A71" w:rsidRPr="004819EF" w:rsidRDefault="00B65A71" w:rsidP="00B65A7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lang w:val="sr-Latn-CS"/>
              </w:rPr>
            </w:pPr>
            <w:r w:rsidRPr="004819EF">
              <w:rPr>
                <w:rFonts w:ascii="Arial" w:hAnsi="Arial" w:cs="Arial"/>
                <w:color w:val="000000" w:themeColor="text1"/>
                <w:sz w:val="18"/>
                <w:szCs w:val="18"/>
                <w:lang w:val="sr-Latn-CS"/>
              </w:rPr>
              <w:t xml:space="preserve">    166</w:t>
            </w:r>
          </w:p>
        </w:tc>
        <w:tc>
          <w:tcPr>
            <w:tcW w:w="1327" w:type="dxa"/>
          </w:tcPr>
          <w:p w:rsidR="00B65A71" w:rsidRPr="004819EF" w:rsidRDefault="00B65A71" w:rsidP="00B65A7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lang w:val="sr-Latn-CS"/>
              </w:rPr>
            </w:pPr>
            <w:r w:rsidRPr="004819EF">
              <w:rPr>
                <w:rFonts w:ascii="Arial" w:hAnsi="Arial" w:cs="Arial"/>
                <w:color w:val="000000" w:themeColor="text1"/>
                <w:sz w:val="18"/>
                <w:szCs w:val="18"/>
                <w:lang w:val="sr-Latn-CS"/>
              </w:rPr>
              <w:t xml:space="preserve">    74</w:t>
            </w:r>
          </w:p>
        </w:tc>
      </w:tr>
    </w:tbl>
    <w:p w:rsidR="00204B76" w:rsidRPr="00204B76" w:rsidRDefault="00204B76" w:rsidP="00204B76">
      <w:pPr>
        <w:pStyle w:val="Tabele"/>
        <w:ind w:left="0" w:firstLine="0"/>
      </w:pPr>
      <w:r w:rsidRPr="0000154C">
        <w:t>Rezultati projekta Meneko</w:t>
      </w:r>
      <w:r w:rsidRPr="0000154C">
        <w:rPr>
          <w:rFonts w:ascii="Arial" w:hAnsi="Arial" w:cs="Arial"/>
          <w:sz w:val="22"/>
          <w:szCs w:val="22"/>
        </w:rPr>
        <w:t xml:space="preserve"> </w:t>
      </w:r>
    </w:p>
    <w:p w:rsidR="00B65A71" w:rsidRPr="0000154C" w:rsidRDefault="00B65A71" w:rsidP="00B65A71">
      <w:pPr>
        <w:ind w:firstLine="720"/>
        <w:rPr>
          <w:rFonts w:ascii="Arial" w:hAnsi="Arial" w:cs="Arial"/>
          <w:szCs w:val="22"/>
          <w:lang w:val="sr-Latn-CS"/>
        </w:rPr>
      </w:pPr>
    </w:p>
    <w:p w:rsidR="00B65A71" w:rsidRPr="0000154C" w:rsidRDefault="00B65A71" w:rsidP="00B65A71">
      <w:pPr>
        <w:jc w:val="center"/>
        <w:rPr>
          <w:rFonts w:ascii="Arial" w:hAnsi="Arial" w:cs="Arial"/>
          <w:szCs w:val="22"/>
        </w:rPr>
      </w:pPr>
      <w:r w:rsidRPr="0000154C">
        <w:rPr>
          <w:rFonts w:ascii="Arial" w:hAnsi="Arial" w:cs="Arial"/>
          <w:i/>
          <w:noProof/>
          <w:szCs w:val="22"/>
        </w:rPr>
        <w:drawing>
          <wp:inline distT="0" distB="0" distL="0" distR="0" wp14:anchorId="021899B1" wp14:editId="04CCD753">
            <wp:extent cx="3070746" cy="1214651"/>
            <wp:effectExtent l="0" t="0" r="0" b="0"/>
            <wp:docPr id="1348"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7"/>
              </a:graphicData>
            </a:graphic>
          </wp:inline>
        </w:drawing>
      </w:r>
    </w:p>
    <w:p w:rsidR="00BA223F" w:rsidRPr="001C6CBD" w:rsidRDefault="00BA223F" w:rsidP="00BA223F">
      <w:pPr>
        <w:numPr>
          <w:ilvl w:val="0"/>
          <w:numId w:val="4"/>
        </w:numPr>
        <w:ind w:left="0" w:firstLine="0"/>
        <w:rPr>
          <w:rFonts w:ascii="Constantia" w:hAnsi="Constantia"/>
          <w:i/>
          <w:sz w:val="20"/>
          <w:szCs w:val="20"/>
          <w:lang w:val="sr-Latn-CS"/>
        </w:rPr>
      </w:pPr>
      <w:r w:rsidRPr="001C6CBD">
        <w:rPr>
          <w:rFonts w:ascii="Arial" w:hAnsi="Arial" w:cs="Arial"/>
          <w:i/>
          <w:noProof/>
          <w:szCs w:val="22"/>
        </w:rPr>
        <w:t xml:space="preserve">Specifična aktivnost </w:t>
      </w:r>
      <w:r w:rsidRPr="001C6CBD">
        <w:rPr>
          <w:rFonts w:ascii="Arial" w:hAnsi="Arial" w:cs="Arial"/>
          <w:i/>
          <w:noProof/>
          <w:szCs w:val="22"/>
          <w:vertAlign w:val="superscript"/>
        </w:rPr>
        <w:t>40</w:t>
      </w:r>
      <w:r w:rsidRPr="001C6CBD">
        <w:rPr>
          <w:rFonts w:ascii="Arial" w:hAnsi="Arial" w:cs="Arial"/>
          <w:i/>
          <w:noProof/>
          <w:szCs w:val="22"/>
        </w:rPr>
        <w:t>K u zemljama Evrope (Bq/kg)</w:t>
      </w:r>
    </w:p>
    <w:p w:rsidR="00B65A71" w:rsidRPr="0000154C" w:rsidRDefault="00B65A71" w:rsidP="00B65A71">
      <w:pPr>
        <w:pStyle w:val="Grafikon"/>
        <w:numPr>
          <w:ilvl w:val="0"/>
          <w:numId w:val="0"/>
        </w:numPr>
        <w:rPr>
          <w:rFonts w:ascii="Arial" w:hAnsi="Arial" w:cs="Arial"/>
          <w:noProof/>
          <w:sz w:val="22"/>
          <w:szCs w:val="22"/>
        </w:rPr>
      </w:pPr>
    </w:p>
    <w:p w:rsidR="00B65A71" w:rsidRPr="0000154C" w:rsidRDefault="00B65A71" w:rsidP="00B65A71">
      <w:pPr>
        <w:pStyle w:val="Grafikon"/>
        <w:numPr>
          <w:ilvl w:val="0"/>
          <w:numId w:val="0"/>
        </w:numPr>
        <w:jc w:val="both"/>
        <w:rPr>
          <w:rFonts w:ascii="Arial" w:hAnsi="Arial" w:cs="Arial"/>
          <w:sz w:val="22"/>
          <w:szCs w:val="22"/>
        </w:rPr>
      </w:pPr>
    </w:p>
    <w:p w:rsidR="00B65A71" w:rsidRPr="00790CC9" w:rsidRDefault="00BA223F" w:rsidP="00B65A71">
      <w:pPr>
        <w:rPr>
          <w:rFonts w:ascii="Constantia" w:hAnsi="Constantia"/>
          <w:b/>
        </w:rPr>
      </w:pPr>
      <w:r w:rsidRPr="00790CC9">
        <w:rPr>
          <w:rFonts w:ascii="Constantia" w:hAnsi="Constantia"/>
          <w:b/>
        </w:rPr>
        <w:t>Zaljučak:</w:t>
      </w:r>
      <w:r w:rsidR="00B65A71" w:rsidRPr="00790CC9">
        <w:rPr>
          <w:rFonts w:ascii="Constantia" w:hAnsi="Constantia"/>
          <w:b/>
        </w:rPr>
        <w:t xml:space="preserve"> Analiza prethodno definisanih radionuklida u zemljištu je pokazala da zemljište u Crnoj Gori nije radiološki opterećeno. </w:t>
      </w:r>
    </w:p>
    <w:p w:rsidR="00B65A71" w:rsidRPr="0000154C" w:rsidRDefault="00B65A71" w:rsidP="00B65A71">
      <w:pPr>
        <w:rPr>
          <w:rFonts w:ascii="Arial" w:hAnsi="Arial" w:cs="Arial"/>
          <w:b/>
          <w:szCs w:val="22"/>
          <w:lang w:val="sr-Latn-CS"/>
        </w:rPr>
      </w:pPr>
    </w:p>
    <w:p w:rsidR="00B65A71" w:rsidRPr="000E2E48" w:rsidRDefault="00B65A71" w:rsidP="006451D7">
      <w:pPr>
        <w:pStyle w:val="Heading2"/>
        <w:numPr>
          <w:ilvl w:val="1"/>
          <w:numId w:val="52"/>
        </w:numPr>
        <w:rPr>
          <w:rFonts w:ascii="Arial" w:hAnsi="Arial"/>
          <w:b/>
          <w:sz w:val="28"/>
          <w:lang w:val="sr-Latn-CS"/>
        </w:rPr>
      </w:pPr>
      <w:bookmarkStart w:id="264" w:name="_Toc290541612"/>
      <w:bookmarkStart w:id="265" w:name="_Toc319930922"/>
      <w:bookmarkStart w:id="266" w:name="_Toc319931733"/>
      <w:bookmarkStart w:id="267" w:name="_Toc320796902"/>
      <w:bookmarkStart w:id="268" w:name="_Toc321316129"/>
      <w:bookmarkStart w:id="269" w:name="_Toc352657397"/>
      <w:bookmarkStart w:id="270" w:name="_Toc352759510"/>
      <w:bookmarkStart w:id="271" w:name="_Toc352759611"/>
      <w:bookmarkStart w:id="272" w:name="_Toc352760049"/>
      <w:bookmarkStart w:id="273" w:name="_Toc352760158"/>
      <w:bookmarkStart w:id="274" w:name="_Toc384895585"/>
      <w:bookmarkStart w:id="275" w:name="_Toc393897958"/>
      <w:r w:rsidRPr="00F06A67">
        <w:lastRenderedPageBreak/>
        <w:t>Ispitivanje radioaktivnosti u boravišnim i radnim prostorijama</w:t>
      </w:r>
      <w:bookmarkEnd w:id="264"/>
      <w:bookmarkEnd w:id="265"/>
      <w:bookmarkEnd w:id="266"/>
      <w:bookmarkEnd w:id="267"/>
      <w:bookmarkEnd w:id="268"/>
      <w:bookmarkEnd w:id="269"/>
      <w:bookmarkEnd w:id="270"/>
      <w:bookmarkEnd w:id="271"/>
      <w:bookmarkEnd w:id="272"/>
      <w:bookmarkEnd w:id="273"/>
      <w:bookmarkEnd w:id="274"/>
      <w:bookmarkEnd w:id="275"/>
    </w:p>
    <w:p w:rsidR="00B65A71" w:rsidRPr="00790CC9" w:rsidRDefault="00B65A71" w:rsidP="001C6CBD">
      <w:pPr>
        <w:rPr>
          <w:rFonts w:ascii="Constantia" w:hAnsi="Constantia"/>
        </w:rPr>
      </w:pPr>
      <w:r w:rsidRPr="00790CC9">
        <w:rPr>
          <w:rFonts w:ascii="Constantia" w:hAnsi="Constantia"/>
        </w:rPr>
        <w:t xml:space="preserve">Radon je najrasprostranjeniji prirodni radioaktivni gas koji se emituje iz zemljišta koje sadrži radijum i koncentriše se u boravišnim i radnim prostorijama. Kako su produkti radioaktivnog raspada radona alfa i beta emiteri visokoh energija (kratkog dometa, ali visoke jonizujuće moći što naravno doprinosi i velikoj vjerovatnoći oštećenja tkiva kroz koje prolazi, u ovom slučaju bronhija i pluća) postoji velika opasnost po zdravlje stanovništva u slučaju povišenih koncentracija ovog gasa. </w:t>
      </w:r>
    </w:p>
    <w:p w:rsidR="00B65A71" w:rsidRPr="0000154C" w:rsidRDefault="00B65A71" w:rsidP="00B65A71">
      <w:pPr>
        <w:keepNext/>
        <w:jc w:val="center"/>
        <w:rPr>
          <w:rFonts w:ascii="Arial" w:hAnsi="Arial" w:cs="Arial"/>
          <w:szCs w:val="22"/>
          <w:lang w:val="sr-Latn-CS"/>
        </w:rPr>
      </w:pPr>
      <w:r w:rsidRPr="0000154C">
        <w:rPr>
          <w:rFonts w:ascii="Arial" w:hAnsi="Arial" w:cs="Arial"/>
          <w:noProof/>
          <w:szCs w:val="22"/>
        </w:rPr>
        <w:drawing>
          <wp:inline distT="0" distB="0" distL="0" distR="0" wp14:anchorId="416D2B39" wp14:editId="142010A8">
            <wp:extent cx="2764790" cy="2346960"/>
            <wp:effectExtent l="19050" t="0" r="0" b="0"/>
            <wp:docPr id="227" name="Picture 3" descr="10349595-radon-gas-second-leading-cause-of-lung-canc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349595-radon-gas-second-leading-cause-of-lung-cancer.jpg"/>
                    <pic:cNvPicPr/>
                  </pic:nvPicPr>
                  <pic:blipFill>
                    <a:blip r:embed="rId138"/>
                    <a:stretch>
                      <a:fillRect/>
                    </a:stretch>
                  </pic:blipFill>
                  <pic:spPr>
                    <a:xfrm>
                      <a:off x="0" y="0"/>
                      <a:ext cx="2764790" cy="2346960"/>
                    </a:xfrm>
                    <a:prstGeom prst="rect">
                      <a:avLst/>
                    </a:prstGeom>
                  </pic:spPr>
                </pic:pic>
              </a:graphicData>
            </a:graphic>
          </wp:inline>
        </w:drawing>
      </w:r>
    </w:p>
    <w:p w:rsidR="00B65A71" w:rsidRPr="001C6CBD" w:rsidRDefault="00B65A71" w:rsidP="00B65A71">
      <w:pPr>
        <w:jc w:val="center"/>
        <w:rPr>
          <w:rFonts w:ascii="Arial" w:hAnsi="Arial" w:cs="Arial"/>
          <w:i/>
          <w:szCs w:val="22"/>
        </w:rPr>
      </w:pPr>
      <w:r w:rsidRPr="001C6CBD">
        <w:rPr>
          <w:rFonts w:ascii="Arial" w:hAnsi="Arial" w:cs="Arial"/>
          <w:b/>
          <w:i/>
          <w:szCs w:val="22"/>
        </w:rPr>
        <w:t xml:space="preserve">Slika </w:t>
      </w:r>
      <w:r w:rsidR="001C6CBD" w:rsidRPr="001C6CBD">
        <w:rPr>
          <w:rFonts w:ascii="Arial" w:hAnsi="Arial" w:cs="Arial"/>
          <w:b/>
          <w:i/>
          <w:szCs w:val="22"/>
        </w:rPr>
        <w:t>25</w:t>
      </w:r>
      <w:r w:rsidRPr="001C6CBD">
        <w:rPr>
          <w:rFonts w:ascii="Arial" w:hAnsi="Arial" w:cs="Arial"/>
          <w:i/>
          <w:szCs w:val="22"/>
        </w:rPr>
        <w:t>: Način na koji radon dospjeva u boravišne prostorije</w:t>
      </w:r>
    </w:p>
    <w:p w:rsidR="00B65A71" w:rsidRPr="0000154C" w:rsidRDefault="00B65A71" w:rsidP="00B65A71">
      <w:pPr>
        <w:jc w:val="center"/>
        <w:rPr>
          <w:rFonts w:ascii="Arial" w:hAnsi="Arial" w:cs="Arial"/>
          <w:szCs w:val="22"/>
        </w:rPr>
      </w:pPr>
    </w:p>
    <w:p w:rsidR="00B65A71" w:rsidRPr="00790CC9" w:rsidRDefault="00B65A71" w:rsidP="00B65A71">
      <w:pPr>
        <w:rPr>
          <w:rFonts w:ascii="Constantia" w:hAnsi="Constantia"/>
        </w:rPr>
      </w:pPr>
      <w:r w:rsidRPr="00790CC9">
        <w:rPr>
          <w:rFonts w:ascii="Constantia" w:hAnsi="Constantia"/>
        </w:rPr>
        <w:t>Poznato je da prisustvo gasa radona u zatvorenim boravišnim prostorijama, od svih vrsta  jonizujućih zračenja prirodnog porijekla, najviše doprinosi radiološkoj opterećenosti  stanovništva,  kao i  to da je radon jedan od glavnih uzročnika karcinoma pluća.  Samim tim  ovo je i</w:t>
      </w:r>
      <w:r w:rsidR="008D619F">
        <w:rPr>
          <w:rFonts w:ascii="Constantia" w:hAnsi="Constantia"/>
        </w:rPr>
        <w:t xml:space="preserve"> razlog zbog čega mnoge zemlje s</w:t>
      </w:r>
      <w:r w:rsidRPr="00790CC9">
        <w:rPr>
          <w:rFonts w:ascii="Constantia" w:hAnsi="Constantia"/>
        </w:rPr>
        <w:t>vijeta ulažu velike napore u definisanje  nacionalnih programa za  ispitivanje i identifikaciju radonom opterećenih oblasti, u  poboljšanje za ovaj problem relevantnog  zakonodavnog okvira,  kao i u mitigaciju radona gdje se to pokaže neophodnim.</w:t>
      </w:r>
    </w:p>
    <w:p w:rsidR="00B65A71" w:rsidRPr="00790CC9" w:rsidRDefault="00B65A71" w:rsidP="00B65A71">
      <w:pPr>
        <w:rPr>
          <w:rFonts w:ascii="Constantia" w:hAnsi="Constantia"/>
        </w:rPr>
      </w:pPr>
      <w:r w:rsidRPr="00790CC9">
        <w:rPr>
          <w:rFonts w:ascii="Constantia" w:hAnsi="Constantia"/>
        </w:rPr>
        <w:t xml:space="preserve">Međutim, poslednja istraživanja o uticaju gasa radona na populaciju u Evropi ipak  pokazuju da zemlje zapadnog balkanskog regiona, uključujući i Crnu Goru  ne prate ovaj trend. Interventni nivoi koji su definisani našom legislativom su 400 Bqm-3 za postojeći stambeni fond i 200 Bqm-3   za novoizgrađene objekte i preporuke su Međunarodne komisije za zaštitu od zračenja  (ICRP ), a nisu rezultat realnog stanja u našoj zemlji.  </w:t>
      </w:r>
    </w:p>
    <w:p w:rsidR="00B65A71" w:rsidRPr="00790CC9" w:rsidRDefault="00B65A71" w:rsidP="00B65A71">
      <w:pPr>
        <w:rPr>
          <w:rFonts w:ascii="Constantia" w:hAnsi="Constantia"/>
        </w:rPr>
      </w:pPr>
      <w:r w:rsidRPr="00790CC9">
        <w:rPr>
          <w:rFonts w:ascii="Constantia" w:hAnsi="Constantia"/>
          <w:i/>
          <w:iCs/>
        </w:rPr>
        <w:t>Vlada Crne Gore je 2000. god. započela finansiranje  Programa   sistematskog ispitivanja radona (</w:t>
      </w:r>
      <w:r w:rsidRPr="00790CC9">
        <w:rPr>
          <w:rFonts w:ascii="Constantia" w:hAnsi="Constantia"/>
        </w:rPr>
        <w:t>radilo  se o  dugoročnim mjerenjima u trajanju od po 6 mjeseci, dva puta godišnje, za periode proljeće-ljeto i jesen-zima)</w:t>
      </w:r>
      <w:r w:rsidRPr="00790CC9">
        <w:rPr>
          <w:rFonts w:ascii="Constantia" w:hAnsi="Constantia"/>
          <w:i/>
          <w:iCs/>
        </w:rPr>
        <w:t xml:space="preserve"> što je za rezultat trebalo da ima definisanje srednje godišnje koncentracije radona u boravišnim prostorijama, odnosno  utvrđivanje radiološkog opterećenja stanovništva Crne Gore i identifikaciju radonom opterećenih oblasti.</w:t>
      </w:r>
    </w:p>
    <w:p w:rsidR="00B65A71" w:rsidRPr="00790CC9" w:rsidRDefault="00B65A71" w:rsidP="005D7A4D">
      <w:pPr>
        <w:rPr>
          <w:rFonts w:ascii="Constantia" w:hAnsi="Constantia"/>
        </w:rPr>
      </w:pPr>
      <w:r w:rsidRPr="00790CC9">
        <w:rPr>
          <w:rFonts w:ascii="Constantia" w:hAnsi="Constantia"/>
          <w:i/>
          <w:iCs/>
        </w:rPr>
        <w:t xml:space="preserve">Ova ispitivanja, zbog obustave finansiranja, nisu do kraja završena, tj urađen je samo dio radonske mape Crne Gore kojom je obuhvaćen njen centralni i južni dio. Posledica nedovršene radonske mape je nepromijenjena situacija u Crnoj Gori  kada je u pitanju zaštita od uticaja gasa radona na zdravlje stanovništva, Nacionalna strategija sa  akcionim planom za smanjenje negativnog uticaja gasa radona još uvijek ne postoji, a nacionalni zakonodavni okvir  koja se bavi ovom problematikom nije rezultat poznavanja kompletne realne situacije u našoj zemlji. </w:t>
      </w:r>
      <w:r w:rsidRPr="00790CC9">
        <w:rPr>
          <w:rFonts w:ascii="Constantia" w:hAnsi="Constantia"/>
          <w:i/>
          <w:iCs/>
        </w:rPr>
        <w:lastRenderedPageBreak/>
        <w:t>(zakonski okvir koji pokriva oblast izgradnje  stambenih i poslovnih objekata ne prepoznaje mogućnost  prijetnje ovog gasa na zdravlje stanovništva).</w:t>
      </w:r>
    </w:p>
    <w:p w:rsidR="001C6CBD" w:rsidRPr="00790CC9" w:rsidRDefault="00B65A71" w:rsidP="001C6CBD">
      <w:pPr>
        <w:rPr>
          <w:rFonts w:ascii="Constantia" w:hAnsi="Constantia"/>
        </w:rPr>
      </w:pPr>
      <w:r w:rsidRPr="004B5583">
        <w:rPr>
          <w:rStyle w:val="Emphasis"/>
          <w:rFonts w:ascii="Arial" w:hAnsi="Arial" w:cs="Arial"/>
          <w:bCs/>
          <w:szCs w:val="22"/>
          <w:shd w:val="clear" w:color="auto" w:fill="FFFFFF"/>
          <w:lang w:val="sr-Latn-CS"/>
        </w:rPr>
        <w:t xml:space="preserve"> </w:t>
      </w:r>
      <w:r w:rsidRPr="00790CC9">
        <w:rPr>
          <w:rFonts w:ascii="Constantia" w:hAnsi="Constantia"/>
          <w:i/>
          <w:iCs/>
        </w:rPr>
        <w:t xml:space="preserve">U međuvremenu, </w:t>
      </w:r>
      <w:r w:rsidRPr="00790CC9">
        <w:rPr>
          <w:rFonts w:ascii="Constantia" w:hAnsi="Constantia"/>
        </w:rPr>
        <w:t xml:space="preserve">u okviru tehničke saradnje za ciklus TC 2014/2015, </w:t>
      </w:r>
      <w:r w:rsidR="008D619F">
        <w:rPr>
          <w:rFonts w:ascii="Constantia" w:hAnsi="Constantia"/>
        </w:rPr>
        <w:t xml:space="preserve">Ministarstvu održivog razvoja i turizma, </w:t>
      </w:r>
      <w:r w:rsidRPr="00790CC9">
        <w:rPr>
          <w:rFonts w:ascii="Constantia" w:hAnsi="Constantia"/>
        </w:rPr>
        <w:t>Agenc</w:t>
      </w:r>
      <w:r w:rsidR="008D619F">
        <w:rPr>
          <w:rFonts w:ascii="Constantia" w:hAnsi="Constantia"/>
        </w:rPr>
        <w:t>iji za zaštitu životne sredine i Crnogorskoj akademiji</w:t>
      </w:r>
      <w:r w:rsidRPr="00790CC9">
        <w:rPr>
          <w:rFonts w:ascii="Constantia" w:hAnsi="Constantia"/>
        </w:rPr>
        <w:t xml:space="preserve"> nauka i umjetnosti</w:t>
      </w:r>
      <w:r w:rsidR="008D619F">
        <w:rPr>
          <w:rFonts w:ascii="Constantia" w:hAnsi="Constantia"/>
        </w:rPr>
        <w:t xml:space="preserve">, od strane Međunarodne agencije za atomsku energiju odobren je </w:t>
      </w:r>
      <w:r w:rsidRPr="00790CC9">
        <w:rPr>
          <w:rFonts w:ascii="Constantia" w:hAnsi="Constantia"/>
        </w:rPr>
        <w:t xml:space="preserve">projekat: </w:t>
      </w:r>
      <w:r w:rsidRPr="00790CC9">
        <w:rPr>
          <w:rFonts w:ascii="Constantia" w:hAnsi="Constantia"/>
          <w:b/>
        </w:rPr>
        <w:t>“Mapiranje radona u Crnoj Gori i unapređenje nacionalnog sistema zaštite od radona“</w:t>
      </w:r>
      <w:r w:rsidRPr="00790CC9">
        <w:rPr>
          <w:rFonts w:ascii="Constantia" w:hAnsi="Constantia"/>
        </w:rPr>
        <w:t xml:space="preserve"> u trajanju od tri godine. Glavni ciljevi  projekta su završetak mapiranja radona u Crnoj Gori, objektivnija procjena efektivne doze za stanovništvo zbog udisanja radona, edukacija stanovništva o uticaju radona na zdravlje, jačanje kadrovskih i institucionalnih kapaciteta za mjerenje i mitigaciju radona, i inoviranje nacionalne radonske legislative u cilju njenog usaglašavanja sa direktivama EU i standardima IAEA, kao i priprema</w:t>
      </w:r>
      <w:r w:rsidRPr="004B5583">
        <w:rPr>
          <w:rFonts w:ascii="Arial" w:hAnsi="Arial" w:cs="Arial"/>
          <w:szCs w:val="22"/>
          <w:lang w:val="pl-PL"/>
        </w:rPr>
        <w:t xml:space="preserve"> </w:t>
      </w:r>
      <w:r w:rsidRPr="00790CC9">
        <w:rPr>
          <w:rFonts w:ascii="Constantia" w:hAnsi="Constantia"/>
        </w:rPr>
        <w:t>nacionalne Strategije za zaštitu od radona čime će se unaprijediti nacionalni sistem za zaštitu od jonizujućih zračenja.</w:t>
      </w:r>
    </w:p>
    <w:p w:rsidR="00B65A71" w:rsidRPr="00790CC9" w:rsidRDefault="00B65A71" w:rsidP="001C6CBD">
      <w:pPr>
        <w:rPr>
          <w:rFonts w:ascii="Constantia" w:hAnsi="Constantia"/>
        </w:rPr>
      </w:pPr>
      <w:r w:rsidRPr="00790CC9">
        <w:rPr>
          <w:rFonts w:ascii="Constantia" w:hAnsi="Constantia"/>
        </w:rPr>
        <w:t xml:space="preserve">Program sistematskog ispitivanja radioaktivnosti u životnoj sredini Crnoj Gori koji se radi svake godine uključuje kratkoročna mjerenja (mjerenja koja traju do 48 h) kojim se obuhvata uglavnom  samo od 10 do 20 slučajno odabranih lokacija (individualne i zajedničke stambene zgrade, poslovni prostori, škole i dječiji vrtići). Ovakva mjerenja ne mogu dati realnu i preciznu sliku stanja kada je u pitanju opterećenost boravišnih prostorija gasom radonom, međutim, mogu da nam skrenu pažnju da ukoliko izmjerene vrijednosti budu značajno iznad </w:t>
      </w:r>
      <w:r w:rsidR="008D619F">
        <w:rPr>
          <w:rFonts w:ascii="Constantia" w:hAnsi="Constantia"/>
        </w:rPr>
        <w:t>propisanih nivoa</w:t>
      </w:r>
      <w:r w:rsidRPr="00790CC9">
        <w:rPr>
          <w:rFonts w:ascii="Constantia" w:hAnsi="Constantia"/>
        </w:rPr>
        <w:t xml:space="preserve">, mjerenja treba ponoviti, pogotovo ako se radi o vrtićima i školama. </w:t>
      </w:r>
    </w:p>
    <w:p w:rsidR="00B65A71" w:rsidRPr="0000154C" w:rsidRDefault="00B65A71" w:rsidP="00B65A71">
      <w:pPr>
        <w:rPr>
          <w:rFonts w:ascii="Arial" w:hAnsi="Arial" w:cs="Arial"/>
          <w:szCs w:val="22"/>
          <w:lang w:val="sr-Latn-CS"/>
        </w:rPr>
      </w:pPr>
    </w:p>
    <w:p w:rsidR="00B65A71" w:rsidRPr="0000154C" w:rsidRDefault="00B65A71" w:rsidP="00B65A71">
      <w:pPr>
        <w:jc w:val="center"/>
        <w:rPr>
          <w:rFonts w:ascii="Arial" w:hAnsi="Arial" w:cs="Arial"/>
          <w:szCs w:val="22"/>
          <w:lang w:val="sr-Latn-CS"/>
        </w:rPr>
      </w:pPr>
      <w:r w:rsidRPr="0000154C">
        <w:rPr>
          <w:rFonts w:ascii="Arial" w:hAnsi="Arial" w:cs="Arial"/>
          <w:noProof/>
          <w:szCs w:val="22"/>
        </w:rPr>
        <w:drawing>
          <wp:inline distT="0" distB="0" distL="0" distR="0" wp14:anchorId="2D2BBEE5" wp14:editId="02472412">
            <wp:extent cx="5400675" cy="1504950"/>
            <wp:effectExtent l="0" t="0" r="0" b="0"/>
            <wp:docPr id="235"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9"/>
              </a:graphicData>
            </a:graphic>
          </wp:inline>
        </w:drawing>
      </w:r>
    </w:p>
    <w:p w:rsidR="00BD6DA2" w:rsidRPr="00BD6DA2" w:rsidRDefault="00BD6DA2" w:rsidP="00BD6DA2">
      <w:pPr>
        <w:pStyle w:val="Grafikon"/>
        <w:ind w:left="0" w:firstLine="0"/>
        <w:jc w:val="both"/>
      </w:pPr>
      <w:r w:rsidRPr="00B84C57">
        <w:t xml:space="preserve">Evolucija srednjih godišnjih koncentracija radona (Bq/m </w:t>
      </w:r>
      <w:r w:rsidRPr="00B84C57">
        <w:rPr>
          <w:vertAlign w:val="superscript"/>
        </w:rPr>
        <w:t>3</w:t>
      </w:r>
      <w:r w:rsidRPr="00B84C57">
        <w:t>)u boravišnim i radnim prostorij</w:t>
      </w:r>
      <w:r>
        <w:t>a</w:t>
      </w:r>
      <w:r w:rsidRPr="00B84C57">
        <w:t>ma na teritoriji Crne Gore u periodu od 1999 -2013 godine</w:t>
      </w:r>
      <w:r>
        <w:t xml:space="preserve"> (prilikom analize grafika obavezno obratiti pažnju na </w:t>
      </w:r>
      <w:r w:rsidRPr="00CE1BFC">
        <w:t>NAPOMENU</w:t>
      </w:r>
      <w:r>
        <w:t xml:space="preserve"> koja slijedi u tekstu ispod</w:t>
      </w:r>
    </w:p>
    <w:p w:rsidR="00B65A71" w:rsidRPr="00B84C57" w:rsidRDefault="00B65A71" w:rsidP="00BD6DA2">
      <w:pPr>
        <w:pStyle w:val="Grafikon"/>
        <w:numPr>
          <w:ilvl w:val="0"/>
          <w:numId w:val="0"/>
        </w:numPr>
        <w:jc w:val="both"/>
        <w:rPr>
          <w:rFonts w:ascii="Arial" w:hAnsi="Arial" w:cs="Arial"/>
          <w:sz w:val="22"/>
          <w:szCs w:val="22"/>
        </w:rPr>
      </w:pPr>
    </w:p>
    <w:p w:rsidR="00B65A71" w:rsidRPr="00790CC9" w:rsidRDefault="00B65A71" w:rsidP="00BD6DA2">
      <w:pPr>
        <w:rPr>
          <w:rFonts w:ascii="Constantia" w:hAnsi="Constantia"/>
        </w:rPr>
      </w:pPr>
      <w:r w:rsidRPr="00790CC9">
        <w:rPr>
          <w:rFonts w:ascii="Constantia" w:hAnsi="Constantia"/>
          <w:b/>
        </w:rPr>
        <w:t>NAPOMENA:</w:t>
      </w:r>
      <w:r w:rsidRPr="00790CC9">
        <w:rPr>
          <w:rFonts w:ascii="Constantia" w:hAnsi="Constantia"/>
        </w:rPr>
        <w:t xml:space="preserve"> Serija kratkoročnih mjerenja koncentracije aktivnosti radona u 2013. godini   obavljena je na ukupno 10 lokacija i sve lokacije  su bile škole sa teritorije opštine Podgorica. Radila su se ciljano, ponovna mjerenja na lokacijama na kojima su prethodnih godina bile registrovane povećane srednje godišnje koncentracije radona, tj. značajno veće od domaćom legislativom definisanih interventnih nivoa.  Upravo zbog toga grafik 4 pokazuje značajan porast upravo za 2013. god, što se ipak zbog svega navedenog  ne može smatrati   realnom prosječnom vrijednošću koncentracije radona u boravišnim prostorijama u Crnoj Gori za ovu godinu. </w:t>
      </w:r>
    </w:p>
    <w:p w:rsidR="00B65A71" w:rsidRPr="00790CC9" w:rsidRDefault="00B65A71" w:rsidP="00BD6DA2">
      <w:pPr>
        <w:rPr>
          <w:rFonts w:ascii="Constantia" w:hAnsi="Constantia"/>
        </w:rPr>
      </w:pPr>
      <w:r w:rsidRPr="00790CC9">
        <w:rPr>
          <w:rFonts w:ascii="Constantia" w:hAnsi="Constantia"/>
        </w:rPr>
        <w:t xml:space="preserve">Na svim izabranim lokacijama mjerenja su obavljena u dva ciklusa. Prvi ciklus je realizovan u periodu avgust - septembar 2013. god., </w:t>
      </w:r>
      <w:r w:rsidR="008D619F">
        <w:rPr>
          <w:rFonts w:ascii="Constantia" w:hAnsi="Constantia"/>
        </w:rPr>
        <w:t>a drugi u periodu decembar 2013</w:t>
      </w:r>
      <w:r w:rsidRPr="00790CC9">
        <w:rPr>
          <w:rFonts w:ascii="Constantia" w:hAnsi="Constantia"/>
        </w:rPr>
        <w:t xml:space="preserve"> - januar 2014. god.,  odnosno u različitim godišnjim dobima, kako bi se sagledale moguće sezonske  varijacije u koncentracijama.</w:t>
      </w:r>
    </w:p>
    <w:p w:rsidR="00B65A71" w:rsidRPr="00790CC9" w:rsidRDefault="00B65A71" w:rsidP="00BD6DA2">
      <w:pPr>
        <w:rPr>
          <w:rFonts w:ascii="Constantia" w:hAnsi="Constantia"/>
          <w:b/>
        </w:rPr>
      </w:pPr>
      <w:r w:rsidRPr="00790CC9">
        <w:rPr>
          <w:rFonts w:ascii="Constantia" w:hAnsi="Constantia"/>
        </w:rPr>
        <w:t xml:space="preserve">Uočeno je da  srednja godišnja koncentracija aktivnosti radona u posebno odabranim lokacijama, gdje se očekivalo značajno prekoračenje, u ovoj  godini, iznosila 641,5 Bq/m3, što je za 221 % više od  maksimalno dozvoljenog  nivoa koncentracije aktivnosti ovog gasa  za </w:t>
      </w:r>
      <w:r w:rsidRPr="00790CC9">
        <w:rPr>
          <w:rFonts w:ascii="Constantia" w:hAnsi="Constantia"/>
        </w:rPr>
        <w:lastRenderedPageBreak/>
        <w:t xml:space="preserve">novoizgrađene objekte i  za 60,3 % više od  maksimalno dozvoljenog nivoa  koncentracije aktivnosti za postojeće  objekte. I ovaj podatak (prekoračenje od 60,3%) kao i cijelu dalju diskusiju, ipak  treba razmatrati  tako što će se stalno imati na umu  da se radi o ponovljenim  mjerenjima  na lokacijama za koje se pretpostavljalo da će ponovo pokazati značajna prekoračenja i da prikaz koncentracije aktivnosti radona za ovu godinu ne predstavlja realan  presjek stanja u Crnoj Gori. </w:t>
      </w:r>
      <w:r w:rsidRPr="00790CC9">
        <w:rPr>
          <w:rFonts w:ascii="Constantia" w:hAnsi="Constantia"/>
          <w:b/>
        </w:rPr>
        <w:t>Naravno, školama sa uočenim prekoračenjima treba biti posvećena posebna pažnja.</w:t>
      </w:r>
    </w:p>
    <w:p w:rsidR="00B65A71" w:rsidRPr="00790CC9" w:rsidRDefault="00B65A71" w:rsidP="00BD6DA2">
      <w:pPr>
        <w:rPr>
          <w:rFonts w:ascii="Constantia" w:hAnsi="Constantia"/>
        </w:rPr>
      </w:pPr>
      <w:r w:rsidRPr="00790CC9">
        <w:rPr>
          <w:rFonts w:ascii="Constantia" w:hAnsi="Constantia"/>
        </w:rPr>
        <w:t xml:space="preserve">Na 70% mjernih mjesta (na 7 od ukupno 10) izmjerena je srednja vrijednost koncentacije aktivnosti radona koja je bila veća od  maksimalno dozvoljenog  nivoa koncentracije aktivnosti za postojeći stambeni fond ( tj. veća od 400 Bq/m3). </w:t>
      </w:r>
    </w:p>
    <w:p w:rsidR="00B65A71" w:rsidRPr="00790CC9" w:rsidRDefault="00B65A71" w:rsidP="00BD6DA2">
      <w:pPr>
        <w:rPr>
          <w:rFonts w:ascii="Constantia" w:hAnsi="Constantia"/>
        </w:rPr>
      </w:pPr>
      <w:r w:rsidRPr="00790CC9">
        <w:rPr>
          <w:rFonts w:ascii="Constantia" w:hAnsi="Constantia"/>
        </w:rPr>
        <w:t xml:space="preserve">Na 30% mjernih mjesta (na 3 od ukupno 10) srednja vrijednost koncentracije radona bila je  preko maksimalno dozvoljenog  nivoa koncentracije aktivnosti za postojeći stambeni fond (tj. veća od  200Bq/m3). </w:t>
      </w:r>
    </w:p>
    <w:p w:rsidR="00B65A71" w:rsidRPr="00790CC9" w:rsidRDefault="00B65A71" w:rsidP="00BD6DA2">
      <w:pPr>
        <w:rPr>
          <w:rFonts w:ascii="Constantia" w:hAnsi="Constantia"/>
        </w:rPr>
      </w:pPr>
      <w:r w:rsidRPr="00790CC9">
        <w:rPr>
          <w:rFonts w:ascii="Constantia" w:hAnsi="Constantia"/>
        </w:rPr>
        <w:t xml:space="preserve">Nije bilo mjernih mjesta  na kojima je izmjerena je srednja vrijednost koncentacije aktivnosti radona koja   bila  manja od 200 Bq/m3 što je jasno prikazano u tabeli </w:t>
      </w:r>
      <w:r w:rsidR="00BD6DA2" w:rsidRPr="00790CC9">
        <w:rPr>
          <w:rFonts w:ascii="Constantia" w:hAnsi="Constantia"/>
        </w:rPr>
        <w:t>111</w:t>
      </w:r>
      <w:r w:rsidR="005D7A4D" w:rsidRPr="00790CC9">
        <w:rPr>
          <w:rFonts w:ascii="Constantia" w:hAnsi="Constantia"/>
        </w:rPr>
        <w:t xml:space="preserve"> koja slijedi:</w:t>
      </w:r>
    </w:p>
    <w:tbl>
      <w:tblPr>
        <w:tblStyle w:val="MediumGrid3-Accent5"/>
        <w:tblW w:w="4848" w:type="pct"/>
        <w:tblLook w:val="04A0" w:firstRow="1" w:lastRow="0" w:firstColumn="1" w:lastColumn="0" w:noHBand="0" w:noVBand="1"/>
      </w:tblPr>
      <w:tblGrid>
        <w:gridCol w:w="421"/>
        <w:gridCol w:w="1312"/>
        <w:gridCol w:w="726"/>
        <w:gridCol w:w="726"/>
        <w:gridCol w:w="916"/>
        <w:gridCol w:w="726"/>
        <w:gridCol w:w="726"/>
        <w:gridCol w:w="869"/>
        <w:gridCol w:w="1173"/>
        <w:gridCol w:w="686"/>
        <w:gridCol w:w="726"/>
      </w:tblGrid>
      <w:tr w:rsidR="00B65A71" w:rsidRPr="00431445" w:rsidTr="00B65A71">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73" w:type="pct"/>
            <w:vMerge w:val="restart"/>
          </w:tcPr>
          <w:p w:rsidR="00B65A71" w:rsidRPr="004609E2" w:rsidRDefault="00B65A71" w:rsidP="00B65A71">
            <w:pPr>
              <w:jc w:val="center"/>
              <w:rPr>
                <w:rFonts w:asciiTheme="minorHAnsi" w:hAnsiTheme="minorHAnsi"/>
                <w:sz w:val="16"/>
                <w:szCs w:val="16"/>
              </w:rPr>
            </w:pPr>
            <w:r w:rsidRPr="004609E2">
              <w:rPr>
                <w:rFonts w:asciiTheme="minorHAnsi" w:hAnsiTheme="minorHAnsi"/>
                <w:sz w:val="16"/>
                <w:szCs w:val="16"/>
              </w:rPr>
              <w:t>N</w:t>
            </w:r>
            <w:r w:rsidRPr="004609E2">
              <w:rPr>
                <w:rFonts w:asciiTheme="minorHAnsi" w:hAnsiTheme="minorHAnsi"/>
                <w:sz w:val="16"/>
                <w:szCs w:val="16"/>
                <w:vertAlign w:val="superscript"/>
              </w:rPr>
              <w:t>0</w:t>
            </w:r>
          </w:p>
        </w:tc>
        <w:tc>
          <w:tcPr>
            <w:tcW w:w="779" w:type="pct"/>
            <w:vMerge w:val="restart"/>
          </w:tcPr>
          <w:p w:rsidR="00B65A71" w:rsidRPr="004609E2" w:rsidRDefault="00B65A71" w:rsidP="00B65A71">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6"/>
                <w:szCs w:val="16"/>
              </w:rPr>
            </w:pPr>
            <w:r w:rsidRPr="004609E2">
              <w:rPr>
                <w:rFonts w:asciiTheme="minorHAnsi" w:hAnsiTheme="minorHAnsi"/>
                <w:sz w:val="16"/>
                <w:szCs w:val="16"/>
              </w:rPr>
              <w:t>Lokacija</w:t>
            </w:r>
          </w:p>
        </w:tc>
        <w:tc>
          <w:tcPr>
            <w:tcW w:w="1251" w:type="pct"/>
            <w:gridSpan w:val="3"/>
          </w:tcPr>
          <w:p w:rsidR="00B65A71" w:rsidRPr="004609E2" w:rsidRDefault="00B65A71" w:rsidP="00B65A71">
            <w:pPr>
              <w:spacing w:before="40" w:after="4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6"/>
                <w:szCs w:val="16"/>
              </w:rPr>
            </w:pPr>
            <w:r w:rsidRPr="004609E2">
              <w:rPr>
                <w:rFonts w:asciiTheme="minorHAnsi" w:hAnsiTheme="minorHAnsi"/>
                <w:sz w:val="16"/>
                <w:szCs w:val="16"/>
              </w:rPr>
              <w:t>I Ciklus</w:t>
            </w:r>
          </w:p>
        </w:tc>
        <w:tc>
          <w:tcPr>
            <w:tcW w:w="1241" w:type="pct"/>
            <w:gridSpan w:val="3"/>
          </w:tcPr>
          <w:p w:rsidR="00B65A71" w:rsidRPr="004609E2" w:rsidRDefault="00B65A71" w:rsidP="00B65A71">
            <w:pPr>
              <w:spacing w:before="40" w:after="4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6"/>
                <w:szCs w:val="16"/>
              </w:rPr>
            </w:pPr>
            <w:r w:rsidRPr="004609E2">
              <w:rPr>
                <w:rFonts w:asciiTheme="minorHAnsi" w:hAnsiTheme="minorHAnsi"/>
                <w:sz w:val="16"/>
                <w:szCs w:val="16"/>
              </w:rPr>
              <w:t>II Ciklus</w:t>
            </w:r>
          </w:p>
        </w:tc>
        <w:tc>
          <w:tcPr>
            <w:tcW w:w="701" w:type="pct"/>
            <w:vMerge w:val="restart"/>
          </w:tcPr>
          <w:p w:rsidR="00B65A71" w:rsidRPr="004609E2" w:rsidRDefault="00B65A71" w:rsidP="00B65A71">
            <w:pPr>
              <w:spacing w:before="40" w:after="4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6"/>
                <w:szCs w:val="16"/>
              </w:rPr>
            </w:pPr>
            <w:r w:rsidRPr="004609E2">
              <w:rPr>
                <w:rFonts w:asciiTheme="minorHAnsi" w:hAnsiTheme="minorHAnsi"/>
                <w:sz w:val="16"/>
                <w:szCs w:val="16"/>
              </w:rPr>
              <w:t>2013.</w:t>
            </w:r>
          </w:p>
          <w:p w:rsidR="00B65A71" w:rsidRPr="004609E2" w:rsidRDefault="00B65A71" w:rsidP="00B65A71">
            <w:pPr>
              <w:spacing w:before="40" w:after="4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6"/>
                <w:szCs w:val="16"/>
              </w:rPr>
            </w:pPr>
            <w:r w:rsidRPr="004609E2">
              <w:rPr>
                <w:rFonts w:asciiTheme="minorHAnsi" w:hAnsiTheme="minorHAnsi"/>
                <w:sz w:val="16"/>
                <w:szCs w:val="16"/>
              </w:rPr>
              <w:t>Srednja vr.</w:t>
            </w:r>
          </w:p>
          <w:p w:rsidR="00B65A71" w:rsidRPr="004609E2" w:rsidRDefault="00B65A71" w:rsidP="00B65A71">
            <w:pPr>
              <w:spacing w:before="40" w:after="4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6"/>
                <w:szCs w:val="16"/>
              </w:rPr>
            </w:pPr>
            <w:r w:rsidRPr="004609E2">
              <w:rPr>
                <w:rFonts w:asciiTheme="minorHAnsi" w:hAnsiTheme="minorHAnsi"/>
                <w:sz w:val="16"/>
                <w:szCs w:val="16"/>
              </w:rPr>
              <w:t>[Bq/m</w:t>
            </w:r>
            <w:r w:rsidRPr="004609E2">
              <w:rPr>
                <w:rFonts w:asciiTheme="minorHAnsi" w:hAnsiTheme="minorHAnsi"/>
                <w:sz w:val="16"/>
                <w:szCs w:val="16"/>
                <w:vertAlign w:val="superscript"/>
              </w:rPr>
              <w:t>3</w:t>
            </w:r>
            <w:r w:rsidRPr="004609E2">
              <w:rPr>
                <w:rFonts w:asciiTheme="minorHAnsi" w:hAnsiTheme="minorHAnsi"/>
                <w:sz w:val="16"/>
                <w:szCs w:val="16"/>
              </w:rPr>
              <w:t>]</w:t>
            </w:r>
          </w:p>
        </w:tc>
        <w:tc>
          <w:tcPr>
            <w:tcW w:w="856" w:type="pct"/>
            <w:gridSpan w:val="2"/>
          </w:tcPr>
          <w:p w:rsidR="00B65A71" w:rsidRPr="004609E2" w:rsidRDefault="00B65A71" w:rsidP="00B65A71">
            <w:pPr>
              <w:spacing w:before="40" w:after="4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6"/>
                <w:szCs w:val="16"/>
              </w:rPr>
            </w:pPr>
            <w:r w:rsidRPr="004609E2">
              <w:rPr>
                <w:rFonts w:asciiTheme="minorHAnsi" w:hAnsiTheme="minorHAnsi"/>
                <w:sz w:val="16"/>
                <w:szCs w:val="16"/>
              </w:rPr>
              <w:t>Prethodna mjerenja</w:t>
            </w:r>
          </w:p>
        </w:tc>
      </w:tr>
      <w:tr w:rsidR="00B65A71" w:rsidRPr="004609E2" w:rsidTr="00B65A7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3" w:type="pct"/>
            <w:vMerge/>
          </w:tcPr>
          <w:p w:rsidR="00B65A71" w:rsidRPr="004609E2" w:rsidRDefault="00B65A71" w:rsidP="00B65A71">
            <w:pPr>
              <w:jc w:val="center"/>
              <w:rPr>
                <w:rFonts w:asciiTheme="minorHAnsi" w:hAnsiTheme="minorHAnsi"/>
                <w:sz w:val="16"/>
                <w:szCs w:val="16"/>
              </w:rPr>
            </w:pPr>
          </w:p>
        </w:tc>
        <w:tc>
          <w:tcPr>
            <w:tcW w:w="779" w:type="pct"/>
            <w:vMerge/>
          </w:tcPr>
          <w:p w:rsidR="00B65A71" w:rsidRPr="004609E2" w:rsidRDefault="00B65A71" w:rsidP="00B65A7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rPr>
            </w:pPr>
          </w:p>
        </w:tc>
        <w:tc>
          <w:tcPr>
            <w:tcW w:w="332" w:type="pct"/>
          </w:tcPr>
          <w:p w:rsidR="00B65A71" w:rsidRPr="004609E2" w:rsidRDefault="00B65A71" w:rsidP="00B65A71">
            <w:pPr>
              <w:spacing w:before="40" w:after="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rPr>
            </w:pPr>
            <w:r w:rsidRPr="004609E2">
              <w:rPr>
                <w:rFonts w:asciiTheme="minorHAnsi" w:hAnsiTheme="minorHAnsi"/>
                <w:sz w:val="16"/>
                <w:szCs w:val="16"/>
              </w:rPr>
              <w:t>Min. [Bq/m</w:t>
            </w:r>
            <w:r w:rsidRPr="004609E2">
              <w:rPr>
                <w:rFonts w:asciiTheme="minorHAnsi" w:hAnsiTheme="minorHAnsi"/>
                <w:sz w:val="16"/>
                <w:szCs w:val="16"/>
                <w:vertAlign w:val="superscript"/>
              </w:rPr>
              <w:t>3</w:t>
            </w:r>
            <w:r w:rsidRPr="004609E2">
              <w:rPr>
                <w:rFonts w:asciiTheme="minorHAnsi" w:hAnsiTheme="minorHAnsi"/>
                <w:sz w:val="16"/>
                <w:szCs w:val="16"/>
              </w:rPr>
              <w:t>]</w:t>
            </w:r>
          </w:p>
        </w:tc>
        <w:tc>
          <w:tcPr>
            <w:tcW w:w="360" w:type="pct"/>
          </w:tcPr>
          <w:p w:rsidR="00B65A71" w:rsidRPr="004609E2" w:rsidRDefault="00B65A71" w:rsidP="00B65A71">
            <w:pPr>
              <w:spacing w:before="40" w:after="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rPr>
            </w:pPr>
            <w:r w:rsidRPr="004609E2">
              <w:rPr>
                <w:rFonts w:asciiTheme="minorHAnsi" w:hAnsiTheme="minorHAnsi"/>
                <w:sz w:val="16"/>
                <w:szCs w:val="16"/>
              </w:rPr>
              <w:t>Max.</w:t>
            </w:r>
          </w:p>
          <w:p w:rsidR="00B65A71" w:rsidRPr="004609E2" w:rsidRDefault="00B65A71" w:rsidP="00B65A71">
            <w:pPr>
              <w:spacing w:before="40" w:after="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rPr>
            </w:pPr>
            <w:r w:rsidRPr="004609E2">
              <w:rPr>
                <w:rFonts w:asciiTheme="minorHAnsi" w:hAnsiTheme="minorHAnsi"/>
                <w:sz w:val="16"/>
                <w:szCs w:val="16"/>
              </w:rPr>
              <w:t>[Bq/m</w:t>
            </w:r>
            <w:r w:rsidRPr="004609E2">
              <w:rPr>
                <w:rFonts w:asciiTheme="minorHAnsi" w:hAnsiTheme="minorHAnsi"/>
                <w:sz w:val="16"/>
                <w:szCs w:val="16"/>
                <w:vertAlign w:val="superscript"/>
              </w:rPr>
              <w:t>3</w:t>
            </w:r>
            <w:r w:rsidRPr="004609E2">
              <w:rPr>
                <w:rFonts w:asciiTheme="minorHAnsi" w:hAnsiTheme="minorHAnsi"/>
                <w:sz w:val="16"/>
                <w:szCs w:val="16"/>
              </w:rPr>
              <w:t>]</w:t>
            </w:r>
          </w:p>
        </w:tc>
        <w:tc>
          <w:tcPr>
            <w:tcW w:w="558" w:type="pct"/>
          </w:tcPr>
          <w:p w:rsidR="00B65A71" w:rsidRPr="004609E2" w:rsidRDefault="00B65A71" w:rsidP="00B65A71">
            <w:pPr>
              <w:spacing w:before="40" w:after="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rPr>
            </w:pPr>
            <w:r w:rsidRPr="004609E2">
              <w:rPr>
                <w:rFonts w:asciiTheme="minorHAnsi" w:hAnsiTheme="minorHAnsi"/>
                <w:sz w:val="16"/>
                <w:szCs w:val="16"/>
              </w:rPr>
              <w:t>Srednja vr.</w:t>
            </w:r>
          </w:p>
          <w:p w:rsidR="00B65A71" w:rsidRPr="004609E2" w:rsidRDefault="00B65A71" w:rsidP="00B65A71">
            <w:pPr>
              <w:spacing w:before="40" w:after="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rPr>
            </w:pPr>
            <w:r w:rsidRPr="004609E2">
              <w:rPr>
                <w:rFonts w:asciiTheme="minorHAnsi" w:hAnsiTheme="minorHAnsi"/>
                <w:sz w:val="16"/>
                <w:szCs w:val="16"/>
              </w:rPr>
              <w:t>I ciklus  [Bq/m</w:t>
            </w:r>
            <w:r w:rsidRPr="004609E2">
              <w:rPr>
                <w:rFonts w:asciiTheme="minorHAnsi" w:hAnsiTheme="minorHAnsi"/>
                <w:sz w:val="16"/>
                <w:szCs w:val="16"/>
                <w:vertAlign w:val="superscript"/>
              </w:rPr>
              <w:t>3</w:t>
            </w:r>
            <w:r w:rsidRPr="004609E2">
              <w:rPr>
                <w:rFonts w:asciiTheme="minorHAnsi" w:hAnsiTheme="minorHAnsi"/>
                <w:sz w:val="16"/>
                <w:szCs w:val="16"/>
              </w:rPr>
              <w:t>]</w:t>
            </w:r>
          </w:p>
        </w:tc>
        <w:tc>
          <w:tcPr>
            <w:tcW w:w="376" w:type="pct"/>
          </w:tcPr>
          <w:p w:rsidR="00B65A71" w:rsidRPr="004609E2" w:rsidRDefault="00B65A71" w:rsidP="00B65A71">
            <w:pPr>
              <w:spacing w:before="40" w:after="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rPr>
            </w:pPr>
            <w:r w:rsidRPr="004609E2">
              <w:rPr>
                <w:rFonts w:asciiTheme="minorHAnsi" w:hAnsiTheme="minorHAnsi"/>
                <w:sz w:val="16"/>
                <w:szCs w:val="16"/>
              </w:rPr>
              <w:t>Min. [Bq/m</w:t>
            </w:r>
            <w:r w:rsidRPr="004609E2">
              <w:rPr>
                <w:rFonts w:asciiTheme="minorHAnsi" w:hAnsiTheme="minorHAnsi"/>
                <w:sz w:val="16"/>
                <w:szCs w:val="16"/>
                <w:vertAlign w:val="superscript"/>
              </w:rPr>
              <w:t>3</w:t>
            </w:r>
            <w:r w:rsidRPr="004609E2">
              <w:rPr>
                <w:rFonts w:asciiTheme="minorHAnsi" w:hAnsiTheme="minorHAnsi"/>
                <w:sz w:val="16"/>
                <w:szCs w:val="16"/>
              </w:rPr>
              <w:t>]</w:t>
            </w:r>
          </w:p>
        </w:tc>
        <w:tc>
          <w:tcPr>
            <w:tcW w:w="332" w:type="pct"/>
          </w:tcPr>
          <w:p w:rsidR="00B65A71" w:rsidRPr="004609E2" w:rsidRDefault="00B65A71" w:rsidP="00B65A71">
            <w:pPr>
              <w:spacing w:before="40" w:after="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rPr>
            </w:pPr>
            <w:r w:rsidRPr="004609E2">
              <w:rPr>
                <w:rFonts w:asciiTheme="minorHAnsi" w:hAnsiTheme="minorHAnsi"/>
                <w:sz w:val="16"/>
                <w:szCs w:val="16"/>
              </w:rPr>
              <w:t>Max.</w:t>
            </w:r>
          </w:p>
          <w:p w:rsidR="00B65A71" w:rsidRPr="004609E2" w:rsidRDefault="00B65A71" w:rsidP="00B65A71">
            <w:pPr>
              <w:spacing w:before="40" w:after="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rPr>
            </w:pPr>
            <w:r w:rsidRPr="004609E2">
              <w:rPr>
                <w:rFonts w:asciiTheme="minorHAnsi" w:hAnsiTheme="minorHAnsi"/>
                <w:sz w:val="16"/>
                <w:szCs w:val="16"/>
              </w:rPr>
              <w:t>[Bq/m</w:t>
            </w:r>
            <w:r w:rsidRPr="004609E2">
              <w:rPr>
                <w:rFonts w:asciiTheme="minorHAnsi" w:hAnsiTheme="minorHAnsi"/>
                <w:sz w:val="16"/>
                <w:szCs w:val="16"/>
                <w:vertAlign w:val="superscript"/>
              </w:rPr>
              <w:t>3</w:t>
            </w:r>
            <w:r w:rsidRPr="004609E2">
              <w:rPr>
                <w:rFonts w:asciiTheme="minorHAnsi" w:hAnsiTheme="minorHAnsi"/>
                <w:sz w:val="16"/>
                <w:szCs w:val="16"/>
              </w:rPr>
              <w:t>]</w:t>
            </w:r>
          </w:p>
        </w:tc>
        <w:tc>
          <w:tcPr>
            <w:tcW w:w="533" w:type="pct"/>
          </w:tcPr>
          <w:p w:rsidR="00B65A71" w:rsidRPr="004609E2" w:rsidRDefault="00B65A71" w:rsidP="00B65A71">
            <w:pPr>
              <w:spacing w:before="40" w:after="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rPr>
            </w:pPr>
            <w:r w:rsidRPr="004609E2">
              <w:rPr>
                <w:rFonts w:asciiTheme="minorHAnsi" w:hAnsiTheme="minorHAnsi"/>
                <w:sz w:val="16"/>
                <w:szCs w:val="16"/>
              </w:rPr>
              <w:t>Srednja vr.</w:t>
            </w:r>
          </w:p>
          <w:p w:rsidR="00B65A71" w:rsidRPr="004609E2" w:rsidRDefault="00B65A71" w:rsidP="00B65A71">
            <w:pPr>
              <w:spacing w:before="40" w:after="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rPr>
            </w:pPr>
            <w:r w:rsidRPr="004609E2">
              <w:rPr>
                <w:rFonts w:asciiTheme="minorHAnsi" w:hAnsiTheme="minorHAnsi"/>
                <w:sz w:val="16"/>
                <w:szCs w:val="16"/>
              </w:rPr>
              <w:t>II ciklus [Bq/m</w:t>
            </w:r>
            <w:r w:rsidRPr="004609E2">
              <w:rPr>
                <w:rFonts w:asciiTheme="minorHAnsi" w:hAnsiTheme="minorHAnsi"/>
                <w:sz w:val="16"/>
                <w:szCs w:val="16"/>
                <w:vertAlign w:val="superscript"/>
              </w:rPr>
              <w:t>3</w:t>
            </w:r>
            <w:r w:rsidRPr="004609E2">
              <w:rPr>
                <w:rFonts w:asciiTheme="minorHAnsi" w:hAnsiTheme="minorHAnsi"/>
                <w:sz w:val="16"/>
                <w:szCs w:val="16"/>
              </w:rPr>
              <w:t>]</w:t>
            </w:r>
          </w:p>
        </w:tc>
        <w:tc>
          <w:tcPr>
            <w:tcW w:w="701" w:type="pct"/>
            <w:vMerge/>
          </w:tcPr>
          <w:p w:rsidR="00B65A71" w:rsidRPr="004609E2" w:rsidRDefault="00B65A71" w:rsidP="00B65A71">
            <w:pPr>
              <w:spacing w:before="40" w:after="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rPr>
            </w:pPr>
          </w:p>
        </w:tc>
        <w:tc>
          <w:tcPr>
            <w:tcW w:w="431" w:type="pct"/>
          </w:tcPr>
          <w:p w:rsidR="00B65A71" w:rsidRPr="004609E2" w:rsidRDefault="00B65A71" w:rsidP="00B65A71">
            <w:pPr>
              <w:spacing w:before="40" w:after="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rPr>
            </w:pPr>
            <w:r w:rsidRPr="004609E2">
              <w:rPr>
                <w:rFonts w:asciiTheme="minorHAnsi" w:hAnsiTheme="minorHAnsi"/>
                <w:sz w:val="16"/>
                <w:szCs w:val="16"/>
              </w:rPr>
              <w:t>Godina</w:t>
            </w:r>
          </w:p>
        </w:tc>
        <w:tc>
          <w:tcPr>
            <w:tcW w:w="425" w:type="pct"/>
          </w:tcPr>
          <w:p w:rsidR="00B65A71" w:rsidRPr="004609E2" w:rsidRDefault="00B65A71" w:rsidP="00B65A71">
            <w:pPr>
              <w:spacing w:before="40" w:after="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rPr>
            </w:pPr>
            <w:r w:rsidRPr="004609E2">
              <w:rPr>
                <w:rFonts w:asciiTheme="minorHAnsi" w:hAnsiTheme="minorHAnsi"/>
                <w:sz w:val="16"/>
                <w:szCs w:val="16"/>
              </w:rPr>
              <w:t>Srednja vr [Bq/m</w:t>
            </w:r>
            <w:r w:rsidRPr="004609E2">
              <w:rPr>
                <w:rFonts w:asciiTheme="minorHAnsi" w:hAnsiTheme="minorHAnsi"/>
                <w:sz w:val="16"/>
                <w:szCs w:val="16"/>
                <w:vertAlign w:val="superscript"/>
              </w:rPr>
              <w:t>3</w:t>
            </w:r>
            <w:r w:rsidRPr="004609E2">
              <w:rPr>
                <w:rFonts w:asciiTheme="minorHAnsi" w:hAnsiTheme="minorHAnsi"/>
                <w:sz w:val="16"/>
                <w:szCs w:val="16"/>
              </w:rPr>
              <w:t>]</w:t>
            </w:r>
          </w:p>
        </w:tc>
      </w:tr>
      <w:tr w:rsidR="00B65A71" w:rsidRPr="004609E2" w:rsidTr="00B65A71">
        <w:trPr>
          <w:trHeight w:val="20"/>
        </w:trPr>
        <w:tc>
          <w:tcPr>
            <w:cnfStyle w:val="001000000000" w:firstRow="0" w:lastRow="0" w:firstColumn="1" w:lastColumn="0" w:oddVBand="0" w:evenVBand="0" w:oddHBand="0" w:evenHBand="0" w:firstRowFirstColumn="0" w:firstRowLastColumn="0" w:lastRowFirstColumn="0" w:lastRowLastColumn="0"/>
            <w:tcW w:w="173" w:type="pct"/>
          </w:tcPr>
          <w:p w:rsidR="00B65A71" w:rsidRPr="004609E2" w:rsidRDefault="00B65A71" w:rsidP="00B65A71">
            <w:pPr>
              <w:spacing w:before="40" w:after="40"/>
              <w:jc w:val="center"/>
              <w:rPr>
                <w:rFonts w:asciiTheme="minorHAnsi" w:hAnsiTheme="minorHAnsi"/>
                <w:sz w:val="16"/>
                <w:szCs w:val="16"/>
              </w:rPr>
            </w:pPr>
            <w:r w:rsidRPr="004609E2">
              <w:rPr>
                <w:rFonts w:asciiTheme="minorHAnsi" w:hAnsiTheme="minorHAnsi"/>
                <w:sz w:val="16"/>
                <w:szCs w:val="16"/>
              </w:rPr>
              <w:t>1.</w:t>
            </w:r>
          </w:p>
        </w:tc>
        <w:tc>
          <w:tcPr>
            <w:tcW w:w="779" w:type="pct"/>
          </w:tcPr>
          <w:p w:rsidR="00B65A71" w:rsidRPr="004609E2" w:rsidRDefault="00B65A71" w:rsidP="00B65A71">
            <w:pPr>
              <w:spacing w:before="40" w:after="40"/>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4609E2">
              <w:rPr>
                <w:rFonts w:asciiTheme="minorHAnsi" w:hAnsiTheme="minorHAnsi"/>
                <w:sz w:val="16"/>
                <w:szCs w:val="16"/>
              </w:rPr>
              <w:t>OŠ “Savo Kažić” Barutana</w:t>
            </w:r>
          </w:p>
        </w:tc>
        <w:tc>
          <w:tcPr>
            <w:tcW w:w="332" w:type="pct"/>
          </w:tcPr>
          <w:p w:rsidR="00B65A71" w:rsidRPr="004609E2" w:rsidRDefault="00B65A71" w:rsidP="00B65A71">
            <w:pPr>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4609E2">
              <w:rPr>
                <w:rFonts w:asciiTheme="minorHAnsi" w:hAnsiTheme="minorHAnsi"/>
                <w:sz w:val="16"/>
                <w:szCs w:val="16"/>
              </w:rPr>
              <w:t>603</w:t>
            </w:r>
          </w:p>
        </w:tc>
        <w:tc>
          <w:tcPr>
            <w:tcW w:w="360" w:type="pct"/>
          </w:tcPr>
          <w:p w:rsidR="00B65A71" w:rsidRPr="004609E2" w:rsidRDefault="00B65A71" w:rsidP="00B65A71">
            <w:pPr>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4609E2">
              <w:rPr>
                <w:rFonts w:asciiTheme="minorHAnsi" w:hAnsiTheme="minorHAnsi"/>
                <w:sz w:val="16"/>
                <w:szCs w:val="16"/>
              </w:rPr>
              <w:t>2100</w:t>
            </w:r>
          </w:p>
        </w:tc>
        <w:tc>
          <w:tcPr>
            <w:tcW w:w="558" w:type="pct"/>
          </w:tcPr>
          <w:p w:rsidR="00B65A71" w:rsidRPr="004609E2" w:rsidRDefault="00B65A71" w:rsidP="00B65A71">
            <w:pPr>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color w:val="FF0000"/>
                <w:sz w:val="16"/>
                <w:szCs w:val="16"/>
              </w:rPr>
            </w:pPr>
            <w:r w:rsidRPr="004609E2">
              <w:rPr>
                <w:rFonts w:asciiTheme="minorHAnsi" w:hAnsiTheme="minorHAnsi"/>
                <w:b/>
                <w:color w:val="FF0000"/>
                <w:sz w:val="16"/>
                <w:szCs w:val="16"/>
              </w:rPr>
              <w:t>1450 ± 238</w:t>
            </w:r>
          </w:p>
        </w:tc>
        <w:tc>
          <w:tcPr>
            <w:tcW w:w="376" w:type="pct"/>
          </w:tcPr>
          <w:p w:rsidR="00B65A71" w:rsidRPr="004609E2" w:rsidRDefault="00B65A71" w:rsidP="00B65A71">
            <w:pPr>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4609E2">
              <w:rPr>
                <w:rFonts w:asciiTheme="minorHAnsi" w:hAnsiTheme="minorHAnsi"/>
                <w:sz w:val="16"/>
                <w:szCs w:val="16"/>
              </w:rPr>
              <w:t>572</w:t>
            </w:r>
          </w:p>
        </w:tc>
        <w:tc>
          <w:tcPr>
            <w:tcW w:w="332" w:type="pct"/>
          </w:tcPr>
          <w:p w:rsidR="00B65A71" w:rsidRPr="004609E2" w:rsidRDefault="00B65A71" w:rsidP="00B65A71">
            <w:pPr>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4609E2">
              <w:rPr>
                <w:rFonts w:asciiTheme="minorHAnsi" w:hAnsiTheme="minorHAnsi"/>
                <w:sz w:val="16"/>
                <w:szCs w:val="16"/>
              </w:rPr>
              <w:t>2500</w:t>
            </w:r>
          </w:p>
        </w:tc>
        <w:tc>
          <w:tcPr>
            <w:tcW w:w="533" w:type="pct"/>
          </w:tcPr>
          <w:p w:rsidR="00B65A71" w:rsidRPr="004609E2" w:rsidRDefault="00B65A71" w:rsidP="00B65A71">
            <w:pPr>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color w:val="FF0000"/>
                <w:sz w:val="16"/>
                <w:szCs w:val="16"/>
              </w:rPr>
            </w:pPr>
            <w:r w:rsidRPr="004609E2">
              <w:rPr>
                <w:rFonts w:asciiTheme="minorHAnsi" w:hAnsiTheme="minorHAnsi"/>
                <w:b/>
                <w:color w:val="FF0000"/>
                <w:sz w:val="16"/>
                <w:szCs w:val="16"/>
              </w:rPr>
              <w:t>1600 ± 434</w:t>
            </w:r>
          </w:p>
        </w:tc>
        <w:tc>
          <w:tcPr>
            <w:tcW w:w="701" w:type="pct"/>
          </w:tcPr>
          <w:p w:rsidR="00B65A71" w:rsidRPr="004609E2" w:rsidRDefault="00B65A71" w:rsidP="00B65A71">
            <w:pPr>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color w:val="FF0000"/>
                <w:sz w:val="16"/>
                <w:szCs w:val="16"/>
              </w:rPr>
            </w:pPr>
            <w:r w:rsidRPr="004609E2">
              <w:rPr>
                <w:rFonts w:asciiTheme="minorHAnsi" w:hAnsiTheme="minorHAnsi"/>
                <w:b/>
                <w:color w:val="FF0000"/>
                <w:sz w:val="16"/>
                <w:szCs w:val="16"/>
              </w:rPr>
              <w:t>1525</w:t>
            </w:r>
          </w:p>
        </w:tc>
        <w:tc>
          <w:tcPr>
            <w:tcW w:w="431" w:type="pct"/>
          </w:tcPr>
          <w:p w:rsidR="00B65A71" w:rsidRPr="004609E2" w:rsidRDefault="00B65A71" w:rsidP="00B65A71">
            <w:pPr>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4609E2">
              <w:rPr>
                <w:rFonts w:asciiTheme="minorHAnsi" w:hAnsiTheme="minorHAnsi"/>
                <w:sz w:val="16"/>
                <w:szCs w:val="16"/>
              </w:rPr>
              <w:t>2012</w:t>
            </w:r>
          </w:p>
        </w:tc>
        <w:tc>
          <w:tcPr>
            <w:tcW w:w="425" w:type="pct"/>
          </w:tcPr>
          <w:p w:rsidR="00B65A71" w:rsidRPr="004609E2" w:rsidRDefault="00B65A71" w:rsidP="00B65A71">
            <w:pPr>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color w:val="FF0000"/>
                <w:sz w:val="16"/>
                <w:szCs w:val="16"/>
              </w:rPr>
            </w:pPr>
            <w:r w:rsidRPr="004609E2">
              <w:rPr>
                <w:rFonts w:asciiTheme="minorHAnsi" w:hAnsiTheme="minorHAnsi"/>
                <w:b/>
                <w:color w:val="FF0000"/>
                <w:sz w:val="16"/>
                <w:szCs w:val="16"/>
              </w:rPr>
              <w:t>1177</w:t>
            </w:r>
          </w:p>
        </w:tc>
      </w:tr>
      <w:tr w:rsidR="00B65A71" w:rsidRPr="004609E2" w:rsidTr="00B65A7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3" w:type="pct"/>
          </w:tcPr>
          <w:p w:rsidR="00B65A71" w:rsidRPr="004609E2" w:rsidRDefault="00B65A71" w:rsidP="00B65A71">
            <w:pPr>
              <w:spacing w:before="40" w:after="40"/>
              <w:jc w:val="center"/>
              <w:rPr>
                <w:rFonts w:asciiTheme="minorHAnsi" w:hAnsiTheme="minorHAnsi"/>
                <w:sz w:val="16"/>
                <w:szCs w:val="16"/>
              </w:rPr>
            </w:pPr>
            <w:r w:rsidRPr="004609E2">
              <w:rPr>
                <w:rFonts w:asciiTheme="minorHAnsi" w:hAnsiTheme="minorHAnsi"/>
                <w:sz w:val="16"/>
                <w:szCs w:val="16"/>
              </w:rPr>
              <w:t>2.</w:t>
            </w:r>
          </w:p>
        </w:tc>
        <w:tc>
          <w:tcPr>
            <w:tcW w:w="779" w:type="pct"/>
          </w:tcPr>
          <w:p w:rsidR="00B65A71" w:rsidRPr="004609E2" w:rsidRDefault="00B65A71" w:rsidP="00B65A71">
            <w:pPr>
              <w:spacing w:before="40" w:after="4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rPr>
            </w:pPr>
            <w:r w:rsidRPr="004609E2">
              <w:rPr>
                <w:rFonts w:asciiTheme="minorHAnsi" w:hAnsiTheme="minorHAnsi"/>
                <w:sz w:val="16"/>
                <w:szCs w:val="16"/>
              </w:rPr>
              <w:t>OŠ “18. Novembar” Bioče</w:t>
            </w:r>
          </w:p>
        </w:tc>
        <w:tc>
          <w:tcPr>
            <w:tcW w:w="332" w:type="pct"/>
          </w:tcPr>
          <w:p w:rsidR="00B65A71" w:rsidRPr="004609E2" w:rsidRDefault="00B65A71" w:rsidP="00B65A71">
            <w:pPr>
              <w:spacing w:before="40" w:after="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rPr>
            </w:pPr>
            <w:r w:rsidRPr="004609E2">
              <w:rPr>
                <w:rFonts w:asciiTheme="minorHAnsi" w:hAnsiTheme="minorHAnsi"/>
                <w:sz w:val="16"/>
                <w:szCs w:val="16"/>
              </w:rPr>
              <w:t>42</w:t>
            </w:r>
          </w:p>
        </w:tc>
        <w:tc>
          <w:tcPr>
            <w:tcW w:w="360" w:type="pct"/>
          </w:tcPr>
          <w:p w:rsidR="00B65A71" w:rsidRPr="004609E2" w:rsidRDefault="00B65A71" w:rsidP="00B65A71">
            <w:pPr>
              <w:spacing w:before="40" w:after="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rPr>
            </w:pPr>
            <w:r w:rsidRPr="004609E2">
              <w:rPr>
                <w:rFonts w:asciiTheme="minorHAnsi" w:hAnsiTheme="minorHAnsi"/>
                <w:sz w:val="16"/>
                <w:szCs w:val="16"/>
              </w:rPr>
              <w:t>832</w:t>
            </w:r>
          </w:p>
        </w:tc>
        <w:tc>
          <w:tcPr>
            <w:tcW w:w="558" w:type="pct"/>
          </w:tcPr>
          <w:p w:rsidR="00B65A71" w:rsidRPr="004609E2" w:rsidRDefault="00B65A71" w:rsidP="00B65A71">
            <w:pPr>
              <w:spacing w:before="40" w:after="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color w:val="FF0000"/>
                <w:sz w:val="16"/>
                <w:szCs w:val="16"/>
              </w:rPr>
            </w:pPr>
            <w:r w:rsidRPr="004609E2">
              <w:rPr>
                <w:rFonts w:asciiTheme="minorHAnsi" w:hAnsiTheme="minorHAnsi"/>
                <w:b/>
                <w:color w:val="FF0000"/>
                <w:sz w:val="16"/>
                <w:szCs w:val="16"/>
              </w:rPr>
              <w:t>412 ± 80</w:t>
            </w:r>
          </w:p>
        </w:tc>
        <w:tc>
          <w:tcPr>
            <w:tcW w:w="376" w:type="pct"/>
          </w:tcPr>
          <w:p w:rsidR="00B65A71" w:rsidRPr="004609E2" w:rsidRDefault="00B65A71" w:rsidP="00B65A71">
            <w:pPr>
              <w:spacing w:before="40" w:after="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rPr>
            </w:pPr>
            <w:r w:rsidRPr="004609E2">
              <w:rPr>
                <w:rFonts w:asciiTheme="minorHAnsi" w:hAnsiTheme="minorHAnsi"/>
                <w:sz w:val="16"/>
                <w:szCs w:val="16"/>
              </w:rPr>
              <w:t>28</w:t>
            </w:r>
          </w:p>
        </w:tc>
        <w:tc>
          <w:tcPr>
            <w:tcW w:w="332" w:type="pct"/>
          </w:tcPr>
          <w:p w:rsidR="00B65A71" w:rsidRPr="004609E2" w:rsidRDefault="00B65A71" w:rsidP="00B65A71">
            <w:pPr>
              <w:spacing w:before="40" w:after="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rPr>
            </w:pPr>
            <w:r w:rsidRPr="004609E2">
              <w:rPr>
                <w:rFonts w:asciiTheme="minorHAnsi" w:hAnsiTheme="minorHAnsi"/>
                <w:sz w:val="16"/>
                <w:szCs w:val="16"/>
              </w:rPr>
              <w:t>936</w:t>
            </w:r>
          </w:p>
        </w:tc>
        <w:tc>
          <w:tcPr>
            <w:tcW w:w="533" w:type="pct"/>
          </w:tcPr>
          <w:p w:rsidR="00B65A71" w:rsidRPr="004609E2" w:rsidRDefault="00B65A71" w:rsidP="00B65A71">
            <w:pPr>
              <w:spacing w:before="40" w:after="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color w:val="FF0000"/>
                <w:sz w:val="16"/>
                <w:szCs w:val="16"/>
              </w:rPr>
            </w:pPr>
            <w:r w:rsidRPr="004609E2">
              <w:rPr>
                <w:rFonts w:asciiTheme="minorHAnsi" w:hAnsiTheme="minorHAnsi"/>
                <w:b/>
                <w:color w:val="FF0000"/>
                <w:sz w:val="16"/>
                <w:szCs w:val="16"/>
              </w:rPr>
              <w:t>515 ± 91</w:t>
            </w:r>
          </w:p>
        </w:tc>
        <w:tc>
          <w:tcPr>
            <w:tcW w:w="701" w:type="pct"/>
          </w:tcPr>
          <w:p w:rsidR="00B65A71" w:rsidRPr="004609E2" w:rsidRDefault="00B65A71" w:rsidP="00B65A71">
            <w:pPr>
              <w:spacing w:before="40" w:after="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color w:val="FF0000"/>
                <w:sz w:val="16"/>
                <w:szCs w:val="16"/>
              </w:rPr>
            </w:pPr>
            <w:r w:rsidRPr="004609E2">
              <w:rPr>
                <w:rFonts w:asciiTheme="minorHAnsi" w:hAnsiTheme="minorHAnsi"/>
                <w:b/>
                <w:color w:val="FF0000"/>
                <w:sz w:val="16"/>
                <w:szCs w:val="16"/>
              </w:rPr>
              <w:t>463.5</w:t>
            </w:r>
          </w:p>
        </w:tc>
        <w:tc>
          <w:tcPr>
            <w:tcW w:w="431" w:type="pct"/>
          </w:tcPr>
          <w:p w:rsidR="00B65A71" w:rsidRPr="004609E2" w:rsidRDefault="00B65A71" w:rsidP="00B65A71">
            <w:pPr>
              <w:spacing w:before="40" w:after="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rPr>
            </w:pPr>
            <w:r w:rsidRPr="004609E2">
              <w:rPr>
                <w:rFonts w:asciiTheme="minorHAnsi" w:hAnsiTheme="minorHAnsi"/>
                <w:sz w:val="16"/>
                <w:szCs w:val="16"/>
              </w:rPr>
              <w:t>2012</w:t>
            </w:r>
          </w:p>
        </w:tc>
        <w:tc>
          <w:tcPr>
            <w:tcW w:w="425" w:type="pct"/>
          </w:tcPr>
          <w:p w:rsidR="00B65A71" w:rsidRPr="004609E2" w:rsidRDefault="00B65A71" w:rsidP="00B65A71">
            <w:pPr>
              <w:spacing w:before="40" w:after="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color w:val="FF0000"/>
                <w:sz w:val="16"/>
                <w:szCs w:val="16"/>
              </w:rPr>
            </w:pPr>
            <w:r w:rsidRPr="004609E2">
              <w:rPr>
                <w:rFonts w:asciiTheme="minorHAnsi" w:hAnsiTheme="minorHAnsi"/>
                <w:b/>
                <w:color w:val="FF0000"/>
                <w:sz w:val="16"/>
                <w:szCs w:val="16"/>
              </w:rPr>
              <w:t>613</w:t>
            </w:r>
          </w:p>
        </w:tc>
      </w:tr>
      <w:tr w:rsidR="00B65A71" w:rsidRPr="004609E2" w:rsidTr="00B65A71">
        <w:trPr>
          <w:trHeight w:val="20"/>
        </w:trPr>
        <w:tc>
          <w:tcPr>
            <w:cnfStyle w:val="001000000000" w:firstRow="0" w:lastRow="0" w:firstColumn="1" w:lastColumn="0" w:oddVBand="0" w:evenVBand="0" w:oddHBand="0" w:evenHBand="0" w:firstRowFirstColumn="0" w:firstRowLastColumn="0" w:lastRowFirstColumn="0" w:lastRowLastColumn="0"/>
            <w:tcW w:w="173" w:type="pct"/>
          </w:tcPr>
          <w:p w:rsidR="00B65A71" w:rsidRPr="004609E2" w:rsidRDefault="00B65A71" w:rsidP="00B65A71">
            <w:pPr>
              <w:spacing w:before="40" w:after="40"/>
              <w:jc w:val="center"/>
              <w:rPr>
                <w:rFonts w:asciiTheme="minorHAnsi" w:hAnsiTheme="minorHAnsi"/>
                <w:sz w:val="16"/>
                <w:szCs w:val="16"/>
              </w:rPr>
            </w:pPr>
            <w:r w:rsidRPr="004609E2">
              <w:rPr>
                <w:rFonts w:asciiTheme="minorHAnsi" w:hAnsiTheme="minorHAnsi"/>
                <w:sz w:val="16"/>
                <w:szCs w:val="16"/>
              </w:rPr>
              <w:t>3.</w:t>
            </w:r>
          </w:p>
        </w:tc>
        <w:tc>
          <w:tcPr>
            <w:tcW w:w="779" w:type="pct"/>
          </w:tcPr>
          <w:p w:rsidR="00B65A71" w:rsidRPr="004609E2" w:rsidRDefault="00B65A71" w:rsidP="00B65A71">
            <w:pPr>
              <w:spacing w:before="40" w:after="40"/>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4609E2">
              <w:rPr>
                <w:rFonts w:asciiTheme="minorHAnsi" w:hAnsiTheme="minorHAnsi"/>
                <w:sz w:val="16"/>
                <w:szCs w:val="16"/>
              </w:rPr>
              <w:t>OŠ “ Mahmut Lekić” Milješ</w:t>
            </w:r>
          </w:p>
        </w:tc>
        <w:tc>
          <w:tcPr>
            <w:tcW w:w="332" w:type="pct"/>
          </w:tcPr>
          <w:p w:rsidR="00B65A71" w:rsidRPr="004609E2" w:rsidRDefault="00B65A71" w:rsidP="00B65A71">
            <w:pPr>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4609E2">
              <w:rPr>
                <w:rFonts w:asciiTheme="minorHAnsi" w:hAnsiTheme="minorHAnsi"/>
                <w:sz w:val="16"/>
                <w:szCs w:val="16"/>
              </w:rPr>
              <w:t>20</w:t>
            </w:r>
          </w:p>
        </w:tc>
        <w:tc>
          <w:tcPr>
            <w:tcW w:w="360" w:type="pct"/>
          </w:tcPr>
          <w:p w:rsidR="00B65A71" w:rsidRPr="004609E2" w:rsidRDefault="00B65A71" w:rsidP="00B65A71">
            <w:pPr>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4609E2">
              <w:rPr>
                <w:rFonts w:asciiTheme="minorHAnsi" w:hAnsiTheme="minorHAnsi"/>
                <w:sz w:val="16"/>
                <w:szCs w:val="16"/>
              </w:rPr>
              <w:t>1448</w:t>
            </w:r>
          </w:p>
        </w:tc>
        <w:tc>
          <w:tcPr>
            <w:tcW w:w="558" w:type="pct"/>
          </w:tcPr>
          <w:p w:rsidR="00B65A71" w:rsidRPr="004609E2" w:rsidRDefault="00B65A71" w:rsidP="00B65A71">
            <w:pPr>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color w:val="FF0000"/>
                <w:sz w:val="16"/>
                <w:szCs w:val="16"/>
              </w:rPr>
            </w:pPr>
            <w:r w:rsidRPr="004609E2">
              <w:rPr>
                <w:rFonts w:asciiTheme="minorHAnsi" w:hAnsiTheme="minorHAnsi"/>
                <w:b/>
                <w:color w:val="FF0000"/>
                <w:sz w:val="16"/>
                <w:szCs w:val="16"/>
              </w:rPr>
              <w:t>608 ± 99</w:t>
            </w:r>
          </w:p>
        </w:tc>
        <w:tc>
          <w:tcPr>
            <w:tcW w:w="376" w:type="pct"/>
          </w:tcPr>
          <w:p w:rsidR="00B65A71" w:rsidRPr="004609E2" w:rsidRDefault="00B65A71" w:rsidP="00B65A71">
            <w:pPr>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4609E2">
              <w:rPr>
                <w:rFonts w:asciiTheme="minorHAnsi" w:hAnsiTheme="minorHAnsi"/>
                <w:sz w:val="16"/>
                <w:szCs w:val="16"/>
              </w:rPr>
              <w:t>132</w:t>
            </w:r>
          </w:p>
        </w:tc>
        <w:tc>
          <w:tcPr>
            <w:tcW w:w="332" w:type="pct"/>
          </w:tcPr>
          <w:p w:rsidR="00B65A71" w:rsidRPr="004609E2" w:rsidRDefault="00B65A71" w:rsidP="00B65A71">
            <w:pPr>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4609E2">
              <w:rPr>
                <w:rFonts w:asciiTheme="minorHAnsi" w:hAnsiTheme="minorHAnsi"/>
                <w:sz w:val="16"/>
                <w:szCs w:val="16"/>
              </w:rPr>
              <w:t>1376</w:t>
            </w:r>
          </w:p>
        </w:tc>
        <w:tc>
          <w:tcPr>
            <w:tcW w:w="533" w:type="pct"/>
          </w:tcPr>
          <w:p w:rsidR="00B65A71" w:rsidRPr="004609E2" w:rsidRDefault="00B65A71" w:rsidP="00B65A71">
            <w:pPr>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color w:val="FF0000"/>
                <w:sz w:val="16"/>
                <w:szCs w:val="16"/>
              </w:rPr>
            </w:pPr>
            <w:r w:rsidRPr="004609E2">
              <w:rPr>
                <w:rFonts w:asciiTheme="minorHAnsi" w:hAnsiTheme="minorHAnsi"/>
                <w:b/>
                <w:color w:val="FF0000"/>
                <w:sz w:val="16"/>
                <w:szCs w:val="16"/>
              </w:rPr>
              <w:t>870 ± 129</w:t>
            </w:r>
          </w:p>
        </w:tc>
        <w:tc>
          <w:tcPr>
            <w:tcW w:w="701" w:type="pct"/>
          </w:tcPr>
          <w:p w:rsidR="00B65A71" w:rsidRPr="004609E2" w:rsidRDefault="00B65A71" w:rsidP="00B65A71">
            <w:pPr>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color w:val="FF0000"/>
                <w:sz w:val="16"/>
                <w:szCs w:val="16"/>
              </w:rPr>
            </w:pPr>
            <w:r w:rsidRPr="004609E2">
              <w:rPr>
                <w:rFonts w:asciiTheme="minorHAnsi" w:hAnsiTheme="minorHAnsi"/>
                <w:b/>
                <w:color w:val="FF0000"/>
                <w:sz w:val="16"/>
                <w:szCs w:val="16"/>
              </w:rPr>
              <w:t>739</w:t>
            </w:r>
          </w:p>
        </w:tc>
        <w:tc>
          <w:tcPr>
            <w:tcW w:w="431" w:type="pct"/>
          </w:tcPr>
          <w:p w:rsidR="00B65A71" w:rsidRPr="004609E2" w:rsidRDefault="00B65A71" w:rsidP="00B65A71">
            <w:pPr>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4609E2">
              <w:rPr>
                <w:rFonts w:asciiTheme="minorHAnsi" w:hAnsiTheme="minorHAnsi"/>
                <w:sz w:val="16"/>
                <w:szCs w:val="16"/>
              </w:rPr>
              <w:t>2012</w:t>
            </w:r>
          </w:p>
        </w:tc>
        <w:tc>
          <w:tcPr>
            <w:tcW w:w="425" w:type="pct"/>
          </w:tcPr>
          <w:p w:rsidR="00B65A71" w:rsidRPr="004609E2" w:rsidRDefault="00B65A71" w:rsidP="00B65A71">
            <w:pPr>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color w:val="FF0000"/>
                <w:sz w:val="16"/>
                <w:szCs w:val="16"/>
              </w:rPr>
            </w:pPr>
            <w:r w:rsidRPr="004609E2">
              <w:rPr>
                <w:rFonts w:asciiTheme="minorHAnsi" w:hAnsiTheme="minorHAnsi"/>
                <w:b/>
                <w:color w:val="FF0000"/>
                <w:sz w:val="16"/>
                <w:szCs w:val="16"/>
              </w:rPr>
              <w:t>483</w:t>
            </w:r>
          </w:p>
        </w:tc>
      </w:tr>
      <w:tr w:rsidR="00B65A71" w:rsidRPr="004609E2" w:rsidTr="00B65A7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3" w:type="pct"/>
          </w:tcPr>
          <w:p w:rsidR="00B65A71" w:rsidRPr="004609E2" w:rsidRDefault="00B65A71" w:rsidP="00B65A71">
            <w:pPr>
              <w:spacing w:before="40" w:after="40"/>
              <w:jc w:val="center"/>
              <w:rPr>
                <w:rFonts w:asciiTheme="minorHAnsi" w:hAnsiTheme="minorHAnsi"/>
                <w:sz w:val="16"/>
                <w:szCs w:val="16"/>
              </w:rPr>
            </w:pPr>
            <w:r w:rsidRPr="004609E2">
              <w:rPr>
                <w:rFonts w:asciiTheme="minorHAnsi" w:hAnsiTheme="minorHAnsi"/>
                <w:sz w:val="16"/>
                <w:szCs w:val="16"/>
              </w:rPr>
              <w:t>4.</w:t>
            </w:r>
          </w:p>
        </w:tc>
        <w:tc>
          <w:tcPr>
            <w:tcW w:w="779" w:type="pct"/>
          </w:tcPr>
          <w:p w:rsidR="00B65A71" w:rsidRPr="004609E2" w:rsidRDefault="00B65A71" w:rsidP="00B65A71">
            <w:pPr>
              <w:spacing w:before="40" w:after="40"/>
              <w:jc w:val="left"/>
              <w:cnfStyle w:val="000000100000" w:firstRow="0" w:lastRow="0" w:firstColumn="0" w:lastColumn="0" w:oddVBand="0" w:evenVBand="0" w:oddHBand="1" w:evenHBand="0" w:firstRowFirstColumn="0" w:firstRowLastColumn="0" w:lastRowFirstColumn="0" w:lastRowLastColumn="0"/>
              <w:rPr>
                <w:rFonts w:asciiTheme="minorHAnsi" w:hAnsiTheme="minorHAnsi"/>
                <w:bCs/>
                <w:sz w:val="16"/>
                <w:szCs w:val="16"/>
              </w:rPr>
            </w:pPr>
            <w:r w:rsidRPr="004609E2">
              <w:rPr>
                <w:rFonts w:asciiTheme="minorHAnsi" w:hAnsiTheme="minorHAnsi"/>
                <w:bCs/>
                <w:sz w:val="16"/>
                <w:szCs w:val="16"/>
              </w:rPr>
              <w:t>OŠ “Milan Vukotić” Srpska</w:t>
            </w:r>
          </w:p>
        </w:tc>
        <w:tc>
          <w:tcPr>
            <w:tcW w:w="332" w:type="pct"/>
          </w:tcPr>
          <w:p w:rsidR="00B65A71" w:rsidRPr="004609E2" w:rsidRDefault="00B65A71" w:rsidP="00B65A71">
            <w:pPr>
              <w:spacing w:before="40" w:after="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Cs/>
                <w:sz w:val="16"/>
                <w:szCs w:val="16"/>
              </w:rPr>
            </w:pPr>
            <w:r w:rsidRPr="004609E2">
              <w:rPr>
                <w:rFonts w:asciiTheme="minorHAnsi" w:hAnsiTheme="minorHAnsi"/>
                <w:bCs/>
                <w:sz w:val="16"/>
                <w:szCs w:val="16"/>
              </w:rPr>
              <w:t>8</w:t>
            </w:r>
          </w:p>
        </w:tc>
        <w:tc>
          <w:tcPr>
            <w:tcW w:w="360" w:type="pct"/>
          </w:tcPr>
          <w:p w:rsidR="00B65A71" w:rsidRPr="004609E2" w:rsidRDefault="00B65A71" w:rsidP="00B65A71">
            <w:pPr>
              <w:spacing w:before="40" w:after="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Cs/>
                <w:sz w:val="16"/>
                <w:szCs w:val="16"/>
              </w:rPr>
            </w:pPr>
            <w:r w:rsidRPr="004609E2">
              <w:rPr>
                <w:rFonts w:asciiTheme="minorHAnsi" w:hAnsiTheme="minorHAnsi"/>
                <w:bCs/>
                <w:sz w:val="16"/>
                <w:szCs w:val="16"/>
              </w:rPr>
              <w:t>330</w:t>
            </w:r>
          </w:p>
        </w:tc>
        <w:tc>
          <w:tcPr>
            <w:tcW w:w="558" w:type="pct"/>
          </w:tcPr>
          <w:p w:rsidR="00B65A71" w:rsidRPr="004609E2" w:rsidRDefault="00B65A71" w:rsidP="00B65A71">
            <w:pPr>
              <w:spacing w:before="40" w:after="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Cs/>
                <w:sz w:val="16"/>
                <w:szCs w:val="16"/>
              </w:rPr>
            </w:pPr>
            <w:r w:rsidRPr="004609E2">
              <w:rPr>
                <w:rFonts w:asciiTheme="minorHAnsi" w:hAnsiTheme="minorHAnsi"/>
                <w:bCs/>
                <w:sz w:val="16"/>
                <w:szCs w:val="16"/>
              </w:rPr>
              <w:t>157 ± 45</w:t>
            </w:r>
          </w:p>
        </w:tc>
        <w:tc>
          <w:tcPr>
            <w:tcW w:w="376" w:type="pct"/>
          </w:tcPr>
          <w:p w:rsidR="00B65A71" w:rsidRPr="004609E2" w:rsidRDefault="00B65A71" w:rsidP="00B65A71">
            <w:pPr>
              <w:spacing w:before="40" w:after="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rPr>
            </w:pPr>
            <w:r w:rsidRPr="004609E2">
              <w:rPr>
                <w:rFonts w:asciiTheme="minorHAnsi" w:hAnsiTheme="minorHAnsi"/>
                <w:sz w:val="16"/>
                <w:szCs w:val="16"/>
              </w:rPr>
              <w:t>342</w:t>
            </w:r>
          </w:p>
        </w:tc>
        <w:tc>
          <w:tcPr>
            <w:tcW w:w="332" w:type="pct"/>
          </w:tcPr>
          <w:p w:rsidR="00B65A71" w:rsidRPr="004609E2" w:rsidRDefault="00B65A71" w:rsidP="00B65A71">
            <w:pPr>
              <w:spacing w:before="40" w:after="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rPr>
            </w:pPr>
            <w:r w:rsidRPr="004609E2">
              <w:rPr>
                <w:rFonts w:asciiTheme="minorHAnsi" w:hAnsiTheme="minorHAnsi"/>
                <w:sz w:val="16"/>
                <w:szCs w:val="16"/>
              </w:rPr>
              <w:t>1020</w:t>
            </w:r>
          </w:p>
        </w:tc>
        <w:tc>
          <w:tcPr>
            <w:tcW w:w="533" w:type="pct"/>
          </w:tcPr>
          <w:p w:rsidR="00B65A71" w:rsidRPr="004609E2" w:rsidRDefault="00B65A71" w:rsidP="00B65A71">
            <w:pPr>
              <w:spacing w:before="40" w:after="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color w:val="FF0000"/>
                <w:sz w:val="16"/>
                <w:szCs w:val="16"/>
              </w:rPr>
            </w:pPr>
            <w:r w:rsidRPr="004609E2">
              <w:rPr>
                <w:rFonts w:asciiTheme="minorHAnsi" w:hAnsiTheme="minorHAnsi"/>
                <w:b/>
                <w:color w:val="FF0000"/>
                <w:sz w:val="16"/>
                <w:szCs w:val="16"/>
              </w:rPr>
              <w:t>673 ± 111</w:t>
            </w:r>
          </w:p>
        </w:tc>
        <w:tc>
          <w:tcPr>
            <w:tcW w:w="701" w:type="pct"/>
          </w:tcPr>
          <w:p w:rsidR="00B65A71" w:rsidRPr="004609E2" w:rsidRDefault="00B65A71" w:rsidP="00B65A71">
            <w:pPr>
              <w:spacing w:before="40" w:after="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bCs/>
                <w:color w:val="FF0000"/>
                <w:sz w:val="16"/>
                <w:szCs w:val="16"/>
              </w:rPr>
            </w:pPr>
            <w:r>
              <w:rPr>
                <w:rFonts w:asciiTheme="minorHAnsi" w:hAnsiTheme="minorHAnsi"/>
                <w:b/>
                <w:bCs/>
                <w:color w:val="FF0000"/>
                <w:sz w:val="16"/>
                <w:szCs w:val="16"/>
              </w:rPr>
              <w:t>415</w:t>
            </w:r>
          </w:p>
        </w:tc>
        <w:tc>
          <w:tcPr>
            <w:tcW w:w="431" w:type="pct"/>
          </w:tcPr>
          <w:p w:rsidR="00B65A71" w:rsidRPr="004609E2" w:rsidRDefault="00B65A71" w:rsidP="00B65A71">
            <w:pPr>
              <w:spacing w:before="40" w:after="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Cs/>
                <w:sz w:val="16"/>
                <w:szCs w:val="16"/>
              </w:rPr>
            </w:pPr>
            <w:r w:rsidRPr="004609E2">
              <w:rPr>
                <w:rFonts w:asciiTheme="minorHAnsi" w:hAnsiTheme="minorHAnsi"/>
                <w:bCs/>
                <w:sz w:val="16"/>
                <w:szCs w:val="16"/>
              </w:rPr>
              <w:t>2009</w:t>
            </w:r>
          </w:p>
        </w:tc>
        <w:tc>
          <w:tcPr>
            <w:tcW w:w="425" w:type="pct"/>
          </w:tcPr>
          <w:p w:rsidR="00B65A71" w:rsidRPr="004609E2" w:rsidRDefault="00B65A71" w:rsidP="00B65A71">
            <w:pPr>
              <w:spacing w:before="40" w:after="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bCs/>
                <w:color w:val="FF0000"/>
                <w:sz w:val="16"/>
                <w:szCs w:val="16"/>
              </w:rPr>
            </w:pPr>
            <w:r w:rsidRPr="004609E2">
              <w:rPr>
                <w:rFonts w:asciiTheme="minorHAnsi" w:hAnsiTheme="minorHAnsi"/>
                <w:b/>
                <w:bCs/>
                <w:color w:val="FF0000"/>
                <w:sz w:val="16"/>
                <w:szCs w:val="16"/>
              </w:rPr>
              <w:t>494</w:t>
            </w:r>
          </w:p>
        </w:tc>
      </w:tr>
      <w:tr w:rsidR="00B65A71" w:rsidRPr="004609E2" w:rsidTr="00B65A71">
        <w:trPr>
          <w:trHeight w:val="20"/>
        </w:trPr>
        <w:tc>
          <w:tcPr>
            <w:cnfStyle w:val="001000000000" w:firstRow="0" w:lastRow="0" w:firstColumn="1" w:lastColumn="0" w:oddVBand="0" w:evenVBand="0" w:oddHBand="0" w:evenHBand="0" w:firstRowFirstColumn="0" w:firstRowLastColumn="0" w:lastRowFirstColumn="0" w:lastRowLastColumn="0"/>
            <w:tcW w:w="173" w:type="pct"/>
          </w:tcPr>
          <w:p w:rsidR="00B65A71" w:rsidRPr="004609E2" w:rsidRDefault="00B65A71" w:rsidP="00B65A71">
            <w:pPr>
              <w:spacing w:before="40" w:after="40"/>
              <w:jc w:val="center"/>
              <w:rPr>
                <w:rFonts w:asciiTheme="minorHAnsi" w:hAnsiTheme="minorHAnsi"/>
                <w:sz w:val="16"/>
                <w:szCs w:val="16"/>
              </w:rPr>
            </w:pPr>
            <w:r w:rsidRPr="004609E2">
              <w:rPr>
                <w:rFonts w:asciiTheme="minorHAnsi" w:hAnsiTheme="minorHAnsi"/>
                <w:sz w:val="16"/>
                <w:szCs w:val="16"/>
              </w:rPr>
              <w:t>5.</w:t>
            </w:r>
          </w:p>
        </w:tc>
        <w:tc>
          <w:tcPr>
            <w:tcW w:w="779" w:type="pct"/>
          </w:tcPr>
          <w:p w:rsidR="00B65A71" w:rsidRPr="004609E2" w:rsidRDefault="00B65A71" w:rsidP="00B65A71">
            <w:pPr>
              <w:spacing w:before="40" w:after="40"/>
              <w:jc w:val="left"/>
              <w:cnfStyle w:val="000000000000" w:firstRow="0" w:lastRow="0" w:firstColumn="0" w:lastColumn="0" w:oddVBand="0" w:evenVBand="0" w:oddHBand="0" w:evenHBand="0" w:firstRowFirstColumn="0" w:firstRowLastColumn="0" w:lastRowFirstColumn="0" w:lastRowLastColumn="0"/>
              <w:rPr>
                <w:rFonts w:asciiTheme="minorHAnsi" w:hAnsiTheme="minorHAnsi"/>
                <w:bCs/>
                <w:sz w:val="16"/>
                <w:szCs w:val="16"/>
              </w:rPr>
            </w:pPr>
            <w:r w:rsidRPr="004609E2">
              <w:rPr>
                <w:rFonts w:asciiTheme="minorHAnsi" w:hAnsiTheme="minorHAnsi"/>
                <w:bCs/>
                <w:sz w:val="16"/>
                <w:szCs w:val="16"/>
              </w:rPr>
              <w:t>Vrtić “Palčica”       Gornja Gorica</w:t>
            </w:r>
          </w:p>
        </w:tc>
        <w:tc>
          <w:tcPr>
            <w:tcW w:w="332" w:type="pct"/>
          </w:tcPr>
          <w:p w:rsidR="00B65A71" w:rsidRPr="004609E2" w:rsidRDefault="00B65A71" w:rsidP="00B65A71">
            <w:pPr>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Cs/>
                <w:sz w:val="16"/>
                <w:szCs w:val="16"/>
              </w:rPr>
            </w:pPr>
            <w:r w:rsidRPr="004609E2">
              <w:rPr>
                <w:rFonts w:asciiTheme="minorHAnsi" w:hAnsiTheme="minorHAnsi"/>
                <w:bCs/>
                <w:sz w:val="16"/>
                <w:szCs w:val="16"/>
              </w:rPr>
              <w:t>0</w:t>
            </w:r>
          </w:p>
        </w:tc>
        <w:tc>
          <w:tcPr>
            <w:tcW w:w="360" w:type="pct"/>
          </w:tcPr>
          <w:p w:rsidR="00B65A71" w:rsidRPr="004609E2" w:rsidRDefault="00B65A71" w:rsidP="00B65A71">
            <w:pPr>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Cs/>
                <w:sz w:val="16"/>
                <w:szCs w:val="16"/>
              </w:rPr>
            </w:pPr>
            <w:r w:rsidRPr="004609E2">
              <w:rPr>
                <w:rFonts w:asciiTheme="minorHAnsi" w:hAnsiTheme="minorHAnsi"/>
                <w:bCs/>
                <w:sz w:val="16"/>
                <w:szCs w:val="16"/>
              </w:rPr>
              <w:t xml:space="preserve">584 </w:t>
            </w:r>
          </w:p>
        </w:tc>
        <w:tc>
          <w:tcPr>
            <w:tcW w:w="558" w:type="pct"/>
          </w:tcPr>
          <w:p w:rsidR="00B65A71" w:rsidRPr="004609E2" w:rsidRDefault="00B65A71" w:rsidP="00B65A71">
            <w:pPr>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Cs/>
                <w:sz w:val="16"/>
                <w:szCs w:val="16"/>
              </w:rPr>
            </w:pPr>
            <w:r w:rsidRPr="004609E2">
              <w:rPr>
                <w:rFonts w:asciiTheme="minorHAnsi" w:hAnsiTheme="minorHAnsi"/>
                <w:bCs/>
                <w:sz w:val="16"/>
                <w:szCs w:val="16"/>
              </w:rPr>
              <w:t>275 ± 61</w:t>
            </w:r>
          </w:p>
        </w:tc>
        <w:tc>
          <w:tcPr>
            <w:tcW w:w="376" w:type="pct"/>
          </w:tcPr>
          <w:p w:rsidR="00B65A71" w:rsidRPr="004609E2" w:rsidRDefault="00B65A71" w:rsidP="00B65A71">
            <w:pPr>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4609E2">
              <w:rPr>
                <w:rFonts w:asciiTheme="minorHAnsi" w:hAnsiTheme="minorHAnsi"/>
                <w:sz w:val="16"/>
                <w:szCs w:val="16"/>
              </w:rPr>
              <w:t>8</w:t>
            </w:r>
          </w:p>
        </w:tc>
        <w:tc>
          <w:tcPr>
            <w:tcW w:w="332" w:type="pct"/>
          </w:tcPr>
          <w:p w:rsidR="00B65A71" w:rsidRPr="004609E2" w:rsidRDefault="00B65A71" w:rsidP="00B65A71">
            <w:pPr>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4609E2">
              <w:rPr>
                <w:rFonts w:asciiTheme="minorHAnsi" w:hAnsiTheme="minorHAnsi"/>
                <w:sz w:val="16"/>
                <w:szCs w:val="16"/>
              </w:rPr>
              <w:t>644</w:t>
            </w:r>
          </w:p>
        </w:tc>
        <w:tc>
          <w:tcPr>
            <w:tcW w:w="533" w:type="pct"/>
          </w:tcPr>
          <w:p w:rsidR="00B65A71" w:rsidRPr="004609E2" w:rsidRDefault="00B65A71" w:rsidP="00B65A71">
            <w:pPr>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4609E2">
              <w:rPr>
                <w:rFonts w:asciiTheme="minorHAnsi" w:hAnsiTheme="minorHAnsi"/>
                <w:sz w:val="16"/>
                <w:szCs w:val="16"/>
              </w:rPr>
              <w:t>360 ± 73</w:t>
            </w:r>
          </w:p>
        </w:tc>
        <w:tc>
          <w:tcPr>
            <w:tcW w:w="701" w:type="pct"/>
          </w:tcPr>
          <w:p w:rsidR="00B65A71" w:rsidRPr="004609E2" w:rsidRDefault="00B65A71" w:rsidP="00B65A71">
            <w:pPr>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sz w:val="16"/>
                <w:szCs w:val="16"/>
              </w:rPr>
            </w:pPr>
            <w:r w:rsidRPr="004609E2">
              <w:rPr>
                <w:rFonts w:asciiTheme="minorHAnsi" w:hAnsiTheme="minorHAnsi"/>
                <w:b/>
                <w:bCs/>
                <w:sz w:val="16"/>
                <w:szCs w:val="16"/>
              </w:rPr>
              <w:t>317.5</w:t>
            </w:r>
          </w:p>
        </w:tc>
        <w:tc>
          <w:tcPr>
            <w:tcW w:w="431" w:type="pct"/>
          </w:tcPr>
          <w:p w:rsidR="00B65A71" w:rsidRPr="004609E2" w:rsidRDefault="00B65A71" w:rsidP="00B65A71">
            <w:pPr>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Cs/>
                <w:sz w:val="16"/>
                <w:szCs w:val="16"/>
              </w:rPr>
            </w:pPr>
            <w:r w:rsidRPr="004609E2">
              <w:rPr>
                <w:rFonts w:asciiTheme="minorHAnsi" w:hAnsiTheme="minorHAnsi"/>
                <w:bCs/>
                <w:sz w:val="16"/>
                <w:szCs w:val="16"/>
              </w:rPr>
              <w:t>2008</w:t>
            </w:r>
          </w:p>
        </w:tc>
        <w:tc>
          <w:tcPr>
            <w:tcW w:w="425" w:type="pct"/>
          </w:tcPr>
          <w:p w:rsidR="00B65A71" w:rsidRPr="004609E2" w:rsidRDefault="00B65A71" w:rsidP="00B65A71">
            <w:pPr>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FF0000"/>
                <w:sz w:val="16"/>
                <w:szCs w:val="16"/>
              </w:rPr>
            </w:pPr>
            <w:r w:rsidRPr="004609E2">
              <w:rPr>
                <w:rFonts w:asciiTheme="minorHAnsi" w:hAnsiTheme="minorHAnsi"/>
                <w:b/>
                <w:bCs/>
                <w:color w:val="FF0000"/>
                <w:sz w:val="16"/>
                <w:szCs w:val="16"/>
              </w:rPr>
              <w:t>426</w:t>
            </w:r>
          </w:p>
        </w:tc>
      </w:tr>
      <w:tr w:rsidR="00B65A71" w:rsidRPr="004609E2" w:rsidTr="00B65A7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3" w:type="pct"/>
          </w:tcPr>
          <w:p w:rsidR="00B65A71" w:rsidRPr="004609E2" w:rsidRDefault="00B65A71" w:rsidP="00B65A71">
            <w:pPr>
              <w:spacing w:before="40" w:after="40"/>
              <w:jc w:val="center"/>
              <w:rPr>
                <w:rFonts w:asciiTheme="minorHAnsi" w:hAnsiTheme="minorHAnsi"/>
                <w:sz w:val="16"/>
                <w:szCs w:val="16"/>
              </w:rPr>
            </w:pPr>
            <w:r w:rsidRPr="004609E2">
              <w:rPr>
                <w:rFonts w:asciiTheme="minorHAnsi" w:hAnsiTheme="minorHAnsi"/>
                <w:sz w:val="16"/>
                <w:szCs w:val="16"/>
              </w:rPr>
              <w:t>6.</w:t>
            </w:r>
          </w:p>
        </w:tc>
        <w:tc>
          <w:tcPr>
            <w:tcW w:w="779" w:type="pct"/>
          </w:tcPr>
          <w:p w:rsidR="00B65A71" w:rsidRPr="004609E2" w:rsidRDefault="00B65A71" w:rsidP="00B65A71">
            <w:pPr>
              <w:spacing w:before="40" w:after="40"/>
              <w:jc w:val="left"/>
              <w:cnfStyle w:val="000000100000" w:firstRow="0" w:lastRow="0" w:firstColumn="0" w:lastColumn="0" w:oddVBand="0" w:evenVBand="0" w:oddHBand="1" w:evenHBand="0" w:firstRowFirstColumn="0" w:firstRowLastColumn="0" w:lastRowFirstColumn="0" w:lastRowLastColumn="0"/>
              <w:rPr>
                <w:rFonts w:asciiTheme="minorHAnsi" w:hAnsiTheme="minorHAnsi"/>
                <w:bCs/>
                <w:sz w:val="16"/>
                <w:szCs w:val="16"/>
              </w:rPr>
            </w:pPr>
            <w:r w:rsidRPr="004609E2">
              <w:rPr>
                <w:rFonts w:asciiTheme="minorHAnsi" w:hAnsiTheme="minorHAnsi"/>
                <w:bCs/>
                <w:sz w:val="16"/>
                <w:szCs w:val="16"/>
              </w:rPr>
              <w:t>Muzicka škola “Andre Navara” Podgorica</w:t>
            </w:r>
          </w:p>
        </w:tc>
        <w:tc>
          <w:tcPr>
            <w:tcW w:w="332" w:type="pct"/>
          </w:tcPr>
          <w:p w:rsidR="00B65A71" w:rsidRPr="004609E2" w:rsidRDefault="00B65A71" w:rsidP="00B65A71">
            <w:pPr>
              <w:spacing w:before="40" w:after="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Cs/>
                <w:sz w:val="16"/>
                <w:szCs w:val="16"/>
              </w:rPr>
            </w:pPr>
            <w:r w:rsidRPr="004609E2">
              <w:rPr>
                <w:rFonts w:asciiTheme="minorHAnsi" w:hAnsiTheme="minorHAnsi"/>
                <w:bCs/>
                <w:sz w:val="16"/>
                <w:szCs w:val="16"/>
              </w:rPr>
              <w:t>240</w:t>
            </w:r>
          </w:p>
        </w:tc>
        <w:tc>
          <w:tcPr>
            <w:tcW w:w="360" w:type="pct"/>
          </w:tcPr>
          <w:p w:rsidR="00B65A71" w:rsidRPr="004609E2" w:rsidRDefault="00B65A71" w:rsidP="00B65A71">
            <w:pPr>
              <w:spacing w:before="40" w:after="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Cs/>
                <w:sz w:val="16"/>
                <w:szCs w:val="16"/>
              </w:rPr>
            </w:pPr>
            <w:r w:rsidRPr="004609E2">
              <w:rPr>
                <w:rFonts w:asciiTheme="minorHAnsi" w:hAnsiTheme="minorHAnsi"/>
                <w:bCs/>
                <w:sz w:val="16"/>
                <w:szCs w:val="16"/>
              </w:rPr>
              <w:t>677</w:t>
            </w:r>
          </w:p>
        </w:tc>
        <w:tc>
          <w:tcPr>
            <w:tcW w:w="558" w:type="pct"/>
          </w:tcPr>
          <w:p w:rsidR="00B65A71" w:rsidRPr="004609E2" w:rsidRDefault="00B65A71" w:rsidP="00B65A71">
            <w:pPr>
              <w:spacing w:before="40" w:after="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bCs/>
                <w:color w:val="FF0000"/>
                <w:sz w:val="16"/>
                <w:szCs w:val="16"/>
              </w:rPr>
            </w:pPr>
            <w:r w:rsidRPr="004609E2">
              <w:rPr>
                <w:rFonts w:asciiTheme="minorHAnsi" w:hAnsiTheme="minorHAnsi"/>
                <w:b/>
                <w:bCs/>
                <w:color w:val="FF0000"/>
                <w:sz w:val="16"/>
                <w:szCs w:val="16"/>
              </w:rPr>
              <w:t>482 ± 98</w:t>
            </w:r>
          </w:p>
        </w:tc>
        <w:tc>
          <w:tcPr>
            <w:tcW w:w="376" w:type="pct"/>
          </w:tcPr>
          <w:p w:rsidR="00B65A71" w:rsidRPr="004609E2" w:rsidRDefault="00B65A71" w:rsidP="00B65A71">
            <w:pPr>
              <w:spacing w:before="40" w:after="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rPr>
            </w:pPr>
            <w:r w:rsidRPr="004609E2">
              <w:rPr>
                <w:rFonts w:asciiTheme="minorHAnsi" w:hAnsiTheme="minorHAnsi"/>
                <w:sz w:val="16"/>
                <w:szCs w:val="16"/>
              </w:rPr>
              <w:t>572</w:t>
            </w:r>
          </w:p>
        </w:tc>
        <w:tc>
          <w:tcPr>
            <w:tcW w:w="332" w:type="pct"/>
          </w:tcPr>
          <w:p w:rsidR="00B65A71" w:rsidRPr="004609E2" w:rsidRDefault="00B65A71" w:rsidP="00B65A71">
            <w:pPr>
              <w:spacing w:before="40" w:after="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rPr>
            </w:pPr>
            <w:r w:rsidRPr="004609E2">
              <w:rPr>
                <w:rFonts w:asciiTheme="minorHAnsi" w:hAnsiTheme="minorHAnsi"/>
                <w:sz w:val="16"/>
                <w:szCs w:val="16"/>
              </w:rPr>
              <w:t>1360</w:t>
            </w:r>
          </w:p>
        </w:tc>
        <w:tc>
          <w:tcPr>
            <w:tcW w:w="533" w:type="pct"/>
          </w:tcPr>
          <w:p w:rsidR="00B65A71" w:rsidRPr="004609E2" w:rsidRDefault="00B65A71" w:rsidP="00B65A71">
            <w:pPr>
              <w:spacing w:before="40" w:after="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color w:val="FF0000"/>
                <w:sz w:val="16"/>
                <w:szCs w:val="16"/>
              </w:rPr>
            </w:pPr>
            <w:r w:rsidRPr="004609E2">
              <w:rPr>
                <w:rFonts w:asciiTheme="minorHAnsi" w:hAnsiTheme="minorHAnsi"/>
                <w:b/>
                <w:color w:val="FF0000"/>
                <w:sz w:val="16"/>
                <w:szCs w:val="16"/>
              </w:rPr>
              <w:t>1150 ± 138</w:t>
            </w:r>
          </w:p>
        </w:tc>
        <w:tc>
          <w:tcPr>
            <w:tcW w:w="701" w:type="pct"/>
          </w:tcPr>
          <w:p w:rsidR="00B65A71" w:rsidRPr="004609E2" w:rsidRDefault="00B65A71" w:rsidP="00B65A71">
            <w:pPr>
              <w:spacing w:before="40" w:after="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bCs/>
                <w:color w:val="FF0000"/>
                <w:sz w:val="16"/>
                <w:szCs w:val="16"/>
              </w:rPr>
            </w:pPr>
            <w:r w:rsidRPr="004609E2">
              <w:rPr>
                <w:rFonts w:asciiTheme="minorHAnsi" w:hAnsiTheme="minorHAnsi"/>
                <w:b/>
                <w:bCs/>
                <w:color w:val="FF0000"/>
                <w:sz w:val="16"/>
                <w:szCs w:val="16"/>
              </w:rPr>
              <w:t>816</w:t>
            </w:r>
          </w:p>
        </w:tc>
        <w:tc>
          <w:tcPr>
            <w:tcW w:w="431" w:type="pct"/>
          </w:tcPr>
          <w:p w:rsidR="00B65A71" w:rsidRPr="004609E2" w:rsidRDefault="00B65A71" w:rsidP="00B65A71">
            <w:pPr>
              <w:spacing w:before="40" w:after="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Cs/>
                <w:sz w:val="16"/>
                <w:szCs w:val="16"/>
              </w:rPr>
            </w:pPr>
            <w:r w:rsidRPr="004609E2">
              <w:rPr>
                <w:rFonts w:asciiTheme="minorHAnsi" w:hAnsiTheme="minorHAnsi"/>
                <w:bCs/>
                <w:sz w:val="16"/>
                <w:szCs w:val="16"/>
              </w:rPr>
              <w:t>2008</w:t>
            </w:r>
          </w:p>
        </w:tc>
        <w:tc>
          <w:tcPr>
            <w:tcW w:w="425" w:type="pct"/>
          </w:tcPr>
          <w:p w:rsidR="00B65A71" w:rsidRPr="004609E2" w:rsidRDefault="00B65A71" w:rsidP="00B65A71">
            <w:pPr>
              <w:spacing w:before="40" w:after="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bCs/>
                <w:color w:val="FF0000"/>
                <w:sz w:val="16"/>
                <w:szCs w:val="16"/>
              </w:rPr>
            </w:pPr>
            <w:r w:rsidRPr="004609E2">
              <w:rPr>
                <w:rFonts w:asciiTheme="minorHAnsi" w:hAnsiTheme="minorHAnsi"/>
                <w:b/>
                <w:bCs/>
                <w:color w:val="FF0000"/>
                <w:sz w:val="16"/>
                <w:szCs w:val="16"/>
              </w:rPr>
              <w:t>729</w:t>
            </w:r>
          </w:p>
        </w:tc>
      </w:tr>
      <w:tr w:rsidR="00B65A71" w:rsidRPr="004609E2" w:rsidTr="00B65A71">
        <w:trPr>
          <w:trHeight w:val="20"/>
        </w:trPr>
        <w:tc>
          <w:tcPr>
            <w:cnfStyle w:val="001000000000" w:firstRow="0" w:lastRow="0" w:firstColumn="1" w:lastColumn="0" w:oddVBand="0" w:evenVBand="0" w:oddHBand="0" w:evenHBand="0" w:firstRowFirstColumn="0" w:firstRowLastColumn="0" w:lastRowFirstColumn="0" w:lastRowLastColumn="0"/>
            <w:tcW w:w="173" w:type="pct"/>
          </w:tcPr>
          <w:p w:rsidR="00B65A71" w:rsidRPr="004609E2" w:rsidRDefault="00B65A71" w:rsidP="00B65A71">
            <w:pPr>
              <w:spacing w:before="40" w:after="40"/>
              <w:jc w:val="center"/>
              <w:rPr>
                <w:rFonts w:asciiTheme="minorHAnsi" w:hAnsiTheme="minorHAnsi"/>
                <w:sz w:val="16"/>
                <w:szCs w:val="16"/>
              </w:rPr>
            </w:pPr>
            <w:r w:rsidRPr="004609E2">
              <w:rPr>
                <w:rFonts w:asciiTheme="minorHAnsi" w:hAnsiTheme="minorHAnsi"/>
                <w:sz w:val="16"/>
                <w:szCs w:val="16"/>
              </w:rPr>
              <w:t>7.</w:t>
            </w:r>
          </w:p>
        </w:tc>
        <w:tc>
          <w:tcPr>
            <w:tcW w:w="779" w:type="pct"/>
          </w:tcPr>
          <w:p w:rsidR="00B65A71" w:rsidRPr="004609E2" w:rsidRDefault="00B65A71" w:rsidP="00B65A71">
            <w:pPr>
              <w:spacing w:before="40" w:after="40"/>
              <w:jc w:val="left"/>
              <w:cnfStyle w:val="000000000000" w:firstRow="0" w:lastRow="0" w:firstColumn="0" w:lastColumn="0" w:oddVBand="0" w:evenVBand="0" w:oddHBand="0" w:evenHBand="0" w:firstRowFirstColumn="0" w:firstRowLastColumn="0" w:lastRowFirstColumn="0" w:lastRowLastColumn="0"/>
              <w:rPr>
                <w:rFonts w:asciiTheme="minorHAnsi" w:hAnsiTheme="minorHAnsi"/>
                <w:bCs/>
                <w:sz w:val="16"/>
                <w:szCs w:val="16"/>
              </w:rPr>
            </w:pPr>
            <w:r w:rsidRPr="004609E2">
              <w:rPr>
                <w:rFonts w:asciiTheme="minorHAnsi" w:hAnsiTheme="minorHAnsi"/>
                <w:bCs/>
                <w:sz w:val="16"/>
                <w:szCs w:val="16"/>
              </w:rPr>
              <w:t>OŠ “Vlado Milić” D.Gorica</w:t>
            </w:r>
          </w:p>
        </w:tc>
        <w:tc>
          <w:tcPr>
            <w:tcW w:w="332" w:type="pct"/>
          </w:tcPr>
          <w:p w:rsidR="00B65A71" w:rsidRPr="004609E2" w:rsidRDefault="00B65A71" w:rsidP="00B65A71">
            <w:pPr>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Cs/>
                <w:sz w:val="16"/>
                <w:szCs w:val="16"/>
              </w:rPr>
            </w:pPr>
            <w:r w:rsidRPr="004609E2">
              <w:rPr>
                <w:rFonts w:asciiTheme="minorHAnsi" w:hAnsiTheme="minorHAnsi"/>
                <w:bCs/>
                <w:sz w:val="16"/>
                <w:szCs w:val="16"/>
              </w:rPr>
              <w:t>14</w:t>
            </w:r>
          </w:p>
        </w:tc>
        <w:tc>
          <w:tcPr>
            <w:tcW w:w="360" w:type="pct"/>
          </w:tcPr>
          <w:p w:rsidR="00B65A71" w:rsidRPr="004609E2" w:rsidRDefault="00B65A71" w:rsidP="00B65A71">
            <w:pPr>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Cs/>
                <w:sz w:val="16"/>
                <w:szCs w:val="16"/>
              </w:rPr>
            </w:pPr>
            <w:r w:rsidRPr="004609E2">
              <w:rPr>
                <w:rFonts w:asciiTheme="minorHAnsi" w:hAnsiTheme="minorHAnsi"/>
                <w:bCs/>
                <w:sz w:val="16"/>
                <w:szCs w:val="16"/>
              </w:rPr>
              <w:t>703</w:t>
            </w:r>
          </w:p>
        </w:tc>
        <w:tc>
          <w:tcPr>
            <w:tcW w:w="558" w:type="pct"/>
          </w:tcPr>
          <w:p w:rsidR="00B65A71" w:rsidRPr="004609E2" w:rsidRDefault="00B65A71" w:rsidP="00B65A71">
            <w:pPr>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Cs/>
                <w:sz w:val="16"/>
                <w:szCs w:val="16"/>
              </w:rPr>
            </w:pPr>
            <w:r w:rsidRPr="004609E2">
              <w:rPr>
                <w:rFonts w:asciiTheme="minorHAnsi" w:hAnsiTheme="minorHAnsi"/>
                <w:bCs/>
                <w:sz w:val="16"/>
                <w:szCs w:val="16"/>
              </w:rPr>
              <w:t xml:space="preserve">375 ± 174  </w:t>
            </w:r>
          </w:p>
        </w:tc>
        <w:tc>
          <w:tcPr>
            <w:tcW w:w="376" w:type="pct"/>
          </w:tcPr>
          <w:p w:rsidR="00B65A71" w:rsidRPr="004609E2" w:rsidRDefault="00B65A71" w:rsidP="00B65A71">
            <w:pPr>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4609E2">
              <w:rPr>
                <w:rFonts w:asciiTheme="minorHAnsi" w:hAnsiTheme="minorHAnsi"/>
                <w:sz w:val="16"/>
                <w:szCs w:val="16"/>
              </w:rPr>
              <w:t>552</w:t>
            </w:r>
          </w:p>
        </w:tc>
        <w:tc>
          <w:tcPr>
            <w:tcW w:w="332" w:type="pct"/>
          </w:tcPr>
          <w:p w:rsidR="00B65A71" w:rsidRPr="004609E2" w:rsidRDefault="00B65A71" w:rsidP="00B65A71">
            <w:pPr>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4609E2">
              <w:rPr>
                <w:rFonts w:asciiTheme="minorHAnsi" w:hAnsiTheme="minorHAnsi"/>
                <w:sz w:val="16"/>
                <w:szCs w:val="16"/>
              </w:rPr>
              <w:t>1192</w:t>
            </w:r>
          </w:p>
        </w:tc>
        <w:tc>
          <w:tcPr>
            <w:tcW w:w="533" w:type="pct"/>
          </w:tcPr>
          <w:p w:rsidR="00B65A71" w:rsidRPr="004609E2" w:rsidRDefault="00B65A71" w:rsidP="00B65A71">
            <w:pPr>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color w:val="FF0000"/>
                <w:sz w:val="16"/>
                <w:szCs w:val="16"/>
              </w:rPr>
            </w:pPr>
            <w:r w:rsidRPr="004609E2">
              <w:rPr>
                <w:rFonts w:asciiTheme="minorHAnsi" w:hAnsiTheme="minorHAnsi"/>
                <w:b/>
                <w:color w:val="FF0000"/>
                <w:sz w:val="16"/>
                <w:szCs w:val="16"/>
              </w:rPr>
              <w:t>894 ± 132</w:t>
            </w:r>
          </w:p>
        </w:tc>
        <w:tc>
          <w:tcPr>
            <w:tcW w:w="701" w:type="pct"/>
          </w:tcPr>
          <w:p w:rsidR="00B65A71" w:rsidRPr="004609E2" w:rsidRDefault="00B65A71" w:rsidP="00B65A71">
            <w:pPr>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FF0000"/>
                <w:sz w:val="16"/>
                <w:szCs w:val="16"/>
              </w:rPr>
            </w:pPr>
            <w:r w:rsidRPr="004609E2">
              <w:rPr>
                <w:rFonts w:asciiTheme="minorHAnsi" w:hAnsiTheme="minorHAnsi"/>
                <w:b/>
                <w:bCs/>
                <w:color w:val="FF0000"/>
                <w:sz w:val="16"/>
                <w:szCs w:val="16"/>
              </w:rPr>
              <w:t>634.5</w:t>
            </w:r>
          </w:p>
        </w:tc>
        <w:tc>
          <w:tcPr>
            <w:tcW w:w="431" w:type="pct"/>
          </w:tcPr>
          <w:p w:rsidR="00B65A71" w:rsidRPr="004609E2" w:rsidRDefault="00B65A71" w:rsidP="00B65A71">
            <w:pPr>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Cs/>
                <w:sz w:val="16"/>
                <w:szCs w:val="16"/>
              </w:rPr>
            </w:pPr>
            <w:r w:rsidRPr="004609E2">
              <w:rPr>
                <w:rFonts w:asciiTheme="minorHAnsi" w:hAnsiTheme="minorHAnsi"/>
                <w:bCs/>
                <w:sz w:val="16"/>
                <w:szCs w:val="16"/>
              </w:rPr>
              <w:t>2003</w:t>
            </w:r>
          </w:p>
        </w:tc>
        <w:tc>
          <w:tcPr>
            <w:tcW w:w="425" w:type="pct"/>
          </w:tcPr>
          <w:p w:rsidR="00B65A71" w:rsidRPr="004609E2" w:rsidRDefault="00B65A71" w:rsidP="00B65A71">
            <w:pPr>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FF0000"/>
                <w:sz w:val="16"/>
                <w:szCs w:val="16"/>
              </w:rPr>
            </w:pPr>
            <w:r w:rsidRPr="004609E2">
              <w:rPr>
                <w:rFonts w:asciiTheme="minorHAnsi" w:hAnsiTheme="minorHAnsi"/>
                <w:b/>
                <w:bCs/>
                <w:color w:val="FF0000"/>
                <w:sz w:val="16"/>
                <w:szCs w:val="16"/>
              </w:rPr>
              <w:t>620</w:t>
            </w:r>
          </w:p>
        </w:tc>
      </w:tr>
      <w:tr w:rsidR="00B65A71" w:rsidRPr="004609E2" w:rsidTr="00B65A7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3" w:type="pct"/>
          </w:tcPr>
          <w:p w:rsidR="00B65A71" w:rsidRPr="004609E2" w:rsidRDefault="00B65A71" w:rsidP="00B65A71">
            <w:pPr>
              <w:spacing w:before="40" w:after="40"/>
              <w:jc w:val="center"/>
              <w:rPr>
                <w:rFonts w:asciiTheme="minorHAnsi" w:hAnsiTheme="minorHAnsi"/>
                <w:sz w:val="16"/>
                <w:szCs w:val="16"/>
              </w:rPr>
            </w:pPr>
            <w:r w:rsidRPr="004609E2">
              <w:rPr>
                <w:rFonts w:asciiTheme="minorHAnsi" w:hAnsiTheme="minorHAnsi"/>
                <w:sz w:val="16"/>
                <w:szCs w:val="16"/>
              </w:rPr>
              <w:t>8.</w:t>
            </w:r>
          </w:p>
        </w:tc>
        <w:tc>
          <w:tcPr>
            <w:tcW w:w="779" w:type="pct"/>
          </w:tcPr>
          <w:p w:rsidR="00B65A71" w:rsidRPr="004609E2" w:rsidRDefault="00B65A71" w:rsidP="00B65A71">
            <w:pPr>
              <w:spacing w:before="40" w:after="40"/>
              <w:jc w:val="left"/>
              <w:cnfStyle w:val="000000100000" w:firstRow="0" w:lastRow="0" w:firstColumn="0" w:lastColumn="0" w:oddVBand="0" w:evenVBand="0" w:oddHBand="1" w:evenHBand="0" w:firstRowFirstColumn="0" w:firstRowLastColumn="0" w:lastRowFirstColumn="0" w:lastRowLastColumn="0"/>
              <w:rPr>
                <w:rFonts w:asciiTheme="minorHAnsi" w:hAnsiTheme="minorHAnsi"/>
                <w:bCs/>
                <w:sz w:val="16"/>
                <w:szCs w:val="16"/>
              </w:rPr>
            </w:pPr>
            <w:r w:rsidRPr="004609E2">
              <w:rPr>
                <w:rFonts w:asciiTheme="minorHAnsi" w:hAnsiTheme="minorHAnsi"/>
                <w:bCs/>
                <w:sz w:val="16"/>
                <w:szCs w:val="16"/>
              </w:rPr>
              <w:t xml:space="preserve">O. Š. “Oktoih” </w:t>
            </w:r>
          </w:p>
          <w:p w:rsidR="00B65A71" w:rsidRPr="004609E2" w:rsidRDefault="00B65A71" w:rsidP="00B65A71">
            <w:pPr>
              <w:spacing w:before="40" w:after="40"/>
              <w:jc w:val="left"/>
              <w:cnfStyle w:val="000000100000" w:firstRow="0" w:lastRow="0" w:firstColumn="0" w:lastColumn="0" w:oddVBand="0" w:evenVBand="0" w:oddHBand="1" w:evenHBand="0" w:firstRowFirstColumn="0" w:firstRowLastColumn="0" w:lastRowFirstColumn="0" w:lastRowLastColumn="0"/>
              <w:rPr>
                <w:rFonts w:asciiTheme="minorHAnsi" w:hAnsiTheme="minorHAnsi"/>
                <w:bCs/>
                <w:sz w:val="16"/>
                <w:szCs w:val="16"/>
              </w:rPr>
            </w:pPr>
            <w:r w:rsidRPr="004609E2">
              <w:rPr>
                <w:rFonts w:asciiTheme="minorHAnsi" w:hAnsiTheme="minorHAnsi"/>
                <w:bCs/>
                <w:sz w:val="16"/>
                <w:szCs w:val="16"/>
              </w:rPr>
              <w:t>Zabjelo</w:t>
            </w:r>
          </w:p>
        </w:tc>
        <w:tc>
          <w:tcPr>
            <w:tcW w:w="332" w:type="pct"/>
          </w:tcPr>
          <w:p w:rsidR="00B65A71" w:rsidRPr="004609E2" w:rsidRDefault="00B65A71" w:rsidP="00B65A71">
            <w:pPr>
              <w:spacing w:before="40" w:after="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Cs/>
                <w:sz w:val="16"/>
                <w:szCs w:val="16"/>
              </w:rPr>
            </w:pPr>
            <w:r w:rsidRPr="004609E2">
              <w:rPr>
                <w:rFonts w:asciiTheme="minorHAnsi" w:hAnsiTheme="minorHAnsi"/>
                <w:bCs/>
                <w:sz w:val="16"/>
                <w:szCs w:val="16"/>
              </w:rPr>
              <w:t>37</w:t>
            </w:r>
          </w:p>
        </w:tc>
        <w:tc>
          <w:tcPr>
            <w:tcW w:w="360" w:type="pct"/>
          </w:tcPr>
          <w:p w:rsidR="00B65A71" w:rsidRPr="004609E2" w:rsidRDefault="00B65A71" w:rsidP="00B65A71">
            <w:pPr>
              <w:spacing w:before="40" w:after="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Cs/>
                <w:sz w:val="16"/>
                <w:szCs w:val="16"/>
              </w:rPr>
            </w:pPr>
            <w:r w:rsidRPr="004609E2">
              <w:rPr>
                <w:rFonts w:asciiTheme="minorHAnsi" w:hAnsiTheme="minorHAnsi"/>
                <w:bCs/>
                <w:sz w:val="16"/>
                <w:szCs w:val="16"/>
              </w:rPr>
              <w:t>780</w:t>
            </w:r>
          </w:p>
        </w:tc>
        <w:tc>
          <w:tcPr>
            <w:tcW w:w="558" w:type="pct"/>
          </w:tcPr>
          <w:p w:rsidR="00B65A71" w:rsidRPr="004609E2" w:rsidRDefault="00B65A71" w:rsidP="00B65A71">
            <w:pPr>
              <w:spacing w:before="40" w:after="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bCs/>
                <w:color w:val="FF0000"/>
                <w:sz w:val="16"/>
                <w:szCs w:val="16"/>
              </w:rPr>
            </w:pPr>
            <w:r w:rsidRPr="004609E2">
              <w:rPr>
                <w:rFonts w:asciiTheme="minorHAnsi" w:hAnsiTheme="minorHAnsi"/>
                <w:b/>
                <w:bCs/>
                <w:color w:val="FF0000"/>
                <w:sz w:val="16"/>
                <w:szCs w:val="16"/>
              </w:rPr>
              <w:t>419 ± 80</w:t>
            </w:r>
          </w:p>
        </w:tc>
        <w:tc>
          <w:tcPr>
            <w:tcW w:w="376" w:type="pct"/>
          </w:tcPr>
          <w:p w:rsidR="00B65A71" w:rsidRPr="004609E2" w:rsidRDefault="00B65A71" w:rsidP="00B65A71">
            <w:pPr>
              <w:spacing w:before="40" w:after="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rPr>
            </w:pPr>
            <w:r w:rsidRPr="004609E2">
              <w:rPr>
                <w:rFonts w:asciiTheme="minorHAnsi" w:hAnsiTheme="minorHAnsi"/>
                <w:sz w:val="16"/>
                <w:szCs w:val="16"/>
              </w:rPr>
              <w:t>199</w:t>
            </w:r>
          </w:p>
        </w:tc>
        <w:tc>
          <w:tcPr>
            <w:tcW w:w="332" w:type="pct"/>
          </w:tcPr>
          <w:p w:rsidR="00B65A71" w:rsidRPr="004609E2" w:rsidRDefault="00B65A71" w:rsidP="00B65A71">
            <w:pPr>
              <w:spacing w:before="40" w:after="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rPr>
            </w:pPr>
            <w:r w:rsidRPr="004609E2">
              <w:rPr>
                <w:rFonts w:asciiTheme="minorHAnsi" w:hAnsiTheme="minorHAnsi"/>
                <w:sz w:val="16"/>
                <w:szCs w:val="16"/>
              </w:rPr>
              <w:t>1192</w:t>
            </w:r>
          </w:p>
        </w:tc>
        <w:tc>
          <w:tcPr>
            <w:tcW w:w="533" w:type="pct"/>
          </w:tcPr>
          <w:p w:rsidR="00B65A71" w:rsidRPr="004609E2" w:rsidRDefault="00B65A71" w:rsidP="00B65A71">
            <w:pPr>
              <w:spacing w:before="40" w:after="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color w:val="FF0000"/>
                <w:sz w:val="16"/>
                <w:szCs w:val="16"/>
              </w:rPr>
            </w:pPr>
            <w:r w:rsidRPr="004609E2">
              <w:rPr>
                <w:rFonts w:asciiTheme="minorHAnsi" w:hAnsiTheme="minorHAnsi"/>
                <w:b/>
                <w:color w:val="FF0000"/>
                <w:sz w:val="16"/>
                <w:szCs w:val="16"/>
              </w:rPr>
              <w:t>718 ± 115</w:t>
            </w:r>
          </w:p>
        </w:tc>
        <w:tc>
          <w:tcPr>
            <w:tcW w:w="701" w:type="pct"/>
          </w:tcPr>
          <w:p w:rsidR="00B65A71" w:rsidRPr="004609E2" w:rsidRDefault="00B65A71" w:rsidP="00B65A71">
            <w:pPr>
              <w:spacing w:before="40" w:after="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bCs/>
                <w:color w:val="FF0000"/>
                <w:sz w:val="16"/>
                <w:szCs w:val="16"/>
              </w:rPr>
            </w:pPr>
            <w:r w:rsidRPr="004609E2">
              <w:rPr>
                <w:rFonts w:asciiTheme="minorHAnsi" w:hAnsiTheme="minorHAnsi"/>
                <w:b/>
                <w:bCs/>
                <w:color w:val="FF0000"/>
                <w:sz w:val="16"/>
                <w:szCs w:val="16"/>
              </w:rPr>
              <w:t>568.5</w:t>
            </w:r>
          </w:p>
        </w:tc>
        <w:tc>
          <w:tcPr>
            <w:tcW w:w="431" w:type="pct"/>
          </w:tcPr>
          <w:p w:rsidR="00B65A71" w:rsidRPr="004609E2" w:rsidRDefault="00B65A71" w:rsidP="00B65A71">
            <w:pPr>
              <w:spacing w:before="40" w:after="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Cs/>
                <w:sz w:val="16"/>
                <w:szCs w:val="16"/>
              </w:rPr>
            </w:pPr>
            <w:r w:rsidRPr="004609E2">
              <w:rPr>
                <w:rFonts w:asciiTheme="minorHAnsi" w:hAnsiTheme="minorHAnsi"/>
                <w:bCs/>
                <w:sz w:val="16"/>
                <w:szCs w:val="16"/>
              </w:rPr>
              <w:t>2002</w:t>
            </w:r>
          </w:p>
        </w:tc>
        <w:tc>
          <w:tcPr>
            <w:tcW w:w="425" w:type="pct"/>
          </w:tcPr>
          <w:p w:rsidR="00B65A71" w:rsidRPr="004609E2" w:rsidRDefault="00B65A71" w:rsidP="00B65A71">
            <w:pPr>
              <w:spacing w:before="40" w:after="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bCs/>
                <w:color w:val="FF0000"/>
                <w:sz w:val="16"/>
                <w:szCs w:val="16"/>
              </w:rPr>
            </w:pPr>
            <w:r w:rsidRPr="004609E2">
              <w:rPr>
                <w:rFonts w:asciiTheme="minorHAnsi" w:hAnsiTheme="minorHAnsi"/>
                <w:b/>
                <w:bCs/>
                <w:color w:val="FF0000"/>
                <w:sz w:val="16"/>
                <w:szCs w:val="16"/>
              </w:rPr>
              <w:t>472</w:t>
            </w:r>
          </w:p>
        </w:tc>
      </w:tr>
      <w:tr w:rsidR="00B65A71" w:rsidRPr="004609E2" w:rsidTr="00B65A71">
        <w:trPr>
          <w:trHeight w:val="20"/>
        </w:trPr>
        <w:tc>
          <w:tcPr>
            <w:cnfStyle w:val="001000000000" w:firstRow="0" w:lastRow="0" w:firstColumn="1" w:lastColumn="0" w:oddVBand="0" w:evenVBand="0" w:oddHBand="0" w:evenHBand="0" w:firstRowFirstColumn="0" w:firstRowLastColumn="0" w:lastRowFirstColumn="0" w:lastRowLastColumn="0"/>
            <w:tcW w:w="173" w:type="pct"/>
          </w:tcPr>
          <w:p w:rsidR="00B65A71" w:rsidRPr="004609E2" w:rsidRDefault="00B65A71" w:rsidP="00B65A71">
            <w:pPr>
              <w:spacing w:before="40" w:after="40"/>
              <w:jc w:val="center"/>
              <w:rPr>
                <w:rFonts w:asciiTheme="minorHAnsi" w:hAnsiTheme="minorHAnsi"/>
                <w:sz w:val="16"/>
                <w:szCs w:val="16"/>
              </w:rPr>
            </w:pPr>
            <w:r w:rsidRPr="004609E2">
              <w:rPr>
                <w:rFonts w:asciiTheme="minorHAnsi" w:hAnsiTheme="minorHAnsi"/>
                <w:sz w:val="16"/>
                <w:szCs w:val="16"/>
              </w:rPr>
              <w:t>9.</w:t>
            </w:r>
          </w:p>
        </w:tc>
        <w:tc>
          <w:tcPr>
            <w:tcW w:w="779" w:type="pct"/>
          </w:tcPr>
          <w:p w:rsidR="00B65A71" w:rsidRPr="004609E2" w:rsidRDefault="00B65A71" w:rsidP="00B65A71">
            <w:pPr>
              <w:spacing w:before="40" w:after="40"/>
              <w:jc w:val="left"/>
              <w:cnfStyle w:val="000000000000" w:firstRow="0" w:lastRow="0" w:firstColumn="0" w:lastColumn="0" w:oddVBand="0" w:evenVBand="0" w:oddHBand="0" w:evenHBand="0" w:firstRowFirstColumn="0" w:firstRowLastColumn="0" w:lastRowFirstColumn="0" w:lastRowLastColumn="0"/>
              <w:rPr>
                <w:rFonts w:asciiTheme="minorHAnsi" w:hAnsiTheme="minorHAnsi"/>
                <w:bCs/>
                <w:sz w:val="16"/>
                <w:szCs w:val="16"/>
              </w:rPr>
            </w:pPr>
            <w:r w:rsidRPr="004609E2">
              <w:rPr>
                <w:rFonts w:asciiTheme="minorHAnsi" w:hAnsiTheme="minorHAnsi"/>
                <w:bCs/>
                <w:sz w:val="16"/>
                <w:szCs w:val="16"/>
              </w:rPr>
              <w:t xml:space="preserve">OŠ “Sutjeska” </w:t>
            </w:r>
          </w:p>
          <w:p w:rsidR="00B65A71" w:rsidRPr="004609E2" w:rsidRDefault="00B65A71" w:rsidP="00B65A71">
            <w:pPr>
              <w:spacing w:before="40" w:after="40"/>
              <w:jc w:val="left"/>
              <w:cnfStyle w:val="000000000000" w:firstRow="0" w:lastRow="0" w:firstColumn="0" w:lastColumn="0" w:oddVBand="0" w:evenVBand="0" w:oddHBand="0" w:evenHBand="0" w:firstRowFirstColumn="0" w:firstRowLastColumn="0" w:lastRowFirstColumn="0" w:lastRowLastColumn="0"/>
              <w:rPr>
                <w:rFonts w:asciiTheme="minorHAnsi" w:hAnsiTheme="minorHAnsi"/>
                <w:bCs/>
                <w:sz w:val="16"/>
                <w:szCs w:val="16"/>
              </w:rPr>
            </w:pPr>
            <w:r w:rsidRPr="004609E2">
              <w:rPr>
                <w:rFonts w:asciiTheme="minorHAnsi" w:hAnsiTheme="minorHAnsi"/>
                <w:bCs/>
                <w:sz w:val="16"/>
                <w:szCs w:val="16"/>
              </w:rPr>
              <w:t>Podgorica</w:t>
            </w:r>
          </w:p>
        </w:tc>
        <w:tc>
          <w:tcPr>
            <w:tcW w:w="332" w:type="pct"/>
          </w:tcPr>
          <w:p w:rsidR="00B65A71" w:rsidRPr="004609E2" w:rsidRDefault="00B65A71" w:rsidP="00B65A71">
            <w:pPr>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Cs/>
                <w:sz w:val="16"/>
                <w:szCs w:val="16"/>
              </w:rPr>
            </w:pPr>
            <w:r w:rsidRPr="004609E2">
              <w:rPr>
                <w:rFonts w:asciiTheme="minorHAnsi" w:hAnsiTheme="minorHAnsi"/>
                <w:bCs/>
                <w:sz w:val="16"/>
                <w:szCs w:val="16"/>
              </w:rPr>
              <w:t>3</w:t>
            </w:r>
          </w:p>
        </w:tc>
        <w:tc>
          <w:tcPr>
            <w:tcW w:w="360" w:type="pct"/>
          </w:tcPr>
          <w:p w:rsidR="00B65A71" w:rsidRPr="004609E2" w:rsidRDefault="00B65A71" w:rsidP="00B65A71">
            <w:pPr>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Cs/>
                <w:sz w:val="16"/>
                <w:szCs w:val="16"/>
              </w:rPr>
            </w:pPr>
            <w:r w:rsidRPr="004609E2">
              <w:rPr>
                <w:rFonts w:asciiTheme="minorHAnsi" w:hAnsiTheme="minorHAnsi"/>
                <w:bCs/>
                <w:sz w:val="16"/>
                <w:szCs w:val="16"/>
              </w:rPr>
              <w:t>258</w:t>
            </w:r>
          </w:p>
        </w:tc>
        <w:tc>
          <w:tcPr>
            <w:tcW w:w="558" w:type="pct"/>
          </w:tcPr>
          <w:p w:rsidR="00B65A71" w:rsidRPr="004609E2" w:rsidRDefault="00B65A71" w:rsidP="00B65A71">
            <w:pPr>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Cs/>
                <w:sz w:val="16"/>
                <w:szCs w:val="16"/>
              </w:rPr>
            </w:pPr>
            <w:r w:rsidRPr="004609E2">
              <w:rPr>
                <w:rFonts w:asciiTheme="minorHAnsi" w:hAnsiTheme="minorHAnsi"/>
                <w:bCs/>
                <w:sz w:val="16"/>
                <w:szCs w:val="16"/>
              </w:rPr>
              <w:t>97 ± 33</w:t>
            </w:r>
          </w:p>
        </w:tc>
        <w:tc>
          <w:tcPr>
            <w:tcW w:w="376" w:type="pct"/>
          </w:tcPr>
          <w:p w:rsidR="00B65A71" w:rsidRPr="004609E2" w:rsidRDefault="00B65A71" w:rsidP="00B65A71">
            <w:pPr>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4609E2">
              <w:rPr>
                <w:rFonts w:asciiTheme="minorHAnsi" w:hAnsiTheme="minorHAnsi"/>
                <w:sz w:val="16"/>
                <w:szCs w:val="16"/>
              </w:rPr>
              <w:t>111</w:t>
            </w:r>
          </w:p>
        </w:tc>
        <w:tc>
          <w:tcPr>
            <w:tcW w:w="332" w:type="pct"/>
          </w:tcPr>
          <w:p w:rsidR="00B65A71" w:rsidRPr="004609E2" w:rsidRDefault="00B65A71" w:rsidP="00B65A71">
            <w:pPr>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4609E2">
              <w:rPr>
                <w:rFonts w:asciiTheme="minorHAnsi" w:hAnsiTheme="minorHAnsi"/>
                <w:sz w:val="16"/>
                <w:szCs w:val="16"/>
              </w:rPr>
              <w:t>788</w:t>
            </w:r>
          </w:p>
        </w:tc>
        <w:tc>
          <w:tcPr>
            <w:tcW w:w="533" w:type="pct"/>
          </w:tcPr>
          <w:p w:rsidR="00B65A71" w:rsidRPr="004609E2" w:rsidRDefault="00B65A71" w:rsidP="00B65A71">
            <w:pPr>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color w:val="FF0000"/>
                <w:sz w:val="16"/>
                <w:szCs w:val="16"/>
              </w:rPr>
            </w:pPr>
            <w:r w:rsidRPr="004609E2">
              <w:rPr>
                <w:rFonts w:asciiTheme="minorHAnsi" w:hAnsiTheme="minorHAnsi"/>
                <w:b/>
                <w:color w:val="FF0000"/>
                <w:sz w:val="16"/>
                <w:szCs w:val="16"/>
              </w:rPr>
              <w:t>432 ± 83</w:t>
            </w:r>
          </w:p>
        </w:tc>
        <w:tc>
          <w:tcPr>
            <w:tcW w:w="701" w:type="pct"/>
          </w:tcPr>
          <w:p w:rsidR="00B65A71" w:rsidRPr="004609E2" w:rsidRDefault="00B65A71" w:rsidP="00B65A71">
            <w:pPr>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sz w:val="16"/>
                <w:szCs w:val="16"/>
              </w:rPr>
            </w:pPr>
            <w:r w:rsidRPr="004609E2">
              <w:rPr>
                <w:rFonts w:asciiTheme="minorHAnsi" w:hAnsiTheme="minorHAnsi"/>
                <w:b/>
                <w:bCs/>
                <w:sz w:val="16"/>
                <w:szCs w:val="16"/>
              </w:rPr>
              <w:t>264.5</w:t>
            </w:r>
          </w:p>
        </w:tc>
        <w:tc>
          <w:tcPr>
            <w:tcW w:w="431" w:type="pct"/>
          </w:tcPr>
          <w:p w:rsidR="00B65A71" w:rsidRPr="004609E2" w:rsidRDefault="00B65A71" w:rsidP="00B65A71">
            <w:pPr>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Cs/>
                <w:sz w:val="16"/>
                <w:szCs w:val="16"/>
              </w:rPr>
            </w:pPr>
            <w:r w:rsidRPr="004609E2">
              <w:rPr>
                <w:rFonts w:asciiTheme="minorHAnsi" w:hAnsiTheme="minorHAnsi"/>
                <w:bCs/>
                <w:sz w:val="16"/>
                <w:szCs w:val="16"/>
              </w:rPr>
              <w:t>2002</w:t>
            </w:r>
          </w:p>
        </w:tc>
        <w:tc>
          <w:tcPr>
            <w:tcW w:w="425" w:type="pct"/>
          </w:tcPr>
          <w:p w:rsidR="00B65A71" w:rsidRPr="004609E2" w:rsidRDefault="00B65A71" w:rsidP="00B65A71">
            <w:pPr>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FF0000"/>
                <w:sz w:val="16"/>
                <w:szCs w:val="16"/>
              </w:rPr>
            </w:pPr>
            <w:r w:rsidRPr="004609E2">
              <w:rPr>
                <w:rFonts w:asciiTheme="minorHAnsi" w:hAnsiTheme="minorHAnsi"/>
                <w:b/>
                <w:bCs/>
                <w:color w:val="FF0000"/>
                <w:sz w:val="16"/>
                <w:szCs w:val="16"/>
              </w:rPr>
              <w:t>483</w:t>
            </w:r>
          </w:p>
        </w:tc>
      </w:tr>
      <w:tr w:rsidR="00B65A71" w:rsidRPr="004609E2" w:rsidTr="00B65A7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3" w:type="pct"/>
          </w:tcPr>
          <w:p w:rsidR="00B65A71" w:rsidRPr="004609E2" w:rsidRDefault="00B65A71" w:rsidP="00B65A71">
            <w:pPr>
              <w:spacing w:before="40" w:after="40"/>
              <w:jc w:val="center"/>
              <w:rPr>
                <w:rFonts w:asciiTheme="minorHAnsi" w:hAnsiTheme="minorHAnsi"/>
                <w:sz w:val="16"/>
                <w:szCs w:val="16"/>
              </w:rPr>
            </w:pPr>
            <w:r w:rsidRPr="004609E2">
              <w:rPr>
                <w:rFonts w:asciiTheme="minorHAnsi" w:hAnsiTheme="minorHAnsi"/>
                <w:sz w:val="16"/>
                <w:szCs w:val="16"/>
              </w:rPr>
              <w:t>10.</w:t>
            </w:r>
          </w:p>
        </w:tc>
        <w:tc>
          <w:tcPr>
            <w:tcW w:w="779" w:type="pct"/>
          </w:tcPr>
          <w:p w:rsidR="00B65A71" w:rsidRPr="004609E2" w:rsidRDefault="00B65A71" w:rsidP="00B65A71">
            <w:pPr>
              <w:spacing w:before="40" w:after="40"/>
              <w:jc w:val="left"/>
              <w:cnfStyle w:val="000000100000" w:firstRow="0" w:lastRow="0" w:firstColumn="0" w:lastColumn="0" w:oddVBand="0" w:evenVBand="0" w:oddHBand="1" w:evenHBand="0" w:firstRowFirstColumn="0" w:firstRowLastColumn="0" w:lastRowFirstColumn="0" w:lastRowLastColumn="0"/>
              <w:rPr>
                <w:rFonts w:asciiTheme="minorHAnsi" w:hAnsiTheme="minorHAnsi"/>
                <w:bCs/>
                <w:sz w:val="16"/>
                <w:szCs w:val="16"/>
              </w:rPr>
            </w:pPr>
            <w:r w:rsidRPr="004609E2">
              <w:rPr>
                <w:rFonts w:asciiTheme="minorHAnsi" w:hAnsiTheme="minorHAnsi"/>
                <w:bCs/>
                <w:sz w:val="16"/>
                <w:szCs w:val="16"/>
              </w:rPr>
              <w:t>SŠ “Sergije Stanić” Podgorica</w:t>
            </w:r>
          </w:p>
        </w:tc>
        <w:tc>
          <w:tcPr>
            <w:tcW w:w="332" w:type="pct"/>
          </w:tcPr>
          <w:p w:rsidR="00B65A71" w:rsidRPr="004609E2" w:rsidRDefault="00B65A71" w:rsidP="00B65A71">
            <w:pPr>
              <w:spacing w:before="40" w:after="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Cs/>
                <w:sz w:val="16"/>
                <w:szCs w:val="16"/>
              </w:rPr>
            </w:pPr>
            <w:r w:rsidRPr="004609E2">
              <w:rPr>
                <w:rFonts w:asciiTheme="minorHAnsi" w:hAnsiTheme="minorHAnsi"/>
                <w:bCs/>
                <w:sz w:val="16"/>
                <w:szCs w:val="16"/>
              </w:rPr>
              <w:t>0</w:t>
            </w:r>
          </w:p>
        </w:tc>
        <w:tc>
          <w:tcPr>
            <w:tcW w:w="360" w:type="pct"/>
          </w:tcPr>
          <w:p w:rsidR="00B65A71" w:rsidRPr="004609E2" w:rsidRDefault="00B65A71" w:rsidP="00B65A71">
            <w:pPr>
              <w:spacing w:before="40" w:after="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Cs/>
                <w:sz w:val="16"/>
                <w:szCs w:val="16"/>
              </w:rPr>
            </w:pPr>
            <w:r w:rsidRPr="004609E2">
              <w:rPr>
                <w:rFonts w:asciiTheme="minorHAnsi" w:hAnsiTheme="minorHAnsi"/>
                <w:bCs/>
                <w:sz w:val="16"/>
                <w:szCs w:val="16"/>
              </w:rPr>
              <w:t>284</w:t>
            </w:r>
          </w:p>
        </w:tc>
        <w:tc>
          <w:tcPr>
            <w:tcW w:w="558" w:type="pct"/>
          </w:tcPr>
          <w:p w:rsidR="00B65A71" w:rsidRPr="004609E2" w:rsidRDefault="00B65A71" w:rsidP="00B65A71">
            <w:pPr>
              <w:spacing w:before="40" w:after="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Cs/>
                <w:sz w:val="16"/>
                <w:szCs w:val="16"/>
              </w:rPr>
            </w:pPr>
            <w:r w:rsidRPr="004609E2">
              <w:rPr>
                <w:rFonts w:asciiTheme="minorHAnsi" w:hAnsiTheme="minorHAnsi"/>
                <w:bCs/>
                <w:sz w:val="16"/>
                <w:szCs w:val="16"/>
              </w:rPr>
              <w:t>97 ± 76</w:t>
            </w:r>
          </w:p>
        </w:tc>
        <w:tc>
          <w:tcPr>
            <w:tcW w:w="376" w:type="pct"/>
          </w:tcPr>
          <w:p w:rsidR="00B65A71" w:rsidRPr="004609E2" w:rsidRDefault="00B65A71" w:rsidP="00B65A71">
            <w:pPr>
              <w:spacing w:before="40" w:after="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rPr>
            </w:pPr>
            <w:r w:rsidRPr="004609E2">
              <w:rPr>
                <w:rFonts w:asciiTheme="minorHAnsi" w:hAnsiTheme="minorHAnsi"/>
                <w:sz w:val="16"/>
                <w:szCs w:val="16"/>
              </w:rPr>
              <w:t>91</w:t>
            </w:r>
          </w:p>
        </w:tc>
        <w:tc>
          <w:tcPr>
            <w:tcW w:w="332" w:type="pct"/>
          </w:tcPr>
          <w:p w:rsidR="00B65A71" w:rsidRPr="004609E2" w:rsidRDefault="00B65A71" w:rsidP="00B65A71">
            <w:pPr>
              <w:spacing w:before="40" w:after="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6"/>
                <w:szCs w:val="16"/>
              </w:rPr>
            </w:pPr>
            <w:r w:rsidRPr="004609E2">
              <w:rPr>
                <w:rFonts w:asciiTheme="minorHAnsi" w:hAnsiTheme="minorHAnsi"/>
                <w:sz w:val="16"/>
                <w:szCs w:val="16"/>
              </w:rPr>
              <w:t>618</w:t>
            </w:r>
          </w:p>
        </w:tc>
        <w:tc>
          <w:tcPr>
            <w:tcW w:w="533" w:type="pct"/>
          </w:tcPr>
          <w:p w:rsidR="00B65A71" w:rsidRPr="004609E2" w:rsidRDefault="00B65A71" w:rsidP="00B65A71">
            <w:pPr>
              <w:spacing w:before="40" w:after="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color w:val="FF0000"/>
                <w:sz w:val="16"/>
                <w:szCs w:val="16"/>
              </w:rPr>
            </w:pPr>
            <w:r w:rsidRPr="004609E2">
              <w:rPr>
                <w:rFonts w:asciiTheme="minorHAnsi" w:hAnsiTheme="minorHAnsi"/>
                <w:b/>
                <w:color w:val="FF0000"/>
                <w:sz w:val="16"/>
                <w:szCs w:val="16"/>
              </w:rPr>
              <w:t>416 ± 82</w:t>
            </w:r>
          </w:p>
        </w:tc>
        <w:tc>
          <w:tcPr>
            <w:tcW w:w="701" w:type="pct"/>
          </w:tcPr>
          <w:p w:rsidR="00B65A71" w:rsidRPr="004609E2" w:rsidRDefault="00B65A71" w:rsidP="00B65A71">
            <w:pPr>
              <w:spacing w:before="40" w:after="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bCs/>
                <w:sz w:val="16"/>
                <w:szCs w:val="16"/>
              </w:rPr>
            </w:pPr>
            <w:r w:rsidRPr="004609E2">
              <w:rPr>
                <w:rFonts w:asciiTheme="minorHAnsi" w:hAnsiTheme="minorHAnsi"/>
                <w:b/>
                <w:bCs/>
                <w:sz w:val="16"/>
                <w:szCs w:val="16"/>
              </w:rPr>
              <w:t>256.5</w:t>
            </w:r>
          </w:p>
        </w:tc>
        <w:tc>
          <w:tcPr>
            <w:tcW w:w="431" w:type="pct"/>
          </w:tcPr>
          <w:p w:rsidR="00B65A71" w:rsidRPr="004609E2" w:rsidRDefault="00B65A71" w:rsidP="00B65A71">
            <w:pPr>
              <w:spacing w:before="40" w:after="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Cs/>
                <w:sz w:val="16"/>
                <w:szCs w:val="16"/>
              </w:rPr>
            </w:pPr>
            <w:r w:rsidRPr="004609E2">
              <w:rPr>
                <w:rFonts w:asciiTheme="minorHAnsi" w:hAnsiTheme="minorHAnsi"/>
                <w:bCs/>
                <w:sz w:val="16"/>
                <w:szCs w:val="16"/>
              </w:rPr>
              <w:t>2002</w:t>
            </w:r>
          </w:p>
        </w:tc>
        <w:tc>
          <w:tcPr>
            <w:tcW w:w="425" w:type="pct"/>
          </w:tcPr>
          <w:p w:rsidR="00B65A71" w:rsidRPr="004609E2" w:rsidRDefault="00B65A71" w:rsidP="00B65A71">
            <w:pPr>
              <w:spacing w:before="40" w:after="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bCs/>
                <w:color w:val="FF0000"/>
                <w:sz w:val="16"/>
                <w:szCs w:val="16"/>
              </w:rPr>
            </w:pPr>
            <w:r w:rsidRPr="004609E2">
              <w:rPr>
                <w:rFonts w:asciiTheme="minorHAnsi" w:hAnsiTheme="minorHAnsi"/>
                <w:b/>
                <w:bCs/>
                <w:color w:val="FF0000"/>
                <w:sz w:val="16"/>
                <w:szCs w:val="16"/>
              </w:rPr>
              <w:t>591</w:t>
            </w:r>
          </w:p>
        </w:tc>
      </w:tr>
    </w:tbl>
    <w:p w:rsidR="00B65A71" w:rsidRPr="004609E2" w:rsidRDefault="00B65A71" w:rsidP="00B65A71">
      <w:pPr>
        <w:ind w:firstLine="720"/>
        <w:rPr>
          <w:rFonts w:asciiTheme="minorHAnsi" w:hAnsiTheme="minorHAnsi" w:cs="Arial"/>
          <w:color w:val="68A22B" w:themeColor="accent1" w:themeShade="80"/>
          <w:sz w:val="16"/>
          <w:szCs w:val="16"/>
          <w:lang w:val="sr-Latn-CS"/>
        </w:rPr>
      </w:pPr>
    </w:p>
    <w:p w:rsidR="00B65A71" w:rsidRPr="00A431AB" w:rsidRDefault="00BD6DA2" w:rsidP="00BD6DA2">
      <w:pPr>
        <w:pStyle w:val="Tabele"/>
        <w:ind w:left="0" w:firstLine="0"/>
        <w:rPr>
          <w:rFonts w:ascii="Constantia" w:hAnsi="Constantia"/>
          <w:b/>
          <w:i w:val="0"/>
          <w:sz w:val="22"/>
          <w:lang w:val="en-US"/>
        </w:rPr>
      </w:pPr>
      <w:r w:rsidRPr="00A431AB">
        <w:rPr>
          <w:rFonts w:ascii="Constantia" w:hAnsi="Constantia"/>
          <w:sz w:val="22"/>
          <w:lang w:val="en-US"/>
        </w:rPr>
        <w:t xml:space="preserve">Rezultati mjerenja radona  u školama u 2013. godini </w:t>
      </w:r>
      <w:r w:rsidRPr="00A431AB">
        <w:rPr>
          <w:rFonts w:ascii="Constantia" w:hAnsi="Constantia"/>
          <w:b/>
          <w:i w:val="0"/>
          <w:sz w:val="22"/>
          <w:lang w:val="en-US"/>
        </w:rPr>
        <w:t xml:space="preserve"> </w:t>
      </w:r>
    </w:p>
    <w:p w:rsidR="00B65A71" w:rsidRPr="00790CC9" w:rsidRDefault="00B65A71" w:rsidP="00BD6DA2">
      <w:pPr>
        <w:rPr>
          <w:rFonts w:ascii="Constantia" w:hAnsi="Constantia"/>
        </w:rPr>
      </w:pPr>
      <w:r w:rsidRPr="00790CC9">
        <w:rPr>
          <w:rFonts w:ascii="Constantia" w:hAnsi="Constantia"/>
          <w:b/>
        </w:rPr>
        <w:t>Zaključak:</w:t>
      </w:r>
      <w:r w:rsidRPr="00790CC9">
        <w:rPr>
          <w:rFonts w:ascii="Constantia" w:hAnsi="Constantia"/>
        </w:rPr>
        <w:t xml:space="preserve"> Svih prethodnih godina, kao i ove godine, mjerenja koncentracije radona su rađena u skladu sa metodologijom mjerenja US EPA, prikazanim u publikacijama EPA 402-R-92-004 i EPA 520-402-R-92-004. Kod ovakve  metode kratkoročnih mjerenja, ukoliko je inicijalni rezultat ispitivanja veći od 370 Bqm-3 preporučuju se ponovna mjerenja, naravno pod apsolutno istim uslovima. Ukoliko srednja vrijednost ponovljenog i prethodnog mjerenja bude </w:t>
      </w:r>
      <w:r w:rsidRPr="00790CC9">
        <w:rPr>
          <w:rFonts w:ascii="Constantia" w:hAnsi="Constantia"/>
        </w:rPr>
        <w:lastRenderedPageBreak/>
        <w:t>veća od 148 Bqm-3  preporučuje se remedijacija. Međutim, mišljenja smo da bi, u ovom trenutku, za Crnu Goru pridržavanje američkih standarda, kada se govori o tome kada treba sprovesti remedijaciju, ipak bilo prestrogo. Nakon završetka radonske mape Crne Gore i ovaj nedostatak će biti regulisan, tj</w:t>
      </w:r>
      <w:r w:rsidR="008315C2">
        <w:rPr>
          <w:rFonts w:ascii="Constantia" w:hAnsi="Constantia"/>
        </w:rPr>
        <w:t>.</w:t>
      </w:r>
      <w:r w:rsidRPr="00790CC9">
        <w:rPr>
          <w:rFonts w:ascii="Constantia" w:hAnsi="Constantia"/>
        </w:rPr>
        <w:t xml:space="preserve"> nova legislativa koja bude regulisala ovu oblast definisaće za nas</w:t>
      </w:r>
      <w:r w:rsidR="008315C2">
        <w:rPr>
          <w:rFonts w:ascii="Constantia" w:hAnsi="Constantia"/>
        </w:rPr>
        <w:t xml:space="preserve"> realne interventne procedure, odnosno</w:t>
      </w:r>
      <w:r w:rsidRPr="00790CC9">
        <w:rPr>
          <w:rFonts w:ascii="Constantia" w:hAnsi="Constantia"/>
        </w:rPr>
        <w:t xml:space="preserve"> procedure koje će tačno definisati kada i kako treba pristupiti remedijaciji nekog prostora. Do tada, smatramo da se remedijacija treba uraditi u školama gdje je srednja vrijednost ponovljenog i prethodnog mjerenja iznosila preko 400 Bqm-3 i jedno od mjerenja iznosilo više od 600 Bqm-3</w:t>
      </w:r>
      <w:r w:rsidR="00BD6DA2" w:rsidRPr="00790CC9">
        <w:rPr>
          <w:rFonts w:ascii="Constantia" w:hAnsi="Constantia"/>
        </w:rPr>
        <w:t>.</w:t>
      </w:r>
    </w:p>
    <w:p w:rsidR="00B65A71" w:rsidRPr="00790CC9" w:rsidRDefault="00B65A71" w:rsidP="00BD6DA2">
      <w:pPr>
        <w:rPr>
          <w:rFonts w:ascii="Constantia" w:hAnsi="Constantia"/>
        </w:rPr>
      </w:pPr>
      <w:r w:rsidRPr="00790CC9">
        <w:rPr>
          <w:rFonts w:ascii="Constantia" w:hAnsi="Constantia"/>
        </w:rPr>
        <w:t xml:space="preserve">Shodno tome, ove godine se predlože remedijacija u školama: </w:t>
      </w:r>
    </w:p>
    <w:p w:rsidR="00B65A71" w:rsidRPr="00790CC9" w:rsidRDefault="00B65A71" w:rsidP="00B65A71">
      <w:pPr>
        <w:ind w:firstLine="720"/>
        <w:rPr>
          <w:rFonts w:ascii="Constantia" w:hAnsi="Constantia"/>
        </w:rPr>
      </w:pPr>
      <w:r w:rsidRPr="00790CC9">
        <w:rPr>
          <w:rFonts w:ascii="Constantia" w:hAnsi="Constantia"/>
        </w:rPr>
        <w:t>1. Muzička škola „Andre Navara“ Podgorica,</w:t>
      </w:r>
    </w:p>
    <w:p w:rsidR="00B65A71" w:rsidRPr="00790CC9" w:rsidRDefault="00B65A71" w:rsidP="00B65A71">
      <w:pPr>
        <w:ind w:firstLine="720"/>
        <w:rPr>
          <w:rFonts w:ascii="Constantia" w:hAnsi="Constantia"/>
        </w:rPr>
      </w:pPr>
      <w:r w:rsidRPr="00790CC9">
        <w:rPr>
          <w:rFonts w:ascii="Constantia" w:hAnsi="Constantia"/>
        </w:rPr>
        <w:t>2. O.Š. „Vlado Milić, Donja Gorica,</w:t>
      </w:r>
    </w:p>
    <w:p w:rsidR="00B65A71" w:rsidRPr="00790CC9" w:rsidRDefault="00B65A71" w:rsidP="00B65A71">
      <w:pPr>
        <w:rPr>
          <w:rFonts w:ascii="Constantia" w:hAnsi="Constantia"/>
        </w:rPr>
      </w:pPr>
      <w:r w:rsidRPr="00790CC9">
        <w:rPr>
          <w:rFonts w:ascii="Constantia" w:hAnsi="Constantia"/>
        </w:rPr>
        <w:t xml:space="preserve">Nakon sprovedene remedijacije mjerenja treba ponoviti, kako bi se utvrdilo da li je remedijacija bila uspješna. </w:t>
      </w:r>
    </w:p>
    <w:p w:rsidR="00B65A71" w:rsidRPr="00790CC9" w:rsidRDefault="00B65A71" w:rsidP="00B65A71">
      <w:pPr>
        <w:ind w:firstLine="720"/>
        <w:rPr>
          <w:rFonts w:ascii="Constantia" w:hAnsi="Constantia"/>
        </w:rPr>
      </w:pPr>
      <w:r w:rsidRPr="00790CC9">
        <w:rPr>
          <w:rFonts w:ascii="Constantia" w:hAnsi="Constantia"/>
        </w:rPr>
        <w:t>U međuvremenu, dok se predložene remedijacione mjere ne sprovedu, treba:</w:t>
      </w:r>
    </w:p>
    <w:p w:rsidR="00B65A71" w:rsidRPr="00790CC9" w:rsidRDefault="00B65A71" w:rsidP="00E70E3B">
      <w:pPr>
        <w:pStyle w:val="ListParagraph"/>
        <w:numPr>
          <w:ilvl w:val="0"/>
          <w:numId w:val="51"/>
        </w:numPr>
        <w:rPr>
          <w:rFonts w:ascii="Constantia" w:hAnsi="Constantia"/>
        </w:rPr>
      </w:pPr>
      <w:r w:rsidRPr="00790CC9">
        <w:rPr>
          <w:rFonts w:ascii="Constantia" w:hAnsi="Constantia"/>
        </w:rPr>
        <w:t xml:space="preserve">Periodično provjetravati sve prostorije koje se nalaze u prizemlju i sve prostorije u kojima se boravi više od nekoliko sati i to: ujutru oko 7 časova, sredinom dana oko 12 časova i poslije podne oko 17 časova. Provjetravanje treba da traje od 15 do 30 minuta u svakom od tri ciklusa u danima bez vjetra i po 10 minuta u danima sa vjetrom. </w:t>
      </w:r>
    </w:p>
    <w:p w:rsidR="00B65A71" w:rsidRPr="00790CC9" w:rsidRDefault="00B65A71" w:rsidP="00E70E3B">
      <w:pPr>
        <w:pStyle w:val="ListParagraph"/>
        <w:numPr>
          <w:ilvl w:val="0"/>
          <w:numId w:val="51"/>
        </w:numPr>
        <w:rPr>
          <w:rFonts w:ascii="Constantia" w:hAnsi="Constantia"/>
        </w:rPr>
      </w:pPr>
      <w:r w:rsidRPr="00790CC9">
        <w:rPr>
          <w:rFonts w:ascii="Constantia" w:hAnsi="Constantia"/>
        </w:rPr>
        <w:t xml:space="preserve">Stalno treba provjetravati sve prostorije koje se nalaze u prizemlju, sve prostorije u kojima se boravi više od nekoliko sati  i to: najmanje 30 minuta prije početka nastave i nastojati da tokom nastave makar jedan prozor bude stalno otvoren </w:t>
      </w:r>
    </w:p>
    <w:p w:rsidR="00B65A71" w:rsidRPr="00790CC9" w:rsidRDefault="00B65A71" w:rsidP="00E70E3B">
      <w:pPr>
        <w:pStyle w:val="ListParagraph"/>
        <w:numPr>
          <w:ilvl w:val="0"/>
          <w:numId w:val="51"/>
        </w:numPr>
        <w:rPr>
          <w:rFonts w:ascii="Constantia" w:hAnsi="Constantia"/>
        </w:rPr>
      </w:pPr>
      <w:r w:rsidRPr="00790CC9">
        <w:rPr>
          <w:rFonts w:ascii="Constantia" w:hAnsi="Constantia"/>
        </w:rPr>
        <w:t>Mjere se  primarno  primjenjuju u hladnom periodu godine (naročito u toku sezone grijanja)</w:t>
      </w:r>
      <w:r w:rsidR="00BD6DA2" w:rsidRPr="00790CC9">
        <w:rPr>
          <w:rFonts w:ascii="Constantia" w:hAnsi="Constantia"/>
        </w:rPr>
        <w:t>.</w:t>
      </w:r>
    </w:p>
    <w:p w:rsidR="00A431AB" w:rsidRDefault="00A431AB" w:rsidP="00790CC9">
      <w:pPr>
        <w:pStyle w:val="Heading3"/>
      </w:pPr>
      <w:bookmarkStart w:id="276" w:name="_Toc320796903"/>
      <w:bookmarkStart w:id="277" w:name="_Toc321316130"/>
      <w:bookmarkStart w:id="278" w:name="_Toc352657398"/>
      <w:bookmarkStart w:id="279" w:name="_Toc352759511"/>
      <w:bookmarkStart w:id="280" w:name="_Toc352760050"/>
      <w:bookmarkStart w:id="281" w:name="_Toc352760159"/>
      <w:bookmarkStart w:id="282" w:name="_Toc353522803"/>
    </w:p>
    <w:p w:rsidR="00B65A71" w:rsidRPr="0050561F" w:rsidRDefault="00B65A71" w:rsidP="00790CC9">
      <w:pPr>
        <w:pStyle w:val="Heading3"/>
      </w:pPr>
      <w:bookmarkStart w:id="283" w:name="_Toc393897959"/>
      <w:r w:rsidRPr="0050561F">
        <w:t>Procjena godišnje efektivne doze zračenja - mjere radiološke opterećenosti stanovništva   kao posledica izlaganja radonu u zatvorenim prostorijama</w:t>
      </w:r>
      <w:bookmarkEnd w:id="276"/>
      <w:bookmarkEnd w:id="277"/>
      <w:bookmarkEnd w:id="278"/>
      <w:bookmarkEnd w:id="279"/>
      <w:bookmarkEnd w:id="280"/>
      <w:bookmarkEnd w:id="281"/>
      <w:bookmarkEnd w:id="282"/>
      <w:bookmarkEnd w:id="283"/>
    </w:p>
    <w:p w:rsidR="00B65A71" w:rsidRPr="00790CC9" w:rsidRDefault="00B65A71" w:rsidP="00BD6DA2">
      <w:pPr>
        <w:rPr>
          <w:rFonts w:ascii="Constantia" w:hAnsi="Constantia"/>
        </w:rPr>
      </w:pPr>
      <w:r w:rsidRPr="00790CC9">
        <w:rPr>
          <w:rFonts w:ascii="Constantia" w:hAnsi="Constantia"/>
        </w:rPr>
        <w:t xml:space="preserve">Vrijednosti godišnjih efektivnih doza su izvedene na osnovu konverzionog faktora 0.025 mSv/(Bq/m3), u skladu sa preporukama UNSCEAR  (1993) i srednje godišnje koncentracija aktivnosti radona koja je  prikazana na  grafikonu </w:t>
      </w:r>
      <w:r w:rsidR="005D7A4D" w:rsidRPr="00790CC9">
        <w:rPr>
          <w:rFonts w:ascii="Constantia" w:hAnsi="Constantia"/>
        </w:rPr>
        <w:t>96</w:t>
      </w:r>
      <w:r w:rsidRPr="00790CC9">
        <w:rPr>
          <w:rFonts w:ascii="Constantia" w:hAnsi="Constantia"/>
        </w:rPr>
        <w:t xml:space="preserve">. </w:t>
      </w:r>
    </w:p>
    <w:p w:rsidR="00B65A71" w:rsidRPr="00790CC9" w:rsidRDefault="00B65A71" w:rsidP="00BD6DA2">
      <w:pPr>
        <w:rPr>
          <w:rFonts w:ascii="Constantia" w:hAnsi="Constantia"/>
        </w:rPr>
      </w:pPr>
      <w:r w:rsidRPr="00790CC9">
        <w:rPr>
          <w:rFonts w:ascii="Constantia" w:hAnsi="Constantia"/>
        </w:rPr>
        <w:t xml:space="preserve">Kao najrealnija vrijednost za srednju godišnju koncentraciju aktivnosti radona u boravišnim prostorijama uzima se aritmetička sredina svih rezultata do sada realizovanog programa izrade radonske mape Crne Gore  i iznosi 105 Bq/m3. </w:t>
      </w:r>
    </w:p>
    <w:p w:rsidR="00B65A71" w:rsidRPr="0050561F" w:rsidRDefault="00B65A71" w:rsidP="00B65A71">
      <w:pPr>
        <w:ind w:firstLine="720"/>
        <w:rPr>
          <w:rFonts w:ascii="Arial" w:hAnsi="Arial" w:cs="Arial"/>
          <w:szCs w:val="22"/>
        </w:rPr>
      </w:pPr>
      <w:r w:rsidRPr="0050561F">
        <w:rPr>
          <w:rFonts w:ascii="Arial" w:hAnsi="Arial" w:cs="Arial"/>
          <w:noProof/>
          <w:szCs w:val="22"/>
        </w:rPr>
        <w:lastRenderedPageBreak/>
        <w:drawing>
          <wp:inline distT="0" distB="0" distL="0" distR="0" wp14:anchorId="7E3F87F3" wp14:editId="664F6512">
            <wp:extent cx="5305425" cy="2771775"/>
            <wp:effectExtent l="0" t="0" r="0" b="0"/>
            <wp:docPr id="821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0"/>
              </a:graphicData>
            </a:graphic>
          </wp:inline>
        </w:drawing>
      </w:r>
    </w:p>
    <w:p w:rsidR="00B65A71" w:rsidRPr="00BD6DA2" w:rsidRDefault="00BD6DA2" w:rsidP="00A431AB">
      <w:pPr>
        <w:pStyle w:val="Grafikon"/>
        <w:ind w:left="540"/>
        <w:jc w:val="both"/>
      </w:pPr>
      <w:r w:rsidRPr="0050561F">
        <w:t>Srednja godišnja koncentracija aktivnosti radona (Bq/m</w:t>
      </w:r>
      <w:r w:rsidRPr="0050561F">
        <w:rPr>
          <w:vertAlign w:val="superscript"/>
        </w:rPr>
        <w:t>3</w:t>
      </w:r>
      <w:r w:rsidRPr="0050561F">
        <w:t>)u boravišnim i radnim prostorijma koja je rezultat dugoročnih mjerenja, tj dobijena je na osnovu  oko 70% urađene radonske mape Crne Gore,  u poređenju sa srednjim godišnjim koncentracijama aktivnosti mjerenim u većini evropskih i u</w:t>
      </w:r>
      <w:r>
        <w:t xml:space="preserve"> pjedinim neevropskim zemljama.</w:t>
      </w:r>
    </w:p>
    <w:p w:rsidR="00BD6DA2" w:rsidRDefault="00BD6DA2" w:rsidP="00BD6DA2">
      <w:pPr>
        <w:rPr>
          <w:rFonts w:ascii="Arial" w:hAnsi="Arial" w:cs="Arial"/>
          <w:szCs w:val="22"/>
          <w:lang w:val="sr-Latn-CS"/>
        </w:rPr>
      </w:pPr>
    </w:p>
    <w:p w:rsidR="00B65A71" w:rsidRPr="00790CC9" w:rsidRDefault="00B65A71" w:rsidP="00BD6DA2">
      <w:pPr>
        <w:rPr>
          <w:rFonts w:ascii="Constantia" w:hAnsi="Constantia"/>
        </w:rPr>
      </w:pPr>
      <w:r w:rsidRPr="00790CC9">
        <w:rPr>
          <w:rFonts w:ascii="Constantia" w:hAnsi="Constantia"/>
        </w:rPr>
        <w:t xml:space="preserve">Na ovaj način se dobija da stanovnik Crne Gore kao posledicu izlaganja radonu u zatvorenim boravišnim prostorijama dobija godišnje 2,65 mSv (grafikon </w:t>
      </w:r>
      <w:r w:rsidR="00BD6DA2" w:rsidRPr="00790CC9">
        <w:rPr>
          <w:rFonts w:ascii="Constantia" w:hAnsi="Constantia"/>
        </w:rPr>
        <w:t>97</w:t>
      </w:r>
      <w:r w:rsidRPr="00790CC9">
        <w:rPr>
          <w:rFonts w:ascii="Constantia" w:hAnsi="Constantia"/>
        </w:rPr>
        <w:t>).</w:t>
      </w:r>
    </w:p>
    <w:p w:rsidR="00B65A71" w:rsidRPr="0050561F" w:rsidRDefault="00B65A71" w:rsidP="00B65A71">
      <w:pPr>
        <w:ind w:firstLine="720"/>
        <w:rPr>
          <w:rFonts w:ascii="Arial" w:hAnsi="Arial" w:cs="Arial"/>
          <w:szCs w:val="22"/>
          <w:lang w:val="sr-Latn-CS"/>
        </w:rPr>
      </w:pPr>
    </w:p>
    <w:p w:rsidR="00B65A71" w:rsidRPr="0050561F" w:rsidRDefault="00B65A71" w:rsidP="00B65A71">
      <w:pPr>
        <w:ind w:firstLine="720"/>
        <w:rPr>
          <w:rFonts w:ascii="Arial" w:hAnsi="Arial" w:cs="Arial"/>
          <w:szCs w:val="22"/>
          <w:lang w:val="sr-Latn-CS"/>
        </w:rPr>
      </w:pPr>
    </w:p>
    <w:p w:rsidR="00B65A71" w:rsidRPr="0050561F" w:rsidRDefault="00B65A71" w:rsidP="00B65A71">
      <w:pPr>
        <w:rPr>
          <w:rFonts w:ascii="Arial" w:hAnsi="Arial" w:cs="Arial"/>
          <w:szCs w:val="22"/>
          <w:lang w:val="sr-Latn-CS"/>
        </w:rPr>
      </w:pPr>
      <w:r w:rsidRPr="0050561F">
        <w:rPr>
          <w:rFonts w:ascii="Arial" w:hAnsi="Arial" w:cs="Arial"/>
          <w:noProof/>
          <w:szCs w:val="22"/>
        </w:rPr>
        <w:drawing>
          <wp:inline distT="0" distB="0" distL="0" distR="0" wp14:anchorId="0EE5549C" wp14:editId="0EEB9BD3">
            <wp:extent cx="5220269" cy="1671851"/>
            <wp:effectExtent l="0" t="0" r="0" b="0"/>
            <wp:docPr id="821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1"/>
              </a:graphicData>
            </a:graphic>
          </wp:inline>
        </w:drawing>
      </w:r>
    </w:p>
    <w:p w:rsidR="00BD6DA2" w:rsidRPr="00BD6DA2" w:rsidRDefault="00BD6DA2" w:rsidP="00BD6DA2">
      <w:pPr>
        <w:pStyle w:val="Grafikon"/>
        <w:ind w:left="0" w:firstLine="0"/>
        <w:jc w:val="both"/>
      </w:pPr>
      <w:r w:rsidRPr="0050561F">
        <w:rPr>
          <w:rFonts w:ascii="Arial" w:hAnsi="Arial" w:cs="Arial"/>
          <w:sz w:val="22"/>
          <w:szCs w:val="22"/>
        </w:rPr>
        <w:t>Godišnja efektivna doza zračenja primljena od strane odraslog stanovnika kao posledica izlaganja radonu u zatvorenim prostorijma izrazena u mSv. Vrijednost su prikazane i za većinu evropskih (uključujući Crnu Goru) kao i za pojedine neevropske zemlje</w:t>
      </w:r>
      <w:r w:rsidRPr="00B84C57">
        <w:t xml:space="preserve"> </w:t>
      </w:r>
    </w:p>
    <w:p w:rsidR="00B65A71" w:rsidRPr="0050561F" w:rsidRDefault="00B65A71" w:rsidP="00B65A71">
      <w:pPr>
        <w:rPr>
          <w:rFonts w:ascii="Arial" w:hAnsi="Arial" w:cs="Arial"/>
          <w:szCs w:val="22"/>
          <w:lang w:val="sr-Latn-CS"/>
        </w:rPr>
      </w:pPr>
    </w:p>
    <w:p w:rsidR="00B65A71" w:rsidRPr="00790CC9" w:rsidRDefault="00B65A71" w:rsidP="009D2B69">
      <w:pPr>
        <w:rPr>
          <w:rFonts w:ascii="Constantia" w:hAnsi="Constantia"/>
        </w:rPr>
      </w:pPr>
      <w:r w:rsidRPr="00790CC9">
        <w:rPr>
          <w:rFonts w:ascii="Constantia" w:hAnsi="Constantia"/>
        </w:rPr>
        <w:t xml:space="preserve">Za razliku od drugih faktora koji doprinose godišnjoj dozi zračenja koju primi odrastao stanovnik Crne Gore, radon je faktor koji je moguće najjednostavnije sniziti preduzimanjem konkretnih remedijacionih mjera. Osnovne metode remedijacije su ugradnja efikasnog ventilacionog sistema koji bi uticao na smanjenje koncentracija aktivnosti radona u zatvorenim prostorijama kao i povećanje otpornosti podova korišćenjem izolacionih materijala u cilju smanjenja emanacija radona, tj. protoka radona iz zemljišta u boravišne prostorije. </w:t>
      </w:r>
    </w:p>
    <w:p w:rsidR="00B65A71" w:rsidRPr="00790CC9" w:rsidRDefault="00B65A71" w:rsidP="00B65A71">
      <w:pPr>
        <w:rPr>
          <w:rFonts w:ascii="Constantia" w:hAnsi="Constantia"/>
        </w:rPr>
      </w:pPr>
      <w:r w:rsidRPr="00790CC9">
        <w:rPr>
          <w:rFonts w:ascii="Constantia" w:hAnsi="Constantia"/>
        </w:rPr>
        <w:t xml:space="preserve">Prilikom boravka na otvorenom prostoru takodje postoji izloženost stanovništva gasu radonu kao posledica  njegove emanacije iz zemljišta. Proračun efektivne doze koja je rezultat izlaganja radonu na otvorenom prostoru je isti kao i proračun za efektivnu dozu za zatvoreni </w:t>
      </w:r>
      <w:r w:rsidRPr="00790CC9">
        <w:rPr>
          <w:rFonts w:ascii="Constantia" w:hAnsi="Constantia"/>
        </w:rPr>
        <w:lastRenderedPageBreak/>
        <w:t xml:space="preserve">prostor samo se mijenja faktor koji govori o vremenu koje stanovnik provede na otvorenom kao i  uzima se da je koncentracija radona na otvorenom prostoru 10 Bq/m3 (UNSCEAR 2000) Dakle, ukupna efektivna doza od radona na otvorenom prostoru je 0,095 mSv za godinu dana. </w:t>
      </w:r>
    </w:p>
    <w:p w:rsidR="00B65A71" w:rsidRPr="00790CC9" w:rsidRDefault="00B65A71" w:rsidP="009D2B69">
      <w:pPr>
        <w:rPr>
          <w:rFonts w:ascii="Constantia" w:hAnsi="Constantia"/>
        </w:rPr>
      </w:pPr>
      <w:r w:rsidRPr="00790CC9">
        <w:rPr>
          <w:rFonts w:ascii="Constantia" w:hAnsi="Constantia"/>
        </w:rPr>
        <w:t>Proračun efektivnih doza za toron (220Rn) je definisan kao i za radon (222 Rn) uz naravno korišćenje podataka o ekvivalentnoj ravnoteži koncentracije torona, težinskog faktora za toron i naravno činjenice koliko prosječan odrastao stanovnik provede na otvorenom u i zatvorenom prostoru. Efektivna doza koja je posledica izloženosti stanovnika Crne Gore toronu u zatvorenom prostoru je 0,084 mSv za godinu dana dok je efektivna doza koja je posledica izloženosti stanovnika Crne Gore toronu na otvorenom prostoru je 0,007 mSv za godinu dana.</w:t>
      </w:r>
    </w:p>
    <w:p w:rsidR="00B65A71" w:rsidRPr="00790CC9" w:rsidRDefault="00B65A71" w:rsidP="009D2B69">
      <w:pPr>
        <w:rPr>
          <w:rFonts w:ascii="Constantia" w:hAnsi="Constantia"/>
        </w:rPr>
      </w:pPr>
      <w:r w:rsidRPr="00790CC9">
        <w:rPr>
          <w:rFonts w:ascii="Constantia" w:hAnsi="Constantia"/>
        </w:rPr>
        <w:t>Inhalacijom radona (222Rn) i torona (220Rn) na otvorenom i u zatvorenom prostoru stanovnikm Crne Gore  primi ukupnu efektivnu dozu od (2,65+0,095+0,084+0,007) mSv/god tj 2,836 mSv/god.</w:t>
      </w:r>
    </w:p>
    <w:p w:rsidR="00B65A71" w:rsidRPr="008315C2" w:rsidRDefault="00B65A71" w:rsidP="009D2B69">
      <w:pPr>
        <w:rPr>
          <w:rFonts w:ascii="Constantia" w:hAnsi="Constantia"/>
          <w:b/>
        </w:rPr>
      </w:pPr>
      <w:r w:rsidRPr="008315C2">
        <w:rPr>
          <w:rFonts w:ascii="Constantia" w:hAnsi="Constantia"/>
          <w:b/>
        </w:rPr>
        <w:t xml:space="preserve">Zaključak: Inhalacijom radona u zatvorenom prostoru pojedinac primi efektivnu dozu od 2,65 mSv/god (treba imati na umu da je ova vrijednost donešena na osnovu rezultata koji je rezultat mjerenja do sada realizovanog dijela  radonske mape) što je  skoro 70% od ukupno primljene  efektivne doze koja je posledica izlaganja jonizujućem zračenju prirodnog porijekla. </w:t>
      </w:r>
      <w:bookmarkStart w:id="284" w:name="_Toc290541615"/>
      <w:bookmarkStart w:id="285" w:name="_Toc319930924"/>
      <w:bookmarkStart w:id="286" w:name="_Toc319931735"/>
      <w:bookmarkStart w:id="287" w:name="_Toc320796904"/>
      <w:bookmarkStart w:id="288" w:name="_Toc321316131"/>
      <w:bookmarkStart w:id="289" w:name="_Toc352657399"/>
      <w:bookmarkStart w:id="290" w:name="_Toc352759512"/>
      <w:bookmarkStart w:id="291" w:name="_Toc352759612"/>
      <w:bookmarkStart w:id="292" w:name="_Toc352760051"/>
      <w:bookmarkStart w:id="293" w:name="_Toc352760160"/>
    </w:p>
    <w:p w:rsidR="00B65A71" w:rsidRPr="00F06A67" w:rsidRDefault="00B65A71" w:rsidP="008315C2">
      <w:pPr>
        <w:pStyle w:val="Heading2"/>
        <w:numPr>
          <w:ilvl w:val="1"/>
          <w:numId w:val="52"/>
        </w:numPr>
      </w:pPr>
      <w:bookmarkStart w:id="294" w:name="_Toc384895586"/>
      <w:bookmarkStart w:id="295" w:name="_Toc393897960"/>
      <w:r w:rsidRPr="00F06A67">
        <w:t>Ispitivanje sadržaja radionuklida u građevinskom materijalu</w:t>
      </w:r>
      <w:bookmarkEnd w:id="284"/>
      <w:bookmarkEnd w:id="285"/>
      <w:bookmarkEnd w:id="286"/>
      <w:bookmarkEnd w:id="287"/>
      <w:bookmarkEnd w:id="288"/>
      <w:bookmarkEnd w:id="289"/>
      <w:bookmarkEnd w:id="290"/>
      <w:bookmarkEnd w:id="291"/>
      <w:bookmarkEnd w:id="292"/>
      <w:bookmarkEnd w:id="293"/>
      <w:bookmarkEnd w:id="294"/>
      <w:bookmarkEnd w:id="295"/>
      <w:r w:rsidRPr="00F06A67">
        <w:t xml:space="preserve"> </w:t>
      </w:r>
    </w:p>
    <w:p w:rsidR="00B65A71" w:rsidRPr="00790CC9" w:rsidRDefault="00B65A71" w:rsidP="009D2B69">
      <w:pPr>
        <w:rPr>
          <w:rFonts w:ascii="Constantia" w:hAnsi="Constantia"/>
        </w:rPr>
      </w:pPr>
      <w:r w:rsidRPr="00790CC9">
        <w:rPr>
          <w:rFonts w:ascii="Constantia" w:hAnsi="Constantia"/>
        </w:rPr>
        <w:t xml:space="preserve">Ograničenja na upotrebu građevinskog materijala su uglavnom povezana sa γ zračenjem koje emituju radionuklidi koji su sastavni dio tog materijala. </w:t>
      </w:r>
    </w:p>
    <w:p w:rsidR="00B65A71" w:rsidRPr="00790CC9" w:rsidRDefault="00B65A71" w:rsidP="00B65A71">
      <w:pPr>
        <w:rPr>
          <w:rFonts w:ascii="Constantia" w:hAnsi="Constantia"/>
        </w:rPr>
      </w:pPr>
      <w:r w:rsidRPr="00790CC9">
        <w:rPr>
          <w:rFonts w:ascii="Constantia" w:hAnsi="Constantia"/>
        </w:rPr>
        <w:t>U Crnoj Gori se od 1999. godine vrši sistematsko ispitivanje sadržaja radionuklida u građevinskom materijalu, analiziranjem različitih uzoraka sa teritorije Crne Gore. Mjere se aktivnosti prirodnih radionuklida: 40K, 226Ra, 232Th, kao i vještačkog radionuklida 137Cs. Granice radioaktivne kontaminacije građevinskog materijala su propisane Pravilnikom o granicama kontaminacije životne sredine i o načinu sprovođenja dekontaminacije („Sl. List SRJ“ br. 9/99).</w:t>
      </w:r>
    </w:p>
    <w:p w:rsidR="00B65A71" w:rsidRPr="00790CC9" w:rsidRDefault="00B65A71" w:rsidP="00B65A71">
      <w:pPr>
        <w:rPr>
          <w:rFonts w:ascii="Constantia" w:hAnsi="Constantia"/>
        </w:rPr>
      </w:pPr>
      <w:r w:rsidRPr="00790CC9">
        <w:rPr>
          <w:rFonts w:ascii="Constantia" w:hAnsi="Constantia"/>
        </w:rPr>
        <w:t>Tokom 2013. godine serija mjerenja specifičnih aktivnosti referentnih radionuklida je obavljena na samo dva različita uzorka materijala (šljunak i betonski blokovi), zbog ograničenih materijalnih sredstava koja su bila predviđena za monitoring radioaktivnosti.</w:t>
      </w:r>
    </w:p>
    <w:p w:rsidR="00B65A71" w:rsidRPr="0000154C" w:rsidRDefault="00B65A71" w:rsidP="00B65A71">
      <w:pPr>
        <w:jc w:val="center"/>
        <w:rPr>
          <w:rFonts w:ascii="Arial" w:hAnsi="Arial" w:cs="Arial"/>
          <w:szCs w:val="22"/>
          <w:lang w:val="sr-Latn-CS"/>
        </w:rPr>
      </w:pPr>
      <w:r w:rsidRPr="0000154C">
        <w:rPr>
          <w:rFonts w:ascii="Arial" w:hAnsi="Arial" w:cs="Arial"/>
          <w:noProof/>
          <w:szCs w:val="22"/>
        </w:rPr>
        <w:drawing>
          <wp:inline distT="0" distB="0" distL="0" distR="0" wp14:anchorId="7FC59523" wp14:editId="59F7555A">
            <wp:extent cx="5036024" cy="1528549"/>
            <wp:effectExtent l="0" t="0" r="0" b="0"/>
            <wp:docPr id="821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2"/>
              </a:graphicData>
            </a:graphic>
          </wp:inline>
        </w:drawing>
      </w:r>
    </w:p>
    <w:p w:rsidR="009D2B69" w:rsidRPr="00BD6DA2" w:rsidRDefault="009D2B69" w:rsidP="009D2B69">
      <w:pPr>
        <w:pStyle w:val="Grafikon"/>
        <w:ind w:left="0" w:firstLine="0"/>
        <w:jc w:val="both"/>
      </w:pPr>
      <w:r w:rsidRPr="00C23AD7">
        <w:rPr>
          <w:rFonts w:ascii="Arial" w:hAnsi="Arial" w:cs="Arial"/>
          <w:sz w:val="22"/>
          <w:szCs w:val="22"/>
        </w:rPr>
        <w:t>Specifičn</w:t>
      </w:r>
      <w:r>
        <w:rPr>
          <w:rFonts w:ascii="Arial" w:hAnsi="Arial" w:cs="Arial"/>
          <w:sz w:val="22"/>
          <w:szCs w:val="22"/>
        </w:rPr>
        <w:t>e aktivnosti</w:t>
      </w:r>
      <w:r w:rsidRPr="00C23AD7">
        <w:rPr>
          <w:rFonts w:ascii="Arial" w:hAnsi="Arial" w:cs="Arial"/>
          <w:sz w:val="22"/>
          <w:szCs w:val="22"/>
        </w:rPr>
        <w:t xml:space="preserve"> </w:t>
      </w:r>
      <w:r w:rsidRPr="00C23AD7">
        <w:rPr>
          <w:rFonts w:ascii="Arial" w:hAnsi="Arial" w:cs="Arial"/>
          <w:sz w:val="22"/>
          <w:szCs w:val="22"/>
          <w:vertAlign w:val="superscript"/>
        </w:rPr>
        <w:t>226</w:t>
      </w:r>
      <w:r w:rsidRPr="00C23AD7">
        <w:rPr>
          <w:rFonts w:ascii="Arial" w:hAnsi="Arial" w:cs="Arial"/>
          <w:sz w:val="22"/>
          <w:szCs w:val="22"/>
        </w:rPr>
        <w:t>Ra</w:t>
      </w:r>
      <w:r>
        <w:rPr>
          <w:rFonts w:ascii="Arial" w:hAnsi="Arial" w:cs="Arial"/>
          <w:sz w:val="22"/>
          <w:szCs w:val="22"/>
        </w:rPr>
        <w:t xml:space="preserve"> </w:t>
      </w:r>
      <w:r w:rsidRPr="00C23AD7">
        <w:rPr>
          <w:rFonts w:ascii="Arial" w:hAnsi="Arial" w:cs="Arial"/>
          <w:sz w:val="22"/>
          <w:szCs w:val="22"/>
        </w:rPr>
        <w:t>(Bq/kg )izvedene  iz analiziranih uzoraka građevinskih materijala (šljunak i betonski blok) na teritoriji Crne Gore u 2013. godini u poređenju sa maksimalno dozvoljenim granicama</w:t>
      </w:r>
      <w:r w:rsidRPr="0050561F">
        <w:rPr>
          <w:rFonts w:ascii="Arial" w:hAnsi="Arial" w:cs="Arial"/>
          <w:sz w:val="22"/>
          <w:szCs w:val="22"/>
        </w:rPr>
        <w:t xml:space="preserve"> </w:t>
      </w:r>
    </w:p>
    <w:p w:rsidR="00B65A71" w:rsidRPr="00790CC9" w:rsidRDefault="00B65A71" w:rsidP="00B65A71">
      <w:pPr>
        <w:rPr>
          <w:rFonts w:ascii="Constantia" w:hAnsi="Constantia"/>
        </w:rPr>
      </w:pPr>
      <w:r w:rsidRPr="00790CC9">
        <w:rPr>
          <w:rFonts w:ascii="Constantia" w:hAnsi="Constantia"/>
        </w:rPr>
        <w:t xml:space="preserve">Grafikon </w:t>
      </w:r>
      <w:r w:rsidR="009D2B69" w:rsidRPr="00790CC9">
        <w:rPr>
          <w:rFonts w:ascii="Constantia" w:hAnsi="Constantia"/>
        </w:rPr>
        <w:t>98</w:t>
      </w:r>
      <w:r w:rsidRPr="00790CC9">
        <w:rPr>
          <w:rFonts w:ascii="Constantia" w:hAnsi="Constantia"/>
        </w:rPr>
        <w:t xml:space="preserve"> prikazuje rezultate mjerenja specifičnih aktivnosti 226Ra izvedenih iz dva uzorka građevinskih materijala korišćenih u 2013. godini. U oba uzorka  specifične aktivnosti radijuma </w:t>
      </w:r>
      <w:r w:rsidRPr="00790CC9">
        <w:rPr>
          <w:rFonts w:ascii="Constantia" w:hAnsi="Constantia"/>
        </w:rPr>
        <w:lastRenderedPageBreak/>
        <w:t>su znatno niže u odnosu na maksimalno dozvoljene granice za 226Ra koje se odnose na upotrebu  za eksterijer (400 Bq/kg)  i za enterijer (200 Bq/kg)</w:t>
      </w:r>
      <w:r w:rsidR="00790CC9">
        <w:rPr>
          <w:rFonts w:ascii="Constantia" w:hAnsi="Constantia"/>
        </w:rPr>
        <w:t>.</w:t>
      </w:r>
      <w:r w:rsidRPr="00790CC9">
        <w:rPr>
          <w:rFonts w:ascii="Constantia" w:hAnsi="Constantia"/>
        </w:rPr>
        <w:t xml:space="preserve">  </w:t>
      </w:r>
    </w:p>
    <w:p w:rsidR="00B65A71" w:rsidRPr="00790CC9" w:rsidRDefault="00B65A71" w:rsidP="00B65A71">
      <w:pPr>
        <w:rPr>
          <w:rFonts w:ascii="Constantia" w:hAnsi="Constantia"/>
        </w:rPr>
      </w:pPr>
    </w:p>
    <w:p w:rsidR="00B65A71" w:rsidRPr="0000154C" w:rsidRDefault="00B65A71" w:rsidP="009E5CA4">
      <w:pPr>
        <w:jc w:val="center"/>
        <w:rPr>
          <w:rFonts w:ascii="Arial" w:hAnsi="Arial" w:cs="Arial"/>
          <w:szCs w:val="22"/>
          <w:lang w:val="sr-Latn-CS"/>
        </w:rPr>
      </w:pPr>
      <w:r w:rsidRPr="0000154C">
        <w:rPr>
          <w:rFonts w:ascii="Arial" w:hAnsi="Arial" w:cs="Arial"/>
          <w:noProof/>
          <w:szCs w:val="22"/>
        </w:rPr>
        <w:drawing>
          <wp:inline distT="0" distB="0" distL="0" distR="0" wp14:anchorId="00923E48" wp14:editId="056C08CE">
            <wp:extent cx="5036024" cy="1528549"/>
            <wp:effectExtent l="0" t="0" r="0" b="0"/>
            <wp:docPr id="8220"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3"/>
              </a:graphicData>
            </a:graphic>
          </wp:inline>
        </w:drawing>
      </w:r>
    </w:p>
    <w:p w:rsidR="009E5CA4" w:rsidRPr="00BD6DA2" w:rsidRDefault="009E5CA4" w:rsidP="009E5CA4">
      <w:pPr>
        <w:pStyle w:val="Grafikon"/>
        <w:ind w:left="0" w:firstLine="0"/>
        <w:jc w:val="both"/>
      </w:pPr>
      <w:r w:rsidRPr="00937EFD">
        <w:rPr>
          <w:rFonts w:ascii="Arial" w:hAnsi="Arial" w:cs="Arial"/>
          <w:sz w:val="22"/>
          <w:szCs w:val="22"/>
        </w:rPr>
        <w:t xml:space="preserve">Specifične aktivnosti </w:t>
      </w:r>
      <w:r w:rsidRPr="00937EFD">
        <w:rPr>
          <w:rFonts w:ascii="Arial" w:hAnsi="Arial" w:cs="Arial"/>
          <w:sz w:val="22"/>
          <w:szCs w:val="22"/>
          <w:vertAlign w:val="superscript"/>
        </w:rPr>
        <w:t>232</w:t>
      </w:r>
      <w:r w:rsidRPr="00937EFD">
        <w:rPr>
          <w:rFonts w:ascii="Arial" w:hAnsi="Arial" w:cs="Arial"/>
          <w:sz w:val="22"/>
          <w:szCs w:val="22"/>
        </w:rPr>
        <w:t>Th (Bq/kg) izvedene iz analiziranih uzoraka građevinskih materijala (šljunak i betonski blok) na teritoriji Crne Gore u 2013. godini u poređenju sa maksimalno dozvoljenim granicama</w:t>
      </w:r>
      <w:r w:rsidRPr="0050561F">
        <w:rPr>
          <w:rFonts w:ascii="Arial" w:hAnsi="Arial" w:cs="Arial"/>
          <w:sz w:val="22"/>
          <w:szCs w:val="22"/>
        </w:rPr>
        <w:t xml:space="preserve"> </w:t>
      </w:r>
    </w:p>
    <w:p w:rsidR="00B65A71" w:rsidRPr="00790CC9" w:rsidRDefault="00B65A71" w:rsidP="00B65A71">
      <w:pPr>
        <w:rPr>
          <w:rFonts w:ascii="Constantia" w:hAnsi="Constantia"/>
        </w:rPr>
      </w:pPr>
      <w:r w:rsidRPr="00790CC9">
        <w:rPr>
          <w:rFonts w:ascii="Constantia" w:hAnsi="Constantia"/>
        </w:rPr>
        <w:t xml:space="preserve">Grafikon </w:t>
      </w:r>
      <w:r w:rsidR="009E5CA4" w:rsidRPr="00790CC9">
        <w:rPr>
          <w:rFonts w:ascii="Constantia" w:hAnsi="Constantia"/>
        </w:rPr>
        <w:t>99</w:t>
      </w:r>
      <w:r w:rsidRPr="00790CC9">
        <w:rPr>
          <w:rFonts w:ascii="Constantia" w:hAnsi="Constantia"/>
        </w:rPr>
        <w:t xml:space="preserve"> prikazuje rezultate mjerenja specifičnih aktivnosti 232Th izvedenih iz dva uzorka građevinskih materijala korišćenih u 2013. godini. U oba uzorka  specifične aktivnosti torijuma su znatno niže u odnosu na maksimalno dozvoljene granice za 232Th koje se odnose na upotrebu  za eksterijer i  enterijer (300 Bq/kg). </w:t>
      </w:r>
    </w:p>
    <w:p w:rsidR="00B65A71" w:rsidRPr="00937EFD" w:rsidRDefault="00B65A71" w:rsidP="00B65A71">
      <w:pPr>
        <w:rPr>
          <w:rFonts w:ascii="Arial" w:hAnsi="Arial" w:cs="Arial"/>
          <w:noProof/>
          <w:szCs w:val="22"/>
          <w:lang w:val="sr-Latn-CS"/>
        </w:rPr>
      </w:pPr>
    </w:p>
    <w:p w:rsidR="00B65A71" w:rsidRPr="0000154C" w:rsidRDefault="00B65A71" w:rsidP="00B65A71">
      <w:pPr>
        <w:pStyle w:val="Grafikon"/>
        <w:numPr>
          <w:ilvl w:val="0"/>
          <w:numId w:val="0"/>
        </w:numPr>
        <w:jc w:val="both"/>
        <w:rPr>
          <w:rFonts w:ascii="Arial" w:hAnsi="Arial" w:cs="Arial"/>
          <w:sz w:val="22"/>
          <w:szCs w:val="22"/>
        </w:rPr>
      </w:pPr>
      <w:r w:rsidRPr="0000154C">
        <w:rPr>
          <w:rFonts w:ascii="Arial" w:hAnsi="Arial" w:cs="Arial"/>
          <w:noProof/>
          <w:sz w:val="22"/>
          <w:szCs w:val="22"/>
          <w:lang w:val="en-US"/>
        </w:rPr>
        <w:drawing>
          <wp:inline distT="0" distB="0" distL="0" distR="0" wp14:anchorId="1C9A869B" wp14:editId="6F2A9706">
            <wp:extent cx="5036024" cy="1528549"/>
            <wp:effectExtent l="0" t="0" r="0" b="0"/>
            <wp:docPr id="194" name="Chart 19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4"/>
              </a:graphicData>
            </a:graphic>
          </wp:inline>
        </w:drawing>
      </w:r>
      <w:r w:rsidRPr="0000154C">
        <w:rPr>
          <w:rFonts w:ascii="Arial" w:hAnsi="Arial" w:cs="Arial"/>
          <w:sz w:val="22"/>
          <w:szCs w:val="22"/>
        </w:rPr>
        <w:t xml:space="preserve"> </w:t>
      </w:r>
    </w:p>
    <w:p w:rsidR="009E5CA4" w:rsidRPr="00BD6DA2" w:rsidRDefault="009E5CA4" w:rsidP="009E5CA4">
      <w:pPr>
        <w:pStyle w:val="Grafikon"/>
        <w:ind w:left="0" w:firstLine="0"/>
        <w:jc w:val="both"/>
      </w:pPr>
      <w:r w:rsidRPr="00937EFD">
        <w:rPr>
          <w:rFonts w:ascii="Arial" w:hAnsi="Arial" w:cs="Arial"/>
          <w:sz w:val="22"/>
          <w:szCs w:val="22"/>
        </w:rPr>
        <w:t xml:space="preserve">Specifične aktivnosti  </w:t>
      </w:r>
      <w:r w:rsidRPr="00937EFD">
        <w:rPr>
          <w:rFonts w:ascii="Arial" w:hAnsi="Arial" w:cs="Arial"/>
          <w:sz w:val="22"/>
          <w:szCs w:val="22"/>
          <w:vertAlign w:val="superscript"/>
        </w:rPr>
        <w:t>40</w:t>
      </w:r>
      <w:r w:rsidRPr="00937EFD">
        <w:rPr>
          <w:rFonts w:ascii="Arial" w:hAnsi="Arial" w:cs="Arial"/>
          <w:sz w:val="22"/>
          <w:szCs w:val="22"/>
        </w:rPr>
        <w:t>K (Bq/kg) izvedene iz analiziranih uzoraka građevinskih materijala (šljunak i betonski blok) na teritoriji Crne Gore u 2013. godini u poređenju sa maksimalno dozvoljenim granicama</w:t>
      </w:r>
      <w:r w:rsidRPr="0050561F">
        <w:rPr>
          <w:rFonts w:ascii="Arial" w:hAnsi="Arial" w:cs="Arial"/>
          <w:sz w:val="22"/>
          <w:szCs w:val="22"/>
        </w:rPr>
        <w:t xml:space="preserve"> </w:t>
      </w:r>
    </w:p>
    <w:p w:rsidR="00B65A71" w:rsidRPr="00790CC9" w:rsidRDefault="00B65A71" w:rsidP="00B65A71">
      <w:pPr>
        <w:rPr>
          <w:rFonts w:ascii="Constantia" w:hAnsi="Constantia"/>
        </w:rPr>
      </w:pPr>
      <w:r w:rsidRPr="00790CC9">
        <w:rPr>
          <w:rFonts w:ascii="Constantia" w:hAnsi="Constantia"/>
        </w:rPr>
        <w:t xml:space="preserve">Grafikon </w:t>
      </w:r>
      <w:r w:rsidR="009E5CA4" w:rsidRPr="00790CC9">
        <w:rPr>
          <w:rFonts w:ascii="Constantia" w:hAnsi="Constantia"/>
        </w:rPr>
        <w:t>100</w:t>
      </w:r>
      <w:r w:rsidRPr="00790CC9">
        <w:rPr>
          <w:rFonts w:ascii="Constantia" w:hAnsi="Constantia"/>
        </w:rPr>
        <w:t xml:space="preserve"> prikazuje raspodjelu rezultata mjerenja specifičnih aktivnosti 40K izvedenih iz dva uzorka građevinskih materijala korišćenih u 2013. godini. U oba uzorka aktivnosti kalijuma su znatno niže u odnosu na maksimalno dozvoljene granice za 40K koje se odnose na upotrebu za eksterijer (5000 Bq/kg) i  enterijer (3000 Bq/kg).</w:t>
      </w:r>
    </w:p>
    <w:p w:rsidR="00B65A71" w:rsidRPr="00790CC9" w:rsidRDefault="00B65A71" w:rsidP="00B65A71">
      <w:pPr>
        <w:rPr>
          <w:rFonts w:ascii="Constantia" w:hAnsi="Constantia"/>
        </w:rPr>
      </w:pPr>
      <w:r w:rsidRPr="00790CC9">
        <w:rPr>
          <w:rFonts w:ascii="Constantia" w:hAnsi="Constantia"/>
        </w:rPr>
        <w:t>Shodno članovima 21. i 22.  Pravilnika o granicama kontaminacije životne sredine i o načinu sprovođenja dekontaminacije („Sl. List SRJ“ br. 9/99) mogu se izračunati gama indeksi za građevinske materijale  za enterijer i eksterijer u visokogradnji koji ne smiju biti veći od 1. Gama indeksi  i za šljunak i za betonski blok su u 2013. godini bili manji od  1  kako za enterijertako i za eksterijer.</w:t>
      </w:r>
    </w:p>
    <w:p w:rsidR="00B65A71" w:rsidRPr="00EC4A75" w:rsidRDefault="00B65A71" w:rsidP="00B65A71">
      <w:pPr>
        <w:rPr>
          <w:rFonts w:ascii="Constantia" w:hAnsi="Constantia"/>
          <w:b/>
        </w:rPr>
      </w:pPr>
      <w:r w:rsidRPr="00790CC9">
        <w:rPr>
          <w:rFonts w:ascii="Constantia" w:hAnsi="Constantia"/>
          <w:b/>
        </w:rPr>
        <w:t>Zaključak:</w:t>
      </w:r>
      <w:r w:rsidRPr="00790CC9">
        <w:rPr>
          <w:rFonts w:ascii="Constantia" w:hAnsi="Constantia"/>
        </w:rPr>
        <w:t xml:space="preserve"> </w:t>
      </w:r>
      <w:r w:rsidRPr="00EC4A75">
        <w:rPr>
          <w:rFonts w:ascii="Constantia" w:hAnsi="Constantia"/>
          <w:b/>
        </w:rPr>
        <w:t>Rezultati ispitivanja u 2013. godini, kao i u prethodnim godinama,  pokazuju da su nivoi  specifičnih aktivnosti svih referentnih radionuklida znatno manji od maksimalno dozvoljenih vrijednosti koje su definisane  u Pravilniku o granicama kontaminacije životne sredine i o načinu spr</w:t>
      </w:r>
      <w:r w:rsidR="00EC4A75">
        <w:rPr>
          <w:rFonts w:ascii="Constantia" w:hAnsi="Constantia"/>
          <w:b/>
        </w:rPr>
        <w:t>ovođenja dekontaminacije („Sl. l</w:t>
      </w:r>
      <w:r w:rsidRPr="00EC4A75">
        <w:rPr>
          <w:rFonts w:ascii="Constantia" w:hAnsi="Constantia"/>
          <w:b/>
        </w:rPr>
        <w:t>ist SRJ“ br. 9/99).</w:t>
      </w:r>
    </w:p>
    <w:p w:rsidR="00B65A71" w:rsidRPr="00F06A67" w:rsidRDefault="00B65A71" w:rsidP="008315C2">
      <w:pPr>
        <w:pStyle w:val="Heading2"/>
        <w:numPr>
          <w:ilvl w:val="1"/>
          <w:numId w:val="52"/>
        </w:numPr>
        <w:ind w:left="851" w:hanging="851"/>
      </w:pPr>
      <w:bookmarkStart w:id="296" w:name="_Toc290541617"/>
      <w:bookmarkStart w:id="297" w:name="_Toc319930925"/>
      <w:bookmarkStart w:id="298" w:name="_Toc319931736"/>
      <w:bookmarkStart w:id="299" w:name="_Toc320796905"/>
      <w:bookmarkStart w:id="300" w:name="_Toc321316132"/>
      <w:bookmarkStart w:id="301" w:name="_Toc352657400"/>
      <w:bookmarkStart w:id="302" w:name="_Toc352759513"/>
      <w:bookmarkStart w:id="303" w:name="_Toc352759613"/>
      <w:r w:rsidRPr="00F06A67">
        <w:lastRenderedPageBreak/>
        <w:t xml:space="preserve"> </w:t>
      </w:r>
      <w:bookmarkStart w:id="304" w:name="_Toc352760052"/>
      <w:bookmarkStart w:id="305" w:name="_Toc352760161"/>
      <w:bookmarkStart w:id="306" w:name="_Toc384895587"/>
      <w:bookmarkStart w:id="307" w:name="_Toc393897961"/>
      <w:r w:rsidRPr="00F06A67">
        <w:t>Ispitivanje sadržaja radionuklida u vodi za piće</w:t>
      </w:r>
      <w:bookmarkEnd w:id="296"/>
      <w:bookmarkEnd w:id="297"/>
      <w:bookmarkEnd w:id="298"/>
      <w:bookmarkEnd w:id="299"/>
      <w:bookmarkEnd w:id="300"/>
      <w:bookmarkEnd w:id="301"/>
      <w:bookmarkEnd w:id="302"/>
      <w:bookmarkEnd w:id="303"/>
      <w:bookmarkEnd w:id="304"/>
      <w:bookmarkEnd w:id="305"/>
      <w:bookmarkEnd w:id="306"/>
      <w:bookmarkEnd w:id="307"/>
    </w:p>
    <w:p w:rsidR="00B65A71" w:rsidRPr="00790CC9" w:rsidRDefault="00B65A71" w:rsidP="009E5CA4">
      <w:pPr>
        <w:rPr>
          <w:rFonts w:ascii="Constantia" w:hAnsi="Constantia"/>
        </w:rPr>
      </w:pPr>
      <w:r w:rsidRPr="00790CC9">
        <w:rPr>
          <w:rFonts w:ascii="Constantia" w:hAnsi="Constantia"/>
        </w:rPr>
        <w:t>U Crnoj Gori se od 1999. godine vrši sistematsko ispitivanje sadržaja radionuklida u vodi za piće, analiziranjem koncentracija aktivnosti prirodnih radionuklida 40K, 226Ra, 232Th, 235U i 238U i vještačkog radionuklida 137Cs. Maksimalno dozvoljeni nivoi koncentracija radionuklida za vodu za piće su propisani Pravilnikom o granicama kontaminacije životne sredine i o načinu sprovođenja dekontaminacije („Sl. List SRJ“, br. 9/9)</w:t>
      </w:r>
      <w:r w:rsidR="00790CC9">
        <w:rPr>
          <w:rFonts w:ascii="Constantia" w:hAnsi="Constantia"/>
        </w:rPr>
        <w:t>.</w:t>
      </w:r>
    </w:p>
    <w:tbl>
      <w:tblPr>
        <w:tblStyle w:val="MediumGrid3-Accent5"/>
        <w:tblW w:w="0" w:type="auto"/>
        <w:tblLayout w:type="fixed"/>
        <w:tblLook w:val="04A0" w:firstRow="1" w:lastRow="0" w:firstColumn="1" w:lastColumn="0" w:noHBand="0" w:noVBand="1"/>
      </w:tblPr>
      <w:tblGrid>
        <w:gridCol w:w="1638"/>
        <w:gridCol w:w="1350"/>
        <w:gridCol w:w="993"/>
        <w:gridCol w:w="1327"/>
        <w:gridCol w:w="1327"/>
        <w:gridCol w:w="1327"/>
        <w:gridCol w:w="1327"/>
      </w:tblGrid>
      <w:tr w:rsidR="00B65A71" w:rsidRPr="0000154C" w:rsidTr="00B65A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tcPr>
          <w:p w:rsidR="00B65A71" w:rsidRPr="0000154C" w:rsidRDefault="00B65A71" w:rsidP="00B65A71">
            <w:pPr>
              <w:rPr>
                <w:rFonts w:ascii="Arial" w:hAnsi="Arial" w:cs="Arial"/>
                <w:color w:val="000000" w:themeColor="text1"/>
                <w:szCs w:val="22"/>
                <w:lang w:val="sr-Latn-CS"/>
              </w:rPr>
            </w:pPr>
            <w:r>
              <w:rPr>
                <w:rFonts w:ascii="Arial" w:hAnsi="Arial" w:cs="Arial"/>
                <w:color w:val="000000" w:themeColor="text1"/>
                <w:szCs w:val="22"/>
                <w:lang w:val="sr-Latn-CS"/>
              </w:rPr>
              <w:t xml:space="preserve">Voda za piće, </w:t>
            </w:r>
            <w:r w:rsidRPr="0000154C">
              <w:rPr>
                <w:rFonts w:ascii="Arial" w:hAnsi="Arial" w:cs="Arial"/>
                <w:color w:val="000000" w:themeColor="text1"/>
                <w:szCs w:val="22"/>
                <w:lang w:val="sr-Latn-CS"/>
              </w:rPr>
              <w:t>B</w:t>
            </w:r>
            <w:r>
              <w:rPr>
                <w:rFonts w:ascii="Arial" w:hAnsi="Arial" w:cs="Arial"/>
                <w:color w:val="000000" w:themeColor="text1"/>
                <w:szCs w:val="22"/>
                <w:lang w:val="sr-Latn-CS"/>
              </w:rPr>
              <w:t xml:space="preserve">ijelo </w:t>
            </w:r>
            <w:r w:rsidRPr="0000154C">
              <w:rPr>
                <w:rFonts w:ascii="Arial" w:hAnsi="Arial" w:cs="Arial"/>
                <w:color w:val="000000" w:themeColor="text1"/>
                <w:szCs w:val="22"/>
                <w:lang w:val="sr-Latn-CS"/>
              </w:rPr>
              <w:t>P</w:t>
            </w:r>
            <w:r>
              <w:rPr>
                <w:rFonts w:ascii="Arial" w:hAnsi="Arial" w:cs="Arial"/>
                <w:color w:val="000000" w:themeColor="text1"/>
                <w:szCs w:val="22"/>
                <w:lang w:val="sr-Latn-CS"/>
              </w:rPr>
              <w:t>olje, Bar Podgorica</w:t>
            </w:r>
          </w:p>
        </w:tc>
        <w:tc>
          <w:tcPr>
            <w:tcW w:w="1350" w:type="dxa"/>
          </w:tcPr>
          <w:p w:rsidR="00B65A71" w:rsidRPr="0000154C" w:rsidRDefault="00B65A71" w:rsidP="00B65A71">
            <w:pP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Cs w:val="22"/>
                <w:lang w:val="sr-Latn-CS"/>
              </w:rPr>
            </w:pPr>
            <w:r w:rsidRPr="0000154C">
              <w:rPr>
                <w:rFonts w:ascii="Arial" w:hAnsi="Arial" w:cs="Arial"/>
                <w:color w:val="000000" w:themeColor="text1"/>
                <w:szCs w:val="22"/>
                <w:vertAlign w:val="superscript"/>
                <w:lang w:val="sr-Latn-CS"/>
              </w:rPr>
              <w:t>40</w:t>
            </w:r>
            <w:r w:rsidRPr="0000154C">
              <w:rPr>
                <w:rFonts w:ascii="Arial" w:hAnsi="Arial" w:cs="Arial"/>
                <w:color w:val="000000" w:themeColor="text1"/>
                <w:szCs w:val="22"/>
                <w:lang w:val="sr-Latn-CS"/>
              </w:rPr>
              <w:t>K</w:t>
            </w:r>
          </w:p>
          <w:p w:rsidR="00B65A71" w:rsidRPr="0000154C" w:rsidRDefault="00B65A71" w:rsidP="00B65A71">
            <w:pP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Cs w:val="22"/>
              </w:rPr>
            </w:pPr>
            <w:r w:rsidRPr="0000154C">
              <w:rPr>
                <w:rFonts w:ascii="Arial" w:hAnsi="Arial" w:cs="Arial"/>
                <w:color w:val="000000" w:themeColor="text1"/>
                <w:szCs w:val="22"/>
                <w:lang w:val="sr-Latn-CS"/>
              </w:rPr>
              <w:t>(mBq</w:t>
            </w:r>
            <w:r w:rsidRPr="0000154C">
              <w:rPr>
                <w:rFonts w:ascii="Arial" w:hAnsi="Arial" w:cs="Arial"/>
                <w:color w:val="000000" w:themeColor="text1"/>
                <w:szCs w:val="22"/>
              </w:rPr>
              <w:t>/l)</w:t>
            </w:r>
          </w:p>
        </w:tc>
        <w:tc>
          <w:tcPr>
            <w:tcW w:w="993" w:type="dxa"/>
          </w:tcPr>
          <w:p w:rsidR="00B65A71" w:rsidRPr="0000154C" w:rsidRDefault="00B65A71" w:rsidP="00B65A71">
            <w:pP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Cs w:val="22"/>
                <w:lang w:val="sr-Latn-CS"/>
              </w:rPr>
            </w:pPr>
            <w:r w:rsidRPr="0000154C">
              <w:rPr>
                <w:rFonts w:ascii="Arial" w:hAnsi="Arial" w:cs="Arial"/>
                <w:color w:val="000000" w:themeColor="text1"/>
                <w:szCs w:val="22"/>
                <w:vertAlign w:val="superscript"/>
                <w:lang w:val="sr-Latn-CS"/>
              </w:rPr>
              <w:t>137</w:t>
            </w:r>
            <w:r w:rsidRPr="0000154C">
              <w:rPr>
                <w:rFonts w:ascii="Arial" w:hAnsi="Arial" w:cs="Arial"/>
                <w:color w:val="000000" w:themeColor="text1"/>
                <w:szCs w:val="22"/>
                <w:lang w:val="sr-Latn-CS"/>
              </w:rPr>
              <w:t>Cs</w:t>
            </w:r>
          </w:p>
          <w:p w:rsidR="00B65A71" w:rsidRPr="0000154C" w:rsidRDefault="00B65A71" w:rsidP="00B65A71">
            <w:pP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Cs w:val="22"/>
                <w:lang w:val="sr-Latn-CS"/>
              </w:rPr>
            </w:pPr>
            <w:r w:rsidRPr="0000154C">
              <w:rPr>
                <w:rFonts w:ascii="Arial" w:hAnsi="Arial" w:cs="Arial"/>
                <w:color w:val="000000" w:themeColor="text1"/>
                <w:szCs w:val="22"/>
                <w:lang w:val="sr-Latn-CS"/>
              </w:rPr>
              <w:t>(mBq</w:t>
            </w:r>
            <w:r w:rsidRPr="0000154C">
              <w:rPr>
                <w:rFonts w:ascii="Arial" w:hAnsi="Arial" w:cs="Arial"/>
                <w:color w:val="000000" w:themeColor="text1"/>
                <w:szCs w:val="22"/>
              </w:rPr>
              <w:t>/l)</w:t>
            </w:r>
          </w:p>
        </w:tc>
        <w:tc>
          <w:tcPr>
            <w:tcW w:w="1327" w:type="dxa"/>
          </w:tcPr>
          <w:p w:rsidR="00B65A71" w:rsidRPr="0000154C" w:rsidRDefault="00B65A71" w:rsidP="00B65A71">
            <w:pP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Cs w:val="22"/>
                <w:lang w:val="sr-Latn-CS"/>
              </w:rPr>
            </w:pPr>
            <w:r w:rsidRPr="0000154C">
              <w:rPr>
                <w:rFonts w:ascii="Arial" w:hAnsi="Arial" w:cs="Arial"/>
                <w:color w:val="000000" w:themeColor="text1"/>
                <w:szCs w:val="22"/>
                <w:vertAlign w:val="superscript"/>
                <w:lang w:val="sr-Latn-CS"/>
              </w:rPr>
              <w:t>226</w:t>
            </w:r>
            <w:r w:rsidRPr="0000154C">
              <w:rPr>
                <w:rFonts w:ascii="Arial" w:hAnsi="Arial" w:cs="Arial"/>
                <w:color w:val="000000" w:themeColor="text1"/>
                <w:szCs w:val="22"/>
                <w:lang w:val="sr-Latn-CS"/>
              </w:rPr>
              <w:t>Ra</w:t>
            </w:r>
          </w:p>
          <w:p w:rsidR="00B65A71" w:rsidRPr="0000154C" w:rsidRDefault="00B65A71" w:rsidP="00B65A71">
            <w:pP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Cs w:val="22"/>
                <w:lang w:val="sr-Latn-CS"/>
              </w:rPr>
            </w:pPr>
            <w:r w:rsidRPr="0000154C">
              <w:rPr>
                <w:rFonts w:ascii="Arial" w:hAnsi="Arial" w:cs="Arial"/>
                <w:color w:val="000000" w:themeColor="text1"/>
                <w:szCs w:val="22"/>
                <w:lang w:val="sr-Latn-CS"/>
              </w:rPr>
              <w:t>(mBq</w:t>
            </w:r>
            <w:r w:rsidRPr="0000154C">
              <w:rPr>
                <w:rFonts w:ascii="Arial" w:hAnsi="Arial" w:cs="Arial"/>
                <w:color w:val="000000" w:themeColor="text1"/>
                <w:szCs w:val="22"/>
              </w:rPr>
              <w:t>/l)</w:t>
            </w:r>
          </w:p>
        </w:tc>
        <w:tc>
          <w:tcPr>
            <w:tcW w:w="1327" w:type="dxa"/>
          </w:tcPr>
          <w:p w:rsidR="00B65A71" w:rsidRPr="0000154C" w:rsidRDefault="00B65A71" w:rsidP="00B65A71">
            <w:pP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Cs w:val="22"/>
                <w:lang w:val="sr-Latn-CS"/>
              </w:rPr>
            </w:pPr>
            <w:r w:rsidRPr="0000154C">
              <w:rPr>
                <w:rFonts w:ascii="Arial" w:hAnsi="Arial" w:cs="Arial"/>
                <w:color w:val="000000" w:themeColor="text1"/>
                <w:szCs w:val="22"/>
                <w:vertAlign w:val="superscript"/>
                <w:lang w:val="sr-Latn-CS"/>
              </w:rPr>
              <w:t>232</w:t>
            </w:r>
            <w:r w:rsidRPr="0000154C">
              <w:rPr>
                <w:rFonts w:ascii="Arial" w:hAnsi="Arial" w:cs="Arial"/>
                <w:color w:val="000000" w:themeColor="text1"/>
                <w:szCs w:val="22"/>
                <w:lang w:val="sr-Latn-CS"/>
              </w:rPr>
              <w:t>Th</w:t>
            </w:r>
          </w:p>
          <w:p w:rsidR="00B65A71" w:rsidRPr="0000154C" w:rsidRDefault="00B65A71" w:rsidP="00B65A71">
            <w:pP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Cs w:val="22"/>
                <w:lang w:val="sr-Latn-CS"/>
              </w:rPr>
            </w:pPr>
            <w:r w:rsidRPr="0000154C">
              <w:rPr>
                <w:rFonts w:ascii="Arial" w:hAnsi="Arial" w:cs="Arial"/>
                <w:color w:val="000000" w:themeColor="text1"/>
                <w:szCs w:val="22"/>
                <w:lang w:val="sr-Latn-CS"/>
              </w:rPr>
              <w:t>(mBq</w:t>
            </w:r>
            <w:r w:rsidRPr="0000154C">
              <w:rPr>
                <w:rFonts w:ascii="Arial" w:hAnsi="Arial" w:cs="Arial"/>
                <w:color w:val="000000" w:themeColor="text1"/>
                <w:szCs w:val="22"/>
              </w:rPr>
              <w:t>/l)</w:t>
            </w:r>
          </w:p>
        </w:tc>
        <w:tc>
          <w:tcPr>
            <w:tcW w:w="1327" w:type="dxa"/>
          </w:tcPr>
          <w:p w:rsidR="00B65A71" w:rsidRPr="0000154C" w:rsidRDefault="00B65A71" w:rsidP="00B65A71">
            <w:pP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Cs w:val="22"/>
                <w:lang w:val="sr-Latn-CS"/>
              </w:rPr>
            </w:pPr>
            <w:r w:rsidRPr="0000154C">
              <w:rPr>
                <w:rFonts w:ascii="Arial" w:hAnsi="Arial" w:cs="Arial"/>
                <w:color w:val="000000" w:themeColor="text1"/>
                <w:szCs w:val="22"/>
                <w:vertAlign w:val="superscript"/>
                <w:lang w:val="sr-Latn-CS"/>
              </w:rPr>
              <w:t>235</w:t>
            </w:r>
            <w:r w:rsidRPr="0000154C">
              <w:rPr>
                <w:rFonts w:ascii="Arial" w:hAnsi="Arial" w:cs="Arial"/>
                <w:color w:val="000000" w:themeColor="text1"/>
                <w:szCs w:val="22"/>
                <w:lang w:val="sr-Latn-CS"/>
              </w:rPr>
              <w:t>U</w:t>
            </w:r>
          </w:p>
          <w:p w:rsidR="00B65A71" w:rsidRPr="0000154C" w:rsidRDefault="00B65A71" w:rsidP="00B65A71">
            <w:pP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Cs w:val="22"/>
                <w:lang w:val="sr-Latn-CS"/>
              </w:rPr>
            </w:pPr>
            <w:r w:rsidRPr="0000154C">
              <w:rPr>
                <w:rFonts w:ascii="Arial" w:hAnsi="Arial" w:cs="Arial"/>
                <w:color w:val="000000" w:themeColor="text1"/>
                <w:szCs w:val="22"/>
                <w:lang w:val="sr-Latn-CS"/>
              </w:rPr>
              <w:t>(mBq</w:t>
            </w:r>
            <w:r w:rsidRPr="0000154C">
              <w:rPr>
                <w:rFonts w:ascii="Arial" w:hAnsi="Arial" w:cs="Arial"/>
                <w:color w:val="000000" w:themeColor="text1"/>
                <w:szCs w:val="22"/>
              </w:rPr>
              <w:t>/l)</w:t>
            </w:r>
          </w:p>
        </w:tc>
        <w:tc>
          <w:tcPr>
            <w:tcW w:w="1327" w:type="dxa"/>
          </w:tcPr>
          <w:p w:rsidR="00B65A71" w:rsidRPr="0000154C" w:rsidRDefault="00B65A71" w:rsidP="00B65A71">
            <w:pP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Cs w:val="22"/>
                <w:lang w:val="sr-Latn-CS"/>
              </w:rPr>
            </w:pPr>
            <w:r w:rsidRPr="0000154C">
              <w:rPr>
                <w:rFonts w:ascii="Arial" w:hAnsi="Arial" w:cs="Arial"/>
                <w:color w:val="000000" w:themeColor="text1"/>
                <w:szCs w:val="22"/>
                <w:vertAlign w:val="superscript"/>
                <w:lang w:val="sr-Latn-CS"/>
              </w:rPr>
              <w:t>238</w:t>
            </w:r>
            <w:r w:rsidRPr="0000154C">
              <w:rPr>
                <w:rFonts w:ascii="Arial" w:hAnsi="Arial" w:cs="Arial"/>
                <w:color w:val="000000" w:themeColor="text1"/>
                <w:szCs w:val="22"/>
                <w:lang w:val="sr-Latn-CS"/>
              </w:rPr>
              <w:t>U</w:t>
            </w:r>
          </w:p>
          <w:p w:rsidR="00B65A71" w:rsidRPr="0000154C" w:rsidRDefault="00B65A71" w:rsidP="00B65A71">
            <w:pP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Cs w:val="22"/>
                <w:lang w:val="sr-Latn-CS"/>
              </w:rPr>
            </w:pPr>
            <w:r>
              <w:rPr>
                <w:rFonts w:ascii="Arial" w:hAnsi="Arial" w:cs="Arial"/>
                <w:color w:val="000000" w:themeColor="text1"/>
                <w:szCs w:val="22"/>
                <w:lang w:val="sr-Latn-CS"/>
              </w:rPr>
              <w:t>(</w:t>
            </w:r>
            <w:r w:rsidRPr="0000154C">
              <w:rPr>
                <w:rFonts w:ascii="Arial" w:hAnsi="Arial" w:cs="Arial"/>
                <w:color w:val="000000" w:themeColor="text1"/>
                <w:szCs w:val="22"/>
                <w:lang w:val="sr-Latn-CS"/>
              </w:rPr>
              <w:t>Bq</w:t>
            </w:r>
            <w:r w:rsidRPr="0000154C">
              <w:rPr>
                <w:rFonts w:ascii="Arial" w:hAnsi="Arial" w:cs="Arial"/>
                <w:color w:val="000000" w:themeColor="text1"/>
                <w:szCs w:val="22"/>
              </w:rPr>
              <w:t>/l)</w:t>
            </w:r>
          </w:p>
        </w:tc>
      </w:tr>
      <w:tr w:rsidR="00B65A71" w:rsidRPr="0000154C" w:rsidTr="00B65A71">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638" w:type="dxa"/>
          </w:tcPr>
          <w:p w:rsidR="00B65A71" w:rsidRDefault="00B65A71" w:rsidP="00B65A71">
            <w:pPr>
              <w:rPr>
                <w:rFonts w:ascii="Arial" w:hAnsi="Arial" w:cs="Arial"/>
                <w:color w:val="000000" w:themeColor="text1"/>
                <w:szCs w:val="22"/>
                <w:lang w:val="sr-Latn-CS"/>
              </w:rPr>
            </w:pPr>
            <w:r>
              <w:rPr>
                <w:rFonts w:ascii="Arial" w:hAnsi="Arial" w:cs="Arial"/>
                <w:color w:val="000000" w:themeColor="text1"/>
                <w:szCs w:val="22"/>
                <w:lang w:val="sr-Latn-CS"/>
              </w:rPr>
              <w:t>BP I kvartal</w:t>
            </w:r>
          </w:p>
          <w:p w:rsidR="00B65A71" w:rsidRPr="0000154C" w:rsidRDefault="00B65A71" w:rsidP="00B65A71">
            <w:pPr>
              <w:rPr>
                <w:rFonts w:ascii="Arial" w:hAnsi="Arial" w:cs="Arial"/>
                <w:color w:val="000000" w:themeColor="text1"/>
                <w:szCs w:val="22"/>
                <w:lang w:val="sr-Latn-CS"/>
              </w:rPr>
            </w:pPr>
            <w:r>
              <w:rPr>
                <w:rFonts w:ascii="Arial" w:hAnsi="Arial" w:cs="Arial"/>
                <w:color w:val="000000" w:themeColor="text1"/>
                <w:szCs w:val="22"/>
                <w:lang w:val="sr-Latn-CS"/>
              </w:rPr>
              <w:t>BP II kvartal</w:t>
            </w:r>
          </w:p>
        </w:tc>
        <w:tc>
          <w:tcPr>
            <w:tcW w:w="1350" w:type="dxa"/>
          </w:tcPr>
          <w:p w:rsidR="00B65A71" w:rsidRDefault="00B65A71" w:rsidP="00B65A7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2"/>
                <w:lang w:val="sr-Latn-CS"/>
              </w:rPr>
            </w:pPr>
            <w:r w:rsidRPr="0000154C">
              <w:rPr>
                <w:rFonts w:ascii="Arial" w:hAnsi="Arial" w:cs="Arial"/>
                <w:color w:val="000000" w:themeColor="text1"/>
                <w:szCs w:val="22"/>
                <w:lang w:val="sr-Latn-CS"/>
              </w:rPr>
              <w:t xml:space="preserve">≤ </w:t>
            </w:r>
            <w:r>
              <w:rPr>
                <w:rFonts w:ascii="Arial" w:hAnsi="Arial" w:cs="Arial"/>
                <w:color w:val="000000" w:themeColor="text1"/>
                <w:szCs w:val="22"/>
                <w:lang w:val="sr-Latn-CS"/>
              </w:rPr>
              <w:t>27,19</w:t>
            </w:r>
          </w:p>
          <w:p w:rsidR="00B65A71" w:rsidRPr="0000154C" w:rsidRDefault="00B65A71" w:rsidP="00B65A7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2"/>
                <w:lang w:val="sr-Latn-CS"/>
              </w:rPr>
            </w:pPr>
            <w:r>
              <w:rPr>
                <w:rFonts w:ascii="Arial" w:hAnsi="Arial" w:cs="Arial"/>
                <w:color w:val="000000" w:themeColor="text1"/>
                <w:szCs w:val="22"/>
                <w:lang w:val="sr-Latn-CS"/>
              </w:rPr>
              <w:t>≤ 28,23</w:t>
            </w:r>
          </w:p>
        </w:tc>
        <w:tc>
          <w:tcPr>
            <w:tcW w:w="993" w:type="dxa"/>
          </w:tcPr>
          <w:p w:rsidR="00B65A71" w:rsidRDefault="00B65A71" w:rsidP="00B65A7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2"/>
                <w:lang w:val="sr-Latn-CS"/>
              </w:rPr>
            </w:pPr>
            <w:r w:rsidRPr="0000154C">
              <w:rPr>
                <w:rFonts w:ascii="Arial" w:hAnsi="Arial" w:cs="Arial"/>
                <w:color w:val="000000" w:themeColor="text1"/>
                <w:szCs w:val="22"/>
                <w:lang w:val="sr-Latn-CS"/>
              </w:rPr>
              <w:t xml:space="preserve">≤ </w:t>
            </w:r>
            <w:r>
              <w:rPr>
                <w:rFonts w:ascii="Arial" w:hAnsi="Arial" w:cs="Arial"/>
                <w:color w:val="000000" w:themeColor="text1"/>
                <w:szCs w:val="22"/>
                <w:lang w:val="sr-Latn-CS"/>
              </w:rPr>
              <w:t>3,48</w:t>
            </w:r>
          </w:p>
          <w:p w:rsidR="00B65A71" w:rsidRPr="0000154C" w:rsidRDefault="00B65A71" w:rsidP="00B65A7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2"/>
                <w:lang w:val="sr-Latn-CS"/>
              </w:rPr>
            </w:pPr>
            <w:r>
              <w:rPr>
                <w:rFonts w:ascii="Arial" w:hAnsi="Arial" w:cs="Arial"/>
                <w:color w:val="000000" w:themeColor="text1"/>
                <w:szCs w:val="22"/>
                <w:lang w:val="sr-Latn-CS"/>
              </w:rPr>
              <w:t>≤ 2,37</w:t>
            </w:r>
          </w:p>
        </w:tc>
        <w:tc>
          <w:tcPr>
            <w:tcW w:w="1327" w:type="dxa"/>
          </w:tcPr>
          <w:p w:rsidR="00B65A71" w:rsidRDefault="00B65A71" w:rsidP="00B65A7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2"/>
                <w:lang w:val="sr-Latn-CS"/>
              </w:rPr>
            </w:pPr>
            <w:r w:rsidRPr="0000154C">
              <w:rPr>
                <w:rFonts w:ascii="Arial" w:hAnsi="Arial" w:cs="Arial"/>
                <w:color w:val="000000" w:themeColor="text1"/>
                <w:szCs w:val="22"/>
                <w:lang w:val="sr-Latn-CS"/>
              </w:rPr>
              <w:t xml:space="preserve">≤ </w:t>
            </w:r>
            <w:r>
              <w:rPr>
                <w:rFonts w:ascii="Arial" w:hAnsi="Arial" w:cs="Arial"/>
                <w:color w:val="000000" w:themeColor="text1"/>
                <w:szCs w:val="22"/>
                <w:lang w:val="sr-Latn-CS"/>
              </w:rPr>
              <w:t>6,29</w:t>
            </w:r>
          </w:p>
          <w:p w:rsidR="00B65A71" w:rsidRPr="0000154C" w:rsidRDefault="00B65A71" w:rsidP="00B65A7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2"/>
                <w:lang w:val="sr-Latn-CS"/>
              </w:rPr>
            </w:pPr>
            <w:r>
              <w:rPr>
                <w:rFonts w:ascii="Arial" w:hAnsi="Arial" w:cs="Arial"/>
                <w:color w:val="000000" w:themeColor="text1"/>
                <w:szCs w:val="22"/>
                <w:lang w:val="sr-Latn-CS"/>
              </w:rPr>
              <w:t>12,5 ± 0,9</w:t>
            </w:r>
          </w:p>
        </w:tc>
        <w:tc>
          <w:tcPr>
            <w:tcW w:w="1327" w:type="dxa"/>
          </w:tcPr>
          <w:p w:rsidR="00B65A71" w:rsidRDefault="00B65A71" w:rsidP="00B65A7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2"/>
                <w:lang w:val="sr-Latn-CS"/>
              </w:rPr>
            </w:pPr>
            <w:r w:rsidRPr="0000154C">
              <w:rPr>
                <w:rFonts w:ascii="Arial" w:hAnsi="Arial" w:cs="Arial"/>
                <w:color w:val="000000" w:themeColor="text1"/>
                <w:szCs w:val="22"/>
                <w:lang w:val="sr-Latn-CS"/>
              </w:rPr>
              <w:t xml:space="preserve">≤ </w:t>
            </w:r>
            <w:r>
              <w:rPr>
                <w:rFonts w:ascii="Arial" w:hAnsi="Arial" w:cs="Arial"/>
                <w:color w:val="000000" w:themeColor="text1"/>
                <w:szCs w:val="22"/>
                <w:lang w:val="sr-Latn-CS"/>
              </w:rPr>
              <w:t>13,26</w:t>
            </w:r>
          </w:p>
          <w:p w:rsidR="00B65A71" w:rsidRPr="0000154C" w:rsidRDefault="00B65A71" w:rsidP="00B65A7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2"/>
                <w:lang w:val="sr-Latn-CS"/>
              </w:rPr>
            </w:pPr>
            <w:r>
              <w:rPr>
                <w:rFonts w:ascii="Arial" w:hAnsi="Arial" w:cs="Arial"/>
                <w:color w:val="000000" w:themeColor="text1"/>
                <w:szCs w:val="22"/>
                <w:lang w:val="sr-Latn-CS"/>
              </w:rPr>
              <w:t>≤ 9,25</w:t>
            </w:r>
          </w:p>
        </w:tc>
        <w:tc>
          <w:tcPr>
            <w:tcW w:w="1327" w:type="dxa"/>
          </w:tcPr>
          <w:p w:rsidR="00B65A71" w:rsidRDefault="00B65A71" w:rsidP="00B65A7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2"/>
                <w:lang w:val="sr-Latn-CS"/>
              </w:rPr>
            </w:pPr>
            <w:r w:rsidRPr="0000154C">
              <w:rPr>
                <w:rFonts w:ascii="Arial" w:hAnsi="Arial" w:cs="Arial"/>
                <w:color w:val="000000" w:themeColor="text1"/>
                <w:szCs w:val="22"/>
                <w:lang w:val="sr-Latn-CS"/>
              </w:rPr>
              <w:t xml:space="preserve">≤ </w:t>
            </w:r>
            <w:r>
              <w:rPr>
                <w:rFonts w:ascii="Arial" w:hAnsi="Arial" w:cs="Arial"/>
                <w:color w:val="000000" w:themeColor="text1"/>
                <w:szCs w:val="22"/>
                <w:lang w:val="sr-Latn-CS"/>
              </w:rPr>
              <w:t>24,11</w:t>
            </w:r>
          </w:p>
          <w:p w:rsidR="00B65A71" w:rsidRPr="0000154C" w:rsidRDefault="00B65A71" w:rsidP="00B65A7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2"/>
                <w:lang w:val="sr-Latn-CS"/>
              </w:rPr>
            </w:pPr>
            <w:r>
              <w:rPr>
                <w:rFonts w:ascii="Arial" w:hAnsi="Arial" w:cs="Arial"/>
                <w:color w:val="000000" w:themeColor="text1"/>
                <w:szCs w:val="22"/>
                <w:lang w:val="sr-Latn-CS"/>
              </w:rPr>
              <w:t>≤ 12,68</w:t>
            </w:r>
          </w:p>
        </w:tc>
        <w:tc>
          <w:tcPr>
            <w:tcW w:w="1327" w:type="dxa"/>
          </w:tcPr>
          <w:p w:rsidR="00B65A71" w:rsidRDefault="00B65A71" w:rsidP="00B65A7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2"/>
                <w:lang w:val="sr-Latn-CS"/>
              </w:rPr>
            </w:pPr>
            <w:r>
              <w:rPr>
                <w:rFonts w:ascii="Arial" w:hAnsi="Arial" w:cs="Arial"/>
                <w:color w:val="000000" w:themeColor="text1"/>
                <w:szCs w:val="22"/>
                <w:lang w:val="sr-Latn-CS"/>
              </w:rPr>
              <w:t xml:space="preserve">≤ </w:t>
            </w:r>
            <w:r w:rsidRPr="0000154C">
              <w:rPr>
                <w:rFonts w:ascii="Arial" w:hAnsi="Arial" w:cs="Arial"/>
                <w:color w:val="000000" w:themeColor="text1"/>
                <w:szCs w:val="22"/>
                <w:lang w:val="sr-Latn-CS"/>
              </w:rPr>
              <w:t>0,</w:t>
            </w:r>
            <w:r>
              <w:rPr>
                <w:rFonts w:ascii="Arial" w:hAnsi="Arial" w:cs="Arial"/>
                <w:color w:val="000000" w:themeColor="text1"/>
                <w:szCs w:val="22"/>
                <w:lang w:val="sr-Latn-CS"/>
              </w:rPr>
              <w:t>38</w:t>
            </w:r>
          </w:p>
          <w:p w:rsidR="00B65A71" w:rsidRPr="0000154C" w:rsidRDefault="00B65A71" w:rsidP="00B65A7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2"/>
                <w:lang w:val="sr-Latn-CS"/>
              </w:rPr>
            </w:pPr>
            <w:r>
              <w:rPr>
                <w:rFonts w:ascii="Arial" w:hAnsi="Arial" w:cs="Arial"/>
                <w:color w:val="000000" w:themeColor="text1"/>
                <w:szCs w:val="22"/>
                <w:lang w:val="sr-Latn-CS"/>
              </w:rPr>
              <w:t>≤ 0,27</w:t>
            </w:r>
          </w:p>
        </w:tc>
      </w:tr>
      <w:tr w:rsidR="00B65A71" w:rsidRPr="0000154C" w:rsidTr="00B65A71">
        <w:tc>
          <w:tcPr>
            <w:cnfStyle w:val="001000000000" w:firstRow="0" w:lastRow="0" w:firstColumn="1" w:lastColumn="0" w:oddVBand="0" w:evenVBand="0" w:oddHBand="0" w:evenHBand="0" w:firstRowFirstColumn="0" w:firstRowLastColumn="0" w:lastRowFirstColumn="0" w:lastRowLastColumn="0"/>
            <w:tcW w:w="1638" w:type="dxa"/>
          </w:tcPr>
          <w:p w:rsidR="00B65A71" w:rsidRDefault="00B65A71" w:rsidP="00B65A71">
            <w:pPr>
              <w:rPr>
                <w:rFonts w:ascii="Arial" w:hAnsi="Arial" w:cs="Arial"/>
                <w:color w:val="000000" w:themeColor="text1"/>
                <w:szCs w:val="22"/>
                <w:lang w:val="sr-Latn-CS"/>
              </w:rPr>
            </w:pPr>
            <w:r>
              <w:rPr>
                <w:rFonts w:ascii="Arial" w:hAnsi="Arial" w:cs="Arial"/>
                <w:color w:val="000000" w:themeColor="text1"/>
                <w:szCs w:val="22"/>
                <w:lang w:val="sr-Latn-CS"/>
              </w:rPr>
              <w:t>BP</w:t>
            </w:r>
            <w:r w:rsidRPr="0000154C">
              <w:rPr>
                <w:rFonts w:ascii="Arial" w:hAnsi="Arial" w:cs="Arial"/>
                <w:color w:val="000000" w:themeColor="text1"/>
                <w:szCs w:val="22"/>
                <w:lang w:val="sr-Latn-CS"/>
              </w:rPr>
              <w:t xml:space="preserve"> II</w:t>
            </w:r>
            <w:r>
              <w:rPr>
                <w:rFonts w:ascii="Arial" w:hAnsi="Arial" w:cs="Arial"/>
                <w:color w:val="000000" w:themeColor="text1"/>
                <w:szCs w:val="22"/>
                <w:lang w:val="sr-Latn-CS"/>
              </w:rPr>
              <w:t>I kvartal</w:t>
            </w:r>
          </w:p>
          <w:p w:rsidR="00B65A71" w:rsidRPr="0000154C" w:rsidRDefault="00B65A71" w:rsidP="00B65A71">
            <w:pPr>
              <w:rPr>
                <w:rFonts w:ascii="Arial" w:hAnsi="Arial" w:cs="Arial"/>
                <w:color w:val="000000" w:themeColor="text1"/>
                <w:szCs w:val="22"/>
                <w:lang w:val="sr-Latn-CS"/>
              </w:rPr>
            </w:pPr>
            <w:r>
              <w:rPr>
                <w:rFonts w:ascii="Arial" w:hAnsi="Arial" w:cs="Arial"/>
                <w:color w:val="000000" w:themeColor="text1"/>
                <w:szCs w:val="22"/>
                <w:lang w:val="sr-Latn-CS"/>
              </w:rPr>
              <w:t>BP IV kvartal</w:t>
            </w:r>
          </w:p>
        </w:tc>
        <w:tc>
          <w:tcPr>
            <w:tcW w:w="1350" w:type="dxa"/>
          </w:tcPr>
          <w:p w:rsidR="00B65A71" w:rsidRDefault="00B65A71" w:rsidP="00B65A7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2"/>
                <w:lang w:val="sr-Latn-CS"/>
              </w:rPr>
            </w:pPr>
            <w:r>
              <w:rPr>
                <w:rFonts w:ascii="Arial" w:hAnsi="Arial" w:cs="Arial"/>
                <w:color w:val="000000" w:themeColor="text1"/>
                <w:szCs w:val="22"/>
                <w:lang w:val="sr-Latn-CS"/>
              </w:rPr>
              <w:t>44,8 ± 4.8</w:t>
            </w:r>
          </w:p>
          <w:p w:rsidR="00B65A71" w:rsidRPr="0000154C" w:rsidRDefault="00B65A71" w:rsidP="00B65A7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2"/>
                <w:lang w:val="sr-Latn-CS"/>
              </w:rPr>
            </w:pPr>
            <w:r>
              <w:rPr>
                <w:rFonts w:ascii="Arial" w:hAnsi="Arial" w:cs="Arial"/>
                <w:color w:val="000000" w:themeColor="text1"/>
                <w:szCs w:val="22"/>
                <w:lang w:val="sr-Latn-CS"/>
              </w:rPr>
              <w:t>≤ 35,7</w:t>
            </w:r>
          </w:p>
        </w:tc>
        <w:tc>
          <w:tcPr>
            <w:tcW w:w="993" w:type="dxa"/>
          </w:tcPr>
          <w:p w:rsidR="00B65A71" w:rsidRDefault="00B65A71" w:rsidP="00B65A7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2"/>
                <w:lang w:val="sr-Latn-CS"/>
              </w:rPr>
            </w:pPr>
            <w:r w:rsidRPr="0000154C">
              <w:rPr>
                <w:rFonts w:ascii="Arial" w:hAnsi="Arial" w:cs="Arial"/>
                <w:color w:val="000000" w:themeColor="text1"/>
                <w:szCs w:val="22"/>
                <w:lang w:val="sr-Latn-CS"/>
              </w:rPr>
              <w:t xml:space="preserve">≤ </w:t>
            </w:r>
            <w:r>
              <w:rPr>
                <w:rFonts w:ascii="Arial" w:hAnsi="Arial" w:cs="Arial"/>
                <w:color w:val="000000" w:themeColor="text1"/>
                <w:szCs w:val="22"/>
                <w:lang w:val="sr-Latn-CS"/>
              </w:rPr>
              <w:t>1,78</w:t>
            </w:r>
          </w:p>
          <w:p w:rsidR="00B65A71" w:rsidRPr="0000154C" w:rsidRDefault="00B65A71" w:rsidP="00B65A7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2"/>
                <w:lang w:val="sr-Latn-CS"/>
              </w:rPr>
            </w:pPr>
            <w:r>
              <w:rPr>
                <w:rFonts w:ascii="Arial" w:hAnsi="Arial" w:cs="Arial"/>
                <w:color w:val="000000" w:themeColor="text1"/>
                <w:szCs w:val="22"/>
                <w:lang w:val="sr-Latn-CS"/>
              </w:rPr>
              <w:t>≤ 4,40</w:t>
            </w:r>
          </w:p>
        </w:tc>
        <w:tc>
          <w:tcPr>
            <w:tcW w:w="1327" w:type="dxa"/>
          </w:tcPr>
          <w:p w:rsidR="00B65A71" w:rsidRDefault="00B65A71" w:rsidP="00B65A7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2"/>
                <w:lang w:val="sr-Latn-CS"/>
              </w:rPr>
            </w:pPr>
            <w:r w:rsidRPr="0000154C">
              <w:rPr>
                <w:rFonts w:ascii="Arial" w:hAnsi="Arial" w:cs="Arial"/>
                <w:color w:val="000000" w:themeColor="text1"/>
                <w:szCs w:val="22"/>
                <w:lang w:val="sr-Latn-CS"/>
              </w:rPr>
              <w:t xml:space="preserve">≤ </w:t>
            </w:r>
            <w:r>
              <w:rPr>
                <w:rFonts w:ascii="Arial" w:hAnsi="Arial" w:cs="Arial"/>
                <w:color w:val="000000" w:themeColor="text1"/>
                <w:szCs w:val="22"/>
                <w:lang w:val="sr-Latn-CS"/>
              </w:rPr>
              <w:t>3,79</w:t>
            </w:r>
          </w:p>
          <w:p w:rsidR="00B65A71" w:rsidRPr="0000154C" w:rsidRDefault="00B65A71" w:rsidP="00B65A7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2"/>
                <w:lang w:val="sr-Latn-CS"/>
              </w:rPr>
            </w:pPr>
            <w:r>
              <w:rPr>
                <w:rFonts w:ascii="Arial" w:hAnsi="Arial" w:cs="Arial"/>
                <w:color w:val="000000" w:themeColor="text1"/>
                <w:szCs w:val="22"/>
                <w:lang w:val="sr-Latn-CS"/>
              </w:rPr>
              <w:t>≤ 11,33</w:t>
            </w:r>
          </w:p>
        </w:tc>
        <w:tc>
          <w:tcPr>
            <w:tcW w:w="1327" w:type="dxa"/>
          </w:tcPr>
          <w:p w:rsidR="00B65A71" w:rsidRDefault="00B65A71" w:rsidP="00B65A7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2"/>
                <w:lang w:val="sr-Latn-CS"/>
              </w:rPr>
            </w:pPr>
            <w:r w:rsidRPr="0000154C">
              <w:rPr>
                <w:rFonts w:ascii="Arial" w:hAnsi="Arial" w:cs="Arial"/>
                <w:color w:val="000000" w:themeColor="text1"/>
                <w:szCs w:val="22"/>
                <w:lang w:val="sr-Latn-CS"/>
              </w:rPr>
              <w:t xml:space="preserve">≤ </w:t>
            </w:r>
            <w:r>
              <w:rPr>
                <w:rFonts w:ascii="Arial" w:hAnsi="Arial" w:cs="Arial"/>
                <w:color w:val="000000" w:themeColor="text1"/>
                <w:szCs w:val="22"/>
                <w:lang w:val="sr-Latn-CS"/>
              </w:rPr>
              <w:t>8,13</w:t>
            </w:r>
          </w:p>
          <w:p w:rsidR="00B65A71" w:rsidRPr="0000154C" w:rsidRDefault="00B65A71" w:rsidP="00B65A7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2"/>
                <w:lang w:val="sr-Latn-CS"/>
              </w:rPr>
            </w:pPr>
            <w:r>
              <w:rPr>
                <w:rFonts w:ascii="Arial" w:hAnsi="Arial" w:cs="Arial"/>
                <w:color w:val="000000" w:themeColor="text1"/>
                <w:szCs w:val="22"/>
                <w:lang w:val="sr-Latn-CS"/>
              </w:rPr>
              <w:t>≤ 15,22</w:t>
            </w:r>
          </w:p>
        </w:tc>
        <w:tc>
          <w:tcPr>
            <w:tcW w:w="1327" w:type="dxa"/>
          </w:tcPr>
          <w:p w:rsidR="00B65A71" w:rsidRDefault="00B65A71" w:rsidP="00B65A7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2"/>
                <w:lang w:val="sr-Latn-CS"/>
              </w:rPr>
            </w:pPr>
            <w:r w:rsidRPr="0000154C">
              <w:rPr>
                <w:rFonts w:ascii="Arial" w:hAnsi="Arial" w:cs="Arial"/>
                <w:color w:val="000000" w:themeColor="text1"/>
                <w:szCs w:val="22"/>
                <w:lang w:val="sr-Latn-CS"/>
              </w:rPr>
              <w:t xml:space="preserve">≤ </w:t>
            </w:r>
            <w:r>
              <w:rPr>
                <w:rFonts w:ascii="Arial" w:hAnsi="Arial" w:cs="Arial"/>
                <w:color w:val="000000" w:themeColor="text1"/>
                <w:szCs w:val="22"/>
                <w:lang w:val="sr-Latn-CS"/>
              </w:rPr>
              <w:t>13,01</w:t>
            </w:r>
          </w:p>
          <w:p w:rsidR="00B65A71" w:rsidRPr="0000154C" w:rsidRDefault="00B65A71" w:rsidP="00B65A7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2"/>
                <w:lang w:val="sr-Latn-CS"/>
              </w:rPr>
            </w:pPr>
            <w:r>
              <w:rPr>
                <w:rFonts w:ascii="Arial" w:hAnsi="Arial" w:cs="Arial"/>
                <w:color w:val="000000" w:themeColor="text1"/>
                <w:szCs w:val="22"/>
                <w:lang w:val="sr-Latn-CS"/>
              </w:rPr>
              <w:t>≤ 15,50</w:t>
            </w:r>
          </w:p>
        </w:tc>
        <w:tc>
          <w:tcPr>
            <w:tcW w:w="1327" w:type="dxa"/>
          </w:tcPr>
          <w:p w:rsidR="00B65A71" w:rsidRDefault="00B65A71" w:rsidP="00B65A7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2"/>
                <w:lang w:val="sr-Latn-CS"/>
              </w:rPr>
            </w:pPr>
            <w:r w:rsidRPr="0000154C">
              <w:rPr>
                <w:rFonts w:ascii="Arial" w:hAnsi="Arial" w:cs="Arial"/>
                <w:color w:val="000000" w:themeColor="text1"/>
                <w:szCs w:val="22"/>
                <w:lang w:val="sr-Latn-CS"/>
              </w:rPr>
              <w:t>≤</w:t>
            </w:r>
            <w:r>
              <w:rPr>
                <w:rFonts w:ascii="Arial" w:hAnsi="Arial" w:cs="Arial"/>
                <w:color w:val="000000" w:themeColor="text1"/>
                <w:szCs w:val="22"/>
                <w:lang w:val="sr-Latn-CS"/>
              </w:rPr>
              <w:t xml:space="preserve"> </w:t>
            </w:r>
            <w:r w:rsidRPr="0000154C">
              <w:rPr>
                <w:rFonts w:ascii="Arial" w:hAnsi="Arial" w:cs="Arial"/>
                <w:color w:val="000000" w:themeColor="text1"/>
                <w:szCs w:val="22"/>
                <w:lang w:val="sr-Latn-CS"/>
              </w:rPr>
              <w:t>0,2</w:t>
            </w:r>
            <w:r>
              <w:rPr>
                <w:rFonts w:ascii="Arial" w:hAnsi="Arial" w:cs="Arial"/>
                <w:color w:val="000000" w:themeColor="text1"/>
                <w:szCs w:val="22"/>
                <w:lang w:val="sr-Latn-CS"/>
              </w:rPr>
              <w:t>3</w:t>
            </w:r>
          </w:p>
          <w:p w:rsidR="00B65A71" w:rsidRPr="0000154C" w:rsidRDefault="00B65A71" w:rsidP="00B65A7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2"/>
                <w:lang w:val="sr-Latn-CS"/>
              </w:rPr>
            </w:pPr>
            <w:r>
              <w:rPr>
                <w:rFonts w:ascii="Arial" w:hAnsi="Arial" w:cs="Arial"/>
                <w:color w:val="000000" w:themeColor="text1"/>
                <w:szCs w:val="22"/>
                <w:lang w:val="sr-Latn-CS"/>
              </w:rPr>
              <w:t>≤ 0,31</w:t>
            </w:r>
          </w:p>
        </w:tc>
      </w:tr>
      <w:tr w:rsidR="00B65A71" w:rsidRPr="0000154C" w:rsidTr="00B65A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tcPr>
          <w:p w:rsidR="00B65A71" w:rsidRDefault="00B65A71" w:rsidP="00B65A71">
            <w:pPr>
              <w:rPr>
                <w:rFonts w:ascii="Arial" w:hAnsi="Arial" w:cs="Arial"/>
                <w:color w:val="000000" w:themeColor="text1"/>
                <w:szCs w:val="22"/>
                <w:lang w:val="sr-Latn-CS"/>
              </w:rPr>
            </w:pPr>
            <w:r>
              <w:rPr>
                <w:rFonts w:ascii="Arial" w:hAnsi="Arial" w:cs="Arial"/>
                <w:color w:val="000000" w:themeColor="text1"/>
                <w:szCs w:val="22"/>
                <w:lang w:val="sr-Latn-CS"/>
              </w:rPr>
              <w:t>BR</w:t>
            </w:r>
            <w:r w:rsidRPr="0000154C">
              <w:rPr>
                <w:rFonts w:ascii="Arial" w:hAnsi="Arial" w:cs="Arial"/>
                <w:color w:val="000000" w:themeColor="text1"/>
                <w:szCs w:val="22"/>
                <w:lang w:val="sr-Latn-CS"/>
              </w:rPr>
              <w:t xml:space="preserve"> I </w:t>
            </w:r>
            <w:r>
              <w:rPr>
                <w:rFonts w:ascii="Arial" w:hAnsi="Arial" w:cs="Arial"/>
                <w:color w:val="000000" w:themeColor="text1"/>
                <w:szCs w:val="22"/>
                <w:lang w:val="sr-Latn-CS"/>
              </w:rPr>
              <w:t>kvartal</w:t>
            </w:r>
          </w:p>
          <w:p w:rsidR="00B65A71" w:rsidRPr="0000154C" w:rsidRDefault="00B65A71" w:rsidP="00B65A71">
            <w:pPr>
              <w:rPr>
                <w:rFonts w:ascii="Arial" w:hAnsi="Arial" w:cs="Arial"/>
                <w:color w:val="000000" w:themeColor="text1"/>
                <w:szCs w:val="22"/>
                <w:lang w:val="sr-Latn-CS"/>
              </w:rPr>
            </w:pPr>
            <w:r>
              <w:rPr>
                <w:rFonts w:ascii="Arial" w:hAnsi="Arial" w:cs="Arial"/>
                <w:color w:val="000000" w:themeColor="text1"/>
                <w:szCs w:val="22"/>
                <w:lang w:val="sr-Latn-CS"/>
              </w:rPr>
              <w:t>BR II kvartal</w:t>
            </w:r>
          </w:p>
        </w:tc>
        <w:tc>
          <w:tcPr>
            <w:tcW w:w="1350" w:type="dxa"/>
          </w:tcPr>
          <w:p w:rsidR="00B65A71" w:rsidRDefault="00B65A71" w:rsidP="00B65A7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2"/>
                <w:lang w:val="sr-Latn-CS"/>
              </w:rPr>
            </w:pPr>
            <w:r w:rsidRPr="0000154C">
              <w:rPr>
                <w:rFonts w:ascii="Arial" w:hAnsi="Arial" w:cs="Arial"/>
                <w:color w:val="000000" w:themeColor="text1"/>
                <w:szCs w:val="22"/>
                <w:lang w:val="sr-Latn-CS"/>
              </w:rPr>
              <w:t>≤ 53,</w:t>
            </w:r>
            <w:r>
              <w:rPr>
                <w:rFonts w:ascii="Arial" w:hAnsi="Arial" w:cs="Arial"/>
                <w:color w:val="000000" w:themeColor="text1"/>
                <w:szCs w:val="22"/>
                <w:lang w:val="sr-Latn-CS"/>
              </w:rPr>
              <w:t>70</w:t>
            </w:r>
          </w:p>
          <w:p w:rsidR="00B65A71" w:rsidRPr="0000154C" w:rsidRDefault="00B65A71" w:rsidP="00B65A7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2"/>
                <w:lang w:val="sr-Latn-CS"/>
              </w:rPr>
            </w:pPr>
            <w:r>
              <w:rPr>
                <w:rFonts w:ascii="Arial" w:hAnsi="Arial" w:cs="Arial"/>
                <w:color w:val="000000" w:themeColor="text1"/>
                <w:szCs w:val="22"/>
                <w:lang w:val="sr-Latn-CS"/>
              </w:rPr>
              <w:t>76,1 ± 5,9</w:t>
            </w:r>
          </w:p>
        </w:tc>
        <w:tc>
          <w:tcPr>
            <w:tcW w:w="993" w:type="dxa"/>
          </w:tcPr>
          <w:p w:rsidR="00B65A71" w:rsidRDefault="00B65A71" w:rsidP="00B65A7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2"/>
                <w:lang w:val="sr-Latn-CS"/>
              </w:rPr>
            </w:pPr>
            <w:r>
              <w:rPr>
                <w:rFonts w:ascii="Arial" w:hAnsi="Arial" w:cs="Arial"/>
                <w:color w:val="000000" w:themeColor="text1"/>
                <w:szCs w:val="22"/>
                <w:lang w:val="sr-Latn-CS"/>
              </w:rPr>
              <w:t>≤ 5,60</w:t>
            </w:r>
          </w:p>
          <w:p w:rsidR="00B65A71" w:rsidRPr="0000154C" w:rsidRDefault="00B65A71" w:rsidP="00B65A7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2"/>
                <w:lang w:val="sr-Latn-CS"/>
              </w:rPr>
            </w:pPr>
            <w:r>
              <w:rPr>
                <w:rFonts w:ascii="Arial" w:hAnsi="Arial" w:cs="Arial"/>
                <w:color w:val="000000" w:themeColor="text1"/>
                <w:szCs w:val="22"/>
                <w:lang w:val="sr-Latn-CS"/>
              </w:rPr>
              <w:t>≤ 2,02</w:t>
            </w:r>
          </w:p>
        </w:tc>
        <w:tc>
          <w:tcPr>
            <w:tcW w:w="1327" w:type="dxa"/>
          </w:tcPr>
          <w:p w:rsidR="00B65A71" w:rsidRDefault="00B65A71" w:rsidP="00B65A7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2"/>
                <w:lang w:val="sr-Latn-CS"/>
              </w:rPr>
            </w:pPr>
            <w:r w:rsidRPr="0000154C">
              <w:rPr>
                <w:rFonts w:ascii="Arial" w:hAnsi="Arial" w:cs="Arial"/>
                <w:color w:val="000000" w:themeColor="text1"/>
                <w:szCs w:val="22"/>
                <w:lang w:val="sr-Latn-CS"/>
              </w:rPr>
              <w:t>≤</w:t>
            </w:r>
            <w:r>
              <w:rPr>
                <w:rFonts w:ascii="Arial" w:hAnsi="Arial" w:cs="Arial"/>
                <w:color w:val="000000" w:themeColor="text1"/>
                <w:szCs w:val="22"/>
                <w:lang w:val="sr-Latn-CS"/>
              </w:rPr>
              <w:t xml:space="preserve"> 11,59</w:t>
            </w:r>
          </w:p>
          <w:p w:rsidR="00B65A71" w:rsidRPr="0000154C" w:rsidRDefault="00B65A71" w:rsidP="00B65A7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2"/>
                <w:lang w:val="sr-Latn-CS"/>
              </w:rPr>
            </w:pPr>
            <w:r>
              <w:rPr>
                <w:rFonts w:ascii="Arial" w:hAnsi="Arial" w:cs="Arial"/>
                <w:color w:val="000000" w:themeColor="text1"/>
                <w:szCs w:val="22"/>
                <w:lang w:val="sr-Latn-CS"/>
              </w:rPr>
              <w:t>≤ 3,54</w:t>
            </w:r>
          </w:p>
        </w:tc>
        <w:tc>
          <w:tcPr>
            <w:tcW w:w="1327" w:type="dxa"/>
          </w:tcPr>
          <w:p w:rsidR="00B65A71" w:rsidRDefault="00B65A71" w:rsidP="00B65A7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2"/>
                <w:lang w:val="sr-Latn-CS"/>
              </w:rPr>
            </w:pPr>
            <w:r w:rsidRPr="0000154C">
              <w:rPr>
                <w:rFonts w:ascii="Arial" w:hAnsi="Arial" w:cs="Arial"/>
                <w:color w:val="000000" w:themeColor="text1"/>
                <w:szCs w:val="22"/>
                <w:lang w:val="sr-Latn-CS"/>
              </w:rPr>
              <w:t xml:space="preserve">≤ </w:t>
            </w:r>
            <w:r>
              <w:rPr>
                <w:rFonts w:ascii="Arial" w:hAnsi="Arial" w:cs="Arial"/>
                <w:color w:val="000000" w:themeColor="text1"/>
                <w:szCs w:val="22"/>
                <w:lang w:val="sr-Latn-CS"/>
              </w:rPr>
              <w:t>12,35</w:t>
            </w:r>
          </w:p>
          <w:p w:rsidR="00B65A71" w:rsidRPr="0000154C" w:rsidRDefault="00B65A71" w:rsidP="00B65A7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2"/>
                <w:lang w:val="sr-Latn-CS"/>
              </w:rPr>
            </w:pPr>
            <w:r>
              <w:rPr>
                <w:rFonts w:ascii="Arial" w:hAnsi="Arial" w:cs="Arial"/>
                <w:color w:val="000000" w:themeColor="text1"/>
                <w:szCs w:val="22"/>
                <w:lang w:val="sr-Latn-CS"/>
              </w:rPr>
              <w:t>≤ 6,22</w:t>
            </w:r>
          </w:p>
        </w:tc>
        <w:tc>
          <w:tcPr>
            <w:tcW w:w="1327" w:type="dxa"/>
          </w:tcPr>
          <w:p w:rsidR="00B65A71" w:rsidRDefault="00B65A71" w:rsidP="00B65A7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2"/>
                <w:lang w:val="sr-Latn-CS"/>
              </w:rPr>
            </w:pPr>
            <w:r w:rsidRPr="0000154C">
              <w:rPr>
                <w:rFonts w:ascii="Arial" w:hAnsi="Arial" w:cs="Arial"/>
                <w:color w:val="000000" w:themeColor="text1"/>
                <w:szCs w:val="22"/>
                <w:lang w:val="sr-Latn-CS"/>
              </w:rPr>
              <w:t xml:space="preserve">≤ </w:t>
            </w:r>
            <w:r>
              <w:rPr>
                <w:rFonts w:ascii="Arial" w:hAnsi="Arial" w:cs="Arial"/>
                <w:color w:val="000000" w:themeColor="text1"/>
                <w:szCs w:val="22"/>
                <w:lang w:val="sr-Latn-CS"/>
              </w:rPr>
              <w:t>38,52</w:t>
            </w:r>
          </w:p>
          <w:p w:rsidR="00B65A71" w:rsidRPr="0000154C" w:rsidRDefault="00B65A71" w:rsidP="00B65A7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2"/>
                <w:lang w:val="sr-Latn-CS"/>
              </w:rPr>
            </w:pPr>
            <w:r>
              <w:rPr>
                <w:rFonts w:ascii="Arial" w:hAnsi="Arial" w:cs="Arial"/>
                <w:color w:val="000000" w:themeColor="text1"/>
                <w:szCs w:val="22"/>
                <w:lang w:val="sr-Latn-CS"/>
              </w:rPr>
              <w:t>≤ 13,24</w:t>
            </w:r>
          </w:p>
        </w:tc>
        <w:tc>
          <w:tcPr>
            <w:tcW w:w="1327" w:type="dxa"/>
          </w:tcPr>
          <w:p w:rsidR="00B65A71" w:rsidRDefault="00B65A71" w:rsidP="00B65A7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2"/>
                <w:lang w:val="sr-Latn-CS"/>
              </w:rPr>
            </w:pPr>
            <w:r w:rsidRPr="0000154C">
              <w:rPr>
                <w:rFonts w:ascii="Arial" w:hAnsi="Arial" w:cs="Arial"/>
                <w:color w:val="000000" w:themeColor="text1"/>
                <w:szCs w:val="22"/>
                <w:lang w:val="sr-Latn-CS"/>
              </w:rPr>
              <w:t>≤</w:t>
            </w:r>
            <w:r>
              <w:rPr>
                <w:rFonts w:ascii="Arial" w:hAnsi="Arial" w:cs="Arial"/>
                <w:color w:val="000000" w:themeColor="text1"/>
                <w:szCs w:val="22"/>
                <w:lang w:val="sr-Latn-CS"/>
              </w:rPr>
              <w:t xml:space="preserve"> </w:t>
            </w:r>
            <w:r w:rsidRPr="0000154C">
              <w:rPr>
                <w:rFonts w:ascii="Arial" w:hAnsi="Arial" w:cs="Arial"/>
                <w:color w:val="000000" w:themeColor="text1"/>
                <w:szCs w:val="22"/>
                <w:lang w:val="sr-Latn-CS"/>
              </w:rPr>
              <w:t>0,</w:t>
            </w:r>
            <w:r>
              <w:rPr>
                <w:rFonts w:ascii="Arial" w:hAnsi="Arial" w:cs="Arial"/>
                <w:color w:val="000000" w:themeColor="text1"/>
                <w:szCs w:val="22"/>
                <w:lang w:val="sr-Latn-CS"/>
              </w:rPr>
              <w:t>25</w:t>
            </w:r>
          </w:p>
          <w:p w:rsidR="00B65A71" w:rsidRPr="0000154C" w:rsidRDefault="00B65A71" w:rsidP="00B65A7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2"/>
                <w:lang w:val="sr-Latn-CS"/>
              </w:rPr>
            </w:pPr>
            <w:r>
              <w:rPr>
                <w:rFonts w:ascii="Arial" w:hAnsi="Arial" w:cs="Arial"/>
                <w:color w:val="000000" w:themeColor="text1"/>
                <w:szCs w:val="22"/>
                <w:lang w:val="sr-Latn-CS"/>
              </w:rPr>
              <w:t>≤ 0,23</w:t>
            </w:r>
          </w:p>
        </w:tc>
      </w:tr>
      <w:tr w:rsidR="00B65A71" w:rsidRPr="0000154C" w:rsidTr="00B65A71">
        <w:tc>
          <w:tcPr>
            <w:cnfStyle w:val="001000000000" w:firstRow="0" w:lastRow="0" w:firstColumn="1" w:lastColumn="0" w:oddVBand="0" w:evenVBand="0" w:oddHBand="0" w:evenHBand="0" w:firstRowFirstColumn="0" w:firstRowLastColumn="0" w:lastRowFirstColumn="0" w:lastRowLastColumn="0"/>
            <w:tcW w:w="1638" w:type="dxa"/>
          </w:tcPr>
          <w:p w:rsidR="00B65A71" w:rsidRDefault="00B65A71" w:rsidP="00B65A71">
            <w:pPr>
              <w:rPr>
                <w:rFonts w:ascii="Arial" w:hAnsi="Arial" w:cs="Arial"/>
                <w:color w:val="000000" w:themeColor="text1"/>
                <w:szCs w:val="22"/>
                <w:lang w:val="sr-Latn-CS"/>
              </w:rPr>
            </w:pPr>
            <w:r>
              <w:rPr>
                <w:rFonts w:ascii="Arial" w:hAnsi="Arial" w:cs="Arial"/>
                <w:color w:val="000000" w:themeColor="text1"/>
                <w:szCs w:val="22"/>
                <w:lang w:val="sr-Latn-CS"/>
              </w:rPr>
              <w:t xml:space="preserve">BR </w:t>
            </w:r>
            <w:r w:rsidRPr="0000154C">
              <w:rPr>
                <w:rFonts w:ascii="Arial" w:hAnsi="Arial" w:cs="Arial"/>
                <w:color w:val="000000" w:themeColor="text1"/>
                <w:szCs w:val="22"/>
                <w:lang w:val="sr-Latn-CS"/>
              </w:rPr>
              <w:t>II</w:t>
            </w:r>
            <w:r>
              <w:rPr>
                <w:rFonts w:ascii="Arial" w:hAnsi="Arial" w:cs="Arial"/>
                <w:color w:val="000000" w:themeColor="text1"/>
                <w:szCs w:val="22"/>
                <w:lang w:val="sr-Latn-CS"/>
              </w:rPr>
              <w:t>I</w:t>
            </w:r>
            <w:r w:rsidRPr="0000154C">
              <w:rPr>
                <w:rFonts w:ascii="Arial" w:hAnsi="Arial" w:cs="Arial"/>
                <w:color w:val="000000" w:themeColor="text1"/>
                <w:szCs w:val="22"/>
                <w:lang w:val="sr-Latn-CS"/>
              </w:rPr>
              <w:t xml:space="preserve"> </w:t>
            </w:r>
            <w:r>
              <w:rPr>
                <w:rFonts w:ascii="Arial" w:hAnsi="Arial" w:cs="Arial"/>
                <w:color w:val="000000" w:themeColor="text1"/>
                <w:szCs w:val="22"/>
                <w:lang w:val="sr-Latn-CS"/>
              </w:rPr>
              <w:t>kvartal</w:t>
            </w:r>
          </w:p>
          <w:p w:rsidR="00B65A71" w:rsidRPr="0000154C" w:rsidRDefault="00B65A71" w:rsidP="00B65A71">
            <w:pPr>
              <w:rPr>
                <w:rFonts w:ascii="Arial" w:hAnsi="Arial" w:cs="Arial"/>
                <w:color w:val="000000" w:themeColor="text1"/>
                <w:szCs w:val="22"/>
                <w:lang w:val="sr-Latn-CS"/>
              </w:rPr>
            </w:pPr>
            <w:r>
              <w:rPr>
                <w:rFonts w:ascii="Arial" w:hAnsi="Arial" w:cs="Arial"/>
                <w:color w:val="000000" w:themeColor="text1"/>
                <w:szCs w:val="22"/>
                <w:lang w:val="sr-Latn-CS"/>
              </w:rPr>
              <w:t>BR  IV kvartal</w:t>
            </w:r>
          </w:p>
        </w:tc>
        <w:tc>
          <w:tcPr>
            <w:tcW w:w="1350" w:type="dxa"/>
          </w:tcPr>
          <w:p w:rsidR="00B65A71" w:rsidRDefault="00B65A71" w:rsidP="00B65A7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2"/>
                <w:lang w:val="sr-Latn-CS"/>
              </w:rPr>
            </w:pPr>
            <w:r w:rsidRPr="0000154C">
              <w:rPr>
                <w:rFonts w:ascii="Arial" w:hAnsi="Arial" w:cs="Arial"/>
                <w:color w:val="000000" w:themeColor="text1"/>
                <w:szCs w:val="22"/>
                <w:lang w:val="sr-Latn-CS"/>
              </w:rPr>
              <w:t xml:space="preserve">≤ </w:t>
            </w:r>
            <w:r>
              <w:rPr>
                <w:rFonts w:ascii="Arial" w:hAnsi="Arial" w:cs="Arial"/>
                <w:color w:val="000000" w:themeColor="text1"/>
                <w:szCs w:val="22"/>
                <w:lang w:val="sr-Latn-CS"/>
              </w:rPr>
              <w:t>21,78</w:t>
            </w:r>
          </w:p>
          <w:p w:rsidR="00B65A71" w:rsidRPr="0000154C" w:rsidRDefault="00B65A71" w:rsidP="00B65A7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2"/>
                <w:lang w:val="sr-Latn-CS"/>
              </w:rPr>
            </w:pPr>
            <w:r>
              <w:rPr>
                <w:rFonts w:ascii="Arial" w:hAnsi="Arial" w:cs="Arial"/>
                <w:color w:val="000000" w:themeColor="text1"/>
                <w:szCs w:val="22"/>
                <w:lang w:val="sr-Latn-CS"/>
              </w:rPr>
              <w:t>21,1 ± 2,0</w:t>
            </w:r>
          </w:p>
        </w:tc>
        <w:tc>
          <w:tcPr>
            <w:tcW w:w="993" w:type="dxa"/>
          </w:tcPr>
          <w:p w:rsidR="00B65A71" w:rsidRDefault="00B65A71" w:rsidP="00B65A7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2"/>
                <w:lang w:val="sr-Latn-CS"/>
              </w:rPr>
            </w:pPr>
            <w:r w:rsidRPr="0000154C">
              <w:rPr>
                <w:rFonts w:ascii="Arial" w:hAnsi="Arial" w:cs="Arial"/>
                <w:color w:val="000000" w:themeColor="text1"/>
                <w:szCs w:val="22"/>
                <w:lang w:val="sr-Latn-CS"/>
              </w:rPr>
              <w:t xml:space="preserve">≤ </w:t>
            </w:r>
            <w:r>
              <w:rPr>
                <w:rFonts w:ascii="Arial" w:hAnsi="Arial" w:cs="Arial"/>
                <w:color w:val="000000" w:themeColor="text1"/>
                <w:szCs w:val="22"/>
                <w:lang w:val="sr-Latn-CS"/>
              </w:rPr>
              <w:t>2,17</w:t>
            </w:r>
          </w:p>
          <w:p w:rsidR="00B65A71" w:rsidRPr="0000154C" w:rsidRDefault="00B65A71" w:rsidP="00B65A7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2"/>
                <w:lang w:val="sr-Latn-CS"/>
              </w:rPr>
            </w:pPr>
            <w:r>
              <w:rPr>
                <w:rFonts w:ascii="Arial" w:hAnsi="Arial" w:cs="Arial"/>
                <w:color w:val="000000" w:themeColor="text1"/>
                <w:szCs w:val="22"/>
                <w:lang w:val="sr-Latn-CS"/>
              </w:rPr>
              <w:t>≤ 1,75</w:t>
            </w:r>
          </w:p>
        </w:tc>
        <w:tc>
          <w:tcPr>
            <w:tcW w:w="1327" w:type="dxa"/>
          </w:tcPr>
          <w:p w:rsidR="00B65A71" w:rsidRDefault="00B65A71" w:rsidP="00B65A7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2"/>
                <w:lang w:val="sr-Latn-CS"/>
              </w:rPr>
            </w:pPr>
            <w:r w:rsidRPr="0000154C">
              <w:rPr>
                <w:rFonts w:ascii="Arial" w:hAnsi="Arial" w:cs="Arial"/>
                <w:color w:val="000000" w:themeColor="text1"/>
                <w:szCs w:val="22"/>
                <w:lang w:val="sr-Latn-CS"/>
              </w:rPr>
              <w:t xml:space="preserve">≤ </w:t>
            </w:r>
            <w:r>
              <w:rPr>
                <w:rFonts w:ascii="Arial" w:hAnsi="Arial" w:cs="Arial"/>
                <w:color w:val="000000" w:themeColor="text1"/>
                <w:szCs w:val="22"/>
                <w:lang w:val="sr-Latn-CS"/>
              </w:rPr>
              <w:t>3,80</w:t>
            </w:r>
          </w:p>
          <w:p w:rsidR="00B65A71" w:rsidRPr="0000154C" w:rsidRDefault="00B65A71" w:rsidP="00B65A7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2"/>
                <w:lang w:val="sr-Latn-CS"/>
              </w:rPr>
            </w:pPr>
            <w:r>
              <w:rPr>
                <w:rFonts w:ascii="Arial" w:hAnsi="Arial" w:cs="Arial"/>
                <w:color w:val="000000" w:themeColor="text1"/>
                <w:szCs w:val="22"/>
                <w:lang w:val="sr-Latn-CS"/>
              </w:rPr>
              <w:t>≤ 3,15</w:t>
            </w:r>
          </w:p>
        </w:tc>
        <w:tc>
          <w:tcPr>
            <w:tcW w:w="1327" w:type="dxa"/>
          </w:tcPr>
          <w:p w:rsidR="00B65A71" w:rsidRDefault="00B65A71" w:rsidP="00B65A7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2"/>
                <w:lang w:val="sr-Latn-CS"/>
              </w:rPr>
            </w:pPr>
            <w:r w:rsidRPr="0000154C">
              <w:rPr>
                <w:rFonts w:ascii="Arial" w:hAnsi="Arial" w:cs="Arial"/>
                <w:color w:val="000000" w:themeColor="text1"/>
                <w:szCs w:val="22"/>
                <w:lang w:val="sr-Latn-CS"/>
              </w:rPr>
              <w:t xml:space="preserve">≤ </w:t>
            </w:r>
            <w:r>
              <w:rPr>
                <w:rFonts w:ascii="Arial" w:hAnsi="Arial" w:cs="Arial"/>
                <w:color w:val="000000" w:themeColor="text1"/>
                <w:szCs w:val="22"/>
                <w:lang w:val="sr-Latn-CS"/>
              </w:rPr>
              <w:t>7,24</w:t>
            </w:r>
          </w:p>
          <w:p w:rsidR="00B65A71" w:rsidRPr="0000154C" w:rsidRDefault="00B65A71" w:rsidP="00B65A7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2"/>
                <w:lang w:val="sr-Latn-CS"/>
              </w:rPr>
            </w:pPr>
            <w:r>
              <w:rPr>
                <w:rFonts w:ascii="Arial" w:hAnsi="Arial" w:cs="Arial"/>
                <w:color w:val="000000" w:themeColor="text1"/>
                <w:szCs w:val="22"/>
                <w:lang w:val="sr-Latn-CS"/>
              </w:rPr>
              <w:t>≤ 5,45</w:t>
            </w:r>
          </w:p>
        </w:tc>
        <w:tc>
          <w:tcPr>
            <w:tcW w:w="1327" w:type="dxa"/>
          </w:tcPr>
          <w:p w:rsidR="00B65A71" w:rsidRDefault="00B65A71" w:rsidP="00B65A7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2"/>
                <w:lang w:val="sr-Latn-CS"/>
              </w:rPr>
            </w:pPr>
            <w:r w:rsidRPr="0000154C">
              <w:rPr>
                <w:rFonts w:ascii="Arial" w:hAnsi="Arial" w:cs="Arial"/>
                <w:color w:val="000000" w:themeColor="text1"/>
                <w:szCs w:val="22"/>
                <w:lang w:val="sr-Latn-CS"/>
              </w:rPr>
              <w:t xml:space="preserve">≤ </w:t>
            </w:r>
            <w:r>
              <w:rPr>
                <w:rFonts w:ascii="Arial" w:hAnsi="Arial" w:cs="Arial"/>
                <w:color w:val="000000" w:themeColor="text1"/>
                <w:szCs w:val="22"/>
                <w:lang w:val="sr-Latn-CS"/>
              </w:rPr>
              <w:t>13,89</w:t>
            </w:r>
          </w:p>
          <w:p w:rsidR="00B65A71" w:rsidRPr="0000154C" w:rsidRDefault="00B65A71" w:rsidP="00B65A7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2"/>
                <w:lang w:val="sr-Latn-CS"/>
              </w:rPr>
            </w:pPr>
            <w:r>
              <w:rPr>
                <w:rFonts w:ascii="Arial" w:hAnsi="Arial" w:cs="Arial"/>
                <w:color w:val="000000" w:themeColor="text1"/>
                <w:szCs w:val="22"/>
                <w:lang w:val="sr-Latn-CS"/>
              </w:rPr>
              <w:t>≤ 11,62</w:t>
            </w:r>
          </w:p>
        </w:tc>
        <w:tc>
          <w:tcPr>
            <w:tcW w:w="1327" w:type="dxa"/>
          </w:tcPr>
          <w:p w:rsidR="00B65A71" w:rsidRDefault="00B65A71" w:rsidP="00B65A7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2"/>
                <w:lang w:val="sr-Latn-CS"/>
              </w:rPr>
            </w:pPr>
            <w:r w:rsidRPr="0000154C">
              <w:rPr>
                <w:rFonts w:ascii="Arial" w:hAnsi="Arial" w:cs="Arial"/>
                <w:color w:val="000000" w:themeColor="text1"/>
                <w:szCs w:val="22"/>
                <w:lang w:val="sr-Latn-CS"/>
              </w:rPr>
              <w:t>≤</w:t>
            </w:r>
            <w:r>
              <w:rPr>
                <w:rFonts w:ascii="Arial" w:hAnsi="Arial" w:cs="Arial"/>
                <w:color w:val="000000" w:themeColor="text1"/>
                <w:szCs w:val="22"/>
                <w:lang w:val="sr-Latn-CS"/>
              </w:rPr>
              <w:t xml:space="preserve"> </w:t>
            </w:r>
            <w:r w:rsidRPr="0000154C">
              <w:rPr>
                <w:rFonts w:ascii="Arial" w:hAnsi="Arial" w:cs="Arial"/>
                <w:color w:val="000000" w:themeColor="text1"/>
                <w:szCs w:val="22"/>
                <w:lang w:val="sr-Latn-CS"/>
              </w:rPr>
              <w:t>0,2</w:t>
            </w:r>
            <w:r>
              <w:rPr>
                <w:rFonts w:ascii="Arial" w:hAnsi="Arial" w:cs="Arial"/>
                <w:color w:val="000000" w:themeColor="text1"/>
                <w:szCs w:val="22"/>
                <w:lang w:val="sr-Latn-CS"/>
              </w:rPr>
              <w:t>5</w:t>
            </w:r>
          </w:p>
          <w:p w:rsidR="00B65A71" w:rsidRPr="0000154C" w:rsidRDefault="00B65A71" w:rsidP="00B65A7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2"/>
                <w:lang w:val="sr-Latn-CS"/>
              </w:rPr>
            </w:pPr>
            <w:r>
              <w:rPr>
                <w:rFonts w:ascii="Arial" w:hAnsi="Arial" w:cs="Arial"/>
                <w:color w:val="000000" w:themeColor="text1"/>
                <w:szCs w:val="22"/>
                <w:lang w:val="sr-Latn-CS"/>
              </w:rPr>
              <w:t>≤ 0,19</w:t>
            </w:r>
          </w:p>
        </w:tc>
      </w:tr>
      <w:tr w:rsidR="00B65A71" w:rsidRPr="0000154C" w:rsidTr="00B65A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tcPr>
          <w:p w:rsidR="00B65A71" w:rsidRDefault="00B65A71" w:rsidP="00B65A71">
            <w:pPr>
              <w:rPr>
                <w:rFonts w:ascii="Arial" w:hAnsi="Arial" w:cs="Arial"/>
                <w:color w:val="000000" w:themeColor="text1"/>
                <w:szCs w:val="22"/>
                <w:lang w:val="sr-Latn-CS"/>
              </w:rPr>
            </w:pPr>
            <w:r>
              <w:rPr>
                <w:rFonts w:ascii="Arial" w:hAnsi="Arial" w:cs="Arial"/>
                <w:color w:val="000000" w:themeColor="text1"/>
                <w:szCs w:val="22"/>
                <w:lang w:val="sr-Latn-CS"/>
              </w:rPr>
              <w:t>PG I kvartal</w:t>
            </w:r>
          </w:p>
          <w:p w:rsidR="00B65A71" w:rsidRPr="0000154C" w:rsidRDefault="00B65A71" w:rsidP="00B65A71">
            <w:pPr>
              <w:rPr>
                <w:rFonts w:ascii="Arial" w:hAnsi="Arial" w:cs="Arial"/>
                <w:color w:val="000000" w:themeColor="text1"/>
                <w:szCs w:val="22"/>
                <w:lang w:val="sr-Latn-CS"/>
              </w:rPr>
            </w:pPr>
            <w:r>
              <w:rPr>
                <w:rFonts w:ascii="Arial" w:hAnsi="Arial" w:cs="Arial"/>
                <w:color w:val="000000" w:themeColor="text1"/>
                <w:szCs w:val="22"/>
                <w:lang w:val="sr-Latn-CS"/>
              </w:rPr>
              <w:t>PG II kvartal</w:t>
            </w:r>
          </w:p>
        </w:tc>
        <w:tc>
          <w:tcPr>
            <w:tcW w:w="1350" w:type="dxa"/>
          </w:tcPr>
          <w:p w:rsidR="00B65A71" w:rsidRDefault="00B65A71" w:rsidP="00B65A7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2"/>
                <w:lang w:val="sr-Latn-CS"/>
              </w:rPr>
            </w:pPr>
            <w:r>
              <w:rPr>
                <w:rFonts w:ascii="Arial" w:hAnsi="Arial" w:cs="Arial"/>
                <w:color w:val="000000" w:themeColor="text1"/>
                <w:szCs w:val="22"/>
                <w:lang w:val="sr-Latn-CS"/>
              </w:rPr>
              <w:t>30,0 ± 2,0</w:t>
            </w:r>
          </w:p>
          <w:p w:rsidR="00B65A71" w:rsidRPr="0000154C" w:rsidRDefault="00B65A71" w:rsidP="00B65A7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2"/>
                <w:lang w:val="sr-Latn-CS"/>
              </w:rPr>
            </w:pPr>
            <w:r>
              <w:rPr>
                <w:rFonts w:ascii="Arial" w:hAnsi="Arial" w:cs="Arial"/>
                <w:color w:val="000000" w:themeColor="text1"/>
                <w:szCs w:val="22"/>
                <w:lang w:val="sr-Latn-CS"/>
              </w:rPr>
              <w:t>36,0 ± 2,6</w:t>
            </w:r>
          </w:p>
        </w:tc>
        <w:tc>
          <w:tcPr>
            <w:tcW w:w="993" w:type="dxa"/>
          </w:tcPr>
          <w:p w:rsidR="00B65A71" w:rsidRDefault="00B65A71" w:rsidP="00B65A7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2"/>
                <w:lang w:val="sr-Latn-CS"/>
              </w:rPr>
            </w:pPr>
            <w:r>
              <w:rPr>
                <w:rFonts w:ascii="Arial" w:hAnsi="Arial" w:cs="Arial"/>
                <w:color w:val="000000" w:themeColor="text1"/>
                <w:szCs w:val="22"/>
                <w:lang w:val="sr-Latn-CS"/>
              </w:rPr>
              <w:t>≤ 0,55</w:t>
            </w:r>
          </w:p>
          <w:p w:rsidR="00B65A71" w:rsidRPr="0000154C" w:rsidRDefault="00B65A71" w:rsidP="00B65A7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2"/>
                <w:lang w:val="sr-Latn-CS"/>
              </w:rPr>
            </w:pPr>
            <w:r>
              <w:rPr>
                <w:rFonts w:ascii="Arial" w:hAnsi="Arial" w:cs="Arial"/>
                <w:color w:val="000000" w:themeColor="text1"/>
                <w:szCs w:val="22"/>
                <w:lang w:val="sr-Latn-CS"/>
              </w:rPr>
              <w:t>≤1,00</w:t>
            </w:r>
          </w:p>
        </w:tc>
        <w:tc>
          <w:tcPr>
            <w:tcW w:w="1327" w:type="dxa"/>
          </w:tcPr>
          <w:p w:rsidR="00B65A71" w:rsidRDefault="00B65A71" w:rsidP="00B65A7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2"/>
                <w:lang w:val="sr-Latn-CS"/>
              </w:rPr>
            </w:pPr>
            <w:r>
              <w:rPr>
                <w:rFonts w:ascii="Arial" w:hAnsi="Arial" w:cs="Arial"/>
                <w:color w:val="000000" w:themeColor="text1"/>
                <w:szCs w:val="22"/>
                <w:lang w:val="sr-Latn-CS"/>
              </w:rPr>
              <w:t>≤ 1,00</w:t>
            </w:r>
          </w:p>
          <w:p w:rsidR="00B65A71" w:rsidRPr="0000154C" w:rsidRDefault="00B65A71" w:rsidP="00B65A7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2"/>
                <w:lang w:val="sr-Latn-CS"/>
              </w:rPr>
            </w:pPr>
            <w:r>
              <w:rPr>
                <w:rFonts w:ascii="Arial" w:hAnsi="Arial" w:cs="Arial"/>
                <w:color w:val="000000" w:themeColor="text1"/>
                <w:szCs w:val="22"/>
                <w:lang w:val="sr-Latn-CS"/>
              </w:rPr>
              <w:t>6,9 ± 0,7</w:t>
            </w:r>
          </w:p>
        </w:tc>
        <w:tc>
          <w:tcPr>
            <w:tcW w:w="1327" w:type="dxa"/>
          </w:tcPr>
          <w:p w:rsidR="00B65A71" w:rsidRDefault="00B65A71" w:rsidP="00B65A7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2"/>
                <w:lang w:val="sr-Latn-CS"/>
              </w:rPr>
            </w:pPr>
            <w:r>
              <w:rPr>
                <w:rFonts w:ascii="Arial" w:hAnsi="Arial" w:cs="Arial"/>
                <w:color w:val="000000" w:themeColor="text1"/>
                <w:szCs w:val="22"/>
                <w:lang w:val="sr-Latn-CS"/>
              </w:rPr>
              <w:t>≤ 1,90</w:t>
            </w:r>
          </w:p>
          <w:p w:rsidR="00B65A71" w:rsidRPr="0000154C" w:rsidRDefault="00B65A71" w:rsidP="00B65A7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2"/>
                <w:lang w:val="sr-Latn-CS"/>
              </w:rPr>
            </w:pPr>
            <w:r>
              <w:rPr>
                <w:rFonts w:ascii="Arial" w:hAnsi="Arial" w:cs="Arial"/>
                <w:color w:val="000000" w:themeColor="text1"/>
                <w:szCs w:val="22"/>
                <w:lang w:val="sr-Latn-CS"/>
              </w:rPr>
              <w:t>≤ 3,80</w:t>
            </w:r>
          </w:p>
        </w:tc>
        <w:tc>
          <w:tcPr>
            <w:tcW w:w="1327" w:type="dxa"/>
          </w:tcPr>
          <w:p w:rsidR="00B65A71" w:rsidRDefault="00B65A71" w:rsidP="00B65A7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2"/>
                <w:lang w:val="sr-Latn-CS"/>
              </w:rPr>
            </w:pPr>
            <w:r>
              <w:rPr>
                <w:rFonts w:ascii="Arial" w:hAnsi="Arial" w:cs="Arial"/>
                <w:color w:val="000000" w:themeColor="text1"/>
                <w:szCs w:val="22"/>
                <w:lang w:val="sr-Latn-CS"/>
              </w:rPr>
              <w:t>≤ 3,70</w:t>
            </w:r>
          </w:p>
          <w:p w:rsidR="00B65A71" w:rsidRPr="0000154C" w:rsidRDefault="00B65A71" w:rsidP="00B65A7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2"/>
                <w:lang w:val="sr-Latn-CS"/>
              </w:rPr>
            </w:pPr>
            <w:r>
              <w:rPr>
                <w:rFonts w:ascii="Arial" w:hAnsi="Arial" w:cs="Arial"/>
                <w:color w:val="000000" w:themeColor="text1"/>
                <w:szCs w:val="22"/>
                <w:lang w:val="sr-Latn-CS"/>
              </w:rPr>
              <w:t>≤ 7,00</w:t>
            </w:r>
          </w:p>
        </w:tc>
        <w:tc>
          <w:tcPr>
            <w:tcW w:w="1327" w:type="dxa"/>
          </w:tcPr>
          <w:p w:rsidR="00B65A71" w:rsidRDefault="00B65A71" w:rsidP="00B65A7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2"/>
                <w:lang w:val="sr-Latn-CS"/>
              </w:rPr>
            </w:pPr>
            <w:r>
              <w:rPr>
                <w:rFonts w:ascii="Arial" w:hAnsi="Arial" w:cs="Arial"/>
                <w:color w:val="000000" w:themeColor="text1"/>
                <w:szCs w:val="22"/>
                <w:lang w:val="sr-Latn-CS"/>
              </w:rPr>
              <w:t>≤ 0,07</w:t>
            </w:r>
          </w:p>
          <w:p w:rsidR="00B65A71" w:rsidRPr="0000154C" w:rsidRDefault="00B65A71" w:rsidP="00B65A71">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2"/>
                <w:lang w:val="sr-Latn-CS"/>
              </w:rPr>
            </w:pPr>
            <w:r>
              <w:rPr>
                <w:rFonts w:ascii="Arial" w:hAnsi="Arial" w:cs="Arial"/>
                <w:color w:val="000000" w:themeColor="text1"/>
                <w:szCs w:val="22"/>
                <w:lang w:val="sr-Latn-CS"/>
              </w:rPr>
              <w:t>≤ 0,11</w:t>
            </w:r>
          </w:p>
        </w:tc>
      </w:tr>
      <w:tr w:rsidR="00B65A71" w:rsidRPr="0000154C" w:rsidTr="00B65A71">
        <w:tc>
          <w:tcPr>
            <w:cnfStyle w:val="001000000000" w:firstRow="0" w:lastRow="0" w:firstColumn="1" w:lastColumn="0" w:oddVBand="0" w:evenVBand="0" w:oddHBand="0" w:evenHBand="0" w:firstRowFirstColumn="0" w:firstRowLastColumn="0" w:lastRowFirstColumn="0" w:lastRowLastColumn="0"/>
            <w:tcW w:w="1638" w:type="dxa"/>
          </w:tcPr>
          <w:p w:rsidR="00B65A71" w:rsidRDefault="00B65A71" w:rsidP="00B65A71">
            <w:pPr>
              <w:rPr>
                <w:rFonts w:ascii="Arial" w:hAnsi="Arial" w:cs="Arial"/>
                <w:color w:val="000000" w:themeColor="text1"/>
                <w:szCs w:val="22"/>
                <w:lang w:val="sr-Latn-CS"/>
              </w:rPr>
            </w:pPr>
            <w:r>
              <w:rPr>
                <w:rFonts w:ascii="Arial" w:hAnsi="Arial" w:cs="Arial"/>
                <w:color w:val="000000" w:themeColor="text1"/>
                <w:szCs w:val="22"/>
                <w:lang w:val="sr-Latn-CS"/>
              </w:rPr>
              <w:t>PG III kvartal</w:t>
            </w:r>
          </w:p>
          <w:p w:rsidR="00B65A71" w:rsidRDefault="00B65A71" w:rsidP="00B65A71">
            <w:pPr>
              <w:rPr>
                <w:rFonts w:ascii="Arial" w:hAnsi="Arial" w:cs="Arial"/>
                <w:color w:val="000000" w:themeColor="text1"/>
                <w:szCs w:val="22"/>
                <w:lang w:val="sr-Latn-CS"/>
              </w:rPr>
            </w:pPr>
            <w:r>
              <w:rPr>
                <w:rFonts w:ascii="Arial" w:hAnsi="Arial" w:cs="Arial"/>
                <w:color w:val="000000" w:themeColor="text1"/>
                <w:szCs w:val="22"/>
                <w:lang w:val="sr-Latn-CS"/>
              </w:rPr>
              <w:t>PG IV kvartal</w:t>
            </w:r>
          </w:p>
        </w:tc>
        <w:tc>
          <w:tcPr>
            <w:tcW w:w="1350" w:type="dxa"/>
          </w:tcPr>
          <w:p w:rsidR="00B65A71" w:rsidRDefault="00B65A71" w:rsidP="00B65A7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2"/>
                <w:lang w:val="sr-Latn-CS"/>
              </w:rPr>
            </w:pPr>
            <w:r>
              <w:rPr>
                <w:rFonts w:ascii="Arial" w:hAnsi="Arial" w:cs="Arial"/>
                <w:color w:val="000000" w:themeColor="text1"/>
                <w:szCs w:val="22"/>
                <w:lang w:val="sr-Latn-CS"/>
              </w:rPr>
              <w:t>15,1 ± 1,0</w:t>
            </w:r>
          </w:p>
          <w:p w:rsidR="00B65A71" w:rsidRPr="0000154C" w:rsidRDefault="00B65A71" w:rsidP="00B65A7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2"/>
                <w:lang w:val="sr-Latn-CS"/>
              </w:rPr>
            </w:pPr>
            <w:r>
              <w:rPr>
                <w:rFonts w:ascii="Arial" w:hAnsi="Arial" w:cs="Arial"/>
                <w:color w:val="000000" w:themeColor="text1"/>
                <w:szCs w:val="22"/>
                <w:lang w:val="sr-Latn-CS"/>
              </w:rPr>
              <w:t>≤ 8,0</w:t>
            </w:r>
          </w:p>
        </w:tc>
        <w:tc>
          <w:tcPr>
            <w:tcW w:w="993" w:type="dxa"/>
          </w:tcPr>
          <w:p w:rsidR="00B65A71" w:rsidRDefault="00B65A71" w:rsidP="00B65A7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2"/>
                <w:lang w:val="sr-Latn-CS"/>
              </w:rPr>
            </w:pPr>
            <w:r>
              <w:rPr>
                <w:rFonts w:ascii="Arial" w:hAnsi="Arial" w:cs="Arial"/>
                <w:color w:val="000000" w:themeColor="text1"/>
                <w:szCs w:val="22"/>
                <w:lang w:val="sr-Latn-CS"/>
              </w:rPr>
              <w:t>≤ 0,56</w:t>
            </w:r>
          </w:p>
          <w:p w:rsidR="00B65A71" w:rsidRPr="0000154C" w:rsidRDefault="00B65A71" w:rsidP="00B65A7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2"/>
                <w:lang w:val="sr-Latn-CS"/>
              </w:rPr>
            </w:pPr>
            <w:r>
              <w:rPr>
                <w:rFonts w:ascii="Arial" w:hAnsi="Arial" w:cs="Arial"/>
                <w:color w:val="000000" w:themeColor="text1"/>
                <w:szCs w:val="22"/>
                <w:lang w:val="sr-Latn-CS"/>
              </w:rPr>
              <w:t>≤0,90</w:t>
            </w:r>
          </w:p>
        </w:tc>
        <w:tc>
          <w:tcPr>
            <w:tcW w:w="1327" w:type="dxa"/>
          </w:tcPr>
          <w:p w:rsidR="00B65A71" w:rsidRDefault="00B65A71" w:rsidP="00B65A7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2"/>
                <w:lang w:val="sr-Latn-CS"/>
              </w:rPr>
            </w:pPr>
            <w:r>
              <w:rPr>
                <w:rFonts w:ascii="Arial" w:hAnsi="Arial" w:cs="Arial"/>
                <w:color w:val="000000" w:themeColor="text1"/>
                <w:szCs w:val="22"/>
                <w:lang w:val="sr-Latn-CS"/>
              </w:rPr>
              <w:t>11,0 ± 0,6</w:t>
            </w:r>
          </w:p>
          <w:p w:rsidR="00B65A71" w:rsidRPr="0000154C" w:rsidRDefault="00B65A71" w:rsidP="00B65A7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2"/>
                <w:lang w:val="sr-Latn-CS"/>
              </w:rPr>
            </w:pPr>
            <w:r>
              <w:rPr>
                <w:rFonts w:ascii="Arial" w:hAnsi="Arial" w:cs="Arial"/>
                <w:color w:val="000000" w:themeColor="text1"/>
                <w:szCs w:val="22"/>
                <w:lang w:val="sr-Latn-CS"/>
              </w:rPr>
              <w:t>≤ 2,0</w:t>
            </w:r>
          </w:p>
        </w:tc>
        <w:tc>
          <w:tcPr>
            <w:tcW w:w="1327" w:type="dxa"/>
          </w:tcPr>
          <w:p w:rsidR="00B65A71" w:rsidRDefault="00B65A71" w:rsidP="00B65A7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2"/>
                <w:lang w:val="sr-Latn-CS"/>
              </w:rPr>
            </w:pPr>
            <w:r>
              <w:rPr>
                <w:rFonts w:ascii="Arial" w:hAnsi="Arial" w:cs="Arial"/>
                <w:color w:val="000000" w:themeColor="text1"/>
                <w:szCs w:val="22"/>
                <w:lang w:val="sr-Latn-CS"/>
              </w:rPr>
              <w:t>≤ 2,10</w:t>
            </w:r>
          </w:p>
          <w:p w:rsidR="00B65A71" w:rsidRPr="0000154C" w:rsidRDefault="00B65A71" w:rsidP="00B65A7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2"/>
                <w:lang w:val="sr-Latn-CS"/>
              </w:rPr>
            </w:pPr>
            <w:r>
              <w:rPr>
                <w:rFonts w:ascii="Arial" w:hAnsi="Arial" w:cs="Arial"/>
                <w:color w:val="000000" w:themeColor="text1"/>
                <w:szCs w:val="22"/>
                <w:lang w:val="sr-Latn-CS"/>
              </w:rPr>
              <w:t>≤ 3,20</w:t>
            </w:r>
          </w:p>
        </w:tc>
        <w:tc>
          <w:tcPr>
            <w:tcW w:w="1327" w:type="dxa"/>
          </w:tcPr>
          <w:p w:rsidR="00B65A71" w:rsidRDefault="00B65A71" w:rsidP="00B65A7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2"/>
                <w:lang w:val="sr-Latn-CS"/>
              </w:rPr>
            </w:pPr>
            <w:r>
              <w:rPr>
                <w:rFonts w:ascii="Arial" w:hAnsi="Arial" w:cs="Arial"/>
                <w:color w:val="000000" w:themeColor="text1"/>
                <w:szCs w:val="22"/>
                <w:lang w:val="sr-Latn-CS"/>
              </w:rPr>
              <w:t>≤ 3,80</w:t>
            </w:r>
          </w:p>
          <w:p w:rsidR="00B65A71" w:rsidRPr="0000154C" w:rsidRDefault="00B65A71" w:rsidP="00B65A7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2"/>
                <w:lang w:val="sr-Latn-CS"/>
              </w:rPr>
            </w:pPr>
            <w:r>
              <w:rPr>
                <w:rFonts w:ascii="Arial" w:hAnsi="Arial" w:cs="Arial"/>
                <w:color w:val="000000" w:themeColor="text1"/>
                <w:szCs w:val="22"/>
                <w:lang w:val="sr-Latn-CS"/>
              </w:rPr>
              <w:t>≤ 6,50</w:t>
            </w:r>
          </w:p>
        </w:tc>
        <w:tc>
          <w:tcPr>
            <w:tcW w:w="1327" w:type="dxa"/>
          </w:tcPr>
          <w:p w:rsidR="00B65A71" w:rsidRDefault="00B65A71" w:rsidP="00B65A7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2"/>
                <w:lang w:val="sr-Latn-CS"/>
              </w:rPr>
            </w:pPr>
            <w:r>
              <w:rPr>
                <w:rFonts w:ascii="Arial" w:hAnsi="Arial" w:cs="Arial"/>
                <w:color w:val="000000" w:themeColor="text1"/>
                <w:szCs w:val="22"/>
                <w:lang w:val="sr-Latn-CS"/>
              </w:rPr>
              <w:t>≤ 0,06</w:t>
            </w:r>
          </w:p>
          <w:p w:rsidR="00B65A71" w:rsidRPr="0000154C" w:rsidRDefault="00B65A71" w:rsidP="00B65A7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2"/>
                <w:lang w:val="sr-Latn-CS"/>
              </w:rPr>
            </w:pPr>
            <w:r>
              <w:rPr>
                <w:rFonts w:ascii="Arial" w:hAnsi="Arial" w:cs="Arial"/>
                <w:color w:val="000000" w:themeColor="text1"/>
                <w:szCs w:val="22"/>
                <w:lang w:val="sr-Latn-CS"/>
              </w:rPr>
              <w:t>≤ 0,12</w:t>
            </w:r>
          </w:p>
        </w:tc>
      </w:tr>
    </w:tbl>
    <w:p w:rsidR="00B65A71" w:rsidRPr="00B12EAA" w:rsidRDefault="00B12EAA" w:rsidP="009F48C6">
      <w:pPr>
        <w:pStyle w:val="Tabele"/>
        <w:ind w:left="0" w:firstLine="0"/>
      </w:pPr>
      <w:r w:rsidRPr="003E0531">
        <w:t>Koncentracije radionuklida u vodi za piće : Podgorica, Bar, Bijelo Polje, za 2013. god.</w:t>
      </w:r>
    </w:p>
    <w:p w:rsidR="00B65A71" w:rsidRPr="00790CC9" w:rsidRDefault="00B65A71" w:rsidP="00B65A71">
      <w:pPr>
        <w:rPr>
          <w:rFonts w:ascii="Constantia" w:hAnsi="Constantia"/>
        </w:rPr>
      </w:pPr>
      <w:r w:rsidRPr="00790CC9">
        <w:rPr>
          <w:rFonts w:ascii="Constantia" w:hAnsi="Constantia"/>
          <w:b/>
        </w:rPr>
        <w:t>Zaključak:</w:t>
      </w:r>
      <w:r w:rsidRPr="00790CC9">
        <w:rPr>
          <w:rFonts w:ascii="Constantia" w:hAnsi="Constantia"/>
        </w:rPr>
        <w:t xml:space="preserve"> Upoređivanjem vrijednosti serije rezultata koncentracija aktivnosti radionuklida u  pijaćim vodama sa izvedenim koncentracijama koje važe za vodu za piće :  </w:t>
      </w:r>
    </w:p>
    <w:p w:rsidR="00B65A71" w:rsidRPr="00790CC9" w:rsidRDefault="00B65A71" w:rsidP="00B65A71">
      <w:pPr>
        <w:rPr>
          <w:rFonts w:ascii="Constantia" w:hAnsi="Constantia"/>
        </w:rPr>
      </w:pPr>
      <w:r w:rsidRPr="00790CC9">
        <w:rPr>
          <w:rFonts w:ascii="Constantia" w:hAnsi="Constantia"/>
        </w:rPr>
        <w:t xml:space="preserve">40K : 2,2 Bq/l,  137Cs :1,0 Bq/l,  226Ra: 0,2 Bq/l, 232Th: 0,1 Bq/l,  238U: 0,4 Bq/l </w:t>
      </w:r>
    </w:p>
    <w:p w:rsidR="00B65A71" w:rsidRPr="00790CC9" w:rsidRDefault="00B65A71" w:rsidP="00B65A71">
      <w:pPr>
        <w:rPr>
          <w:rFonts w:ascii="Constantia" w:hAnsi="Constantia"/>
          <w:b/>
        </w:rPr>
      </w:pPr>
      <w:r w:rsidRPr="00790CC9">
        <w:rPr>
          <w:rFonts w:ascii="Constantia" w:hAnsi="Constantia"/>
          <w:b/>
        </w:rPr>
        <w:t>dolazi se do zaključka da je voda  za piće iz gradsk</w:t>
      </w:r>
      <w:r w:rsidR="00B12EAA" w:rsidRPr="00790CC9">
        <w:rPr>
          <w:rFonts w:ascii="Constantia" w:hAnsi="Constantia"/>
          <w:b/>
        </w:rPr>
        <w:t>ih vodovoda radiološki ispravna.</w:t>
      </w:r>
      <w:r w:rsidRPr="00790CC9">
        <w:rPr>
          <w:rFonts w:ascii="Constantia" w:hAnsi="Constantia"/>
          <w:b/>
        </w:rPr>
        <w:t xml:space="preserve"> </w:t>
      </w:r>
    </w:p>
    <w:p w:rsidR="00B65A71" w:rsidRPr="00790CC9" w:rsidRDefault="00B65A71" w:rsidP="00B65A71">
      <w:pPr>
        <w:rPr>
          <w:rFonts w:ascii="Constantia" w:hAnsi="Constantia"/>
        </w:rPr>
      </w:pPr>
      <w:r w:rsidRPr="00790CC9">
        <w:rPr>
          <w:rFonts w:ascii="Constantia" w:hAnsi="Constantia"/>
        </w:rPr>
        <w:t xml:space="preserve">EU Direktiva 98/83 od zemalja članica zahtijeva praćenje koncentracija radona koji je takođe sastavni dio vode za piće, jer postoje okolnosti kada  produkti raspada radona, predstavljaju uporedive ili veće radijacione rizike u odnosu na ostale radionuklide, sastavne djelove pijaće vode. </w:t>
      </w:r>
    </w:p>
    <w:p w:rsidR="00B65A71" w:rsidRPr="00790CC9" w:rsidRDefault="00B65A71" w:rsidP="00B65A71">
      <w:pPr>
        <w:pStyle w:val="Grafikon"/>
        <w:numPr>
          <w:ilvl w:val="0"/>
          <w:numId w:val="0"/>
        </w:numPr>
        <w:jc w:val="both"/>
        <w:rPr>
          <w:rFonts w:ascii="Constantia" w:hAnsi="Constantia"/>
          <w:i w:val="0"/>
          <w:sz w:val="22"/>
          <w:lang w:val="en-US"/>
        </w:rPr>
      </w:pPr>
      <w:r w:rsidRPr="00790CC9">
        <w:rPr>
          <w:rFonts w:ascii="Constantia" w:hAnsi="Constantia"/>
          <w:i w:val="0"/>
          <w:sz w:val="22"/>
          <w:lang w:val="en-US"/>
        </w:rPr>
        <w:t>U toku  2013. godine urađeno je  ukupno 4 ispitivanja sadržaja koncentracije radona 222Rn u vodi za piće i svi uzorci su bili sa vodovodnog sistema grada Podgorice  i to iz vodoizvorišta Mareza, Zagorič,</w:t>
      </w:r>
      <w:r w:rsidR="00C44B21" w:rsidRPr="00790CC9">
        <w:rPr>
          <w:rFonts w:ascii="Constantia" w:hAnsi="Constantia"/>
          <w:i w:val="0"/>
          <w:sz w:val="22"/>
          <w:lang w:val="en-US"/>
        </w:rPr>
        <w:t xml:space="preserve"> </w:t>
      </w:r>
      <w:r w:rsidRPr="00790CC9">
        <w:rPr>
          <w:rFonts w:ascii="Constantia" w:hAnsi="Constantia"/>
          <w:i w:val="0"/>
          <w:sz w:val="22"/>
          <w:lang w:val="en-US"/>
        </w:rPr>
        <w:t xml:space="preserve">Ćemovsko polje i Tuzi. Srednja vrijednost serije ispitivanja je bila 4,72 Bq/l što je na nivou od prošle godine, radi se o dozvoljenoj vrijednosti jer kao i prošle godine doprinosi efektivnoj dozi sa samo  0,012 mSv/god.  </w:t>
      </w:r>
    </w:p>
    <w:p w:rsidR="00B65A71" w:rsidRPr="00F06A67" w:rsidRDefault="00B65A71" w:rsidP="008315C2">
      <w:pPr>
        <w:pStyle w:val="Heading2"/>
        <w:numPr>
          <w:ilvl w:val="1"/>
          <w:numId w:val="52"/>
        </w:numPr>
        <w:ind w:left="851" w:hanging="851"/>
      </w:pPr>
      <w:bookmarkStart w:id="308" w:name="_Toc290541620"/>
      <w:bookmarkStart w:id="309" w:name="_Toc319930926"/>
      <w:bookmarkStart w:id="310" w:name="_Toc319931737"/>
      <w:bookmarkStart w:id="311" w:name="_Toc320796906"/>
      <w:bookmarkStart w:id="312" w:name="_Toc321316133"/>
      <w:bookmarkStart w:id="313" w:name="_Toc352657401"/>
      <w:bookmarkStart w:id="314" w:name="_Toc352759514"/>
      <w:bookmarkStart w:id="315" w:name="_Toc352759614"/>
      <w:r w:rsidRPr="00F06A67">
        <w:lastRenderedPageBreak/>
        <w:t xml:space="preserve"> </w:t>
      </w:r>
      <w:bookmarkStart w:id="316" w:name="_Toc352760053"/>
      <w:bookmarkStart w:id="317" w:name="_Toc352760162"/>
      <w:bookmarkStart w:id="318" w:name="_Toc384895588"/>
      <w:bookmarkStart w:id="319" w:name="_Toc393897962"/>
      <w:r w:rsidRPr="00F06A67">
        <w:t>Ispitivanje sadržaja radionuklida u ljudskoj hrani</w:t>
      </w:r>
      <w:bookmarkEnd w:id="316"/>
      <w:bookmarkEnd w:id="317"/>
      <w:bookmarkEnd w:id="318"/>
      <w:bookmarkEnd w:id="319"/>
      <w:r w:rsidRPr="00F06A67">
        <w:t xml:space="preserve"> </w:t>
      </w:r>
      <w:bookmarkEnd w:id="308"/>
      <w:bookmarkEnd w:id="309"/>
      <w:bookmarkEnd w:id="310"/>
      <w:bookmarkEnd w:id="311"/>
      <w:bookmarkEnd w:id="312"/>
      <w:bookmarkEnd w:id="313"/>
      <w:bookmarkEnd w:id="314"/>
      <w:bookmarkEnd w:id="315"/>
      <w:r w:rsidRPr="00F06A67">
        <w:t xml:space="preserve"> </w:t>
      </w:r>
    </w:p>
    <w:p w:rsidR="00B65A71" w:rsidRPr="00790CC9" w:rsidRDefault="00B65A71" w:rsidP="00B12EAA">
      <w:pPr>
        <w:rPr>
          <w:rFonts w:ascii="Constantia" w:hAnsi="Constantia"/>
        </w:rPr>
      </w:pPr>
      <w:r w:rsidRPr="00790CC9">
        <w:rPr>
          <w:rFonts w:ascii="Constantia" w:hAnsi="Constantia"/>
        </w:rPr>
        <w:t xml:space="preserve">Jedan od faktora koji doprinosi efektivnoj dozi zračenja za stanovništvo jeste količina i vrsta radionuklida unijetih hranom. Većina prirodne radioaktivnosti u hrani je posledica prisutnosti radioaktivnog izotopa 40K, a ostatak je uglavnom posledica raspada radionuklida uranovog i torijumovog niza. U Crnoj Gori se od 1999. godine vrši sistematsko ispitivanje sadržaja radionuklida u ljudskoj hrani, analiziranjem specifičnih aktivnosti prirodnih radionuklida 40K, 226Ra, 232Th, kao i specifičnih aktivnosti vještackog radionuklida 137Cs na uzorcima različitih vrsta namirnica koje se koriste (proizvode ili uvoze) na teritoriji Crne Gore. Maksimalno dozvoljene specifične aktivnosti radionuklida u hrani su propisane Pravilnikom o granicama kontaminacije životne sredine i o načinu sprovođenja dekontaminacije („Sl. list SRJ“ br. 9/99). </w:t>
      </w:r>
    </w:p>
    <w:p w:rsidR="00B65A71" w:rsidRPr="00790CC9" w:rsidRDefault="00B65A71" w:rsidP="00B12EAA">
      <w:pPr>
        <w:rPr>
          <w:rFonts w:ascii="Constantia" w:hAnsi="Constantia"/>
        </w:rPr>
      </w:pPr>
      <w:r w:rsidRPr="00790CC9">
        <w:rPr>
          <w:rFonts w:ascii="Constantia" w:hAnsi="Constantia"/>
        </w:rPr>
        <w:t xml:space="preserve">Grafikon </w:t>
      </w:r>
      <w:r w:rsidR="00B12EAA" w:rsidRPr="00790CC9">
        <w:rPr>
          <w:rFonts w:ascii="Constantia" w:hAnsi="Constantia"/>
        </w:rPr>
        <w:t>101</w:t>
      </w:r>
      <w:r w:rsidRPr="00790CC9">
        <w:rPr>
          <w:rFonts w:ascii="Constantia" w:hAnsi="Constantia"/>
        </w:rPr>
        <w:t xml:space="preserve"> prikazuje specifične aktivnosti radionuklida 40K, 226Ra, 232Th i 137Cs, dobijenih  analizom uzoraka mesa (goveđeg, jagnjećeg, svinjskog i pilećeg) na teritoriji Crne Gore u periodu 2001-2013. godine. Na osnovu prikazanih rezultata može se izvesti zaključak da su specifičnih aktivnosti kalijuma dominantne, 250-500 puta veće u odnosu na specifične aktivnosti ostalih analiziranih radionuklida u mesu (specifične aktivnosti kalijuma su iz tog razloga prikazane odvojenim grafikonom). Takođe se moze zaključiti da su varijacije koncentracija ostalih radionuklida male, sa izuzecima specifičnih aktivnosti 137Cs u 2001. i 2004. godini, radijuma 226Ra u 2006. godini, kao i trenda porasta specifičnih aktivnosti  232Th od 2006. godine. </w:t>
      </w:r>
    </w:p>
    <w:p w:rsidR="00B65A71" w:rsidRPr="009269D8" w:rsidRDefault="00B65A71" w:rsidP="00B65A71">
      <w:pPr>
        <w:jc w:val="center"/>
        <w:rPr>
          <w:rFonts w:ascii="Arial" w:hAnsi="Arial" w:cs="Arial"/>
          <w:color w:val="00B050"/>
          <w:szCs w:val="22"/>
          <w:lang w:val="sr-Latn-CS"/>
        </w:rPr>
      </w:pPr>
      <w:r w:rsidRPr="009269D8">
        <w:rPr>
          <w:rFonts w:ascii="Arial" w:hAnsi="Arial" w:cs="Arial"/>
          <w:color w:val="00B050"/>
          <w:szCs w:val="22"/>
          <w:lang w:val="sr-Latn-CS"/>
        </w:rPr>
        <w:t xml:space="preserve">                                                                                                                                                                                                                                                                                                                                                                                                                                                                                                                                                                                                                                                                                                                                                                                                                                                                                                                                                                    </w:t>
      </w:r>
    </w:p>
    <w:p w:rsidR="00B65A71" w:rsidRDefault="00B65A71" w:rsidP="00B65A71">
      <w:pPr>
        <w:jc w:val="center"/>
        <w:rPr>
          <w:rFonts w:ascii="Arial" w:hAnsi="Arial" w:cs="Arial"/>
          <w:szCs w:val="22"/>
          <w:lang w:val="sr-Latn-CS"/>
        </w:rPr>
      </w:pPr>
      <w:r w:rsidRPr="0060142A">
        <w:rPr>
          <w:rFonts w:ascii="Arial" w:hAnsi="Arial" w:cs="Arial"/>
          <w:noProof/>
          <w:szCs w:val="22"/>
        </w:rPr>
        <w:drawing>
          <wp:inline distT="0" distB="0" distL="0" distR="0" wp14:anchorId="4FF0B7E7" wp14:editId="60CBFE98">
            <wp:extent cx="4449170" cy="1576316"/>
            <wp:effectExtent l="0" t="0" r="0" b="0"/>
            <wp:docPr id="201"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5"/>
              </a:graphicData>
            </a:graphic>
          </wp:inline>
        </w:drawing>
      </w:r>
    </w:p>
    <w:p w:rsidR="00B65A71" w:rsidRDefault="00B65A71" w:rsidP="00B65A71">
      <w:pPr>
        <w:jc w:val="center"/>
        <w:rPr>
          <w:rFonts w:ascii="Arial" w:hAnsi="Arial" w:cs="Arial"/>
          <w:szCs w:val="22"/>
          <w:lang w:val="sr-Latn-CS"/>
        </w:rPr>
      </w:pPr>
    </w:p>
    <w:p w:rsidR="00B65A71" w:rsidRPr="0000154C" w:rsidRDefault="00B65A71" w:rsidP="00B65A71">
      <w:pPr>
        <w:jc w:val="center"/>
        <w:rPr>
          <w:rFonts w:ascii="Arial" w:hAnsi="Arial" w:cs="Arial"/>
          <w:szCs w:val="22"/>
          <w:lang w:val="sr-Latn-CS"/>
        </w:rPr>
      </w:pPr>
      <w:r w:rsidRPr="0060142A">
        <w:rPr>
          <w:rFonts w:ascii="Arial" w:hAnsi="Arial" w:cs="Arial"/>
          <w:noProof/>
          <w:szCs w:val="22"/>
        </w:rPr>
        <w:drawing>
          <wp:inline distT="0" distB="0" distL="0" distR="0" wp14:anchorId="0CF2F9B8" wp14:editId="6062BBEB">
            <wp:extent cx="4094329" cy="1637731"/>
            <wp:effectExtent l="0" t="0" r="0" b="0"/>
            <wp:docPr id="202"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6"/>
              </a:graphicData>
            </a:graphic>
          </wp:inline>
        </w:drawing>
      </w:r>
    </w:p>
    <w:p w:rsidR="00B12EAA" w:rsidRPr="009408A0" w:rsidRDefault="00B12EAA" w:rsidP="00A431AB">
      <w:pPr>
        <w:pStyle w:val="Grafikon"/>
        <w:jc w:val="both"/>
      </w:pPr>
      <w:r w:rsidRPr="009408A0">
        <w:t xml:space="preserve">Specifične aktivnosti radionuklida  mesu, u periodu 2001-2013. godine izvedena analizom uzoraka sa  cijele teritorije Crne Gore.  Specifične aktivnosti kalijuma </w:t>
      </w:r>
      <w:r w:rsidRPr="009408A0">
        <w:rPr>
          <w:vertAlign w:val="superscript"/>
        </w:rPr>
        <w:t>40</w:t>
      </w:r>
      <w:r w:rsidRPr="009408A0">
        <w:t>K su prikazane odvojeno (gornji  grafik).</w:t>
      </w:r>
    </w:p>
    <w:p w:rsidR="00B65A71" w:rsidRPr="00790CC9" w:rsidRDefault="00B65A71" w:rsidP="00B12EAA">
      <w:pPr>
        <w:rPr>
          <w:rFonts w:ascii="Constantia" w:hAnsi="Constantia"/>
        </w:rPr>
      </w:pPr>
      <w:r w:rsidRPr="00790CC9">
        <w:rPr>
          <w:rFonts w:ascii="Constantia" w:hAnsi="Constantia"/>
        </w:rPr>
        <w:t xml:space="preserve">Rezultati mjerenja koncentracija aktivnosti radionuklida u mlijeku, izvedenih analizom uzoraka iz mljekara na cijeloj teritoriji Crne Gore, su prikazani na grafikonu </w:t>
      </w:r>
      <w:r w:rsidR="00B12EAA" w:rsidRPr="00790CC9">
        <w:rPr>
          <w:rFonts w:ascii="Constantia" w:hAnsi="Constantia"/>
        </w:rPr>
        <w:t>102</w:t>
      </w:r>
      <w:r w:rsidRPr="00790CC9">
        <w:rPr>
          <w:rFonts w:ascii="Constantia" w:hAnsi="Constantia"/>
        </w:rPr>
        <w:t xml:space="preserve">. Treba naglasiti da je  do 1999. god. rađeno ispitivanje koncentracije aktivnosti radionuklida u mlijeku samo na uzorcima mlijeka sa teritorije Podgorice, a da se od 2000. god. pa do danas uzorkuje  i </w:t>
      </w:r>
      <w:r w:rsidRPr="00790CC9">
        <w:rPr>
          <w:rFonts w:ascii="Constantia" w:hAnsi="Constantia"/>
        </w:rPr>
        <w:lastRenderedPageBreak/>
        <w:t xml:space="preserve">analizira mlijeko sa teritorija: Podgorice, Nikšića, Herceg Novog, Bara, Bijelog Polja i Ulcinja. Koncentracije kalijuma u mlijeku su oko dva puta manje u odnosu na koncentracije kalijuma u mesu. Varijacije koncentracija aktivnosti svih analiziranih radionuklida u mlijeku su male, sa izuzetkom trenda porasta koncentracija aktivnosti 232Th od 2006. godine. Slične vrijednosti specifičnih aktivnosti radionuklida su mjerene u svim ostalim osnovnim namirnicama: voću i povrću, hljebu, jajima i mliječnimm proizvodima. </w:t>
      </w:r>
    </w:p>
    <w:p w:rsidR="00B65A71" w:rsidRPr="00790CC9" w:rsidRDefault="00B65A71" w:rsidP="00B65A71">
      <w:pPr>
        <w:ind w:firstLine="720"/>
        <w:rPr>
          <w:rFonts w:ascii="Constantia" w:hAnsi="Constantia"/>
        </w:rPr>
      </w:pPr>
    </w:p>
    <w:p w:rsidR="00B65A71" w:rsidRPr="0000154C" w:rsidRDefault="00B65A71" w:rsidP="00B65A71">
      <w:pPr>
        <w:ind w:firstLine="720"/>
        <w:rPr>
          <w:rFonts w:ascii="Arial" w:hAnsi="Arial" w:cs="Arial"/>
          <w:szCs w:val="22"/>
          <w:lang w:val="sr-Latn-CS"/>
        </w:rPr>
      </w:pPr>
    </w:p>
    <w:p w:rsidR="00B65A71" w:rsidRDefault="00B65A71" w:rsidP="00C44B21">
      <w:pPr>
        <w:jc w:val="center"/>
        <w:rPr>
          <w:rFonts w:ascii="Arial" w:hAnsi="Arial" w:cs="Arial"/>
          <w:color w:val="FF0000"/>
          <w:szCs w:val="22"/>
          <w:lang w:val="sr-Latn-CS"/>
        </w:rPr>
      </w:pPr>
      <w:r w:rsidRPr="0000154C">
        <w:rPr>
          <w:rFonts w:ascii="Arial" w:hAnsi="Arial" w:cs="Arial"/>
          <w:noProof/>
          <w:szCs w:val="22"/>
        </w:rPr>
        <w:drawing>
          <wp:inline distT="0" distB="0" distL="0" distR="0" wp14:anchorId="46D0096D" wp14:editId="36067962">
            <wp:extent cx="4333164" cy="1351129"/>
            <wp:effectExtent l="0" t="0" r="0" b="0"/>
            <wp:docPr id="203"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7"/>
              </a:graphicData>
            </a:graphic>
          </wp:inline>
        </w:drawing>
      </w:r>
    </w:p>
    <w:p w:rsidR="00B65A71" w:rsidRDefault="00B65A71" w:rsidP="00B65A71">
      <w:pPr>
        <w:rPr>
          <w:rFonts w:ascii="Arial" w:hAnsi="Arial" w:cs="Arial"/>
          <w:color w:val="FF0000"/>
          <w:szCs w:val="22"/>
          <w:lang w:val="sr-Latn-CS"/>
        </w:rPr>
      </w:pPr>
    </w:p>
    <w:p w:rsidR="00B65A71" w:rsidRDefault="00B65A71" w:rsidP="00B65A71">
      <w:pPr>
        <w:rPr>
          <w:rFonts w:ascii="Arial" w:hAnsi="Arial" w:cs="Arial"/>
          <w:color w:val="FF0000"/>
          <w:szCs w:val="22"/>
          <w:lang w:val="sr-Latn-CS"/>
        </w:rPr>
      </w:pPr>
    </w:p>
    <w:p w:rsidR="00B65A71" w:rsidRPr="0000154C" w:rsidRDefault="00B65A71" w:rsidP="00C44B21">
      <w:pPr>
        <w:jc w:val="center"/>
        <w:rPr>
          <w:rFonts w:ascii="Arial" w:hAnsi="Arial" w:cs="Arial"/>
          <w:color w:val="FF0000"/>
          <w:szCs w:val="22"/>
          <w:lang w:val="sr-Latn-CS"/>
        </w:rPr>
      </w:pPr>
      <w:r w:rsidRPr="0000154C">
        <w:rPr>
          <w:rFonts w:ascii="Arial" w:hAnsi="Arial" w:cs="Arial"/>
          <w:noProof/>
          <w:szCs w:val="22"/>
        </w:rPr>
        <w:drawing>
          <wp:inline distT="0" distB="0" distL="0" distR="0" wp14:anchorId="316B75D3" wp14:editId="0293F599">
            <wp:extent cx="5067300" cy="1504950"/>
            <wp:effectExtent l="0" t="0" r="0" b="0"/>
            <wp:docPr id="204"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8"/>
              </a:graphicData>
            </a:graphic>
          </wp:inline>
        </w:drawing>
      </w:r>
    </w:p>
    <w:p w:rsidR="00B12EAA" w:rsidRPr="00A431AB" w:rsidRDefault="00B12EAA" w:rsidP="00A431AB">
      <w:pPr>
        <w:pStyle w:val="Grafikon"/>
        <w:jc w:val="both"/>
        <w:rPr>
          <w:rFonts w:ascii="Constantia" w:hAnsi="Constantia"/>
          <w:sz w:val="22"/>
          <w:lang w:val="en-US"/>
        </w:rPr>
      </w:pPr>
      <w:r w:rsidRPr="00A431AB">
        <w:rPr>
          <w:rFonts w:ascii="Constantia" w:hAnsi="Constantia"/>
          <w:sz w:val="22"/>
          <w:lang w:val="en-US"/>
        </w:rPr>
        <w:t>Koncentracija aktivnosti radionuklida u mlijeku izvedenih analizom uzoraka iz mljekara na cijeloj teritoriji Crne Gore u periodu 1999 - 2013. godine. Koncentracije aktivnosti kalijuma K-40 su prikazane odvojeno (gornji dio grafika)</w:t>
      </w:r>
    </w:p>
    <w:p w:rsidR="00B65A71" w:rsidRPr="00790CC9" w:rsidRDefault="00B65A71" w:rsidP="00B12EAA">
      <w:pPr>
        <w:rPr>
          <w:rFonts w:ascii="Constantia" w:hAnsi="Constantia"/>
        </w:rPr>
      </w:pPr>
      <w:r w:rsidRPr="00790CC9">
        <w:rPr>
          <w:rFonts w:ascii="Constantia" w:hAnsi="Constantia"/>
        </w:rPr>
        <w:t xml:space="preserve">Analiza radionuklida u indikatorskim organizmima (sipe i dagnje uzorkovane kod Bara i Herceg Novog) je obuhvatila prirodne radionuklide 40K, 226Ra, 232Th i vještački 137Cs. Koncentracija pojedinih radionuklida je bila veoma niska stoga nije mogla ni biti detektivana pa je data preko minimalnih detektabilnih vrijednosti. </w:t>
      </w:r>
    </w:p>
    <w:p w:rsidR="00B65A71" w:rsidRPr="0000154C" w:rsidRDefault="00B65A71" w:rsidP="00B65A71">
      <w:pPr>
        <w:rPr>
          <w:rFonts w:ascii="Arial" w:hAnsi="Arial" w:cs="Arial"/>
          <w:szCs w:val="22"/>
          <w:lang w:val="sr-Latn-CS"/>
        </w:rPr>
      </w:pPr>
    </w:p>
    <w:tbl>
      <w:tblPr>
        <w:tblW w:w="5757" w:type="dxa"/>
        <w:jc w:val="center"/>
        <w:tblInd w:w="1191"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4A0" w:firstRow="1" w:lastRow="0" w:firstColumn="1" w:lastColumn="0" w:noHBand="0" w:noVBand="1"/>
      </w:tblPr>
      <w:tblGrid>
        <w:gridCol w:w="1223"/>
        <w:gridCol w:w="1294"/>
        <w:gridCol w:w="1170"/>
        <w:gridCol w:w="990"/>
        <w:gridCol w:w="1080"/>
      </w:tblGrid>
      <w:tr w:rsidR="00B65A71" w:rsidRPr="0000154C" w:rsidTr="00B65A71">
        <w:trPr>
          <w:jc w:val="center"/>
        </w:trPr>
        <w:tc>
          <w:tcPr>
            <w:tcW w:w="1223" w:type="dxa"/>
            <w:tcBorders>
              <w:top w:val="single" w:sz="8" w:space="0" w:color="FFFFFF"/>
              <w:left w:val="single" w:sz="8" w:space="0" w:color="FFFFFF"/>
              <w:bottom w:val="single" w:sz="24" w:space="0" w:color="FFFFFF"/>
              <w:right w:val="single" w:sz="8" w:space="0" w:color="FFFFFF"/>
            </w:tcBorders>
            <w:shd w:val="clear" w:color="auto" w:fill="9BD45F"/>
          </w:tcPr>
          <w:p w:rsidR="00B65A71" w:rsidRPr="0000154C" w:rsidRDefault="00B65A71" w:rsidP="00B65A71">
            <w:pPr>
              <w:rPr>
                <w:rFonts w:ascii="Arial" w:hAnsi="Arial" w:cs="Arial"/>
                <w:b/>
                <w:bCs/>
                <w:color w:val="000000"/>
                <w:szCs w:val="22"/>
                <w:lang w:val="sr-Latn-CS"/>
              </w:rPr>
            </w:pPr>
          </w:p>
        </w:tc>
        <w:tc>
          <w:tcPr>
            <w:tcW w:w="1294" w:type="dxa"/>
            <w:tcBorders>
              <w:top w:val="single" w:sz="8" w:space="0" w:color="FFFFFF"/>
              <w:left w:val="single" w:sz="8" w:space="0" w:color="FFFFFF"/>
              <w:bottom w:val="single" w:sz="24" w:space="0" w:color="FFFFFF"/>
              <w:right w:val="single" w:sz="8" w:space="0" w:color="FFFFFF"/>
            </w:tcBorders>
            <w:shd w:val="clear" w:color="auto" w:fill="9BD45F"/>
          </w:tcPr>
          <w:p w:rsidR="00B65A71" w:rsidRPr="0000154C" w:rsidRDefault="00B65A71" w:rsidP="00B65A71">
            <w:pPr>
              <w:jc w:val="center"/>
              <w:rPr>
                <w:rFonts w:ascii="Arial" w:hAnsi="Arial" w:cs="Arial"/>
                <w:b/>
                <w:bCs/>
                <w:color w:val="000000"/>
                <w:szCs w:val="22"/>
                <w:lang w:val="sr-Latn-CS"/>
              </w:rPr>
            </w:pPr>
            <w:r w:rsidRPr="0000154C">
              <w:rPr>
                <w:rFonts w:ascii="Arial" w:hAnsi="Arial" w:cs="Arial"/>
                <w:b/>
                <w:bCs/>
                <w:color w:val="000000"/>
                <w:szCs w:val="22"/>
                <w:vertAlign w:val="superscript"/>
                <w:lang w:val="sr-Latn-CS"/>
              </w:rPr>
              <w:t>40</w:t>
            </w:r>
            <w:r w:rsidRPr="0000154C">
              <w:rPr>
                <w:rFonts w:ascii="Arial" w:hAnsi="Arial" w:cs="Arial"/>
                <w:b/>
                <w:bCs/>
                <w:color w:val="000000"/>
                <w:szCs w:val="22"/>
                <w:lang w:val="sr-Latn-CS"/>
              </w:rPr>
              <w:t>K</w:t>
            </w:r>
          </w:p>
          <w:p w:rsidR="00B65A71" w:rsidRPr="0000154C" w:rsidRDefault="00B65A71" w:rsidP="00B65A71">
            <w:pPr>
              <w:rPr>
                <w:rFonts w:ascii="Arial" w:hAnsi="Arial" w:cs="Arial"/>
                <w:b/>
                <w:bCs/>
                <w:color w:val="000000"/>
                <w:szCs w:val="22"/>
                <w:lang w:val="sr-Latn-CS"/>
              </w:rPr>
            </w:pPr>
            <w:r w:rsidRPr="0000154C">
              <w:rPr>
                <w:rFonts w:ascii="Arial" w:hAnsi="Arial" w:cs="Arial"/>
                <w:b/>
                <w:bCs/>
                <w:color w:val="000000"/>
                <w:szCs w:val="22"/>
                <w:lang w:val="sr-Latn-CS"/>
              </w:rPr>
              <w:t xml:space="preserve"> (Bq/kg)</w:t>
            </w:r>
          </w:p>
        </w:tc>
        <w:tc>
          <w:tcPr>
            <w:tcW w:w="1170" w:type="dxa"/>
            <w:tcBorders>
              <w:top w:val="single" w:sz="8" w:space="0" w:color="FFFFFF"/>
              <w:left w:val="single" w:sz="8" w:space="0" w:color="FFFFFF"/>
              <w:bottom w:val="single" w:sz="24" w:space="0" w:color="FFFFFF"/>
              <w:right w:val="single" w:sz="8" w:space="0" w:color="FFFFFF"/>
            </w:tcBorders>
            <w:shd w:val="clear" w:color="auto" w:fill="9BD45F"/>
          </w:tcPr>
          <w:p w:rsidR="00B65A71" w:rsidRPr="0000154C" w:rsidRDefault="00B65A71" w:rsidP="00B65A71">
            <w:pPr>
              <w:jc w:val="center"/>
              <w:rPr>
                <w:rFonts w:ascii="Arial" w:hAnsi="Arial" w:cs="Arial"/>
                <w:b/>
                <w:bCs/>
                <w:color w:val="000000"/>
                <w:szCs w:val="22"/>
                <w:lang w:val="sr-Latn-CS"/>
              </w:rPr>
            </w:pPr>
            <w:r w:rsidRPr="0000154C">
              <w:rPr>
                <w:rFonts w:ascii="Arial" w:hAnsi="Arial" w:cs="Arial"/>
                <w:b/>
                <w:bCs/>
                <w:color w:val="000000"/>
                <w:szCs w:val="22"/>
                <w:vertAlign w:val="superscript"/>
                <w:lang w:val="sr-Latn-CS"/>
              </w:rPr>
              <w:t>137</w:t>
            </w:r>
            <w:r w:rsidRPr="0000154C">
              <w:rPr>
                <w:rFonts w:ascii="Arial" w:hAnsi="Arial" w:cs="Arial"/>
                <w:b/>
                <w:bCs/>
                <w:color w:val="000000"/>
                <w:szCs w:val="22"/>
                <w:lang w:val="sr-Latn-CS"/>
              </w:rPr>
              <w:t>Cs</w:t>
            </w:r>
          </w:p>
          <w:p w:rsidR="00B65A71" w:rsidRPr="0000154C" w:rsidRDefault="00B65A71" w:rsidP="00B65A71">
            <w:pPr>
              <w:jc w:val="center"/>
              <w:rPr>
                <w:rFonts w:ascii="Arial" w:hAnsi="Arial" w:cs="Arial"/>
                <w:b/>
                <w:bCs/>
                <w:color w:val="000000"/>
                <w:szCs w:val="22"/>
                <w:lang w:val="sr-Latn-CS"/>
              </w:rPr>
            </w:pPr>
            <w:r w:rsidRPr="0000154C">
              <w:rPr>
                <w:rFonts w:ascii="Arial" w:hAnsi="Arial" w:cs="Arial"/>
                <w:b/>
                <w:bCs/>
                <w:color w:val="000000"/>
                <w:szCs w:val="22"/>
                <w:lang w:val="sr-Latn-CS"/>
              </w:rPr>
              <w:t>(Bq/kg)</w:t>
            </w:r>
          </w:p>
        </w:tc>
        <w:tc>
          <w:tcPr>
            <w:tcW w:w="990" w:type="dxa"/>
            <w:tcBorders>
              <w:top w:val="single" w:sz="8" w:space="0" w:color="FFFFFF"/>
              <w:left w:val="single" w:sz="8" w:space="0" w:color="FFFFFF"/>
              <w:bottom w:val="single" w:sz="24" w:space="0" w:color="FFFFFF"/>
              <w:right w:val="single" w:sz="8" w:space="0" w:color="FFFFFF"/>
            </w:tcBorders>
            <w:shd w:val="clear" w:color="auto" w:fill="9BD45F"/>
          </w:tcPr>
          <w:p w:rsidR="00B65A71" w:rsidRPr="0000154C" w:rsidRDefault="00B65A71" w:rsidP="00B65A71">
            <w:pPr>
              <w:jc w:val="center"/>
              <w:rPr>
                <w:rFonts w:ascii="Arial" w:hAnsi="Arial" w:cs="Arial"/>
                <w:b/>
                <w:bCs/>
                <w:color w:val="000000"/>
                <w:szCs w:val="22"/>
                <w:lang w:val="sr-Latn-CS"/>
              </w:rPr>
            </w:pPr>
            <w:r w:rsidRPr="0000154C">
              <w:rPr>
                <w:rFonts w:ascii="Arial" w:hAnsi="Arial" w:cs="Arial"/>
                <w:b/>
                <w:bCs/>
                <w:color w:val="000000"/>
                <w:szCs w:val="22"/>
                <w:vertAlign w:val="superscript"/>
                <w:lang w:val="sr-Latn-CS"/>
              </w:rPr>
              <w:t>226</w:t>
            </w:r>
            <w:r w:rsidRPr="0000154C">
              <w:rPr>
                <w:rFonts w:ascii="Arial" w:hAnsi="Arial" w:cs="Arial"/>
                <w:b/>
                <w:bCs/>
                <w:color w:val="000000"/>
                <w:szCs w:val="22"/>
                <w:lang w:val="sr-Latn-CS"/>
              </w:rPr>
              <w:t>Ra</w:t>
            </w:r>
          </w:p>
          <w:p w:rsidR="00B65A71" w:rsidRPr="0000154C" w:rsidRDefault="00B65A71" w:rsidP="00B65A71">
            <w:pPr>
              <w:jc w:val="center"/>
              <w:rPr>
                <w:rFonts w:ascii="Arial" w:hAnsi="Arial" w:cs="Arial"/>
                <w:b/>
                <w:bCs/>
                <w:color w:val="000000"/>
                <w:szCs w:val="22"/>
                <w:lang w:val="sr-Latn-CS"/>
              </w:rPr>
            </w:pPr>
            <w:r w:rsidRPr="0000154C">
              <w:rPr>
                <w:rFonts w:ascii="Arial" w:hAnsi="Arial" w:cs="Arial"/>
                <w:b/>
                <w:bCs/>
                <w:color w:val="000000"/>
                <w:szCs w:val="22"/>
                <w:lang w:val="sr-Latn-CS"/>
              </w:rPr>
              <w:t>(Bq/kg)</w:t>
            </w:r>
          </w:p>
        </w:tc>
        <w:tc>
          <w:tcPr>
            <w:tcW w:w="1080" w:type="dxa"/>
            <w:tcBorders>
              <w:top w:val="single" w:sz="8" w:space="0" w:color="FFFFFF"/>
              <w:left w:val="single" w:sz="8" w:space="0" w:color="FFFFFF"/>
              <w:bottom w:val="single" w:sz="24" w:space="0" w:color="FFFFFF"/>
              <w:right w:val="single" w:sz="8" w:space="0" w:color="FFFFFF"/>
            </w:tcBorders>
            <w:shd w:val="clear" w:color="auto" w:fill="9BD45F"/>
          </w:tcPr>
          <w:p w:rsidR="00B65A71" w:rsidRPr="0000154C" w:rsidRDefault="00B65A71" w:rsidP="00B65A71">
            <w:pPr>
              <w:jc w:val="center"/>
              <w:rPr>
                <w:rFonts w:ascii="Arial" w:hAnsi="Arial" w:cs="Arial"/>
                <w:b/>
                <w:bCs/>
                <w:color w:val="000000"/>
                <w:szCs w:val="22"/>
                <w:lang w:val="sr-Latn-CS"/>
              </w:rPr>
            </w:pPr>
            <w:r w:rsidRPr="0000154C">
              <w:rPr>
                <w:rFonts w:ascii="Arial" w:hAnsi="Arial" w:cs="Arial"/>
                <w:b/>
                <w:bCs/>
                <w:color w:val="000000"/>
                <w:szCs w:val="22"/>
                <w:vertAlign w:val="superscript"/>
                <w:lang w:val="sr-Latn-CS"/>
              </w:rPr>
              <w:t>232</w:t>
            </w:r>
            <w:r w:rsidRPr="0000154C">
              <w:rPr>
                <w:rFonts w:ascii="Arial" w:hAnsi="Arial" w:cs="Arial"/>
                <w:b/>
                <w:bCs/>
                <w:color w:val="000000"/>
                <w:szCs w:val="22"/>
                <w:lang w:val="sr-Latn-CS"/>
              </w:rPr>
              <w:t>Th</w:t>
            </w:r>
          </w:p>
          <w:p w:rsidR="00B65A71" w:rsidRPr="0000154C" w:rsidRDefault="00B65A71" w:rsidP="00B65A71">
            <w:pPr>
              <w:jc w:val="center"/>
              <w:rPr>
                <w:rFonts w:ascii="Arial" w:hAnsi="Arial" w:cs="Arial"/>
                <w:b/>
                <w:bCs/>
                <w:color w:val="000000"/>
                <w:szCs w:val="22"/>
                <w:lang w:val="sr-Latn-CS"/>
              </w:rPr>
            </w:pPr>
            <w:r w:rsidRPr="0000154C">
              <w:rPr>
                <w:rFonts w:ascii="Arial" w:hAnsi="Arial" w:cs="Arial"/>
                <w:b/>
                <w:bCs/>
                <w:color w:val="000000"/>
                <w:szCs w:val="22"/>
                <w:lang w:val="sr-Latn-CS"/>
              </w:rPr>
              <w:t>(Bq/kg)</w:t>
            </w:r>
          </w:p>
        </w:tc>
      </w:tr>
      <w:tr w:rsidR="00B65A71" w:rsidRPr="0000154C" w:rsidTr="00B65A71">
        <w:trPr>
          <w:jc w:val="center"/>
        </w:trPr>
        <w:tc>
          <w:tcPr>
            <w:tcW w:w="1223" w:type="dxa"/>
            <w:tcBorders>
              <w:top w:val="single" w:sz="8" w:space="0" w:color="FFFFFF"/>
              <w:left w:val="single" w:sz="8" w:space="0" w:color="FFFFFF"/>
              <w:bottom w:val="single" w:sz="8" w:space="0" w:color="FFFFFF"/>
              <w:right w:val="single" w:sz="24" w:space="0" w:color="FFFFFF"/>
            </w:tcBorders>
            <w:shd w:val="clear" w:color="auto" w:fill="9BD45F"/>
          </w:tcPr>
          <w:p w:rsidR="00B65A71" w:rsidRPr="0000154C" w:rsidRDefault="00B65A71" w:rsidP="00B65A71">
            <w:pPr>
              <w:rPr>
                <w:rFonts w:ascii="Arial" w:hAnsi="Arial" w:cs="Arial"/>
                <w:b/>
                <w:bCs/>
                <w:color w:val="000000"/>
                <w:szCs w:val="22"/>
                <w:lang w:val="sr-Latn-CS"/>
              </w:rPr>
            </w:pPr>
            <w:r w:rsidRPr="0000154C">
              <w:rPr>
                <w:rFonts w:ascii="Arial" w:hAnsi="Arial" w:cs="Arial"/>
                <w:b/>
                <w:bCs/>
                <w:color w:val="000000"/>
                <w:szCs w:val="22"/>
                <w:lang w:val="sr-Latn-CS"/>
              </w:rPr>
              <w:t>Dagnje I HN</w:t>
            </w:r>
          </w:p>
        </w:tc>
        <w:tc>
          <w:tcPr>
            <w:tcW w:w="1294" w:type="dxa"/>
            <w:tcBorders>
              <w:top w:val="single" w:sz="8" w:space="0" w:color="FFFFFF"/>
              <w:left w:val="single" w:sz="8" w:space="0" w:color="FFFFFF"/>
              <w:bottom w:val="single" w:sz="8" w:space="0" w:color="FFFFFF"/>
              <w:right w:val="single" w:sz="8" w:space="0" w:color="FFFFFF"/>
            </w:tcBorders>
            <w:shd w:val="clear" w:color="auto" w:fill="CCE9AF"/>
          </w:tcPr>
          <w:p w:rsidR="00B65A71" w:rsidRPr="0000154C" w:rsidRDefault="00B65A71" w:rsidP="00B65A71">
            <w:pPr>
              <w:rPr>
                <w:rFonts w:ascii="Arial" w:hAnsi="Arial" w:cs="Arial"/>
                <w:color w:val="000000"/>
                <w:szCs w:val="22"/>
              </w:rPr>
            </w:pPr>
            <w:r>
              <w:rPr>
                <w:rFonts w:ascii="Arial" w:hAnsi="Arial" w:cs="Arial"/>
                <w:color w:val="000000"/>
                <w:szCs w:val="22"/>
              </w:rPr>
              <w:t>30,3 ± 3,2</w:t>
            </w:r>
          </w:p>
        </w:tc>
        <w:tc>
          <w:tcPr>
            <w:tcW w:w="1170" w:type="dxa"/>
            <w:tcBorders>
              <w:top w:val="single" w:sz="8" w:space="0" w:color="FFFFFF"/>
              <w:left w:val="single" w:sz="8" w:space="0" w:color="FFFFFF"/>
              <w:bottom w:val="single" w:sz="8" w:space="0" w:color="FFFFFF"/>
              <w:right w:val="single" w:sz="8" w:space="0" w:color="FFFFFF"/>
            </w:tcBorders>
            <w:shd w:val="clear" w:color="auto" w:fill="CCE9AF"/>
          </w:tcPr>
          <w:p w:rsidR="00B65A71" w:rsidRPr="0000154C" w:rsidRDefault="00B65A71" w:rsidP="00B65A71">
            <w:pPr>
              <w:rPr>
                <w:rFonts w:ascii="Arial" w:hAnsi="Arial" w:cs="Arial"/>
                <w:color w:val="000000"/>
                <w:szCs w:val="22"/>
                <w:lang w:val="sr-Latn-CS"/>
              </w:rPr>
            </w:pPr>
            <w:r>
              <w:rPr>
                <w:rFonts w:ascii="Arial" w:hAnsi="Arial" w:cs="Arial"/>
                <w:color w:val="000000"/>
                <w:szCs w:val="22"/>
                <w:lang w:val="sr-Latn-CS"/>
              </w:rPr>
              <w:t>≤ 0,15</w:t>
            </w:r>
          </w:p>
        </w:tc>
        <w:tc>
          <w:tcPr>
            <w:tcW w:w="990" w:type="dxa"/>
            <w:tcBorders>
              <w:top w:val="single" w:sz="8" w:space="0" w:color="FFFFFF"/>
              <w:left w:val="single" w:sz="8" w:space="0" w:color="FFFFFF"/>
              <w:bottom w:val="single" w:sz="8" w:space="0" w:color="FFFFFF"/>
              <w:right w:val="single" w:sz="8" w:space="0" w:color="FFFFFF"/>
            </w:tcBorders>
            <w:shd w:val="clear" w:color="auto" w:fill="CCE9AF"/>
          </w:tcPr>
          <w:p w:rsidR="00B65A71" w:rsidRPr="0000154C" w:rsidRDefault="00B65A71" w:rsidP="00B65A71">
            <w:pPr>
              <w:rPr>
                <w:rFonts w:ascii="Arial" w:hAnsi="Arial" w:cs="Arial"/>
                <w:color w:val="000000"/>
                <w:szCs w:val="22"/>
                <w:lang w:val="sr-Latn-CS"/>
              </w:rPr>
            </w:pPr>
            <w:r>
              <w:rPr>
                <w:rFonts w:ascii="Arial" w:hAnsi="Arial" w:cs="Arial"/>
                <w:color w:val="000000"/>
                <w:szCs w:val="22"/>
                <w:lang w:val="sr-Latn-CS"/>
              </w:rPr>
              <w:t>≤ 0,64</w:t>
            </w:r>
          </w:p>
        </w:tc>
        <w:tc>
          <w:tcPr>
            <w:tcW w:w="1080" w:type="dxa"/>
            <w:tcBorders>
              <w:top w:val="single" w:sz="8" w:space="0" w:color="FFFFFF"/>
              <w:left w:val="single" w:sz="8" w:space="0" w:color="FFFFFF"/>
              <w:bottom w:val="single" w:sz="8" w:space="0" w:color="FFFFFF"/>
              <w:right w:val="single" w:sz="8" w:space="0" w:color="FFFFFF"/>
            </w:tcBorders>
            <w:shd w:val="clear" w:color="auto" w:fill="CCE9AF"/>
          </w:tcPr>
          <w:p w:rsidR="00B65A71" w:rsidRPr="0000154C" w:rsidRDefault="00B65A71" w:rsidP="00B65A71">
            <w:pPr>
              <w:rPr>
                <w:rFonts w:ascii="Arial" w:hAnsi="Arial" w:cs="Arial"/>
                <w:color w:val="000000"/>
                <w:szCs w:val="22"/>
                <w:lang w:val="sr-Latn-CS"/>
              </w:rPr>
            </w:pPr>
            <w:r>
              <w:rPr>
                <w:rFonts w:ascii="Arial" w:hAnsi="Arial" w:cs="Arial"/>
                <w:color w:val="000000"/>
                <w:szCs w:val="22"/>
                <w:lang w:val="sr-Latn-CS"/>
              </w:rPr>
              <w:t>≤ 1,1</w:t>
            </w:r>
            <w:r w:rsidRPr="0000154C">
              <w:rPr>
                <w:rFonts w:ascii="Arial" w:hAnsi="Arial" w:cs="Arial"/>
                <w:color w:val="000000"/>
                <w:szCs w:val="22"/>
                <w:lang w:val="sr-Latn-CS"/>
              </w:rPr>
              <w:t>2</w:t>
            </w:r>
          </w:p>
        </w:tc>
      </w:tr>
      <w:tr w:rsidR="00B65A71" w:rsidRPr="0000154C" w:rsidTr="00B65A71">
        <w:trPr>
          <w:jc w:val="center"/>
        </w:trPr>
        <w:tc>
          <w:tcPr>
            <w:tcW w:w="1223" w:type="dxa"/>
            <w:tcBorders>
              <w:top w:val="single" w:sz="8" w:space="0" w:color="FFFFFF"/>
              <w:left w:val="single" w:sz="8" w:space="0" w:color="FFFFFF"/>
              <w:bottom w:val="single" w:sz="8" w:space="0" w:color="FFFFFF"/>
              <w:right w:val="single" w:sz="24" w:space="0" w:color="FFFFFF"/>
            </w:tcBorders>
            <w:shd w:val="clear" w:color="auto" w:fill="9BD45F"/>
          </w:tcPr>
          <w:p w:rsidR="00B65A71" w:rsidRPr="0000154C" w:rsidRDefault="00B65A71" w:rsidP="00B65A71">
            <w:pPr>
              <w:rPr>
                <w:rFonts w:ascii="Arial" w:hAnsi="Arial" w:cs="Arial"/>
                <w:b/>
                <w:bCs/>
                <w:color w:val="000000"/>
                <w:szCs w:val="22"/>
                <w:lang w:val="sr-Latn-CS"/>
              </w:rPr>
            </w:pPr>
            <w:r w:rsidRPr="0000154C">
              <w:rPr>
                <w:rFonts w:ascii="Arial" w:hAnsi="Arial" w:cs="Arial"/>
                <w:b/>
                <w:bCs/>
                <w:color w:val="000000"/>
                <w:szCs w:val="22"/>
                <w:lang w:val="sr-Latn-CS"/>
              </w:rPr>
              <w:t>Dagnje II HN</w:t>
            </w:r>
          </w:p>
        </w:tc>
        <w:tc>
          <w:tcPr>
            <w:tcW w:w="1294" w:type="dxa"/>
            <w:tcBorders>
              <w:top w:val="single" w:sz="8" w:space="0" w:color="FFFFFF"/>
              <w:left w:val="single" w:sz="8" w:space="0" w:color="FFFFFF"/>
              <w:bottom w:val="single" w:sz="8" w:space="0" w:color="FFFFFF"/>
              <w:right w:val="single" w:sz="8" w:space="0" w:color="FFFFFF"/>
            </w:tcBorders>
            <w:shd w:val="clear" w:color="auto" w:fill="CCE9AF"/>
          </w:tcPr>
          <w:p w:rsidR="00B65A71" w:rsidRPr="0000154C" w:rsidRDefault="00B65A71" w:rsidP="00B65A71">
            <w:pPr>
              <w:rPr>
                <w:rFonts w:ascii="Arial" w:hAnsi="Arial" w:cs="Arial"/>
                <w:color w:val="000000"/>
                <w:szCs w:val="22"/>
                <w:lang w:val="sr-Latn-CS"/>
              </w:rPr>
            </w:pPr>
            <w:r>
              <w:rPr>
                <w:rFonts w:ascii="Arial" w:hAnsi="Arial" w:cs="Arial"/>
                <w:color w:val="000000"/>
                <w:szCs w:val="22"/>
                <w:lang w:val="sr-Latn-CS"/>
              </w:rPr>
              <w:t xml:space="preserve"> 26,9 ± 1,7</w:t>
            </w:r>
          </w:p>
        </w:tc>
        <w:tc>
          <w:tcPr>
            <w:tcW w:w="1170" w:type="dxa"/>
            <w:tcBorders>
              <w:top w:val="single" w:sz="8" w:space="0" w:color="FFFFFF"/>
              <w:left w:val="single" w:sz="8" w:space="0" w:color="FFFFFF"/>
              <w:bottom w:val="single" w:sz="8" w:space="0" w:color="FFFFFF"/>
              <w:right w:val="single" w:sz="8" w:space="0" w:color="FFFFFF"/>
            </w:tcBorders>
            <w:shd w:val="clear" w:color="auto" w:fill="CCE9AF"/>
          </w:tcPr>
          <w:p w:rsidR="00B65A71" w:rsidRPr="0000154C" w:rsidRDefault="00B65A71" w:rsidP="00B65A71">
            <w:pPr>
              <w:rPr>
                <w:rFonts w:ascii="Arial" w:hAnsi="Arial" w:cs="Arial"/>
                <w:color w:val="000000"/>
                <w:szCs w:val="22"/>
                <w:lang w:val="sr-Latn-CS"/>
              </w:rPr>
            </w:pPr>
            <w:r>
              <w:rPr>
                <w:rFonts w:ascii="Arial" w:hAnsi="Arial" w:cs="Arial"/>
                <w:color w:val="000000"/>
                <w:szCs w:val="22"/>
                <w:lang w:val="sr-Latn-CS"/>
              </w:rPr>
              <w:t>≤ 0,09</w:t>
            </w:r>
          </w:p>
        </w:tc>
        <w:tc>
          <w:tcPr>
            <w:tcW w:w="990" w:type="dxa"/>
            <w:tcBorders>
              <w:top w:val="single" w:sz="8" w:space="0" w:color="FFFFFF"/>
              <w:left w:val="single" w:sz="8" w:space="0" w:color="FFFFFF"/>
              <w:bottom w:val="single" w:sz="8" w:space="0" w:color="FFFFFF"/>
              <w:right w:val="single" w:sz="8" w:space="0" w:color="FFFFFF"/>
            </w:tcBorders>
            <w:shd w:val="clear" w:color="auto" w:fill="CCE9AF"/>
          </w:tcPr>
          <w:p w:rsidR="00B65A71" w:rsidRPr="0000154C" w:rsidRDefault="00B65A71" w:rsidP="00B65A71">
            <w:pPr>
              <w:rPr>
                <w:rFonts w:ascii="Arial" w:hAnsi="Arial" w:cs="Arial"/>
                <w:color w:val="000000"/>
                <w:szCs w:val="22"/>
                <w:lang w:val="sr-Latn-CS"/>
              </w:rPr>
            </w:pPr>
            <w:r>
              <w:rPr>
                <w:rFonts w:ascii="Arial" w:hAnsi="Arial" w:cs="Arial"/>
                <w:color w:val="000000"/>
                <w:szCs w:val="22"/>
                <w:lang w:val="sr-Latn-CS"/>
              </w:rPr>
              <w:t>≤ 0,45</w:t>
            </w:r>
          </w:p>
        </w:tc>
        <w:tc>
          <w:tcPr>
            <w:tcW w:w="1080" w:type="dxa"/>
            <w:tcBorders>
              <w:top w:val="single" w:sz="8" w:space="0" w:color="FFFFFF"/>
              <w:left w:val="single" w:sz="8" w:space="0" w:color="FFFFFF"/>
              <w:bottom w:val="single" w:sz="8" w:space="0" w:color="FFFFFF"/>
              <w:right w:val="single" w:sz="8" w:space="0" w:color="FFFFFF"/>
            </w:tcBorders>
            <w:shd w:val="clear" w:color="auto" w:fill="CCE9AF"/>
          </w:tcPr>
          <w:p w:rsidR="00B65A71" w:rsidRPr="0000154C" w:rsidRDefault="00B65A71" w:rsidP="00B65A71">
            <w:pPr>
              <w:rPr>
                <w:rFonts w:ascii="Arial" w:hAnsi="Arial" w:cs="Arial"/>
                <w:color w:val="000000"/>
                <w:szCs w:val="22"/>
                <w:lang w:val="sr-Latn-CS"/>
              </w:rPr>
            </w:pPr>
            <w:r>
              <w:rPr>
                <w:rFonts w:ascii="Arial" w:hAnsi="Arial" w:cs="Arial"/>
                <w:color w:val="000000"/>
                <w:szCs w:val="22"/>
                <w:lang w:val="sr-Latn-CS"/>
              </w:rPr>
              <w:t>≤ 0,38</w:t>
            </w:r>
          </w:p>
        </w:tc>
      </w:tr>
      <w:tr w:rsidR="00B65A71" w:rsidRPr="0000154C" w:rsidTr="00B65A71">
        <w:trPr>
          <w:jc w:val="center"/>
        </w:trPr>
        <w:tc>
          <w:tcPr>
            <w:tcW w:w="1223" w:type="dxa"/>
            <w:tcBorders>
              <w:top w:val="single" w:sz="8" w:space="0" w:color="FFFFFF"/>
              <w:left w:val="single" w:sz="8" w:space="0" w:color="FFFFFF"/>
              <w:bottom w:val="single" w:sz="8" w:space="0" w:color="FFFFFF"/>
              <w:right w:val="single" w:sz="24" w:space="0" w:color="FFFFFF"/>
            </w:tcBorders>
            <w:shd w:val="clear" w:color="auto" w:fill="9BD45F"/>
          </w:tcPr>
          <w:p w:rsidR="00B65A71" w:rsidRPr="0000154C" w:rsidRDefault="00B65A71" w:rsidP="00B65A71">
            <w:pPr>
              <w:rPr>
                <w:rFonts w:ascii="Arial" w:hAnsi="Arial" w:cs="Arial"/>
                <w:b/>
                <w:bCs/>
                <w:color w:val="000000"/>
                <w:szCs w:val="22"/>
                <w:lang w:val="sr-Latn-CS"/>
              </w:rPr>
            </w:pPr>
            <w:r w:rsidRPr="0000154C">
              <w:rPr>
                <w:rFonts w:ascii="Arial" w:hAnsi="Arial" w:cs="Arial"/>
                <w:b/>
                <w:bCs/>
                <w:color w:val="000000"/>
                <w:szCs w:val="22"/>
                <w:lang w:val="sr-Latn-CS"/>
              </w:rPr>
              <w:t>Dagnje I Bar</w:t>
            </w:r>
          </w:p>
        </w:tc>
        <w:tc>
          <w:tcPr>
            <w:tcW w:w="1294" w:type="dxa"/>
            <w:tcBorders>
              <w:top w:val="single" w:sz="8" w:space="0" w:color="FFFFFF"/>
              <w:left w:val="single" w:sz="8" w:space="0" w:color="FFFFFF"/>
              <w:bottom w:val="single" w:sz="8" w:space="0" w:color="FFFFFF"/>
              <w:right w:val="single" w:sz="8" w:space="0" w:color="FFFFFF"/>
            </w:tcBorders>
            <w:shd w:val="clear" w:color="auto" w:fill="CCE9AF"/>
          </w:tcPr>
          <w:p w:rsidR="00B65A71" w:rsidRPr="0000154C" w:rsidRDefault="00B65A71" w:rsidP="00B65A71">
            <w:pPr>
              <w:rPr>
                <w:rFonts w:ascii="Arial" w:hAnsi="Arial" w:cs="Arial"/>
                <w:color w:val="000000"/>
                <w:szCs w:val="22"/>
                <w:lang w:val="sr-Latn-CS"/>
              </w:rPr>
            </w:pPr>
            <w:r>
              <w:rPr>
                <w:rFonts w:ascii="Arial" w:hAnsi="Arial" w:cs="Arial"/>
                <w:color w:val="000000"/>
                <w:szCs w:val="22"/>
                <w:lang w:val="sr-Latn-CS"/>
              </w:rPr>
              <w:t>23,5 ± 2,0</w:t>
            </w:r>
          </w:p>
        </w:tc>
        <w:tc>
          <w:tcPr>
            <w:tcW w:w="1170" w:type="dxa"/>
            <w:tcBorders>
              <w:top w:val="single" w:sz="8" w:space="0" w:color="FFFFFF"/>
              <w:left w:val="single" w:sz="8" w:space="0" w:color="FFFFFF"/>
              <w:bottom w:val="single" w:sz="8" w:space="0" w:color="FFFFFF"/>
              <w:right w:val="single" w:sz="8" w:space="0" w:color="FFFFFF"/>
            </w:tcBorders>
            <w:shd w:val="clear" w:color="auto" w:fill="CCE9AF"/>
          </w:tcPr>
          <w:p w:rsidR="00B65A71" w:rsidRPr="0000154C" w:rsidRDefault="00B65A71" w:rsidP="00B65A71">
            <w:pPr>
              <w:rPr>
                <w:rFonts w:ascii="Arial" w:hAnsi="Arial" w:cs="Arial"/>
                <w:color w:val="000000"/>
                <w:szCs w:val="22"/>
                <w:lang w:val="sr-Latn-CS"/>
              </w:rPr>
            </w:pPr>
            <w:r>
              <w:rPr>
                <w:rFonts w:ascii="Arial" w:hAnsi="Arial" w:cs="Arial"/>
                <w:color w:val="000000"/>
                <w:szCs w:val="22"/>
                <w:lang w:val="sr-Latn-CS"/>
              </w:rPr>
              <w:t>≤ 0,22</w:t>
            </w:r>
          </w:p>
        </w:tc>
        <w:tc>
          <w:tcPr>
            <w:tcW w:w="990" w:type="dxa"/>
            <w:tcBorders>
              <w:top w:val="single" w:sz="8" w:space="0" w:color="FFFFFF"/>
              <w:left w:val="single" w:sz="8" w:space="0" w:color="FFFFFF"/>
              <w:bottom w:val="single" w:sz="8" w:space="0" w:color="FFFFFF"/>
              <w:right w:val="single" w:sz="8" w:space="0" w:color="FFFFFF"/>
            </w:tcBorders>
            <w:shd w:val="clear" w:color="auto" w:fill="CCE9AF"/>
          </w:tcPr>
          <w:p w:rsidR="00B65A71" w:rsidRPr="0000154C" w:rsidRDefault="00B65A71" w:rsidP="00B65A71">
            <w:pPr>
              <w:rPr>
                <w:rFonts w:ascii="Arial" w:hAnsi="Arial" w:cs="Arial"/>
                <w:color w:val="000000"/>
                <w:szCs w:val="22"/>
                <w:lang w:val="sr-Latn-CS"/>
              </w:rPr>
            </w:pPr>
            <w:r>
              <w:rPr>
                <w:rFonts w:ascii="Arial" w:hAnsi="Arial" w:cs="Arial"/>
                <w:color w:val="000000"/>
                <w:szCs w:val="22"/>
                <w:lang w:val="sr-Latn-CS"/>
              </w:rPr>
              <w:t>≤ 0,3</w:t>
            </w:r>
            <w:r w:rsidRPr="0000154C">
              <w:rPr>
                <w:rFonts w:ascii="Arial" w:hAnsi="Arial" w:cs="Arial"/>
                <w:color w:val="000000"/>
                <w:szCs w:val="22"/>
                <w:lang w:val="sr-Latn-CS"/>
              </w:rPr>
              <w:t>1</w:t>
            </w:r>
          </w:p>
        </w:tc>
        <w:tc>
          <w:tcPr>
            <w:tcW w:w="1080" w:type="dxa"/>
            <w:tcBorders>
              <w:top w:val="single" w:sz="8" w:space="0" w:color="FFFFFF"/>
              <w:left w:val="single" w:sz="8" w:space="0" w:color="FFFFFF"/>
              <w:bottom w:val="single" w:sz="8" w:space="0" w:color="FFFFFF"/>
              <w:right w:val="single" w:sz="8" w:space="0" w:color="FFFFFF"/>
            </w:tcBorders>
            <w:shd w:val="clear" w:color="auto" w:fill="CCE9AF"/>
          </w:tcPr>
          <w:p w:rsidR="00B65A71" w:rsidRPr="0000154C" w:rsidRDefault="00B65A71" w:rsidP="00B65A71">
            <w:pPr>
              <w:rPr>
                <w:rFonts w:ascii="Arial" w:hAnsi="Arial" w:cs="Arial"/>
                <w:color w:val="000000"/>
                <w:szCs w:val="22"/>
                <w:lang w:val="sr-Latn-CS"/>
              </w:rPr>
            </w:pPr>
            <w:r>
              <w:rPr>
                <w:rFonts w:ascii="Arial" w:hAnsi="Arial" w:cs="Arial"/>
                <w:color w:val="000000"/>
                <w:szCs w:val="22"/>
                <w:lang w:val="sr-Latn-CS"/>
              </w:rPr>
              <w:t>≤ 0,62</w:t>
            </w:r>
          </w:p>
        </w:tc>
      </w:tr>
      <w:tr w:rsidR="00B65A71" w:rsidRPr="0000154C" w:rsidTr="00B65A71">
        <w:trPr>
          <w:jc w:val="center"/>
        </w:trPr>
        <w:tc>
          <w:tcPr>
            <w:tcW w:w="1223" w:type="dxa"/>
            <w:tcBorders>
              <w:top w:val="single" w:sz="8" w:space="0" w:color="FFFFFF"/>
              <w:left w:val="single" w:sz="8" w:space="0" w:color="FFFFFF"/>
              <w:bottom w:val="single" w:sz="8" w:space="0" w:color="FFFFFF"/>
              <w:right w:val="single" w:sz="24" w:space="0" w:color="FFFFFF"/>
            </w:tcBorders>
            <w:shd w:val="clear" w:color="auto" w:fill="9BD45F"/>
          </w:tcPr>
          <w:p w:rsidR="00B65A71" w:rsidRPr="0000154C" w:rsidRDefault="00B65A71" w:rsidP="00B65A71">
            <w:pPr>
              <w:rPr>
                <w:rFonts w:ascii="Arial" w:hAnsi="Arial" w:cs="Arial"/>
                <w:b/>
                <w:bCs/>
                <w:color w:val="000000"/>
                <w:szCs w:val="22"/>
                <w:lang w:val="sr-Latn-CS"/>
              </w:rPr>
            </w:pPr>
            <w:r w:rsidRPr="0000154C">
              <w:rPr>
                <w:rFonts w:ascii="Arial" w:hAnsi="Arial" w:cs="Arial"/>
                <w:b/>
                <w:bCs/>
                <w:color w:val="000000"/>
                <w:szCs w:val="22"/>
                <w:lang w:val="sr-Latn-CS"/>
              </w:rPr>
              <w:t>Dagnje II Bar</w:t>
            </w:r>
          </w:p>
        </w:tc>
        <w:tc>
          <w:tcPr>
            <w:tcW w:w="1294" w:type="dxa"/>
            <w:tcBorders>
              <w:top w:val="single" w:sz="8" w:space="0" w:color="FFFFFF"/>
              <w:left w:val="single" w:sz="8" w:space="0" w:color="FFFFFF"/>
              <w:bottom w:val="single" w:sz="8" w:space="0" w:color="FFFFFF"/>
              <w:right w:val="single" w:sz="8" w:space="0" w:color="FFFFFF"/>
            </w:tcBorders>
            <w:shd w:val="clear" w:color="auto" w:fill="CCE9AF"/>
          </w:tcPr>
          <w:p w:rsidR="00B65A71" w:rsidRPr="0000154C" w:rsidRDefault="00B65A71" w:rsidP="00B65A71">
            <w:pPr>
              <w:rPr>
                <w:rFonts w:ascii="Arial" w:hAnsi="Arial" w:cs="Arial"/>
                <w:color w:val="000000"/>
                <w:szCs w:val="22"/>
                <w:lang w:val="sr-Latn-CS"/>
              </w:rPr>
            </w:pPr>
            <w:r>
              <w:rPr>
                <w:rFonts w:ascii="Arial" w:hAnsi="Arial" w:cs="Arial"/>
                <w:color w:val="000000"/>
                <w:szCs w:val="22"/>
                <w:lang w:val="sr-Latn-CS"/>
              </w:rPr>
              <w:t>28,5 ± 1</w:t>
            </w:r>
            <w:r w:rsidRPr="0000154C">
              <w:rPr>
                <w:rFonts w:ascii="Arial" w:hAnsi="Arial" w:cs="Arial"/>
                <w:color w:val="000000"/>
                <w:szCs w:val="22"/>
                <w:lang w:val="sr-Latn-CS"/>
              </w:rPr>
              <w:t>,3</w:t>
            </w:r>
          </w:p>
        </w:tc>
        <w:tc>
          <w:tcPr>
            <w:tcW w:w="1170" w:type="dxa"/>
            <w:tcBorders>
              <w:top w:val="single" w:sz="8" w:space="0" w:color="FFFFFF"/>
              <w:left w:val="single" w:sz="8" w:space="0" w:color="FFFFFF"/>
              <w:bottom w:val="single" w:sz="8" w:space="0" w:color="FFFFFF"/>
              <w:right w:val="single" w:sz="8" w:space="0" w:color="FFFFFF"/>
            </w:tcBorders>
            <w:shd w:val="clear" w:color="auto" w:fill="CCE9AF"/>
          </w:tcPr>
          <w:p w:rsidR="00B65A71" w:rsidRPr="0000154C" w:rsidRDefault="00B65A71" w:rsidP="00B65A71">
            <w:pPr>
              <w:rPr>
                <w:rFonts w:ascii="Arial" w:hAnsi="Arial" w:cs="Arial"/>
                <w:color w:val="000000"/>
                <w:szCs w:val="22"/>
                <w:lang w:val="sr-Latn-CS"/>
              </w:rPr>
            </w:pPr>
            <w:r>
              <w:rPr>
                <w:rFonts w:ascii="Arial" w:hAnsi="Arial" w:cs="Arial"/>
                <w:color w:val="000000"/>
                <w:szCs w:val="22"/>
                <w:lang w:val="sr-Latn-CS"/>
              </w:rPr>
              <w:t>≤ 0,19</w:t>
            </w:r>
          </w:p>
        </w:tc>
        <w:tc>
          <w:tcPr>
            <w:tcW w:w="990" w:type="dxa"/>
            <w:tcBorders>
              <w:top w:val="single" w:sz="8" w:space="0" w:color="FFFFFF"/>
              <w:left w:val="single" w:sz="8" w:space="0" w:color="FFFFFF"/>
              <w:bottom w:val="single" w:sz="8" w:space="0" w:color="FFFFFF"/>
              <w:right w:val="single" w:sz="8" w:space="0" w:color="FFFFFF"/>
            </w:tcBorders>
            <w:shd w:val="clear" w:color="auto" w:fill="CCE9AF"/>
          </w:tcPr>
          <w:p w:rsidR="00B65A71" w:rsidRPr="0000154C" w:rsidRDefault="00B65A71" w:rsidP="00B65A71">
            <w:pPr>
              <w:rPr>
                <w:rFonts w:ascii="Arial" w:hAnsi="Arial" w:cs="Arial"/>
                <w:color w:val="000000"/>
                <w:szCs w:val="22"/>
                <w:lang w:val="sr-Latn-CS"/>
              </w:rPr>
            </w:pPr>
            <w:r>
              <w:rPr>
                <w:rFonts w:ascii="Arial" w:hAnsi="Arial" w:cs="Arial"/>
                <w:color w:val="000000"/>
                <w:szCs w:val="22"/>
                <w:lang w:val="sr-Latn-CS"/>
              </w:rPr>
              <w:t>≤ 0,38</w:t>
            </w:r>
          </w:p>
        </w:tc>
        <w:tc>
          <w:tcPr>
            <w:tcW w:w="1080" w:type="dxa"/>
            <w:tcBorders>
              <w:top w:val="single" w:sz="8" w:space="0" w:color="FFFFFF"/>
              <w:left w:val="single" w:sz="8" w:space="0" w:color="FFFFFF"/>
              <w:bottom w:val="single" w:sz="8" w:space="0" w:color="FFFFFF"/>
              <w:right w:val="single" w:sz="8" w:space="0" w:color="FFFFFF"/>
            </w:tcBorders>
            <w:shd w:val="clear" w:color="auto" w:fill="CCE9AF"/>
          </w:tcPr>
          <w:p w:rsidR="00B65A71" w:rsidRPr="0000154C" w:rsidRDefault="00B65A71" w:rsidP="00B65A71">
            <w:pPr>
              <w:rPr>
                <w:rFonts w:ascii="Arial" w:hAnsi="Arial" w:cs="Arial"/>
                <w:color w:val="000000"/>
                <w:szCs w:val="22"/>
                <w:lang w:val="sr-Latn-CS"/>
              </w:rPr>
            </w:pPr>
            <w:r>
              <w:rPr>
                <w:rFonts w:ascii="Arial" w:hAnsi="Arial" w:cs="Arial"/>
                <w:color w:val="000000"/>
                <w:szCs w:val="22"/>
                <w:lang w:val="sr-Latn-CS"/>
              </w:rPr>
              <w:t>≤ 0,</w:t>
            </w:r>
            <w:r w:rsidRPr="0000154C">
              <w:rPr>
                <w:rFonts w:ascii="Arial" w:hAnsi="Arial" w:cs="Arial"/>
                <w:color w:val="000000"/>
                <w:szCs w:val="22"/>
                <w:lang w:val="sr-Latn-CS"/>
              </w:rPr>
              <w:t>7</w:t>
            </w:r>
            <w:r>
              <w:rPr>
                <w:rFonts w:ascii="Arial" w:hAnsi="Arial" w:cs="Arial"/>
                <w:color w:val="000000"/>
                <w:szCs w:val="22"/>
                <w:lang w:val="sr-Latn-CS"/>
              </w:rPr>
              <w:t>3</w:t>
            </w:r>
          </w:p>
        </w:tc>
      </w:tr>
      <w:tr w:rsidR="00B65A71" w:rsidRPr="0000154C" w:rsidTr="00B65A71">
        <w:trPr>
          <w:jc w:val="center"/>
        </w:trPr>
        <w:tc>
          <w:tcPr>
            <w:tcW w:w="1223" w:type="dxa"/>
            <w:tcBorders>
              <w:top w:val="single" w:sz="8" w:space="0" w:color="FFFFFF"/>
              <w:left w:val="single" w:sz="8" w:space="0" w:color="FFFFFF"/>
              <w:bottom w:val="single" w:sz="8" w:space="0" w:color="FFFFFF"/>
              <w:right w:val="single" w:sz="24" w:space="0" w:color="FFFFFF"/>
            </w:tcBorders>
            <w:shd w:val="clear" w:color="auto" w:fill="9BD45F"/>
          </w:tcPr>
          <w:p w:rsidR="00B65A71" w:rsidRPr="0000154C" w:rsidRDefault="00B65A71" w:rsidP="00B65A71">
            <w:pPr>
              <w:rPr>
                <w:rFonts w:ascii="Arial" w:hAnsi="Arial" w:cs="Arial"/>
                <w:b/>
                <w:bCs/>
                <w:color w:val="000000"/>
                <w:szCs w:val="22"/>
                <w:lang w:val="sr-Latn-CS"/>
              </w:rPr>
            </w:pPr>
            <w:r w:rsidRPr="0000154C">
              <w:rPr>
                <w:rFonts w:ascii="Arial" w:hAnsi="Arial" w:cs="Arial"/>
                <w:b/>
                <w:bCs/>
                <w:color w:val="000000"/>
                <w:szCs w:val="22"/>
                <w:lang w:val="sr-Latn-CS"/>
              </w:rPr>
              <w:lastRenderedPageBreak/>
              <w:t>Sipe  I Bar</w:t>
            </w:r>
          </w:p>
        </w:tc>
        <w:tc>
          <w:tcPr>
            <w:tcW w:w="1294" w:type="dxa"/>
            <w:tcBorders>
              <w:top w:val="single" w:sz="8" w:space="0" w:color="FFFFFF"/>
              <w:left w:val="single" w:sz="8" w:space="0" w:color="FFFFFF"/>
              <w:bottom w:val="single" w:sz="8" w:space="0" w:color="FFFFFF"/>
              <w:right w:val="single" w:sz="8" w:space="0" w:color="FFFFFF"/>
            </w:tcBorders>
            <w:shd w:val="clear" w:color="auto" w:fill="CCE9AF"/>
          </w:tcPr>
          <w:p w:rsidR="00B65A71" w:rsidRPr="0000154C" w:rsidRDefault="00B65A71" w:rsidP="00B65A71">
            <w:pPr>
              <w:rPr>
                <w:rFonts w:ascii="Arial" w:hAnsi="Arial" w:cs="Arial"/>
                <w:color w:val="000000"/>
                <w:szCs w:val="22"/>
                <w:lang w:val="sr-Latn-CS"/>
              </w:rPr>
            </w:pPr>
            <w:r>
              <w:rPr>
                <w:rFonts w:ascii="Arial" w:hAnsi="Arial" w:cs="Arial"/>
                <w:color w:val="000000"/>
                <w:szCs w:val="22"/>
                <w:lang w:val="sr-Latn-CS"/>
              </w:rPr>
              <w:t>52,3 ± 3</w:t>
            </w:r>
            <w:r w:rsidRPr="0000154C">
              <w:rPr>
                <w:rFonts w:ascii="Arial" w:hAnsi="Arial" w:cs="Arial"/>
                <w:color w:val="000000"/>
                <w:szCs w:val="22"/>
                <w:lang w:val="sr-Latn-CS"/>
              </w:rPr>
              <w:t>,9</w:t>
            </w:r>
          </w:p>
        </w:tc>
        <w:tc>
          <w:tcPr>
            <w:tcW w:w="1170" w:type="dxa"/>
            <w:tcBorders>
              <w:top w:val="single" w:sz="8" w:space="0" w:color="FFFFFF"/>
              <w:left w:val="single" w:sz="8" w:space="0" w:color="FFFFFF"/>
              <w:bottom w:val="single" w:sz="8" w:space="0" w:color="FFFFFF"/>
              <w:right w:val="single" w:sz="8" w:space="0" w:color="FFFFFF"/>
            </w:tcBorders>
            <w:shd w:val="clear" w:color="auto" w:fill="CCE9AF"/>
          </w:tcPr>
          <w:p w:rsidR="00B65A71" w:rsidRPr="0000154C" w:rsidRDefault="00B65A71" w:rsidP="00B65A71">
            <w:pPr>
              <w:rPr>
                <w:rFonts w:ascii="Arial" w:hAnsi="Arial" w:cs="Arial"/>
                <w:color w:val="000000"/>
                <w:szCs w:val="22"/>
                <w:lang w:val="sr-Latn-CS"/>
              </w:rPr>
            </w:pPr>
            <w:r>
              <w:rPr>
                <w:rFonts w:ascii="Arial" w:hAnsi="Arial" w:cs="Arial"/>
                <w:color w:val="000000"/>
                <w:szCs w:val="22"/>
                <w:lang w:val="sr-Latn-CS"/>
              </w:rPr>
              <w:t>≤ 0,23</w:t>
            </w:r>
          </w:p>
        </w:tc>
        <w:tc>
          <w:tcPr>
            <w:tcW w:w="990" w:type="dxa"/>
            <w:tcBorders>
              <w:top w:val="single" w:sz="8" w:space="0" w:color="FFFFFF"/>
              <w:left w:val="single" w:sz="8" w:space="0" w:color="FFFFFF"/>
              <w:bottom w:val="single" w:sz="8" w:space="0" w:color="FFFFFF"/>
              <w:right w:val="single" w:sz="8" w:space="0" w:color="FFFFFF"/>
            </w:tcBorders>
            <w:shd w:val="clear" w:color="auto" w:fill="CCE9AF"/>
          </w:tcPr>
          <w:p w:rsidR="00B65A71" w:rsidRPr="0000154C" w:rsidRDefault="00B65A71" w:rsidP="00B65A71">
            <w:pPr>
              <w:rPr>
                <w:rFonts w:ascii="Arial" w:hAnsi="Arial" w:cs="Arial"/>
                <w:color w:val="000000"/>
                <w:szCs w:val="22"/>
                <w:lang w:val="sr-Latn-CS"/>
              </w:rPr>
            </w:pPr>
            <w:r>
              <w:rPr>
                <w:rFonts w:ascii="Arial" w:hAnsi="Arial" w:cs="Arial"/>
                <w:color w:val="000000"/>
                <w:szCs w:val="22"/>
                <w:lang w:val="sr-Latn-CS"/>
              </w:rPr>
              <w:t>≤ 0,44</w:t>
            </w:r>
          </w:p>
        </w:tc>
        <w:tc>
          <w:tcPr>
            <w:tcW w:w="1080" w:type="dxa"/>
            <w:tcBorders>
              <w:top w:val="single" w:sz="8" w:space="0" w:color="FFFFFF"/>
              <w:left w:val="single" w:sz="8" w:space="0" w:color="FFFFFF"/>
              <w:bottom w:val="single" w:sz="8" w:space="0" w:color="FFFFFF"/>
              <w:right w:val="single" w:sz="8" w:space="0" w:color="FFFFFF"/>
            </w:tcBorders>
            <w:shd w:val="clear" w:color="auto" w:fill="CCE9AF"/>
          </w:tcPr>
          <w:p w:rsidR="00B65A71" w:rsidRPr="0000154C" w:rsidRDefault="00B65A71" w:rsidP="00B65A71">
            <w:pPr>
              <w:rPr>
                <w:rFonts w:ascii="Arial" w:hAnsi="Arial" w:cs="Arial"/>
                <w:color w:val="000000"/>
                <w:szCs w:val="22"/>
                <w:lang w:val="sr-Latn-CS"/>
              </w:rPr>
            </w:pPr>
            <w:r>
              <w:rPr>
                <w:rFonts w:ascii="Arial" w:hAnsi="Arial" w:cs="Arial"/>
                <w:color w:val="000000"/>
                <w:szCs w:val="22"/>
                <w:lang w:val="sr-Latn-CS"/>
              </w:rPr>
              <w:t>≤ 1,2</w:t>
            </w:r>
            <w:r w:rsidRPr="0000154C">
              <w:rPr>
                <w:rFonts w:ascii="Arial" w:hAnsi="Arial" w:cs="Arial"/>
                <w:color w:val="000000"/>
                <w:szCs w:val="22"/>
                <w:lang w:val="sr-Latn-CS"/>
              </w:rPr>
              <w:t>2</w:t>
            </w:r>
          </w:p>
        </w:tc>
      </w:tr>
      <w:tr w:rsidR="00B65A71" w:rsidRPr="0000154C" w:rsidTr="00B65A71">
        <w:trPr>
          <w:jc w:val="center"/>
        </w:trPr>
        <w:tc>
          <w:tcPr>
            <w:tcW w:w="1223" w:type="dxa"/>
            <w:tcBorders>
              <w:top w:val="single" w:sz="8" w:space="0" w:color="FFFFFF"/>
              <w:left w:val="single" w:sz="8" w:space="0" w:color="FFFFFF"/>
              <w:bottom w:val="single" w:sz="8" w:space="0" w:color="FFFFFF"/>
              <w:right w:val="single" w:sz="24" w:space="0" w:color="FFFFFF"/>
            </w:tcBorders>
            <w:shd w:val="clear" w:color="auto" w:fill="9BD45F"/>
          </w:tcPr>
          <w:p w:rsidR="00B65A71" w:rsidRPr="0000154C" w:rsidRDefault="00B65A71" w:rsidP="00B65A71">
            <w:pPr>
              <w:rPr>
                <w:rFonts w:ascii="Arial" w:hAnsi="Arial" w:cs="Arial"/>
                <w:b/>
                <w:bCs/>
                <w:color w:val="000000"/>
                <w:szCs w:val="22"/>
                <w:lang w:val="sr-Latn-CS"/>
              </w:rPr>
            </w:pPr>
            <w:r w:rsidRPr="0000154C">
              <w:rPr>
                <w:rFonts w:ascii="Arial" w:hAnsi="Arial" w:cs="Arial"/>
                <w:b/>
                <w:bCs/>
                <w:color w:val="000000"/>
                <w:szCs w:val="22"/>
                <w:lang w:val="sr-Latn-CS"/>
              </w:rPr>
              <w:t>Sipe  II Bar</w:t>
            </w:r>
          </w:p>
        </w:tc>
        <w:tc>
          <w:tcPr>
            <w:tcW w:w="1294" w:type="dxa"/>
            <w:tcBorders>
              <w:top w:val="single" w:sz="8" w:space="0" w:color="FFFFFF"/>
              <w:left w:val="single" w:sz="8" w:space="0" w:color="FFFFFF"/>
              <w:bottom w:val="single" w:sz="8" w:space="0" w:color="FFFFFF"/>
              <w:right w:val="single" w:sz="8" w:space="0" w:color="FFFFFF"/>
            </w:tcBorders>
            <w:shd w:val="clear" w:color="auto" w:fill="CCE9AF"/>
          </w:tcPr>
          <w:p w:rsidR="00B65A71" w:rsidRPr="0000154C" w:rsidRDefault="00B65A71" w:rsidP="00B65A71">
            <w:pPr>
              <w:rPr>
                <w:rFonts w:ascii="Arial" w:hAnsi="Arial" w:cs="Arial"/>
                <w:color w:val="000000"/>
                <w:szCs w:val="22"/>
                <w:lang w:val="sr-Latn-CS"/>
              </w:rPr>
            </w:pPr>
            <w:r>
              <w:rPr>
                <w:rFonts w:ascii="Arial" w:hAnsi="Arial" w:cs="Arial"/>
                <w:color w:val="000000"/>
                <w:szCs w:val="22"/>
                <w:lang w:val="sr-Latn-CS"/>
              </w:rPr>
              <w:t>39,7 ± 3,0</w:t>
            </w:r>
          </w:p>
        </w:tc>
        <w:tc>
          <w:tcPr>
            <w:tcW w:w="1170" w:type="dxa"/>
            <w:tcBorders>
              <w:top w:val="single" w:sz="8" w:space="0" w:color="FFFFFF"/>
              <w:left w:val="single" w:sz="8" w:space="0" w:color="FFFFFF"/>
              <w:bottom w:val="single" w:sz="8" w:space="0" w:color="FFFFFF"/>
              <w:right w:val="single" w:sz="8" w:space="0" w:color="FFFFFF"/>
            </w:tcBorders>
            <w:shd w:val="clear" w:color="auto" w:fill="CCE9AF"/>
          </w:tcPr>
          <w:p w:rsidR="00B65A71" w:rsidRPr="0000154C" w:rsidRDefault="00B65A71" w:rsidP="00B65A71">
            <w:pPr>
              <w:rPr>
                <w:rFonts w:ascii="Arial" w:hAnsi="Arial" w:cs="Arial"/>
                <w:color w:val="000000"/>
                <w:szCs w:val="22"/>
                <w:lang w:val="sr-Latn-CS"/>
              </w:rPr>
            </w:pPr>
            <w:r>
              <w:rPr>
                <w:rFonts w:ascii="Arial" w:hAnsi="Arial" w:cs="Arial"/>
                <w:color w:val="000000"/>
                <w:szCs w:val="22"/>
                <w:lang w:val="sr-Latn-CS"/>
              </w:rPr>
              <w:t>≤ 0,08</w:t>
            </w:r>
          </w:p>
        </w:tc>
        <w:tc>
          <w:tcPr>
            <w:tcW w:w="990" w:type="dxa"/>
            <w:tcBorders>
              <w:top w:val="single" w:sz="8" w:space="0" w:color="FFFFFF"/>
              <w:left w:val="single" w:sz="8" w:space="0" w:color="FFFFFF"/>
              <w:bottom w:val="single" w:sz="8" w:space="0" w:color="FFFFFF"/>
              <w:right w:val="single" w:sz="8" w:space="0" w:color="FFFFFF"/>
            </w:tcBorders>
            <w:shd w:val="clear" w:color="auto" w:fill="CCE9AF"/>
          </w:tcPr>
          <w:p w:rsidR="00B65A71" w:rsidRPr="0000154C" w:rsidRDefault="00B65A71" w:rsidP="00B65A71">
            <w:pPr>
              <w:rPr>
                <w:rFonts w:ascii="Arial" w:hAnsi="Arial" w:cs="Arial"/>
                <w:color w:val="000000"/>
                <w:szCs w:val="22"/>
                <w:lang w:val="sr-Latn-CS"/>
              </w:rPr>
            </w:pPr>
            <w:r>
              <w:rPr>
                <w:rFonts w:ascii="Arial" w:hAnsi="Arial" w:cs="Arial"/>
                <w:color w:val="000000"/>
                <w:szCs w:val="22"/>
                <w:lang w:val="sr-Latn-CS"/>
              </w:rPr>
              <w:t>≤ 0,56</w:t>
            </w:r>
          </w:p>
        </w:tc>
        <w:tc>
          <w:tcPr>
            <w:tcW w:w="1080" w:type="dxa"/>
            <w:tcBorders>
              <w:top w:val="single" w:sz="8" w:space="0" w:color="FFFFFF"/>
              <w:left w:val="single" w:sz="8" w:space="0" w:color="FFFFFF"/>
              <w:bottom w:val="single" w:sz="8" w:space="0" w:color="FFFFFF"/>
              <w:right w:val="single" w:sz="8" w:space="0" w:color="FFFFFF"/>
            </w:tcBorders>
            <w:shd w:val="clear" w:color="auto" w:fill="CCE9AF"/>
          </w:tcPr>
          <w:p w:rsidR="00B65A71" w:rsidRPr="0000154C" w:rsidRDefault="00B65A71" w:rsidP="00B65A71">
            <w:pPr>
              <w:rPr>
                <w:rFonts w:ascii="Arial" w:hAnsi="Arial" w:cs="Arial"/>
                <w:color w:val="000000"/>
                <w:szCs w:val="22"/>
                <w:lang w:val="sr-Latn-CS"/>
              </w:rPr>
            </w:pPr>
            <w:r>
              <w:rPr>
                <w:rFonts w:ascii="Arial" w:hAnsi="Arial" w:cs="Arial"/>
                <w:color w:val="000000"/>
                <w:szCs w:val="22"/>
                <w:lang w:val="sr-Latn-CS"/>
              </w:rPr>
              <w:t>≤ 1,17</w:t>
            </w:r>
          </w:p>
        </w:tc>
      </w:tr>
      <w:tr w:rsidR="00B65A71" w:rsidRPr="0000154C" w:rsidTr="00B65A71">
        <w:trPr>
          <w:jc w:val="center"/>
        </w:trPr>
        <w:tc>
          <w:tcPr>
            <w:tcW w:w="1223" w:type="dxa"/>
            <w:tcBorders>
              <w:top w:val="single" w:sz="8" w:space="0" w:color="FFFFFF"/>
              <w:left w:val="single" w:sz="8" w:space="0" w:color="FFFFFF"/>
              <w:bottom w:val="single" w:sz="8" w:space="0" w:color="FFFFFF"/>
              <w:right w:val="single" w:sz="24" w:space="0" w:color="FFFFFF"/>
            </w:tcBorders>
            <w:shd w:val="clear" w:color="auto" w:fill="9BD45F"/>
          </w:tcPr>
          <w:p w:rsidR="00B65A71" w:rsidRPr="0000154C" w:rsidRDefault="00B65A71" w:rsidP="00B65A71">
            <w:pPr>
              <w:rPr>
                <w:rFonts w:ascii="Arial" w:hAnsi="Arial" w:cs="Arial"/>
                <w:b/>
                <w:bCs/>
                <w:color w:val="000000"/>
                <w:szCs w:val="22"/>
                <w:lang w:val="sr-Latn-CS"/>
              </w:rPr>
            </w:pPr>
            <w:r w:rsidRPr="0000154C">
              <w:rPr>
                <w:rFonts w:ascii="Arial" w:hAnsi="Arial" w:cs="Arial"/>
                <w:b/>
                <w:bCs/>
                <w:color w:val="000000"/>
                <w:szCs w:val="22"/>
                <w:lang w:val="sr-Latn-CS"/>
              </w:rPr>
              <w:t>Sipe  I HN</w:t>
            </w:r>
          </w:p>
        </w:tc>
        <w:tc>
          <w:tcPr>
            <w:tcW w:w="1294" w:type="dxa"/>
            <w:tcBorders>
              <w:top w:val="single" w:sz="8" w:space="0" w:color="FFFFFF"/>
              <w:left w:val="single" w:sz="8" w:space="0" w:color="FFFFFF"/>
              <w:bottom w:val="single" w:sz="8" w:space="0" w:color="FFFFFF"/>
              <w:right w:val="single" w:sz="8" w:space="0" w:color="FFFFFF"/>
            </w:tcBorders>
            <w:shd w:val="clear" w:color="auto" w:fill="CCE9AF"/>
          </w:tcPr>
          <w:p w:rsidR="00B65A71" w:rsidRPr="0000154C" w:rsidRDefault="00B65A71" w:rsidP="00B65A71">
            <w:pPr>
              <w:rPr>
                <w:rFonts w:ascii="Arial" w:hAnsi="Arial" w:cs="Arial"/>
                <w:color w:val="000000"/>
                <w:szCs w:val="22"/>
                <w:lang w:val="sr-Latn-CS"/>
              </w:rPr>
            </w:pPr>
            <w:r>
              <w:rPr>
                <w:rFonts w:ascii="Arial" w:hAnsi="Arial" w:cs="Arial"/>
                <w:color w:val="000000"/>
                <w:szCs w:val="22"/>
                <w:lang w:val="sr-Latn-CS"/>
              </w:rPr>
              <w:t>65,0 ± 4</w:t>
            </w:r>
            <w:r w:rsidRPr="0000154C">
              <w:rPr>
                <w:rFonts w:ascii="Arial" w:hAnsi="Arial" w:cs="Arial"/>
                <w:color w:val="000000"/>
                <w:szCs w:val="22"/>
                <w:lang w:val="sr-Latn-CS"/>
              </w:rPr>
              <w:t>,5</w:t>
            </w:r>
          </w:p>
        </w:tc>
        <w:tc>
          <w:tcPr>
            <w:tcW w:w="1170" w:type="dxa"/>
            <w:tcBorders>
              <w:top w:val="single" w:sz="8" w:space="0" w:color="FFFFFF"/>
              <w:left w:val="single" w:sz="8" w:space="0" w:color="FFFFFF"/>
              <w:bottom w:val="single" w:sz="8" w:space="0" w:color="FFFFFF"/>
              <w:right w:val="single" w:sz="8" w:space="0" w:color="FFFFFF"/>
            </w:tcBorders>
            <w:shd w:val="clear" w:color="auto" w:fill="CCE9AF"/>
          </w:tcPr>
          <w:p w:rsidR="00B65A71" w:rsidRPr="0000154C" w:rsidRDefault="00B65A71" w:rsidP="00B65A71">
            <w:pPr>
              <w:rPr>
                <w:rFonts w:ascii="Arial" w:hAnsi="Arial" w:cs="Arial"/>
                <w:color w:val="000000"/>
                <w:szCs w:val="22"/>
                <w:lang w:val="sr-Latn-CS"/>
              </w:rPr>
            </w:pPr>
            <w:r>
              <w:rPr>
                <w:rFonts w:ascii="Arial" w:hAnsi="Arial" w:cs="Arial"/>
                <w:color w:val="000000"/>
                <w:szCs w:val="22"/>
                <w:lang w:val="sr-Latn-CS"/>
              </w:rPr>
              <w:t>≤ 0,17</w:t>
            </w:r>
          </w:p>
        </w:tc>
        <w:tc>
          <w:tcPr>
            <w:tcW w:w="990" w:type="dxa"/>
            <w:tcBorders>
              <w:top w:val="single" w:sz="8" w:space="0" w:color="FFFFFF"/>
              <w:left w:val="single" w:sz="8" w:space="0" w:color="FFFFFF"/>
              <w:bottom w:val="single" w:sz="8" w:space="0" w:color="FFFFFF"/>
              <w:right w:val="single" w:sz="8" w:space="0" w:color="FFFFFF"/>
            </w:tcBorders>
            <w:shd w:val="clear" w:color="auto" w:fill="CCE9AF"/>
          </w:tcPr>
          <w:p w:rsidR="00B65A71" w:rsidRPr="0000154C" w:rsidRDefault="00B65A71" w:rsidP="00B65A71">
            <w:pPr>
              <w:rPr>
                <w:rFonts w:ascii="Arial" w:hAnsi="Arial" w:cs="Arial"/>
                <w:color w:val="000000"/>
                <w:szCs w:val="22"/>
                <w:lang w:val="sr-Latn-CS"/>
              </w:rPr>
            </w:pPr>
            <w:r>
              <w:rPr>
                <w:rFonts w:ascii="Arial" w:hAnsi="Arial" w:cs="Arial"/>
                <w:color w:val="000000"/>
                <w:szCs w:val="22"/>
                <w:lang w:val="sr-Latn-CS"/>
              </w:rPr>
              <w:t>≤ 0,29</w:t>
            </w:r>
          </w:p>
        </w:tc>
        <w:tc>
          <w:tcPr>
            <w:tcW w:w="1080" w:type="dxa"/>
            <w:tcBorders>
              <w:top w:val="single" w:sz="8" w:space="0" w:color="FFFFFF"/>
              <w:left w:val="single" w:sz="8" w:space="0" w:color="FFFFFF"/>
              <w:bottom w:val="single" w:sz="8" w:space="0" w:color="FFFFFF"/>
              <w:right w:val="single" w:sz="8" w:space="0" w:color="FFFFFF"/>
            </w:tcBorders>
            <w:shd w:val="clear" w:color="auto" w:fill="CCE9AF"/>
          </w:tcPr>
          <w:p w:rsidR="00B65A71" w:rsidRPr="0000154C" w:rsidRDefault="00B65A71" w:rsidP="00B65A71">
            <w:pPr>
              <w:rPr>
                <w:rFonts w:ascii="Arial" w:hAnsi="Arial" w:cs="Arial"/>
                <w:color w:val="000000"/>
                <w:szCs w:val="22"/>
                <w:lang w:val="sr-Latn-CS"/>
              </w:rPr>
            </w:pPr>
            <w:r>
              <w:rPr>
                <w:rFonts w:ascii="Arial" w:hAnsi="Arial" w:cs="Arial"/>
                <w:color w:val="000000"/>
                <w:szCs w:val="22"/>
                <w:lang w:val="sr-Latn-CS"/>
              </w:rPr>
              <w:t>≤ 0,6</w:t>
            </w:r>
            <w:r w:rsidRPr="0000154C">
              <w:rPr>
                <w:rFonts w:ascii="Arial" w:hAnsi="Arial" w:cs="Arial"/>
                <w:color w:val="000000"/>
                <w:szCs w:val="22"/>
                <w:lang w:val="sr-Latn-CS"/>
              </w:rPr>
              <w:t>9</w:t>
            </w:r>
          </w:p>
        </w:tc>
      </w:tr>
      <w:tr w:rsidR="00B65A71" w:rsidRPr="0000154C" w:rsidTr="00B65A71">
        <w:trPr>
          <w:jc w:val="center"/>
        </w:trPr>
        <w:tc>
          <w:tcPr>
            <w:tcW w:w="1223" w:type="dxa"/>
            <w:tcBorders>
              <w:top w:val="single" w:sz="8" w:space="0" w:color="FFFFFF"/>
              <w:left w:val="single" w:sz="8" w:space="0" w:color="FFFFFF"/>
              <w:bottom w:val="nil"/>
              <w:right w:val="single" w:sz="24" w:space="0" w:color="FFFFFF"/>
            </w:tcBorders>
            <w:shd w:val="clear" w:color="auto" w:fill="9BD45F"/>
          </w:tcPr>
          <w:p w:rsidR="00B65A71" w:rsidRPr="0000154C" w:rsidRDefault="00B65A71" w:rsidP="00B65A71">
            <w:pPr>
              <w:rPr>
                <w:rFonts w:ascii="Arial" w:hAnsi="Arial" w:cs="Arial"/>
                <w:b/>
                <w:bCs/>
                <w:color w:val="000000"/>
                <w:szCs w:val="22"/>
                <w:lang w:val="sr-Latn-CS"/>
              </w:rPr>
            </w:pPr>
            <w:r w:rsidRPr="0000154C">
              <w:rPr>
                <w:rFonts w:ascii="Arial" w:hAnsi="Arial" w:cs="Arial"/>
                <w:b/>
                <w:bCs/>
                <w:color w:val="000000"/>
                <w:szCs w:val="22"/>
                <w:lang w:val="sr-Latn-CS"/>
              </w:rPr>
              <w:t>Sipe  II HN</w:t>
            </w:r>
          </w:p>
        </w:tc>
        <w:tc>
          <w:tcPr>
            <w:tcW w:w="1294" w:type="dxa"/>
            <w:tcBorders>
              <w:top w:val="single" w:sz="8" w:space="0" w:color="FFFFFF"/>
              <w:left w:val="single" w:sz="8" w:space="0" w:color="FFFFFF"/>
              <w:bottom w:val="single" w:sz="8" w:space="0" w:color="FFFFFF"/>
              <w:right w:val="single" w:sz="8" w:space="0" w:color="FFFFFF"/>
            </w:tcBorders>
            <w:shd w:val="clear" w:color="auto" w:fill="CCE9AF"/>
          </w:tcPr>
          <w:p w:rsidR="00B65A71" w:rsidRPr="0000154C" w:rsidRDefault="00B65A71" w:rsidP="00B65A71">
            <w:pPr>
              <w:rPr>
                <w:rFonts w:ascii="Arial" w:hAnsi="Arial" w:cs="Arial"/>
                <w:color w:val="000000"/>
                <w:szCs w:val="22"/>
                <w:lang w:val="sr-Latn-CS"/>
              </w:rPr>
            </w:pPr>
            <w:r>
              <w:rPr>
                <w:rFonts w:ascii="Arial" w:hAnsi="Arial" w:cs="Arial"/>
                <w:color w:val="000000"/>
                <w:szCs w:val="22"/>
                <w:lang w:val="sr-Latn-CS"/>
              </w:rPr>
              <w:t>74,4 ± 5</w:t>
            </w:r>
            <w:r w:rsidRPr="0000154C">
              <w:rPr>
                <w:rFonts w:ascii="Arial" w:hAnsi="Arial" w:cs="Arial"/>
                <w:color w:val="000000"/>
                <w:szCs w:val="22"/>
                <w:lang w:val="sr-Latn-CS"/>
              </w:rPr>
              <w:t>,7</w:t>
            </w:r>
          </w:p>
        </w:tc>
        <w:tc>
          <w:tcPr>
            <w:tcW w:w="1170" w:type="dxa"/>
            <w:tcBorders>
              <w:top w:val="single" w:sz="8" w:space="0" w:color="FFFFFF"/>
              <w:left w:val="single" w:sz="8" w:space="0" w:color="FFFFFF"/>
              <w:bottom w:val="single" w:sz="8" w:space="0" w:color="FFFFFF"/>
              <w:right w:val="single" w:sz="8" w:space="0" w:color="FFFFFF"/>
            </w:tcBorders>
            <w:shd w:val="clear" w:color="auto" w:fill="CCE9AF"/>
          </w:tcPr>
          <w:p w:rsidR="00B65A71" w:rsidRPr="0000154C" w:rsidRDefault="00B65A71" w:rsidP="00B65A71">
            <w:pPr>
              <w:rPr>
                <w:rFonts w:ascii="Arial" w:hAnsi="Arial" w:cs="Arial"/>
                <w:color w:val="000000"/>
                <w:szCs w:val="22"/>
                <w:lang w:val="sr-Latn-CS"/>
              </w:rPr>
            </w:pPr>
            <w:r w:rsidRPr="0000154C">
              <w:rPr>
                <w:rFonts w:ascii="Arial" w:hAnsi="Arial" w:cs="Arial"/>
                <w:color w:val="000000"/>
                <w:szCs w:val="22"/>
                <w:lang w:val="sr-Latn-CS"/>
              </w:rPr>
              <w:t>≤ 0,09</w:t>
            </w:r>
          </w:p>
        </w:tc>
        <w:tc>
          <w:tcPr>
            <w:tcW w:w="990" w:type="dxa"/>
            <w:tcBorders>
              <w:top w:val="single" w:sz="8" w:space="0" w:color="FFFFFF"/>
              <w:left w:val="single" w:sz="8" w:space="0" w:color="FFFFFF"/>
              <w:bottom w:val="single" w:sz="8" w:space="0" w:color="FFFFFF"/>
              <w:right w:val="single" w:sz="8" w:space="0" w:color="FFFFFF"/>
            </w:tcBorders>
            <w:shd w:val="clear" w:color="auto" w:fill="CCE9AF"/>
          </w:tcPr>
          <w:p w:rsidR="00B65A71" w:rsidRPr="0000154C" w:rsidRDefault="00B65A71" w:rsidP="00B65A71">
            <w:pPr>
              <w:rPr>
                <w:rFonts w:ascii="Arial" w:hAnsi="Arial" w:cs="Arial"/>
                <w:color w:val="000000"/>
                <w:szCs w:val="22"/>
                <w:lang w:val="sr-Latn-CS"/>
              </w:rPr>
            </w:pPr>
            <w:r>
              <w:rPr>
                <w:rFonts w:ascii="Arial" w:hAnsi="Arial" w:cs="Arial"/>
                <w:color w:val="000000"/>
                <w:szCs w:val="22"/>
                <w:lang w:val="sr-Latn-CS"/>
              </w:rPr>
              <w:t>≤ 0,35</w:t>
            </w:r>
          </w:p>
        </w:tc>
        <w:tc>
          <w:tcPr>
            <w:tcW w:w="1080" w:type="dxa"/>
            <w:tcBorders>
              <w:top w:val="single" w:sz="8" w:space="0" w:color="FFFFFF"/>
              <w:left w:val="single" w:sz="8" w:space="0" w:color="FFFFFF"/>
              <w:bottom w:val="single" w:sz="8" w:space="0" w:color="FFFFFF"/>
              <w:right w:val="single" w:sz="8" w:space="0" w:color="FFFFFF"/>
            </w:tcBorders>
            <w:shd w:val="clear" w:color="auto" w:fill="CCE9AF"/>
          </w:tcPr>
          <w:p w:rsidR="00B65A71" w:rsidRPr="0000154C" w:rsidRDefault="00B65A71" w:rsidP="00B65A71">
            <w:pPr>
              <w:rPr>
                <w:rFonts w:ascii="Arial" w:hAnsi="Arial" w:cs="Arial"/>
                <w:color w:val="000000"/>
                <w:szCs w:val="22"/>
                <w:lang w:val="sr-Latn-CS"/>
              </w:rPr>
            </w:pPr>
            <w:r>
              <w:rPr>
                <w:rFonts w:ascii="Arial" w:hAnsi="Arial" w:cs="Arial"/>
                <w:color w:val="000000"/>
                <w:szCs w:val="22"/>
                <w:lang w:val="sr-Latn-CS"/>
              </w:rPr>
              <w:t>≤ 0,54</w:t>
            </w:r>
          </w:p>
        </w:tc>
      </w:tr>
    </w:tbl>
    <w:p w:rsidR="009F48C6" w:rsidRPr="009F48C6" w:rsidRDefault="009F48C6" w:rsidP="00B65A71">
      <w:pPr>
        <w:pStyle w:val="Tabele"/>
        <w:ind w:left="0" w:firstLine="0"/>
      </w:pPr>
      <w:r w:rsidRPr="0000154C">
        <w:t>Specifične aktivnosti radionuklida u indikatorskim organizmima</w:t>
      </w:r>
    </w:p>
    <w:p w:rsidR="00B65A71" w:rsidRPr="0056459A" w:rsidRDefault="00B65A71" w:rsidP="00B65A71">
      <w:pPr>
        <w:rPr>
          <w:rFonts w:ascii="Arial" w:hAnsi="Arial" w:cs="Arial"/>
          <w:b/>
          <w:szCs w:val="22"/>
          <w:lang w:val="sr-Latn-CS"/>
        </w:rPr>
      </w:pPr>
      <w:r w:rsidRPr="00790CC9">
        <w:rPr>
          <w:rFonts w:ascii="Constantia" w:hAnsi="Constantia"/>
          <w:b/>
        </w:rPr>
        <w:t>Zaključak:</w:t>
      </w:r>
      <w:r w:rsidRPr="00790CC9">
        <w:rPr>
          <w:rFonts w:ascii="Constantia" w:hAnsi="Constantia"/>
        </w:rPr>
        <w:t xml:space="preserve">  </w:t>
      </w:r>
      <w:r w:rsidRPr="00617F89">
        <w:rPr>
          <w:rFonts w:ascii="Constantia" w:hAnsi="Constantia"/>
          <w:b/>
        </w:rPr>
        <w:t xml:space="preserve">U svim namirnicama koje su bile obuhvaćene programom monitoringa radioaktivnostu u životnoj sredini za 2013. god.  kao i  u kompozitnim uzorcima dječije hrane koja se sprema u centralnoj kuhinji JU dječiji vrtić „Ljubica Popović“  i  kompozitnim uzorcima hrane studentske menze koja se sprema u JU </w:t>
      </w:r>
      <w:r w:rsidR="00D34316">
        <w:rPr>
          <w:rFonts w:ascii="Constantia" w:hAnsi="Constantia"/>
          <w:b/>
        </w:rPr>
        <w:t>“</w:t>
      </w:r>
      <w:r w:rsidRPr="00617F89">
        <w:rPr>
          <w:rFonts w:ascii="Constantia" w:hAnsi="Constantia"/>
          <w:b/>
        </w:rPr>
        <w:t>Dom učenika i sudenata</w:t>
      </w:r>
      <w:r w:rsidR="00D34316">
        <w:rPr>
          <w:rFonts w:ascii="Constantia" w:hAnsi="Constantia"/>
          <w:b/>
        </w:rPr>
        <w:t>”</w:t>
      </w:r>
      <w:r w:rsidRPr="00617F89">
        <w:rPr>
          <w:rFonts w:ascii="Constantia" w:hAnsi="Constantia"/>
          <w:b/>
        </w:rPr>
        <w:t xml:space="preserve"> Podgorica specifične aktivnosti analiziranih radionuklida su bile na nivou ranijih godina. </w:t>
      </w:r>
      <w:r w:rsidRPr="00617F89">
        <w:rPr>
          <w:rFonts w:ascii="Constantia" w:hAnsi="Constantia"/>
          <w:b/>
          <w:u w:val="single"/>
        </w:rPr>
        <w:t>Sa potpunom sigurnošću možemo tvrditi da se radi o radiološki  ispravnoj hrani.</w:t>
      </w:r>
      <w:r w:rsidRPr="00617F89">
        <w:rPr>
          <w:rFonts w:ascii="Constantia" w:hAnsi="Constantia"/>
          <w:b/>
        </w:rPr>
        <w:t xml:space="preserve"> Proračun efektivne doze za 2012. godinu je bio u opsegu efektivnih doza (iznosio je 0,336mSv) definisanom u UNSCER (2000) dokumentu koji sve države koriste kao referentni opseg i koji iznosi, kada je u pitanju  unos radionuklida  ingestijom hrane i vode za piće: 0,2 - 0,8 mSv godišnje. Obzirom da su koncentracije aktivnosti  radionuklida u svim analiziranim namirnicama u 2013. godini  bili na nivou prošlogodišnjih koncentracija </w:t>
      </w:r>
      <w:r w:rsidR="00D34316">
        <w:rPr>
          <w:rFonts w:ascii="Constantia" w:hAnsi="Constantia"/>
          <w:b/>
        </w:rPr>
        <w:t>i s</w:t>
      </w:r>
      <w:r w:rsidRPr="00617F89">
        <w:rPr>
          <w:rFonts w:ascii="Constantia" w:hAnsi="Constantia"/>
          <w:b/>
        </w:rPr>
        <w:t xml:space="preserve"> obzirom da u Crnoj Gori hrana nije uzrok najveće radiološke opterećenosti stanovništva, nije bilo razloga da se proračun efektivne doze koja je posledica ingestije hrane i vode za piće računa i ove godine. Takođe će u konačnom zaključku ove Informacije biti naveden pored ovog i glavni razlozi zbog čega je ove godine izostao prikaz efektivnih doza.</w:t>
      </w:r>
      <w:r w:rsidRPr="00617F89">
        <w:rPr>
          <w:rFonts w:ascii="Arial" w:hAnsi="Arial" w:cs="Arial"/>
          <w:b/>
          <w:szCs w:val="22"/>
          <w:lang w:val="sr-Latn-CS"/>
        </w:rPr>
        <w:t xml:space="preserve"> </w:t>
      </w:r>
      <w:r>
        <w:rPr>
          <w:rFonts w:ascii="Arial" w:hAnsi="Arial" w:cs="Arial"/>
          <w:b/>
          <w:szCs w:val="22"/>
          <w:lang w:val="sr-Latn-CS"/>
        </w:rPr>
        <w:t xml:space="preserve">  </w:t>
      </w:r>
    </w:p>
    <w:p w:rsidR="00B65A71" w:rsidRPr="00F06A67" w:rsidRDefault="00B65A71" w:rsidP="008315C2">
      <w:pPr>
        <w:pStyle w:val="Heading2"/>
        <w:numPr>
          <w:ilvl w:val="1"/>
          <w:numId w:val="52"/>
        </w:numPr>
        <w:ind w:left="851" w:hanging="851"/>
      </w:pPr>
      <w:bookmarkStart w:id="320" w:name="_Toc290541624"/>
      <w:bookmarkStart w:id="321" w:name="_Toc319930929"/>
      <w:bookmarkStart w:id="322" w:name="_Toc319931740"/>
      <w:bookmarkStart w:id="323" w:name="_Toc320796907"/>
      <w:bookmarkStart w:id="324" w:name="_Toc321316134"/>
      <w:bookmarkStart w:id="325" w:name="_Toc352657402"/>
      <w:bookmarkStart w:id="326" w:name="_Toc352759515"/>
      <w:bookmarkStart w:id="327" w:name="_Toc352759615"/>
      <w:bookmarkStart w:id="328" w:name="_Toc352760054"/>
      <w:bookmarkStart w:id="329" w:name="_Toc352760163"/>
      <w:bookmarkStart w:id="330" w:name="_Toc384895589"/>
      <w:bookmarkStart w:id="331" w:name="_Toc393897963"/>
      <w:r w:rsidRPr="00F06A67">
        <w:t>Ispitivanje sadržaja radionuklida u stočnoj hrani</w:t>
      </w:r>
      <w:bookmarkEnd w:id="320"/>
      <w:bookmarkEnd w:id="321"/>
      <w:bookmarkEnd w:id="322"/>
      <w:bookmarkEnd w:id="323"/>
      <w:bookmarkEnd w:id="324"/>
      <w:bookmarkEnd w:id="325"/>
      <w:bookmarkEnd w:id="326"/>
      <w:bookmarkEnd w:id="327"/>
      <w:bookmarkEnd w:id="328"/>
      <w:bookmarkEnd w:id="329"/>
      <w:bookmarkEnd w:id="330"/>
      <w:bookmarkEnd w:id="331"/>
    </w:p>
    <w:p w:rsidR="00B65A71" w:rsidRPr="00790CC9" w:rsidRDefault="00B65A71" w:rsidP="003C3A29">
      <w:pPr>
        <w:rPr>
          <w:rFonts w:ascii="Constantia" w:hAnsi="Constantia"/>
        </w:rPr>
      </w:pPr>
      <w:r w:rsidRPr="00790CC9">
        <w:rPr>
          <w:rFonts w:ascii="Constantia" w:hAnsi="Constantia"/>
        </w:rPr>
        <w:t xml:space="preserve">Program sistematskog ispitivanja radioaktivnosti životne sredine u Crnoj Gori uključuje sistematsko ispitivanje sadržaja radionuklida u stočnoj hrani, analiziranjem specifičnih aktivnosti prirodnih radionuklida 40K, 226Ra, 232Th, kao i specifičnih aktivnosti vještačkih radionuklida 137Cs na uzorcima hrane namjenjene  stoci. Uzorkovano je i analizirano: livadska trava, sijeno, krmna smješa, hrana za  kokoške, hrana za svinje i kukuruzno stočno brašno sa teritorije opština Podgorice i Pljevlja </w:t>
      </w:r>
    </w:p>
    <w:p w:rsidR="00B65A71" w:rsidRPr="00790CC9" w:rsidRDefault="00B65A71" w:rsidP="00B65A71">
      <w:pPr>
        <w:rPr>
          <w:rFonts w:ascii="Constantia" w:hAnsi="Constantia"/>
        </w:rPr>
      </w:pPr>
      <w:r w:rsidRPr="00790CC9">
        <w:rPr>
          <w:rFonts w:ascii="Constantia" w:hAnsi="Constantia"/>
        </w:rPr>
        <w:t xml:space="preserve">Maksimalno dozvoljene specifične aktivnosti radionuklida u stočnoj hrani su propisane </w:t>
      </w:r>
      <w:r w:rsidR="00D34316">
        <w:rPr>
          <w:rFonts w:ascii="Constantia" w:hAnsi="Constantia"/>
        </w:rPr>
        <w:t>odredbama člana 19 Pravilnika</w:t>
      </w:r>
      <w:r w:rsidRPr="00790CC9">
        <w:rPr>
          <w:rFonts w:ascii="Constantia" w:hAnsi="Constantia"/>
        </w:rPr>
        <w:t xml:space="preserve"> o granicama kontaminacije životne sredine i o načinu sprovođenja dekontaminacije („Sl. list SRJ“ br. 9/99), koji definiše da granice radioaktivne kontaminacije stočne hrane i sirovina za izradu krmnih smješa treba da budu jednake sa granicama radioaktivne kontaminacije propisanim za ljudsku hranu.</w:t>
      </w:r>
    </w:p>
    <w:p w:rsidR="00B65A71" w:rsidRPr="00790CC9" w:rsidRDefault="00B65A71" w:rsidP="00B65A71">
      <w:pPr>
        <w:rPr>
          <w:rFonts w:ascii="Constantia" w:hAnsi="Constantia"/>
        </w:rPr>
      </w:pPr>
      <w:r w:rsidRPr="00790CC9">
        <w:rPr>
          <w:rFonts w:ascii="Constantia" w:hAnsi="Constantia"/>
        </w:rPr>
        <w:t xml:space="preserve">Pregled specifičnih aktivnosti analiziranih radionuklida sastavnih djelova stočne hrane je prikazan grafikonima </w:t>
      </w:r>
      <w:r w:rsidR="003C3A29" w:rsidRPr="00790CC9">
        <w:rPr>
          <w:rFonts w:ascii="Constantia" w:hAnsi="Constantia"/>
        </w:rPr>
        <w:t>103</w:t>
      </w:r>
      <w:r w:rsidRPr="00790CC9">
        <w:rPr>
          <w:rFonts w:ascii="Constantia" w:hAnsi="Constantia"/>
        </w:rPr>
        <w:t xml:space="preserve"> i </w:t>
      </w:r>
      <w:r w:rsidR="003C3A29" w:rsidRPr="00790CC9">
        <w:rPr>
          <w:rFonts w:ascii="Constantia" w:hAnsi="Constantia"/>
        </w:rPr>
        <w:t>104</w:t>
      </w:r>
      <w:r w:rsidRPr="00790CC9">
        <w:rPr>
          <w:rFonts w:ascii="Constantia" w:hAnsi="Constantia"/>
        </w:rPr>
        <w:t xml:space="preserve">. Evolucija radionuklida 40K i 137Cs, izvedenih analizom različitih uzoraka stočne hrane koja se koristi na teritoriji Crne Gore je prikazana na grafikonu </w:t>
      </w:r>
      <w:r w:rsidR="00C44B21" w:rsidRPr="00790CC9">
        <w:rPr>
          <w:rFonts w:ascii="Constantia" w:hAnsi="Constantia"/>
        </w:rPr>
        <w:t>104</w:t>
      </w:r>
      <w:r w:rsidRPr="00790CC9">
        <w:rPr>
          <w:rFonts w:ascii="Constantia" w:hAnsi="Constantia"/>
        </w:rPr>
        <w:t xml:space="preserve">, dok su rezultati vezani za  specifične aktivnosti 226Ra i 232Th prikazani odvojeno na grafikonu </w:t>
      </w:r>
      <w:r w:rsidR="00C44B21" w:rsidRPr="00790CC9">
        <w:rPr>
          <w:rFonts w:ascii="Constantia" w:hAnsi="Constantia"/>
        </w:rPr>
        <w:t>104</w:t>
      </w:r>
      <w:r w:rsidRPr="00790CC9">
        <w:rPr>
          <w:rFonts w:ascii="Constantia" w:hAnsi="Constantia"/>
        </w:rPr>
        <w:t>.</w:t>
      </w:r>
    </w:p>
    <w:p w:rsidR="00B65A71" w:rsidRPr="00790CC9" w:rsidRDefault="00B65A71" w:rsidP="00B65A71">
      <w:pPr>
        <w:rPr>
          <w:rFonts w:ascii="Constantia" w:hAnsi="Constantia"/>
        </w:rPr>
      </w:pPr>
      <w:r w:rsidRPr="00790CC9">
        <w:rPr>
          <w:rFonts w:ascii="Constantia" w:hAnsi="Constantia"/>
        </w:rPr>
        <w:lastRenderedPageBreak/>
        <w:t xml:space="preserve">Iz statistički obrađenih podataka prikazanih na grafikonu </w:t>
      </w:r>
      <w:r w:rsidR="00C44B21" w:rsidRPr="00790CC9">
        <w:rPr>
          <w:rFonts w:ascii="Constantia" w:hAnsi="Constantia"/>
        </w:rPr>
        <w:t>103</w:t>
      </w:r>
      <w:r w:rsidRPr="00790CC9">
        <w:rPr>
          <w:rFonts w:ascii="Constantia" w:hAnsi="Constantia"/>
        </w:rPr>
        <w:t xml:space="preserve"> se može zaključiti da su varijacije koncentracije  aktivnosti male, sa izuzetkom 137Cs mjerene u 2003.</w:t>
      </w:r>
    </w:p>
    <w:p w:rsidR="00B65A71" w:rsidRPr="00550596" w:rsidRDefault="00B65A71" w:rsidP="00B65A71">
      <w:pPr>
        <w:rPr>
          <w:rFonts w:ascii="Arial" w:hAnsi="Arial" w:cs="Arial"/>
          <w:color w:val="00B050"/>
          <w:szCs w:val="22"/>
          <w:lang w:val="sr-Latn-CS"/>
        </w:rPr>
      </w:pPr>
    </w:p>
    <w:p w:rsidR="00B65A71" w:rsidRPr="0000154C" w:rsidRDefault="00B65A71" w:rsidP="00B65A71">
      <w:pPr>
        <w:rPr>
          <w:rFonts w:ascii="Arial" w:hAnsi="Arial" w:cs="Arial"/>
          <w:szCs w:val="22"/>
          <w:lang w:val="sr-Latn-CS"/>
        </w:rPr>
      </w:pPr>
    </w:p>
    <w:p w:rsidR="00B65A71" w:rsidRPr="0000154C" w:rsidRDefault="00B65A71" w:rsidP="00B65A71">
      <w:pPr>
        <w:jc w:val="center"/>
        <w:rPr>
          <w:rFonts w:ascii="Arial" w:hAnsi="Arial" w:cs="Arial"/>
          <w:szCs w:val="22"/>
          <w:lang w:val="sr-Latn-CS"/>
        </w:rPr>
      </w:pPr>
      <w:r w:rsidRPr="0000154C">
        <w:rPr>
          <w:rFonts w:ascii="Arial" w:hAnsi="Arial" w:cs="Arial"/>
          <w:noProof/>
          <w:szCs w:val="22"/>
        </w:rPr>
        <w:drawing>
          <wp:inline distT="0" distB="0" distL="0" distR="0" wp14:anchorId="0141AF2D" wp14:editId="4FE9F47E">
            <wp:extent cx="4094328" cy="1371600"/>
            <wp:effectExtent l="0" t="0" r="0" b="0"/>
            <wp:docPr id="205"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9"/>
              </a:graphicData>
            </a:graphic>
          </wp:inline>
        </w:drawing>
      </w:r>
    </w:p>
    <w:p w:rsidR="003C3A29" w:rsidRPr="00A431AB" w:rsidRDefault="003C3A29" w:rsidP="00A431AB">
      <w:pPr>
        <w:pStyle w:val="Grafikon"/>
        <w:jc w:val="both"/>
        <w:rPr>
          <w:rFonts w:ascii="Constantia" w:hAnsi="Constantia"/>
          <w:sz w:val="22"/>
          <w:lang w:val="en-US"/>
        </w:rPr>
      </w:pPr>
      <w:r w:rsidRPr="00A431AB">
        <w:rPr>
          <w:rFonts w:ascii="Constantia" w:hAnsi="Constantia"/>
          <w:sz w:val="22"/>
          <w:lang w:val="en-US"/>
        </w:rPr>
        <w:t>Specifične  aktivnosti (Bq/kg) 40 K i 137Cs u stočnoj hrani, u periodu  2000 -2013. god., izvedene analizom uzoraka koji se koriste na teritoriji Crne Gore</w:t>
      </w:r>
    </w:p>
    <w:p w:rsidR="00B65A71" w:rsidRPr="0056459A" w:rsidRDefault="00B65A71" w:rsidP="00B65A71">
      <w:pPr>
        <w:pStyle w:val="Grafikon"/>
        <w:numPr>
          <w:ilvl w:val="0"/>
          <w:numId w:val="0"/>
        </w:numPr>
        <w:ind w:left="540" w:hanging="360"/>
        <w:jc w:val="both"/>
        <w:rPr>
          <w:rFonts w:ascii="Arial" w:hAnsi="Arial" w:cs="Arial"/>
          <w:sz w:val="22"/>
          <w:szCs w:val="22"/>
        </w:rPr>
      </w:pPr>
    </w:p>
    <w:p w:rsidR="00B65A71" w:rsidRPr="0000154C" w:rsidRDefault="00B65A71" w:rsidP="00B65A71">
      <w:pPr>
        <w:jc w:val="center"/>
        <w:rPr>
          <w:rFonts w:ascii="Arial" w:hAnsi="Arial" w:cs="Arial"/>
          <w:szCs w:val="22"/>
          <w:lang w:val="sr-Latn-CS"/>
        </w:rPr>
      </w:pPr>
      <w:r w:rsidRPr="0000154C">
        <w:rPr>
          <w:rFonts w:ascii="Arial" w:hAnsi="Arial" w:cs="Arial"/>
          <w:noProof/>
          <w:szCs w:val="22"/>
        </w:rPr>
        <w:drawing>
          <wp:inline distT="0" distB="0" distL="0" distR="0" wp14:anchorId="5D555783" wp14:editId="2E0B3035">
            <wp:extent cx="4829175" cy="2867025"/>
            <wp:effectExtent l="0" t="0" r="0" b="0"/>
            <wp:docPr id="206"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0"/>
              </a:graphicData>
            </a:graphic>
          </wp:inline>
        </w:drawing>
      </w:r>
    </w:p>
    <w:p w:rsidR="00B65A71" w:rsidRPr="00A431AB" w:rsidRDefault="00233D06" w:rsidP="00A431AB">
      <w:pPr>
        <w:pStyle w:val="Grafikon"/>
        <w:jc w:val="both"/>
        <w:rPr>
          <w:rFonts w:ascii="Constantia" w:hAnsi="Constantia"/>
          <w:sz w:val="22"/>
          <w:lang w:val="en-US"/>
        </w:rPr>
      </w:pPr>
      <w:r w:rsidRPr="00A431AB">
        <w:rPr>
          <w:rFonts w:ascii="Constantia" w:hAnsi="Constantia"/>
          <w:sz w:val="22"/>
          <w:lang w:val="en-US"/>
        </w:rPr>
        <w:t xml:space="preserve">Specifične aktivnosti  (Bq/kg) radionuklida 226Ra-226 i 232Th u stočnoj hrani, u  periodu 2000 - 2013. god.,  izvedene analizom uzoraka koji se koriste na teritoriji Crne Gore </w:t>
      </w:r>
    </w:p>
    <w:p w:rsidR="00B65A71" w:rsidRPr="00790CC9" w:rsidRDefault="00B65A71" w:rsidP="00B65A71">
      <w:pPr>
        <w:rPr>
          <w:rFonts w:ascii="Constantia" w:hAnsi="Constantia"/>
        </w:rPr>
      </w:pPr>
      <w:r w:rsidRPr="00790CC9">
        <w:rPr>
          <w:rFonts w:ascii="Constantia" w:hAnsi="Constantia"/>
        </w:rPr>
        <w:t xml:space="preserve">Na grafikonu </w:t>
      </w:r>
      <w:r w:rsidR="00233D06" w:rsidRPr="00790CC9">
        <w:rPr>
          <w:rFonts w:ascii="Constantia" w:hAnsi="Constantia"/>
        </w:rPr>
        <w:t>104</w:t>
      </w:r>
      <w:r w:rsidRPr="00790CC9">
        <w:rPr>
          <w:rFonts w:ascii="Constantia" w:hAnsi="Constantia"/>
        </w:rPr>
        <w:t xml:space="preserve"> su prikazani rezultati specifičnih aktivnosti 226Ra i 232Th u stočnoj hrani, izvedeni na osnovu statistički obrađenih podataka sakupljenih u periodu 2000 - 2013. godine. Varijacije mjerenih vrijednosti  su relativno male sa izuzetkom  226Ra izmjerenih u 2004. godini. Kao i u slučaju ljudske hrane, specifične aktivnosti  40K, su dominantne u odnosu na specifične aktivnosti ostalih radionuklida sastavnih djelova stočne hrane. </w:t>
      </w:r>
    </w:p>
    <w:p w:rsidR="00B65A71" w:rsidRPr="000E1856" w:rsidRDefault="00B65A71" w:rsidP="00233D06">
      <w:pPr>
        <w:rPr>
          <w:rFonts w:ascii="Constantia" w:hAnsi="Constantia"/>
          <w:b/>
        </w:rPr>
      </w:pPr>
      <w:r w:rsidRPr="00790CC9">
        <w:rPr>
          <w:rFonts w:ascii="Constantia" w:hAnsi="Constantia"/>
          <w:b/>
        </w:rPr>
        <w:t>Zaključak:</w:t>
      </w:r>
      <w:r w:rsidRPr="00790CC9">
        <w:rPr>
          <w:rFonts w:ascii="Constantia" w:hAnsi="Constantia"/>
        </w:rPr>
        <w:t xml:space="preserve"> </w:t>
      </w:r>
      <w:r w:rsidRPr="000E1856">
        <w:rPr>
          <w:rFonts w:ascii="Constantia" w:hAnsi="Constantia"/>
          <w:b/>
        </w:rPr>
        <w:t>Ukoliko bi se GGU podijelile sa masama hrane koju stoka konzumira za godinu dana dobile bi se nerealno niske vrijednosti maksimalno dozvoljenog nivoa kontaminacije, odnosno izvedenih koncentracija (IK), pa  stoga princip proračuna ove veličine ne može uzeti isti kao kod  proračuna za ljudsku hranu.</w:t>
      </w:r>
    </w:p>
    <w:p w:rsidR="00233D06" w:rsidRPr="00790CC9" w:rsidRDefault="00B65A71" w:rsidP="00233D06">
      <w:pPr>
        <w:rPr>
          <w:rFonts w:ascii="Constantia" w:hAnsi="Constantia"/>
        </w:rPr>
      </w:pPr>
      <w:r w:rsidRPr="00790CC9">
        <w:rPr>
          <w:rFonts w:ascii="Constantia" w:hAnsi="Constantia"/>
        </w:rPr>
        <w:t xml:space="preserve">Upoređivanjem vrijednosti specifičnih koncentracija sličnih uzoraka stočne hrane iz zemalja u okruženju, prije svega naših susjeda  (npr. </w:t>
      </w:r>
      <w:r w:rsidR="000E1856">
        <w:rPr>
          <w:rFonts w:ascii="Constantia" w:hAnsi="Constantia"/>
        </w:rPr>
        <w:t xml:space="preserve">Republika </w:t>
      </w:r>
      <w:r w:rsidRPr="00790CC9">
        <w:rPr>
          <w:rFonts w:ascii="Constantia" w:hAnsi="Constantia"/>
        </w:rPr>
        <w:t xml:space="preserve">Srbija), može se utvrditi da se radi o sličnim vrijednostima specifičnih koncentracija analiziranih radionuklida u stočnoj hrani. Osim toga i sama činjenica da se u Crnoj Gori konzumira meso koje je radiološki ispravno </w:t>
      </w:r>
      <w:r w:rsidRPr="00790CC9">
        <w:rPr>
          <w:rFonts w:ascii="Constantia" w:hAnsi="Constantia"/>
        </w:rPr>
        <w:lastRenderedPageBreak/>
        <w:t xml:space="preserve">navodi nas na to da slobodno možemo potvrditi prethodno definisan zaključak koji se odnosi na radiološku ispravnost stočne hrane. </w:t>
      </w:r>
    </w:p>
    <w:p w:rsidR="00B65A71" w:rsidRPr="00790CC9" w:rsidRDefault="00233D06" w:rsidP="008315C2">
      <w:pPr>
        <w:pStyle w:val="Heading2"/>
        <w:numPr>
          <w:ilvl w:val="1"/>
          <w:numId w:val="52"/>
        </w:numPr>
        <w:ind w:left="851" w:hanging="851"/>
      </w:pPr>
      <w:bookmarkStart w:id="332" w:name="_Toc393897964"/>
      <w:r w:rsidRPr="00790CC9">
        <w:t>ZAKLJUČCI</w:t>
      </w:r>
      <w:bookmarkEnd w:id="332"/>
    </w:p>
    <w:p w:rsidR="00E7635D" w:rsidRPr="00790CC9" w:rsidRDefault="00B65A71" w:rsidP="00E7635D">
      <w:pPr>
        <w:pStyle w:val="Tabele"/>
        <w:numPr>
          <w:ilvl w:val="0"/>
          <w:numId w:val="0"/>
        </w:numPr>
        <w:jc w:val="both"/>
        <w:rPr>
          <w:rFonts w:ascii="Constantia" w:hAnsi="Constantia"/>
          <w:b/>
          <w:i w:val="0"/>
          <w:sz w:val="22"/>
          <w:lang w:val="en-US"/>
        </w:rPr>
      </w:pPr>
      <w:r w:rsidRPr="00790CC9">
        <w:rPr>
          <w:rFonts w:ascii="Constantia" w:hAnsi="Constantia"/>
          <w:b/>
          <w:i w:val="0"/>
          <w:sz w:val="22"/>
          <w:lang w:val="en-US"/>
        </w:rPr>
        <w:t>Koncentracija analiziranih radionuklida u  svim segmentima životne sredine, kao i u hrani i vodi za piće kretala</w:t>
      </w:r>
      <w:r w:rsidR="005C57BA">
        <w:rPr>
          <w:rFonts w:ascii="Constantia" w:hAnsi="Constantia"/>
          <w:b/>
          <w:i w:val="0"/>
          <w:sz w:val="22"/>
          <w:lang w:val="en-US"/>
        </w:rPr>
        <w:t xml:space="preserve"> se</w:t>
      </w:r>
      <w:r w:rsidRPr="00790CC9">
        <w:rPr>
          <w:rFonts w:ascii="Constantia" w:hAnsi="Constantia"/>
          <w:b/>
          <w:i w:val="0"/>
          <w:sz w:val="22"/>
          <w:lang w:val="en-US"/>
        </w:rPr>
        <w:t xml:space="preserve"> u istim granicama kao i prošlih godina</w:t>
      </w:r>
      <w:r w:rsidR="005C57BA">
        <w:rPr>
          <w:rFonts w:ascii="Constantia" w:hAnsi="Constantia"/>
          <w:b/>
          <w:i w:val="0"/>
          <w:sz w:val="22"/>
          <w:lang w:val="en-US"/>
        </w:rPr>
        <w:t>,</w:t>
      </w:r>
      <w:r w:rsidRPr="00790CC9">
        <w:rPr>
          <w:rFonts w:ascii="Constantia" w:hAnsi="Constantia"/>
          <w:b/>
          <w:i w:val="0"/>
          <w:sz w:val="22"/>
          <w:lang w:val="en-US"/>
        </w:rPr>
        <w:t xml:space="preserve"> tj. u dozvoljenim</w:t>
      </w:r>
      <w:r w:rsidR="005C57BA">
        <w:rPr>
          <w:rFonts w:ascii="Constantia" w:hAnsi="Constantia"/>
          <w:b/>
          <w:i w:val="0"/>
          <w:sz w:val="22"/>
          <w:lang w:val="en-US"/>
        </w:rPr>
        <w:t xml:space="preserve"> propisanim </w:t>
      </w:r>
      <w:r w:rsidRPr="00790CC9">
        <w:rPr>
          <w:rFonts w:ascii="Constantia" w:hAnsi="Constantia"/>
          <w:b/>
          <w:i w:val="0"/>
          <w:sz w:val="22"/>
          <w:lang w:val="en-US"/>
        </w:rPr>
        <w:t xml:space="preserve"> granicama. Osim toga na teritoriji Crne Gore, a ni van njenih granica,  nije  bilo nuklearnih/radioloških akcidenata/incidenata koje su mogle ugroziti naše stanovništvo i stoga se zaključuje da stanovništvo Crne Gore nije bilo prekomjerno radiološki opterećeno u toku 2013. godine. Poznato je (na osnovu praksi drugih evropskih zemalja koje smo analizirali, a i na osnovu sopstvenog petogodiš</w:t>
      </w:r>
      <w:r w:rsidR="005C57BA">
        <w:rPr>
          <w:rFonts w:ascii="Constantia" w:hAnsi="Constantia"/>
          <w:b/>
          <w:i w:val="0"/>
          <w:sz w:val="22"/>
          <w:lang w:val="en-US"/>
        </w:rPr>
        <w:t>njeg iskustva) da ukoliko se na godišnjem nivou</w:t>
      </w:r>
      <w:r w:rsidRPr="00790CC9">
        <w:rPr>
          <w:rFonts w:ascii="Constantia" w:hAnsi="Constantia"/>
          <w:b/>
          <w:i w:val="0"/>
          <w:sz w:val="22"/>
          <w:lang w:val="en-US"/>
        </w:rPr>
        <w:t xml:space="preserve"> ne uočavaju značajne promjene u koncentracijama aktivnosti radionuklida u analiziranim uzorcima, procjenu efektivnih doza ne treba raditi svake godine. Bolja percepcija radiološke opterećenosti se dobija nakon analize rezultata, u smislu proračuna efektivnih doza, nakon određenog vremenskog ciklusa (od četiri ili pet godina npr.)   </w:t>
      </w:r>
    </w:p>
    <w:p w:rsidR="00E7635D" w:rsidRPr="00790CC9" w:rsidRDefault="00B65A71" w:rsidP="00E7635D">
      <w:pPr>
        <w:pStyle w:val="Tabele"/>
        <w:numPr>
          <w:ilvl w:val="0"/>
          <w:numId w:val="0"/>
        </w:numPr>
        <w:jc w:val="both"/>
        <w:rPr>
          <w:rFonts w:ascii="Constantia" w:hAnsi="Constantia"/>
          <w:b/>
          <w:i w:val="0"/>
          <w:sz w:val="22"/>
          <w:lang w:val="en-US"/>
        </w:rPr>
      </w:pPr>
      <w:r w:rsidRPr="00790CC9">
        <w:rPr>
          <w:rFonts w:ascii="Constantia" w:hAnsi="Constantia"/>
          <w:b/>
          <w:i w:val="0"/>
          <w:sz w:val="22"/>
          <w:lang w:val="en-US"/>
        </w:rPr>
        <w:t>Osim toga za Crnu Goru je veoma važno imati na umu da je vrijednost ukupne efektivne doze za pojedinca starijeg od 17 godina, najvećim dijelom, tj sa skoro 70%, rezultat inhalacije gasa radona. Tek nakon završetka radonske mape dobiće se informacija o  srednjoj  godišnjoj koncentracija aktivnosti radona u boravišnim prostorijama na cijeloj teritoriji  Crne Gore i ona će biti glavni podatak na osnovu koga će se uraditi realnija nego do sada procjena radiološkog o</w:t>
      </w:r>
      <w:r w:rsidR="005C57BA">
        <w:rPr>
          <w:rFonts w:ascii="Constantia" w:hAnsi="Constantia"/>
          <w:b/>
          <w:i w:val="0"/>
          <w:sz w:val="22"/>
          <w:lang w:val="en-US"/>
        </w:rPr>
        <w:t>pterećenja našeg stanovništva, odnosno</w:t>
      </w:r>
      <w:r w:rsidRPr="00790CC9">
        <w:rPr>
          <w:rFonts w:ascii="Constantia" w:hAnsi="Constantia"/>
          <w:b/>
          <w:i w:val="0"/>
          <w:sz w:val="22"/>
          <w:lang w:val="en-US"/>
        </w:rPr>
        <w:t xml:space="preserve"> ukupna efektivna doza.  </w:t>
      </w:r>
    </w:p>
    <w:p w:rsidR="00B65A71" w:rsidRPr="00790CC9" w:rsidRDefault="00B65A71" w:rsidP="00E7635D">
      <w:pPr>
        <w:pStyle w:val="Tabele"/>
        <w:numPr>
          <w:ilvl w:val="0"/>
          <w:numId w:val="0"/>
        </w:numPr>
        <w:jc w:val="both"/>
        <w:rPr>
          <w:rFonts w:ascii="Constantia" w:hAnsi="Constantia"/>
          <w:b/>
          <w:i w:val="0"/>
          <w:sz w:val="22"/>
          <w:lang w:val="en-US"/>
        </w:rPr>
      </w:pPr>
      <w:r w:rsidRPr="00790CC9">
        <w:rPr>
          <w:rFonts w:ascii="Constantia" w:hAnsi="Constantia"/>
          <w:b/>
          <w:i w:val="0"/>
          <w:sz w:val="22"/>
          <w:lang w:val="en-US"/>
        </w:rPr>
        <w:t>Sve prethodno navedeno u ovom zaključku su razlozi zašto u Izvještaju ove godine nije dat proračun efektivnih doza (osim procjene godišnje efektivne doze na osnovu srednje vrijednosti koncentracije aktivnosti radona do sada realizovane radonske mape).</w:t>
      </w:r>
    </w:p>
    <w:p w:rsidR="00E7635D" w:rsidRDefault="00E7635D" w:rsidP="00E7635D">
      <w:pPr>
        <w:pStyle w:val="Tabele"/>
        <w:numPr>
          <w:ilvl w:val="0"/>
          <w:numId w:val="0"/>
        </w:numPr>
        <w:jc w:val="both"/>
        <w:rPr>
          <w:rFonts w:ascii="Arial" w:hAnsi="Arial" w:cs="Arial"/>
          <w:b/>
          <w:i w:val="0"/>
          <w:sz w:val="22"/>
          <w:szCs w:val="22"/>
        </w:rPr>
      </w:pPr>
    </w:p>
    <w:p w:rsidR="00E7635D" w:rsidRDefault="00E7635D" w:rsidP="00E7635D">
      <w:pPr>
        <w:pStyle w:val="Tabele"/>
        <w:numPr>
          <w:ilvl w:val="0"/>
          <w:numId w:val="0"/>
        </w:numPr>
        <w:jc w:val="both"/>
        <w:rPr>
          <w:rFonts w:ascii="Arial" w:hAnsi="Arial" w:cs="Arial"/>
          <w:b/>
          <w:i w:val="0"/>
          <w:sz w:val="22"/>
          <w:szCs w:val="22"/>
        </w:rPr>
      </w:pPr>
    </w:p>
    <w:p w:rsidR="00E7635D" w:rsidRDefault="00E7635D" w:rsidP="00E7635D">
      <w:pPr>
        <w:pStyle w:val="Tabele"/>
        <w:numPr>
          <w:ilvl w:val="0"/>
          <w:numId w:val="0"/>
        </w:numPr>
        <w:jc w:val="both"/>
        <w:rPr>
          <w:rFonts w:ascii="Arial" w:hAnsi="Arial" w:cs="Arial"/>
          <w:b/>
          <w:i w:val="0"/>
          <w:sz w:val="22"/>
          <w:szCs w:val="22"/>
        </w:rPr>
      </w:pPr>
    </w:p>
    <w:p w:rsidR="00E7635D" w:rsidRPr="00E7635D" w:rsidRDefault="00E7635D" w:rsidP="00E7635D">
      <w:pPr>
        <w:pStyle w:val="Tabele"/>
        <w:numPr>
          <w:ilvl w:val="0"/>
          <w:numId w:val="0"/>
        </w:numPr>
        <w:jc w:val="both"/>
        <w:rPr>
          <w:rFonts w:ascii="Arial" w:hAnsi="Arial" w:cs="Arial"/>
          <w:b/>
          <w:i w:val="0"/>
          <w:sz w:val="22"/>
          <w:szCs w:val="22"/>
        </w:rPr>
      </w:pPr>
    </w:p>
    <w:p w:rsidR="00B65A71" w:rsidRPr="00C90FC6" w:rsidRDefault="00B65A71" w:rsidP="00B65A71">
      <w:pPr>
        <w:rPr>
          <w:b/>
          <w:lang w:val="sr-Latn-CS"/>
        </w:rPr>
      </w:pPr>
    </w:p>
    <w:p w:rsidR="00E7635D" w:rsidRPr="005E4028" w:rsidRDefault="00E7635D" w:rsidP="00E7635D">
      <w:pPr>
        <w:pStyle w:val="Grafikon"/>
        <w:numPr>
          <w:ilvl w:val="0"/>
          <w:numId w:val="0"/>
        </w:numPr>
        <w:spacing w:line="276" w:lineRule="auto"/>
        <w:rPr>
          <w:rFonts w:ascii="Constantia" w:eastAsia="Calibri" w:hAnsi="Constantia"/>
          <w:i w:val="0"/>
          <w:sz w:val="22"/>
          <w:szCs w:val="22"/>
        </w:rPr>
      </w:pPr>
      <w:r>
        <w:rPr>
          <w:rFonts w:ascii="Constantia" w:eastAsia="Calibri" w:hAnsi="Constantia"/>
          <w:i w:val="0"/>
          <w:sz w:val="22"/>
          <w:szCs w:val="22"/>
        </w:rPr>
        <w:t>*</w:t>
      </w:r>
      <w:r>
        <w:rPr>
          <w:rFonts w:ascii="Constantia" w:eastAsia="Calibri" w:hAnsi="Constantia"/>
          <w:i w:val="0"/>
          <w:sz w:val="22"/>
          <w:szCs w:val="22"/>
        </w:rPr>
        <w:tab/>
        <w:t>*           *</w:t>
      </w:r>
    </w:p>
    <w:p w:rsidR="009A662C" w:rsidRPr="00EB3E54" w:rsidRDefault="009A662C" w:rsidP="009A662C">
      <w:pPr>
        <w:jc w:val="center"/>
      </w:pPr>
    </w:p>
    <w:bookmarkEnd w:id="21"/>
    <w:p w:rsidR="00A431AB" w:rsidRDefault="00A431AB" w:rsidP="00A431AB">
      <w:pPr>
        <w:rPr>
          <w:rFonts w:ascii="Constantia" w:hAnsi="Constantia"/>
          <w:lang w:val="sr-Latn-CS"/>
        </w:rPr>
      </w:pPr>
    </w:p>
    <w:p w:rsidR="00A431AB" w:rsidRPr="000240B7" w:rsidRDefault="00A431AB" w:rsidP="00A431AB">
      <w:pPr>
        <w:rPr>
          <w:rFonts w:ascii="Constantia" w:hAnsi="Constantia"/>
          <w:lang w:val="sr-Latn-CS"/>
        </w:rPr>
      </w:pPr>
    </w:p>
    <w:p w:rsidR="003A3422" w:rsidRDefault="003A3422" w:rsidP="00461D40">
      <w:pPr>
        <w:pStyle w:val="Grafikon"/>
        <w:numPr>
          <w:ilvl w:val="0"/>
          <w:numId w:val="0"/>
        </w:numPr>
        <w:spacing w:line="276" w:lineRule="auto"/>
        <w:rPr>
          <w:rFonts w:ascii="Constantia" w:eastAsia="Calibri" w:hAnsi="Constantia"/>
          <w:i w:val="0"/>
          <w:sz w:val="22"/>
          <w:szCs w:val="22"/>
        </w:rPr>
      </w:pPr>
    </w:p>
    <w:p w:rsidR="003A3422" w:rsidRPr="009D3120" w:rsidRDefault="003A3422" w:rsidP="00461D40">
      <w:pPr>
        <w:pStyle w:val="Grafikon"/>
        <w:numPr>
          <w:ilvl w:val="0"/>
          <w:numId w:val="0"/>
        </w:numPr>
        <w:spacing w:line="276" w:lineRule="auto"/>
        <w:rPr>
          <w:rFonts w:ascii="Constantia" w:hAnsi="Constantia"/>
          <w:sz w:val="22"/>
          <w:szCs w:val="22"/>
        </w:rPr>
      </w:pPr>
    </w:p>
    <w:p w:rsidR="00912E35" w:rsidRDefault="00912E35" w:rsidP="008315C2">
      <w:pPr>
        <w:pStyle w:val="Heading1"/>
        <w:numPr>
          <w:ilvl w:val="0"/>
          <w:numId w:val="52"/>
        </w:numPr>
        <w:spacing w:before="0"/>
        <w:ind w:left="0" w:firstLine="0"/>
      </w:pPr>
      <w:bookmarkStart w:id="333" w:name="_Toc362938364"/>
      <w:bookmarkStart w:id="334" w:name="_Toc362938384"/>
      <w:bookmarkStart w:id="335" w:name="_Toc393897965"/>
      <w:r w:rsidRPr="005E4028">
        <w:lastRenderedPageBreak/>
        <w:t>Sektorski pritisci na životnu sredinu</w:t>
      </w:r>
      <w:bookmarkEnd w:id="333"/>
      <w:bookmarkEnd w:id="335"/>
    </w:p>
    <w:p w:rsidR="00912E35" w:rsidRPr="00234B9E" w:rsidRDefault="00912E35" w:rsidP="008315C2">
      <w:pPr>
        <w:pStyle w:val="Heading2"/>
        <w:numPr>
          <w:ilvl w:val="1"/>
          <w:numId w:val="52"/>
        </w:numPr>
        <w:tabs>
          <w:tab w:val="clear" w:pos="851"/>
          <w:tab w:val="left" w:pos="540"/>
        </w:tabs>
        <w:ind w:left="720"/>
      </w:pPr>
      <w:bookmarkStart w:id="336" w:name="_Toc294541930"/>
      <w:bookmarkStart w:id="337" w:name="_Toc362938366"/>
      <w:bookmarkStart w:id="338" w:name="_Toc362938365"/>
      <w:bookmarkStart w:id="339" w:name="_Toc393897966"/>
      <w:r w:rsidRPr="00234B9E">
        <w:t>Sektorski</w:t>
      </w:r>
      <w:r w:rsidRPr="00032E1D">
        <w:t xml:space="preserve"> pritisci</w:t>
      </w:r>
      <w:bookmarkEnd w:id="336"/>
      <w:bookmarkEnd w:id="337"/>
      <w:bookmarkEnd w:id="339"/>
    </w:p>
    <w:p w:rsidR="00912E35" w:rsidRPr="008F6252" w:rsidRDefault="00912E35" w:rsidP="00727E60">
      <w:pPr>
        <w:rPr>
          <w:rFonts w:ascii="Constantia" w:hAnsi="Constantia"/>
          <w:szCs w:val="22"/>
        </w:rPr>
      </w:pPr>
      <w:r w:rsidRPr="008F6252">
        <w:rPr>
          <w:rFonts w:ascii="Constantia" w:hAnsi="Constantia"/>
          <w:szCs w:val="22"/>
        </w:rPr>
        <w:t>Čovjek djeluje na okolinu svim svojim aktivnostima: korišćenjem prostora, korišćenjem resursa, zadovoljavanjem svojih ličnih, socijalnih i privrednih potreba. Sve aktivnosti koje čovjek svakodnevno sprovodi imaju različite efekte na životnu sredinu. Samo korišćenje prostora i njegovo modifikovanje za osnovne potrebe stanovnika pored uticaja na prirodnu ravnotežu djeluje i na njihovo zdravlje.</w:t>
      </w:r>
    </w:p>
    <w:p w:rsidR="00912E35" w:rsidRPr="008F6252" w:rsidRDefault="00912E35" w:rsidP="00727E60">
      <w:pPr>
        <w:rPr>
          <w:rFonts w:ascii="Constantia" w:hAnsi="Constantia"/>
          <w:szCs w:val="22"/>
        </w:rPr>
      </w:pPr>
      <w:r w:rsidRPr="008F6252">
        <w:rPr>
          <w:rFonts w:ascii="Constantia" w:hAnsi="Constantia"/>
          <w:szCs w:val="22"/>
        </w:rPr>
        <w:t>Da bi se ovi uticaji mogli procijeniti i njihove posljedice predvidjeti moraju se izdvojiti i identifikovati sektori koji vrše konstantan pritisak na životnu sredinu. Neki od ovih sektora kao što su energetika, saobraćaj i industrija, vrše direktan pritisak na prirodu, dok drugi, kao što su poljoprivreda, šumarstvo ili ribarstvo su u suprotnoj poziciji</w:t>
      </w:r>
      <w:r w:rsidR="00155766" w:rsidRPr="008F6252">
        <w:rPr>
          <w:rFonts w:ascii="Constantia" w:hAnsi="Constantia"/>
          <w:szCs w:val="22"/>
        </w:rPr>
        <w:t>,</w:t>
      </w:r>
      <w:r w:rsidRPr="008F6252">
        <w:rPr>
          <w:rFonts w:ascii="Constantia" w:hAnsi="Constantia"/>
          <w:szCs w:val="22"/>
        </w:rPr>
        <w:t xml:space="preserve"> jer direktno zavise od stanja životne sredine. Turizam je relativno kasno prepoznat kao pritisak i pridaje mu se značaj tek u poslednje vrijeme. </w:t>
      </w:r>
    </w:p>
    <w:p w:rsidR="00912E35" w:rsidRPr="008F6252" w:rsidRDefault="00912E35" w:rsidP="00727E60">
      <w:pPr>
        <w:rPr>
          <w:rStyle w:val="Strong"/>
          <w:rFonts w:ascii="Constantia" w:hAnsi="Constantia" w:cs="Arial"/>
          <w:b w:val="0"/>
          <w:bCs w:val="0"/>
          <w:color w:val="000000"/>
          <w:szCs w:val="22"/>
        </w:rPr>
      </w:pPr>
      <w:r w:rsidRPr="008F6252">
        <w:rPr>
          <w:rFonts w:ascii="Constantia" w:hAnsi="Constantia"/>
          <w:szCs w:val="22"/>
        </w:rPr>
        <w:t xml:space="preserve">Sagledavanje uticaja pojedinog sektora u cjelini na okolinu  ima najvieću  prednost sa stanovišta planiranja i izrade strateških razvojnih dokumenata tih sektora. Za sveobuhvatan opis i razumijevanje pritisaka na okolinu, osim uticaja pojedinih sektora, </w:t>
      </w:r>
      <w:r w:rsidRPr="008F6252">
        <w:rPr>
          <w:rFonts w:ascii="Constantia" w:hAnsi="Constantia" w:cs="Arial"/>
          <w:szCs w:val="22"/>
        </w:rPr>
        <w:t>va</w:t>
      </w:r>
      <w:r w:rsidRPr="008F6252">
        <w:rPr>
          <w:rFonts w:ascii="Constantia" w:hAnsi="Constantia" w:cs="Arial"/>
          <w:szCs w:val="22"/>
          <w:lang w:val="sr-Latn-CS"/>
        </w:rPr>
        <w:t>žno je sagledati područja u kojima dolazi do složenih preklapanja i koji su pod uticajem više različitih sektora</w:t>
      </w:r>
      <w:r w:rsidRPr="008F6252">
        <w:rPr>
          <w:rFonts w:ascii="Constantia" w:hAnsi="Constantia"/>
          <w:szCs w:val="22"/>
          <w:lang w:val="sr-Latn-CS"/>
        </w:rPr>
        <w:t>.</w:t>
      </w:r>
    </w:p>
    <w:p w:rsidR="00912E35" w:rsidRPr="008A17C5" w:rsidRDefault="00912E35" w:rsidP="008315C2">
      <w:pPr>
        <w:pStyle w:val="Heading2"/>
        <w:numPr>
          <w:ilvl w:val="1"/>
          <w:numId w:val="52"/>
        </w:numPr>
        <w:ind w:left="720"/>
      </w:pPr>
      <w:r>
        <w:rPr>
          <w:rStyle w:val="Strong"/>
          <w:rFonts w:ascii="Constantia" w:hAnsi="Constantia"/>
        </w:rPr>
        <w:tab/>
      </w:r>
      <w:bookmarkStart w:id="340" w:name="_Toc393897967"/>
      <w:r w:rsidRPr="00234B9E">
        <w:rPr>
          <w:rStyle w:val="Strong"/>
          <w:b w:val="0"/>
          <w:bCs/>
        </w:rPr>
        <w:t>Indikatorski</w:t>
      </w:r>
      <w:r w:rsidR="000B3D21">
        <w:rPr>
          <w:rStyle w:val="Strong"/>
          <w:b w:val="0"/>
          <w:bCs/>
        </w:rPr>
        <w:t xml:space="preserve"> prikaz</w:t>
      </w:r>
      <w:bookmarkEnd w:id="338"/>
      <w:bookmarkEnd w:id="340"/>
      <w:r>
        <w:tab/>
      </w:r>
    </w:p>
    <w:p w:rsidR="00912E35" w:rsidRDefault="00912E35" w:rsidP="00727E60">
      <w:pPr>
        <w:rPr>
          <w:rFonts w:ascii="Constantia" w:hAnsi="Constantia" w:cs="Arial"/>
          <w:lang w:val="sr-Latn-CS"/>
        </w:rPr>
      </w:pPr>
      <w:r>
        <w:rPr>
          <w:rFonts w:ascii="Constantia" w:hAnsi="Constantia"/>
          <w:lang w:val="sr-Latn-CS"/>
        </w:rPr>
        <w:t>Vlada</w:t>
      </w:r>
      <w:r w:rsidRPr="00897A69">
        <w:rPr>
          <w:rFonts w:ascii="Constantia" w:hAnsi="Constantia"/>
          <w:lang w:val="sr-Latn-CS"/>
        </w:rPr>
        <w:t xml:space="preserve"> Crne Gore </w:t>
      </w:r>
      <w:r>
        <w:rPr>
          <w:rFonts w:ascii="Constantia" w:hAnsi="Constantia"/>
          <w:lang w:val="sr-Latn-CS"/>
        </w:rPr>
        <w:t xml:space="preserve">je na sjednici održanoj </w:t>
      </w:r>
      <w:r w:rsidR="000D3AB1">
        <w:rPr>
          <w:rFonts w:ascii="Constantia" w:hAnsi="Constantia"/>
          <w:lang w:val="sr-Latn-CS"/>
        </w:rPr>
        <w:t>14.03.</w:t>
      </w:r>
      <w:r w:rsidRPr="00897A69">
        <w:rPr>
          <w:rFonts w:ascii="Constantia" w:hAnsi="Constantia"/>
          <w:lang w:val="sr-Latn-CS"/>
        </w:rPr>
        <w:t>2013.</w:t>
      </w:r>
      <w:r w:rsidR="000D3AB1">
        <w:rPr>
          <w:rFonts w:ascii="Constantia" w:hAnsi="Constantia"/>
          <w:lang w:val="sr-Latn-CS"/>
        </w:rPr>
        <w:t xml:space="preserve"> godine</w:t>
      </w:r>
      <w:r w:rsidRPr="00897A69">
        <w:rPr>
          <w:rFonts w:ascii="Constantia" w:hAnsi="Constantia"/>
          <w:lang w:val="sr-Latn-CS"/>
        </w:rPr>
        <w:t xml:space="preserve"> </w:t>
      </w:r>
      <w:r>
        <w:rPr>
          <w:rFonts w:ascii="Constantia" w:hAnsi="Constantia"/>
          <w:lang w:val="sr-Latn-CS"/>
        </w:rPr>
        <w:t>usvojila Uredbu o Nacionalnoj listi</w:t>
      </w:r>
      <w:r w:rsidRPr="00897A69">
        <w:rPr>
          <w:rFonts w:ascii="Constantia" w:hAnsi="Constantia"/>
          <w:lang w:val="sr-Latn-CS"/>
        </w:rPr>
        <w:t xml:space="preserve"> indikatora zaštite životne sredine Crne Gore </w:t>
      </w:r>
      <w:r>
        <w:rPr>
          <w:rFonts w:ascii="Constantia" w:hAnsi="Constantia"/>
          <w:lang w:val="sr-Latn-CS"/>
        </w:rPr>
        <w:t>(</w:t>
      </w:r>
      <w:r w:rsidR="000D3AB1">
        <w:rPr>
          <w:rFonts w:ascii="Constantia" w:hAnsi="Constantia"/>
          <w:lang w:val="sr-Latn-CS"/>
        </w:rPr>
        <w:t>„</w:t>
      </w:r>
      <w:r>
        <w:rPr>
          <w:rFonts w:ascii="Constantia" w:hAnsi="Constantia"/>
          <w:lang w:val="sr-Latn-CS"/>
        </w:rPr>
        <w:t>Sl. list</w:t>
      </w:r>
      <w:r w:rsidRPr="00895789">
        <w:rPr>
          <w:rFonts w:ascii="Constantia" w:hAnsi="Constantia"/>
          <w:lang w:val="sr-Latn-CS"/>
        </w:rPr>
        <w:t xml:space="preserve"> </w:t>
      </w:r>
      <w:r w:rsidR="000D3AB1">
        <w:rPr>
          <w:rFonts w:ascii="Constantia" w:hAnsi="Constantia"/>
          <w:lang w:val="sr-Latn-CS"/>
        </w:rPr>
        <w:t xml:space="preserve">CG“, </w:t>
      </w:r>
      <w:r w:rsidRPr="00895789">
        <w:rPr>
          <w:rFonts w:ascii="Constantia" w:hAnsi="Constantia"/>
          <w:lang w:val="sr-Latn-CS"/>
        </w:rPr>
        <w:t>br. 19/2013</w:t>
      </w:r>
      <w:r>
        <w:rPr>
          <w:rFonts w:ascii="Constantia" w:hAnsi="Constantia"/>
          <w:lang w:val="sr-Latn-CS"/>
        </w:rPr>
        <w:t>)</w:t>
      </w:r>
      <w:r w:rsidRPr="00895789">
        <w:rPr>
          <w:rFonts w:ascii="Constantia" w:hAnsi="Constantia"/>
          <w:lang w:val="sr-Latn-CS"/>
        </w:rPr>
        <w:t>. Na toj listi se nalazi ukupno 55</w:t>
      </w:r>
      <w:r>
        <w:rPr>
          <w:rFonts w:ascii="Constantia" w:hAnsi="Constantia"/>
          <w:lang w:val="sr-Latn-CS"/>
        </w:rPr>
        <w:t xml:space="preserve"> indikatora, od čega 28 indikatora</w:t>
      </w:r>
      <w:r w:rsidRPr="00895789">
        <w:rPr>
          <w:rFonts w:ascii="Constantia" w:hAnsi="Constantia"/>
          <w:lang w:val="sr-Latn-CS"/>
        </w:rPr>
        <w:t xml:space="preserve"> iz </w:t>
      </w:r>
      <w:r>
        <w:rPr>
          <w:rFonts w:ascii="Constantia" w:hAnsi="Constantia"/>
          <w:lang w:val="sr-Latn-CS"/>
        </w:rPr>
        <w:t xml:space="preserve">osnovnog seta </w:t>
      </w:r>
      <w:r w:rsidRPr="00895789">
        <w:rPr>
          <w:rFonts w:ascii="Constantia" w:hAnsi="Constantia"/>
          <w:lang w:val="sr-Latn-CS"/>
        </w:rPr>
        <w:t>indikatora</w:t>
      </w:r>
      <w:r>
        <w:rPr>
          <w:rFonts w:ascii="Constantia" w:hAnsi="Constantia"/>
          <w:lang w:val="sr-Latn-CS"/>
        </w:rPr>
        <w:t xml:space="preserve"> (</w:t>
      </w:r>
      <w:r w:rsidRPr="00895789">
        <w:rPr>
          <w:rFonts w:ascii="Constantia" w:hAnsi="Constantia"/>
          <w:lang w:val="sr-Latn-CS"/>
        </w:rPr>
        <w:t>CSI</w:t>
      </w:r>
      <w:r>
        <w:rPr>
          <w:rFonts w:ascii="Constantia" w:hAnsi="Constantia"/>
          <w:lang w:val="sr-Latn-CS"/>
        </w:rPr>
        <w:t>)</w:t>
      </w:r>
      <w:r w:rsidRPr="00895789">
        <w:rPr>
          <w:rFonts w:ascii="Constantia" w:hAnsi="Constantia"/>
          <w:lang w:val="sr-Latn-CS"/>
        </w:rPr>
        <w:t xml:space="preserve"> </w:t>
      </w:r>
      <w:r>
        <w:rPr>
          <w:rFonts w:ascii="Constantia" w:hAnsi="Constantia"/>
          <w:lang w:val="sr-Latn-CS"/>
        </w:rPr>
        <w:t>Evropske agencije za životnu sredinu</w:t>
      </w:r>
      <w:r w:rsidRPr="00895789">
        <w:rPr>
          <w:rFonts w:ascii="Constantia" w:hAnsi="Constantia"/>
          <w:lang w:val="sr-Latn-CS"/>
        </w:rPr>
        <w:t>. Listom je obuhvaćeno 12 tematskih oblasti</w:t>
      </w:r>
      <w:r w:rsidRPr="00427FA0">
        <w:rPr>
          <w:rFonts w:ascii="Constantia" w:hAnsi="Constantia" w:cs="Arial"/>
          <w:lang w:val="sr-Latn-CS"/>
        </w:rPr>
        <w:t>: biološka raznovrsnost, kopnene vode, more, zemljište, vazduh, klimatske promjene, upravljanje otpadom, poljoprivreda, r</w:t>
      </w:r>
      <w:r>
        <w:rPr>
          <w:rFonts w:ascii="Constantia" w:hAnsi="Constantia" w:cs="Arial"/>
          <w:lang w:val="sr-Latn-CS"/>
        </w:rPr>
        <w:t xml:space="preserve">ibarstvo, energetika, saobraćaj i </w:t>
      </w:r>
      <w:r w:rsidRPr="00427FA0">
        <w:rPr>
          <w:rFonts w:ascii="Constantia" w:hAnsi="Constantia" w:cs="Arial"/>
          <w:lang w:val="sr-Latn-CS"/>
        </w:rPr>
        <w:t>turizam.</w:t>
      </w:r>
    </w:p>
    <w:p w:rsidR="00912E35" w:rsidRPr="002D1EF3" w:rsidRDefault="00912E35" w:rsidP="00727E60">
      <w:pPr>
        <w:rPr>
          <w:rFonts w:ascii="Constantia" w:hAnsi="Constantia"/>
          <w:lang w:val="sr-Latn-CS"/>
        </w:rPr>
      </w:pPr>
      <w:r>
        <w:rPr>
          <w:rFonts w:ascii="Constantia" w:hAnsi="Constantia" w:cs="Arial"/>
          <w:lang w:val="sr-Latn-CS"/>
        </w:rPr>
        <w:t xml:space="preserve">Na ovaj </w:t>
      </w:r>
      <w:r w:rsidR="008F6252">
        <w:rPr>
          <w:rFonts w:ascii="Constantia" w:hAnsi="Constantia" w:cs="Arial"/>
          <w:lang w:val="sr-Latn-CS"/>
        </w:rPr>
        <w:t>način su stvoreni uslovi da se I</w:t>
      </w:r>
      <w:r>
        <w:rPr>
          <w:rFonts w:ascii="Constantia" w:hAnsi="Constantia" w:cs="Arial"/>
          <w:lang w:val="sr-Latn-CS"/>
        </w:rPr>
        <w:t>zvještaj o stanju životn</w:t>
      </w:r>
      <w:r w:rsidR="008F6252">
        <w:rPr>
          <w:rFonts w:ascii="Constantia" w:hAnsi="Constantia" w:cs="Arial"/>
          <w:lang w:val="sr-Latn-CS"/>
        </w:rPr>
        <w:t>e sredine izrađuje u skladu sa članom 19 Z</w:t>
      </w:r>
      <w:r>
        <w:rPr>
          <w:rFonts w:ascii="Constantia" w:hAnsi="Constantia" w:cs="Arial"/>
          <w:lang w:val="sr-Latn-CS"/>
        </w:rPr>
        <w:t>akon</w:t>
      </w:r>
      <w:r w:rsidR="008F6252">
        <w:rPr>
          <w:rFonts w:ascii="Constantia" w:hAnsi="Constantia" w:cs="Arial"/>
          <w:lang w:val="sr-Latn-CS"/>
        </w:rPr>
        <w:t>a o životnoj sredini</w:t>
      </w:r>
      <w:r>
        <w:rPr>
          <w:rFonts w:ascii="Constantia" w:hAnsi="Constantia" w:cs="Arial"/>
          <w:lang w:val="sr-Latn-CS"/>
        </w:rPr>
        <w:t>.</w:t>
      </w:r>
      <w:r w:rsidRPr="003A3AFB">
        <w:rPr>
          <w:rFonts w:ascii="Constantia" w:hAnsi="Constantia"/>
          <w:lang w:val="sr-Latn-CS"/>
        </w:rPr>
        <w:t xml:space="preserve"> </w:t>
      </w:r>
    </w:p>
    <w:p w:rsidR="00912E35" w:rsidRDefault="00912E35" w:rsidP="00727E60">
      <w:pPr>
        <w:jc w:val="left"/>
        <w:rPr>
          <w:rFonts w:ascii="Constantia" w:hAnsi="Constantia"/>
          <w:lang w:val="sr-Latn-CS"/>
        </w:rPr>
      </w:pPr>
      <w:r>
        <w:rPr>
          <w:rFonts w:ascii="Constantia" w:hAnsi="Constantia" w:cs="Arial"/>
          <w:lang w:val="sr-Latn-CS"/>
        </w:rPr>
        <w:t>Pri formiranju Nacionalne liste indikatora polazilo se od  sledećeg:</w:t>
      </w:r>
      <w:r w:rsidRPr="00C169D5">
        <w:rPr>
          <w:rFonts w:ascii="Constantia" w:hAnsi="Constantia"/>
          <w:lang w:val="sr-Latn-CS"/>
        </w:rPr>
        <w:t xml:space="preserve"> </w:t>
      </w:r>
    </w:p>
    <w:p w:rsidR="00912E35" w:rsidRDefault="00912E35" w:rsidP="00E70E3B">
      <w:pPr>
        <w:pStyle w:val="ListParagraph"/>
        <w:numPr>
          <w:ilvl w:val="0"/>
          <w:numId w:val="45"/>
        </w:numPr>
        <w:rPr>
          <w:rFonts w:ascii="Constantia" w:hAnsi="Constantia"/>
          <w:lang w:val="sr-Latn-CS"/>
        </w:rPr>
      </w:pPr>
      <w:r>
        <w:rPr>
          <w:rFonts w:ascii="Constantia" w:hAnsi="Constantia"/>
          <w:lang w:val="sr-Latn-CS"/>
        </w:rPr>
        <w:t xml:space="preserve">Da je </w:t>
      </w:r>
      <w:r w:rsidRPr="00C169D5">
        <w:rPr>
          <w:rFonts w:ascii="Constantia" w:hAnsi="Constantia"/>
          <w:lang w:val="sr-Latn-CS"/>
        </w:rPr>
        <w:t>posma</w:t>
      </w:r>
      <w:r>
        <w:rPr>
          <w:rFonts w:ascii="Constantia" w:hAnsi="Constantia"/>
          <w:lang w:val="sr-Latn-CS"/>
        </w:rPr>
        <w:t xml:space="preserve">trani  indikator </w:t>
      </w:r>
      <w:r w:rsidRPr="00C169D5">
        <w:rPr>
          <w:rFonts w:ascii="Constantia" w:hAnsi="Constantia"/>
          <w:lang w:val="sr-Latn-CS"/>
        </w:rPr>
        <w:t xml:space="preserve"> </w:t>
      </w:r>
      <w:r>
        <w:rPr>
          <w:rFonts w:ascii="Constantia" w:hAnsi="Constantia"/>
          <w:lang w:val="sr-Latn-CS"/>
        </w:rPr>
        <w:t>kompleksan i</w:t>
      </w:r>
      <w:r w:rsidRPr="00C169D5">
        <w:rPr>
          <w:rFonts w:ascii="Constantia" w:hAnsi="Constantia"/>
          <w:lang w:val="sr-Latn-CS"/>
        </w:rPr>
        <w:t xml:space="preserve"> značaj</w:t>
      </w:r>
      <w:r>
        <w:rPr>
          <w:rFonts w:ascii="Constantia" w:hAnsi="Constantia"/>
          <w:lang w:val="sr-Latn-CS"/>
        </w:rPr>
        <w:t>an</w:t>
      </w:r>
      <w:r w:rsidRPr="00C169D5">
        <w:rPr>
          <w:rFonts w:ascii="Constantia" w:hAnsi="Constantia"/>
          <w:lang w:val="sr-Latn-CS"/>
        </w:rPr>
        <w:t xml:space="preserve"> za ocjenu </w:t>
      </w:r>
      <w:r>
        <w:rPr>
          <w:rFonts w:ascii="Constantia" w:hAnsi="Constantia"/>
          <w:lang w:val="sr-Latn-CS"/>
        </w:rPr>
        <w:t>stanja životne sredine u državi</w:t>
      </w:r>
    </w:p>
    <w:p w:rsidR="00912E35" w:rsidRDefault="00912E35" w:rsidP="00E70E3B">
      <w:pPr>
        <w:pStyle w:val="ListParagraph"/>
        <w:numPr>
          <w:ilvl w:val="0"/>
          <w:numId w:val="45"/>
        </w:numPr>
        <w:rPr>
          <w:rFonts w:ascii="Constantia" w:hAnsi="Constantia"/>
          <w:lang w:val="sr-Latn-CS"/>
        </w:rPr>
      </w:pPr>
      <w:r>
        <w:rPr>
          <w:rFonts w:ascii="Constantia" w:hAnsi="Constantia"/>
          <w:lang w:val="sr-Latn-CS"/>
        </w:rPr>
        <w:t>Da su podaci</w:t>
      </w:r>
      <w:r w:rsidRPr="00C169D5">
        <w:rPr>
          <w:rFonts w:ascii="Constantia" w:hAnsi="Constantia"/>
          <w:lang w:val="sr-Latn-CS"/>
        </w:rPr>
        <w:t xml:space="preserve"> za izradu indikatora</w:t>
      </w:r>
      <w:r w:rsidRPr="00D25E6C">
        <w:rPr>
          <w:rFonts w:ascii="Constantia" w:hAnsi="Constantia"/>
          <w:lang w:val="sr-Latn-CS"/>
        </w:rPr>
        <w:t xml:space="preserve"> </w:t>
      </w:r>
      <w:r>
        <w:rPr>
          <w:rFonts w:ascii="Constantia" w:hAnsi="Constantia"/>
          <w:lang w:val="sr-Latn-CS"/>
        </w:rPr>
        <w:t>dostupni i isplativi</w:t>
      </w:r>
    </w:p>
    <w:p w:rsidR="00912E35" w:rsidRDefault="00912E35" w:rsidP="00E70E3B">
      <w:pPr>
        <w:pStyle w:val="ListParagraph"/>
        <w:numPr>
          <w:ilvl w:val="0"/>
          <w:numId w:val="45"/>
        </w:numPr>
        <w:rPr>
          <w:rFonts w:ascii="Constantia" w:hAnsi="Constantia"/>
          <w:lang w:val="sr-Latn-CS"/>
        </w:rPr>
      </w:pPr>
      <w:r>
        <w:rPr>
          <w:rFonts w:ascii="Constantia" w:hAnsi="Constantia"/>
          <w:lang w:val="sr-Latn-CS"/>
        </w:rPr>
        <w:t>Da je indikator uporediv na međunarodnom nivou</w:t>
      </w:r>
    </w:p>
    <w:p w:rsidR="00912E35" w:rsidRDefault="001B43A4" w:rsidP="00E70E3B">
      <w:pPr>
        <w:pStyle w:val="ListParagraph"/>
        <w:numPr>
          <w:ilvl w:val="0"/>
          <w:numId w:val="45"/>
        </w:numPr>
        <w:rPr>
          <w:rFonts w:ascii="Constantia" w:hAnsi="Constantia"/>
          <w:lang w:val="sr-Latn-CS"/>
        </w:rPr>
      </w:pPr>
      <w:r>
        <w:rPr>
          <w:rFonts w:ascii="Constantia" w:hAnsi="Constantia"/>
          <w:lang w:val="sr-Latn-CS"/>
        </w:rPr>
        <w:t>Da je lak z</w:t>
      </w:r>
      <w:r w:rsidR="00912E35" w:rsidRPr="00AA2BB1">
        <w:rPr>
          <w:rFonts w:ascii="Constantia" w:hAnsi="Constantia"/>
          <w:lang w:val="sr-Latn-CS"/>
        </w:rPr>
        <w:t xml:space="preserve">a razumijevanje i </w:t>
      </w:r>
      <w:r w:rsidR="00912E35">
        <w:rPr>
          <w:rFonts w:ascii="Constantia" w:hAnsi="Constantia"/>
          <w:lang w:val="sr-Latn-CS"/>
        </w:rPr>
        <w:t>prezentovanje</w:t>
      </w:r>
      <w:r w:rsidR="00912E35" w:rsidRPr="00AA2BB1">
        <w:rPr>
          <w:rFonts w:ascii="Constantia" w:hAnsi="Constantia"/>
          <w:lang w:val="sr-Latn-CS"/>
        </w:rPr>
        <w:t xml:space="preserve"> </w:t>
      </w:r>
    </w:p>
    <w:p w:rsidR="00912E35" w:rsidRPr="00AA2BB1" w:rsidRDefault="00912E35" w:rsidP="00E70E3B">
      <w:pPr>
        <w:pStyle w:val="ListParagraph"/>
        <w:numPr>
          <w:ilvl w:val="0"/>
          <w:numId w:val="45"/>
        </w:numPr>
        <w:rPr>
          <w:rFonts w:ascii="Constantia" w:hAnsi="Constantia"/>
          <w:lang w:val="sr-Latn-CS"/>
        </w:rPr>
      </w:pPr>
      <w:r>
        <w:rPr>
          <w:rFonts w:ascii="Constantia" w:hAnsi="Constantia"/>
          <w:lang w:val="sr-Latn-CS"/>
        </w:rPr>
        <w:t>Da indikator posjeduje</w:t>
      </w:r>
      <w:r w:rsidRPr="00AA2BB1">
        <w:rPr>
          <w:rFonts w:ascii="Constantia" w:hAnsi="Constantia"/>
          <w:lang w:val="sr-Latn-CS"/>
        </w:rPr>
        <w:t xml:space="preserve"> tačnost, reprezentativnost, uvjerljivost i transparentnost.</w:t>
      </w:r>
    </w:p>
    <w:p w:rsidR="00912E35" w:rsidRPr="00AA2BB1" w:rsidRDefault="00912E35" w:rsidP="00727E60">
      <w:pPr>
        <w:spacing w:before="240"/>
        <w:rPr>
          <w:rFonts w:ascii="Constantia" w:hAnsi="Constantia"/>
          <w:lang w:val="sr-Latn-CS"/>
        </w:rPr>
      </w:pPr>
      <w:r w:rsidRPr="00BC751C">
        <w:rPr>
          <w:rFonts w:ascii="Constantia" w:hAnsi="Constantia"/>
          <w:lang w:val="sr-Latn-CS"/>
        </w:rPr>
        <w:t>K</w:t>
      </w:r>
      <w:r>
        <w:rPr>
          <w:rFonts w:ascii="Constantia" w:hAnsi="Constantia"/>
          <w:lang w:val="sr-Latn-CS"/>
        </w:rPr>
        <w:t>valitet životne sredine jeste stanje životne sredine koje se iskazuje fizičkim,</w:t>
      </w:r>
      <w:r w:rsidRPr="00BC751C">
        <w:rPr>
          <w:rFonts w:ascii="Constantia" w:hAnsi="Constantia" w:cs="Constantia"/>
          <w:lang w:val="sr-Latn-CS"/>
        </w:rPr>
        <w:t></w:t>
      </w:r>
      <w:r w:rsidRPr="00BC751C">
        <w:rPr>
          <w:rFonts w:ascii="Constantia" w:hAnsi="Constantia"/>
          <w:lang w:val="sr-Latn-CS"/>
        </w:rPr>
        <w:t xml:space="preserve">hemijskim, biološkim, estetskim i drugim  </w:t>
      </w:r>
      <w:r>
        <w:rPr>
          <w:rFonts w:ascii="Constantia" w:hAnsi="Constantia"/>
          <w:lang w:val="sr-Latn-CS"/>
        </w:rPr>
        <w:t>indikatorima.</w:t>
      </w:r>
    </w:p>
    <w:p w:rsidR="00912E35" w:rsidRDefault="00912E35" w:rsidP="00727E60">
      <w:pPr>
        <w:rPr>
          <w:rFonts w:ascii="Constantia" w:hAnsi="Constantia"/>
          <w:lang w:val="sr-Latn-CS"/>
        </w:rPr>
      </w:pPr>
      <w:r w:rsidRPr="00AA2BB1">
        <w:rPr>
          <w:rFonts w:ascii="Constantia" w:hAnsi="Constantia"/>
          <w:lang w:val="sr-Latn-CS"/>
        </w:rPr>
        <w:t>Indikator predstavlja najbol</w:t>
      </w:r>
      <w:r w:rsidR="001E4893">
        <w:rPr>
          <w:rFonts w:ascii="Constantia" w:hAnsi="Constantia"/>
          <w:lang w:val="sr-Latn-CS"/>
        </w:rPr>
        <w:t>je mjerilo uzroka, stanja, posl</w:t>
      </w:r>
      <w:r w:rsidRPr="00AA2BB1">
        <w:rPr>
          <w:rFonts w:ascii="Constantia" w:hAnsi="Constantia"/>
          <w:lang w:val="sr-Latn-CS"/>
        </w:rPr>
        <w:t xml:space="preserve">edica i efekata programa upravljanja životnom sredinom. </w:t>
      </w:r>
    </w:p>
    <w:p w:rsidR="00912E35" w:rsidRDefault="00912E35" w:rsidP="00727E60">
      <w:pPr>
        <w:rPr>
          <w:rFonts w:ascii="Constantia" w:hAnsi="Constantia"/>
          <w:lang w:val="sr-Latn-CS"/>
        </w:rPr>
      </w:pPr>
      <w:r w:rsidRPr="00BC751C">
        <w:rPr>
          <w:rFonts w:ascii="Constantia" w:hAnsi="Constantia"/>
          <w:lang w:val="sr-Latn-CS"/>
        </w:rPr>
        <w:t xml:space="preserve">Indikator </w:t>
      </w:r>
      <w:r>
        <w:rPr>
          <w:rFonts w:ascii="Constantia" w:hAnsi="Constantia"/>
          <w:lang w:val="sr-Latn-CS"/>
        </w:rPr>
        <w:t>ž</w:t>
      </w:r>
      <w:r w:rsidRPr="00BC751C">
        <w:rPr>
          <w:rFonts w:ascii="Constantia" w:hAnsi="Constantia"/>
          <w:lang w:val="sr-Latn-CS"/>
        </w:rPr>
        <w:t xml:space="preserve">ivotne sredine je merenje, statisti </w:t>
      </w:r>
      <w:r>
        <w:rPr>
          <w:rFonts w:ascii="Constantia" w:hAnsi="Constantia"/>
          <w:lang w:val="sr-Latn-CS"/>
        </w:rPr>
        <w:t xml:space="preserve">podatak ili </w:t>
      </w:r>
      <w:r w:rsidRPr="003A3AFB">
        <w:rPr>
          <w:rFonts w:ascii="Constantia" w:hAnsi="Constantia"/>
          <w:lang w:val="sr-Latn-CS"/>
        </w:rPr>
        <w:t>vr</w:t>
      </w:r>
      <w:r>
        <w:rPr>
          <w:rFonts w:ascii="Constantia" w:hAnsi="Constantia"/>
          <w:lang w:val="sr-Latn-CS"/>
        </w:rPr>
        <w:t>ij</w:t>
      </w:r>
      <w:r w:rsidRPr="003A3AFB">
        <w:rPr>
          <w:rFonts w:ascii="Constantia" w:hAnsi="Constantia"/>
          <w:lang w:val="sr-Latn-CS"/>
        </w:rPr>
        <w:t>ednost koja predstavlja naj</w:t>
      </w:r>
      <w:r>
        <w:rPr>
          <w:rFonts w:ascii="Constantia" w:hAnsi="Constantia"/>
          <w:lang w:val="sr-Latn-CS"/>
        </w:rPr>
        <w:t xml:space="preserve">bolje mjerilo </w:t>
      </w:r>
      <w:r w:rsidRPr="003A3AFB">
        <w:rPr>
          <w:rFonts w:ascii="Constantia" w:hAnsi="Constantia"/>
          <w:lang w:val="sr-Latn-CS"/>
        </w:rPr>
        <w:t>ili pokazatelj efekata</w:t>
      </w:r>
      <w:r>
        <w:rPr>
          <w:rFonts w:ascii="Constantia" w:hAnsi="Constantia"/>
          <w:lang w:val="sr-Latn-CS"/>
        </w:rPr>
        <w:t xml:space="preserve"> </w:t>
      </w:r>
      <w:r w:rsidRPr="003A3AFB">
        <w:rPr>
          <w:rFonts w:ascii="Constantia" w:hAnsi="Constantia"/>
          <w:lang w:val="sr-Latn-CS"/>
        </w:rPr>
        <w:t>programa upravljanja</w:t>
      </w:r>
      <w:r>
        <w:rPr>
          <w:rFonts w:ascii="Constantia" w:hAnsi="Constantia"/>
          <w:lang w:val="sr-Latn-CS"/>
        </w:rPr>
        <w:t xml:space="preserve"> životnom sredinom, stanja životne sredine ili uslova koji vladaju.</w:t>
      </w:r>
    </w:p>
    <w:p w:rsidR="00912E35" w:rsidRDefault="00912E35" w:rsidP="00727E60">
      <w:pPr>
        <w:rPr>
          <w:rFonts w:ascii="Constantia" w:hAnsi="Constantia"/>
          <w:lang w:val="sr-Latn-CS"/>
        </w:rPr>
      </w:pPr>
      <w:r w:rsidRPr="003A3AFB">
        <w:rPr>
          <w:rFonts w:ascii="Constantia" w:hAnsi="Constantia"/>
          <w:lang w:val="sr-Latn-CS"/>
        </w:rPr>
        <w:lastRenderedPageBreak/>
        <w:t>Indikator se definiše kao kvantifikovana informacija koja pomaže da se objasni kako se stvari s vremenom mijenjaju.</w:t>
      </w:r>
      <w:r w:rsidRPr="00895789">
        <w:rPr>
          <w:rStyle w:val="FootnoteReference"/>
          <w:rFonts w:ascii="Constantia" w:hAnsi="Constantia"/>
          <w:lang w:val="sr-Latn-CS"/>
        </w:rPr>
        <w:footnoteReference w:id="13"/>
      </w:r>
    </w:p>
    <w:p w:rsidR="00912E35" w:rsidRPr="00470D13" w:rsidRDefault="00912E35" w:rsidP="00727E60">
      <w:pPr>
        <w:rPr>
          <w:rFonts w:ascii="Constantia" w:hAnsi="Constantia"/>
          <w:lang w:val="sr-Latn-CS"/>
        </w:rPr>
      </w:pPr>
      <w:r w:rsidRPr="00470D13">
        <w:rPr>
          <w:rFonts w:ascii="Constantia" w:hAnsi="Constantia"/>
          <w:lang w:val="sr-Latn-CS"/>
        </w:rPr>
        <w:t>Osnovni cilj primjene indik</w:t>
      </w:r>
      <w:r w:rsidR="00691BED">
        <w:rPr>
          <w:rFonts w:ascii="Constantia" w:hAnsi="Constantia"/>
          <w:lang w:val="sr-Latn-CS"/>
        </w:rPr>
        <w:t>atora u zaštiti životne sredine</w:t>
      </w:r>
      <w:r w:rsidRPr="00470D13">
        <w:rPr>
          <w:rFonts w:ascii="Constantia" w:hAnsi="Constantia"/>
          <w:lang w:val="sr-Latn-CS"/>
        </w:rPr>
        <w:t xml:space="preserve"> jeste da se na najjednostavniji način, na bazi činjenica i podataka, prikaže trenutno stanje životne sredine kao i trendovi promjena. Takođe, postojeće ekološke probleme šira društvena zajednica i donosioci odluka mogu lakše razumjeti uvidom u indikatorski</w:t>
      </w:r>
      <w:r w:rsidRPr="00470D13">
        <w:rPr>
          <w:rFonts w:ascii="Constantia" w:hAnsi="Constantia" w:cs="Arial"/>
          <w:lang w:val="sr-Latn-CS"/>
        </w:rPr>
        <w:t xml:space="preserve"> prikaz stanja životne sredine</w:t>
      </w:r>
      <w:r w:rsidRPr="00470D13">
        <w:rPr>
          <w:rFonts w:ascii="Constantia" w:hAnsi="Constantia"/>
          <w:lang w:val="sr-Latn-CS"/>
        </w:rPr>
        <w:t xml:space="preserve">. Korišćenjem indikatorskog prikaza stvaraju se uslovi za jasniji uvid u stanje pojedinih segmenata životne sredine. </w:t>
      </w:r>
    </w:p>
    <w:p w:rsidR="00912E35" w:rsidRPr="00AA2BB1" w:rsidRDefault="00912E35" w:rsidP="00727E60">
      <w:pPr>
        <w:rPr>
          <w:rFonts w:ascii="Constantia" w:hAnsi="Constantia" w:cs="Arial"/>
          <w:lang w:val="sr-Latn-CS"/>
        </w:rPr>
      </w:pPr>
      <w:r w:rsidRPr="00470D13">
        <w:rPr>
          <w:rFonts w:ascii="Constantia" w:hAnsi="Constantia"/>
          <w:lang w:val="sr-Latn-CS"/>
        </w:rPr>
        <w:t xml:space="preserve">Indikatorski pristup osigurava uporedivost s praksom i načinom na koji se problematika zaštite životne sredine prati i ocjenjuje u drugim zemljama EU. Upoređivanjem odgovarajućih indikatora u različitim zemljama moguće je uporediti i stepen očuvanja ili ugroženosti različitih segmenata životne sredine, kao i primijeniti slične mehanizme zaštite. Iz tog razloga je </w:t>
      </w:r>
      <w:r w:rsidRPr="00470D13">
        <w:rPr>
          <w:rFonts w:ascii="Constantia" w:hAnsi="Constantia" w:cs="Arial"/>
          <w:lang w:val="sr-Latn-CS"/>
        </w:rPr>
        <w:t>indikatorski pristup siguran model za praćenje  i izvještavanje o životnoj sredini.</w:t>
      </w:r>
    </w:p>
    <w:p w:rsidR="00912E35" w:rsidRDefault="00912E35" w:rsidP="00727E60">
      <w:pPr>
        <w:ind w:firstLine="720"/>
        <w:rPr>
          <w:rFonts w:ascii="Constantia" w:hAnsi="Constantia"/>
          <w:lang w:val="sr-Latn-CS"/>
        </w:rPr>
      </w:pPr>
      <w:r w:rsidRPr="00897A69">
        <w:rPr>
          <w:rFonts w:ascii="Constantia" w:hAnsi="Constantia"/>
          <w:lang w:val="sr-Latn-CS"/>
        </w:rPr>
        <w:t>Evropska Ag</w:t>
      </w:r>
      <w:r>
        <w:rPr>
          <w:rFonts w:ascii="Constantia" w:hAnsi="Constantia"/>
          <w:lang w:val="sr-Latn-CS"/>
        </w:rPr>
        <w:t>encija za životnu sredinu (EEA)</w:t>
      </w:r>
      <w:r w:rsidRPr="00895789">
        <w:rPr>
          <w:rFonts w:ascii="Constantia" w:hAnsi="Constantia"/>
          <w:lang w:val="sr-Latn-CS"/>
        </w:rPr>
        <w:t xml:space="preserve"> je </w:t>
      </w:r>
      <w:r>
        <w:rPr>
          <w:rFonts w:ascii="Constantia" w:hAnsi="Constantia"/>
          <w:lang w:val="sr-Latn-CS"/>
        </w:rPr>
        <w:t>raz</w:t>
      </w:r>
      <w:r w:rsidRPr="00895789">
        <w:rPr>
          <w:rFonts w:ascii="Constantia" w:hAnsi="Constantia"/>
          <w:lang w:val="sr-Latn-CS"/>
        </w:rPr>
        <w:t xml:space="preserve">vila </w:t>
      </w:r>
      <w:r>
        <w:rPr>
          <w:rFonts w:ascii="Constantia" w:hAnsi="Constantia"/>
          <w:lang w:val="sr-Latn-CS"/>
        </w:rPr>
        <w:t xml:space="preserve">275 </w:t>
      </w:r>
      <w:r w:rsidRPr="00895789">
        <w:rPr>
          <w:rFonts w:ascii="Constantia" w:hAnsi="Constantia"/>
          <w:lang w:val="sr-Latn-CS"/>
        </w:rPr>
        <w:t xml:space="preserve"> indikatora podijeljenih u 31 tematsku cjelinu</w:t>
      </w:r>
      <w:r>
        <w:rPr>
          <w:rFonts w:ascii="Constantia" w:hAnsi="Constantia"/>
          <w:lang w:val="sr-Latn-CS"/>
        </w:rPr>
        <w:t>,</w:t>
      </w:r>
      <w:r w:rsidRPr="00897A69">
        <w:rPr>
          <w:rFonts w:ascii="Constantia" w:hAnsi="Constantia"/>
          <w:lang w:val="sr-Latn-CS"/>
        </w:rPr>
        <w:t xml:space="preserve"> a 2002. godine izveden je Osnovni set (CSI) od 37 indikatora koji</w:t>
      </w:r>
      <w:r>
        <w:rPr>
          <w:rFonts w:ascii="Constantia" w:hAnsi="Constantia"/>
          <w:lang w:val="sr-Latn-CS"/>
        </w:rPr>
        <w:t xml:space="preserve"> </w:t>
      </w:r>
      <w:r w:rsidRPr="00897A69">
        <w:rPr>
          <w:rFonts w:ascii="Constantia" w:hAnsi="Constantia"/>
          <w:lang w:val="sr-Latn-CS"/>
        </w:rPr>
        <w:t xml:space="preserve"> </w:t>
      </w:r>
      <w:r>
        <w:rPr>
          <w:rFonts w:ascii="Constantia" w:hAnsi="Constantia"/>
          <w:lang w:val="sr-Latn-CS"/>
        </w:rPr>
        <w:t>prikazuju</w:t>
      </w:r>
      <w:r w:rsidRPr="00897A69">
        <w:rPr>
          <w:rFonts w:ascii="Constantia" w:hAnsi="Constantia"/>
          <w:lang w:val="sr-Latn-CS"/>
        </w:rPr>
        <w:t xml:space="preserve"> </w:t>
      </w:r>
      <w:r>
        <w:rPr>
          <w:rFonts w:ascii="Constantia" w:hAnsi="Constantia"/>
          <w:lang w:val="sr-Latn-CS"/>
        </w:rPr>
        <w:t>stanje</w:t>
      </w:r>
      <w:r w:rsidRPr="00897A69">
        <w:rPr>
          <w:rFonts w:ascii="Constantia" w:hAnsi="Constantia"/>
          <w:lang w:val="sr-Latn-CS"/>
        </w:rPr>
        <w:t xml:space="preserve"> životne sredine </w:t>
      </w:r>
      <w:r>
        <w:rPr>
          <w:rFonts w:ascii="Constantia" w:hAnsi="Constantia"/>
          <w:lang w:val="sr-Latn-CS"/>
        </w:rPr>
        <w:t>kroz ključne podatke</w:t>
      </w:r>
      <w:r w:rsidRPr="00897A69">
        <w:rPr>
          <w:rFonts w:ascii="Constantia" w:hAnsi="Constantia"/>
          <w:lang w:val="sr-Latn-CS"/>
        </w:rPr>
        <w:t xml:space="preserve">. </w:t>
      </w:r>
    </w:p>
    <w:p w:rsidR="00912E35" w:rsidRPr="005E4028" w:rsidRDefault="00912E35" w:rsidP="00727E60">
      <w:pPr>
        <w:ind w:firstLine="720"/>
        <w:rPr>
          <w:rFonts w:ascii="Constantia" w:hAnsi="Constantia"/>
          <w:lang w:val="sr-Latn-CS"/>
        </w:rPr>
      </w:pPr>
      <w:r>
        <w:rPr>
          <w:rFonts w:ascii="Constantia" w:hAnsi="Constantia"/>
          <w:lang w:val="sr-Latn-CS"/>
        </w:rPr>
        <w:t xml:space="preserve">Naše indikatorsko prikazivanje se bazira na međunarodno prihvaćenom modelu, </w:t>
      </w:r>
      <w:r w:rsidRPr="00895789">
        <w:rPr>
          <w:rFonts w:ascii="Constantia" w:hAnsi="Constantia"/>
          <w:b/>
          <w:szCs w:val="22"/>
          <w:lang w:val="sr-Latn-CS"/>
        </w:rPr>
        <w:t xml:space="preserve">DPSIR </w:t>
      </w:r>
      <w:r>
        <w:rPr>
          <w:rFonts w:ascii="Constantia" w:hAnsi="Constantia"/>
          <w:lang w:val="sr-Latn-CS"/>
        </w:rPr>
        <w:t xml:space="preserve">modelu </w:t>
      </w:r>
      <w:r w:rsidRPr="00895789">
        <w:rPr>
          <w:rFonts w:ascii="Constantia" w:hAnsi="Constantia"/>
          <w:lang w:val="sr-Latn-CS"/>
        </w:rPr>
        <w:t>(</w:t>
      </w:r>
      <w:r w:rsidRPr="00895789">
        <w:rPr>
          <w:rFonts w:ascii="Constantia" w:hAnsi="Constantia"/>
          <w:b/>
          <w:lang w:val="sr-Latn-CS"/>
        </w:rPr>
        <w:t>D</w:t>
      </w:r>
      <w:r w:rsidRPr="00895789">
        <w:rPr>
          <w:rFonts w:ascii="Constantia" w:hAnsi="Constantia"/>
          <w:lang w:val="sr-Latn-CS"/>
        </w:rPr>
        <w:t xml:space="preserve">riving Forces -  </w:t>
      </w:r>
      <w:r w:rsidRPr="00895789">
        <w:rPr>
          <w:rFonts w:ascii="Constantia" w:hAnsi="Constantia"/>
          <w:b/>
          <w:lang w:val="sr-Latn-CS"/>
        </w:rPr>
        <w:t>P</w:t>
      </w:r>
      <w:r w:rsidRPr="00895789">
        <w:rPr>
          <w:rFonts w:ascii="Constantia" w:hAnsi="Constantia"/>
          <w:lang w:val="sr-Latn-CS"/>
        </w:rPr>
        <w:t xml:space="preserve">ressures – </w:t>
      </w:r>
      <w:r w:rsidRPr="00895789">
        <w:rPr>
          <w:rFonts w:ascii="Constantia" w:hAnsi="Constantia"/>
          <w:b/>
          <w:lang w:val="sr-Latn-CS"/>
        </w:rPr>
        <w:t>S</w:t>
      </w:r>
      <w:r w:rsidRPr="00895789">
        <w:rPr>
          <w:rFonts w:ascii="Constantia" w:hAnsi="Constantia"/>
          <w:lang w:val="sr-Latn-CS"/>
        </w:rPr>
        <w:t xml:space="preserve">tate – </w:t>
      </w:r>
      <w:r w:rsidRPr="00895789">
        <w:rPr>
          <w:rFonts w:ascii="Constantia" w:hAnsi="Constantia"/>
          <w:b/>
          <w:lang w:val="sr-Latn-CS"/>
        </w:rPr>
        <w:t>I</w:t>
      </w:r>
      <w:r w:rsidRPr="00895789">
        <w:rPr>
          <w:rFonts w:ascii="Constantia" w:hAnsi="Constantia"/>
          <w:lang w:val="sr-Latn-CS"/>
        </w:rPr>
        <w:t xml:space="preserve">mpact – </w:t>
      </w:r>
      <w:r w:rsidRPr="00895789">
        <w:rPr>
          <w:rFonts w:ascii="Constantia" w:hAnsi="Constantia"/>
          <w:b/>
          <w:lang w:val="sr-Latn-CS"/>
        </w:rPr>
        <w:t>R</w:t>
      </w:r>
      <w:r w:rsidRPr="00895789">
        <w:rPr>
          <w:rFonts w:ascii="Constantia" w:hAnsi="Constantia"/>
          <w:lang w:val="sr-Latn-CS"/>
        </w:rPr>
        <w:t>esponse)</w:t>
      </w:r>
      <w:r>
        <w:rPr>
          <w:rFonts w:ascii="Constantia" w:hAnsi="Constantia"/>
          <w:lang w:val="sr-Latn-CS"/>
        </w:rPr>
        <w:t>, koji uspostavlja međusobnu zavisnost između faktora koji utiču na stanje  životne sredine i instrumenata koji se koriste za regulisanje toga stanja ili prikazuje m</w:t>
      </w:r>
      <w:r w:rsidRPr="00342AF7">
        <w:rPr>
          <w:rFonts w:ascii="Constantia" w:hAnsi="Constantia"/>
          <w:lang w:val="sr-Latn-CS"/>
        </w:rPr>
        <w:t>eđuodnos ljudskih aktivnosti i životne sredine</w:t>
      </w:r>
      <w:r>
        <w:rPr>
          <w:rFonts w:ascii="Constantia" w:hAnsi="Constantia"/>
          <w:lang w:val="sr-Latn-CS"/>
        </w:rPr>
        <w:t>. I</w:t>
      </w:r>
      <w:r w:rsidR="00691BED">
        <w:rPr>
          <w:rFonts w:ascii="Constantia" w:hAnsi="Constantia"/>
          <w:lang w:val="sr-Latn-CS"/>
        </w:rPr>
        <w:t>ndikatori unutar modela oslikavaju uzročno-</w:t>
      </w:r>
      <w:r w:rsidRPr="00895789">
        <w:rPr>
          <w:rFonts w:ascii="Constantia" w:hAnsi="Constantia"/>
          <w:lang w:val="sr-Latn-CS"/>
        </w:rPr>
        <w:t>posl</w:t>
      </w:r>
      <w:r w:rsidRPr="00897A69">
        <w:rPr>
          <w:rFonts w:ascii="Constantia" w:hAnsi="Constantia"/>
          <w:lang w:val="sr-Latn-CS"/>
        </w:rPr>
        <w:t>edične veze.</w:t>
      </w:r>
    </w:p>
    <w:p w:rsidR="00912E35" w:rsidRPr="005E4028" w:rsidRDefault="00912E35" w:rsidP="00727E60">
      <w:pPr>
        <w:ind w:firstLine="720"/>
        <w:rPr>
          <w:rFonts w:ascii="Constantia" w:hAnsi="Constantia"/>
          <w:lang w:val="sr-Latn-CS"/>
        </w:rPr>
      </w:pPr>
      <w:r w:rsidRPr="00895789">
        <w:rPr>
          <w:rFonts w:ascii="Constantia" w:hAnsi="Constantia"/>
          <w:shd w:val="clear" w:color="auto" w:fill="EAF6DE" w:themeFill="accent5" w:themeFillTint="33"/>
          <w:lang w:val="sr-Latn-CS"/>
        </w:rPr>
        <w:t>POKRETA</w:t>
      </w:r>
      <w:r w:rsidRPr="00895789">
        <w:rPr>
          <w:rFonts w:ascii="Constantia" w:hAnsi="Constantia"/>
          <w:shd w:val="clear" w:color="auto" w:fill="EAF6DE" w:themeFill="accent5" w:themeFillTint="33"/>
        </w:rPr>
        <w:t>Č</w:t>
      </w:r>
      <w:r w:rsidRPr="00895789">
        <w:rPr>
          <w:rFonts w:ascii="Constantia" w:hAnsi="Constantia"/>
          <w:shd w:val="clear" w:color="auto" w:fill="EAF6DE" w:themeFill="accent5" w:themeFillTint="33"/>
          <w:lang w:val="sr-Latn-CS"/>
        </w:rPr>
        <w:t>KI FAKTORI</w:t>
      </w:r>
      <w:r w:rsidRPr="00895789">
        <w:rPr>
          <w:rFonts w:ascii="Constantia" w:hAnsi="Constantia"/>
          <w:lang w:val="sr-Latn-CS"/>
        </w:rPr>
        <w:t xml:space="preserve"> (</w:t>
      </w:r>
      <w:r w:rsidRPr="00895789">
        <w:rPr>
          <w:rFonts w:ascii="Constantia" w:hAnsi="Constantia"/>
          <w:b/>
          <w:lang w:val="sr-Latn-CS"/>
        </w:rPr>
        <w:t>D</w:t>
      </w:r>
      <w:r w:rsidRPr="00895789">
        <w:rPr>
          <w:rFonts w:ascii="Constantia" w:hAnsi="Constantia"/>
          <w:lang w:val="sr-Latn-CS"/>
        </w:rPr>
        <w:t>riving Forces) – osnovni pokretači</w:t>
      </w:r>
      <w:r>
        <w:rPr>
          <w:rFonts w:ascii="Constantia" w:hAnsi="Constantia"/>
          <w:lang w:val="sr-Latn-CS"/>
        </w:rPr>
        <w:t xml:space="preserve"> negativnih uticaja na životnu sredinu (</w:t>
      </w:r>
      <w:r w:rsidRPr="00895789">
        <w:rPr>
          <w:rFonts w:ascii="Constantia" w:hAnsi="Constantia"/>
          <w:lang w:val="sr-Latn-CS"/>
        </w:rPr>
        <w:t>industrija, poljoprivreda, turizam, transport i dr.)</w:t>
      </w:r>
      <w:r>
        <w:rPr>
          <w:rFonts w:ascii="Constantia" w:hAnsi="Constantia"/>
          <w:lang w:val="sr-Latn-CS"/>
        </w:rPr>
        <w:t>;</w:t>
      </w:r>
    </w:p>
    <w:p w:rsidR="00912E35" w:rsidRPr="005E4028" w:rsidRDefault="00912E35" w:rsidP="00727E60">
      <w:pPr>
        <w:ind w:firstLine="720"/>
        <w:rPr>
          <w:rFonts w:ascii="Constantia" w:hAnsi="Constantia"/>
          <w:lang w:val="sr-Latn-CS"/>
        </w:rPr>
      </w:pPr>
      <w:r w:rsidRPr="00895789">
        <w:rPr>
          <w:rFonts w:ascii="Constantia" w:hAnsi="Constantia"/>
          <w:shd w:val="clear" w:color="auto" w:fill="EAF6DE" w:themeFill="accent5" w:themeFillTint="33"/>
          <w:lang w:val="sr-Latn-CS"/>
        </w:rPr>
        <w:t>PRITISCI</w:t>
      </w:r>
      <w:r w:rsidRPr="00895789">
        <w:rPr>
          <w:rFonts w:ascii="Constantia" w:hAnsi="Constantia"/>
          <w:lang w:val="sr-Latn-CS"/>
        </w:rPr>
        <w:t xml:space="preserve"> (</w:t>
      </w:r>
      <w:r w:rsidRPr="00895789">
        <w:rPr>
          <w:rFonts w:ascii="Constantia" w:hAnsi="Constantia"/>
          <w:b/>
          <w:lang w:val="sr-Latn-CS"/>
        </w:rPr>
        <w:t>P</w:t>
      </w:r>
      <w:r w:rsidR="00722A9A">
        <w:rPr>
          <w:rFonts w:ascii="Constantia" w:hAnsi="Constantia"/>
          <w:lang w:val="sr-Latn-CS"/>
        </w:rPr>
        <w:t>ressures) – direktna posl</w:t>
      </w:r>
      <w:r w:rsidRPr="00895789">
        <w:rPr>
          <w:rFonts w:ascii="Constantia" w:hAnsi="Constantia"/>
          <w:lang w:val="sr-Latn-CS"/>
        </w:rPr>
        <w:t>edica</w:t>
      </w:r>
      <w:r>
        <w:rPr>
          <w:rFonts w:ascii="Constantia" w:hAnsi="Constantia"/>
          <w:lang w:val="sr-Latn-CS"/>
        </w:rPr>
        <w:t xml:space="preserve"> djelovanja pokretačkih snaga (</w:t>
      </w:r>
      <w:r w:rsidRPr="00895789">
        <w:rPr>
          <w:rFonts w:ascii="Constantia" w:hAnsi="Constantia"/>
          <w:lang w:val="sr-Latn-CS"/>
        </w:rPr>
        <w:t>emisije različitih polutanata u vazduh, povećano prisustvo pesticida u zemljištu, urbanizacija i dr.)</w:t>
      </w:r>
      <w:r>
        <w:rPr>
          <w:rFonts w:ascii="Constantia" w:hAnsi="Constantia"/>
          <w:lang w:val="sr-Latn-CS"/>
        </w:rPr>
        <w:t>;</w:t>
      </w:r>
    </w:p>
    <w:p w:rsidR="00912E35" w:rsidRPr="005E4028" w:rsidRDefault="00912E35" w:rsidP="00727E60">
      <w:pPr>
        <w:ind w:firstLine="720"/>
        <w:rPr>
          <w:rFonts w:ascii="Constantia" w:hAnsi="Constantia"/>
          <w:lang w:val="sr-Latn-CS"/>
        </w:rPr>
      </w:pPr>
      <w:r w:rsidRPr="00897A69">
        <w:rPr>
          <w:rFonts w:ascii="Constantia" w:hAnsi="Constantia"/>
          <w:shd w:val="clear" w:color="auto" w:fill="EAF6DE" w:themeFill="accent5" w:themeFillTint="33"/>
          <w:lang w:val="sr-Latn-CS"/>
        </w:rPr>
        <w:t>STANJE</w:t>
      </w:r>
      <w:r w:rsidRPr="00897A69">
        <w:rPr>
          <w:rFonts w:ascii="Constantia" w:hAnsi="Constantia"/>
          <w:lang w:val="sr-Latn-CS"/>
        </w:rPr>
        <w:t xml:space="preserve"> (</w:t>
      </w:r>
      <w:r w:rsidRPr="00897A69">
        <w:rPr>
          <w:rFonts w:ascii="Constantia" w:hAnsi="Constantia"/>
          <w:b/>
          <w:lang w:val="sr-Latn-CS"/>
        </w:rPr>
        <w:t>S</w:t>
      </w:r>
      <w:r w:rsidRPr="00897A69">
        <w:rPr>
          <w:rFonts w:ascii="Constantia" w:hAnsi="Constantia"/>
          <w:lang w:val="sr-Latn-CS"/>
        </w:rPr>
        <w:t>tate) – postojeće stanje životne sredine (kvalitet  vazduha, kvalitet zemljišta, kvalitet vode i dr.)</w:t>
      </w:r>
      <w:r>
        <w:rPr>
          <w:rFonts w:ascii="Constantia" w:hAnsi="Constantia"/>
          <w:lang w:val="sr-Latn-CS"/>
        </w:rPr>
        <w:t>;</w:t>
      </w:r>
    </w:p>
    <w:p w:rsidR="00912E35" w:rsidRPr="005E4028" w:rsidRDefault="00912E35" w:rsidP="00727E60">
      <w:pPr>
        <w:ind w:firstLine="720"/>
        <w:rPr>
          <w:rFonts w:ascii="Constantia" w:hAnsi="Constantia"/>
          <w:lang w:val="sr-Latn-CS"/>
        </w:rPr>
      </w:pPr>
      <w:r w:rsidRPr="00897A69">
        <w:rPr>
          <w:rFonts w:ascii="Constantia" w:hAnsi="Constantia"/>
          <w:shd w:val="clear" w:color="auto" w:fill="EAF6DE" w:themeFill="accent5" w:themeFillTint="33"/>
          <w:lang w:val="sr-Latn-CS"/>
        </w:rPr>
        <w:t>UTICAJI</w:t>
      </w:r>
      <w:r w:rsidRPr="00897A69">
        <w:rPr>
          <w:rFonts w:ascii="Constantia" w:hAnsi="Constantia"/>
          <w:lang w:val="sr-Latn-CS"/>
        </w:rPr>
        <w:t xml:space="preserve"> (</w:t>
      </w:r>
      <w:r w:rsidRPr="00897A69">
        <w:rPr>
          <w:rFonts w:ascii="Constantia" w:hAnsi="Constantia"/>
          <w:b/>
          <w:lang w:val="sr-Latn-CS"/>
        </w:rPr>
        <w:t>I</w:t>
      </w:r>
      <w:r w:rsidR="00722A9A">
        <w:rPr>
          <w:rFonts w:ascii="Constantia" w:hAnsi="Constantia"/>
          <w:lang w:val="sr-Latn-CS"/>
        </w:rPr>
        <w:t>mpact) – posl</w:t>
      </w:r>
      <w:r>
        <w:rPr>
          <w:rFonts w:ascii="Constantia" w:hAnsi="Constantia"/>
          <w:lang w:val="sr-Latn-CS"/>
        </w:rPr>
        <w:t>edice pritisaka na životnu sredinu (</w:t>
      </w:r>
      <w:r w:rsidRPr="00897A69">
        <w:rPr>
          <w:rFonts w:ascii="Constantia" w:hAnsi="Constantia"/>
          <w:lang w:val="sr-Latn-CS"/>
        </w:rPr>
        <w:t xml:space="preserve">povećane koncentracije </w:t>
      </w:r>
      <w:r>
        <w:rPr>
          <w:rFonts w:ascii="Constantia" w:hAnsi="Constantia"/>
          <w:lang w:val="sr-Latn-CS"/>
        </w:rPr>
        <w:t xml:space="preserve">zagađujućih materija u </w:t>
      </w:r>
      <w:r w:rsidRPr="00897A69">
        <w:rPr>
          <w:rFonts w:ascii="Constantia" w:hAnsi="Constantia"/>
          <w:lang w:val="sr-Latn-CS"/>
        </w:rPr>
        <w:t>vazduhu, erozija zemljišta, eutrofikacija obalnih područja, ekonomski gubici itd.)</w:t>
      </w:r>
      <w:r>
        <w:rPr>
          <w:rFonts w:ascii="Constantia" w:hAnsi="Constantia"/>
          <w:lang w:val="sr-Latn-CS"/>
        </w:rPr>
        <w:t>;</w:t>
      </w:r>
    </w:p>
    <w:p w:rsidR="00912E35" w:rsidRPr="005E4028" w:rsidRDefault="00912E35" w:rsidP="00727E60">
      <w:pPr>
        <w:ind w:firstLine="720"/>
        <w:rPr>
          <w:rFonts w:ascii="Constantia" w:hAnsi="Constantia"/>
          <w:lang w:val="sr-Latn-CS"/>
        </w:rPr>
      </w:pPr>
      <w:r w:rsidRPr="00897A69">
        <w:rPr>
          <w:rFonts w:ascii="Constantia" w:hAnsi="Constantia"/>
          <w:shd w:val="clear" w:color="auto" w:fill="EAF6DE" w:themeFill="accent5" w:themeFillTint="33"/>
          <w:lang w:val="sr-Latn-CS"/>
        </w:rPr>
        <w:t>ODGOVOR</w:t>
      </w:r>
      <w:r w:rsidRPr="00897A69">
        <w:rPr>
          <w:rFonts w:ascii="Constantia" w:hAnsi="Constantia"/>
          <w:shd w:val="clear" w:color="auto" w:fill="F2F2F2" w:themeFill="background1" w:themeFillShade="F2"/>
          <w:lang w:val="sr-Latn-CS"/>
        </w:rPr>
        <w:t>I</w:t>
      </w:r>
      <w:r w:rsidRPr="00897A69">
        <w:rPr>
          <w:rFonts w:ascii="Constantia" w:hAnsi="Constantia"/>
          <w:lang w:val="sr-Latn-CS"/>
        </w:rPr>
        <w:t xml:space="preserve"> (</w:t>
      </w:r>
      <w:r w:rsidRPr="00897A69">
        <w:rPr>
          <w:rFonts w:ascii="Constantia" w:hAnsi="Constantia"/>
          <w:b/>
          <w:lang w:val="sr-Latn-CS"/>
        </w:rPr>
        <w:t>R</w:t>
      </w:r>
      <w:r w:rsidRPr="00897A69">
        <w:rPr>
          <w:rFonts w:ascii="Constantia" w:hAnsi="Constantia"/>
          <w:lang w:val="sr-Latn-CS"/>
        </w:rPr>
        <w:t>esponse) –</w:t>
      </w:r>
      <w:r w:rsidR="00C71A05">
        <w:rPr>
          <w:rFonts w:ascii="Constantia" w:hAnsi="Constantia"/>
          <w:lang w:val="sr-Latn-CS"/>
        </w:rPr>
        <w:t xml:space="preserve"> </w:t>
      </w:r>
      <w:r w:rsidRPr="00897A69">
        <w:rPr>
          <w:rFonts w:ascii="Constantia" w:hAnsi="Constantia"/>
          <w:lang w:val="sr-Latn-CS"/>
        </w:rPr>
        <w:t>reakcije na promjene stanja životne sredine kroz mjere</w:t>
      </w:r>
      <w:r w:rsidR="00C71A05">
        <w:rPr>
          <w:rFonts w:ascii="Constantia" w:hAnsi="Constantia"/>
          <w:lang w:val="sr-Latn-CS"/>
        </w:rPr>
        <w:t>,</w:t>
      </w:r>
      <w:r w:rsidRPr="00897A69">
        <w:rPr>
          <w:rFonts w:ascii="Constantia" w:hAnsi="Constantia"/>
          <w:lang w:val="sr-Latn-CS"/>
        </w:rPr>
        <w:t xml:space="preserve">   instrumente</w:t>
      </w:r>
      <w:r w:rsidR="00C71A05">
        <w:rPr>
          <w:rFonts w:ascii="Constantia" w:hAnsi="Constantia"/>
          <w:lang w:val="sr-Latn-CS"/>
        </w:rPr>
        <w:t>,</w:t>
      </w:r>
      <w:r w:rsidRPr="00897A69">
        <w:rPr>
          <w:rFonts w:ascii="Constantia" w:hAnsi="Constantia"/>
          <w:lang w:val="sr-Latn-CS"/>
        </w:rPr>
        <w:t xml:space="preserve"> investicije i dr</w:t>
      </w:r>
      <w:r w:rsidR="00C71A05">
        <w:rPr>
          <w:rFonts w:ascii="Constantia" w:hAnsi="Constantia"/>
          <w:lang w:val="sr-Latn-CS"/>
        </w:rPr>
        <w:t>ugo</w:t>
      </w:r>
      <w:r w:rsidRPr="00897A69">
        <w:rPr>
          <w:rFonts w:ascii="Constantia" w:hAnsi="Constantia"/>
          <w:lang w:val="sr-Latn-CS"/>
        </w:rPr>
        <w:t>.</w:t>
      </w:r>
    </w:p>
    <w:p w:rsidR="00912E35" w:rsidRPr="00427FA0" w:rsidRDefault="00912E35" w:rsidP="00727E60">
      <w:pPr>
        <w:jc w:val="left"/>
        <w:rPr>
          <w:rFonts w:ascii="Constantia" w:hAnsi="Constantia"/>
          <w:sz w:val="20"/>
          <w:lang w:val="sr-Latn-CS"/>
        </w:rPr>
      </w:pPr>
    </w:p>
    <w:p w:rsidR="00912E35" w:rsidRPr="005E4028" w:rsidRDefault="009F3E70" w:rsidP="00912E35">
      <w:pPr>
        <w:jc w:val="left"/>
        <w:rPr>
          <w:rFonts w:ascii="Constantia" w:hAnsi="Constantia"/>
          <w:lang w:val="sr-Latn-CS"/>
        </w:rPr>
      </w:pPr>
      <w:r>
        <w:rPr>
          <w:noProof/>
        </w:rPr>
        <w:lastRenderedPageBreak/>
        <mc:AlternateContent>
          <mc:Choice Requires="wps">
            <w:drawing>
              <wp:anchor distT="0" distB="0" distL="114300" distR="114300" simplePos="0" relativeHeight="251698176" behindDoc="0" locked="0" layoutInCell="1" allowOverlap="1" wp14:anchorId="7E451F24" wp14:editId="3CC8A9A1">
                <wp:simplePos x="0" y="0"/>
                <wp:positionH relativeFrom="column">
                  <wp:posOffset>2057400</wp:posOffset>
                </wp:positionH>
                <wp:positionV relativeFrom="paragraph">
                  <wp:posOffset>2205355</wp:posOffset>
                </wp:positionV>
                <wp:extent cx="1695450" cy="904875"/>
                <wp:effectExtent l="0" t="0" r="76200" b="47625"/>
                <wp:wrapNone/>
                <wp:docPr id="1379"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95450" cy="904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6" o:spid="_x0000_s1026" type="#_x0000_t32" style="position:absolute;margin-left:162pt;margin-top:173.65pt;width:133.5pt;height:71.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">
                <v:stroke endarrow="block"/>
              </v:shape>
            </w:pict>
          </mc:Fallback>
        </mc:AlternateContent>
      </w:r>
      <w:r>
        <w:rPr>
          <w:noProof/>
        </w:rPr>
        <mc:AlternateContent>
          <mc:Choice Requires="wps">
            <w:drawing>
              <wp:anchor distT="0" distB="0" distL="114300" distR="114300" simplePos="0" relativeHeight="251697152" behindDoc="0" locked="0" layoutInCell="1" allowOverlap="1" wp14:anchorId="79206192" wp14:editId="6A4C274E">
                <wp:simplePos x="0" y="0"/>
                <wp:positionH relativeFrom="column">
                  <wp:posOffset>2209800</wp:posOffset>
                </wp:positionH>
                <wp:positionV relativeFrom="paragraph">
                  <wp:posOffset>1824355</wp:posOffset>
                </wp:positionV>
                <wp:extent cx="1543050" cy="9525"/>
                <wp:effectExtent l="0" t="76200" r="19050" b="85725"/>
                <wp:wrapNone/>
                <wp:docPr id="208"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43050"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 o:spid="_x0000_s1026" type="#_x0000_t32" style="position:absolute;margin-left:174pt;margin-top:143.65pt;width:121.5pt;height:.75pt;flip: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">
                <v:stroke endarrow="block"/>
              </v:shape>
            </w:pict>
          </mc:Fallback>
        </mc:AlternateContent>
      </w:r>
      <w:r>
        <w:rPr>
          <w:noProof/>
        </w:rPr>
        <mc:AlternateContent>
          <mc:Choice Requires="wps">
            <w:drawing>
              <wp:anchor distT="0" distB="0" distL="114300" distR="114300" simplePos="0" relativeHeight="251699200" behindDoc="0" locked="0" layoutInCell="1" allowOverlap="1" wp14:anchorId="068CD28D" wp14:editId="63761E52">
                <wp:simplePos x="0" y="0"/>
                <wp:positionH relativeFrom="column">
                  <wp:posOffset>1790700</wp:posOffset>
                </wp:positionH>
                <wp:positionV relativeFrom="paragraph">
                  <wp:posOffset>2424430</wp:posOffset>
                </wp:positionV>
                <wp:extent cx="266700" cy="581025"/>
                <wp:effectExtent l="0" t="0" r="57150" b="47625"/>
                <wp:wrapNone/>
                <wp:docPr id="1380"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 cy="581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7" o:spid="_x0000_s1026" type="#_x0000_t32" style="position:absolute;margin-left:141pt;margin-top:190.9pt;width:21pt;height:45.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">
                <v:stroke endarrow="block"/>
              </v:shape>
            </w:pict>
          </mc:Fallback>
        </mc:AlternateContent>
      </w:r>
      <w:r w:rsidR="00912E35">
        <w:rPr>
          <w:rFonts w:ascii="Constantia" w:hAnsi="Constantia"/>
          <w:noProof/>
        </w:rPr>
        <w:drawing>
          <wp:inline distT="0" distB="0" distL="0" distR="0" wp14:anchorId="45762B59" wp14:editId="6169BCF6">
            <wp:extent cx="5934075" cy="4200525"/>
            <wp:effectExtent l="0" t="0" r="0" b="66675"/>
            <wp:docPr id="1355"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1" r:lo="rId152" r:qs="rId153" r:cs="rId154"/>
              </a:graphicData>
            </a:graphic>
          </wp:inline>
        </w:drawing>
      </w:r>
    </w:p>
    <w:p w:rsidR="00912E35" w:rsidRPr="00C71A05" w:rsidRDefault="00912E35" w:rsidP="00C71A05">
      <w:pPr>
        <w:pStyle w:val="Slika"/>
        <w:tabs>
          <w:tab w:val="left" w:pos="1080"/>
        </w:tabs>
        <w:ind w:left="360"/>
        <w:rPr>
          <w:rFonts w:ascii="Constantia" w:hAnsi="Constantia"/>
        </w:rPr>
      </w:pPr>
      <w:r w:rsidRPr="00C71A05">
        <w:rPr>
          <w:rFonts w:ascii="Constantia" w:hAnsi="Constantia"/>
        </w:rPr>
        <w:t>Međuodnos ljudskih aktivnosti i životne sredine</w:t>
      </w:r>
    </w:p>
    <w:p w:rsidR="00912E35" w:rsidRPr="00427FA0" w:rsidRDefault="00912E35" w:rsidP="00912E35">
      <w:pPr>
        <w:spacing w:line="276" w:lineRule="auto"/>
        <w:jc w:val="center"/>
        <w:rPr>
          <w:rFonts w:ascii="Constantia" w:hAnsi="Constantia"/>
          <w:sz w:val="20"/>
          <w:szCs w:val="22"/>
          <w:lang w:val="sr-Latn-CS"/>
        </w:rPr>
      </w:pPr>
    </w:p>
    <w:p w:rsidR="00912E35" w:rsidRPr="002D1EF3" w:rsidRDefault="00912E35" w:rsidP="00727E60">
      <w:pPr>
        <w:rPr>
          <w:rFonts w:ascii="Constantia" w:hAnsi="Constantia"/>
          <w:szCs w:val="22"/>
          <w:lang w:val="sr-Latn-CS"/>
        </w:rPr>
      </w:pPr>
      <w:r w:rsidRPr="00897A69">
        <w:rPr>
          <w:rFonts w:ascii="Constantia" w:hAnsi="Constantia"/>
          <w:b/>
          <w:szCs w:val="22"/>
          <w:lang w:val="sr-Latn-CS"/>
        </w:rPr>
        <w:t xml:space="preserve">DPSIR </w:t>
      </w:r>
      <w:r w:rsidRPr="00897A69">
        <w:rPr>
          <w:rFonts w:ascii="Constantia" w:hAnsi="Constantia"/>
          <w:szCs w:val="22"/>
          <w:lang w:val="sr-Latn-CS"/>
        </w:rPr>
        <w:t xml:space="preserve">model se zasniva na sve prisutnijem uticaju tzv. </w:t>
      </w:r>
      <w:r w:rsidRPr="00246AEC">
        <w:rPr>
          <w:rFonts w:ascii="Constantia" w:hAnsi="Constantia"/>
          <w:b/>
          <w:szCs w:val="22"/>
          <w:lang w:val="sr-Latn-CS"/>
        </w:rPr>
        <w:t>sektorskih</w:t>
      </w:r>
      <w:r w:rsidRPr="00897A69">
        <w:rPr>
          <w:rFonts w:ascii="Constantia" w:hAnsi="Constantia"/>
          <w:szCs w:val="22"/>
          <w:lang w:val="sr-Latn-CS"/>
        </w:rPr>
        <w:t xml:space="preserve"> </w:t>
      </w:r>
      <w:r w:rsidRPr="00427FA0">
        <w:rPr>
          <w:rFonts w:ascii="Constantia" w:hAnsi="Constantia"/>
          <w:b/>
          <w:szCs w:val="22"/>
          <w:lang w:val="sr-Latn-CS"/>
        </w:rPr>
        <w:t>pritisaka</w:t>
      </w:r>
      <w:r>
        <w:rPr>
          <w:rFonts w:ascii="Constantia" w:hAnsi="Constantia"/>
          <w:b/>
          <w:szCs w:val="22"/>
          <w:lang w:val="sr-Latn-CS"/>
        </w:rPr>
        <w:t xml:space="preserve"> </w:t>
      </w:r>
      <w:r w:rsidRPr="00897A69">
        <w:rPr>
          <w:rFonts w:ascii="Constantia" w:hAnsi="Constantia"/>
          <w:szCs w:val="22"/>
          <w:lang w:val="sr-Latn-CS"/>
        </w:rPr>
        <w:t>(</w:t>
      </w:r>
      <w:r w:rsidRPr="002D1EF3">
        <w:rPr>
          <w:rFonts w:ascii="Constantia" w:hAnsi="Constantia"/>
          <w:b/>
          <w:szCs w:val="22"/>
          <w:lang w:val="sr-Latn-CS"/>
        </w:rPr>
        <w:t xml:space="preserve">pokretački </w:t>
      </w:r>
      <w:r w:rsidRPr="00FE1CC4">
        <w:rPr>
          <w:rFonts w:ascii="Constantia" w:hAnsi="Constantia"/>
          <w:b/>
          <w:szCs w:val="22"/>
          <w:lang w:val="sr-Latn-CS"/>
        </w:rPr>
        <w:t>faktori</w:t>
      </w:r>
      <w:r>
        <w:rPr>
          <w:rFonts w:ascii="Constantia" w:hAnsi="Constantia"/>
          <w:szCs w:val="22"/>
          <w:lang w:val="sr-Latn-CS"/>
        </w:rPr>
        <w:t xml:space="preserve">: </w:t>
      </w:r>
      <w:r w:rsidRPr="00897A69">
        <w:rPr>
          <w:rFonts w:ascii="Constantia" w:hAnsi="Constantia"/>
          <w:szCs w:val="22"/>
          <w:lang w:val="sr-Latn-CS"/>
        </w:rPr>
        <w:t>urbanizacija, ekonomski rast, saobraćaj, broj stanovinka, industrija) na različite segmente životne sredine</w:t>
      </w:r>
      <w:r>
        <w:rPr>
          <w:rFonts w:ascii="Constantia" w:hAnsi="Constantia"/>
          <w:szCs w:val="22"/>
          <w:lang w:val="sr-Latn-CS"/>
        </w:rPr>
        <w:t xml:space="preserve"> – kroz </w:t>
      </w:r>
      <w:r w:rsidRPr="002D1EF3">
        <w:rPr>
          <w:rFonts w:ascii="Constantia" w:hAnsi="Constantia"/>
          <w:b/>
          <w:szCs w:val="22"/>
          <w:lang w:val="sr-Latn-CS"/>
        </w:rPr>
        <w:t>pritiske</w:t>
      </w:r>
      <w:r>
        <w:rPr>
          <w:rFonts w:ascii="Constantia" w:hAnsi="Constantia"/>
          <w:szCs w:val="22"/>
          <w:lang w:val="sr-Latn-CS"/>
        </w:rPr>
        <w:t xml:space="preserve"> izazvane ljudskim aktivnostima</w:t>
      </w:r>
      <w:r w:rsidRPr="00897A69">
        <w:rPr>
          <w:rFonts w:ascii="Constantia" w:hAnsi="Constantia"/>
          <w:szCs w:val="22"/>
          <w:lang w:val="sr-Latn-CS"/>
        </w:rPr>
        <w:t xml:space="preserve">, što neminovno dovodi do promjene </w:t>
      </w:r>
      <w:r w:rsidRPr="00427FA0">
        <w:rPr>
          <w:rFonts w:ascii="Constantia" w:hAnsi="Constantia"/>
          <w:b/>
          <w:szCs w:val="22"/>
          <w:lang w:val="sr-Latn-CS"/>
        </w:rPr>
        <w:t>stanja</w:t>
      </w:r>
      <w:r w:rsidRPr="00427FA0">
        <w:rPr>
          <w:rFonts w:ascii="Constantia" w:hAnsi="Constantia"/>
          <w:szCs w:val="22"/>
          <w:lang w:val="sr-Latn-CS"/>
        </w:rPr>
        <w:t xml:space="preserve"> životne sredine</w:t>
      </w:r>
      <w:r>
        <w:rPr>
          <w:rFonts w:ascii="Constantia" w:hAnsi="Constantia"/>
          <w:szCs w:val="22"/>
          <w:lang w:val="sr-Latn-CS"/>
        </w:rPr>
        <w:t>. Te p</w:t>
      </w:r>
      <w:r w:rsidRPr="00427FA0">
        <w:rPr>
          <w:rFonts w:ascii="Constantia" w:hAnsi="Constantia"/>
          <w:szCs w:val="22"/>
          <w:lang w:val="sr-Latn-CS"/>
        </w:rPr>
        <w:t xml:space="preserve">romjene </w:t>
      </w:r>
      <w:r w:rsidRPr="00897A69">
        <w:rPr>
          <w:rFonts w:ascii="Constantia" w:hAnsi="Constantia"/>
          <w:szCs w:val="22"/>
          <w:lang w:val="sr-Latn-CS"/>
        </w:rPr>
        <w:t>(zagađenost vaz</w:t>
      </w:r>
      <w:r>
        <w:rPr>
          <w:rFonts w:ascii="Constantia" w:hAnsi="Constantia"/>
          <w:szCs w:val="22"/>
          <w:lang w:val="sr-Latn-CS"/>
        </w:rPr>
        <w:t>duha,</w:t>
      </w:r>
      <w:r w:rsidRPr="00897A69">
        <w:rPr>
          <w:rFonts w:ascii="Constantia" w:hAnsi="Constantia"/>
          <w:szCs w:val="22"/>
          <w:lang w:val="sr-Latn-CS"/>
        </w:rPr>
        <w:t xml:space="preserve"> </w:t>
      </w:r>
      <w:r>
        <w:rPr>
          <w:rFonts w:ascii="Constantia" w:hAnsi="Constantia"/>
          <w:szCs w:val="22"/>
          <w:lang w:val="sr-Latn-CS"/>
        </w:rPr>
        <w:t xml:space="preserve">poplave, smanjeni prinosi...) </w:t>
      </w:r>
      <w:r w:rsidRPr="00DF408D">
        <w:rPr>
          <w:rFonts w:ascii="Constantia" w:hAnsi="Constantia"/>
          <w:szCs w:val="22"/>
          <w:lang w:val="sr-Latn-CS"/>
        </w:rPr>
        <w:t>utiču</w:t>
      </w:r>
      <w:r w:rsidRPr="00427FA0">
        <w:rPr>
          <w:rFonts w:ascii="Constantia" w:hAnsi="Constantia"/>
          <w:b/>
          <w:szCs w:val="22"/>
          <w:lang w:val="sr-Latn-CS"/>
        </w:rPr>
        <w:t xml:space="preserve"> </w:t>
      </w:r>
      <w:r w:rsidRPr="00897A69">
        <w:rPr>
          <w:rFonts w:ascii="Constantia" w:hAnsi="Constantia"/>
          <w:szCs w:val="22"/>
          <w:lang w:val="sr-Latn-CS"/>
        </w:rPr>
        <w:t>na ljudsko</w:t>
      </w:r>
      <w:r>
        <w:rPr>
          <w:rFonts w:ascii="Constantia" w:hAnsi="Constantia"/>
          <w:szCs w:val="22"/>
          <w:lang w:val="sr-Latn-CS"/>
        </w:rPr>
        <w:t xml:space="preserve"> zdravlje i opstanak ekosistema</w:t>
      </w:r>
      <w:r w:rsidRPr="00897A69">
        <w:rPr>
          <w:rFonts w:ascii="Constantia" w:hAnsi="Constantia"/>
          <w:szCs w:val="22"/>
          <w:lang w:val="sr-Latn-CS"/>
        </w:rPr>
        <w:t xml:space="preserve"> u životnoj sredini</w:t>
      </w:r>
      <w:r>
        <w:rPr>
          <w:rFonts w:ascii="Constantia" w:hAnsi="Constantia"/>
          <w:szCs w:val="22"/>
          <w:lang w:val="sr-Latn-CS"/>
        </w:rPr>
        <w:t xml:space="preserve">. Kako bi se nastalo </w:t>
      </w:r>
      <w:r w:rsidRPr="00897A69">
        <w:rPr>
          <w:rFonts w:ascii="Constantia" w:hAnsi="Constantia"/>
          <w:szCs w:val="22"/>
          <w:lang w:val="sr-Latn-CS"/>
        </w:rPr>
        <w:t xml:space="preserve">stanje saniralo neophodan je </w:t>
      </w:r>
      <w:r w:rsidRPr="00427FA0">
        <w:rPr>
          <w:rFonts w:ascii="Constantia" w:hAnsi="Constantia"/>
          <w:b/>
          <w:szCs w:val="22"/>
          <w:lang w:val="sr-Latn-CS"/>
        </w:rPr>
        <w:t>odgovor</w:t>
      </w:r>
      <w:r w:rsidRPr="00897A69">
        <w:rPr>
          <w:rFonts w:ascii="Constantia" w:hAnsi="Constantia"/>
          <w:szCs w:val="22"/>
          <w:lang w:val="sr-Latn-CS"/>
        </w:rPr>
        <w:t xml:space="preserve"> tj. set različitih mjera koje imaju za cilj smanjenje pritisaka na životnu sredinu i povratak na prethodno stanje tj. poboljšanje stanja.</w:t>
      </w:r>
    </w:p>
    <w:p w:rsidR="00912E35" w:rsidRDefault="00912E35" w:rsidP="00727E60">
      <w:pPr>
        <w:rPr>
          <w:rFonts w:ascii="Constantia" w:hAnsi="Constantia"/>
          <w:lang w:val="sr-Latn-CS"/>
        </w:rPr>
      </w:pPr>
      <w:r>
        <w:rPr>
          <w:rFonts w:ascii="Constantia" w:hAnsi="Constantia"/>
          <w:lang w:val="sr-Latn-CS"/>
        </w:rPr>
        <w:t xml:space="preserve">Nacionalni interes je i </w:t>
      </w:r>
      <w:r w:rsidRPr="00895789">
        <w:rPr>
          <w:rFonts w:ascii="Constantia" w:hAnsi="Constantia"/>
          <w:lang w:val="sr-Latn-CS"/>
        </w:rPr>
        <w:t xml:space="preserve">posjedovanje podataka koji </w:t>
      </w:r>
      <w:r>
        <w:rPr>
          <w:rFonts w:ascii="Constantia" w:hAnsi="Constantia"/>
          <w:lang w:val="sr-Latn-CS"/>
        </w:rPr>
        <w:t>se mogu koristiti za razmjenu s</w:t>
      </w:r>
      <w:r w:rsidR="00FE1CC4">
        <w:rPr>
          <w:rFonts w:ascii="Constantia" w:hAnsi="Constantia"/>
          <w:lang w:val="sr-Latn-CS"/>
        </w:rPr>
        <w:t>a</w:t>
      </w:r>
      <w:r>
        <w:rPr>
          <w:rFonts w:ascii="Constantia" w:hAnsi="Constantia"/>
          <w:lang w:val="sr-Latn-CS"/>
        </w:rPr>
        <w:t xml:space="preserve"> odgova</w:t>
      </w:r>
      <w:r w:rsidRPr="00895789">
        <w:rPr>
          <w:rFonts w:ascii="Constantia" w:hAnsi="Constantia"/>
          <w:lang w:val="sr-Latn-CS"/>
        </w:rPr>
        <w:t>rajućim institucijama i nacionalnim centrima u susjednim zemljama, kao i sa Evropskom agencijom za životnu sredinu u okviru međunarodnih obaveza i konvencija.</w:t>
      </w:r>
    </w:p>
    <w:p w:rsidR="00912E35" w:rsidRDefault="00912E35" w:rsidP="00727E60">
      <w:pPr>
        <w:rPr>
          <w:rFonts w:ascii="Constantia" w:hAnsi="Constantia"/>
          <w:lang w:val="sr-Latn-CS"/>
        </w:rPr>
      </w:pPr>
      <w:r>
        <w:rPr>
          <w:rFonts w:ascii="Constantia" w:hAnsi="Constantia"/>
          <w:lang w:val="sr-Latn-CS"/>
        </w:rPr>
        <w:t>U</w:t>
      </w:r>
      <w:r w:rsidRPr="00560500">
        <w:rPr>
          <w:rFonts w:ascii="Constantia" w:hAnsi="Constantia"/>
          <w:lang w:val="sr-Latn-CS"/>
        </w:rPr>
        <w:t xml:space="preserve"> okviru ovog izvjestaja </w:t>
      </w:r>
      <w:r>
        <w:rPr>
          <w:rFonts w:ascii="Constantia" w:hAnsi="Constantia"/>
          <w:lang w:val="sr-Latn-CS"/>
        </w:rPr>
        <w:t>su predstavljeni neki indikatori</w:t>
      </w:r>
      <w:r w:rsidRPr="00560500">
        <w:rPr>
          <w:rFonts w:ascii="Constantia" w:hAnsi="Constantia"/>
          <w:lang w:val="sr-Latn-CS"/>
        </w:rPr>
        <w:t xml:space="preserve"> sektorskih pritisaka na životnu sredinu iz oblasti </w:t>
      </w:r>
      <w:r w:rsidRPr="00560500">
        <w:rPr>
          <w:rFonts w:ascii="Constantia" w:hAnsi="Constantia"/>
          <w:b/>
          <w:lang w:val="sr-Latn-CS"/>
        </w:rPr>
        <w:t xml:space="preserve">energetike, saobraćaja </w:t>
      </w:r>
      <w:r w:rsidRPr="0036615C">
        <w:rPr>
          <w:rFonts w:ascii="Constantia" w:hAnsi="Constantia"/>
          <w:lang w:val="sr-Latn-CS"/>
        </w:rPr>
        <w:t>i</w:t>
      </w:r>
      <w:r w:rsidRPr="00560500">
        <w:rPr>
          <w:rFonts w:ascii="Constantia" w:hAnsi="Constantia"/>
          <w:b/>
          <w:lang w:val="sr-Latn-CS"/>
        </w:rPr>
        <w:t xml:space="preserve"> turizma</w:t>
      </w:r>
      <w:r w:rsidRPr="00560500">
        <w:rPr>
          <w:rFonts w:ascii="Constantia" w:hAnsi="Constantia"/>
          <w:lang w:val="sr-Latn-CS"/>
        </w:rPr>
        <w:t>.</w:t>
      </w:r>
    </w:p>
    <w:p w:rsidR="00912E35" w:rsidRPr="00487CF9" w:rsidRDefault="00912E35" w:rsidP="008315C2">
      <w:pPr>
        <w:pStyle w:val="Heading2"/>
        <w:numPr>
          <w:ilvl w:val="1"/>
          <w:numId w:val="52"/>
        </w:numPr>
        <w:ind w:left="720"/>
      </w:pPr>
      <w:bookmarkStart w:id="341" w:name="_Toc393897968"/>
      <w:r w:rsidRPr="00560500">
        <w:t>Energetika</w:t>
      </w:r>
      <w:r w:rsidRPr="007A7155">
        <w:rPr>
          <w:rStyle w:val="FootnoteReference"/>
          <w:rFonts w:ascii="Constantia" w:hAnsi="Constantia"/>
          <w:szCs w:val="22"/>
        </w:rPr>
        <w:footnoteReference w:id="14"/>
      </w:r>
      <w:bookmarkEnd w:id="341"/>
    </w:p>
    <w:p w:rsidR="00912E35" w:rsidRPr="00352D91" w:rsidRDefault="00912E35" w:rsidP="00482868">
      <w:pPr>
        <w:rPr>
          <w:rFonts w:ascii="Constantia" w:hAnsi="Constantia"/>
          <w:szCs w:val="22"/>
        </w:rPr>
      </w:pPr>
      <w:r w:rsidRPr="00352D91">
        <w:rPr>
          <w:rFonts w:ascii="Constantia" w:hAnsi="Constantia"/>
          <w:szCs w:val="22"/>
          <w:lang w:val="sr-Latn-CS"/>
        </w:rPr>
        <w:t>Sektor energetike značajno zagađuje životnu sredinu. U skladu s metodologijom Evropske agencije za životnu sredinu</w:t>
      </w:r>
      <w:r w:rsidR="00487CF9" w:rsidRPr="00352D91">
        <w:rPr>
          <w:rFonts w:ascii="Constantia" w:hAnsi="Constantia"/>
          <w:szCs w:val="22"/>
          <w:lang w:val="sr-Latn-CS"/>
        </w:rPr>
        <w:t>,</w:t>
      </w:r>
      <w:r w:rsidRPr="00352D91">
        <w:rPr>
          <w:rFonts w:ascii="Constantia" w:hAnsi="Constantia"/>
          <w:szCs w:val="22"/>
          <w:lang w:val="sr-Latn-CS"/>
        </w:rPr>
        <w:t xml:space="preserve"> i međunarodno priznatim </w:t>
      </w:r>
      <w:r w:rsidR="00487CF9" w:rsidRPr="00352D91">
        <w:rPr>
          <w:rFonts w:ascii="Constantia" w:hAnsi="Constantia"/>
          <w:szCs w:val="22"/>
          <w:lang w:val="sr-Latn-CS"/>
        </w:rPr>
        <w:t xml:space="preserve">DPSIR </w:t>
      </w:r>
      <w:r w:rsidRPr="00352D91">
        <w:rPr>
          <w:rFonts w:ascii="Constantia" w:hAnsi="Constantia"/>
          <w:szCs w:val="22"/>
          <w:lang w:val="sr-Latn-CS"/>
        </w:rPr>
        <w:t xml:space="preserve">modelom, </w:t>
      </w:r>
      <w:r w:rsidRPr="00352D91">
        <w:rPr>
          <w:rFonts w:ascii="Constantia" w:hAnsi="Constantia"/>
          <w:b/>
          <w:szCs w:val="22"/>
          <w:lang w:val="sr-Latn-CS"/>
        </w:rPr>
        <w:t xml:space="preserve">energetika </w:t>
      </w:r>
      <w:r w:rsidRPr="00352D91">
        <w:rPr>
          <w:rFonts w:ascii="Constantia" w:hAnsi="Constantia"/>
          <w:szCs w:val="22"/>
          <w:lang w:val="sr-Latn-CS"/>
        </w:rPr>
        <w:t xml:space="preserve">kao sektor pripada grupi </w:t>
      </w:r>
      <w:r w:rsidRPr="00352D91">
        <w:rPr>
          <w:rFonts w:ascii="Constantia" w:hAnsi="Constantia"/>
          <w:b/>
          <w:szCs w:val="22"/>
          <w:lang w:val="sr-Latn-CS"/>
        </w:rPr>
        <w:t>pokretačkih faktora</w:t>
      </w:r>
      <w:r w:rsidRPr="00352D91">
        <w:rPr>
          <w:rFonts w:ascii="Constantia" w:hAnsi="Constantia"/>
          <w:szCs w:val="22"/>
          <w:lang w:val="sr-Latn-CS"/>
        </w:rPr>
        <w:t xml:space="preserve">, tj. osnovnih pokretača negativnih uticaja na </w:t>
      </w:r>
      <w:r w:rsidRPr="00352D91">
        <w:rPr>
          <w:rFonts w:ascii="Constantia" w:hAnsi="Constantia"/>
          <w:szCs w:val="22"/>
          <w:lang w:val="sr-Latn-CS"/>
        </w:rPr>
        <w:lastRenderedPageBreak/>
        <w:t xml:space="preserve">životnu sredinu </w:t>
      </w:r>
      <w:r w:rsidRPr="00352D91">
        <w:rPr>
          <w:rFonts w:ascii="Constantia" w:hAnsi="Constantia"/>
          <w:szCs w:val="22"/>
        </w:rPr>
        <w:t xml:space="preserve">(zagađenje životne sredine). U Crnoj Gori nepovoljni uticaji uglavnom dolaze iz elektrana koje koriste ugalj kao gorivo. Proizvodnja i potrošnja energije su uglavnom zasnovani na upotrebi uglja. </w:t>
      </w:r>
    </w:p>
    <w:p w:rsidR="00912E35" w:rsidRPr="00352D91" w:rsidRDefault="00912E35" w:rsidP="00482868">
      <w:pPr>
        <w:rPr>
          <w:rFonts w:ascii="Constantia" w:hAnsi="Constantia"/>
          <w:szCs w:val="22"/>
        </w:rPr>
      </w:pPr>
      <w:r w:rsidRPr="00352D91">
        <w:rPr>
          <w:rFonts w:ascii="Constantia" w:hAnsi="Constantia"/>
          <w:szCs w:val="22"/>
        </w:rPr>
        <w:t xml:space="preserve">Na privredni </w:t>
      </w:r>
      <w:r w:rsidR="0068555E" w:rsidRPr="00352D91">
        <w:rPr>
          <w:rFonts w:ascii="Constantia" w:hAnsi="Constantia"/>
          <w:szCs w:val="22"/>
        </w:rPr>
        <w:t>si</w:t>
      </w:r>
      <w:r w:rsidR="00807F98" w:rsidRPr="00352D91">
        <w:rPr>
          <w:rFonts w:ascii="Constantia" w:hAnsi="Constantia"/>
          <w:szCs w:val="22"/>
        </w:rPr>
        <w:t>stem, kao</w:t>
      </w:r>
      <w:r w:rsidRPr="00352D91">
        <w:rPr>
          <w:rFonts w:ascii="Constantia" w:hAnsi="Constantia"/>
          <w:szCs w:val="22"/>
        </w:rPr>
        <w:t xml:space="preserve"> i ukupan kvalitet života u nekoj zemlji, direktno utiče nivo razvijenosti energetskog sektora. Samim tim, prirodno je očekivati da se razvoj energetskog sektora zasniva na što bolj</w:t>
      </w:r>
      <w:r w:rsidR="00807F98" w:rsidRPr="00352D91">
        <w:rPr>
          <w:rFonts w:ascii="Constantia" w:hAnsi="Constantia"/>
          <w:szCs w:val="22"/>
        </w:rPr>
        <w:t>oj</w:t>
      </w:r>
      <w:r w:rsidRPr="00352D91">
        <w:rPr>
          <w:rFonts w:ascii="Constantia" w:hAnsi="Constantia"/>
          <w:szCs w:val="22"/>
        </w:rPr>
        <w:t xml:space="preserve"> i efikasnij</w:t>
      </w:r>
      <w:r w:rsidR="00807F98" w:rsidRPr="00352D91">
        <w:rPr>
          <w:rFonts w:ascii="Constantia" w:hAnsi="Constantia"/>
          <w:szCs w:val="22"/>
        </w:rPr>
        <w:t>oj</w:t>
      </w:r>
      <w:r w:rsidRPr="00352D91">
        <w:rPr>
          <w:rFonts w:ascii="Constantia" w:hAnsi="Constantia"/>
          <w:szCs w:val="22"/>
        </w:rPr>
        <w:t xml:space="preserve"> iskorišćen</w:t>
      </w:r>
      <w:r w:rsidR="00807F98" w:rsidRPr="00352D91">
        <w:rPr>
          <w:rFonts w:ascii="Constantia" w:hAnsi="Constantia"/>
          <w:szCs w:val="22"/>
        </w:rPr>
        <w:t>osti</w:t>
      </w:r>
      <w:r w:rsidRPr="00352D91">
        <w:rPr>
          <w:rFonts w:ascii="Constantia" w:hAnsi="Constantia"/>
          <w:szCs w:val="22"/>
        </w:rPr>
        <w:t xml:space="preserve"> sopstvenih resursa.</w:t>
      </w:r>
    </w:p>
    <w:p w:rsidR="00912E35" w:rsidRPr="00352D91" w:rsidRDefault="00912E35" w:rsidP="00482868">
      <w:pPr>
        <w:rPr>
          <w:rFonts w:ascii="Constantia" w:hAnsi="Constantia"/>
          <w:szCs w:val="22"/>
        </w:rPr>
      </w:pPr>
      <w:r w:rsidRPr="00352D91">
        <w:rPr>
          <w:rFonts w:ascii="Constantia" w:hAnsi="Constantia"/>
          <w:szCs w:val="22"/>
        </w:rPr>
        <w:t>Tokom 2010. godine ostvaren je visok stepen sigurnosti rada elektro-energetskog sistema Crne Gore i pouzdanosti napajanja potrošača. Do toga je dovela rekordna proizvodnja elektrana od njihovog puštanja u pogon</w:t>
      </w:r>
      <w:r w:rsidR="00C93B90" w:rsidRPr="00352D91">
        <w:rPr>
          <w:rFonts w:ascii="Constantia" w:hAnsi="Constantia"/>
          <w:szCs w:val="22"/>
        </w:rPr>
        <w:t>,</w:t>
      </w:r>
      <w:r w:rsidRPr="00352D91">
        <w:rPr>
          <w:rFonts w:ascii="Constantia" w:hAnsi="Constantia"/>
          <w:szCs w:val="22"/>
        </w:rPr>
        <w:t xml:space="preserve"> zahvaljujući izuzetnoj pogonskoj spremnosti hidroelektrana u vrijeme povoljnih hidroloških prilika i visokih dotoka.</w:t>
      </w:r>
    </w:p>
    <w:p w:rsidR="00912E35" w:rsidRPr="00352D91" w:rsidRDefault="00912E35" w:rsidP="00482868">
      <w:pPr>
        <w:rPr>
          <w:rFonts w:ascii="Constantia" w:hAnsi="Constantia"/>
          <w:szCs w:val="22"/>
        </w:rPr>
      </w:pPr>
      <w:r w:rsidRPr="00352D91">
        <w:rPr>
          <w:rFonts w:ascii="Constantia" w:hAnsi="Constantia"/>
          <w:szCs w:val="22"/>
        </w:rPr>
        <w:t>Ukupna ostvarena proizvodnja električne energije u Crnoj Gori u 2010. godini iznosila je 4</w:t>
      </w:r>
      <w:r w:rsidR="000B23AF" w:rsidRPr="00352D91">
        <w:rPr>
          <w:rFonts w:ascii="Constantia" w:hAnsi="Constantia"/>
          <w:szCs w:val="22"/>
        </w:rPr>
        <w:t xml:space="preserve"> </w:t>
      </w:r>
      <w:r w:rsidRPr="00352D91">
        <w:rPr>
          <w:rFonts w:ascii="Constantia" w:hAnsi="Constantia"/>
          <w:szCs w:val="22"/>
        </w:rPr>
        <w:t>022 GWh, što je u odnosu na 2009. godinu više za 1262 GWh, odnosno za 45%. Jedan od glavnih razloga za viši nivo proizvodnje jeste nivo proizvodnje koji je postignut u TE Pljevlja pod standardnim uslovima rada, nakon zastoja od šest mjeseci u 2009. godini. Samim tim</w:t>
      </w:r>
      <w:r w:rsidR="000B23AF" w:rsidRPr="00352D91">
        <w:rPr>
          <w:rFonts w:ascii="Constantia" w:hAnsi="Constantia"/>
          <w:szCs w:val="22"/>
        </w:rPr>
        <w:t>,</w:t>
      </w:r>
      <w:r w:rsidRPr="00352D91">
        <w:rPr>
          <w:rFonts w:ascii="Constantia" w:hAnsi="Constantia"/>
          <w:szCs w:val="22"/>
        </w:rPr>
        <w:t xml:space="preserve"> došlo je do smanjenja uvozne zavisnosti (419 GWh manje, odnosno 37% manje nego u 2009. godini). </w:t>
      </w:r>
    </w:p>
    <w:p w:rsidR="00912E35" w:rsidRPr="00153F1A" w:rsidRDefault="00912E35" w:rsidP="00153F1A">
      <w:pPr>
        <w:rPr>
          <w:rFonts w:ascii="Constantia" w:hAnsi="Constantia"/>
          <w:szCs w:val="22"/>
          <w:lang w:val="sr-Latn-ME"/>
        </w:rPr>
      </w:pPr>
      <w:r w:rsidRPr="00352D91">
        <w:rPr>
          <w:rFonts w:ascii="Constantia" w:hAnsi="Constantia"/>
          <w:szCs w:val="22"/>
        </w:rPr>
        <w:t>U 2012. godini ostvarena proizvodnja elektri</w:t>
      </w:r>
      <w:r w:rsidRPr="00352D91">
        <w:rPr>
          <w:rFonts w:ascii="Constantia" w:hAnsi="Constantia"/>
          <w:szCs w:val="22"/>
          <w:lang w:val="sr-Latn-ME"/>
        </w:rPr>
        <w:t>čne energije iznosila je 2</w:t>
      </w:r>
      <w:r w:rsidR="000B23AF" w:rsidRPr="00352D91">
        <w:rPr>
          <w:rFonts w:ascii="Constantia" w:hAnsi="Constantia"/>
          <w:szCs w:val="22"/>
          <w:lang w:val="sr-Latn-ME"/>
        </w:rPr>
        <w:t xml:space="preserve"> </w:t>
      </w:r>
      <w:r w:rsidRPr="00352D91">
        <w:rPr>
          <w:rFonts w:ascii="Constantia" w:hAnsi="Constantia"/>
          <w:szCs w:val="22"/>
          <w:lang w:val="sr-Latn-ME"/>
        </w:rPr>
        <w:t>715,1 GWh što je na nivou proizvodnje u 2009. godini. Uvezeno je 964,3 GWh električne energije. Od 2001</w:t>
      </w:r>
      <w:r w:rsidR="000B23AF" w:rsidRPr="00352D91">
        <w:rPr>
          <w:rFonts w:ascii="Constantia" w:hAnsi="Constantia"/>
          <w:szCs w:val="22"/>
          <w:lang w:val="sr-Latn-ME"/>
        </w:rPr>
        <w:t>-</w:t>
      </w:r>
      <w:r w:rsidRPr="00352D91">
        <w:rPr>
          <w:rFonts w:ascii="Constantia" w:hAnsi="Constantia"/>
          <w:szCs w:val="22"/>
          <w:lang w:val="sr-Latn-ME"/>
        </w:rPr>
        <w:t>2007 godine dešava se trend rasta uvozne zaviosnosti (38 % - 53%);  od 2007</w:t>
      </w:r>
      <w:r w:rsidR="000B23AF" w:rsidRPr="00352D91">
        <w:rPr>
          <w:rFonts w:ascii="Constantia" w:hAnsi="Constantia"/>
          <w:szCs w:val="22"/>
          <w:lang w:val="sr-Latn-ME"/>
        </w:rPr>
        <w:t>-</w:t>
      </w:r>
      <w:r w:rsidRPr="00352D91">
        <w:rPr>
          <w:rFonts w:ascii="Constantia" w:hAnsi="Constantia"/>
          <w:szCs w:val="22"/>
          <w:lang w:val="sr-Latn-ME"/>
        </w:rPr>
        <w:t xml:space="preserve">2010. godine pada na 21% i ponovo bilježi porast   </w:t>
      </w:r>
      <w:r w:rsidRPr="00352D91">
        <w:rPr>
          <w:rFonts w:ascii="Times New Roman" w:hAnsi="Times New Roman"/>
          <w:szCs w:val="22"/>
          <w:lang w:val="sr-Latn-ME"/>
        </w:rPr>
        <w:t>̴</w:t>
      </w:r>
      <w:r w:rsidR="000B23AF" w:rsidRPr="00352D91">
        <w:rPr>
          <w:rFonts w:ascii="Constantia" w:hAnsi="Constantia"/>
          <w:szCs w:val="22"/>
          <w:lang w:val="sr-Latn-ME"/>
        </w:rPr>
        <w:t>38</w:t>
      </w:r>
      <w:r w:rsidRPr="00352D91">
        <w:rPr>
          <w:rFonts w:ascii="Constantia" w:hAnsi="Constantia"/>
          <w:szCs w:val="22"/>
          <w:lang w:val="sr-Latn-ME"/>
        </w:rPr>
        <w:t>% (2012</w:t>
      </w:r>
      <w:r w:rsidR="000B23AF" w:rsidRPr="00352D91">
        <w:rPr>
          <w:rFonts w:ascii="Constantia" w:hAnsi="Constantia"/>
          <w:szCs w:val="22"/>
          <w:lang w:val="sr-Latn-ME"/>
        </w:rPr>
        <w:t>.</w:t>
      </w:r>
      <w:r w:rsidRPr="00352D91">
        <w:rPr>
          <w:rFonts w:ascii="Constantia" w:hAnsi="Constantia"/>
          <w:szCs w:val="22"/>
          <w:lang w:val="sr-Latn-ME"/>
        </w:rPr>
        <w:t xml:space="preserve"> u odnosu na 2010</w:t>
      </w:r>
      <w:r w:rsidR="00153F1A">
        <w:rPr>
          <w:rFonts w:ascii="Constantia" w:hAnsi="Constantia"/>
          <w:szCs w:val="22"/>
          <w:lang w:val="sr-Latn-ME"/>
        </w:rPr>
        <w:t>.godinu</w:t>
      </w:r>
      <w:r w:rsidRPr="00352D91">
        <w:rPr>
          <w:rFonts w:ascii="Constantia" w:hAnsi="Constantia"/>
          <w:szCs w:val="22"/>
          <w:lang w:val="sr-Latn-ME"/>
        </w:rPr>
        <w:t>).</w:t>
      </w:r>
    </w:p>
    <w:p w:rsidR="00912E35" w:rsidRPr="005E4028" w:rsidRDefault="00CD4082" w:rsidP="00A24FC2">
      <w:pPr>
        <w:pStyle w:val="Heading3"/>
      </w:pPr>
      <w:bookmarkStart w:id="342" w:name="_Toc393897969"/>
      <w:r>
        <w:t>10</w:t>
      </w:r>
      <w:r w:rsidR="00A24FC2">
        <w:t xml:space="preserve">.3.1  </w:t>
      </w:r>
      <w:r w:rsidR="00912E35" w:rsidRPr="00560500">
        <w:t>Potrošnja primarne energije po energentima</w:t>
      </w:r>
      <w:bookmarkEnd w:id="342"/>
      <w:r w:rsidR="00912E35">
        <w:tab/>
      </w:r>
    </w:p>
    <w:p w:rsidR="00912E35" w:rsidRPr="005E4028" w:rsidRDefault="00912E35" w:rsidP="00482868">
      <w:pPr>
        <w:spacing w:before="240"/>
        <w:rPr>
          <w:rFonts w:ascii="Constantia" w:hAnsi="Constantia"/>
        </w:rPr>
      </w:pPr>
      <w:r w:rsidRPr="00897A69">
        <w:rPr>
          <w:rFonts w:ascii="Constantia" w:hAnsi="Constantia"/>
        </w:rPr>
        <w:t>Ukup</w:t>
      </w:r>
      <w:r>
        <w:rPr>
          <w:rFonts w:ascii="Constantia" w:hAnsi="Constantia"/>
        </w:rPr>
        <w:t>na potrošnja primarne energije predstavlja</w:t>
      </w:r>
      <w:r w:rsidRPr="00895789">
        <w:rPr>
          <w:rFonts w:ascii="Constantia" w:hAnsi="Constantia"/>
        </w:rPr>
        <w:t xml:space="preserve"> potrebnu količinu energije da se zadovolji potrošnja u Crnoj Gori. </w:t>
      </w:r>
    </w:p>
    <w:p w:rsidR="00912E35" w:rsidRPr="005E4028" w:rsidRDefault="00912E35" w:rsidP="00482868">
      <w:pPr>
        <w:rPr>
          <w:rFonts w:ascii="Constantia" w:hAnsi="Constantia"/>
        </w:rPr>
      </w:pPr>
      <w:r w:rsidRPr="00895789">
        <w:rPr>
          <w:rFonts w:ascii="Constantia" w:hAnsi="Constantia"/>
        </w:rPr>
        <w:t>Indikator se izračunava kao zbir bruto potrošnje svih energenata koji se grupišu u sl</w:t>
      </w:r>
      <w:r w:rsidRPr="00897A69">
        <w:rPr>
          <w:rFonts w:ascii="Constantia" w:hAnsi="Constantia"/>
        </w:rPr>
        <w:t>edeće kategorije: ugalj, nafta i naftni derivati, obnovl</w:t>
      </w:r>
      <w:r w:rsidR="008B071F">
        <w:rPr>
          <w:rFonts w:ascii="Constantia" w:hAnsi="Constantia"/>
        </w:rPr>
        <w:t>jivi izvori energije</w:t>
      </w:r>
      <w:r>
        <w:rPr>
          <w:rFonts w:ascii="Constantia" w:hAnsi="Constantia"/>
        </w:rPr>
        <w:t xml:space="preserve"> i ostali energenti</w:t>
      </w:r>
      <w:r w:rsidRPr="00897A69">
        <w:rPr>
          <w:rFonts w:ascii="Constantia" w:hAnsi="Constantia"/>
        </w:rPr>
        <w:t>.</w:t>
      </w:r>
    </w:p>
    <w:p w:rsidR="00912E35" w:rsidRPr="005E4028" w:rsidRDefault="008B071F" w:rsidP="00482868">
      <w:pPr>
        <w:rPr>
          <w:rFonts w:ascii="Constantia" w:hAnsi="Constantia"/>
        </w:rPr>
      </w:pPr>
      <w:r>
        <w:rPr>
          <w:rFonts w:ascii="Constantia" w:hAnsi="Constantia"/>
        </w:rPr>
        <w:t>Kategorija “</w:t>
      </w:r>
      <w:r w:rsidR="00912E35">
        <w:rPr>
          <w:rFonts w:ascii="Constantia" w:hAnsi="Constantia"/>
        </w:rPr>
        <w:t>ostali</w:t>
      </w:r>
      <w:r>
        <w:rPr>
          <w:rFonts w:ascii="Constantia" w:hAnsi="Constantia"/>
        </w:rPr>
        <w:t>”</w:t>
      </w:r>
      <w:r w:rsidR="00912E35" w:rsidRPr="00895789">
        <w:rPr>
          <w:rFonts w:ascii="Constantia" w:hAnsi="Constantia"/>
        </w:rPr>
        <w:t xml:space="preserve"> obuhvata energiju dobijenu iz industrijskog otpada </w:t>
      </w:r>
      <w:r>
        <w:rPr>
          <w:rFonts w:ascii="Constantia" w:hAnsi="Constantia"/>
        </w:rPr>
        <w:t>i neto uvoz struje. Kategorija “</w:t>
      </w:r>
      <w:r w:rsidR="00912E35" w:rsidRPr="00895789">
        <w:rPr>
          <w:rFonts w:ascii="Constantia" w:hAnsi="Constantia"/>
        </w:rPr>
        <w:t>obnovljivi i</w:t>
      </w:r>
      <w:r>
        <w:rPr>
          <w:rFonts w:ascii="Constantia" w:hAnsi="Constantia"/>
        </w:rPr>
        <w:t>zvori energije”</w:t>
      </w:r>
      <w:r w:rsidR="00912E35">
        <w:rPr>
          <w:rFonts w:ascii="Constantia" w:hAnsi="Constantia"/>
        </w:rPr>
        <w:t xml:space="preserve"> (OIE) obuhvata</w:t>
      </w:r>
      <w:r w:rsidR="00912E35" w:rsidRPr="00895789">
        <w:rPr>
          <w:rFonts w:ascii="Constantia" w:hAnsi="Constantia"/>
        </w:rPr>
        <w:t xml:space="preserve"> hidroenergiju i biomasu u vidu drvnog otpada.</w:t>
      </w:r>
    </w:p>
    <w:p w:rsidR="00912E35" w:rsidRPr="005E4028" w:rsidRDefault="00912E35" w:rsidP="00482868">
      <w:pPr>
        <w:rPr>
          <w:rFonts w:ascii="Constantia" w:hAnsi="Constantia"/>
        </w:rPr>
      </w:pPr>
      <w:r w:rsidRPr="00897A69">
        <w:rPr>
          <w:rFonts w:ascii="Constantia" w:hAnsi="Constantia"/>
        </w:rPr>
        <w:t>Indikator prati trend potrošnje energije po energentima</w:t>
      </w:r>
      <w:r>
        <w:rPr>
          <w:rFonts w:ascii="Constantia" w:hAnsi="Constantia"/>
        </w:rPr>
        <w:t>,</w:t>
      </w:r>
      <w:r w:rsidR="004E10EC">
        <w:rPr>
          <w:rFonts w:ascii="Constantia" w:hAnsi="Constantia"/>
        </w:rPr>
        <w:t xml:space="preserve"> a time I </w:t>
      </w:r>
      <w:r w:rsidRPr="00895789">
        <w:rPr>
          <w:rFonts w:ascii="Constantia" w:hAnsi="Constantia"/>
        </w:rPr>
        <w:t>sprovođenje politike energetske efikasnosti i očuvanja energije.</w:t>
      </w:r>
    </w:p>
    <w:p w:rsidR="00912E35" w:rsidRPr="005E4028" w:rsidRDefault="00912E35" w:rsidP="00482868">
      <w:pPr>
        <w:rPr>
          <w:rFonts w:ascii="Constantia" w:hAnsi="Constantia"/>
        </w:rPr>
      </w:pPr>
      <w:r w:rsidRPr="00895789">
        <w:rPr>
          <w:rFonts w:ascii="Constantia" w:hAnsi="Constantia"/>
        </w:rPr>
        <w:t xml:space="preserve">Relativno učešće pojedinačnih energenata mjeri se odnosom između potrošnje energije porijeklom iz tog energenta i ukupne potrošnje primarne energije, a izračunava se za kalendarsku godinu. </w:t>
      </w:r>
    </w:p>
    <w:p w:rsidR="00912E35" w:rsidRPr="005E4028" w:rsidRDefault="00912E35" w:rsidP="00482868">
      <w:pPr>
        <w:rPr>
          <w:rFonts w:ascii="Constantia" w:hAnsi="Constantia"/>
        </w:rPr>
      </w:pPr>
      <w:r w:rsidRPr="00897A69">
        <w:rPr>
          <w:rFonts w:ascii="Constantia" w:hAnsi="Constantia"/>
        </w:rPr>
        <w:t>Potrošnja energije zahtijeva proizvodnju energi</w:t>
      </w:r>
      <w:r>
        <w:rPr>
          <w:rFonts w:ascii="Constantia" w:hAnsi="Constantia"/>
        </w:rPr>
        <w:t>je koja je tijesno povezana s</w:t>
      </w:r>
      <w:r w:rsidR="00F42B03">
        <w:rPr>
          <w:rFonts w:ascii="Constantia" w:hAnsi="Constantia"/>
        </w:rPr>
        <w:t>a</w:t>
      </w:r>
      <w:r w:rsidRPr="00895789">
        <w:rPr>
          <w:rFonts w:ascii="Constantia" w:hAnsi="Constantia"/>
        </w:rPr>
        <w:t xml:space="preserve"> emisijom polutanata i gasova staklene bašte u atmosferu. Emisije gasova staklene bašte negativno utiču na klimatske promjene</w:t>
      </w:r>
      <w:r>
        <w:rPr>
          <w:rFonts w:ascii="Constantia" w:hAnsi="Constantia"/>
        </w:rPr>
        <w:t>,</w:t>
      </w:r>
      <w:r w:rsidRPr="00895789">
        <w:rPr>
          <w:rFonts w:ascii="Constantia" w:hAnsi="Constantia"/>
        </w:rPr>
        <w:t xml:space="preserve"> te povećanje pojava ekstremnih hidro</w:t>
      </w:r>
      <w:r w:rsidR="00F42B03">
        <w:rPr>
          <w:rFonts w:ascii="Constantia" w:hAnsi="Constantia"/>
        </w:rPr>
        <w:t>-</w:t>
      </w:r>
      <w:r w:rsidRPr="00895789">
        <w:rPr>
          <w:rFonts w:ascii="Constantia" w:hAnsi="Constantia"/>
        </w:rPr>
        <w:t>meteoroloških pojava - suša, poplava i talasa ekstremnih temperatura. Proizvodnja električne i toplotne energije je</w:t>
      </w:r>
      <w:r>
        <w:rPr>
          <w:rFonts w:ascii="Constantia" w:hAnsi="Constantia"/>
        </w:rPr>
        <w:t>,</w:t>
      </w:r>
      <w:r w:rsidRPr="00895789">
        <w:rPr>
          <w:rFonts w:ascii="Constantia" w:hAnsi="Constantia"/>
        </w:rPr>
        <w:t xml:space="preserve"> takođe</w:t>
      </w:r>
      <w:r>
        <w:rPr>
          <w:rFonts w:ascii="Constantia" w:hAnsi="Constantia"/>
        </w:rPr>
        <w:t>,</w:t>
      </w:r>
      <w:r w:rsidRPr="00895789">
        <w:rPr>
          <w:rFonts w:ascii="Constantia" w:hAnsi="Constantia"/>
        </w:rPr>
        <w:t xml:space="preserve"> praćena zagađenjem vazduha, što za posledicu ima povećanje uč</w:t>
      </w:r>
      <w:r w:rsidR="00F42B03">
        <w:rPr>
          <w:rFonts w:ascii="Constantia" w:hAnsi="Constantia"/>
        </w:rPr>
        <w:t>estalosti respiratornih problema</w:t>
      </w:r>
      <w:r w:rsidRPr="00895789">
        <w:rPr>
          <w:rFonts w:ascii="Constantia" w:hAnsi="Constantia"/>
        </w:rPr>
        <w:t xml:space="preserve"> i alergija, astme i smanjenog imuniteta.</w:t>
      </w:r>
    </w:p>
    <w:p w:rsidR="00912E35" w:rsidRPr="005E4028" w:rsidRDefault="00912E35" w:rsidP="00482868">
      <w:pPr>
        <w:rPr>
          <w:rFonts w:ascii="Constantia" w:hAnsi="Constantia"/>
        </w:rPr>
      </w:pPr>
      <w:r w:rsidRPr="00897A69">
        <w:rPr>
          <w:rFonts w:ascii="Constantia" w:hAnsi="Constantia"/>
        </w:rPr>
        <w:t>U  modelu DPS</w:t>
      </w:r>
      <w:r>
        <w:rPr>
          <w:rFonts w:ascii="Constantia" w:hAnsi="Constantia"/>
        </w:rPr>
        <w:t>I</w:t>
      </w:r>
      <w:r w:rsidRPr="00897A69">
        <w:rPr>
          <w:rFonts w:ascii="Constantia" w:hAnsi="Constantia"/>
        </w:rPr>
        <w:t xml:space="preserve">R, </w:t>
      </w:r>
      <w:r w:rsidRPr="00895789">
        <w:rPr>
          <w:rFonts w:ascii="Constantia" w:hAnsi="Constantia"/>
        </w:rPr>
        <w:t>i</w:t>
      </w:r>
      <w:r w:rsidRPr="00897A69">
        <w:rPr>
          <w:rFonts w:ascii="Constantia" w:hAnsi="Constantia"/>
        </w:rPr>
        <w:t xml:space="preserve">ndikator pripada grupi </w:t>
      </w:r>
      <w:r w:rsidRPr="00897A69">
        <w:rPr>
          <w:rFonts w:ascii="Constantia" w:hAnsi="Constantia"/>
          <w:b/>
        </w:rPr>
        <w:t>pokretačkih faktora</w:t>
      </w:r>
      <w:r w:rsidRPr="00897A69">
        <w:rPr>
          <w:rFonts w:ascii="Constantia" w:hAnsi="Constantia"/>
        </w:rPr>
        <w:t>.</w:t>
      </w:r>
    </w:p>
    <w:p w:rsidR="00912E35" w:rsidRPr="005E4028" w:rsidRDefault="00912E35" w:rsidP="00E369E9">
      <w:pPr>
        <w:pStyle w:val="Grafikon"/>
        <w:numPr>
          <w:ilvl w:val="0"/>
          <w:numId w:val="0"/>
        </w:numPr>
        <w:spacing w:before="240" w:line="276" w:lineRule="auto"/>
        <w:ind w:left="144"/>
        <w:jc w:val="both"/>
        <w:rPr>
          <w:rFonts w:ascii="Constantia" w:hAnsi="Constantia"/>
          <w:i w:val="0"/>
        </w:rPr>
      </w:pPr>
      <w:r>
        <w:rPr>
          <w:noProof/>
          <w:lang w:val="en-US"/>
        </w:rPr>
        <w:lastRenderedPageBreak/>
        <w:drawing>
          <wp:inline distT="0" distB="0" distL="0" distR="0" wp14:anchorId="30831C15" wp14:editId="30D92EFE">
            <wp:extent cx="5562600" cy="2790825"/>
            <wp:effectExtent l="0" t="0" r="0" b="0"/>
            <wp:docPr id="255" name="Chart 25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6"/>
              </a:graphicData>
            </a:graphic>
          </wp:inline>
        </w:drawing>
      </w:r>
    </w:p>
    <w:p w:rsidR="00912E35" w:rsidRPr="00E369E9" w:rsidRDefault="00912E35" w:rsidP="00E369E9">
      <w:pPr>
        <w:pStyle w:val="Grafikon"/>
        <w:rPr>
          <w:rFonts w:ascii="Constantia" w:hAnsi="Constantia"/>
          <w:sz w:val="22"/>
          <w:szCs w:val="22"/>
        </w:rPr>
      </w:pPr>
      <w:r w:rsidRPr="00E369E9">
        <w:rPr>
          <w:rFonts w:ascii="Constantia" w:hAnsi="Constantia"/>
          <w:sz w:val="22"/>
          <w:szCs w:val="22"/>
        </w:rPr>
        <w:t>Potrošnja primarne energije po energentima, 2000-2012</w:t>
      </w:r>
    </w:p>
    <w:p w:rsidR="00912E35" w:rsidRPr="005E4028" w:rsidRDefault="00912E35" w:rsidP="00912E35">
      <w:pPr>
        <w:pStyle w:val="Grafikon"/>
        <w:numPr>
          <w:ilvl w:val="0"/>
          <w:numId w:val="0"/>
        </w:numPr>
        <w:ind w:left="144" w:hanging="144"/>
        <w:rPr>
          <w:rFonts w:ascii="Constantia" w:hAnsi="Constantia"/>
        </w:rPr>
      </w:pPr>
    </w:p>
    <w:p w:rsidR="00912E35" w:rsidRDefault="00912E35" w:rsidP="006A7FAE">
      <w:pPr>
        <w:rPr>
          <w:rFonts w:ascii="Constantia" w:hAnsi="Constantia"/>
        </w:rPr>
      </w:pPr>
      <w:r w:rsidRPr="00897A69">
        <w:rPr>
          <w:rFonts w:ascii="Constantia" w:hAnsi="Constantia"/>
        </w:rPr>
        <w:t>U posm</w:t>
      </w:r>
      <w:r>
        <w:rPr>
          <w:rFonts w:ascii="Constantia" w:hAnsi="Constantia"/>
        </w:rPr>
        <w:t>atranom periodu (2000</w:t>
      </w:r>
      <w:r w:rsidR="00E369E9">
        <w:rPr>
          <w:rFonts w:ascii="Constantia" w:hAnsi="Constantia"/>
        </w:rPr>
        <w:t>-</w:t>
      </w:r>
      <w:r>
        <w:rPr>
          <w:rFonts w:ascii="Constantia" w:hAnsi="Constantia"/>
        </w:rPr>
        <w:t>2012)</w:t>
      </w:r>
      <w:r w:rsidR="00E369E9">
        <w:rPr>
          <w:rFonts w:ascii="Constantia" w:hAnsi="Constantia"/>
        </w:rPr>
        <w:t>,</w:t>
      </w:r>
      <w:r w:rsidRPr="00897A69">
        <w:rPr>
          <w:rFonts w:ascii="Constantia" w:hAnsi="Constantia"/>
        </w:rPr>
        <w:t xml:space="preserve"> postoji pad po</w:t>
      </w:r>
      <w:r>
        <w:rPr>
          <w:rFonts w:ascii="Constantia" w:hAnsi="Constantia"/>
        </w:rPr>
        <w:t xml:space="preserve">trošnje primarne energije (oko </w:t>
      </w:r>
      <w:r w:rsidRPr="00897A69">
        <w:rPr>
          <w:rFonts w:ascii="Constantia" w:hAnsi="Constantia"/>
        </w:rPr>
        <w:t>1</w:t>
      </w:r>
      <w:r>
        <w:rPr>
          <w:rFonts w:ascii="Constantia" w:hAnsi="Constantia"/>
        </w:rPr>
        <w:t>7,7</w:t>
      </w:r>
      <w:r w:rsidRPr="00897A69">
        <w:rPr>
          <w:rFonts w:ascii="Constantia" w:hAnsi="Constantia"/>
        </w:rPr>
        <w:t xml:space="preserve">%) sa </w:t>
      </w:r>
      <w:r>
        <w:rPr>
          <w:rFonts w:ascii="Constantia" w:hAnsi="Constantia"/>
        </w:rPr>
        <w:t>prosječnom godišnjom stopom od 1,7</w:t>
      </w:r>
      <w:r w:rsidRPr="00897A69">
        <w:rPr>
          <w:rFonts w:ascii="Constantia" w:hAnsi="Constantia"/>
        </w:rPr>
        <w:t xml:space="preserve">%. </w:t>
      </w:r>
      <w:r w:rsidR="00E369E9">
        <w:rPr>
          <w:rFonts w:ascii="Constantia" w:hAnsi="Constantia"/>
        </w:rPr>
        <w:t>U odnosu na 2011. godinu, u 2</w:t>
      </w:r>
      <w:r>
        <w:rPr>
          <w:rFonts w:ascii="Constantia" w:hAnsi="Constantia"/>
        </w:rPr>
        <w:t>012</w:t>
      </w:r>
      <w:r w:rsidR="00E369E9">
        <w:rPr>
          <w:rFonts w:ascii="Constantia" w:hAnsi="Constantia"/>
        </w:rPr>
        <w:t>.</w:t>
      </w:r>
      <w:r>
        <w:rPr>
          <w:rFonts w:ascii="Constantia" w:hAnsi="Constantia"/>
        </w:rPr>
        <w:t xml:space="preserve"> godini imamo rast potrošnje primarne energije za 1,9%.</w:t>
      </w:r>
    </w:p>
    <w:p w:rsidR="00912E35" w:rsidRDefault="00912E35" w:rsidP="006A7FAE">
      <w:pPr>
        <w:rPr>
          <w:rFonts w:ascii="Constantia" w:hAnsi="Constantia"/>
        </w:rPr>
      </w:pPr>
      <w:r>
        <w:rPr>
          <w:rFonts w:ascii="Constantia" w:hAnsi="Constantia"/>
        </w:rPr>
        <w:t>Karakteristična je 2009. godina</w:t>
      </w:r>
      <w:r w:rsidRPr="00897A69">
        <w:rPr>
          <w:rFonts w:ascii="Constantia" w:hAnsi="Constantia"/>
        </w:rPr>
        <w:t xml:space="preserve"> u kojoj </w:t>
      </w:r>
      <w:r>
        <w:rPr>
          <w:rFonts w:ascii="Constantia" w:hAnsi="Constantia"/>
        </w:rPr>
        <w:t xml:space="preserve">imamo najmanju ukupnu potrošnju u posmatranom periodu, kao i potrošnju uglja i električne energije. </w:t>
      </w:r>
    </w:p>
    <w:p w:rsidR="00912E35" w:rsidRDefault="00912E35" w:rsidP="006A7FAE">
      <w:pPr>
        <w:rPr>
          <w:rFonts w:ascii="Constantia" w:hAnsi="Constantia"/>
        </w:rPr>
      </w:pPr>
      <w:r>
        <w:rPr>
          <w:rFonts w:ascii="Constantia" w:hAnsi="Constantia" w:cs="Constantia"/>
        </w:rPr>
        <w:t>U strukturi potrošnje za 2012</w:t>
      </w:r>
      <w:r w:rsidRPr="00897A69">
        <w:rPr>
          <w:rFonts w:ascii="Constantia" w:hAnsi="Constantia" w:cs="Constantia"/>
        </w:rPr>
        <w:t>. godinu dominira u</w:t>
      </w:r>
      <w:r w:rsidRPr="00897A69">
        <w:rPr>
          <w:rFonts w:ascii="Constantia" w:hAnsi="Constantia" w:hint="eastAsia"/>
        </w:rPr>
        <w:t>č</w:t>
      </w:r>
      <w:r>
        <w:rPr>
          <w:rFonts w:ascii="Constantia" w:hAnsi="Constantia"/>
        </w:rPr>
        <w:t xml:space="preserve">ešće fosilnih goriva sa 63% </w:t>
      </w:r>
      <w:r w:rsidRPr="00897A69">
        <w:rPr>
          <w:rFonts w:ascii="Constantia" w:hAnsi="Constantia"/>
        </w:rPr>
        <w:t>(ugalj</w:t>
      </w:r>
      <w:r>
        <w:rPr>
          <w:rFonts w:ascii="Constantia" w:hAnsi="Constantia"/>
        </w:rPr>
        <w:t xml:space="preserve"> </w:t>
      </w:r>
      <w:r w:rsidRPr="00897A69">
        <w:rPr>
          <w:rFonts w:ascii="Constantia" w:hAnsi="Constantia"/>
        </w:rPr>
        <w:t>-</w:t>
      </w:r>
      <w:r>
        <w:rPr>
          <w:rFonts w:ascii="Constantia" w:hAnsi="Constantia"/>
        </w:rPr>
        <w:t xml:space="preserve"> 36</w:t>
      </w:r>
      <w:r w:rsidRPr="00897A69">
        <w:rPr>
          <w:rFonts w:ascii="Constantia" w:hAnsi="Constantia"/>
        </w:rPr>
        <w:t>%, naftni derivati</w:t>
      </w:r>
      <w:r>
        <w:rPr>
          <w:rFonts w:ascii="Constantia" w:hAnsi="Constantia"/>
        </w:rPr>
        <w:t xml:space="preserve"> </w:t>
      </w:r>
      <w:r w:rsidRPr="00897A69">
        <w:rPr>
          <w:rFonts w:ascii="Constantia" w:hAnsi="Constantia"/>
        </w:rPr>
        <w:t>-</w:t>
      </w:r>
      <w:r>
        <w:rPr>
          <w:rFonts w:ascii="Constantia" w:hAnsi="Constantia"/>
        </w:rPr>
        <w:t xml:space="preserve"> 27</w:t>
      </w:r>
      <w:r w:rsidRPr="00897A69">
        <w:rPr>
          <w:rFonts w:ascii="Constantia" w:hAnsi="Constantia"/>
        </w:rPr>
        <w:t>%)</w:t>
      </w:r>
      <w:r>
        <w:rPr>
          <w:rFonts w:ascii="Constantia" w:hAnsi="Constantia"/>
        </w:rPr>
        <w:t>,</w:t>
      </w:r>
      <w:r w:rsidRPr="00897A69">
        <w:rPr>
          <w:rFonts w:ascii="Constantia" w:hAnsi="Constantia"/>
        </w:rPr>
        <w:t xml:space="preserve"> dok učešće </w:t>
      </w:r>
      <w:r>
        <w:rPr>
          <w:rFonts w:ascii="Constantia" w:hAnsi="Constantia"/>
        </w:rPr>
        <w:t>OIE (</w:t>
      </w:r>
      <w:r w:rsidRPr="00897A69">
        <w:rPr>
          <w:rFonts w:ascii="Constantia" w:hAnsi="Constantia"/>
        </w:rPr>
        <w:t xml:space="preserve">obnovljivih izvora </w:t>
      </w:r>
      <w:r>
        <w:rPr>
          <w:rFonts w:ascii="Constantia" w:hAnsi="Constantia"/>
        </w:rPr>
        <w:t xml:space="preserve">energije) iznosi 15% </w:t>
      </w:r>
      <w:r w:rsidRPr="00897A69">
        <w:rPr>
          <w:rFonts w:ascii="Constantia" w:hAnsi="Constantia"/>
        </w:rPr>
        <w:t>.</w:t>
      </w:r>
    </w:p>
    <w:p w:rsidR="00912E35" w:rsidRDefault="00912E35" w:rsidP="006A7FAE">
      <w:pPr>
        <w:rPr>
          <w:rFonts w:ascii="Constantia" w:hAnsi="Constantia"/>
        </w:rPr>
      </w:pPr>
      <w:r>
        <w:rPr>
          <w:rFonts w:ascii="Constantia" w:hAnsi="Constantia"/>
        </w:rPr>
        <w:t>Godišnje stope rasta potrošnje primarne energije po energentima date su na</w:t>
      </w:r>
      <w:r w:rsidR="00195E1A">
        <w:rPr>
          <w:rFonts w:ascii="Constantia" w:hAnsi="Constantia"/>
        </w:rPr>
        <w:t xml:space="preserve"> desnoj strani</w:t>
      </w:r>
      <w:r>
        <w:rPr>
          <w:rFonts w:ascii="Constantia" w:hAnsi="Constantia"/>
        </w:rPr>
        <w:t xml:space="preserve"> </w:t>
      </w:r>
      <w:r w:rsidRPr="00C2070B">
        <w:rPr>
          <w:rFonts w:ascii="Constantia" w:hAnsi="Constantia"/>
          <w:i/>
        </w:rPr>
        <w:t>Grafikon</w:t>
      </w:r>
      <w:r w:rsidR="00195E1A">
        <w:rPr>
          <w:rFonts w:ascii="Constantia" w:hAnsi="Constantia"/>
          <w:i/>
        </w:rPr>
        <w:t>a</w:t>
      </w:r>
      <w:r w:rsidRPr="00C2070B">
        <w:rPr>
          <w:rFonts w:ascii="Constantia" w:hAnsi="Constantia"/>
          <w:i/>
        </w:rPr>
        <w:t xml:space="preserve"> </w:t>
      </w:r>
      <w:r w:rsidR="00D70A1C">
        <w:rPr>
          <w:rFonts w:ascii="Constantia" w:hAnsi="Constantia"/>
          <w:i/>
        </w:rPr>
        <w:t>106</w:t>
      </w:r>
      <w:r w:rsidR="00195E1A">
        <w:rPr>
          <w:rFonts w:ascii="Constantia" w:hAnsi="Constantia"/>
          <w:i/>
        </w:rPr>
        <w:t>.</w:t>
      </w:r>
      <w:r>
        <w:rPr>
          <w:rFonts w:ascii="Constantia" w:hAnsi="Constantia"/>
        </w:rPr>
        <w:t xml:space="preserve"> Zabilježen je rast potrošnje obnovljivih izvora energije 2012. u odnosu na 2011. godinu od 36,5%, dok je u posmatranom periodu (2000–2012) stopa rasta -5,8%.  Ovaj podatak, kao i stope rasta potrošnje ost</w:t>
      </w:r>
      <w:r w:rsidR="003A1B63">
        <w:rPr>
          <w:rFonts w:ascii="Constantia" w:hAnsi="Constantia"/>
        </w:rPr>
        <w:t>alih energenata,  ide u prilog z</w:t>
      </w:r>
      <w:r>
        <w:rPr>
          <w:rFonts w:ascii="Constantia" w:hAnsi="Constantia"/>
        </w:rPr>
        <w:t xml:space="preserve">aštiti životne sredine. Međutim, ovo je prividno stanje,  </w:t>
      </w:r>
      <w:r w:rsidR="00611367">
        <w:rPr>
          <w:rFonts w:ascii="Constantia" w:hAnsi="Constantia"/>
        </w:rPr>
        <w:t xml:space="preserve">jer </w:t>
      </w:r>
      <w:r>
        <w:rPr>
          <w:rFonts w:ascii="Constantia" w:hAnsi="Constantia"/>
        </w:rPr>
        <w:t xml:space="preserve">pravi razlozi leže u značajno smanjenoj industrijskoj proizvodnji. </w:t>
      </w:r>
    </w:p>
    <w:p w:rsidR="00912E35" w:rsidRPr="005E4028" w:rsidRDefault="00912E35" w:rsidP="00912E35">
      <w:pPr>
        <w:pStyle w:val="Grafikon"/>
        <w:numPr>
          <w:ilvl w:val="0"/>
          <w:numId w:val="0"/>
        </w:numPr>
        <w:jc w:val="both"/>
        <w:rPr>
          <w:rFonts w:ascii="Constantia" w:hAnsi="Constantia"/>
        </w:rPr>
      </w:pPr>
    </w:p>
    <w:p w:rsidR="00912E35" w:rsidRDefault="00912E35" w:rsidP="00912E35">
      <w:pPr>
        <w:pStyle w:val="Grafikon"/>
        <w:numPr>
          <w:ilvl w:val="0"/>
          <w:numId w:val="0"/>
        </w:numPr>
        <w:ind w:left="144" w:hanging="144"/>
        <w:rPr>
          <w:rFonts w:ascii="Constantia" w:hAnsi="Constantia"/>
          <w:sz w:val="22"/>
        </w:rPr>
      </w:pPr>
      <w:r>
        <w:rPr>
          <w:noProof/>
          <w:lang w:val="en-US"/>
        </w:rPr>
        <w:drawing>
          <wp:inline distT="0" distB="0" distL="0" distR="0" wp14:anchorId="16EC8631" wp14:editId="0AE4B6F5">
            <wp:extent cx="2552700" cy="2105025"/>
            <wp:effectExtent l="0" t="0" r="0" b="0"/>
            <wp:docPr id="1344" name="Chart 134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7"/>
              </a:graphicData>
            </a:graphic>
          </wp:inline>
        </w:drawing>
      </w:r>
      <w:r>
        <w:rPr>
          <w:noProof/>
          <w:lang w:val="en-US"/>
        </w:rPr>
        <w:drawing>
          <wp:inline distT="0" distB="0" distL="0" distR="0" wp14:anchorId="034B8E7A" wp14:editId="04A59E03">
            <wp:extent cx="2886075" cy="2105025"/>
            <wp:effectExtent l="0" t="0" r="0" b="0"/>
            <wp:docPr id="1345" name="Chart 134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8"/>
              </a:graphicData>
            </a:graphic>
          </wp:inline>
        </w:drawing>
      </w:r>
    </w:p>
    <w:p w:rsidR="00912E35" w:rsidRDefault="00912E35" w:rsidP="00B503F0">
      <w:pPr>
        <w:pStyle w:val="Grafikon"/>
        <w:spacing w:after="0"/>
        <w:rPr>
          <w:rFonts w:ascii="Constantia" w:hAnsi="Constantia"/>
          <w:sz w:val="22"/>
          <w:szCs w:val="22"/>
        </w:rPr>
      </w:pPr>
      <w:r w:rsidRPr="00F6215B">
        <w:rPr>
          <w:rFonts w:ascii="Constantia" w:hAnsi="Constantia"/>
          <w:sz w:val="22"/>
          <w:szCs w:val="22"/>
        </w:rPr>
        <w:t>Struktura potrošnje primarne energije prema energentima u 2012. godini (lijevo) i  go</w:t>
      </w:r>
      <w:r w:rsidR="00F6215B">
        <w:rPr>
          <w:rFonts w:ascii="Constantia" w:hAnsi="Constantia"/>
          <w:sz w:val="22"/>
          <w:szCs w:val="22"/>
        </w:rPr>
        <w:t>dišnja stopa rasta za različite</w:t>
      </w:r>
      <w:r w:rsidRPr="00F6215B">
        <w:rPr>
          <w:rFonts w:ascii="Constantia" w:hAnsi="Constantia"/>
          <w:sz w:val="22"/>
          <w:szCs w:val="22"/>
        </w:rPr>
        <w:t xml:space="preserve"> energente (desno)</w:t>
      </w:r>
    </w:p>
    <w:p w:rsidR="008578CD" w:rsidRDefault="008578CD" w:rsidP="0006010D">
      <w:pPr>
        <w:pStyle w:val="Grafikon"/>
        <w:numPr>
          <w:ilvl w:val="0"/>
          <w:numId w:val="0"/>
        </w:numPr>
        <w:spacing w:after="0"/>
        <w:ind w:left="360"/>
        <w:jc w:val="both"/>
        <w:rPr>
          <w:rFonts w:ascii="Constantia" w:hAnsi="Constantia"/>
          <w:sz w:val="22"/>
          <w:szCs w:val="22"/>
        </w:rPr>
      </w:pPr>
    </w:p>
    <w:p w:rsidR="00912E35" w:rsidRPr="005E4028" w:rsidRDefault="00CD4082" w:rsidP="008578CD">
      <w:pPr>
        <w:pStyle w:val="Heading3"/>
      </w:pPr>
      <w:bookmarkStart w:id="343" w:name="_Toc393897970"/>
      <w:r>
        <w:lastRenderedPageBreak/>
        <w:t>10</w:t>
      </w:r>
      <w:r w:rsidR="006B7531">
        <w:t>.3.2</w:t>
      </w:r>
      <w:r w:rsidR="0006010D">
        <w:t xml:space="preserve">  </w:t>
      </w:r>
      <w:r w:rsidR="00912E35" w:rsidRPr="00897A69">
        <w:t>Potrošnja finalne energije</w:t>
      </w:r>
      <w:bookmarkEnd w:id="343"/>
      <w:r w:rsidR="00912E35" w:rsidRPr="00897A69">
        <w:t xml:space="preserve"> </w:t>
      </w:r>
    </w:p>
    <w:p w:rsidR="00912E35" w:rsidRPr="005E4028" w:rsidRDefault="00912E35" w:rsidP="006A7FAE">
      <w:pPr>
        <w:spacing w:before="240"/>
        <w:rPr>
          <w:rFonts w:ascii="Constantia" w:hAnsi="Constantia" w:cs="Arial"/>
          <w:lang w:val="sr-Latn-CS"/>
        </w:rPr>
      </w:pPr>
      <w:r w:rsidRPr="00897A69">
        <w:rPr>
          <w:rFonts w:ascii="Constantia" w:hAnsi="Constantia" w:cs="Arial"/>
        </w:rPr>
        <w:t>Potro</w:t>
      </w:r>
      <w:r w:rsidRPr="00897A69">
        <w:rPr>
          <w:rFonts w:ascii="Constantia" w:hAnsi="Constantia" w:cs="Arial"/>
          <w:lang w:val="sr-Latn-CS"/>
        </w:rPr>
        <w:t>šnja finalne energije u energetske svrhe (energija koju potroše krajnji potrošači) je zbir potrošnje finalne energije u svim sektorima: industrija, saobraćaj, domaćinstva, poljoprivreda, usluge</w:t>
      </w:r>
      <w:r>
        <w:rPr>
          <w:rFonts w:ascii="Constantia" w:hAnsi="Constantia" w:cs="Arial"/>
          <w:lang w:val="sr-Latn-CS"/>
        </w:rPr>
        <w:t>.</w:t>
      </w:r>
      <w:r w:rsidRPr="00897A69">
        <w:rPr>
          <w:rFonts w:ascii="Constantia" w:hAnsi="Constantia" w:cs="Arial"/>
          <w:lang w:val="sr-Latn-CS"/>
        </w:rPr>
        <w:t xml:space="preserve"> Odnos između potrošnje finalne energije nekog sektora i ukupne potrošnje finalne energije izračunate za kalendarsku godinu predstavlja relativni udio sektora u potrošnji. Na taj način se ukazuje na sektorske potrebe u potrošnji finalne energije.</w:t>
      </w:r>
    </w:p>
    <w:p w:rsidR="00912E35" w:rsidRPr="005E4028" w:rsidRDefault="00912E35" w:rsidP="006A7FAE">
      <w:pPr>
        <w:rPr>
          <w:rFonts w:ascii="Constantia" w:hAnsi="Constantia" w:cs="Arial"/>
          <w:lang w:val="sr-Latn-CS"/>
        </w:rPr>
      </w:pPr>
      <w:r w:rsidRPr="00895789">
        <w:rPr>
          <w:rFonts w:ascii="Constantia" w:hAnsi="Constantia" w:cs="Arial"/>
          <w:lang w:val="sr-Latn-CS"/>
        </w:rPr>
        <w:t>Indikator obuhvata ukupnu potrošnju finalne energije, strukturu potrošnje po sektorima, prosječnu godišnju stopu rasta za različite sektore, potrošnju finalne energije po glavi stanovnika za poslednju godinu za koju su podaci dostupni i potrošnju finalne energije u industriji po industrijskoj grani.</w:t>
      </w:r>
    </w:p>
    <w:p w:rsidR="00912E35" w:rsidRPr="005E4028" w:rsidRDefault="00912E35" w:rsidP="006A7FAE">
      <w:pPr>
        <w:rPr>
          <w:rFonts w:ascii="Constantia" w:hAnsi="Constantia" w:cs="Arial"/>
          <w:lang w:val="sr-Latn-CS"/>
        </w:rPr>
      </w:pPr>
      <w:r w:rsidRPr="00895789">
        <w:rPr>
          <w:rFonts w:ascii="Constantia" w:hAnsi="Constantia" w:cs="Arial"/>
          <w:lang w:val="sr-Latn-CS"/>
        </w:rPr>
        <w:t>Indikator prati napredak u smanjenju potrošnje</w:t>
      </w:r>
      <w:r>
        <w:rPr>
          <w:rFonts w:ascii="Constantia" w:hAnsi="Constantia" w:cs="Arial"/>
          <w:lang w:val="sr-Latn-CS"/>
        </w:rPr>
        <w:t xml:space="preserve"> </w:t>
      </w:r>
      <w:r w:rsidRPr="00895789">
        <w:rPr>
          <w:rFonts w:ascii="Constantia" w:hAnsi="Constantia" w:cs="Arial"/>
          <w:lang w:val="sr-Latn-CS"/>
        </w:rPr>
        <w:t>energije po sektorima (energija koju potroše kraj</w:t>
      </w:r>
      <w:r>
        <w:rPr>
          <w:rFonts w:ascii="Constantia" w:hAnsi="Constantia" w:cs="Arial"/>
          <w:lang w:val="sr-Latn-CS"/>
        </w:rPr>
        <w:t>nji potrošači) putem sprovođenja</w:t>
      </w:r>
      <w:r w:rsidRPr="00895789">
        <w:rPr>
          <w:rFonts w:ascii="Constantia" w:hAnsi="Constantia" w:cs="Arial"/>
          <w:lang w:val="sr-Latn-CS"/>
        </w:rPr>
        <w:t xml:space="preserve"> politike energetske efikasnosti i očuvanja energije.</w:t>
      </w:r>
    </w:p>
    <w:p w:rsidR="00B503F0" w:rsidRDefault="00912E35" w:rsidP="006A7FAE">
      <w:pPr>
        <w:spacing w:after="0"/>
        <w:rPr>
          <w:rFonts w:ascii="Constantia" w:hAnsi="Constantia" w:cs="Arial"/>
          <w:b/>
          <w:lang w:val="sr-Latn-CS"/>
        </w:rPr>
      </w:pPr>
      <w:r w:rsidRPr="00895789">
        <w:rPr>
          <w:rFonts w:ascii="Constantia" w:hAnsi="Constantia" w:cs="Arial"/>
          <w:lang w:val="sr-Latn-CS"/>
        </w:rPr>
        <w:t>U okv</w:t>
      </w:r>
      <w:r>
        <w:rPr>
          <w:rFonts w:ascii="Constantia" w:hAnsi="Constantia" w:cs="Arial"/>
          <w:lang w:val="sr-Latn-CS"/>
        </w:rPr>
        <w:t xml:space="preserve">iru DPSIR modela indikatoru </w:t>
      </w:r>
      <w:r w:rsidRPr="00895789">
        <w:rPr>
          <w:rFonts w:ascii="Constantia" w:hAnsi="Constantia" w:cs="Arial"/>
          <w:lang w:val="sr-Latn-CS"/>
        </w:rPr>
        <w:t xml:space="preserve">pripada mjesto u grupi </w:t>
      </w:r>
      <w:r w:rsidRPr="00895789">
        <w:rPr>
          <w:rFonts w:ascii="Constantia" w:hAnsi="Constantia" w:cs="Arial"/>
          <w:b/>
          <w:lang w:val="sr-Latn-CS"/>
        </w:rPr>
        <w:t>pokretačkih faktora.</w:t>
      </w:r>
    </w:p>
    <w:p w:rsidR="009817C4" w:rsidRPr="009817C4" w:rsidRDefault="009817C4" w:rsidP="00B503F0">
      <w:pPr>
        <w:spacing w:after="0" w:line="276" w:lineRule="auto"/>
        <w:rPr>
          <w:rFonts w:ascii="Constantia" w:hAnsi="Constantia" w:cs="Arial"/>
          <w:b/>
          <w:sz w:val="16"/>
          <w:szCs w:val="16"/>
          <w:lang w:val="sr-Latn-CS"/>
        </w:rPr>
      </w:pPr>
    </w:p>
    <w:p w:rsidR="00912E35" w:rsidRPr="005E4028" w:rsidRDefault="00912E35" w:rsidP="006A7FAE">
      <w:pPr>
        <w:jc w:val="center"/>
        <w:rPr>
          <w:rFonts w:ascii="Constantia" w:hAnsi="Constantia" w:cs="Arial"/>
          <w:lang w:val="sr-Latn-CS"/>
        </w:rPr>
      </w:pPr>
      <w:r>
        <w:rPr>
          <w:noProof/>
        </w:rPr>
        <w:drawing>
          <wp:inline distT="0" distB="0" distL="0" distR="0" wp14:anchorId="60AB9BB4" wp14:editId="32812539">
            <wp:extent cx="5734050" cy="3200400"/>
            <wp:effectExtent l="0" t="0" r="0" b="0"/>
            <wp:docPr id="1346" name="Chart 134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9"/>
              </a:graphicData>
            </a:graphic>
          </wp:inline>
        </w:drawing>
      </w:r>
    </w:p>
    <w:p w:rsidR="00912E35" w:rsidRPr="00B503F0" w:rsidRDefault="00912E35" w:rsidP="00D70A1C">
      <w:pPr>
        <w:pStyle w:val="Grafikon"/>
        <w:ind w:left="0" w:firstLine="0"/>
        <w:rPr>
          <w:rFonts w:ascii="Constantia" w:hAnsi="Constantia"/>
          <w:sz w:val="22"/>
          <w:szCs w:val="22"/>
        </w:rPr>
      </w:pPr>
      <w:r w:rsidRPr="00B503F0">
        <w:rPr>
          <w:rFonts w:ascii="Constantia" w:hAnsi="Constantia"/>
          <w:sz w:val="22"/>
          <w:szCs w:val="22"/>
        </w:rPr>
        <w:t>Potrošnja finalne energije po sektorima, 2000-2012</w:t>
      </w:r>
    </w:p>
    <w:p w:rsidR="00912E35" w:rsidRDefault="006B7531" w:rsidP="00912E35">
      <w:pPr>
        <w:pStyle w:val="Grafikon"/>
        <w:numPr>
          <w:ilvl w:val="0"/>
          <w:numId w:val="0"/>
        </w:numPr>
        <w:ind w:left="144"/>
        <w:jc w:val="both"/>
        <w:rPr>
          <w:rFonts w:ascii="Constantia" w:hAnsi="Constantia" w:cs="Arial"/>
          <w:sz w:val="22"/>
          <w:szCs w:val="22"/>
        </w:rPr>
      </w:pPr>
      <w:r>
        <w:rPr>
          <w:rFonts w:ascii="Constantia" w:hAnsi="Constantia" w:cs="Arial"/>
          <w:sz w:val="22"/>
          <w:szCs w:val="22"/>
        </w:rPr>
        <w:t xml:space="preserve">* </w:t>
      </w:r>
      <w:r w:rsidR="006A7FAE">
        <w:rPr>
          <w:rFonts w:ascii="Constantia" w:hAnsi="Constantia" w:cs="Arial"/>
          <w:sz w:val="22"/>
          <w:szCs w:val="22"/>
        </w:rPr>
        <w:t>Usluge</w:t>
      </w:r>
      <w:r w:rsidR="00912E35" w:rsidRPr="0046796B">
        <w:rPr>
          <w:rFonts w:ascii="Constantia" w:hAnsi="Constantia" w:cs="Arial"/>
          <w:sz w:val="22"/>
          <w:szCs w:val="22"/>
        </w:rPr>
        <w:t xml:space="preserve"> </w:t>
      </w:r>
      <w:r w:rsidR="00C26944">
        <w:rPr>
          <w:rFonts w:ascii="Constantia" w:hAnsi="Constantia" w:cs="Arial"/>
          <w:sz w:val="22"/>
          <w:szCs w:val="22"/>
        </w:rPr>
        <w:t>za period 2005</w:t>
      </w:r>
      <w:r w:rsidR="00912E35">
        <w:rPr>
          <w:rFonts w:ascii="Constantia" w:hAnsi="Constantia" w:cs="Arial"/>
          <w:sz w:val="22"/>
          <w:szCs w:val="22"/>
        </w:rPr>
        <w:t>-</w:t>
      </w:r>
      <w:r w:rsidR="00912E35" w:rsidRPr="0046796B">
        <w:rPr>
          <w:rFonts w:ascii="Constantia" w:hAnsi="Constantia" w:cs="Arial"/>
          <w:sz w:val="22"/>
          <w:szCs w:val="22"/>
        </w:rPr>
        <w:t>2012</w:t>
      </w:r>
      <w:r w:rsidR="00912E35">
        <w:rPr>
          <w:rFonts w:ascii="Constantia" w:hAnsi="Constantia" w:cs="Arial"/>
          <w:sz w:val="22"/>
          <w:szCs w:val="22"/>
        </w:rPr>
        <w:t xml:space="preserve"> podrazumijevaju trgovinu i javnu administraciju</w:t>
      </w:r>
      <w:r w:rsidR="00D719CF">
        <w:rPr>
          <w:rFonts w:ascii="Constantia" w:hAnsi="Constantia" w:cs="Arial"/>
          <w:sz w:val="22"/>
          <w:szCs w:val="22"/>
        </w:rPr>
        <w:t xml:space="preserve">, </w:t>
      </w:r>
      <w:r w:rsidR="006A7FAE">
        <w:rPr>
          <w:rFonts w:ascii="Constantia" w:hAnsi="Constantia" w:cs="Arial"/>
          <w:sz w:val="22"/>
          <w:szCs w:val="22"/>
        </w:rPr>
        <w:t xml:space="preserve">a </w:t>
      </w:r>
      <w:r w:rsidR="00D719CF">
        <w:rPr>
          <w:rFonts w:ascii="Constantia" w:hAnsi="Constantia" w:cs="Arial"/>
          <w:sz w:val="22"/>
          <w:szCs w:val="22"/>
        </w:rPr>
        <w:t>prije 2005. usluge i građ</w:t>
      </w:r>
      <w:r w:rsidR="00912E35" w:rsidRPr="0046796B">
        <w:rPr>
          <w:rFonts w:ascii="Constantia" w:hAnsi="Constantia" w:cs="Arial"/>
          <w:sz w:val="22"/>
          <w:szCs w:val="22"/>
        </w:rPr>
        <w:t>evinarstvo</w:t>
      </w:r>
    </w:p>
    <w:p w:rsidR="00912E35" w:rsidRPr="0046796B" w:rsidRDefault="00912E35" w:rsidP="00912E35">
      <w:pPr>
        <w:pStyle w:val="Grafikon"/>
        <w:numPr>
          <w:ilvl w:val="0"/>
          <w:numId w:val="0"/>
        </w:numPr>
        <w:ind w:left="144"/>
        <w:jc w:val="both"/>
        <w:rPr>
          <w:rFonts w:ascii="Constantia" w:hAnsi="Constantia" w:cs="Arial"/>
          <w:sz w:val="22"/>
          <w:szCs w:val="22"/>
        </w:rPr>
      </w:pPr>
    </w:p>
    <w:p w:rsidR="00912E35" w:rsidRPr="006B46C2" w:rsidRDefault="00912E35" w:rsidP="00D1693B">
      <w:pPr>
        <w:rPr>
          <w:rFonts w:ascii="Constantia" w:hAnsi="Constantia"/>
        </w:rPr>
      </w:pPr>
      <w:r w:rsidRPr="006B46C2">
        <w:rPr>
          <w:rFonts w:ascii="Constantia" w:hAnsi="Constantia"/>
        </w:rPr>
        <w:t>Ukupna potrošnja finalne energije do 2007. godine ima trend rasta, a nakon toga trend pada</w:t>
      </w:r>
      <w:r w:rsidRPr="006B46C2">
        <w:rPr>
          <w:rStyle w:val="FootnoteReference"/>
          <w:rFonts w:ascii="Constantia" w:hAnsi="Constantia"/>
        </w:rPr>
        <w:footnoteReference w:id="15"/>
      </w:r>
      <w:r w:rsidRPr="006B46C2">
        <w:rPr>
          <w:rFonts w:ascii="Constantia" w:hAnsi="Constantia"/>
        </w:rPr>
        <w:t xml:space="preserve"> do 2011.</w:t>
      </w:r>
      <w:r w:rsidR="006B46C2">
        <w:rPr>
          <w:rFonts w:ascii="Constantia" w:hAnsi="Constantia"/>
        </w:rPr>
        <w:t xml:space="preserve"> </w:t>
      </w:r>
      <w:r w:rsidRPr="006B46C2">
        <w:rPr>
          <w:rFonts w:ascii="Constantia" w:hAnsi="Constantia"/>
        </w:rPr>
        <w:t>godine.  U odnosu na 2011.</w:t>
      </w:r>
      <w:r w:rsidR="006B46C2">
        <w:rPr>
          <w:rFonts w:ascii="Constantia" w:hAnsi="Constantia"/>
        </w:rPr>
        <w:t xml:space="preserve"> Godinu,</w:t>
      </w:r>
      <w:r w:rsidRPr="006B46C2">
        <w:rPr>
          <w:rFonts w:ascii="Constantia" w:hAnsi="Constantia"/>
        </w:rPr>
        <w:t xml:space="preserve"> u 2012. godini  imamo porast potrošnje finalne energije za  </w:t>
      </w:r>
      <w:r w:rsidRPr="006B46C2">
        <w:rPr>
          <w:rFonts w:ascii="Times New Roman" w:hAnsi="Times New Roman"/>
        </w:rPr>
        <w:t>̴</w:t>
      </w:r>
      <w:r w:rsidRPr="006B46C2">
        <w:rPr>
          <w:rFonts w:ascii="Constantia" w:hAnsi="Constantia" w:cs="Calibri"/>
        </w:rPr>
        <w:t xml:space="preserve"> 13%.</w:t>
      </w:r>
    </w:p>
    <w:p w:rsidR="006B46C2" w:rsidRDefault="00912E35" w:rsidP="00D1693B">
      <w:pPr>
        <w:rPr>
          <w:rFonts w:ascii="Constantia" w:hAnsi="Constantia"/>
        </w:rPr>
      </w:pPr>
      <w:r w:rsidRPr="006B46C2">
        <w:rPr>
          <w:rFonts w:ascii="Constantia" w:hAnsi="Constantia"/>
        </w:rPr>
        <w:t>U odnosu na početnu godinu posmatranja</w:t>
      </w:r>
      <w:r w:rsidR="006B46C2">
        <w:rPr>
          <w:rFonts w:ascii="Constantia" w:hAnsi="Constantia"/>
        </w:rPr>
        <w:t>,</w:t>
      </w:r>
      <w:r w:rsidRPr="006B46C2">
        <w:rPr>
          <w:rFonts w:ascii="Constantia" w:hAnsi="Constantia"/>
        </w:rPr>
        <w:t xml:space="preserve"> desio se porast potrošnje finalne energije za 13% uz godišnju stopu rasta od 0,97%.</w:t>
      </w:r>
      <w:r w:rsidR="006B46C2">
        <w:rPr>
          <w:rFonts w:ascii="Constantia" w:hAnsi="Constantia"/>
        </w:rPr>
        <w:t xml:space="preserve"> </w:t>
      </w:r>
      <w:r w:rsidRPr="006B46C2">
        <w:rPr>
          <w:rFonts w:ascii="Constantia" w:hAnsi="Constantia"/>
        </w:rPr>
        <w:t xml:space="preserve">Potrošnja u industriji je smanjena za 15% , u uslužnom sektoru </w:t>
      </w:r>
      <w:r w:rsidR="006B46C2">
        <w:rPr>
          <w:rFonts w:ascii="Constantia" w:hAnsi="Constantia"/>
        </w:rPr>
        <w:t xml:space="preserve">je </w:t>
      </w:r>
      <w:r w:rsidRPr="006B46C2">
        <w:rPr>
          <w:rFonts w:ascii="Constantia" w:hAnsi="Constantia"/>
        </w:rPr>
        <w:t>smanjena za 86% (godišnja stopa rasta -14,13%)</w:t>
      </w:r>
      <w:r w:rsidR="006B46C2">
        <w:rPr>
          <w:rFonts w:ascii="Constantia" w:hAnsi="Constantia"/>
        </w:rPr>
        <w:t>, a</w:t>
      </w:r>
      <w:r w:rsidRPr="006B46C2">
        <w:rPr>
          <w:rFonts w:ascii="Constantia" w:hAnsi="Constantia"/>
        </w:rPr>
        <w:t xml:space="preserve"> u domaćinstvima povećana za 114%) (prosječ</w:t>
      </w:r>
      <w:r w:rsidR="006B46C2">
        <w:rPr>
          <w:rFonts w:ascii="Constantia" w:hAnsi="Constantia"/>
        </w:rPr>
        <w:t>na</w:t>
      </w:r>
      <w:r w:rsidRPr="006B46C2">
        <w:rPr>
          <w:rFonts w:ascii="Constantia" w:hAnsi="Constantia"/>
        </w:rPr>
        <w:t xml:space="preserve"> godišnja stopa rasta 6,14%).</w:t>
      </w:r>
    </w:p>
    <w:p w:rsidR="00912E35" w:rsidRPr="006B46C2" w:rsidRDefault="00912E35" w:rsidP="00727E60">
      <w:pPr>
        <w:rPr>
          <w:rFonts w:ascii="Constantia" w:hAnsi="Constantia"/>
        </w:rPr>
      </w:pPr>
      <w:r w:rsidRPr="006B46C2">
        <w:rPr>
          <w:rFonts w:ascii="Constantia" w:hAnsi="Constantia" w:cs="Arial"/>
        </w:rPr>
        <w:lastRenderedPageBreak/>
        <w:t xml:space="preserve">U 2012. godini potrošnja </w:t>
      </w:r>
      <w:r w:rsidRPr="006B46C2">
        <w:rPr>
          <w:rFonts w:ascii="Constantia" w:hAnsi="Constantia"/>
        </w:rPr>
        <w:t xml:space="preserve">finalne energije je iznosila </w:t>
      </w:r>
      <w:r w:rsidRPr="006B46C2">
        <w:rPr>
          <w:rFonts w:ascii="Constantia" w:hAnsi="Constantia" w:cs="Arial"/>
        </w:rPr>
        <w:t>~</w:t>
      </w:r>
      <w:r w:rsidRPr="006B46C2">
        <w:rPr>
          <w:rFonts w:ascii="Constantia" w:hAnsi="Constantia"/>
        </w:rPr>
        <w:t>749 kten (hiljadu tona ekvivalentne nafte).</w:t>
      </w:r>
      <w:r w:rsidR="003800F5">
        <w:rPr>
          <w:rFonts w:ascii="Constantia" w:hAnsi="Constantia"/>
        </w:rPr>
        <w:t xml:space="preserve"> Učešće pojedinih sektora je sl</w:t>
      </w:r>
      <w:r w:rsidRPr="006B46C2">
        <w:rPr>
          <w:rFonts w:ascii="Constantia" w:hAnsi="Constantia"/>
        </w:rPr>
        <w:t xml:space="preserve">edeće: </w:t>
      </w:r>
    </w:p>
    <w:p w:rsidR="00912E35" w:rsidRPr="006B46C2" w:rsidRDefault="00912E35" w:rsidP="00E70E3B">
      <w:pPr>
        <w:pStyle w:val="ListParagraph"/>
        <w:numPr>
          <w:ilvl w:val="0"/>
          <w:numId w:val="43"/>
        </w:numPr>
        <w:ind w:left="0" w:firstLine="0"/>
        <w:rPr>
          <w:rFonts w:ascii="Constantia" w:hAnsi="Constantia"/>
        </w:rPr>
      </w:pPr>
      <w:r w:rsidRPr="006B46C2">
        <w:rPr>
          <w:rFonts w:ascii="Constantia" w:hAnsi="Constantia"/>
        </w:rPr>
        <w:t xml:space="preserve">Sektor </w:t>
      </w:r>
      <w:r w:rsidRPr="006B46C2">
        <w:rPr>
          <w:rFonts w:ascii="Constantia" w:hAnsi="Constantia"/>
          <w:b/>
          <w:i/>
        </w:rPr>
        <w:t>saobraćaja</w:t>
      </w:r>
      <w:r w:rsidRPr="006B46C2">
        <w:rPr>
          <w:rFonts w:ascii="Constantia" w:hAnsi="Constantia"/>
        </w:rPr>
        <w:t xml:space="preserve"> ima 30% učešće u ukupnoj potrošnji finalne energije.</w:t>
      </w:r>
    </w:p>
    <w:p w:rsidR="00912E35" w:rsidRPr="006B46C2" w:rsidRDefault="00912E35" w:rsidP="00E70E3B">
      <w:pPr>
        <w:pStyle w:val="ListParagraph"/>
        <w:numPr>
          <w:ilvl w:val="0"/>
          <w:numId w:val="43"/>
        </w:numPr>
        <w:ind w:left="0" w:firstLine="0"/>
        <w:rPr>
          <w:rFonts w:ascii="Constantia" w:hAnsi="Constantia"/>
        </w:rPr>
      </w:pPr>
      <w:r w:rsidRPr="006B46C2">
        <w:rPr>
          <w:rFonts w:ascii="Constantia" w:hAnsi="Constantia"/>
          <w:b/>
          <w:i/>
        </w:rPr>
        <w:t>Domaćinstva</w:t>
      </w:r>
      <w:r w:rsidRPr="006B46C2">
        <w:rPr>
          <w:rFonts w:ascii="Constantia" w:hAnsi="Constantia"/>
        </w:rPr>
        <w:t xml:space="preserve"> imaju 38% učešće u potrošnji finalne energije.</w:t>
      </w:r>
    </w:p>
    <w:p w:rsidR="00912E35" w:rsidRPr="006B46C2" w:rsidRDefault="00912E35" w:rsidP="00E70E3B">
      <w:pPr>
        <w:pStyle w:val="ListParagraph"/>
        <w:numPr>
          <w:ilvl w:val="0"/>
          <w:numId w:val="43"/>
        </w:numPr>
        <w:ind w:left="0" w:firstLine="0"/>
        <w:rPr>
          <w:rFonts w:ascii="Constantia" w:hAnsi="Constantia"/>
        </w:rPr>
      </w:pPr>
      <w:r w:rsidRPr="006B46C2">
        <w:rPr>
          <w:rFonts w:ascii="Constantia" w:hAnsi="Constantia"/>
          <w:b/>
          <w:i/>
        </w:rPr>
        <w:t>Industrija</w:t>
      </w:r>
      <w:r w:rsidRPr="006B46C2">
        <w:rPr>
          <w:rFonts w:ascii="Constantia" w:hAnsi="Constantia"/>
        </w:rPr>
        <w:t xml:space="preserve"> ima učešće od 31% u ukupnoj potrošnji finalne energije i taj procenat se neznatno mijenja sve do 2008. godine kada bilježi pad od 12,4%. Ova statistika je razumljiva iz razloga velikog učešća KAP-a u potrošnji električne energije. </w:t>
      </w:r>
    </w:p>
    <w:p w:rsidR="00912E35" w:rsidRPr="006B46C2" w:rsidRDefault="00912E35" w:rsidP="00E70E3B">
      <w:pPr>
        <w:pStyle w:val="ListParagraph"/>
        <w:numPr>
          <w:ilvl w:val="0"/>
          <w:numId w:val="43"/>
        </w:numPr>
        <w:ind w:left="0" w:firstLine="0"/>
        <w:rPr>
          <w:rFonts w:ascii="Constantia" w:hAnsi="Constantia"/>
        </w:rPr>
      </w:pPr>
      <w:r w:rsidRPr="006B46C2">
        <w:rPr>
          <w:rFonts w:ascii="Constantia" w:hAnsi="Constantia"/>
          <w:b/>
          <w:i/>
        </w:rPr>
        <w:t xml:space="preserve">Poljoprivreda </w:t>
      </w:r>
      <w:r w:rsidRPr="006B46C2">
        <w:rPr>
          <w:rFonts w:ascii="Constantia" w:hAnsi="Constantia"/>
          <w:i/>
        </w:rPr>
        <w:t>i</w:t>
      </w:r>
      <w:r w:rsidRPr="006B46C2">
        <w:rPr>
          <w:rFonts w:ascii="Constantia" w:hAnsi="Constantia"/>
        </w:rPr>
        <w:t>ma 0,53% učešća u potrošnji finalne energije. Bilježi  pad potrošnje  u odnosu na 2011. godinu za 0,67%  identično kao i od početne godine praćenja (2000. godina).</w:t>
      </w:r>
    </w:p>
    <w:p w:rsidR="00912E35" w:rsidRDefault="00912E35" w:rsidP="00E70E3B">
      <w:pPr>
        <w:pStyle w:val="ListParagraph"/>
        <w:numPr>
          <w:ilvl w:val="0"/>
          <w:numId w:val="43"/>
        </w:numPr>
        <w:ind w:left="0" w:firstLine="0"/>
        <w:rPr>
          <w:rFonts w:ascii="Constantia" w:hAnsi="Constantia"/>
        </w:rPr>
      </w:pPr>
      <w:r w:rsidRPr="006B46C2">
        <w:rPr>
          <w:rFonts w:ascii="Constantia" w:hAnsi="Constantia"/>
          <w:b/>
          <w:i/>
        </w:rPr>
        <w:t xml:space="preserve">Usluge  </w:t>
      </w:r>
      <w:r w:rsidRPr="006B46C2">
        <w:rPr>
          <w:rFonts w:ascii="Constantia" w:hAnsi="Constantia"/>
        </w:rPr>
        <w:t>imaju učešće od 1% u ukupnoj potrošnji i pad potro</w:t>
      </w:r>
      <w:r w:rsidR="009F6BFB">
        <w:rPr>
          <w:rFonts w:ascii="Constantia" w:hAnsi="Constantia"/>
        </w:rPr>
        <w:t>šnje u odnosu na početnu</w:t>
      </w:r>
      <w:r w:rsidRPr="006B46C2">
        <w:rPr>
          <w:rFonts w:ascii="Constantia" w:hAnsi="Constantia"/>
        </w:rPr>
        <w:t xml:space="preserve"> 2001. godinu od čak 86%.</w:t>
      </w:r>
    </w:p>
    <w:p w:rsidR="008F3CC1" w:rsidRDefault="008F3CC1" w:rsidP="008F3CC1">
      <w:pPr>
        <w:pStyle w:val="ListParagraph"/>
        <w:ind w:left="0"/>
        <w:rPr>
          <w:rFonts w:ascii="Constantia" w:hAnsi="Constantia"/>
        </w:rPr>
      </w:pPr>
    </w:p>
    <w:p w:rsidR="00C655E2" w:rsidRDefault="00C655E2" w:rsidP="00D1693B">
      <w:pPr>
        <w:pStyle w:val="Grafikon"/>
        <w:numPr>
          <w:ilvl w:val="0"/>
          <w:numId w:val="0"/>
        </w:numPr>
        <w:rPr>
          <w:rFonts w:ascii="Constantia" w:hAnsi="Constantia"/>
          <w:sz w:val="22"/>
          <w:szCs w:val="22"/>
        </w:rPr>
      </w:pPr>
      <w:r>
        <w:rPr>
          <w:noProof/>
          <w:lang w:val="en-US"/>
        </w:rPr>
        <w:drawing>
          <wp:inline distT="0" distB="0" distL="0" distR="0" wp14:anchorId="1F7DCFEE" wp14:editId="389E973B">
            <wp:extent cx="2667000" cy="2552700"/>
            <wp:effectExtent l="0" t="0" r="0" b="0"/>
            <wp:docPr id="8221" name="Chart 82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0"/>
              </a:graphicData>
            </a:graphic>
          </wp:inline>
        </w:drawing>
      </w:r>
      <w:r>
        <w:rPr>
          <w:noProof/>
          <w:lang w:val="en-US"/>
        </w:rPr>
        <w:drawing>
          <wp:inline distT="0" distB="0" distL="0" distR="0" wp14:anchorId="371C8DFF" wp14:editId="5D804820">
            <wp:extent cx="2981325" cy="2552700"/>
            <wp:effectExtent l="0" t="0" r="0" b="0"/>
            <wp:docPr id="8223" name="Chart 82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1"/>
              </a:graphicData>
            </a:graphic>
          </wp:inline>
        </w:drawing>
      </w:r>
    </w:p>
    <w:p w:rsidR="00C655E2" w:rsidRPr="00C655E2" w:rsidRDefault="00C655E2" w:rsidP="00C655E2">
      <w:pPr>
        <w:pStyle w:val="Grafikon"/>
        <w:rPr>
          <w:rFonts w:ascii="Constantia" w:hAnsi="Constantia"/>
          <w:noProof/>
          <w:sz w:val="22"/>
          <w:szCs w:val="22"/>
        </w:rPr>
      </w:pPr>
      <w:r w:rsidRPr="00C655E2">
        <w:rPr>
          <w:rFonts w:ascii="Constantia" w:hAnsi="Constantia"/>
          <w:sz w:val="22"/>
          <w:szCs w:val="22"/>
        </w:rPr>
        <w:t>Struktura ukupne potrošnje finalne energije (lijevo) i potršnje finalne energije  u  industriji (desno), 2012.godina</w:t>
      </w:r>
    </w:p>
    <w:p w:rsidR="00912E35" w:rsidRPr="005E4028" w:rsidRDefault="00912E35" w:rsidP="00D1693B">
      <w:pPr>
        <w:pStyle w:val="Grafikon"/>
        <w:numPr>
          <w:ilvl w:val="0"/>
          <w:numId w:val="0"/>
        </w:numPr>
        <w:spacing w:line="276" w:lineRule="auto"/>
        <w:ind w:left="360" w:hanging="360"/>
        <w:jc w:val="both"/>
        <w:rPr>
          <w:rFonts w:ascii="Constantia" w:hAnsi="Constantia"/>
        </w:rPr>
      </w:pPr>
      <w:r w:rsidRPr="00897A69">
        <w:rPr>
          <w:rFonts w:ascii="Constantia" w:hAnsi="Constantia"/>
          <w:color w:val="FFFFFF" w:themeColor="background1"/>
        </w:rPr>
        <w:t>m</w:t>
      </w:r>
    </w:p>
    <w:p w:rsidR="00912E35" w:rsidRDefault="00912E35" w:rsidP="00912E35">
      <w:pPr>
        <w:spacing w:line="276" w:lineRule="auto"/>
        <w:ind w:firstLine="360"/>
        <w:jc w:val="center"/>
        <w:rPr>
          <w:rFonts w:ascii="Constantia" w:hAnsi="Constantia"/>
        </w:rPr>
      </w:pPr>
      <w:r>
        <w:rPr>
          <w:noProof/>
        </w:rPr>
        <w:drawing>
          <wp:inline distT="0" distB="0" distL="0" distR="0" wp14:anchorId="1D5BE153" wp14:editId="68DFDDA1">
            <wp:extent cx="5191125" cy="2819400"/>
            <wp:effectExtent l="0" t="0" r="0" b="0"/>
            <wp:docPr id="1349" name="Chart 134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2"/>
              </a:graphicData>
            </a:graphic>
          </wp:inline>
        </w:drawing>
      </w:r>
    </w:p>
    <w:p w:rsidR="00912E35" w:rsidRPr="00D1693B" w:rsidRDefault="00912E35" w:rsidP="00D1693B">
      <w:pPr>
        <w:pStyle w:val="Grafikon"/>
        <w:rPr>
          <w:rFonts w:ascii="Constantia" w:hAnsi="Constantia"/>
          <w:sz w:val="22"/>
          <w:szCs w:val="22"/>
        </w:rPr>
      </w:pPr>
      <w:r w:rsidRPr="00D1693B">
        <w:rPr>
          <w:rFonts w:ascii="Constantia" w:hAnsi="Constantia"/>
          <w:sz w:val="22"/>
          <w:szCs w:val="22"/>
        </w:rPr>
        <w:t>Potrošnja finalne energije po industrijskim granama, 2005-2012</w:t>
      </w:r>
    </w:p>
    <w:p w:rsidR="00912E35" w:rsidRDefault="00912E35" w:rsidP="00912E35">
      <w:pPr>
        <w:pStyle w:val="ListParagraph"/>
        <w:spacing w:line="276" w:lineRule="auto"/>
        <w:ind w:left="0"/>
        <w:rPr>
          <w:rFonts w:ascii="Constantia" w:hAnsi="Constantia"/>
          <w:b/>
          <w:i/>
        </w:rPr>
      </w:pPr>
    </w:p>
    <w:p w:rsidR="00912E35" w:rsidRDefault="00912E35" w:rsidP="00F20870">
      <w:pPr>
        <w:pStyle w:val="ListParagraph"/>
        <w:ind w:left="0"/>
        <w:rPr>
          <w:rFonts w:ascii="Constantia" w:hAnsi="Constantia"/>
        </w:rPr>
      </w:pPr>
      <w:r w:rsidRPr="005F6AAF">
        <w:rPr>
          <w:rFonts w:ascii="Constantia" w:hAnsi="Constantia"/>
        </w:rPr>
        <w:lastRenderedPageBreak/>
        <w:t>U okviru energetskog sektora, nosilac potrošnje finalne energije je industrija obojenih metala. U periodu 2005-2011</w:t>
      </w:r>
      <w:r w:rsidR="00F20870">
        <w:rPr>
          <w:rFonts w:ascii="Constantia" w:hAnsi="Constantia"/>
        </w:rPr>
        <w:t>. godine,</w:t>
      </w:r>
      <w:r w:rsidRPr="005F6AAF">
        <w:rPr>
          <w:rFonts w:ascii="Constantia" w:hAnsi="Constantia"/>
        </w:rPr>
        <w:t xml:space="preserve">  udio u ukupnoj industrijskoj potrošnji iznosi  min. 70% </w:t>
      </w:r>
      <w:r>
        <w:rPr>
          <w:rFonts w:ascii="Constantia" w:hAnsi="Constantia"/>
        </w:rPr>
        <w:t>.</w:t>
      </w:r>
    </w:p>
    <w:p w:rsidR="00912E35" w:rsidRDefault="00912E35" w:rsidP="00F20870">
      <w:pPr>
        <w:pStyle w:val="ListParagraph"/>
        <w:spacing w:after="0"/>
        <w:ind w:left="0"/>
        <w:rPr>
          <w:rFonts w:ascii="Constantia" w:hAnsi="Constantia"/>
        </w:rPr>
      </w:pPr>
      <w:r>
        <w:rPr>
          <w:rFonts w:ascii="Constantia" w:hAnsi="Constantia"/>
        </w:rPr>
        <w:t>U</w:t>
      </w:r>
      <w:r w:rsidRPr="005F6AAF">
        <w:rPr>
          <w:rFonts w:ascii="Constantia" w:hAnsi="Constantia"/>
        </w:rPr>
        <w:t xml:space="preserve"> 2012. godini </w:t>
      </w:r>
      <w:r>
        <w:rPr>
          <w:rFonts w:ascii="Constantia" w:hAnsi="Constantia"/>
        </w:rPr>
        <w:t>udio potrošnje finalne energije po  industrijkim granama izgleda ovako:</w:t>
      </w:r>
    </w:p>
    <w:p w:rsidR="00F20870" w:rsidRDefault="00F20870" w:rsidP="00F20870">
      <w:pPr>
        <w:pStyle w:val="ListParagraph"/>
        <w:spacing w:after="0"/>
        <w:ind w:left="0"/>
        <w:rPr>
          <w:rFonts w:ascii="Constantia" w:hAnsi="Constantia"/>
        </w:rPr>
      </w:pPr>
    </w:p>
    <w:p w:rsidR="00912E35" w:rsidRDefault="00912E35" w:rsidP="00E70E3B">
      <w:pPr>
        <w:pStyle w:val="ListParagraph"/>
        <w:numPr>
          <w:ilvl w:val="0"/>
          <w:numId w:val="43"/>
        </w:numPr>
        <w:jc w:val="left"/>
        <w:rPr>
          <w:rFonts w:ascii="Constantia" w:hAnsi="Constantia"/>
        </w:rPr>
      </w:pPr>
      <w:r>
        <w:rPr>
          <w:rFonts w:ascii="Constantia" w:hAnsi="Constantia"/>
        </w:rPr>
        <w:t>Obojeni metali</w:t>
      </w:r>
      <w:r w:rsidRPr="005F6AAF">
        <w:rPr>
          <w:rFonts w:ascii="Constantia" w:hAnsi="Constantia"/>
        </w:rPr>
        <w:t xml:space="preserve"> 51,4%.</w:t>
      </w:r>
      <w:r>
        <w:rPr>
          <w:rFonts w:ascii="Constantia" w:hAnsi="Constantia"/>
        </w:rPr>
        <w:t xml:space="preserve"> </w:t>
      </w:r>
    </w:p>
    <w:p w:rsidR="00912E35" w:rsidRDefault="00912E35" w:rsidP="00E70E3B">
      <w:pPr>
        <w:pStyle w:val="ListParagraph"/>
        <w:numPr>
          <w:ilvl w:val="0"/>
          <w:numId w:val="43"/>
        </w:numPr>
        <w:jc w:val="left"/>
        <w:rPr>
          <w:rFonts w:ascii="Constantia" w:hAnsi="Constantia"/>
        </w:rPr>
      </w:pPr>
      <w:r>
        <w:rPr>
          <w:rFonts w:ascii="Constantia" w:hAnsi="Constantia"/>
        </w:rPr>
        <w:t xml:space="preserve">Ostala industrija 31%, </w:t>
      </w:r>
    </w:p>
    <w:p w:rsidR="00912E35" w:rsidRDefault="00912E35" w:rsidP="00E70E3B">
      <w:pPr>
        <w:pStyle w:val="ListParagraph"/>
        <w:numPr>
          <w:ilvl w:val="0"/>
          <w:numId w:val="43"/>
        </w:numPr>
        <w:jc w:val="left"/>
        <w:rPr>
          <w:rFonts w:ascii="Constantia" w:hAnsi="Constantia"/>
        </w:rPr>
      </w:pPr>
      <w:r>
        <w:rPr>
          <w:rFonts w:ascii="Constantia" w:hAnsi="Constantia"/>
        </w:rPr>
        <w:t xml:space="preserve">Hemijska industrija 6%, </w:t>
      </w:r>
    </w:p>
    <w:p w:rsidR="00912E35" w:rsidRDefault="00912E35" w:rsidP="00E70E3B">
      <w:pPr>
        <w:pStyle w:val="ListParagraph"/>
        <w:numPr>
          <w:ilvl w:val="0"/>
          <w:numId w:val="43"/>
        </w:numPr>
        <w:jc w:val="left"/>
        <w:rPr>
          <w:rFonts w:ascii="Constantia" w:hAnsi="Constantia"/>
        </w:rPr>
      </w:pPr>
      <w:r>
        <w:rPr>
          <w:rFonts w:ascii="Constantia" w:hAnsi="Constantia"/>
        </w:rPr>
        <w:t xml:space="preserve">Prehrambena industrija 5%, </w:t>
      </w:r>
    </w:p>
    <w:p w:rsidR="00912E35" w:rsidRDefault="00912E35" w:rsidP="00E70E3B">
      <w:pPr>
        <w:pStyle w:val="ListParagraph"/>
        <w:numPr>
          <w:ilvl w:val="0"/>
          <w:numId w:val="43"/>
        </w:numPr>
        <w:jc w:val="left"/>
        <w:rPr>
          <w:rFonts w:ascii="Constantia" w:hAnsi="Constantia"/>
        </w:rPr>
      </w:pPr>
      <w:r>
        <w:rPr>
          <w:rFonts w:ascii="Constantia" w:hAnsi="Constantia"/>
        </w:rPr>
        <w:t>Crna metalurgija 4%</w:t>
      </w:r>
      <w:r w:rsidRPr="005F6AAF">
        <w:rPr>
          <w:rFonts w:ascii="Constantia" w:hAnsi="Constantia"/>
        </w:rPr>
        <w:t xml:space="preserve"> </w:t>
      </w:r>
      <w:r>
        <w:rPr>
          <w:rFonts w:ascii="Constantia" w:hAnsi="Constantia"/>
        </w:rPr>
        <w:t>,</w:t>
      </w:r>
    </w:p>
    <w:p w:rsidR="00912E35" w:rsidRDefault="00912E35" w:rsidP="00E70E3B">
      <w:pPr>
        <w:pStyle w:val="ListParagraph"/>
        <w:numPr>
          <w:ilvl w:val="0"/>
          <w:numId w:val="43"/>
        </w:numPr>
        <w:jc w:val="left"/>
        <w:rPr>
          <w:rFonts w:ascii="Constantia" w:hAnsi="Constantia"/>
        </w:rPr>
      </w:pPr>
      <w:r>
        <w:rPr>
          <w:rFonts w:ascii="Constantia" w:hAnsi="Constantia"/>
        </w:rPr>
        <w:t>Vađenje rude i kamena  1%</w:t>
      </w:r>
    </w:p>
    <w:p w:rsidR="00912E35" w:rsidRDefault="00912E35" w:rsidP="00E70E3B">
      <w:pPr>
        <w:pStyle w:val="ListParagraph"/>
        <w:numPr>
          <w:ilvl w:val="0"/>
          <w:numId w:val="43"/>
        </w:numPr>
        <w:jc w:val="left"/>
        <w:rPr>
          <w:rFonts w:ascii="Constantia" w:hAnsi="Constantia"/>
        </w:rPr>
      </w:pPr>
      <w:r>
        <w:rPr>
          <w:rFonts w:ascii="Constantia" w:hAnsi="Constantia"/>
        </w:rPr>
        <w:t>Nemetalni materijali 1%</w:t>
      </w:r>
    </w:p>
    <w:p w:rsidR="00912E35" w:rsidRPr="00D647B9" w:rsidRDefault="00912E35" w:rsidP="00E70E3B">
      <w:pPr>
        <w:pStyle w:val="ListParagraph"/>
        <w:numPr>
          <w:ilvl w:val="0"/>
          <w:numId w:val="43"/>
        </w:numPr>
        <w:jc w:val="left"/>
        <w:rPr>
          <w:rFonts w:ascii="Constantia" w:hAnsi="Constantia"/>
        </w:rPr>
      </w:pPr>
      <w:r>
        <w:rPr>
          <w:rFonts w:ascii="Constantia" w:hAnsi="Constantia"/>
        </w:rPr>
        <w:t>Papir, celuloza i štampa i  tekstil i koža</w:t>
      </w:r>
      <w:r w:rsidRPr="00CB3FA5">
        <w:rPr>
          <w:rFonts w:ascii="Constantia" w:hAnsi="Constantia"/>
        </w:rPr>
        <w:t xml:space="preserve"> </w:t>
      </w:r>
      <w:r w:rsidR="00F20870">
        <w:rPr>
          <w:rFonts w:ascii="Constantia" w:hAnsi="Constantia"/>
        </w:rPr>
        <w:t>– zanemarljiv procenat.</w:t>
      </w:r>
    </w:p>
    <w:p w:rsidR="00F20870" w:rsidRDefault="00F20870" w:rsidP="00F20870">
      <w:pPr>
        <w:spacing w:after="0"/>
        <w:rPr>
          <w:rFonts w:ascii="Constantia" w:hAnsi="Constantia"/>
        </w:rPr>
      </w:pPr>
    </w:p>
    <w:p w:rsidR="00912E35" w:rsidRPr="005E4028" w:rsidRDefault="00912E35" w:rsidP="00F20870">
      <w:pPr>
        <w:rPr>
          <w:rFonts w:ascii="Constantia" w:hAnsi="Constantia"/>
        </w:rPr>
      </w:pPr>
      <w:r>
        <w:rPr>
          <w:rFonts w:ascii="Constantia" w:hAnsi="Constantia"/>
        </w:rPr>
        <w:t>Ako izuzmemo pad potrošnje u industriji,</w:t>
      </w:r>
      <w:r w:rsidRPr="00897A69">
        <w:rPr>
          <w:rFonts w:ascii="Constantia" w:hAnsi="Constantia"/>
        </w:rPr>
        <w:t xml:space="preserve"> struktura potrošnje finalne energije nije se značajni</w:t>
      </w:r>
      <w:r>
        <w:rPr>
          <w:rFonts w:ascii="Constantia" w:hAnsi="Constantia"/>
        </w:rPr>
        <w:t>je promijenila od 2000. godine (pad potrošnje finalne energije u uslugama u 2012. godini nema neko realno objašnjenje).</w:t>
      </w:r>
    </w:p>
    <w:p w:rsidR="00912E35" w:rsidRPr="005E4028" w:rsidRDefault="00912E35" w:rsidP="00912E35">
      <w:pPr>
        <w:pStyle w:val="Grafikon"/>
        <w:numPr>
          <w:ilvl w:val="0"/>
          <w:numId w:val="0"/>
        </w:numPr>
        <w:ind w:left="144" w:hanging="144"/>
        <w:rPr>
          <w:rFonts w:ascii="Constantia" w:hAnsi="Constantia"/>
        </w:rPr>
      </w:pPr>
    </w:p>
    <w:p w:rsidR="00912E35" w:rsidRPr="00560500" w:rsidRDefault="00CD4082" w:rsidP="00F20870">
      <w:pPr>
        <w:pStyle w:val="Heading3"/>
      </w:pPr>
      <w:bookmarkStart w:id="344" w:name="_Toc393897971"/>
      <w:r>
        <w:t>10</w:t>
      </w:r>
      <w:r w:rsidR="006B7531">
        <w:t>.3.3</w:t>
      </w:r>
      <w:r w:rsidR="00F20870">
        <w:t xml:space="preserve">  </w:t>
      </w:r>
      <w:r w:rsidR="00912E35" w:rsidRPr="00171C11">
        <w:t>Energetski intenzitet</w:t>
      </w:r>
      <w:bookmarkEnd w:id="344"/>
    </w:p>
    <w:p w:rsidR="00912E35" w:rsidRPr="005E4028" w:rsidRDefault="00912E35" w:rsidP="00B26F31">
      <w:pPr>
        <w:spacing w:before="240"/>
        <w:rPr>
          <w:rFonts w:ascii="Constantia" w:hAnsi="Constantia"/>
        </w:rPr>
      </w:pPr>
      <w:r w:rsidRPr="00897A69">
        <w:rPr>
          <w:rFonts w:ascii="Constantia" w:hAnsi="Constantia"/>
        </w:rPr>
        <w:t>Energetski intenzitet je mjera ukupne potrošnje energije u odnosu na ekonomske aktivnosti. Izračunava se kao odnos između ukupne potrošnje primarne energije i bruto domaćeg  proizvoda (BDP).</w:t>
      </w:r>
    </w:p>
    <w:p w:rsidR="00912E35" w:rsidRPr="005E4028" w:rsidRDefault="00912E35" w:rsidP="00B26F31">
      <w:pPr>
        <w:rPr>
          <w:rFonts w:ascii="Constantia" w:hAnsi="Constantia"/>
        </w:rPr>
      </w:pPr>
      <w:r w:rsidRPr="00897A69">
        <w:rPr>
          <w:rFonts w:ascii="Constantia" w:hAnsi="Constantia"/>
        </w:rPr>
        <w:t>Indikator identifikuje u kojoj mjeri se odvija razdvajanje između potrošnje energije i ekonomskog rasta.</w:t>
      </w:r>
    </w:p>
    <w:p w:rsidR="00912E35" w:rsidRPr="005E4028" w:rsidRDefault="00912E35" w:rsidP="00B26F31">
      <w:pPr>
        <w:rPr>
          <w:rFonts w:ascii="Constantia" w:hAnsi="Constantia"/>
        </w:rPr>
      </w:pPr>
      <w:r w:rsidRPr="00897A69">
        <w:rPr>
          <w:rFonts w:ascii="Constantia" w:hAnsi="Constantia"/>
        </w:rPr>
        <w:t>U okviru  DPS</w:t>
      </w:r>
      <w:r>
        <w:rPr>
          <w:rFonts w:ascii="Constantia" w:hAnsi="Constantia"/>
        </w:rPr>
        <w:t>I</w:t>
      </w:r>
      <w:r w:rsidRPr="00897A69">
        <w:rPr>
          <w:rFonts w:ascii="Constantia" w:hAnsi="Constantia"/>
        </w:rPr>
        <w:t xml:space="preserve">R modela </w:t>
      </w:r>
      <w:r w:rsidRPr="00895789">
        <w:rPr>
          <w:rFonts w:ascii="Constantia" w:hAnsi="Constantia"/>
        </w:rPr>
        <w:t>i</w:t>
      </w:r>
      <w:r w:rsidRPr="00897A69">
        <w:rPr>
          <w:rFonts w:ascii="Constantia" w:hAnsi="Constantia"/>
        </w:rPr>
        <w:t xml:space="preserve">ndikatoru pripada mjesto u grupi </w:t>
      </w:r>
      <w:r w:rsidRPr="00897A69">
        <w:rPr>
          <w:rFonts w:ascii="Constantia" w:hAnsi="Constantia"/>
          <w:b/>
        </w:rPr>
        <w:t>odgovora</w:t>
      </w:r>
      <w:r w:rsidRPr="00897A69">
        <w:rPr>
          <w:rFonts w:ascii="Constantia" w:hAnsi="Constantia"/>
        </w:rPr>
        <w:t>.</w:t>
      </w:r>
    </w:p>
    <w:p w:rsidR="00B26F31" w:rsidRPr="00DB396B" w:rsidRDefault="00912E35" w:rsidP="00B26F31">
      <w:pPr>
        <w:rPr>
          <w:rStyle w:val="Strong"/>
          <w:rFonts w:ascii="Constantia" w:hAnsi="Constantia"/>
          <w:b w:val="0"/>
          <w:szCs w:val="22"/>
        </w:rPr>
      </w:pPr>
      <w:r w:rsidRPr="00DB396B">
        <w:rPr>
          <w:rStyle w:val="Strong"/>
          <w:rFonts w:ascii="Constantia" w:hAnsi="Constantia"/>
          <w:b w:val="0"/>
          <w:szCs w:val="22"/>
        </w:rPr>
        <w:t xml:space="preserve">U posmatranom periodu (2000-2012), ukupna potrošnja primarne energije je smanjena za oko 17,7%, dok je bruto domaći proizvod trostruko uvećan. To znači da je ekonomski rast pratilo smanjenje potrebne energije. Dakle, došlo je do apsolutnog razdvajanja. Blagi pad potrošnje primarne energije je rezultat smanjenog obima privrednih aktivnosti. BDP ima trend stalnog rasta (izuzimajući 2012. godinu kada je zabilježen pad od 1,6% u odnosu na 2011. godinu).                                                                             </w:t>
      </w:r>
    </w:p>
    <w:p w:rsidR="00912E35" w:rsidRPr="00DB396B" w:rsidRDefault="00912E35" w:rsidP="00B26F31">
      <w:pPr>
        <w:rPr>
          <w:rStyle w:val="Strong"/>
          <w:rFonts w:ascii="Constantia" w:hAnsi="Constantia"/>
          <w:b w:val="0"/>
          <w:szCs w:val="22"/>
          <w:lang w:val="sr-Latn-CS"/>
        </w:rPr>
      </w:pPr>
      <w:r w:rsidRPr="00DB396B">
        <w:rPr>
          <w:rStyle w:val="Strong"/>
          <w:rFonts w:ascii="Constantia" w:hAnsi="Constantia"/>
          <w:b w:val="0"/>
          <w:szCs w:val="22"/>
        </w:rPr>
        <w:t xml:space="preserve">Kao rezultat funkcionalne zavisnosti dva navedena parametra ovaj indikator pokazuje trend opadanja sve do 2011. </w:t>
      </w:r>
      <w:r w:rsidR="00DB396B">
        <w:rPr>
          <w:rStyle w:val="Strong"/>
          <w:rFonts w:ascii="Constantia" w:hAnsi="Constantia"/>
          <w:b w:val="0"/>
          <w:szCs w:val="22"/>
        </w:rPr>
        <w:t>g</w:t>
      </w:r>
      <w:r w:rsidRPr="00DB396B">
        <w:rPr>
          <w:rStyle w:val="Strong"/>
          <w:rFonts w:ascii="Constantia" w:hAnsi="Constantia"/>
          <w:b w:val="0"/>
          <w:szCs w:val="22"/>
        </w:rPr>
        <w:t>odine</w:t>
      </w:r>
      <w:r w:rsidR="00DB396B">
        <w:rPr>
          <w:rStyle w:val="Strong"/>
          <w:rFonts w:ascii="Constantia" w:hAnsi="Constantia"/>
          <w:b w:val="0"/>
          <w:szCs w:val="22"/>
        </w:rPr>
        <w:t>,</w:t>
      </w:r>
      <w:r w:rsidRPr="00DB396B">
        <w:rPr>
          <w:rStyle w:val="Strong"/>
          <w:rFonts w:ascii="Constantia" w:hAnsi="Constantia"/>
          <w:b w:val="0"/>
          <w:szCs w:val="22"/>
        </w:rPr>
        <w:t xml:space="preserve"> a u 20012 blagi rast. Treba istaći da se u Crnoj Gori koristi oko 1,64 tona ekvivalentne nafte po stanovniku (u 2011. godini), što je daleko ispod prosjeka EU-27, koji iznosi 3,6 tona ekvivalentne nafte po stanovniku. </w:t>
      </w:r>
      <w:r w:rsidR="00102A33">
        <w:rPr>
          <w:rStyle w:val="Strong"/>
          <w:rFonts w:ascii="Constantia" w:hAnsi="Constantia"/>
          <w:b w:val="0"/>
          <w:szCs w:val="22"/>
        </w:rPr>
        <w:t>Svjetski prosjek je 1,</w:t>
      </w:r>
      <w:r w:rsidRPr="00DB396B">
        <w:rPr>
          <w:rStyle w:val="Strong"/>
          <w:rFonts w:ascii="Constantia" w:hAnsi="Constantia"/>
          <w:b w:val="0"/>
          <w:szCs w:val="22"/>
        </w:rPr>
        <w:t>08 ten/stanovniku.</w:t>
      </w:r>
    </w:p>
    <w:p w:rsidR="00912E35" w:rsidRPr="00DB396B" w:rsidRDefault="00912E35" w:rsidP="00B26F31">
      <w:pPr>
        <w:pStyle w:val="Grafikon"/>
        <w:numPr>
          <w:ilvl w:val="0"/>
          <w:numId w:val="0"/>
        </w:numPr>
        <w:jc w:val="both"/>
        <w:rPr>
          <w:rStyle w:val="Strong"/>
          <w:rFonts w:ascii="Constantia" w:hAnsi="Constantia"/>
          <w:b w:val="0"/>
          <w:bCs w:val="0"/>
          <w:i w:val="0"/>
        </w:rPr>
      </w:pPr>
      <w:r w:rsidRPr="00DB396B">
        <w:rPr>
          <w:rStyle w:val="Strong"/>
          <w:rFonts w:ascii="Constantia" w:hAnsi="Constantia"/>
          <w:b w:val="0"/>
          <w:i w:val="0"/>
          <w:sz w:val="22"/>
          <w:szCs w:val="22"/>
        </w:rPr>
        <w:t>Jedan od većih problema u potrošnji energije je što se najveća potrošnja energije odvija u djela</w:t>
      </w:r>
      <w:r w:rsidR="008F2717">
        <w:rPr>
          <w:rStyle w:val="Strong"/>
          <w:rFonts w:ascii="Constantia" w:hAnsi="Constantia"/>
          <w:b w:val="0"/>
          <w:i w:val="0"/>
          <w:sz w:val="22"/>
          <w:szCs w:val="22"/>
        </w:rPr>
        <w:t>tnostima koje ni</w:t>
      </w:r>
      <w:r w:rsidRPr="00DB396B">
        <w:rPr>
          <w:rStyle w:val="Strong"/>
          <w:rFonts w:ascii="Constantia" w:hAnsi="Constantia"/>
          <w:b w:val="0"/>
          <w:i w:val="0"/>
          <w:sz w:val="22"/>
          <w:szCs w:val="22"/>
        </w:rPr>
        <w:t xml:space="preserve">su proizvodne, već odlazi na potrošnju u javnim komunalnim i uslužnim preduzećima, poljoprivredi i domaćinstvima. </w:t>
      </w:r>
    </w:p>
    <w:p w:rsidR="00912E35" w:rsidRPr="00DB396B" w:rsidRDefault="00912E35" w:rsidP="00B26F31">
      <w:pPr>
        <w:rPr>
          <w:rFonts w:ascii="Constantia" w:hAnsi="Constantia"/>
        </w:rPr>
      </w:pPr>
      <w:r w:rsidRPr="00DB396B">
        <w:rPr>
          <w:rStyle w:val="Strong"/>
          <w:rFonts w:ascii="Constantia" w:hAnsi="Constantia"/>
          <w:b w:val="0"/>
          <w:szCs w:val="22"/>
        </w:rPr>
        <w:t>Sa stanovišta</w:t>
      </w:r>
      <w:r w:rsidR="00DB396B">
        <w:rPr>
          <w:rStyle w:val="Strong"/>
          <w:rFonts w:ascii="Constantia" w:hAnsi="Constantia"/>
          <w:szCs w:val="22"/>
        </w:rPr>
        <w:t xml:space="preserve"> </w:t>
      </w:r>
      <w:r w:rsidRPr="00DB396B">
        <w:rPr>
          <w:rFonts w:ascii="Constantia" w:hAnsi="Constantia"/>
        </w:rPr>
        <w:t>zaštite životne sredine, uticaj energetike zavisi od ukupnog iznosa potrošnje energije, ali i od vrste energenata i tehnologija koja se koristi za proizvodnju energije.</w:t>
      </w:r>
    </w:p>
    <w:p w:rsidR="00912E35" w:rsidRPr="00B8012C" w:rsidRDefault="00912E35" w:rsidP="00B26F31">
      <w:pPr>
        <w:rPr>
          <w:rFonts w:ascii="Constantia" w:hAnsi="Constantia"/>
          <w:sz w:val="20"/>
        </w:rPr>
      </w:pPr>
    </w:p>
    <w:p w:rsidR="00912E35" w:rsidRDefault="00912E35" w:rsidP="00912E35">
      <w:pPr>
        <w:jc w:val="right"/>
        <w:rPr>
          <w:rFonts w:ascii="Constantia" w:hAnsi="Constantia"/>
        </w:rPr>
      </w:pPr>
      <w:r>
        <w:rPr>
          <w:noProof/>
        </w:rPr>
        <w:lastRenderedPageBreak/>
        <w:drawing>
          <wp:inline distT="0" distB="0" distL="0" distR="0" wp14:anchorId="6F465755" wp14:editId="78913CA8">
            <wp:extent cx="5657850" cy="3114675"/>
            <wp:effectExtent l="0" t="0" r="0" b="0"/>
            <wp:docPr id="1350" name="Chart 135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3"/>
              </a:graphicData>
            </a:graphic>
          </wp:inline>
        </w:drawing>
      </w:r>
    </w:p>
    <w:p w:rsidR="008F2717" w:rsidRDefault="008F2717" w:rsidP="008F2717">
      <w:pPr>
        <w:pStyle w:val="Grafikon"/>
        <w:rPr>
          <w:rFonts w:ascii="Constantia" w:hAnsi="Constantia"/>
          <w:sz w:val="22"/>
          <w:szCs w:val="22"/>
        </w:rPr>
      </w:pPr>
      <w:r w:rsidRPr="008F2717">
        <w:rPr>
          <w:rFonts w:ascii="Constantia" w:hAnsi="Constantia"/>
          <w:sz w:val="22"/>
          <w:szCs w:val="22"/>
        </w:rPr>
        <w:t>Energetski intenzitet u Crnoj Gori, 2000-2012</w:t>
      </w:r>
    </w:p>
    <w:p w:rsidR="008F2717" w:rsidRPr="008F2717" w:rsidRDefault="008F2717" w:rsidP="008F2717">
      <w:pPr>
        <w:pStyle w:val="Grafikon"/>
        <w:numPr>
          <w:ilvl w:val="0"/>
          <w:numId w:val="0"/>
        </w:numPr>
        <w:ind w:left="360"/>
        <w:jc w:val="both"/>
        <w:rPr>
          <w:rFonts w:ascii="Constantia" w:hAnsi="Constantia"/>
          <w:sz w:val="22"/>
          <w:szCs w:val="22"/>
        </w:rPr>
      </w:pPr>
    </w:p>
    <w:tbl>
      <w:tblPr>
        <w:tblpPr w:leftFromText="180" w:rightFromText="180" w:vertAnchor="text" w:tblpX="275" w:tblpY="1"/>
        <w:tblOverlap w:val="never"/>
        <w:tblW w:w="12574" w:type="dxa"/>
        <w:tblLayout w:type="fixed"/>
        <w:tblLook w:val="04A0" w:firstRow="1" w:lastRow="0" w:firstColumn="1" w:lastColumn="0" w:noHBand="0" w:noVBand="1"/>
      </w:tblPr>
      <w:tblGrid>
        <w:gridCol w:w="1908"/>
        <w:gridCol w:w="720"/>
        <w:gridCol w:w="630"/>
        <w:gridCol w:w="377"/>
        <w:gridCol w:w="253"/>
        <w:gridCol w:w="588"/>
        <w:gridCol w:w="572"/>
        <w:gridCol w:w="381"/>
        <w:gridCol w:w="215"/>
        <w:gridCol w:w="21"/>
        <w:gridCol w:w="544"/>
        <w:gridCol w:w="567"/>
        <w:gridCol w:w="255"/>
        <w:gridCol w:w="314"/>
        <w:gridCol w:w="556"/>
        <w:gridCol w:w="573"/>
        <w:gridCol w:w="634"/>
        <w:gridCol w:w="509"/>
        <w:gridCol w:w="2957"/>
      </w:tblGrid>
      <w:tr w:rsidR="00912E35" w:rsidRPr="00AC2B0F" w:rsidTr="00670650">
        <w:trPr>
          <w:cantSplit/>
          <w:trHeight w:val="1134"/>
        </w:trPr>
        <w:tc>
          <w:tcPr>
            <w:tcW w:w="1908" w:type="dxa"/>
            <w:tcBorders>
              <w:top w:val="single" w:sz="4" w:space="0" w:color="auto"/>
              <w:left w:val="single" w:sz="4" w:space="0" w:color="auto"/>
              <w:bottom w:val="single" w:sz="4" w:space="0" w:color="auto"/>
            </w:tcBorders>
            <w:shd w:val="clear" w:color="auto" w:fill="auto"/>
            <w:vAlign w:val="center"/>
          </w:tcPr>
          <w:p w:rsidR="00912E35" w:rsidRPr="004E3835" w:rsidRDefault="00912E35" w:rsidP="008F2717">
            <w:pPr>
              <w:jc w:val="center"/>
              <w:rPr>
                <w:rFonts w:ascii="Constantia" w:hAnsi="Constantia" w:cs="Calibri"/>
                <w:b/>
                <w:bCs/>
                <w:color w:val="000000"/>
                <w:sz w:val="18"/>
                <w:szCs w:val="18"/>
              </w:rPr>
            </w:pPr>
            <w:r w:rsidRPr="0095248F">
              <w:rPr>
                <w:rFonts w:ascii="Constantia" w:hAnsi="Constantia" w:cs="Calibri"/>
                <w:b/>
                <w:bCs/>
                <w:color w:val="000000"/>
                <w:sz w:val="18"/>
                <w:szCs w:val="18"/>
              </w:rPr>
              <w:t>INDEKS 2000=100</w:t>
            </w:r>
          </w:p>
        </w:tc>
        <w:tc>
          <w:tcPr>
            <w:tcW w:w="720" w:type="dxa"/>
            <w:tcBorders>
              <w:top w:val="single" w:sz="4" w:space="0" w:color="auto"/>
              <w:left w:val="single" w:sz="4" w:space="0" w:color="auto"/>
              <w:bottom w:val="nil"/>
              <w:right w:val="nil"/>
            </w:tcBorders>
            <w:shd w:val="clear" w:color="auto" w:fill="F2F2F2" w:themeFill="background1" w:themeFillShade="F2"/>
            <w:noWrap/>
            <w:textDirection w:val="btLr"/>
            <w:vAlign w:val="center"/>
          </w:tcPr>
          <w:p w:rsidR="00912E35" w:rsidRPr="000C6084" w:rsidRDefault="00912E35" w:rsidP="008F2717">
            <w:pPr>
              <w:ind w:left="113" w:right="113"/>
              <w:jc w:val="center"/>
              <w:rPr>
                <w:rFonts w:ascii="Constantia" w:hAnsi="Constantia" w:cs="Calibri"/>
                <w:bCs/>
                <w:color w:val="000000"/>
                <w:szCs w:val="22"/>
              </w:rPr>
            </w:pPr>
            <w:r w:rsidRPr="000C6084">
              <w:rPr>
                <w:rFonts w:ascii="Constantia" w:hAnsi="Constantia" w:cs="Calibri"/>
                <w:bCs/>
                <w:color w:val="000000"/>
                <w:szCs w:val="22"/>
              </w:rPr>
              <w:t>2000</w:t>
            </w:r>
          </w:p>
        </w:tc>
        <w:tc>
          <w:tcPr>
            <w:tcW w:w="630" w:type="dxa"/>
            <w:tcBorders>
              <w:top w:val="single" w:sz="4" w:space="0" w:color="auto"/>
              <w:left w:val="single" w:sz="4" w:space="0" w:color="auto"/>
              <w:bottom w:val="nil"/>
              <w:right w:val="nil"/>
            </w:tcBorders>
            <w:shd w:val="clear" w:color="auto" w:fill="F2F2F2" w:themeFill="background1" w:themeFillShade="F2"/>
            <w:textDirection w:val="btLr"/>
            <w:vAlign w:val="center"/>
          </w:tcPr>
          <w:p w:rsidR="00912E35" w:rsidRPr="000C6084" w:rsidRDefault="00912E35" w:rsidP="008F2717">
            <w:pPr>
              <w:ind w:left="113" w:right="113"/>
              <w:jc w:val="center"/>
              <w:rPr>
                <w:rFonts w:ascii="Constantia" w:hAnsi="Constantia" w:cs="Calibri"/>
                <w:bCs/>
                <w:color w:val="000000"/>
                <w:szCs w:val="22"/>
              </w:rPr>
            </w:pPr>
            <w:r w:rsidRPr="000C6084">
              <w:rPr>
                <w:rFonts w:ascii="Constantia" w:hAnsi="Constantia" w:cs="Calibri"/>
                <w:bCs/>
                <w:color w:val="000000"/>
                <w:szCs w:val="22"/>
              </w:rPr>
              <w:t>2001</w:t>
            </w:r>
          </w:p>
        </w:tc>
        <w:tc>
          <w:tcPr>
            <w:tcW w:w="377" w:type="dxa"/>
            <w:tcBorders>
              <w:top w:val="single" w:sz="4" w:space="0" w:color="auto"/>
              <w:left w:val="single" w:sz="4" w:space="0" w:color="auto"/>
              <w:bottom w:val="nil"/>
              <w:right w:val="nil"/>
            </w:tcBorders>
            <w:shd w:val="clear" w:color="auto" w:fill="F2F2F2" w:themeFill="background1" w:themeFillShade="F2"/>
            <w:textDirection w:val="btLr"/>
            <w:vAlign w:val="center"/>
          </w:tcPr>
          <w:p w:rsidR="00912E35" w:rsidRPr="000C6084" w:rsidRDefault="00912E35" w:rsidP="008F2717">
            <w:pPr>
              <w:ind w:left="113" w:right="113"/>
              <w:jc w:val="center"/>
              <w:rPr>
                <w:rFonts w:ascii="Constantia" w:hAnsi="Constantia" w:cs="Calibri"/>
                <w:bCs/>
                <w:color w:val="000000"/>
                <w:szCs w:val="22"/>
              </w:rPr>
            </w:pPr>
            <w:r w:rsidRPr="000C6084">
              <w:rPr>
                <w:rFonts w:ascii="Constantia" w:hAnsi="Constantia" w:cs="Calibri"/>
                <w:bCs/>
                <w:color w:val="000000"/>
                <w:szCs w:val="22"/>
              </w:rPr>
              <w:t>2002</w:t>
            </w:r>
          </w:p>
        </w:tc>
        <w:tc>
          <w:tcPr>
            <w:tcW w:w="253" w:type="dxa"/>
            <w:tcBorders>
              <w:top w:val="single" w:sz="4" w:space="0" w:color="auto"/>
              <w:left w:val="nil"/>
              <w:bottom w:val="single" w:sz="4" w:space="0" w:color="auto"/>
              <w:right w:val="single" w:sz="4" w:space="0" w:color="auto"/>
            </w:tcBorders>
            <w:shd w:val="clear" w:color="auto" w:fill="F2F2F2" w:themeFill="background1" w:themeFillShade="F2"/>
            <w:noWrap/>
            <w:textDirection w:val="btLr"/>
            <w:vAlign w:val="center"/>
          </w:tcPr>
          <w:p w:rsidR="00912E35" w:rsidRPr="000C6084" w:rsidRDefault="00912E35" w:rsidP="008F2717">
            <w:pPr>
              <w:ind w:left="113" w:right="113"/>
              <w:jc w:val="center"/>
              <w:rPr>
                <w:rFonts w:ascii="Constantia" w:hAnsi="Constantia" w:cs="Calibri"/>
                <w:bCs/>
                <w:color w:val="000000"/>
                <w:szCs w:val="22"/>
              </w:rPr>
            </w:pPr>
          </w:p>
        </w:tc>
        <w:tc>
          <w:tcPr>
            <w:tcW w:w="588" w:type="dxa"/>
            <w:tcBorders>
              <w:top w:val="single" w:sz="4" w:space="0" w:color="auto"/>
              <w:left w:val="nil"/>
              <w:bottom w:val="single" w:sz="4" w:space="0" w:color="auto"/>
              <w:right w:val="single" w:sz="4" w:space="0" w:color="auto"/>
            </w:tcBorders>
            <w:shd w:val="clear" w:color="auto" w:fill="F2F2F2" w:themeFill="background1" w:themeFillShade="F2"/>
            <w:textDirection w:val="btLr"/>
            <w:vAlign w:val="center"/>
          </w:tcPr>
          <w:p w:rsidR="00912E35" w:rsidRPr="000C6084" w:rsidRDefault="00912E35" w:rsidP="008F2717">
            <w:pPr>
              <w:ind w:left="113" w:right="113"/>
              <w:jc w:val="center"/>
              <w:rPr>
                <w:rFonts w:ascii="Constantia" w:hAnsi="Constantia" w:cs="Calibri"/>
                <w:bCs/>
                <w:color w:val="000000"/>
                <w:szCs w:val="22"/>
              </w:rPr>
            </w:pPr>
            <w:r w:rsidRPr="000C6084">
              <w:rPr>
                <w:rFonts w:ascii="Constantia" w:hAnsi="Constantia" w:cs="Calibri"/>
                <w:bCs/>
                <w:color w:val="000000"/>
                <w:szCs w:val="22"/>
              </w:rPr>
              <w:t>2003</w:t>
            </w:r>
          </w:p>
        </w:tc>
        <w:tc>
          <w:tcPr>
            <w:tcW w:w="572" w:type="dxa"/>
            <w:tcBorders>
              <w:top w:val="single" w:sz="4" w:space="0" w:color="auto"/>
              <w:left w:val="nil"/>
              <w:bottom w:val="single" w:sz="4" w:space="0" w:color="auto"/>
              <w:right w:val="single" w:sz="4" w:space="0" w:color="auto"/>
            </w:tcBorders>
            <w:shd w:val="clear" w:color="auto" w:fill="F2F2F2" w:themeFill="background1" w:themeFillShade="F2"/>
            <w:textDirection w:val="btLr"/>
            <w:vAlign w:val="center"/>
          </w:tcPr>
          <w:p w:rsidR="00912E35" w:rsidRPr="000C6084" w:rsidRDefault="00912E35" w:rsidP="008F2717">
            <w:pPr>
              <w:ind w:left="113" w:right="113"/>
              <w:jc w:val="center"/>
              <w:rPr>
                <w:rFonts w:ascii="Constantia" w:hAnsi="Constantia" w:cs="Calibri"/>
                <w:bCs/>
                <w:color w:val="000000"/>
                <w:szCs w:val="22"/>
              </w:rPr>
            </w:pPr>
            <w:r w:rsidRPr="000C6084">
              <w:rPr>
                <w:rFonts w:ascii="Constantia" w:hAnsi="Constantia" w:cs="Calibri"/>
                <w:bCs/>
                <w:color w:val="000000"/>
                <w:szCs w:val="22"/>
              </w:rPr>
              <w:t>2004</w:t>
            </w:r>
          </w:p>
        </w:tc>
        <w:tc>
          <w:tcPr>
            <w:tcW w:w="381" w:type="dxa"/>
            <w:tcBorders>
              <w:top w:val="single" w:sz="4" w:space="0" w:color="auto"/>
              <w:left w:val="single" w:sz="4" w:space="0" w:color="auto"/>
              <w:bottom w:val="single" w:sz="4" w:space="0" w:color="auto"/>
              <w:right w:val="nil"/>
            </w:tcBorders>
            <w:shd w:val="clear" w:color="auto" w:fill="F2F2F2" w:themeFill="background1" w:themeFillShade="F2"/>
            <w:textDirection w:val="btLr"/>
            <w:vAlign w:val="center"/>
          </w:tcPr>
          <w:p w:rsidR="00912E35" w:rsidRPr="000C6084" w:rsidRDefault="00912E35" w:rsidP="008F2717">
            <w:pPr>
              <w:ind w:left="113" w:right="113"/>
              <w:jc w:val="center"/>
              <w:rPr>
                <w:rFonts w:ascii="Constantia" w:hAnsi="Constantia" w:cs="Calibri"/>
                <w:bCs/>
                <w:color w:val="000000"/>
                <w:szCs w:val="22"/>
              </w:rPr>
            </w:pPr>
            <w:r w:rsidRPr="000C6084">
              <w:rPr>
                <w:rFonts w:ascii="Constantia" w:hAnsi="Constantia" w:cs="Calibri"/>
                <w:bCs/>
                <w:color w:val="000000"/>
                <w:szCs w:val="22"/>
              </w:rPr>
              <w:t>2005</w:t>
            </w:r>
          </w:p>
        </w:tc>
        <w:tc>
          <w:tcPr>
            <w:tcW w:w="236" w:type="dxa"/>
            <w:gridSpan w:val="2"/>
            <w:tcBorders>
              <w:top w:val="single" w:sz="4" w:space="0" w:color="auto"/>
              <w:left w:val="nil"/>
              <w:bottom w:val="single" w:sz="4" w:space="0" w:color="auto"/>
              <w:right w:val="single" w:sz="4" w:space="0" w:color="auto"/>
            </w:tcBorders>
            <w:shd w:val="clear" w:color="auto" w:fill="F2F2F2" w:themeFill="background1" w:themeFillShade="F2"/>
            <w:noWrap/>
            <w:textDirection w:val="btLr"/>
            <w:vAlign w:val="center"/>
          </w:tcPr>
          <w:p w:rsidR="00912E35" w:rsidRPr="000C6084" w:rsidRDefault="00912E35" w:rsidP="008F2717">
            <w:pPr>
              <w:ind w:left="113" w:right="113"/>
              <w:jc w:val="center"/>
              <w:rPr>
                <w:rFonts w:ascii="Constantia" w:hAnsi="Constantia" w:cs="Calibri"/>
                <w:color w:val="000000"/>
                <w:szCs w:val="22"/>
              </w:rPr>
            </w:pPr>
          </w:p>
        </w:tc>
        <w:tc>
          <w:tcPr>
            <w:tcW w:w="544" w:type="dxa"/>
            <w:tcBorders>
              <w:top w:val="single" w:sz="4" w:space="0" w:color="auto"/>
              <w:left w:val="nil"/>
              <w:bottom w:val="single" w:sz="4" w:space="0" w:color="auto"/>
              <w:right w:val="single" w:sz="4" w:space="0" w:color="auto"/>
            </w:tcBorders>
            <w:shd w:val="clear" w:color="auto" w:fill="F2F2F2" w:themeFill="background1" w:themeFillShade="F2"/>
            <w:textDirection w:val="btLr"/>
            <w:vAlign w:val="center"/>
          </w:tcPr>
          <w:p w:rsidR="00912E35" w:rsidRPr="000C6084" w:rsidRDefault="00912E35" w:rsidP="008F2717">
            <w:pPr>
              <w:ind w:left="113" w:right="113"/>
              <w:jc w:val="center"/>
              <w:rPr>
                <w:rFonts w:ascii="Constantia" w:hAnsi="Constantia" w:cs="Calibri"/>
                <w:color w:val="000000"/>
                <w:szCs w:val="22"/>
              </w:rPr>
            </w:pPr>
            <w:r w:rsidRPr="000C6084">
              <w:rPr>
                <w:rFonts w:ascii="Constantia" w:hAnsi="Constantia" w:cs="Calibri"/>
                <w:color w:val="000000"/>
                <w:szCs w:val="22"/>
              </w:rPr>
              <w:t>2006</w:t>
            </w: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rsidR="00912E35" w:rsidRPr="000C6084" w:rsidRDefault="00912E35" w:rsidP="008F2717">
            <w:pPr>
              <w:ind w:left="113" w:right="113"/>
              <w:jc w:val="center"/>
              <w:rPr>
                <w:rFonts w:ascii="Constantia" w:hAnsi="Constantia" w:cs="Calibri"/>
                <w:color w:val="000000"/>
                <w:szCs w:val="22"/>
              </w:rPr>
            </w:pPr>
            <w:r w:rsidRPr="000C6084">
              <w:rPr>
                <w:rFonts w:ascii="Constantia" w:hAnsi="Constantia" w:cs="Calibri"/>
                <w:color w:val="000000"/>
                <w:szCs w:val="22"/>
              </w:rPr>
              <w:t>2007</w:t>
            </w:r>
          </w:p>
        </w:tc>
        <w:tc>
          <w:tcPr>
            <w:tcW w:w="255" w:type="dxa"/>
            <w:tcBorders>
              <w:top w:val="single" w:sz="4" w:space="0" w:color="auto"/>
              <w:left w:val="single" w:sz="4" w:space="0" w:color="auto"/>
              <w:bottom w:val="single" w:sz="4" w:space="0" w:color="auto"/>
              <w:right w:val="nil"/>
            </w:tcBorders>
            <w:shd w:val="clear" w:color="auto" w:fill="F2F2F2" w:themeFill="background1" w:themeFillShade="F2"/>
            <w:textDirection w:val="btLr"/>
            <w:vAlign w:val="center"/>
          </w:tcPr>
          <w:p w:rsidR="00912E35" w:rsidRPr="000C6084" w:rsidRDefault="00912E35" w:rsidP="008F2717">
            <w:pPr>
              <w:ind w:left="113" w:right="113"/>
              <w:jc w:val="center"/>
              <w:rPr>
                <w:rFonts w:ascii="Constantia" w:hAnsi="Constantia" w:cs="Calibri"/>
                <w:color w:val="000000"/>
                <w:szCs w:val="22"/>
              </w:rPr>
            </w:pPr>
          </w:p>
        </w:tc>
        <w:tc>
          <w:tcPr>
            <w:tcW w:w="314" w:type="dxa"/>
            <w:tcBorders>
              <w:top w:val="single" w:sz="4" w:space="0" w:color="auto"/>
              <w:left w:val="nil"/>
              <w:bottom w:val="single" w:sz="4" w:space="0" w:color="auto"/>
              <w:right w:val="single" w:sz="4" w:space="0" w:color="auto"/>
            </w:tcBorders>
            <w:shd w:val="clear" w:color="auto" w:fill="F2F2F2" w:themeFill="background1" w:themeFillShade="F2"/>
            <w:noWrap/>
            <w:textDirection w:val="btLr"/>
            <w:vAlign w:val="center"/>
          </w:tcPr>
          <w:p w:rsidR="00912E35" w:rsidRPr="000C6084" w:rsidRDefault="00912E35" w:rsidP="008F2717">
            <w:pPr>
              <w:ind w:left="113" w:right="113"/>
              <w:jc w:val="center"/>
              <w:rPr>
                <w:rFonts w:ascii="Constantia" w:hAnsi="Constantia" w:cs="Calibri"/>
                <w:color w:val="000000"/>
                <w:szCs w:val="22"/>
              </w:rPr>
            </w:pPr>
            <w:r w:rsidRPr="000C6084">
              <w:rPr>
                <w:rFonts w:ascii="Constantia" w:hAnsi="Constantia" w:cs="Calibri"/>
                <w:color w:val="000000"/>
                <w:szCs w:val="22"/>
              </w:rPr>
              <w:t>2008</w:t>
            </w:r>
          </w:p>
        </w:tc>
        <w:tc>
          <w:tcPr>
            <w:tcW w:w="556" w:type="dxa"/>
            <w:tcBorders>
              <w:top w:val="single" w:sz="4" w:space="0" w:color="auto"/>
              <w:left w:val="single" w:sz="4" w:space="0" w:color="auto"/>
              <w:bottom w:val="single" w:sz="4" w:space="0" w:color="auto"/>
              <w:right w:val="single" w:sz="4" w:space="0" w:color="auto"/>
            </w:tcBorders>
            <w:shd w:val="clear" w:color="auto" w:fill="F2F2F2" w:themeFill="background1" w:themeFillShade="F2"/>
            <w:textDirection w:val="btLr"/>
            <w:vAlign w:val="center"/>
          </w:tcPr>
          <w:p w:rsidR="00912E35" w:rsidRPr="000C6084" w:rsidRDefault="00912E35" w:rsidP="008F2717">
            <w:pPr>
              <w:ind w:left="113" w:right="113"/>
              <w:jc w:val="center"/>
              <w:rPr>
                <w:rFonts w:ascii="Constantia" w:hAnsi="Constantia" w:cs="Calibri"/>
                <w:color w:val="000000"/>
                <w:szCs w:val="22"/>
              </w:rPr>
            </w:pPr>
            <w:r w:rsidRPr="000C6084">
              <w:rPr>
                <w:rFonts w:ascii="Constantia" w:hAnsi="Constantia" w:cs="Calibri"/>
                <w:color w:val="000000"/>
                <w:szCs w:val="22"/>
              </w:rPr>
              <w:t>2009</w:t>
            </w:r>
          </w:p>
        </w:tc>
        <w:tc>
          <w:tcPr>
            <w:tcW w:w="57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rsidR="00912E35" w:rsidRPr="000C6084" w:rsidRDefault="00912E35" w:rsidP="008F2717">
            <w:pPr>
              <w:ind w:left="113" w:right="113"/>
              <w:jc w:val="center"/>
              <w:rPr>
                <w:rFonts w:ascii="Constantia" w:hAnsi="Constantia" w:cs="Calibri"/>
                <w:color w:val="000000"/>
                <w:szCs w:val="22"/>
              </w:rPr>
            </w:pPr>
            <w:r w:rsidRPr="000C6084">
              <w:rPr>
                <w:rFonts w:ascii="Constantia" w:hAnsi="Constantia" w:cs="Calibri"/>
                <w:color w:val="000000"/>
                <w:szCs w:val="22"/>
              </w:rPr>
              <w:t>2010</w:t>
            </w:r>
          </w:p>
        </w:tc>
        <w:tc>
          <w:tcPr>
            <w:tcW w:w="634" w:type="dxa"/>
            <w:tcBorders>
              <w:top w:val="single" w:sz="4" w:space="0" w:color="auto"/>
              <w:left w:val="nil"/>
              <w:bottom w:val="single" w:sz="4" w:space="0" w:color="auto"/>
              <w:right w:val="single" w:sz="4" w:space="0" w:color="auto"/>
            </w:tcBorders>
            <w:shd w:val="clear" w:color="auto" w:fill="F2F2F2" w:themeFill="background1" w:themeFillShade="F2"/>
            <w:textDirection w:val="btLr"/>
            <w:vAlign w:val="center"/>
          </w:tcPr>
          <w:p w:rsidR="00912E35" w:rsidRPr="000C6084" w:rsidRDefault="00912E35" w:rsidP="008F2717">
            <w:pPr>
              <w:ind w:left="113" w:right="113"/>
              <w:jc w:val="center"/>
              <w:rPr>
                <w:rFonts w:ascii="Constantia" w:hAnsi="Constantia" w:cs="Calibri"/>
                <w:color w:val="000000"/>
                <w:szCs w:val="22"/>
              </w:rPr>
            </w:pPr>
            <w:r w:rsidRPr="000C6084">
              <w:rPr>
                <w:rFonts w:ascii="Constantia" w:hAnsi="Constantia" w:cs="Calibri"/>
                <w:color w:val="000000"/>
                <w:szCs w:val="22"/>
              </w:rPr>
              <w:t>2011</w:t>
            </w:r>
          </w:p>
        </w:tc>
        <w:tc>
          <w:tcPr>
            <w:tcW w:w="509" w:type="dxa"/>
            <w:tcBorders>
              <w:top w:val="single" w:sz="4" w:space="0" w:color="auto"/>
              <w:left w:val="single" w:sz="4" w:space="0" w:color="auto"/>
              <w:right w:val="single" w:sz="4" w:space="0" w:color="auto"/>
            </w:tcBorders>
            <w:shd w:val="clear" w:color="auto" w:fill="F2F2F2" w:themeFill="background1" w:themeFillShade="F2"/>
            <w:noWrap/>
            <w:textDirection w:val="btLr"/>
            <w:vAlign w:val="center"/>
          </w:tcPr>
          <w:p w:rsidR="00912E35" w:rsidRPr="000C6084" w:rsidRDefault="00912E35" w:rsidP="008F2717">
            <w:pPr>
              <w:ind w:left="113" w:right="113"/>
              <w:jc w:val="center"/>
              <w:rPr>
                <w:rFonts w:ascii="Constantia" w:hAnsi="Constantia" w:cs="Calibri"/>
                <w:color w:val="000000"/>
                <w:szCs w:val="22"/>
              </w:rPr>
            </w:pPr>
          </w:p>
          <w:p w:rsidR="00912E35" w:rsidRPr="000C6084" w:rsidRDefault="00912E35" w:rsidP="008F2717">
            <w:pPr>
              <w:ind w:left="113" w:right="113"/>
              <w:jc w:val="center"/>
              <w:rPr>
                <w:rFonts w:ascii="Constantia" w:hAnsi="Constantia" w:cs="Calibri"/>
                <w:color w:val="000000"/>
                <w:szCs w:val="22"/>
              </w:rPr>
            </w:pPr>
            <w:r w:rsidRPr="000C6084">
              <w:rPr>
                <w:rFonts w:ascii="Constantia" w:hAnsi="Constantia" w:cs="Calibri"/>
                <w:color w:val="000000"/>
                <w:szCs w:val="22"/>
              </w:rPr>
              <w:t>2012</w:t>
            </w:r>
          </w:p>
          <w:p w:rsidR="00912E35" w:rsidRPr="000C6084" w:rsidRDefault="00912E35" w:rsidP="008F2717">
            <w:pPr>
              <w:ind w:left="113" w:right="113"/>
              <w:jc w:val="center"/>
              <w:rPr>
                <w:rFonts w:ascii="Constantia" w:hAnsi="Constantia" w:cs="Calibri"/>
                <w:color w:val="000000"/>
                <w:szCs w:val="22"/>
              </w:rPr>
            </w:pPr>
          </w:p>
        </w:tc>
        <w:tc>
          <w:tcPr>
            <w:tcW w:w="2957" w:type="dxa"/>
            <w:tcBorders>
              <w:left w:val="nil"/>
            </w:tcBorders>
            <w:shd w:val="clear" w:color="auto" w:fill="auto"/>
            <w:vAlign w:val="center"/>
          </w:tcPr>
          <w:p w:rsidR="00912E35" w:rsidRDefault="00912E35" w:rsidP="008F2717">
            <w:pPr>
              <w:jc w:val="right"/>
              <w:rPr>
                <w:rFonts w:ascii="Constantia" w:hAnsi="Constantia" w:cs="Calibri"/>
                <w:color w:val="000000"/>
                <w:sz w:val="18"/>
                <w:szCs w:val="18"/>
              </w:rPr>
            </w:pPr>
          </w:p>
          <w:p w:rsidR="00912E35" w:rsidRPr="00AC2B0F" w:rsidRDefault="00912E35" w:rsidP="008F2717">
            <w:pPr>
              <w:jc w:val="right"/>
              <w:rPr>
                <w:rFonts w:ascii="Constantia" w:hAnsi="Constantia" w:cs="Calibri"/>
                <w:color w:val="000000"/>
                <w:sz w:val="18"/>
                <w:szCs w:val="18"/>
              </w:rPr>
            </w:pPr>
          </w:p>
          <w:p w:rsidR="00912E35" w:rsidRPr="00897A69" w:rsidRDefault="00912E35" w:rsidP="008F2717">
            <w:pPr>
              <w:jc w:val="right"/>
              <w:rPr>
                <w:rFonts w:ascii="Constantia" w:hAnsi="Constantia" w:cs="Calibri"/>
                <w:color w:val="000000"/>
                <w:sz w:val="18"/>
                <w:szCs w:val="18"/>
              </w:rPr>
            </w:pPr>
            <w:r w:rsidRPr="00897A69">
              <w:rPr>
                <w:rFonts w:ascii="Constantia" w:hAnsi="Constantia" w:cs="Calibri"/>
                <w:color w:val="000000"/>
                <w:sz w:val="18"/>
                <w:szCs w:val="18"/>
              </w:rPr>
              <w:t> </w:t>
            </w:r>
          </w:p>
        </w:tc>
      </w:tr>
      <w:tr w:rsidR="00912E35" w:rsidRPr="00AC2B0F" w:rsidTr="00670650">
        <w:trPr>
          <w:gridAfter w:val="1"/>
          <w:wAfter w:w="2957" w:type="dxa"/>
          <w:trHeight w:val="345"/>
        </w:trPr>
        <w:tc>
          <w:tcPr>
            <w:tcW w:w="1908"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912E35" w:rsidRPr="00AC2B0F" w:rsidRDefault="00912E35" w:rsidP="008F2717">
            <w:pPr>
              <w:jc w:val="left"/>
              <w:rPr>
                <w:rFonts w:ascii="Constantia" w:hAnsi="Constantia" w:cs="Calibri"/>
                <w:b/>
                <w:bCs/>
                <w:color w:val="000000"/>
                <w:sz w:val="18"/>
                <w:szCs w:val="18"/>
              </w:rPr>
            </w:pPr>
            <w:r w:rsidRPr="00897A69">
              <w:rPr>
                <w:rFonts w:ascii="Constantia" w:hAnsi="Constantia" w:cs="Calibri"/>
                <w:b/>
                <w:bCs/>
                <w:color w:val="000000"/>
                <w:sz w:val="18"/>
                <w:szCs w:val="18"/>
              </w:rPr>
              <w:t>Potrošnja primarne energije</w:t>
            </w: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rsidR="00912E35" w:rsidRPr="00AC2B0F" w:rsidRDefault="00912E35" w:rsidP="008F2717">
            <w:pPr>
              <w:jc w:val="center"/>
              <w:rPr>
                <w:rFonts w:ascii="Constantia" w:hAnsi="Constantia" w:cs="Calibri"/>
                <w:color w:val="000000"/>
                <w:sz w:val="18"/>
                <w:szCs w:val="18"/>
              </w:rPr>
            </w:pPr>
            <w:r w:rsidRPr="00897A69">
              <w:rPr>
                <w:rFonts w:ascii="Constantia" w:hAnsi="Constantia" w:cs="Calibri"/>
                <w:color w:val="000000"/>
                <w:sz w:val="18"/>
                <w:szCs w:val="18"/>
              </w:rPr>
              <w:t>100</w:t>
            </w:r>
          </w:p>
        </w:tc>
        <w:tc>
          <w:tcPr>
            <w:tcW w:w="630" w:type="dxa"/>
            <w:tcBorders>
              <w:top w:val="single" w:sz="4" w:space="0" w:color="auto"/>
              <w:left w:val="nil"/>
              <w:bottom w:val="single" w:sz="4" w:space="0" w:color="auto"/>
              <w:right w:val="single" w:sz="4" w:space="0" w:color="auto"/>
            </w:tcBorders>
            <w:shd w:val="clear" w:color="auto" w:fill="auto"/>
            <w:noWrap/>
            <w:vAlign w:val="center"/>
            <w:hideMark/>
          </w:tcPr>
          <w:p w:rsidR="00912E35" w:rsidRPr="00AC2B0F" w:rsidRDefault="00912E35" w:rsidP="008F2717">
            <w:pPr>
              <w:jc w:val="center"/>
              <w:rPr>
                <w:rFonts w:ascii="Constantia" w:hAnsi="Constantia" w:cs="Calibri"/>
                <w:color w:val="000000"/>
                <w:sz w:val="18"/>
                <w:szCs w:val="18"/>
              </w:rPr>
            </w:pPr>
            <w:r w:rsidRPr="00897A69">
              <w:rPr>
                <w:rFonts w:ascii="Constantia" w:hAnsi="Constantia" w:cs="Calibri"/>
                <w:color w:val="000000"/>
                <w:sz w:val="18"/>
                <w:szCs w:val="18"/>
              </w:rPr>
              <w:t>101</w:t>
            </w:r>
          </w:p>
        </w:tc>
        <w:tc>
          <w:tcPr>
            <w:tcW w:w="630" w:type="dxa"/>
            <w:gridSpan w:val="2"/>
            <w:tcBorders>
              <w:top w:val="single" w:sz="4" w:space="0" w:color="auto"/>
              <w:left w:val="nil"/>
              <w:bottom w:val="single" w:sz="4" w:space="0" w:color="auto"/>
              <w:right w:val="single" w:sz="4" w:space="0" w:color="auto"/>
            </w:tcBorders>
            <w:shd w:val="clear" w:color="auto" w:fill="auto"/>
            <w:noWrap/>
            <w:vAlign w:val="center"/>
            <w:hideMark/>
          </w:tcPr>
          <w:p w:rsidR="00912E35" w:rsidRPr="00AC2B0F" w:rsidRDefault="00912E35" w:rsidP="008F2717">
            <w:pPr>
              <w:jc w:val="center"/>
              <w:rPr>
                <w:rFonts w:ascii="Constantia" w:hAnsi="Constantia" w:cs="Calibri"/>
                <w:color w:val="000000"/>
                <w:sz w:val="18"/>
                <w:szCs w:val="18"/>
              </w:rPr>
            </w:pPr>
            <w:r w:rsidRPr="00897A69">
              <w:rPr>
                <w:rFonts w:ascii="Constantia" w:hAnsi="Constantia" w:cs="Calibri"/>
                <w:color w:val="000000"/>
                <w:sz w:val="18"/>
                <w:szCs w:val="18"/>
              </w:rPr>
              <w:t>96</w:t>
            </w:r>
          </w:p>
        </w:tc>
        <w:tc>
          <w:tcPr>
            <w:tcW w:w="588" w:type="dxa"/>
            <w:tcBorders>
              <w:top w:val="nil"/>
              <w:left w:val="nil"/>
              <w:bottom w:val="single" w:sz="4" w:space="0" w:color="auto"/>
              <w:right w:val="single" w:sz="4" w:space="0" w:color="auto"/>
            </w:tcBorders>
            <w:shd w:val="clear" w:color="auto" w:fill="auto"/>
            <w:noWrap/>
            <w:vAlign w:val="center"/>
            <w:hideMark/>
          </w:tcPr>
          <w:p w:rsidR="00912E35" w:rsidRPr="00AC2B0F" w:rsidRDefault="00912E35" w:rsidP="008F2717">
            <w:pPr>
              <w:jc w:val="center"/>
              <w:rPr>
                <w:rFonts w:ascii="Constantia" w:hAnsi="Constantia" w:cs="Calibri"/>
                <w:color w:val="000000"/>
                <w:sz w:val="18"/>
                <w:szCs w:val="18"/>
              </w:rPr>
            </w:pPr>
            <w:r w:rsidRPr="00897A69">
              <w:rPr>
                <w:rFonts w:ascii="Constantia" w:hAnsi="Constantia" w:cs="Calibri"/>
                <w:color w:val="000000"/>
                <w:sz w:val="18"/>
                <w:szCs w:val="18"/>
              </w:rPr>
              <w:t>102</w:t>
            </w:r>
          </w:p>
        </w:tc>
        <w:tc>
          <w:tcPr>
            <w:tcW w:w="572" w:type="dxa"/>
            <w:tcBorders>
              <w:top w:val="nil"/>
              <w:left w:val="nil"/>
              <w:bottom w:val="single" w:sz="4" w:space="0" w:color="auto"/>
              <w:right w:val="single" w:sz="4" w:space="0" w:color="auto"/>
            </w:tcBorders>
            <w:shd w:val="clear" w:color="auto" w:fill="auto"/>
            <w:noWrap/>
            <w:vAlign w:val="center"/>
            <w:hideMark/>
          </w:tcPr>
          <w:p w:rsidR="00912E35" w:rsidRPr="00AC2B0F" w:rsidRDefault="00912E35" w:rsidP="008F2717">
            <w:pPr>
              <w:jc w:val="center"/>
              <w:rPr>
                <w:rFonts w:ascii="Constantia" w:hAnsi="Constantia" w:cs="Calibri"/>
                <w:color w:val="000000"/>
                <w:sz w:val="18"/>
                <w:szCs w:val="18"/>
              </w:rPr>
            </w:pPr>
            <w:r w:rsidRPr="00AC2B0F">
              <w:rPr>
                <w:rFonts w:ascii="Constantia" w:hAnsi="Constantia" w:cs="Calibri"/>
                <w:color w:val="000000"/>
                <w:sz w:val="18"/>
                <w:szCs w:val="18"/>
              </w:rPr>
              <w:t>116</w:t>
            </w:r>
          </w:p>
        </w:tc>
        <w:tc>
          <w:tcPr>
            <w:tcW w:w="596" w:type="dxa"/>
            <w:gridSpan w:val="2"/>
            <w:tcBorders>
              <w:top w:val="nil"/>
              <w:left w:val="nil"/>
              <w:bottom w:val="single" w:sz="4" w:space="0" w:color="auto"/>
              <w:right w:val="single" w:sz="4" w:space="0" w:color="auto"/>
            </w:tcBorders>
            <w:shd w:val="clear" w:color="auto" w:fill="auto"/>
            <w:noWrap/>
            <w:vAlign w:val="center"/>
            <w:hideMark/>
          </w:tcPr>
          <w:p w:rsidR="00912E35" w:rsidRPr="00AC2B0F" w:rsidRDefault="00912E35" w:rsidP="008F2717">
            <w:pPr>
              <w:jc w:val="center"/>
              <w:rPr>
                <w:rFonts w:ascii="Constantia" w:hAnsi="Constantia" w:cs="Calibri"/>
                <w:color w:val="000000"/>
                <w:sz w:val="18"/>
                <w:szCs w:val="18"/>
              </w:rPr>
            </w:pPr>
            <w:r w:rsidRPr="00AC2B0F">
              <w:rPr>
                <w:rFonts w:ascii="Constantia" w:hAnsi="Constantia" w:cs="Calibri"/>
                <w:color w:val="000000"/>
                <w:sz w:val="18"/>
                <w:szCs w:val="18"/>
              </w:rPr>
              <w:t>79</w:t>
            </w:r>
          </w:p>
        </w:tc>
        <w:tc>
          <w:tcPr>
            <w:tcW w:w="565" w:type="dxa"/>
            <w:gridSpan w:val="2"/>
            <w:tcBorders>
              <w:top w:val="nil"/>
              <w:left w:val="nil"/>
              <w:bottom w:val="single" w:sz="4" w:space="0" w:color="auto"/>
              <w:right w:val="single" w:sz="4" w:space="0" w:color="auto"/>
            </w:tcBorders>
            <w:shd w:val="clear" w:color="auto" w:fill="auto"/>
            <w:noWrap/>
            <w:vAlign w:val="center"/>
            <w:hideMark/>
          </w:tcPr>
          <w:p w:rsidR="00912E35" w:rsidRPr="00AC2B0F" w:rsidRDefault="00912E35" w:rsidP="008F2717">
            <w:pPr>
              <w:jc w:val="center"/>
              <w:rPr>
                <w:rFonts w:ascii="Constantia" w:hAnsi="Constantia" w:cs="Calibri"/>
                <w:color w:val="000000"/>
                <w:sz w:val="18"/>
                <w:szCs w:val="18"/>
              </w:rPr>
            </w:pPr>
            <w:r w:rsidRPr="00AC2B0F">
              <w:rPr>
                <w:rFonts w:ascii="Constantia" w:hAnsi="Constantia" w:cs="Calibri"/>
                <w:color w:val="000000"/>
                <w:sz w:val="18"/>
                <w:szCs w:val="18"/>
              </w:rPr>
              <w:t>83</w:t>
            </w:r>
          </w:p>
        </w:tc>
        <w:tc>
          <w:tcPr>
            <w:tcW w:w="567" w:type="dxa"/>
            <w:tcBorders>
              <w:top w:val="nil"/>
              <w:left w:val="nil"/>
              <w:bottom w:val="single" w:sz="4" w:space="0" w:color="auto"/>
              <w:right w:val="single" w:sz="4" w:space="0" w:color="auto"/>
            </w:tcBorders>
            <w:shd w:val="clear" w:color="auto" w:fill="auto"/>
            <w:noWrap/>
            <w:vAlign w:val="center"/>
            <w:hideMark/>
          </w:tcPr>
          <w:p w:rsidR="00912E35" w:rsidRPr="00AC2B0F" w:rsidRDefault="00912E35" w:rsidP="008F2717">
            <w:pPr>
              <w:jc w:val="center"/>
              <w:rPr>
                <w:rFonts w:ascii="Constantia" w:hAnsi="Constantia" w:cs="Calibri"/>
                <w:color w:val="000000"/>
                <w:sz w:val="18"/>
                <w:szCs w:val="18"/>
              </w:rPr>
            </w:pPr>
            <w:r w:rsidRPr="00AC2B0F">
              <w:rPr>
                <w:rFonts w:ascii="Constantia" w:hAnsi="Constantia" w:cs="Calibri"/>
                <w:color w:val="000000"/>
                <w:sz w:val="18"/>
                <w:szCs w:val="18"/>
              </w:rPr>
              <w:t>85</w:t>
            </w:r>
          </w:p>
        </w:tc>
        <w:tc>
          <w:tcPr>
            <w:tcW w:w="569" w:type="dxa"/>
            <w:gridSpan w:val="2"/>
            <w:tcBorders>
              <w:top w:val="nil"/>
              <w:left w:val="nil"/>
              <w:bottom w:val="single" w:sz="4" w:space="0" w:color="auto"/>
              <w:right w:val="single" w:sz="4" w:space="0" w:color="auto"/>
            </w:tcBorders>
            <w:shd w:val="clear" w:color="auto" w:fill="auto"/>
            <w:noWrap/>
            <w:vAlign w:val="center"/>
            <w:hideMark/>
          </w:tcPr>
          <w:p w:rsidR="00912E35" w:rsidRPr="00AC2B0F" w:rsidRDefault="00912E35" w:rsidP="008F2717">
            <w:pPr>
              <w:jc w:val="center"/>
              <w:rPr>
                <w:rFonts w:ascii="Constantia" w:hAnsi="Constantia" w:cs="Calibri"/>
                <w:color w:val="000000"/>
                <w:sz w:val="18"/>
                <w:szCs w:val="18"/>
              </w:rPr>
            </w:pPr>
            <w:r w:rsidRPr="00AC2B0F">
              <w:rPr>
                <w:rFonts w:ascii="Constantia" w:hAnsi="Constantia" w:cs="Calibri"/>
                <w:color w:val="000000"/>
                <w:sz w:val="18"/>
                <w:szCs w:val="18"/>
              </w:rPr>
              <w:cr/>
              <w:t>2</w:t>
            </w:r>
          </w:p>
        </w:tc>
        <w:tc>
          <w:tcPr>
            <w:tcW w:w="556" w:type="dxa"/>
            <w:tcBorders>
              <w:top w:val="nil"/>
              <w:left w:val="nil"/>
              <w:bottom w:val="single" w:sz="4" w:space="0" w:color="auto"/>
              <w:right w:val="single" w:sz="4" w:space="0" w:color="auto"/>
            </w:tcBorders>
            <w:shd w:val="clear" w:color="auto" w:fill="auto"/>
            <w:noWrap/>
            <w:vAlign w:val="center"/>
            <w:hideMark/>
          </w:tcPr>
          <w:p w:rsidR="00912E35" w:rsidRPr="00AC2B0F" w:rsidRDefault="00912E35" w:rsidP="008F2717">
            <w:pPr>
              <w:jc w:val="center"/>
              <w:rPr>
                <w:rFonts w:ascii="Constantia" w:hAnsi="Constantia" w:cs="Calibri"/>
                <w:color w:val="000000"/>
                <w:sz w:val="18"/>
                <w:szCs w:val="18"/>
              </w:rPr>
            </w:pPr>
            <w:r w:rsidRPr="00AC2B0F">
              <w:rPr>
                <w:rFonts w:ascii="Constantia" w:hAnsi="Constantia" w:cs="Calibri"/>
                <w:color w:val="000000"/>
                <w:sz w:val="18"/>
                <w:szCs w:val="18"/>
              </w:rPr>
              <w:t>72</w:t>
            </w:r>
          </w:p>
        </w:tc>
        <w:tc>
          <w:tcPr>
            <w:tcW w:w="573" w:type="dxa"/>
            <w:tcBorders>
              <w:top w:val="nil"/>
              <w:left w:val="nil"/>
              <w:bottom w:val="single" w:sz="4" w:space="0" w:color="auto"/>
              <w:right w:val="single" w:sz="8" w:space="0" w:color="auto"/>
            </w:tcBorders>
            <w:shd w:val="clear" w:color="auto" w:fill="auto"/>
            <w:noWrap/>
            <w:vAlign w:val="center"/>
            <w:hideMark/>
          </w:tcPr>
          <w:p w:rsidR="00912E35" w:rsidRPr="00AC2B0F" w:rsidRDefault="00912E35" w:rsidP="008F2717">
            <w:pPr>
              <w:jc w:val="center"/>
              <w:rPr>
                <w:rFonts w:ascii="Constantia" w:hAnsi="Constantia" w:cs="Calibri"/>
                <w:color w:val="000000"/>
                <w:sz w:val="18"/>
                <w:szCs w:val="18"/>
              </w:rPr>
            </w:pPr>
            <w:r w:rsidRPr="00AC2B0F">
              <w:rPr>
                <w:rFonts w:ascii="Constantia" w:hAnsi="Constantia" w:cs="Calibri"/>
                <w:color w:val="000000"/>
                <w:sz w:val="18"/>
                <w:szCs w:val="18"/>
              </w:rPr>
              <w:t>84</w:t>
            </w:r>
          </w:p>
        </w:tc>
        <w:tc>
          <w:tcPr>
            <w:tcW w:w="6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12E35" w:rsidRPr="00AC2B0F" w:rsidRDefault="00912E35" w:rsidP="008F2717">
            <w:pPr>
              <w:jc w:val="center"/>
              <w:rPr>
                <w:rFonts w:ascii="Constantia" w:hAnsi="Constantia" w:cs="Calibri"/>
                <w:color w:val="000000"/>
                <w:sz w:val="18"/>
                <w:szCs w:val="18"/>
              </w:rPr>
            </w:pPr>
            <w:r w:rsidRPr="00AC2B0F">
              <w:rPr>
                <w:rFonts w:ascii="Constantia" w:hAnsi="Constantia" w:cs="Calibri"/>
                <w:color w:val="000000"/>
                <w:sz w:val="18"/>
                <w:szCs w:val="18"/>
              </w:rPr>
              <w:t>79</w:t>
            </w:r>
          </w:p>
        </w:tc>
        <w:tc>
          <w:tcPr>
            <w:tcW w:w="509" w:type="dxa"/>
            <w:tcBorders>
              <w:top w:val="single" w:sz="4" w:space="0" w:color="auto"/>
              <w:bottom w:val="single" w:sz="4" w:space="0" w:color="auto"/>
              <w:right w:val="single" w:sz="4" w:space="0" w:color="auto"/>
            </w:tcBorders>
            <w:shd w:val="clear" w:color="auto" w:fill="auto"/>
            <w:vAlign w:val="center"/>
          </w:tcPr>
          <w:p w:rsidR="00912E35" w:rsidRPr="00AC2B0F" w:rsidRDefault="00912E35" w:rsidP="008F2717">
            <w:pPr>
              <w:spacing w:after="200" w:line="276" w:lineRule="auto"/>
              <w:jc w:val="center"/>
              <w:rPr>
                <w:rFonts w:ascii="Constantia" w:hAnsi="Constantia" w:cs="Calibri"/>
                <w:color w:val="000000"/>
                <w:sz w:val="18"/>
                <w:szCs w:val="18"/>
              </w:rPr>
            </w:pPr>
            <w:r>
              <w:rPr>
                <w:rFonts w:ascii="Constantia" w:hAnsi="Constantia" w:cs="Calibri"/>
                <w:color w:val="000000"/>
                <w:sz w:val="18"/>
                <w:szCs w:val="18"/>
              </w:rPr>
              <w:t>82</w:t>
            </w:r>
          </w:p>
        </w:tc>
      </w:tr>
      <w:tr w:rsidR="00912E35" w:rsidRPr="00AC2B0F" w:rsidTr="00670650">
        <w:trPr>
          <w:gridAfter w:val="1"/>
          <w:wAfter w:w="2957" w:type="dxa"/>
          <w:trHeight w:val="345"/>
        </w:trPr>
        <w:tc>
          <w:tcPr>
            <w:tcW w:w="1908" w:type="dxa"/>
            <w:tcBorders>
              <w:top w:val="nil"/>
              <w:left w:val="single" w:sz="8" w:space="0" w:color="auto"/>
              <w:bottom w:val="single" w:sz="4" w:space="0" w:color="auto"/>
              <w:right w:val="single" w:sz="4" w:space="0" w:color="auto"/>
            </w:tcBorders>
            <w:shd w:val="clear" w:color="auto" w:fill="auto"/>
            <w:vAlign w:val="center"/>
            <w:hideMark/>
          </w:tcPr>
          <w:p w:rsidR="00912E35" w:rsidRPr="00AC2B0F" w:rsidRDefault="00912E35" w:rsidP="008F2717">
            <w:pPr>
              <w:jc w:val="left"/>
              <w:rPr>
                <w:rFonts w:ascii="Constantia" w:hAnsi="Constantia" w:cs="Calibri"/>
                <w:b/>
                <w:bCs/>
                <w:color w:val="000000"/>
                <w:sz w:val="18"/>
                <w:szCs w:val="18"/>
              </w:rPr>
            </w:pPr>
            <w:r w:rsidRPr="00AC2B0F">
              <w:rPr>
                <w:rFonts w:ascii="Constantia" w:hAnsi="Constantia" w:cs="Calibri"/>
                <w:b/>
                <w:bCs/>
                <w:color w:val="000000"/>
                <w:sz w:val="18"/>
                <w:szCs w:val="18"/>
              </w:rPr>
              <w:t>B</w:t>
            </w:r>
            <w:r>
              <w:rPr>
                <w:rFonts w:ascii="Constantia" w:hAnsi="Constantia" w:cs="Calibri"/>
                <w:b/>
                <w:bCs/>
                <w:color w:val="000000"/>
                <w:sz w:val="18"/>
                <w:szCs w:val="18"/>
              </w:rPr>
              <w:t>DP</w:t>
            </w:r>
          </w:p>
        </w:tc>
        <w:tc>
          <w:tcPr>
            <w:tcW w:w="720" w:type="dxa"/>
            <w:tcBorders>
              <w:top w:val="nil"/>
              <w:left w:val="nil"/>
              <w:bottom w:val="single" w:sz="4" w:space="0" w:color="auto"/>
              <w:right w:val="single" w:sz="4" w:space="0" w:color="auto"/>
            </w:tcBorders>
            <w:shd w:val="clear" w:color="auto" w:fill="auto"/>
            <w:noWrap/>
            <w:vAlign w:val="center"/>
            <w:hideMark/>
          </w:tcPr>
          <w:p w:rsidR="00912E35" w:rsidRPr="00AC2B0F" w:rsidRDefault="00912E35" w:rsidP="008F2717">
            <w:pPr>
              <w:jc w:val="center"/>
              <w:rPr>
                <w:rFonts w:ascii="Constantia" w:hAnsi="Constantia" w:cs="Calibri"/>
                <w:color w:val="000000"/>
                <w:sz w:val="18"/>
                <w:szCs w:val="18"/>
              </w:rPr>
            </w:pPr>
            <w:r w:rsidRPr="00AC2B0F">
              <w:rPr>
                <w:rFonts w:ascii="Constantia" w:hAnsi="Constantia" w:cs="Calibri"/>
                <w:color w:val="000000"/>
                <w:sz w:val="18"/>
                <w:szCs w:val="18"/>
              </w:rPr>
              <w:t>100</w:t>
            </w:r>
          </w:p>
        </w:tc>
        <w:tc>
          <w:tcPr>
            <w:tcW w:w="630" w:type="dxa"/>
            <w:tcBorders>
              <w:top w:val="nil"/>
              <w:left w:val="nil"/>
              <w:bottom w:val="single" w:sz="4" w:space="0" w:color="auto"/>
              <w:right w:val="single" w:sz="4" w:space="0" w:color="auto"/>
            </w:tcBorders>
            <w:shd w:val="clear" w:color="auto" w:fill="auto"/>
            <w:noWrap/>
            <w:vAlign w:val="center"/>
            <w:hideMark/>
          </w:tcPr>
          <w:p w:rsidR="00912E35" w:rsidRPr="00AC2B0F" w:rsidRDefault="00912E35" w:rsidP="008F2717">
            <w:pPr>
              <w:jc w:val="center"/>
              <w:rPr>
                <w:rFonts w:ascii="Constantia" w:hAnsi="Constantia" w:cs="Calibri"/>
                <w:color w:val="000000"/>
                <w:sz w:val="18"/>
                <w:szCs w:val="18"/>
              </w:rPr>
            </w:pPr>
            <w:r w:rsidRPr="00AC2B0F">
              <w:rPr>
                <w:rFonts w:ascii="Constantia" w:hAnsi="Constantia" w:cs="Calibri"/>
                <w:color w:val="000000"/>
                <w:sz w:val="18"/>
                <w:szCs w:val="18"/>
              </w:rPr>
              <w:t>101</w:t>
            </w:r>
          </w:p>
        </w:tc>
        <w:tc>
          <w:tcPr>
            <w:tcW w:w="630" w:type="dxa"/>
            <w:gridSpan w:val="2"/>
            <w:tcBorders>
              <w:top w:val="nil"/>
              <w:left w:val="nil"/>
              <w:bottom w:val="single" w:sz="4" w:space="0" w:color="auto"/>
              <w:right w:val="single" w:sz="4" w:space="0" w:color="auto"/>
            </w:tcBorders>
            <w:shd w:val="clear" w:color="auto" w:fill="auto"/>
            <w:noWrap/>
            <w:vAlign w:val="center"/>
            <w:hideMark/>
          </w:tcPr>
          <w:p w:rsidR="00912E35" w:rsidRPr="00AC2B0F" w:rsidRDefault="00912E35" w:rsidP="008F2717">
            <w:pPr>
              <w:jc w:val="center"/>
              <w:rPr>
                <w:rFonts w:ascii="Constantia" w:hAnsi="Constantia" w:cs="Calibri"/>
                <w:color w:val="000000"/>
                <w:sz w:val="18"/>
                <w:szCs w:val="18"/>
              </w:rPr>
            </w:pPr>
            <w:r w:rsidRPr="00AC2B0F">
              <w:rPr>
                <w:rFonts w:ascii="Constantia" w:hAnsi="Constantia" w:cs="Calibri"/>
                <w:color w:val="000000"/>
                <w:sz w:val="18"/>
                <w:szCs w:val="18"/>
              </w:rPr>
              <w:t>124</w:t>
            </w:r>
          </w:p>
        </w:tc>
        <w:tc>
          <w:tcPr>
            <w:tcW w:w="588" w:type="dxa"/>
            <w:tcBorders>
              <w:top w:val="nil"/>
              <w:left w:val="nil"/>
              <w:bottom w:val="single" w:sz="4" w:space="0" w:color="auto"/>
              <w:right w:val="single" w:sz="4" w:space="0" w:color="auto"/>
            </w:tcBorders>
            <w:shd w:val="clear" w:color="auto" w:fill="auto"/>
            <w:noWrap/>
            <w:vAlign w:val="center"/>
            <w:hideMark/>
          </w:tcPr>
          <w:p w:rsidR="00912E35" w:rsidRPr="00AC2B0F" w:rsidRDefault="00912E35" w:rsidP="008F2717">
            <w:pPr>
              <w:jc w:val="center"/>
              <w:rPr>
                <w:rFonts w:ascii="Constantia" w:hAnsi="Constantia" w:cs="Calibri"/>
                <w:color w:val="000000"/>
                <w:sz w:val="18"/>
                <w:szCs w:val="18"/>
              </w:rPr>
            </w:pPr>
            <w:r w:rsidRPr="00AC2B0F">
              <w:rPr>
                <w:rFonts w:ascii="Constantia" w:hAnsi="Constantia" w:cs="Calibri"/>
                <w:color w:val="000000"/>
                <w:sz w:val="18"/>
                <w:szCs w:val="18"/>
              </w:rPr>
              <w:t>131</w:t>
            </w:r>
          </w:p>
        </w:tc>
        <w:tc>
          <w:tcPr>
            <w:tcW w:w="572" w:type="dxa"/>
            <w:tcBorders>
              <w:top w:val="nil"/>
              <w:left w:val="nil"/>
              <w:bottom w:val="single" w:sz="4" w:space="0" w:color="auto"/>
              <w:right w:val="single" w:sz="4" w:space="0" w:color="auto"/>
            </w:tcBorders>
            <w:shd w:val="clear" w:color="auto" w:fill="auto"/>
            <w:noWrap/>
            <w:vAlign w:val="center"/>
            <w:hideMark/>
          </w:tcPr>
          <w:p w:rsidR="00912E35" w:rsidRPr="00AC2B0F" w:rsidRDefault="00912E35" w:rsidP="008F2717">
            <w:pPr>
              <w:jc w:val="center"/>
              <w:rPr>
                <w:rFonts w:ascii="Constantia" w:hAnsi="Constantia" w:cs="Calibri"/>
                <w:color w:val="000000"/>
                <w:sz w:val="18"/>
                <w:szCs w:val="18"/>
              </w:rPr>
            </w:pPr>
            <w:r w:rsidRPr="00AC2B0F">
              <w:rPr>
                <w:rFonts w:ascii="Constantia" w:hAnsi="Constantia" w:cs="Calibri"/>
                <w:color w:val="000000"/>
                <w:sz w:val="18"/>
                <w:szCs w:val="18"/>
              </w:rPr>
              <w:t>148</w:t>
            </w:r>
          </w:p>
        </w:tc>
        <w:tc>
          <w:tcPr>
            <w:tcW w:w="596" w:type="dxa"/>
            <w:gridSpan w:val="2"/>
            <w:tcBorders>
              <w:top w:val="nil"/>
              <w:left w:val="nil"/>
              <w:bottom w:val="single" w:sz="4" w:space="0" w:color="auto"/>
              <w:right w:val="single" w:sz="4" w:space="0" w:color="auto"/>
            </w:tcBorders>
            <w:shd w:val="clear" w:color="auto" w:fill="auto"/>
            <w:noWrap/>
            <w:vAlign w:val="center"/>
            <w:hideMark/>
          </w:tcPr>
          <w:p w:rsidR="00912E35" w:rsidRPr="00AC2B0F" w:rsidRDefault="00912E35" w:rsidP="008F2717">
            <w:pPr>
              <w:jc w:val="center"/>
              <w:rPr>
                <w:rFonts w:ascii="Constantia" w:hAnsi="Constantia" w:cs="Calibri"/>
                <w:color w:val="000000"/>
                <w:sz w:val="18"/>
                <w:szCs w:val="18"/>
              </w:rPr>
            </w:pPr>
            <w:r w:rsidRPr="00AC2B0F">
              <w:rPr>
                <w:rFonts w:ascii="Constantia" w:hAnsi="Constantia" w:cs="Calibri"/>
                <w:color w:val="000000"/>
                <w:sz w:val="18"/>
                <w:szCs w:val="18"/>
              </w:rPr>
              <w:t>163</w:t>
            </w:r>
          </w:p>
        </w:tc>
        <w:tc>
          <w:tcPr>
            <w:tcW w:w="565" w:type="dxa"/>
            <w:gridSpan w:val="2"/>
            <w:tcBorders>
              <w:top w:val="nil"/>
              <w:left w:val="nil"/>
              <w:bottom w:val="single" w:sz="4" w:space="0" w:color="auto"/>
              <w:right w:val="single" w:sz="4" w:space="0" w:color="auto"/>
            </w:tcBorders>
            <w:shd w:val="clear" w:color="auto" w:fill="auto"/>
            <w:noWrap/>
            <w:vAlign w:val="center"/>
            <w:hideMark/>
          </w:tcPr>
          <w:p w:rsidR="00912E35" w:rsidRPr="00AC2B0F" w:rsidRDefault="00912E35" w:rsidP="008F2717">
            <w:pPr>
              <w:jc w:val="center"/>
              <w:rPr>
                <w:rFonts w:ascii="Constantia" w:hAnsi="Constantia" w:cs="Calibri"/>
                <w:color w:val="000000"/>
                <w:sz w:val="18"/>
                <w:szCs w:val="18"/>
              </w:rPr>
            </w:pPr>
            <w:r w:rsidRPr="00AC2B0F">
              <w:rPr>
                <w:rFonts w:ascii="Constantia" w:hAnsi="Constantia" w:cs="Calibri"/>
                <w:color w:val="000000"/>
                <w:sz w:val="18"/>
                <w:szCs w:val="18"/>
              </w:rPr>
              <w:t>185</w:t>
            </w:r>
          </w:p>
        </w:tc>
        <w:tc>
          <w:tcPr>
            <w:tcW w:w="567" w:type="dxa"/>
            <w:tcBorders>
              <w:top w:val="nil"/>
              <w:left w:val="nil"/>
              <w:bottom w:val="single" w:sz="4" w:space="0" w:color="auto"/>
              <w:right w:val="single" w:sz="4" w:space="0" w:color="auto"/>
            </w:tcBorders>
            <w:shd w:val="clear" w:color="auto" w:fill="auto"/>
            <w:noWrap/>
            <w:vAlign w:val="center"/>
            <w:hideMark/>
          </w:tcPr>
          <w:p w:rsidR="00912E35" w:rsidRPr="00AC2B0F" w:rsidRDefault="00912E35" w:rsidP="008F2717">
            <w:pPr>
              <w:jc w:val="center"/>
              <w:rPr>
                <w:rFonts w:ascii="Constantia" w:hAnsi="Constantia" w:cs="Calibri"/>
                <w:color w:val="000000"/>
                <w:sz w:val="18"/>
                <w:szCs w:val="18"/>
              </w:rPr>
            </w:pPr>
            <w:r w:rsidRPr="00AC2B0F">
              <w:rPr>
                <w:rFonts w:ascii="Constantia" w:hAnsi="Constantia" w:cs="Calibri"/>
                <w:color w:val="000000"/>
                <w:sz w:val="18"/>
                <w:szCs w:val="18"/>
              </w:rPr>
              <w:t>223</w:t>
            </w:r>
          </w:p>
        </w:tc>
        <w:tc>
          <w:tcPr>
            <w:tcW w:w="569" w:type="dxa"/>
            <w:gridSpan w:val="2"/>
            <w:tcBorders>
              <w:top w:val="nil"/>
              <w:left w:val="nil"/>
              <w:bottom w:val="single" w:sz="4" w:space="0" w:color="auto"/>
              <w:right w:val="single" w:sz="4" w:space="0" w:color="auto"/>
            </w:tcBorders>
            <w:shd w:val="clear" w:color="auto" w:fill="auto"/>
            <w:noWrap/>
            <w:vAlign w:val="center"/>
            <w:hideMark/>
          </w:tcPr>
          <w:p w:rsidR="00912E35" w:rsidRPr="00AC2B0F" w:rsidRDefault="00912E35" w:rsidP="008F2717">
            <w:pPr>
              <w:jc w:val="center"/>
              <w:rPr>
                <w:rFonts w:ascii="Constantia" w:hAnsi="Constantia" w:cs="Calibri"/>
                <w:color w:val="000000"/>
                <w:sz w:val="18"/>
                <w:szCs w:val="18"/>
              </w:rPr>
            </w:pPr>
            <w:r w:rsidRPr="00AC2B0F">
              <w:rPr>
                <w:rFonts w:ascii="Constantia" w:hAnsi="Constantia" w:cs="Calibri"/>
                <w:color w:val="000000"/>
                <w:sz w:val="18"/>
                <w:szCs w:val="18"/>
              </w:rPr>
              <w:t>269</w:t>
            </w:r>
          </w:p>
        </w:tc>
        <w:tc>
          <w:tcPr>
            <w:tcW w:w="556" w:type="dxa"/>
            <w:tcBorders>
              <w:top w:val="nil"/>
              <w:left w:val="nil"/>
              <w:bottom w:val="single" w:sz="4" w:space="0" w:color="auto"/>
              <w:right w:val="single" w:sz="4" w:space="0" w:color="auto"/>
            </w:tcBorders>
            <w:shd w:val="clear" w:color="auto" w:fill="auto"/>
            <w:noWrap/>
            <w:vAlign w:val="center"/>
            <w:hideMark/>
          </w:tcPr>
          <w:p w:rsidR="00912E35" w:rsidRPr="00AC2B0F" w:rsidRDefault="00912E35" w:rsidP="008F2717">
            <w:pPr>
              <w:jc w:val="center"/>
              <w:rPr>
                <w:rFonts w:ascii="Constantia" w:hAnsi="Constantia" w:cs="Calibri"/>
                <w:color w:val="000000"/>
                <w:sz w:val="18"/>
                <w:szCs w:val="18"/>
              </w:rPr>
            </w:pPr>
            <w:r w:rsidRPr="00AC2B0F">
              <w:rPr>
                <w:rFonts w:ascii="Constantia" w:hAnsi="Constantia" w:cs="Calibri"/>
                <w:color w:val="000000"/>
                <w:sz w:val="18"/>
                <w:szCs w:val="18"/>
              </w:rPr>
              <w:t>273</w:t>
            </w:r>
          </w:p>
        </w:tc>
        <w:tc>
          <w:tcPr>
            <w:tcW w:w="573" w:type="dxa"/>
            <w:tcBorders>
              <w:top w:val="nil"/>
              <w:left w:val="nil"/>
              <w:bottom w:val="single" w:sz="4" w:space="0" w:color="auto"/>
              <w:right w:val="single" w:sz="8" w:space="0" w:color="auto"/>
            </w:tcBorders>
            <w:shd w:val="clear" w:color="auto" w:fill="auto"/>
            <w:noWrap/>
            <w:vAlign w:val="center"/>
            <w:hideMark/>
          </w:tcPr>
          <w:p w:rsidR="00912E35" w:rsidRPr="00AC2B0F" w:rsidRDefault="00912E35" w:rsidP="008F2717">
            <w:pPr>
              <w:jc w:val="center"/>
              <w:rPr>
                <w:rFonts w:ascii="Constantia" w:hAnsi="Constantia" w:cs="Calibri"/>
                <w:color w:val="000000"/>
                <w:sz w:val="18"/>
                <w:szCs w:val="18"/>
              </w:rPr>
            </w:pPr>
            <w:r w:rsidRPr="00AC2B0F">
              <w:rPr>
                <w:rFonts w:ascii="Constantia" w:hAnsi="Constantia" w:cs="Calibri"/>
                <w:color w:val="000000"/>
                <w:sz w:val="18"/>
                <w:szCs w:val="18"/>
              </w:rPr>
              <w:t>287</w:t>
            </w:r>
          </w:p>
        </w:tc>
        <w:tc>
          <w:tcPr>
            <w:tcW w:w="634" w:type="dxa"/>
            <w:tcBorders>
              <w:top w:val="nil"/>
              <w:left w:val="single" w:sz="4" w:space="0" w:color="auto"/>
              <w:bottom w:val="single" w:sz="4" w:space="0" w:color="auto"/>
              <w:right w:val="single" w:sz="8" w:space="0" w:color="auto"/>
            </w:tcBorders>
            <w:shd w:val="clear" w:color="auto" w:fill="auto"/>
            <w:noWrap/>
            <w:vAlign w:val="center"/>
            <w:hideMark/>
          </w:tcPr>
          <w:p w:rsidR="00912E35" w:rsidRPr="00AC2B0F" w:rsidRDefault="00912E35" w:rsidP="008F2717">
            <w:pPr>
              <w:jc w:val="center"/>
              <w:rPr>
                <w:rFonts w:ascii="Constantia" w:hAnsi="Constantia" w:cs="Calibri"/>
                <w:color w:val="000000"/>
                <w:sz w:val="18"/>
                <w:szCs w:val="18"/>
              </w:rPr>
            </w:pPr>
            <w:r w:rsidRPr="00AC2B0F">
              <w:rPr>
                <w:rFonts w:ascii="Constantia" w:hAnsi="Constantia" w:cs="Calibri"/>
                <w:color w:val="000000"/>
                <w:sz w:val="18"/>
                <w:szCs w:val="18"/>
              </w:rPr>
              <w:t>301</w:t>
            </w:r>
          </w:p>
        </w:tc>
        <w:tc>
          <w:tcPr>
            <w:tcW w:w="509" w:type="dxa"/>
            <w:tcBorders>
              <w:right w:val="single" w:sz="4" w:space="0" w:color="auto"/>
            </w:tcBorders>
            <w:shd w:val="clear" w:color="auto" w:fill="auto"/>
            <w:vAlign w:val="center"/>
          </w:tcPr>
          <w:p w:rsidR="00912E35" w:rsidRPr="00AC2B0F" w:rsidRDefault="00912E35" w:rsidP="008F2717">
            <w:pPr>
              <w:spacing w:after="200" w:line="276" w:lineRule="auto"/>
              <w:jc w:val="center"/>
              <w:rPr>
                <w:rFonts w:ascii="Constantia" w:hAnsi="Constantia" w:cs="Calibri"/>
                <w:color w:val="000000"/>
                <w:sz w:val="18"/>
                <w:szCs w:val="18"/>
              </w:rPr>
            </w:pPr>
            <w:r>
              <w:rPr>
                <w:rFonts w:ascii="Constantia" w:hAnsi="Constantia" w:cs="Calibri"/>
                <w:color w:val="000000"/>
                <w:sz w:val="18"/>
                <w:szCs w:val="18"/>
              </w:rPr>
              <w:t>296</w:t>
            </w:r>
          </w:p>
        </w:tc>
      </w:tr>
      <w:tr w:rsidR="00912E35" w:rsidRPr="00AC2B0F" w:rsidTr="00670650">
        <w:trPr>
          <w:gridAfter w:val="1"/>
          <w:wAfter w:w="2957" w:type="dxa"/>
          <w:trHeight w:val="315"/>
        </w:trPr>
        <w:tc>
          <w:tcPr>
            <w:tcW w:w="1908" w:type="dxa"/>
            <w:tcBorders>
              <w:top w:val="nil"/>
              <w:left w:val="single" w:sz="8" w:space="0" w:color="auto"/>
              <w:bottom w:val="single" w:sz="8" w:space="0" w:color="auto"/>
              <w:right w:val="single" w:sz="4" w:space="0" w:color="auto"/>
            </w:tcBorders>
            <w:shd w:val="clear" w:color="auto" w:fill="auto"/>
            <w:vAlign w:val="center"/>
            <w:hideMark/>
          </w:tcPr>
          <w:p w:rsidR="00912E35" w:rsidRPr="00AC2B0F" w:rsidRDefault="00912E35" w:rsidP="008F2717">
            <w:pPr>
              <w:jc w:val="left"/>
              <w:rPr>
                <w:rFonts w:ascii="Constantia" w:hAnsi="Constantia" w:cs="Calibri"/>
                <w:b/>
                <w:bCs/>
                <w:color w:val="000000"/>
                <w:sz w:val="18"/>
                <w:szCs w:val="18"/>
              </w:rPr>
            </w:pPr>
            <w:r w:rsidRPr="00897A69">
              <w:rPr>
                <w:rFonts w:ascii="Constantia" w:hAnsi="Constantia" w:cs="Calibri"/>
                <w:b/>
                <w:bCs/>
                <w:color w:val="000000"/>
                <w:sz w:val="18"/>
                <w:szCs w:val="18"/>
              </w:rPr>
              <w:t>Energetski intenzitet</w:t>
            </w:r>
          </w:p>
        </w:tc>
        <w:tc>
          <w:tcPr>
            <w:tcW w:w="720" w:type="dxa"/>
            <w:tcBorders>
              <w:top w:val="nil"/>
              <w:left w:val="nil"/>
              <w:bottom w:val="single" w:sz="8" w:space="0" w:color="auto"/>
              <w:right w:val="single" w:sz="4" w:space="0" w:color="auto"/>
            </w:tcBorders>
            <w:shd w:val="clear" w:color="auto" w:fill="auto"/>
            <w:noWrap/>
            <w:vAlign w:val="center"/>
            <w:hideMark/>
          </w:tcPr>
          <w:p w:rsidR="00912E35" w:rsidRPr="00AC2B0F" w:rsidRDefault="00912E35" w:rsidP="008F2717">
            <w:pPr>
              <w:jc w:val="center"/>
              <w:rPr>
                <w:rFonts w:ascii="Constantia" w:hAnsi="Constantia" w:cs="Calibri"/>
                <w:color w:val="000000"/>
                <w:sz w:val="18"/>
                <w:szCs w:val="18"/>
              </w:rPr>
            </w:pPr>
            <w:r w:rsidRPr="00897A69">
              <w:rPr>
                <w:rFonts w:ascii="Constantia" w:hAnsi="Constantia" w:cs="Calibri"/>
                <w:color w:val="000000"/>
                <w:sz w:val="18"/>
                <w:szCs w:val="18"/>
              </w:rPr>
              <w:t>100</w:t>
            </w:r>
          </w:p>
        </w:tc>
        <w:tc>
          <w:tcPr>
            <w:tcW w:w="630" w:type="dxa"/>
            <w:tcBorders>
              <w:top w:val="nil"/>
              <w:left w:val="nil"/>
              <w:bottom w:val="single" w:sz="8" w:space="0" w:color="auto"/>
              <w:right w:val="single" w:sz="4" w:space="0" w:color="auto"/>
            </w:tcBorders>
            <w:shd w:val="clear" w:color="auto" w:fill="auto"/>
            <w:noWrap/>
            <w:vAlign w:val="center"/>
            <w:hideMark/>
          </w:tcPr>
          <w:p w:rsidR="00912E35" w:rsidRPr="00AC2B0F" w:rsidRDefault="00912E35" w:rsidP="008F2717">
            <w:pPr>
              <w:jc w:val="center"/>
              <w:rPr>
                <w:rFonts w:ascii="Constantia" w:hAnsi="Constantia" w:cs="Calibri"/>
                <w:color w:val="000000"/>
                <w:sz w:val="18"/>
                <w:szCs w:val="18"/>
              </w:rPr>
            </w:pPr>
            <w:r w:rsidRPr="00897A69">
              <w:rPr>
                <w:rFonts w:ascii="Constantia" w:hAnsi="Constantia" w:cs="Calibri"/>
                <w:color w:val="000000"/>
                <w:sz w:val="18"/>
                <w:szCs w:val="18"/>
              </w:rPr>
              <w:t>100</w:t>
            </w:r>
          </w:p>
        </w:tc>
        <w:tc>
          <w:tcPr>
            <w:tcW w:w="630" w:type="dxa"/>
            <w:gridSpan w:val="2"/>
            <w:tcBorders>
              <w:top w:val="nil"/>
              <w:left w:val="nil"/>
              <w:bottom w:val="single" w:sz="8" w:space="0" w:color="auto"/>
              <w:right w:val="single" w:sz="4" w:space="0" w:color="auto"/>
            </w:tcBorders>
            <w:shd w:val="clear" w:color="auto" w:fill="auto"/>
            <w:noWrap/>
            <w:vAlign w:val="center"/>
            <w:hideMark/>
          </w:tcPr>
          <w:p w:rsidR="00912E35" w:rsidRPr="00AC2B0F" w:rsidRDefault="00912E35" w:rsidP="008F2717">
            <w:pPr>
              <w:jc w:val="center"/>
              <w:rPr>
                <w:rFonts w:ascii="Constantia" w:hAnsi="Constantia" w:cs="Calibri"/>
                <w:color w:val="000000"/>
                <w:sz w:val="18"/>
                <w:szCs w:val="18"/>
              </w:rPr>
            </w:pPr>
            <w:r w:rsidRPr="00897A69">
              <w:rPr>
                <w:rFonts w:ascii="Constantia" w:hAnsi="Constantia" w:cs="Calibri"/>
                <w:color w:val="000000"/>
                <w:sz w:val="18"/>
                <w:szCs w:val="18"/>
              </w:rPr>
              <w:t>77</w:t>
            </w:r>
          </w:p>
        </w:tc>
        <w:tc>
          <w:tcPr>
            <w:tcW w:w="588" w:type="dxa"/>
            <w:tcBorders>
              <w:top w:val="nil"/>
              <w:left w:val="nil"/>
              <w:bottom w:val="single" w:sz="8" w:space="0" w:color="auto"/>
              <w:right w:val="single" w:sz="4" w:space="0" w:color="auto"/>
            </w:tcBorders>
            <w:shd w:val="clear" w:color="auto" w:fill="auto"/>
            <w:noWrap/>
            <w:vAlign w:val="center"/>
            <w:hideMark/>
          </w:tcPr>
          <w:p w:rsidR="00912E35" w:rsidRPr="00AC2B0F" w:rsidRDefault="00912E35" w:rsidP="008F2717">
            <w:pPr>
              <w:jc w:val="center"/>
              <w:rPr>
                <w:rFonts w:ascii="Constantia" w:hAnsi="Constantia" w:cs="Calibri"/>
                <w:color w:val="000000"/>
                <w:sz w:val="18"/>
                <w:szCs w:val="18"/>
              </w:rPr>
            </w:pPr>
            <w:r w:rsidRPr="00897A69">
              <w:rPr>
                <w:rFonts w:ascii="Constantia" w:hAnsi="Constantia" w:cs="Calibri"/>
                <w:color w:val="000000"/>
                <w:sz w:val="18"/>
                <w:szCs w:val="18"/>
              </w:rPr>
              <w:t>78</w:t>
            </w:r>
          </w:p>
        </w:tc>
        <w:tc>
          <w:tcPr>
            <w:tcW w:w="572" w:type="dxa"/>
            <w:tcBorders>
              <w:top w:val="nil"/>
              <w:left w:val="nil"/>
              <w:bottom w:val="single" w:sz="8" w:space="0" w:color="auto"/>
              <w:right w:val="single" w:sz="4" w:space="0" w:color="auto"/>
            </w:tcBorders>
            <w:shd w:val="clear" w:color="auto" w:fill="auto"/>
            <w:noWrap/>
            <w:vAlign w:val="center"/>
            <w:hideMark/>
          </w:tcPr>
          <w:p w:rsidR="00912E35" w:rsidRPr="00AC2B0F" w:rsidRDefault="00912E35" w:rsidP="008F2717">
            <w:pPr>
              <w:jc w:val="center"/>
              <w:rPr>
                <w:rFonts w:ascii="Constantia" w:hAnsi="Constantia" w:cs="Calibri"/>
                <w:color w:val="000000"/>
                <w:sz w:val="18"/>
                <w:szCs w:val="18"/>
              </w:rPr>
            </w:pPr>
            <w:r w:rsidRPr="00897A69">
              <w:rPr>
                <w:rFonts w:ascii="Constantia" w:hAnsi="Constantia" w:cs="Calibri"/>
                <w:color w:val="000000"/>
                <w:sz w:val="18"/>
                <w:szCs w:val="18"/>
              </w:rPr>
              <w:t>79</w:t>
            </w:r>
          </w:p>
        </w:tc>
        <w:tc>
          <w:tcPr>
            <w:tcW w:w="596" w:type="dxa"/>
            <w:gridSpan w:val="2"/>
            <w:tcBorders>
              <w:top w:val="nil"/>
              <w:left w:val="nil"/>
              <w:bottom w:val="single" w:sz="8" w:space="0" w:color="auto"/>
              <w:right w:val="single" w:sz="4" w:space="0" w:color="auto"/>
            </w:tcBorders>
            <w:shd w:val="clear" w:color="auto" w:fill="auto"/>
            <w:noWrap/>
            <w:vAlign w:val="center"/>
            <w:hideMark/>
          </w:tcPr>
          <w:p w:rsidR="00912E35" w:rsidRPr="00AC2B0F" w:rsidRDefault="00912E35" w:rsidP="008F2717">
            <w:pPr>
              <w:jc w:val="center"/>
              <w:rPr>
                <w:rFonts w:ascii="Constantia" w:hAnsi="Constantia" w:cs="Calibri"/>
                <w:color w:val="000000"/>
                <w:sz w:val="18"/>
                <w:szCs w:val="18"/>
              </w:rPr>
            </w:pPr>
            <w:r w:rsidRPr="00897A69">
              <w:rPr>
                <w:rFonts w:ascii="Constantia" w:hAnsi="Constantia" w:cs="Calibri"/>
                <w:color w:val="000000"/>
                <w:sz w:val="18"/>
                <w:szCs w:val="18"/>
              </w:rPr>
              <w:t>48</w:t>
            </w:r>
          </w:p>
        </w:tc>
        <w:tc>
          <w:tcPr>
            <w:tcW w:w="565" w:type="dxa"/>
            <w:gridSpan w:val="2"/>
            <w:tcBorders>
              <w:top w:val="nil"/>
              <w:left w:val="nil"/>
              <w:bottom w:val="single" w:sz="8" w:space="0" w:color="auto"/>
              <w:right w:val="single" w:sz="4" w:space="0" w:color="auto"/>
            </w:tcBorders>
            <w:shd w:val="clear" w:color="auto" w:fill="auto"/>
            <w:noWrap/>
            <w:vAlign w:val="center"/>
            <w:hideMark/>
          </w:tcPr>
          <w:p w:rsidR="00912E35" w:rsidRPr="00AC2B0F" w:rsidRDefault="00912E35" w:rsidP="008F2717">
            <w:pPr>
              <w:jc w:val="center"/>
              <w:rPr>
                <w:rFonts w:ascii="Constantia" w:hAnsi="Constantia" w:cs="Calibri"/>
                <w:color w:val="000000"/>
                <w:sz w:val="18"/>
                <w:szCs w:val="18"/>
              </w:rPr>
            </w:pPr>
            <w:r w:rsidRPr="00AC2B0F">
              <w:rPr>
                <w:rFonts w:ascii="Constantia" w:hAnsi="Constantia" w:cs="Calibri"/>
                <w:color w:val="000000"/>
                <w:sz w:val="18"/>
                <w:szCs w:val="18"/>
              </w:rPr>
              <w:t>45</w:t>
            </w:r>
          </w:p>
        </w:tc>
        <w:tc>
          <w:tcPr>
            <w:tcW w:w="567" w:type="dxa"/>
            <w:tcBorders>
              <w:top w:val="nil"/>
              <w:left w:val="nil"/>
              <w:bottom w:val="single" w:sz="8" w:space="0" w:color="auto"/>
              <w:right w:val="single" w:sz="4" w:space="0" w:color="auto"/>
            </w:tcBorders>
            <w:shd w:val="clear" w:color="auto" w:fill="auto"/>
            <w:noWrap/>
            <w:vAlign w:val="center"/>
            <w:hideMark/>
          </w:tcPr>
          <w:p w:rsidR="00912E35" w:rsidRPr="00AC2B0F" w:rsidRDefault="00912E35" w:rsidP="008F2717">
            <w:pPr>
              <w:jc w:val="center"/>
              <w:rPr>
                <w:rFonts w:ascii="Constantia" w:hAnsi="Constantia" w:cs="Calibri"/>
                <w:color w:val="000000"/>
                <w:sz w:val="18"/>
                <w:szCs w:val="18"/>
              </w:rPr>
            </w:pPr>
            <w:r w:rsidRPr="00AC2B0F">
              <w:rPr>
                <w:rFonts w:ascii="Constantia" w:hAnsi="Constantia" w:cs="Calibri"/>
                <w:color w:val="000000"/>
                <w:sz w:val="18"/>
                <w:szCs w:val="18"/>
              </w:rPr>
              <w:t>38</w:t>
            </w:r>
          </w:p>
        </w:tc>
        <w:tc>
          <w:tcPr>
            <w:tcW w:w="569" w:type="dxa"/>
            <w:gridSpan w:val="2"/>
            <w:tcBorders>
              <w:top w:val="nil"/>
              <w:left w:val="nil"/>
              <w:bottom w:val="single" w:sz="8" w:space="0" w:color="auto"/>
              <w:right w:val="single" w:sz="4" w:space="0" w:color="auto"/>
            </w:tcBorders>
            <w:shd w:val="clear" w:color="auto" w:fill="auto"/>
            <w:noWrap/>
            <w:vAlign w:val="center"/>
            <w:hideMark/>
          </w:tcPr>
          <w:p w:rsidR="00912E35" w:rsidRPr="00AC2B0F" w:rsidRDefault="00912E35" w:rsidP="008F2717">
            <w:pPr>
              <w:jc w:val="center"/>
              <w:rPr>
                <w:rFonts w:ascii="Constantia" w:hAnsi="Constantia" w:cs="Calibri"/>
                <w:color w:val="000000"/>
                <w:sz w:val="18"/>
                <w:szCs w:val="18"/>
              </w:rPr>
            </w:pPr>
            <w:r w:rsidRPr="00897A69">
              <w:rPr>
                <w:rFonts w:ascii="Constantia" w:hAnsi="Constantia" w:cs="Calibri"/>
                <w:color w:val="000000"/>
                <w:sz w:val="18"/>
                <w:szCs w:val="18"/>
              </w:rPr>
              <w:t>34</w:t>
            </w:r>
          </w:p>
        </w:tc>
        <w:tc>
          <w:tcPr>
            <w:tcW w:w="556" w:type="dxa"/>
            <w:tcBorders>
              <w:top w:val="nil"/>
              <w:left w:val="nil"/>
              <w:bottom w:val="single" w:sz="8" w:space="0" w:color="auto"/>
              <w:right w:val="single" w:sz="4" w:space="0" w:color="auto"/>
            </w:tcBorders>
            <w:shd w:val="clear" w:color="auto" w:fill="auto"/>
            <w:noWrap/>
            <w:vAlign w:val="center"/>
            <w:hideMark/>
          </w:tcPr>
          <w:p w:rsidR="00912E35" w:rsidRPr="00AC2B0F" w:rsidRDefault="00912E35" w:rsidP="008F2717">
            <w:pPr>
              <w:jc w:val="center"/>
              <w:rPr>
                <w:rFonts w:ascii="Constantia" w:hAnsi="Constantia" w:cs="Calibri"/>
                <w:color w:val="000000"/>
                <w:sz w:val="18"/>
                <w:szCs w:val="18"/>
              </w:rPr>
            </w:pPr>
            <w:r w:rsidRPr="00AC2B0F">
              <w:rPr>
                <w:rFonts w:ascii="Constantia" w:hAnsi="Constantia" w:cs="Calibri"/>
                <w:color w:val="000000"/>
                <w:sz w:val="18"/>
                <w:szCs w:val="18"/>
              </w:rPr>
              <w:t>26</w:t>
            </w:r>
          </w:p>
        </w:tc>
        <w:tc>
          <w:tcPr>
            <w:tcW w:w="573" w:type="dxa"/>
            <w:tcBorders>
              <w:top w:val="nil"/>
              <w:left w:val="nil"/>
              <w:bottom w:val="single" w:sz="8" w:space="0" w:color="auto"/>
              <w:right w:val="single" w:sz="8" w:space="0" w:color="auto"/>
            </w:tcBorders>
            <w:shd w:val="clear" w:color="auto" w:fill="auto"/>
            <w:noWrap/>
            <w:vAlign w:val="center"/>
            <w:hideMark/>
          </w:tcPr>
          <w:p w:rsidR="00912E35" w:rsidRPr="00AC2B0F" w:rsidRDefault="00912E35" w:rsidP="008F2717">
            <w:pPr>
              <w:jc w:val="center"/>
              <w:rPr>
                <w:rFonts w:ascii="Constantia" w:hAnsi="Constantia" w:cs="Calibri"/>
                <w:color w:val="000000"/>
                <w:sz w:val="18"/>
                <w:szCs w:val="18"/>
              </w:rPr>
            </w:pPr>
            <w:r w:rsidRPr="00897A69">
              <w:rPr>
                <w:rFonts w:ascii="Constantia" w:hAnsi="Constantia" w:cs="Calibri"/>
                <w:color w:val="000000"/>
                <w:sz w:val="18"/>
                <w:szCs w:val="18"/>
              </w:rPr>
              <w:t>29</w:t>
            </w:r>
          </w:p>
        </w:tc>
        <w:tc>
          <w:tcPr>
            <w:tcW w:w="634" w:type="dxa"/>
            <w:tcBorders>
              <w:top w:val="nil"/>
              <w:left w:val="single" w:sz="4" w:space="0" w:color="auto"/>
              <w:bottom w:val="single" w:sz="8" w:space="0" w:color="auto"/>
              <w:right w:val="single" w:sz="8" w:space="0" w:color="auto"/>
            </w:tcBorders>
            <w:shd w:val="clear" w:color="auto" w:fill="auto"/>
            <w:noWrap/>
            <w:vAlign w:val="center"/>
            <w:hideMark/>
          </w:tcPr>
          <w:p w:rsidR="00912E35" w:rsidRPr="00AC2B0F" w:rsidRDefault="00912E35" w:rsidP="008F2717">
            <w:pPr>
              <w:jc w:val="center"/>
              <w:rPr>
                <w:rFonts w:ascii="Constantia" w:hAnsi="Constantia" w:cs="Calibri"/>
                <w:color w:val="000000"/>
                <w:sz w:val="18"/>
                <w:szCs w:val="18"/>
              </w:rPr>
            </w:pPr>
            <w:r w:rsidRPr="00897A69">
              <w:rPr>
                <w:rFonts w:ascii="Constantia" w:hAnsi="Constantia" w:cs="Calibri"/>
                <w:color w:val="000000"/>
                <w:sz w:val="18"/>
                <w:szCs w:val="18"/>
              </w:rPr>
              <w:t>26</w:t>
            </w:r>
          </w:p>
        </w:tc>
        <w:tc>
          <w:tcPr>
            <w:tcW w:w="509" w:type="dxa"/>
            <w:tcBorders>
              <w:top w:val="single" w:sz="4" w:space="0" w:color="auto"/>
              <w:bottom w:val="single" w:sz="4" w:space="0" w:color="auto"/>
              <w:right w:val="single" w:sz="4" w:space="0" w:color="auto"/>
            </w:tcBorders>
            <w:shd w:val="clear" w:color="auto" w:fill="auto"/>
            <w:vAlign w:val="center"/>
          </w:tcPr>
          <w:p w:rsidR="00912E35" w:rsidRPr="00AC2B0F" w:rsidRDefault="00912E35" w:rsidP="008F2717">
            <w:pPr>
              <w:spacing w:after="200" w:line="276" w:lineRule="auto"/>
              <w:jc w:val="center"/>
              <w:rPr>
                <w:rFonts w:ascii="Constantia" w:hAnsi="Constantia" w:cs="Calibri"/>
                <w:color w:val="000000"/>
                <w:sz w:val="18"/>
                <w:szCs w:val="18"/>
              </w:rPr>
            </w:pPr>
            <w:r>
              <w:rPr>
                <w:rFonts w:ascii="Constantia" w:hAnsi="Constantia" w:cs="Calibri"/>
                <w:color w:val="000000"/>
                <w:sz w:val="18"/>
                <w:szCs w:val="18"/>
              </w:rPr>
              <w:t>28</w:t>
            </w:r>
          </w:p>
        </w:tc>
      </w:tr>
    </w:tbl>
    <w:p w:rsidR="00912E35" w:rsidRPr="008F2717" w:rsidRDefault="00912E35" w:rsidP="00D70A1C">
      <w:pPr>
        <w:pStyle w:val="Tabele"/>
        <w:ind w:left="0" w:firstLine="0"/>
        <w:rPr>
          <w:rFonts w:ascii="Constantia" w:hAnsi="Constantia"/>
          <w:sz w:val="22"/>
          <w:szCs w:val="22"/>
        </w:rPr>
      </w:pPr>
      <w:r>
        <w:t xml:space="preserve"> </w:t>
      </w:r>
      <w:r w:rsidRPr="008F2717">
        <w:rPr>
          <w:rFonts w:ascii="Constantia" w:hAnsi="Constantia"/>
          <w:sz w:val="22"/>
          <w:szCs w:val="22"/>
        </w:rPr>
        <w:t>Energetski intenzitet u Crnoj Gori, 2000-2</w:t>
      </w:r>
      <w:bookmarkStart w:id="345" w:name="_Toc294541932"/>
      <w:r w:rsidRPr="008F2717">
        <w:rPr>
          <w:rFonts w:ascii="Constantia" w:hAnsi="Constantia"/>
          <w:sz w:val="22"/>
          <w:szCs w:val="22"/>
        </w:rPr>
        <w:t>012</w:t>
      </w:r>
    </w:p>
    <w:p w:rsidR="00912E35" w:rsidRPr="008A17C5" w:rsidRDefault="00912E35" w:rsidP="008315C2">
      <w:pPr>
        <w:pStyle w:val="Heading2"/>
        <w:numPr>
          <w:ilvl w:val="1"/>
          <w:numId w:val="52"/>
        </w:numPr>
        <w:tabs>
          <w:tab w:val="clear" w:pos="851"/>
          <w:tab w:val="left" w:pos="720"/>
        </w:tabs>
        <w:ind w:left="720"/>
      </w:pPr>
      <w:bookmarkStart w:id="346" w:name="_Toc393897972"/>
      <w:r w:rsidRPr="00560500">
        <w:t>Saobraćaj</w:t>
      </w:r>
      <w:bookmarkEnd w:id="346"/>
    </w:p>
    <w:bookmarkEnd w:id="345"/>
    <w:p w:rsidR="00912E35" w:rsidRPr="00AC2B0F" w:rsidRDefault="00912E35" w:rsidP="000419D3">
      <w:pPr>
        <w:rPr>
          <w:rFonts w:ascii="Constantia" w:hAnsi="Constantia"/>
          <w:szCs w:val="22"/>
          <w:lang w:val="da-DK"/>
        </w:rPr>
      </w:pPr>
      <w:r w:rsidRPr="00897A69">
        <w:rPr>
          <w:rFonts w:ascii="Constantia" w:hAnsi="Constantia"/>
          <w:szCs w:val="22"/>
          <w:lang w:val="da-DK"/>
        </w:rPr>
        <w:t>Saobra</w:t>
      </w:r>
      <w:r w:rsidRPr="00897A69">
        <w:rPr>
          <w:rFonts w:ascii="Constantia" w:hAnsi="Constantia"/>
          <w:szCs w:val="22"/>
        </w:rPr>
        <w:t>ćaj</w:t>
      </w:r>
      <w:r w:rsidRPr="00897A69">
        <w:rPr>
          <w:rFonts w:ascii="Constantia" w:hAnsi="Constantia"/>
          <w:szCs w:val="22"/>
          <w:lang w:val="da-DK"/>
        </w:rPr>
        <w:t xml:space="preserve"> je izvor znatnih pritisaka na životnu sredinu emisijama štetnih materija u vazduh, povećanjem buke, negativnim uticajem na prirodna staništa i drugih negativnih efekata pri prevozu. Uočljiv je znatan porast broja motornih vozila, stalni porast dr</w:t>
      </w:r>
      <w:r>
        <w:rPr>
          <w:rFonts w:ascii="Constantia" w:hAnsi="Constantia"/>
          <w:szCs w:val="22"/>
          <w:lang w:val="da-DK"/>
        </w:rPr>
        <w:t>umskog prevoza, smanjenje korišć</w:t>
      </w:r>
      <w:r w:rsidRPr="00897A69">
        <w:rPr>
          <w:rFonts w:ascii="Constantia" w:hAnsi="Constantia"/>
          <w:szCs w:val="22"/>
          <w:lang w:val="da-DK"/>
        </w:rPr>
        <w:t xml:space="preserve">enja javnog prevoza. </w:t>
      </w:r>
      <w:r w:rsidRPr="00897A69">
        <w:rPr>
          <w:rFonts w:ascii="Constantia" w:hAnsi="Constantia"/>
          <w:szCs w:val="22"/>
        </w:rPr>
        <w:t xml:space="preserve">Nažalost, željeznički prevoz kao čistiji i sigurniji način prevoza putnika i roba, </w:t>
      </w:r>
      <w:r w:rsidRPr="00897A69">
        <w:rPr>
          <w:rFonts w:ascii="Constantia" w:hAnsi="Constantia"/>
          <w:szCs w:val="22"/>
          <w:lang w:val="da-DK"/>
        </w:rPr>
        <w:t>ima samo sezonsku važnost, a analizom podataka, bilježi stagnaciju ili trend pada. Iako je emisija olova u vazduhu bitno smanjena, zahvaljujući sve većoj upotrebi bezolovnih benzina, potrošnja dizel goriva je porasla, uzročno povećavajući i emisiju čestica i sumpor</w:t>
      </w:r>
      <w:r w:rsidR="000419D3">
        <w:rPr>
          <w:rFonts w:ascii="Constantia" w:hAnsi="Constantia"/>
          <w:szCs w:val="22"/>
          <w:lang w:val="da-DK"/>
        </w:rPr>
        <w:t>-</w:t>
      </w:r>
      <w:r w:rsidRPr="00897A69">
        <w:rPr>
          <w:rFonts w:ascii="Constantia" w:hAnsi="Constantia"/>
          <w:szCs w:val="22"/>
          <w:lang w:val="da-DK"/>
        </w:rPr>
        <w:t>dioksida.</w:t>
      </w:r>
    </w:p>
    <w:p w:rsidR="00912E35" w:rsidRPr="00AC2B0F" w:rsidRDefault="00912E35" w:rsidP="000419D3">
      <w:pPr>
        <w:rPr>
          <w:rFonts w:ascii="Constantia" w:hAnsi="Constantia"/>
          <w:szCs w:val="22"/>
          <w:lang w:val="da-DK"/>
        </w:rPr>
      </w:pPr>
      <w:r w:rsidRPr="00897A69">
        <w:rPr>
          <w:rFonts w:ascii="Constantia" w:hAnsi="Constantia"/>
          <w:szCs w:val="22"/>
          <w:lang w:val="da-DK"/>
        </w:rPr>
        <w:t xml:space="preserve">Međutim, saobraćaj je jako važan činilac sveukupnog privrednog i društvenog razvoja. </w:t>
      </w:r>
      <w:r>
        <w:rPr>
          <w:rFonts w:ascii="Constantia" w:hAnsi="Constantia"/>
          <w:szCs w:val="22"/>
          <w:lang w:val="da-DK"/>
        </w:rPr>
        <w:t xml:space="preserve">Iz tog razloga </w:t>
      </w:r>
      <w:r w:rsidRPr="00897A69">
        <w:rPr>
          <w:rFonts w:ascii="Constantia" w:hAnsi="Constantia"/>
          <w:szCs w:val="22"/>
          <w:lang w:val="da-DK"/>
        </w:rPr>
        <w:t>treba težiti dobrom, efika</w:t>
      </w:r>
      <w:r>
        <w:rPr>
          <w:rFonts w:ascii="Constantia" w:hAnsi="Constantia"/>
          <w:szCs w:val="22"/>
          <w:lang w:val="da-DK"/>
        </w:rPr>
        <w:t>snom i jeftinom saobraćaju koji</w:t>
      </w:r>
      <w:r w:rsidRPr="00897A69">
        <w:rPr>
          <w:rFonts w:ascii="Constantia" w:hAnsi="Constantia"/>
          <w:szCs w:val="22"/>
          <w:lang w:val="da-DK"/>
        </w:rPr>
        <w:t>, kao takav, utiče na smanjenje troškova proizvodnje. Transportni sistem mora da dostigne određeni nivo razvoja da bi pozitivno uticao na ekonomski razvoj</w:t>
      </w:r>
      <w:r w:rsidR="004F3DE0">
        <w:rPr>
          <w:rFonts w:ascii="Constantia" w:hAnsi="Constantia"/>
          <w:szCs w:val="22"/>
          <w:lang w:val="da-DK"/>
        </w:rPr>
        <w:t xml:space="preserve"> </w:t>
      </w:r>
      <w:r w:rsidRPr="00897A69">
        <w:rPr>
          <w:rFonts w:ascii="Constantia" w:hAnsi="Constantia"/>
          <w:szCs w:val="22"/>
          <w:lang w:val="da-DK"/>
        </w:rPr>
        <w:t>i očuvanje životne sredine.</w:t>
      </w:r>
    </w:p>
    <w:p w:rsidR="00912E35" w:rsidRPr="00974851" w:rsidRDefault="00AF2D23" w:rsidP="00F26627">
      <w:pPr>
        <w:pStyle w:val="Heading3"/>
      </w:pPr>
      <w:bookmarkStart w:id="347" w:name="_Toc393897973"/>
      <w:r>
        <w:lastRenderedPageBreak/>
        <w:t>10</w:t>
      </w:r>
      <w:r w:rsidR="00F26627">
        <w:t xml:space="preserve">.4.1  </w:t>
      </w:r>
      <w:r w:rsidR="00912E35" w:rsidRPr="00897A69">
        <w:t>Putnički saobraćaj</w:t>
      </w:r>
      <w:r w:rsidR="00912E35" w:rsidRPr="00974851">
        <w:rPr>
          <w:vertAlign w:val="superscript"/>
        </w:rPr>
        <w:footnoteReference w:id="16"/>
      </w:r>
      <w:bookmarkEnd w:id="347"/>
    </w:p>
    <w:p w:rsidR="00912E35" w:rsidRPr="00AC2B0F" w:rsidRDefault="00912E35" w:rsidP="00F26627">
      <w:pPr>
        <w:spacing w:before="240"/>
        <w:rPr>
          <w:rFonts w:ascii="Constantia" w:hAnsi="Constantia"/>
          <w:szCs w:val="22"/>
          <w:shd w:val="clear" w:color="auto" w:fill="FFFFFF" w:themeFill="background1"/>
        </w:rPr>
      </w:pPr>
      <w:r w:rsidRPr="00897A69">
        <w:rPr>
          <w:rFonts w:ascii="Constantia" w:hAnsi="Constantia"/>
          <w:szCs w:val="22"/>
          <w:shd w:val="clear" w:color="auto" w:fill="FFFFFF" w:themeFill="background1"/>
        </w:rPr>
        <w:t xml:space="preserve">Obim i sastav putničkog saobraćaja bitan je pokazatelj djelovanja saobraćajnog </w:t>
      </w:r>
      <w:r w:rsidR="00F26627">
        <w:rPr>
          <w:rFonts w:ascii="Constantia" w:hAnsi="Constantia"/>
          <w:szCs w:val="22"/>
          <w:shd w:val="clear" w:color="auto" w:fill="FFFFFF" w:themeFill="background1"/>
        </w:rPr>
        <w:t>Sistema,</w:t>
      </w:r>
      <w:r w:rsidRPr="00897A69">
        <w:rPr>
          <w:rFonts w:ascii="Constantia" w:hAnsi="Constantia"/>
          <w:szCs w:val="22"/>
          <w:shd w:val="clear" w:color="auto" w:fill="FFFFFF" w:themeFill="background1"/>
        </w:rPr>
        <w:t xml:space="preserve"> jer pokazuje koliko i kako putuju stanovnici jedne države ili mjesta. Praćenje broja prevezenih putnika i ostvarenih putničkih kilometara (pkm) u drumskom i željezničkom saobraćaju od velike je važnosti za analizu uticaja prevoza na okolinu i povezanosti sa BDP-om. Registrovani podaci odnose se na unutrašnji prevoz (unutar granica Crne Gore).</w:t>
      </w:r>
    </w:p>
    <w:p w:rsidR="00912E35" w:rsidRPr="00AC2B0F" w:rsidRDefault="00912E35" w:rsidP="00F26627">
      <w:pPr>
        <w:rPr>
          <w:rFonts w:ascii="Constantia" w:hAnsi="Constantia"/>
          <w:szCs w:val="22"/>
          <w:lang w:val="sr-Latn-CS"/>
        </w:rPr>
      </w:pPr>
      <w:r w:rsidRPr="00897A69">
        <w:rPr>
          <w:rFonts w:ascii="Constantia" w:hAnsi="Constantia"/>
          <w:szCs w:val="22"/>
          <w:lang w:val="sr-Latn-CS"/>
        </w:rPr>
        <w:t>Putnički saobraćaj obuhvata drumski i željeznički saobraćaj, real</w:t>
      </w:r>
      <w:r>
        <w:rPr>
          <w:rFonts w:ascii="Constantia" w:hAnsi="Constantia"/>
          <w:szCs w:val="22"/>
          <w:lang w:val="sr-Latn-CS"/>
        </w:rPr>
        <w:t xml:space="preserve">izovan od stane organizacionih </w:t>
      </w:r>
      <w:r w:rsidRPr="00897A69">
        <w:rPr>
          <w:rFonts w:ascii="Constantia" w:hAnsi="Constantia"/>
          <w:szCs w:val="22"/>
          <w:lang w:val="sr-Latn-CS"/>
        </w:rPr>
        <w:t xml:space="preserve">jedinica registrovanih za putnički saobraćaj, ostvaren u granicama Crne Gore. </w:t>
      </w:r>
    </w:p>
    <w:p w:rsidR="00912E35" w:rsidRPr="00EC7D41" w:rsidRDefault="00912E35" w:rsidP="00F26627">
      <w:pPr>
        <w:rPr>
          <w:rFonts w:ascii="Constantia" w:hAnsi="Constantia"/>
          <w:szCs w:val="22"/>
          <w:shd w:val="clear" w:color="auto" w:fill="FFFFFF" w:themeFill="background1"/>
        </w:rPr>
      </w:pPr>
      <w:r w:rsidRPr="00AC2B0F">
        <w:rPr>
          <w:rFonts w:ascii="Constantia" w:hAnsi="Constantia"/>
          <w:szCs w:val="22"/>
          <w:shd w:val="clear" w:color="auto" w:fill="FFFFFF" w:themeFill="background1"/>
        </w:rPr>
        <w:t>Putnički saobraćaj je definisan kao količina ostvarenih putničkih kilometara (pkm) tokom jedne godine u Crnoj Gori. Kopneni prevoz putnika podrazumijeva prevoz putnika drumskim i železničkim saobraćajem. Indikator prati promjenu potražnje za put</w:t>
      </w:r>
      <w:r w:rsidR="00F26627">
        <w:rPr>
          <w:rFonts w:ascii="Constantia" w:hAnsi="Constantia"/>
          <w:szCs w:val="22"/>
          <w:shd w:val="clear" w:color="auto" w:fill="FFFFFF" w:themeFill="background1"/>
        </w:rPr>
        <w:t>ničkim saobraćajem u relaciji s</w:t>
      </w:r>
      <w:r w:rsidRPr="00AC2B0F">
        <w:rPr>
          <w:rFonts w:ascii="Constantia" w:hAnsi="Constantia"/>
          <w:szCs w:val="22"/>
          <w:shd w:val="clear" w:color="auto" w:fill="FFFFFF" w:themeFill="background1"/>
        </w:rPr>
        <w:t xml:space="preserve"> promjenama BDP-a. U posmatranom periodu (2000-2012) BDP</w:t>
      </w:r>
      <w:r>
        <w:rPr>
          <w:rFonts w:ascii="Constantia" w:hAnsi="Constantia"/>
          <w:szCs w:val="22"/>
          <w:shd w:val="clear" w:color="auto" w:fill="FFFFFF" w:themeFill="background1"/>
        </w:rPr>
        <w:t xml:space="preserve"> ima godišnju stopu rasta</w:t>
      </w:r>
      <w:r w:rsidR="00F26627">
        <w:rPr>
          <w:rFonts w:ascii="Constantia" w:hAnsi="Constantia"/>
          <w:szCs w:val="22"/>
          <w:shd w:val="clear" w:color="auto" w:fill="FFFFFF" w:themeFill="background1"/>
        </w:rPr>
        <w:t xml:space="preserve"> </w:t>
      </w:r>
      <w:r>
        <w:rPr>
          <w:rFonts w:ascii="Constantia" w:hAnsi="Constantia"/>
          <w:szCs w:val="22"/>
          <w:shd w:val="clear" w:color="auto" w:fill="FFFFFF" w:themeFill="background1"/>
        </w:rPr>
        <w:t>od 8,32</w:t>
      </w:r>
      <w:r w:rsidRPr="00AC2B0F">
        <w:rPr>
          <w:rFonts w:ascii="Constantia" w:hAnsi="Constantia"/>
          <w:szCs w:val="22"/>
          <w:shd w:val="clear" w:color="auto" w:fill="FFFFFF" w:themeFill="background1"/>
        </w:rPr>
        <w:t>%</w:t>
      </w:r>
      <w:r>
        <w:rPr>
          <w:rFonts w:ascii="Constantia" w:hAnsi="Constantia"/>
          <w:szCs w:val="22"/>
          <w:shd w:val="clear" w:color="auto" w:fill="FFFFFF" w:themeFill="background1"/>
        </w:rPr>
        <w:t>,</w:t>
      </w:r>
      <w:r w:rsidRPr="00AC2B0F">
        <w:rPr>
          <w:rFonts w:ascii="Constantia" w:hAnsi="Constantia"/>
          <w:szCs w:val="22"/>
          <w:shd w:val="clear" w:color="auto" w:fill="FFFFFF" w:themeFill="background1"/>
        </w:rPr>
        <w:t xml:space="preserve"> dok potražnja za putničkim s</w:t>
      </w:r>
      <w:r>
        <w:rPr>
          <w:rFonts w:ascii="Constantia" w:hAnsi="Constantia"/>
          <w:szCs w:val="22"/>
          <w:shd w:val="clear" w:color="auto" w:fill="FFFFFF" w:themeFill="background1"/>
        </w:rPr>
        <w:t>aobraćajem u Crnoj Gor</w:t>
      </w:r>
      <w:r w:rsidR="00F26627">
        <w:rPr>
          <w:rFonts w:ascii="Constantia" w:hAnsi="Constantia"/>
          <w:szCs w:val="22"/>
          <w:shd w:val="clear" w:color="auto" w:fill="FFFFFF" w:themeFill="background1"/>
        </w:rPr>
        <w:t>i opada s godišnjom stopom od 5,</w:t>
      </w:r>
      <w:r>
        <w:rPr>
          <w:rFonts w:ascii="Constantia" w:hAnsi="Constantia"/>
          <w:szCs w:val="22"/>
          <w:shd w:val="clear" w:color="auto" w:fill="FFFFFF" w:themeFill="background1"/>
        </w:rPr>
        <w:t>27</w:t>
      </w:r>
      <w:r w:rsidRPr="00AC2B0F">
        <w:rPr>
          <w:rFonts w:ascii="Constantia" w:hAnsi="Constantia"/>
          <w:szCs w:val="22"/>
          <w:shd w:val="clear" w:color="auto" w:fill="FFFFFF" w:themeFill="background1"/>
        </w:rPr>
        <w:t xml:space="preserve">% čime očigledno dolazi do razdvajanja rasta BDP-a od potražnje za putničkim saobraćajem. </w:t>
      </w:r>
    </w:p>
    <w:p w:rsidR="00912E35" w:rsidRPr="00AC2B0F" w:rsidRDefault="00912E35" w:rsidP="00F26627">
      <w:pPr>
        <w:rPr>
          <w:rFonts w:ascii="Constantia" w:hAnsi="Constantia"/>
          <w:szCs w:val="22"/>
        </w:rPr>
      </w:pPr>
      <w:r w:rsidRPr="00897A69">
        <w:rPr>
          <w:rFonts w:ascii="Constantia" w:hAnsi="Constantia"/>
          <w:szCs w:val="22"/>
        </w:rPr>
        <w:t>Analiza prevoza putnika se sprovodi uz pomoć dva podindikatora (naslonjena na EU metodologiju ustanovljenu 2001. godine):</w:t>
      </w:r>
    </w:p>
    <w:p w:rsidR="00912E35" w:rsidRPr="00AC2B0F" w:rsidRDefault="00912E35" w:rsidP="00F26627">
      <w:pPr>
        <w:pStyle w:val="ListParagraph"/>
        <w:ind w:left="0" w:firstLine="720"/>
        <w:rPr>
          <w:rFonts w:ascii="Constantia" w:hAnsi="Constantia"/>
          <w:szCs w:val="22"/>
        </w:rPr>
      </w:pPr>
      <w:r>
        <w:rPr>
          <w:rFonts w:ascii="Constantia" w:hAnsi="Constantia"/>
          <w:szCs w:val="22"/>
        </w:rPr>
        <w:t>•</w:t>
      </w:r>
      <w:r w:rsidR="00F26627">
        <w:rPr>
          <w:rFonts w:ascii="Constantia" w:hAnsi="Constantia"/>
          <w:szCs w:val="22"/>
        </w:rPr>
        <w:t xml:space="preserve">  </w:t>
      </w:r>
      <w:r w:rsidRPr="00897A69">
        <w:rPr>
          <w:rFonts w:ascii="Constantia" w:hAnsi="Constantia"/>
          <w:b/>
          <w:szCs w:val="22"/>
        </w:rPr>
        <w:t>Razdvajanje</w:t>
      </w:r>
      <w:r w:rsidRPr="00897A69">
        <w:rPr>
          <w:rFonts w:ascii="Constantia" w:hAnsi="Constantia"/>
          <w:szCs w:val="22"/>
        </w:rPr>
        <w:t xml:space="preserve"> (decoupling) pokazatelja obima prevoza putnika i </w:t>
      </w:r>
      <w:r>
        <w:rPr>
          <w:rFonts w:ascii="Constantia" w:hAnsi="Constantia"/>
          <w:szCs w:val="22"/>
        </w:rPr>
        <w:t>BDP-a</w:t>
      </w:r>
      <w:r w:rsidRPr="00897A69">
        <w:rPr>
          <w:rFonts w:ascii="Constantia" w:hAnsi="Constantia"/>
          <w:szCs w:val="22"/>
        </w:rPr>
        <w:t>,</w:t>
      </w:r>
    </w:p>
    <w:p w:rsidR="00912E35" w:rsidRPr="00AC2B0F" w:rsidRDefault="00912E35" w:rsidP="00F26627">
      <w:pPr>
        <w:pStyle w:val="ListParagraph"/>
        <w:ind w:left="0" w:firstLine="720"/>
        <w:rPr>
          <w:rFonts w:ascii="Constantia" w:hAnsi="Constantia"/>
          <w:szCs w:val="22"/>
        </w:rPr>
      </w:pPr>
      <w:r w:rsidRPr="00897A69">
        <w:rPr>
          <w:rFonts w:ascii="Constantia" w:hAnsi="Constantia" w:hint="eastAsia"/>
          <w:szCs w:val="22"/>
        </w:rPr>
        <w:t>•</w:t>
      </w:r>
      <w:r w:rsidR="00F26627">
        <w:rPr>
          <w:rFonts w:ascii="Constantia" w:hAnsi="Constantia"/>
          <w:szCs w:val="22"/>
        </w:rPr>
        <w:t xml:space="preserve">  </w:t>
      </w:r>
      <w:r w:rsidRPr="00897A69">
        <w:rPr>
          <w:rFonts w:ascii="Constantia" w:hAnsi="Constantia"/>
          <w:b/>
          <w:szCs w:val="22"/>
        </w:rPr>
        <w:t>Struktura</w:t>
      </w:r>
      <w:r w:rsidRPr="00897A69">
        <w:rPr>
          <w:rFonts w:ascii="Constantia" w:hAnsi="Constantia"/>
          <w:szCs w:val="22"/>
        </w:rPr>
        <w:t xml:space="preserve"> prevoza putnika.</w:t>
      </w:r>
    </w:p>
    <w:p w:rsidR="00912E35" w:rsidRPr="00AC2B0F" w:rsidRDefault="00912E35" w:rsidP="00F26627">
      <w:pPr>
        <w:rPr>
          <w:rFonts w:ascii="Constantia" w:hAnsi="Constantia"/>
          <w:szCs w:val="22"/>
        </w:rPr>
      </w:pPr>
      <w:r w:rsidRPr="00897A69">
        <w:rPr>
          <w:rFonts w:ascii="Constantia" w:hAnsi="Constantia"/>
          <w:szCs w:val="22"/>
        </w:rPr>
        <w:t>Indikator pr</w:t>
      </w:r>
      <w:r>
        <w:rPr>
          <w:rFonts w:ascii="Constantia" w:hAnsi="Constantia"/>
          <w:szCs w:val="22"/>
        </w:rPr>
        <w:t>i</w:t>
      </w:r>
      <w:r w:rsidRPr="00897A69">
        <w:rPr>
          <w:rFonts w:ascii="Constantia" w:hAnsi="Constantia"/>
          <w:szCs w:val="22"/>
        </w:rPr>
        <w:t xml:space="preserve">pada grupi </w:t>
      </w:r>
      <w:r w:rsidRPr="00897A69">
        <w:rPr>
          <w:rFonts w:ascii="Constantia" w:hAnsi="Constantia"/>
          <w:b/>
          <w:szCs w:val="22"/>
        </w:rPr>
        <w:t xml:space="preserve">pokretačkih faktora </w:t>
      </w:r>
      <w:r>
        <w:rPr>
          <w:rFonts w:ascii="Constantia" w:hAnsi="Constantia"/>
          <w:szCs w:val="22"/>
        </w:rPr>
        <w:t xml:space="preserve">u </w:t>
      </w:r>
      <w:r w:rsidRPr="00897A69">
        <w:rPr>
          <w:rFonts w:ascii="Constantia" w:hAnsi="Constantia"/>
          <w:szCs w:val="22"/>
        </w:rPr>
        <w:t>DPS</w:t>
      </w:r>
      <w:r>
        <w:rPr>
          <w:rFonts w:ascii="Constantia" w:hAnsi="Constantia"/>
          <w:szCs w:val="22"/>
        </w:rPr>
        <w:t>I</w:t>
      </w:r>
      <w:r w:rsidRPr="00897A69">
        <w:rPr>
          <w:rFonts w:ascii="Constantia" w:hAnsi="Constantia"/>
          <w:szCs w:val="22"/>
        </w:rPr>
        <w:t>R modelu.</w:t>
      </w:r>
    </w:p>
    <w:p w:rsidR="00912E35" w:rsidRPr="00B56EAA" w:rsidRDefault="00912E35" w:rsidP="00912E35">
      <w:pPr>
        <w:spacing w:line="276" w:lineRule="auto"/>
        <w:rPr>
          <w:rFonts w:ascii="Constantia" w:hAnsi="Constantia"/>
          <w:sz w:val="20"/>
          <w:szCs w:val="22"/>
        </w:rPr>
      </w:pPr>
    </w:p>
    <w:p w:rsidR="00912E35" w:rsidRPr="005E4028" w:rsidRDefault="00912E35" w:rsidP="00912E35">
      <w:pPr>
        <w:jc w:val="center"/>
        <w:rPr>
          <w:rFonts w:ascii="Constantia" w:hAnsi="Constantia"/>
        </w:rPr>
      </w:pPr>
      <w:r w:rsidRPr="00401CA8">
        <w:rPr>
          <w:rFonts w:asciiTheme="minorHAnsi" w:hAnsiTheme="minorHAnsi" w:cstheme="minorHAnsi"/>
          <w:noProof/>
          <w:sz w:val="20"/>
          <w:szCs w:val="20"/>
        </w:rPr>
        <w:drawing>
          <wp:inline distT="0" distB="0" distL="0" distR="0" wp14:anchorId="76D0DEB5" wp14:editId="45FCB253">
            <wp:extent cx="5467350" cy="2733675"/>
            <wp:effectExtent l="0" t="0" r="19050" b="9525"/>
            <wp:docPr id="1351" name="Chart 135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4"/>
              </a:graphicData>
            </a:graphic>
          </wp:inline>
        </w:drawing>
      </w:r>
      <w:r w:rsidRPr="00776C6A">
        <w:rPr>
          <w:rFonts w:asciiTheme="minorHAnsi" w:hAnsiTheme="minorHAnsi" w:cstheme="minorHAnsi"/>
          <w:sz w:val="20"/>
          <w:szCs w:val="20"/>
        </w:rPr>
        <w:t xml:space="preserve"> </w:t>
      </w:r>
    </w:p>
    <w:p w:rsidR="00912E35" w:rsidRPr="00F115C0" w:rsidRDefault="00912E35" w:rsidP="00F115C0">
      <w:pPr>
        <w:pStyle w:val="Grafikon"/>
        <w:rPr>
          <w:rFonts w:ascii="Constantia" w:hAnsi="Constantia"/>
          <w:sz w:val="22"/>
          <w:szCs w:val="22"/>
        </w:rPr>
      </w:pPr>
      <w:r w:rsidRPr="00F115C0">
        <w:rPr>
          <w:rFonts w:ascii="Constantia" w:hAnsi="Constantia"/>
          <w:sz w:val="22"/>
          <w:szCs w:val="22"/>
        </w:rPr>
        <w:t>Razdvajanje obima prevoza putnika od BDP-a, 2000-2013</w:t>
      </w:r>
    </w:p>
    <w:p w:rsidR="00912E35" w:rsidRPr="00B56EAA" w:rsidRDefault="00912E35" w:rsidP="00912E35">
      <w:pPr>
        <w:rPr>
          <w:rFonts w:ascii="Constantia" w:hAnsi="Constantia"/>
          <w:sz w:val="20"/>
          <w:u w:val="single"/>
        </w:rPr>
      </w:pPr>
    </w:p>
    <w:p w:rsidR="00912E35" w:rsidRPr="005E4028" w:rsidRDefault="00912E35" w:rsidP="00F115C0">
      <w:pPr>
        <w:rPr>
          <w:rFonts w:ascii="Constantia" w:hAnsi="Constantia"/>
        </w:rPr>
      </w:pPr>
      <w:r w:rsidRPr="00897A69">
        <w:rPr>
          <w:rFonts w:ascii="Constantia" w:hAnsi="Constantia"/>
        </w:rPr>
        <w:t>Razdvajanje</w:t>
      </w:r>
      <w:r w:rsidRPr="001E17B7">
        <w:rPr>
          <w:rFonts w:ascii="Constantia" w:hAnsi="Constantia"/>
        </w:rPr>
        <w:t xml:space="preserve"> obima prevoza putnika od </w:t>
      </w:r>
      <w:r w:rsidRPr="00897A69">
        <w:rPr>
          <w:rFonts w:ascii="Constantia" w:hAnsi="Constantia"/>
        </w:rPr>
        <w:t>BDP-a</w:t>
      </w:r>
      <w:r w:rsidRPr="001E17B7">
        <w:rPr>
          <w:rFonts w:ascii="Constantia" w:hAnsi="Constantia"/>
        </w:rPr>
        <w:t xml:space="preserve"> je dato</w:t>
      </w:r>
      <w:r w:rsidRPr="00947A1B">
        <w:rPr>
          <w:rFonts w:ascii="Constantia" w:hAnsi="Constantia"/>
        </w:rPr>
        <w:t xml:space="preserve"> na </w:t>
      </w:r>
      <w:r w:rsidR="00F115C0" w:rsidRPr="00CD3E3B">
        <w:rPr>
          <w:rFonts w:ascii="Constantia" w:hAnsi="Constantia"/>
          <w:i/>
          <w:shd w:val="clear" w:color="auto" w:fill="FFFFFF" w:themeFill="background1"/>
        </w:rPr>
        <w:t>G</w:t>
      </w:r>
      <w:r w:rsidRPr="00CD3E3B">
        <w:rPr>
          <w:rFonts w:ascii="Constantia" w:hAnsi="Constantia"/>
          <w:i/>
          <w:shd w:val="clear" w:color="auto" w:fill="FFFFFF" w:themeFill="background1"/>
        </w:rPr>
        <w:t xml:space="preserve">rafikonu </w:t>
      </w:r>
      <w:r w:rsidR="00D70A1C">
        <w:rPr>
          <w:rFonts w:ascii="Constantia" w:hAnsi="Constantia"/>
          <w:i/>
          <w:shd w:val="clear" w:color="auto" w:fill="FFFFFF" w:themeFill="background1"/>
        </w:rPr>
        <w:t>111.</w:t>
      </w:r>
      <w:r>
        <w:rPr>
          <w:rFonts w:ascii="Constantia" w:hAnsi="Constantia"/>
          <w:shd w:val="clear" w:color="auto" w:fill="FFFFFF" w:themeFill="background1"/>
        </w:rPr>
        <w:t xml:space="preserve"> </w:t>
      </w:r>
      <w:r w:rsidRPr="00947A1B">
        <w:rPr>
          <w:rFonts w:ascii="Constantia" w:hAnsi="Constantia"/>
        </w:rPr>
        <w:t xml:space="preserve">Dvije krive pokazuju razvoj BDP-a i obim prevoza putnika, dok “stubići” prikazuju nivo godišnjeg razdvajanja. “Stubići” iznad nulte linije označavaju brži rast BDP-a nego saobraćaja, dok oni ispod ukazuju na </w:t>
      </w:r>
      <w:r>
        <w:rPr>
          <w:rFonts w:ascii="Constantia" w:hAnsi="Constantia"/>
        </w:rPr>
        <w:t xml:space="preserve">veći </w:t>
      </w:r>
      <w:r w:rsidRPr="00947A1B">
        <w:rPr>
          <w:rFonts w:ascii="Constantia" w:hAnsi="Constantia"/>
        </w:rPr>
        <w:t xml:space="preserve">rast saobraćaja nego </w:t>
      </w:r>
      <w:r>
        <w:rPr>
          <w:rFonts w:ascii="Constantia" w:hAnsi="Constantia"/>
        </w:rPr>
        <w:t>BDP-a</w:t>
      </w:r>
      <w:r w:rsidRPr="00947A1B">
        <w:rPr>
          <w:rFonts w:ascii="Constantia" w:hAnsi="Constantia"/>
        </w:rPr>
        <w:t>. Podaci se odnose na žel</w:t>
      </w:r>
      <w:r>
        <w:rPr>
          <w:rFonts w:ascii="Constantia" w:hAnsi="Constantia"/>
        </w:rPr>
        <w:t>j</w:t>
      </w:r>
      <w:r w:rsidRPr="00947A1B">
        <w:rPr>
          <w:rFonts w:ascii="Constantia" w:hAnsi="Constantia"/>
        </w:rPr>
        <w:t xml:space="preserve">eznički i drumski </w:t>
      </w:r>
      <w:r>
        <w:rPr>
          <w:rFonts w:ascii="Constantia" w:hAnsi="Constantia"/>
        </w:rPr>
        <w:t>prevoz</w:t>
      </w:r>
      <w:r w:rsidRPr="00947A1B">
        <w:rPr>
          <w:rFonts w:ascii="Constantia" w:hAnsi="Constantia"/>
        </w:rPr>
        <w:t xml:space="preserve"> putnika. Prevoz putnika j</w:t>
      </w:r>
      <w:r>
        <w:rPr>
          <w:rFonts w:ascii="Constantia" w:hAnsi="Constantia"/>
        </w:rPr>
        <w:t xml:space="preserve">e definisan kao iznos putničkih </w:t>
      </w:r>
      <w:r w:rsidRPr="00947A1B">
        <w:rPr>
          <w:rFonts w:ascii="Constantia" w:hAnsi="Constantia"/>
        </w:rPr>
        <w:t xml:space="preserve">kilometara u unutrašnjem saobraćaju svake </w:t>
      </w:r>
      <w:r w:rsidRPr="00947A1B">
        <w:rPr>
          <w:rFonts w:ascii="Constantia" w:hAnsi="Constantia"/>
        </w:rPr>
        <w:lastRenderedPageBreak/>
        <w:t>godine u Crnoj Gori. Odnos godišnjeg rasta unutrašnjeg prevoza putnika i BDP-a, mjereno u stalnim cijenama prikazuje mjeru povezanosti između BDP-a i saobraćaja. Indikator “razdvajanje” je prikazan “stubićima” iznad i ispod nulte linije, tako da pozitivan rezultat znači da potražnja za prevozom raste sporije od BDP-a, a negativan pokazuje da potražnja za prevozom raste brže od BDP-a.</w:t>
      </w:r>
    </w:p>
    <w:p w:rsidR="00912E35" w:rsidRPr="005E4028" w:rsidRDefault="00912E35" w:rsidP="00CD3E3B">
      <w:pPr>
        <w:rPr>
          <w:rFonts w:ascii="Constantia" w:hAnsi="Constantia"/>
        </w:rPr>
      </w:pPr>
      <w:r>
        <w:rPr>
          <w:rFonts w:ascii="Constantia" w:hAnsi="Constantia"/>
        </w:rPr>
        <w:t>U odnosu na 2000.</w:t>
      </w:r>
      <w:r w:rsidR="00CD3E3B">
        <w:rPr>
          <w:rFonts w:ascii="Constantia" w:hAnsi="Constantia"/>
        </w:rPr>
        <w:t xml:space="preserve"> godinu, </w:t>
      </w:r>
      <w:r>
        <w:rPr>
          <w:rFonts w:ascii="Constantia" w:hAnsi="Constantia"/>
        </w:rPr>
        <w:t xml:space="preserve"> u 2013</w:t>
      </w:r>
      <w:r w:rsidRPr="00897A69">
        <w:rPr>
          <w:rFonts w:ascii="Constantia" w:hAnsi="Constantia"/>
        </w:rPr>
        <w:t>.</w:t>
      </w:r>
      <w:r>
        <w:rPr>
          <w:rFonts w:ascii="Constantia" w:hAnsi="Constantia"/>
        </w:rPr>
        <w:t xml:space="preserve"> godini</w:t>
      </w:r>
      <w:r w:rsidRPr="00897A69">
        <w:rPr>
          <w:rFonts w:ascii="Constantia" w:hAnsi="Constantia"/>
        </w:rPr>
        <w:t xml:space="preserve"> </w:t>
      </w:r>
      <w:r>
        <w:rPr>
          <w:rFonts w:ascii="Constantia" w:hAnsi="Constantia"/>
        </w:rPr>
        <w:t>imamo značajno</w:t>
      </w:r>
      <w:r w:rsidRPr="00897A69">
        <w:rPr>
          <w:rFonts w:ascii="Constantia" w:hAnsi="Constantia"/>
        </w:rPr>
        <w:t xml:space="preserve"> smanjenj</w:t>
      </w:r>
      <w:r>
        <w:rPr>
          <w:rFonts w:ascii="Constantia" w:hAnsi="Constantia"/>
        </w:rPr>
        <w:t>e</w:t>
      </w:r>
      <w:r w:rsidRPr="00897A69">
        <w:rPr>
          <w:rFonts w:ascii="Constantia" w:hAnsi="Constantia"/>
        </w:rPr>
        <w:t xml:space="preserve"> potražnje za putničkim </w:t>
      </w:r>
      <w:r>
        <w:rPr>
          <w:rFonts w:ascii="Constantia" w:hAnsi="Constantia"/>
        </w:rPr>
        <w:t>saobraćajem</w:t>
      </w:r>
      <w:r w:rsidRPr="00897A69">
        <w:rPr>
          <w:rFonts w:ascii="Constantia" w:hAnsi="Constantia"/>
        </w:rPr>
        <w:t xml:space="preserve"> od čak </w:t>
      </w:r>
      <w:r>
        <w:rPr>
          <w:rFonts w:ascii="Constantia" w:hAnsi="Constantia"/>
        </w:rPr>
        <w:t xml:space="preserve">46,93 </w:t>
      </w:r>
      <w:r w:rsidRPr="00897A69">
        <w:rPr>
          <w:rFonts w:ascii="Constantia" w:hAnsi="Constantia"/>
        </w:rPr>
        <w:t>%.</w:t>
      </w:r>
      <w:r>
        <w:rPr>
          <w:rFonts w:ascii="Constantia" w:hAnsi="Constantia"/>
        </w:rPr>
        <w:t xml:space="preserve"> </w:t>
      </w:r>
      <w:r w:rsidRPr="00897A69">
        <w:rPr>
          <w:rFonts w:ascii="Constantia" w:hAnsi="Constantia"/>
        </w:rPr>
        <w:t xml:space="preserve"> Istovremeno BDP je porastao tri puta. Ove činjenice navode na zaključak da je došlo do razdvajanja očiglednog rasta BDP-a i potražnje za </w:t>
      </w:r>
      <w:r>
        <w:rPr>
          <w:rFonts w:ascii="Constantia" w:hAnsi="Constantia"/>
        </w:rPr>
        <w:t>saobraćajem</w:t>
      </w:r>
      <w:r w:rsidRPr="00897A69">
        <w:rPr>
          <w:rFonts w:ascii="Constantia" w:hAnsi="Constantia"/>
        </w:rPr>
        <w:t>, čime se značajno smanjuje pritisak na životnu sredinu od putničkog saobraćaja.</w:t>
      </w:r>
    </w:p>
    <w:p w:rsidR="00912E35" w:rsidRPr="005E4028" w:rsidRDefault="00912E35" w:rsidP="00CD3E3B">
      <w:pPr>
        <w:rPr>
          <w:rFonts w:ascii="Constantia" w:hAnsi="Constantia"/>
        </w:rPr>
      </w:pPr>
      <w:r w:rsidRPr="00897A69">
        <w:rPr>
          <w:rFonts w:ascii="Constantia" w:hAnsi="Constantia"/>
        </w:rPr>
        <w:t>Potražnja za putničkim saobraćajem ima stabilan trend pada koji se na kratko prekida 2006.</w:t>
      </w:r>
      <w:r w:rsidR="00CD3E3B">
        <w:rPr>
          <w:rFonts w:ascii="Constantia" w:hAnsi="Constantia"/>
        </w:rPr>
        <w:t xml:space="preserve"> godine</w:t>
      </w:r>
      <w:r w:rsidRPr="00897A69">
        <w:rPr>
          <w:rFonts w:ascii="Constantia" w:hAnsi="Constantia"/>
        </w:rPr>
        <w:t xml:space="preserve">, </w:t>
      </w:r>
      <w:r w:rsidR="00CD3E3B">
        <w:rPr>
          <w:rFonts w:ascii="Constantia" w:hAnsi="Constantia"/>
        </w:rPr>
        <w:t>ali</w:t>
      </w:r>
      <w:r w:rsidRPr="00897A69">
        <w:rPr>
          <w:rFonts w:ascii="Constantia" w:hAnsi="Constantia"/>
        </w:rPr>
        <w:t xml:space="preserve"> već nakon 2008.</w:t>
      </w:r>
      <w:r w:rsidR="00CD3E3B">
        <w:rPr>
          <w:rFonts w:ascii="Constantia" w:hAnsi="Constantia"/>
        </w:rPr>
        <w:t xml:space="preserve"> godine</w:t>
      </w:r>
      <w:r w:rsidRPr="00897A69">
        <w:rPr>
          <w:rFonts w:ascii="Constantia" w:hAnsi="Constantia"/>
        </w:rPr>
        <w:t xml:space="preserve"> trend nastavlja silaznu putanju. Putnički saobraćaj u 2012. </w:t>
      </w:r>
      <w:r w:rsidR="00B24F37">
        <w:rPr>
          <w:rFonts w:ascii="Constantia" w:hAnsi="Constantia"/>
        </w:rPr>
        <w:t xml:space="preserve">godini </w:t>
      </w:r>
      <w:r w:rsidRPr="00897A69">
        <w:rPr>
          <w:rFonts w:ascii="Constantia" w:hAnsi="Constantia"/>
        </w:rPr>
        <w:t>bilježi porast kao rezultat povećane potražnje za drumskim saobraćajem.</w:t>
      </w:r>
      <w:r>
        <w:rPr>
          <w:rFonts w:ascii="Constantia" w:hAnsi="Constantia"/>
        </w:rPr>
        <w:t xml:space="preserve"> Blagi rast potražnje se desio i u 2013. godini.</w:t>
      </w:r>
      <w:r w:rsidRPr="00897A69">
        <w:rPr>
          <w:rFonts w:ascii="Constantia" w:hAnsi="Constantia"/>
        </w:rPr>
        <w:t xml:space="preserve"> I</w:t>
      </w:r>
      <w:r>
        <w:rPr>
          <w:rFonts w:ascii="Constantia" w:hAnsi="Constantia"/>
        </w:rPr>
        <w:t>stovremeno BDP bilj</w:t>
      </w:r>
      <w:r w:rsidRPr="00897A69">
        <w:rPr>
          <w:rFonts w:ascii="Constantia" w:hAnsi="Constantia"/>
        </w:rPr>
        <w:t>eži stabilan rast sve do 2012. god</w:t>
      </w:r>
      <w:r>
        <w:rPr>
          <w:rFonts w:ascii="Constantia" w:hAnsi="Constantia"/>
        </w:rPr>
        <w:t>ine gdje je zabilježen pad od 2,6</w:t>
      </w:r>
      <w:r w:rsidRPr="00897A69">
        <w:rPr>
          <w:rFonts w:ascii="Constantia" w:hAnsi="Constantia"/>
        </w:rPr>
        <w:t>% u odnosu na 2011. godinu.</w:t>
      </w:r>
      <w:r>
        <w:rPr>
          <w:rStyle w:val="FootnoteReference"/>
          <w:rFonts w:ascii="Constantia" w:hAnsi="Constantia"/>
        </w:rPr>
        <w:footnoteReference w:id="17"/>
      </w:r>
    </w:p>
    <w:p w:rsidR="00912E35" w:rsidRPr="00F42289" w:rsidRDefault="00912E35" w:rsidP="00B24F37">
      <w:pPr>
        <w:rPr>
          <w:rFonts w:ascii="Constantia" w:hAnsi="Constantia" w:cs="Arial"/>
          <w:szCs w:val="22"/>
        </w:rPr>
      </w:pPr>
      <w:r w:rsidRPr="00897A69">
        <w:rPr>
          <w:rFonts w:ascii="Constantia" w:hAnsi="Constantia"/>
          <w:szCs w:val="22"/>
        </w:rPr>
        <w:t>Strukturu prevoza putnika čine prevoz putnika u drumskom i željezničkom saobraćaju.</w:t>
      </w:r>
    </w:p>
    <w:p w:rsidR="00912E35" w:rsidRPr="00F42289" w:rsidRDefault="00912E35" w:rsidP="00912E35">
      <w:pPr>
        <w:spacing w:line="276" w:lineRule="auto"/>
        <w:rPr>
          <w:rFonts w:ascii="Constantia" w:hAnsi="Constantia"/>
          <w:sz w:val="20"/>
          <w:lang w:val="sr-Latn-CS"/>
        </w:rPr>
      </w:pPr>
      <w:r w:rsidRPr="00897A69">
        <w:rPr>
          <w:rFonts w:ascii="Constantia" w:hAnsi="Constantia"/>
        </w:rPr>
        <w:tab/>
      </w:r>
    </w:p>
    <w:p w:rsidR="00912E35" w:rsidRPr="005E4028" w:rsidRDefault="00912E35" w:rsidP="00912E35">
      <w:pPr>
        <w:pStyle w:val="Grafikon"/>
        <w:numPr>
          <w:ilvl w:val="0"/>
          <w:numId w:val="0"/>
        </w:numPr>
        <w:ind w:left="144"/>
        <w:rPr>
          <w:rFonts w:ascii="Constantia" w:hAnsi="Constantia"/>
        </w:rPr>
      </w:pPr>
      <w:r>
        <w:rPr>
          <w:noProof/>
          <w:lang w:val="en-US"/>
        </w:rPr>
        <w:drawing>
          <wp:inline distT="0" distB="0" distL="0" distR="0" wp14:anchorId="0A51FBA3" wp14:editId="062F5BC2">
            <wp:extent cx="3981450" cy="2409825"/>
            <wp:effectExtent l="0" t="0" r="19050" b="9525"/>
            <wp:docPr id="1352" name="Chart 135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5"/>
              </a:graphicData>
            </a:graphic>
          </wp:inline>
        </w:drawing>
      </w:r>
    </w:p>
    <w:p w:rsidR="00912E35" w:rsidRPr="00B24F37" w:rsidRDefault="00912E35" w:rsidP="00B24F37">
      <w:pPr>
        <w:pStyle w:val="Grafikon"/>
        <w:rPr>
          <w:rFonts w:ascii="Constantia" w:hAnsi="Constantia" w:cs="Arial"/>
          <w:sz w:val="22"/>
          <w:szCs w:val="22"/>
        </w:rPr>
      </w:pPr>
      <w:r w:rsidRPr="00B24F37">
        <w:rPr>
          <w:rFonts w:ascii="Constantia" w:hAnsi="Constantia"/>
          <w:sz w:val="22"/>
          <w:szCs w:val="22"/>
        </w:rPr>
        <w:t>Trend putničkog saobraćaja, 2000-2013</w:t>
      </w:r>
    </w:p>
    <w:p w:rsidR="00912E35" w:rsidRPr="00F42289" w:rsidRDefault="00912E35" w:rsidP="00912E35">
      <w:pPr>
        <w:pStyle w:val="Grafikon"/>
        <w:numPr>
          <w:ilvl w:val="0"/>
          <w:numId w:val="0"/>
        </w:numPr>
        <w:spacing w:line="276" w:lineRule="auto"/>
        <w:jc w:val="both"/>
        <w:rPr>
          <w:rFonts w:ascii="Constantia" w:hAnsi="Constantia"/>
          <w:i w:val="0"/>
          <w:szCs w:val="22"/>
        </w:rPr>
      </w:pPr>
    </w:p>
    <w:p w:rsidR="00912E35" w:rsidRDefault="00912E35" w:rsidP="00A333FF">
      <w:pPr>
        <w:pStyle w:val="Grafikon"/>
        <w:numPr>
          <w:ilvl w:val="0"/>
          <w:numId w:val="0"/>
        </w:numPr>
        <w:jc w:val="both"/>
        <w:rPr>
          <w:rFonts w:ascii="Constantia" w:hAnsi="Constantia"/>
          <w:i w:val="0"/>
          <w:sz w:val="22"/>
          <w:szCs w:val="22"/>
        </w:rPr>
      </w:pPr>
      <w:r w:rsidRPr="00F42289">
        <w:rPr>
          <w:rFonts w:ascii="Constantia" w:hAnsi="Constantia"/>
          <w:i w:val="0"/>
          <w:sz w:val="22"/>
          <w:szCs w:val="22"/>
        </w:rPr>
        <w:t xml:space="preserve">Na </w:t>
      </w:r>
      <w:r w:rsidRPr="00D145CE">
        <w:rPr>
          <w:rFonts w:ascii="Constantia" w:hAnsi="Constantia"/>
          <w:sz w:val="22"/>
          <w:szCs w:val="22"/>
        </w:rPr>
        <w:t xml:space="preserve">Grafikonu </w:t>
      </w:r>
      <w:r w:rsidR="00D70A1C">
        <w:rPr>
          <w:rFonts w:ascii="Constantia" w:hAnsi="Constantia"/>
          <w:sz w:val="22"/>
          <w:szCs w:val="22"/>
        </w:rPr>
        <w:t>112</w:t>
      </w:r>
      <w:r>
        <w:rPr>
          <w:rFonts w:ascii="Constantia" w:hAnsi="Constantia"/>
          <w:i w:val="0"/>
          <w:sz w:val="22"/>
          <w:szCs w:val="22"/>
        </w:rPr>
        <w:t xml:space="preserve">. </w:t>
      </w:r>
      <w:r w:rsidRPr="00F42289">
        <w:rPr>
          <w:rFonts w:ascii="Constantia" w:hAnsi="Constantia"/>
          <w:i w:val="0"/>
          <w:sz w:val="22"/>
          <w:szCs w:val="22"/>
        </w:rPr>
        <w:t>je pr</w:t>
      </w:r>
      <w:r>
        <w:rPr>
          <w:rFonts w:ascii="Constantia" w:hAnsi="Constantia"/>
          <w:i w:val="0"/>
          <w:sz w:val="22"/>
          <w:szCs w:val="22"/>
        </w:rPr>
        <w:t>ikazan trend prevoza u</w:t>
      </w:r>
      <w:r w:rsidRPr="00F42289">
        <w:rPr>
          <w:rFonts w:ascii="Constantia" w:hAnsi="Constantia"/>
          <w:i w:val="0"/>
          <w:sz w:val="22"/>
          <w:szCs w:val="22"/>
        </w:rPr>
        <w:t xml:space="preserve"> </w:t>
      </w:r>
      <w:r>
        <w:rPr>
          <w:rFonts w:ascii="Constantia" w:hAnsi="Constantia"/>
          <w:i w:val="0"/>
          <w:sz w:val="22"/>
          <w:szCs w:val="22"/>
        </w:rPr>
        <w:t>putničkom saobraćaju</w:t>
      </w:r>
      <w:r w:rsidR="00A333FF">
        <w:rPr>
          <w:rFonts w:ascii="Constantia" w:hAnsi="Constantia"/>
          <w:i w:val="0"/>
          <w:sz w:val="22"/>
          <w:szCs w:val="22"/>
        </w:rPr>
        <w:t>,</w:t>
      </w:r>
      <w:r>
        <w:rPr>
          <w:rFonts w:ascii="Constantia" w:hAnsi="Constantia"/>
          <w:i w:val="0"/>
          <w:sz w:val="22"/>
          <w:szCs w:val="22"/>
        </w:rPr>
        <w:t xml:space="preserve"> kao i uporedni prikaz potražnje za prevozom </w:t>
      </w:r>
      <w:r w:rsidRPr="00F42289">
        <w:rPr>
          <w:rFonts w:ascii="Constantia" w:hAnsi="Constantia"/>
          <w:i w:val="0"/>
          <w:sz w:val="22"/>
          <w:szCs w:val="22"/>
        </w:rPr>
        <w:t xml:space="preserve"> </w:t>
      </w:r>
      <w:r>
        <w:rPr>
          <w:rFonts w:ascii="Constantia" w:hAnsi="Constantia"/>
          <w:i w:val="0"/>
          <w:sz w:val="22"/>
          <w:szCs w:val="22"/>
        </w:rPr>
        <w:t xml:space="preserve">putnika </w:t>
      </w:r>
      <w:r w:rsidR="00A333FF">
        <w:rPr>
          <w:rFonts w:ascii="Constantia" w:hAnsi="Constantia"/>
          <w:i w:val="0"/>
          <w:sz w:val="22"/>
          <w:szCs w:val="22"/>
        </w:rPr>
        <w:t>u drumskom i</w:t>
      </w:r>
      <w:r w:rsidRPr="00F42289">
        <w:rPr>
          <w:rFonts w:ascii="Constantia" w:hAnsi="Constantia"/>
          <w:i w:val="0"/>
          <w:sz w:val="22"/>
          <w:szCs w:val="22"/>
        </w:rPr>
        <w:t xml:space="preserve"> željezničkom</w:t>
      </w:r>
      <w:r>
        <w:rPr>
          <w:rFonts w:ascii="Constantia" w:hAnsi="Constantia"/>
          <w:i w:val="0"/>
          <w:sz w:val="22"/>
          <w:szCs w:val="22"/>
        </w:rPr>
        <w:t xml:space="preserve"> saobraćaju. </w:t>
      </w:r>
      <w:r w:rsidRPr="00F42289">
        <w:rPr>
          <w:rFonts w:ascii="Constantia" w:hAnsi="Constantia"/>
          <w:i w:val="0"/>
          <w:sz w:val="22"/>
          <w:szCs w:val="22"/>
        </w:rPr>
        <w:t xml:space="preserve"> </w:t>
      </w:r>
    </w:p>
    <w:p w:rsidR="00912E35" w:rsidRPr="00F42289" w:rsidRDefault="00912E35" w:rsidP="00A333FF">
      <w:pPr>
        <w:pStyle w:val="Grafikon"/>
        <w:numPr>
          <w:ilvl w:val="0"/>
          <w:numId w:val="0"/>
        </w:numPr>
        <w:jc w:val="both"/>
        <w:rPr>
          <w:rFonts w:ascii="Constantia" w:hAnsi="Constantia"/>
          <w:i w:val="0"/>
          <w:sz w:val="22"/>
          <w:szCs w:val="22"/>
        </w:rPr>
      </w:pPr>
      <w:r w:rsidRPr="00F42289">
        <w:rPr>
          <w:rFonts w:ascii="Constantia" w:hAnsi="Constantia"/>
          <w:i w:val="0"/>
          <w:sz w:val="22"/>
          <w:szCs w:val="22"/>
        </w:rPr>
        <w:t>Do 200</w:t>
      </w:r>
      <w:r>
        <w:rPr>
          <w:rFonts w:ascii="Constantia" w:hAnsi="Constantia"/>
          <w:i w:val="0"/>
          <w:sz w:val="22"/>
          <w:szCs w:val="22"/>
        </w:rPr>
        <w:t>5</w:t>
      </w:r>
      <w:r w:rsidRPr="00F42289">
        <w:rPr>
          <w:rFonts w:ascii="Constantia" w:hAnsi="Constantia"/>
          <w:i w:val="0"/>
          <w:sz w:val="22"/>
          <w:szCs w:val="22"/>
        </w:rPr>
        <w:t>.</w:t>
      </w:r>
      <w:r w:rsidR="00A333FF">
        <w:rPr>
          <w:rFonts w:ascii="Constantia" w:hAnsi="Constantia"/>
          <w:i w:val="0"/>
          <w:sz w:val="22"/>
          <w:szCs w:val="22"/>
        </w:rPr>
        <w:t xml:space="preserve"> godine </w:t>
      </w:r>
      <w:r w:rsidRPr="00F42289">
        <w:rPr>
          <w:rFonts w:ascii="Constantia" w:hAnsi="Constantia"/>
          <w:i w:val="0"/>
          <w:sz w:val="22"/>
          <w:szCs w:val="22"/>
        </w:rPr>
        <w:t xml:space="preserve"> i 2008</w:t>
      </w:r>
      <w:r w:rsidR="00A333FF">
        <w:rPr>
          <w:rFonts w:ascii="Constantia" w:hAnsi="Constantia"/>
          <w:i w:val="0"/>
          <w:sz w:val="22"/>
          <w:szCs w:val="22"/>
        </w:rPr>
        <w:t>-</w:t>
      </w:r>
      <w:r w:rsidRPr="00F42289">
        <w:rPr>
          <w:rFonts w:ascii="Constantia" w:hAnsi="Constantia"/>
          <w:i w:val="0"/>
          <w:sz w:val="22"/>
          <w:szCs w:val="22"/>
        </w:rPr>
        <w:t>2011.</w:t>
      </w:r>
      <w:r>
        <w:rPr>
          <w:rFonts w:ascii="Constantia" w:hAnsi="Constantia"/>
          <w:i w:val="0"/>
          <w:sz w:val="22"/>
          <w:szCs w:val="22"/>
        </w:rPr>
        <w:t xml:space="preserve"> </w:t>
      </w:r>
      <w:r w:rsidRPr="00F42289">
        <w:rPr>
          <w:rFonts w:ascii="Constantia" w:hAnsi="Constantia"/>
          <w:i w:val="0"/>
          <w:sz w:val="22"/>
          <w:szCs w:val="22"/>
        </w:rPr>
        <w:t>godine zabilježen je pad pkm u ukupnom putničkom prevozu.</w:t>
      </w:r>
      <w:r>
        <w:rPr>
          <w:rFonts w:ascii="Constantia" w:hAnsi="Constantia"/>
          <w:i w:val="0"/>
          <w:sz w:val="22"/>
          <w:szCs w:val="22"/>
        </w:rPr>
        <w:t xml:space="preserve"> Od 2005</w:t>
      </w:r>
      <w:r w:rsidR="00A333FF">
        <w:rPr>
          <w:rFonts w:ascii="Constantia" w:hAnsi="Constantia"/>
          <w:i w:val="0"/>
          <w:sz w:val="22"/>
          <w:szCs w:val="22"/>
        </w:rPr>
        <w:t>-</w:t>
      </w:r>
      <w:r>
        <w:rPr>
          <w:rFonts w:ascii="Constantia" w:hAnsi="Constantia"/>
          <w:i w:val="0"/>
          <w:sz w:val="22"/>
          <w:szCs w:val="22"/>
        </w:rPr>
        <w:t>2007 i  2011</w:t>
      </w:r>
      <w:r w:rsidR="00A333FF">
        <w:rPr>
          <w:rFonts w:ascii="Constantia" w:hAnsi="Constantia"/>
          <w:i w:val="0"/>
          <w:sz w:val="22"/>
          <w:szCs w:val="22"/>
        </w:rPr>
        <w:t>-</w:t>
      </w:r>
      <w:r>
        <w:rPr>
          <w:rFonts w:ascii="Constantia" w:hAnsi="Constantia"/>
          <w:i w:val="0"/>
          <w:sz w:val="22"/>
          <w:szCs w:val="22"/>
        </w:rPr>
        <w:t xml:space="preserve">2013. godine bilježi se rast pkm. Sve se ovo dešava na račun naizmjeničnog  rasta i pada željezničkog </w:t>
      </w:r>
      <w:r w:rsidR="00A333FF">
        <w:rPr>
          <w:rFonts w:ascii="Constantia" w:hAnsi="Constantia"/>
          <w:i w:val="0"/>
          <w:sz w:val="22"/>
          <w:szCs w:val="22"/>
        </w:rPr>
        <w:t>i drumskog saobraćaja do 2008. g</w:t>
      </w:r>
      <w:r>
        <w:rPr>
          <w:rFonts w:ascii="Constantia" w:hAnsi="Constantia"/>
          <w:i w:val="0"/>
          <w:sz w:val="22"/>
          <w:szCs w:val="22"/>
        </w:rPr>
        <w:t>odine kada se potražnja za oba vida prevoza izjednačila. Nadalje se dešava obrnuta slika potražnje.</w:t>
      </w:r>
    </w:p>
    <w:p w:rsidR="00912E35" w:rsidRPr="00F42289" w:rsidRDefault="00912E35" w:rsidP="00C05911">
      <w:pPr>
        <w:pStyle w:val="Grafikon"/>
        <w:numPr>
          <w:ilvl w:val="0"/>
          <w:numId w:val="0"/>
        </w:numPr>
        <w:jc w:val="both"/>
        <w:rPr>
          <w:rFonts w:ascii="Constantia" w:hAnsi="Constantia"/>
          <w:i w:val="0"/>
          <w:sz w:val="22"/>
          <w:szCs w:val="22"/>
        </w:rPr>
      </w:pPr>
      <w:r w:rsidRPr="00F42289">
        <w:rPr>
          <w:rFonts w:ascii="Constantia" w:hAnsi="Constantia"/>
          <w:i w:val="0"/>
          <w:sz w:val="22"/>
          <w:szCs w:val="22"/>
        </w:rPr>
        <w:t>Analizirajući obim pređenih putničkih kilometara u Crnoj Gori može se reći da je putnički saobraćaj u padu</w:t>
      </w:r>
      <w:r w:rsidR="00C05911">
        <w:rPr>
          <w:rFonts w:ascii="Constantia" w:hAnsi="Constantia"/>
          <w:i w:val="0"/>
          <w:sz w:val="22"/>
          <w:szCs w:val="22"/>
        </w:rPr>
        <w:t>,</w:t>
      </w:r>
      <w:r w:rsidRPr="00F42289">
        <w:rPr>
          <w:rFonts w:ascii="Constantia" w:hAnsi="Constantia"/>
          <w:i w:val="0"/>
          <w:sz w:val="22"/>
          <w:szCs w:val="22"/>
        </w:rPr>
        <w:t xml:space="preserve"> tako da je u 201</w:t>
      </w:r>
      <w:r>
        <w:rPr>
          <w:rFonts w:ascii="Constantia" w:hAnsi="Constantia"/>
          <w:i w:val="0"/>
          <w:sz w:val="22"/>
          <w:szCs w:val="22"/>
        </w:rPr>
        <w:t>3. godini zabilježen pad od 53</w:t>
      </w:r>
      <w:r w:rsidRPr="00F42289">
        <w:rPr>
          <w:rFonts w:ascii="Constantia" w:hAnsi="Constantia"/>
          <w:i w:val="0"/>
          <w:sz w:val="22"/>
          <w:szCs w:val="22"/>
        </w:rPr>
        <w:t>% u odnosu na 2000.</w:t>
      </w:r>
      <w:r w:rsidR="00C05911">
        <w:rPr>
          <w:rFonts w:ascii="Constantia" w:hAnsi="Constantia"/>
          <w:i w:val="0"/>
          <w:sz w:val="22"/>
          <w:szCs w:val="22"/>
        </w:rPr>
        <w:t xml:space="preserve"> godinu.</w:t>
      </w:r>
      <w:r w:rsidRPr="00F42289">
        <w:rPr>
          <w:rFonts w:ascii="Constantia" w:hAnsi="Constantia"/>
          <w:i w:val="0"/>
          <w:sz w:val="22"/>
          <w:szCs w:val="22"/>
        </w:rPr>
        <w:t xml:space="preserve"> Drumski saobraćaj biljež</w:t>
      </w:r>
      <w:r>
        <w:rPr>
          <w:rFonts w:ascii="Constantia" w:hAnsi="Constantia"/>
          <w:i w:val="0"/>
          <w:sz w:val="22"/>
          <w:szCs w:val="22"/>
        </w:rPr>
        <w:t>i pad za analizirani period od 42</w:t>
      </w:r>
      <w:r w:rsidRPr="00F42289">
        <w:rPr>
          <w:rFonts w:ascii="Constantia" w:hAnsi="Constantia"/>
          <w:i w:val="0"/>
          <w:sz w:val="22"/>
          <w:szCs w:val="22"/>
        </w:rPr>
        <w:t>%</w:t>
      </w:r>
      <w:r>
        <w:rPr>
          <w:rFonts w:ascii="Constantia" w:hAnsi="Constantia"/>
          <w:i w:val="0"/>
          <w:sz w:val="22"/>
          <w:szCs w:val="22"/>
        </w:rPr>
        <w:t>,</w:t>
      </w:r>
      <w:r w:rsidRPr="00F42289">
        <w:rPr>
          <w:rFonts w:ascii="Constantia" w:hAnsi="Constantia"/>
          <w:i w:val="0"/>
          <w:sz w:val="22"/>
          <w:szCs w:val="22"/>
        </w:rPr>
        <w:t xml:space="preserve"> a rast samo od 2006</w:t>
      </w:r>
      <w:r w:rsidR="00005C8A">
        <w:rPr>
          <w:rFonts w:ascii="Constantia" w:hAnsi="Constantia"/>
          <w:i w:val="0"/>
          <w:sz w:val="22"/>
          <w:szCs w:val="22"/>
        </w:rPr>
        <w:t>-</w:t>
      </w:r>
      <w:r w:rsidRPr="00F42289">
        <w:rPr>
          <w:rFonts w:ascii="Constantia" w:hAnsi="Constantia"/>
          <w:i w:val="0"/>
          <w:sz w:val="22"/>
          <w:szCs w:val="22"/>
        </w:rPr>
        <w:t xml:space="preserve">2007. </w:t>
      </w:r>
      <w:r>
        <w:rPr>
          <w:rFonts w:ascii="Constantia" w:hAnsi="Constantia"/>
          <w:i w:val="0"/>
          <w:sz w:val="22"/>
          <w:szCs w:val="22"/>
        </w:rPr>
        <w:t xml:space="preserve">godine </w:t>
      </w:r>
      <w:r w:rsidRPr="00F42289">
        <w:rPr>
          <w:rFonts w:ascii="Constantia" w:hAnsi="Constantia"/>
          <w:i w:val="0"/>
          <w:sz w:val="22"/>
          <w:szCs w:val="22"/>
        </w:rPr>
        <w:t>od 23%. Željeznički saobraćaj</w:t>
      </w:r>
      <w:r>
        <w:rPr>
          <w:rFonts w:ascii="Constantia" w:hAnsi="Constantia"/>
          <w:i w:val="0"/>
          <w:sz w:val="22"/>
          <w:szCs w:val="22"/>
        </w:rPr>
        <w:t>,</w:t>
      </w:r>
      <w:r w:rsidRPr="00F42289">
        <w:rPr>
          <w:rFonts w:ascii="Constantia" w:hAnsi="Constantia"/>
          <w:i w:val="0"/>
          <w:sz w:val="22"/>
          <w:szCs w:val="22"/>
        </w:rPr>
        <w:t xml:space="preserve"> takođe</w:t>
      </w:r>
      <w:r>
        <w:rPr>
          <w:rFonts w:ascii="Constantia" w:hAnsi="Constantia"/>
          <w:i w:val="0"/>
          <w:sz w:val="22"/>
          <w:szCs w:val="22"/>
        </w:rPr>
        <w:t>,</w:t>
      </w:r>
      <w:r w:rsidRPr="00F42289">
        <w:rPr>
          <w:rFonts w:ascii="Constantia" w:hAnsi="Constantia"/>
          <w:i w:val="0"/>
          <w:sz w:val="22"/>
          <w:szCs w:val="22"/>
        </w:rPr>
        <w:t xml:space="preserve"> bilježi rast samo od 2006</w:t>
      </w:r>
      <w:r w:rsidR="00005C8A">
        <w:rPr>
          <w:rFonts w:ascii="Constantia" w:hAnsi="Constantia"/>
          <w:i w:val="0"/>
          <w:sz w:val="22"/>
          <w:szCs w:val="22"/>
        </w:rPr>
        <w:t>-2007. godine od 22,</w:t>
      </w:r>
      <w:r w:rsidRPr="00F42289">
        <w:rPr>
          <w:rFonts w:ascii="Constantia" w:hAnsi="Constantia"/>
          <w:i w:val="0"/>
          <w:sz w:val="22"/>
          <w:szCs w:val="22"/>
        </w:rPr>
        <w:t>5</w:t>
      </w:r>
      <w:r>
        <w:rPr>
          <w:rFonts w:ascii="Constantia" w:hAnsi="Constantia"/>
          <w:i w:val="0"/>
          <w:sz w:val="22"/>
          <w:szCs w:val="22"/>
        </w:rPr>
        <w:t xml:space="preserve"> % a u analiziranom periodu pada za 63,5%. </w:t>
      </w:r>
      <w:r w:rsidRPr="00F42289">
        <w:rPr>
          <w:rFonts w:ascii="Constantia" w:hAnsi="Constantia"/>
          <w:i w:val="0"/>
          <w:sz w:val="22"/>
          <w:szCs w:val="22"/>
        </w:rPr>
        <w:t>BDP bilježi konstantni rast u analiziranom vremensk</w:t>
      </w:r>
      <w:r w:rsidR="00005C8A">
        <w:rPr>
          <w:rFonts w:ascii="Constantia" w:hAnsi="Constantia"/>
          <w:i w:val="0"/>
          <w:sz w:val="22"/>
          <w:szCs w:val="22"/>
        </w:rPr>
        <w:t>om periodu (2000-</w:t>
      </w:r>
      <w:r>
        <w:rPr>
          <w:rFonts w:ascii="Constantia" w:hAnsi="Constantia"/>
          <w:i w:val="0"/>
          <w:sz w:val="22"/>
          <w:szCs w:val="22"/>
        </w:rPr>
        <w:t>2013) od 306</w:t>
      </w:r>
      <w:r w:rsidR="00005C8A">
        <w:rPr>
          <w:rFonts w:ascii="Constantia" w:hAnsi="Constantia"/>
          <w:i w:val="0"/>
          <w:sz w:val="22"/>
          <w:szCs w:val="22"/>
        </w:rPr>
        <w:t>,</w:t>
      </w:r>
      <w:r>
        <w:rPr>
          <w:rFonts w:ascii="Constantia" w:hAnsi="Constantia"/>
          <w:i w:val="0"/>
          <w:sz w:val="22"/>
          <w:szCs w:val="22"/>
        </w:rPr>
        <w:t>3</w:t>
      </w:r>
      <w:r w:rsidRPr="00F42289">
        <w:rPr>
          <w:rFonts w:ascii="Constantia" w:hAnsi="Constantia"/>
          <w:i w:val="0"/>
          <w:sz w:val="22"/>
          <w:szCs w:val="22"/>
        </w:rPr>
        <w:t>%.</w:t>
      </w:r>
    </w:p>
    <w:p w:rsidR="00912E35" w:rsidRPr="005E4028" w:rsidRDefault="00912E35" w:rsidP="00912E35">
      <w:pPr>
        <w:jc w:val="center"/>
        <w:rPr>
          <w:rFonts w:ascii="Constantia" w:hAnsi="Constantia" w:cs="Arial"/>
          <w:lang w:val="sr-Latn-CS"/>
        </w:rPr>
      </w:pPr>
      <w:r>
        <w:rPr>
          <w:noProof/>
        </w:rPr>
        <w:lastRenderedPageBreak/>
        <w:drawing>
          <wp:inline distT="0" distB="0" distL="0" distR="0" wp14:anchorId="61DFD626" wp14:editId="6327643E">
            <wp:extent cx="3784775" cy="2302852"/>
            <wp:effectExtent l="0" t="0" r="25400" b="21590"/>
            <wp:docPr id="1353" name="Chart 135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6"/>
              </a:graphicData>
            </a:graphic>
          </wp:inline>
        </w:drawing>
      </w:r>
    </w:p>
    <w:p w:rsidR="00912E35" w:rsidRPr="00C3788B" w:rsidRDefault="00912E35" w:rsidP="00C3788B">
      <w:pPr>
        <w:pStyle w:val="Grafikon"/>
        <w:rPr>
          <w:rFonts w:ascii="Constantia" w:hAnsi="Constantia"/>
          <w:sz w:val="22"/>
          <w:szCs w:val="22"/>
        </w:rPr>
      </w:pPr>
      <w:r w:rsidRPr="00C3788B">
        <w:rPr>
          <w:rFonts w:ascii="Constantia" w:hAnsi="Constantia"/>
          <w:sz w:val="22"/>
          <w:szCs w:val="22"/>
        </w:rPr>
        <w:t>Učešće vidova saobraćaja u prevozu putnika</w:t>
      </w:r>
    </w:p>
    <w:p w:rsidR="00912E35" w:rsidRPr="00F42289" w:rsidRDefault="00912E35" w:rsidP="00912E35">
      <w:pPr>
        <w:pStyle w:val="Grafikon"/>
        <w:numPr>
          <w:ilvl w:val="0"/>
          <w:numId w:val="0"/>
        </w:numPr>
        <w:spacing w:line="276" w:lineRule="auto"/>
        <w:ind w:firstLine="144"/>
        <w:jc w:val="both"/>
        <w:rPr>
          <w:rFonts w:ascii="Constantia" w:hAnsi="Constantia"/>
          <w:i w:val="0"/>
          <w:szCs w:val="22"/>
        </w:rPr>
      </w:pPr>
    </w:p>
    <w:p w:rsidR="00912E35" w:rsidRPr="00F42289" w:rsidRDefault="00C3788B" w:rsidP="00C3788B">
      <w:pPr>
        <w:pStyle w:val="Grafikon"/>
        <w:numPr>
          <w:ilvl w:val="0"/>
          <w:numId w:val="0"/>
        </w:numPr>
        <w:jc w:val="both"/>
        <w:rPr>
          <w:rFonts w:ascii="Constantia" w:hAnsi="Constantia"/>
          <w:i w:val="0"/>
          <w:sz w:val="22"/>
          <w:szCs w:val="22"/>
        </w:rPr>
      </w:pPr>
      <w:r>
        <w:rPr>
          <w:rFonts w:ascii="Constantia" w:hAnsi="Constantia"/>
          <w:i w:val="0"/>
          <w:sz w:val="22"/>
          <w:szCs w:val="22"/>
        </w:rPr>
        <w:t xml:space="preserve">Na </w:t>
      </w:r>
      <w:r w:rsidRPr="00C3788B">
        <w:rPr>
          <w:rFonts w:ascii="Constantia" w:hAnsi="Constantia"/>
          <w:sz w:val="22"/>
          <w:szCs w:val="22"/>
        </w:rPr>
        <w:t>G</w:t>
      </w:r>
      <w:r w:rsidR="00912E35" w:rsidRPr="00C3788B">
        <w:rPr>
          <w:rFonts w:ascii="Constantia" w:hAnsi="Constantia"/>
          <w:sz w:val="22"/>
          <w:szCs w:val="22"/>
        </w:rPr>
        <w:t>rafikonu 1</w:t>
      </w:r>
      <w:r w:rsidR="00D70A1C">
        <w:rPr>
          <w:rFonts w:ascii="Constantia" w:hAnsi="Constantia"/>
          <w:sz w:val="22"/>
          <w:szCs w:val="22"/>
        </w:rPr>
        <w:t>13</w:t>
      </w:r>
      <w:r w:rsidR="00912E35" w:rsidRPr="00C3788B">
        <w:rPr>
          <w:rFonts w:ascii="Constantia" w:hAnsi="Constantia"/>
          <w:sz w:val="22"/>
          <w:szCs w:val="22"/>
        </w:rPr>
        <w:t>.</w:t>
      </w:r>
      <w:r w:rsidR="00912E35">
        <w:rPr>
          <w:rFonts w:ascii="Constantia" w:hAnsi="Constantia"/>
          <w:i w:val="0"/>
          <w:sz w:val="22"/>
          <w:szCs w:val="22"/>
        </w:rPr>
        <w:t xml:space="preserve"> prikazano je učešće</w:t>
      </w:r>
      <w:r w:rsidR="00912E35" w:rsidRPr="00897A69">
        <w:rPr>
          <w:rFonts w:ascii="Constantia" w:hAnsi="Constantia"/>
          <w:i w:val="0"/>
          <w:sz w:val="22"/>
          <w:szCs w:val="22"/>
        </w:rPr>
        <w:t xml:space="preserve"> drumskog i željezničkog saobraćaja</w:t>
      </w:r>
      <w:r w:rsidR="00912E35">
        <w:rPr>
          <w:rFonts w:ascii="Constantia" w:hAnsi="Constantia"/>
          <w:i w:val="0"/>
          <w:sz w:val="22"/>
          <w:szCs w:val="22"/>
        </w:rPr>
        <w:t xml:space="preserve"> (njihov </w:t>
      </w:r>
      <w:r w:rsidR="00912E35" w:rsidRPr="00897A69">
        <w:rPr>
          <w:rFonts w:ascii="Constantia" w:hAnsi="Constantia"/>
          <w:i w:val="0"/>
          <w:sz w:val="22"/>
          <w:szCs w:val="22"/>
        </w:rPr>
        <w:t xml:space="preserve">odnos) u strukturi prevoza putnika, po godinama. Vidi se da u 2000., 2008., 2009. i 2010. godini imaju podjednako učešće. U </w:t>
      </w:r>
      <w:r>
        <w:rPr>
          <w:rFonts w:ascii="Constantia" w:hAnsi="Constantia"/>
          <w:i w:val="0"/>
          <w:sz w:val="22"/>
          <w:szCs w:val="22"/>
        </w:rPr>
        <w:t xml:space="preserve">periodu </w:t>
      </w:r>
      <w:r w:rsidR="00912E35" w:rsidRPr="00897A69">
        <w:rPr>
          <w:rFonts w:ascii="Constantia" w:hAnsi="Constantia"/>
          <w:i w:val="0"/>
          <w:sz w:val="22"/>
          <w:szCs w:val="22"/>
        </w:rPr>
        <w:t>200</w:t>
      </w:r>
      <w:r>
        <w:rPr>
          <w:rFonts w:ascii="Constantia" w:hAnsi="Constantia"/>
          <w:i w:val="0"/>
          <w:sz w:val="22"/>
          <w:szCs w:val="22"/>
        </w:rPr>
        <w:t>1-</w:t>
      </w:r>
      <w:r w:rsidR="00912E35" w:rsidRPr="00897A69">
        <w:rPr>
          <w:rFonts w:ascii="Constantia" w:hAnsi="Constantia"/>
          <w:i w:val="0"/>
          <w:sz w:val="22"/>
          <w:szCs w:val="22"/>
        </w:rPr>
        <w:t xml:space="preserve">2005 učešće željezničkog saobraćaja u </w:t>
      </w:r>
      <w:r w:rsidR="00912E35">
        <w:rPr>
          <w:rFonts w:ascii="Constantia" w:hAnsi="Constantia"/>
          <w:i w:val="0"/>
          <w:sz w:val="22"/>
          <w:szCs w:val="22"/>
        </w:rPr>
        <w:t xml:space="preserve">ukupnom prevozu je većinsko. U </w:t>
      </w:r>
      <w:r w:rsidR="00101351">
        <w:rPr>
          <w:rFonts w:ascii="Constantia" w:hAnsi="Constantia"/>
          <w:i w:val="0"/>
          <w:sz w:val="22"/>
          <w:szCs w:val="22"/>
        </w:rPr>
        <w:t>2006,</w:t>
      </w:r>
      <w:r w:rsidR="00912E35" w:rsidRPr="00897A69">
        <w:rPr>
          <w:rFonts w:ascii="Constantia" w:hAnsi="Constantia"/>
          <w:i w:val="0"/>
          <w:sz w:val="22"/>
          <w:szCs w:val="22"/>
        </w:rPr>
        <w:t xml:space="preserve"> </w:t>
      </w:r>
      <w:r w:rsidR="00101351">
        <w:rPr>
          <w:rFonts w:ascii="Constantia" w:hAnsi="Constantia"/>
          <w:i w:val="0"/>
          <w:sz w:val="22"/>
          <w:szCs w:val="22"/>
        </w:rPr>
        <w:t>2007,</w:t>
      </w:r>
      <w:r w:rsidR="00912E35" w:rsidRPr="00897A69">
        <w:rPr>
          <w:rFonts w:ascii="Constantia" w:hAnsi="Constantia"/>
          <w:i w:val="0"/>
          <w:sz w:val="22"/>
          <w:szCs w:val="22"/>
        </w:rPr>
        <w:t xml:space="preserve"> 2011. godini većinsko učešće ima drumski saobraćaj.</w:t>
      </w:r>
    </w:p>
    <w:p w:rsidR="00E92580" w:rsidRDefault="00912E35" w:rsidP="00C3788B">
      <w:pPr>
        <w:pStyle w:val="Grafikon"/>
        <w:numPr>
          <w:ilvl w:val="0"/>
          <w:numId w:val="0"/>
        </w:numPr>
        <w:jc w:val="both"/>
        <w:rPr>
          <w:rFonts w:ascii="Constantia" w:hAnsi="Constantia"/>
          <w:i w:val="0"/>
          <w:sz w:val="22"/>
          <w:szCs w:val="22"/>
        </w:rPr>
      </w:pPr>
      <w:r w:rsidRPr="00897A69">
        <w:rPr>
          <w:rFonts w:ascii="Constantia" w:hAnsi="Constantia"/>
          <w:i w:val="0"/>
          <w:sz w:val="22"/>
          <w:szCs w:val="22"/>
        </w:rPr>
        <w:t>Takođe</w:t>
      </w:r>
      <w:r w:rsidR="00E92580">
        <w:rPr>
          <w:rFonts w:ascii="Constantia" w:hAnsi="Constantia"/>
          <w:i w:val="0"/>
          <w:sz w:val="22"/>
          <w:szCs w:val="22"/>
        </w:rPr>
        <w:t>,</w:t>
      </w:r>
      <w:r w:rsidRPr="00897A69">
        <w:rPr>
          <w:rFonts w:ascii="Constantia" w:hAnsi="Constantia"/>
          <w:i w:val="0"/>
          <w:sz w:val="22"/>
          <w:szCs w:val="22"/>
        </w:rPr>
        <w:t xml:space="preserve"> u istom periodu udio žel</w:t>
      </w:r>
      <w:r w:rsidR="00E92580">
        <w:rPr>
          <w:rFonts w:ascii="Constantia" w:hAnsi="Constantia"/>
          <w:i w:val="0"/>
          <w:sz w:val="22"/>
          <w:szCs w:val="22"/>
        </w:rPr>
        <w:t>j</w:t>
      </w:r>
      <w:r w:rsidRPr="00897A69">
        <w:rPr>
          <w:rFonts w:ascii="Constantia" w:hAnsi="Constantia"/>
          <w:i w:val="0"/>
          <w:sz w:val="22"/>
          <w:szCs w:val="22"/>
        </w:rPr>
        <w:t>ezničkog putničkog saobraćaja se smanjuje, padajući sa 52% na početku</w:t>
      </w:r>
      <w:r w:rsidR="00E92580">
        <w:rPr>
          <w:rFonts w:ascii="Constantia" w:hAnsi="Constantia"/>
          <w:i w:val="0"/>
          <w:sz w:val="22"/>
          <w:szCs w:val="22"/>
        </w:rPr>
        <w:t>,</w:t>
      </w:r>
      <w:r w:rsidRPr="00897A69">
        <w:rPr>
          <w:rFonts w:ascii="Constantia" w:hAnsi="Constantia"/>
          <w:i w:val="0"/>
          <w:sz w:val="22"/>
          <w:szCs w:val="22"/>
        </w:rPr>
        <w:t xml:space="preserve"> na 36% na kraju posmatranog perioda. Na nivou vrsta prevoza, žel</w:t>
      </w:r>
      <w:r>
        <w:rPr>
          <w:rFonts w:ascii="Constantia" w:hAnsi="Constantia"/>
          <w:i w:val="0"/>
          <w:sz w:val="22"/>
          <w:szCs w:val="22"/>
        </w:rPr>
        <w:t>jeznicom se 2013. prevezlo oko 36,5</w:t>
      </w:r>
      <w:r w:rsidRPr="00897A69">
        <w:rPr>
          <w:rFonts w:ascii="Constantia" w:hAnsi="Constantia"/>
          <w:i w:val="0"/>
          <w:sz w:val="22"/>
          <w:szCs w:val="22"/>
        </w:rPr>
        <w:t xml:space="preserve"> % putnika u odnosu na 2000.</w:t>
      </w:r>
      <w:r>
        <w:rPr>
          <w:rFonts w:ascii="Constantia" w:hAnsi="Constantia"/>
          <w:i w:val="0"/>
          <w:sz w:val="22"/>
          <w:szCs w:val="22"/>
        </w:rPr>
        <w:t xml:space="preserve"> godinu,</w:t>
      </w:r>
      <w:r w:rsidRPr="00897A69">
        <w:rPr>
          <w:rFonts w:ascii="Constantia" w:hAnsi="Constantia"/>
          <w:i w:val="0"/>
          <w:sz w:val="22"/>
          <w:szCs w:val="22"/>
        </w:rPr>
        <w:t xml:space="preserve"> dok j</w:t>
      </w:r>
      <w:r>
        <w:rPr>
          <w:rFonts w:ascii="Constantia" w:hAnsi="Constantia"/>
          <w:i w:val="0"/>
          <w:sz w:val="22"/>
          <w:szCs w:val="22"/>
        </w:rPr>
        <w:t>e pad drumskog saobraćaja oko 42</w:t>
      </w:r>
      <w:r w:rsidRPr="00897A69">
        <w:rPr>
          <w:rFonts w:ascii="Constantia" w:hAnsi="Constantia"/>
          <w:i w:val="0"/>
          <w:sz w:val="22"/>
          <w:szCs w:val="22"/>
        </w:rPr>
        <w:t>%.</w:t>
      </w:r>
    </w:p>
    <w:p w:rsidR="00912E35" w:rsidRPr="00F42289" w:rsidRDefault="00912E35" w:rsidP="00E92580">
      <w:pPr>
        <w:pStyle w:val="Grafikon"/>
        <w:numPr>
          <w:ilvl w:val="0"/>
          <w:numId w:val="0"/>
        </w:numPr>
        <w:jc w:val="both"/>
        <w:rPr>
          <w:rFonts w:ascii="Constantia" w:hAnsi="Constantia"/>
          <w:i w:val="0"/>
          <w:sz w:val="22"/>
          <w:szCs w:val="22"/>
        </w:rPr>
      </w:pPr>
      <w:r w:rsidRPr="00897A69">
        <w:rPr>
          <w:rFonts w:ascii="Constantia" w:hAnsi="Constantia"/>
          <w:i w:val="0"/>
          <w:sz w:val="22"/>
          <w:szCs w:val="22"/>
        </w:rPr>
        <w:t>Istovremeno, infrastruktura za obavljanje željezničkog i drumskog sa</w:t>
      </w:r>
      <w:r>
        <w:rPr>
          <w:rFonts w:ascii="Constantia" w:hAnsi="Constantia"/>
          <w:i w:val="0"/>
          <w:sz w:val="22"/>
          <w:szCs w:val="22"/>
        </w:rPr>
        <w:t xml:space="preserve">obraćaja u posmatranom periodu </w:t>
      </w:r>
      <w:r w:rsidRPr="00897A69">
        <w:rPr>
          <w:rFonts w:ascii="Constantia" w:hAnsi="Constantia"/>
          <w:i w:val="0"/>
          <w:sz w:val="22"/>
          <w:szCs w:val="22"/>
        </w:rPr>
        <w:t>nije se ili se zanemarljivo mijenjala</w:t>
      </w:r>
      <w:r w:rsidR="00E92580">
        <w:rPr>
          <w:rFonts w:ascii="Constantia" w:hAnsi="Constantia"/>
          <w:i w:val="0"/>
          <w:sz w:val="22"/>
          <w:szCs w:val="22"/>
        </w:rPr>
        <w:t>,</w:t>
      </w:r>
      <w:r w:rsidRPr="00897A69">
        <w:rPr>
          <w:rFonts w:ascii="Constantia" w:hAnsi="Constantia"/>
          <w:i w:val="0"/>
          <w:sz w:val="22"/>
          <w:szCs w:val="22"/>
        </w:rPr>
        <w:t xml:space="preserve"> što je vjerovatno uticalo i na potražnju za putničkim transportom (prevoz putnika).</w:t>
      </w:r>
    </w:p>
    <w:p w:rsidR="00912E35" w:rsidRDefault="00912E35" w:rsidP="00E92580">
      <w:pPr>
        <w:pStyle w:val="Grafikon"/>
        <w:numPr>
          <w:ilvl w:val="0"/>
          <w:numId w:val="0"/>
        </w:numPr>
        <w:jc w:val="both"/>
        <w:rPr>
          <w:rFonts w:ascii="Constantia" w:hAnsi="Constantia"/>
          <w:i w:val="0"/>
          <w:sz w:val="22"/>
          <w:szCs w:val="22"/>
        </w:rPr>
      </w:pPr>
      <w:r w:rsidRPr="00897A69">
        <w:rPr>
          <w:rFonts w:ascii="Constantia" w:hAnsi="Constantia"/>
          <w:i w:val="0"/>
          <w:sz w:val="22"/>
          <w:szCs w:val="22"/>
        </w:rPr>
        <w:t>S obzirom na urađenu analizu, da se zaključiti da pritisak na životnu sredinu izazvan djelovanjem putničkog saobraćaja opada.</w:t>
      </w:r>
    </w:p>
    <w:p w:rsidR="00912E35" w:rsidRDefault="00912E35" w:rsidP="00912E35">
      <w:pPr>
        <w:pStyle w:val="Heading4"/>
        <w:numPr>
          <w:ilvl w:val="0"/>
          <w:numId w:val="0"/>
        </w:numPr>
        <w:spacing w:line="276" w:lineRule="auto"/>
        <w:rPr>
          <w:rFonts w:ascii="Constantia" w:hAnsi="Constantia"/>
          <w:bCs w:val="0"/>
          <w:iCs w:val="0"/>
          <w:color w:val="auto"/>
          <w:sz w:val="22"/>
          <w:szCs w:val="22"/>
          <w:shd w:val="clear" w:color="auto" w:fill="FFFFFF" w:themeFill="background1"/>
        </w:rPr>
      </w:pPr>
    </w:p>
    <w:p w:rsidR="00912E35" w:rsidRPr="005E4028" w:rsidRDefault="00912E35" w:rsidP="00350108">
      <w:pPr>
        <w:pStyle w:val="Heading3"/>
      </w:pPr>
      <w:r w:rsidRPr="007D7C6E">
        <w:rPr>
          <w:shd w:val="clear" w:color="auto" w:fill="FFFFFF" w:themeFill="background1"/>
        </w:rPr>
        <w:t xml:space="preserve"> </w:t>
      </w:r>
      <w:bookmarkStart w:id="348" w:name="_Toc393897974"/>
      <w:r w:rsidR="00AF2D23">
        <w:rPr>
          <w:shd w:val="clear" w:color="auto" w:fill="FFFFFF" w:themeFill="background1"/>
        </w:rPr>
        <w:t>10</w:t>
      </w:r>
      <w:r w:rsidR="00350108">
        <w:rPr>
          <w:shd w:val="clear" w:color="auto" w:fill="FFFFFF" w:themeFill="background1"/>
        </w:rPr>
        <w:t xml:space="preserve">.4.2  </w:t>
      </w:r>
      <w:r w:rsidRPr="00897A69">
        <w:rPr>
          <w:shd w:val="clear" w:color="auto" w:fill="FFFFFF" w:themeFill="background1"/>
        </w:rPr>
        <w:t>Teretni saobraćaj</w:t>
      </w:r>
      <w:r w:rsidRPr="00897A69">
        <w:rPr>
          <w:vertAlign w:val="superscript"/>
        </w:rPr>
        <w:footnoteReference w:id="18"/>
      </w:r>
      <w:bookmarkEnd w:id="348"/>
    </w:p>
    <w:p w:rsidR="00912E35" w:rsidRPr="00F42289" w:rsidRDefault="00912E35" w:rsidP="00350108">
      <w:pPr>
        <w:spacing w:before="240"/>
        <w:rPr>
          <w:rFonts w:ascii="Constantia" w:hAnsi="Constantia"/>
          <w:szCs w:val="22"/>
          <w:shd w:val="clear" w:color="auto" w:fill="FFFFFF" w:themeFill="background1"/>
        </w:rPr>
      </w:pPr>
      <w:r w:rsidRPr="00897A69">
        <w:rPr>
          <w:rFonts w:ascii="Constantia" w:hAnsi="Constantia"/>
          <w:szCs w:val="22"/>
          <w:shd w:val="clear" w:color="auto" w:fill="FFFFFF" w:themeFill="background1"/>
        </w:rPr>
        <w:t>Prevoz robe obuhvata transport dobara od mjesta utovara do mjesta istovara. Mjerna jedinica u prevozu robe je tkm (tonski kilometer) i predstavlja pr</w:t>
      </w:r>
      <w:r>
        <w:rPr>
          <w:rFonts w:ascii="Constantia" w:hAnsi="Constantia"/>
          <w:szCs w:val="22"/>
          <w:shd w:val="clear" w:color="auto" w:fill="FFFFFF" w:themeFill="background1"/>
        </w:rPr>
        <w:t xml:space="preserve">evoz jedne tone na daljinu od 1 </w:t>
      </w:r>
      <w:r w:rsidRPr="00897A69">
        <w:rPr>
          <w:rFonts w:ascii="Constantia" w:hAnsi="Constantia"/>
          <w:szCs w:val="22"/>
          <w:shd w:val="clear" w:color="auto" w:fill="FFFFFF" w:themeFill="background1"/>
        </w:rPr>
        <w:t>km.</w:t>
      </w:r>
    </w:p>
    <w:p w:rsidR="00912E35" w:rsidRPr="00F42289" w:rsidRDefault="00912E35" w:rsidP="00350108">
      <w:pPr>
        <w:rPr>
          <w:rFonts w:ascii="Constantia" w:hAnsi="Constantia"/>
          <w:szCs w:val="22"/>
          <w:shd w:val="clear" w:color="auto" w:fill="FFFFFF" w:themeFill="background1"/>
        </w:rPr>
      </w:pPr>
      <w:r w:rsidRPr="00F42289">
        <w:rPr>
          <w:rFonts w:ascii="Constantia" w:hAnsi="Constantia"/>
          <w:szCs w:val="22"/>
          <w:shd w:val="clear" w:color="auto" w:fill="FFFFFF" w:themeFill="background1"/>
        </w:rPr>
        <w:t>Teretni saobraćaj je definisan kao količina ostvarenih tonskih kilometara (tkm) tokom jedne godine u Crnoj Gori. Kopneni prevoz tereta uključuje prevoz tereta drumskim i žel</w:t>
      </w:r>
      <w:r w:rsidR="00350108">
        <w:rPr>
          <w:rFonts w:ascii="Constantia" w:hAnsi="Constantia"/>
          <w:szCs w:val="22"/>
          <w:shd w:val="clear" w:color="auto" w:fill="FFFFFF" w:themeFill="background1"/>
        </w:rPr>
        <w:t>j</w:t>
      </w:r>
      <w:r w:rsidRPr="00F42289">
        <w:rPr>
          <w:rFonts w:ascii="Constantia" w:hAnsi="Constantia"/>
          <w:szCs w:val="22"/>
          <w:shd w:val="clear" w:color="auto" w:fill="FFFFFF" w:themeFill="background1"/>
        </w:rPr>
        <w:t>ezničkim saobraćajem. Indikator prati promjenu potražnje za teretnim saobraćajem u relaciji s prom</w:t>
      </w:r>
      <w:r>
        <w:rPr>
          <w:rFonts w:ascii="Constantia" w:hAnsi="Constantia"/>
          <w:szCs w:val="22"/>
          <w:shd w:val="clear" w:color="auto" w:fill="FFFFFF" w:themeFill="background1"/>
        </w:rPr>
        <w:t>j</w:t>
      </w:r>
      <w:r w:rsidRPr="00F42289">
        <w:rPr>
          <w:rFonts w:ascii="Constantia" w:hAnsi="Constantia"/>
          <w:szCs w:val="22"/>
          <w:shd w:val="clear" w:color="auto" w:fill="FFFFFF" w:themeFill="background1"/>
        </w:rPr>
        <w:t xml:space="preserve">enama BDP-a. </w:t>
      </w:r>
      <w:r>
        <w:rPr>
          <w:rFonts w:ascii="Constantia" w:hAnsi="Constantia"/>
          <w:szCs w:val="22"/>
          <w:shd w:val="clear" w:color="auto" w:fill="FFFFFF" w:themeFill="background1"/>
        </w:rPr>
        <w:t>U posmatranom periodu (2000-2013</w:t>
      </w:r>
      <w:r w:rsidRPr="00F42289">
        <w:rPr>
          <w:rFonts w:ascii="Constantia" w:hAnsi="Constantia"/>
          <w:szCs w:val="22"/>
          <w:shd w:val="clear" w:color="auto" w:fill="FFFFFF" w:themeFill="background1"/>
        </w:rPr>
        <w:t xml:space="preserve">) potražnja za teretnim saobraćajem u Crnoj Gori raste godišnjom stopom od </w:t>
      </w:r>
      <w:r w:rsidR="00350108">
        <w:rPr>
          <w:rFonts w:ascii="Constantia" w:hAnsi="Constantia"/>
          <w:szCs w:val="22"/>
          <w:shd w:val="clear" w:color="auto" w:fill="FFFFFF" w:themeFill="background1"/>
        </w:rPr>
        <w:t>2,</w:t>
      </w:r>
      <w:r>
        <w:rPr>
          <w:rFonts w:ascii="Constantia" w:hAnsi="Constantia"/>
          <w:szCs w:val="22"/>
          <w:shd w:val="clear" w:color="auto" w:fill="FFFFFF" w:themeFill="background1"/>
        </w:rPr>
        <w:t>2</w:t>
      </w:r>
      <w:r w:rsidRPr="00F42289">
        <w:rPr>
          <w:rFonts w:ascii="Constantia" w:hAnsi="Constantia"/>
          <w:szCs w:val="22"/>
          <w:shd w:val="clear" w:color="auto" w:fill="FFFFFF" w:themeFill="background1"/>
        </w:rPr>
        <w:t xml:space="preserve">%. </w:t>
      </w:r>
      <w:r>
        <w:rPr>
          <w:rFonts w:ascii="Constantia" w:hAnsi="Constantia"/>
          <w:szCs w:val="22"/>
          <w:shd w:val="clear" w:color="auto" w:fill="FFFFFF" w:themeFill="background1"/>
        </w:rPr>
        <w:t xml:space="preserve"> </w:t>
      </w:r>
      <w:r w:rsidRPr="00F42289">
        <w:rPr>
          <w:rFonts w:ascii="Constantia" w:hAnsi="Constantia"/>
          <w:szCs w:val="22"/>
          <w:shd w:val="clear" w:color="auto" w:fill="FFFFFF" w:themeFill="background1"/>
        </w:rPr>
        <w:t>Istovremeno</w:t>
      </w:r>
      <w:r>
        <w:rPr>
          <w:rFonts w:ascii="Constantia" w:hAnsi="Constantia"/>
          <w:szCs w:val="22"/>
          <w:shd w:val="clear" w:color="auto" w:fill="FFFFFF" w:themeFill="background1"/>
        </w:rPr>
        <w:t xml:space="preserve"> BDP raste godišnjom stopom od 8,06</w:t>
      </w:r>
      <w:r w:rsidRPr="00F42289">
        <w:rPr>
          <w:rFonts w:ascii="Constantia" w:hAnsi="Constantia"/>
          <w:szCs w:val="22"/>
          <w:shd w:val="clear" w:color="auto" w:fill="FFFFFF" w:themeFill="background1"/>
        </w:rPr>
        <w:t xml:space="preserve">%. </w:t>
      </w:r>
      <w:r>
        <w:rPr>
          <w:rFonts w:ascii="Constantia" w:hAnsi="Constantia"/>
          <w:szCs w:val="22"/>
          <w:shd w:val="clear" w:color="auto" w:fill="FFFFFF" w:themeFill="background1"/>
        </w:rPr>
        <w:t xml:space="preserve">Na taj način </w:t>
      </w:r>
      <w:r w:rsidRPr="00F42289">
        <w:rPr>
          <w:rFonts w:ascii="Constantia" w:hAnsi="Constantia"/>
          <w:szCs w:val="22"/>
          <w:shd w:val="clear" w:color="auto" w:fill="FFFFFF" w:themeFill="background1"/>
        </w:rPr>
        <w:t>dolazi do relativnog razdvajanja rasta BDP-a i potražnje za teretnim transportom (u velikom dijelu) čime se pritisak na životnu sredin</w:t>
      </w:r>
      <w:r>
        <w:rPr>
          <w:rFonts w:ascii="Constantia" w:hAnsi="Constantia"/>
          <w:szCs w:val="22"/>
          <w:shd w:val="clear" w:color="auto" w:fill="FFFFFF" w:themeFill="background1"/>
        </w:rPr>
        <w:t>u</w:t>
      </w:r>
      <w:r w:rsidRPr="00F42289">
        <w:rPr>
          <w:rFonts w:ascii="Constantia" w:hAnsi="Constantia"/>
          <w:szCs w:val="22"/>
          <w:shd w:val="clear" w:color="auto" w:fill="FFFFFF" w:themeFill="background1"/>
        </w:rPr>
        <w:t xml:space="preserve"> povećava</w:t>
      </w:r>
      <w:r>
        <w:rPr>
          <w:rFonts w:ascii="Constantia" w:hAnsi="Constantia"/>
          <w:szCs w:val="22"/>
          <w:shd w:val="clear" w:color="auto" w:fill="FFFFFF" w:themeFill="background1"/>
        </w:rPr>
        <w:t>.</w:t>
      </w:r>
    </w:p>
    <w:p w:rsidR="00912E35" w:rsidRPr="00F42289" w:rsidRDefault="00912E35" w:rsidP="00383C0C">
      <w:pPr>
        <w:rPr>
          <w:rFonts w:ascii="Constantia" w:hAnsi="Constantia" w:cs="Cambria Math"/>
          <w:szCs w:val="22"/>
        </w:rPr>
      </w:pPr>
      <w:r w:rsidRPr="00897A69">
        <w:rPr>
          <w:rFonts w:ascii="Constantia" w:hAnsi="Constantia"/>
          <w:szCs w:val="22"/>
          <w:shd w:val="clear" w:color="auto" w:fill="FFFFFF" w:themeFill="background1"/>
        </w:rPr>
        <w:t>Prevoz robe se analizira uz pomoć dva indikatora:</w:t>
      </w:r>
    </w:p>
    <w:p w:rsidR="00912E35" w:rsidRPr="00F42289" w:rsidRDefault="00912E35" w:rsidP="00E70E3B">
      <w:pPr>
        <w:pStyle w:val="ListParagraph"/>
        <w:numPr>
          <w:ilvl w:val="0"/>
          <w:numId w:val="42"/>
        </w:numPr>
        <w:rPr>
          <w:rFonts w:ascii="Constantia" w:hAnsi="Constantia"/>
          <w:szCs w:val="22"/>
        </w:rPr>
      </w:pPr>
      <w:r w:rsidRPr="00897A69">
        <w:rPr>
          <w:rFonts w:ascii="Constantia" w:hAnsi="Constantia"/>
          <w:b/>
          <w:szCs w:val="22"/>
        </w:rPr>
        <w:t>Razdvajanje</w:t>
      </w:r>
      <w:r w:rsidRPr="00897A69">
        <w:rPr>
          <w:rFonts w:ascii="Constantia" w:hAnsi="Constantia"/>
          <w:szCs w:val="22"/>
        </w:rPr>
        <w:t xml:space="preserve"> (decoupling) pokazatelja obima prevoza robe i </w:t>
      </w:r>
      <w:r>
        <w:rPr>
          <w:rFonts w:ascii="Constantia" w:hAnsi="Constantia"/>
          <w:szCs w:val="22"/>
        </w:rPr>
        <w:t>BDP-a</w:t>
      </w:r>
      <w:r w:rsidRPr="00897A69">
        <w:rPr>
          <w:rFonts w:ascii="Constantia" w:hAnsi="Constantia"/>
          <w:szCs w:val="22"/>
        </w:rPr>
        <w:t>,</w:t>
      </w:r>
    </w:p>
    <w:p w:rsidR="00912E35" w:rsidRDefault="00912E35" w:rsidP="00E70E3B">
      <w:pPr>
        <w:pStyle w:val="ListParagraph"/>
        <w:numPr>
          <w:ilvl w:val="0"/>
          <w:numId w:val="42"/>
        </w:numPr>
        <w:rPr>
          <w:rFonts w:ascii="Constantia" w:hAnsi="Constantia"/>
          <w:szCs w:val="22"/>
        </w:rPr>
      </w:pPr>
      <w:r w:rsidRPr="00897A69">
        <w:rPr>
          <w:rFonts w:ascii="Constantia" w:hAnsi="Constantia"/>
          <w:b/>
          <w:szCs w:val="22"/>
        </w:rPr>
        <w:t>Struktura</w:t>
      </w:r>
      <w:r w:rsidRPr="00897A69">
        <w:rPr>
          <w:rFonts w:ascii="Constantia" w:hAnsi="Constantia"/>
          <w:szCs w:val="22"/>
        </w:rPr>
        <w:t xml:space="preserve"> prevoza robe.</w:t>
      </w:r>
    </w:p>
    <w:p w:rsidR="00912E35" w:rsidRDefault="00912E35" w:rsidP="00254AE2">
      <w:pPr>
        <w:rPr>
          <w:rFonts w:ascii="Constantia" w:hAnsi="Constantia"/>
          <w:szCs w:val="22"/>
        </w:rPr>
      </w:pPr>
      <w:r w:rsidRPr="00897A69">
        <w:rPr>
          <w:rFonts w:ascii="Constantia" w:hAnsi="Constantia"/>
          <w:szCs w:val="22"/>
        </w:rPr>
        <w:lastRenderedPageBreak/>
        <w:t xml:space="preserve">Indikator pripada grupi  </w:t>
      </w:r>
      <w:r w:rsidRPr="00897A69">
        <w:rPr>
          <w:rFonts w:ascii="Constantia" w:hAnsi="Constantia"/>
          <w:b/>
          <w:szCs w:val="22"/>
        </w:rPr>
        <w:t>pokretačkih faktora</w:t>
      </w:r>
      <w:r>
        <w:rPr>
          <w:rFonts w:ascii="Constantia" w:hAnsi="Constantia"/>
          <w:szCs w:val="22"/>
        </w:rPr>
        <w:t xml:space="preserve"> u </w:t>
      </w:r>
      <w:r w:rsidRPr="00897A69">
        <w:rPr>
          <w:rFonts w:ascii="Constantia" w:hAnsi="Constantia"/>
          <w:szCs w:val="22"/>
        </w:rPr>
        <w:t>DPS</w:t>
      </w:r>
      <w:r>
        <w:rPr>
          <w:rFonts w:ascii="Constantia" w:hAnsi="Constantia"/>
          <w:szCs w:val="22"/>
        </w:rPr>
        <w:t>I</w:t>
      </w:r>
      <w:r w:rsidRPr="00897A69">
        <w:rPr>
          <w:rFonts w:ascii="Constantia" w:hAnsi="Constantia"/>
          <w:szCs w:val="22"/>
        </w:rPr>
        <w:t>R modelu.</w:t>
      </w:r>
    </w:p>
    <w:p w:rsidR="00912E35" w:rsidRPr="000B40F0" w:rsidRDefault="00912E35" w:rsidP="00254AE2">
      <w:pPr>
        <w:rPr>
          <w:rFonts w:ascii="Constantia" w:hAnsi="Constantia"/>
          <w:i/>
          <w:szCs w:val="22"/>
        </w:rPr>
      </w:pPr>
      <w:r w:rsidRPr="00EB435E">
        <w:rPr>
          <w:rFonts w:ascii="Constantia" w:hAnsi="Constantia"/>
          <w:szCs w:val="22"/>
        </w:rPr>
        <w:t>Razdvajanje</w:t>
      </w:r>
      <w:r>
        <w:rPr>
          <w:rFonts w:ascii="Constantia" w:hAnsi="Constantia"/>
          <w:szCs w:val="22"/>
        </w:rPr>
        <w:t xml:space="preserve"> obima prevoza robe od </w:t>
      </w:r>
      <w:r w:rsidRPr="00EB435E">
        <w:rPr>
          <w:rFonts w:ascii="Constantia" w:hAnsi="Constantia"/>
          <w:szCs w:val="22"/>
        </w:rPr>
        <w:t>BDP-a</w:t>
      </w:r>
      <w:r>
        <w:rPr>
          <w:rFonts w:ascii="Constantia" w:hAnsi="Constantia"/>
          <w:szCs w:val="22"/>
        </w:rPr>
        <w:t xml:space="preserve"> je prikazano na </w:t>
      </w:r>
      <w:r w:rsidRPr="000B40F0">
        <w:rPr>
          <w:rFonts w:ascii="Constantia" w:hAnsi="Constantia"/>
          <w:i/>
          <w:szCs w:val="22"/>
        </w:rPr>
        <w:t>Grafikonu 1</w:t>
      </w:r>
      <w:r w:rsidR="00254AE2">
        <w:rPr>
          <w:rFonts w:ascii="Constantia" w:hAnsi="Constantia"/>
          <w:i/>
          <w:szCs w:val="22"/>
        </w:rPr>
        <w:t>0</w:t>
      </w:r>
      <w:r w:rsidRPr="000B40F0">
        <w:rPr>
          <w:rFonts w:ascii="Constantia" w:hAnsi="Constantia"/>
          <w:i/>
          <w:szCs w:val="22"/>
        </w:rPr>
        <w:t xml:space="preserve">1. </w:t>
      </w:r>
    </w:p>
    <w:p w:rsidR="00912E35" w:rsidRPr="00EB435E" w:rsidRDefault="00912E35" w:rsidP="00254AE2">
      <w:pPr>
        <w:rPr>
          <w:rFonts w:ascii="Constantia" w:hAnsi="Constantia"/>
          <w:szCs w:val="22"/>
        </w:rPr>
      </w:pPr>
      <w:r w:rsidRPr="00EB435E">
        <w:rPr>
          <w:rFonts w:ascii="Constantia" w:hAnsi="Constantia"/>
          <w:szCs w:val="22"/>
        </w:rPr>
        <w:t>Stubići iznad nulte linije ukazuju na brži rast BDP-a u odnosu na prevoz, dok stubići ispod nulte linije ukazuju na brži rast  prevoza nego BDP-a. Potražnja za teretnim saobraćajem je definisana kao iznos unutrašnjih tona kilometara za svaku godinu u Crnoj Gori. Trenutna verzija indikatora zasniva se samo na kopnenom saobraćaju. Odnos godišnjeg rasta unutrašnjeg prevoza robe i BDP-a mjerenog u stalnim cijenama, određuje povezanost između BDP-a i teretnog prevoza. Indikator “</w:t>
      </w:r>
      <w:r w:rsidRPr="00EB435E">
        <w:rPr>
          <w:rFonts w:ascii="Constantia" w:hAnsi="Constantia"/>
          <w:b/>
          <w:szCs w:val="22"/>
        </w:rPr>
        <w:t>razdvajanje</w:t>
      </w:r>
      <w:r w:rsidRPr="00EB435E">
        <w:rPr>
          <w:rFonts w:ascii="Constantia" w:hAnsi="Constantia"/>
          <w:szCs w:val="22"/>
        </w:rPr>
        <w:t>”, prikazan “pozitivnium stubićima”, ukazuje na to da potražnja za prevozom raste sporije od BDP-a. “Negativan rezultat” pokazuje suprotno (potražnja za teretnim saobraćajem raste brže od</w:t>
      </w:r>
      <w:r>
        <w:rPr>
          <w:rFonts w:ascii="Constantia" w:hAnsi="Constantia"/>
          <w:szCs w:val="22"/>
        </w:rPr>
        <w:t xml:space="preserve"> BDP-a</w:t>
      </w:r>
      <w:r w:rsidRPr="00EB435E">
        <w:rPr>
          <w:rFonts w:ascii="Constantia" w:hAnsi="Constantia"/>
          <w:szCs w:val="22"/>
        </w:rPr>
        <w:t>). Podaci za Crnu Goru uključuju drumski i željeznički saobraćaj.</w:t>
      </w:r>
    </w:p>
    <w:p w:rsidR="00912E35" w:rsidRPr="00EB435E" w:rsidRDefault="00912E35" w:rsidP="00F830C6">
      <w:pPr>
        <w:rPr>
          <w:rFonts w:ascii="Constantia" w:hAnsi="Constantia"/>
          <w:szCs w:val="22"/>
          <w:shd w:val="clear" w:color="auto" w:fill="FFFFFF" w:themeFill="background1"/>
        </w:rPr>
      </w:pPr>
      <w:r w:rsidRPr="00897A69">
        <w:rPr>
          <w:rFonts w:ascii="Constantia" w:hAnsi="Constantia"/>
          <w:szCs w:val="22"/>
          <w:shd w:val="clear" w:color="auto" w:fill="FFFFFF" w:themeFill="background1"/>
        </w:rPr>
        <w:t xml:space="preserve">Ukupan obim prevezene robe raste u prikazanom periodu izuzimajući 2009. </w:t>
      </w:r>
      <w:r w:rsidR="00F830C6">
        <w:rPr>
          <w:rFonts w:ascii="Constantia" w:hAnsi="Constantia"/>
          <w:szCs w:val="22"/>
          <w:shd w:val="clear" w:color="auto" w:fill="FFFFFF" w:themeFill="background1"/>
        </w:rPr>
        <w:t xml:space="preserve">godinu </w:t>
      </w:r>
      <w:r w:rsidRPr="00897A69">
        <w:rPr>
          <w:rFonts w:ascii="Constantia" w:hAnsi="Constantia"/>
          <w:szCs w:val="22"/>
          <w:shd w:val="clear" w:color="auto" w:fill="FFFFFF" w:themeFill="background1"/>
        </w:rPr>
        <w:t>(</w:t>
      </w:r>
      <w:r>
        <w:rPr>
          <w:rFonts w:ascii="Constantia" w:hAnsi="Constantia"/>
          <w:szCs w:val="22"/>
          <w:shd w:val="clear" w:color="auto" w:fill="FFFFFF" w:themeFill="background1"/>
        </w:rPr>
        <w:t>pad od 12%. u odnosu na 2008.</w:t>
      </w:r>
      <w:r w:rsidR="00F830C6">
        <w:rPr>
          <w:rFonts w:ascii="Constantia" w:hAnsi="Constantia"/>
          <w:szCs w:val="22"/>
          <w:shd w:val="clear" w:color="auto" w:fill="FFFFFF" w:themeFill="background1"/>
        </w:rPr>
        <w:t>g.</w:t>
      </w:r>
      <w:r>
        <w:rPr>
          <w:rFonts w:ascii="Constantia" w:hAnsi="Constantia"/>
          <w:szCs w:val="22"/>
          <w:shd w:val="clear" w:color="auto" w:fill="FFFFFF" w:themeFill="background1"/>
        </w:rPr>
        <w:t>),</w:t>
      </w:r>
      <w:r w:rsidRPr="00897A69">
        <w:rPr>
          <w:rFonts w:ascii="Constantia" w:hAnsi="Constantia"/>
          <w:szCs w:val="22"/>
          <w:shd w:val="clear" w:color="auto" w:fill="FFFFFF" w:themeFill="background1"/>
        </w:rPr>
        <w:t xml:space="preserve"> 2011.</w:t>
      </w:r>
      <w:r w:rsidR="00F830C6">
        <w:rPr>
          <w:rFonts w:ascii="Constantia" w:hAnsi="Constantia"/>
          <w:szCs w:val="22"/>
          <w:shd w:val="clear" w:color="auto" w:fill="FFFFFF" w:themeFill="background1"/>
        </w:rPr>
        <w:t xml:space="preserve"> godinu</w:t>
      </w:r>
      <w:r w:rsidRPr="00897A69">
        <w:rPr>
          <w:rFonts w:ascii="Constantia" w:hAnsi="Constantia"/>
          <w:szCs w:val="22"/>
          <w:shd w:val="clear" w:color="auto" w:fill="FFFFFF" w:themeFill="background1"/>
        </w:rPr>
        <w:t xml:space="preserve"> (pad u odnosu na 2008. od 26,2%)</w:t>
      </w:r>
      <w:r>
        <w:rPr>
          <w:rFonts w:ascii="Constantia" w:hAnsi="Constantia"/>
          <w:szCs w:val="22"/>
          <w:shd w:val="clear" w:color="auto" w:fill="FFFFFF" w:themeFill="background1"/>
        </w:rPr>
        <w:t xml:space="preserve"> i 2012</w:t>
      </w:r>
      <w:r w:rsidR="00F830C6">
        <w:rPr>
          <w:rFonts w:ascii="Constantia" w:hAnsi="Constantia"/>
          <w:szCs w:val="22"/>
          <w:shd w:val="clear" w:color="auto" w:fill="FFFFFF" w:themeFill="background1"/>
        </w:rPr>
        <w:t>.</w:t>
      </w:r>
      <w:r>
        <w:rPr>
          <w:rFonts w:ascii="Constantia" w:hAnsi="Constantia"/>
          <w:szCs w:val="22"/>
          <w:shd w:val="clear" w:color="auto" w:fill="FFFFFF" w:themeFill="background1"/>
        </w:rPr>
        <w:t xml:space="preserve"> </w:t>
      </w:r>
      <w:r w:rsidRPr="00897A69">
        <w:rPr>
          <w:rFonts w:ascii="Constantia" w:hAnsi="Constantia"/>
          <w:szCs w:val="22"/>
          <w:shd w:val="clear" w:color="auto" w:fill="FFFFFF" w:themeFill="background1"/>
        </w:rPr>
        <w:t>godinu.</w:t>
      </w:r>
    </w:p>
    <w:p w:rsidR="00912E35" w:rsidRPr="00EB435E" w:rsidRDefault="00912E35" w:rsidP="00F830C6">
      <w:pPr>
        <w:rPr>
          <w:rFonts w:ascii="Constantia" w:hAnsi="Constantia"/>
          <w:szCs w:val="22"/>
          <w:shd w:val="clear" w:color="auto" w:fill="FFFFFF" w:themeFill="background1"/>
        </w:rPr>
      </w:pPr>
      <w:r w:rsidRPr="00EB435E">
        <w:rPr>
          <w:rFonts w:ascii="Constantia" w:hAnsi="Constantia"/>
          <w:szCs w:val="22"/>
          <w:shd w:val="clear" w:color="auto" w:fill="FFFFFF" w:themeFill="background1"/>
        </w:rPr>
        <w:t>Podaci</w:t>
      </w:r>
      <w:r>
        <w:rPr>
          <w:rFonts w:ascii="Constantia" w:hAnsi="Constantia"/>
          <w:szCs w:val="22"/>
          <w:shd w:val="clear" w:color="auto" w:fill="FFFFFF" w:themeFill="background1"/>
        </w:rPr>
        <w:t xml:space="preserve"> raspoloživi za period 2000-2013</w:t>
      </w:r>
      <w:r w:rsidRPr="00EB435E">
        <w:rPr>
          <w:rFonts w:ascii="Constantia" w:hAnsi="Constantia"/>
          <w:szCs w:val="22"/>
          <w:shd w:val="clear" w:color="auto" w:fill="FFFFFF" w:themeFill="background1"/>
        </w:rPr>
        <w:t xml:space="preserve"> govore o značajnom porastu potražnje za teretnim transportom u Crnoj Gori do 2008. godine od čak 272,88%. Nakon toga </w:t>
      </w:r>
      <w:r>
        <w:rPr>
          <w:rFonts w:ascii="Constantia" w:hAnsi="Constantia"/>
          <w:szCs w:val="22"/>
          <w:shd w:val="clear" w:color="auto" w:fill="FFFFFF" w:themeFill="background1"/>
        </w:rPr>
        <w:t xml:space="preserve">dolazi do </w:t>
      </w:r>
      <w:r w:rsidRPr="00EB435E">
        <w:rPr>
          <w:rFonts w:ascii="Constantia" w:hAnsi="Constantia"/>
          <w:szCs w:val="22"/>
          <w:shd w:val="clear" w:color="auto" w:fill="FFFFFF" w:themeFill="background1"/>
        </w:rPr>
        <w:t>pad</w:t>
      </w:r>
      <w:r>
        <w:rPr>
          <w:rFonts w:ascii="Constantia" w:hAnsi="Constantia"/>
          <w:szCs w:val="22"/>
          <w:shd w:val="clear" w:color="auto" w:fill="FFFFFF" w:themeFill="background1"/>
        </w:rPr>
        <w:t>a</w:t>
      </w:r>
      <w:r w:rsidRPr="00EB435E">
        <w:rPr>
          <w:rFonts w:ascii="Constantia" w:hAnsi="Constantia"/>
          <w:szCs w:val="22"/>
          <w:shd w:val="clear" w:color="auto" w:fill="FFFFFF" w:themeFill="background1"/>
        </w:rPr>
        <w:t xml:space="preserve"> u potražnji za teretnim saobraćajem za 13% do 2009.</w:t>
      </w:r>
      <w:r w:rsidR="00E9523C">
        <w:rPr>
          <w:rFonts w:ascii="Constantia" w:hAnsi="Constantia"/>
          <w:szCs w:val="22"/>
          <w:shd w:val="clear" w:color="auto" w:fill="FFFFFF" w:themeFill="background1"/>
        </w:rPr>
        <w:t xml:space="preserve"> godine</w:t>
      </w:r>
      <w:r w:rsidRPr="00EB435E">
        <w:rPr>
          <w:rFonts w:ascii="Constantia" w:hAnsi="Constantia"/>
          <w:szCs w:val="22"/>
          <w:shd w:val="clear" w:color="auto" w:fill="FFFFFF" w:themeFill="background1"/>
        </w:rPr>
        <w:t xml:space="preserve"> i nadalje porast do 2010</w:t>
      </w:r>
      <w:r w:rsidR="00E9523C">
        <w:rPr>
          <w:rFonts w:ascii="Constantia" w:hAnsi="Constantia"/>
          <w:szCs w:val="22"/>
          <w:shd w:val="clear" w:color="auto" w:fill="FFFFFF" w:themeFill="background1"/>
        </w:rPr>
        <w:t>. godine</w:t>
      </w:r>
      <w:r w:rsidRPr="00EB435E">
        <w:rPr>
          <w:rFonts w:ascii="Constantia" w:hAnsi="Constantia"/>
          <w:szCs w:val="22"/>
          <w:shd w:val="clear" w:color="auto" w:fill="FFFFFF" w:themeFill="background1"/>
        </w:rPr>
        <w:t>, odnosno pad u 2011.</w:t>
      </w:r>
      <w:r>
        <w:rPr>
          <w:rFonts w:ascii="Constantia" w:hAnsi="Constantia"/>
          <w:szCs w:val="22"/>
          <w:shd w:val="clear" w:color="auto" w:fill="FFFFFF" w:themeFill="background1"/>
        </w:rPr>
        <w:t xml:space="preserve"> i 2012. godini.</w:t>
      </w:r>
      <w:r w:rsidRPr="00EB435E">
        <w:rPr>
          <w:rFonts w:ascii="Constantia" w:hAnsi="Constantia"/>
          <w:szCs w:val="22"/>
          <w:shd w:val="clear" w:color="auto" w:fill="FFFFFF" w:themeFill="background1"/>
        </w:rPr>
        <w:t xml:space="preserve"> Istovremeno</w:t>
      </w:r>
      <w:r>
        <w:rPr>
          <w:rFonts w:ascii="Constantia" w:hAnsi="Constantia"/>
          <w:szCs w:val="22"/>
          <w:shd w:val="clear" w:color="auto" w:fill="FFFFFF" w:themeFill="background1"/>
        </w:rPr>
        <w:t>,</w:t>
      </w:r>
      <w:r w:rsidRPr="00EB435E">
        <w:rPr>
          <w:rFonts w:ascii="Constantia" w:hAnsi="Constantia"/>
          <w:szCs w:val="22"/>
          <w:shd w:val="clear" w:color="auto" w:fill="FFFFFF" w:themeFill="background1"/>
        </w:rPr>
        <w:t xml:space="preserve"> BDP je porastao za oko </w:t>
      </w:r>
      <w:r>
        <w:rPr>
          <w:rFonts w:ascii="Constantia" w:hAnsi="Constantia"/>
          <w:szCs w:val="22"/>
          <w:shd w:val="clear" w:color="auto" w:fill="FFFFFF" w:themeFill="background1"/>
        </w:rPr>
        <w:t>3</w:t>
      </w:r>
      <w:r w:rsidRPr="00EB435E">
        <w:rPr>
          <w:rFonts w:ascii="Constantia" w:hAnsi="Constantia"/>
          <w:szCs w:val="22"/>
          <w:shd w:val="clear" w:color="auto" w:fill="FFFFFF" w:themeFill="background1"/>
        </w:rPr>
        <w:t xml:space="preserve"> puta. </w:t>
      </w:r>
    </w:p>
    <w:p w:rsidR="00912E35" w:rsidRPr="00EB435E" w:rsidRDefault="00912E35" w:rsidP="00610298">
      <w:pPr>
        <w:rPr>
          <w:rFonts w:ascii="Constantia" w:hAnsi="Constantia"/>
          <w:szCs w:val="22"/>
          <w:shd w:val="clear" w:color="auto" w:fill="FFFFFF" w:themeFill="background1"/>
        </w:rPr>
      </w:pPr>
      <w:r>
        <w:rPr>
          <w:rFonts w:ascii="Constantia" w:hAnsi="Constantia"/>
          <w:szCs w:val="22"/>
          <w:shd w:val="clear" w:color="auto" w:fill="FFFFFF" w:themeFill="background1"/>
        </w:rPr>
        <w:t>R</w:t>
      </w:r>
      <w:r w:rsidRPr="00897A69">
        <w:rPr>
          <w:rFonts w:ascii="Constantia" w:hAnsi="Constantia"/>
          <w:szCs w:val="22"/>
          <w:shd w:val="clear" w:color="auto" w:fill="FFFFFF" w:themeFill="background1"/>
        </w:rPr>
        <w:t>azdvajanje u analiziranom periodu promjenljivog karaktera</w:t>
      </w:r>
      <w:r>
        <w:rPr>
          <w:rFonts w:ascii="Constantia" w:hAnsi="Constantia"/>
          <w:szCs w:val="22"/>
          <w:shd w:val="clear" w:color="auto" w:fill="FFFFFF" w:themeFill="background1"/>
        </w:rPr>
        <w:t xml:space="preserve">, tj. </w:t>
      </w:r>
      <w:r w:rsidRPr="00EB435E">
        <w:rPr>
          <w:rFonts w:ascii="Constantia" w:hAnsi="Constantia"/>
          <w:szCs w:val="22"/>
          <w:shd w:val="clear" w:color="auto" w:fill="FFFFFF" w:themeFill="background1"/>
        </w:rPr>
        <w:t>r</w:t>
      </w:r>
      <w:r w:rsidRPr="00897A69">
        <w:rPr>
          <w:rFonts w:ascii="Constantia" w:hAnsi="Constantia"/>
          <w:szCs w:val="22"/>
          <w:shd w:val="clear" w:color="auto" w:fill="FFFFFF" w:themeFill="background1"/>
        </w:rPr>
        <w:t>elativno razdvajanje (brži rast potražnje za teretnim saobraćajem od rasta BDP</w:t>
      </w:r>
      <w:r>
        <w:rPr>
          <w:rFonts w:ascii="Constantia" w:hAnsi="Constantia"/>
          <w:szCs w:val="22"/>
          <w:shd w:val="clear" w:color="auto" w:fill="FFFFFF" w:themeFill="background1"/>
        </w:rPr>
        <w:t>-a</w:t>
      </w:r>
      <w:r w:rsidRPr="00897A69">
        <w:rPr>
          <w:rFonts w:ascii="Constantia" w:hAnsi="Constantia"/>
          <w:szCs w:val="22"/>
          <w:shd w:val="clear" w:color="auto" w:fill="FFFFFF" w:themeFill="background1"/>
        </w:rPr>
        <w:t>) je zastupl</w:t>
      </w:r>
      <w:r>
        <w:rPr>
          <w:rFonts w:ascii="Constantia" w:hAnsi="Constantia"/>
          <w:szCs w:val="22"/>
          <w:shd w:val="clear" w:color="auto" w:fill="FFFFFF" w:themeFill="background1"/>
        </w:rPr>
        <w:t>jeno u 2001.,2004.,2005.,2006.,</w:t>
      </w:r>
      <w:r w:rsidRPr="00897A69">
        <w:rPr>
          <w:rFonts w:ascii="Constantia" w:hAnsi="Constantia"/>
          <w:szCs w:val="22"/>
          <w:shd w:val="clear" w:color="auto" w:fill="FFFFFF" w:themeFill="background1"/>
        </w:rPr>
        <w:t xml:space="preserve"> 2010.</w:t>
      </w:r>
      <w:r>
        <w:rPr>
          <w:rFonts w:ascii="Constantia" w:hAnsi="Constantia"/>
          <w:szCs w:val="22"/>
          <w:shd w:val="clear" w:color="auto" w:fill="FFFFFF" w:themeFill="background1"/>
        </w:rPr>
        <w:t xml:space="preserve"> i 2013. godina </w:t>
      </w:r>
      <w:r w:rsidRPr="00897A69">
        <w:rPr>
          <w:rFonts w:ascii="Constantia" w:hAnsi="Constantia"/>
          <w:szCs w:val="22"/>
          <w:shd w:val="clear" w:color="auto" w:fill="FFFFFF" w:themeFill="background1"/>
        </w:rPr>
        <w:t>(bijeli stubići)</w:t>
      </w:r>
      <w:r w:rsidR="00610298">
        <w:rPr>
          <w:rFonts w:ascii="Constantia" w:hAnsi="Constantia"/>
          <w:szCs w:val="22"/>
          <w:shd w:val="clear" w:color="auto" w:fill="FFFFFF" w:themeFill="background1"/>
        </w:rPr>
        <w:t>,</w:t>
      </w:r>
      <w:r w:rsidRPr="00897A69">
        <w:rPr>
          <w:rFonts w:ascii="Constantia" w:hAnsi="Constantia"/>
          <w:szCs w:val="22"/>
          <w:shd w:val="clear" w:color="auto" w:fill="FFFFFF" w:themeFill="background1"/>
        </w:rPr>
        <w:t xml:space="preserve"> a apsolutno razdvajanje (sporiji rast ili pad potražnje) u 2002., 2003., 2007., 2008., 2009. i 2011. (zeleni stubići). Očigledan je pad potražnje za teretnim trans</w:t>
      </w:r>
      <w:r>
        <w:rPr>
          <w:rFonts w:ascii="Constantia" w:hAnsi="Constantia"/>
          <w:szCs w:val="22"/>
          <w:shd w:val="clear" w:color="auto" w:fill="FFFFFF" w:themeFill="background1"/>
        </w:rPr>
        <w:t>portom između 2008. i 2009. i  2010</w:t>
      </w:r>
      <w:r w:rsidRPr="00897A69">
        <w:rPr>
          <w:rFonts w:ascii="Constantia" w:hAnsi="Constantia"/>
          <w:szCs w:val="22"/>
          <w:shd w:val="clear" w:color="auto" w:fill="FFFFFF" w:themeFill="background1"/>
        </w:rPr>
        <w:t xml:space="preserve"> </w:t>
      </w:r>
      <w:r>
        <w:rPr>
          <w:rFonts w:ascii="Constantia" w:hAnsi="Constantia"/>
          <w:szCs w:val="22"/>
          <w:shd w:val="clear" w:color="auto" w:fill="FFFFFF" w:themeFill="background1"/>
        </w:rPr>
        <w:t>i 2012. godin</w:t>
      </w:r>
      <w:r w:rsidR="00610298">
        <w:rPr>
          <w:rFonts w:ascii="Constantia" w:hAnsi="Constantia"/>
          <w:szCs w:val="22"/>
          <w:shd w:val="clear" w:color="auto" w:fill="FFFFFF" w:themeFill="background1"/>
        </w:rPr>
        <w:t>e</w:t>
      </w:r>
      <w:r>
        <w:rPr>
          <w:rFonts w:ascii="Constantia" w:hAnsi="Constantia"/>
          <w:szCs w:val="22"/>
          <w:shd w:val="clear" w:color="auto" w:fill="FFFFFF" w:themeFill="background1"/>
        </w:rPr>
        <w:t>.</w:t>
      </w:r>
    </w:p>
    <w:p w:rsidR="00912E35" w:rsidRPr="00EB435E" w:rsidRDefault="00912E35" w:rsidP="00350108">
      <w:pPr>
        <w:ind w:firstLine="360"/>
        <w:rPr>
          <w:rFonts w:ascii="Constantia" w:hAnsi="Constantia"/>
          <w:sz w:val="20"/>
          <w:szCs w:val="22"/>
          <w:highlight w:val="yellow"/>
        </w:rPr>
      </w:pPr>
    </w:p>
    <w:p w:rsidR="00912E35" w:rsidRPr="005E4028" w:rsidRDefault="00912E35" w:rsidP="00912E35">
      <w:pPr>
        <w:jc w:val="center"/>
        <w:rPr>
          <w:rFonts w:ascii="Constantia" w:hAnsi="Constantia"/>
        </w:rPr>
      </w:pPr>
      <w:r>
        <w:rPr>
          <w:noProof/>
        </w:rPr>
        <w:drawing>
          <wp:inline distT="0" distB="0" distL="0" distR="0" wp14:anchorId="793D82B3" wp14:editId="47CC079C">
            <wp:extent cx="5324475" cy="2990850"/>
            <wp:effectExtent l="0" t="0" r="9525" b="19050"/>
            <wp:docPr id="1354" name="Chart 135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7"/>
              </a:graphicData>
            </a:graphic>
          </wp:inline>
        </w:drawing>
      </w:r>
    </w:p>
    <w:p w:rsidR="00912E35" w:rsidRPr="00C146B0" w:rsidRDefault="00C146B0" w:rsidP="00C146B0">
      <w:pPr>
        <w:pStyle w:val="Grafikon"/>
        <w:rPr>
          <w:rFonts w:ascii="Constantia" w:hAnsi="Constantia"/>
          <w:sz w:val="22"/>
          <w:szCs w:val="22"/>
        </w:rPr>
      </w:pPr>
      <w:r>
        <w:t xml:space="preserve"> </w:t>
      </w:r>
      <w:r w:rsidR="00912E35" w:rsidRPr="00C146B0">
        <w:rPr>
          <w:rFonts w:ascii="Constantia" w:hAnsi="Constantia"/>
          <w:sz w:val="22"/>
          <w:szCs w:val="22"/>
        </w:rPr>
        <w:t xml:space="preserve">Razdvajanje obima prevoza tereta od BDP </w:t>
      </w:r>
    </w:p>
    <w:p w:rsidR="00912E35" w:rsidRPr="00EB435E" w:rsidRDefault="00912E35" w:rsidP="00912E35">
      <w:pPr>
        <w:spacing w:line="276" w:lineRule="auto"/>
        <w:rPr>
          <w:rFonts w:ascii="Constantia" w:hAnsi="Constantia"/>
          <w:b/>
          <w:sz w:val="20"/>
          <w:szCs w:val="22"/>
          <w:u w:val="single"/>
        </w:rPr>
      </w:pPr>
    </w:p>
    <w:p w:rsidR="00912E35" w:rsidRPr="005E4028" w:rsidRDefault="00912E35" w:rsidP="00C146B0">
      <w:pPr>
        <w:rPr>
          <w:rFonts w:ascii="Constantia" w:hAnsi="Constantia"/>
          <w:shd w:val="clear" w:color="auto" w:fill="FFFFFF" w:themeFill="background1"/>
        </w:rPr>
      </w:pPr>
      <w:r w:rsidRPr="00897A69">
        <w:rPr>
          <w:rFonts w:ascii="Constantia" w:hAnsi="Constantia"/>
          <w:shd w:val="clear" w:color="auto" w:fill="FFFFFF" w:themeFill="background1"/>
        </w:rPr>
        <w:t>Usklađen trend BDP-a i potražnje za teretnim transportom (rast) ukazuje na to da teretni transport ima značajno (direktno) učešće u povećanju BDP-a. U 2011.</w:t>
      </w:r>
      <w:r w:rsidR="00C146B0">
        <w:rPr>
          <w:rFonts w:ascii="Constantia" w:hAnsi="Constantia"/>
          <w:shd w:val="clear" w:color="auto" w:fill="FFFFFF" w:themeFill="background1"/>
        </w:rPr>
        <w:t xml:space="preserve"> godini</w:t>
      </w:r>
      <w:r w:rsidRPr="00897A69">
        <w:rPr>
          <w:rFonts w:ascii="Constantia" w:hAnsi="Constantia"/>
          <w:shd w:val="clear" w:color="auto" w:fill="FFFFFF" w:themeFill="background1"/>
        </w:rPr>
        <w:t xml:space="preserve"> </w:t>
      </w:r>
      <w:r>
        <w:rPr>
          <w:rFonts w:ascii="Constantia" w:hAnsi="Constantia"/>
          <w:shd w:val="clear" w:color="auto" w:fill="FFFFFF" w:themeFill="background1"/>
        </w:rPr>
        <w:t xml:space="preserve">BDP je porastao </w:t>
      </w:r>
      <w:r w:rsidRPr="00897A69">
        <w:rPr>
          <w:rFonts w:ascii="Constantia" w:hAnsi="Constantia"/>
          <w:shd w:val="clear" w:color="auto" w:fill="FFFFFF" w:themeFill="background1"/>
        </w:rPr>
        <w:t>u odnosu na 2010.</w:t>
      </w:r>
      <w:r w:rsidR="00C146B0">
        <w:rPr>
          <w:rFonts w:ascii="Constantia" w:hAnsi="Constantia"/>
          <w:shd w:val="clear" w:color="auto" w:fill="FFFFFF" w:themeFill="background1"/>
        </w:rPr>
        <w:t xml:space="preserve"> godinu</w:t>
      </w:r>
      <w:r>
        <w:rPr>
          <w:rFonts w:ascii="Constantia" w:hAnsi="Constantia"/>
          <w:shd w:val="clear" w:color="auto" w:fill="FFFFFF" w:themeFill="background1"/>
        </w:rPr>
        <w:t xml:space="preserve">, ali </w:t>
      </w:r>
      <w:r w:rsidRPr="00897A69">
        <w:rPr>
          <w:rFonts w:ascii="Constantia" w:hAnsi="Constantia"/>
          <w:shd w:val="clear" w:color="auto" w:fill="FFFFFF" w:themeFill="background1"/>
        </w:rPr>
        <w:t>s obzirom na smanj</w:t>
      </w:r>
      <w:r>
        <w:rPr>
          <w:rFonts w:ascii="Constantia" w:hAnsi="Constantia"/>
          <w:shd w:val="clear" w:color="auto" w:fill="FFFFFF" w:themeFill="background1"/>
        </w:rPr>
        <w:t xml:space="preserve">enje </w:t>
      </w:r>
      <w:r w:rsidRPr="00947A1B">
        <w:rPr>
          <w:rFonts w:ascii="Constantia" w:hAnsi="Constantia"/>
          <w:shd w:val="clear" w:color="auto" w:fill="FFFFFF" w:themeFill="background1"/>
        </w:rPr>
        <w:t>potražnje za teretnim transportom, drugi su uzročnici porasta BDP</w:t>
      </w:r>
      <w:r>
        <w:rPr>
          <w:rFonts w:ascii="Constantia" w:hAnsi="Constantia"/>
          <w:shd w:val="clear" w:color="auto" w:fill="FFFFFF" w:themeFill="background1"/>
        </w:rPr>
        <w:t>-a</w:t>
      </w:r>
      <w:r w:rsidRPr="00897A69">
        <w:rPr>
          <w:rFonts w:ascii="Constantia" w:hAnsi="Constantia"/>
          <w:shd w:val="clear" w:color="auto" w:fill="FFFFFF" w:themeFill="background1"/>
        </w:rPr>
        <w:t xml:space="preserve">. Takođe, teretni saobraćaj je izazivao povećani pritisak na životnu </w:t>
      </w:r>
      <w:r w:rsidRPr="00897A69">
        <w:rPr>
          <w:rFonts w:ascii="Constantia" w:hAnsi="Constantia"/>
          <w:shd w:val="clear" w:color="auto" w:fill="FFFFFF" w:themeFill="background1"/>
        </w:rPr>
        <w:lastRenderedPageBreak/>
        <w:t>sredinu u analiziranom peridu u odnosu na prethodnu godinu (izuzimajući 2003., 2009., 2011</w:t>
      </w:r>
      <w:r>
        <w:rPr>
          <w:rFonts w:ascii="Constantia" w:hAnsi="Constantia"/>
          <w:shd w:val="clear" w:color="auto" w:fill="FFFFFF" w:themeFill="background1"/>
        </w:rPr>
        <w:t xml:space="preserve"> i 2012</w:t>
      </w:r>
      <w:r w:rsidR="00C146B0">
        <w:rPr>
          <w:rFonts w:ascii="Constantia" w:hAnsi="Constantia"/>
          <w:shd w:val="clear" w:color="auto" w:fill="FFFFFF" w:themeFill="background1"/>
        </w:rPr>
        <w:t>. godinu</w:t>
      </w:r>
      <w:r w:rsidRPr="00897A69">
        <w:rPr>
          <w:rFonts w:ascii="Constantia" w:hAnsi="Constantia"/>
          <w:shd w:val="clear" w:color="auto" w:fill="FFFFFF" w:themeFill="background1"/>
        </w:rPr>
        <w:t>).</w:t>
      </w:r>
    </w:p>
    <w:p w:rsidR="00912E35" w:rsidRDefault="00912E35" w:rsidP="00C146B0">
      <w:pPr>
        <w:rPr>
          <w:rFonts w:ascii="Constantia" w:hAnsi="Constantia"/>
          <w:shd w:val="clear" w:color="auto" w:fill="FFFFFF" w:themeFill="background1"/>
        </w:rPr>
      </w:pPr>
      <w:r w:rsidRPr="00947A1B">
        <w:rPr>
          <w:rFonts w:ascii="Constantia" w:hAnsi="Constantia"/>
          <w:shd w:val="clear" w:color="auto" w:fill="FFFFFF" w:themeFill="background1"/>
        </w:rPr>
        <w:t>Takođe</w:t>
      </w:r>
      <w:r>
        <w:rPr>
          <w:rFonts w:ascii="Constantia" w:hAnsi="Constantia"/>
          <w:shd w:val="clear" w:color="auto" w:fill="FFFFFF" w:themeFill="background1"/>
        </w:rPr>
        <w:t>,</w:t>
      </w:r>
      <w:r w:rsidRPr="00947A1B">
        <w:rPr>
          <w:rFonts w:ascii="Constantia" w:hAnsi="Constantia"/>
          <w:shd w:val="clear" w:color="auto" w:fill="FFFFFF" w:themeFill="background1"/>
        </w:rPr>
        <w:t xml:space="preserve"> u istom periodu udio željezničkog saobraćaja je većinski osim 2001,2002,2003,2009</w:t>
      </w:r>
      <w:r>
        <w:rPr>
          <w:rFonts w:ascii="Constantia" w:hAnsi="Constantia"/>
          <w:shd w:val="clear" w:color="auto" w:fill="FFFFFF" w:themeFill="background1"/>
        </w:rPr>
        <w:t xml:space="preserve">, </w:t>
      </w:r>
      <w:r w:rsidRPr="00947A1B">
        <w:rPr>
          <w:rFonts w:ascii="Constantia" w:hAnsi="Constantia"/>
          <w:shd w:val="clear" w:color="auto" w:fill="FFFFFF" w:themeFill="background1"/>
        </w:rPr>
        <w:t>2010.</w:t>
      </w:r>
      <w:r>
        <w:rPr>
          <w:rFonts w:ascii="Constantia" w:hAnsi="Constantia"/>
          <w:shd w:val="clear" w:color="auto" w:fill="FFFFFF" w:themeFill="background1"/>
        </w:rPr>
        <w:t xml:space="preserve"> i 2012. godine.</w:t>
      </w:r>
      <w:r w:rsidRPr="00947A1B">
        <w:rPr>
          <w:rFonts w:ascii="Constantia" w:hAnsi="Constantia"/>
          <w:shd w:val="clear" w:color="auto" w:fill="FFFFFF" w:themeFill="background1"/>
        </w:rPr>
        <w:t xml:space="preserve"> Bez obzira na to što se infrastruktura za obavljanje kopnenog saobraćaja u posmatranom periodu nije ili se zanemarljiivo mijenjala, tonski kilometri su u velikom dijelu perioda rasli, vjerovatno kao rezultat povećane realne potrebe za teretnim transportom.</w:t>
      </w:r>
    </w:p>
    <w:p w:rsidR="00912E35" w:rsidRPr="005E4028" w:rsidRDefault="00912E35" w:rsidP="00FA47EB">
      <w:pPr>
        <w:spacing w:before="240"/>
        <w:jc w:val="center"/>
        <w:rPr>
          <w:rFonts w:ascii="Constantia" w:hAnsi="Constantia"/>
          <w:shd w:val="clear" w:color="auto" w:fill="FFFFFF" w:themeFill="background1"/>
        </w:rPr>
      </w:pPr>
      <w:r>
        <w:rPr>
          <w:noProof/>
        </w:rPr>
        <w:drawing>
          <wp:inline distT="0" distB="0" distL="0" distR="0" wp14:anchorId="794CCBCD" wp14:editId="12337967">
            <wp:extent cx="2857500" cy="2247900"/>
            <wp:effectExtent l="0" t="0" r="0" b="0"/>
            <wp:docPr id="1356" name="Chart 135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8"/>
              </a:graphicData>
            </a:graphic>
          </wp:inline>
        </w:drawing>
      </w:r>
      <w:r>
        <w:rPr>
          <w:noProof/>
        </w:rPr>
        <w:drawing>
          <wp:inline distT="0" distB="0" distL="0" distR="0" wp14:anchorId="5BC5168B" wp14:editId="32FEC031">
            <wp:extent cx="2609850" cy="2257425"/>
            <wp:effectExtent l="0" t="0" r="0" b="0"/>
            <wp:docPr id="1357" name="Chart 135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9"/>
              </a:graphicData>
            </a:graphic>
          </wp:inline>
        </w:drawing>
      </w:r>
    </w:p>
    <w:p w:rsidR="00912E35" w:rsidRPr="009B0628" w:rsidRDefault="009B0628" w:rsidP="00A431AB">
      <w:pPr>
        <w:pStyle w:val="Grafikon"/>
        <w:jc w:val="both"/>
        <w:rPr>
          <w:rFonts w:ascii="Constantia" w:hAnsi="Constantia"/>
          <w:sz w:val="22"/>
          <w:szCs w:val="22"/>
        </w:rPr>
      </w:pPr>
      <w:r>
        <w:t xml:space="preserve"> </w:t>
      </w:r>
      <w:r w:rsidR="00912E35" w:rsidRPr="009B0628">
        <w:rPr>
          <w:rFonts w:ascii="Constantia" w:hAnsi="Constantia"/>
          <w:sz w:val="22"/>
          <w:szCs w:val="22"/>
        </w:rPr>
        <w:t>Uporedni prikaz ostvarenih tkm (lijevo) i obim vidova saobraćaja u  teretnom saobraćaju</w:t>
      </w:r>
      <w:r w:rsidR="00FA47EB">
        <w:rPr>
          <w:rFonts w:ascii="Constantia" w:hAnsi="Constantia"/>
          <w:sz w:val="22"/>
          <w:szCs w:val="22"/>
        </w:rPr>
        <w:t xml:space="preserve"> (desno)</w:t>
      </w:r>
      <w:r w:rsidR="00912E35" w:rsidRPr="009B0628">
        <w:rPr>
          <w:rFonts w:ascii="Constantia" w:hAnsi="Constantia"/>
          <w:sz w:val="22"/>
          <w:szCs w:val="22"/>
        </w:rPr>
        <w:t xml:space="preserve">  </w:t>
      </w:r>
    </w:p>
    <w:p w:rsidR="00912E35" w:rsidRPr="00913E1C" w:rsidRDefault="00912E35" w:rsidP="00FA47EB">
      <w:pPr>
        <w:pStyle w:val="Grafikon"/>
        <w:numPr>
          <w:ilvl w:val="0"/>
          <w:numId w:val="0"/>
        </w:numPr>
        <w:spacing w:after="0"/>
        <w:rPr>
          <w:rFonts w:ascii="Constantia" w:hAnsi="Constantia"/>
          <w:sz w:val="22"/>
          <w:szCs w:val="22"/>
        </w:rPr>
      </w:pPr>
    </w:p>
    <w:p w:rsidR="00912E35" w:rsidRPr="009B0628" w:rsidRDefault="00912E35" w:rsidP="009B0628">
      <w:pPr>
        <w:rPr>
          <w:rFonts w:ascii="Constantia" w:hAnsi="Constantia"/>
          <w:szCs w:val="22"/>
          <w:shd w:val="clear" w:color="auto" w:fill="FFFFFF" w:themeFill="background1"/>
        </w:rPr>
      </w:pPr>
      <w:r w:rsidRPr="009B0628">
        <w:rPr>
          <w:rFonts w:ascii="Constantia" w:hAnsi="Constantia"/>
          <w:i/>
          <w:szCs w:val="22"/>
        </w:rPr>
        <w:t>Grafikon 1</w:t>
      </w:r>
      <w:r w:rsidR="00D70A1C">
        <w:rPr>
          <w:rFonts w:ascii="Constantia" w:hAnsi="Constantia"/>
          <w:i/>
          <w:szCs w:val="22"/>
        </w:rPr>
        <w:t>15</w:t>
      </w:r>
      <w:r w:rsidRPr="009B0628">
        <w:rPr>
          <w:rFonts w:ascii="Constantia" w:hAnsi="Constantia"/>
          <w:szCs w:val="22"/>
        </w:rPr>
        <w:t>. prikazuje trend u prevozu robe u drumskom, željezničkom i ukupno robnom saobraćaju. Analizirajući obim pređenih tonskih kilometara u Crnoj Gori može se reći da je rob</w:t>
      </w:r>
      <w:r w:rsidR="009B0628">
        <w:rPr>
          <w:rFonts w:ascii="Constantia" w:hAnsi="Constantia"/>
          <w:szCs w:val="22"/>
        </w:rPr>
        <w:t>ni saobraćaj u porastu od 102,3</w:t>
      </w:r>
      <w:r w:rsidRPr="009B0628">
        <w:rPr>
          <w:rFonts w:ascii="Constantia" w:hAnsi="Constantia"/>
          <w:szCs w:val="22"/>
        </w:rPr>
        <w:t>% (2000 – 2008</w:t>
      </w:r>
      <w:r w:rsidR="009B0628">
        <w:rPr>
          <w:rFonts w:ascii="Constantia" w:hAnsi="Constantia"/>
          <w:szCs w:val="22"/>
        </w:rPr>
        <w:t>)</w:t>
      </w:r>
      <w:r w:rsidRPr="009B0628">
        <w:rPr>
          <w:rFonts w:ascii="Constantia" w:hAnsi="Constantia"/>
          <w:szCs w:val="22"/>
        </w:rPr>
        <w:t xml:space="preserve">;   </w:t>
      </w:r>
      <w:r w:rsidRPr="009B0628">
        <w:rPr>
          <w:rFonts w:ascii="Times New Roman" w:hAnsi="Times New Roman"/>
          <w:szCs w:val="22"/>
        </w:rPr>
        <w:t>̴</w:t>
      </w:r>
      <w:r w:rsidRPr="009B0628">
        <w:rPr>
          <w:rFonts w:ascii="Constantia" w:hAnsi="Constantia"/>
          <w:szCs w:val="22"/>
        </w:rPr>
        <w:t xml:space="preserve"> 32% u analiziranom period</w:t>
      </w:r>
      <w:r w:rsidR="009B0628">
        <w:rPr>
          <w:rFonts w:ascii="Constantia" w:hAnsi="Constantia"/>
          <w:szCs w:val="22"/>
        </w:rPr>
        <w:t>u</w:t>
      </w:r>
      <w:r w:rsidRPr="009B0628">
        <w:rPr>
          <w:rFonts w:ascii="Constantia" w:hAnsi="Constantia"/>
          <w:szCs w:val="22"/>
        </w:rPr>
        <w:t xml:space="preserve"> (2000 – 2013). Drumski saobraćaj bilježi rast od 22%, a željeznički saobraćaj, takođe, bilježi rast od 37%.</w:t>
      </w:r>
      <w:r w:rsidRPr="009B0628">
        <w:rPr>
          <w:rFonts w:ascii="Constantia" w:hAnsi="Constantia"/>
          <w:szCs w:val="22"/>
          <w:shd w:val="clear" w:color="auto" w:fill="FFFFFF" w:themeFill="background1"/>
        </w:rPr>
        <w:t xml:space="preserve"> </w:t>
      </w:r>
    </w:p>
    <w:p w:rsidR="00912E35" w:rsidRPr="009B0628" w:rsidRDefault="00912E35" w:rsidP="009B0628">
      <w:pPr>
        <w:rPr>
          <w:rFonts w:ascii="Constantia" w:hAnsi="Constantia"/>
          <w:szCs w:val="22"/>
          <w:shd w:val="clear" w:color="auto" w:fill="FFFFFF" w:themeFill="background1"/>
        </w:rPr>
      </w:pPr>
      <w:r w:rsidRPr="009B0628">
        <w:rPr>
          <w:rFonts w:ascii="Constantia" w:hAnsi="Constantia"/>
          <w:szCs w:val="22"/>
          <w:shd w:val="clear" w:color="auto" w:fill="FFFFFF" w:themeFill="background1"/>
        </w:rPr>
        <w:t xml:space="preserve">Strukturu prevoza robe </w:t>
      </w:r>
      <w:r w:rsidR="009B0628">
        <w:rPr>
          <w:rFonts w:ascii="Constantia" w:hAnsi="Constantia"/>
          <w:szCs w:val="22"/>
          <w:shd w:val="clear" w:color="auto" w:fill="FFFFFF" w:themeFill="background1"/>
        </w:rPr>
        <w:t>(</w:t>
      </w:r>
      <w:r w:rsidR="009B0628" w:rsidRPr="009B0628">
        <w:rPr>
          <w:rFonts w:ascii="Constantia" w:hAnsi="Constantia"/>
          <w:i/>
          <w:szCs w:val="22"/>
          <w:shd w:val="clear" w:color="auto" w:fill="FFFFFF" w:themeFill="background1"/>
        </w:rPr>
        <w:t>G</w:t>
      </w:r>
      <w:r w:rsidRPr="009B0628">
        <w:rPr>
          <w:rFonts w:ascii="Constantia" w:hAnsi="Constantia"/>
          <w:i/>
          <w:szCs w:val="22"/>
          <w:shd w:val="clear" w:color="auto" w:fill="FFFFFF" w:themeFill="background1"/>
        </w:rPr>
        <w:t>rafikon 1</w:t>
      </w:r>
      <w:r w:rsidR="00D70A1C">
        <w:rPr>
          <w:rFonts w:ascii="Constantia" w:hAnsi="Constantia"/>
          <w:i/>
          <w:szCs w:val="22"/>
          <w:shd w:val="clear" w:color="auto" w:fill="FFFFFF" w:themeFill="background1"/>
        </w:rPr>
        <w:t>16</w:t>
      </w:r>
      <w:r w:rsidRPr="009B0628">
        <w:rPr>
          <w:rFonts w:ascii="Constantia" w:hAnsi="Constantia"/>
          <w:szCs w:val="22"/>
          <w:shd w:val="clear" w:color="auto" w:fill="FFFFFF" w:themeFill="background1"/>
        </w:rPr>
        <w:t>.) čine prevoz u drumskom i željezničkom saobraćaju. U posmatranom periodu željeznički saobraćaj ima veće učešće u prevozu robe, koje se kreće oko 60%. U 2009.</w:t>
      </w:r>
      <w:r w:rsidR="009B0628">
        <w:rPr>
          <w:rFonts w:ascii="Constantia" w:hAnsi="Constantia"/>
          <w:szCs w:val="22"/>
          <w:shd w:val="clear" w:color="auto" w:fill="FFFFFF" w:themeFill="background1"/>
        </w:rPr>
        <w:t xml:space="preserve"> godini</w:t>
      </w:r>
      <w:r w:rsidRPr="009B0628">
        <w:rPr>
          <w:rFonts w:ascii="Constantia" w:hAnsi="Constantia"/>
          <w:szCs w:val="22"/>
          <w:shd w:val="clear" w:color="auto" w:fill="FFFFFF" w:themeFill="background1"/>
        </w:rPr>
        <w:t xml:space="preserve"> bilježi se pad od 67% u odnosu na 2008. godinu. U 2009.</w:t>
      </w:r>
      <w:r w:rsidR="009B0628">
        <w:rPr>
          <w:rFonts w:ascii="Constantia" w:hAnsi="Constantia"/>
          <w:szCs w:val="22"/>
          <w:shd w:val="clear" w:color="auto" w:fill="FFFFFF" w:themeFill="background1"/>
        </w:rPr>
        <w:t xml:space="preserve"> godini</w:t>
      </w:r>
      <w:r w:rsidRPr="009B0628">
        <w:rPr>
          <w:rFonts w:ascii="Constantia" w:hAnsi="Constantia"/>
          <w:szCs w:val="22"/>
          <w:shd w:val="clear" w:color="auto" w:fill="FFFFFF" w:themeFill="background1"/>
        </w:rPr>
        <w:t xml:space="preserve"> udio drumskog prevoza robe iznosi 56% naspram 44% željezničkog prevoza.</w:t>
      </w:r>
      <w:r w:rsidR="009B0628">
        <w:rPr>
          <w:rFonts w:ascii="Constantia" w:hAnsi="Constantia"/>
          <w:szCs w:val="22"/>
          <w:shd w:val="clear" w:color="auto" w:fill="FFFFFF" w:themeFill="background1"/>
        </w:rPr>
        <w:t xml:space="preserve"> </w:t>
      </w:r>
      <w:r w:rsidRPr="009B0628">
        <w:rPr>
          <w:rFonts w:ascii="Constantia" w:hAnsi="Constantia"/>
          <w:szCs w:val="22"/>
          <w:shd w:val="clear" w:color="auto" w:fill="FFFFFF" w:themeFill="background1"/>
        </w:rPr>
        <w:t>U 2011.</w:t>
      </w:r>
      <w:r w:rsidR="009B0628">
        <w:rPr>
          <w:rFonts w:ascii="Constantia" w:hAnsi="Constantia"/>
          <w:szCs w:val="22"/>
          <w:shd w:val="clear" w:color="auto" w:fill="FFFFFF" w:themeFill="background1"/>
        </w:rPr>
        <w:t xml:space="preserve"> godini</w:t>
      </w:r>
      <w:r w:rsidRPr="009B0628">
        <w:rPr>
          <w:rFonts w:ascii="Constantia" w:hAnsi="Constantia"/>
          <w:szCs w:val="22"/>
          <w:shd w:val="clear" w:color="auto" w:fill="FFFFFF" w:themeFill="background1"/>
        </w:rPr>
        <w:t xml:space="preserve"> udio željezničkog prevoza robe veći je za 24,4% u odnosu na drumski prevoz.</w:t>
      </w:r>
    </w:p>
    <w:p w:rsidR="00912E35" w:rsidRPr="00B343CF" w:rsidRDefault="00912E35" w:rsidP="00FA47EB">
      <w:pPr>
        <w:spacing w:after="0"/>
        <w:jc w:val="center"/>
        <w:rPr>
          <w:rFonts w:ascii="Constantia" w:hAnsi="Constantia"/>
          <w:szCs w:val="22"/>
        </w:rPr>
      </w:pPr>
    </w:p>
    <w:p w:rsidR="00912E35" w:rsidRPr="00F7012C" w:rsidRDefault="00912E35" w:rsidP="00FA47EB">
      <w:pPr>
        <w:spacing w:line="276" w:lineRule="auto"/>
        <w:ind w:firstLine="144"/>
        <w:jc w:val="center"/>
        <w:rPr>
          <w:rFonts w:ascii="Constantia" w:hAnsi="Constantia"/>
          <w:szCs w:val="22"/>
          <w:highlight w:val="yellow"/>
          <w:lang w:val="sr-Latn-CS"/>
        </w:rPr>
      </w:pPr>
      <w:r w:rsidRPr="00D554B7">
        <w:rPr>
          <w:rFonts w:ascii="Constantia" w:hAnsi="Constantia"/>
          <w:noProof/>
          <w:sz w:val="10"/>
          <w:szCs w:val="10"/>
        </w:rPr>
        <w:drawing>
          <wp:inline distT="0" distB="0" distL="0" distR="0" wp14:anchorId="721FEEA4" wp14:editId="4E12F76C">
            <wp:extent cx="2628900" cy="2305050"/>
            <wp:effectExtent l="0" t="0" r="0" b="0"/>
            <wp:docPr id="1358" name="Chart 135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0"/>
              </a:graphicData>
            </a:graphic>
          </wp:inline>
        </w:drawing>
      </w:r>
      <w:r>
        <w:rPr>
          <w:noProof/>
        </w:rPr>
        <w:drawing>
          <wp:inline distT="0" distB="0" distL="0" distR="0" wp14:anchorId="48AACF03" wp14:editId="5BD48BB1">
            <wp:extent cx="2714625" cy="2314575"/>
            <wp:effectExtent l="0" t="0" r="0" b="0"/>
            <wp:docPr id="1359" name="Chart 135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1"/>
              </a:graphicData>
            </a:graphic>
          </wp:inline>
        </w:drawing>
      </w:r>
    </w:p>
    <w:p w:rsidR="00912E35" w:rsidRPr="00FA47EB" w:rsidRDefault="00FA47EB" w:rsidP="00FA47EB">
      <w:pPr>
        <w:pStyle w:val="Grafikon"/>
        <w:rPr>
          <w:rFonts w:ascii="Constantia" w:hAnsi="Constantia"/>
          <w:sz w:val="22"/>
          <w:szCs w:val="22"/>
        </w:rPr>
      </w:pPr>
      <w:r>
        <w:t xml:space="preserve"> </w:t>
      </w:r>
      <w:r w:rsidR="00912E35" w:rsidRPr="00FA47EB">
        <w:rPr>
          <w:rFonts w:ascii="Constantia" w:hAnsi="Constantia"/>
          <w:sz w:val="22"/>
          <w:szCs w:val="22"/>
        </w:rPr>
        <w:t xml:space="preserve">Trend teretnog saobraćaja (lijevo)  i učešće vidova saobraćaja  u prevozu tereta </w:t>
      </w:r>
      <w:r>
        <w:rPr>
          <w:rFonts w:ascii="Constantia" w:hAnsi="Constantia"/>
          <w:sz w:val="22"/>
          <w:szCs w:val="22"/>
        </w:rPr>
        <w:t>(</w:t>
      </w:r>
      <w:r w:rsidR="00912E35" w:rsidRPr="00FA47EB">
        <w:rPr>
          <w:rFonts w:ascii="Constantia" w:hAnsi="Constantia"/>
          <w:sz w:val="22"/>
          <w:szCs w:val="22"/>
        </w:rPr>
        <w:t>desno)</w:t>
      </w:r>
    </w:p>
    <w:p w:rsidR="00912E35" w:rsidRPr="00345B02" w:rsidRDefault="00AF2D23" w:rsidP="00D05784">
      <w:pPr>
        <w:pStyle w:val="Heading3"/>
      </w:pPr>
      <w:bookmarkStart w:id="349" w:name="_Toc393897975"/>
      <w:r>
        <w:lastRenderedPageBreak/>
        <w:t>10</w:t>
      </w:r>
      <w:r w:rsidR="00D05784">
        <w:t xml:space="preserve">.4.3  </w:t>
      </w:r>
      <w:r w:rsidR="00912E35" w:rsidRPr="00897A69">
        <w:t>Broj motornih vozila prema vrstama vozila</w:t>
      </w:r>
      <w:r w:rsidR="00912E35" w:rsidRPr="00897A69">
        <w:rPr>
          <w:rStyle w:val="FootnoteReference"/>
          <w:rFonts w:ascii="Constantia" w:hAnsi="Constantia"/>
          <w:b w:val="0"/>
          <w:sz w:val="22"/>
          <w:szCs w:val="22"/>
        </w:rPr>
        <w:footnoteReference w:id="19"/>
      </w:r>
      <w:bookmarkEnd w:id="349"/>
    </w:p>
    <w:p w:rsidR="00912E35" w:rsidRDefault="00912E35" w:rsidP="00FB365E">
      <w:pPr>
        <w:spacing w:before="240"/>
      </w:pPr>
      <w:r>
        <w:rPr>
          <w:rFonts w:ascii="Constantia" w:hAnsi="Constantia"/>
          <w:szCs w:val="22"/>
          <w:lang w:val="sr-Latn-CS"/>
        </w:rPr>
        <w:t>Indikatorom j</w:t>
      </w:r>
      <w:r w:rsidRPr="00913E1C">
        <w:rPr>
          <w:rFonts w:ascii="Constantia" w:hAnsi="Constantia"/>
          <w:szCs w:val="22"/>
          <w:lang w:val="sr-Latn-CS"/>
        </w:rPr>
        <w:t>e predstavlj</w:t>
      </w:r>
      <w:r>
        <w:rPr>
          <w:rFonts w:ascii="Constantia" w:hAnsi="Constantia"/>
          <w:szCs w:val="22"/>
          <w:lang w:val="sr-Latn-CS"/>
        </w:rPr>
        <w:t xml:space="preserve">en </w:t>
      </w:r>
      <w:r w:rsidRPr="00913E1C">
        <w:rPr>
          <w:rFonts w:ascii="Constantia" w:hAnsi="Constantia"/>
          <w:szCs w:val="22"/>
          <w:lang w:val="sr-Latn-CS"/>
        </w:rPr>
        <w:t>broj motornih vozila u Crnoj Gori koja su u toku jedne godine registr</w:t>
      </w:r>
      <w:r>
        <w:rPr>
          <w:rFonts w:ascii="Constantia" w:hAnsi="Constantia"/>
          <w:szCs w:val="22"/>
          <w:lang w:val="sr-Latn-CS"/>
        </w:rPr>
        <w:t xml:space="preserve">ovana </w:t>
      </w:r>
      <w:r w:rsidRPr="00913E1C">
        <w:rPr>
          <w:rFonts w:ascii="Constantia" w:hAnsi="Constantia"/>
          <w:szCs w:val="22"/>
          <w:lang w:val="sr-Latn-CS"/>
        </w:rPr>
        <w:t>vozi</w:t>
      </w:r>
      <w:r w:rsidR="00FB365E">
        <w:rPr>
          <w:rFonts w:ascii="Constantia" w:hAnsi="Constantia"/>
          <w:szCs w:val="22"/>
          <w:lang w:val="sr-Latn-CS"/>
        </w:rPr>
        <w:t>la (motori, putnički automobili</w:t>
      </w:r>
      <w:r w:rsidRPr="00913E1C">
        <w:rPr>
          <w:rFonts w:ascii="Constantia" w:hAnsi="Constantia"/>
          <w:szCs w:val="22"/>
          <w:lang w:val="sr-Latn-CS"/>
        </w:rPr>
        <w:t>, autobusi, te</w:t>
      </w:r>
      <w:r w:rsidR="00FB365E">
        <w:rPr>
          <w:rFonts w:ascii="Constantia" w:hAnsi="Constantia"/>
          <w:szCs w:val="22"/>
          <w:lang w:val="sr-Latn-CS"/>
        </w:rPr>
        <w:t>retna vozila, priključna vozila</w:t>
      </w:r>
      <w:r w:rsidRPr="00913E1C">
        <w:rPr>
          <w:rFonts w:ascii="Constantia" w:hAnsi="Constantia"/>
          <w:szCs w:val="22"/>
          <w:lang w:val="sr-Latn-CS"/>
        </w:rPr>
        <w:t>...).</w:t>
      </w:r>
      <w:r>
        <w:rPr>
          <w:rFonts w:ascii="Constantia" w:hAnsi="Constantia"/>
          <w:szCs w:val="22"/>
          <w:lang w:val="sr-Latn-CS"/>
        </w:rPr>
        <w:t xml:space="preserve"> Indikatorom se mogu prikazati </w:t>
      </w:r>
      <w:r w:rsidRPr="00913E1C">
        <w:rPr>
          <w:rFonts w:ascii="Constantia" w:hAnsi="Constantia"/>
          <w:szCs w:val="22"/>
          <w:lang w:val="sr-Latn-CS"/>
        </w:rPr>
        <w:t>poda</w:t>
      </w:r>
      <w:r>
        <w:rPr>
          <w:rFonts w:ascii="Constantia" w:hAnsi="Constantia"/>
          <w:szCs w:val="22"/>
          <w:lang w:val="sr-Latn-CS"/>
        </w:rPr>
        <w:t xml:space="preserve">ci o broju motornih vozila prema vrsti, </w:t>
      </w:r>
      <w:r w:rsidRPr="00913E1C">
        <w:rPr>
          <w:rFonts w:ascii="Constantia" w:hAnsi="Constantia"/>
          <w:szCs w:val="22"/>
          <w:lang w:val="sr-Latn-CS"/>
        </w:rPr>
        <w:t>broju motornih vozila prema vrsti pogonskog  goriva koji koriste</w:t>
      </w:r>
      <w:r w:rsidR="00FB365E">
        <w:rPr>
          <w:rFonts w:ascii="Constantia" w:hAnsi="Constantia"/>
          <w:szCs w:val="22"/>
          <w:lang w:val="sr-Latn-CS"/>
        </w:rPr>
        <w:t xml:space="preserve"> </w:t>
      </w:r>
      <w:r w:rsidRPr="00913E1C">
        <w:rPr>
          <w:rFonts w:ascii="Constantia" w:hAnsi="Constantia"/>
          <w:szCs w:val="22"/>
          <w:lang w:val="sr-Latn-CS"/>
        </w:rPr>
        <w:t>(benzin, nafta, mješavina, dizel, elektropogon i</w:t>
      </w:r>
      <w:r>
        <w:rPr>
          <w:rFonts w:ascii="Constantia" w:hAnsi="Constantia"/>
          <w:szCs w:val="22"/>
          <w:lang w:val="sr-Latn-CS"/>
        </w:rPr>
        <w:t>td.</w:t>
      </w:r>
      <w:r w:rsidRPr="00913E1C">
        <w:rPr>
          <w:rFonts w:ascii="Constantia" w:hAnsi="Constantia"/>
          <w:szCs w:val="22"/>
          <w:lang w:val="sr-Latn-CS"/>
        </w:rPr>
        <w:t xml:space="preserve">), udio vozila koja </w:t>
      </w:r>
      <w:r>
        <w:rPr>
          <w:rFonts w:ascii="Constantia" w:hAnsi="Constantia"/>
          <w:szCs w:val="22"/>
          <w:lang w:val="sr-Latn-CS"/>
        </w:rPr>
        <w:t xml:space="preserve">koriste dizel gorivo u ukupnom </w:t>
      </w:r>
      <w:r w:rsidRPr="00913E1C">
        <w:rPr>
          <w:rFonts w:ascii="Constantia" w:hAnsi="Constantia"/>
          <w:szCs w:val="22"/>
          <w:lang w:val="sr-Latn-CS"/>
        </w:rPr>
        <w:t>broju vozila</w:t>
      </w:r>
      <w:r w:rsidR="00FB365E">
        <w:rPr>
          <w:rFonts w:ascii="Constantia" w:hAnsi="Constantia"/>
          <w:szCs w:val="22"/>
          <w:lang w:val="sr-Latn-CS"/>
        </w:rPr>
        <w:t xml:space="preserve"> i</w:t>
      </w:r>
      <w:r w:rsidRPr="00913E1C">
        <w:rPr>
          <w:rFonts w:ascii="Constantia" w:hAnsi="Constantia"/>
          <w:szCs w:val="22"/>
          <w:lang w:val="sr-Latn-CS"/>
        </w:rPr>
        <w:t xml:space="preserve"> broju putničkih vozila na hiljadu stanovnika.</w:t>
      </w:r>
      <w:r w:rsidRPr="00A43223">
        <w:t xml:space="preserve"> </w:t>
      </w:r>
    </w:p>
    <w:p w:rsidR="00912E35" w:rsidRPr="00913E1C" w:rsidRDefault="00912E35" w:rsidP="00FB365E">
      <w:pPr>
        <w:rPr>
          <w:rFonts w:ascii="Constantia" w:hAnsi="Constantia"/>
          <w:szCs w:val="22"/>
          <w:lang w:val="sr-Latn-CS"/>
        </w:rPr>
      </w:pPr>
      <w:r w:rsidRPr="00A43223">
        <w:rPr>
          <w:rFonts w:ascii="Constantia" w:hAnsi="Constantia"/>
          <w:szCs w:val="22"/>
          <w:lang w:val="sr-Latn-CS"/>
        </w:rPr>
        <w:t xml:space="preserve">Indikator pripada grupi </w:t>
      </w:r>
      <w:r w:rsidRPr="00B343CF">
        <w:rPr>
          <w:rFonts w:ascii="Constantia" w:hAnsi="Constantia"/>
          <w:b/>
          <w:szCs w:val="22"/>
          <w:lang w:val="sr-Latn-CS"/>
        </w:rPr>
        <w:t>pritisaka</w:t>
      </w:r>
      <w:r w:rsidRPr="00A43223">
        <w:rPr>
          <w:rFonts w:ascii="Constantia" w:hAnsi="Constantia"/>
          <w:szCs w:val="22"/>
          <w:lang w:val="sr-Latn-CS"/>
        </w:rPr>
        <w:t xml:space="preserve"> u DPS</w:t>
      </w:r>
      <w:r>
        <w:rPr>
          <w:rFonts w:ascii="Constantia" w:hAnsi="Constantia"/>
          <w:szCs w:val="22"/>
          <w:lang w:val="sr-Latn-CS"/>
        </w:rPr>
        <w:t>I</w:t>
      </w:r>
      <w:r w:rsidRPr="00A43223">
        <w:rPr>
          <w:rFonts w:ascii="Constantia" w:hAnsi="Constantia"/>
          <w:szCs w:val="22"/>
          <w:lang w:val="sr-Latn-CS"/>
        </w:rPr>
        <w:t>R modelu.</w:t>
      </w:r>
    </w:p>
    <w:tbl>
      <w:tblPr>
        <w:tblpPr w:leftFromText="180" w:rightFromText="180" w:vertAnchor="text" w:horzAnchor="margin" w:tblpY="317"/>
        <w:tblW w:w="9477" w:type="dxa"/>
        <w:tblLook w:val="04A0" w:firstRow="1" w:lastRow="0" w:firstColumn="1" w:lastColumn="0" w:noHBand="0" w:noVBand="1"/>
      </w:tblPr>
      <w:tblGrid>
        <w:gridCol w:w="615"/>
        <w:gridCol w:w="749"/>
        <w:gridCol w:w="1108"/>
        <w:gridCol w:w="794"/>
        <w:gridCol w:w="932"/>
        <w:gridCol w:w="893"/>
        <w:gridCol w:w="1100"/>
        <w:gridCol w:w="802"/>
        <w:gridCol w:w="747"/>
        <w:gridCol w:w="827"/>
        <w:gridCol w:w="910"/>
      </w:tblGrid>
      <w:tr w:rsidR="00912E35" w:rsidRPr="005E4028" w:rsidTr="00912E35">
        <w:trPr>
          <w:trHeight w:val="113"/>
        </w:trPr>
        <w:tc>
          <w:tcPr>
            <w:tcW w:w="615" w:type="dxa"/>
            <w:vMerge w:val="restart"/>
            <w:tcBorders>
              <w:top w:val="single" w:sz="12" w:space="0" w:color="auto"/>
              <w:left w:val="single" w:sz="12" w:space="0" w:color="auto"/>
              <w:right w:val="single" w:sz="4" w:space="0" w:color="auto"/>
            </w:tcBorders>
            <w:shd w:val="clear" w:color="auto" w:fill="D6D6FF" w:themeFill="accent4" w:themeFillTint="66"/>
            <w:noWrap/>
            <w:vAlign w:val="bottom"/>
            <w:hideMark/>
          </w:tcPr>
          <w:p w:rsidR="00912E35" w:rsidRPr="005E4028" w:rsidRDefault="00912E35" w:rsidP="00912E35">
            <w:pPr>
              <w:spacing w:after="0"/>
              <w:jc w:val="left"/>
              <w:rPr>
                <w:rFonts w:ascii="Constantia" w:hAnsi="Constantia" w:cstheme="minorHAnsi"/>
                <w:b/>
                <w:bCs/>
                <w:color w:val="000000"/>
                <w:sz w:val="18"/>
                <w:szCs w:val="18"/>
              </w:rPr>
            </w:pPr>
            <w:r>
              <w:rPr>
                <w:rFonts w:ascii="Constantia" w:hAnsi="Constantia" w:cstheme="minorHAnsi"/>
                <w:b/>
                <w:bCs/>
                <w:color w:val="000000"/>
                <w:sz w:val="18"/>
                <w:szCs w:val="18"/>
              </w:rPr>
              <w:t>God</w:t>
            </w:r>
          </w:p>
          <w:p w:rsidR="00912E35" w:rsidRPr="005E4028" w:rsidRDefault="00912E35" w:rsidP="00912E35">
            <w:pPr>
              <w:spacing w:after="0"/>
              <w:jc w:val="left"/>
              <w:rPr>
                <w:rFonts w:ascii="Constantia" w:hAnsi="Constantia" w:cstheme="minorHAnsi"/>
                <w:b/>
                <w:bCs/>
                <w:color w:val="000000"/>
                <w:sz w:val="18"/>
                <w:szCs w:val="18"/>
              </w:rPr>
            </w:pPr>
            <w:r w:rsidRPr="00947A1B">
              <w:rPr>
                <w:rFonts w:ascii="Constantia" w:hAnsi="Constantia" w:cstheme="minorHAnsi"/>
                <w:color w:val="000000"/>
                <w:sz w:val="18"/>
                <w:szCs w:val="18"/>
              </w:rPr>
              <w:t> </w:t>
            </w:r>
          </w:p>
        </w:tc>
        <w:tc>
          <w:tcPr>
            <w:tcW w:w="749" w:type="dxa"/>
            <w:tcBorders>
              <w:top w:val="single" w:sz="12" w:space="0" w:color="auto"/>
              <w:left w:val="nil"/>
              <w:bottom w:val="double" w:sz="4" w:space="0" w:color="auto"/>
              <w:right w:val="nil"/>
            </w:tcBorders>
            <w:shd w:val="clear" w:color="auto" w:fill="D6D6FF" w:themeFill="accent4" w:themeFillTint="66"/>
            <w:noWrap/>
            <w:vAlign w:val="bottom"/>
            <w:hideMark/>
          </w:tcPr>
          <w:p w:rsidR="00912E35" w:rsidRPr="005E4028" w:rsidRDefault="00912E35" w:rsidP="00912E35">
            <w:pPr>
              <w:spacing w:after="0"/>
              <w:jc w:val="left"/>
              <w:rPr>
                <w:rFonts w:ascii="Constantia" w:hAnsi="Constantia" w:cs="Calibri"/>
                <w:b/>
                <w:bCs/>
                <w:color w:val="000000"/>
                <w:szCs w:val="22"/>
              </w:rPr>
            </w:pPr>
            <w:r w:rsidRPr="00947A1B">
              <w:rPr>
                <w:rFonts w:ascii="Constantia" w:hAnsi="Constantia" w:cs="Calibri"/>
                <w:b/>
                <w:bCs/>
                <w:color w:val="000000"/>
                <w:szCs w:val="22"/>
              </w:rPr>
              <w:t> </w:t>
            </w:r>
          </w:p>
        </w:tc>
        <w:tc>
          <w:tcPr>
            <w:tcW w:w="1108" w:type="dxa"/>
            <w:tcBorders>
              <w:top w:val="single" w:sz="12" w:space="0" w:color="auto"/>
              <w:left w:val="nil"/>
              <w:bottom w:val="double" w:sz="4" w:space="0" w:color="auto"/>
              <w:right w:val="nil"/>
            </w:tcBorders>
            <w:shd w:val="clear" w:color="auto" w:fill="D6D6FF" w:themeFill="accent4" w:themeFillTint="66"/>
            <w:noWrap/>
            <w:vAlign w:val="bottom"/>
            <w:hideMark/>
          </w:tcPr>
          <w:p w:rsidR="00912E35" w:rsidRPr="005E4028" w:rsidRDefault="00912E35" w:rsidP="00912E35">
            <w:pPr>
              <w:spacing w:after="0"/>
              <w:jc w:val="left"/>
              <w:rPr>
                <w:rFonts w:ascii="Constantia" w:hAnsi="Constantia" w:cs="Calibri"/>
                <w:b/>
                <w:bCs/>
                <w:color w:val="000000"/>
                <w:szCs w:val="22"/>
              </w:rPr>
            </w:pPr>
            <w:r w:rsidRPr="00947A1B">
              <w:rPr>
                <w:rFonts w:ascii="Constantia" w:hAnsi="Constantia" w:cs="Calibri"/>
                <w:b/>
                <w:bCs/>
                <w:color w:val="000000"/>
                <w:szCs w:val="22"/>
              </w:rPr>
              <w:t> </w:t>
            </w:r>
          </w:p>
        </w:tc>
        <w:tc>
          <w:tcPr>
            <w:tcW w:w="794" w:type="dxa"/>
            <w:tcBorders>
              <w:top w:val="single" w:sz="12" w:space="0" w:color="auto"/>
              <w:left w:val="nil"/>
              <w:bottom w:val="double" w:sz="4" w:space="0" w:color="auto"/>
              <w:right w:val="nil"/>
            </w:tcBorders>
            <w:shd w:val="clear" w:color="auto" w:fill="D6D6FF" w:themeFill="accent4" w:themeFillTint="66"/>
            <w:noWrap/>
            <w:vAlign w:val="bottom"/>
            <w:hideMark/>
          </w:tcPr>
          <w:p w:rsidR="00912E35" w:rsidRPr="005E4028" w:rsidRDefault="00912E35" w:rsidP="00912E35">
            <w:pPr>
              <w:spacing w:after="0"/>
              <w:jc w:val="left"/>
              <w:rPr>
                <w:rFonts w:ascii="Constantia" w:hAnsi="Constantia" w:cs="Calibri"/>
                <w:b/>
                <w:bCs/>
                <w:color w:val="000000"/>
                <w:szCs w:val="22"/>
              </w:rPr>
            </w:pPr>
            <w:r w:rsidRPr="00947A1B">
              <w:rPr>
                <w:rFonts w:ascii="Constantia" w:hAnsi="Constantia" w:cs="Calibri"/>
                <w:b/>
                <w:bCs/>
                <w:color w:val="000000"/>
                <w:szCs w:val="22"/>
              </w:rPr>
              <w:t> </w:t>
            </w:r>
          </w:p>
        </w:tc>
        <w:tc>
          <w:tcPr>
            <w:tcW w:w="2925" w:type="dxa"/>
            <w:gridSpan w:val="3"/>
            <w:tcBorders>
              <w:top w:val="single" w:sz="12" w:space="0" w:color="auto"/>
              <w:left w:val="nil"/>
              <w:bottom w:val="double" w:sz="4" w:space="0" w:color="auto"/>
              <w:right w:val="nil"/>
            </w:tcBorders>
            <w:shd w:val="clear" w:color="auto" w:fill="D6D6FF" w:themeFill="accent4" w:themeFillTint="66"/>
            <w:noWrap/>
            <w:vAlign w:val="bottom"/>
            <w:hideMark/>
          </w:tcPr>
          <w:p w:rsidR="00912E35" w:rsidRPr="00946F52" w:rsidRDefault="00912E35" w:rsidP="00D05784">
            <w:pPr>
              <w:spacing w:after="0"/>
              <w:jc w:val="left"/>
              <w:rPr>
                <w:rFonts w:ascii="Constantia" w:hAnsi="Constantia" w:cstheme="minorHAnsi"/>
                <w:b/>
                <w:bCs/>
                <w:color w:val="000000"/>
                <w:sz w:val="18"/>
                <w:szCs w:val="18"/>
              </w:rPr>
            </w:pPr>
            <w:r w:rsidRPr="00946F52">
              <w:rPr>
                <w:rFonts w:ascii="Constantia" w:hAnsi="Constantia" w:cstheme="minorHAnsi"/>
                <w:b/>
                <w:bCs/>
                <w:color w:val="000000"/>
                <w:sz w:val="18"/>
                <w:szCs w:val="18"/>
              </w:rPr>
              <w:t>VRSTA MOTORNOG VOZIL</w:t>
            </w:r>
            <w:r w:rsidR="00D05784">
              <w:rPr>
                <w:rFonts w:ascii="Constantia" w:hAnsi="Constantia" w:cstheme="minorHAnsi"/>
                <w:b/>
                <w:bCs/>
                <w:color w:val="000000"/>
                <w:sz w:val="18"/>
                <w:szCs w:val="18"/>
              </w:rPr>
              <w:t>A</w:t>
            </w:r>
          </w:p>
        </w:tc>
        <w:tc>
          <w:tcPr>
            <w:tcW w:w="802" w:type="dxa"/>
            <w:tcBorders>
              <w:top w:val="single" w:sz="12" w:space="0" w:color="auto"/>
              <w:left w:val="nil"/>
              <w:bottom w:val="double" w:sz="4" w:space="0" w:color="auto"/>
              <w:right w:val="nil"/>
            </w:tcBorders>
            <w:shd w:val="clear" w:color="auto" w:fill="D6D6FF" w:themeFill="accent4" w:themeFillTint="66"/>
            <w:noWrap/>
            <w:vAlign w:val="bottom"/>
            <w:hideMark/>
          </w:tcPr>
          <w:p w:rsidR="00912E35" w:rsidRPr="005E4028" w:rsidRDefault="00912E35" w:rsidP="00912E35">
            <w:pPr>
              <w:spacing w:after="0"/>
              <w:jc w:val="left"/>
              <w:rPr>
                <w:rFonts w:ascii="Constantia" w:hAnsi="Constantia" w:cstheme="minorHAnsi"/>
                <w:b/>
                <w:bCs/>
                <w:color w:val="000000"/>
                <w:sz w:val="18"/>
                <w:szCs w:val="18"/>
              </w:rPr>
            </w:pPr>
            <w:r w:rsidRPr="00947A1B">
              <w:rPr>
                <w:rFonts w:ascii="Constantia" w:hAnsi="Constantia" w:cstheme="minorHAnsi"/>
                <w:b/>
                <w:bCs/>
                <w:color w:val="000000"/>
                <w:sz w:val="18"/>
                <w:szCs w:val="18"/>
              </w:rPr>
              <w:t> </w:t>
            </w:r>
          </w:p>
        </w:tc>
        <w:tc>
          <w:tcPr>
            <w:tcW w:w="747" w:type="dxa"/>
            <w:tcBorders>
              <w:top w:val="single" w:sz="12" w:space="0" w:color="auto"/>
              <w:left w:val="nil"/>
              <w:bottom w:val="double" w:sz="4" w:space="0" w:color="auto"/>
              <w:right w:val="nil"/>
            </w:tcBorders>
            <w:shd w:val="clear" w:color="auto" w:fill="D6D6FF" w:themeFill="accent4" w:themeFillTint="66"/>
            <w:noWrap/>
            <w:vAlign w:val="bottom"/>
            <w:hideMark/>
          </w:tcPr>
          <w:p w:rsidR="00912E35" w:rsidRPr="005E4028" w:rsidRDefault="00912E35" w:rsidP="00912E35">
            <w:pPr>
              <w:spacing w:after="0"/>
              <w:jc w:val="left"/>
              <w:rPr>
                <w:rFonts w:ascii="Constantia" w:hAnsi="Constantia" w:cstheme="minorHAnsi"/>
                <w:b/>
                <w:bCs/>
                <w:color w:val="000000"/>
                <w:sz w:val="18"/>
                <w:szCs w:val="18"/>
              </w:rPr>
            </w:pPr>
            <w:r w:rsidRPr="00947A1B">
              <w:rPr>
                <w:rFonts w:ascii="Constantia" w:hAnsi="Constantia" w:cstheme="minorHAnsi"/>
                <w:b/>
                <w:bCs/>
                <w:color w:val="000000"/>
                <w:sz w:val="18"/>
                <w:szCs w:val="18"/>
              </w:rPr>
              <w:t> </w:t>
            </w:r>
          </w:p>
        </w:tc>
        <w:tc>
          <w:tcPr>
            <w:tcW w:w="827" w:type="dxa"/>
            <w:tcBorders>
              <w:top w:val="single" w:sz="12" w:space="0" w:color="auto"/>
              <w:left w:val="nil"/>
              <w:bottom w:val="double" w:sz="4" w:space="0" w:color="auto"/>
              <w:right w:val="single" w:sz="4" w:space="0" w:color="auto"/>
            </w:tcBorders>
            <w:shd w:val="clear" w:color="auto" w:fill="D6D6FF" w:themeFill="accent4" w:themeFillTint="66"/>
            <w:noWrap/>
            <w:vAlign w:val="bottom"/>
            <w:hideMark/>
          </w:tcPr>
          <w:p w:rsidR="00912E35" w:rsidRPr="005E4028" w:rsidRDefault="00912E35" w:rsidP="00912E35">
            <w:pPr>
              <w:spacing w:after="0"/>
              <w:jc w:val="left"/>
              <w:rPr>
                <w:rFonts w:ascii="Constantia" w:hAnsi="Constantia" w:cstheme="minorHAnsi"/>
                <w:b/>
                <w:bCs/>
                <w:color w:val="000000"/>
                <w:sz w:val="18"/>
                <w:szCs w:val="18"/>
              </w:rPr>
            </w:pPr>
            <w:r w:rsidRPr="00947A1B">
              <w:rPr>
                <w:rFonts w:ascii="Constantia" w:hAnsi="Constantia" w:cstheme="minorHAnsi"/>
                <w:b/>
                <w:bCs/>
                <w:color w:val="000000"/>
                <w:sz w:val="18"/>
                <w:szCs w:val="18"/>
              </w:rPr>
              <w:t> </w:t>
            </w:r>
          </w:p>
        </w:tc>
        <w:tc>
          <w:tcPr>
            <w:tcW w:w="910" w:type="dxa"/>
            <w:tcBorders>
              <w:top w:val="single" w:sz="12" w:space="0" w:color="auto"/>
              <w:left w:val="single" w:sz="4" w:space="0" w:color="auto"/>
              <w:bottom w:val="nil"/>
              <w:right w:val="single" w:sz="12" w:space="0" w:color="auto"/>
            </w:tcBorders>
            <w:shd w:val="clear" w:color="auto" w:fill="D6D6FF" w:themeFill="accent4" w:themeFillTint="66"/>
            <w:noWrap/>
            <w:vAlign w:val="bottom"/>
            <w:hideMark/>
          </w:tcPr>
          <w:p w:rsidR="00912E35" w:rsidRPr="005E4028" w:rsidRDefault="00912E35" w:rsidP="00912E35">
            <w:pPr>
              <w:spacing w:after="0"/>
              <w:jc w:val="left"/>
              <w:rPr>
                <w:rFonts w:ascii="Constantia" w:hAnsi="Constantia" w:cstheme="minorHAnsi"/>
                <w:b/>
                <w:bCs/>
                <w:color w:val="000000"/>
                <w:sz w:val="18"/>
                <w:szCs w:val="18"/>
              </w:rPr>
            </w:pPr>
          </w:p>
        </w:tc>
      </w:tr>
      <w:tr w:rsidR="00912E35" w:rsidRPr="005E4028" w:rsidTr="00912E35">
        <w:trPr>
          <w:trHeight w:val="347"/>
        </w:trPr>
        <w:tc>
          <w:tcPr>
            <w:tcW w:w="615" w:type="dxa"/>
            <w:vMerge/>
            <w:tcBorders>
              <w:left w:val="single" w:sz="12" w:space="0" w:color="auto"/>
              <w:bottom w:val="single" w:sz="4" w:space="0" w:color="auto"/>
              <w:right w:val="single" w:sz="4" w:space="0" w:color="auto"/>
            </w:tcBorders>
            <w:shd w:val="clear" w:color="auto" w:fill="auto"/>
            <w:noWrap/>
            <w:vAlign w:val="bottom"/>
            <w:hideMark/>
          </w:tcPr>
          <w:p w:rsidR="00912E35" w:rsidRPr="005E4028" w:rsidRDefault="00912E35" w:rsidP="00912E35">
            <w:pPr>
              <w:spacing w:after="0"/>
              <w:jc w:val="left"/>
              <w:rPr>
                <w:rFonts w:ascii="Constantia" w:hAnsi="Constantia" w:cs="Calibri"/>
                <w:color w:val="000000"/>
                <w:szCs w:val="22"/>
              </w:rPr>
            </w:pPr>
          </w:p>
        </w:tc>
        <w:tc>
          <w:tcPr>
            <w:tcW w:w="749" w:type="dxa"/>
            <w:tcBorders>
              <w:top w:val="double" w:sz="4" w:space="0" w:color="auto"/>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b/>
                <w:bCs/>
                <w:color w:val="000000"/>
                <w:sz w:val="18"/>
                <w:szCs w:val="18"/>
              </w:rPr>
            </w:pPr>
            <w:r w:rsidRPr="00947A1B">
              <w:rPr>
                <w:rFonts w:ascii="Constantia" w:hAnsi="Constantia" w:cs="Calibri"/>
                <w:b/>
                <w:bCs/>
                <w:color w:val="000000"/>
                <w:sz w:val="18"/>
                <w:szCs w:val="18"/>
              </w:rPr>
              <w:t>Motor</w:t>
            </w:r>
          </w:p>
        </w:tc>
        <w:tc>
          <w:tcPr>
            <w:tcW w:w="1108" w:type="dxa"/>
            <w:tcBorders>
              <w:top w:val="double" w:sz="4" w:space="0" w:color="auto"/>
              <w:left w:val="nil"/>
              <w:bottom w:val="single" w:sz="4" w:space="0" w:color="auto"/>
              <w:right w:val="single" w:sz="4" w:space="0" w:color="auto"/>
            </w:tcBorders>
            <w:shd w:val="clear" w:color="auto" w:fill="auto"/>
            <w:noWrap/>
            <w:vAlign w:val="bottom"/>
            <w:hideMark/>
          </w:tcPr>
          <w:p w:rsidR="00912E35" w:rsidRPr="005E4028" w:rsidRDefault="00912E35" w:rsidP="00912E35">
            <w:pPr>
              <w:spacing w:after="0"/>
              <w:jc w:val="left"/>
              <w:rPr>
                <w:rFonts w:ascii="Constantia" w:hAnsi="Constantia" w:cs="Calibri"/>
                <w:b/>
                <w:bCs/>
                <w:color w:val="000000"/>
                <w:sz w:val="18"/>
                <w:szCs w:val="18"/>
              </w:rPr>
            </w:pPr>
            <w:r w:rsidRPr="00947A1B">
              <w:rPr>
                <w:rFonts w:ascii="Constantia" w:hAnsi="Constantia" w:cs="Calibri"/>
                <w:b/>
                <w:bCs/>
                <w:color w:val="000000"/>
                <w:sz w:val="18"/>
                <w:szCs w:val="18"/>
              </w:rPr>
              <w:t>Putnički auto</w:t>
            </w:r>
            <w:r>
              <w:rPr>
                <w:rFonts w:ascii="Constantia" w:hAnsi="Constantia" w:cs="Calibri"/>
                <w:b/>
                <w:bCs/>
                <w:color w:val="000000"/>
                <w:sz w:val="18"/>
                <w:szCs w:val="18"/>
              </w:rPr>
              <w:t>mobil</w:t>
            </w:r>
          </w:p>
        </w:tc>
        <w:tc>
          <w:tcPr>
            <w:tcW w:w="794" w:type="dxa"/>
            <w:tcBorders>
              <w:top w:val="double" w:sz="4" w:space="0" w:color="auto"/>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b/>
                <w:bCs/>
                <w:color w:val="000000"/>
                <w:sz w:val="18"/>
                <w:szCs w:val="18"/>
              </w:rPr>
            </w:pPr>
            <w:r w:rsidRPr="00947A1B">
              <w:rPr>
                <w:rFonts w:ascii="Constantia" w:hAnsi="Constantia" w:cs="Calibri"/>
                <w:b/>
                <w:bCs/>
                <w:color w:val="000000"/>
                <w:sz w:val="18"/>
                <w:szCs w:val="18"/>
              </w:rPr>
              <w:t>Kombi</w:t>
            </w:r>
          </w:p>
        </w:tc>
        <w:tc>
          <w:tcPr>
            <w:tcW w:w="932" w:type="dxa"/>
            <w:tcBorders>
              <w:top w:val="double" w:sz="4" w:space="0" w:color="auto"/>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b/>
                <w:bCs/>
                <w:color w:val="000000"/>
                <w:sz w:val="18"/>
                <w:szCs w:val="18"/>
              </w:rPr>
            </w:pPr>
            <w:r w:rsidRPr="00947A1B">
              <w:rPr>
                <w:rFonts w:ascii="Constantia" w:hAnsi="Constantia" w:cs="Calibri"/>
                <w:b/>
                <w:bCs/>
                <w:color w:val="000000"/>
                <w:sz w:val="18"/>
                <w:szCs w:val="18"/>
              </w:rPr>
              <w:t>Autobus</w:t>
            </w:r>
          </w:p>
        </w:tc>
        <w:tc>
          <w:tcPr>
            <w:tcW w:w="893" w:type="dxa"/>
            <w:tcBorders>
              <w:top w:val="double" w:sz="4" w:space="0" w:color="auto"/>
              <w:left w:val="nil"/>
              <w:bottom w:val="single" w:sz="4" w:space="0" w:color="auto"/>
              <w:right w:val="single" w:sz="4" w:space="0" w:color="auto"/>
            </w:tcBorders>
            <w:shd w:val="clear" w:color="auto" w:fill="auto"/>
            <w:noWrap/>
            <w:vAlign w:val="bottom"/>
            <w:hideMark/>
          </w:tcPr>
          <w:p w:rsidR="00912E35" w:rsidRPr="005E4028" w:rsidRDefault="00912E35" w:rsidP="00912E35">
            <w:pPr>
              <w:spacing w:after="0"/>
              <w:jc w:val="left"/>
              <w:rPr>
                <w:rFonts w:ascii="Constantia" w:hAnsi="Constantia" w:cs="Calibri"/>
                <w:b/>
                <w:bCs/>
                <w:color w:val="000000"/>
                <w:sz w:val="18"/>
                <w:szCs w:val="18"/>
              </w:rPr>
            </w:pPr>
            <w:r w:rsidRPr="00947A1B">
              <w:rPr>
                <w:rFonts w:ascii="Constantia" w:hAnsi="Constantia" w:cs="Calibri"/>
                <w:b/>
                <w:bCs/>
                <w:color w:val="000000"/>
                <w:sz w:val="18"/>
                <w:szCs w:val="18"/>
              </w:rPr>
              <w:t>Teretno vozilo</w:t>
            </w:r>
          </w:p>
        </w:tc>
        <w:tc>
          <w:tcPr>
            <w:tcW w:w="1100" w:type="dxa"/>
            <w:tcBorders>
              <w:top w:val="double" w:sz="4" w:space="0" w:color="auto"/>
              <w:left w:val="nil"/>
              <w:bottom w:val="single" w:sz="4" w:space="0" w:color="auto"/>
              <w:right w:val="single" w:sz="4" w:space="0" w:color="auto"/>
            </w:tcBorders>
            <w:shd w:val="clear" w:color="auto" w:fill="auto"/>
            <w:noWrap/>
            <w:vAlign w:val="bottom"/>
            <w:hideMark/>
          </w:tcPr>
          <w:p w:rsidR="00912E35" w:rsidRPr="005E4028" w:rsidRDefault="00912E35" w:rsidP="00912E35">
            <w:pPr>
              <w:spacing w:after="0"/>
              <w:jc w:val="left"/>
              <w:rPr>
                <w:rFonts w:ascii="Constantia" w:hAnsi="Constantia" w:cs="Calibri"/>
                <w:b/>
                <w:bCs/>
                <w:color w:val="000000"/>
                <w:sz w:val="18"/>
                <w:szCs w:val="18"/>
              </w:rPr>
            </w:pPr>
            <w:r>
              <w:rPr>
                <w:rFonts w:ascii="Constantia" w:hAnsi="Constantia" w:cs="Calibri"/>
                <w:b/>
                <w:bCs/>
                <w:color w:val="000000"/>
                <w:sz w:val="18"/>
                <w:szCs w:val="18"/>
              </w:rPr>
              <w:t>Specijalno ter. vozilo</w:t>
            </w:r>
          </w:p>
        </w:tc>
        <w:tc>
          <w:tcPr>
            <w:tcW w:w="802" w:type="dxa"/>
            <w:tcBorders>
              <w:top w:val="double" w:sz="4" w:space="0" w:color="auto"/>
              <w:left w:val="nil"/>
              <w:bottom w:val="single" w:sz="4" w:space="0" w:color="auto"/>
              <w:right w:val="single" w:sz="4" w:space="0" w:color="auto"/>
            </w:tcBorders>
            <w:shd w:val="clear" w:color="auto" w:fill="auto"/>
            <w:noWrap/>
            <w:vAlign w:val="bottom"/>
            <w:hideMark/>
          </w:tcPr>
          <w:p w:rsidR="00912E35" w:rsidRPr="005E4028" w:rsidRDefault="00912E35" w:rsidP="00912E35">
            <w:pPr>
              <w:spacing w:after="0"/>
              <w:jc w:val="left"/>
              <w:rPr>
                <w:rFonts w:ascii="Constantia" w:hAnsi="Constantia" w:cs="Calibri"/>
                <w:b/>
                <w:bCs/>
                <w:color w:val="000000"/>
                <w:sz w:val="18"/>
                <w:szCs w:val="18"/>
              </w:rPr>
            </w:pPr>
            <w:r w:rsidRPr="00947A1B">
              <w:rPr>
                <w:rFonts w:ascii="Constantia" w:hAnsi="Constantia" w:cs="Calibri"/>
                <w:b/>
                <w:bCs/>
                <w:color w:val="000000"/>
                <w:sz w:val="18"/>
                <w:szCs w:val="18"/>
              </w:rPr>
              <w:t>Vučno vozilo</w:t>
            </w:r>
          </w:p>
        </w:tc>
        <w:tc>
          <w:tcPr>
            <w:tcW w:w="747" w:type="dxa"/>
            <w:tcBorders>
              <w:top w:val="double" w:sz="4" w:space="0" w:color="auto"/>
              <w:left w:val="nil"/>
              <w:bottom w:val="single" w:sz="4" w:space="0" w:color="auto"/>
              <w:right w:val="single" w:sz="4" w:space="0" w:color="auto"/>
            </w:tcBorders>
            <w:shd w:val="clear" w:color="auto" w:fill="auto"/>
            <w:noWrap/>
            <w:vAlign w:val="bottom"/>
            <w:hideMark/>
          </w:tcPr>
          <w:p w:rsidR="00912E35" w:rsidRDefault="00912E35" w:rsidP="00912E35">
            <w:pPr>
              <w:spacing w:after="0"/>
              <w:jc w:val="left"/>
              <w:rPr>
                <w:rFonts w:ascii="Constantia" w:hAnsi="Constantia" w:cs="Calibri"/>
                <w:b/>
                <w:bCs/>
                <w:color w:val="000000"/>
                <w:sz w:val="18"/>
                <w:szCs w:val="18"/>
              </w:rPr>
            </w:pPr>
            <w:r w:rsidRPr="00947A1B">
              <w:rPr>
                <w:rFonts w:ascii="Constantia" w:hAnsi="Constantia" w:cs="Calibri"/>
                <w:b/>
                <w:bCs/>
                <w:color w:val="000000"/>
                <w:sz w:val="18"/>
                <w:szCs w:val="18"/>
              </w:rPr>
              <w:t>Priklj.</w:t>
            </w:r>
          </w:p>
          <w:p w:rsidR="00912E35" w:rsidRPr="005E4028" w:rsidRDefault="00912E35" w:rsidP="00912E35">
            <w:pPr>
              <w:spacing w:after="0"/>
              <w:jc w:val="left"/>
              <w:rPr>
                <w:rFonts w:ascii="Constantia" w:hAnsi="Constantia" w:cs="Calibri"/>
                <w:b/>
                <w:bCs/>
                <w:color w:val="000000"/>
                <w:sz w:val="18"/>
                <w:szCs w:val="18"/>
              </w:rPr>
            </w:pPr>
            <w:r>
              <w:rPr>
                <w:rFonts w:ascii="Constantia" w:hAnsi="Constantia" w:cs="Calibri"/>
                <w:b/>
                <w:bCs/>
                <w:color w:val="000000"/>
                <w:sz w:val="18"/>
                <w:szCs w:val="18"/>
              </w:rPr>
              <w:t>vozilo</w:t>
            </w:r>
          </w:p>
        </w:tc>
        <w:tc>
          <w:tcPr>
            <w:tcW w:w="827" w:type="dxa"/>
            <w:tcBorders>
              <w:top w:val="double" w:sz="4" w:space="0" w:color="auto"/>
              <w:left w:val="nil"/>
              <w:bottom w:val="single" w:sz="4" w:space="0" w:color="auto"/>
              <w:right w:val="single" w:sz="4" w:space="0" w:color="auto"/>
            </w:tcBorders>
            <w:shd w:val="clear" w:color="auto" w:fill="auto"/>
            <w:noWrap/>
            <w:vAlign w:val="bottom"/>
            <w:hideMark/>
          </w:tcPr>
          <w:p w:rsidR="00912E35" w:rsidRDefault="00912E35" w:rsidP="00912E35">
            <w:pPr>
              <w:spacing w:after="0"/>
              <w:jc w:val="left"/>
              <w:rPr>
                <w:rFonts w:ascii="Constantia" w:hAnsi="Constantia" w:cs="Calibri"/>
                <w:b/>
                <w:bCs/>
                <w:color w:val="000000"/>
                <w:sz w:val="18"/>
                <w:szCs w:val="18"/>
              </w:rPr>
            </w:pPr>
            <w:r w:rsidRPr="00947A1B">
              <w:rPr>
                <w:rFonts w:ascii="Constantia" w:hAnsi="Constantia" w:cs="Calibri"/>
                <w:b/>
                <w:bCs/>
                <w:color w:val="000000"/>
                <w:sz w:val="18"/>
                <w:szCs w:val="18"/>
              </w:rPr>
              <w:t>Polj</w:t>
            </w:r>
            <w:r>
              <w:rPr>
                <w:rFonts w:ascii="Constantia" w:hAnsi="Constantia" w:cs="Calibri"/>
                <w:b/>
                <w:bCs/>
                <w:color w:val="000000"/>
                <w:sz w:val="18"/>
                <w:szCs w:val="18"/>
              </w:rPr>
              <w:t>op</w:t>
            </w:r>
            <w:r w:rsidRPr="00947A1B">
              <w:rPr>
                <w:rFonts w:ascii="Constantia" w:hAnsi="Constantia" w:cs="Calibri"/>
                <w:b/>
                <w:bCs/>
                <w:color w:val="000000"/>
                <w:sz w:val="18"/>
                <w:szCs w:val="18"/>
              </w:rPr>
              <w:t>.</w:t>
            </w:r>
          </w:p>
          <w:p w:rsidR="00912E35" w:rsidRPr="005E4028" w:rsidRDefault="00912E35" w:rsidP="00912E35">
            <w:pPr>
              <w:spacing w:after="0"/>
              <w:jc w:val="left"/>
              <w:rPr>
                <w:rFonts w:ascii="Constantia" w:hAnsi="Constantia" w:cs="Calibri"/>
                <w:b/>
                <w:bCs/>
                <w:color w:val="000000"/>
                <w:sz w:val="18"/>
                <w:szCs w:val="18"/>
              </w:rPr>
            </w:pPr>
            <w:r>
              <w:rPr>
                <w:rFonts w:ascii="Constantia" w:hAnsi="Constantia" w:cs="Calibri"/>
                <w:b/>
                <w:bCs/>
                <w:color w:val="000000"/>
                <w:sz w:val="18"/>
                <w:szCs w:val="18"/>
              </w:rPr>
              <w:t>traktor</w:t>
            </w:r>
          </w:p>
        </w:tc>
        <w:tc>
          <w:tcPr>
            <w:tcW w:w="910" w:type="dxa"/>
            <w:tcBorders>
              <w:top w:val="nil"/>
              <w:left w:val="nil"/>
              <w:bottom w:val="single" w:sz="4" w:space="0" w:color="auto"/>
              <w:right w:val="single" w:sz="12" w:space="0" w:color="auto"/>
            </w:tcBorders>
            <w:shd w:val="clear" w:color="auto" w:fill="D6D6FF" w:themeFill="accent4" w:themeFillTint="66"/>
            <w:noWrap/>
            <w:vAlign w:val="center"/>
            <w:hideMark/>
          </w:tcPr>
          <w:p w:rsidR="00912E35" w:rsidRPr="005E4028" w:rsidRDefault="00912E35" w:rsidP="00912E35">
            <w:pPr>
              <w:spacing w:after="0"/>
              <w:rPr>
                <w:rFonts w:ascii="Constantia" w:hAnsi="Constantia" w:cs="Calibri"/>
                <w:color w:val="000000"/>
                <w:szCs w:val="22"/>
              </w:rPr>
            </w:pPr>
            <w:r w:rsidRPr="00947A1B">
              <w:rPr>
                <w:rFonts w:ascii="Constantia" w:hAnsi="Constantia" w:cstheme="minorHAnsi"/>
                <w:b/>
                <w:bCs/>
                <w:color w:val="000000"/>
                <w:sz w:val="18"/>
                <w:szCs w:val="18"/>
              </w:rPr>
              <w:t>U</w:t>
            </w:r>
            <w:r w:rsidRPr="00946F52">
              <w:rPr>
                <w:rFonts w:ascii="Constantia" w:hAnsi="Constantia" w:cstheme="minorHAnsi"/>
                <w:b/>
                <w:bCs/>
                <w:color w:val="000000"/>
                <w:sz w:val="18"/>
                <w:szCs w:val="18"/>
                <w:shd w:val="clear" w:color="auto" w:fill="D6D6FF" w:themeFill="accent4" w:themeFillTint="66"/>
              </w:rPr>
              <w:t>kupno</w:t>
            </w:r>
          </w:p>
        </w:tc>
      </w:tr>
      <w:tr w:rsidR="00912E35" w:rsidRPr="005E4028" w:rsidTr="00912E35">
        <w:trPr>
          <w:trHeight w:val="221"/>
        </w:trPr>
        <w:tc>
          <w:tcPr>
            <w:tcW w:w="615" w:type="dxa"/>
            <w:tcBorders>
              <w:top w:val="nil"/>
              <w:left w:val="single" w:sz="12" w:space="0" w:color="auto"/>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b/>
                <w:bCs/>
                <w:color w:val="000000"/>
                <w:sz w:val="18"/>
                <w:szCs w:val="18"/>
              </w:rPr>
            </w:pPr>
            <w:r w:rsidRPr="00947A1B">
              <w:rPr>
                <w:rFonts w:ascii="Constantia" w:hAnsi="Constantia" w:cs="Calibri"/>
                <w:b/>
                <w:bCs/>
                <w:color w:val="000000"/>
                <w:sz w:val="18"/>
                <w:szCs w:val="18"/>
              </w:rPr>
              <w:t>1990</w:t>
            </w:r>
          </w:p>
        </w:tc>
        <w:tc>
          <w:tcPr>
            <w:tcW w:w="749"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38</w:t>
            </w:r>
          </w:p>
        </w:tc>
        <w:tc>
          <w:tcPr>
            <w:tcW w:w="1108"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2351</w:t>
            </w:r>
          </w:p>
        </w:tc>
        <w:tc>
          <w:tcPr>
            <w:tcW w:w="794"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50</w:t>
            </w:r>
          </w:p>
        </w:tc>
        <w:tc>
          <w:tcPr>
            <w:tcW w:w="932"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35</w:t>
            </w:r>
          </w:p>
        </w:tc>
        <w:tc>
          <w:tcPr>
            <w:tcW w:w="893"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149</w:t>
            </w:r>
          </w:p>
        </w:tc>
        <w:tc>
          <w:tcPr>
            <w:tcW w:w="1100"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27</w:t>
            </w:r>
          </w:p>
        </w:tc>
        <w:tc>
          <w:tcPr>
            <w:tcW w:w="802"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12</w:t>
            </w:r>
          </w:p>
        </w:tc>
        <w:tc>
          <w:tcPr>
            <w:tcW w:w="747"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84</w:t>
            </w:r>
          </w:p>
        </w:tc>
        <w:tc>
          <w:tcPr>
            <w:tcW w:w="827"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5</w:t>
            </w:r>
          </w:p>
        </w:tc>
        <w:tc>
          <w:tcPr>
            <w:tcW w:w="910" w:type="dxa"/>
            <w:tcBorders>
              <w:top w:val="nil"/>
              <w:left w:val="nil"/>
              <w:bottom w:val="single" w:sz="4" w:space="0" w:color="auto"/>
              <w:right w:val="single" w:sz="12" w:space="0" w:color="auto"/>
            </w:tcBorders>
            <w:shd w:val="clear" w:color="auto" w:fill="auto"/>
            <w:noWrap/>
            <w:hideMark/>
          </w:tcPr>
          <w:p w:rsidR="00912E35" w:rsidRPr="005E4028" w:rsidRDefault="00912E35" w:rsidP="00912E35">
            <w:pPr>
              <w:jc w:val="center"/>
              <w:rPr>
                <w:rFonts w:ascii="Constantia" w:hAnsi="Constantia" w:cstheme="minorHAnsi"/>
                <w:b/>
                <w:sz w:val="18"/>
                <w:szCs w:val="18"/>
              </w:rPr>
            </w:pPr>
            <w:r w:rsidRPr="00947A1B">
              <w:rPr>
                <w:rFonts w:ascii="Constantia" w:hAnsi="Constantia" w:cstheme="minorHAnsi"/>
                <w:b/>
                <w:sz w:val="18"/>
                <w:szCs w:val="18"/>
              </w:rPr>
              <w:t>2751</w:t>
            </w:r>
          </w:p>
        </w:tc>
      </w:tr>
      <w:tr w:rsidR="00912E35" w:rsidRPr="005E4028" w:rsidTr="00912E35">
        <w:trPr>
          <w:trHeight w:val="20"/>
        </w:trPr>
        <w:tc>
          <w:tcPr>
            <w:tcW w:w="615" w:type="dxa"/>
            <w:tcBorders>
              <w:top w:val="nil"/>
              <w:left w:val="single" w:sz="12" w:space="0" w:color="auto"/>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b/>
                <w:bCs/>
                <w:color w:val="000000"/>
                <w:sz w:val="18"/>
                <w:szCs w:val="18"/>
              </w:rPr>
            </w:pPr>
            <w:r w:rsidRPr="00947A1B">
              <w:rPr>
                <w:rFonts w:ascii="Constantia" w:hAnsi="Constantia" w:cs="Calibri"/>
                <w:b/>
                <w:bCs/>
                <w:color w:val="000000"/>
                <w:sz w:val="18"/>
                <w:szCs w:val="18"/>
              </w:rPr>
              <w:t>1991</w:t>
            </w:r>
          </w:p>
        </w:tc>
        <w:tc>
          <w:tcPr>
            <w:tcW w:w="749"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59</w:t>
            </w:r>
          </w:p>
        </w:tc>
        <w:tc>
          <w:tcPr>
            <w:tcW w:w="1108"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3911</w:t>
            </w:r>
          </w:p>
        </w:tc>
        <w:tc>
          <w:tcPr>
            <w:tcW w:w="794"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77</w:t>
            </w:r>
          </w:p>
        </w:tc>
        <w:tc>
          <w:tcPr>
            <w:tcW w:w="932"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69</w:t>
            </w:r>
          </w:p>
        </w:tc>
        <w:tc>
          <w:tcPr>
            <w:tcW w:w="893"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333</w:t>
            </w:r>
          </w:p>
        </w:tc>
        <w:tc>
          <w:tcPr>
            <w:tcW w:w="1100"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49</w:t>
            </w:r>
          </w:p>
        </w:tc>
        <w:tc>
          <w:tcPr>
            <w:tcW w:w="802"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17</w:t>
            </w:r>
          </w:p>
        </w:tc>
        <w:tc>
          <w:tcPr>
            <w:tcW w:w="747"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60</w:t>
            </w:r>
          </w:p>
        </w:tc>
        <w:tc>
          <w:tcPr>
            <w:tcW w:w="827"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0</w:t>
            </w:r>
          </w:p>
        </w:tc>
        <w:tc>
          <w:tcPr>
            <w:tcW w:w="910" w:type="dxa"/>
            <w:tcBorders>
              <w:top w:val="nil"/>
              <w:left w:val="nil"/>
              <w:bottom w:val="single" w:sz="4" w:space="0" w:color="auto"/>
              <w:right w:val="single" w:sz="12" w:space="0" w:color="auto"/>
            </w:tcBorders>
            <w:shd w:val="clear" w:color="auto" w:fill="auto"/>
            <w:noWrap/>
            <w:hideMark/>
          </w:tcPr>
          <w:p w:rsidR="00912E35" w:rsidRPr="005E4028" w:rsidRDefault="00912E35" w:rsidP="00912E35">
            <w:pPr>
              <w:jc w:val="center"/>
              <w:rPr>
                <w:rFonts w:ascii="Constantia" w:hAnsi="Constantia" w:cstheme="minorHAnsi"/>
                <w:b/>
                <w:sz w:val="18"/>
                <w:szCs w:val="18"/>
              </w:rPr>
            </w:pPr>
            <w:r w:rsidRPr="00947A1B">
              <w:rPr>
                <w:rFonts w:ascii="Constantia" w:hAnsi="Constantia" w:cstheme="minorHAnsi"/>
                <w:b/>
                <w:sz w:val="18"/>
                <w:szCs w:val="18"/>
              </w:rPr>
              <w:t>4575</w:t>
            </w:r>
          </w:p>
        </w:tc>
      </w:tr>
      <w:tr w:rsidR="00912E35" w:rsidRPr="005E4028" w:rsidTr="00912E35">
        <w:trPr>
          <w:trHeight w:val="20"/>
        </w:trPr>
        <w:tc>
          <w:tcPr>
            <w:tcW w:w="615" w:type="dxa"/>
            <w:tcBorders>
              <w:top w:val="nil"/>
              <w:left w:val="single" w:sz="12" w:space="0" w:color="auto"/>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b/>
                <w:bCs/>
                <w:color w:val="000000"/>
                <w:sz w:val="18"/>
                <w:szCs w:val="18"/>
              </w:rPr>
            </w:pPr>
            <w:r w:rsidRPr="00947A1B">
              <w:rPr>
                <w:rFonts w:ascii="Constantia" w:hAnsi="Constantia" w:cs="Calibri"/>
                <w:b/>
                <w:bCs/>
                <w:color w:val="000000"/>
                <w:sz w:val="18"/>
                <w:szCs w:val="18"/>
              </w:rPr>
              <w:t>1992</w:t>
            </w:r>
          </w:p>
        </w:tc>
        <w:tc>
          <w:tcPr>
            <w:tcW w:w="749"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51</w:t>
            </w:r>
          </w:p>
        </w:tc>
        <w:tc>
          <w:tcPr>
            <w:tcW w:w="1108"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3566</w:t>
            </w:r>
          </w:p>
        </w:tc>
        <w:tc>
          <w:tcPr>
            <w:tcW w:w="794"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59</w:t>
            </w:r>
          </w:p>
        </w:tc>
        <w:tc>
          <w:tcPr>
            <w:tcW w:w="932"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54</w:t>
            </w:r>
          </w:p>
        </w:tc>
        <w:tc>
          <w:tcPr>
            <w:tcW w:w="893"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313</w:t>
            </w:r>
          </w:p>
        </w:tc>
        <w:tc>
          <w:tcPr>
            <w:tcW w:w="1100"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54</w:t>
            </w:r>
          </w:p>
        </w:tc>
        <w:tc>
          <w:tcPr>
            <w:tcW w:w="802"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i/>
                <w:color w:val="000000"/>
                <w:sz w:val="18"/>
                <w:szCs w:val="18"/>
              </w:rPr>
            </w:pPr>
            <w:r w:rsidRPr="00947A1B">
              <w:rPr>
                <w:rFonts w:ascii="Constantia" w:hAnsi="Constantia" w:cs="Calibri"/>
                <w:i/>
                <w:color w:val="000000"/>
                <w:sz w:val="18"/>
                <w:szCs w:val="18"/>
              </w:rPr>
              <w:t>8</w:t>
            </w:r>
          </w:p>
        </w:tc>
        <w:tc>
          <w:tcPr>
            <w:tcW w:w="747"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i/>
                <w:color w:val="000000"/>
                <w:sz w:val="18"/>
                <w:szCs w:val="18"/>
              </w:rPr>
            </w:pPr>
            <w:r w:rsidRPr="00947A1B">
              <w:rPr>
                <w:rFonts w:ascii="Constantia" w:hAnsi="Constantia" w:cs="Calibri"/>
                <w:i/>
                <w:color w:val="000000"/>
                <w:sz w:val="18"/>
                <w:szCs w:val="18"/>
              </w:rPr>
              <w:t>74</w:t>
            </w:r>
          </w:p>
        </w:tc>
        <w:tc>
          <w:tcPr>
            <w:tcW w:w="827"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0</w:t>
            </w:r>
          </w:p>
        </w:tc>
        <w:tc>
          <w:tcPr>
            <w:tcW w:w="910" w:type="dxa"/>
            <w:tcBorders>
              <w:top w:val="nil"/>
              <w:left w:val="nil"/>
              <w:bottom w:val="single" w:sz="4" w:space="0" w:color="auto"/>
              <w:right w:val="single" w:sz="12" w:space="0" w:color="auto"/>
            </w:tcBorders>
            <w:shd w:val="clear" w:color="auto" w:fill="auto"/>
            <w:noWrap/>
            <w:hideMark/>
          </w:tcPr>
          <w:p w:rsidR="00912E35" w:rsidRPr="005E4028" w:rsidRDefault="00912E35" w:rsidP="00912E35">
            <w:pPr>
              <w:jc w:val="center"/>
              <w:rPr>
                <w:rFonts w:ascii="Constantia" w:hAnsi="Constantia" w:cstheme="minorHAnsi"/>
                <w:b/>
                <w:sz w:val="18"/>
                <w:szCs w:val="18"/>
              </w:rPr>
            </w:pPr>
            <w:r w:rsidRPr="00947A1B">
              <w:rPr>
                <w:rFonts w:ascii="Constantia" w:hAnsi="Constantia" w:cstheme="minorHAnsi"/>
                <w:b/>
                <w:sz w:val="18"/>
                <w:szCs w:val="18"/>
              </w:rPr>
              <w:t>4179</w:t>
            </w:r>
          </w:p>
        </w:tc>
      </w:tr>
      <w:tr w:rsidR="00912E35" w:rsidRPr="005E4028" w:rsidTr="00912E35">
        <w:trPr>
          <w:trHeight w:val="20"/>
        </w:trPr>
        <w:tc>
          <w:tcPr>
            <w:tcW w:w="615" w:type="dxa"/>
            <w:tcBorders>
              <w:top w:val="nil"/>
              <w:left w:val="single" w:sz="12" w:space="0" w:color="auto"/>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b/>
                <w:bCs/>
                <w:color w:val="000000"/>
                <w:sz w:val="18"/>
                <w:szCs w:val="18"/>
              </w:rPr>
            </w:pPr>
            <w:r w:rsidRPr="00947A1B">
              <w:rPr>
                <w:rFonts w:ascii="Constantia" w:hAnsi="Constantia" w:cs="Calibri"/>
                <w:b/>
                <w:bCs/>
                <w:color w:val="000000"/>
                <w:sz w:val="18"/>
                <w:szCs w:val="18"/>
              </w:rPr>
              <w:t>1993</w:t>
            </w:r>
          </w:p>
        </w:tc>
        <w:tc>
          <w:tcPr>
            <w:tcW w:w="749"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67</w:t>
            </w:r>
          </w:p>
        </w:tc>
        <w:tc>
          <w:tcPr>
            <w:tcW w:w="1108"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5290</w:t>
            </w:r>
          </w:p>
        </w:tc>
        <w:tc>
          <w:tcPr>
            <w:tcW w:w="794"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73</w:t>
            </w:r>
          </w:p>
        </w:tc>
        <w:tc>
          <w:tcPr>
            <w:tcW w:w="932"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41</w:t>
            </w:r>
          </w:p>
        </w:tc>
        <w:tc>
          <w:tcPr>
            <w:tcW w:w="893"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370</w:t>
            </w:r>
          </w:p>
        </w:tc>
        <w:tc>
          <w:tcPr>
            <w:tcW w:w="1100"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50</w:t>
            </w:r>
          </w:p>
        </w:tc>
        <w:tc>
          <w:tcPr>
            <w:tcW w:w="802"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13</w:t>
            </w:r>
          </w:p>
        </w:tc>
        <w:tc>
          <w:tcPr>
            <w:tcW w:w="747"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36</w:t>
            </w:r>
          </w:p>
        </w:tc>
        <w:tc>
          <w:tcPr>
            <w:tcW w:w="827"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1</w:t>
            </w:r>
          </w:p>
        </w:tc>
        <w:tc>
          <w:tcPr>
            <w:tcW w:w="910" w:type="dxa"/>
            <w:tcBorders>
              <w:top w:val="nil"/>
              <w:left w:val="nil"/>
              <w:bottom w:val="single" w:sz="4" w:space="0" w:color="auto"/>
              <w:right w:val="single" w:sz="12" w:space="0" w:color="auto"/>
            </w:tcBorders>
            <w:shd w:val="clear" w:color="auto" w:fill="auto"/>
            <w:noWrap/>
            <w:hideMark/>
          </w:tcPr>
          <w:p w:rsidR="00912E35" w:rsidRPr="005E4028" w:rsidRDefault="00912E35" w:rsidP="00912E35">
            <w:pPr>
              <w:jc w:val="center"/>
              <w:rPr>
                <w:rFonts w:ascii="Constantia" w:hAnsi="Constantia" w:cstheme="minorHAnsi"/>
                <w:b/>
                <w:sz w:val="18"/>
                <w:szCs w:val="18"/>
              </w:rPr>
            </w:pPr>
            <w:r w:rsidRPr="00947A1B">
              <w:rPr>
                <w:rFonts w:ascii="Constantia" w:hAnsi="Constantia" w:cstheme="minorHAnsi"/>
                <w:b/>
                <w:sz w:val="18"/>
                <w:szCs w:val="18"/>
              </w:rPr>
              <w:t>5941</w:t>
            </w:r>
          </w:p>
        </w:tc>
      </w:tr>
      <w:tr w:rsidR="00912E35" w:rsidRPr="005E4028" w:rsidTr="00912E35">
        <w:trPr>
          <w:trHeight w:val="20"/>
        </w:trPr>
        <w:tc>
          <w:tcPr>
            <w:tcW w:w="615" w:type="dxa"/>
            <w:tcBorders>
              <w:top w:val="nil"/>
              <w:left w:val="single" w:sz="12" w:space="0" w:color="auto"/>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b/>
                <w:bCs/>
                <w:color w:val="000000"/>
                <w:sz w:val="18"/>
                <w:szCs w:val="18"/>
              </w:rPr>
            </w:pPr>
            <w:r w:rsidRPr="00947A1B">
              <w:rPr>
                <w:rFonts w:ascii="Constantia" w:hAnsi="Constantia" w:cs="Calibri"/>
                <w:b/>
                <w:bCs/>
                <w:color w:val="000000"/>
                <w:sz w:val="18"/>
                <w:szCs w:val="18"/>
              </w:rPr>
              <w:t>1994</w:t>
            </w:r>
          </w:p>
        </w:tc>
        <w:tc>
          <w:tcPr>
            <w:tcW w:w="749"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46</w:t>
            </w:r>
          </w:p>
        </w:tc>
        <w:tc>
          <w:tcPr>
            <w:tcW w:w="1108"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4937</w:t>
            </w:r>
          </w:p>
        </w:tc>
        <w:tc>
          <w:tcPr>
            <w:tcW w:w="794"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89</w:t>
            </w:r>
          </w:p>
        </w:tc>
        <w:tc>
          <w:tcPr>
            <w:tcW w:w="932"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35</w:t>
            </w:r>
          </w:p>
        </w:tc>
        <w:tc>
          <w:tcPr>
            <w:tcW w:w="893"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415</w:t>
            </w:r>
          </w:p>
        </w:tc>
        <w:tc>
          <w:tcPr>
            <w:tcW w:w="1100"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61</w:t>
            </w:r>
          </w:p>
        </w:tc>
        <w:tc>
          <w:tcPr>
            <w:tcW w:w="802"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22</w:t>
            </w:r>
          </w:p>
        </w:tc>
        <w:tc>
          <w:tcPr>
            <w:tcW w:w="747"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48</w:t>
            </w:r>
          </w:p>
        </w:tc>
        <w:tc>
          <w:tcPr>
            <w:tcW w:w="827"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0</w:t>
            </w:r>
          </w:p>
        </w:tc>
        <w:tc>
          <w:tcPr>
            <w:tcW w:w="910" w:type="dxa"/>
            <w:tcBorders>
              <w:top w:val="nil"/>
              <w:left w:val="nil"/>
              <w:bottom w:val="single" w:sz="4" w:space="0" w:color="auto"/>
              <w:right w:val="single" w:sz="12" w:space="0" w:color="auto"/>
            </w:tcBorders>
            <w:shd w:val="clear" w:color="auto" w:fill="auto"/>
            <w:noWrap/>
            <w:hideMark/>
          </w:tcPr>
          <w:p w:rsidR="00912E35" w:rsidRPr="005E4028" w:rsidRDefault="00912E35" w:rsidP="00912E35">
            <w:pPr>
              <w:jc w:val="center"/>
              <w:rPr>
                <w:rFonts w:ascii="Constantia" w:hAnsi="Constantia" w:cstheme="minorHAnsi"/>
                <w:b/>
                <w:sz w:val="18"/>
                <w:szCs w:val="18"/>
              </w:rPr>
            </w:pPr>
            <w:r w:rsidRPr="00947A1B">
              <w:rPr>
                <w:rFonts w:ascii="Constantia" w:hAnsi="Constantia" w:cstheme="minorHAnsi"/>
                <w:b/>
                <w:sz w:val="18"/>
                <w:szCs w:val="18"/>
              </w:rPr>
              <w:t>5653</w:t>
            </w:r>
          </w:p>
        </w:tc>
      </w:tr>
      <w:tr w:rsidR="00912E35" w:rsidRPr="005E4028" w:rsidTr="00912E35">
        <w:trPr>
          <w:trHeight w:val="20"/>
        </w:trPr>
        <w:tc>
          <w:tcPr>
            <w:tcW w:w="615" w:type="dxa"/>
            <w:tcBorders>
              <w:top w:val="nil"/>
              <w:left w:val="single" w:sz="12" w:space="0" w:color="auto"/>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b/>
                <w:bCs/>
                <w:color w:val="000000"/>
                <w:sz w:val="18"/>
                <w:szCs w:val="18"/>
              </w:rPr>
            </w:pPr>
            <w:r w:rsidRPr="00947A1B">
              <w:rPr>
                <w:rFonts w:ascii="Constantia" w:hAnsi="Constantia" w:cs="Calibri"/>
                <w:b/>
                <w:bCs/>
                <w:color w:val="000000"/>
                <w:sz w:val="18"/>
                <w:szCs w:val="18"/>
              </w:rPr>
              <w:t>1995</w:t>
            </w:r>
          </w:p>
        </w:tc>
        <w:tc>
          <w:tcPr>
            <w:tcW w:w="749"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29</w:t>
            </w:r>
          </w:p>
        </w:tc>
        <w:tc>
          <w:tcPr>
            <w:tcW w:w="1108"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7550</w:t>
            </w:r>
          </w:p>
        </w:tc>
        <w:tc>
          <w:tcPr>
            <w:tcW w:w="794"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122</w:t>
            </w:r>
          </w:p>
        </w:tc>
        <w:tc>
          <w:tcPr>
            <w:tcW w:w="932"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68</w:t>
            </w:r>
          </w:p>
        </w:tc>
        <w:tc>
          <w:tcPr>
            <w:tcW w:w="893"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668</w:t>
            </w:r>
          </w:p>
        </w:tc>
        <w:tc>
          <w:tcPr>
            <w:tcW w:w="1100"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97</w:t>
            </w:r>
          </w:p>
        </w:tc>
        <w:tc>
          <w:tcPr>
            <w:tcW w:w="802"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22</w:t>
            </w:r>
          </w:p>
        </w:tc>
        <w:tc>
          <w:tcPr>
            <w:tcW w:w="747"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74</w:t>
            </w:r>
          </w:p>
        </w:tc>
        <w:tc>
          <w:tcPr>
            <w:tcW w:w="827"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1</w:t>
            </w:r>
          </w:p>
        </w:tc>
        <w:tc>
          <w:tcPr>
            <w:tcW w:w="910" w:type="dxa"/>
            <w:tcBorders>
              <w:top w:val="nil"/>
              <w:left w:val="nil"/>
              <w:bottom w:val="single" w:sz="4" w:space="0" w:color="auto"/>
              <w:right w:val="single" w:sz="12" w:space="0" w:color="auto"/>
            </w:tcBorders>
            <w:shd w:val="clear" w:color="auto" w:fill="auto"/>
            <w:noWrap/>
            <w:hideMark/>
          </w:tcPr>
          <w:p w:rsidR="00912E35" w:rsidRPr="005E4028" w:rsidRDefault="00912E35" w:rsidP="00912E35">
            <w:pPr>
              <w:jc w:val="center"/>
              <w:rPr>
                <w:rFonts w:ascii="Constantia" w:hAnsi="Constantia" w:cstheme="minorHAnsi"/>
                <w:b/>
                <w:sz w:val="18"/>
                <w:szCs w:val="18"/>
              </w:rPr>
            </w:pPr>
            <w:r w:rsidRPr="00947A1B">
              <w:rPr>
                <w:rFonts w:ascii="Constantia" w:hAnsi="Constantia" w:cstheme="minorHAnsi"/>
                <w:b/>
                <w:sz w:val="18"/>
                <w:szCs w:val="18"/>
              </w:rPr>
              <w:t>8631</w:t>
            </w:r>
          </w:p>
        </w:tc>
      </w:tr>
      <w:tr w:rsidR="00912E35" w:rsidRPr="005E4028" w:rsidTr="00912E35">
        <w:trPr>
          <w:trHeight w:val="20"/>
        </w:trPr>
        <w:tc>
          <w:tcPr>
            <w:tcW w:w="615" w:type="dxa"/>
            <w:tcBorders>
              <w:top w:val="nil"/>
              <w:left w:val="single" w:sz="12" w:space="0" w:color="auto"/>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b/>
                <w:bCs/>
                <w:color w:val="000000"/>
                <w:sz w:val="18"/>
                <w:szCs w:val="18"/>
              </w:rPr>
            </w:pPr>
            <w:r w:rsidRPr="00947A1B">
              <w:rPr>
                <w:rFonts w:ascii="Constantia" w:hAnsi="Constantia" w:cs="Calibri"/>
                <w:b/>
                <w:bCs/>
                <w:color w:val="000000"/>
                <w:sz w:val="18"/>
                <w:szCs w:val="18"/>
              </w:rPr>
              <w:t>1996</w:t>
            </w:r>
          </w:p>
        </w:tc>
        <w:tc>
          <w:tcPr>
            <w:tcW w:w="749"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74</w:t>
            </w:r>
          </w:p>
        </w:tc>
        <w:tc>
          <w:tcPr>
            <w:tcW w:w="1108"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9780</w:t>
            </w:r>
          </w:p>
        </w:tc>
        <w:tc>
          <w:tcPr>
            <w:tcW w:w="794"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182</w:t>
            </w:r>
          </w:p>
        </w:tc>
        <w:tc>
          <w:tcPr>
            <w:tcW w:w="932"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74</w:t>
            </w:r>
          </w:p>
        </w:tc>
        <w:tc>
          <w:tcPr>
            <w:tcW w:w="893"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1143</w:t>
            </w:r>
          </w:p>
        </w:tc>
        <w:tc>
          <w:tcPr>
            <w:tcW w:w="1100"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138</w:t>
            </w:r>
          </w:p>
        </w:tc>
        <w:tc>
          <w:tcPr>
            <w:tcW w:w="802"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66</w:t>
            </w:r>
          </w:p>
        </w:tc>
        <w:tc>
          <w:tcPr>
            <w:tcW w:w="747"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172</w:t>
            </w:r>
          </w:p>
        </w:tc>
        <w:tc>
          <w:tcPr>
            <w:tcW w:w="827"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11</w:t>
            </w:r>
          </w:p>
        </w:tc>
        <w:tc>
          <w:tcPr>
            <w:tcW w:w="910" w:type="dxa"/>
            <w:tcBorders>
              <w:top w:val="nil"/>
              <w:left w:val="nil"/>
              <w:bottom w:val="single" w:sz="4" w:space="0" w:color="auto"/>
              <w:right w:val="single" w:sz="12" w:space="0" w:color="auto"/>
            </w:tcBorders>
            <w:shd w:val="clear" w:color="auto" w:fill="auto"/>
            <w:noWrap/>
            <w:hideMark/>
          </w:tcPr>
          <w:p w:rsidR="00912E35" w:rsidRPr="005E4028" w:rsidRDefault="00912E35" w:rsidP="00912E35">
            <w:pPr>
              <w:jc w:val="center"/>
              <w:rPr>
                <w:rFonts w:ascii="Constantia" w:hAnsi="Constantia" w:cstheme="minorHAnsi"/>
                <w:b/>
                <w:sz w:val="18"/>
                <w:szCs w:val="18"/>
              </w:rPr>
            </w:pPr>
            <w:r w:rsidRPr="00947A1B">
              <w:rPr>
                <w:rFonts w:ascii="Constantia" w:hAnsi="Constantia" w:cstheme="minorHAnsi"/>
                <w:b/>
                <w:sz w:val="18"/>
                <w:szCs w:val="18"/>
              </w:rPr>
              <w:t>11640</w:t>
            </w:r>
          </w:p>
        </w:tc>
      </w:tr>
      <w:tr w:rsidR="00912E35" w:rsidRPr="005E4028" w:rsidTr="00912E35">
        <w:trPr>
          <w:trHeight w:val="20"/>
        </w:trPr>
        <w:tc>
          <w:tcPr>
            <w:tcW w:w="615" w:type="dxa"/>
            <w:tcBorders>
              <w:top w:val="nil"/>
              <w:left w:val="single" w:sz="12" w:space="0" w:color="auto"/>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b/>
                <w:bCs/>
                <w:color w:val="000000"/>
                <w:sz w:val="18"/>
                <w:szCs w:val="18"/>
              </w:rPr>
            </w:pPr>
            <w:r w:rsidRPr="00947A1B">
              <w:rPr>
                <w:rFonts w:ascii="Constantia" w:hAnsi="Constantia" w:cs="Calibri"/>
                <w:b/>
                <w:bCs/>
                <w:color w:val="000000"/>
                <w:sz w:val="18"/>
                <w:szCs w:val="18"/>
              </w:rPr>
              <w:t>1997</w:t>
            </w:r>
          </w:p>
        </w:tc>
        <w:tc>
          <w:tcPr>
            <w:tcW w:w="749"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295</w:t>
            </w:r>
          </w:p>
        </w:tc>
        <w:tc>
          <w:tcPr>
            <w:tcW w:w="1108"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66486</w:t>
            </w:r>
          </w:p>
        </w:tc>
        <w:tc>
          <w:tcPr>
            <w:tcW w:w="794"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640</w:t>
            </w:r>
          </w:p>
        </w:tc>
        <w:tc>
          <w:tcPr>
            <w:tcW w:w="932"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305</w:t>
            </w:r>
          </w:p>
        </w:tc>
        <w:tc>
          <w:tcPr>
            <w:tcW w:w="893"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4899</w:t>
            </w:r>
          </w:p>
        </w:tc>
        <w:tc>
          <w:tcPr>
            <w:tcW w:w="1100"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473</w:t>
            </w:r>
          </w:p>
        </w:tc>
        <w:tc>
          <w:tcPr>
            <w:tcW w:w="802"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181</w:t>
            </w:r>
          </w:p>
        </w:tc>
        <w:tc>
          <w:tcPr>
            <w:tcW w:w="747"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422</w:t>
            </w:r>
          </w:p>
        </w:tc>
        <w:tc>
          <w:tcPr>
            <w:tcW w:w="827"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12</w:t>
            </w:r>
          </w:p>
        </w:tc>
        <w:tc>
          <w:tcPr>
            <w:tcW w:w="910" w:type="dxa"/>
            <w:tcBorders>
              <w:top w:val="nil"/>
              <w:left w:val="nil"/>
              <w:bottom w:val="single" w:sz="4" w:space="0" w:color="auto"/>
              <w:right w:val="single" w:sz="12" w:space="0" w:color="auto"/>
            </w:tcBorders>
            <w:shd w:val="clear" w:color="auto" w:fill="auto"/>
            <w:noWrap/>
            <w:hideMark/>
          </w:tcPr>
          <w:p w:rsidR="00912E35" w:rsidRPr="005E4028" w:rsidRDefault="00912E35" w:rsidP="00912E35">
            <w:pPr>
              <w:jc w:val="center"/>
              <w:rPr>
                <w:rFonts w:ascii="Constantia" w:hAnsi="Constantia" w:cstheme="minorHAnsi"/>
                <w:b/>
                <w:sz w:val="18"/>
                <w:szCs w:val="18"/>
              </w:rPr>
            </w:pPr>
            <w:r w:rsidRPr="00947A1B">
              <w:rPr>
                <w:rFonts w:ascii="Constantia" w:hAnsi="Constantia" w:cstheme="minorHAnsi"/>
                <w:b/>
                <w:sz w:val="18"/>
                <w:szCs w:val="18"/>
              </w:rPr>
              <w:t>73713</w:t>
            </w:r>
          </w:p>
        </w:tc>
      </w:tr>
      <w:tr w:rsidR="00912E35" w:rsidRPr="005E4028" w:rsidTr="00912E35">
        <w:trPr>
          <w:trHeight w:val="20"/>
        </w:trPr>
        <w:tc>
          <w:tcPr>
            <w:tcW w:w="615" w:type="dxa"/>
            <w:tcBorders>
              <w:top w:val="nil"/>
              <w:left w:val="single" w:sz="12" w:space="0" w:color="auto"/>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b/>
                <w:bCs/>
                <w:color w:val="000000"/>
                <w:sz w:val="18"/>
                <w:szCs w:val="18"/>
              </w:rPr>
            </w:pPr>
            <w:r w:rsidRPr="00947A1B">
              <w:rPr>
                <w:rFonts w:ascii="Constantia" w:hAnsi="Constantia" w:cs="Calibri"/>
                <w:b/>
                <w:bCs/>
                <w:color w:val="000000"/>
                <w:sz w:val="18"/>
                <w:szCs w:val="18"/>
              </w:rPr>
              <w:t>1998</w:t>
            </w:r>
          </w:p>
        </w:tc>
        <w:tc>
          <w:tcPr>
            <w:tcW w:w="749"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684</w:t>
            </w:r>
          </w:p>
        </w:tc>
        <w:tc>
          <w:tcPr>
            <w:tcW w:w="1108"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158148</w:t>
            </w:r>
          </w:p>
        </w:tc>
        <w:tc>
          <w:tcPr>
            <w:tcW w:w="794"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933</w:t>
            </w:r>
          </w:p>
        </w:tc>
        <w:tc>
          <w:tcPr>
            <w:tcW w:w="932"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693</w:t>
            </w:r>
          </w:p>
        </w:tc>
        <w:tc>
          <w:tcPr>
            <w:tcW w:w="893"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11476</w:t>
            </w:r>
          </w:p>
        </w:tc>
        <w:tc>
          <w:tcPr>
            <w:tcW w:w="1100"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809</w:t>
            </w:r>
          </w:p>
        </w:tc>
        <w:tc>
          <w:tcPr>
            <w:tcW w:w="802"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353</w:t>
            </w:r>
          </w:p>
        </w:tc>
        <w:tc>
          <w:tcPr>
            <w:tcW w:w="747"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697</w:t>
            </w:r>
          </w:p>
        </w:tc>
        <w:tc>
          <w:tcPr>
            <w:tcW w:w="827"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14</w:t>
            </w:r>
          </w:p>
        </w:tc>
        <w:tc>
          <w:tcPr>
            <w:tcW w:w="910" w:type="dxa"/>
            <w:tcBorders>
              <w:top w:val="nil"/>
              <w:left w:val="nil"/>
              <w:bottom w:val="single" w:sz="4" w:space="0" w:color="auto"/>
              <w:right w:val="single" w:sz="12" w:space="0" w:color="auto"/>
            </w:tcBorders>
            <w:shd w:val="clear" w:color="auto" w:fill="auto"/>
            <w:noWrap/>
            <w:hideMark/>
          </w:tcPr>
          <w:p w:rsidR="00912E35" w:rsidRPr="005E4028" w:rsidRDefault="00912E35" w:rsidP="00912E35">
            <w:pPr>
              <w:jc w:val="center"/>
              <w:rPr>
                <w:rFonts w:ascii="Constantia" w:hAnsi="Constantia" w:cstheme="minorHAnsi"/>
                <w:b/>
                <w:sz w:val="18"/>
                <w:szCs w:val="18"/>
              </w:rPr>
            </w:pPr>
            <w:r w:rsidRPr="00947A1B">
              <w:rPr>
                <w:rFonts w:ascii="Constantia" w:hAnsi="Constantia" w:cstheme="minorHAnsi"/>
                <w:b/>
                <w:sz w:val="18"/>
                <w:szCs w:val="18"/>
              </w:rPr>
              <w:t>173807</w:t>
            </w:r>
          </w:p>
        </w:tc>
      </w:tr>
      <w:tr w:rsidR="00912E35" w:rsidRPr="005E4028" w:rsidTr="00912E35">
        <w:trPr>
          <w:trHeight w:val="20"/>
        </w:trPr>
        <w:tc>
          <w:tcPr>
            <w:tcW w:w="615" w:type="dxa"/>
            <w:tcBorders>
              <w:top w:val="nil"/>
              <w:left w:val="single" w:sz="12" w:space="0" w:color="auto"/>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b/>
                <w:bCs/>
                <w:color w:val="000000"/>
                <w:sz w:val="18"/>
                <w:szCs w:val="18"/>
              </w:rPr>
            </w:pPr>
            <w:r w:rsidRPr="00947A1B">
              <w:rPr>
                <w:rFonts w:ascii="Constantia" w:hAnsi="Constantia" w:cs="Calibri"/>
                <w:b/>
                <w:bCs/>
                <w:color w:val="000000"/>
                <w:sz w:val="18"/>
                <w:szCs w:val="18"/>
              </w:rPr>
              <w:t>1999</w:t>
            </w:r>
          </w:p>
        </w:tc>
        <w:tc>
          <w:tcPr>
            <w:tcW w:w="749"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386</w:t>
            </w:r>
          </w:p>
        </w:tc>
        <w:tc>
          <w:tcPr>
            <w:tcW w:w="1108"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109515</w:t>
            </w:r>
          </w:p>
        </w:tc>
        <w:tc>
          <w:tcPr>
            <w:tcW w:w="794"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771</w:t>
            </w:r>
          </w:p>
        </w:tc>
        <w:tc>
          <w:tcPr>
            <w:tcW w:w="932"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1212</w:t>
            </w:r>
          </w:p>
        </w:tc>
        <w:tc>
          <w:tcPr>
            <w:tcW w:w="893"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10139</w:t>
            </w:r>
          </w:p>
        </w:tc>
        <w:tc>
          <w:tcPr>
            <w:tcW w:w="1100"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799</w:t>
            </w:r>
          </w:p>
        </w:tc>
        <w:tc>
          <w:tcPr>
            <w:tcW w:w="802"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622</w:t>
            </w:r>
          </w:p>
        </w:tc>
        <w:tc>
          <w:tcPr>
            <w:tcW w:w="747"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1398</w:t>
            </w:r>
          </w:p>
        </w:tc>
        <w:tc>
          <w:tcPr>
            <w:tcW w:w="827"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11</w:t>
            </w:r>
          </w:p>
        </w:tc>
        <w:tc>
          <w:tcPr>
            <w:tcW w:w="910" w:type="dxa"/>
            <w:tcBorders>
              <w:top w:val="nil"/>
              <w:left w:val="nil"/>
              <w:bottom w:val="single" w:sz="4" w:space="0" w:color="auto"/>
              <w:right w:val="single" w:sz="12" w:space="0" w:color="auto"/>
            </w:tcBorders>
            <w:shd w:val="clear" w:color="auto" w:fill="auto"/>
            <w:noWrap/>
            <w:hideMark/>
          </w:tcPr>
          <w:p w:rsidR="00912E35" w:rsidRPr="005E4028" w:rsidRDefault="00912E35" w:rsidP="00912E35">
            <w:pPr>
              <w:jc w:val="center"/>
              <w:rPr>
                <w:rFonts w:ascii="Constantia" w:hAnsi="Constantia" w:cstheme="minorHAnsi"/>
                <w:b/>
                <w:sz w:val="18"/>
                <w:szCs w:val="18"/>
              </w:rPr>
            </w:pPr>
            <w:r w:rsidRPr="00947A1B">
              <w:rPr>
                <w:rFonts w:ascii="Constantia" w:hAnsi="Constantia" w:cstheme="minorHAnsi"/>
                <w:b/>
                <w:sz w:val="18"/>
                <w:szCs w:val="18"/>
              </w:rPr>
              <w:t>124853</w:t>
            </w:r>
          </w:p>
        </w:tc>
      </w:tr>
      <w:tr w:rsidR="00912E35" w:rsidRPr="005E4028" w:rsidTr="00912E35">
        <w:trPr>
          <w:trHeight w:val="20"/>
        </w:trPr>
        <w:tc>
          <w:tcPr>
            <w:tcW w:w="615" w:type="dxa"/>
            <w:tcBorders>
              <w:top w:val="nil"/>
              <w:left w:val="single" w:sz="12" w:space="0" w:color="auto"/>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b/>
                <w:bCs/>
                <w:color w:val="000000"/>
                <w:sz w:val="18"/>
                <w:szCs w:val="18"/>
              </w:rPr>
            </w:pPr>
            <w:r w:rsidRPr="00947A1B">
              <w:rPr>
                <w:rFonts w:ascii="Constantia" w:hAnsi="Constantia" w:cs="Calibri"/>
                <w:b/>
                <w:bCs/>
                <w:color w:val="000000"/>
                <w:sz w:val="18"/>
                <w:szCs w:val="18"/>
              </w:rPr>
              <w:t>2000</w:t>
            </w:r>
          </w:p>
        </w:tc>
        <w:tc>
          <w:tcPr>
            <w:tcW w:w="749"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401</w:t>
            </w:r>
          </w:p>
        </w:tc>
        <w:tc>
          <w:tcPr>
            <w:tcW w:w="1108"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111656</w:t>
            </w:r>
          </w:p>
        </w:tc>
        <w:tc>
          <w:tcPr>
            <w:tcW w:w="794"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713</w:t>
            </w:r>
          </w:p>
        </w:tc>
        <w:tc>
          <w:tcPr>
            <w:tcW w:w="932"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757</w:t>
            </w:r>
          </w:p>
        </w:tc>
        <w:tc>
          <w:tcPr>
            <w:tcW w:w="893"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10607</w:t>
            </w:r>
          </w:p>
        </w:tc>
        <w:tc>
          <w:tcPr>
            <w:tcW w:w="1100"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737</w:t>
            </w:r>
          </w:p>
        </w:tc>
        <w:tc>
          <w:tcPr>
            <w:tcW w:w="802"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794</w:t>
            </w:r>
          </w:p>
        </w:tc>
        <w:tc>
          <w:tcPr>
            <w:tcW w:w="747"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2108</w:t>
            </w:r>
          </w:p>
        </w:tc>
        <w:tc>
          <w:tcPr>
            <w:tcW w:w="827"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10</w:t>
            </w:r>
          </w:p>
        </w:tc>
        <w:tc>
          <w:tcPr>
            <w:tcW w:w="910" w:type="dxa"/>
            <w:tcBorders>
              <w:top w:val="nil"/>
              <w:left w:val="nil"/>
              <w:bottom w:val="single" w:sz="4" w:space="0" w:color="auto"/>
              <w:right w:val="single" w:sz="12" w:space="0" w:color="auto"/>
            </w:tcBorders>
            <w:shd w:val="clear" w:color="auto" w:fill="auto"/>
            <w:noWrap/>
            <w:hideMark/>
          </w:tcPr>
          <w:p w:rsidR="00912E35" w:rsidRPr="005E4028" w:rsidRDefault="00912E35" w:rsidP="00912E35">
            <w:pPr>
              <w:jc w:val="center"/>
              <w:rPr>
                <w:rFonts w:ascii="Constantia" w:hAnsi="Constantia" w:cstheme="minorHAnsi"/>
                <w:b/>
                <w:sz w:val="18"/>
                <w:szCs w:val="18"/>
              </w:rPr>
            </w:pPr>
            <w:r w:rsidRPr="00947A1B">
              <w:rPr>
                <w:rFonts w:ascii="Constantia" w:hAnsi="Constantia" w:cstheme="minorHAnsi"/>
                <w:b/>
                <w:sz w:val="18"/>
                <w:szCs w:val="18"/>
              </w:rPr>
              <w:t>127783</w:t>
            </w:r>
          </w:p>
        </w:tc>
      </w:tr>
      <w:tr w:rsidR="00912E35" w:rsidRPr="005E4028" w:rsidTr="00912E35">
        <w:trPr>
          <w:trHeight w:val="20"/>
        </w:trPr>
        <w:tc>
          <w:tcPr>
            <w:tcW w:w="615" w:type="dxa"/>
            <w:tcBorders>
              <w:top w:val="nil"/>
              <w:left w:val="single" w:sz="12" w:space="0" w:color="auto"/>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b/>
                <w:bCs/>
                <w:color w:val="000000"/>
                <w:sz w:val="18"/>
                <w:szCs w:val="18"/>
              </w:rPr>
            </w:pPr>
            <w:r w:rsidRPr="00947A1B">
              <w:rPr>
                <w:rFonts w:ascii="Constantia" w:hAnsi="Constantia" w:cs="Calibri"/>
                <w:b/>
                <w:bCs/>
                <w:color w:val="000000"/>
                <w:sz w:val="18"/>
                <w:szCs w:val="18"/>
              </w:rPr>
              <w:t>2001</w:t>
            </w:r>
          </w:p>
        </w:tc>
        <w:tc>
          <w:tcPr>
            <w:tcW w:w="749"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597</w:t>
            </w:r>
          </w:p>
        </w:tc>
        <w:tc>
          <w:tcPr>
            <w:tcW w:w="1108"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97894</w:t>
            </w:r>
          </w:p>
        </w:tc>
        <w:tc>
          <w:tcPr>
            <w:tcW w:w="794"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657</w:t>
            </w:r>
          </w:p>
        </w:tc>
        <w:tc>
          <w:tcPr>
            <w:tcW w:w="932"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624</w:t>
            </w:r>
          </w:p>
        </w:tc>
        <w:tc>
          <w:tcPr>
            <w:tcW w:w="893"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8331</w:t>
            </w:r>
          </w:p>
        </w:tc>
        <w:tc>
          <w:tcPr>
            <w:tcW w:w="1100"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697</w:t>
            </w:r>
          </w:p>
        </w:tc>
        <w:tc>
          <w:tcPr>
            <w:tcW w:w="802"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533</w:t>
            </w:r>
          </w:p>
        </w:tc>
        <w:tc>
          <w:tcPr>
            <w:tcW w:w="747"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1606</w:t>
            </w:r>
          </w:p>
        </w:tc>
        <w:tc>
          <w:tcPr>
            <w:tcW w:w="827"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7</w:t>
            </w:r>
          </w:p>
        </w:tc>
        <w:tc>
          <w:tcPr>
            <w:tcW w:w="910" w:type="dxa"/>
            <w:tcBorders>
              <w:top w:val="nil"/>
              <w:left w:val="nil"/>
              <w:bottom w:val="single" w:sz="4" w:space="0" w:color="auto"/>
              <w:right w:val="single" w:sz="12" w:space="0" w:color="auto"/>
            </w:tcBorders>
            <w:shd w:val="clear" w:color="auto" w:fill="auto"/>
            <w:noWrap/>
            <w:hideMark/>
          </w:tcPr>
          <w:p w:rsidR="00912E35" w:rsidRPr="005E4028" w:rsidRDefault="00912E35" w:rsidP="00912E35">
            <w:pPr>
              <w:jc w:val="center"/>
              <w:rPr>
                <w:rFonts w:ascii="Constantia" w:hAnsi="Constantia" w:cstheme="minorHAnsi"/>
                <w:b/>
                <w:sz w:val="18"/>
                <w:szCs w:val="18"/>
              </w:rPr>
            </w:pPr>
            <w:r w:rsidRPr="00947A1B">
              <w:rPr>
                <w:rFonts w:ascii="Constantia" w:hAnsi="Constantia" w:cstheme="minorHAnsi"/>
                <w:b/>
                <w:sz w:val="18"/>
                <w:szCs w:val="18"/>
              </w:rPr>
              <w:t>110946</w:t>
            </w:r>
          </w:p>
        </w:tc>
      </w:tr>
      <w:tr w:rsidR="00912E35" w:rsidRPr="005E4028" w:rsidTr="00912E35">
        <w:trPr>
          <w:trHeight w:val="20"/>
        </w:trPr>
        <w:tc>
          <w:tcPr>
            <w:tcW w:w="615" w:type="dxa"/>
            <w:tcBorders>
              <w:top w:val="nil"/>
              <w:left w:val="single" w:sz="12" w:space="0" w:color="auto"/>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b/>
                <w:bCs/>
                <w:color w:val="000000"/>
                <w:sz w:val="18"/>
                <w:szCs w:val="18"/>
              </w:rPr>
            </w:pPr>
            <w:r w:rsidRPr="00947A1B">
              <w:rPr>
                <w:rFonts w:ascii="Constantia" w:hAnsi="Constantia" w:cs="Calibri"/>
                <w:b/>
                <w:bCs/>
                <w:color w:val="000000"/>
                <w:sz w:val="18"/>
                <w:szCs w:val="18"/>
              </w:rPr>
              <w:t>2002</w:t>
            </w:r>
          </w:p>
        </w:tc>
        <w:tc>
          <w:tcPr>
            <w:tcW w:w="749"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834</w:t>
            </w:r>
          </w:p>
        </w:tc>
        <w:tc>
          <w:tcPr>
            <w:tcW w:w="1108"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102218</w:t>
            </w:r>
          </w:p>
        </w:tc>
        <w:tc>
          <w:tcPr>
            <w:tcW w:w="794"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667</w:t>
            </w:r>
          </w:p>
        </w:tc>
        <w:tc>
          <w:tcPr>
            <w:tcW w:w="932"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589</w:t>
            </w:r>
          </w:p>
        </w:tc>
        <w:tc>
          <w:tcPr>
            <w:tcW w:w="893"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8673</w:t>
            </w:r>
          </w:p>
        </w:tc>
        <w:tc>
          <w:tcPr>
            <w:tcW w:w="1100"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768</w:t>
            </w:r>
          </w:p>
        </w:tc>
        <w:tc>
          <w:tcPr>
            <w:tcW w:w="802"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529</w:t>
            </w:r>
          </w:p>
        </w:tc>
        <w:tc>
          <w:tcPr>
            <w:tcW w:w="747"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1529</w:t>
            </w:r>
          </w:p>
        </w:tc>
        <w:tc>
          <w:tcPr>
            <w:tcW w:w="827"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15</w:t>
            </w:r>
          </w:p>
        </w:tc>
        <w:tc>
          <w:tcPr>
            <w:tcW w:w="910" w:type="dxa"/>
            <w:tcBorders>
              <w:top w:val="nil"/>
              <w:left w:val="nil"/>
              <w:bottom w:val="single" w:sz="4" w:space="0" w:color="auto"/>
              <w:right w:val="single" w:sz="12" w:space="0" w:color="auto"/>
            </w:tcBorders>
            <w:shd w:val="clear" w:color="auto" w:fill="auto"/>
            <w:noWrap/>
            <w:hideMark/>
          </w:tcPr>
          <w:p w:rsidR="00912E35" w:rsidRPr="005E4028" w:rsidRDefault="00912E35" w:rsidP="00912E35">
            <w:pPr>
              <w:jc w:val="center"/>
              <w:rPr>
                <w:rFonts w:ascii="Constantia" w:hAnsi="Constantia" w:cstheme="minorHAnsi"/>
                <w:b/>
                <w:sz w:val="18"/>
                <w:szCs w:val="18"/>
              </w:rPr>
            </w:pPr>
            <w:r w:rsidRPr="00947A1B">
              <w:rPr>
                <w:rFonts w:ascii="Constantia" w:hAnsi="Constantia" w:cstheme="minorHAnsi"/>
                <w:b/>
                <w:sz w:val="18"/>
                <w:szCs w:val="18"/>
              </w:rPr>
              <w:t>115822</w:t>
            </w:r>
          </w:p>
        </w:tc>
      </w:tr>
      <w:tr w:rsidR="00912E35" w:rsidRPr="005E4028" w:rsidTr="00912E35">
        <w:trPr>
          <w:trHeight w:val="20"/>
        </w:trPr>
        <w:tc>
          <w:tcPr>
            <w:tcW w:w="615" w:type="dxa"/>
            <w:tcBorders>
              <w:top w:val="nil"/>
              <w:left w:val="single" w:sz="12" w:space="0" w:color="auto"/>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b/>
                <w:bCs/>
                <w:color w:val="000000"/>
                <w:sz w:val="18"/>
                <w:szCs w:val="18"/>
              </w:rPr>
            </w:pPr>
            <w:r w:rsidRPr="00947A1B">
              <w:rPr>
                <w:rFonts w:ascii="Constantia" w:hAnsi="Constantia" w:cs="Calibri"/>
                <w:b/>
                <w:bCs/>
                <w:color w:val="000000"/>
                <w:sz w:val="18"/>
                <w:szCs w:val="18"/>
              </w:rPr>
              <w:t>2003</w:t>
            </w:r>
          </w:p>
        </w:tc>
        <w:tc>
          <w:tcPr>
            <w:tcW w:w="749"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970</w:t>
            </w:r>
          </w:p>
        </w:tc>
        <w:tc>
          <w:tcPr>
            <w:tcW w:w="1108"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106018</w:t>
            </w:r>
          </w:p>
        </w:tc>
        <w:tc>
          <w:tcPr>
            <w:tcW w:w="794"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696</w:t>
            </w:r>
          </w:p>
        </w:tc>
        <w:tc>
          <w:tcPr>
            <w:tcW w:w="932"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605</w:t>
            </w:r>
          </w:p>
        </w:tc>
        <w:tc>
          <w:tcPr>
            <w:tcW w:w="893"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8551</w:t>
            </w:r>
          </w:p>
        </w:tc>
        <w:tc>
          <w:tcPr>
            <w:tcW w:w="1100"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755</w:t>
            </w:r>
          </w:p>
        </w:tc>
        <w:tc>
          <w:tcPr>
            <w:tcW w:w="802"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492</w:t>
            </w:r>
          </w:p>
        </w:tc>
        <w:tc>
          <w:tcPr>
            <w:tcW w:w="747"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1395</w:t>
            </w:r>
          </w:p>
        </w:tc>
        <w:tc>
          <w:tcPr>
            <w:tcW w:w="827"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8</w:t>
            </w:r>
          </w:p>
        </w:tc>
        <w:tc>
          <w:tcPr>
            <w:tcW w:w="910" w:type="dxa"/>
            <w:tcBorders>
              <w:top w:val="nil"/>
              <w:left w:val="nil"/>
              <w:bottom w:val="single" w:sz="4" w:space="0" w:color="auto"/>
              <w:right w:val="single" w:sz="12" w:space="0" w:color="auto"/>
            </w:tcBorders>
            <w:shd w:val="clear" w:color="auto" w:fill="auto"/>
            <w:noWrap/>
            <w:hideMark/>
          </w:tcPr>
          <w:p w:rsidR="00912E35" w:rsidRPr="005E4028" w:rsidRDefault="00912E35" w:rsidP="00912E35">
            <w:pPr>
              <w:jc w:val="center"/>
              <w:rPr>
                <w:rFonts w:ascii="Constantia" w:hAnsi="Constantia" w:cstheme="minorHAnsi"/>
                <w:b/>
                <w:sz w:val="18"/>
                <w:szCs w:val="18"/>
              </w:rPr>
            </w:pPr>
            <w:r w:rsidRPr="00947A1B">
              <w:rPr>
                <w:rFonts w:ascii="Constantia" w:hAnsi="Constantia" w:cstheme="minorHAnsi"/>
                <w:b/>
                <w:sz w:val="18"/>
                <w:szCs w:val="18"/>
              </w:rPr>
              <w:t>119490</w:t>
            </w:r>
          </w:p>
        </w:tc>
      </w:tr>
      <w:tr w:rsidR="00912E35" w:rsidRPr="005E4028" w:rsidTr="00912E35">
        <w:trPr>
          <w:trHeight w:val="20"/>
        </w:trPr>
        <w:tc>
          <w:tcPr>
            <w:tcW w:w="615" w:type="dxa"/>
            <w:tcBorders>
              <w:top w:val="nil"/>
              <w:left w:val="single" w:sz="12" w:space="0" w:color="auto"/>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b/>
                <w:bCs/>
                <w:color w:val="000000"/>
                <w:sz w:val="18"/>
                <w:szCs w:val="18"/>
              </w:rPr>
            </w:pPr>
            <w:r w:rsidRPr="00947A1B">
              <w:rPr>
                <w:rFonts w:ascii="Constantia" w:hAnsi="Constantia" w:cs="Calibri"/>
                <w:b/>
                <w:bCs/>
                <w:color w:val="000000"/>
                <w:sz w:val="18"/>
                <w:szCs w:val="18"/>
              </w:rPr>
              <w:t>2004</w:t>
            </w:r>
          </w:p>
        </w:tc>
        <w:tc>
          <w:tcPr>
            <w:tcW w:w="749"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1021</w:t>
            </w:r>
          </w:p>
        </w:tc>
        <w:tc>
          <w:tcPr>
            <w:tcW w:w="1108"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109208</w:t>
            </w:r>
          </w:p>
        </w:tc>
        <w:tc>
          <w:tcPr>
            <w:tcW w:w="794"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708</w:t>
            </w:r>
          </w:p>
        </w:tc>
        <w:tc>
          <w:tcPr>
            <w:tcW w:w="932"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634</w:t>
            </w:r>
          </w:p>
        </w:tc>
        <w:tc>
          <w:tcPr>
            <w:tcW w:w="893"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8749</w:t>
            </w:r>
          </w:p>
        </w:tc>
        <w:tc>
          <w:tcPr>
            <w:tcW w:w="1100"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768</w:t>
            </w:r>
          </w:p>
        </w:tc>
        <w:tc>
          <w:tcPr>
            <w:tcW w:w="802"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453</w:t>
            </w:r>
          </w:p>
        </w:tc>
        <w:tc>
          <w:tcPr>
            <w:tcW w:w="747"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1333</w:t>
            </w:r>
          </w:p>
        </w:tc>
        <w:tc>
          <w:tcPr>
            <w:tcW w:w="827"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3</w:t>
            </w:r>
          </w:p>
        </w:tc>
        <w:tc>
          <w:tcPr>
            <w:tcW w:w="910" w:type="dxa"/>
            <w:tcBorders>
              <w:top w:val="nil"/>
              <w:left w:val="nil"/>
              <w:bottom w:val="single" w:sz="4" w:space="0" w:color="auto"/>
              <w:right w:val="single" w:sz="12" w:space="0" w:color="auto"/>
            </w:tcBorders>
            <w:shd w:val="clear" w:color="auto" w:fill="auto"/>
            <w:noWrap/>
            <w:hideMark/>
          </w:tcPr>
          <w:p w:rsidR="00912E35" w:rsidRPr="005E4028" w:rsidRDefault="00912E35" w:rsidP="00912E35">
            <w:pPr>
              <w:jc w:val="center"/>
              <w:rPr>
                <w:rFonts w:ascii="Constantia" w:hAnsi="Constantia" w:cstheme="minorHAnsi"/>
                <w:b/>
                <w:sz w:val="18"/>
                <w:szCs w:val="18"/>
              </w:rPr>
            </w:pPr>
            <w:r w:rsidRPr="00947A1B">
              <w:rPr>
                <w:rFonts w:ascii="Constantia" w:hAnsi="Constantia" w:cstheme="minorHAnsi"/>
                <w:b/>
                <w:sz w:val="18"/>
                <w:szCs w:val="18"/>
              </w:rPr>
              <w:t>122877</w:t>
            </w:r>
          </w:p>
        </w:tc>
      </w:tr>
      <w:tr w:rsidR="00912E35" w:rsidRPr="005E4028" w:rsidTr="00912E35">
        <w:trPr>
          <w:trHeight w:val="20"/>
        </w:trPr>
        <w:tc>
          <w:tcPr>
            <w:tcW w:w="615" w:type="dxa"/>
            <w:tcBorders>
              <w:top w:val="nil"/>
              <w:left w:val="single" w:sz="12" w:space="0" w:color="auto"/>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b/>
                <w:bCs/>
                <w:color w:val="000000"/>
                <w:sz w:val="18"/>
                <w:szCs w:val="18"/>
              </w:rPr>
            </w:pPr>
            <w:r w:rsidRPr="00947A1B">
              <w:rPr>
                <w:rFonts w:ascii="Constantia" w:hAnsi="Constantia" w:cs="Calibri"/>
                <w:b/>
                <w:bCs/>
                <w:color w:val="000000"/>
                <w:sz w:val="18"/>
                <w:szCs w:val="18"/>
              </w:rPr>
              <w:t>2005</w:t>
            </w:r>
          </w:p>
        </w:tc>
        <w:tc>
          <w:tcPr>
            <w:tcW w:w="749"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1251</w:t>
            </w:r>
          </w:p>
        </w:tc>
        <w:tc>
          <w:tcPr>
            <w:tcW w:w="1108"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128565</w:t>
            </w:r>
          </w:p>
        </w:tc>
        <w:tc>
          <w:tcPr>
            <w:tcW w:w="794"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726</w:t>
            </w:r>
          </w:p>
        </w:tc>
        <w:tc>
          <w:tcPr>
            <w:tcW w:w="932"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745</w:t>
            </w:r>
          </w:p>
        </w:tc>
        <w:tc>
          <w:tcPr>
            <w:tcW w:w="893"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9176</w:t>
            </w:r>
          </w:p>
        </w:tc>
        <w:tc>
          <w:tcPr>
            <w:tcW w:w="1100"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779</w:t>
            </w:r>
          </w:p>
        </w:tc>
        <w:tc>
          <w:tcPr>
            <w:tcW w:w="802"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405</w:t>
            </w:r>
          </w:p>
        </w:tc>
        <w:tc>
          <w:tcPr>
            <w:tcW w:w="747"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1249</w:t>
            </w:r>
          </w:p>
        </w:tc>
        <w:tc>
          <w:tcPr>
            <w:tcW w:w="827"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10</w:t>
            </w:r>
          </w:p>
        </w:tc>
        <w:tc>
          <w:tcPr>
            <w:tcW w:w="910" w:type="dxa"/>
            <w:tcBorders>
              <w:top w:val="nil"/>
              <w:left w:val="nil"/>
              <w:bottom w:val="single" w:sz="4" w:space="0" w:color="auto"/>
              <w:right w:val="single" w:sz="12" w:space="0" w:color="auto"/>
            </w:tcBorders>
            <w:shd w:val="clear" w:color="auto" w:fill="auto"/>
            <w:noWrap/>
            <w:hideMark/>
          </w:tcPr>
          <w:p w:rsidR="00912E35" w:rsidRPr="005E4028" w:rsidRDefault="00912E35" w:rsidP="00912E35">
            <w:pPr>
              <w:jc w:val="center"/>
              <w:rPr>
                <w:rFonts w:ascii="Constantia" w:hAnsi="Constantia" w:cstheme="minorHAnsi"/>
                <w:b/>
                <w:sz w:val="18"/>
                <w:szCs w:val="18"/>
              </w:rPr>
            </w:pPr>
            <w:r w:rsidRPr="00947A1B">
              <w:rPr>
                <w:rFonts w:ascii="Constantia" w:hAnsi="Constantia" w:cstheme="minorHAnsi"/>
                <w:b/>
                <w:sz w:val="18"/>
                <w:szCs w:val="18"/>
              </w:rPr>
              <w:t>142906</w:t>
            </w:r>
          </w:p>
        </w:tc>
      </w:tr>
      <w:tr w:rsidR="00912E35" w:rsidRPr="005E4028" w:rsidTr="00912E35">
        <w:trPr>
          <w:trHeight w:val="20"/>
        </w:trPr>
        <w:tc>
          <w:tcPr>
            <w:tcW w:w="615" w:type="dxa"/>
            <w:tcBorders>
              <w:top w:val="nil"/>
              <w:left w:val="single" w:sz="12" w:space="0" w:color="auto"/>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b/>
                <w:bCs/>
                <w:color w:val="000000"/>
                <w:sz w:val="18"/>
                <w:szCs w:val="18"/>
              </w:rPr>
            </w:pPr>
            <w:r w:rsidRPr="00947A1B">
              <w:rPr>
                <w:rFonts w:ascii="Constantia" w:hAnsi="Constantia" w:cs="Calibri"/>
                <w:b/>
                <w:bCs/>
                <w:color w:val="000000"/>
                <w:sz w:val="18"/>
                <w:szCs w:val="18"/>
              </w:rPr>
              <w:t>2006</w:t>
            </w:r>
          </w:p>
        </w:tc>
        <w:tc>
          <w:tcPr>
            <w:tcW w:w="749"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1715</w:t>
            </w:r>
          </w:p>
        </w:tc>
        <w:tc>
          <w:tcPr>
            <w:tcW w:w="1108"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168948</w:t>
            </w:r>
          </w:p>
        </w:tc>
        <w:tc>
          <w:tcPr>
            <w:tcW w:w="794"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818</w:t>
            </w:r>
          </w:p>
        </w:tc>
        <w:tc>
          <w:tcPr>
            <w:tcW w:w="932"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777</w:t>
            </w:r>
          </w:p>
        </w:tc>
        <w:tc>
          <w:tcPr>
            <w:tcW w:w="893"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10661</w:t>
            </w:r>
          </w:p>
        </w:tc>
        <w:tc>
          <w:tcPr>
            <w:tcW w:w="1100"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856</w:t>
            </w:r>
          </w:p>
        </w:tc>
        <w:tc>
          <w:tcPr>
            <w:tcW w:w="802"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437</w:t>
            </w:r>
          </w:p>
        </w:tc>
        <w:tc>
          <w:tcPr>
            <w:tcW w:w="747"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1221</w:t>
            </w:r>
          </w:p>
        </w:tc>
        <w:tc>
          <w:tcPr>
            <w:tcW w:w="827"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9</w:t>
            </w:r>
          </w:p>
        </w:tc>
        <w:tc>
          <w:tcPr>
            <w:tcW w:w="910" w:type="dxa"/>
            <w:tcBorders>
              <w:top w:val="nil"/>
              <w:left w:val="nil"/>
              <w:bottom w:val="single" w:sz="4" w:space="0" w:color="auto"/>
              <w:right w:val="single" w:sz="12" w:space="0" w:color="auto"/>
            </w:tcBorders>
            <w:shd w:val="clear" w:color="auto" w:fill="auto"/>
            <w:noWrap/>
            <w:hideMark/>
          </w:tcPr>
          <w:p w:rsidR="00912E35" w:rsidRPr="005E4028" w:rsidRDefault="00912E35" w:rsidP="00912E35">
            <w:pPr>
              <w:jc w:val="center"/>
              <w:rPr>
                <w:rFonts w:ascii="Constantia" w:hAnsi="Constantia" w:cstheme="minorHAnsi"/>
                <w:b/>
                <w:sz w:val="18"/>
                <w:szCs w:val="18"/>
              </w:rPr>
            </w:pPr>
            <w:r w:rsidRPr="00947A1B">
              <w:rPr>
                <w:rFonts w:ascii="Constantia" w:hAnsi="Constantia" w:cstheme="minorHAnsi"/>
                <w:b/>
                <w:sz w:val="18"/>
                <w:szCs w:val="18"/>
              </w:rPr>
              <w:t>185442</w:t>
            </w:r>
          </w:p>
        </w:tc>
      </w:tr>
      <w:tr w:rsidR="00912E35" w:rsidRPr="005E4028" w:rsidTr="00912E35">
        <w:trPr>
          <w:trHeight w:val="20"/>
        </w:trPr>
        <w:tc>
          <w:tcPr>
            <w:tcW w:w="615" w:type="dxa"/>
            <w:tcBorders>
              <w:top w:val="nil"/>
              <w:left w:val="single" w:sz="12" w:space="0" w:color="auto"/>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b/>
                <w:bCs/>
                <w:color w:val="000000"/>
                <w:sz w:val="18"/>
                <w:szCs w:val="18"/>
              </w:rPr>
            </w:pPr>
            <w:r w:rsidRPr="00947A1B">
              <w:rPr>
                <w:rFonts w:ascii="Constantia" w:hAnsi="Constantia" w:cs="Calibri"/>
                <w:b/>
                <w:bCs/>
                <w:color w:val="000000"/>
                <w:sz w:val="18"/>
                <w:szCs w:val="18"/>
              </w:rPr>
              <w:t>2007</w:t>
            </w:r>
          </w:p>
        </w:tc>
        <w:tc>
          <w:tcPr>
            <w:tcW w:w="749"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3020</w:t>
            </w:r>
          </w:p>
        </w:tc>
        <w:tc>
          <w:tcPr>
            <w:tcW w:w="1108"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178692</w:t>
            </w:r>
          </w:p>
        </w:tc>
        <w:tc>
          <w:tcPr>
            <w:tcW w:w="794"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799</w:t>
            </w:r>
          </w:p>
        </w:tc>
        <w:tc>
          <w:tcPr>
            <w:tcW w:w="932"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1100</w:t>
            </w:r>
          </w:p>
        </w:tc>
        <w:tc>
          <w:tcPr>
            <w:tcW w:w="893"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12498</w:t>
            </w:r>
          </w:p>
        </w:tc>
        <w:tc>
          <w:tcPr>
            <w:tcW w:w="1100"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1065</w:t>
            </w:r>
          </w:p>
        </w:tc>
        <w:tc>
          <w:tcPr>
            <w:tcW w:w="802"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559</w:t>
            </w:r>
          </w:p>
        </w:tc>
        <w:tc>
          <w:tcPr>
            <w:tcW w:w="747"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1519</w:t>
            </w:r>
          </w:p>
        </w:tc>
        <w:tc>
          <w:tcPr>
            <w:tcW w:w="827"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7</w:t>
            </w:r>
          </w:p>
        </w:tc>
        <w:tc>
          <w:tcPr>
            <w:tcW w:w="910" w:type="dxa"/>
            <w:tcBorders>
              <w:top w:val="nil"/>
              <w:left w:val="nil"/>
              <w:bottom w:val="single" w:sz="4" w:space="0" w:color="auto"/>
              <w:right w:val="single" w:sz="12" w:space="0" w:color="auto"/>
            </w:tcBorders>
            <w:shd w:val="clear" w:color="auto" w:fill="auto"/>
            <w:noWrap/>
            <w:hideMark/>
          </w:tcPr>
          <w:p w:rsidR="00912E35" w:rsidRPr="005E4028" w:rsidRDefault="00912E35" w:rsidP="00912E35">
            <w:pPr>
              <w:jc w:val="center"/>
              <w:rPr>
                <w:rFonts w:ascii="Constantia" w:hAnsi="Constantia" w:cstheme="minorHAnsi"/>
                <w:b/>
                <w:sz w:val="18"/>
                <w:szCs w:val="18"/>
              </w:rPr>
            </w:pPr>
            <w:r w:rsidRPr="00947A1B">
              <w:rPr>
                <w:rFonts w:ascii="Constantia" w:hAnsi="Constantia" w:cstheme="minorHAnsi"/>
                <w:b/>
                <w:sz w:val="18"/>
                <w:szCs w:val="18"/>
              </w:rPr>
              <w:t>199259</w:t>
            </w:r>
          </w:p>
        </w:tc>
      </w:tr>
      <w:tr w:rsidR="00912E35" w:rsidRPr="005E4028" w:rsidTr="00912E35">
        <w:trPr>
          <w:trHeight w:val="20"/>
        </w:trPr>
        <w:tc>
          <w:tcPr>
            <w:tcW w:w="615" w:type="dxa"/>
            <w:tcBorders>
              <w:top w:val="nil"/>
              <w:left w:val="single" w:sz="12" w:space="0" w:color="auto"/>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b/>
                <w:bCs/>
                <w:color w:val="000000"/>
                <w:sz w:val="18"/>
                <w:szCs w:val="18"/>
              </w:rPr>
            </w:pPr>
            <w:r w:rsidRPr="00947A1B">
              <w:rPr>
                <w:rFonts w:ascii="Constantia" w:hAnsi="Constantia" w:cs="Calibri"/>
                <w:b/>
                <w:bCs/>
                <w:color w:val="000000"/>
                <w:sz w:val="18"/>
                <w:szCs w:val="18"/>
              </w:rPr>
              <w:t>2008</w:t>
            </w:r>
          </w:p>
        </w:tc>
        <w:tc>
          <w:tcPr>
            <w:tcW w:w="749"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4483</w:t>
            </w:r>
          </w:p>
        </w:tc>
        <w:tc>
          <w:tcPr>
            <w:tcW w:w="1108"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187374</w:t>
            </w:r>
          </w:p>
        </w:tc>
        <w:tc>
          <w:tcPr>
            <w:tcW w:w="794"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1156</w:t>
            </w:r>
          </w:p>
        </w:tc>
        <w:tc>
          <w:tcPr>
            <w:tcW w:w="932"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1206</w:t>
            </w:r>
          </w:p>
        </w:tc>
        <w:tc>
          <w:tcPr>
            <w:tcW w:w="893"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13647</w:t>
            </w:r>
          </w:p>
        </w:tc>
        <w:tc>
          <w:tcPr>
            <w:tcW w:w="1100"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1551</w:t>
            </w:r>
          </w:p>
        </w:tc>
        <w:tc>
          <w:tcPr>
            <w:tcW w:w="802"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835</w:t>
            </w:r>
          </w:p>
        </w:tc>
        <w:tc>
          <w:tcPr>
            <w:tcW w:w="747"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1827</w:t>
            </w:r>
          </w:p>
        </w:tc>
        <w:tc>
          <w:tcPr>
            <w:tcW w:w="827"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28</w:t>
            </w:r>
          </w:p>
        </w:tc>
        <w:tc>
          <w:tcPr>
            <w:tcW w:w="910" w:type="dxa"/>
            <w:tcBorders>
              <w:top w:val="nil"/>
              <w:left w:val="nil"/>
              <w:bottom w:val="single" w:sz="4" w:space="0" w:color="auto"/>
              <w:right w:val="single" w:sz="12" w:space="0" w:color="auto"/>
            </w:tcBorders>
            <w:shd w:val="clear" w:color="auto" w:fill="auto"/>
            <w:noWrap/>
            <w:hideMark/>
          </w:tcPr>
          <w:p w:rsidR="00912E35" w:rsidRPr="005E4028" w:rsidRDefault="00912E35" w:rsidP="00912E35">
            <w:pPr>
              <w:jc w:val="center"/>
              <w:rPr>
                <w:rFonts w:ascii="Constantia" w:hAnsi="Constantia" w:cstheme="minorHAnsi"/>
                <w:b/>
                <w:sz w:val="18"/>
                <w:szCs w:val="18"/>
              </w:rPr>
            </w:pPr>
            <w:r w:rsidRPr="00947A1B">
              <w:rPr>
                <w:rFonts w:ascii="Constantia" w:hAnsi="Constantia" w:cstheme="minorHAnsi"/>
                <w:b/>
                <w:sz w:val="18"/>
                <w:szCs w:val="18"/>
              </w:rPr>
              <w:t>212107</w:t>
            </w:r>
          </w:p>
        </w:tc>
      </w:tr>
      <w:tr w:rsidR="00912E35" w:rsidRPr="005E4028" w:rsidTr="00912E35">
        <w:trPr>
          <w:trHeight w:val="20"/>
        </w:trPr>
        <w:tc>
          <w:tcPr>
            <w:tcW w:w="615" w:type="dxa"/>
            <w:tcBorders>
              <w:top w:val="nil"/>
              <w:left w:val="single" w:sz="12" w:space="0" w:color="auto"/>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b/>
                <w:bCs/>
                <w:color w:val="000000"/>
                <w:sz w:val="18"/>
                <w:szCs w:val="18"/>
              </w:rPr>
            </w:pPr>
            <w:r w:rsidRPr="00947A1B">
              <w:rPr>
                <w:rFonts w:ascii="Constantia" w:hAnsi="Constantia" w:cs="Calibri"/>
                <w:b/>
                <w:bCs/>
                <w:color w:val="000000"/>
                <w:sz w:val="18"/>
                <w:szCs w:val="18"/>
              </w:rPr>
              <w:t>2009</w:t>
            </w:r>
          </w:p>
        </w:tc>
        <w:tc>
          <w:tcPr>
            <w:tcW w:w="749"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4594</w:t>
            </w:r>
          </w:p>
        </w:tc>
        <w:tc>
          <w:tcPr>
            <w:tcW w:w="1108"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178879</w:t>
            </w:r>
          </w:p>
        </w:tc>
        <w:tc>
          <w:tcPr>
            <w:tcW w:w="794"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1259</w:t>
            </w:r>
          </w:p>
        </w:tc>
        <w:tc>
          <w:tcPr>
            <w:tcW w:w="932"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1184</w:t>
            </w:r>
          </w:p>
        </w:tc>
        <w:tc>
          <w:tcPr>
            <w:tcW w:w="893"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12682</w:t>
            </w:r>
          </w:p>
        </w:tc>
        <w:tc>
          <w:tcPr>
            <w:tcW w:w="1100"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1799</w:t>
            </w:r>
          </w:p>
        </w:tc>
        <w:tc>
          <w:tcPr>
            <w:tcW w:w="802"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905</w:t>
            </w:r>
          </w:p>
        </w:tc>
        <w:tc>
          <w:tcPr>
            <w:tcW w:w="747"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1477</w:t>
            </w:r>
          </w:p>
        </w:tc>
        <w:tc>
          <w:tcPr>
            <w:tcW w:w="827"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60</w:t>
            </w:r>
          </w:p>
        </w:tc>
        <w:tc>
          <w:tcPr>
            <w:tcW w:w="910" w:type="dxa"/>
            <w:tcBorders>
              <w:top w:val="nil"/>
              <w:left w:val="nil"/>
              <w:bottom w:val="single" w:sz="4" w:space="0" w:color="auto"/>
              <w:right w:val="single" w:sz="12" w:space="0" w:color="auto"/>
            </w:tcBorders>
            <w:shd w:val="clear" w:color="auto" w:fill="auto"/>
            <w:noWrap/>
            <w:hideMark/>
          </w:tcPr>
          <w:p w:rsidR="00912E35" w:rsidRPr="005E4028" w:rsidRDefault="00912E35" w:rsidP="00912E35">
            <w:pPr>
              <w:jc w:val="center"/>
              <w:rPr>
                <w:rFonts w:ascii="Constantia" w:hAnsi="Constantia" w:cstheme="minorHAnsi"/>
                <w:b/>
                <w:sz w:val="18"/>
                <w:szCs w:val="18"/>
              </w:rPr>
            </w:pPr>
            <w:r w:rsidRPr="00947A1B">
              <w:rPr>
                <w:rFonts w:ascii="Constantia" w:hAnsi="Constantia" w:cstheme="minorHAnsi"/>
                <w:b/>
                <w:sz w:val="18"/>
                <w:szCs w:val="18"/>
              </w:rPr>
              <w:t>202839</w:t>
            </w:r>
          </w:p>
        </w:tc>
      </w:tr>
      <w:tr w:rsidR="00912E35" w:rsidRPr="005E4028" w:rsidTr="00912E35">
        <w:trPr>
          <w:trHeight w:val="20"/>
        </w:trPr>
        <w:tc>
          <w:tcPr>
            <w:tcW w:w="615" w:type="dxa"/>
            <w:tcBorders>
              <w:top w:val="nil"/>
              <w:left w:val="single" w:sz="12" w:space="0" w:color="auto"/>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b/>
                <w:bCs/>
                <w:color w:val="000000"/>
                <w:sz w:val="18"/>
                <w:szCs w:val="18"/>
              </w:rPr>
            </w:pPr>
            <w:r w:rsidRPr="00947A1B">
              <w:rPr>
                <w:rFonts w:ascii="Constantia" w:hAnsi="Constantia" w:cs="Calibri"/>
                <w:b/>
                <w:bCs/>
                <w:color w:val="000000"/>
                <w:sz w:val="18"/>
                <w:szCs w:val="18"/>
              </w:rPr>
              <w:t>2010</w:t>
            </w:r>
          </w:p>
        </w:tc>
        <w:tc>
          <w:tcPr>
            <w:tcW w:w="749"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4361</w:t>
            </w:r>
          </w:p>
        </w:tc>
        <w:tc>
          <w:tcPr>
            <w:tcW w:w="1108"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164620</w:t>
            </w:r>
          </w:p>
        </w:tc>
        <w:tc>
          <w:tcPr>
            <w:tcW w:w="794"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1040</w:t>
            </w:r>
          </w:p>
        </w:tc>
        <w:tc>
          <w:tcPr>
            <w:tcW w:w="932"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1140</w:t>
            </w:r>
          </w:p>
        </w:tc>
        <w:tc>
          <w:tcPr>
            <w:tcW w:w="893"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12096</w:t>
            </w:r>
          </w:p>
        </w:tc>
        <w:tc>
          <w:tcPr>
            <w:tcW w:w="1100"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1824</w:t>
            </w:r>
          </w:p>
        </w:tc>
        <w:tc>
          <w:tcPr>
            <w:tcW w:w="802"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933</w:t>
            </w:r>
          </w:p>
        </w:tc>
        <w:tc>
          <w:tcPr>
            <w:tcW w:w="747"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1422</w:t>
            </w:r>
          </w:p>
        </w:tc>
        <w:tc>
          <w:tcPr>
            <w:tcW w:w="827"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55</w:t>
            </w:r>
          </w:p>
        </w:tc>
        <w:tc>
          <w:tcPr>
            <w:tcW w:w="910" w:type="dxa"/>
            <w:tcBorders>
              <w:top w:val="nil"/>
              <w:left w:val="nil"/>
              <w:bottom w:val="single" w:sz="4" w:space="0" w:color="auto"/>
              <w:right w:val="single" w:sz="12" w:space="0" w:color="auto"/>
            </w:tcBorders>
            <w:shd w:val="clear" w:color="auto" w:fill="auto"/>
            <w:noWrap/>
            <w:hideMark/>
          </w:tcPr>
          <w:p w:rsidR="00912E35" w:rsidRPr="005E4028" w:rsidRDefault="00912E35" w:rsidP="00912E35">
            <w:pPr>
              <w:jc w:val="center"/>
              <w:rPr>
                <w:rFonts w:ascii="Constantia" w:hAnsi="Constantia" w:cstheme="minorHAnsi"/>
                <w:b/>
                <w:sz w:val="18"/>
                <w:szCs w:val="18"/>
              </w:rPr>
            </w:pPr>
            <w:r w:rsidRPr="00947A1B">
              <w:rPr>
                <w:rFonts w:ascii="Constantia" w:hAnsi="Constantia" w:cstheme="minorHAnsi"/>
                <w:b/>
                <w:sz w:val="18"/>
                <w:szCs w:val="18"/>
              </w:rPr>
              <w:t>187491</w:t>
            </w:r>
          </w:p>
        </w:tc>
      </w:tr>
      <w:tr w:rsidR="00912E35" w:rsidRPr="005E4028" w:rsidTr="00912E35">
        <w:trPr>
          <w:trHeight w:val="20"/>
        </w:trPr>
        <w:tc>
          <w:tcPr>
            <w:tcW w:w="615" w:type="dxa"/>
            <w:tcBorders>
              <w:top w:val="nil"/>
              <w:left w:val="single" w:sz="12" w:space="0" w:color="auto"/>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b/>
                <w:bCs/>
                <w:color w:val="000000"/>
                <w:sz w:val="18"/>
                <w:szCs w:val="18"/>
              </w:rPr>
            </w:pPr>
            <w:r w:rsidRPr="00947A1B">
              <w:rPr>
                <w:rFonts w:ascii="Constantia" w:hAnsi="Constantia" w:cs="Calibri"/>
                <w:b/>
                <w:bCs/>
                <w:color w:val="000000"/>
                <w:sz w:val="18"/>
                <w:szCs w:val="18"/>
              </w:rPr>
              <w:t>2011</w:t>
            </w:r>
          </w:p>
        </w:tc>
        <w:tc>
          <w:tcPr>
            <w:tcW w:w="749"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4378</w:t>
            </w:r>
          </w:p>
        </w:tc>
        <w:tc>
          <w:tcPr>
            <w:tcW w:w="1108"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166802</w:t>
            </w:r>
          </w:p>
        </w:tc>
        <w:tc>
          <w:tcPr>
            <w:tcW w:w="794"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1048</w:t>
            </w:r>
          </w:p>
        </w:tc>
        <w:tc>
          <w:tcPr>
            <w:tcW w:w="932"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1175</w:t>
            </w:r>
          </w:p>
        </w:tc>
        <w:tc>
          <w:tcPr>
            <w:tcW w:w="893"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12008</w:t>
            </w:r>
          </w:p>
        </w:tc>
        <w:tc>
          <w:tcPr>
            <w:tcW w:w="1100"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1954</w:t>
            </w:r>
          </w:p>
        </w:tc>
        <w:tc>
          <w:tcPr>
            <w:tcW w:w="802"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936</w:t>
            </w:r>
          </w:p>
        </w:tc>
        <w:tc>
          <w:tcPr>
            <w:tcW w:w="747"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1751</w:t>
            </w:r>
          </w:p>
        </w:tc>
        <w:tc>
          <w:tcPr>
            <w:tcW w:w="827" w:type="dxa"/>
            <w:tcBorders>
              <w:top w:val="nil"/>
              <w:left w:val="nil"/>
              <w:bottom w:val="single" w:sz="4" w:space="0" w:color="auto"/>
              <w:right w:val="single" w:sz="4" w:space="0" w:color="auto"/>
            </w:tcBorders>
            <w:shd w:val="clear" w:color="auto" w:fill="auto"/>
            <w:noWrap/>
            <w:vAlign w:val="center"/>
            <w:hideMark/>
          </w:tcPr>
          <w:p w:rsidR="00912E35" w:rsidRPr="005E4028" w:rsidRDefault="00912E35" w:rsidP="00912E35">
            <w:pPr>
              <w:spacing w:after="0"/>
              <w:jc w:val="center"/>
              <w:rPr>
                <w:rFonts w:ascii="Constantia" w:hAnsi="Constantia" w:cs="Calibri"/>
                <w:color w:val="000000"/>
                <w:sz w:val="18"/>
                <w:szCs w:val="18"/>
              </w:rPr>
            </w:pPr>
            <w:r w:rsidRPr="00947A1B">
              <w:rPr>
                <w:rFonts w:ascii="Constantia" w:hAnsi="Constantia" w:cs="Calibri"/>
                <w:color w:val="000000"/>
                <w:sz w:val="18"/>
                <w:szCs w:val="18"/>
              </w:rPr>
              <w:t>166</w:t>
            </w:r>
          </w:p>
        </w:tc>
        <w:tc>
          <w:tcPr>
            <w:tcW w:w="910" w:type="dxa"/>
            <w:tcBorders>
              <w:top w:val="nil"/>
              <w:left w:val="nil"/>
              <w:bottom w:val="single" w:sz="4" w:space="0" w:color="auto"/>
              <w:right w:val="single" w:sz="12" w:space="0" w:color="auto"/>
            </w:tcBorders>
            <w:shd w:val="clear" w:color="auto" w:fill="auto"/>
            <w:noWrap/>
            <w:hideMark/>
          </w:tcPr>
          <w:p w:rsidR="00912E35" w:rsidRPr="005E4028" w:rsidRDefault="00912E35" w:rsidP="00912E35">
            <w:pPr>
              <w:jc w:val="center"/>
              <w:rPr>
                <w:rFonts w:ascii="Constantia" w:hAnsi="Constantia" w:cstheme="minorHAnsi"/>
                <w:b/>
                <w:sz w:val="18"/>
                <w:szCs w:val="18"/>
              </w:rPr>
            </w:pPr>
            <w:r w:rsidRPr="00947A1B">
              <w:rPr>
                <w:rFonts w:ascii="Constantia" w:hAnsi="Constantia" w:cstheme="minorHAnsi"/>
                <w:b/>
                <w:sz w:val="18"/>
                <w:szCs w:val="18"/>
              </w:rPr>
              <w:t>190218</w:t>
            </w:r>
          </w:p>
        </w:tc>
      </w:tr>
      <w:tr w:rsidR="00912E35" w:rsidRPr="005E4028" w:rsidTr="00912E35">
        <w:trPr>
          <w:trHeight w:val="20"/>
        </w:trPr>
        <w:tc>
          <w:tcPr>
            <w:tcW w:w="615" w:type="dxa"/>
            <w:tcBorders>
              <w:top w:val="single" w:sz="4" w:space="0" w:color="auto"/>
              <w:left w:val="single" w:sz="12" w:space="0" w:color="auto"/>
              <w:bottom w:val="single" w:sz="4" w:space="0" w:color="auto"/>
              <w:right w:val="single" w:sz="4" w:space="0" w:color="auto"/>
            </w:tcBorders>
            <w:shd w:val="clear" w:color="auto" w:fill="auto"/>
            <w:noWrap/>
            <w:vAlign w:val="center"/>
          </w:tcPr>
          <w:p w:rsidR="00912E35" w:rsidRPr="005E4028" w:rsidRDefault="00912E35" w:rsidP="00912E35">
            <w:pPr>
              <w:spacing w:after="0"/>
              <w:jc w:val="center"/>
              <w:rPr>
                <w:rFonts w:ascii="Constantia" w:hAnsi="Constantia" w:cs="Calibri"/>
                <w:b/>
                <w:bCs/>
                <w:color w:val="000000"/>
                <w:sz w:val="18"/>
                <w:szCs w:val="18"/>
              </w:rPr>
            </w:pPr>
            <w:r w:rsidRPr="00947A1B">
              <w:rPr>
                <w:rFonts w:ascii="Constantia" w:hAnsi="Constantia" w:cs="Calibri"/>
                <w:b/>
                <w:bCs/>
                <w:color w:val="000000"/>
                <w:sz w:val="18"/>
                <w:szCs w:val="18"/>
              </w:rPr>
              <w:t>2012</w:t>
            </w:r>
          </w:p>
        </w:tc>
        <w:tc>
          <w:tcPr>
            <w:tcW w:w="749" w:type="dxa"/>
            <w:tcBorders>
              <w:top w:val="single" w:sz="4" w:space="0" w:color="auto"/>
              <w:left w:val="nil"/>
              <w:bottom w:val="single" w:sz="4" w:space="0" w:color="auto"/>
              <w:right w:val="single" w:sz="4" w:space="0" w:color="auto"/>
            </w:tcBorders>
            <w:shd w:val="clear" w:color="auto" w:fill="auto"/>
            <w:noWrap/>
            <w:vAlign w:val="center"/>
          </w:tcPr>
          <w:p w:rsidR="00912E35" w:rsidRPr="005E4028" w:rsidRDefault="00912E35" w:rsidP="00912E35">
            <w:pPr>
              <w:jc w:val="center"/>
              <w:rPr>
                <w:rFonts w:ascii="Constantia" w:hAnsi="Constantia" w:cstheme="minorHAnsi"/>
                <w:sz w:val="18"/>
                <w:szCs w:val="18"/>
              </w:rPr>
            </w:pPr>
            <w:r w:rsidRPr="00947A1B">
              <w:rPr>
                <w:rFonts w:ascii="Constantia" w:hAnsi="Constantia" w:cstheme="minorHAnsi"/>
                <w:sz w:val="18"/>
                <w:szCs w:val="18"/>
              </w:rPr>
              <w:t>4389</w:t>
            </w:r>
          </w:p>
        </w:tc>
        <w:tc>
          <w:tcPr>
            <w:tcW w:w="1108" w:type="dxa"/>
            <w:tcBorders>
              <w:top w:val="single" w:sz="4" w:space="0" w:color="auto"/>
              <w:left w:val="nil"/>
              <w:bottom w:val="single" w:sz="4" w:space="0" w:color="auto"/>
              <w:right w:val="single" w:sz="4" w:space="0" w:color="auto"/>
            </w:tcBorders>
            <w:shd w:val="clear" w:color="auto" w:fill="auto"/>
            <w:noWrap/>
            <w:vAlign w:val="center"/>
          </w:tcPr>
          <w:p w:rsidR="00912E35" w:rsidRPr="005E4028" w:rsidRDefault="00912E35" w:rsidP="00912E35">
            <w:pPr>
              <w:jc w:val="center"/>
              <w:rPr>
                <w:rFonts w:ascii="Constantia" w:hAnsi="Constantia" w:cstheme="minorHAnsi"/>
                <w:sz w:val="18"/>
                <w:szCs w:val="18"/>
              </w:rPr>
            </w:pPr>
            <w:r w:rsidRPr="00947A1B">
              <w:rPr>
                <w:rFonts w:ascii="Constantia" w:hAnsi="Constantia" w:cstheme="minorHAnsi"/>
                <w:sz w:val="18"/>
                <w:szCs w:val="18"/>
              </w:rPr>
              <w:t>170430</w:t>
            </w:r>
          </w:p>
        </w:tc>
        <w:tc>
          <w:tcPr>
            <w:tcW w:w="794" w:type="dxa"/>
            <w:tcBorders>
              <w:top w:val="single" w:sz="4" w:space="0" w:color="auto"/>
              <w:left w:val="nil"/>
              <w:bottom w:val="single" w:sz="4" w:space="0" w:color="auto"/>
              <w:right w:val="single" w:sz="4" w:space="0" w:color="auto"/>
            </w:tcBorders>
            <w:shd w:val="clear" w:color="auto" w:fill="auto"/>
            <w:noWrap/>
            <w:vAlign w:val="center"/>
          </w:tcPr>
          <w:p w:rsidR="00912E35" w:rsidRPr="005E4028" w:rsidRDefault="00912E35" w:rsidP="00912E35">
            <w:pPr>
              <w:jc w:val="center"/>
              <w:rPr>
                <w:rFonts w:ascii="Constantia" w:hAnsi="Constantia" w:cstheme="minorHAnsi"/>
                <w:sz w:val="18"/>
                <w:szCs w:val="18"/>
              </w:rPr>
            </w:pPr>
            <w:r w:rsidRPr="00947A1B">
              <w:rPr>
                <w:rFonts w:ascii="Constantia" w:hAnsi="Constantia" w:cstheme="minorHAnsi"/>
                <w:sz w:val="18"/>
                <w:szCs w:val="18"/>
              </w:rPr>
              <w:t>1004</w:t>
            </w:r>
          </w:p>
        </w:tc>
        <w:tc>
          <w:tcPr>
            <w:tcW w:w="932" w:type="dxa"/>
            <w:tcBorders>
              <w:top w:val="single" w:sz="4" w:space="0" w:color="auto"/>
              <w:left w:val="nil"/>
              <w:bottom w:val="single" w:sz="4" w:space="0" w:color="auto"/>
              <w:right w:val="single" w:sz="4" w:space="0" w:color="auto"/>
            </w:tcBorders>
            <w:shd w:val="clear" w:color="auto" w:fill="auto"/>
            <w:noWrap/>
            <w:vAlign w:val="center"/>
          </w:tcPr>
          <w:p w:rsidR="00912E35" w:rsidRPr="005E4028" w:rsidRDefault="00912E35" w:rsidP="00912E35">
            <w:pPr>
              <w:jc w:val="center"/>
              <w:rPr>
                <w:rFonts w:ascii="Constantia" w:hAnsi="Constantia" w:cstheme="minorHAnsi"/>
                <w:sz w:val="18"/>
                <w:szCs w:val="18"/>
              </w:rPr>
            </w:pPr>
            <w:r w:rsidRPr="00947A1B">
              <w:rPr>
                <w:rFonts w:ascii="Constantia" w:hAnsi="Constantia" w:cstheme="minorHAnsi"/>
                <w:sz w:val="18"/>
                <w:szCs w:val="18"/>
              </w:rPr>
              <w:t>1179</w:t>
            </w:r>
          </w:p>
        </w:tc>
        <w:tc>
          <w:tcPr>
            <w:tcW w:w="893" w:type="dxa"/>
            <w:tcBorders>
              <w:top w:val="single" w:sz="4" w:space="0" w:color="auto"/>
              <w:left w:val="nil"/>
              <w:bottom w:val="single" w:sz="4" w:space="0" w:color="auto"/>
              <w:right w:val="single" w:sz="4" w:space="0" w:color="auto"/>
            </w:tcBorders>
            <w:shd w:val="clear" w:color="auto" w:fill="auto"/>
            <w:noWrap/>
            <w:vAlign w:val="center"/>
          </w:tcPr>
          <w:p w:rsidR="00912E35" w:rsidRPr="005E4028" w:rsidRDefault="00912E35" w:rsidP="00912E35">
            <w:pPr>
              <w:jc w:val="center"/>
              <w:rPr>
                <w:rFonts w:ascii="Constantia" w:hAnsi="Constantia" w:cstheme="minorHAnsi"/>
                <w:sz w:val="18"/>
                <w:szCs w:val="18"/>
              </w:rPr>
            </w:pPr>
            <w:r w:rsidRPr="00947A1B">
              <w:rPr>
                <w:rFonts w:ascii="Constantia" w:hAnsi="Constantia" w:cstheme="minorHAnsi"/>
                <w:sz w:val="18"/>
                <w:szCs w:val="18"/>
              </w:rPr>
              <w:t>12357</w:t>
            </w:r>
          </w:p>
        </w:tc>
        <w:tc>
          <w:tcPr>
            <w:tcW w:w="1100" w:type="dxa"/>
            <w:tcBorders>
              <w:top w:val="single" w:sz="4" w:space="0" w:color="auto"/>
              <w:left w:val="nil"/>
              <w:bottom w:val="single" w:sz="4" w:space="0" w:color="auto"/>
              <w:right w:val="single" w:sz="4" w:space="0" w:color="auto"/>
            </w:tcBorders>
            <w:shd w:val="clear" w:color="auto" w:fill="auto"/>
            <w:noWrap/>
            <w:vAlign w:val="center"/>
          </w:tcPr>
          <w:p w:rsidR="00912E35" w:rsidRPr="005E4028" w:rsidRDefault="00912E35" w:rsidP="00912E35">
            <w:pPr>
              <w:jc w:val="center"/>
              <w:rPr>
                <w:rFonts w:ascii="Constantia" w:hAnsi="Constantia" w:cstheme="minorHAnsi"/>
                <w:sz w:val="18"/>
                <w:szCs w:val="18"/>
              </w:rPr>
            </w:pPr>
            <w:r w:rsidRPr="00947A1B">
              <w:rPr>
                <w:rFonts w:ascii="Constantia" w:hAnsi="Constantia" w:cstheme="minorHAnsi"/>
                <w:sz w:val="18"/>
                <w:szCs w:val="18"/>
              </w:rPr>
              <w:t>1387</w:t>
            </w:r>
          </w:p>
        </w:tc>
        <w:tc>
          <w:tcPr>
            <w:tcW w:w="802" w:type="dxa"/>
            <w:tcBorders>
              <w:top w:val="single" w:sz="4" w:space="0" w:color="auto"/>
              <w:left w:val="nil"/>
              <w:bottom w:val="single" w:sz="4" w:space="0" w:color="auto"/>
              <w:right w:val="single" w:sz="4" w:space="0" w:color="auto"/>
            </w:tcBorders>
            <w:shd w:val="clear" w:color="auto" w:fill="auto"/>
            <w:noWrap/>
            <w:vAlign w:val="center"/>
          </w:tcPr>
          <w:p w:rsidR="00912E35" w:rsidRPr="005E4028" w:rsidRDefault="00912E35" w:rsidP="00912E35">
            <w:pPr>
              <w:jc w:val="center"/>
              <w:rPr>
                <w:rFonts w:ascii="Constantia" w:hAnsi="Constantia" w:cstheme="minorHAnsi"/>
                <w:sz w:val="18"/>
                <w:szCs w:val="18"/>
              </w:rPr>
            </w:pPr>
            <w:r w:rsidRPr="00947A1B">
              <w:rPr>
                <w:rFonts w:ascii="Constantia" w:hAnsi="Constantia" w:cstheme="minorHAnsi"/>
                <w:sz w:val="18"/>
                <w:szCs w:val="18"/>
              </w:rPr>
              <w:t>1001</w:t>
            </w:r>
          </w:p>
        </w:tc>
        <w:tc>
          <w:tcPr>
            <w:tcW w:w="747" w:type="dxa"/>
            <w:tcBorders>
              <w:top w:val="single" w:sz="4" w:space="0" w:color="auto"/>
              <w:left w:val="nil"/>
              <w:bottom w:val="single" w:sz="4" w:space="0" w:color="auto"/>
              <w:right w:val="single" w:sz="4" w:space="0" w:color="auto"/>
            </w:tcBorders>
            <w:shd w:val="clear" w:color="auto" w:fill="auto"/>
            <w:noWrap/>
            <w:vAlign w:val="center"/>
          </w:tcPr>
          <w:p w:rsidR="00912E35" w:rsidRPr="005E4028" w:rsidRDefault="00912E35" w:rsidP="00912E35">
            <w:pPr>
              <w:jc w:val="center"/>
              <w:rPr>
                <w:rFonts w:ascii="Constantia" w:hAnsi="Constantia" w:cstheme="minorHAnsi"/>
                <w:sz w:val="18"/>
                <w:szCs w:val="18"/>
              </w:rPr>
            </w:pPr>
            <w:r w:rsidRPr="00947A1B">
              <w:rPr>
                <w:rFonts w:ascii="Constantia" w:hAnsi="Constantia" w:cstheme="minorHAnsi"/>
                <w:sz w:val="18"/>
                <w:szCs w:val="18"/>
              </w:rPr>
              <w:t>1705</w:t>
            </w:r>
          </w:p>
        </w:tc>
        <w:tc>
          <w:tcPr>
            <w:tcW w:w="827" w:type="dxa"/>
            <w:tcBorders>
              <w:top w:val="single" w:sz="4" w:space="0" w:color="auto"/>
              <w:left w:val="nil"/>
              <w:bottom w:val="single" w:sz="4" w:space="0" w:color="auto"/>
              <w:right w:val="single" w:sz="4" w:space="0" w:color="auto"/>
            </w:tcBorders>
            <w:shd w:val="clear" w:color="auto" w:fill="auto"/>
            <w:noWrap/>
            <w:vAlign w:val="center"/>
          </w:tcPr>
          <w:p w:rsidR="00912E35" w:rsidRPr="005E4028" w:rsidRDefault="00912E35" w:rsidP="00912E35">
            <w:pPr>
              <w:jc w:val="center"/>
              <w:rPr>
                <w:rFonts w:ascii="Constantia" w:hAnsi="Constantia" w:cstheme="minorHAnsi"/>
                <w:sz w:val="18"/>
                <w:szCs w:val="18"/>
              </w:rPr>
            </w:pPr>
            <w:r w:rsidRPr="00947A1B">
              <w:rPr>
                <w:rFonts w:ascii="Constantia" w:hAnsi="Constantia" w:cstheme="minorHAnsi"/>
                <w:sz w:val="18"/>
                <w:szCs w:val="18"/>
              </w:rPr>
              <w:t>164</w:t>
            </w:r>
          </w:p>
        </w:tc>
        <w:tc>
          <w:tcPr>
            <w:tcW w:w="910" w:type="dxa"/>
            <w:tcBorders>
              <w:top w:val="single" w:sz="4" w:space="0" w:color="auto"/>
              <w:left w:val="nil"/>
              <w:bottom w:val="single" w:sz="4" w:space="0" w:color="auto"/>
              <w:right w:val="single" w:sz="12" w:space="0" w:color="auto"/>
            </w:tcBorders>
            <w:shd w:val="clear" w:color="auto" w:fill="auto"/>
            <w:noWrap/>
          </w:tcPr>
          <w:p w:rsidR="00912E35" w:rsidRPr="00946F52" w:rsidRDefault="00912E35" w:rsidP="00912E35">
            <w:pPr>
              <w:jc w:val="center"/>
              <w:rPr>
                <w:rFonts w:ascii="Constantia" w:hAnsi="Constantia" w:cstheme="minorHAnsi"/>
                <w:b/>
                <w:sz w:val="18"/>
                <w:szCs w:val="18"/>
              </w:rPr>
            </w:pPr>
            <w:r w:rsidRPr="00946F52">
              <w:rPr>
                <w:rFonts w:ascii="Constantia" w:hAnsi="Constantia" w:cstheme="minorHAnsi"/>
                <w:b/>
                <w:sz w:val="18"/>
                <w:szCs w:val="18"/>
              </w:rPr>
              <w:t>193616</w:t>
            </w:r>
          </w:p>
        </w:tc>
      </w:tr>
      <w:tr w:rsidR="00912E35" w:rsidRPr="005E4028" w:rsidTr="00912E35">
        <w:trPr>
          <w:trHeight w:val="20"/>
        </w:trPr>
        <w:tc>
          <w:tcPr>
            <w:tcW w:w="615" w:type="dxa"/>
            <w:tcBorders>
              <w:top w:val="single" w:sz="4" w:space="0" w:color="auto"/>
              <w:left w:val="single" w:sz="12" w:space="0" w:color="auto"/>
              <w:bottom w:val="single" w:sz="12" w:space="0" w:color="auto"/>
              <w:right w:val="single" w:sz="4" w:space="0" w:color="auto"/>
            </w:tcBorders>
            <w:shd w:val="clear" w:color="auto" w:fill="auto"/>
            <w:noWrap/>
            <w:vAlign w:val="center"/>
          </w:tcPr>
          <w:p w:rsidR="00912E35" w:rsidRPr="00947A1B" w:rsidRDefault="00912E35" w:rsidP="00912E35">
            <w:pPr>
              <w:spacing w:after="0"/>
              <w:jc w:val="center"/>
              <w:rPr>
                <w:rFonts w:ascii="Constantia" w:hAnsi="Constantia" w:cs="Calibri"/>
                <w:b/>
                <w:bCs/>
                <w:color w:val="000000"/>
                <w:sz w:val="18"/>
                <w:szCs w:val="18"/>
              </w:rPr>
            </w:pPr>
            <w:r>
              <w:rPr>
                <w:rFonts w:ascii="Constantia" w:hAnsi="Constantia" w:cs="Calibri"/>
                <w:b/>
                <w:bCs/>
                <w:color w:val="000000"/>
                <w:sz w:val="18"/>
                <w:szCs w:val="18"/>
              </w:rPr>
              <w:t>2013</w:t>
            </w:r>
          </w:p>
        </w:tc>
        <w:tc>
          <w:tcPr>
            <w:tcW w:w="749" w:type="dxa"/>
            <w:tcBorders>
              <w:top w:val="single" w:sz="4" w:space="0" w:color="auto"/>
              <w:left w:val="nil"/>
              <w:bottom w:val="single" w:sz="12" w:space="0" w:color="auto"/>
              <w:right w:val="single" w:sz="4" w:space="0" w:color="auto"/>
            </w:tcBorders>
            <w:shd w:val="clear" w:color="auto" w:fill="auto"/>
            <w:noWrap/>
            <w:vAlign w:val="center"/>
          </w:tcPr>
          <w:p w:rsidR="00912E35" w:rsidRPr="00947A1B" w:rsidRDefault="00912E35" w:rsidP="00912E35">
            <w:pPr>
              <w:jc w:val="center"/>
              <w:rPr>
                <w:rFonts w:ascii="Constantia" w:hAnsi="Constantia" w:cstheme="minorHAnsi"/>
                <w:sz w:val="18"/>
                <w:szCs w:val="18"/>
              </w:rPr>
            </w:pPr>
            <w:r>
              <w:rPr>
                <w:rFonts w:ascii="Constantia" w:hAnsi="Constantia" w:cstheme="minorHAnsi"/>
                <w:sz w:val="18"/>
                <w:szCs w:val="18"/>
              </w:rPr>
              <w:t>5151</w:t>
            </w:r>
          </w:p>
        </w:tc>
        <w:tc>
          <w:tcPr>
            <w:tcW w:w="1108" w:type="dxa"/>
            <w:tcBorders>
              <w:top w:val="single" w:sz="4" w:space="0" w:color="auto"/>
              <w:left w:val="nil"/>
              <w:bottom w:val="single" w:sz="12" w:space="0" w:color="auto"/>
              <w:right w:val="single" w:sz="4" w:space="0" w:color="auto"/>
            </w:tcBorders>
            <w:shd w:val="clear" w:color="auto" w:fill="auto"/>
            <w:noWrap/>
            <w:vAlign w:val="center"/>
          </w:tcPr>
          <w:p w:rsidR="00912E35" w:rsidRPr="00947A1B" w:rsidRDefault="00912E35" w:rsidP="00912E35">
            <w:pPr>
              <w:jc w:val="center"/>
              <w:rPr>
                <w:rFonts w:ascii="Constantia" w:hAnsi="Constantia" w:cstheme="minorHAnsi"/>
                <w:sz w:val="18"/>
                <w:szCs w:val="18"/>
              </w:rPr>
            </w:pPr>
            <w:r>
              <w:rPr>
                <w:rFonts w:ascii="Constantia" w:hAnsi="Constantia" w:cstheme="minorHAnsi"/>
                <w:sz w:val="18"/>
                <w:szCs w:val="18"/>
              </w:rPr>
              <w:t>177679</w:t>
            </w:r>
          </w:p>
        </w:tc>
        <w:tc>
          <w:tcPr>
            <w:tcW w:w="794" w:type="dxa"/>
            <w:tcBorders>
              <w:top w:val="single" w:sz="4" w:space="0" w:color="auto"/>
              <w:left w:val="nil"/>
              <w:bottom w:val="single" w:sz="12" w:space="0" w:color="auto"/>
              <w:right w:val="single" w:sz="4" w:space="0" w:color="auto"/>
            </w:tcBorders>
            <w:shd w:val="clear" w:color="auto" w:fill="auto"/>
            <w:noWrap/>
            <w:vAlign w:val="center"/>
          </w:tcPr>
          <w:p w:rsidR="00912E35" w:rsidRPr="00947A1B" w:rsidRDefault="00912E35" w:rsidP="00912E35">
            <w:pPr>
              <w:jc w:val="center"/>
              <w:rPr>
                <w:rFonts w:ascii="Constantia" w:hAnsi="Constantia" w:cstheme="minorHAnsi"/>
                <w:sz w:val="18"/>
                <w:szCs w:val="18"/>
              </w:rPr>
            </w:pPr>
            <w:r>
              <w:rPr>
                <w:rFonts w:ascii="Constantia" w:hAnsi="Constantia" w:cstheme="minorHAnsi"/>
                <w:sz w:val="18"/>
                <w:szCs w:val="18"/>
              </w:rPr>
              <w:t>954</w:t>
            </w:r>
          </w:p>
        </w:tc>
        <w:tc>
          <w:tcPr>
            <w:tcW w:w="932" w:type="dxa"/>
            <w:tcBorders>
              <w:top w:val="single" w:sz="4" w:space="0" w:color="auto"/>
              <w:left w:val="nil"/>
              <w:bottom w:val="single" w:sz="12" w:space="0" w:color="auto"/>
              <w:right w:val="single" w:sz="4" w:space="0" w:color="auto"/>
            </w:tcBorders>
            <w:shd w:val="clear" w:color="auto" w:fill="auto"/>
            <w:noWrap/>
            <w:vAlign w:val="center"/>
          </w:tcPr>
          <w:p w:rsidR="00912E35" w:rsidRPr="00947A1B" w:rsidRDefault="00912E35" w:rsidP="00912E35">
            <w:pPr>
              <w:jc w:val="center"/>
              <w:rPr>
                <w:rFonts w:ascii="Constantia" w:hAnsi="Constantia" w:cstheme="minorHAnsi"/>
                <w:sz w:val="18"/>
                <w:szCs w:val="18"/>
              </w:rPr>
            </w:pPr>
            <w:r>
              <w:rPr>
                <w:rFonts w:ascii="Constantia" w:hAnsi="Constantia" w:cstheme="minorHAnsi"/>
                <w:sz w:val="18"/>
                <w:szCs w:val="18"/>
              </w:rPr>
              <w:t>1238</w:t>
            </w:r>
          </w:p>
        </w:tc>
        <w:tc>
          <w:tcPr>
            <w:tcW w:w="893" w:type="dxa"/>
            <w:tcBorders>
              <w:top w:val="single" w:sz="4" w:space="0" w:color="auto"/>
              <w:left w:val="nil"/>
              <w:bottom w:val="single" w:sz="12" w:space="0" w:color="auto"/>
              <w:right w:val="single" w:sz="4" w:space="0" w:color="auto"/>
            </w:tcBorders>
            <w:shd w:val="clear" w:color="auto" w:fill="auto"/>
            <w:noWrap/>
            <w:vAlign w:val="center"/>
          </w:tcPr>
          <w:p w:rsidR="00912E35" w:rsidRPr="00947A1B" w:rsidRDefault="00912E35" w:rsidP="00912E35">
            <w:pPr>
              <w:jc w:val="center"/>
              <w:rPr>
                <w:rFonts w:ascii="Constantia" w:hAnsi="Constantia" w:cstheme="minorHAnsi"/>
                <w:sz w:val="18"/>
                <w:szCs w:val="18"/>
              </w:rPr>
            </w:pPr>
            <w:r>
              <w:rPr>
                <w:rFonts w:ascii="Constantia" w:hAnsi="Constantia" w:cstheme="minorHAnsi"/>
                <w:sz w:val="18"/>
                <w:szCs w:val="18"/>
              </w:rPr>
              <w:t>12764</w:t>
            </w:r>
          </w:p>
        </w:tc>
        <w:tc>
          <w:tcPr>
            <w:tcW w:w="1100" w:type="dxa"/>
            <w:tcBorders>
              <w:top w:val="single" w:sz="4" w:space="0" w:color="auto"/>
              <w:left w:val="nil"/>
              <w:bottom w:val="single" w:sz="12" w:space="0" w:color="auto"/>
              <w:right w:val="single" w:sz="4" w:space="0" w:color="auto"/>
            </w:tcBorders>
            <w:shd w:val="clear" w:color="auto" w:fill="auto"/>
            <w:noWrap/>
            <w:vAlign w:val="center"/>
          </w:tcPr>
          <w:p w:rsidR="00912E35" w:rsidRPr="00947A1B" w:rsidRDefault="00912E35" w:rsidP="00912E35">
            <w:pPr>
              <w:jc w:val="center"/>
              <w:rPr>
                <w:rFonts w:ascii="Constantia" w:hAnsi="Constantia" w:cstheme="minorHAnsi"/>
                <w:sz w:val="18"/>
                <w:szCs w:val="18"/>
              </w:rPr>
            </w:pPr>
            <w:r>
              <w:rPr>
                <w:rFonts w:ascii="Constantia" w:hAnsi="Constantia" w:cstheme="minorHAnsi"/>
                <w:sz w:val="18"/>
                <w:szCs w:val="18"/>
              </w:rPr>
              <w:t>1207</w:t>
            </w:r>
          </w:p>
        </w:tc>
        <w:tc>
          <w:tcPr>
            <w:tcW w:w="802" w:type="dxa"/>
            <w:tcBorders>
              <w:top w:val="single" w:sz="4" w:space="0" w:color="auto"/>
              <w:left w:val="nil"/>
              <w:bottom w:val="single" w:sz="12" w:space="0" w:color="auto"/>
              <w:right w:val="single" w:sz="4" w:space="0" w:color="auto"/>
            </w:tcBorders>
            <w:shd w:val="clear" w:color="auto" w:fill="auto"/>
            <w:noWrap/>
            <w:vAlign w:val="center"/>
          </w:tcPr>
          <w:p w:rsidR="00912E35" w:rsidRPr="00947A1B" w:rsidRDefault="00912E35" w:rsidP="00912E35">
            <w:pPr>
              <w:jc w:val="center"/>
              <w:rPr>
                <w:rFonts w:ascii="Constantia" w:hAnsi="Constantia" w:cstheme="minorHAnsi"/>
                <w:sz w:val="18"/>
                <w:szCs w:val="18"/>
              </w:rPr>
            </w:pPr>
            <w:r>
              <w:rPr>
                <w:rFonts w:ascii="Constantia" w:hAnsi="Constantia" w:cstheme="minorHAnsi"/>
                <w:sz w:val="18"/>
                <w:szCs w:val="18"/>
              </w:rPr>
              <w:t>1030</w:t>
            </w:r>
          </w:p>
        </w:tc>
        <w:tc>
          <w:tcPr>
            <w:tcW w:w="747" w:type="dxa"/>
            <w:tcBorders>
              <w:top w:val="single" w:sz="4" w:space="0" w:color="auto"/>
              <w:left w:val="nil"/>
              <w:bottom w:val="single" w:sz="12" w:space="0" w:color="auto"/>
              <w:right w:val="single" w:sz="4" w:space="0" w:color="auto"/>
            </w:tcBorders>
            <w:shd w:val="clear" w:color="auto" w:fill="auto"/>
            <w:noWrap/>
            <w:vAlign w:val="center"/>
          </w:tcPr>
          <w:p w:rsidR="00912E35" w:rsidRPr="00947A1B" w:rsidRDefault="00912E35" w:rsidP="00912E35">
            <w:pPr>
              <w:jc w:val="center"/>
              <w:rPr>
                <w:rFonts w:ascii="Constantia" w:hAnsi="Constantia" w:cstheme="minorHAnsi"/>
                <w:sz w:val="18"/>
                <w:szCs w:val="18"/>
              </w:rPr>
            </w:pPr>
            <w:r>
              <w:rPr>
                <w:rFonts w:ascii="Constantia" w:hAnsi="Constantia" w:cstheme="minorHAnsi"/>
                <w:sz w:val="18"/>
                <w:szCs w:val="18"/>
              </w:rPr>
              <w:t>2071</w:t>
            </w:r>
          </w:p>
        </w:tc>
        <w:tc>
          <w:tcPr>
            <w:tcW w:w="827" w:type="dxa"/>
            <w:tcBorders>
              <w:top w:val="single" w:sz="4" w:space="0" w:color="auto"/>
              <w:left w:val="nil"/>
              <w:bottom w:val="single" w:sz="12" w:space="0" w:color="auto"/>
              <w:right w:val="single" w:sz="4" w:space="0" w:color="auto"/>
            </w:tcBorders>
            <w:shd w:val="clear" w:color="auto" w:fill="auto"/>
            <w:noWrap/>
            <w:vAlign w:val="center"/>
          </w:tcPr>
          <w:p w:rsidR="00912E35" w:rsidRPr="00947A1B" w:rsidRDefault="00912E35" w:rsidP="00912E35">
            <w:pPr>
              <w:jc w:val="center"/>
              <w:rPr>
                <w:rFonts w:ascii="Constantia" w:hAnsi="Constantia" w:cstheme="minorHAnsi"/>
                <w:sz w:val="18"/>
                <w:szCs w:val="18"/>
              </w:rPr>
            </w:pPr>
            <w:r>
              <w:rPr>
                <w:rFonts w:ascii="Constantia" w:hAnsi="Constantia" w:cstheme="minorHAnsi"/>
                <w:sz w:val="18"/>
                <w:szCs w:val="18"/>
              </w:rPr>
              <w:t>223</w:t>
            </w:r>
          </w:p>
        </w:tc>
        <w:tc>
          <w:tcPr>
            <w:tcW w:w="910" w:type="dxa"/>
            <w:tcBorders>
              <w:top w:val="single" w:sz="4" w:space="0" w:color="auto"/>
              <w:left w:val="nil"/>
              <w:bottom w:val="single" w:sz="12" w:space="0" w:color="auto"/>
              <w:right w:val="single" w:sz="12" w:space="0" w:color="auto"/>
            </w:tcBorders>
            <w:shd w:val="clear" w:color="auto" w:fill="auto"/>
            <w:noWrap/>
          </w:tcPr>
          <w:p w:rsidR="00912E35" w:rsidRPr="00946F52" w:rsidRDefault="00912E35" w:rsidP="00912E35">
            <w:pPr>
              <w:jc w:val="center"/>
              <w:rPr>
                <w:rFonts w:ascii="Constantia" w:hAnsi="Constantia" w:cstheme="minorHAnsi"/>
                <w:b/>
                <w:sz w:val="18"/>
                <w:szCs w:val="18"/>
              </w:rPr>
            </w:pPr>
            <w:r w:rsidRPr="00946F52">
              <w:rPr>
                <w:rFonts w:ascii="Constantia" w:hAnsi="Constantia" w:cstheme="minorHAnsi"/>
                <w:b/>
                <w:sz w:val="18"/>
                <w:szCs w:val="18"/>
              </w:rPr>
              <w:t>202317</w:t>
            </w:r>
          </w:p>
        </w:tc>
      </w:tr>
    </w:tbl>
    <w:p w:rsidR="00912E35" w:rsidRPr="002315FF" w:rsidRDefault="002315FF" w:rsidP="00E85862">
      <w:pPr>
        <w:pStyle w:val="Tabele"/>
        <w:ind w:left="0" w:firstLine="0"/>
        <w:rPr>
          <w:rFonts w:ascii="Constantia" w:hAnsi="Constantia"/>
          <w:sz w:val="22"/>
          <w:szCs w:val="22"/>
        </w:rPr>
      </w:pPr>
      <w:r>
        <w:t xml:space="preserve">  </w:t>
      </w:r>
      <w:r w:rsidR="00912E35" w:rsidRPr="002315FF">
        <w:rPr>
          <w:rFonts w:ascii="Constantia" w:hAnsi="Constantia"/>
          <w:sz w:val="22"/>
          <w:szCs w:val="22"/>
        </w:rPr>
        <w:t>Broj registro</w:t>
      </w:r>
      <w:r w:rsidR="00A74824">
        <w:rPr>
          <w:rFonts w:ascii="Constantia" w:hAnsi="Constantia"/>
          <w:sz w:val="22"/>
          <w:szCs w:val="22"/>
        </w:rPr>
        <w:t>vanih motornih vozila, 1990-2013</w:t>
      </w:r>
      <w:r w:rsidR="00912E35" w:rsidRPr="002315FF">
        <w:rPr>
          <w:rFonts w:ascii="Constantia" w:hAnsi="Constantia"/>
          <w:sz w:val="22"/>
          <w:szCs w:val="22"/>
        </w:rPr>
        <w:t>.</w:t>
      </w:r>
      <w:r w:rsidR="00A74824">
        <w:rPr>
          <w:rFonts w:ascii="Constantia" w:hAnsi="Constantia"/>
          <w:sz w:val="22"/>
          <w:szCs w:val="22"/>
        </w:rPr>
        <w:t>godine</w:t>
      </w:r>
    </w:p>
    <w:p w:rsidR="00912E35" w:rsidRDefault="00261C4A" w:rsidP="00261C4A">
      <w:pPr>
        <w:rPr>
          <w:rFonts w:ascii="Constantia" w:hAnsi="Constantia" w:cs="Cambria Math"/>
          <w:szCs w:val="22"/>
          <w:lang w:val="sr-Latn-CS"/>
        </w:rPr>
      </w:pPr>
      <w:r>
        <w:rPr>
          <w:rFonts w:ascii="Constantia" w:hAnsi="Constantia"/>
          <w:szCs w:val="22"/>
          <w:lang w:val="sr-Latn-CS"/>
        </w:rPr>
        <w:lastRenderedPageBreak/>
        <w:t xml:space="preserve">Na </w:t>
      </w:r>
      <w:r w:rsidRPr="00EB4DE4">
        <w:rPr>
          <w:rFonts w:ascii="Constantia" w:hAnsi="Constantia"/>
          <w:i/>
          <w:szCs w:val="22"/>
          <w:lang w:val="sr-Latn-CS"/>
        </w:rPr>
        <w:t>G</w:t>
      </w:r>
      <w:r w:rsidR="00912E35" w:rsidRPr="00EB4DE4">
        <w:rPr>
          <w:rFonts w:ascii="Constantia" w:hAnsi="Constantia"/>
          <w:i/>
          <w:szCs w:val="22"/>
          <w:lang w:val="sr-Latn-CS"/>
        </w:rPr>
        <w:t>rafikon</w:t>
      </w:r>
      <w:r w:rsidR="00EB4DE4" w:rsidRPr="00EB4DE4">
        <w:rPr>
          <w:rFonts w:ascii="Constantia" w:hAnsi="Constantia"/>
          <w:i/>
          <w:szCs w:val="22"/>
          <w:lang w:val="sr-Latn-CS"/>
        </w:rPr>
        <w:t>u</w:t>
      </w:r>
      <w:r w:rsidR="00912E35" w:rsidRPr="00EB4DE4">
        <w:rPr>
          <w:rFonts w:ascii="Constantia" w:hAnsi="Constantia"/>
          <w:i/>
          <w:szCs w:val="22"/>
          <w:lang w:val="sr-Latn-CS"/>
        </w:rPr>
        <w:t xml:space="preserve"> 1</w:t>
      </w:r>
      <w:r w:rsidR="00E85862">
        <w:rPr>
          <w:rFonts w:ascii="Constantia" w:hAnsi="Constantia"/>
          <w:i/>
          <w:szCs w:val="22"/>
          <w:lang w:val="sr-Latn-CS"/>
        </w:rPr>
        <w:t>17</w:t>
      </w:r>
      <w:r w:rsidR="00912E35" w:rsidRPr="00EB4DE4">
        <w:rPr>
          <w:rFonts w:ascii="Constantia" w:hAnsi="Constantia"/>
          <w:i/>
          <w:szCs w:val="22"/>
          <w:lang w:val="sr-Latn-CS"/>
        </w:rPr>
        <w:t>.</w:t>
      </w:r>
      <w:r w:rsidR="00912E35" w:rsidRPr="00897A69">
        <w:rPr>
          <w:rFonts w:ascii="Constantia" w:hAnsi="Constantia"/>
          <w:szCs w:val="22"/>
          <w:lang w:val="sr-Latn-CS"/>
        </w:rPr>
        <w:t xml:space="preserve"> vidi se trend rasta ukupnog broja vozila</w:t>
      </w:r>
      <w:r w:rsidR="00912E35">
        <w:rPr>
          <w:rFonts w:ascii="Constantia" w:hAnsi="Constantia"/>
          <w:szCs w:val="22"/>
          <w:lang w:val="sr-Latn-CS"/>
        </w:rPr>
        <w:t xml:space="preserve">. Evidentan </w:t>
      </w:r>
      <w:r w:rsidR="00912E35" w:rsidRPr="00897A69">
        <w:rPr>
          <w:rFonts w:ascii="Constantia" w:hAnsi="Constantia"/>
          <w:szCs w:val="22"/>
          <w:lang w:val="sr-Latn-CS"/>
        </w:rPr>
        <w:t>je nagli porast broja vozila od 1996</w:t>
      </w:r>
      <w:r>
        <w:rPr>
          <w:rFonts w:ascii="Constantia" w:hAnsi="Constantia"/>
          <w:szCs w:val="22"/>
          <w:lang w:val="sr-Latn-CS"/>
        </w:rPr>
        <w:t>-</w:t>
      </w:r>
      <w:r w:rsidR="00912E35">
        <w:rPr>
          <w:rFonts w:ascii="Constantia" w:hAnsi="Constantia"/>
          <w:szCs w:val="22"/>
          <w:lang w:val="sr-Latn-CS"/>
        </w:rPr>
        <w:t>1998.</w:t>
      </w:r>
      <w:r>
        <w:rPr>
          <w:rFonts w:ascii="Constantia" w:hAnsi="Constantia"/>
          <w:szCs w:val="22"/>
          <w:lang w:val="sr-Latn-CS"/>
        </w:rPr>
        <w:t xml:space="preserve"> godine</w:t>
      </w:r>
      <w:r w:rsidR="00912E35">
        <w:rPr>
          <w:rFonts w:ascii="Constantia" w:hAnsi="Constantia"/>
          <w:szCs w:val="22"/>
          <w:lang w:val="sr-Latn-CS"/>
        </w:rPr>
        <w:t xml:space="preserve"> (od 11</w:t>
      </w:r>
      <w:r>
        <w:rPr>
          <w:rFonts w:ascii="Constantia" w:hAnsi="Constantia"/>
          <w:szCs w:val="22"/>
          <w:lang w:val="sr-Latn-CS"/>
        </w:rPr>
        <w:t xml:space="preserve"> </w:t>
      </w:r>
      <w:r w:rsidR="00912E35">
        <w:rPr>
          <w:rFonts w:ascii="Constantia" w:hAnsi="Constantia"/>
          <w:szCs w:val="22"/>
          <w:lang w:val="sr-Latn-CS"/>
        </w:rPr>
        <w:t xml:space="preserve">642 vozila na </w:t>
      </w:r>
      <w:r w:rsidR="00912E35" w:rsidRPr="00897A69">
        <w:rPr>
          <w:rFonts w:ascii="Constantia" w:hAnsi="Constantia"/>
          <w:szCs w:val="22"/>
          <w:lang w:val="sr-Latn-CS"/>
        </w:rPr>
        <w:t>173</w:t>
      </w:r>
      <w:r>
        <w:rPr>
          <w:rFonts w:ascii="Constantia" w:hAnsi="Constantia"/>
          <w:szCs w:val="22"/>
          <w:lang w:val="sr-Latn-CS"/>
        </w:rPr>
        <w:t xml:space="preserve"> </w:t>
      </w:r>
      <w:r w:rsidR="00912E35" w:rsidRPr="00897A69">
        <w:rPr>
          <w:rFonts w:ascii="Constantia" w:hAnsi="Constantia"/>
          <w:szCs w:val="22"/>
          <w:lang w:val="sr-Latn-CS"/>
        </w:rPr>
        <w:t>810 vozila). Nadalje bilježi</w:t>
      </w:r>
      <w:r w:rsidR="00912E35">
        <w:rPr>
          <w:rFonts w:ascii="Constantia" w:hAnsi="Constantia"/>
          <w:szCs w:val="22"/>
          <w:lang w:val="sr-Latn-CS"/>
        </w:rPr>
        <w:t xml:space="preserve"> se </w:t>
      </w:r>
      <w:r w:rsidR="00912E35" w:rsidRPr="00897A69">
        <w:rPr>
          <w:rFonts w:ascii="Constantia" w:hAnsi="Constantia"/>
          <w:szCs w:val="22"/>
          <w:lang w:val="sr-Latn-CS"/>
        </w:rPr>
        <w:t>pad do 2001.</w:t>
      </w:r>
      <w:r>
        <w:rPr>
          <w:rFonts w:ascii="Constantia" w:hAnsi="Constantia"/>
          <w:szCs w:val="22"/>
          <w:lang w:val="sr-Latn-CS"/>
        </w:rPr>
        <w:t xml:space="preserve"> Godine,</w:t>
      </w:r>
      <w:r w:rsidR="00912E35" w:rsidRPr="00897A69">
        <w:rPr>
          <w:rFonts w:ascii="Constantia" w:hAnsi="Constantia"/>
          <w:szCs w:val="22"/>
          <w:lang w:val="sr-Latn-CS"/>
        </w:rPr>
        <w:t xml:space="preserve"> a potom rast do 2008.</w:t>
      </w:r>
      <w:r>
        <w:rPr>
          <w:rFonts w:ascii="Constantia" w:hAnsi="Constantia"/>
          <w:szCs w:val="22"/>
          <w:lang w:val="sr-Latn-CS"/>
        </w:rPr>
        <w:t xml:space="preserve"> godine</w:t>
      </w:r>
      <w:r w:rsidR="00912E35" w:rsidRPr="00897A69">
        <w:rPr>
          <w:rFonts w:ascii="Constantia" w:hAnsi="Constantia"/>
          <w:szCs w:val="22"/>
          <w:lang w:val="sr-Latn-CS"/>
        </w:rPr>
        <w:t xml:space="preserve"> </w:t>
      </w:r>
      <w:r w:rsidR="00912E35">
        <w:rPr>
          <w:rFonts w:ascii="Constantia" w:hAnsi="Constantia"/>
          <w:szCs w:val="22"/>
          <w:lang w:val="sr-Latn-CS"/>
        </w:rPr>
        <w:t>(ukupno 212</w:t>
      </w:r>
      <w:r>
        <w:rPr>
          <w:rFonts w:ascii="Constantia" w:hAnsi="Constantia"/>
          <w:szCs w:val="22"/>
          <w:lang w:val="sr-Latn-CS"/>
        </w:rPr>
        <w:t xml:space="preserve"> </w:t>
      </w:r>
      <w:r w:rsidR="00912E35">
        <w:rPr>
          <w:rFonts w:ascii="Constantia" w:hAnsi="Constantia"/>
          <w:szCs w:val="22"/>
          <w:lang w:val="sr-Latn-CS"/>
        </w:rPr>
        <w:t xml:space="preserve">135 vozila). Do </w:t>
      </w:r>
      <w:r w:rsidR="00912E35" w:rsidRPr="00897A69">
        <w:rPr>
          <w:rFonts w:ascii="Constantia" w:hAnsi="Constantia"/>
          <w:szCs w:val="22"/>
          <w:lang w:val="sr-Latn-CS"/>
        </w:rPr>
        <w:t>2010.</w:t>
      </w:r>
      <w:r>
        <w:rPr>
          <w:rFonts w:ascii="Constantia" w:hAnsi="Constantia"/>
          <w:szCs w:val="22"/>
          <w:lang w:val="sr-Latn-CS"/>
        </w:rPr>
        <w:t xml:space="preserve"> godine</w:t>
      </w:r>
      <w:r w:rsidR="00912E35" w:rsidRPr="00897A69">
        <w:rPr>
          <w:rFonts w:ascii="Constantia" w:hAnsi="Constantia"/>
          <w:szCs w:val="22"/>
          <w:lang w:val="sr-Latn-CS"/>
        </w:rPr>
        <w:t xml:space="preserve"> </w:t>
      </w:r>
      <w:r w:rsidR="00912E35">
        <w:rPr>
          <w:rFonts w:ascii="Constantia" w:hAnsi="Constantia"/>
          <w:szCs w:val="22"/>
          <w:lang w:val="sr-Latn-CS"/>
        </w:rPr>
        <w:t xml:space="preserve">evidentirano je smanjenje broja </w:t>
      </w:r>
      <w:r w:rsidR="00912E35" w:rsidRPr="00897A69">
        <w:rPr>
          <w:rFonts w:ascii="Constantia" w:hAnsi="Constantia"/>
          <w:szCs w:val="22"/>
          <w:lang w:val="sr-Latn-CS"/>
        </w:rPr>
        <w:t>vozila</w:t>
      </w:r>
      <w:r w:rsidR="00912E35">
        <w:rPr>
          <w:rFonts w:ascii="Constantia" w:hAnsi="Constantia"/>
          <w:szCs w:val="22"/>
          <w:lang w:val="sr-Latn-CS"/>
        </w:rPr>
        <w:t>,</w:t>
      </w:r>
      <w:r w:rsidR="00912E35" w:rsidRPr="00897A69">
        <w:rPr>
          <w:rFonts w:ascii="Constantia" w:hAnsi="Constantia"/>
          <w:szCs w:val="22"/>
          <w:lang w:val="sr-Latn-CS"/>
        </w:rPr>
        <w:t xml:space="preserve"> da bi u 2012. </w:t>
      </w:r>
      <w:r w:rsidR="00912E35">
        <w:rPr>
          <w:rFonts w:ascii="Constantia" w:hAnsi="Constantia"/>
          <w:szCs w:val="22"/>
          <w:lang w:val="sr-Latn-CS"/>
        </w:rPr>
        <w:t xml:space="preserve">i 2013. </w:t>
      </w:r>
      <w:r w:rsidR="00912E35" w:rsidRPr="00897A69">
        <w:rPr>
          <w:rFonts w:ascii="Constantia" w:hAnsi="Constantia"/>
          <w:szCs w:val="22"/>
          <w:lang w:val="sr-Latn-CS"/>
        </w:rPr>
        <w:t xml:space="preserve">godini </w:t>
      </w:r>
      <w:r w:rsidR="00912E35">
        <w:rPr>
          <w:rFonts w:ascii="Constantia" w:hAnsi="Constantia"/>
          <w:szCs w:val="22"/>
          <w:lang w:val="sr-Latn-CS"/>
        </w:rPr>
        <w:t>bio</w:t>
      </w:r>
      <w:r w:rsidR="00912E35" w:rsidRPr="00897A69">
        <w:rPr>
          <w:rFonts w:ascii="Constantia" w:hAnsi="Constantia"/>
          <w:szCs w:val="22"/>
          <w:lang w:val="sr-Latn-CS"/>
        </w:rPr>
        <w:t xml:space="preserve"> zabiljež</w:t>
      </w:r>
      <w:r w:rsidR="00912E35">
        <w:rPr>
          <w:rFonts w:ascii="Constantia" w:hAnsi="Constantia"/>
          <w:szCs w:val="22"/>
          <w:lang w:val="sr-Latn-CS"/>
        </w:rPr>
        <w:t xml:space="preserve">en </w:t>
      </w:r>
      <w:r w:rsidR="00912E35" w:rsidRPr="00897A69">
        <w:rPr>
          <w:rFonts w:ascii="Constantia" w:hAnsi="Constantia"/>
          <w:szCs w:val="22"/>
          <w:lang w:val="sr-Latn-CS"/>
        </w:rPr>
        <w:t>porast broja vozila od 3,14%</w:t>
      </w:r>
      <w:r w:rsidR="00912E35">
        <w:rPr>
          <w:rFonts w:ascii="Constantia" w:hAnsi="Constantia"/>
          <w:szCs w:val="22"/>
          <w:lang w:val="sr-Latn-CS"/>
        </w:rPr>
        <w:t xml:space="preserve"> , odnosno 7,3% u odnosu na 2010</w:t>
      </w:r>
      <w:r w:rsidR="00912E35" w:rsidRPr="00897A69">
        <w:rPr>
          <w:rFonts w:ascii="Constantia" w:hAnsi="Constantia"/>
          <w:szCs w:val="22"/>
          <w:lang w:val="sr-Latn-CS"/>
        </w:rPr>
        <w:t>.</w:t>
      </w:r>
      <w:r>
        <w:rPr>
          <w:rFonts w:ascii="Constantia" w:hAnsi="Constantia"/>
          <w:szCs w:val="22"/>
          <w:lang w:val="sr-Latn-CS"/>
        </w:rPr>
        <w:t xml:space="preserve"> godinu.</w:t>
      </w:r>
      <w:r w:rsidR="00912E35" w:rsidRPr="00897A69">
        <w:rPr>
          <w:rFonts w:ascii="Constantia" w:hAnsi="Constantia"/>
          <w:szCs w:val="22"/>
          <w:lang w:val="sr-Latn-CS"/>
        </w:rPr>
        <w:t xml:space="preserve"> Takođe</w:t>
      </w:r>
      <w:r w:rsidR="00912E35">
        <w:rPr>
          <w:rFonts w:ascii="Constantia" w:hAnsi="Constantia"/>
          <w:szCs w:val="22"/>
          <w:lang w:val="sr-Latn-CS"/>
        </w:rPr>
        <w:t>,</w:t>
      </w:r>
      <w:r w:rsidR="00912E35" w:rsidRPr="00897A69">
        <w:rPr>
          <w:rFonts w:ascii="Constantia" w:hAnsi="Constantia"/>
          <w:szCs w:val="22"/>
          <w:lang w:val="sr-Latn-CS"/>
        </w:rPr>
        <w:t xml:space="preserve"> očigledno je da trend promjene broja putničkih automobila apsolutno prati trend uvećanja broja motornih vozila</w:t>
      </w:r>
      <w:r w:rsidR="00912E35">
        <w:rPr>
          <w:rFonts w:ascii="Constantia" w:hAnsi="Constantia"/>
          <w:szCs w:val="22"/>
          <w:lang w:val="sr-Latn-CS"/>
        </w:rPr>
        <w:t>,</w:t>
      </w:r>
      <w:r w:rsidR="00912E35" w:rsidRPr="00897A69">
        <w:rPr>
          <w:rFonts w:ascii="Constantia" w:hAnsi="Constantia"/>
          <w:szCs w:val="22"/>
          <w:lang w:val="sr-Latn-CS"/>
        </w:rPr>
        <w:t xml:space="preserve"> što ukazuje na dominaciju putničkih automobila u ukupnom zbiru. </w:t>
      </w:r>
      <w:r w:rsidR="00912E35" w:rsidRPr="00897A69">
        <w:rPr>
          <w:rFonts w:ascii="Constantia" w:hAnsi="Constantia"/>
          <w:szCs w:val="22"/>
        </w:rPr>
        <w:t>Broj registrovanih drumskih motornih vozila prema</w:t>
      </w:r>
      <w:r w:rsidR="00912E35">
        <w:rPr>
          <w:rFonts w:ascii="Constantia" w:hAnsi="Constantia"/>
          <w:szCs w:val="22"/>
        </w:rPr>
        <w:t xml:space="preserve"> vrstama vozila u analiziranom </w:t>
      </w:r>
      <w:r w:rsidR="00912E35" w:rsidRPr="00897A69">
        <w:rPr>
          <w:rFonts w:ascii="Constantia" w:hAnsi="Constantia"/>
          <w:szCs w:val="22"/>
        </w:rPr>
        <w:t>periodu (1990</w:t>
      </w:r>
      <w:r>
        <w:rPr>
          <w:rFonts w:ascii="Constantia" w:hAnsi="Constantia"/>
          <w:szCs w:val="22"/>
        </w:rPr>
        <w:t>-</w:t>
      </w:r>
      <w:r w:rsidR="00912E35">
        <w:rPr>
          <w:rFonts w:ascii="Constantia" w:hAnsi="Constantia"/>
          <w:szCs w:val="22"/>
        </w:rPr>
        <w:t>2013</w:t>
      </w:r>
      <w:r w:rsidR="00912E35" w:rsidRPr="00897A69">
        <w:rPr>
          <w:rFonts w:ascii="Constantia" w:hAnsi="Constantia"/>
          <w:szCs w:val="22"/>
        </w:rPr>
        <w:t xml:space="preserve">) govori da </w:t>
      </w:r>
      <w:r w:rsidR="00912E35">
        <w:rPr>
          <w:rFonts w:ascii="Constantia" w:hAnsi="Constantia"/>
          <w:szCs w:val="22"/>
        </w:rPr>
        <w:t>putnički automobili čine oko 88</w:t>
      </w:r>
      <w:r w:rsidR="00912E35" w:rsidRPr="00897A69">
        <w:rPr>
          <w:rFonts w:ascii="Constantia" w:hAnsi="Constantia"/>
          <w:szCs w:val="22"/>
        </w:rPr>
        <w:t>% ukupnog broja motornih drumskih vo</w:t>
      </w:r>
      <w:r w:rsidR="00912E35">
        <w:rPr>
          <w:rFonts w:ascii="Constantia" w:hAnsi="Constantia"/>
          <w:szCs w:val="22"/>
        </w:rPr>
        <w:t>zila. Taj</w:t>
      </w:r>
      <w:r w:rsidR="00912E35" w:rsidRPr="00897A69">
        <w:rPr>
          <w:rFonts w:ascii="Constantia" w:hAnsi="Constantia"/>
          <w:szCs w:val="22"/>
        </w:rPr>
        <w:t xml:space="preserve"> </w:t>
      </w:r>
      <w:r w:rsidR="00912E35" w:rsidRPr="00354765">
        <w:rPr>
          <w:rFonts w:ascii="Constantia" w:hAnsi="Constantia" w:cs="Cambria Math"/>
          <w:szCs w:val="22"/>
          <w:lang w:val="sr-Latn-CS"/>
        </w:rPr>
        <w:t xml:space="preserve">procenat prelazi 90% u 1997; 1998; i 2006. </w:t>
      </w:r>
      <w:r>
        <w:rPr>
          <w:rFonts w:ascii="Constantia" w:hAnsi="Constantia" w:cs="Cambria Math"/>
          <w:szCs w:val="22"/>
          <w:lang w:val="sr-Latn-CS"/>
        </w:rPr>
        <w:t>g</w:t>
      </w:r>
      <w:r w:rsidR="00912E35" w:rsidRPr="00354765">
        <w:rPr>
          <w:rFonts w:ascii="Constantia" w:hAnsi="Constantia" w:cs="Cambria Math"/>
          <w:szCs w:val="22"/>
          <w:lang w:val="sr-Latn-CS"/>
        </w:rPr>
        <w:t>odini</w:t>
      </w:r>
      <w:r>
        <w:rPr>
          <w:rFonts w:ascii="Constantia" w:hAnsi="Constantia" w:cs="Cambria Math"/>
          <w:szCs w:val="22"/>
          <w:lang w:val="sr-Latn-CS"/>
        </w:rPr>
        <w:t>.</w:t>
      </w:r>
    </w:p>
    <w:p w:rsidR="00EB4DE4" w:rsidRPr="00354765" w:rsidRDefault="00EB4DE4" w:rsidP="00261C4A">
      <w:pPr>
        <w:rPr>
          <w:rFonts w:ascii="Constantia" w:hAnsi="Constantia"/>
          <w:szCs w:val="22"/>
        </w:rPr>
      </w:pPr>
    </w:p>
    <w:p w:rsidR="00912E35" w:rsidRPr="005E4028" w:rsidRDefault="00912E35" w:rsidP="00912E35">
      <w:pPr>
        <w:jc w:val="center"/>
        <w:rPr>
          <w:rFonts w:ascii="Constantia" w:hAnsi="Constantia" w:cs="Arial"/>
          <w:lang w:val="sr-Latn-CS"/>
        </w:rPr>
      </w:pPr>
      <w:r>
        <w:rPr>
          <w:noProof/>
        </w:rPr>
        <w:drawing>
          <wp:inline distT="0" distB="0" distL="0" distR="0" wp14:anchorId="03FFEAD5" wp14:editId="0BE0A594">
            <wp:extent cx="5324475" cy="2362200"/>
            <wp:effectExtent l="0" t="0" r="9525" b="19050"/>
            <wp:docPr id="1360" name="Chart 136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2"/>
              </a:graphicData>
            </a:graphic>
          </wp:inline>
        </w:drawing>
      </w:r>
    </w:p>
    <w:p w:rsidR="00912E35" w:rsidRPr="00F8760F" w:rsidRDefault="00F8760F" w:rsidP="00EB4DE4">
      <w:pPr>
        <w:pStyle w:val="Grafikon"/>
        <w:rPr>
          <w:rFonts w:ascii="Constantia" w:hAnsi="Constantia"/>
          <w:sz w:val="22"/>
          <w:szCs w:val="22"/>
        </w:rPr>
      </w:pPr>
      <w:r>
        <w:t xml:space="preserve"> </w:t>
      </w:r>
      <w:r w:rsidR="00912E35" w:rsidRPr="00F8760F">
        <w:rPr>
          <w:rFonts w:ascii="Constantia" w:hAnsi="Constantia"/>
          <w:sz w:val="22"/>
          <w:szCs w:val="22"/>
        </w:rPr>
        <w:t>Trend broja odabranih vrsta motornih vozila u Crnoj Gori, 1990-2013</w:t>
      </w:r>
    </w:p>
    <w:p w:rsidR="00EB4DE4" w:rsidRPr="008F0643" w:rsidRDefault="00EB4DE4" w:rsidP="00912E35">
      <w:pPr>
        <w:pStyle w:val="Grafikon"/>
        <w:numPr>
          <w:ilvl w:val="0"/>
          <w:numId w:val="0"/>
        </w:numPr>
        <w:spacing w:line="276" w:lineRule="auto"/>
        <w:ind w:left="144"/>
        <w:rPr>
          <w:rFonts w:ascii="Constantia" w:hAnsi="Constantia"/>
          <w:sz w:val="22"/>
        </w:rPr>
      </w:pPr>
    </w:p>
    <w:p w:rsidR="00912E35" w:rsidRPr="005E4028" w:rsidRDefault="00912E35" w:rsidP="00912E35">
      <w:pPr>
        <w:jc w:val="center"/>
        <w:rPr>
          <w:rStyle w:val="Strong"/>
          <w:rFonts w:ascii="Constantia" w:hAnsi="Constantia" w:cs="Arial"/>
          <w:b w:val="0"/>
          <w:bCs w:val="0"/>
          <w:lang w:val="sr-Latn-CS"/>
        </w:rPr>
      </w:pPr>
      <w:r>
        <w:rPr>
          <w:noProof/>
        </w:rPr>
        <w:drawing>
          <wp:inline distT="0" distB="0" distL="0" distR="0" wp14:anchorId="443CDB15" wp14:editId="6DAD96EF">
            <wp:extent cx="3676650" cy="2495550"/>
            <wp:effectExtent l="0" t="0" r="19050" b="19050"/>
            <wp:docPr id="1361" name="Chart 136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3"/>
              </a:graphicData>
            </a:graphic>
          </wp:inline>
        </w:drawing>
      </w:r>
      <w:r>
        <w:rPr>
          <w:rFonts w:ascii="Constantia" w:hAnsi="Constantia"/>
          <w:noProof/>
        </w:rPr>
        <w:t xml:space="preserve"> </w:t>
      </w:r>
    </w:p>
    <w:p w:rsidR="00912E35" w:rsidRPr="00F8760F" w:rsidRDefault="00F8760F" w:rsidP="00F8760F">
      <w:pPr>
        <w:pStyle w:val="Grafikon"/>
        <w:rPr>
          <w:rFonts w:ascii="Constantia" w:hAnsi="Constantia"/>
          <w:sz w:val="22"/>
          <w:szCs w:val="22"/>
        </w:rPr>
      </w:pPr>
      <w:r>
        <w:t xml:space="preserve"> </w:t>
      </w:r>
      <w:r w:rsidR="00912E35" w:rsidRPr="00F8760F">
        <w:rPr>
          <w:rFonts w:ascii="Constantia" w:hAnsi="Constantia"/>
          <w:sz w:val="22"/>
          <w:szCs w:val="22"/>
        </w:rPr>
        <w:t>Učešće motornih vozila u ukupnom broju vozila, 2013</w:t>
      </w:r>
    </w:p>
    <w:p w:rsidR="00912E35" w:rsidRPr="005E4028" w:rsidRDefault="00912E35" w:rsidP="00912E35">
      <w:pPr>
        <w:pStyle w:val="Grafikon"/>
        <w:numPr>
          <w:ilvl w:val="0"/>
          <w:numId w:val="0"/>
        </w:numPr>
        <w:ind w:left="360"/>
        <w:jc w:val="both"/>
        <w:rPr>
          <w:rStyle w:val="Strong"/>
          <w:rFonts w:ascii="Constantia" w:hAnsi="Constantia"/>
          <w:b w:val="0"/>
          <w:bCs w:val="0"/>
        </w:rPr>
      </w:pPr>
    </w:p>
    <w:p w:rsidR="00912E35" w:rsidRPr="005E4028" w:rsidRDefault="00912E35" w:rsidP="00F8760F">
      <w:pPr>
        <w:rPr>
          <w:rFonts w:ascii="Constantia" w:hAnsi="Constantia"/>
          <w:lang w:val="sr-Latn-CS"/>
        </w:rPr>
      </w:pPr>
      <w:r w:rsidRPr="00897A69">
        <w:rPr>
          <w:rFonts w:ascii="Constantia" w:hAnsi="Constantia"/>
          <w:lang w:val="sr-Latn-CS"/>
        </w:rPr>
        <w:t>Učešće putničkih automobila registrovanih u Podgorici je oko 33% ukupnog broja putničkih automobil</w:t>
      </w:r>
      <w:r>
        <w:rPr>
          <w:rFonts w:ascii="Constantia" w:hAnsi="Constantia"/>
          <w:lang w:val="sr-Latn-CS"/>
        </w:rPr>
        <w:t>a u Crnoj Gori. Tačnije, svakom</w:t>
      </w:r>
      <w:r w:rsidRPr="00897A69">
        <w:rPr>
          <w:rFonts w:ascii="Constantia" w:hAnsi="Constantia"/>
          <w:lang w:val="sr-Latn-CS"/>
        </w:rPr>
        <w:t xml:space="preserve"> stanovniku Podgorice pripada 0,32 automobila</w:t>
      </w:r>
      <w:r>
        <w:rPr>
          <w:rFonts w:ascii="Constantia" w:hAnsi="Constantia"/>
          <w:lang w:val="sr-Latn-CS"/>
        </w:rPr>
        <w:t>,</w:t>
      </w:r>
      <w:r w:rsidRPr="00897A69">
        <w:rPr>
          <w:rFonts w:ascii="Constantia" w:hAnsi="Constantia"/>
          <w:lang w:val="sr-Latn-CS"/>
        </w:rPr>
        <w:t xml:space="preserve"> a stanovniku ostatka Crne Gore 0,22 automobila. Taj odnos </w:t>
      </w:r>
      <w:r w:rsidR="00F8760F">
        <w:rPr>
          <w:rFonts w:ascii="Constantia" w:hAnsi="Constantia"/>
          <w:lang w:val="sr-Latn-CS"/>
        </w:rPr>
        <w:t xml:space="preserve">se </w:t>
      </w:r>
      <w:r>
        <w:rPr>
          <w:rFonts w:ascii="Constantia" w:hAnsi="Constantia"/>
          <w:lang w:val="sr-Latn-CS"/>
        </w:rPr>
        <w:t>odnosi na sva druga motorna</w:t>
      </w:r>
      <w:r w:rsidRPr="00897A69">
        <w:rPr>
          <w:rFonts w:ascii="Constantia" w:hAnsi="Constantia"/>
          <w:lang w:val="sr-Latn-CS"/>
        </w:rPr>
        <w:t xml:space="preserve"> </w:t>
      </w:r>
      <w:r w:rsidRPr="00897A69">
        <w:rPr>
          <w:rFonts w:ascii="Constantia" w:hAnsi="Constantia"/>
          <w:lang w:val="sr-Latn-CS"/>
        </w:rPr>
        <w:lastRenderedPageBreak/>
        <w:t>vozila</w:t>
      </w:r>
      <w:r>
        <w:rPr>
          <w:rFonts w:ascii="Constantia" w:hAnsi="Constantia"/>
          <w:lang w:val="sr-Latn-CS"/>
        </w:rPr>
        <w:t>,</w:t>
      </w:r>
      <w:r w:rsidRPr="00897A69">
        <w:rPr>
          <w:rFonts w:ascii="Constantia" w:hAnsi="Constantia"/>
          <w:lang w:val="sr-Latn-CS"/>
        </w:rPr>
        <w:t xml:space="preserve"> osim </w:t>
      </w:r>
      <w:r w:rsidR="00F8760F">
        <w:rPr>
          <w:rFonts w:ascii="Constantia" w:hAnsi="Constantia"/>
          <w:lang w:val="sr-Latn-CS"/>
        </w:rPr>
        <w:t>n</w:t>
      </w:r>
      <w:r w:rsidRPr="00897A69">
        <w:rPr>
          <w:rFonts w:ascii="Constantia" w:hAnsi="Constantia"/>
          <w:lang w:val="sr-Latn-CS"/>
        </w:rPr>
        <w:t xml:space="preserve">a kombije. </w:t>
      </w:r>
      <w:r>
        <w:rPr>
          <w:rFonts w:ascii="Constantia" w:hAnsi="Constantia"/>
          <w:lang w:val="sr-Latn-CS"/>
        </w:rPr>
        <w:t xml:space="preserve">Ovo se </w:t>
      </w:r>
      <w:r w:rsidRPr="00897A69">
        <w:rPr>
          <w:rFonts w:ascii="Constantia" w:hAnsi="Constantia"/>
          <w:lang w:val="sr-Latn-CS"/>
        </w:rPr>
        <w:t>može objasniti time što je Podgorica glavni administrativni, univerzitetski</w:t>
      </w:r>
      <w:r>
        <w:rPr>
          <w:rFonts w:ascii="Constantia" w:hAnsi="Constantia"/>
          <w:lang w:val="sr-Latn-CS"/>
        </w:rPr>
        <w:t xml:space="preserve"> i </w:t>
      </w:r>
      <w:r w:rsidRPr="00897A69">
        <w:rPr>
          <w:rFonts w:ascii="Constantia" w:hAnsi="Constantia"/>
          <w:lang w:val="sr-Latn-CS"/>
        </w:rPr>
        <w:t>kulturni centar</w:t>
      </w:r>
      <w:r>
        <w:rPr>
          <w:rFonts w:ascii="Constantia" w:hAnsi="Constantia"/>
          <w:lang w:val="sr-Latn-CS"/>
        </w:rPr>
        <w:t xml:space="preserve"> Crne Gore. </w:t>
      </w:r>
    </w:p>
    <w:p w:rsidR="00912E35" w:rsidRDefault="00912E35" w:rsidP="00394803">
      <w:pPr>
        <w:rPr>
          <w:rFonts w:ascii="Constantia" w:hAnsi="Constantia"/>
          <w:lang w:val="sr-Latn-CS"/>
        </w:rPr>
      </w:pPr>
      <w:r w:rsidRPr="00897A69">
        <w:rPr>
          <w:rFonts w:ascii="Constantia" w:hAnsi="Constantia"/>
          <w:lang w:val="sr-Latn-CS"/>
        </w:rPr>
        <w:t>G</w:t>
      </w:r>
      <w:r>
        <w:rPr>
          <w:rFonts w:ascii="Constantia" w:hAnsi="Constantia"/>
          <w:lang w:val="sr-Latn-CS"/>
        </w:rPr>
        <w:t>ustoća vozila u Crnoj Gori u 2013</w:t>
      </w:r>
      <w:r w:rsidRPr="00897A69">
        <w:rPr>
          <w:rFonts w:ascii="Constantia" w:hAnsi="Constantia"/>
          <w:lang w:val="sr-Latn-CS"/>
        </w:rPr>
        <w:t xml:space="preserve">. godini </w:t>
      </w:r>
      <w:r>
        <w:rPr>
          <w:rFonts w:ascii="Constantia" w:hAnsi="Constantia"/>
          <w:lang w:val="sr-Latn-CS"/>
        </w:rPr>
        <w:t>iznosi 3</w:t>
      </w:r>
      <w:r w:rsidRPr="00897A69">
        <w:rPr>
          <w:rFonts w:ascii="Constantia" w:hAnsi="Constantia"/>
          <w:lang w:val="sr-Latn-CS"/>
        </w:rPr>
        <w:t>2</w:t>
      </w:r>
      <w:r>
        <w:rPr>
          <w:rFonts w:ascii="Constantia" w:hAnsi="Constantia"/>
          <w:lang w:val="sr-Latn-CS"/>
        </w:rPr>
        <w:t>5</w:t>
      </w:r>
      <w:r w:rsidRPr="00897A69">
        <w:rPr>
          <w:rFonts w:ascii="Constantia" w:hAnsi="Constantia"/>
          <w:lang w:val="sr-Latn-CS"/>
        </w:rPr>
        <w:t xml:space="preserve"> </w:t>
      </w:r>
      <w:r>
        <w:rPr>
          <w:rFonts w:ascii="Constantia" w:hAnsi="Constantia"/>
          <w:lang w:val="sr-Latn-CS"/>
        </w:rPr>
        <w:t xml:space="preserve">motrnih vozila ili 286 putničkih automobila </w:t>
      </w:r>
      <w:r w:rsidRPr="00897A69">
        <w:rPr>
          <w:rFonts w:ascii="Constantia" w:hAnsi="Constantia"/>
          <w:lang w:val="sr-Latn-CS"/>
        </w:rPr>
        <w:t xml:space="preserve"> </w:t>
      </w:r>
      <w:r>
        <w:rPr>
          <w:rFonts w:ascii="Constantia" w:hAnsi="Constantia"/>
          <w:lang w:val="sr-Latn-CS"/>
        </w:rPr>
        <w:t>na 1</w:t>
      </w:r>
      <w:r w:rsidR="00394803">
        <w:rPr>
          <w:rFonts w:ascii="Constantia" w:hAnsi="Constantia"/>
          <w:lang w:val="sr-Latn-CS"/>
        </w:rPr>
        <w:t xml:space="preserve"> </w:t>
      </w:r>
      <w:r>
        <w:rPr>
          <w:rFonts w:ascii="Constantia" w:hAnsi="Constantia"/>
          <w:lang w:val="sr-Latn-CS"/>
        </w:rPr>
        <w:t xml:space="preserve">000 stanovnika. </w:t>
      </w:r>
      <w:r w:rsidRPr="00897A69">
        <w:rPr>
          <w:rFonts w:ascii="Constantia" w:hAnsi="Constantia"/>
          <w:lang w:val="sr-Latn-CS"/>
        </w:rPr>
        <w:t xml:space="preserve">Taj prosjek u glavnim evropskim zemljama iznosi 513. </w:t>
      </w:r>
    </w:p>
    <w:p w:rsidR="00912E35" w:rsidRDefault="00912E35" w:rsidP="00912E35">
      <w:pPr>
        <w:spacing w:line="276" w:lineRule="auto"/>
        <w:ind w:firstLine="144"/>
        <w:rPr>
          <w:rFonts w:ascii="Constantia" w:hAnsi="Constantia"/>
          <w:lang w:val="sr-Latn-CS"/>
        </w:rPr>
      </w:pPr>
    </w:p>
    <w:p w:rsidR="00912E35" w:rsidRPr="005E4028" w:rsidRDefault="00912E35" w:rsidP="00912E35">
      <w:pPr>
        <w:pStyle w:val="Grafikon"/>
        <w:numPr>
          <w:ilvl w:val="0"/>
          <w:numId w:val="0"/>
        </w:numPr>
        <w:ind w:left="144" w:hanging="144"/>
        <w:rPr>
          <w:rStyle w:val="Strong"/>
          <w:rFonts w:ascii="Constantia" w:hAnsi="Constantia"/>
          <w:b w:val="0"/>
          <w:bCs w:val="0"/>
        </w:rPr>
      </w:pPr>
      <w:r>
        <w:rPr>
          <w:noProof/>
          <w:lang w:val="en-US"/>
        </w:rPr>
        <w:drawing>
          <wp:inline distT="0" distB="0" distL="0" distR="0" wp14:anchorId="378434A7" wp14:editId="65E4BECF">
            <wp:extent cx="5328000" cy="2988000"/>
            <wp:effectExtent l="0" t="0" r="25400" b="22225"/>
            <wp:docPr id="1362" name="Chart 136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4"/>
              </a:graphicData>
            </a:graphic>
          </wp:inline>
        </w:drawing>
      </w:r>
      <w:r>
        <w:rPr>
          <w:rFonts w:ascii="Constantia" w:hAnsi="Constantia"/>
          <w:noProof/>
          <w:lang w:val="en-US"/>
        </w:rPr>
        <w:t xml:space="preserve"> </w:t>
      </w:r>
      <w:r w:rsidRPr="00D3372E">
        <w:rPr>
          <w:rStyle w:val="Strong"/>
          <w:rFonts w:ascii="Constantia" w:hAnsi="Constantia"/>
        </w:rPr>
        <w:t xml:space="preserve"> </w:t>
      </w:r>
    </w:p>
    <w:p w:rsidR="00912E35" w:rsidRPr="00394803" w:rsidRDefault="00394803" w:rsidP="00394803">
      <w:pPr>
        <w:pStyle w:val="Grafikon"/>
        <w:rPr>
          <w:b/>
        </w:rPr>
      </w:pPr>
      <w:r>
        <w:rPr>
          <w:rStyle w:val="Strong"/>
          <w:rFonts w:ascii="Constantia" w:hAnsi="Constantia"/>
          <w:b w:val="0"/>
          <w:sz w:val="22"/>
          <w:szCs w:val="22"/>
        </w:rPr>
        <w:t xml:space="preserve"> </w:t>
      </w:r>
      <w:r w:rsidR="00912E35" w:rsidRPr="00394803">
        <w:rPr>
          <w:rStyle w:val="Strong"/>
          <w:rFonts w:ascii="Constantia" w:hAnsi="Constantia"/>
          <w:b w:val="0"/>
          <w:sz w:val="22"/>
          <w:szCs w:val="22"/>
        </w:rPr>
        <w:t>Broj registrovanih motornih vozila po vrsti pogonskog goriva</w:t>
      </w:r>
    </w:p>
    <w:p w:rsidR="00394803" w:rsidRDefault="00394803" w:rsidP="00394803">
      <w:pPr>
        <w:spacing w:line="276" w:lineRule="auto"/>
        <w:rPr>
          <w:rFonts w:ascii="Constantia" w:hAnsi="Constantia"/>
          <w:szCs w:val="22"/>
        </w:rPr>
      </w:pPr>
    </w:p>
    <w:p w:rsidR="00912E35" w:rsidRDefault="00912E35" w:rsidP="00E55716">
      <w:pPr>
        <w:rPr>
          <w:rFonts w:ascii="Constantia" w:hAnsi="Constantia"/>
          <w:szCs w:val="22"/>
        </w:rPr>
      </w:pPr>
      <w:r>
        <w:rPr>
          <w:rFonts w:ascii="Constantia" w:hAnsi="Constantia"/>
          <w:szCs w:val="22"/>
        </w:rPr>
        <w:t xml:space="preserve">Kad je riječ o vrsti pogonskog </w:t>
      </w:r>
      <w:r w:rsidRPr="00897A69">
        <w:rPr>
          <w:rFonts w:ascii="Constantia" w:hAnsi="Constantia"/>
          <w:szCs w:val="22"/>
        </w:rPr>
        <w:t>goriva koje koriste</w:t>
      </w:r>
      <w:r>
        <w:rPr>
          <w:rFonts w:ascii="Constantia" w:hAnsi="Constantia"/>
          <w:szCs w:val="22"/>
        </w:rPr>
        <w:t xml:space="preserve"> motorna vozila od 2000</w:t>
      </w:r>
      <w:r w:rsidR="00E55716">
        <w:rPr>
          <w:rFonts w:ascii="Constantia" w:hAnsi="Constantia"/>
          <w:szCs w:val="22"/>
        </w:rPr>
        <w:t>-</w:t>
      </w:r>
      <w:r>
        <w:rPr>
          <w:rFonts w:ascii="Constantia" w:hAnsi="Constantia"/>
          <w:szCs w:val="22"/>
        </w:rPr>
        <w:t>2013</w:t>
      </w:r>
      <w:r w:rsidRPr="00897A69">
        <w:rPr>
          <w:rFonts w:ascii="Constantia" w:hAnsi="Constantia"/>
          <w:szCs w:val="22"/>
        </w:rPr>
        <w:t>. godine, značajno više se koriste benzin 98 i nafta</w:t>
      </w:r>
      <w:r>
        <w:rPr>
          <w:rFonts w:ascii="Constantia" w:hAnsi="Constantia"/>
          <w:szCs w:val="22"/>
        </w:rPr>
        <w:t xml:space="preserve"> (naročito od 2009. godine)</w:t>
      </w:r>
      <w:r w:rsidR="00E55716">
        <w:rPr>
          <w:rFonts w:ascii="Constantia" w:hAnsi="Constantia"/>
          <w:szCs w:val="22"/>
        </w:rPr>
        <w:t>, št</w:t>
      </w:r>
      <w:r w:rsidRPr="00897A69">
        <w:rPr>
          <w:rFonts w:ascii="Constantia" w:hAnsi="Constantia"/>
          <w:szCs w:val="22"/>
        </w:rPr>
        <w:t>o po godinama izgleda ovako:</w:t>
      </w:r>
    </w:p>
    <w:p w:rsidR="00912E35" w:rsidRDefault="00912E35" w:rsidP="00E70E3B">
      <w:pPr>
        <w:pStyle w:val="ListParagraph"/>
        <w:numPr>
          <w:ilvl w:val="0"/>
          <w:numId w:val="44"/>
        </w:numPr>
        <w:ind w:left="0" w:firstLine="0"/>
        <w:rPr>
          <w:rFonts w:ascii="Constantia" w:hAnsi="Constantia"/>
          <w:szCs w:val="22"/>
        </w:rPr>
      </w:pPr>
      <w:r w:rsidRPr="00897A69">
        <w:rPr>
          <w:rFonts w:ascii="Constantia" w:hAnsi="Constantia"/>
          <w:szCs w:val="22"/>
        </w:rPr>
        <w:t xml:space="preserve">2009. godina: 97,71% u korist benzina </w:t>
      </w:r>
      <w:r w:rsidRPr="002E6173">
        <w:rPr>
          <w:rFonts w:ascii="Constantia" w:hAnsi="Constantia"/>
          <w:szCs w:val="22"/>
        </w:rPr>
        <w:t>i</w:t>
      </w:r>
      <w:r w:rsidRPr="00897A69">
        <w:rPr>
          <w:rFonts w:ascii="Constantia" w:hAnsi="Constantia"/>
          <w:szCs w:val="22"/>
        </w:rPr>
        <w:t xml:space="preserve"> nafte</w:t>
      </w:r>
      <w:r>
        <w:rPr>
          <w:rFonts w:ascii="Constantia" w:hAnsi="Constantia"/>
          <w:szCs w:val="22"/>
        </w:rPr>
        <w:t>;</w:t>
      </w:r>
    </w:p>
    <w:p w:rsidR="00912E35" w:rsidRDefault="00912E35" w:rsidP="00E70E3B">
      <w:pPr>
        <w:pStyle w:val="ListParagraph"/>
        <w:numPr>
          <w:ilvl w:val="0"/>
          <w:numId w:val="44"/>
        </w:numPr>
        <w:ind w:left="0" w:firstLine="0"/>
        <w:rPr>
          <w:rFonts w:ascii="Constantia" w:hAnsi="Constantia"/>
          <w:szCs w:val="22"/>
        </w:rPr>
      </w:pPr>
      <w:r>
        <w:rPr>
          <w:rFonts w:ascii="Constantia" w:hAnsi="Constantia"/>
          <w:szCs w:val="22"/>
        </w:rPr>
        <w:t xml:space="preserve">2010. godina: </w:t>
      </w:r>
      <w:r w:rsidRPr="00897A69">
        <w:rPr>
          <w:rFonts w:ascii="Constantia" w:hAnsi="Constantia"/>
          <w:szCs w:val="22"/>
        </w:rPr>
        <w:t xml:space="preserve">99,46% u korist benzina </w:t>
      </w:r>
      <w:r w:rsidRPr="002E6173">
        <w:rPr>
          <w:rFonts w:ascii="Constantia" w:hAnsi="Constantia"/>
          <w:szCs w:val="22"/>
        </w:rPr>
        <w:t>i</w:t>
      </w:r>
      <w:r w:rsidRPr="00897A69">
        <w:rPr>
          <w:rFonts w:ascii="Constantia" w:hAnsi="Constantia"/>
          <w:szCs w:val="22"/>
        </w:rPr>
        <w:t xml:space="preserve"> nafte</w:t>
      </w:r>
      <w:r>
        <w:rPr>
          <w:rFonts w:ascii="Constantia" w:hAnsi="Constantia"/>
          <w:szCs w:val="22"/>
        </w:rPr>
        <w:t>;</w:t>
      </w:r>
    </w:p>
    <w:p w:rsidR="00912E35" w:rsidRDefault="00912E35" w:rsidP="00E70E3B">
      <w:pPr>
        <w:pStyle w:val="ListParagraph"/>
        <w:numPr>
          <w:ilvl w:val="0"/>
          <w:numId w:val="44"/>
        </w:numPr>
        <w:ind w:left="0" w:firstLine="0"/>
        <w:rPr>
          <w:rFonts w:ascii="Constantia" w:hAnsi="Constantia"/>
          <w:szCs w:val="22"/>
        </w:rPr>
      </w:pPr>
      <w:r w:rsidRPr="00897A69">
        <w:rPr>
          <w:rFonts w:ascii="Constantia" w:hAnsi="Constantia"/>
          <w:szCs w:val="22"/>
        </w:rPr>
        <w:t xml:space="preserve">2011. godina: 99,4% u korist benzina </w:t>
      </w:r>
      <w:r w:rsidRPr="002E6173">
        <w:rPr>
          <w:rFonts w:ascii="Constantia" w:hAnsi="Constantia"/>
          <w:szCs w:val="22"/>
        </w:rPr>
        <w:t>i</w:t>
      </w:r>
      <w:r w:rsidRPr="00897A69">
        <w:rPr>
          <w:rFonts w:ascii="Constantia" w:hAnsi="Constantia"/>
          <w:szCs w:val="22"/>
        </w:rPr>
        <w:t xml:space="preserve"> nafte</w:t>
      </w:r>
      <w:r>
        <w:rPr>
          <w:rFonts w:ascii="Constantia" w:hAnsi="Constantia"/>
          <w:szCs w:val="22"/>
        </w:rPr>
        <w:t>;</w:t>
      </w:r>
    </w:p>
    <w:p w:rsidR="00912E35" w:rsidRDefault="00912E35" w:rsidP="00E70E3B">
      <w:pPr>
        <w:pStyle w:val="ListParagraph"/>
        <w:numPr>
          <w:ilvl w:val="0"/>
          <w:numId w:val="44"/>
        </w:numPr>
        <w:ind w:left="0" w:firstLine="0"/>
        <w:rPr>
          <w:rFonts w:ascii="Constantia" w:hAnsi="Constantia"/>
          <w:szCs w:val="22"/>
        </w:rPr>
      </w:pPr>
      <w:r w:rsidRPr="00897A69">
        <w:rPr>
          <w:rFonts w:ascii="Constantia" w:hAnsi="Constantia"/>
          <w:szCs w:val="22"/>
        </w:rPr>
        <w:t xml:space="preserve">2012. godina: </w:t>
      </w:r>
      <w:r>
        <w:rPr>
          <w:rFonts w:ascii="Constantia" w:hAnsi="Constantia"/>
          <w:szCs w:val="22"/>
        </w:rPr>
        <w:t>99,3</w:t>
      </w:r>
      <w:r w:rsidRPr="00897A69">
        <w:rPr>
          <w:rFonts w:ascii="Constantia" w:hAnsi="Constantia"/>
          <w:szCs w:val="22"/>
        </w:rPr>
        <w:t xml:space="preserve">% u korist benzina </w:t>
      </w:r>
      <w:r w:rsidRPr="002E6173">
        <w:rPr>
          <w:rFonts w:ascii="Constantia" w:hAnsi="Constantia"/>
          <w:szCs w:val="22"/>
        </w:rPr>
        <w:t>i</w:t>
      </w:r>
      <w:r w:rsidRPr="00897A69">
        <w:rPr>
          <w:rFonts w:ascii="Constantia" w:hAnsi="Constantia"/>
          <w:szCs w:val="22"/>
        </w:rPr>
        <w:t xml:space="preserve"> nafte</w:t>
      </w:r>
      <w:r>
        <w:rPr>
          <w:rFonts w:ascii="Constantia" w:hAnsi="Constantia"/>
          <w:szCs w:val="22"/>
        </w:rPr>
        <w:t>;</w:t>
      </w:r>
    </w:p>
    <w:p w:rsidR="00912E35" w:rsidRDefault="00912E35" w:rsidP="00E70E3B">
      <w:pPr>
        <w:pStyle w:val="ListParagraph"/>
        <w:numPr>
          <w:ilvl w:val="0"/>
          <w:numId w:val="44"/>
        </w:numPr>
        <w:ind w:left="0" w:firstLine="0"/>
        <w:rPr>
          <w:rFonts w:ascii="Constantia" w:hAnsi="Constantia"/>
          <w:szCs w:val="22"/>
        </w:rPr>
      </w:pPr>
      <w:r w:rsidRPr="00897A69">
        <w:rPr>
          <w:rFonts w:ascii="Constantia" w:hAnsi="Constantia"/>
          <w:szCs w:val="22"/>
        </w:rPr>
        <w:t xml:space="preserve">2012. godina: </w:t>
      </w:r>
      <w:r>
        <w:rPr>
          <w:rFonts w:ascii="Constantia" w:hAnsi="Constantia"/>
          <w:szCs w:val="22"/>
        </w:rPr>
        <w:t>98,6</w:t>
      </w:r>
      <w:r w:rsidRPr="00897A69">
        <w:rPr>
          <w:rFonts w:ascii="Constantia" w:hAnsi="Constantia"/>
          <w:szCs w:val="22"/>
        </w:rPr>
        <w:t xml:space="preserve">% u korist benzina </w:t>
      </w:r>
      <w:r w:rsidRPr="002E6173">
        <w:rPr>
          <w:rFonts w:ascii="Constantia" w:hAnsi="Constantia"/>
          <w:szCs w:val="22"/>
        </w:rPr>
        <w:t>i</w:t>
      </w:r>
      <w:r w:rsidRPr="00897A69">
        <w:rPr>
          <w:rFonts w:ascii="Constantia" w:hAnsi="Constantia"/>
          <w:szCs w:val="22"/>
        </w:rPr>
        <w:t xml:space="preserve"> nafte</w:t>
      </w:r>
      <w:r>
        <w:rPr>
          <w:rFonts w:ascii="Constantia" w:hAnsi="Constantia"/>
          <w:szCs w:val="22"/>
        </w:rPr>
        <w:t>;</w:t>
      </w:r>
    </w:p>
    <w:p w:rsidR="00912E35" w:rsidRPr="002E6173" w:rsidRDefault="00912E35" w:rsidP="00E55716">
      <w:pPr>
        <w:rPr>
          <w:rFonts w:ascii="Constantia" w:hAnsi="Constantia"/>
          <w:szCs w:val="22"/>
        </w:rPr>
      </w:pPr>
      <w:r w:rsidRPr="00897A69">
        <w:rPr>
          <w:rFonts w:ascii="Constantia" w:hAnsi="Constantia"/>
          <w:szCs w:val="22"/>
        </w:rPr>
        <w:t xml:space="preserve">što negativno utiče na životnu </w:t>
      </w:r>
      <w:r w:rsidR="00933BA2">
        <w:rPr>
          <w:rFonts w:ascii="Constantia" w:hAnsi="Constantia"/>
          <w:szCs w:val="22"/>
        </w:rPr>
        <w:t>sredinu</w:t>
      </w:r>
      <w:r w:rsidRPr="00897A69">
        <w:rPr>
          <w:rFonts w:ascii="Constantia" w:hAnsi="Constantia"/>
          <w:szCs w:val="22"/>
        </w:rPr>
        <w:t xml:space="preserve">. </w:t>
      </w:r>
    </w:p>
    <w:p w:rsidR="00912E35" w:rsidRPr="002E6173" w:rsidRDefault="00912E35" w:rsidP="002F0FB4">
      <w:pPr>
        <w:rPr>
          <w:rFonts w:ascii="Constantia" w:hAnsi="Constantia"/>
          <w:szCs w:val="22"/>
        </w:rPr>
      </w:pPr>
      <w:r w:rsidRPr="00897A69">
        <w:rPr>
          <w:rFonts w:ascii="Constantia" w:hAnsi="Constantia"/>
          <w:szCs w:val="22"/>
        </w:rPr>
        <w:t>Broj motornih vozila, posebno u odnosu na korišćeno pogonsko gorivo, ukazuje na količinu nepovoljnosti u odnosu na zagađenje životne sredine.</w:t>
      </w:r>
    </w:p>
    <w:p w:rsidR="00912E35" w:rsidRDefault="00912E35" w:rsidP="002F0FB4">
      <w:pPr>
        <w:rPr>
          <w:rFonts w:ascii="Constantia" w:hAnsi="Constantia"/>
          <w:szCs w:val="22"/>
        </w:rPr>
      </w:pPr>
      <w:r w:rsidRPr="00897A69">
        <w:rPr>
          <w:rFonts w:ascii="Constantia" w:hAnsi="Constantia"/>
          <w:szCs w:val="22"/>
        </w:rPr>
        <w:t xml:space="preserve">Ono što </w:t>
      </w:r>
      <w:r>
        <w:rPr>
          <w:rFonts w:ascii="Constantia" w:hAnsi="Constantia"/>
          <w:szCs w:val="22"/>
        </w:rPr>
        <w:t>treba trenutno da se preduzme</w:t>
      </w:r>
      <w:r w:rsidRPr="00897A69">
        <w:rPr>
          <w:rFonts w:ascii="Constantia" w:hAnsi="Constantia"/>
          <w:szCs w:val="22"/>
        </w:rPr>
        <w:t xml:space="preserve"> je</w:t>
      </w:r>
      <w:r>
        <w:rPr>
          <w:rFonts w:ascii="Constantia" w:hAnsi="Constantia"/>
          <w:szCs w:val="22"/>
        </w:rPr>
        <w:t>,</w:t>
      </w:r>
      <w:r w:rsidRPr="00897A69">
        <w:rPr>
          <w:rFonts w:ascii="Constantia" w:hAnsi="Constantia"/>
          <w:szCs w:val="22"/>
        </w:rPr>
        <w:t xml:space="preserve"> prije svega</w:t>
      </w:r>
      <w:r>
        <w:rPr>
          <w:rFonts w:ascii="Constantia" w:hAnsi="Constantia"/>
          <w:szCs w:val="22"/>
        </w:rPr>
        <w:t>,</w:t>
      </w:r>
      <w:r w:rsidRPr="00897A69">
        <w:rPr>
          <w:rFonts w:ascii="Constantia" w:hAnsi="Constantia"/>
          <w:szCs w:val="22"/>
        </w:rPr>
        <w:t xml:space="preserve"> efikasnija kontrola pojedinih elemenata iz sektora saobraćaja koji negativno utiču na životnu sredinu kako bi bilo moguće pravilno sagledavanje problema, kao i preduzimanje mjera u cilju njihovog r</w:t>
      </w:r>
      <w:r>
        <w:rPr>
          <w:rFonts w:ascii="Constantia" w:hAnsi="Constantia"/>
          <w:szCs w:val="22"/>
        </w:rPr>
        <w:t>j</w:t>
      </w:r>
      <w:r w:rsidRPr="00897A69">
        <w:rPr>
          <w:rFonts w:ascii="Constantia" w:hAnsi="Constantia"/>
          <w:szCs w:val="22"/>
        </w:rPr>
        <w:t>ešavanja.</w:t>
      </w:r>
    </w:p>
    <w:p w:rsidR="00F3085B" w:rsidRDefault="00F3085B" w:rsidP="002F0FB4">
      <w:pPr>
        <w:rPr>
          <w:rFonts w:ascii="Constantia" w:hAnsi="Constantia"/>
          <w:szCs w:val="22"/>
        </w:rPr>
      </w:pPr>
    </w:p>
    <w:p w:rsidR="00F3085B" w:rsidRPr="007F24B8" w:rsidRDefault="00F3085B" w:rsidP="002F0FB4">
      <w:pPr>
        <w:rPr>
          <w:rStyle w:val="Strong"/>
          <w:rFonts w:ascii="Constantia" w:hAnsi="Constantia"/>
          <w:b w:val="0"/>
          <w:bCs w:val="0"/>
          <w:szCs w:val="22"/>
        </w:rPr>
      </w:pPr>
    </w:p>
    <w:p w:rsidR="00912E35" w:rsidRPr="00F3085B" w:rsidRDefault="00AF2D23" w:rsidP="00F3085B">
      <w:pPr>
        <w:pStyle w:val="Heading3"/>
      </w:pPr>
      <w:bookmarkStart w:id="350" w:name="_Toc393897976"/>
      <w:r>
        <w:rPr>
          <w:rStyle w:val="Strong"/>
          <w:b/>
          <w:bCs/>
        </w:rPr>
        <w:lastRenderedPageBreak/>
        <w:t>10</w:t>
      </w:r>
      <w:r w:rsidR="00F3085B">
        <w:rPr>
          <w:rStyle w:val="Strong"/>
          <w:b/>
          <w:bCs/>
        </w:rPr>
        <w:t xml:space="preserve">.4.4  </w:t>
      </w:r>
      <w:r w:rsidR="00912E35" w:rsidRPr="00F3085B">
        <w:rPr>
          <w:rStyle w:val="Strong"/>
          <w:b/>
          <w:bCs/>
        </w:rPr>
        <w:t>Prosječna starost voznog parka</w:t>
      </w:r>
      <w:r w:rsidR="00912E35" w:rsidRPr="00F3085B">
        <w:rPr>
          <w:vertAlign w:val="superscript"/>
        </w:rPr>
        <w:footnoteReference w:id="20"/>
      </w:r>
      <w:bookmarkEnd w:id="350"/>
    </w:p>
    <w:p w:rsidR="00912E35" w:rsidRPr="00F3085B" w:rsidRDefault="00912E35" w:rsidP="00F3085B">
      <w:pPr>
        <w:spacing w:before="240"/>
        <w:rPr>
          <w:rStyle w:val="Strong"/>
          <w:rFonts w:ascii="Constantia" w:hAnsi="Constantia"/>
          <w:b w:val="0"/>
          <w:bCs w:val="0"/>
          <w:lang w:val="sr-Latn-CS"/>
        </w:rPr>
      </w:pPr>
      <w:r w:rsidRPr="00F3085B">
        <w:rPr>
          <w:rStyle w:val="Strong"/>
          <w:rFonts w:ascii="Constantia" w:hAnsi="Constantia"/>
          <w:b w:val="0"/>
          <w:szCs w:val="22"/>
        </w:rPr>
        <w:t>Indikatorom se predstavlja prosječna starost voznog parka (motori, putnički autom</w:t>
      </w:r>
      <w:r w:rsidR="00F3085B">
        <w:rPr>
          <w:rStyle w:val="Strong"/>
          <w:rFonts w:ascii="Constantia" w:hAnsi="Constantia"/>
          <w:b w:val="0"/>
          <w:szCs w:val="22"/>
        </w:rPr>
        <w:t>obili, autobusi, teretna vozila</w:t>
      </w:r>
      <w:r w:rsidRPr="00F3085B">
        <w:rPr>
          <w:rStyle w:val="Strong"/>
          <w:rFonts w:ascii="Constantia" w:hAnsi="Constantia"/>
          <w:b w:val="0"/>
          <w:szCs w:val="22"/>
        </w:rPr>
        <w:t>, prikl</w:t>
      </w:r>
      <w:r w:rsidR="00F3085B">
        <w:rPr>
          <w:rStyle w:val="Strong"/>
          <w:rFonts w:ascii="Constantia" w:hAnsi="Constantia"/>
          <w:b w:val="0"/>
          <w:szCs w:val="22"/>
        </w:rPr>
        <w:t>jučna vozila, specijalna vozila</w:t>
      </w:r>
      <w:r w:rsidRPr="00F3085B">
        <w:rPr>
          <w:rStyle w:val="Strong"/>
          <w:rFonts w:ascii="Constantia" w:hAnsi="Constantia"/>
          <w:b w:val="0"/>
          <w:szCs w:val="22"/>
        </w:rPr>
        <w:t>, poljoprivredni traktori) za svaku godinu pojedinačno.</w:t>
      </w:r>
      <w:r w:rsidRPr="00F3085B">
        <w:rPr>
          <w:rFonts w:ascii="Constantia" w:hAnsi="Constantia"/>
          <w:lang w:val="sr-Latn-CS"/>
        </w:rPr>
        <w:t xml:space="preserve"> </w:t>
      </w:r>
      <w:r w:rsidRPr="00F3085B">
        <w:rPr>
          <w:rStyle w:val="Strong"/>
          <w:rFonts w:ascii="Constantia" w:hAnsi="Constantia"/>
          <w:b w:val="0"/>
          <w:szCs w:val="22"/>
        </w:rPr>
        <w:t>Indikator se izrađuje na osnovu podataka iz baze registracija motornih vozila za određenu godinu.</w:t>
      </w:r>
    </w:p>
    <w:p w:rsidR="00912E35" w:rsidRPr="00F3085B" w:rsidRDefault="00912E35" w:rsidP="00F3085B">
      <w:pPr>
        <w:rPr>
          <w:rStyle w:val="Strong"/>
          <w:rFonts w:ascii="Constantia" w:hAnsi="Constantia"/>
          <w:b w:val="0"/>
          <w:szCs w:val="22"/>
        </w:rPr>
      </w:pPr>
      <w:r w:rsidRPr="00F3085B">
        <w:rPr>
          <w:rStyle w:val="Strong"/>
          <w:rFonts w:ascii="Constantia" w:hAnsi="Constantia"/>
          <w:b w:val="0"/>
          <w:szCs w:val="22"/>
        </w:rPr>
        <w:t xml:space="preserve">Indikator pripada grupi </w:t>
      </w:r>
      <w:r w:rsidRPr="00F3085B">
        <w:rPr>
          <w:rStyle w:val="Strong"/>
          <w:rFonts w:ascii="Constantia" w:hAnsi="Constantia"/>
          <w:szCs w:val="22"/>
          <w:shd w:val="clear" w:color="auto" w:fill="FFFFFF" w:themeFill="background1"/>
        </w:rPr>
        <w:t>pokretačkih</w:t>
      </w:r>
      <w:r w:rsidRPr="00F3085B">
        <w:rPr>
          <w:rStyle w:val="Strong"/>
          <w:rFonts w:ascii="Constantia" w:hAnsi="Constantia"/>
          <w:szCs w:val="22"/>
        </w:rPr>
        <w:t xml:space="preserve"> faktora</w:t>
      </w:r>
      <w:r w:rsidRPr="00F3085B">
        <w:rPr>
          <w:rStyle w:val="Strong"/>
          <w:rFonts w:ascii="Constantia" w:hAnsi="Constantia"/>
          <w:b w:val="0"/>
          <w:szCs w:val="22"/>
        </w:rPr>
        <w:t xml:space="preserve"> u DPSIR modelu.</w:t>
      </w:r>
    </w:p>
    <w:p w:rsidR="00912E35" w:rsidRPr="00F3085B" w:rsidRDefault="00912E35" w:rsidP="00F3085B">
      <w:pPr>
        <w:rPr>
          <w:rFonts w:ascii="Constantia" w:hAnsi="Constantia"/>
        </w:rPr>
      </w:pPr>
      <w:r w:rsidRPr="00F3085B">
        <w:rPr>
          <w:rFonts w:ascii="Constantia" w:hAnsi="Constantia"/>
        </w:rPr>
        <w:t>Motori su najmlađa vrsta motornih vozila u analiziranoj strukturi vozila. U periodu od 2000</w:t>
      </w:r>
      <w:r w:rsidR="00F3085B">
        <w:rPr>
          <w:rFonts w:ascii="Constantia" w:hAnsi="Constantia"/>
        </w:rPr>
        <w:t>-</w:t>
      </w:r>
      <w:r w:rsidRPr="00F3085B">
        <w:rPr>
          <w:rFonts w:ascii="Constantia" w:hAnsi="Constantia"/>
        </w:rPr>
        <w:t>2012. godine broj registrovanih motora je porastao sa 401 na 4</w:t>
      </w:r>
      <w:r w:rsidR="00F3085B">
        <w:rPr>
          <w:rFonts w:ascii="Constantia" w:hAnsi="Constantia"/>
        </w:rPr>
        <w:t xml:space="preserve"> </w:t>
      </w:r>
      <w:r w:rsidRPr="00F3085B">
        <w:rPr>
          <w:rFonts w:ascii="Constantia" w:hAnsi="Constantia"/>
        </w:rPr>
        <w:t>389 motora. Njihova starost se kreće od 3,42 do 8,86 godina. Od 2000</w:t>
      </w:r>
      <w:r w:rsidR="00F3085B">
        <w:rPr>
          <w:rFonts w:ascii="Constantia" w:hAnsi="Constantia"/>
        </w:rPr>
        <w:t>-</w:t>
      </w:r>
      <w:r w:rsidRPr="00F3085B">
        <w:rPr>
          <w:rFonts w:ascii="Constantia" w:hAnsi="Constantia"/>
        </w:rPr>
        <w:t>2008. godine dolazi do značajnog podmlađivanja voznog parka ,,motori’’. U odnosu na 2008.</w:t>
      </w:r>
      <w:r w:rsidR="00F3085B">
        <w:rPr>
          <w:rFonts w:ascii="Constantia" w:hAnsi="Constantia"/>
        </w:rPr>
        <w:t xml:space="preserve"> godinu</w:t>
      </w:r>
      <w:r w:rsidRPr="00F3085B">
        <w:rPr>
          <w:rFonts w:ascii="Constantia" w:hAnsi="Constantia"/>
        </w:rPr>
        <w:t>, u 2012. godini prosječna starost  je uvećana za 46,4%. Prosje</w:t>
      </w:r>
      <w:r w:rsidRPr="00F3085B">
        <w:rPr>
          <w:rFonts w:ascii="Constantia" w:hAnsi="Constantia"/>
          <w:i/>
        </w:rPr>
        <w:t>č</w:t>
      </w:r>
      <w:r w:rsidRPr="00F3085B">
        <w:rPr>
          <w:rFonts w:ascii="Constantia" w:hAnsi="Constantia"/>
        </w:rPr>
        <w:t>na starost vučnih vozila je ujednačena godinama i kreće se od 9,96 do 11,21 godina. Takođe, broj vučnih vozila nije značajno porastao (sa 794 na 936).</w:t>
      </w:r>
    </w:p>
    <w:p w:rsidR="00912E35" w:rsidRPr="00F3085B" w:rsidRDefault="00912E35" w:rsidP="00F3085B">
      <w:pPr>
        <w:rPr>
          <w:rFonts w:ascii="Constantia" w:hAnsi="Constantia"/>
        </w:rPr>
      </w:pPr>
      <w:r w:rsidRPr="00F3085B">
        <w:rPr>
          <w:rFonts w:ascii="Constantia" w:hAnsi="Constantia"/>
        </w:rPr>
        <w:t xml:space="preserve">Značajno mjesto zauzimaju putnički automobili, čiji se negativan efekat na životnu sredinu pojačava zbog neuporedivo većeg broja u odnosu na sva ostala motorna vozila (putnički automobili čine 80% ukupnog broja motornih vozila). </w:t>
      </w:r>
    </w:p>
    <w:p w:rsidR="00912E35" w:rsidRDefault="00912E35" w:rsidP="00C21981">
      <w:pPr>
        <w:rPr>
          <w:rFonts w:ascii="Constantia" w:hAnsi="Constantia"/>
        </w:rPr>
      </w:pPr>
      <w:r w:rsidRPr="00F3085B">
        <w:rPr>
          <w:rFonts w:ascii="Constantia" w:hAnsi="Constantia"/>
        </w:rPr>
        <w:t>Podaci i grafi</w:t>
      </w:r>
      <w:r w:rsidRPr="00F3085B">
        <w:rPr>
          <w:rFonts w:ascii="Constantia" w:hAnsi="Constantia"/>
          <w:lang w:val="sr-Latn-CS"/>
        </w:rPr>
        <w:t>čki prikaz</w:t>
      </w:r>
      <w:r w:rsidRPr="00F3085B">
        <w:rPr>
          <w:rFonts w:ascii="Constantia" w:hAnsi="Constantia"/>
        </w:rPr>
        <w:t xml:space="preserve"> ukazuju na, ne baš ujednačen trend prosječne starosti vozila. Ali, kod svih vozila u 2012.</w:t>
      </w:r>
      <w:r w:rsidR="00C21981">
        <w:rPr>
          <w:rFonts w:ascii="Constantia" w:hAnsi="Constantia"/>
        </w:rPr>
        <w:t xml:space="preserve"> godini</w:t>
      </w:r>
      <w:r w:rsidRPr="00F3085B">
        <w:rPr>
          <w:rFonts w:ascii="Constantia" w:hAnsi="Constantia"/>
        </w:rPr>
        <w:t xml:space="preserve"> dolazi do povećanja prosječne starosti u odnosu na 2000</w:t>
      </w:r>
      <w:r w:rsidR="00C21981">
        <w:rPr>
          <w:rFonts w:ascii="Constantia" w:hAnsi="Constantia"/>
        </w:rPr>
        <w:t>. godinu</w:t>
      </w:r>
      <w:r w:rsidRPr="00F3085B">
        <w:rPr>
          <w:rFonts w:ascii="Constantia" w:hAnsi="Constantia"/>
        </w:rPr>
        <w:t>. Najizraženiji primjer u tom smislu su poljoprivredni traktori koji imaju promjenljiv trend iz godine u godinu u analiziranom periodu. Uticaj rada poljoprivrednih traktora se odražava, uglavnom u ruralnim područjima.</w:t>
      </w:r>
    </w:p>
    <w:p w:rsidR="00C21981" w:rsidRPr="00F3085B" w:rsidRDefault="00C21981" w:rsidP="00C21981">
      <w:pPr>
        <w:rPr>
          <w:rFonts w:ascii="Constantia" w:hAnsi="Constantia"/>
        </w:rPr>
      </w:pPr>
    </w:p>
    <w:tbl>
      <w:tblPr>
        <w:tblW w:w="9087" w:type="dxa"/>
        <w:tblInd w:w="93" w:type="dxa"/>
        <w:tblLook w:val="04A0" w:firstRow="1" w:lastRow="0" w:firstColumn="1" w:lastColumn="0" w:noHBand="0" w:noVBand="1"/>
      </w:tblPr>
      <w:tblGrid>
        <w:gridCol w:w="701"/>
        <w:gridCol w:w="803"/>
        <w:gridCol w:w="1027"/>
        <w:gridCol w:w="857"/>
        <w:gridCol w:w="1015"/>
        <w:gridCol w:w="906"/>
        <w:gridCol w:w="1172"/>
        <w:gridCol w:w="834"/>
        <w:gridCol w:w="715"/>
        <w:gridCol w:w="542"/>
        <w:gridCol w:w="592"/>
      </w:tblGrid>
      <w:tr w:rsidR="00912E35" w:rsidRPr="002F52E8" w:rsidTr="00912E35">
        <w:trPr>
          <w:trHeight w:val="315"/>
        </w:trPr>
        <w:tc>
          <w:tcPr>
            <w:tcW w:w="701" w:type="dxa"/>
            <w:tcBorders>
              <w:top w:val="nil"/>
              <w:left w:val="nil"/>
              <w:bottom w:val="nil"/>
              <w:right w:val="nil"/>
            </w:tcBorders>
            <w:shd w:val="clear" w:color="auto" w:fill="auto"/>
            <w:noWrap/>
            <w:vAlign w:val="bottom"/>
            <w:hideMark/>
          </w:tcPr>
          <w:p w:rsidR="00912E35" w:rsidRPr="002F52E8" w:rsidRDefault="00912E35" w:rsidP="00912E35">
            <w:pPr>
              <w:spacing w:after="0"/>
              <w:jc w:val="left"/>
              <w:rPr>
                <w:rFonts w:ascii="Constantia" w:hAnsi="Constantia" w:cs="Arial"/>
                <w:sz w:val="20"/>
                <w:szCs w:val="20"/>
              </w:rPr>
            </w:pPr>
          </w:p>
        </w:tc>
        <w:tc>
          <w:tcPr>
            <w:tcW w:w="7794" w:type="dxa"/>
            <w:gridSpan w:val="9"/>
            <w:tcBorders>
              <w:top w:val="single" w:sz="8" w:space="0" w:color="auto"/>
              <w:left w:val="single" w:sz="8" w:space="0" w:color="auto"/>
              <w:bottom w:val="single" w:sz="8" w:space="0" w:color="auto"/>
              <w:right w:val="nil"/>
            </w:tcBorders>
            <w:shd w:val="clear" w:color="auto" w:fill="FDE5D2" w:themeFill="accent3" w:themeFillTint="66"/>
            <w:noWrap/>
            <w:vAlign w:val="center"/>
            <w:hideMark/>
          </w:tcPr>
          <w:p w:rsidR="00912E35" w:rsidRPr="002F52E8" w:rsidRDefault="00C21981" w:rsidP="00912E35">
            <w:pPr>
              <w:spacing w:after="0"/>
              <w:jc w:val="center"/>
              <w:rPr>
                <w:rFonts w:ascii="Constantia" w:hAnsi="Constantia" w:cs="Arial"/>
                <w:b/>
                <w:bCs/>
                <w:i/>
                <w:iCs/>
                <w:color w:val="000000"/>
                <w:sz w:val="20"/>
                <w:szCs w:val="20"/>
              </w:rPr>
            </w:pPr>
            <w:r>
              <w:rPr>
                <w:rFonts w:ascii="Constantia" w:hAnsi="Constantia" w:cs="Arial"/>
                <w:b/>
                <w:bCs/>
                <w:i/>
                <w:iCs/>
                <w:color w:val="000000"/>
                <w:sz w:val="20"/>
                <w:szCs w:val="20"/>
              </w:rPr>
              <w:t>V</w:t>
            </w:r>
            <w:r w:rsidR="00912E35" w:rsidRPr="002F52E8">
              <w:rPr>
                <w:rFonts w:ascii="Constantia" w:hAnsi="Constantia" w:cs="Arial"/>
                <w:b/>
                <w:bCs/>
                <w:i/>
                <w:iCs/>
                <w:color w:val="000000"/>
                <w:sz w:val="20"/>
                <w:szCs w:val="20"/>
              </w:rPr>
              <w:t>rsta motornog vozila</w:t>
            </w:r>
          </w:p>
        </w:tc>
        <w:tc>
          <w:tcPr>
            <w:tcW w:w="592" w:type="dxa"/>
            <w:tcBorders>
              <w:top w:val="single" w:sz="8" w:space="0" w:color="auto"/>
              <w:left w:val="nil"/>
              <w:bottom w:val="single" w:sz="8" w:space="0" w:color="auto"/>
              <w:right w:val="single" w:sz="4" w:space="0" w:color="auto"/>
            </w:tcBorders>
            <w:shd w:val="clear" w:color="auto" w:fill="FDE5D2" w:themeFill="accent3" w:themeFillTint="66"/>
            <w:noWrap/>
            <w:vAlign w:val="center"/>
            <w:hideMark/>
          </w:tcPr>
          <w:p w:rsidR="00912E35" w:rsidRPr="002F52E8" w:rsidRDefault="00912E35" w:rsidP="00912E35">
            <w:pPr>
              <w:spacing w:after="0"/>
              <w:jc w:val="left"/>
              <w:rPr>
                <w:rFonts w:ascii="Constantia" w:hAnsi="Constantia" w:cs="Calibri"/>
                <w:color w:val="000000"/>
                <w:sz w:val="20"/>
                <w:szCs w:val="20"/>
              </w:rPr>
            </w:pPr>
            <w:r w:rsidRPr="002F52E8">
              <w:rPr>
                <w:rFonts w:ascii="Constantia" w:hAnsi="Constantia" w:cs="Calibri"/>
                <w:color w:val="000000"/>
                <w:sz w:val="20"/>
                <w:szCs w:val="20"/>
              </w:rPr>
              <w:t> </w:t>
            </w:r>
          </w:p>
        </w:tc>
      </w:tr>
      <w:tr w:rsidR="00912E35" w:rsidRPr="002F52E8" w:rsidTr="00912E35">
        <w:trPr>
          <w:trHeight w:val="270"/>
        </w:trPr>
        <w:tc>
          <w:tcPr>
            <w:tcW w:w="701" w:type="dxa"/>
            <w:tcBorders>
              <w:top w:val="single" w:sz="8" w:space="0" w:color="auto"/>
              <w:left w:val="single" w:sz="8" w:space="0" w:color="auto"/>
              <w:bottom w:val="nil"/>
              <w:right w:val="single" w:sz="8" w:space="0" w:color="auto"/>
            </w:tcBorders>
            <w:shd w:val="clear" w:color="auto" w:fill="FDE5D2" w:themeFill="accent3" w:themeFillTint="66"/>
            <w:noWrap/>
            <w:vAlign w:val="center"/>
            <w:hideMark/>
          </w:tcPr>
          <w:p w:rsidR="00912E35" w:rsidRPr="002F52E8" w:rsidRDefault="00912E35" w:rsidP="00912E35">
            <w:pPr>
              <w:spacing w:after="0"/>
              <w:jc w:val="center"/>
              <w:rPr>
                <w:rFonts w:ascii="Constantia" w:hAnsi="Constantia" w:cs="Arial"/>
                <w:b/>
                <w:bCs/>
                <w:i/>
                <w:iCs/>
                <w:color w:val="000000"/>
                <w:sz w:val="20"/>
                <w:szCs w:val="20"/>
              </w:rPr>
            </w:pPr>
            <w:r w:rsidRPr="002F52E8">
              <w:rPr>
                <w:rFonts w:ascii="Constantia" w:hAnsi="Constantia" w:cs="Arial"/>
                <w:b/>
                <w:bCs/>
                <w:i/>
                <w:iCs/>
                <w:color w:val="000000"/>
                <w:sz w:val="20"/>
                <w:szCs w:val="20"/>
              </w:rPr>
              <w:t>god</w:t>
            </w:r>
          </w:p>
        </w:tc>
        <w:tc>
          <w:tcPr>
            <w:tcW w:w="803" w:type="dxa"/>
            <w:tcBorders>
              <w:top w:val="nil"/>
              <w:left w:val="nil"/>
              <w:bottom w:val="single" w:sz="8" w:space="0" w:color="auto"/>
              <w:right w:val="single" w:sz="8" w:space="0" w:color="auto"/>
            </w:tcBorders>
            <w:shd w:val="clear" w:color="auto" w:fill="FDE5D2" w:themeFill="accent3" w:themeFillTint="66"/>
            <w:noWrap/>
            <w:vAlign w:val="center"/>
            <w:hideMark/>
          </w:tcPr>
          <w:p w:rsidR="00912E35" w:rsidRPr="002F52E8" w:rsidRDefault="00912E35" w:rsidP="00912E35">
            <w:pPr>
              <w:spacing w:after="0"/>
              <w:jc w:val="center"/>
              <w:rPr>
                <w:rFonts w:ascii="Constantia" w:hAnsi="Constantia" w:cs="Calibri"/>
                <w:b/>
                <w:bCs/>
                <w:i/>
                <w:iCs/>
                <w:color w:val="000000"/>
                <w:sz w:val="20"/>
                <w:szCs w:val="20"/>
              </w:rPr>
            </w:pPr>
            <w:r w:rsidRPr="002F52E8">
              <w:rPr>
                <w:rFonts w:ascii="Constantia" w:hAnsi="Constantia" w:cs="Calibri"/>
                <w:b/>
                <w:bCs/>
                <w:i/>
                <w:iCs/>
                <w:color w:val="000000"/>
                <w:sz w:val="20"/>
                <w:szCs w:val="20"/>
              </w:rPr>
              <w:t>motor</w:t>
            </w:r>
          </w:p>
        </w:tc>
        <w:tc>
          <w:tcPr>
            <w:tcW w:w="1027" w:type="dxa"/>
            <w:tcBorders>
              <w:top w:val="nil"/>
              <w:left w:val="nil"/>
              <w:bottom w:val="single" w:sz="8" w:space="0" w:color="auto"/>
              <w:right w:val="single" w:sz="8" w:space="0" w:color="auto"/>
            </w:tcBorders>
            <w:shd w:val="clear" w:color="auto" w:fill="FDE5D2" w:themeFill="accent3" w:themeFillTint="66"/>
            <w:noWrap/>
            <w:vAlign w:val="center"/>
            <w:hideMark/>
          </w:tcPr>
          <w:p w:rsidR="00912E35" w:rsidRPr="002F52E8" w:rsidRDefault="00912E35" w:rsidP="00912E35">
            <w:pPr>
              <w:spacing w:after="0"/>
              <w:jc w:val="center"/>
              <w:rPr>
                <w:rFonts w:ascii="Constantia" w:hAnsi="Constantia" w:cs="Calibri"/>
                <w:b/>
                <w:bCs/>
                <w:i/>
                <w:iCs/>
                <w:color w:val="000000"/>
                <w:sz w:val="20"/>
                <w:szCs w:val="20"/>
              </w:rPr>
            </w:pPr>
            <w:r w:rsidRPr="002F52E8">
              <w:rPr>
                <w:rFonts w:ascii="Constantia" w:hAnsi="Constantia" w:cs="Calibri"/>
                <w:b/>
                <w:bCs/>
                <w:i/>
                <w:iCs/>
                <w:color w:val="000000"/>
                <w:sz w:val="20"/>
                <w:szCs w:val="20"/>
              </w:rPr>
              <w:t>putnički auto</w:t>
            </w:r>
          </w:p>
        </w:tc>
        <w:tc>
          <w:tcPr>
            <w:tcW w:w="857" w:type="dxa"/>
            <w:tcBorders>
              <w:top w:val="nil"/>
              <w:left w:val="nil"/>
              <w:bottom w:val="single" w:sz="8" w:space="0" w:color="auto"/>
              <w:right w:val="single" w:sz="8" w:space="0" w:color="auto"/>
            </w:tcBorders>
            <w:shd w:val="clear" w:color="auto" w:fill="FDE5D2" w:themeFill="accent3" w:themeFillTint="66"/>
            <w:noWrap/>
            <w:vAlign w:val="center"/>
            <w:hideMark/>
          </w:tcPr>
          <w:p w:rsidR="00912E35" w:rsidRPr="002F52E8" w:rsidRDefault="00912E35" w:rsidP="00912E35">
            <w:pPr>
              <w:spacing w:after="0"/>
              <w:jc w:val="center"/>
              <w:rPr>
                <w:rFonts w:ascii="Constantia" w:hAnsi="Constantia" w:cs="Calibri"/>
                <w:b/>
                <w:bCs/>
                <w:i/>
                <w:iCs/>
                <w:color w:val="000000"/>
                <w:sz w:val="20"/>
                <w:szCs w:val="20"/>
              </w:rPr>
            </w:pPr>
            <w:r w:rsidRPr="002F52E8">
              <w:rPr>
                <w:rFonts w:ascii="Constantia" w:hAnsi="Constantia" w:cs="Calibri"/>
                <w:b/>
                <w:bCs/>
                <w:i/>
                <w:iCs/>
                <w:color w:val="000000"/>
                <w:sz w:val="20"/>
                <w:szCs w:val="20"/>
              </w:rPr>
              <w:t>kombi</w:t>
            </w:r>
          </w:p>
        </w:tc>
        <w:tc>
          <w:tcPr>
            <w:tcW w:w="1015" w:type="dxa"/>
            <w:tcBorders>
              <w:top w:val="nil"/>
              <w:left w:val="nil"/>
              <w:bottom w:val="single" w:sz="8" w:space="0" w:color="auto"/>
              <w:right w:val="single" w:sz="8" w:space="0" w:color="auto"/>
            </w:tcBorders>
            <w:shd w:val="clear" w:color="auto" w:fill="FDE5D2" w:themeFill="accent3" w:themeFillTint="66"/>
            <w:noWrap/>
            <w:vAlign w:val="center"/>
            <w:hideMark/>
          </w:tcPr>
          <w:p w:rsidR="00912E35" w:rsidRPr="002F52E8" w:rsidRDefault="00912E35" w:rsidP="00912E35">
            <w:pPr>
              <w:spacing w:after="0"/>
              <w:jc w:val="center"/>
              <w:rPr>
                <w:rFonts w:ascii="Constantia" w:hAnsi="Constantia" w:cs="Calibri"/>
                <w:b/>
                <w:bCs/>
                <w:i/>
                <w:iCs/>
                <w:color w:val="000000"/>
                <w:sz w:val="20"/>
                <w:szCs w:val="20"/>
              </w:rPr>
            </w:pPr>
            <w:r w:rsidRPr="002F52E8">
              <w:rPr>
                <w:rFonts w:ascii="Constantia" w:hAnsi="Constantia" w:cs="Calibri"/>
                <w:b/>
                <w:bCs/>
                <w:i/>
                <w:iCs/>
                <w:color w:val="000000"/>
                <w:sz w:val="20"/>
                <w:szCs w:val="20"/>
              </w:rPr>
              <w:t>autobus</w:t>
            </w:r>
          </w:p>
        </w:tc>
        <w:tc>
          <w:tcPr>
            <w:tcW w:w="906" w:type="dxa"/>
            <w:tcBorders>
              <w:top w:val="nil"/>
              <w:left w:val="nil"/>
              <w:bottom w:val="single" w:sz="8" w:space="0" w:color="auto"/>
              <w:right w:val="single" w:sz="8" w:space="0" w:color="auto"/>
            </w:tcBorders>
            <w:shd w:val="clear" w:color="auto" w:fill="FDE5D2" w:themeFill="accent3" w:themeFillTint="66"/>
            <w:noWrap/>
            <w:vAlign w:val="center"/>
            <w:hideMark/>
          </w:tcPr>
          <w:p w:rsidR="00912E35" w:rsidRPr="002F52E8" w:rsidRDefault="00912E35" w:rsidP="00912E35">
            <w:pPr>
              <w:spacing w:after="0"/>
              <w:jc w:val="center"/>
              <w:rPr>
                <w:rFonts w:ascii="Constantia" w:hAnsi="Constantia" w:cs="Calibri"/>
                <w:b/>
                <w:bCs/>
                <w:i/>
                <w:iCs/>
                <w:color w:val="000000"/>
                <w:sz w:val="20"/>
                <w:szCs w:val="20"/>
              </w:rPr>
            </w:pPr>
            <w:r w:rsidRPr="002F52E8">
              <w:rPr>
                <w:rFonts w:ascii="Constantia" w:hAnsi="Constantia" w:cs="Calibri"/>
                <w:b/>
                <w:bCs/>
                <w:i/>
                <w:iCs/>
                <w:color w:val="000000"/>
                <w:sz w:val="20"/>
                <w:szCs w:val="20"/>
              </w:rPr>
              <w:t>teret. vozilo</w:t>
            </w:r>
          </w:p>
        </w:tc>
        <w:tc>
          <w:tcPr>
            <w:tcW w:w="1095" w:type="dxa"/>
            <w:tcBorders>
              <w:top w:val="nil"/>
              <w:left w:val="nil"/>
              <w:bottom w:val="single" w:sz="8" w:space="0" w:color="auto"/>
              <w:right w:val="single" w:sz="8" w:space="0" w:color="auto"/>
            </w:tcBorders>
            <w:shd w:val="clear" w:color="auto" w:fill="FDE5D2" w:themeFill="accent3" w:themeFillTint="66"/>
            <w:noWrap/>
            <w:vAlign w:val="center"/>
            <w:hideMark/>
          </w:tcPr>
          <w:p w:rsidR="00912E35" w:rsidRPr="002F52E8" w:rsidRDefault="00912E35" w:rsidP="00912E35">
            <w:pPr>
              <w:spacing w:after="0"/>
              <w:jc w:val="center"/>
              <w:rPr>
                <w:rFonts w:ascii="Constantia" w:hAnsi="Constantia" w:cs="Calibri"/>
                <w:b/>
                <w:bCs/>
                <w:i/>
                <w:iCs/>
                <w:color w:val="000000"/>
                <w:sz w:val="20"/>
                <w:szCs w:val="20"/>
              </w:rPr>
            </w:pPr>
            <w:r w:rsidRPr="002F52E8">
              <w:rPr>
                <w:rFonts w:ascii="Constantia" w:hAnsi="Constantia" w:cs="Calibri"/>
                <w:b/>
                <w:bCs/>
                <w:i/>
                <w:iCs/>
                <w:color w:val="000000"/>
                <w:sz w:val="20"/>
                <w:szCs w:val="20"/>
              </w:rPr>
              <w:t>specijalno vozilo</w:t>
            </w:r>
          </w:p>
        </w:tc>
        <w:tc>
          <w:tcPr>
            <w:tcW w:w="834" w:type="dxa"/>
            <w:tcBorders>
              <w:top w:val="nil"/>
              <w:left w:val="nil"/>
              <w:bottom w:val="single" w:sz="8" w:space="0" w:color="auto"/>
              <w:right w:val="single" w:sz="8" w:space="0" w:color="auto"/>
            </w:tcBorders>
            <w:shd w:val="clear" w:color="auto" w:fill="FDE5D2" w:themeFill="accent3" w:themeFillTint="66"/>
            <w:noWrap/>
            <w:vAlign w:val="center"/>
            <w:hideMark/>
          </w:tcPr>
          <w:p w:rsidR="00912E35" w:rsidRPr="002F52E8" w:rsidRDefault="00912E35" w:rsidP="00912E35">
            <w:pPr>
              <w:spacing w:after="0"/>
              <w:jc w:val="center"/>
              <w:rPr>
                <w:rFonts w:ascii="Constantia" w:hAnsi="Constantia" w:cs="Calibri"/>
                <w:b/>
                <w:bCs/>
                <w:i/>
                <w:iCs/>
                <w:color w:val="000000"/>
                <w:sz w:val="20"/>
                <w:szCs w:val="20"/>
              </w:rPr>
            </w:pPr>
            <w:r w:rsidRPr="002F52E8">
              <w:rPr>
                <w:rFonts w:ascii="Constantia" w:hAnsi="Constantia" w:cs="Calibri"/>
                <w:b/>
                <w:bCs/>
                <w:i/>
                <w:iCs/>
                <w:color w:val="000000"/>
                <w:sz w:val="20"/>
                <w:szCs w:val="20"/>
              </w:rPr>
              <w:t>vučno vozilo</w:t>
            </w:r>
          </w:p>
        </w:tc>
        <w:tc>
          <w:tcPr>
            <w:tcW w:w="715" w:type="dxa"/>
            <w:tcBorders>
              <w:top w:val="nil"/>
              <w:left w:val="nil"/>
              <w:bottom w:val="single" w:sz="8" w:space="0" w:color="auto"/>
              <w:right w:val="single" w:sz="8" w:space="0" w:color="auto"/>
            </w:tcBorders>
            <w:shd w:val="clear" w:color="auto" w:fill="FDE5D2" w:themeFill="accent3" w:themeFillTint="66"/>
            <w:noWrap/>
            <w:vAlign w:val="center"/>
            <w:hideMark/>
          </w:tcPr>
          <w:p w:rsidR="00912E35" w:rsidRPr="002F52E8" w:rsidRDefault="00912E35" w:rsidP="00912E35">
            <w:pPr>
              <w:spacing w:after="0"/>
              <w:jc w:val="center"/>
              <w:rPr>
                <w:rFonts w:ascii="Constantia" w:hAnsi="Constantia" w:cs="Calibri"/>
                <w:b/>
                <w:bCs/>
                <w:i/>
                <w:iCs/>
                <w:color w:val="000000"/>
                <w:sz w:val="20"/>
                <w:szCs w:val="20"/>
              </w:rPr>
            </w:pPr>
            <w:r w:rsidRPr="002F52E8">
              <w:rPr>
                <w:rFonts w:ascii="Constantia" w:hAnsi="Constantia" w:cs="Calibri"/>
                <w:b/>
                <w:bCs/>
                <w:i/>
                <w:iCs/>
                <w:color w:val="000000"/>
                <w:sz w:val="20"/>
                <w:szCs w:val="20"/>
              </w:rPr>
              <w:t>prik.</w:t>
            </w:r>
          </w:p>
          <w:p w:rsidR="00912E35" w:rsidRPr="002F52E8" w:rsidRDefault="00912E35" w:rsidP="00912E35">
            <w:pPr>
              <w:spacing w:after="0"/>
              <w:jc w:val="center"/>
              <w:rPr>
                <w:rFonts w:ascii="Constantia" w:hAnsi="Constantia" w:cs="Calibri"/>
                <w:b/>
                <w:bCs/>
                <w:i/>
                <w:iCs/>
                <w:color w:val="000000"/>
                <w:sz w:val="20"/>
                <w:szCs w:val="20"/>
              </w:rPr>
            </w:pPr>
            <w:r w:rsidRPr="002F52E8">
              <w:rPr>
                <w:rFonts w:ascii="Constantia" w:hAnsi="Constantia" w:cs="Calibri"/>
                <w:b/>
                <w:bCs/>
                <w:i/>
                <w:iCs/>
                <w:color w:val="000000"/>
                <w:sz w:val="20"/>
                <w:szCs w:val="20"/>
              </w:rPr>
              <w:t>voz.</w:t>
            </w:r>
          </w:p>
        </w:tc>
        <w:tc>
          <w:tcPr>
            <w:tcW w:w="1134" w:type="dxa"/>
            <w:gridSpan w:val="2"/>
            <w:tcBorders>
              <w:top w:val="nil"/>
              <w:left w:val="nil"/>
              <w:bottom w:val="single" w:sz="8" w:space="0" w:color="auto"/>
              <w:right w:val="single" w:sz="8" w:space="0" w:color="auto"/>
            </w:tcBorders>
            <w:shd w:val="clear" w:color="auto" w:fill="FDE5D2" w:themeFill="accent3" w:themeFillTint="66"/>
            <w:noWrap/>
            <w:vAlign w:val="center"/>
            <w:hideMark/>
          </w:tcPr>
          <w:p w:rsidR="00912E35" w:rsidRPr="002F52E8" w:rsidRDefault="00912E35" w:rsidP="00912E35">
            <w:pPr>
              <w:spacing w:after="0"/>
              <w:jc w:val="center"/>
              <w:rPr>
                <w:rFonts w:ascii="Constantia" w:hAnsi="Constantia" w:cs="Calibri"/>
                <w:b/>
                <w:bCs/>
                <w:i/>
                <w:iCs/>
                <w:color w:val="000000"/>
                <w:sz w:val="20"/>
                <w:szCs w:val="20"/>
              </w:rPr>
            </w:pPr>
            <w:r w:rsidRPr="002F52E8">
              <w:rPr>
                <w:rFonts w:ascii="Constantia" w:hAnsi="Constantia" w:cs="Calibri"/>
                <w:b/>
                <w:bCs/>
                <w:i/>
                <w:iCs/>
                <w:color w:val="000000"/>
                <w:sz w:val="20"/>
                <w:szCs w:val="20"/>
              </w:rPr>
              <w:t>polj.</w:t>
            </w:r>
          </w:p>
          <w:p w:rsidR="00912E35" w:rsidRPr="002F52E8" w:rsidRDefault="00912E35" w:rsidP="00912E35">
            <w:pPr>
              <w:spacing w:after="0"/>
              <w:jc w:val="center"/>
              <w:rPr>
                <w:rFonts w:ascii="Constantia" w:hAnsi="Constantia" w:cs="Calibri"/>
                <w:b/>
                <w:bCs/>
                <w:i/>
                <w:iCs/>
                <w:color w:val="000000"/>
                <w:sz w:val="20"/>
                <w:szCs w:val="20"/>
              </w:rPr>
            </w:pPr>
            <w:r w:rsidRPr="002F52E8">
              <w:rPr>
                <w:rFonts w:ascii="Constantia" w:hAnsi="Constantia" w:cs="Calibri"/>
                <w:b/>
                <w:bCs/>
                <w:i/>
                <w:iCs/>
                <w:color w:val="000000"/>
                <w:sz w:val="20"/>
                <w:szCs w:val="20"/>
              </w:rPr>
              <w:t>trak.</w:t>
            </w:r>
          </w:p>
        </w:tc>
      </w:tr>
      <w:tr w:rsidR="00912E35" w:rsidRPr="002F52E8" w:rsidTr="00912E35">
        <w:trPr>
          <w:trHeight w:val="270"/>
        </w:trPr>
        <w:tc>
          <w:tcPr>
            <w:tcW w:w="701" w:type="dxa"/>
            <w:tcBorders>
              <w:top w:val="single" w:sz="8" w:space="0" w:color="auto"/>
              <w:left w:val="single" w:sz="8" w:space="0" w:color="auto"/>
              <w:bottom w:val="single" w:sz="8" w:space="0" w:color="auto"/>
              <w:right w:val="single" w:sz="8" w:space="0" w:color="auto"/>
            </w:tcBorders>
            <w:shd w:val="clear" w:color="auto" w:fill="FDE5D2" w:themeFill="accent3" w:themeFillTint="66"/>
            <w:noWrap/>
            <w:vAlign w:val="center"/>
            <w:hideMark/>
          </w:tcPr>
          <w:p w:rsidR="00912E35" w:rsidRPr="002F52E8" w:rsidRDefault="00912E35" w:rsidP="00912E35">
            <w:pPr>
              <w:spacing w:after="0"/>
              <w:jc w:val="center"/>
              <w:rPr>
                <w:rFonts w:ascii="Constantia" w:hAnsi="Constantia" w:cs="Calibri"/>
                <w:b/>
                <w:bCs/>
                <w:i/>
                <w:iCs/>
                <w:color w:val="000000"/>
                <w:sz w:val="20"/>
                <w:szCs w:val="20"/>
              </w:rPr>
            </w:pPr>
            <w:r w:rsidRPr="002F52E8">
              <w:rPr>
                <w:rFonts w:ascii="Constantia" w:hAnsi="Constantia" w:cs="Calibri"/>
                <w:b/>
                <w:bCs/>
                <w:i/>
                <w:iCs/>
                <w:color w:val="000000"/>
                <w:sz w:val="20"/>
                <w:szCs w:val="20"/>
              </w:rPr>
              <w:t>2000</w:t>
            </w:r>
          </w:p>
        </w:tc>
        <w:tc>
          <w:tcPr>
            <w:tcW w:w="803"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8.86</w:t>
            </w:r>
          </w:p>
        </w:tc>
        <w:tc>
          <w:tcPr>
            <w:tcW w:w="1027"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13.17</w:t>
            </w:r>
          </w:p>
        </w:tc>
        <w:tc>
          <w:tcPr>
            <w:tcW w:w="857"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13.04</w:t>
            </w:r>
          </w:p>
        </w:tc>
        <w:tc>
          <w:tcPr>
            <w:tcW w:w="1015"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14.04</w:t>
            </w:r>
          </w:p>
        </w:tc>
        <w:tc>
          <w:tcPr>
            <w:tcW w:w="906"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13.71</w:t>
            </w:r>
          </w:p>
        </w:tc>
        <w:tc>
          <w:tcPr>
            <w:tcW w:w="1095"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12.35</w:t>
            </w:r>
          </w:p>
        </w:tc>
        <w:tc>
          <w:tcPr>
            <w:tcW w:w="834"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10.18</w:t>
            </w:r>
          </w:p>
        </w:tc>
        <w:tc>
          <w:tcPr>
            <w:tcW w:w="715"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13.33</w:t>
            </w:r>
          </w:p>
        </w:tc>
        <w:tc>
          <w:tcPr>
            <w:tcW w:w="1134" w:type="dxa"/>
            <w:gridSpan w:val="2"/>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11.36</w:t>
            </w:r>
          </w:p>
        </w:tc>
      </w:tr>
      <w:tr w:rsidR="00912E35" w:rsidRPr="002F52E8" w:rsidTr="00912E35">
        <w:trPr>
          <w:trHeight w:val="270"/>
        </w:trPr>
        <w:tc>
          <w:tcPr>
            <w:tcW w:w="701" w:type="dxa"/>
            <w:tcBorders>
              <w:top w:val="nil"/>
              <w:left w:val="single" w:sz="8" w:space="0" w:color="auto"/>
              <w:bottom w:val="single" w:sz="8" w:space="0" w:color="auto"/>
              <w:right w:val="single" w:sz="8" w:space="0" w:color="auto"/>
            </w:tcBorders>
            <w:shd w:val="clear" w:color="auto" w:fill="FDE5D2" w:themeFill="accent3" w:themeFillTint="66"/>
            <w:noWrap/>
            <w:vAlign w:val="center"/>
            <w:hideMark/>
          </w:tcPr>
          <w:p w:rsidR="00912E35" w:rsidRPr="002F52E8" w:rsidRDefault="00912E35" w:rsidP="00912E35">
            <w:pPr>
              <w:spacing w:after="0"/>
              <w:jc w:val="center"/>
              <w:rPr>
                <w:rFonts w:ascii="Constantia" w:hAnsi="Constantia" w:cs="Calibri"/>
                <w:b/>
                <w:bCs/>
                <w:i/>
                <w:iCs/>
                <w:color w:val="000000"/>
                <w:sz w:val="20"/>
                <w:szCs w:val="20"/>
              </w:rPr>
            </w:pPr>
            <w:r w:rsidRPr="002F52E8">
              <w:rPr>
                <w:rFonts w:ascii="Constantia" w:hAnsi="Constantia" w:cs="Calibri"/>
                <w:b/>
                <w:bCs/>
                <w:i/>
                <w:iCs/>
                <w:color w:val="000000"/>
                <w:sz w:val="20"/>
                <w:szCs w:val="20"/>
              </w:rPr>
              <w:t>2001</w:t>
            </w:r>
          </w:p>
        </w:tc>
        <w:tc>
          <w:tcPr>
            <w:tcW w:w="803"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7.16</w:t>
            </w:r>
          </w:p>
        </w:tc>
        <w:tc>
          <w:tcPr>
            <w:tcW w:w="1027"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13.75</w:t>
            </w:r>
          </w:p>
        </w:tc>
        <w:tc>
          <w:tcPr>
            <w:tcW w:w="857"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13.51</w:t>
            </w:r>
          </w:p>
        </w:tc>
        <w:tc>
          <w:tcPr>
            <w:tcW w:w="1015"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14.56</w:t>
            </w:r>
          </w:p>
        </w:tc>
        <w:tc>
          <w:tcPr>
            <w:tcW w:w="906"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14.35</w:t>
            </w:r>
          </w:p>
        </w:tc>
        <w:tc>
          <w:tcPr>
            <w:tcW w:w="1095"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12.74</w:t>
            </w:r>
          </w:p>
        </w:tc>
        <w:tc>
          <w:tcPr>
            <w:tcW w:w="834"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10.46</w:t>
            </w:r>
          </w:p>
        </w:tc>
        <w:tc>
          <w:tcPr>
            <w:tcW w:w="715"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13.62</w:t>
            </w:r>
          </w:p>
        </w:tc>
        <w:tc>
          <w:tcPr>
            <w:tcW w:w="1134" w:type="dxa"/>
            <w:gridSpan w:val="2"/>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13.25</w:t>
            </w:r>
          </w:p>
        </w:tc>
      </w:tr>
      <w:tr w:rsidR="00912E35" w:rsidRPr="002F52E8" w:rsidTr="00912E35">
        <w:trPr>
          <w:trHeight w:val="270"/>
        </w:trPr>
        <w:tc>
          <w:tcPr>
            <w:tcW w:w="701" w:type="dxa"/>
            <w:tcBorders>
              <w:top w:val="nil"/>
              <w:left w:val="single" w:sz="8" w:space="0" w:color="auto"/>
              <w:bottom w:val="single" w:sz="8" w:space="0" w:color="auto"/>
              <w:right w:val="single" w:sz="8" w:space="0" w:color="auto"/>
            </w:tcBorders>
            <w:shd w:val="clear" w:color="auto" w:fill="FDE5D2" w:themeFill="accent3" w:themeFillTint="66"/>
            <w:noWrap/>
            <w:vAlign w:val="center"/>
            <w:hideMark/>
          </w:tcPr>
          <w:p w:rsidR="00912E35" w:rsidRPr="002F52E8" w:rsidRDefault="00912E35" w:rsidP="00912E35">
            <w:pPr>
              <w:spacing w:after="0"/>
              <w:jc w:val="center"/>
              <w:rPr>
                <w:rFonts w:ascii="Constantia" w:hAnsi="Constantia" w:cs="Calibri"/>
                <w:b/>
                <w:bCs/>
                <w:i/>
                <w:iCs/>
                <w:color w:val="000000"/>
                <w:sz w:val="20"/>
                <w:szCs w:val="20"/>
              </w:rPr>
            </w:pPr>
            <w:r w:rsidRPr="002F52E8">
              <w:rPr>
                <w:rFonts w:ascii="Constantia" w:hAnsi="Constantia" w:cs="Calibri"/>
                <w:b/>
                <w:bCs/>
                <w:i/>
                <w:iCs/>
                <w:color w:val="000000"/>
                <w:sz w:val="20"/>
                <w:szCs w:val="20"/>
              </w:rPr>
              <w:t>2002</w:t>
            </w:r>
          </w:p>
        </w:tc>
        <w:tc>
          <w:tcPr>
            <w:tcW w:w="803"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6.05</w:t>
            </w:r>
          </w:p>
        </w:tc>
        <w:tc>
          <w:tcPr>
            <w:tcW w:w="1027"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14.42</w:t>
            </w:r>
          </w:p>
        </w:tc>
        <w:tc>
          <w:tcPr>
            <w:tcW w:w="857"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14.27</w:t>
            </w:r>
          </w:p>
        </w:tc>
        <w:tc>
          <w:tcPr>
            <w:tcW w:w="1015"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14.94</w:t>
            </w:r>
          </w:p>
        </w:tc>
        <w:tc>
          <w:tcPr>
            <w:tcW w:w="906"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14.82</w:t>
            </w:r>
          </w:p>
        </w:tc>
        <w:tc>
          <w:tcPr>
            <w:tcW w:w="1095"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13.13</w:t>
            </w:r>
          </w:p>
        </w:tc>
        <w:tc>
          <w:tcPr>
            <w:tcW w:w="834"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11.09</w:t>
            </w:r>
          </w:p>
        </w:tc>
        <w:tc>
          <w:tcPr>
            <w:tcW w:w="715"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14.09</w:t>
            </w:r>
          </w:p>
        </w:tc>
        <w:tc>
          <w:tcPr>
            <w:tcW w:w="1134" w:type="dxa"/>
            <w:gridSpan w:val="2"/>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15.81</w:t>
            </w:r>
          </w:p>
        </w:tc>
      </w:tr>
      <w:tr w:rsidR="00912E35" w:rsidRPr="002F52E8" w:rsidTr="00912E35">
        <w:trPr>
          <w:trHeight w:val="270"/>
        </w:trPr>
        <w:tc>
          <w:tcPr>
            <w:tcW w:w="701" w:type="dxa"/>
            <w:tcBorders>
              <w:top w:val="nil"/>
              <w:left w:val="single" w:sz="8" w:space="0" w:color="auto"/>
              <w:bottom w:val="single" w:sz="8" w:space="0" w:color="auto"/>
              <w:right w:val="single" w:sz="8" w:space="0" w:color="auto"/>
            </w:tcBorders>
            <w:shd w:val="clear" w:color="auto" w:fill="FDE5D2" w:themeFill="accent3" w:themeFillTint="66"/>
            <w:noWrap/>
            <w:vAlign w:val="center"/>
            <w:hideMark/>
          </w:tcPr>
          <w:p w:rsidR="00912E35" w:rsidRPr="002F52E8" w:rsidRDefault="00912E35" w:rsidP="00912E35">
            <w:pPr>
              <w:spacing w:after="0"/>
              <w:jc w:val="center"/>
              <w:rPr>
                <w:rFonts w:ascii="Constantia" w:hAnsi="Constantia" w:cs="Calibri"/>
                <w:b/>
                <w:bCs/>
                <w:i/>
                <w:iCs/>
                <w:color w:val="000000"/>
                <w:sz w:val="20"/>
                <w:szCs w:val="20"/>
              </w:rPr>
            </w:pPr>
            <w:r w:rsidRPr="002F52E8">
              <w:rPr>
                <w:rFonts w:ascii="Constantia" w:hAnsi="Constantia" w:cs="Calibri"/>
                <w:b/>
                <w:bCs/>
                <w:i/>
                <w:iCs/>
                <w:color w:val="000000"/>
                <w:sz w:val="20"/>
                <w:szCs w:val="20"/>
              </w:rPr>
              <w:t>2003</w:t>
            </w:r>
          </w:p>
        </w:tc>
        <w:tc>
          <w:tcPr>
            <w:tcW w:w="803"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6.07</w:t>
            </w:r>
          </w:p>
        </w:tc>
        <w:tc>
          <w:tcPr>
            <w:tcW w:w="1027"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14.47</w:t>
            </w:r>
          </w:p>
        </w:tc>
        <w:tc>
          <w:tcPr>
            <w:tcW w:w="857"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14.73</w:t>
            </w:r>
          </w:p>
        </w:tc>
        <w:tc>
          <w:tcPr>
            <w:tcW w:w="1015"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14.87</w:t>
            </w:r>
          </w:p>
        </w:tc>
        <w:tc>
          <w:tcPr>
            <w:tcW w:w="906"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14.69</w:t>
            </w:r>
          </w:p>
        </w:tc>
        <w:tc>
          <w:tcPr>
            <w:tcW w:w="1095"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13.29</w:t>
            </w:r>
          </w:p>
        </w:tc>
        <w:tc>
          <w:tcPr>
            <w:tcW w:w="834"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10.44</w:t>
            </w:r>
          </w:p>
        </w:tc>
        <w:tc>
          <w:tcPr>
            <w:tcW w:w="715"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13.76</w:t>
            </w:r>
          </w:p>
        </w:tc>
        <w:tc>
          <w:tcPr>
            <w:tcW w:w="1134" w:type="dxa"/>
            <w:gridSpan w:val="2"/>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11.55</w:t>
            </w:r>
          </w:p>
        </w:tc>
      </w:tr>
      <w:tr w:rsidR="00912E35" w:rsidRPr="002F52E8" w:rsidTr="00912E35">
        <w:trPr>
          <w:trHeight w:val="270"/>
        </w:trPr>
        <w:tc>
          <w:tcPr>
            <w:tcW w:w="701" w:type="dxa"/>
            <w:tcBorders>
              <w:top w:val="nil"/>
              <w:left w:val="single" w:sz="8" w:space="0" w:color="auto"/>
              <w:bottom w:val="single" w:sz="8" w:space="0" w:color="auto"/>
              <w:right w:val="single" w:sz="8" w:space="0" w:color="auto"/>
            </w:tcBorders>
            <w:shd w:val="clear" w:color="auto" w:fill="FDE5D2" w:themeFill="accent3" w:themeFillTint="66"/>
            <w:noWrap/>
            <w:vAlign w:val="center"/>
            <w:hideMark/>
          </w:tcPr>
          <w:p w:rsidR="00912E35" w:rsidRPr="002F52E8" w:rsidRDefault="00912E35" w:rsidP="00912E35">
            <w:pPr>
              <w:spacing w:after="0"/>
              <w:jc w:val="center"/>
              <w:rPr>
                <w:rFonts w:ascii="Constantia" w:hAnsi="Constantia" w:cs="Calibri"/>
                <w:b/>
                <w:bCs/>
                <w:i/>
                <w:iCs/>
                <w:color w:val="000000"/>
                <w:sz w:val="20"/>
                <w:szCs w:val="20"/>
              </w:rPr>
            </w:pPr>
            <w:r w:rsidRPr="002F52E8">
              <w:rPr>
                <w:rFonts w:ascii="Constantia" w:hAnsi="Constantia" w:cs="Calibri"/>
                <w:b/>
                <w:bCs/>
                <w:i/>
                <w:iCs/>
                <w:color w:val="000000"/>
                <w:sz w:val="20"/>
                <w:szCs w:val="20"/>
              </w:rPr>
              <w:t>2004</w:t>
            </w:r>
          </w:p>
        </w:tc>
        <w:tc>
          <w:tcPr>
            <w:tcW w:w="803"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5.36</w:t>
            </w:r>
          </w:p>
        </w:tc>
        <w:tc>
          <w:tcPr>
            <w:tcW w:w="1027"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14.60</w:t>
            </w:r>
          </w:p>
        </w:tc>
        <w:tc>
          <w:tcPr>
            <w:tcW w:w="857"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15.22</w:t>
            </w:r>
          </w:p>
        </w:tc>
        <w:tc>
          <w:tcPr>
            <w:tcW w:w="1015"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15.54</w:t>
            </w:r>
          </w:p>
        </w:tc>
        <w:tc>
          <w:tcPr>
            <w:tcW w:w="906"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14.72</w:t>
            </w:r>
          </w:p>
        </w:tc>
        <w:tc>
          <w:tcPr>
            <w:tcW w:w="1095"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13.78</w:t>
            </w:r>
          </w:p>
        </w:tc>
        <w:tc>
          <w:tcPr>
            <w:tcW w:w="834"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11.06</w:t>
            </w:r>
          </w:p>
        </w:tc>
        <w:tc>
          <w:tcPr>
            <w:tcW w:w="715"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14.69</w:t>
            </w:r>
          </w:p>
        </w:tc>
        <w:tc>
          <w:tcPr>
            <w:tcW w:w="1134" w:type="dxa"/>
            <w:gridSpan w:val="2"/>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18.75</w:t>
            </w:r>
          </w:p>
        </w:tc>
      </w:tr>
      <w:tr w:rsidR="00912E35" w:rsidRPr="002F52E8" w:rsidTr="00912E35">
        <w:trPr>
          <w:trHeight w:val="270"/>
        </w:trPr>
        <w:tc>
          <w:tcPr>
            <w:tcW w:w="701" w:type="dxa"/>
            <w:tcBorders>
              <w:top w:val="nil"/>
              <w:left w:val="single" w:sz="8" w:space="0" w:color="auto"/>
              <w:bottom w:val="single" w:sz="8" w:space="0" w:color="auto"/>
              <w:right w:val="single" w:sz="8" w:space="0" w:color="auto"/>
            </w:tcBorders>
            <w:shd w:val="clear" w:color="auto" w:fill="FDE5D2" w:themeFill="accent3" w:themeFillTint="66"/>
            <w:noWrap/>
            <w:vAlign w:val="center"/>
            <w:hideMark/>
          </w:tcPr>
          <w:p w:rsidR="00912E35" w:rsidRPr="002F52E8" w:rsidRDefault="00912E35" w:rsidP="00912E35">
            <w:pPr>
              <w:spacing w:after="0"/>
              <w:jc w:val="center"/>
              <w:rPr>
                <w:rFonts w:ascii="Constantia" w:hAnsi="Constantia" w:cs="Calibri"/>
                <w:b/>
                <w:bCs/>
                <w:i/>
                <w:iCs/>
                <w:color w:val="000000"/>
                <w:sz w:val="20"/>
                <w:szCs w:val="20"/>
              </w:rPr>
            </w:pPr>
            <w:r w:rsidRPr="002F52E8">
              <w:rPr>
                <w:rFonts w:ascii="Constantia" w:hAnsi="Constantia" w:cs="Calibri"/>
                <w:b/>
                <w:bCs/>
                <w:i/>
                <w:iCs/>
                <w:color w:val="000000"/>
                <w:sz w:val="20"/>
                <w:szCs w:val="20"/>
              </w:rPr>
              <w:t>2005</w:t>
            </w:r>
          </w:p>
        </w:tc>
        <w:tc>
          <w:tcPr>
            <w:tcW w:w="803"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4.88</w:t>
            </w:r>
          </w:p>
        </w:tc>
        <w:tc>
          <w:tcPr>
            <w:tcW w:w="1027"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14.69</w:t>
            </w:r>
          </w:p>
        </w:tc>
        <w:tc>
          <w:tcPr>
            <w:tcW w:w="857"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15.21</w:t>
            </w:r>
          </w:p>
        </w:tc>
        <w:tc>
          <w:tcPr>
            <w:tcW w:w="1015"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15.85</w:t>
            </w:r>
          </w:p>
        </w:tc>
        <w:tc>
          <w:tcPr>
            <w:tcW w:w="906"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14.93</w:t>
            </w:r>
          </w:p>
        </w:tc>
        <w:tc>
          <w:tcPr>
            <w:tcW w:w="1095"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14.19</w:t>
            </w:r>
          </w:p>
        </w:tc>
        <w:tc>
          <w:tcPr>
            <w:tcW w:w="834"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11.62</w:t>
            </w:r>
          </w:p>
        </w:tc>
        <w:tc>
          <w:tcPr>
            <w:tcW w:w="715"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14.96</w:t>
            </w:r>
          </w:p>
        </w:tc>
        <w:tc>
          <w:tcPr>
            <w:tcW w:w="1134" w:type="dxa"/>
            <w:gridSpan w:val="2"/>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15.80</w:t>
            </w:r>
          </w:p>
        </w:tc>
      </w:tr>
      <w:tr w:rsidR="00912E35" w:rsidRPr="002F52E8" w:rsidTr="00912E35">
        <w:trPr>
          <w:trHeight w:val="270"/>
        </w:trPr>
        <w:tc>
          <w:tcPr>
            <w:tcW w:w="701" w:type="dxa"/>
            <w:tcBorders>
              <w:top w:val="nil"/>
              <w:left w:val="single" w:sz="8" w:space="0" w:color="auto"/>
              <w:bottom w:val="single" w:sz="8" w:space="0" w:color="auto"/>
              <w:right w:val="single" w:sz="8" w:space="0" w:color="auto"/>
            </w:tcBorders>
            <w:shd w:val="clear" w:color="auto" w:fill="FDE5D2" w:themeFill="accent3" w:themeFillTint="66"/>
            <w:noWrap/>
            <w:vAlign w:val="center"/>
            <w:hideMark/>
          </w:tcPr>
          <w:p w:rsidR="00912E35" w:rsidRPr="002F52E8" w:rsidRDefault="00912E35" w:rsidP="00912E35">
            <w:pPr>
              <w:spacing w:after="0"/>
              <w:jc w:val="center"/>
              <w:rPr>
                <w:rFonts w:ascii="Constantia" w:hAnsi="Constantia" w:cs="Calibri"/>
                <w:b/>
                <w:bCs/>
                <w:i/>
                <w:iCs/>
                <w:color w:val="000000"/>
                <w:sz w:val="20"/>
                <w:szCs w:val="20"/>
              </w:rPr>
            </w:pPr>
            <w:r w:rsidRPr="002F52E8">
              <w:rPr>
                <w:rFonts w:ascii="Constantia" w:hAnsi="Constantia" w:cs="Calibri"/>
                <w:b/>
                <w:bCs/>
                <w:i/>
                <w:iCs/>
                <w:color w:val="000000"/>
                <w:sz w:val="20"/>
                <w:szCs w:val="20"/>
              </w:rPr>
              <w:t>2006</w:t>
            </w:r>
          </w:p>
        </w:tc>
        <w:tc>
          <w:tcPr>
            <w:tcW w:w="803"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4.98</w:t>
            </w:r>
          </w:p>
        </w:tc>
        <w:tc>
          <w:tcPr>
            <w:tcW w:w="1027"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14.49</w:t>
            </w:r>
          </w:p>
        </w:tc>
        <w:tc>
          <w:tcPr>
            <w:tcW w:w="857"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15.53</w:t>
            </w:r>
          </w:p>
        </w:tc>
        <w:tc>
          <w:tcPr>
            <w:tcW w:w="1015"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14.89</w:t>
            </w:r>
          </w:p>
        </w:tc>
        <w:tc>
          <w:tcPr>
            <w:tcW w:w="906"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15.67</w:t>
            </w:r>
          </w:p>
        </w:tc>
        <w:tc>
          <w:tcPr>
            <w:tcW w:w="1095"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14.99</w:t>
            </w:r>
          </w:p>
        </w:tc>
        <w:tc>
          <w:tcPr>
            <w:tcW w:w="834"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11.21</w:t>
            </w:r>
          </w:p>
        </w:tc>
        <w:tc>
          <w:tcPr>
            <w:tcW w:w="715"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15.46</w:t>
            </w:r>
          </w:p>
        </w:tc>
        <w:tc>
          <w:tcPr>
            <w:tcW w:w="1134" w:type="dxa"/>
            <w:gridSpan w:val="2"/>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11.90</w:t>
            </w:r>
          </w:p>
        </w:tc>
      </w:tr>
      <w:tr w:rsidR="00912E35" w:rsidRPr="002F52E8" w:rsidTr="00912E35">
        <w:trPr>
          <w:trHeight w:val="270"/>
        </w:trPr>
        <w:tc>
          <w:tcPr>
            <w:tcW w:w="701" w:type="dxa"/>
            <w:tcBorders>
              <w:top w:val="nil"/>
              <w:left w:val="single" w:sz="8" w:space="0" w:color="auto"/>
              <w:bottom w:val="single" w:sz="8" w:space="0" w:color="auto"/>
              <w:right w:val="single" w:sz="8" w:space="0" w:color="auto"/>
            </w:tcBorders>
            <w:shd w:val="clear" w:color="auto" w:fill="FDE5D2" w:themeFill="accent3" w:themeFillTint="66"/>
            <w:noWrap/>
            <w:vAlign w:val="center"/>
            <w:hideMark/>
          </w:tcPr>
          <w:p w:rsidR="00912E35" w:rsidRPr="002F52E8" w:rsidRDefault="00912E35" w:rsidP="00912E35">
            <w:pPr>
              <w:spacing w:after="0"/>
              <w:jc w:val="center"/>
              <w:rPr>
                <w:rFonts w:ascii="Constantia" w:hAnsi="Constantia" w:cs="Calibri"/>
                <w:b/>
                <w:bCs/>
                <w:i/>
                <w:iCs/>
                <w:color w:val="000000"/>
                <w:sz w:val="20"/>
                <w:szCs w:val="20"/>
              </w:rPr>
            </w:pPr>
            <w:r w:rsidRPr="002F52E8">
              <w:rPr>
                <w:rFonts w:ascii="Constantia" w:hAnsi="Constantia" w:cs="Calibri"/>
                <w:b/>
                <w:bCs/>
                <w:i/>
                <w:iCs/>
                <w:color w:val="000000"/>
                <w:sz w:val="20"/>
                <w:szCs w:val="20"/>
              </w:rPr>
              <w:t>2007</w:t>
            </w:r>
          </w:p>
        </w:tc>
        <w:tc>
          <w:tcPr>
            <w:tcW w:w="803"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3.67</w:t>
            </w:r>
          </w:p>
        </w:tc>
        <w:tc>
          <w:tcPr>
            <w:tcW w:w="1027"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14.26</w:t>
            </w:r>
          </w:p>
        </w:tc>
        <w:tc>
          <w:tcPr>
            <w:tcW w:w="857"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15.34</w:t>
            </w:r>
          </w:p>
        </w:tc>
        <w:tc>
          <w:tcPr>
            <w:tcW w:w="1015"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14.81</w:t>
            </w:r>
          </w:p>
        </w:tc>
        <w:tc>
          <w:tcPr>
            <w:tcW w:w="906"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15.21</w:t>
            </w:r>
          </w:p>
        </w:tc>
        <w:tc>
          <w:tcPr>
            <w:tcW w:w="1095"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14.00</w:t>
            </w:r>
          </w:p>
        </w:tc>
        <w:tc>
          <w:tcPr>
            <w:tcW w:w="834"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11.15</w:t>
            </w:r>
          </w:p>
        </w:tc>
        <w:tc>
          <w:tcPr>
            <w:tcW w:w="715"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15.62</w:t>
            </w:r>
          </w:p>
        </w:tc>
        <w:tc>
          <w:tcPr>
            <w:tcW w:w="1134" w:type="dxa"/>
            <w:gridSpan w:val="2"/>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14.37</w:t>
            </w:r>
          </w:p>
        </w:tc>
      </w:tr>
      <w:tr w:rsidR="00912E35" w:rsidRPr="002F52E8" w:rsidTr="00912E35">
        <w:trPr>
          <w:trHeight w:val="270"/>
        </w:trPr>
        <w:tc>
          <w:tcPr>
            <w:tcW w:w="701" w:type="dxa"/>
            <w:tcBorders>
              <w:top w:val="nil"/>
              <w:left w:val="single" w:sz="8" w:space="0" w:color="auto"/>
              <w:bottom w:val="single" w:sz="8" w:space="0" w:color="auto"/>
              <w:right w:val="single" w:sz="8" w:space="0" w:color="auto"/>
            </w:tcBorders>
            <w:shd w:val="clear" w:color="auto" w:fill="FDE5D2" w:themeFill="accent3" w:themeFillTint="66"/>
            <w:noWrap/>
            <w:vAlign w:val="center"/>
            <w:hideMark/>
          </w:tcPr>
          <w:p w:rsidR="00912E35" w:rsidRPr="002F52E8" w:rsidRDefault="00912E35" w:rsidP="00912E35">
            <w:pPr>
              <w:spacing w:after="0"/>
              <w:jc w:val="center"/>
              <w:rPr>
                <w:rFonts w:ascii="Constantia" w:hAnsi="Constantia" w:cs="Calibri"/>
                <w:b/>
                <w:bCs/>
                <w:i/>
                <w:iCs/>
                <w:color w:val="000000"/>
                <w:sz w:val="20"/>
                <w:szCs w:val="20"/>
              </w:rPr>
            </w:pPr>
            <w:r w:rsidRPr="002F52E8">
              <w:rPr>
                <w:rFonts w:ascii="Constantia" w:hAnsi="Constantia" w:cs="Calibri"/>
                <w:b/>
                <w:bCs/>
                <w:i/>
                <w:iCs/>
                <w:color w:val="000000"/>
                <w:sz w:val="20"/>
                <w:szCs w:val="20"/>
              </w:rPr>
              <w:t>2008</w:t>
            </w:r>
          </w:p>
        </w:tc>
        <w:tc>
          <w:tcPr>
            <w:tcW w:w="803"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3.42</w:t>
            </w:r>
          </w:p>
        </w:tc>
        <w:tc>
          <w:tcPr>
            <w:tcW w:w="1027"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12.93</w:t>
            </w:r>
          </w:p>
        </w:tc>
        <w:tc>
          <w:tcPr>
            <w:tcW w:w="857"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15.46</w:t>
            </w:r>
          </w:p>
        </w:tc>
        <w:tc>
          <w:tcPr>
            <w:tcW w:w="1015"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14.29</w:t>
            </w:r>
          </w:p>
        </w:tc>
        <w:tc>
          <w:tcPr>
            <w:tcW w:w="906"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14.27</w:t>
            </w:r>
          </w:p>
        </w:tc>
        <w:tc>
          <w:tcPr>
            <w:tcW w:w="1095"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13.04</w:t>
            </w:r>
          </w:p>
        </w:tc>
        <w:tc>
          <w:tcPr>
            <w:tcW w:w="834"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9.96</w:t>
            </w:r>
          </w:p>
        </w:tc>
        <w:tc>
          <w:tcPr>
            <w:tcW w:w="715"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14.09</w:t>
            </w:r>
          </w:p>
        </w:tc>
        <w:tc>
          <w:tcPr>
            <w:tcW w:w="1134" w:type="dxa"/>
            <w:gridSpan w:val="2"/>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9.96</w:t>
            </w:r>
          </w:p>
        </w:tc>
      </w:tr>
      <w:tr w:rsidR="00912E35" w:rsidRPr="002F52E8" w:rsidTr="00912E35">
        <w:trPr>
          <w:trHeight w:val="270"/>
        </w:trPr>
        <w:tc>
          <w:tcPr>
            <w:tcW w:w="701" w:type="dxa"/>
            <w:tcBorders>
              <w:top w:val="nil"/>
              <w:left w:val="single" w:sz="8" w:space="0" w:color="auto"/>
              <w:bottom w:val="single" w:sz="8" w:space="0" w:color="auto"/>
              <w:right w:val="single" w:sz="8" w:space="0" w:color="auto"/>
            </w:tcBorders>
            <w:shd w:val="clear" w:color="auto" w:fill="FDE5D2" w:themeFill="accent3" w:themeFillTint="66"/>
            <w:noWrap/>
            <w:vAlign w:val="center"/>
            <w:hideMark/>
          </w:tcPr>
          <w:p w:rsidR="00912E35" w:rsidRPr="002F52E8" w:rsidRDefault="00912E35" w:rsidP="00912E35">
            <w:pPr>
              <w:spacing w:after="0"/>
              <w:jc w:val="center"/>
              <w:rPr>
                <w:rFonts w:ascii="Constantia" w:hAnsi="Constantia" w:cs="Calibri"/>
                <w:b/>
                <w:bCs/>
                <w:i/>
                <w:iCs/>
                <w:color w:val="000000"/>
                <w:sz w:val="20"/>
                <w:szCs w:val="20"/>
              </w:rPr>
            </w:pPr>
            <w:r w:rsidRPr="002F52E8">
              <w:rPr>
                <w:rFonts w:ascii="Constantia" w:hAnsi="Constantia" w:cs="Calibri"/>
                <w:b/>
                <w:bCs/>
                <w:i/>
                <w:iCs/>
                <w:color w:val="000000"/>
                <w:sz w:val="20"/>
                <w:szCs w:val="20"/>
              </w:rPr>
              <w:t>2009</w:t>
            </w:r>
          </w:p>
        </w:tc>
        <w:tc>
          <w:tcPr>
            <w:tcW w:w="803"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4.11</w:t>
            </w:r>
          </w:p>
        </w:tc>
        <w:tc>
          <w:tcPr>
            <w:tcW w:w="1027"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12.90</w:t>
            </w:r>
          </w:p>
        </w:tc>
        <w:tc>
          <w:tcPr>
            <w:tcW w:w="857"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15.54</w:t>
            </w:r>
          </w:p>
        </w:tc>
        <w:tc>
          <w:tcPr>
            <w:tcW w:w="1015"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13.65</w:t>
            </w:r>
          </w:p>
        </w:tc>
        <w:tc>
          <w:tcPr>
            <w:tcW w:w="906"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13.76</w:t>
            </w:r>
          </w:p>
        </w:tc>
        <w:tc>
          <w:tcPr>
            <w:tcW w:w="1095"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13.78</w:t>
            </w:r>
          </w:p>
        </w:tc>
        <w:tc>
          <w:tcPr>
            <w:tcW w:w="834"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10.48</w:t>
            </w:r>
          </w:p>
        </w:tc>
        <w:tc>
          <w:tcPr>
            <w:tcW w:w="715"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14.49</w:t>
            </w:r>
          </w:p>
        </w:tc>
        <w:tc>
          <w:tcPr>
            <w:tcW w:w="1134" w:type="dxa"/>
            <w:gridSpan w:val="2"/>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14.90</w:t>
            </w:r>
          </w:p>
        </w:tc>
      </w:tr>
      <w:tr w:rsidR="00912E35" w:rsidRPr="002F52E8" w:rsidTr="00912E35">
        <w:trPr>
          <w:trHeight w:val="270"/>
        </w:trPr>
        <w:tc>
          <w:tcPr>
            <w:tcW w:w="701" w:type="dxa"/>
            <w:tcBorders>
              <w:top w:val="nil"/>
              <w:left w:val="single" w:sz="8" w:space="0" w:color="auto"/>
              <w:bottom w:val="single" w:sz="8" w:space="0" w:color="auto"/>
              <w:right w:val="single" w:sz="8" w:space="0" w:color="auto"/>
            </w:tcBorders>
            <w:shd w:val="clear" w:color="auto" w:fill="FDE5D2" w:themeFill="accent3" w:themeFillTint="66"/>
            <w:noWrap/>
            <w:vAlign w:val="center"/>
            <w:hideMark/>
          </w:tcPr>
          <w:p w:rsidR="00912E35" w:rsidRPr="002F52E8" w:rsidRDefault="00912E35" w:rsidP="00912E35">
            <w:pPr>
              <w:spacing w:after="0"/>
              <w:jc w:val="center"/>
              <w:rPr>
                <w:rFonts w:ascii="Constantia" w:hAnsi="Constantia" w:cs="Calibri"/>
                <w:b/>
                <w:bCs/>
                <w:i/>
                <w:iCs/>
                <w:color w:val="000000"/>
                <w:sz w:val="20"/>
                <w:szCs w:val="20"/>
              </w:rPr>
            </w:pPr>
            <w:r w:rsidRPr="002F52E8">
              <w:rPr>
                <w:rFonts w:ascii="Constantia" w:hAnsi="Constantia" w:cs="Calibri"/>
                <w:b/>
                <w:bCs/>
                <w:i/>
                <w:iCs/>
                <w:color w:val="000000"/>
                <w:sz w:val="20"/>
                <w:szCs w:val="20"/>
              </w:rPr>
              <w:t>2010</w:t>
            </w:r>
          </w:p>
        </w:tc>
        <w:tc>
          <w:tcPr>
            <w:tcW w:w="803"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5.13</w:t>
            </w:r>
          </w:p>
        </w:tc>
        <w:tc>
          <w:tcPr>
            <w:tcW w:w="1027"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14.23</w:t>
            </w:r>
          </w:p>
        </w:tc>
        <w:tc>
          <w:tcPr>
            <w:tcW w:w="857"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15.96</w:t>
            </w:r>
          </w:p>
        </w:tc>
        <w:tc>
          <w:tcPr>
            <w:tcW w:w="1015"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14.08</w:t>
            </w:r>
          </w:p>
        </w:tc>
        <w:tc>
          <w:tcPr>
            <w:tcW w:w="906"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13.86</w:t>
            </w:r>
          </w:p>
        </w:tc>
        <w:tc>
          <w:tcPr>
            <w:tcW w:w="1095"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13.95</w:t>
            </w:r>
          </w:p>
        </w:tc>
        <w:tc>
          <w:tcPr>
            <w:tcW w:w="834"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10.47</w:t>
            </w:r>
          </w:p>
        </w:tc>
        <w:tc>
          <w:tcPr>
            <w:tcW w:w="715"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14.89</w:t>
            </w:r>
          </w:p>
        </w:tc>
        <w:tc>
          <w:tcPr>
            <w:tcW w:w="1134" w:type="dxa"/>
            <w:gridSpan w:val="2"/>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16.95</w:t>
            </w:r>
          </w:p>
        </w:tc>
      </w:tr>
      <w:tr w:rsidR="00912E35" w:rsidRPr="002F52E8" w:rsidTr="00912E35">
        <w:trPr>
          <w:trHeight w:val="270"/>
        </w:trPr>
        <w:tc>
          <w:tcPr>
            <w:tcW w:w="701" w:type="dxa"/>
            <w:tcBorders>
              <w:top w:val="nil"/>
              <w:left w:val="single" w:sz="8" w:space="0" w:color="auto"/>
              <w:bottom w:val="single" w:sz="8" w:space="0" w:color="auto"/>
              <w:right w:val="single" w:sz="8" w:space="0" w:color="auto"/>
            </w:tcBorders>
            <w:shd w:val="clear" w:color="auto" w:fill="FDE5D2" w:themeFill="accent3" w:themeFillTint="66"/>
            <w:noWrap/>
            <w:vAlign w:val="center"/>
            <w:hideMark/>
          </w:tcPr>
          <w:p w:rsidR="00912E35" w:rsidRPr="002F52E8" w:rsidRDefault="00912E35" w:rsidP="00912E35">
            <w:pPr>
              <w:spacing w:after="0"/>
              <w:jc w:val="center"/>
              <w:rPr>
                <w:rFonts w:ascii="Constantia" w:hAnsi="Constantia" w:cs="Calibri"/>
                <w:b/>
                <w:bCs/>
                <w:i/>
                <w:iCs/>
                <w:color w:val="000000"/>
                <w:sz w:val="20"/>
                <w:szCs w:val="20"/>
              </w:rPr>
            </w:pPr>
            <w:r w:rsidRPr="002F52E8">
              <w:rPr>
                <w:rFonts w:ascii="Constantia" w:hAnsi="Constantia" w:cs="Calibri"/>
                <w:b/>
                <w:bCs/>
                <w:i/>
                <w:iCs/>
                <w:color w:val="000000"/>
                <w:sz w:val="20"/>
                <w:szCs w:val="20"/>
              </w:rPr>
              <w:t>2011</w:t>
            </w:r>
          </w:p>
        </w:tc>
        <w:tc>
          <w:tcPr>
            <w:tcW w:w="803"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i/>
                <w:iCs/>
                <w:color w:val="000000"/>
                <w:sz w:val="20"/>
                <w:szCs w:val="20"/>
              </w:rPr>
            </w:pPr>
            <w:r w:rsidRPr="002F52E8">
              <w:rPr>
                <w:rFonts w:ascii="Constantia" w:hAnsi="Constantia" w:cs="Calibri"/>
                <w:i/>
                <w:iCs/>
                <w:color w:val="000000"/>
                <w:sz w:val="20"/>
                <w:szCs w:val="20"/>
              </w:rPr>
              <w:t>5.79</w:t>
            </w:r>
          </w:p>
        </w:tc>
        <w:tc>
          <w:tcPr>
            <w:tcW w:w="1027"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i/>
                <w:iCs/>
                <w:color w:val="000000"/>
                <w:sz w:val="20"/>
                <w:szCs w:val="20"/>
              </w:rPr>
            </w:pPr>
            <w:r w:rsidRPr="002F52E8">
              <w:rPr>
                <w:rFonts w:ascii="Constantia" w:hAnsi="Constantia" w:cs="Calibri"/>
                <w:i/>
                <w:iCs/>
                <w:color w:val="000000"/>
                <w:sz w:val="20"/>
                <w:szCs w:val="20"/>
              </w:rPr>
              <w:t>14.42</w:t>
            </w:r>
          </w:p>
        </w:tc>
        <w:tc>
          <w:tcPr>
            <w:tcW w:w="857"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i/>
                <w:iCs/>
                <w:color w:val="000000"/>
                <w:sz w:val="20"/>
                <w:szCs w:val="20"/>
              </w:rPr>
            </w:pPr>
            <w:r w:rsidRPr="002F52E8">
              <w:rPr>
                <w:rFonts w:ascii="Constantia" w:hAnsi="Constantia" w:cs="Calibri"/>
                <w:i/>
                <w:iCs/>
                <w:color w:val="000000"/>
                <w:sz w:val="20"/>
                <w:szCs w:val="20"/>
              </w:rPr>
              <w:t>15.59</w:t>
            </w:r>
          </w:p>
        </w:tc>
        <w:tc>
          <w:tcPr>
            <w:tcW w:w="1015"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i/>
                <w:iCs/>
                <w:color w:val="000000"/>
                <w:sz w:val="20"/>
                <w:szCs w:val="20"/>
              </w:rPr>
            </w:pPr>
            <w:r w:rsidRPr="002F52E8">
              <w:rPr>
                <w:rFonts w:ascii="Constantia" w:hAnsi="Constantia" w:cs="Calibri"/>
                <w:i/>
                <w:iCs/>
                <w:color w:val="000000"/>
                <w:sz w:val="20"/>
                <w:szCs w:val="20"/>
              </w:rPr>
              <w:t>13.62</w:t>
            </w:r>
          </w:p>
        </w:tc>
        <w:tc>
          <w:tcPr>
            <w:tcW w:w="906"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i/>
                <w:iCs/>
                <w:color w:val="000000"/>
                <w:sz w:val="20"/>
                <w:szCs w:val="20"/>
              </w:rPr>
            </w:pPr>
            <w:r w:rsidRPr="002F52E8">
              <w:rPr>
                <w:rFonts w:ascii="Constantia" w:hAnsi="Constantia" w:cs="Calibri"/>
                <w:i/>
                <w:iCs/>
                <w:color w:val="000000"/>
                <w:sz w:val="20"/>
                <w:szCs w:val="20"/>
              </w:rPr>
              <w:t>13.33</w:t>
            </w:r>
          </w:p>
        </w:tc>
        <w:tc>
          <w:tcPr>
            <w:tcW w:w="1095"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13.84</w:t>
            </w:r>
          </w:p>
        </w:tc>
        <w:tc>
          <w:tcPr>
            <w:tcW w:w="834"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9.95</w:t>
            </w:r>
          </w:p>
        </w:tc>
        <w:tc>
          <w:tcPr>
            <w:tcW w:w="715" w:type="dxa"/>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13.31</w:t>
            </w:r>
          </w:p>
        </w:tc>
        <w:tc>
          <w:tcPr>
            <w:tcW w:w="1134" w:type="dxa"/>
            <w:gridSpan w:val="2"/>
            <w:tcBorders>
              <w:top w:val="nil"/>
              <w:left w:val="nil"/>
              <w:bottom w:val="single" w:sz="8" w:space="0" w:color="auto"/>
              <w:right w:val="single" w:sz="8" w:space="0" w:color="auto"/>
            </w:tcBorders>
            <w:shd w:val="clear" w:color="auto" w:fill="auto"/>
            <w:noWrap/>
            <w:vAlign w:val="center"/>
            <w:hideMark/>
          </w:tcPr>
          <w:p w:rsidR="00912E35" w:rsidRPr="002F52E8" w:rsidRDefault="00912E35" w:rsidP="00912E35">
            <w:pPr>
              <w:spacing w:after="0"/>
              <w:jc w:val="center"/>
              <w:rPr>
                <w:rFonts w:ascii="Constantia" w:hAnsi="Constantia" w:cs="Calibri"/>
                <w:color w:val="000000"/>
                <w:sz w:val="20"/>
                <w:szCs w:val="20"/>
              </w:rPr>
            </w:pPr>
            <w:r w:rsidRPr="002F52E8">
              <w:rPr>
                <w:rFonts w:ascii="Constantia" w:hAnsi="Constantia" w:cs="Calibri"/>
                <w:color w:val="000000"/>
                <w:sz w:val="20"/>
                <w:szCs w:val="20"/>
              </w:rPr>
              <w:t>9.78</w:t>
            </w:r>
          </w:p>
        </w:tc>
      </w:tr>
      <w:tr w:rsidR="00912E35" w:rsidRPr="002F52E8" w:rsidTr="00912E35">
        <w:trPr>
          <w:trHeight w:val="270"/>
        </w:trPr>
        <w:tc>
          <w:tcPr>
            <w:tcW w:w="701" w:type="dxa"/>
            <w:tcBorders>
              <w:top w:val="nil"/>
              <w:left w:val="single" w:sz="8" w:space="0" w:color="auto"/>
              <w:bottom w:val="single" w:sz="8" w:space="0" w:color="auto"/>
              <w:right w:val="single" w:sz="8" w:space="0" w:color="auto"/>
            </w:tcBorders>
            <w:shd w:val="clear" w:color="auto" w:fill="FDE5D2" w:themeFill="accent3" w:themeFillTint="66"/>
            <w:noWrap/>
            <w:vAlign w:val="bottom"/>
            <w:hideMark/>
          </w:tcPr>
          <w:p w:rsidR="00912E35" w:rsidRPr="002F52E8" w:rsidRDefault="00912E35" w:rsidP="00912E35">
            <w:pPr>
              <w:spacing w:after="0"/>
              <w:jc w:val="center"/>
              <w:rPr>
                <w:rFonts w:ascii="Constantia" w:hAnsi="Constantia" w:cs="Calibri"/>
                <w:b/>
                <w:bCs/>
                <w:i/>
                <w:iCs/>
                <w:sz w:val="20"/>
                <w:szCs w:val="20"/>
              </w:rPr>
            </w:pPr>
            <w:r w:rsidRPr="002F52E8">
              <w:rPr>
                <w:rFonts w:ascii="Constantia" w:hAnsi="Constantia" w:cs="Calibri"/>
                <w:b/>
                <w:bCs/>
                <w:i/>
                <w:iCs/>
                <w:sz w:val="20"/>
                <w:szCs w:val="20"/>
              </w:rPr>
              <w:t>2012</w:t>
            </w:r>
          </w:p>
        </w:tc>
        <w:tc>
          <w:tcPr>
            <w:tcW w:w="803" w:type="dxa"/>
            <w:tcBorders>
              <w:top w:val="nil"/>
              <w:left w:val="nil"/>
              <w:bottom w:val="single" w:sz="8" w:space="0" w:color="auto"/>
              <w:right w:val="single" w:sz="8" w:space="0" w:color="auto"/>
            </w:tcBorders>
            <w:shd w:val="clear" w:color="auto" w:fill="auto"/>
            <w:noWrap/>
            <w:vAlign w:val="bottom"/>
            <w:hideMark/>
          </w:tcPr>
          <w:p w:rsidR="00912E35" w:rsidRPr="002F52E8" w:rsidRDefault="00912E35" w:rsidP="00912E35">
            <w:pPr>
              <w:spacing w:after="0"/>
              <w:jc w:val="center"/>
              <w:rPr>
                <w:rFonts w:ascii="Constantia" w:hAnsi="Constantia" w:cs="Calibri"/>
                <w:sz w:val="20"/>
                <w:szCs w:val="20"/>
              </w:rPr>
            </w:pPr>
            <w:r w:rsidRPr="002F52E8">
              <w:rPr>
                <w:rFonts w:ascii="Constantia" w:hAnsi="Constantia" w:cs="Calibri"/>
                <w:sz w:val="20"/>
                <w:szCs w:val="20"/>
              </w:rPr>
              <w:t>6.38</w:t>
            </w:r>
          </w:p>
        </w:tc>
        <w:tc>
          <w:tcPr>
            <w:tcW w:w="1027" w:type="dxa"/>
            <w:tcBorders>
              <w:top w:val="nil"/>
              <w:left w:val="nil"/>
              <w:bottom w:val="single" w:sz="8" w:space="0" w:color="auto"/>
              <w:right w:val="single" w:sz="8" w:space="0" w:color="auto"/>
            </w:tcBorders>
            <w:shd w:val="clear" w:color="auto" w:fill="auto"/>
            <w:noWrap/>
            <w:vAlign w:val="bottom"/>
            <w:hideMark/>
          </w:tcPr>
          <w:p w:rsidR="00912E35" w:rsidRPr="002F52E8" w:rsidRDefault="00912E35" w:rsidP="00912E35">
            <w:pPr>
              <w:spacing w:after="0"/>
              <w:jc w:val="center"/>
              <w:rPr>
                <w:rFonts w:ascii="Constantia" w:hAnsi="Constantia" w:cs="Calibri"/>
                <w:sz w:val="20"/>
                <w:szCs w:val="20"/>
              </w:rPr>
            </w:pPr>
            <w:r w:rsidRPr="002F52E8">
              <w:rPr>
                <w:rFonts w:ascii="Constantia" w:hAnsi="Constantia" w:cs="Calibri"/>
                <w:sz w:val="20"/>
                <w:szCs w:val="20"/>
              </w:rPr>
              <w:t>14.63</w:t>
            </w:r>
          </w:p>
        </w:tc>
        <w:tc>
          <w:tcPr>
            <w:tcW w:w="857" w:type="dxa"/>
            <w:tcBorders>
              <w:top w:val="nil"/>
              <w:left w:val="nil"/>
              <w:bottom w:val="single" w:sz="8" w:space="0" w:color="auto"/>
              <w:right w:val="single" w:sz="8" w:space="0" w:color="auto"/>
            </w:tcBorders>
            <w:shd w:val="clear" w:color="auto" w:fill="auto"/>
            <w:noWrap/>
            <w:vAlign w:val="bottom"/>
            <w:hideMark/>
          </w:tcPr>
          <w:p w:rsidR="00912E35" w:rsidRPr="002F52E8" w:rsidRDefault="00912E35" w:rsidP="00912E35">
            <w:pPr>
              <w:spacing w:after="0"/>
              <w:jc w:val="center"/>
              <w:rPr>
                <w:rFonts w:ascii="Constantia" w:hAnsi="Constantia" w:cs="Calibri"/>
                <w:sz w:val="20"/>
                <w:szCs w:val="20"/>
              </w:rPr>
            </w:pPr>
            <w:r w:rsidRPr="002F52E8">
              <w:rPr>
                <w:rFonts w:ascii="Constantia" w:hAnsi="Constantia" w:cs="Calibri"/>
                <w:sz w:val="20"/>
                <w:szCs w:val="20"/>
              </w:rPr>
              <w:t>16.01</w:t>
            </w:r>
          </w:p>
        </w:tc>
        <w:tc>
          <w:tcPr>
            <w:tcW w:w="1015" w:type="dxa"/>
            <w:tcBorders>
              <w:top w:val="nil"/>
              <w:left w:val="nil"/>
              <w:bottom w:val="single" w:sz="8" w:space="0" w:color="auto"/>
              <w:right w:val="single" w:sz="8" w:space="0" w:color="auto"/>
            </w:tcBorders>
            <w:shd w:val="clear" w:color="auto" w:fill="auto"/>
            <w:noWrap/>
            <w:vAlign w:val="bottom"/>
            <w:hideMark/>
          </w:tcPr>
          <w:p w:rsidR="00912E35" w:rsidRPr="002F52E8" w:rsidRDefault="00912E35" w:rsidP="00912E35">
            <w:pPr>
              <w:spacing w:after="0"/>
              <w:jc w:val="center"/>
              <w:rPr>
                <w:rFonts w:ascii="Constantia" w:hAnsi="Constantia" w:cs="Calibri"/>
                <w:sz w:val="20"/>
                <w:szCs w:val="20"/>
              </w:rPr>
            </w:pPr>
            <w:r w:rsidRPr="002F52E8">
              <w:rPr>
                <w:rFonts w:ascii="Constantia" w:hAnsi="Constantia" w:cs="Calibri"/>
                <w:sz w:val="20"/>
                <w:szCs w:val="20"/>
              </w:rPr>
              <w:t>14.13</w:t>
            </w:r>
          </w:p>
        </w:tc>
        <w:tc>
          <w:tcPr>
            <w:tcW w:w="906" w:type="dxa"/>
            <w:tcBorders>
              <w:top w:val="nil"/>
              <w:left w:val="nil"/>
              <w:bottom w:val="single" w:sz="8" w:space="0" w:color="auto"/>
              <w:right w:val="single" w:sz="8" w:space="0" w:color="auto"/>
            </w:tcBorders>
            <w:shd w:val="clear" w:color="auto" w:fill="auto"/>
            <w:noWrap/>
            <w:vAlign w:val="bottom"/>
            <w:hideMark/>
          </w:tcPr>
          <w:p w:rsidR="00912E35" w:rsidRPr="002F52E8" w:rsidRDefault="00912E35" w:rsidP="00912E35">
            <w:pPr>
              <w:spacing w:after="0"/>
              <w:jc w:val="center"/>
              <w:rPr>
                <w:rFonts w:ascii="Constantia" w:hAnsi="Constantia" w:cs="Calibri"/>
                <w:sz w:val="20"/>
                <w:szCs w:val="20"/>
              </w:rPr>
            </w:pPr>
            <w:r w:rsidRPr="002F52E8">
              <w:rPr>
                <w:rFonts w:ascii="Constantia" w:hAnsi="Constantia" w:cs="Calibri"/>
                <w:sz w:val="20"/>
                <w:szCs w:val="20"/>
              </w:rPr>
              <w:t>14.10</w:t>
            </w:r>
          </w:p>
        </w:tc>
        <w:tc>
          <w:tcPr>
            <w:tcW w:w="1095" w:type="dxa"/>
            <w:tcBorders>
              <w:top w:val="nil"/>
              <w:left w:val="nil"/>
              <w:bottom w:val="single" w:sz="8" w:space="0" w:color="auto"/>
              <w:right w:val="single" w:sz="8" w:space="0" w:color="auto"/>
            </w:tcBorders>
            <w:shd w:val="clear" w:color="auto" w:fill="auto"/>
            <w:noWrap/>
            <w:vAlign w:val="bottom"/>
            <w:hideMark/>
          </w:tcPr>
          <w:p w:rsidR="00912E35" w:rsidRPr="002F52E8" w:rsidRDefault="00912E35" w:rsidP="00912E35">
            <w:pPr>
              <w:spacing w:after="0"/>
              <w:jc w:val="center"/>
              <w:rPr>
                <w:rFonts w:ascii="Constantia" w:hAnsi="Constantia" w:cs="Calibri"/>
                <w:sz w:val="20"/>
                <w:szCs w:val="20"/>
              </w:rPr>
            </w:pPr>
            <w:r w:rsidRPr="002F52E8">
              <w:rPr>
                <w:rFonts w:ascii="Constantia" w:hAnsi="Constantia" w:cs="Calibri"/>
                <w:sz w:val="20"/>
                <w:szCs w:val="20"/>
              </w:rPr>
              <w:t>15.27</w:t>
            </w:r>
          </w:p>
        </w:tc>
        <w:tc>
          <w:tcPr>
            <w:tcW w:w="834" w:type="dxa"/>
            <w:tcBorders>
              <w:top w:val="nil"/>
              <w:left w:val="nil"/>
              <w:bottom w:val="single" w:sz="8" w:space="0" w:color="auto"/>
              <w:right w:val="single" w:sz="8" w:space="0" w:color="auto"/>
            </w:tcBorders>
            <w:shd w:val="clear" w:color="auto" w:fill="auto"/>
            <w:noWrap/>
            <w:vAlign w:val="bottom"/>
            <w:hideMark/>
          </w:tcPr>
          <w:p w:rsidR="00912E35" w:rsidRPr="002F52E8" w:rsidRDefault="00912E35" w:rsidP="00912E35">
            <w:pPr>
              <w:spacing w:after="0"/>
              <w:jc w:val="center"/>
              <w:rPr>
                <w:rFonts w:ascii="Constantia" w:hAnsi="Constantia" w:cs="Calibri"/>
                <w:sz w:val="20"/>
                <w:szCs w:val="20"/>
              </w:rPr>
            </w:pPr>
            <w:r w:rsidRPr="002F52E8">
              <w:rPr>
                <w:rFonts w:ascii="Constantia" w:hAnsi="Constantia" w:cs="Calibri"/>
                <w:sz w:val="20"/>
                <w:szCs w:val="20"/>
              </w:rPr>
              <w:t>10.94</w:t>
            </w:r>
          </w:p>
        </w:tc>
        <w:tc>
          <w:tcPr>
            <w:tcW w:w="715" w:type="dxa"/>
            <w:tcBorders>
              <w:top w:val="nil"/>
              <w:left w:val="nil"/>
              <w:bottom w:val="single" w:sz="8" w:space="0" w:color="auto"/>
              <w:right w:val="single" w:sz="8" w:space="0" w:color="auto"/>
            </w:tcBorders>
            <w:shd w:val="clear" w:color="auto" w:fill="auto"/>
            <w:noWrap/>
            <w:vAlign w:val="bottom"/>
            <w:hideMark/>
          </w:tcPr>
          <w:p w:rsidR="00912E35" w:rsidRPr="002F52E8" w:rsidRDefault="00912E35" w:rsidP="00912E35">
            <w:pPr>
              <w:spacing w:after="0"/>
              <w:jc w:val="center"/>
              <w:rPr>
                <w:rFonts w:ascii="Constantia" w:hAnsi="Constantia" w:cs="Calibri"/>
                <w:sz w:val="20"/>
                <w:szCs w:val="20"/>
              </w:rPr>
            </w:pPr>
            <w:r w:rsidRPr="002F52E8">
              <w:rPr>
                <w:rFonts w:ascii="Constantia" w:hAnsi="Constantia" w:cs="Calibri"/>
                <w:sz w:val="20"/>
                <w:szCs w:val="20"/>
              </w:rPr>
              <w:t>14.60</w:t>
            </w:r>
          </w:p>
        </w:tc>
        <w:tc>
          <w:tcPr>
            <w:tcW w:w="1134" w:type="dxa"/>
            <w:gridSpan w:val="2"/>
            <w:tcBorders>
              <w:top w:val="nil"/>
              <w:left w:val="nil"/>
              <w:bottom w:val="single" w:sz="8" w:space="0" w:color="auto"/>
              <w:right w:val="single" w:sz="8" w:space="0" w:color="auto"/>
            </w:tcBorders>
            <w:shd w:val="clear" w:color="auto" w:fill="auto"/>
            <w:noWrap/>
            <w:vAlign w:val="bottom"/>
            <w:hideMark/>
          </w:tcPr>
          <w:p w:rsidR="00912E35" w:rsidRPr="002F52E8" w:rsidRDefault="00912E35" w:rsidP="00912E35">
            <w:pPr>
              <w:spacing w:after="0"/>
              <w:jc w:val="center"/>
              <w:rPr>
                <w:rFonts w:ascii="Constantia" w:hAnsi="Constantia" w:cs="Calibri"/>
                <w:sz w:val="20"/>
                <w:szCs w:val="20"/>
              </w:rPr>
            </w:pPr>
            <w:r w:rsidRPr="002F52E8">
              <w:rPr>
                <w:rFonts w:ascii="Constantia" w:hAnsi="Constantia" w:cs="Calibri"/>
                <w:sz w:val="20"/>
                <w:szCs w:val="20"/>
              </w:rPr>
              <w:t>8.65</w:t>
            </w:r>
          </w:p>
        </w:tc>
      </w:tr>
    </w:tbl>
    <w:p w:rsidR="00912E35" w:rsidRPr="008D70B0" w:rsidRDefault="008D70B0" w:rsidP="00E85862">
      <w:pPr>
        <w:pStyle w:val="Tabele"/>
        <w:ind w:left="0" w:firstLine="0"/>
        <w:rPr>
          <w:rFonts w:ascii="Constantia" w:hAnsi="Constantia"/>
          <w:sz w:val="22"/>
          <w:szCs w:val="22"/>
        </w:rPr>
      </w:pPr>
      <w:r>
        <w:t xml:space="preserve"> </w:t>
      </w:r>
      <w:r w:rsidR="00912E35" w:rsidRPr="008D70B0">
        <w:rPr>
          <w:rFonts w:ascii="Constantia" w:hAnsi="Constantia"/>
          <w:sz w:val="22"/>
          <w:szCs w:val="22"/>
        </w:rPr>
        <w:t>Prosječna starost motornih vozila, 2000-2012</w:t>
      </w:r>
    </w:p>
    <w:p w:rsidR="00912E35" w:rsidRDefault="008D70B0" w:rsidP="008D70B0">
      <w:pPr>
        <w:pStyle w:val="Tabele"/>
        <w:numPr>
          <w:ilvl w:val="0"/>
          <w:numId w:val="0"/>
        </w:numPr>
        <w:ind w:left="360"/>
        <w:jc w:val="both"/>
        <w:rPr>
          <w:rFonts w:ascii="Constantia" w:hAnsi="Constantia"/>
          <w:i w:val="0"/>
          <w:sz w:val="22"/>
          <w:szCs w:val="22"/>
        </w:rPr>
      </w:pPr>
      <w:r>
        <w:rPr>
          <w:rFonts w:ascii="Constantia" w:hAnsi="Constantia"/>
          <w:i w:val="0"/>
          <w:sz w:val="22"/>
          <w:szCs w:val="22"/>
        </w:rPr>
        <w:t xml:space="preserve">U analiziranom periodu </w:t>
      </w:r>
      <w:r w:rsidR="00912E35" w:rsidRPr="00B957C1">
        <w:rPr>
          <w:rFonts w:ascii="Constantia" w:hAnsi="Constantia"/>
          <w:i w:val="0"/>
          <w:sz w:val="22"/>
          <w:szCs w:val="22"/>
        </w:rPr>
        <w:t>prosječna starost po vrstama vozila je: putnički automobil 14; kombi 15; autobus 14,5; teretno vozilo 14; vučno vozilo 13 godina.</w:t>
      </w:r>
    </w:p>
    <w:p w:rsidR="00912E35" w:rsidRPr="00B957C1" w:rsidRDefault="00912E35" w:rsidP="00912E35">
      <w:pPr>
        <w:pStyle w:val="Tabele"/>
        <w:numPr>
          <w:ilvl w:val="0"/>
          <w:numId w:val="0"/>
        </w:numPr>
        <w:spacing w:line="276" w:lineRule="auto"/>
        <w:ind w:left="360"/>
        <w:jc w:val="left"/>
        <w:rPr>
          <w:rFonts w:ascii="Constantia" w:hAnsi="Constantia"/>
          <w:i w:val="0"/>
          <w:sz w:val="22"/>
          <w:szCs w:val="22"/>
        </w:rPr>
      </w:pPr>
    </w:p>
    <w:p w:rsidR="00912E35" w:rsidRPr="005E4028" w:rsidRDefault="00912E35" w:rsidP="00A74824">
      <w:pPr>
        <w:pStyle w:val="Tabele"/>
        <w:numPr>
          <w:ilvl w:val="0"/>
          <w:numId w:val="0"/>
        </w:numPr>
        <w:spacing w:before="0" w:after="0"/>
        <w:ind w:left="720"/>
        <w:rPr>
          <w:rFonts w:ascii="Constantia" w:hAnsi="Constantia"/>
        </w:rPr>
      </w:pPr>
      <w:r>
        <w:rPr>
          <w:rFonts w:ascii="Constantia" w:hAnsi="Constantia"/>
          <w:noProof/>
          <w:lang w:val="en-US"/>
        </w:rPr>
        <w:lastRenderedPageBreak/>
        <w:drawing>
          <wp:inline distT="0" distB="0" distL="0" distR="0" wp14:anchorId="13790ABB" wp14:editId="259D6141">
            <wp:extent cx="4572000" cy="2286000"/>
            <wp:effectExtent l="0" t="0" r="19050" b="19050"/>
            <wp:docPr id="1375" name="Chart 137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5"/>
              </a:graphicData>
            </a:graphic>
          </wp:inline>
        </w:drawing>
      </w:r>
    </w:p>
    <w:p w:rsidR="00912E35" w:rsidRPr="003E26E2" w:rsidRDefault="00912E35" w:rsidP="00A74824">
      <w:pPr>
        <w:pStyle w:val="Grafikon"/>
        <w:spacing w:after="0"/>
        <w:rPr>
          <w:rFonts w:ascii="Constantia" w:hAnsi="Constantia"/>
          <w:sz w:val="22"/>
          <w:szCs w:val="22"/>
        </w:rPr>
      </w:pPr>
      <w:r w:rsidRPr="003E26E2">
        <w:rPr>
          <w:rFonts w:ascii="Constantia" w:hAnsi="Constantia"/>
          <w:sz w:val="22"/>
          <w:szCs w:val="22"/>
        </w:rPr>
        <w:t>Prosječna starost odabranih kategor</w:t>
      </w:r>
      <w:r w:rsidR="003E26E2" w:rsidRPr="003E26E2">
        <w:rPr>
          <w:rFonts w:ascii="Constantia" w:hAnsi="Constantia"/>
          <w:sz w:val="22"/>
          <w:szCs w:val="22"/>
        </w:rPr>
        <w:t xml:space="preserve">ija motornih </w:t>
      </w:r>
      <w:r w:rsidRPr="003E26E2">
        <w:rPr>
          <w:rFonts w:ascii="Constantia" w:hAnsi="Constantia"/>
          <w:sz w:val="22"/>
          <w:szCs w:val="22"/>
        </w:rPr>
        <w:t>vozila, 2000-2012</w:t>
      </w:r>
    </w:p>
    <w:p w:rsidR="00912E35" w:rsidRPr="005E4028" w:rsidRDefault="00912E35" w:rsidP="00912E35">
      <w:pPr>
        <w:pStyle w:val="Grafikon"/>
        <w:numPr>
          <w:ilvl w:val="0"/>
          <w:numId w:val="0"/>
        </w:numPr>
        <w:ind w:left="144" w:hanging="144"/>
        <w:rPr>
          <w:rFonts w:ascii="Constantia" w:hAnsi="Constantia"/>
        </w:rPr>
      </w:pPr>
    </w:p>
    <w:p w:rsidR="00912E35" w:rsidRPr="005E4028" w:rsidRDefault="00912E35" w:rsidP="00912E35">
      <w:pPr>
        <w:pStyle w:val="Grafikon"/>
        <w:numPr>
          <w:ilvl w:val="0"/>
          <w:numId w:val="0"/>
        </w:numPr>
        <w:ind w:left="144" w:hanging="144"/>
        <w:rPr>
          <w:rFonts w:ascii="Constantia" w:hAnsi="Constantia"/>
          <w:bCs/>
          <w:sz w:val="24"/>
        </w:rPr>
      </w:pPr>
      <w:r>
        <w:rPr>
          <w:rFonts w:ascii="Constantia" w:hAnsi="Constantia"/>
          <w:noProof/>
          <w:lang w:val="en-US"/>
        </w:rPr>
        <w:drawing>
          <wp:inline distT="0" distB="0" distL="0" distR="0" wp14:anchorId="21A8D2BB" wp14:editId="64A91AC9">
            <wp:extent cx="3857625" cy="2190750"/>
            <wp:effectExtent l="0" t="0" r="9525" b="19050"/>
            <wp:docPr id="8222" name="Chart 82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6"/>
              </a:graphicData>
            </a:graphic>
          </wp:inline>
        </w:drawing>
      </w:r>
    </w:p>
    <w:p w:rsidR="00912E35" w:rsidRPr="000144F6" w:rsidRDefault="000144F6" w:rsidP="000144F6">
      <w:pPr>
        <w:pStyle w:val="Grafikon"/>
        <w:rPr>
          <w:rFonts w:ascii="Constantia" w:hAnsi="Constantia"/>
          <w:sz w:val="22"/>
          <w:szCs w:val="22"/>
        </w:rPr>
      </w:pPr>
      <w:r>
        <w:t xml:space="preserve"> </w:t>
      </w:r>
      <w:r w:rsidR="00912E35" w:rsidRPr="000144F6">
        <w:rPr>
          <w:rFonts w:ascii="Constantia" w:hAnsi="Constantia"/>
          <w:sz w:val="22"/>
          <w:szCs w:val="22"/>
        </w:rPr>
        <w:t xml:space="preserve">Promjena prosječne starosti odabranih kategorija motornih </w:t>
      </w:r>
      <w:r>
        <w:rPr>
          <w:rFonts w:ascii="Constantia" w:hAnsi="Constantia"/>
          <w:sz w:val="22"/>
          <w:szCs w:val="22"/>
        </w:rPr>
        <w:t>vozila, 2000-</w:t>
      </w:r>
      <w:r w:rsidR="00912E35" w:rsidRPr="000144F6">
        <w:rPr>
          <w:rFonts w:ascii="Constantia" w:hAnsi="Constantia"/>
          <w:sz w:val="22"/>
          <w:szCs w:val="22"/>
        </w:rPr>
        <w:t>2012</w:t>
      </w:r>
    </w:p>
    <w:p w:rsidR="00912E35" w:rsidRPr="00A43223" w:rsidRDefault="00912E35" w:rsidP="00912E35">
      <w:pPr>
        <w:pStyle w:val="Grafikon"/>
        <w:numPr>
          <w:ilvl w:val="0"/>
          <w:numId w:val="0"/>
        </w:numPr>
        <w:ind w:left="144"/>
        <w:rPr>
          <w:rFonts w:ascii="Constantia" w:hAnsi="Constantia"/>
          <w:bCs/>
          <w:sz w:val="22"/>
          <w:szCs w:val="22"/>
        </w:rPr>
      </w:pPr>
      <w:r w:rsidRPr="00A43223">
        <w:rPr>
          <w:rFonts w:ascii="Constantia" w:hAnsi="Constantia"/>
          <w:bCs/>
          <w:color w:val="FFFFFF" w:themeColor="background1"/>
          <w:sz w:val="22"/>
          <w:szCs w:val="22"/>
        </w:rPr>
        <w:t>Gor</w:t>
      </w:r>
    </w:p>
    <w:p w:rsidR="00912E35" w:rsidRDefault="00912E35" w:rsidP="000144F6">
      <w:pPr>
        <w:rPr>
          <w:rFonts w:ascii="Constantia" w:hAnsi="Constantia"/>
          <w:szCs w:val="22"/>
        </w:rPr>
      </w:pPr>
      <w:r w:rsidRPr="00F06C52">
        <w:rPr>
          <w:rFonts w:ascii="Constantia" w:hAnsi="Constantia"/>
          <w:szCs w:val="22"/>
        </w:rPr>
        <w:t xml:space="preserve">Analiza podataka za period 2000-2012 </w:t>
      </w:r>
      <w:r>
        <w:rPr>
          <w:rFonts w:ascii="Constantia" w:hAnsi="Constantia"/>
          <w:szCs w:val="22"/>
        </w:rPr>
        <w:t>govori</w:t>
      </w:r>
      <w:r w:rsidRPr="00897A69">
        <w:rPr>
          <w:rFonts w:ascii="Constantia" w:hAnsi="Constantia"/>
          <w:szCs w:val="22"/>
        </w:rPr>
        <w:t xml:space="preserve"> o povećanju prosječne starosti motornih vozila za </w:t>
      </w:r>
      <w:r w:rsidRPr="00F06C52">
        <w:rPr>
          <w:rFonts w:ascii="Cambria Math" w:hAnsi="Cambria Math" w:cs="Cambria Math"/>
          <w:szCs w:val="22"/>
        </w:rPr>
        <w:t>∼</w:t>
      </w:r>
      <w:r w:rsidRPr="00F06C52">
        <w:rPr>
          <w:rFonts w:ascii="Constantia" w:hAnsi="Constantia"/>
          <w:szCs w:val="22"/>
        </w:rPr>
        <w:t>4 %. Motori su jedina kategorija motornih vozila čija je prosječna starost ispod 10 god</w:t>
      </w:r>
      <w:r w:rsidR="00B2258F">
        <w:rPr>
          <w:rFonts w:ascii="Constantia" w:hAnsi="Constantia"/>
          <w:szCs w:val="22"/>
        </w:rPr>
        <w:t>ina (5,53 godina). Kako je posl</w:t>
      </w:r>
      <w:r w:rsidRPr="00F06C52">
        <w:rPr>
          <w:rFonts w:ascii="Constantia" w:hAnsi="Constantia"/>
          <w:szCs w:val="22"/>
        </w:rPr>
        <w:t xml:space="preserve">ednjih godina globalna svjetska kriza smanjila kupovinu novih vozila, vozni park </w:t>
      </w:r>
      <w:r w:rsidR="00B2258F">
        <w:rPr>
          <w:rFonts w:ascii="Constantia" w:hAnsi="Constantia"/>
          <w:szCs w:val="22"/>
        </w:rPr>
        <w:t>se ne obnavlja, što ima za posl</w:t>
      </w:r>
      <w:r w:rsidRPr="00F06C52">
        <w:rPr>
          <w:rFonts w:ascii="Constantia" w:hAnsi="Constantia"/>
          <w:szCs w:val="22"/>
        </w:rPr>
        <w:t>edicu naprijed rečeno. Zbog nepravilnog sagorijevanja kod starijih vozila, atmosfera se zagađuje povećanim emisijama izduvn</w:t>
      </w:r>
      <w:r>
        <w:rPr>
          <w:rFonts w:ascii="Constantia" w:hAnsi="Constantia"/>
          <w:szCs w:val="22"/>
        </w:rPr>
        <w:t>i</w:t>
      </w:r>
      <w:r w:rsidRPr="00F06C52">
        <w:rPr>
          <w:rFonts w:ascii="Constantia" w:hAnsi="Constantia"/>
          <w:szCs w:val="22"/>
        </w:rPr>
        <w:t xml:space="preserve">h gasova koji </w:t>
      </w:r>
      <w:r w:rsidR="00B2258F">
        <w:rPr>
          <w:rFonts w:ascii="Constantia" w:hAnsi="Constantia"/>
          <w:szCs w:val="22"/>
        </w:rPr>
        <w:t xml:space="preserve">vrše </w:t>
      </w:r>
      <w:r w:rsidRPr="00F06C52">
        <w:rPr>
          <w:rFonts w:ascii="Constantia" w:hAnsi="Constantia"/>
          <w:szCs w:val="22"/>
        </w:rPr>
        <w:t>pritis</w:t>
      </w:r>
      <w:r w:rsidR="00B2258F">
        <w:rPr>
          <w:rFonts w:ascii="Constantia" w:hAnsi="Constantia"/>
          <w:szCs w:val="22"/>
        </w:rPr>
        <w:t>a</w:t>
      </w:r>
      <w:r w:rsidRPr="00F06C52">
        <w:rPr>
          <w:rFonts w:ascii="Constantia" w:hAnsi="Constantia"/>
          <w:szCs w:val="22"/>
        </w:rPr>
        <w:t>k</w:t>
      </w:r>
      <w:r w:rsidR="00B2258F">
        <w:rPr>
          <w:rFonts w:ascii="Constantia" w:hAnsi="Constantia"/>
          <w:szCs w:val="22"/>
        </w:rPr>
        <w:t xml:space="preserve"> na</w:t>
      </w:r>
      <w:r w:rsidRPr="00F06C52">
        <w:rPr>
          <w:rFonts w:ascii="Constantia" w:hAnsi="Constantia"/>
          <w:szCs w:val="22"/>
        </w:rPr>
        <w:t xml:space="preserve"> životnu sredinu.</w:t>
      </w:r>
      <w:bookmarkStart w:id="351" w:name="_Toc294541933"/>
    </w:p>
    <w:p w:rsidR="00912E35" w:rsidRPr="008A17C5" w:rsidRDefault="00912E35" w:rsidP="008315C2">
      <w:pPr>
        <w:pStyle w:val="Heading2"/>
        <w:numPr>
          <w:ilvl w:val="1"/>
          <w:numId w:val="52"/>
        </w:numPr>
        <w:tabs>
          <w:tab w:val="clear" w:pos="851"/>
          <w:tab w:val="left" w:pos="720"/>
        </w:tabs>
        <w:ind w:left="720"/>
        <w:rPr>
          <w:b/>
        </w:rPr>
      </w:pPr>
      <w:bookmarkStart w:id="352" w:name="_Toc362938369"/>
      <w:bookmarkStart w:id="353" w:name="_Toc393897977"/>
      <w:r w:rsidRPr="007A751B">
        <w:t>Turizam</w:t>
      </w:r>
      <w:bookmarkEnd w:id="351"/>
      <w:bookmarkEnd w:id="352"/>
      <w:r w:rsidRPr="001B1445">
        <w:rPr>
          <w:rStyle w:val="FootnoteReference"/>
          <w:sz w:val="24"/>
          <w:szCs w:val="24"/>
        </w:rPr>
        <w:footnoteReference w:id="21"/>
      </w:r>
      <w:bookmarkEnd w:id="353"/>
    </w:p>
    <w:p w:rsidR="00912E35" w:rsidRPr="00F06C52" w:rsidRDefault="00912E35" w:rsidP="00D50D6D">
      <w:pPr>
        <w:rPr>
          <w:rFonts w:ascii="Constantia" w:hAnsi="Constantia"/>
          <w:szCs w:val="22"/>
          <w:lang w:val="sr-Latn-CS"/>
        </w:rPr>
      </w:pPr>
      <w:r w:rsidRPr="00F06C52">
        <w:rPr>
          <w:rFonts w:ascii="Constantia" w:hAnsi="Constantia"/>
          <w:szCs w:val="22"/>
          <w:lang w:val="sr-Latn-CS"/>
        </w:rPr>
        <w:t>Turizam utiče na kvalitet životne sredine kao potrošač prirodnih i drugih resursa: zemljišta, vode, goriva, električne energije, hrane</w:t>
      </w:r>
      <w:r>
        <w:rPr>
          <w:rFonts w:ascii="Constantia" w:hAnsi="Constantia"/>
          <w:szCs w:val="22"/>
          <w:lang w:val="sr-Latn-CS"/>
        </w:rPr>
        <w:t>,</w:t>
      </w:r>
      <w:r w:rsidRPr="00F06C52">
        <w:rPr>
          <w:rFonts w:ascii="Constantia" w:hAnsi="Constantia"/>
          <w:szCs w:val="22"/>
          <w:lang w:val="sr-Latn-CS"/>
        </w:rPr>
        <w:t xml:space="preserve"> ali i kao proizvođač značajne količine otpada i emisije. Negativni uticaji turizma na životnu sredinu izraženi su kroz pritisak na prirodne resurse, živi svijet i staništa, kao i </w:t>
      </w:r>
      <w:r w:rsidR="00DA7A66">
        <w:rPr>
          <w:rFonts w:ascii="Constantia" w:hAnsi="Constantia"/>
          <w:szCs w:val="22"/>
          <w:lang w:val="sr-Latn-CS"/>
        </w:rPr>
        <w:t xml:space="preserve">kroz </w:t>
      </w:r>
      <w:r w:rsidRPr="00F06C52">
        <w:rPr>
          <w:rFonts w:ascii="Constantia" w:hAnsi="Constantia"/>
          <w:szCs w:val="22"/>
          <w:lang w:val="sr-Latn-CS"/>
        </w:rPr>
        <w:t>stvaranje otpada i zagađenje.</w:t>
      </w:r>
    </w:p>
    <w:p w:rsidR="00912E35" w:rsidRDefault="00912E35" w:rsidP="00D50D6D">
      <w:pPr>
        <w:rPr>
          <w:rFonts w:ascii="Constantia" w:hAnsi="Constantia"/>
          <w:i/>
          <w:lang w:val="sr-Latn-CS"/>
        </w:rPr>
      </w:pPr>
      <w:r w:rsidRPr="00947A1B">
        <w:rPr>
          <w:rFonts w:ascii="Constantia" w:hAnsi="Constantia"/>
          <w:lang w:val="sr-Latn-CS"/>
        </w:rPr>
        <w:lastRenderedPageBreak/>
        <w:t>Pozitivni efekti turizma u odnosu životnu sredinu ogledaju se u činjenici da je riječ o djelatnosti koja teži adekvatnom korišćenju prirodnih resursa, unapr</w:t>
      </w:r>
      <w:r>
        <w:rPr>
          <w:rFonts w:ascii="Constantia" w:hAnsi="Constantia"/>
          <w:lang w:val="sr-Latn-CS"/>
        </w:rPr>
        <w:t>j</w:t>
      </w:r>
      <w:r w:rsidRPr="00947A1B">
        <w:rPr>
          <w:rFonts w:ascii="Constantia" w:hAnsi="Constantia"/>
          <w:lang w:val="sr-Latn-CS"/>
        </w:rPr>
        <w:t>eđenju predjela i održavanju ekoloških, ekonomskih i socio</w:t>
      </w:r>
      <w:r>
        <w:rPr>
          <w:rFonts w:ascii="Constantia" w:hAnsi="Constantia"/>
          <w:lang w:val="sr-Latn-CS"/>
        </w:rPr>
        <w:t>–</w:t>
      </w:r>
      <w:r w:rsidRPr="00947A1B">
        <w:rPr>
          <w:rFonts w:ascii="Constantia" w:hAnsi="Constantia"/>
          <w:lang w:val="sr-Latn-CS"/>
        </w:rPr>
        <w:t>kulturnih vrijednosti lokalne zajednice.</w:t>
      </w:r>
    </w:p>
    <w:p w:rsidR="00912E35" w:rsidRPr="005E4028" w:rsidRDefault="00912E35" w:rsidP="00D50D6D">
      <w:pPr>
        <w:rPr>
          <w:rFonts w:ascii="Constantia" w:hAnsi="Constantia"/>
          <w:lang w:val="sr-Latn-CS"/>
        </w:rPr>
      </w:pPr>
      <w:r w:rsidRPr="00F06C52">
        <w:rPr>
          <w:rFonts w:ascii="Constantia" w:hAnsi="Constantia"/>
          <w:lang w:val="sr-Latn-CS"/>
        </w:rPr>
        <w:t xml:space="preserve">U Crnoj Gori u </w:t>
      </w:r>
      <w:r w:rsidRPr="00897A69">
        <w:rPr>
          <w:rFonts w:ascii="Constantia" w:hAnsi="Constantia"/>
          <w:lang w:val="sr-Latn-CS"/>
        </w:rPr>
        <w:t>strukturi turista d</w:t>
      </w:r>
      <w:r>
        <w:rPr>
          <w:rFonts w:ascii="Constantia" w:hAnsi="Constantia"/>
          <w:lang w:val="sr-Latn-CS"/>
        </w:rPr>
        <w:t>ominiraju strani turisti (oko 89</w:t>
      </w:r>
      <w:r w:rsidRPr="00897A69">
        <w:rPr>
          <w:rFonts w:ascii="Constantia" w:hAnsi="Constantia"/>
          <w:lang w:val="sr-Latn-CS"/>
        </w:rPr>
        <w:t xml:space="preserve">% ukupnih dolazaka </w:t>
      </w:r>
      <w:r>
        <w:rPr>
          <w:rFonts w:ascii="Constantia" w:hAnsi="Constantia"/>
          <w:lang w:val="sr-Latn-CS"/>
        </w:rPr>
        <w:t>i oko 89% ukupnih noćenja u 2013</w:t>
      </w:r>
      <w:r w:rsidRPr="00897A69">
        <w:rPr>
          <w:rFonts w:ascii="Constantia" w:hAnsi="Constantia"/>
          <w:lang w:val="sr-Latn-CS"/>
        </w:rPr>
        <w:t>. godini)</w:t>
      </w:r>
      <w:r>
        <w:rPr>
          <w:rFonts w:ascii="Constantia" w:hAnsi="Constantia"/>
          <w:lang w:val="sr-Latn-CS"/>
        </w:rPr>
        <w:t>. Izražen</w:t>
      </w:r>
      <w:r w:rsidRPr="00897A69">
        <w:rPr>
          <w:rFonts w:ascii="Constantia" w:hAnsi="Constantia"/>
          <w:lang w:val="sr-Latn-CS"/>
        </w:rPr>
        <w:t xml:space="preserve"> je trend rasta dolazaka turista</w:t>
      </w:r>
      <w:r>
        <w:rPr>
          <w:rFonts w:ascii="Constantia" w:hAnsi="Constantia"/>
          <w:lang w:val="sr-Latn-CS"/>
        </w:rPr>
        <w:t xml:space="preserve"> (godišnja stopa rasta 9%) i </w:t>
      </w:r>
      <w:r w:rsidRPr="00897A69">
        <w:rPr>
          <w:rFonts w:ascii="Constantia" w:hAnsi="Constantia"/>
          <w:lang w:val="sr-Latn-CS"/>
        </w:rPr>
        <w:t xml:space="preserve"> </w:t>
      </w:r>
      <w:r>
        <w:rPr>
          <w:rFonts w:ascii="Constantia" w:hAnsi="Constantia"/>
          <w:lang w:val="sr-Latn-CS"/>
        </w:rPr>
        <w:t xml:space="preserve">broja </w:t>
      </w:r>
      <w:r w:rsidRPr="00897A69">
        <w:rPr>
          <w:rFonts w:ascii="Constantia" w:hAnsi="Constantia"/>
          <w:lang w:val="sr-Latn-CS"/>
        </w:rPr>
        <w:t>noćenja</w:t>
      </w:r>
      <w:r>
        <w:rPr>
          <w:rFonts w:ascii="Constantia" w:hAnsi="Constantia"/>
          <w:lang w:val="sr-Latn-CS"/>
        </w:rPr>
        <w:t xml:space="preserve"> (</w:t>
      </w:r>
      <w:r w:rsidRPr="00895AA6">
        <w:rPr>
          <w:rFonts w:ascii="Constantia" w:hAnsi="Constantia"/>
          <w:lang w:val="sr-Latn-CS"/>
        </w:rPr>
        <w:t xml:space="preserve">godišnja stopa rasta </w:t>
      </w:r>
      <w:r w:rsidR="00D50D6D">
        <w:rPr>
          <w:rFonts w:ascii="Constantia" w:hAnsi="Constantia"/>
          <w:lang w:val="sr-Latn-CS"/>
        </w:rPr>
        <w:t xml:space="preserve">8%) </w:t>
      </w:r>
      <w:r w:rsidRPr="00897A69">
        <w:rPr>
          <w:rFonts w:ascii="Constantia" w:hAnsi="Constantia"/>
          <w:lang w:val="sr-Latn-CS"/>
        </w:rPr>
        <w:t>u analiziranom periodu.</w:t>
      </w:r>
    </w:p>
    <w:p w:rsidR="00912E35" w:rsidRPr="00F06C52" w:rsidRDefault="00912E35" w:rsidP="00912E35">
      <w:pPr>
        <w:pStyle w:val="ListParagraph"/>
        <w:spacing w:line="276" w:lineRule="auto"/>
        <w:rPr>
          <w:rFonts w:ascii="Constantia" w:hAnsi="Constantia"/>
          <w:sz w:val="20"/>
          <w:lang w:val="sr-Latn-CS"/>
        </w:rPr>
      </w:pPr>
    </w:p>
    <w:p w:rsidR="00912E35" w:rsidRPr="005E4028" w:rsidRDefault="00A74824" w:rsidP="00CA6D84">
      <w:pPr>
        <w:pStyle w:val="Heading3"/>
      </w:pPr>
      <w:bookmarkStart w:id="354" w:name="_Toc393897978"/>
      <w:r>
        <w:t>10</w:t>
      </w:r>
      <w:r w:rsidR="00CA6D84">
        <w:t xml:space="preserve">.5.1  </w:t>
      </w:r>
      <w:r w:rsidR="00912E35" w:rsidRPr="00947A1B">
        <w:t>Dolasci turista</w:t>
      </w:r>
      <w:bookmarkEnd w:id="354"/>
      <w:r w:rsidR="00912E35" w:rsidRPr="007A751B">
        <w:rPr>
          <w:rStyle w:val="Strong"/>
          <w:rFonts w:ascii="Constantia" w:hAnsi="Constantia"/>
          <w:sz w:val="22"/>
          <w:szCs w:val="22"/>
        </w:rPr>
        <w:t xml:space="preserve"> </w:t>
      </w:r>
    </w:p>
    <w:p w:rsidR="00912E35" w:rsidRPr="005E4028" w:rsidRDefault="00912E35" w:rsidP="00CA6D84">
      <w:pPr>
        <w:rPr>
          <w:rFonts w:ascii="Constantia" w:hAnsi="Constantia" w:cs="Arial"/>
          <w:noProof/>
        </w:rPr>
      </w:pPr>
      <w:r w:rsidRPr="00897A69">
        <w:rPr>
          <w:rFonts w:ascii="Constantia" w:hAnsi="Constantia" w:cs="Arial"/>
          <w:noProof/>
        </w:rPr>
        <w:t>Indikator prati trend dolaza</w:t>
      </w:r>
      <w:r>
        <w:rPr>
          <w:rFonts w:ascii="Constantia" w:hAnsi="Constantia" w:cs="Arial"/>
          <w:noProof/>
        </w:rPr>
        <w:t xml:space="preserve">ka turista (stranih i domaćih) ukupno, prema vrsti </w:t>
      </w:r>
      <w:r w:rsidRPr="00897A69">
        <w:rPr>
          <w:rFonts w:ascii="Constantia" w:hAnsi="Constantia" w:cs="Arial"/>
          <w:noProof/>
        </w:rPr>
        <w:t>turis</w:t>
      </w:r>
      <w:r>
        <w:rPr>
          <w:rFonts w:ascii="Constantia" w:hAnsi="Constantia" w:cs="Arial"/>
          <w:noProof/>
        </w:rPr>
        <w:t>tičkih mjesta, po glavi stanovnika, po km</w:t>
      </w:r>
      <w:r>
        <w:rPr>
          <w:rFonts w:ascii="Constantia" w:hAnsi="Constantia" w:cs="Arial"/>
          <w:noProof/>
          <w:vertAlign w:val="superscript"/>
        </w:rPr>
        <w:t xml:space="preserve">2 </w:t>
      </w:r>
      <w:r>
        <w:rPr>
          <w:rFonts w:ascii="Constantia" w:hAnsi="Constantia" w:cs="Arial"/>
          <w:noProof/>
        </w:rPr>
        <w:t>površine,</w:t>
      </w:r>
      <w:r w:rsidRPr="00947A1B">
        <w:rPr>
          <w:rFonts w:ascii="Constantia" w:hAnsi="Constantia" w:cs="Arial"/>
          <w:noProof/>
        </w:rPr>
        <w:t xml:space="preserve"> prema z</w:t>
      </w:r>
      <w:r>
        <w:rPr>
          <w:rFonts w:ascii="Constantia" w:hAnsi="Constantia" w:cs="Arial"/>
          <w:noProof/>
        </w:rPr>
        <w:t xml:space="preserve">emljama porijekla. Shodno utvrđenim </w:t>
      </w:r>
      <w:r w:rsidRPr="00947A1B">
        <w:rPr>
          <w:rFonts w:ascii="Constantia" w:hAnsi="Constantia" w:cs="Arial"/>
          <w:noProof/>
        </w:rPr>
        <w:t>kriterijumima, sva mjesta se razvrstavaju u pet kategorija: glavni adm</w:t>
      </w:r>
      <w:r>
        <w:rPr>
          <w:rFonts w:ascii="Constantia" w:hAnsi="Constantia" w:cs="Arial"/>
          <w:noProof/>
        </w:rPr>
        <w:t xml:space="preserve">inistrativni centri, primorska </w:t>
      </w:r>
      <w:r w:rsidRPr="00897A69">
        <w:rPr>
          <w:rFonts w:ascii="Constantia" w:hAnsi="Constantia" w:cs="Arial"/>
          <w:noProof/>
        </w:rPr>
        <w:t>mjesta, planinska mjesta, ostala turistička mjesta i ostala mjesta.</w:t>
      </w:r>
    </w:p>
    <w:p w:rsidR="00912E35" w:rsidRPr="005E4028" w:rsidRDefault="00912E35" w:rsidP="00CA6D84">
      <w:pPr>
        <w:rPr>
          <w:rFonts w:ascii="Constantia" w:hAnsi="Constantia"/>
          <w:noProof/>
        </w:rPr>
      </w:pPr>
      <w:r w:rsidRPr="00897A69">
        <w:rPr>
          <w:rFonts w:ascii="Constantia" w:hAnsi="Constantia"/>
          <w:noProof/>
        </w:rPr>
        <w:t xml:space="preserve">Indikator  pripada grupi </w:t>
      </w:r>
      <w:r w:rsidRPr="00897A69">
        <w:rPr>
          <w:rFonts w:ascii="Constantia" w:hAnsi="Constantia"/>
          <w:b/>
          <w:noProof/>
        </w:rPr>
        <w:t>pokretačkih faktora</w:t>
      </w:r>
      <w:r>
        <w:rPr>
          <w:rFonts w:ascii="Constantia" w:hAnsi="Constantia"/>
          <w:noProof/>
        </w:rPr>
        <w:t xml:space="preserve"> u </w:t>
      </w:r>
      <w:r w:rsidRPr="00947A1B">
        <w:rPr>
          <w:rFonts w:ascii="Constantia" w:hAnsi="Constantia"/>
          <w:noProof/>
        </w:rPr>
        <w:t>DPS</w:t>
      </w:r>
      <w:r>
        <w:rPr>
          <w:rFonts w:ascii="Constantia" w:hAnsi="Constantia"/>
          <w:noProof/>
        </w:rPr>
        <w:t>I</w:t>
      </w:r>
      <w:r w:rsidRPr="00947A1B">
        <w:rPr>
          <w:rFonts w:ascii="Constantia" w:hAnsi="Constantia"/>
          <w:noProof/>
        </w:rPr>
        <w:t>R modelu.</w:t>
      </w:r>
    </w:p>
    <w:p w:rsidR="00912E35" w:rsidRDefault="00912E35" w:rsidP="00CA6D84">
      <w:pPr>
        <w:rPr>
          <w:rFonts w:ascii="Constantia" w:hAnsi="Constantia" w:cs="Arial"/>
          <w:noProof/>
        </w:rPr>
      </w:pPr>
      <w:r>
        <w:rPr>
          <w:rFonts w:ascii="Constantia" w:hAnsi="Constantia" w:cs="Arial"/>
          <w:noProof/>
        </w:rPr>
        <w:t>U periodu od 2000</w:t>
      </w:r>
      <w:r w:rsidR="00CA6D84">
        <w:rPr>
          <w:rFonts w:ascii="Constantia" w:hAnsi="Constantia" w:cs="Arial"/>
          <w:noProof/>
        </w:rPr>
        <w:t>-</w:t>
      </w:r>
      <w:r>
        <w:rPr>
          <w:rFonts w:ascii="Constantia" w:hAnsi="Constantia" w:cs="Arial"/>
          <w:noProof/>
        </w:rPr>
        <w:t>2013</w:t>
      </w:r>
      <w:r w:rsidRPr="00897A69">
        <w:rPr>
          <w:rFonts w:ascii="Constantia" w:hAnsi="Constantia" w:cs="Arial"/>
          <w:noProof/>
        </w:rPr>
        <w:t>.</w:t>
      </w:r>
      <w:r>
        <w:rPr>
          <w:rFonts w:ascii="Constantia" w:hAnsi="Constantia" w:cs="Arial"/>
          <w:noProof/>
        </w:rPr>
        <w:t xml:space="preserve"> godine</w:t>
      </w:r>
      <w:r w:rsidRPr="00897A69">
        <w:rPr>
          <w:rFonts w:ascii="Constantia" w:hAnsi="Constantia" w:cs="Arial"/>
          <w:noProof/>
        </w:rPr>
        <w:t xml:space="preserve"> Crna Gora bilježi praktično permanentan rast ukupnog broja dolazaka turista uz</w:t>
      </w:r>
      <w:r>
        <w:rPr>
          <w:rFonts w:ascii="Constantia" w:hAnsi="Constantia" w:cs="Arial"/>
          <w:noProof/>
        </w:rPr>
        <w:t xml:space="preserve"> znatno manji rast </w:t>
      </w:r>
      <w:r w:rsidRPr="00947A1B">
        <w:rPr>
          <w:rFonts w:ascii="Constantia" w:hAnsi="Constantia" w:cs="Arial"/>
          <w:noProof/>
        </w:rPr>
        <w:t>dolazaka domaćih turista</w:t>
      </w:r>
      <w:r>
        <w:rPr>
          <w:rFonts w:ascii="Constantia" w:hAnsi="Constantia" w:cs="Arial"/>
          <w:noProof/>
        </w:rPr>
        <w:t xml:space="preserve"> (po godišnjoj s</w:t>
      </w:r>
      <w:r w:rsidR="00CA6D84">
        <w:rPr>
          <w:rFonts w:ascii="Constantia" w:hAnsi="Constantia" w:cs="Arial"/>
          <w:noProof/>
        </w:rPr>
        <w:t>topi rasta, za period 2007-2013,</w:t>
      </w:r>
      <w:r>
        <w:rPr>
          <w:rFonts w:ascii="Constantia" w:hAnsi="Constantia" w:cs="Arial"/>
          <w:noProof/>
        </w:rPr>
        <w:t xml:space="preserve"> od  2%)</w:t>
      </w:r>
      <w:r w:rsidRPr="00947A1B">
        <w:rPr>
          <w:rFonts w:ascii="Constantia" w:hAnsi="Constantia" w:cs="Arial"/>
          <w:noProof/>
        </w:rPr>
        <w:t>. Njihov udi</w:t>
      </w:r>
      <w:r>
        <w:rPr>
          <w:rFonts w:ascii="Constantia" w:hAnsi="Constantia" w:cs="Arial"/>
          <w:noProof/>
        </w:rPr>
        <w:t>o u ukupnom broju dolazaka je 11,3% u 2013</w:t>
      </w:r>
      <w:r w:rsidR="00CA6D84">
        <w:rPr>
          <w:rFonts w:ascii="Constantia" w:hAnsi="Constantia" w:cs="Arial"/>
          <w:noProof/>
        </w:rPr>
        <w:t>. godini</w:t>
      </w:r>
      <w:r w:rsidRPr="00947A1B">
        <w:rPr>
          <w:rFonts w:ascii="Constantia" w:hAnsi="Constantia" w:cs="Arial"/>
          <w:noProof/>
        </w:rPr>
        <w:t>. Godišnj</w:t>
      </w:r>
      <w:r>
        <w:rPr>
          <w:rFonts w:ascii="Constantia" w:hAnsi="Constantia" w:cs="Arial"/>
          <w:noProof/>
        </w:rPr>
        <w:t xml:space="preserve">a stopa rasta ukupnih dolazaka </w:t>
      </w:r>
      <w:r w:rsidRPr="00947A1B">
        <w:rPr>
          <w:rFonts w:ascii="Constantia" w:hAnsi="Constantia" w:cs="Arial"/>
          <w:noProof/>
        </w:rPr>
        <w:t>turista je oko 9%</w:t>
      </w:r>
      <w:r w:rsidR="00CA6D84">
        <w:rPr>
          <w:rFonts w:ascii="Constantia" w:hAnsi="Constantia" w:cs="Arial"/>
          <w:noProof/>
        </w:rPr>
        <w:t>,</w:t>
      </w:r>
      <w:r>
        <w:rPr>
          <w:rFonts w:ascii="Constantia" w:hAnsi="Constantia" w:cs="Arial"/>
          <w:noProof/>
        </w:rPr>
        <w:t xml:space="preserve">  a stranih turista oko 23</w:t>
      </w:r>
      <w:r w:rsidRPr="00947A1B">
        <w:rPr>
          <w:rFonts w:ascii="Constantia" w:hAnsi="Constantia" w:cs="Arial"/>
          <w:noProof/>
        </w:rPr>
        <w:t>%.</w:t>
      </w:r>
    </w:p>
    <w:p w:rsidR="00912E35" w:rsidRDefault="00912E35" w:rsidP="00CA6D84">
      <w:pPr>
        <w:rPr>
          <w:rFonts w:ascii="Constantia" w:hAnsi="Constantia" w:cs="Arial"/>
          <w:noProof/>
        </w:rPr>
      </w:pPr>
      <w:r>
        <w:rPr>
          <w:rFonts w:ascii="Constantia" w:hAnsi="Constantia" w:cs="Arial"/>
          <w:noProof/>
        </w:rPr>
        <w:t>Broj dolazaka u 2013</w:t>
      </w:r>
      <w:r w:rsidR="00CA6D84">
        <w:rPr>
          <w:rFonts w:ascii="Constantia" w:hAnsi="Constantia" w:cs="Arial"/>
          <w:noProof/>
        </w:rPr>
        <w:t>. godini</w:t>
      </w:r>
      <w:r>
        <w:rPr>
          <w:rFonts w:ascii="Constantia" w:hAnsi="Constantia" w:cs="Arial"/>
          <w:noProof/>
        </w:rPr>
        <w:t xml:space="preserve"> je porastao za oko 2% u odnosu na 2012.</w:t>
      </w:r>
      <w:r w:rsidRPr="000F4F35">
        <w:rPr>
          <w:rFonts w:ascii="Constantia" w:hAnsi="Constantia" w:cs="Arial"/>
          <w:noProof/>
        </w:rPr>
        <w:t xml:space="preserve"> </w:t>
      </w:r>
      <w:r>
        <w:rPr>
          <w:rFonts w:ascii="Constantia" w:hAnsi="Constantia" w:cs="Arial"/>
          <w:noProof/>
        </w:rPr>
        <w:t>godinu (što se odnosi na strane turiste</w:t>
      </w:r>
      <w:r w:rsidR="00CA6D84">
        <w:rPr>
          <w:rFonts w:ascii="Constantia" w:hAnsi="Constantia" w:cs="Arial"/>
          <w:noProof/>
        </w:rPr>
        <w:t>,</w:t>
      </w:r>
      <w:r>
        <w:rPr>
          <w:rFonts w:ascii="Constantia" w:hAnsi="Constantia" w:cs="Arial"/>
          <w:noProof/>
        </w:rPr>
        <w:t xml:space="preserve"> jer su domaći turisti došli u gotovo nepromijenjenom broju).</w:t>
      </w:r>
    </w:p>
    <w:p w:rsidR="00912E35" w:rsidRDefault="00912E35" w:rsidP="00CA6D84">
      <w:pPr>
        <w:rPr>
          <w:rFonts w:ascii="Constantia" w:hAnsi="Constantia" w:cs="Arial"/>
          <w:noProof/>
        </w:rPr>
      </w:pPr>
      <w:r>
        <w:rPr>
          <w:rFonts w:ascii="Constantia" w:hAnsi="Constantia" w:cs="Arial"/>
          <w:noProof/>
        </w:rPr>
        <w:t>U</w:t>
      </w:r>
      <w:r w:rsidRPr="00880AC0">
        <w:rPr>
          <w:rFonts w:ascii="Constantia" w:hAnsi="Constantia" w:cs="Arial"/>
          <w:noProof/>
        </w:rPr>
        <w:t xml:space="preserve"> 2013.</w:t>
      </w:r>
      <w:r>
        <w:rPr>
          <w:rFonts w:ascii="Constantia" w:hAnsi="Constantia" w:cs="Arial"/>
          <w:noProof/>
        </w:rPr>
        <w:t xml:space="preserve"> godini je zabilježen b</w:t>
      </w:r>
      <w:r w:rsidRPr="00880AC0">
        <w:rPr>
          <w:rFonts w:ascii="Constantia" w:hAnsi="Constantia" w:cs="Arial"/>
          <w:noProof/>
        </w:rPr>
        <w:t xml:space="preserve">roj dolazaka </w:t>
      </w:r>
      <w:r>
        <w:rPr>
          <w:rFonts w:ascii="Constantia" w:hAnsi="Constantia" w:cs="Arial"/>
          <w:noProof/>
        </w:rPr>
        <w:t>po stanovniku 2,4 i po km</w:t>
      </w:r>
      <w:r w:rsidRPr="00B70CE5">
        <w:rPr>
          <w:rFonts w:ascii="Constantia" w:hAnsi="Constantia" w:cs="Arial"/>
          <w:noProof/>
          <w:vertAlign w:val="superscript"/>
        </w:rPr>
        <w:t>2</w:t>
      </w:r>
      <w:r>
        <w:rPr>
          <w:rFonts w:ascii="Constantia" w:hAnsi="Constantia" w:cs="Arial"/>
          <w:noProof/>
        </w:rPr>
        <w:t xml:space="preserve"> 108 dolazaka. </w:t>
      </w:r>
    </w:p>
    <w:p w:rsidR="00912E35" w:rsidRPr="00355947" w:rsidRDefault="00912E35" w:rsidP="003927A1">
      <w:pPr>
        <w:spacing w:line="276" w:lineRule="auto"/>
        <w:ind w:firstLine="720"/>
        <w:jc w:val="center"/>
        <w:rPr>
          <w:rFonts w:ascii="Constantia" w:hAnsi="Constantia" w:cs="Arial"/>
          <w:noProof/>
          <w:sz w:val="20"/>
        </w:rPr>
      </w:pPr>
    </w:p>
    <w:p w:rsidR="00912E35" w:rsidRPr="005E4028" w:rsidRDefault="00912E35" w:rsidP="003927A1">
      <w:pPr>
        <w:pStyle w:val="Grafikon"/>
        <w:numPr>
          <w:ilvl w:val="0"/>
          <w:numId w:val="0"/>
        </w:numPr>
        <w:rPr>
          <w:rFonts w:ascii="Constantia" w:hAnsi="Constantia" w:cs="Arial"/>
          <w:iCs/>
          <w:sz w:val="22"/>
          <w:szCs w:val="22"/>
        </w:rPr>
      </w:pPr>
      <w:r>
        <w:rPr>
          <w:noProof/>
          <w:lang w:val="en-US"/>
        </w:rPr>
        <w:drawing>
          <wp:inline distT="0" distB="0" distL="0" distR="0" wp14:anchorId="46757C77" wp14:editId="2434CD34">
            <wp:extent cx="2781300" cy="2266950"/>
            <wp:effectExtent l="0" t="0" r="0" b="0"/>
            <wp:docPr id="1363" name="Chart 136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7"/>
              </a:graphicData>
            </a:graphic>
          </wp:inline>
        </w:drawing>
      </w:r>
      <w:r>
        <w:rPr>
          <w:noProof/>
          <w:lang w:val="en-US"/>
        </w:rPr>
        <w:drawing>
          <wp:inline distT="0" distB="0" distL="0" distR="0" wp14:anchorId="18B113EB" wp14:editId="5C55D18C">
            <wp:extent cx="2914650" cy="2286000"/>
            <wp:effectExtent l="0" t="0" r="0" b="0"/>
            <wp:docPr id="1364" name="Chart 136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8"/>
              </a:graphicData>
            </a:graphic>
          </wp:inline>
        </w:drawing>
      </w:r>
    </w:p>
    <w:p w:rsidR="00912E35" w:rsidRPr="003927A1" w:rsidRDefault="003927A1" w:rsidP="003927A1">
      <w:pPr>
        <w:pStyle w:val="Grafikon"/>
        <w:rPr>
          <w:rFonts w:ascii="Constantia" w:hAnsi="Constantia"/>
          <w:sz w:val="22"/>
          <w:szCs w:val="22"/>
        </w:rPr>
      </w:pPr>
      <w:r>
        <w:t xml:space="preserve"> </w:t>
      </w:r>
      <w:r w:rsidR="00912E35" w:rsidRPr="003927A1">
        <w:rPr>
          <w:rFonts w:ascii="Constantia" w:hAnsi="Constantia"/>
          <w:sz w:val="22"/>
          <w:szCs w:val="22"/>
        </w:rPr>
        <w:t>Broj dolazaka turista (lijevo) i ukupan broj dolazaka turista po km² i glavi stanovnika (desno)</w:t>
      </w:r>
    </w:p>
    <w:p w:rsidR="003927A1" w:rsidRDefault="003927A1" w:rsidP="003927A1">
      <w:pPr>
        <w:rPr>
          <w:rFonts w:ascii="Constantia" w:hAnsi="Constantia"/>
        </w:rPr>
      </w:pPr>
    </w:p>
    <w:p w:rsidR="00912E35" w:rsidRDefault="00912E35" w:rsidP="003927A1">
      <w:pPr>
        <w:rPr>
          <w:rFonts w:ascii="Constantia" w:hAnsi="Constantia"/>
        </w:rPr>
      </w:pPr>
      <w:r w:rsidRPr="00897A69">
        <w:rPr>
          <w:rFonts w:ascii="Constantia" w:hAnsi="Constantia"/>
        </w:rPr>
        <w:t>Indikator “</w:t>
      </w:r>
      <w:r w:rsidRPr="00947A1B">
        <w:rPr>
          <w:rFonts w:ascii="Constantia" w:hAnsi="Constantia"/>
        </w:rPr>
        <w:t>d</w:t>
      </w:r>
      <w:r>
        <w:rPr>
          <w:rFonts w:ascii="Constantia" w:hAnsi="Constantia"/>
        </w:rPr>
        <w:t xml:space="preserve">olasci turista” je, može se reći, pokazatelj </w:t>
      </w:r>
      <w:r w:rsidRPr="00897A69">
        <w:rPr>
          <w:rFonts w:ascii="Constantia" w:hAnsi="Constantia"/>
        </w:rPr>
        <w:t>“popularnosti” turist</w:t>
      </w:r>
      <w:r>
        <w:rPr>
          <w:rFonts w:ascii="Constantia" w:hAnsi="Constantia"/>
        </w:rPr>
        <w:t xml:space="preserve">ičkih </w:t>
      </w:r>
      <w:r w:rsidRPr="00897A69">
        <w:rPr>
          <w:rFonts w:ascii="Constantia" w:hAnsi="Constantia"/>
        </w:rPr>
        <w:t>mjesta u Crnoj Gori.</w:t>
      </w:r>
    </w:p>
    <w:p w:rsidR="00912E35" w:rsidRPr="00355947" w:rsidRDefault="00912E35" w:rsidP="003927A1">
      <w:pPr>
        <w:rPr>
          <w:rStyle w:val="Strong"/>
          <w:rFonts w:ascii="Constantia" w:hAnsi="Constantia"/>
          <w:b w:val="0"/>
          <w:sz w:val="20"/>
        </w:rPr>
      </w:pPr>
      <w:r>
        <w:rPr>
          <w:rFonts w:ascii="Constantia" w:hAnsi="Constantia"/>
        </w:rPr>
        <w:t xml:space="preserve">Taj pokazatelj je očigledan na </w:t>
      </w:r>
      <w:r w:rsidR="003927A1" w:rsidRPr="003927A1">
        <w:rPr>
          <w:rFonts w:ascii="Constantia" w:hAnsi="Constantia"/>
          <w:i/>
        </w:rPr>
        <w:t>G</w:t>
      </w:r>
      <w:r w:rsidRPr="003927A1">
        <w:rPr>
          <w:rFonts w:ascii="Constantia" w:hAnsi="Constantia"/>
          <w:i/>
        </w:rPr>
        <w:t xml:space="preserve">rafikonu </w:t>
      </w:r>
      <w:r w:rsidR="003927A1" w:rsidRPr="003927A1">
        <w:rPr>
          <w:rFonts w:ascii="Constantia" w:hAnsi="Constantia"/>
          <w:i/>
        </w:rPr>
        <w:t>1</w:t>
      </w:r>
      <w:r w:rsidR="00E85862">
        <w:rPr>
          <w:rFonts w:ascii="Constantia" w:hAnsi="Constantia"/>
          <w:i/>
        </w:rPr>
        <w:t>23</w:t>
      </w:r>
      <w:r w:rsidR="003927A1" w:rsidRPr="003927A1">
        <w:rPr>
          <w:rFonts w:ascii="Constantia" w:hAnsi="Constantia"/>
          <w:i/>
        </w:rPr>
        <w:t>.</w:t>
      </w:r>
      <w:r>
        <w:rPr>
          <w:rFonts w:ascii="Constantia" w:hAnsi="Constantia"/>
        </w:rPr>
        <w:t xml:space="preserve"> koji pokazuje preraspodjelu</w:t>
      </w:r>
      <w:r w:rsidRPr="00897A69">
        <w:rPr>
          <w:rFonts w:ascii="Constantia" w:hAnsi="Constantia"/>
        </w:rPr>
        <w:t xml:space="preserve"> dolazaka turist</w:t>
      </w:r>
      <w:r>
        <w:rPr>
          <w:rFonts w:ascii="Constantia" w:hAnsi="Constantia"/>
        </w:rPr>
        <w:t>a po turist</w:t>
      </w:r>
      <w:r w:rsidR="003927A1">
        <w:rPr>
          <w:rFonts w:ascii="Constantia" w:hAnsi="Constantia"/>
        </w:rPr>
        <w:t xml:space="preserve">ičkim mjestima u 2013. godini. </w:t>
      </w:r>
      <w:r>
        <w:rPr>
          <w:rFonts w:ascii="Constantia" w:hAnsi="Constantia"/>
        </w:rPr>
        <w:t xml:space="preserve">Dolasci su najvećim dijelom usmjereni na primorska mjesta što </w:t>
      </w:r>
      <w:r w:rsidRPr="00897A69">
        <w:rPr>
          <w:rFonts w:ascii="Constantia" w:hAnsi="Constantia"/>
        </w:rPr>
        <w:t>pokazuje</w:t>
      </w:r>
      <w:r>
        <w:rPr>
          <w:rFonts w:ascii="Constantia" w:hAnsi="Constantia"/>
        </w:rPr>
        <w:t>,</w:t>
      </w:r>
      <w:r w:rsidRPr="00897A69">
        <w:rPr>
          <w:rFonts w:ascii="Constantia" w:hAnsi="Constantia"/>
        </w:rPr>
        <w:t xml:space="preserve"> </w:t>
      </w:r>
      <w:r>
        <w:rPr>
          <w:rFonts w:ascii="Constantia" w:hAnsi="Constantia"/>
        </w:rPr>
        <w:t xml:space="preserve">srazmjerno tome, i </w:t>
      </w:r>
      <w:r w:rsidRPr="00897A69">
        <w:rPr>
          <w:rFonts w:ascii="Constantia" w:hAnsi="Constantia"/>
        </w:rPr>
        <w:t xml:space="preserve"> </w:t>
      </w:r>
      <w:r>
        <w:rPr>
          <w:rFonts w:ascii="Constantia" w:hAnsi="Constantia"/>
        </w:rPr>
        <w:t xml:space="preserve">ogroman </w:t>
      </w:r>
      <w:r w:rsidRPr="00897A69">
        <w:rPr>
          <w:rFonts w:ascii="Constantia" w:hAnsi="Constantia"/>
        </w:rPr>
        <w:t xml:space="preserve">pritisak na </w:t>
      </w:r>
      <w:r w:rsidR="003927A1">
        <w:rPr>
          <w:rFonts w:ascii="Constantia" w:hAnsi="Constantia"/>
        </w:rPr>
        <w:t>životnu sredinu tih</w:t>
      </w:r>
      <w:r w:rsidRPr="00897A69">
        <w:rPr>
          <w:rFonts w:ascii="Constantia" w:hAnsi="Constantia"/>
        </w:rPr>
        <w:t xml:space="preserve"> mjesta. </w:t>
      </w:r>
    </w:p>
    <w:p w:rsidR="00912E35" w:rsidRPr="00D05F36" w:rsidRDefault="00912E35" w:rsidP="003927A1">
      <w:pPr>
        <w:rPr>
          <w:rFonts w:ascii="Constantia" w:hAnsi="Constantia"/>
          <w:sz w:val="20"/>
          <w:lang w:val="sr-Latn-CS"/>
        </w:rPr>
      </w:pPr>
    </w:p>
    <w:p w:rsidR="00912E35" w:rsidRPr="005E4028" w:rsidRDefault="00912E35" w:rsidP="00912E35">
      <w:pPr>
        <w:jc w:val="center"/>
        <w:rPr>
          <w:rFonts w:ascii="Constantia" w:hAnsi="Constantia"/>
          <w:lang w:val="sr-Latn-CS"/>
        </w:rPr>
      </w:pPr>
      <w:r>
        <w:rPr>
          <w:noProof/>
        </w:rPr>
        <w:lastRenderedPageBreak/>
        <w:drawing>
          <wp:inline distT="0" distB="0" distL="0" distR="0" wp14:anchorId="6354C405" wp14:editId="45F0DDB1">
            <wp:extent cx="4391025" cy="2828925"/>
            <wp:effectExtent l="0" t="0" r="9525" b="9525"/>
            <wp:docPr id="1365" name="Chart 136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9"/>
              </a:graphicData>
            </a:graphic>
          </wp:inline>
        </w:drawing>
      </w:r>
    </w:p>
    <w:p w:rsidR="00912E35" w:rsidRPr="00246A66" w:rsidRDefault="00246A66" w:rsidP="00246A66">
      <w:pPr>
        <w:pStyle w:val="Grafikon"/>
        <w:rPr>
          <w:rFonts w:ascii="Constantia" w:hAnsi="Constantia"/>
          <w:sz w:val="22"/>
          <w:szCs w:val="22"/>
        </w:rPr>
      </w:pPr>
      <w:r>
        <w:t xml:space="preserve"> </w:t>
      </w:r>
      <w:r w:rsidR="00912E35" w:rsidRPr="00246A66">
        <w:rPr>
          <w:rFonts w:ascii="Constantia" w:hAnsi="Constantia"/>
          <w:sz w:val="22"/>
          <w:szCs w:val="22"/>
        </w:rPr>
        <w:t xml:space="preserve">Dolasci turista prema vrstama turističkih mjesta </w:t>
      </w:r>
    </w:p>
    <w:p w:rsidR="00246A66" w:rsidRDefault="00246A66" w:rsidP="00246A66">
      <w:pPr>
        <w:rPr>
          <w:rFonts w:ascii="Constantia" w:hAnsi="Constantia"/>
          <w:lang w:val="sr-Latn-CS"/>
        </w:rPr>
      </w:pPr>
    </w:p>
    <w:p w:rsidR="00912E35" w:rsidRDefault="00912E35" w:rsidP="00246A66">
      <w:pPr>
        <w:rPr>
          <w:rFonts w:ascii="Constantia" w:hAnsi="Constantia"/>
          <w:lang w:val="sr-Latn-CS"/>
        </w:rPr>
      </w:pPr>
      <w:r>
        <w:rPr>
          <w:rFonts w:ascii="Constantia" w:hAnsi="Constantia"/>
          <w:lang w:val="sr-Latn-CS"/>
        </w:rPr>
        <w:t>Za</w:t>
      </w:r>
      <w:r w:rsidRPr="00897A69">
        <w:rPr>
          <w:rFonts w:ascii="Constantia" w:hAnsi="Constantia"/>
          <w:lang w:val="sr-Latn-CS"/>
        </w:rPr>
        <w:t>biljež</w:t>
      </w:r>
      <w:r>
        <w:rPr>
          <w:rFonts w:ascii="Constantia" w:hAnsi="Constantia"/>
          <w:lang w:val="sr-Latn-CS"/>
        </w:rPr>
        <w:t xml:space="preserve">eni </w:t>
      </w:r>
      <w:r w:rsidRPr="00897A69">
        <w:rPr>
          <w:rFonts w:ascii="Constantia" w:hAnsi="Constantia"/>
          <w:lang w:val="sr-Latn-CS"/>
        </w:rPr>
        <w:t>rast dolazak</w:t>
      </w:r>
      <w:r>
        <w:rPr>
          <w:rFonts w:ascii="Constantia" w:hAnsi="Constantia"/>
          <w:lang w:val="sr-Latn-CS"/>
        </w:rPr>
        <w:t xml:space="preserve">a turista (za period 2000-2013) je analiziran i </w:t>
      </w:r>
      <w:r w:rsidRPr="00387FC2">
        <w:rPr>
          <w:rFonts w:ascii="Constantia" w:hAnsi="Constantia"/>
          <w:lang w:val="sr-Latn-CS"/>
        </w:rPr>
        <w:t>u odn</w:t>
      </w:r>
      <w:r>
        <w:rPr>
          <w:rFonts w:ascii="Constantia" w:hAnsi="Constantia"/>
          <w:lang w:val="sr-Latn-CS"/>
        </w:rPr>
        <w:t>osu na vrstu turističkog mjesta.</w:t>
      </w:r>
      <w:r w:rsidRPr="00387FC2">
        <w:rPr>
          <w:rFonts w:ascii="Constantia" w:hAnsi="Constantia"/>
          <w:lang w:val="sr-Latn-CS"/>
        </w:rPr>
        <w:t xml:space="preserve"> </w:t>
      </w:r>
      <w:r>
        <w:rPr>
          <w:rFonts w:ascii="Constantia" w:hAnsi="Constantia"/>
          <w:lang w:val="sr-Latn-CS"/>
        </w:rPr>
        <w:t>Taj rast je najveći u primorskim  mjestima, oko 3,58 puta.</w:t>
      </w:r>
      <w:r w:rsidRPr="00897A69">
        <w:rPr>
          <w:rFonts w:ascii="Constantia" w:hAnsi="Constantia"/>
          <w:lang w:val="sr-Latn-CS"/>
        </w:rPr>
        <w:t xml:space="preserve"> </w:t>
      </w:r>
      <w:r w:rsidRPr="00897A69">
        <w:rPr>
          <w:rFonts w:ascii="Constantia" w:hAnsi="Constantia"/>
          <w:noProof/>
        </w:rPr>
        <w:t>Porast se</w:t>
      </w:r>
      <w:r>
        <w:rPr>
          <w:rFonts w:ascii="Constantia" w:hAnsi="Constantia"/>
          <w:noProof/>
        </w:rPr>
        <w:t xml:space="preserve"> bilježi i u Podgorici (50,9%) </w:t>
      </w:r>
      <w:r w:rsidRPr="00897A69">
        <w:rPr>
          <w:rFonts w:ascii="Constantia" w:hAnsi="Constantia"/>
          <w:noProof/>
        </w:rPr>
        <w:t>i planinskim  mjestima (6</w:t>
      </w:r>
      <w:r>
        <w:rPr>
          <w:rFonts w:ascii="Constantia" w:hAnsi="Constantia"/>
          <w:noProof/>
        </w:rPr>
        <w:t>0,8%)</w:t>
      </w:r>
      <w:r w:rsidRPr="00897A69">
        <w:rPr>
          <w:rFonts w:ascii="Constantia" w:hAnsi="Constantia"/>
          <w:noProof/>
        </w:rPr>
        <w:t xml:space="preserve">. </w:t>
      </w:r>
      <w:r w:rsidRPr="00897A69">
        <w:rPr>
          <w:rFonts w:ascii="Constantia" w:hAnsi="Constantia"/>
          <w:lang w:val="sr-Latn-CS"/>
        </w:rPr>
        <w:t>U ostalim mjestim</w:t>
      </w:r>
      <w:r>
        <w:rPr>
          <w:rFonts w:ascii="Constantia" w:hAnsi="Constantia"/>
          <w:lang w:val="sr-Latn-CS"/>
        </w:rPr>
        <w:t>a dolasci se neznatno mijenjaju</w:t>
      </w:r>
      <w:r w:rsidRPr="00897A69">
        <w:rPr>
          <w:rFonts w:ascii="Constantia" w:hAnsi="Constantia"/>
          <w:lang w:val="sr-Latn-CS"/>
        </w:rPr>
        <w:t>.</w:t>
      </w:r>
      <w:r>
        <w:rPr>
          <w:rFonts w:ascii="Constantia" w:hAnsi="Constantia"/>
          <w:lang w:val="sr-Latn-CS"/>
        </w:rPr>
        <w:t xml:space="preserve"> </w:t>
      </w:r>
    </w:p>
    <w:p w:rsidR="00912E35" w:rsidRDefault="00912E35" w:rsidP="00246A66">
      <w:pPr>
        <w:rPr>
          <w:rFonts w:ascii="Constantia" w:hAnsi="Constantia"/>
          <w:lang w:val="sr-Latn-CS"/>
        </w:rPr>
      </w:pPr>
      <w:r>
        <w:rPr>
          <w:rFonts w:ascii="Constantia" w:hAnsi="Constantia"/>
          <w:lang w:val="sr-Latn-CS"/>
        </w:rPr>
        <w:t>U 2013</w:t>
      </w:r>
      <w:r w:rsidRPr="00897A69">
        <w:rPr>
          <w:rFonts w:ascii="Constantia" w:hAnsi="Constantia"/>
          <w:lang w:val="sr-Latn-CS"/>
        </w:rPr>
        <w:t xml:space="preserve">. </w:t>
      </w:r>
      <w:r>
        <w:rPr>
          <w:rFonts w:ascii="Constantia" w:hAnsi="Constantia"/>
          <w:lang w:val="sr-Latn-CS"/>
        </w:rPr>
        <w:t xml:space="preserve">godini </w:t>
      </w:r>
      <w:r w:rsidRPr="00897A69">
        <w:rPr>
          <w:rFonts w:ascii="Constantia" w:hAnsi="Constantia"/>
          <w:noProof/>
        </w:rPr>
        <w:t>t</w:t>
      </w:r>
      <w:r>
        <w:rPr>
          <w:rFonts w:ascii="Constantia" w:hAnsi="Constantia"/>
          <w:lang w:val="sr-Latn-CS"/>
        </w:rPr>
        <w:t>uristi su najviše posjećivali primorska mjesta (91</w:t>
      </w:r>
      <w:r w:rsidRPr="00897A69">
        <w:rPr>
          <w:rFonts w:ascii="Constantia" w:hAnsi="Constantia"/>
          <w:lang w:val="sr-Latn-CS"/>
        </w:rPr>
        <w:t>% učešća u odnos</w:t>
      </w:r>
      <w:r>
        <w:rPr>
          <w:rFonts w:ascii="Constantia" w:hAnsi="Constantia"/>
          <w:lang w:val="sr-Latn-CS"/>
        </w:rPr>
        <w:t xml:space="preserve">u na ukupni promet). Podgoricu </w:t>
      </w:r>
      <w:r w:rsidRPr="00897A69">
        <w:rPr>
          <w:rFonts w:ascii="Constantia" w:hAnsi="Constantia"/>
          <w:lang w:val="sr-Latn-CS"/>
        </w:rPr>
        <w:t xml:space="preserve">i planinska mjesta posjetilo je </w:t>
      </w:r>
      <w:r>
        <w:rPr>
          <w:rFonts w:ascii="Constantia" w:hAnsi="Constantia"/>
          <w:lang w:val="sr-Latn-CS"/>
        </w:rPr>
        <w:t xml:space="preserve">približno isto turista, </w:t>
      </w:r>
      <w:r w:rsidRPr="00897A69">
        <w:rPr>
          <w:rFonts w:ascii="Constantia" w:hAnsi="Constantia"/>
          <w:lang w:val="sr-Latn-CS"/>
        </w:rPr>
        <w:t>ok</w:t>
      </w:r>
      <w:r>
        <w:rPr>
          <w:rFonts w:ascii="Constantia" w:hAnsi="Constantia"/>
          <w:lang w:val="sr-Latn-CS"/>
        </w:rPr>
        <w:t>o 4%  od ukupne posjete turista</w:t>
      </w:r>
      <w:r w:rsidRPr="00897A69">
        <w:rPr>
          <w:rFonts w:ascii="Constantia" w:hAnsi="Constantia"/>
          <w:lang w:val="sr-Latn-CS"/>
        </w:rPr>
        <w:t>.</w:t>
      </w:r>
      <w:r>
        <w:rPr>
          <w:rFonts w:ascii="Constantia" w:hAnsi="Constantia"/>
          <w:lang w:val="sr-Latn-CS"/>
        </w:rPr>
        <w:t xml:space="preserve"> Ostala turistička mjesta je posjetilo 1,4% a ostala mjesta 0,13% turista.</w:t>
      </w:r>
    </w:p>
    <w:p w:rsidR="00912E35" w:rsidRPr="005E4028" w:rsidRDefault="00912E35" w:rsidP="00912E35">
      <w:pPr>
        <w:spacing w:line="276" w:lineRule="auto"/>
        <w:ind w:firstLine="144"/>
        <w:rPr>
          <w:rFonts w:ascii="Constantia" w:hAnsi="Constantia"/>
          <w:lang w:val="sr-Latn-CS"/>
        </w:rPr>
      </w:pPr>
    </w:p>
    <w:p w:rsidR="00912E35" w:rsidRPr="005E4028" w:rsidRDefault="00912E35" w:rsidP="00912E35">
      <w:pPr>
        <w:pStyle w:val="Grafikon"/>
        <w:numPr>
          <w:ilvl w:val="0"/>
          <w:numId w:val="0"/>
        </w:numPr>
        <w:ind w:left="144" w:hanging="144"/>
        <w:rPr>
          <w:rFonts w:ascii="Constantia" w:hAnsi="Constantia"/>
        </w:rPr>
      </w:pPr>
      <w:r>
        <w:rPr>
          <w:noProof/>
          <w:lang w:val="en-US"/>
        </w:rPr>
        <w:drawing>
          <wp:inline distT="0" distB="0" distL="0" distR="0" wp14:anchorId="44759C07" wp14:editId="6EEF9261">
            <wp:extent cx="3990975" cy="2514600"/>
            <wp:effectExtent l="0" t="0" r="9525" b="19050"/>
            <wp:docPr id="1366" name="Chart 136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0"/>
              </a:graphicData>
            </a:graphic>
          </wp:inline>
        </w:drawing>
      </w:r>
    </w:p>
    <w:p w:rsidR="00912E35" w:rsidRPr="00246A66" w:rsidRDefault="00246A66" w:rsidP="00246A66">
      <w:pPr>
        <w:pStyle w:val="Grafikon"/>
        <w:rPr>
          <w:rFonts w:ascii="Constantia" w:hAnsi="Constantia"/>
          <w:sz w:val="22"/>
          <w:szCs w:val="22"/>
        </w:rPr>
      </w:pPr>
      <w:r>
        <w:t xml:space="preserve"> </w:t>
      </w:r>
      <w:r w:rsidR="00912E35" w:rsidRPr="00246A66">
        <w:rPr>
          <w:rFonts w:ascii="Constantia" w:hAnsi="Constantia"/>
          <w:sz w:val="22"/>
          <w:szCs w:val="22"/>
        </w:rPr>
        <w:t>Učešća turisti</w:t>
      </w:r>
      <w:r w:rsidR="00912E35" w:rsidRPr="00246A66">
        <w:rPr>
          <w:rFonts w:ascii="Constantia" w:hAnsi="Constantia"/>
          <w:sz w:val="22"/>
          <w:szCs w:val="22"/>
          <w:lang w:val="sr-Latn-ME"/>
        </w:rPr>
        <w:t xml:space="preserve">čkih </w:t>
      </w:r>
      <w:r w:rsidR="00912E35" w:rsidRPr="00246A66">
        <w:rPr>
          <w:rFonts w:ascii="Constantia" w:hAnsi="Constantia"/>
          <w:sz w:val="22"/>
          <w:szCs w:val="22"/>
        </w:rPr>
        <w:t>mjesta u ukupnom prometu, 2013</w:t>
      </w:r>
    </w:p>
    <w:p w:rsidR="00912E35" w:rsidRPr="005E4028" w:rsidRDefault="00912E35" w:rsidP="00912E35">
      <w:pPr>
        <w:pStyle w:val="Grafikon"/>
        <w:numPr>
          <w:ilvl w:val="0"/>
          <w:numId w:val="0"/>
        </w:numPr>
        <w:ind w:left="144"/>
        <w:jc w:val="both"/>
        <w:rPr>
          <w:rFonts w:ascii="Constantia" w:hAnsi="Constantia"/>
        </w:rPr>
      </w:pPr>
    </w:p>
    <w:p w:rsidR="00912E35" w:rsidRPr="005E4028" w:rsidRDefault="00912E35" w:rsidP="00246A66">
      <w:pPr>
        <w:rPr>
          <w:rFonts w:ascii="Constantia" w:hAnsi="Constantia"/>
        </w:rPr>
      </w:pPr>
      <w:r w:rsidRPr="00897A69">
        <w:rPr>
          <w:rFonts w:ascii="Constantia" w:hAnsi="Constantia"/>
        </w:rPr>
        <w:t>Analizom podjele dolazaka turista po mjesecima na godišnjem n</w:t>
      </w:r>
      <w:r>
        <w:rPr>
          <w:rFonts w:ascii="Constantia" w:hAnsi="Constantia"/>
        </w:rPr>
        <w:t>ivou</w:t>
      </w:r>
      <w:r w:rsidRPr="00897A69">
        <w:rPr>
          <w:rFonts w:ascii="Constantia" w:hAnsi="Constantia"/>
        </w:rPr>
        <w:t xml:space="preserve"> očigledna je paraboloidna raspodjela dolazaka</w:t>
      </w:r>
      <w:r>
        <w:rPr>
          <w:rFonts w:ascii="Constantia" w:hAnsi="Constantia"/>
        </w:rPr>
        <w:t>,</w:t>
      </w:r>
      <w:r w:rsidRPr="00947A1B">
        <w:rPr>
          <w:rFonts w:ascii="Constantia" w:hAnsi="Constantia"/>
        </w:rPr>
        <w:t xml:space="preserve"> gdje </w:t>
      </w:r>
      <w:r>
        <w:rPr>
          <w:rFonts w:ascii="Constantia" w:hAnsi="Constantia"/>
        </w:rPr>
        <w:t xml:space="preserve">je vrh parabole avgust mjesec. U </w:t>
      </w:r>
      <w:r w:rsidRPr="00947A1B">
        <w:rPr>
          <w:rFonts w:ascii="Constantia" w:hAnsi="Constantia"/>
        </w:rPr>
        <w:t>avgustu 2</w:t>
      </w:r>
      <w:r>
        <w:rPr>
          <w:rFonts w:ascii="Constantia" w:hAnsi="Constantia"/>
        </w:rPr>
        <w:t>013</w:t>
      </w:r>
      <w:r w:rsidRPr="00947A1B">
        <w:rPr>
          <w:rFonts w:ascii="Constantia" w:hAnsi="Constantia"/>
        </w:rPr>
        <w:t>.</w:t>
      </w:r>
      <w:r w:rsidR="00246A66">
        <w:rPr>
          <w:rFonts w:ascii="Constantia" w:hAnsi="Constantia"/>
        </w:rPr>
        <w:t xml:space="preserve"> godine</w:t>
      </w:r>
      <w:r w:rsidRPr="00947A1B">
        <w:rPr>
          <w:rFonts w:ascii="Constantia" w:hAnsi="Constantia"/>
        </w:rPr>
        <w:t xml:space="preserve"> </w:t>
      </w:r>
      <w:r>
        <w:rPr>
          <w:rFonts w:ascii="Constantia" w:hAnsi="Constantia"/>
        </w:rPr>
        <w:t>došlo</w:t>
      </w:r>
      <w:r w:rsidRPr="00947A1B">
        <w:rPr>
          <w:rFonts w:ascii="Constantia" w:hAnsi="Constantia"/>
        </w:rPr>
        <w:t xml:space="preserve"> je 33</w:t>
      </w:r>
      <w:r>
        <w:rPr>
          <w:rFonts w:ascii="Constantia" w:hAnsi="Constantia"/>
        </w:rPr>
        <w:t>,7</w:t>
      </w:r>
      <w:r w:rsidRPr="00947A1B">
        <w:rPr>
          <w:rFonts w:ascii="Constantia" w:hAnsi="Constantia"/>
        </w:rPr>
        <w:t>% od ukupnog broja dolazaka u toj godini</w:t>
      </w:r>
      <w:r>
        <w:rPr>
          <w:rFonts w:ascii="Constantia" w:hAnsi="Constantia"/>
        </w:rPr>
        <w:t>. Takođe</w:t>
      </w:r>
      <w:r w:rsidRPr="00947A1B">
        <w:rPr>
          <w:rFonts w:ascii="Constantia" w:hAnsi="Constantia"/>
        </w:rPr>
        <w:t xml:space="preserve"> je broj dolazaka turista značajan </w:t>
      </w:r>
      <w:r>
        <w:rPr>
          <w:rFonts w:ascii="Constantia" w:hAnsi="Constantia"/>
        </w:rPr>
        <w:t xml:space="preserve">i </w:t>
      </w:r>
      <w:r w:rsidRPr="00947A1B">
        <w:rPr>
          <w:rFonts w:ascii="Constantia" w:hAnsi="Constantia"/>
        </w:rPr>
        <w:t>u julu</w:t>
      </w:r>
      <w:r>
        <w:rPr>
          <w:rFonts w:ascii="Constantia" w:hAnsi="Constantia"/>
        </w:rPr>
        <w:t xml:space="preserve"> </w:t>
      </w:r>
      <w:r>
        <w:rPr>
          <w:rFonts w:ascii="Constantia" w:hAnsi="Constantia"/>
        </w:rPr>
        <w:lastRenderedPageBreak/>
        <w:t>(23,4% dolazaka)</w:t>
      </w:r>
      <w:r w:rsidRPr="00947A1B">
        <w:rPr>
          <w:rFonts w:ascii="Constantia" w:hAnsi="Constantia"/>
        </w:rPr>
        <w:t>, septembru</w:t>
      </w:r>
      <w:r>
        <w:rPr>
          <w:rFonts w:ascii="Constantia" w:hAnsi="Constantia"/>
        </w:rPr>
        <w:t xml:space="preserve"> (15% dolazaka)</w:t>
      </w:r>
      <w:r w:rsidRPr="00947A1B">
        <w:rPr>
          <w:rFonts w:ascii="Constantia" w:hAnsi="Constantia"/>
        </w:rPr>
        <w:t xml:space="preserve"> i  junu</w:t>
      </w:r>
      <w:r>
        <w:rPr>
          <w:rFonts w:ascii="Constantia" w:hAnsi="Constantia"/>
        </w:rPr>
        <w:t xml:space="preserve"> (10,9%)</w:t>
      </w:r>
      <w:r w:rsidRPr="00947A1B">
        <w:rPr>
          <w:rFonts w:ascii="Constantia" w:hAnsi="Constantia"/>
        </w:rPr>
        <w:t>.</w:t>
      </w:r>
      <w:r>
        <w:rPr>
          <w:rFonts w:ascii="Constantia" w:hAnsi="Constantia"/>
        </w:rPr>
        <w:t xml:space="preserve"> U ostalom dijelu godine</w:t>
      </w:r>
      <w:r w:rsidR="00246A66">
        <w:rPr>
          <w:rFonts w:ascii="Constantia" w:hAnsi="Constantia"/>
        </w:rPr>
        <w:t>,</w:t>
      </w:r>
      <w:r>
        <w:rPr>
          <w:rFonts w:ascii="Constantia" w:hAnsi="Constantia"/>
        </w:rPr>
        <w:t xml:space="preserve"> dolasci su zastupljeni sa 27,8% od ukupnih dolazaka. </w:t>
      </w:r>
    </w:p>
    <w:p w:rsidR="00912E35" w:rsidRPr="005E4028" w:rsidRDefault="00912E35" w:rsidP="00246A66">
      <w:pPr>
        <w:rPr>
          <w:rFonts w:ascii="Constantia" w:hAnsi="Constantia"/>
        </w:rPr>
      </w:pPr>
      <w:r w:rsidRPr="00947A1B">
        <w:rPr>
          <w:rFonts w:ascii="Constantia" w:hAnsi="Constantia"/>
        </w:rPr>
        <w:t xml:space="preserve">U zimskim mjesecima (XII, </w:t>
      </w:r>
      <w:r>
        <w:rPr>
          <w:rFonts w:ascii="Constantia" w:hAnsi="Constantia"/>
        </w:rPr>
        <w:t>I, II i III) registrovano je 4,</w:t>
      </w:r>
      <w:r w:rsidRPr="00947A1B">
        <w:rPr>
          <w:rFonts w:ascii="Constantia" w:hAnsi="Constantia"/>
        </w:rPr>
        <w:t>8</w:t>
      </w:r>
      <w:r>
        <w:rPr>
          <w:rFonts w:ascii="Constantia" w:hAnsi="Constantia"/>
        </w:rPr>
        <w:t>4</w:t>
      </w:r>
      <w:r w:rsidRPr="00947A1B">
        <w:rPr>
          <w:rFonts w:ascii="Constantia" w:hAnsi="Constantia"/>
        </w:rPr>
        <w:t>% od ukupn</w:t>
      </w:r>
      <w:r>
        <w:rPr>
          <w:rFonts w:ascii="Constantia" w:hAnsi="Constantia"/>
        </w:rPr>
        <w:t>og broja dolazaka u 2013</w:t>
      </w:r>
      <w:r w:rsidRPr="00947A1B">
        <w:rPr>
          <w:rFonts w:ascii="Constantia" w:hAnsi="Constantia"/>
        </w:rPr>
        <w:t>.</w:t>
      </w:r>
    </w:p>
    <w:p w:rsidR="00912E35" w:rsidRDefault="00912E35" w:rsidP="00246A66">
      <w:pPr>
        <w:rPr>
          <w:rFonts w:ascii="Constantia" w:hAnsi="Constantia"/>
        </w:rPr>
      </w:pPr>
      <w:r>
        <w:rPr>
          <w:rFonts w:ascii="Constantia" w:hAnsi="Constantia"/>
        </w:rPr>
        <w:t xml:space="preserve">Može se zaključiti da je pritisak koji izaziva razvoj turizma </w:t>
      </w:r>
      <w:r w:rsidRPr="00947A1B">
        <w:rPr>
          <w:rFonts w:ascii="Constantia" w:hAnsi="Constantia"/>
        </w:rPr>
        <w:t>značajno veći na primorju.</w:t>
      </w:r>
    </w:p>
    <w:p w:rsidR="00912E35" w:rsidRPr="00396585" w:rsidRDefault="00912E35" w:rsidP="00912E35">
      <w:pPr>
        <w:spacing w:line="276" w:lineRule="auto"/>
        <w:ind w:firstLine="144"/>
        <w:rPr>
          <w:rFonts w:ascii="Constantia" w:hAnsi="Constantia"/>
        </w:rPr>
      </w:pPr>
    </w:p>
    <w:p w:rsidR="00912E35" w:rsidRPr="005E4028" w:rsidRDefault="00912E35" w:rsidP="00912E35">
      <w:pPr>
        <w:pStyle w:val="Grafikon"/>
        <w:numPr>
          <w:ilvl w:val="0"/>
          <w:numId w:val="0"/>
        </w:numPr>
        <w:ind w:left="144"/>
        <w:rPr>
          <w:rFonts w:ascii="Constantia" w:hAnsi="Constantia"/>
        </w:rPr>
      </w:pPr>
      <w:r w:rsidRPr="000215BD">
        <w:rPr>
          <w:noProof/>
          <w:sz w:val="16"/>
          <w:szCs w:val="16"/>
          <w:lang w:val="en-US"/>
        </w:rPr>
        <w:drawing>
          <wp:inline distT="0" distB="0" distL="0" distR="0" wp14:anchorId="77CF8B45" wp14:editId="701ED5D1">
            <wp:extent cx="4572000" cy="2743200"/>
            <wp:effectExtent l="0" t="0" r="19050" b="19050"/>
            <wp:docPr id="1367" name="Chart 136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1"/>
              </a:graphicData>
            </a:graphic>
          </wp:inline>
        </w:drawing>
      </w:r>
    </w:p>
    <w:p w:rsidR="00912E35" w:rsidRPr="00AD367F" w:rsidRDefault="00AD367F" w:rsidP="00AD367F">
      <w:pPr>
        <w:pStyle w:val="Grafikon"/>
        <w:rPr>
          <w:rFonts w:ascii="Constantia" w:hAnsi="Constantia"/>
          <w:sz w:val="22"/>
          <w:szCs w:val="22"/>
        </w:rPr>
      </w:pPr>
      <w:r>
        <w:t xml:space="preserve"> </w:t>
      </w:r>
      <w:r w:rsidR="00912E35" w:rsidRPr="00AD367F">
        <w:rPr>
          <w:rFonts w:ascii="Constantia" w:hAnsi="Constantia"/>
          <w:sz w:val="22"/>
          <w:szCs w:val="22"/>
        </w:rPr>
        <w:t>Dolasci turista po mjesecima, 2013</w:t>
      </w:r>
    </w:p>
    <w:p w:rsidR="00AD367F" w:rsidRDefault="00AD367F" w:rsidP="00AD367F">
      <w:pPr>
        <w:pStyle w:val="Heading3"/>
        <w:rPr>
          <w:rFonts w:ascii="Constantia" w:hAnsi="Constantia" w:cs="Times New Roman"/>
          <w:iCs/>
          <w:color w:val="000000"/>
          <w:sz w:val="22"/>
          <w:szCs w:val="22"/>
          <w:lang w:val="en-US"/>
        </w:rPr>
      </w:pPr>
    </w:p>
    <w:p w:rsidR="00912E35" w:rsidRPr="005E4028" w:rsidRDefault="00A74824" w:rsidP="00AD367F">
      <w:pPr>
        <w:pStyle w:val="Heading3"/>
      </w:pPr>
      <w:bookmarkStart w:id="355" w:name="_Toc393897979"/>
      <w:r>
        <w:t>10.5.2</w:t>
      </w:r>
      <w:r w:rsidR="00AD367F">
        <w:t xml:space="preserve">  N</w:t>
      </w:r>
      <w:r w:rsidR="00912E35" w:rsidRPr="007A751B">
        <w:t>oćenja turista</w:t>
      </w:r>
      <w:bookmarkEnd w:id="355"/>
      <w:r w:rsidR="00912E35" w:rsidRPr="007A751B">
        <w:rPr>
          <w:rStyle w:val="Strong"/>
          <w:rFonts w:ascii="Constantia" w:hAnsi="Constantia"/>
          <w:sz w:val="22"/>
          <w:szCs w:val="22"/>
        </w:rPr>
        <w:t xml:space="preserve"> </w:t>
      </w:r>
    </w:p>
    <w:p w:rsidR="00912E35" w:rsidRPr="005E4028" w:rsidRDefault="00912E35" w:rsidP="009931B4">
      <w:pPr>
        <w:spacing w:before="240"/>
        <w:rPr>
          <w:rFonts w:ascii="Constantia" w:hAnsi="Constantia"/>
        </w:rPr>
      </w:pPr>
      <w:r w:rsidRPr="00947A1B">
        <w:rPr>
          <w:rFonts w:ascii="Constantia" w:hAnsi="Constantia"/>
        </w:rPr>
        <w:t>Indikatorom se prati trend ukupnih noćenja turista (stranih i domaćih), prema zemljama porijekla, vrsti turističkih mjesta i vrsti objekata za smještaj. U noćenja spada broj noćenja koje ostvare turisti u smještajnom objektu. Indikatorom se daju podaci o gustini turist</w:t>
      </w:r>
      <w:r>
        <w:rPr>
          <w:rFonts w:ascii="Constantia" w:hAnsi="Constantia"/>
        </w:rPr>
        <w:t>ičkog prometa i tako ukazuje na</w:t>
      </w:r>
      <w:r w:rsidRPr="00947A1B">
        <w:rPr>
          <w:rFonts w:ascii="Constantia" w:hAnsi="Constantia"/>
        </w:rPr>
        <w:t xml:space="preserve"> pritisak na</w:t>
      </w:r>
      <w:r>
        <w:rPr>
          <w:rFonts w:ascii="Constantia" w:hAnsi="Constantia"/>
        </w:rPr>
        <w:t xml:space="preserve"> životnu sredinu u turističkim </w:t>
      </w:r>
      <w:r w:rsidRPr="00947A1B">
        <w:rPr>
          <w:rFonts w:ascii="Constantia" w:hAnsi="Constantia"/>
        </w:rPr>
        <w:t xml:space="preserve">mjestima u odnosu na sledeće parametre: </w:t>
      </w:r>
    </w:p>
    <w:p w:rsidR="00912E35" w:rsidRPr="005E4028" w:rsidRDefault="00912E35" w:rsidP="009931B4">
      <w:pPr>
        <w:rPr>
          <w:rFonts w:ascii="Constantia" w:hAnsi="Constantia"/>
        </w:rPr>
      </w:pPr>
      <w:r w:rsidRPr="00947A1B">
        <w:rPr>
          <w:rFonts w:ascii="Constantia" w:hAnsi="Constantia"/>
        </w:rPr>
        <w:t>-</w:t>
      </w:r>
      <w:r w:rsidR="002F05DD">
        <w:rPr>
          <w:rFonts w:ascii="Constantia" w:hAnsi="Constantia"/>
        </w:rPr>
        <w:t xml:space="preserve"> </w:t>
      </w:r>
      <w:r w:rsidRPr="00947A1B">
        <w:rPr>
          <w:rFonts w:ascii="Constantia" w:hAnsi="Constantia"/>
        </w:rPr>
        <w:t>Broj noćenja po km</w:t>
      </w:r>
      <w:r w:rsidRPr="00697706">
        <w:rPr>
          <w:rFonts w:ascii="Constantia" w:hAnsi="Constantia"/>
          <w:vertAlign w:val="superscript"/>
        </w:rPr>
        <w:t>2</w:t>
      </w:r>
      <w:r w:rsidRPr="00947A1B">
        <w:rPr>
          <w:rFonts w:ascii="Constantia" w:hAnsi="Constantia"/>
        </w:rPr>
        <w:t xml:space="preserve"> (pritisak na okolinu);</w:t>
      </w:r>
    </w:p>
    <w:p w:rsidR="00912E35" w:rsidRPr="005E4028" w:rsidRDefault="00912E35" w:rsidP="009931B4">
      <w:pPr>
        <w:rPr>
          <w:rFonts w:ascii="Constantia" w:hAnsi="Constantia"/>
        </w:rPr>
      </w:pPr>
      <w:r w:rsidRPr="00947A1B">
        <w:rPr>
          <w:rFonts w:ascii="Constantia" w:hAnsi="Constantia"/>
        </w:rPr>
        <w:t>-</w:t>
      </w:r>
      <w:r w:rsidR="002F05DD">
        <w:rPr>
          <w:rFonts w:ascii="Constantia" w:hAnsi="Constantia"/>
        </w:rPr>
        <w:t xml:space="preserve"> </w:t>
      </w:r>
      <w:r w:rsidRPr="00947A1B">
        <w:rPr>
          <w:rFonts w:ascii="Constantia" w:hAnsi="Constantia"/>
        </w:rPr>
        <w:t>Broj noćenja po stanovniku (pritisak na domicilno stanovništvo);</w:t>
      </w:r>
    </w:p>
    <w:p w:rsidR="00912E35" w:rsidRPr="005E4028" w:rsidRDefault="00912E35" w:rsidP="009931B4">
      <w:pPr>
        <w:rPr>
          <w:rFonts w:ascii="Constantia" w:hAnsi="Constantia"/>
        </w:rPr>
      </w:pPr>
      <w:r w:rsidRPr="00897A69">
        <w:rPr>
          <w:rFonts w:ascii="Constantia" w:hAnsi="Constantia"/>
        </w:rPr>
        <w:t>-</w:t>
      </w:r>
      <w:r w:rsidR="002F05DD">
        <w:rPr>
          <w:rFonts w:ascii="Constantia" w:hAnsi="Constantia"/>
        </w:rPr>
        <w:t xml:space="preserve"> </w:t>
      </w:r>
      <w:r w:rsidRPr="00897A69">
        <w:rPr>
          <w:rFonts w:ascii="Constantia" w:hAnsi="Constantia"/>
        </w:rPr>
        <w:t>Broj noćenja po mjesecima (de-sezonalnost);</w:t>
      </w:r>
    </w:p>
    <w:p w:rsidR="00912E35" w:rsidRPr="005E4028" w:rsidRDefault="00912E35" w:rsidP="009931B4">
      <w:pPr>
        <w:rPr>
          <w:rFonts w:ascii="Constantia" w:hAnsi="Constantia"/>
        </w:rPr>
      </w:pPr>
      <w:r w:rsidRPr="00897A69">
        <w:rPr>
          <w:rFonts w:ascii="Constantia" w:hAnsi="Constantia"/>
        </w:rPr>
        <w:t>-</w:t>
      </w:r>
      <w:r w:rsidR="002F05DD">
        <w:rPr>
          <w:rFonts w:ascii="Constantia" w:hAnsi="Constantia"/>
        </w:rPr>
        <w:t xml:space="preserve"> </w:t>
      </w:r>
      <w:r w:rsidRPr="00897A69">
        <w:rPr>
          <w:rFonts w:ascii="Constantia" w:hAnsi="Constantia"/>
        </w:rPr>
        <w:t>Broj noćenja po mjestima: primorska, pla</w:t>
      </w:r>
      <w:r>
        <w:rPr>
          <w:rFonts w:ascii="Constantia" w:hAnsi="Constantia"/>
        </w:rPr>
        <w:t>ninska, administrativni centri, ostala mjesta</w:t>
      </w:r>
      <w:r w:rsidR="002F05DD">
        <w:rPr>
          <w:rFonts w:ascii="Constantia" w:hAnsi="Constantia"/>
        </w:rPr>
        <w:t>.</w:t>
      </w:r>
    </w:p>
    <w:p w:rsidR="00912E35" w:rsidRPr="005E4028" w:rsidRDefault="00912E35" w:rsidP="002F05DD">
      <w:pPr>
        <w:rPr>
          <w:rFonts w:ascii="Constantia" w:hAnsi="Constantia"/>
        </w:rPr>
      </w:pPr>
      <w:r>
        <w:rPr>
          <w:rFonts w:ascii="Constantia" w:hAnsi="Constantia"/>
        </w:rPr>
        <w:t xml:space="preserve">Indikator </w:t>
      </w:r>
      <w:r w:rsidRPr="00897A69">
        <w:rPr>
          <w:rFonts w:ascii="Constantia" w:hAnsi="Constantia"/>
        </w:rPr>
        <w:t xml:space="preserve">pripada grupi </w:t>
      </w:r>
      <w:r w:rsidRPr="00897A69">
        <w:rPr>
          <w:rFonts w:ascii="Constantia" w:hAnsi="Constantia"/>
          <w:b/>
        </w:rPr>
        <w:t>pokretačkih faktora</w:t>
      </w:r>
      <w:r>
        <w:rPr>
          <w:rFonts w:ascii="Constantia" w:hAnsi="Constantia"/>
        </w:rPr>
        <w:t xml:space="preserve"> u </w:t>
      </w:r>
      <w:r w:rsidRPr="00947A1B">
        <w:rPr>
          <w:rFonts w:ascii="Constantia" w:hAnsi="Constantia"/>
        </w:rPr>
        <w:t>DPS</w:t>
      </w:r>
      <w:r>
        <w:rPr>
          <w:rFonts w:ascii="Constantia" w:hAnsi="Constantia"/>
        </w:rPr>
        <w:t>I</w:t>
      </w:r>
      <w:r w:rsidRPr="00947A1B">
        <w:rPr>
          <w:rFonts w:ascii="Constantia" w:hAnsi="Constantia"/>
        </w:rPr>
        <w:t>R modelu.</w:t>
      </w:r>
    </w:p>
    <w:p w:rsidR="00912E35" w:rsidRDefault="00912E35" w:rsidP="002F05DD">
      <w:pPr>
        <w:rPr>
          <w:rFonts w:ascii="Constantia" w:hAnsi="Constantia"/>
        </w:rPr>
      </w:pPr>
      <w:r w:rsidRPr="00897A69">
        <w:rPr>
          <w:rFonts w:ascii="Constantia" w:hAnsi="Constantia"/>
        </w:rPr>
        <w:t xml:space="preserve">Analiza </w:t>
      </w:r>
      <w:r>
        <w:rPr>
          <w:rFonts w:ascii="Constantia" w:hAnsi="Constantia"/>
        </w:rPr>
        <w:t xml:space="preserve">vezana za dolaske </w:t>
      </w:r>
      <w:r w:rsidRPr="00897A69">
        <w:rPr>
          <w:rFonts w:ascii="Constantia" w:hAnsi="Constantia"/>
        </w:rPr>
        <w:t>domaćih i stranih gostiju,</w:t>
      </w:r>
      <w:r>
        <w:rPr>
          <w:rFonts w:ascii="Constantia" w:hAnsi="Constantia"/>
        </w:rPr>
        <w:t xml:space="preserve"> do</w:t>
      </w:r>
      <w:r w:rsidRPr="00897A69">
        <w:rPr>
          <w:rFonts w:ascii="Constantia" w:hAnsi="Constantia"/>
        </w:rPr>
        <w:t xml:space="preserve"> i poslije 2006.</w:t>
      </w:r>
      <w:r w:rsidR="002F05DD">
        <w:rPr>
          <w:rFonts w:ascii="Constantia" w:hAnsi="Constantia"/>
        </w:rPr>
        <w:t xml:space="preserve"> godine</w:t>
      </w:r>
      <w:r w:rsidRPr="00897A69">
        <w:rPr>
          <w:rFonts w:ascii="Constantia" w:hAnsi="Constantia"/>
        </w:rPr>
        <w:t xml:space="preserve">, koja je </w:t>
      </w:r>
      <w:r>
        <w:rPr>
          <w:rFonts w:ascii="Constantia" w:hAnsi="Constantia"/>
        </w:rPr>
        <w:t>urađena</w:t>
      </w:r>
      <w:r w:rsidRPr="00897A69">
        <w:rPr>
          <w:rFonts w:ascii="Constantia" w:hAnsi="Constantia"/>
        </w:rPr>
        <w:t xml:space="preserve"> u </w:t>
      </w:r>
      <w:r w:rsidRPr="00947A1B">
        <w:rPr>
          <w:rFonts w:ascii="Constantia" w:hAnsi="Constantia"/>
        </w:rPr>
        <w:t>i</w:t>
      </w:r>
      <w:r w:rsidRPr="00897A69">
        <w:rPr>
          <w:rFonts w:ascii="Constantia" w:hAnsi="Constantia"/>
        </w:rPr>
        <w:t>ndikatoru “</w:t>
      </w:r>
      <w:r w:rsidRPr="00947A1B">
        <w:rPr>
          <w:rFonts w:ascii="Constantia" w:hAnsi="Constantia"/>
        </w:rPr>
        <w:t>d</w:t>
      </w:r>
      <w:r w:rsidRPr="00897A69">
        <w:rPr>
          <w:rFonts w:ascii="Constantia" w:hAnsi="Constantia"/>
        </w:rPr>
        <w:t xml:space="preserve">olasci </w:t>
      </w:r>
      <w:r>
        <w:rPr>
          <w:rFonts w:ascii="Constantia" w:hAnsi="Constantia"/>
        </w:rPr>
        <w:t>turista</w:t>
      </w:r>
      <w:r w:rsidRPr="00897A69">
        <w:rPr>
          <w:rFonts w:ascii="Constantia" w:hAnsi="Constantia"/>
        </w:rPr>
        <w:t xml:space="preserve">” važi i ovdje. Na </w:t>
      </w:r>
      <w:r w:rsidR="002F05DD" w:rsidRPr="002F05DD">
        <w:rPr>
          <w:rFonts w:ascii="Constantia" w:hAnsi="Constantia"/>
          <w:i/>
        </w:rPr>
        <w:t>G</w:t>
      </w:r>
      <w:r w:rsidRPr="002F05DD">
        <w:rPr>
          <w:rFonts w:ascii="Constantia" w:hAnsi="Constantia"/>
          <w:i/>
        </w:rPr>
        <w:t xml:space="preserve">rafikonu </w:t>
      </w:r>
      <w:r w:rsidR="00463B94">
        <w:rPr>
          <w:rFonts w:ascii="Constantia" w:hAnsi="Constantia"/>
          <w:i/>
        </w:rPr>
        <w:t>11</w:t>
      </w:r>
      <w:r w:rsidRPr="002F05DD">
        <w:rPr>
          <w:rFonts w:ascii="Constantia" w:hAnsi="Constantia"/>
          <w:i/>
        </w:rPr>
        <w:t>3</w:t>
      </w:r>
      <w:r w:rsidR="002F05DD">
        <w:rPr>
          <w:rFonts w:ascii="Constantia" w:hAnsi="Constantia"/>
        </w:rPr>
        <w:t>.</w:t>
      </w:r>
      <w:r>
        <w:rPr>
          <w:rFonts w:ascii="Constantia" w:hAnsi="Constantia"/>
        </w:rPr>
        <w:t>,</w:t>
      </w:r>
      <w:r w:rsidRPr="00897A69">
        <w:rPr>
          <w:rFonts w:ascii="Constantia" w:hAnsi="Constantia"/>
        </w:rPr>
        <w:t xml:space="preserve"> </w:t>
      </w:r>
      <w:r>
        <w:rPr>
          <w:rFonts w:ascii="Constantia" w:hAnsi="Constantia"/>
        </w:rPr>
        <w:t>uporedni prikaz noćenja domaćih</w:t>
      </w:r>
      <w:r w:rsidR="002F05DD">
        <w:rPr>
          <w:rFonts w:ascii="Constantia" w:hAnsi="Constantia"/>
        </w:rPr>
        <w:t xml:space="preserve"> i</w:t>
      </w:r>
      <w:r>
        <w:rPr>
          <w:rFonts w:ascii="Constantia" w:hAnsi="Constantia"/>
        </w:rPr>
        <w:t xml:space="preserve"> stranih turista, daje jasnu</w:t>
      </w:r>
      <w:r w:rsidRPr="00897A69">
        <w:rPr>
          <w:rFonts w:ascii="Constantia" w:hAnsi="Constantia"/>
        </w:rPr>
        <w:t xml:space="preserve"> slik</w:t>
      </w:r>
      <w:r>
        <w:rPr>
          <w:rFonts w:ascii="Constantia" w:hAnsi="Constantia"/>
        </w:rPr>
        <w:t>u</w:t>
      </w:r>
      <w:r w:rsidRPr="00897A69">
        <w:rPr>
          <w:rFonts w:ascii="Constantia" w:hAnsi="Constantia"/>
        </w:rPr>
        <w:t xml:space="preserve"> te situacije.</w:t>
      </w:r>
      <w:r w:rsidRPr="00070B2B">
        <w:rPr>
          <w:rFonts w:ascii="Constantia" w:hAnsi="Constantia"/>
        </w:rPr>
        <w:t xml:space="preserve"> </w:t>
      </w:r>
    </w:p>
    <w:p w:rsidR="00912E35" w:rsidRDefault="00912E35" w:rsidP="00C66815">
      <w:pPr>
        <w:rPr>
          <w:rFonts w:ascii="Constantia" w:hAnsi="Constantia"/>
        </w:rPr>
      </w:pPr>
      <w:r>
        <w:rPr>
          <w:rFonts w:ascii="Constantia" w:hAnsi="Constantia"/>
        </w:rPr>
        <w:t>U  periodu od 2007</w:t>
      </w:r>
      <w:r w:rsidR="00C66815">
        <w:rPr>
          <w:rFonts w:ascii="Constantia" w:hAnsi="Constantia"/>
        </w:rPr>
        <w:t>-</w:t>
      </w:r>
      <w:r>
        <w:rPr>
          <w:rFonts w:ascii="Constantia" w:hAnsi="Constantia"/>
        </w:rPr>
        <w:t>2013. godine</w:t>
      </w:r>
      <w:r w:rsidRPr="00897A69">
        <w:rPr>
          <w:rFonts w:ascii="Constantia" w:hAnsi="Constantia"/>
        </w:rPr>
        <w:t xml:space="preserve"> dominiraju </w:t>
      </w:r>
      <w:r>
        <w:rPr>
          <w:rFonts w:ascii="Constantia" w:hAnsi="Constantia"/>
        </w:rPr>
        <w:t xml:space="preserve">noćenja </w:t>
      </w:r>
      <w:r w:rsidRPr="00897A69">
        <w:rPr>
          <w:rFonts w:ascii="Constantia" w:hAnsi="Constantia"/>
        </w:rPr>
        <w:t>strani</w:t>
      </w:r>
      <w:r>
        <w:rPr>
          <w:rFonts w:ascii="Constantia" w:hAnsi="Constantia"/>
        </w:rPr>
        <w:t>h</w:t>
      </w:r>
      <w:r w:rsidRPr="00897A69">
        <w:rPr>
          <w:rFonts w:ascii="Constantia" w:hAnsi="Constantia"/>
        </w:rPr>
        <w:t xml:space="preserve"> turist</w:t>
      </w:r>
      <w:r>
        <w:rPr>
          <w:rFonts w:ascii="Constantia" w:hAnsi="Constantia"/>
        </w:rPr>
        <w:t>a</w:t>
      </w:r>
      <w:r w:rsidRPr="00897A69">
        <w:rPr>
          <w:rFonts w:ascii="Constantia" w:hAnsi="Constantia"/>
        </w:rPr>
        <w:t xml:space="preserve">. </w:t>
      </w:r>
      <w:r>
        <w:rPr>
          <w:rFonts w:ascii="Constantia" w:hAnsi="Constantia"/>
        </w:rPr>
        <w:t xml:space="preserve">Zabilježeno je </w:t>
      </w:r>
      <w:r w:rsidRPr="00897A69">
        <w:rPr>
          <w:rFonts w:ascii="Constantia" w:hAnsi="Constantia"/>
        </w:rPr>
        <w:t xml:space="preserve">povećanje broja </w:t>
      </w:r>
      <w:r>
        <w:rPr>
          <w:rFonts w:ascii="Constantia" w:hAnsi="Constantia"/>
        </w:rPr>
        <w:t>noćenja stranih turista od oko 30,</w:t>
      </w:r>
      <w:r w:rsidRPr="00897A69">
        <w:rPr>
          <w:rFonts w:ascii="Constantia" w:hAnsi="Constantia"/>
        </w:rPr>
        <w:t>6%.</w:t>
      </w:r>
      <w:r>
        <w:rPr>
          <w:rFonts w:ascii="Constantia" w:hAnsi="Constantia"/>
        </w:rPr>
        <w:t xml:space="preserve"> </w:t>
      </w:r>
      <w:r w:rsidRPr="00897A69">
        <w:rPr>
          <w:rFonts w:ascii="Constantia" w:hAnsi="Constantia"/>
        </w:rPr>
        <w:t xml:space="preserve">Noćenja domaćih turista </w:t>
      </w:r>
      <w:r>
        <w:rPr>
          <w:rFonts w:ascii="Constantia" w:hAnsi="Constantia"/>
        </w:rPr>
        <w:t>bilježe blagi rast u posmatranom periodu</w:t>
      </w:r>
      <w:r w:rsidRPr="00897A69">
        <w:rPr>
          <w:rFonts w:ascii="Constantia" w:hAnsi="Constantia"/>
        </w:rPr>
        <w:t xml:space="preserve"> </w:t>
      </w:r>
      <w:r>
        <w:rPr>
          <w:rFonts w:ascii="Constantia" w:hAnsi="Constantia"/>
        </w:rPr>
        <w:t>od 14,73%</w:t>
      </w:r>
      <w:r w:rsidRPr="00897A69">
        <w:rPr>
          <w:rFonts w:ascii="Constantia" w:hAnsi="Constantia"/>
        </w:rPr>
        <w:t>.</w:t>
      </w:r>
      <w:r>
        <w:rPr>
          <w:rFonts w:ascii="Constantia" w:hAnsi="Constantia"/>
        </w:rPr>
        <w:t xml:space="preserve"> </w:t>
      </w:r>
    </w:p>
    <w:p w:rsidR="00124AA4" w:rsidRDefault="00912E35" w:rsidP="00124AA4">
      <w:pPr>
        <w:rPr>
          <w:rFonts w:ascii="Constantia" w:hAnsi="Constantia"/>
        </w:rPr>
      </w:pPr>
      <w:r>
        <w:rPr>
          <w:rFonts w:ascii="Constantia" w:hAnsi="Constantia"/>
        </w:rPr>
        <w:t>Analizirani p</w:t>
      </w:r>
      <w:r w:rsidRPr="00897A69">
        <w:rPr>
          <w:rFonts w:ascii="Constantia" w:hAnsi="Constantia"/>
        </w:rPr>
        <w:t>odaci za period 2000-201</w:t>
      </w:r>
      <w:r>
        <w:rPr>
          <w:rFonts w:ascii="Constantia" w:hAnsi="Constantia"/>
        </w:rPr>
        <w:t>3</w:t>
      </w:r>
      <w:r w:rsidR="00124AA4">
        <w:rPr>
          <w:rFonts w:ascii="Constantia" w:hAnsi="Constantia"/>
        </w:rPr>
        <w:t xml:space="preserve"> </w:t>
      </w:r>
      <w:r w:rsidRPr="00897A69">
        <w:rPr>
          <w:rFonts w:ascii="Constantia" w:hAnsi="Constantia"/>
        </w:rPr>
        <w:t xml:space="preserve">govore o ukupnom povećanju </w:t>
      </w:r>
      <w:r>
        <w:rPr>
          <w:rFonts w:ascii="Constantia" w:hAnsi="Constantia"/>
        </w:rPr>
        <w:t xml:space="preserve">noćenja </w:t>
      </w:r>
      <w:r w:rsidRPr="00897A69">
        <w:rPr>
          <w:rFonts w:ascii="Constantia" w:hAnsi="Constantia"/>
        </w:rPr>
        <w:t>tur</w:t>
      </w:r>
      <w:r>
        <w:rPr>
          <w:rFonts w:ascii="Constantia" w:hAnsi="Constantia"/>
        </w:rPr>
        <w:t>ista po godišnjoj stopi od 8%</w:t>
      </w:r>
      <w:r w:rsidR="00124AA4">
        <w:rPr>
          <w:rFonts w:ascii="Constantia" w:hAnsi="Constantia"/>
        </w:rPr>
        <w:t>,</w:t>
      </w:r>
      <w:r>
        <w:rPr>
          <w:rFonts w:ascii="Constantia" w:hAnsi="Constantia"/>
        </w:rPr>
        <w:t xml:space="preserve"> s</w:t>
      </w:r>
      <w:r w:rsidRPr="00897A69">
        <w:rPr>
          <w:rFonts w:ascii="Constantia" w:hAnsi="Constantia"/>
        </w:rPr>
        <w:t xml:space="preserve"> trendom stalnog porasta, što naravno dovodi i do porasta broja </w:t>
      </w:r>
      <w:r w:rsidRPr="00897A69">
        <w:rPr>
          <w:rFonts w:ascii="Constantia" w:hAnsi="Constantia"/>
        </w:rPr>
        <w:lastRenderedPageBreak/>
        <w:t xml:space="preserve">noćenja po glavi stanovnika i površinskoj jedinici teritorije. Udio </w:t>
      </w:r>
      <w:r w:rsidR="00124AA4">
        <w:rPr>
          <w:rFonts w:ascii="Constantia" w:hAnsi="Constantia"/>
        </w:rPr>
        <w:t>noće</w:t>
      </w:r>
      <w:r>
        <w:rPr>
          <w:rFonts w:ascii="Constantia" w:hAnsi="Constantia"/>
        </w:rPr>
        <w:t xml:space="preserve">nja </w:t>
      </w:r>
      <w:r w:rsidRPr="00897A69">
        <w:rPr>
          <w:rFonts w:ascii="Constantia" w:hAnsi="Constantia"/>
        </w:rPr>
        <w:t>stranih turista je zapravo</w:t>
      </w:r>
      <w:r w:rsidR="00124AA4">
        <w:rPr>
          <w:rFonts w:ascii="Constantia" w:hAnsi="Constantia"/>
        </w:rPr>
        <w:t xml:space="preserve"> </w:t>
      </w:r>
      <w:r w:rsidRPr="00897A69">
        <w:rPr>
          <w:rFonts w:ascii="Constantia" w:hAnsi="Constantia"/>
        </w:rPr>
        <w:t>stabilan</w:t>
      </w:r>
      <w:r>
        <w:rPr>
          <w:rFonts w:ascii="Constantia" w:hAnsi="Constantia"/>
        </w:rPr>
        <w:t>.</w:t>
      </w:r>
      <w:r w:rsidR="00124AA4">
        <w:rPr>
          <w:rFonts w:ascii="Constantia" w:hAnsi="Constantia"/>
        </w:rPr>
        <w:t xml:space="preserve"> </w:t>
      </w:r>
      <w:r>
        <w:rPr>
          <w:rFonts w:ascii="Constantia" w:hAnsi="Constantia"/>
        </w:rPr>
        <w:t>U  2013</w:t>
      </w:r>
      <w:r w:rsidRPr="00897A69">
        <w:rPr>
          <w:rFonts w:ascii="Constantia" w:hAnsi="Constantia"/>
        </w:rPr>
        <w:t>.</w:t>
      </w:r>
      <w:r>
        <w:rPr>
          <w:rFonts w:ascii="Constantia" w:hAnsi="Constantia"/>
        </w:rPr>
        <w:t xml:space="preserve"> godini</w:t>
      </w:r>
      <w:r w:rsidRPr="00897A69">
        <w:rPr>
          <w:rFonts w:ascii="Constantia" w:hAnsi="Constantia"/>
        </w:rPr>
        <w:t xml:space="preserve">  iznosi oko 89</w:t>
      </w:r>
      <w:r>
        <w:rPr>
          <w:rFonts w:ascii="Constantia" w:hAnsi="Constantia"/>
        </w:rPr>
        <w:t>,4%  od ukupnih noćenja.</w:t>
      </w:r>
    </w:p>
    <w:p w:rsidR="00912E35" w:rsidRDefault="00912E35" w:rsidP="00124AA4">
      <w:pPr>
        <w:rPr>
          <w:rFonts w:ascii="Constantia" w:hAnsi="Constantia"/>
        </w:rPr>
      </w:pPr>
      <w:r>
        <w:rPr>
          <w:rFonts w:ascii="Constantia" w:hAnsi="Constantia"/>
        </w:rPr>
        <w:t>U odnosu na 2012. godinu, ukupna noćenja u 2013. godini su povećana za 0,03%.</w:t>
      </w:r>
    </w:p>
    <w:p w:rsidR="00912E35" w:rsidRPr="005E4028" w:rsidRDefault="00912E35" w:rsidP="009931B4">
      <w:pPr>
        <w:rPr>
          <w:rFonts w:ascii="Constantia" w:hAnsi="Constantia"/>
        </w:rPr>
      </w:pPr>
      <w:r>
        <w:rPr>
          <w:rFonts w:ascii="Constantia" w:hAnsi="Constantia"/>
        </w:rPr>
        <w:t>U 2013. godini ostvareno je 681 noćenja po km</w:t>
      </w:r>
      <w:r w:rsidRPr="00971D70">
        <w:rPr>
          <w:rFonts w:ascii="Constantia" w:hAnsi="Constantia"/>
          <w:vertAlign w:val="superscript"/>
        </w:rPr>
        <w:t>2</w:t>
      </w:r>
      <w:r>
        <w:rPr>
          <w:rFonts w:ascii="Constantia" w:hAnsi="Constantia"/>
        </w:rPr>
        <w:t xml:space="preserve"> i 15,2 noćenja po stanovniku.</w:t>
      </w:r>
    </w:p>
    <w:p w:rsidR="00912E35" w:rsidRPr="004878FC" w:rsidRDefault="00912E35" w:rsidP="00C476C2">
      <w:pPr>
        <w:spacing w:after="0"/>
        <w:jc w:val="center"/>
        <w:rPr>
          <w:rFonts w:ascii="Constantia" w:hAnsi="Constantia"/>
          <w:sz w:val="20"/>
        </w:rPr>
      </w:pPr>
    </w:p>
    <w:p w:rsidR="00912E35" w:rsidRPr="005E4028" w:rsidRDefault="00912E35" w:rsidP="00EA518D">
      <w:pPr>
        <w:jc w:val="center"/>
        <w:rPr>
          <w:rFonts w:ascii="Constantia" w:hAnsi="Constantia"/>
        </w:rPr>
      </w:pPr>
      <w:r>
        <w:rPr>
          <w:noProof/>
        </w:rPr>
        <w:drawing>
          <wp:inline distT="0" distB="0" distL="0" distR="0" wp14:anchorId="69FDA796" wp14:editId="43131EA7">
            <wp:extent cx="2705100" cy="2276475"/>
            <wp:effectExtent l="0" t="0" r="0" b="0"/>
            <wp:docPr id="1368" name="Chart 136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2"/>
              </a:graphicData>
            </a:graphic>
          </wp:inline>
        </w:drawing>
      </w:r>
      <w:r>
        <w:rPr>
          <w:noProof/>
        </w:rPr>
        <w:drawing>
          <wp:inline distT="0" distB="0" distL="0" distR="0" wp14:anchorId="4F8BBB7E" wp14:editId="3EA4ADE9">
            <wp:extent cx="2828925" cy="2276475"/>
            <wp:effectExtent l="0" t="0" r="0" b="0"/>
            <wp:docPr id="1369" name="Chart 136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3"/>
              </a:graphicData>
            </a:graphic>
          </wp:inline>
        </w:drawing>
      </w:r>
    </w:p>
    <w:p w:rsidR="00912E35" w:rsidRPr="00EA518D" w:rsidRDefault="00EA518D" w:rsidP="00EA518D">
      <w:pPr>
        <w:pStyle w:val="Grafikon"/>
        <w:rPr>
          <w:rFonts w:ascii="Constantia" w:hAnsi="Constantia"/>
          <w:sz w:val="22"/>
          <w:szCs w:val="22"/>
        </w:rPr>
      </w:pPr>
      <w:r>
        <w:t xml:space="preserve"> </w:t>
      </w:r>
      <w:r w:rsidR="00912E35" w:rsidRPr="00EA518D">
        <w:rPr>
          <w:rFonts w:ascii="Constantia" w:hAnsi="Constantia"/>
          <w:sz w:val="22"/>
          <w:szCs w:val="22"/>
        </w:rPr>
        <w:t>Poređenja noćenja domaćih i stranih turista (lijevo) i broj noćenja po km² i glavi stanovnika (desno)</w:t>
      </w:r>
    </w:p>
    <w:p w:rsidR="00912E35" w:rsidRPr="004878FC" w:rsidRDefault="00912E35" w:rsidP="00C476C2">
      <w:pPr>
        <w:spacing w:after="0"/>
        <w:rPr>
          <w:rFonts w:ascii="Constantia" w:hAnsi="Constantia"/>
          <w:sz w:val="20"/>
        </w:rPr>
      </w:pPr>
    </w:p>
    <w:p w:rsidR="00912E35" w:rsidRDefault="00912E35" w:rsidP="00EA518D">
      <w:pPr>
        <w:rPr>
          <w:rFonts w:ascii="Constantia" w:hAnsi="Constantia"/>
        </w:rPr>
      </w:pPr>
      <w:r>
        <w:rPr>
          <w:rFonts w:ascii="Constantia" w:hAnsi="Constantia"/>
        </w:rPr>
        <w:t>Kad govorimo o noćenjima po mjestima, n</w:t>
      </w:r>
      <w:r w:rsidRPr="00947A1B">
        <w:rPr>
          <w:rFonts w:ascii="Constantia" w:hAnsi="Constantia"/>
        </w:rPr>
        <w:t xml:space="preserve">ajveće učešće u ukupnim noćenjima za </w:t>
      </w:r>
      <w:r>
        <w:rPr>
          <w:rFonts w:ascii="Constantia" w:hAnsi="Constantia"/>
        </w:rPr>
        <w:t xml:space="preserve">čitav </w:t>
      </w:r>
      <w:r w:rsidRPr="00947A1B">
        <w:rPr>
          <w:rFonts w:ascii="Constantia" w:hAnsi="Constantia"/>
        </w:rPr>
        <w:t>analiziran</w:t>
      </w:r>
      <w:r>
        <w:rPr>
          <w:rFonts w:ascii="Constantia" w:hAnsi="Constantia"/>
        </w:rPr>
        <w:t>i period imaju primorska mjesta.</w:t>
      </w:r>
    </w:p>
    <w:p w:rsidR="00912E35" w:rsidRDefault="00912E35" w:rsidP="00C476C2">
      <w:pPr>
        <w:rPr>
          <w:rFonts w:ascii="Constantia" w:hAnsi="Constantia"/>
        </w:rPr>
      </w:pPr>
      <w:r>
        <w:rPr>
          <w:rFonts w:ascii="Constantia" w:hAnsi="Constantia"/>
        </w:rPr>
        <w:t>U 2013</w:t>
      </w:r>
      <w:r w:rsidRPr="00947A1B">
        <w:rPr>
          <w:rFonts w:ascii="Constantia" w:hAnsi="Constantia"/>
        </w:rPr>
        <w:t>.</w:t>
      </w:r>
      <w:r>
        <w:rPr>
          <w:rFonts w:ascii="Constantia" w:hAnsi="Constantia"/>
        </w:rPr>
        <w:t xml:space="preserve"> godini u</w:t>
      </w:r>
      <w:r w:rsidRPr="00947A1B">
        <w:rPr>
          <w:rFonts w:ascii="Constantia" w:hAnsi="Constantia"/>
        </w:rPr>
        <w:t>dio primorskih mjesta</w:t>
      </w:r>
      <w:r>
        <w:rPr>
          <w:rFonts w:ascii="Constantia" w:hAnsi="Constantia"/>
        </w:rPr>
        <w:t>,</w:t>
      </w:r>
      <w:r w:rsidRPr="00947A1B">
        <w:rPr>
          <w:rFonts w:ascii="Constantia" w:hAnsi="Constantia"/>
        </w:rPr>
        <w:t xml:space="preserve"> kao dominantne lokacije za noćen</w:t>
      </w:r>
      <w:r>
        <w:rPr>
          <w:rFonts w:ascii="Constantia" w:hAnsi="Constantia"/>
        </w:rPr>
        <w:t xml:space="preserve">je turista, iznosi čak 97,1%. Glavni grad ima učešće od </w:t>
      </w:r>
      <w:r w:rsidRPr="00947A1B">
        <w:rPr>
          <w:rFonts w:ascii="Constantia" w:hAnsi="Constantia"/>
        </w:rPr>
        <w:t xml:space="preserve"> 1,</w:t>
      </w:r>
      <w:r>
        <w:rPr>
          <w:rFonts w:ascii="Constantia" w:hAnsi="Constantia"/>
        </w:rPr>
        <w:t xml:space="preserve">13%, ostala turistička mjesta </w:t>
      </w:r>
      <w:r w:rsidRPr="00947A1B">
        <w:rPr>
          <w:rFonts w:ascii="Constantia" w:hAnsi="Constantia"/>
        </w:rPr>
        <w:t>0,77%, plan</w:t>
      </w:r>
      <w:r>
        <w:rPr>
          <w:rFonts w:ascii="Constantia" w:hAnsi="Constantia"/>
        </w:rPr>
        <w:t>inska mjesta  1,22% i ostala mjesta  0,03%</w:t>
      </w:r>
      <w:r w:rsidRPr="0027337A">
        <w:rPr>
          <w:rFonts w:ascii="Constantia" w:hAnsi="Constantia"/>
        </w:rPr>
        <w:t xml:space="preserve"> </w:t>
      </w:r>
      <w:r>
        <w:rPr>
          <w:rFonts w:ascii="Constantia" w:hAnsi="Constantia"/>
        </w:rPr>
        <w:t>noćenja.</w:t>
      </w:r>
    </w:p>
    <w:p w:rsidR="00912E35" w:rsidRPr="005E4028" w:rsidRDefault="00912E35" w:rsidP="00C476C2">
      <w:pPr>
        <w:rPr>
          <w:rFonts w:ascii="Constantia" w:hAnsi="Constantia"/>
        </w:rPr>
      </w:pPr>
      <w:r>
        <w:rPr>
          <w:rFonts w:ascii="Constantia" w:hAnsi="Constantia"/>
        </w:rPr>
        <w:t>Podaci pokazuju da</w:t>
      </w:r>
      <w:r w:rsidRPr="00947A1B">
        <w:rPr>
          <w:rFonts w:ascii="Constantia" w:hAnsi="Constantia"/>
        </w:rPr>
        <w:t xml:space="preserve"> je pritisak koji proizilazi iz turističkih aktivnosti značajno veći na primorju</w:t>
      </w:r>
      <w:r>
        <w:rPr>
          <w:rFonts w:ascii="Constantia" w:hAnsi="Constantia"/>
        </w:rPr>
        <w:t xml:space="preserve"> u odnosu na ostatak turističkih i ostalih mjesta</w:t>
      </w:r>
      <w:r w:rsidRPr="00947A1B">
        <w:rPr>
          <w:rFonts w:ascii="Constantia" w:hAnsi="Constantia"/>
        </w:rPr>
        <w:t xml:space="preserve">. </w:t>
      </w:r>
    </w:p>
    <w:p w:rsidR="00912E35" w:rsidRPr="005E4028" w:rsidRDefault="00912E35" w:rsidP="00C476C2">
      <w:pPr>
        <w:spacing w:after="0"/>
        <w:ind w:firstLine="720"/>
        <w:rPr>
          <w:rFonts w:ascii="Constantia" w:hAnsi="Constantia"/>
        </w:rPr>
      </w:pPr>
    </w:p>
    <w:p w:rsidR="00912E35" w:rsidRPr="009F4167" w:rsidRDefault="00912E35" w:rsidP="00912E35">
      <w:pPr>
        <w:jc w:val="center"/>
        <w:rPr>
          <w:rFonts w:ascii="Constantia" w:hAnsi="Constantia"/>
          <w:sz w:val="20"/>
        </w:rPr>
      </w:pPr>
      <w:r>
        <w:rPr>
          <w:noProof/>
        </w:rPr>
        <w:drawing>
          <wp:inline distT="0" distB="0" distL="0" distR="0" wp14:anchorId="4EB09504" wp14:editId="67519E55">
            <wp:extent cx="4219575" cy="2809875"/>
            <wp:effectExtent l="0" t="0" r="0" b="0"/>
            <wp:docPr id="1370" name="Chart 137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4"/>
              </a:graphicData>
            </a:graphic>
          </wp:inline>
        </w:drawing>
      </w:r>
    </w:p>
    <w:p w:rsidR="00912E35" w:rsidRPr="00C476C2" w:rsidRDefault="00C476C2" w:rsidP="00C476C2">
      <w:pPr>
        <w:pStyle w:val="Grafikon"/>
        <w:rPr>
          <w:rFonts w:ascii="Constantia" w:hAnsi="Constantia"/>
          <w:sz w:val="22"/>
          <w:szCs w:val="22"/>
        </w:rPr>
      </w:pPr>
      <w:r>
        <w:t xml:space="preserve"> </w:t>
      </w:r>
      <w:r w:rsidR="00912E35" w:rsidRPr="00C476C2">
        <w:rPr>
          <w:rFonts w:ascii="Constantia" w:hAnsi="Constantia"/>
          <w:sz w:val="22"/>
          <w:szCs w:val="22"/>
        </w:rPr>
        <w:t>Struktura noćenja turista po turističkim mjestima, 2013</w:t>
      </w:r>
    </w:p>
    <w:p w:rsidR="00912E35" w:rsidRDefault="00912E35" w:rsidP="00912E35">
      <w:pPr>
        <w:spacing w:line="276" w:lineRule="auto"/>
        <w:ind w:firstLine="720"/>
        <w:rPr>
          <w:rFonts w:ascii="Constantia" w:hAnsi="Constantia"/>
        </w:rPr>
      </w:pPr>
    </w:p>
    <w:p w:rsidR="00912E35" w:rsidRPr="005E4028" w:rsidRDefault="00912E35" w:rsidP="00C476C2">
      <w:pPr>
        <w:rPr>
          <w:rFonts w:ascii="Constantia" w:hAnsi="Constantia"/>
        </w:rPr>
      </w:pPr>
      <w:r w:rsidRPr="00947A1B">
        <w:rPr>
          <w:rFonts w:ascii="Constantia" w:hAnsi="Constantia"/>
        </w:rPr>
        <w:lastRenderedPageBreak/>
        <w:t>Takođe</w:t>
      </w:r>
      <w:r>
        <w:rPr>
          <w:rFonts w:ascii="Constantia" w:hAnsi="Constantia"/>
        </w:rPr>
        <w:t>,</w:t>
      </w:r>
      <w:r w:rsidRPr="00947A1B">
        <w:rPr>
          <w:rFonts w:ascii="Constantia" w:hAnsi="Constantia"/>
        </w:rPr>
        <w:t xml:space="preserve"> treba obratiti pažnju na značajnu promjenu udjela odabranih vrsta smještaja u ukupnom broju noćenja, tako 2000. </w:t>
      </w:r>
      <w:r>
        <w:rPr>
          <w:rFonts w:ascii="Constantia" w:hAnsi="Constantia"/>
        </w:rPr>
        <w:t xml:space="preserve">godine </w:t>
      </w:r>
      <w:r w:rsidRPr="00947A1B">
        <w:rPr>
          <w:rFonts w:ascii="Constantia" w:hAnsi="Constantia"/>
        </w:rPr>
        <w:t>hotelski sm</w:t>
      </w:r>
      <w:r>
        <w:rPr>
          <w:rFonts w:ascii="Constantia" w:hAnsi="Constantia"/>
        </w:rPr>
        <w:t>j</w:t>
      </w:r>
      <w:r w:rsidRPr="00947A1B">
        <w:rPr>
          <w:rFonts w:ascii="Constantia" w:hAnsi="Constantia"/>
        </w:rPr>
        <w:t>eštaj obezbjeđuje skoro 60% sm</w:t>
      </w:r>
      <w:r>
        <w:rPr>
          <w:rFonts w:ascii="Constantia" w:hAnsi="Constantia"/>
        </w:rPr>
        <w:t>j</w:t>
      </w:r>
      <w:r w:rsidRPr="00947A1B">
        <w:rPr>
          <w:rFonts w:ascii="Constantia" w:hAnsi="Constantia"/>
        </w:rPr>
        <w:t>eštajnih kapaciteta</w:t>
      </w:r>
      <w:r>
        <w:rPr>
          <w:rFonts w:ascii="Constantia" w:hAnsi="Constantia"/>
        </w:rPr>
        <w:t>,</w:t>
      </w:r>
      <w:r w:rsidRPr="00947A1B">
        <w:rPr>
          <w:rFonts w:ascii="Constantia" w:hAnsi="Constantia"/>
        </w:rPr>
        <w:t xml:space="preserve"> dok privatni sm</w:t>
      </w:r>
      <w:r>
        <w:rPr>
          <w:rFonts w:ascii="Constantia" w:hAnsi="Constantia"/>
        </w:rPr>
        <w:t>j</w:t>
      </w:r>
      <w:r w:rsidRPr="00947A1B">
        <w:rPr>
          <w:rFonts w:ascii="Constantia" w:hAnsi="Constantia"/>
        </w:rPr>
        <w:t>eštaj čini 16%</w:t>
      </w:r>
      <w:r>
        <w:rPr>
          <w:rFonts w:ascii="Constantia" w:hAnsi="Constantia"/>
        </w:rPr>
        <w:t>,</w:t>
      </w:r>
      <w:r w:rsidRPr="00947A1B">
        <w:rPr>
          <w:rFonts w:ascii="Constantia" w:hAnsi="Constantia"/>
        </w:rPr>
        <w:t xml:space="preserve"> a turistička naselja 18%.</w:t>
      </w:r>
    </w:p>
    <w:p w:rsidR="00912E35" w:rsidRPr="005E4028" w:rsidRDefault="00912E35" w:rsidP="00C476C2">
      <w:pPr>
        <w:rPr>
          <w:rFonts w:ascii="Constantia" w:hAnsi="Constantia"/>
        </w:rPr>
      </w:pPr>
      <w:r w:rsidRPr="00947A1B">
        <w:rPr>
          <w:rFonts w:ascii="Constantia" w:hAnsi="Constantia"/>
        </w:rPr>
        <w:t>Nasuprot tome, u 201</w:t>
      </w:r>
      <w:r>
        <w:rPr>
          <w:rFonts w:ascii="Constantia" w:hAnsi="Constantia"/>
        </w:rPr>
        <w:t>3.</w:t>
      </w:r>
      <w:r w:rsidR="00C476C2">
        <w:rPr>
          <w:rFonts w:ascii="Constantia" w:hAnsi="Constantia"/>
        </w:rPr>
        <w:t xml:space="preserve"> godini </w:t>
      </w:r>
      <w:r>
        <w:rPr>
          <w:rFonts w:ascii="Constantia" w:hAnsi="Constantia"/>
        </w:rPr>
        <w:t>hotelski smještaj čini 26</w:t>
      </w:r>
      <w:r w:rsidRPr="00947A1B">
        <w:rPr>
          <w:rFonts w:ascii="Constantia" w:hAnsi="Constantia"/>
        </w:rPr>
        <w:t>%</w:t>
      </w:r>
      <w:r>
        <w:rPr>
          <w:rFonts w:ascii="Constantia" w:hAnsi="Constantia"/>
        </w:rPr>
        <w:t>,</w:t>
      </w:r>
      <w:r w:rsidRPr="00947A1B">
        <w:rPr>
          <w:rFonts w:ascii="Constantia" w:hAnsi="Constantia"/>
        </w:rPr>
        <w:t xml:space="preserve"> dok turistička naselja imaju doprinos</w:t>
      </w:r>
      <w:r>
        <w:rPr>
          <w:rFonts w:ascii="Constantia" w:hAnsi="Constantia"/>
        </w:rPr>
        <w:t xml:space="preserve"> 0d 4,8%. Čak 63,9</w:t>
      </w:r>
      <w:r w:rsidRPr="00947A1B">
        <w:rPr>
          <w:rFonts w:ascii="Constantia" w:hAnsi="Constantia"/>
        </w:rPr>
        <w:t>% noćenja turista se ostvaruje u privatnom smještaju. Ova promjena tipa smještaja, kao i velika vremenska neuravnoteženost noćenja u sezonskom smislu vrše dodatni pritisak na životnu sredinu i nameću potrebu izgradnje infrastrukturnih kapaciteta (vodovod, kanalizacija, itd.) kojima bi se obezbijedila održivost daljeg razvoja turizma u Crnoj Gori.</w:t>
      </w:r>
    </w:p>
    <w:p w:rsidR="00912E35" w:rsidRDefault="00912E35" w:rsidP="00764D75">
      <w:pPr>
        <w:rPr>
          <w:rFonts w:ascii="Constantia" w:hAnsi="Constantia"/>
        </w:rPr>
      </w:pPr>
      <w:r>
        <w:rPr>
          <w:rFonts w:ascii="Constantia" w:hAnsi="Constantia"/>
        </w:rPr>
        <w:t xml:space="preserve">Struktura noćenja prema vrstama smještajnih </w:t>
      </w:r>
      <w:r w:rsidR="005C42BE">
        <w:rPr>
          <w:rFonts w:ascii="Constantia" w:hAnsi="Constantia"/>
        </w:rPr>
        <w:t>objekata</w:t>
      </w:r>
      <w:r>
        <w:rPr>
          <w:rFonts w:ascii="Constantia" w:hAnsi="Constantia"/>
        </w:rPr>
        <w:t xml:space="preserve"> u 2013. godini</w:t>
      </w:r>
      <w:r w:rsidRPr="00947A1B">
        <w:rPr>
          <w:rFonts w:ascii="Constantia" w:hAnsi="Constantia"/>
        </w:rPr>
        <w:t xml:space="preserve"> predstavljen</w:t>
      </w:r>
      <w:r>
        <w:rPr>
          <w:rFonts w:ascii="Constantia" w:hAnsi="Constantia"/>
        </w:rPr>
        <w:t>a</w:t>
      </w:r>
      <w:r w:rsidR="00764D75">
        <w:rPr>
          <w:rFonts w:ascii="Constantia" w:hAnsi="Constantia"/>
        </w:rPr>
        <w:t xml:space="preserve"> je na </w:t>
      </w:r>
      <w:r w:rsidR="00764D75" w:rsidRPr="00764D75">
        <w:rPr>
          <w:rFonts w:ascii="Constantia" w:hAnsi="Constantia"/>
          <w:i/>
        </w:rPr>
        <w:t>G</w:t>
      </w:r>
      <w:r w:rsidR="00764D75">
        <w:rPr>
          <w:rFonts w:ascii="Constantia" w:hAnsi="Constantia"/>
          <w:i/>
        </w:rPr>
        <w:t>rafikonu 1</w:t>
      </w:r>
      <w:r w:rsidR="005C42BE">
        <w:rPr>
          <w:rFonts w:ascii="Constantia" w:hAnsi="Constantia"/>
          <w:i/>
        </w:rPr>
        <w:t>28</w:t>
      </w:r>
      <w:r w:rsidRPr="00947A1B">
        <w:rPr>
          <w:rFonts w:ascii="Constantia" w:hAnsi="Constantia"/>
        </w:rPr>
        <w:t>.</w:t>
      </w:r>
      <w:r>
        <w:rPr>
          <w:rFonts w:ascii="Constantia" w:hAnsi="Constantia"/>
        </w:rPr>
        <w:t xml:space="preserve"> </w:t>
      </w:r>
      <w:r w:rsidRPr="00947A1B">
        <w:rPr>
          <w:rFonts w:ascii="Constantia" w:hAnsi="Constantia"/>
        </w:rPr>
        <w:t xml:space="preserve"> </w:t>
      </w:r>
      <w:r>
        <w:rPr>
          <w:rFonts w:ascii="Constantia" w:hAnsi="Constantia"/>
        </w:rPr>
        <w:t xml:space="preserve">Kampovi, hoteli i apartmani preuzimaju 89,1% ukupnih noćenja. Turistička naselja su zastupljena sa 4,8% noćenja. Broj noćenja u kampovima (udio od 39,3%) je pokazatelj koji govori o značajanom pritisku na životnu </w:t>
      </w:r>
      <w:r w:rsidR="000856A0">
        <w:rPr>
          <w:rFonts w:ascii="Constantia" w:hAnsi="Constantia"/>
        </w:rPr>
        <w:t>sredinu</w:t>
      </w:r>
      <w:r>
        <w:rPr>
          <w:rFonts w:ascii="Constantia" w:hAnsi="Constantia"/>
        </w:rPr>
        <w:t>.</w:t>
      </w:r>
    </w:p>
    <w:p w:rsidR="00912E35" w:rsidRDefault="00912E35" w:rsidP="004E14D6">
      <w:pPr>
        <w:pStyle w:val="Grafikon"/>
        <w:numPr>
          <w:ilvl w:val="0"/>
          <w:numId w:val="0"/>
        </w:numPr>
        <w:spacing w:after="0"/>
        <w:ind w:left="144"/>
        <w:rPr>
          <w:rFonts w:ascii="Constantia" w:hAnsi="Constantia"/>
          <w:noProof/>
        </w:rPr>
      </w:pPr>
    </w:p>
    <w:p w:rsidR="00912E35" w:rsidRDefault="00912E35" w:rsidP="00912E35">
      <w:pPr>
        <w:pStyle w:val="Grafikon"/>
        <w:numPr>
          <w:ilvl w:val="0"/>
          <w:numId w:val="0"/>
        </w:numPr>
        <w:spacing w:line="276" w:lineRule="auto"/>
        <w:ind w:left="144"/>
        <w:rPr>
          <w:rFonts w:ascii="Constantia" w:hAnsi="Constantia"/>
          <w:noProof/>
        </w:rPr>
      </w:pPr>
      <w:r>
        <w:rPr>
          <w:noProof/>
          <w:lang w:val="en-US"/>
        </w:rPr>
        <w:drawing>
          <wp:inline distT="0" distB="0" distL="0" distR="0" wp14:anchorId="41340197" wp14:editId="032DC81D">
            <wp:extent cx="4629150" cy="2352675"/>
            <wp:effectExtent l="0" t="0" r="0" b="0"/>
            <wp:docPr id="1371" name="Chart 137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5"/>
              </a:graphicData>
            </a:graphic>
          </wp:inline>
        </w:drawing>
      </w:r>
    </w:p>
    <w:p w:rsidR="00912E35" w:rsidRPr="009B7665" w:rsidRDefault="00912E35" w:rsidP="009B7665">
      <w:pPr>
        <w:pStyle w:val="Grafikon"/>
        <w:rPr>
          <w:rFonts w:ascii="Constantia" w:hAnsi="Constantia"/>
          <w:noProof/>
          <w:sz w:val="22"/>
          <w:szCs w:val="22"/>
        </w:rPr>
      </w:pPr>
      <w:r w:rsidRPr="00BB4FAD">
        <w:rPr>
          <w:noProof/>
        </w:rPr>
        <w:t xml:space="preserve">  </w:t>
      </w:r>
      <w:r w:rsidRPr="009B7665">
        <w:rPr>
          <w:rFonts w:ascii="Constantia" w:hAnsi="Constantia"/>
          <w:noProof/>
          <w:sz w:val="22"/>
          <w:szCs w:val="22"/>
        </w:rPr>
        <w:t>Struktura noćenja prema vrstama smještajnih objekata, 2013</w:t>
      </w:r>
    </w:p>
    <w:p w:rsidR="00912E35" w:rsidRPr="0091244F" w:rsidRDefault="00912E35" w:rsidP="004E14D6">
      <w:pPr>
        <w:pStyle w:val="Grafikon"/>
        <w:numPr>
          <w:ilvl w:val="0"/>
          <w:numId w:val="0"/>
        </w:numPr>
        <w:spacing w:after="0"/>
        <w:jc w:val="both"/>
        <w:rPr>
          <w:rFonts w:ascii="Constantia" w:hAnsi="Constantia"/>
          <w:sz w:val="22"/>
        </w:rPr>
      </w:pPr>
    </w:p>
    <w:p w:rsidR="00912E35" w:rsidRPr="005E4028" w:rsidRDefault="00912E35" w:rsidP="009B7665">
      <w:pPr>
        <w:rPr>
          <w:rFonts w:ascii="Constantia" w:hAnsi="Constantia"/>
          <w:lang w:val="sr-Latn-CS"/>
        </w:rPr>
      </w:pPr>
      <w:r w:rsidRPr="00947A1B">
        <w:rPr>
          <w:rFonts w:ascii="Constantia" w:hAnsi="Constantia"/>
          <w:lang w:val="sr-Latn-CS"/>
        </w:rPr>
        <w:t>Mjesečni raspored noćenja u 201</w:t>
      </w:r>
      <w:r>
        <w:rPr>
          <w:rFonts w:ascii="Constantia" w:hAnsi="Constantia"/>
          <w:lang w:val="sr-Latn-CS"/>
        </w:rPr>
        <w:t>3</w:t>
      </w:r>
      <w:r w:rsidRPr="00947A1B">
        <w:rPr>
          <w:rFonts w:ascii="Constantia" w:hAnsi="Constantia"/>
          <w:lang w:val="sr-Latn-CS"/>
        </w:rPr>
        <w:t>.</w:t>
      </w:r>
      <w:r w:rsidR="009B7665">
        <w:rPr>
          <w:rFonts w:ascii="Constantia" w:hAnsi="Constantia"/>
          <w:lang w:val="sr-Latn-CS"/>
        </w:rPr>
        <w:t xml:space="preserve"> godini predstavljen je na </w:t>
      </w:r>
      <w:r w:rsidR="009B7665" w:rsidRPr="009B7665">
        <w:rPr>
          <w:rFonts w:ascii="Constantia" w:hAnsi="Constantia"/>
          <w:i/>
          <w:lang w:val="sr-Latn-CS"/>
        </w:rPr>
        <w:t>G</w:t>
      </w:r>
      <w:r w:rsidRPr="009B7665">
        <w:rPr>
          <w:rFonts w:ascii="Constantia" w:hAnsi="Constantia"/>
          <w:i/>
          <w:lang w:val="sr-Latn-CS"/>
        </w:rPr>
        <w:t xml:space="preserve">rafikonu </w:t>
      </w:r>
      <w:r w:rsidR="009B7665" w:rsidRPr="009B7665">
        <w:rPr>
          <w:rFonts w:ascii="Constantia" w:hAnsi="Constantia"/>
          <w:i/>
          <w:lang w:val="sr-Latn-CS"/>
        </w:rPr>
        <w:t>1</w:t>
      </w:r>
      <w:r w:rsidR="00E85862">
        <w:rPr>
          <w:rFonts w:ascii="Constantia" w:hAnsi="Constantia"/>
          <w:i/>
          <w:lang w:val="sr-Latn-CS"/>
        </w:rPr>
        <w:t>29</w:t>
      </w:r>
      <w:r w:rsidRPr="00947A1B">
        <w:rPr>
          <w:rFonts w:ascii="Constantia" w:hAnsi="Constantia"/>
          <w:lang w:val="sr-Latn-CS"/>
        </w:rPr>
        <w:t xml:space="preserve">. </w:t>
      </w:r>
      <w:r w:rsidRPr="00947A1B">
        <w:rPr>
          <w:rFonts w:ascii="Constantia" w:hAnsi="Constantia"/>
        </w:rPr>
        <w:t>Više je nego očigledna sezonska suprotstavljenost po pitanju noćenja turista. Koncentracija turista u ljet</w:t>
      </w:r>
      <w:r>
        <w:rPr>
          <w:rFonts w:ascii="Constantia" w:hAnsi="Constantia"/>
        </w:rPr>
        <w:t xml:space="preserve">njoj sezoni traje pet mjeseci, </w:t>
      </w:r>
      <w:r w:rsidRPr="00947A1B">
        <w:rPr>
          <w:rFonts w:ascii="Constantia" w:hAnsi="Constantia"/>
        </w:rPr>
        <w:t>od maja do septembra. U analiziranoj godini avgust je na</w:t>
      </w:r>
      <w:r>
        <w:rPr>
          <w:rFonts w:ascii="Constantia" w:hAnsi="Constantia"/>
        </w:rPr>
        <w:t>jposjećeniji mjesec sa preko 3,7</w:t>
      </w:r>
      <w:r w:rsidRPr="00947A1B">
        <w:rPr>
          <w:rFonts w:ascii="Constantia" w:hAnsi="Constantia"/>
        </w:rPr>
        <w:t xml:space="preserve"> miliona noćenja. </w:t>
      </w:r>
      <w:r w:rsidR="00E85862">
        <w:rPr>
          <w:rFonts w:ascii="Constantia" w:hAnsi="Constantia"/>
        </w:rPr>
        <w:t>M</w:t>
      </w:r>
      <w:r>
        <w:rPr>
          <w:rFonts w:ascii="Constantia" w:hAnsi="Constantia"/>
        </w:rPr>
        <w:t>aj, jun, jul, avgust i septembar, sa 8,78 miliona noćenja, imaju udio od 93,25% u ukupnim noćenjima u 2013. godini.</w:t>
      </w:r>
    </w:p>
    <w:p w:rsidR="00912E35" w:rsidRPr="0067610C" w:rsidRDefault="00912E35" w:rsidP="004E14D6">
      <w:pPr>
        <w:pStyle w:val="Grafikon"/>
        <w:numPr>
          <w:ilvl w:val="0"/>
          <w:numId w:val="0"/>
        </w:numPr>
        <w:spacing w:before="240"/>
        <w:ind w:left="144" w:hanging="144"/>
        <w:rPr>
          <w:noProof/>
        </w:rPr>
      </w:pPr>
      <w:r>
        <w:rPr>
          <w:noProof/>
          <w:lang w:val="en-US"/>
        </w:rPr>
        <w:drawing>
          <wp:inline distT="0" distB="0" distL="0" distR="0" wp14:anchorId="0E62B43D" wp14:editId="7BA9485F">
            <wp:extent cx="5295900" cy="2295525"/>
            <wp:effectExtent l="0" t="0" r="0" b="0"/>
            <wp:docPr id="1372" name="Chart 137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6"/>
              </a:graphicData>
            </a:graphic>
          </wp:inline>
        </w:drawing>
      </w:r>
    </w:p>
    <w:p w:rsidR="00912E35" w:rsidRPr="004E14D6" w:rsidRDefault="004E14D6" w:rsidP="004E14D6">
      <w:pPr>
        <w:pStyle w:val="Grafikon"/>
        <w:rPr>
          <w:rFonts w:ascii="Constantia" w:hAnsi="Constantia"/>
          <w:sz w:val="22"/>
          <w:szCs w:val="22"/>
        </w:rPr>
      </w:pPr>
      <w:r>
        <w:t xml:space="preserve"> </w:t>
      </w:r>
      <w:r w:rsidR="00912E35" w:rsidRPr="004E14D6">
        <w:rPr>
          <w:rFonts w:ascii="Constantia" w:hAnsi="Constantia"/>
          <w:sz w:val="22"/>
          <w:szCs w:val="22"/>
        </w:rPr>
        <w:t>Raspored noćenja po mjesecima, 2013</w:t>
      </w:r>
    </w:p>
    <w:p w:rsidR="00912E35" w:rsidRPr="005E4028" w:rsidRDefault="00912E35" w:rsidP="00687515">
      <w:pPr>
        <w:rPr>
          <w:rFonts w:ascii="Constantia" w:hAnsi="Constantia"/>
        </w:rPr>
      </w:pPr>
      <w:r w:rsidRPr="00947A1B">
        <w:rPr>
          <w:rFonts w:ascii="Constantia" w:hAnsi="Constantia"/>
        </w:rPr>
        <w:lastRenderedPageBreak/>
        <w:t>Iz naprijed rečenog o ukupnom turističkom prometu u Crnoj Gori</w:t>
      </w:r>
      <w:r>
        <w:rPr>
          <w:rFonts w:ascii="Constantia" w:hAnsi="Constantia"/>
        </w:rPr>
        <w:t>,  zaključuje se</w:t>
      </w:r>
      <w:r w:rsidRPr="00947A1B">
        <w:rPr>
          <w:rFonts w:ascii="Constantia" w:hAnsi="Constantia"/>
        </w:rPr>
        <w:t xml:space="preserve"> da turistička djelatnost </w:t>
      </w:r>
      <w:r>
        <w:rPr>
          <w:rFonts w:ascii="Constantia" w:hAnsi="Constantia"/>
        </w:rPr>
        <w:t>u Crnoj Gori stvara pritisak na životnu sredinu skoro isključivo</w:t>
      </w:r>
      <w:r w:rsidRPr="00947A1B">
        <w:rPr>
          <w:rFonts w:ascii="Constantia" w:hAnsi="Constantia"/>
        </w:rPr>
        <w:t xml:space="preserve"> u ljetnjim mjesecima.</w:t>
      </w:r>
    </w:p>
    <w:p w:rsidR="00912E35" w:rsidRPr="009F4167" w:rsidRDefault="00912E35" w:rsidP="00912E35"/>
    <w:p w:rsidR="00912E35" w:rsidRPr="005E4028" w:rsidRDefault="00A74824" w:rsidP="00E45CD3">
      <w:pPr>
        <w:pStyle w:val="Heading3"/>
      </w:pPr>
      <w:bookmarkStart w:id="356" w:name="_Toc393897980"/>
      <w:r>
        <w:t>10.5.3</w:t>
      </w:r>
      <w:r w:rsidR="00E45CD3">
        <w:t xml:space="preserve">  </w:t>
      </w:r>
      <w:r w:rsidR="00912E35" w:rsidRPr="00897A69">
        <w:t>Broj turista na kružnim putovanjima</w:t>
      </w:r>
      <w:bookmarkEnd w:id="356"/>
      <w:r w:rsidR="00912E35" w:rsidRPr="007A751B">
        <w:rPr>
          <w:rStyle w:val="Strong"/>
          <w:rFonts w:ascii="Constantia" w:hAnsi="Constantia"/>
          <w:sz w:val="22"/>
          <w:szCs w:val="22"/>
        </w:rPr>
        <w:t xml:space="preserve"> </w:t>
      </w:r>
    </w:p>
    <w:p w:rsidR="00912E35" w:rsidRPr="005E4028" w:rsidRDefault="00912E35" w:rsidP="00E45CD3">
      <w:pPr>
        <w:spacing w:before="240"/>
        <w:rPr>
          <w:rFonts w:ascii="Constantia" w:hAnsi="Constantia"/>
        </w:rPr>
      </w:pPr>
      <w:r w:rsidRPr="00947A1B">
        <w:rPr>
          <w:rFonts w:ascii="Constantia" w:hAnsi="Constantia"/>
        </w:rPr>
        <w:t>Indikator prati broj kružnih putovanja ostvarenih u teritorijalnom moru Crne Gore, kao i broj putni</w:t>
      </w:r>
      <w:r w:rsidR="00E45CD3">
        <w:rPr>
          <w:rFonts w:ascii="Constantia" w:hAnsi="Constantia"/>
        </w:rPr>
        <w:t xml:space="preserve">ka koji su posjetili Crnu Goru. </w:t>
      </w:r>
      <w:r w:rsidRPr="00947A1B">
        <w:rPr>
          <w:rFonts w:ascii="Constantia" w:hAnsi="Constantia"/>
        </w:rPr>
        <w:t>Kružno putovanje je turističko putovanje u trajanju od više dana prema određenom, razrađenom planu putovanja kružnog tipa. Broj putnika na brodu jeste broj putnika bez članova posade.</w:t>
      </w:r>
    </w:p>
    <w:p w:rsidR="00912E35" w:rsidRPr="005E4028" w:rsidRDefault="00912E35" w:rsidP="00E45CD3">
      <w:pPr>
        <w:rPr>
          <w:rFonts w:ascii="Constantia" w:hAnsi="Constantia"/>
        </w:rPr>
      </w:pPr>
      <w:r w:rsidRPr="00897A69">
        <w:rPr>
          <w:rFonts w:ascii="Constantia" w:hAnsi="Constantia"/>
        </w:rPr>
        <w:t xml:space="preserve">Pod </w:t>
      </w:r>
      <w:r>
        <w:rPr>
          <w:rFonts w:ascii="Constantia" w:hAnsi="Constantia"/>
        </w:rPr>
        <w:t>terminom “</w:t>
      </w:r>
      <w:r w:rsidRPr="00897A69">
        <w:rPr>
          <w:rFonts w:ascii="Constantia" w:hAnsi="Constantia"/>
        </w:rPr>
        <w:t>putnik</w:t>
      </w:r>
      <w:r>
        <w:rPr>
          <w:rFonts w:ascii="Constantia" w:hAnsi="Constantia"/>
        </w:rPr>
        <w:t xml:space="preserve">” </w:t>
      </w:r>
      <w:r w:rsidRPr="00897A69">
        <w:rPr>
          <w:rFonts w:ascii="Constantia" w:hAnsi="Constantia"/>
        </w:rPr>
        <w:t xml:space="preserve">podrazumijeva se svaka osoba koja je brodom doputovala, bez obzira na starost, a nije član posade. </w:t>
      </w:r>
    </w:p>
    <w:p w:rsidR="00912E35" w:rsidRPr="005E4028" w:rsidRDefault="00912E35" w:rsidP="00E45CD3">
      <w:pPr>
        <w:rPr>
          <w:rFonts w:ascii="Constantia" w:hAnsi="Constantia"/>
        </w:rPr>
      </w:pPr>
      <w:r>
        <w:rPr>
          <w:rFonts w:ascii="Constantia" w:hAnsi="Constantia"/>
        </w:rPr>
        <w:t xml:space="preserve">Indikator </w:t>
      </w:r>
      <w:r w:rsidRPr="00897A69">
        <w:rPr>
          <w:rFonts w:ascii="Constantia" w:hAnsi="Constantia"/>
        </w:rPr>
        <w:t xml:space="preserve">pripada grupi </w:t>
      </w:r>
      <w:r w:rsidRPr="00897A69">
        <w:rPr>
          <w:rFonts w:ascii="Constantia" w:hAnsi="Constantia"/>
          <w:b/>
        </w:rPr>
        <w:t>pokretačkih faktora</w:t>
      </w:r>
      <w:r>
        <w:rPr>
          <w:rFonts w:ascii="Constantia" w:hAnsi="Constantia"/>
        </w:rPr>
        <w:t xml:space="preserve"> u </w:t>
      </w:r>
      <w:r w:rsidRPr="00897A69">
        <w:rPr>
          <w:rFonts w:ascii="Constantia" w:hAnsi="Constantia"/>
        </w:rPr>
        <w:t>DPS</w:t>
      </w:r>
      <w:r>
        <w:rPr>
          <w:rFonts w:ascii="Constantia" w:hAnsi="Constantia"/>
        </w:rPr>
        <w:t>I</w:t>
      </w:r>
      <w:r w:rsidRPr="00897A69">
        <w:rPr>
          <w:rFonts w:ascii="Constantia" w:hAnsi="Constantia"/>
        </w:rPr>
        <w:t>R modelu.</w:t>
      </w:r>
    </w:p>
    <w:p w:rsidR="00912E35" w:rsidRPr="005E4028" w:rsidRDefault="00912E35" w:rsidP="00E45CD3">
      <w:pPr>
        <w:rPr>
          <w:rFonts w:ascii="Constantia" w:hAnsi="Constantia"/>
        </w:rPr>
      </w:pPr>
      <w:r w:rsidRPr="00897A69">
        <w:rPr>
          <w:rFonts w:ascii="Constantia" w:hAnsi="Constantia"/>
        </w:rPr>
        <w:t>Podaci raspoloživi za period 2007-201</w:t>
      </w:r>
      <w:r>
        <w:rPr>
          <w:rFonts w:ascii="Constantia" w:hAnsi="Constantia"/>
        </w:rPr>
        <w:t>3</w:t>
      </w:r>
      <w:r w:rsidRPr="00897A69">
        <w:rPr>
          <w:rFonts w:ascii="Constantia" w:hAnsi="Constantia"/>
        </w:rPr>
        <w:t xml:space="preserve"> govore o ukupnom povećanju turist</w:t>
      </w:r>
      <w:r>
        <w:rPr>
          <w:rFonts w:ascii="Constantia" w:hAnsi="Constantia"/>
        </w:rPr>
        <w:t xml:space="preserve">a na kružnim putovanjima. Broj </w:t>
      </w:r>
      <w:r w:rsidRPr="00897A69">
        <w:rPr>
          <w:rFonts w:ascii="Constantia" w:hAnsi="Constantia"/>
        </w:rPr>
        <w:t>putovanja</w:t>
      </w:r>
      <w:r>
        <w:rPr>
          <w:rFonts w:ascii="Constantia" w:hAnsi="Constantia"/>
        </w:rPr>
        <w:t>,</w:t>
      </w:r>
      <w:r w:rsidRPr="00897A69">
        <w:rPr>
          <w:rFonts w:ascii="Constantia" w:hAnsi="Constantia"/>
        </w:rPr>
        <w:t xml:space="preserve"> takođe</w:t>
      </w:r>
      <w:r>
        <w:rPr>
          <w:rFonts w:ascii="Constantia" w:hAnsi="Constantia"/>
        </w:rPr>
        <w:t>,</w:t>
      </w:r>
      <w:r w:rsidRPr="00897A69">
        <w:rPr>
          <w:rFonts w:ascii="Constantia" w:hAnsi="Constantia"/>
        </w:rPr>
        <w:t xml:space="preserve"> ima trend rasta.</w:t>
      </w:r>
    </w:p>
    <w:p w:rsidR="00912E35" w:rsidRDefault="00912E35" w:rsidP="003C22FB">
      <w:pPr>
        <w:rPr>
          <w:rFonts w:ascii="Constantia" w:hAnsi="Constantia"/>
        </w:rPr>
      </w:pPr>
      <w:r>
        <w:rPr>
          <w:rFonts w:ascii="Constantia" w:hAnsi="Constantia"/>
        </w:rPr>
        <w:t>U 2013.</w:t>
      </w:r>
      <w:r w:rsidR="003C22FB">
        <w:rPr>
          <w:rFonts w:ascii="Constantia" w:hAnsi="Constantia"/>
        </w:rPr>
        <w:t xml:space="preserve"> godini</w:t>
      </w:r>
      <w:r>
        <w:rPr>
          <w:rFonts w:ascii="Constantia" w:hAnsi="Constantia"/>
        </w:rPr>
        <w:t xml:space="preserve"> ostvareno je 398</w:t>
      </w:r>
      <w:r w:rsidRPr="00897A69">
        <w:rPr>
          <w:rFonts w:ascii="Constantia" w:hAnsi="Constantia"/>
        </w:rPr>
        <w:t xml:space="preserve"> kružnih putovanja stranih brodova u Crnoj Gori na kojima je bilo </w:t>
      </w:r>
      <w:r>
        <w:rPr>
          <w:rFonts w:ascii="Constantia" w:hAnsi="Constantia"/>
        </w:rPr>
        <w:t>310</w:t>
      </w:r>
      <w:r w:rsidR="003C22FB">
        <w:rPr>
          <w:rFonts w:ascii="Constantia" w:hAnsi="Constantia"/>
        </w:rPr>
        <w:t xml:space="preserve"> </w:t>
      </w:r>
      <w:r>
        <w:rPr>
          <w:rFonts w:ascii="Constantia" w:hAnsi="Constantia"/>
        </w:rPr>
        <w:t>693</w:t>
      </w:r>
      <w:r w:rsidRPr="00897A69">
        <w:rPr>
          <w:rFonts w:ascii="Constantia" w:hAnsi="Constantia"/>
        </w:rPr>
        <w:t xml:space="preserve"> putnik</w:t>
      </w:r>
      <w:r>
        <w:rPr>
          <w:rFonts w:ascii="Constantia" w:hAnsi="Constantia"/>
        </w:rPr>
        <w:t>a. U odnosu na 2012</w:t>
      </w:r>
      <w:r w:rsidR="003C22FB">
        <w:rPr>
          <w:rFonts w:ascii="Constantia" w:hAnsi="Constantia"/>
        </w:rPr>
        <w:t>. godinu</w:t>
      </w:r>
      <w:r w:rsidRPr="00897A69">
        <w:rPr>
          <w:rFonts w:ascii="Constantia" w:hAnsi="Constantia"/>
        </w:rPr>
        <w:t xml:space="preserve">, broj putovanja </w:t>
      </w:r>
      <w:r>
        <w:rPr>
          <w:rFonts w:ascii="Constantia" w:hAnsi="Constantia"/>
        </w:rPr>
        <w:t xml:space="preserve">je </w:t>
      </w:r>
      <w:r w:rsidRPr="00897A69">
        <w:rPr>
          <w:rFonts w:ascii="Constantia" w:hAnsi="Constantia"/>
        </w:rPr>
        <w:t>poveća</w:t>
      </w:r>
      <w:r>
        <w:rPr>
          <w:rFonts w:ascii="Constantia" w:hAnsi="Constantia"/>
        </w:rPr>
        <w:t xml:space="preserve">n </w:t>
      </w:r>
      <w:r w:rsidRPr="00CB3A81">
        <w:rPr>
          <w:rFonts w:ascii="Constantia" w:hAnsi="Constantia"/>
        </w:rPr>
        <w:t>za 14,3%,</w:t>
      </w:r>
      <w:r w:rsidRPr="00897A69">
        <w:rPr>
          <w:rFonts w:ascii="Constantia" w:hAnsi="Constantia"/>
        </w:rPr>
        <w:t xml:space="preserve"> dok je broj putnika na tim putovanjima </w:t>
      </w:r>
      <w:r>
        <w:rPr>
          <w:rFonts w:ascii="Constantia" w:hAnsi="Constantia"/>
        </w:rPr>
        <w:t>uvećan</w:t>
      </w:r>
      <w:r w:rsidRPr="00897A69">
        <w:rPr>
          <w:rFonts w:ascii="Constantia" w:hAnsi="Constantia"/>
        </w:rPr>
        <w:t xml:space="preserve"> za </w:t>
      </w:r>
      <w:r w:rsidRPr="00CA609D">
        <w:rPr>
          <w:rFonts w:ascii="Constantia" w:hAnsi="Constantia"/>
        </w:rPr>
        <w:t>22,1%.</w:t>
      </w:r>
    </w:p>
    <w:p w:rsidR="00912E35" w:rsidRDefault="00912E35" w:rsidP="00912E35">
      <w:pPr>
        <w:spacing w:line="276" w:lineRule="auto"/>
        <w:ind w:firstLine="720"/>
        <w:rPr>
          <w:rFonts w:ascii="Constantia" w:hAnsi="Constantia"/>
        </w:rPr>
      </w:pPr>
    </w:p>
    <w:p w:rsidR="00912E35" w:rsidRPr="009F4167" w:rsidRDefault="00912E35" w:rsidP="00912E35">
      <w:pPr>
        <w:spacing w:line="276" w:lineRule="auto"/>
        <w:ind w:firstLine="720"/>
        <w:jc w:val="center"/>
        <w:rPr>
          <w:rFonts w:ascii="Constantia" w:hAnsi="Constantia"/>
          <w:sz w:val="20"/>
        </w:rPr>
      </w:pPr>
      <w:r>
        <w:rPr>
          <w:noProof/>
        </w:rPr>
        <w:drawing>
          <wp:inline distT="0" distB="0" distL="0" distR="0" wp14:anchorId="284A6EE8" wp14:editId="4A8D80A3">
            <wp:extent cx="4457700" cy="1962150"/>
            <wp:effectExtent l="0" t="0" r="0" b="0"/>
            <wp:docPr id="1373" name="Chart 137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7"/>
              </a:graphicData>
            </a:graphic>
          </wp:inline>
        </w:drawing>
      </w:r>
    </w:p>
    <w:p w:rsidR="00912E35" w:rsidRPr="008418F6" w:rsidRDefault="008418F6" w:rsidP="008418F6">
      <w:pPr>
        <w:pStyle w:val="Grafikon"/>
        <w:rPr>
          <w:rFonts w:ascii="Constantia" w:hAnsi="Constantia"/>
          <w:sz w:val="22"/>
          <w:szCs w:val="22"/>
        </w:rPr>
      </w:pPr>
      <w:r>
        <w:t xml:space="preserve"> </w:t>
      </w:r>
      <w:r w:rsidR="00912E35" w:rsidRPr="008418F6">
        <w:rPr>
          <w:rFonts w:ascii="Constantia" w:hAnsi="Constantia"/>
          <w:sz w:val="22"/>
          <w:szCs w:val="22"/>
        </w:rPr>
        <w:t>Trend kružnih putovanja stranih brodov</w:t>
      </w:r>
      <w:r w:rsidR="00912E35" w:rsidRPr="008418F6">
        <w:rPr>
          <w:rFonts w:ascii="Constantia" w:hAnsi="Constantia"/>
          <w:b/>
          <w:sz w:val="22"/>
          <w:szCs w:val="22"/>
        </w:rPr>
        <w:t>a</w:t>
      </w:r>
      <w:r w:rsidR="00912E35" w:rsidRPr="008418F6">
        <w:rPr>
          <w:rFonts w:ascii="Constantia" w:hAnsi="Constantia"/>
          <w:sz w:val="22"/>
          <w:szCs w:val="22"/>
        </w:rPr>
        <w:t>, 2007-2013</w:t>
      </w:r>
    </w:p>
    <w:p w:rsidR="00912E35" w:rsidRDefault="00912E35" w:rsidP="00912E35">
      <w:pPr>
        <w:spacing w:line="276" w:lineRule="auto"/>
        <w:ind w:firstLine="360"/>
        <w:rPr>
          <w:rFonts w:ascii="Constantia" w:hAnsi="Constantia"/>
        </w:rPr>
      </w:pPr>
    </w:p>
    <w:p w:rsidR="00912E35" w:rsidRPr="005E4028" w:rsidRDefault="00912E35" w:rsidP="002F5CEE">
      <w:pPr>
        <w:rPr>
          <w:rFonts w:ascii="Constantia" w:hAnsi="Constantia"/>
        </w:rPr>
      </w:pPr>
      <w:r w:rsidRPr="00897A69">
        <w:rPr>
          <w:rFonts w:ascii="Constantia" w:hAnsi="Constantia"/>
        </w:rPr>
        <w:t>Po zastavi pod kojom plove, struktura brodova koji su uplovili u ter</w:t>
      </w:r>
      <w:r>
        <w:rPr>
          <w:rFonts w:ascii="Constantia" w:hAnsi="Constantia"/>
        </w:rPr>
        <w:t>itorijalno more Crne Gore u 2013</w:t>
      </w:r>
      <w:r w:rsidRPr="00897A69">
        <w:rPr>
          <w:rFonts w:ascii="Constantia" w:hAnsi="Constantia"/>
        </w:rPr>
        <w:t>.</w:t>
      </w:r>
      <w:r>
        <w:rPr>
          <w:rFonts w:ascii="Constantia" w:hAnsi="Constantia"/>
        </w:rPr>
        <w:t xml:space="preserve"> godini je sledeća: Malta (37</w:t>
      </w:r>
      <w:r w:rsidRPr="00897A69">
        <w:rPr>
          <w:rFonts w:ascii="Constantia" w:hAnsi="Constantia"/>
        </w:rPr>
        <w:t>%), Bahami (1</w:t>
      </w:r>
      <w:r>
        <w:rPr>
          <w:rFonts w:ascii="Constantia" w:hAnsi="Constantia"/>
        </w:rPr>
        <w:t>9</w:t>
      </w:r>
      <w:r w:rsidRPr="00897A69">
        <w:rPr>
          <w:rFonts w:ascii="Constantia" w:hAnsi="Constantia"/>
        </w:rPr>
        <w:t>%), Panama (</w:t>
      </w:r>
      <w:r>
        <w:rPr>
          <w:rFonts w:ascii="Constantia" w:hAnsi="Constantia"/>
        </w:rPr>
        <w:t>8</w:t>
      </w:r>
      <w:r w:rsidRPr="00897A69">
        <w:rPr>
          <w:rFonts w:ascii="Constantia" w:hAnsi="Constantia"/>
        </w:rPr>
        <w:t>%), Belgija (</w:t>
      </w:r>
      <w:r>
        <w:rPr>
          <w:rFonts w:ascii="Constantia" w:hAnsi="Constantia"/>
        </w:rPr>
        <w:t>7</w:t>
      </w:r>
      <w:r w:rsidRPr="00897A69">
        <w:rPr>
          <w:rFonts w:ascii="Constantia" w:hAnsi="Constantia"/>
        </w:rPr>
        <w:t xml:space="preserve">%), </w:t>
      </w:r>
      <w:r>
        <w:rPr>
          <w:rFonts w:ascii="Constantia" w:hAnsi="Constantia"/>
        </w:rPr>
        <w:t>Hrvatska</w:t>
      </w:r>
      <w:r w:rsidR="002F5CEE">
        <w:rPr>
          <w:rFonts w:ascii="Constantia" w:hAnsi="Constantia"/>
        </w:rPr>
        <w:t xml:space="preserve"> (6,0</w:t>
      </w:r>
      <w:r w:rsidRPr="00897A69">
        <w:rPr>
          <w:rFonts w:ascii="Constantia" w:hAnsi="Constantia"/>
        </w:rPr>
        <w:t xml:space="preserve">%), </w:t>
      </w:r>
      <w:r>
        <w:rPr>
          <w:rFonts w:ascii="Constantia" w:hAnsi="Constantia"/>
        </w:rPr>
        <w:t xml:space="preserve">Italija (6%), Grčka (5%), Finska (4%), </w:t>
      </w:r>
      <w:r w:rsidRPr="00897A69">
        <w:rPr>
          <w:rFonts w:ascii="Constantia" w:hAnsi="Constantia"/>
        </w:rPr>
        <w:t>Maršalska Ostrva (</w:t>
      </w:r>
      <w:r>
        <w:rPr>
          <w:rFonts w:ascii="Constantia" w:hAnsi="Constantia"/>
        </w:rPr>
        <w:t>3</w:t>
      </w:r>
      <w:r w:rsidRPr="00897A69">
        <w:rPr>
          <w:rFonts w:ascii="Constantia" w:hAnsi="Constantia"/>
        </w:rPr>
        <w:t xml:space="preserve">%), </w:t>
      </w:r>
      <w:r>
        <w:rPr>
          <w:rFonts w:ascii="Constantia" w:hAnsi="Constantia"/>
        </w:rPr>
        <w:t xml:space="preserve">Bermudi (2%), </w:t>
      </w:r>
      <w:r w:rsidRPr="00897A69">
        <w:rPr>
          <w:rFonts w:ascii="Constantia" w:hAnsi="Constantia"/>
        </w:rPr>
        <w:t>Francuska (</w:t>
      </w:r>
      <w:r>
        <w:rPr>
          <w:rFonts w:ascii="Constantia" w:hAnsi="Constantia"/>
        </w:rPr>
        <w:t>2</w:t>
      </w:r>
      <w:r w:rsidRPr="00897A69">
        <w:rPr>
          <w:rFonts w:ascii="Constantia" w:hAnsi="Constantia"/>
        </w:rPr>
        <w:t>%) i drugi.</w:t>
      </w:r>
    </w:p>
    <w:p w:rsidR="00912E35" w:rsidRPr="005E4028" w:rsidRDefault="00912E35" w:rsidP="002F5CEE">
      <w:pPr>
        <w:rPr>
          <w:rFonts w:ascii="Constantia" w:hAnsi="Constantia"/>
        </w:rPr>
      </w:pPr>
      <w:r w:rsidRPr="00897A69">
        <w:rPr>
          <w:rFonts w:ascii="Constantia" w:hAnsi="Constantia"/>
        </w:rPr>
        <w:t>Udio tu</w:t>
      </w:r>
      <w:r>
        <w:rPr>
          <w:rFonts w:ascii="Constantia" w:hAnsi="Constantia"/>
        </w:rPr>
        <w:t xml:space="preserve">rista na kružnim putovanjima u </w:t>
      </w:r>
      <w:r w:rsidRPr="00897A69">
        <w:rPr>
          <w:rFonts w:ascii="Constantia" w:hAnsi="Constantia"/>
        </w:rPr>
        <w:t>ukupanom broju turista (dolazaka) bilježi rast u anal</w:t>
      </w:r>
      <w:r>
        <w:rPr>
          <w:rFonts w:ascii="Constantia" w:hAnsi="Constantia"/>
        </w:rPr>
        <w:t>iziranom periodu od 4% u 2007.</w:t>
      </w:r>
      <w:r w:rsidR="002F5CEE">
        <w:rPr>
          <w:rFonts w:ascii="Constantia" w:hAnsi="Constantia"/>
        </w:rPr>
        <w:t xml:space="preserve"> godini</w:t>
      </w:r>
      <w:r>
        <w:rPr>
          <w:rFonts w:ascii="Constantia" w:hAnsi="Constantia"/>
        </w:rPr>
        <w:t xml:space="preserve"> </w:t>
      </w:r>
      <w:r w:rsidRPr="00897A69">
        <w:rPr>
          <w:rFonts w:ascii="Constantia" w:hAnsi="Constantia"/>
        </w:rPr>
        <w:t xml:space="preserve">do </w:t>
      </w:r>
      <w:r>
        <w:rPr>
          <w:rFonts w:ascii="Constantia" w:hAnsi="Constantia"/>
        </w:rPr>
        <w:t>20,8%  u 2013</w:t>
      </w:r>
      <w:r w:rsidRPr="00897A69">
        <w:rPr>
          <w:rFonts w:ascii="Constantia" w:hAnsi="Constantia"/>
        </w:rPr>
        <w:t>.</w:t>
      </w:r>
      <w:r>
        <w:rPr>
          <w:rFonts w:ascii="Constantia" w:hAnsi="Constantia"/>
        </w:rPr>
        <w:t xml:space="preserve"> godini.</w:t>
      </w:r>
      <w:r w:rsidRPr="00897A69">
        <w:rPr>
          <w:rFonts w:ascii="Constantia" w:hAnsi="Constantia"/>
        </w:rPr>
        <w:t xml:space="preserve"> </w:t>
      </w:r>
    </w:p>
    <w:p w:rsidR="00912E35" w:rsidRPr="002F2B99" w:rsidRDefault="00912E35" w:rsidP="00912E35">
      <w:pPr>
        <w:pStyle w:val="Grafikon"/>
        <w:numPr>
          <w:ilvl w:val="0"/>
          <w:numId w:val="0"/>
        </w:numPr>
        <w:spacing w:line="276" w:lineRule="auto"/>
        <w:rPr>
          <w:rFonts w:ascii="Constantia" w:hAnsi="Constantia"/>
          <w:sz w:val="22"/>
        </w:rPr>
      </w:pPr>
    </w:p>
    <w:p w:rsidR="00912E35" w:rsidRDefault="00912E35" w:rsidP="009C7498">
      <w:pPr>
        <w:jc w:val="center"/>
        <w:rPr>
          <w:rFonts w:ascii="Constantia" w:hAnsi="Constantia"/>
        </w:rPr>
      </w:pPr>
      <w:r>
        <w:rPr>
          <w:noProof/>
        </w:rPr>
        <w:lastRenderedPageBreak/>
        <w:drawing>
          <wp:inline distT="0" distB="0" distL="0" distR="0" wp14:anchorId="318CDC8F" wp14:editId="03F630A5">
            <wp:extent cx="4543425" cy="2838450"/>
            <wp:effectExtent l="0" t="0" r="9525" b="19050"/>
            <wp:docPr id="1374" name="Chart 137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8"/>
              </a:graphicData>
            </a:graphic>
          </wp:inline>
        </w:drawing>
      </w:r>
    </w:p>
    <w:p w:rsidR="00912E35" w:rsidRPr="00C45F34" w:rsidRDefault="00C45F34" w:rsidP="00C45F34">
      <w:pPr>
        <w:pStyle w:val="Grafikon"/>
        <w:rPr>
          <w:rFonts w:ascii="Constantia" w:hAnsi="Constantia"/>
          <w:sz w:val="22"/>
          <w:szCs w:val="22"/>
        </w:rPr>
      </w:pPr>
      <w:r>
        <w:t xml:space="preserve"> </w:t>
      </w:r>
      <w:r w:rsidR="00912E35" w:rsidRPr="00C45F34">
        <w:rPr>
          <w:rFonts w:ascii="Constantia" w:hAnsi="Constantia"/>
          <w:sz w:val="22"/>
          <w:szCs w:val="22"/>
        </w:rPr>
        <w:t>Struktura stranih brodova na kružnim  putovanjima, 2013</w:t>
      </w:r>
    </w:p>
    <w:p w:rsidR="00912E35" w:rsidRDefault="00912E35" w:rsidP="00912E35">
      <w:pPr>
        <w:spacing w:after="0"/>
        <w:jc w:val="center"/>
        <w:rPr>
          <w:rFonts w:ascii="Constantia" w:hAnsi="Constantia"/>
        </w:rPr>
      </w:pPr>
    </w:p>
    <w:p w:rsidR="00912E35" w:rsidRDefault="00912E35" w:rsidP="00912E35">
      <w:pPr>
        <w:spacing w:after="0"/>
        <w:jc w:val="left"/>
        <w:rPr>
          <w:rFonts w:ascii="Constantia" w:hAnsi="Constantia"/>
        </w:rPr>
      </w:pPr>
    </w:p>
    <w:p w:rsidR="00912E35" w:rsidRDefault="00912E35" w:rsidP="009C7498">
      <w:pPr>
        <w:rPr>
          <w:rFonts w:ascii="Constantia" w:hAnsi="Constantia"/>
        </w:rPr>
      </w:pPr>
      <w:r w:rsidRPr="00897A69">
        <w:rPr>
          <w:rFonts w:ascii="Constantia" w:hAnsi="Constantia"/>
        </w:rPr>
        <w:t>Veliki zahtjevi leže na organizaciji dočeka turista</w:t>
      </w:r>
      <w:r>
        <w:rPr>
          <w:rFonts w:ascii="Constantia" w:hAnsi="Constantia"/>
        </w:rPr>
        <w:t>,</w:t>
      </w:r>
      <w:r w:rsidRPr="00897A69">
        <w:rPr>
          <w:rFonts w:ascii="Constantia" w:hAnsi="Constantia"/>
        </w:rPr>
        <w:t xml:space="preserve"> </w:t>
      </w:r>
      <w:r>
        <w:rPr>
          <w:rFonts w:ascii="Constantia" w:hAnsi="Constantia"/>
        </w:rPr>
        <w:t xml:space="preserve">na </w:t>
      </w:r>
      <w:r w:rsidRPr="00897A69">
        <w:rPr>
          <w:rFonts w:ascii="Constantia" w:hAnsi="Constantia"/>
        </w:rPr>
        <w:t>infrastrukturi potrebnoj za prihvat, pa je potrebno definisati smjer razv</w:t>
      </w:r>
      <w:r>
        <w:rPr>
          <w:rFonts w:ascii="Constantia" w:hAnsi="Constantia"/>
        </w:rPr>
        <w:t xml:space="preserve">oja </w:t>
      </w:r>
      <w:r w:rsidRPr="00897A69">
        <w:rPr>
          <w:rFonts w:ascii="Constantia" w:hAnsi="Constantia"/>
        </w:rPr>
        <w:t>ove vrste turizma</w:t>
      </w:r>
      <w:r>
        <w:rPr>
          <w:rFonts w:ascii="Constantia" w:hAnsi="Constantia"/>
        </w:rPr>
        <w:t>,</w:t>
      </w:r>
      <w:r w:rsidRPr="00897A69">
        <w:rPr>
          <w:rFonts w:ascii="Constantia" w:hAnsi="Constantia"/>
        </w:rPr>
        <w:t xml:space="preserve"> </w:t>
      </w:r>
      <w:r>
        <w:rPr>
          <w:rFonts w:ascii="Constantia" w:hAnsi="Constantia"/>
        </w:rPr>
        <w:t>kao i</w:t>
      </w:r>
      <w:r w:rsidRPr="00897A69">
        <w:rPr>
          <w:rFonts w:ascii="Constantia" w:hAnsi="Constantia"/>
        </w:rPr>
        <w:t xml:space="preserve"> ograničenja i konkretne mjere kako ne bi došlo do negativnog uticaja na životnu sredinu i lokalno stanovništvo.</w:t>
      </w:r>
    </w:p>
    <w:p w:rsidR="008B238B" w:rsidRDefault="008B238B" w:rsidP="00912E35">
      <w:pPr>
        <w:spacing w:line="276" w:lineRule="auto"/>
        <w:ind w:firstLine="360"/>
        <w:rPr>
          <w:rFonts w:ascii="Constantia" w:hAnsi="Constantia"/>
        </w:rPr>
      </w:pPr>
    </w:p>
    <w:p w:rsidR="008B238B" w:rsidRDefault="008B238B" w:rsidP="00912E35">
      <w:pPr>
        <w:spacing w:line="276" w:lineRule="auto"/>
        <w:ind w:firstLine="360"/>
        <w:rPr>
          <w:rFonts w:ascii="Constantia" w:hAnsi="Constantia"/>
        </w:rPr>
      </w:pPr>
    </w:p>
    <w:p w:rsidR="008B238B" w:rsidRPr="005E4028" w:rsidRDefault="008B238B" w:rsidP="008B238B">
      <w:pPr>
        <w:pStyle w:val="Grafikon"/>
        <w:numPr>
          <w:ilvl w:val="0"/>
          <w:numId w:val="0"/>
        </w:numPr>
        <w:spacing w:line="276" w:lineRule="auto"/>
        <w:rPr>
          <w:rFonts w:ascii="Constantia" w:eastAsia="Calibri" w:hAnsi="Constantia"/>
          <w:i w:val="0"/>
          <w:sz w:val="22"/>
          <w:szCs w:val="22"/>
        </w:rPr>
      </w:pPr>
      <w:r>
        <w:rPr>
          <w:rFonts w:ascii="Constantia" w:eastAsia="Calibri" w:hAnsi="Constantia"/>
          <w:i w:val="0"/>
          <w:sz w:val="22"/>
          <w:szCs w:val="22"/>
        </w:rPr>
        <w:t>*</w:t>
      </w:r>
      <w:r>
        <w:rPr>
          <w:rFonts w:ascii="Constantia" w:eastAsia="Calibri" w:hAnsi="Constantia"/>
          <w:i w:val="0"/>
          <w:sz w:val="22"/>
          <w:szCs w:val="22"/>
        </w:rPr>
        <w:tab/>
        <w:t>*           *</w:t>
      </w:r>
    </w:p>
    <w:p w:rsidR="008B238B" w:rsidRPr="00FA1BB7" w:rsidRDefault="008B238B" w:rsidP="008B238B">
      <w:pPr>
        <w:spacing w:line="276" w:lineRule="auto"/>
        <w:ind w:firstLine="360"/>
        <w:jc w:val="center"/>
        <w:rPr>
          <w:rFonts w:ascii="Constantia" w:hAnsi="Constantia"/>
        </w:rPr>
      </w:pPr>
    </w:p>
    <w:p w:rsidR="00436A1A" w:rsidRPr="000C51CE" w:rsidRDefault="00436A1A" w:rsidP="00E85862">
      <w:pPr>
        <w:pStyle w:val="Heading1"/>
        <w:numPr>
          <w:ilvl w:val="0"/>
          <w:numId w:val="0"/>
        </w:numPr>
        <w:spacing w:before="0"/>
      </w:pPr>
      <w:bookmarkStart w:id="357" w:name="_Toc393897981"/>
      <w:r w:rsidRPr="000C51CE">
        <w:lastRenderedPageBreak/>
        <w:t>Pojmovnik</w:t>
      </w:r>
      <w:bookmarkEnd w:id="334"/>
      <w:bookmarkEnd w:id="357"/>
    </w:p>
    <w:p w:rsidR="00436A1A" w:rsidRPr="000C51CE" w:rsidRDefault="00436A1A" w:rsidP="00436A1A">
      <w:pPr>
        <w:spacing w:line="276" w:lineRule="auto"/>
        <w:rPr>
          <w:rFonts w:ascii="Constantia" w:hAnsi="Constantia"/>
          <w:b/>
          <w:szCs w:val="22"/>
        </w:rPr>
      </w:pPr>
      <w:r w:rsidRPr="000C51CE">
        <w:rPr>
          <w:rFonts w:ascii="Constantia" w:hAnsi="Constantia"/>
          <w:b/>
          <w:szCs w:val="22"/>
        </w:rPr>
        <w:t>A</w:t>
      </w:r>
    </w:p>
    <w:p w:rsidR="00436A1A" w:rsidRPr="000C51CE" w:rsidRDefault="00436A1A" w:rsidP="00436A1A">
      <w:pPr>
        <w:rPr>
          <w:rFonts w:ascii="Constantia" w:hAnsi="Constantia"/>
          <w:szCs w:val="22"/>
        </w:rPr>
      </w:pPr>
      <w:r w:rsidRPr="000C51CE">
        <w:rPr>
          <w:rFonts w:ascii="Constantia" w:hAnsi="Constantia"/>
          <w:szCs w:val="22"/>
        </w:rPr>
        <w:t>ABUDANCA (brojnost) – predstavlja broj individua po jedinici površine.</w:t>
      </w:r>
    </w:p>
    <w:p w:rsidR="00436A1A" w:rsidRPr="000C51CE" w:rsidRDefault="00436A1A" w:rsidP="00436A1A">
      <w:pPr>
        <w:rPr>
          <w:rFonts w:ascii="Constantia" w:hAnsi="Constantia"/>
          <w:szCs w:val="22"/>
        </w:rPr>
      </w:pPr>
      <w:r w:rsidRPr="0059415F">
        <w:rPr>
          <w:rFonts w:ascii="Constantia" w:hAnsi="Constantia"/>
          <w:szCs w:val="22"/>
        </w:rPr>
        <w:t xml:space="preserve">ADSORPCIJA </w:t>
      </w:r>
      <w:r w:rsidR="007806C7">
        <w:rPr>
          <w:rFonts w:ascii="Constantia" w:hAnsi="Constantia"/>
          <w:szCs w:val="22"/>
        </w:rPr>
        <w:t>–</w:t>
      </w:r>
      <w:r w:rsidRPr="000C51CE">
        <w:rPr>
          <w:rFonts w:ascii="Constantia" w:hAnsi="Constantia"/>
          <w:szCs w:val="22"/>
        </w:rPr>
        <w:t xml:space="preserve"> vezivanje supstanci iz gasovite ili tečne faze na površinu čvrstog tijela ili tečnosti, pri čemu je koncentracija ove supstance na njihovoj površini povećana.</w:t>
      </w:r>
    </w:p>
    <w:p w:rsidR="00436A1A" w:rsidRPr="000C51CE" w:rsidRDefault="00436A1A" w:rsidP="00436A1A">
      <w:pPr>
        <w:rPr>
          <w:rFonts w:ascii="Constantia" w:hAnsi="Constantia"/>
          <w:szCs w:val="22"/>
        </w:rPr>
      </w:pPr>
      <w:r w:rsidRPr="000C51CE">
        <w:rPr>
          <w:rFonts w:ascii="Constantia" w:hAnsi="Constantia"/>
          <w:szCs w:val="22"/>
        </w:rPr>
        <w:t xml:space="preserve">AEROSOLI </w:t>
      </w:r>
      <w:r w:rsidR="007806C7">
        <w:rPr>
          <w:rFonts w:ascii="Constantia" w:hAnsi="Constantia"/>
          <w:szCs w:val="22"/>
        </w:rPr>
        <w:t>–</w:t>
      </w:r>
      <w:r w:rsidRPr="000C51CE">
        <w:rPr>
          <w:rFonts w:ascii="Constantia" w:hAnsi="Constantia"/>
          <w:szCs w:val="22"/>
        </w:rPr>
        <w:t xml:space="preserve"> čestice u atmosferi (čvrste ili tečne) koje se javljaju u velikom broju različitih oblika, veličina i hemijskog sastava i konstantno cirkulišu u vazduhu. </w:t>
      </w:r>
      <w:r>
        <w:rPr>
          <w:rFonts w:ascii="Constantia" w:hAnsi="Constantia"/>
          <w:szCs w:val="22"/>
        </w:rPr>
        <w:t>O</w:t>
      </w:r>
      <w:r w:rsidRPr="000C51CE">
        <w:rPr>
          <w:rFonts w:ascii="Constantia" w:hAnsi="Constantia"/>
          <w:szCs w:val="22"/>
        </w:rPr>
        <w:t xml:space="preserve">snovni izvor ovih čestica </w:t>
      </w:r>
      <w:r>
        <w:rPr>
          <w:rFonts w:ascii="Constantia" w:hAnsi="Constantia"/>
          <w:szCs w:val="22"/>
        </w:rPr>
        <w:t>kod nas su</w:t>
      </w:r>
      <w:r w:rsidRPr="000C51CE">
        <w:rPr>
          <w:rFonts w:ascii="Constantia" w:hAnsi="Constantia"/>
          <w:szCs w:val="22"/>
        </w:rPr>
        <w:t xml:space="preserve"> šumski požari, industrijska aktivnost i saobraćaj.</w:t>
      </w:r>
    </w:p>
    <w:p w:rsidR="00436A1A" w:rsidRPr="000C51CE" w:rsidRDefault="00436A1A" w:rsidP="00436A1A">
      <w:pPr>
        <w:rPr>
          <w:rFonts w:ascii="Constantia" w:hAnsi="Constantia"/>
          <w:szCs w:val="22"/>
        </w:rPr>
      </w:pPr>
      <w:r w:rsidRPr="000C51CE">
        <w:rPr>
          <w:rFonts w:ascii="Constantia" w:hAnsi="Constantia"/>
          <w:szCs w:val="22"/>
        </w:rPr>
        <w:t>AMONIJAK (NH</w:t>
      </w:r>
      <w:r w:rsidRPr="000C51CE">
        <w:rPr>
          <w:rFonts w:ascii="Constantia" w:hAnsi="Constantia"/>
          <w:szCs w:val="22"/>
          <w:vertAlign w:val="subscript"/>
        </w:rPr>
        <w:t>3</w:t>
      </w:r>
      <w:r w:rsidRPr="000C51CE">
        <w:rPr>
          <w:rFonts w:ascii="Constantia" w:hAnsi="Constantia"/>
          <w:szCs w:val="22"/>
        </w:rPr>
        <w:t>)</w:t>
      </w:r>
      <w:r w:rsidR="007330D2">
        <w:rPr>
          <w:rFonts w:ascii="Constantia" w:hAnsi="Constantia"/>
          <w:szCs w:val="22"/>
        </w:rPr>
        <w:t xml:space="preserve"> </w:t>
      </w:r>
      <w:r w:rsidRPr="000C51CE">
        <w:rPr>
          <w:rFonts w:ascii="Constantia" w:hAnsi="Constantia"/>
          <w:szCs w:val="22"/>
        </w:rPr>
        <w:t>– bezbojan, zagušljiv, otrovan gas, oštrog mirisa. Udisanje i vrlo malih količina izaziva kašalj, a djeluje nadražujuće na služokožu i oči. Nastaje truljenjem organskih materija koje sadrže azot.</w:t>
      </w:r>
    </w:p>
    <w:p w:rsidR="00436A1A" w:rsidRPr="000C51CE" w:rsidRDefault="00436A1A" w:rsidP="00436A1A">
      <w:pPr>
        <w:rPr>
          <w:rFonts w:ascii="Constantia" w:hAnsi="Constantia"/>
          <w:szCs w:val="22"/>
        </w:rPr>
      </w:pPr>
      <w:r w:rsidRPr="000C51CE">
        <w:rPr>
          <w:rFonts w:ascii="Constantia" w:hAnsi="Constantia"/>
          <w:szCs w:val="22"/>
        </w:rPr>
        <w:t>ARSEN (As)</w:t>
      </w:r>
      <w:r>
        <w:rPr>
          <w:rFonts w:ascii="Constantia" w:hAnsi="Constantia"/>
          <w:szCs w:val="22"/>
        </w:rPr>
        <w:t xml:space="preserve"> –</w:t>
      </w:r>
      <w:r w:rsidR="007330D2">
        <w:rPr>
          <w:rFonts w:ascii="Constantia" w:hAnsi="Constantia"/>
          <w:szCs w:val="22"/>
        </w:rPr>
        <w:t xml:space="preserve"> </w:t>
      </w:r>
      <w:r>
        <w:rPr>
          <w:rFonts w:ascii="Constantia" w:hAnsi="Constantia"/>
          <w:szCs w:val="22"/>
        </w:rPr>
        <w:t xml:space="preserve">hemijski </w:t>
      </w:r>
      <w:r w:rsidRPr="000C51CE">
        <w:rPr>
          <w:rFonts w:ascii="Constantia" w:hAnsi="Constantia"/>
          <w:szCs w:val="22"/>
        </w:rPr>
        <w:t xml:space="preserve">elemenat </w:t>
      </w:r>
      <w:r>
        <w:rPr>
          <w:rFonts w:ascii="Constantia" w:hAnsi="Constantia"/>
          <w:szCs w:val="22"/>
        </w:rPr>
        <w:t>koji predstavlja n</w:t>
      </w:r>
      <w:r w:rsidRPr="000C51CE">
        <w:rPr>
          <w:rFonts w:ascii="Constantia" w:hAnsi="Constantia"/>
          <w:szCs w:val="22"/>
        </w:rPr>
        <w:t>ormalan sastojak zemljišta (0-40 ppm).</w:t>
      </w:r>
      <w:r w:rsidR="007330D2">
        <w:rPr>
          <w:rFonts w:ascii="Constantia" w:hAnsi="Constantia"/>
          <w:szCs w:val="22"/>
        </w:rPr>
        <w:t xml:space="preserve"> </w:t>
      </w:r>
      <w:r w:rsidRPr="000C51CE">
        <w:rPr>
          <w:rFonts w:ascii="Constantia" w:hAnsi="Constantia"/>
          <w:szCs w:val="22"/>
        </w:rPr>
        <w:t>Smatra se da slobodni arsen nije otrovan, već samo njegova jedinjenja.</w:t>
      </w:r>
    </w:p>
    <w:p w:rsidR="00436A1A" w:rsidRPr="000C51CE" w:rsidRDefault="00436A1A" w:rsidP="00436A1A">
      <w:pPr>
        <w:rPr>
          <w:rFonts w:ascii="Constantia" w:hAnsi="Constantia"/>
          <w:szCs w:val="22"/>
        </w:rPr>
      </w:pPr>
      <w:r w:rsidRPr="000C51CE">
        <w:rPr>
          <w:rFonts w:ascii="Constantia" w:hAnsi="Constantia"/>
          <w:szCs w:val="22"/>
        </w:rPr>
        <w:t>AZOTNI OKSIDI – Azot-dioksid (NO</w:t>
      </w:r>
      <w:r w:rsidRPr="000C51CE">
        <w:rPr>
          <w:rFonts w:ascii="Constantia" w:hAnsi="Constantia"/>
          <w:szCs w:val="22"/>
          <w:vertAlign w:val="subscript"/>
        </w:rPr>
        <w:t>2</w:t>
      </w:r>
      <w:r w:rsidRPr="000C51CE">
        <w:rPr>
          <w:rFonts w:ascii="Constantia" w:hAnsi="Constantia"/>
          <w:szCs w:val="22"/>
        </w:rPr>
        <w:t>) je crvenosmeđi zagušljiv gas karakterističnog mirisa. Nastaje prirodnim procesima, sagorijevanje</w:t>
      </w:r>
      <w:r>
        <w:rPr>
          <w:rFonts w:ascii="Constantia" w:hAnsi="Constantia"/>
          <w:szCs w:val="22"/>
        </w:rPr>
        <w:t>m</w:t>
      </w:r>
      <w:r w:rsidRPr="000C51CE">
        <w:rPr>
          <w:rFonts w:ascii="Constantia" w:hAnsi="Constantia"/>
          <w:szCs w:val="22"/>
        </w:rPr>
        <w:t xml:space="preserve"> fosilnih goriva i pri nekim industrijskim procesima.</w:t>
      </w:r>
      <w:r w:rsidR="007330D2">
        <w:rPr>
          <w:rFonts w:ascii="Constantia" w:hAnsi="Constantia"/>
          <w:szCs w:val="22"/>
        </w:rPr>
        <w:t xml:space="preserve"> </w:t>
      </w:r>
      <w:r w:rsidRPr="000C51CE">
        <w:rPr>
          <w:rFonts w:ascii="Constantia" w:hAnsi="Constantia"/>
          <w:szCs w:val="22"/>
        </w:rPr>
        <w:t>Izaziva povećanu frekvenciju respiratornih jedinjenja, a smatra se da može izazvati i neke vrste kancera.</w:t>
      </w:r>
      <w:r w:rsidR="007330D2">
        <w:rPr>
          <w:rFonts w:ascii="Constantia" w:hAnsi="Constantia"/>
          <w:szCs w:val="22"/>
        </w:rPr>
        <w:t xml:space="preserve"> </w:t>
      </w:r>
      <w:r w:rsidRPr="000C51CE">
        <w:rPr>
          <w:rFonts w:ascii="Constantia" w:hAnsi="Constantia"/>
          <w:szCs w:val="22"/>
        </w:rPr>
        <w:t>Azot-dioksid u atmosferi ostaje kratko.</w:t>
      </w:r>
      <w:r w:rsidR="007330D2">
        <w:rPr>
          <w:rFonts w:ascii="Constantia" w:hAnsi="Constantia"/>
          <w:szCs w:val="22"/>
        </w:rPr>
        <w:t xml:space="preserve"> </w:t>
      </w:r>
      <w:r w:rsidRPr="000C51CE">
        <w:rPr>
          <w:rFonts w:ascii="Constantia" w:hAnsi="Constantia"/>
          <w:szCs w:val="22"/>
        </w:rPr>
        <w:t>Azot-monoksid (NO) nastaje u prirodi</w:t>
      </w:r>
      <w:r>
        <w:rPr>
          <w:rFonts w:ascii="Constantia" w:hAnsi="Constantia"/>
          <w:szCs w:val="22"/>
        </w:rPr>
        <w:t>,</w:t>
      </w:r>
      <w:r w:rsidRPr="000C51CE">
        <w:rPr>
          <w:rFonts w:ascii="Constantia" w:hAnsi="Constantia"/>
          <w:szCs w:val="22"/>
        </w:rPr>
        <w:t xml:space="preserve"> kao rezultat mikrobiološke aktivnosti.</w:t>
      </w:r>
      <w:r w:rsidR="007330D2">
        <w:rPr>
          <w:rFonts w:ascii="Constantia" w:hAnsi="Constantia"/>
          <w:szCs w:val="22"/>
        </w:rPr>
        <w:t xml:space="preserve"> </w:t>
      </w:r>
      <w:r w:rsidRPr="000C51CE">
        <w:rPr>
          <w:rFonts w:ascii="Constantia" w:hAnsi="Constantia"/>
          <w:szCs w:val="22"/>
        </w:rPr>
        <w:t>Oslobađa se i sagorijevanjem fosilnih goriva, pri proizvodnji azotne kiseline i drugim tehnološkim procesima. Može da reaguje s</w:t>
      </w:r>
      <w:r>
        <w:rPr>
          <w:rFonts w:ascii="Constantia" w:hAnsi="Constantia"/>
          <w:szCs w:val="22"/>
        </w:rPr>
        <w:t>a</w:t>
      </w:r>
      <w:r w:rsidRPr="000C51CE">
        <w:rPr>
          <w:rFonts w:ascii="Constantia" w:hAnsi="Constantia"/>
          <w:szCs w:val="22"/>
        </w:rPr>
        <w:t xml:space="preserve"> ozonom (O</w:t>
      </w:r>
      <w:r w:rsidRPr="000C51CE">
        <w:rPr>
          <w:rFonts w:ascii="Constantia" w:hAnsi="Constantia"/>
          <w:szCs w:val="22"/>
          <w:vertAlign w:val="subscript"/>
        </w:rPr>
        <w:t>3</w:t>
      </w:r>
      <w:r w:rsidRPr="000C51CE">
        <w:rPr>
          <w:rFonts w:ascii="Constantia" w:hAnsi="Constantia"/>
          <w:szCs w:val="22"/>
        </w:rPr>
        <w:t>)</w:t>
      </w:r>
      <w:r>
        <w:rPr>
          <w:rFonts w:ascii="Constantia" w:hAnsi="Constantia"/>
          <w:szCs w:val="22"/>
        </w:rPr>
        <w:t>,</w:t>
      </w:r>
      <w:r w:rsidRPr="000C51CE">
        <w:rPr>
          <w:rFonts w:ascii="Constantia" w:hAnsi="Constantia"/>
          <w:szCs w:val="22"/>
        </w:rPr>
        <w:t xml:space="preserve"> smanjujući tako njegovu koncentraciju.</w:t>
      </w:r>
    </w:p>
    <w:p w:rsidR="00436A1A" w:rsidRPr="000C51CE" w:rsidRDefault="00436A1A" w:rsidP="00436A1A">
      <w:pPr>
        <w:spacing w:line="276" w:lineRule="auto"/>
        <w:rPr>
          <w:rFonts w:ascii="Constantia" w:hAnsi="Constantia"/>
          <w:b/>
          <w:szCs w:val="22"/>
        </w:rPr>
      </w:pPr>
      <w:r w:rsidRPr="000C51CE">
        <w:rPr>
          <w:rFonts w:ascii="Constantia" w:hAnsi="Constantia"/>
          <w:b/>
          <w:szCs w:val="22"/>
        </w:rPr>
        <w:t>B</w:t>
      </w:r>
    </w:p>
    <w:p w:rsidR="00436A1A" w:rsidRPr="000C51CE" w:rsidRDefault="00436A1A" w:rsidP="00436A1A">
      <w:pPr>
        <w:rPr>
          <w:rFonts w:ascii="Constantia" w:hAnsi="Constantia"/>
          <w:szCs w:val="22"/>
        </w:rPr>
      </w:pPr>
      <w:r w:rsidRPr="000C51CE">
        <w:rPr>
          <w:rFonts w:ascii="Constantia" w:hAnsi="Constantia"/>
          <w:szCs w:val="22"/>
        </w:rPr>
        <w:t xml:space="preserve">BAKAR (Cu) – </w:t>
      </w:r>
      <w:r>
        <w:rPr>
          <w:rFonts w:ascii="Constantia" w:hAnsi="Constantia"/>
          <w:szCs w:val="22"/>
        </w:rPr>
        <w:t xml:space="preserve">hemijski </w:t>
      </w:r>
      <w:r w:rsidRPr="000C51CE">
        <w:rPr>
          <w:rFonts w:ascii="Constantia" w:hAnsi="Constantia"/>
          <w:szCs w:val="22"/>
        </w:rPr>
        <w:t>element</w:t>
      </w:r>
      <w:r>
        <w:rPr>
          <w:rFonts w:ascii="Constantia" w:hAnsi="Constantia"/>
          <w:szCs w:val="22"/>
        </w:rPr>
        <w:t xml:space="preserve"> koji se obično nalazi u zemljištu od 5-</w:t>
      </w:r>
      <w:r w:rsidRPr="000C51CE">
        <w:rPr>
          <w:rFonts w:ascii="Constantia" w:hAnsi="Constantia"/>
          <w:szCs w:val="22"/>
        </w:rPr>
        <w:t>100 ppm, ali ekološki aktivnog bakra ima oko 0,2-2 ppm, dok ga u vodi ima 10 puta manje.</w:t>
      </w:r>
    </w:p>
    <w:p w:rsidR="00436A1A" w:rsidRPr="000C51CE" w:rsidRDefault="00436A1A" w:rsidP="00436A1A">
      <w:pPr>
        <w:rPr>
          <w:rFonts w:ascii="Constantia" w:hAnsi="Constantia"/>
          <w:szCs w:val="22"/>
        </w:rPr>
      </w:pPr>
      <w:r w:rsidRPr="000C51CE">
        <w:rPr>
          <w:rFonts w:ascii="Constantia" w:hAnsi="Constantia"/>
          <w:szCs w:val="22"/>
        </w:rPr>
        <w:t xml:space="preserve">BENZO(a)PIREN – visoko mutagena i karcenogena supstanca. </w:t>
      </w:r>
      <w:r>
        <w:rPr>
          <w:rFonts w:ascii="Constantia" w:hAnsi="Constantia"/>
          <w:szCs w:val="22"/>
        </w:rPr>
        <w:t>Predstavlja jedan od</w:t>
      </w:r>
      <w:r w:rsidR="0085779F">
        <w:rPr>
          <w:rFonts w:ascii="Constantia" w:hAnsi="Constantia"/>
          <w:szCs w:val="22"/>
        </w:rPr>
        <w:t xml:space="preserve"> </w:t>
      </w:r>
      <w:r w:rsidRPr="000C51CE">
        <w:rPr>
          <w:rFonts w:ascii="Constantia" w:hAnsi="Constantia"/>
          <w:szCs w:val="22"/>
        </w:rPr>
        <w:t>poliaromatičn</w:t>
      </w:r>
      <w:r>
        <w:rPr>
          <w:rFonts w:ascii="Constantia" w:hAnsi="Constantia"/>
          <w:szCs w:val="22"/>
        </w:rPr>
        <w:t>ih</w:t>
      </w:r>
      <w:r w:rsidRPr="000C51CE">
        <w:rPr>
          <w:rFonts w:ascii="Constantia" w:hAnsi="Constantia"/>
          <w:szCs w:val="22"/>
        </w:rPr>
        <w:t xml:space="preserve"> ugljovodoni</w:t>
      </w:r>
      <w:r>
        <w:rPr>
          <w:rFonts w:ascii="Constantia" w:hAnsi="Constantia"/>
          <w:szCs w:val="22"/>
        </w:rPr>
        <w:t>ka</w:t>
      </w:r>
      <w:r w:rsidRPr="000C51CE">
        <w:rPr>
          <w:rFonts w:ascii="Constantia" w:hAnsi="Constantia"/>
          <w:szCs w:val="22"/>
        </w:rPr>
        <w:t xml:space="preserve"> koji u atmosferu dospijevaju sagorijevanje</w:t>
      </w:r>
      <w:r>
        <w:rPr>
          <w:rFonts w:ascii="Constantia" w:hAnsi="Constantia"/>
          <w:szCs w:val="22"/>
        </w:rPr>
        <w:t>m</w:t>
      </w:r>
      <w:r w:rsidRPr="000C51CE">
        <w:rPr>
          <w:rFonts w:ascii="Constantia" w:hAnsi="Constantia"/>
          <w:szCs w:val="22"/>
        </w:rPr>
        <w:t xml:space="preserve"> fosilnih goriva.</w:t>
      </w:r>
    </w:p>
    <w:p w:rsidR="00436A1A" w:rsidRPr="000C51CE" w:rsidRDefault="00436A1A" w:rsidP="00436A1A">
      <w:pPr>
        <w:rPr>
          <w:rFonts w:ascii="Constantia" w:hAnsi="Constantia"/>
          <w:szCs w:val="22"/>
        </w:rPr>
      </w:pPr>
      <w:r w:rsidRPr="000C51CE">
        <w:rPr>
          <w:rFonts w:ascii="Constantia" w:hAnsi="Constantia"/>
          <w:szCs w:val="22"/>
        </w:rPr>
        <w:t xml:space="preserve">BENTOS </w:t>
      </w:r>
      <w:r w:rsidR="007806C7">
        <w:rPr>
          <w:rFonts w:ascii="Constantia" w:hAnsi="Constantia"/>
          <w:szCs w:val="22"/>
        </w:rPr>
        <w:t>–</w:t>
      </w:r>
      <w:r w:rsidRPr="000C51CE">
        <w:rPr>
          <w:rFonts w:ascii="Constantia" w:hAnsi="Constantia"/>
          <w:szCs w:val="22"/>
        </w:rPr>
        <w:t xml:space="preserve"> životne zajednice dna vodenih ekosistema. Bentos obuhvata sve organizme koji život provode u dodiru s dnom, bilo da su za njega pričvršćeni (sesilni), bilo da se po njemu kreću (sedentarni, vagilni) ili se u njega zakopavaju. Bentos se može podijeliti prema tipu na fitobentos (biljke) i zoobentos (životinje), ili prema veličini makrobentos (vidljiv golim okom) ili mikrobentos (vidljiv tek mikroskopom).</w:t>
      </w:r>
    </w:p>
    <w:p w:rsidR="00436A1A" w:rsidRPr="000C51CE" w:rsidRDefault="00436A1A" w:rsidP="00436A1A">
      <w:pPr>
        <w:rPr>
          <w:rFonts w:ascii="Constantia" w:hAnsi="Constantia"/>
          <w:szCs w:val="22"/>
        </w:rPr>
      </w:pPr>
      <w:r w:rsidRPr="00C558E1">
        <w:rPr>
          <w:rFonts w:ascii="Constantia" w:hAnsi="Constantia"/>
          <w:szCs w:val="22"/>
        </w:rPr>
        <w:t xml:space="preserve">BIOAKUMULACIJA – </w:t>
      </w:r>
      <w:r w:rsidRPr="000C51CE">
        <w:rPr>
          <w:rFonts w:ascii="Constantia" w:hAnsi="Constantia"/>
          <w:szCs w:val="22"/>
        </w:rPr>
        <w:t>sposobnost organizama da nakupljaju određene hemijske materije u pojedinim tkivima svog tijela.</w:t>
      </w:r>
    </w:p>
    <w:p w:rsidR="00436A1A" w:rsidRPr="000C51CE" w:rsidRDefault="00436A1A" w:rsidP="00436A1A">
      <w:pPr>
        <w:rPr>
          <w:rFonts w:ascii="Constantia" w:hAnsi="Constantia"/>
          <w:szCs w:val="22"/>
        </w:rPr>
      </w:pPr>
      <w:r w:rsidRPr="000C51CE">
        <w:rPr>
          <w:rFonts w:ascii="Constantia" w:hAnsi="Constantia"/>
          <w:szCs w:val="22"/>
        </w:rPr>
        <w:t xml:space="preserve">BIOCENOZA </w:t>
      </w:r>
      <w:r w:rsidR="007806C7">
        <w:rPr>
          <w:rFonts w:ascii="Constantia" w:hAnsi="Constantia"/>
          <w:szCs w:val="22"/>
        </w:rPr>
        <w:t>–</w:t>
      </w:r>
      <w:r w:rsidRPr="000C51CE">
        <w:rPr>
          <w:rFonts w:ascii="Constantia" w:hAnsi="Constantia"/>
          <w:szCs w:val="22"/>
        </w:rPr>
        <w:t xml:space="preserve"> visoko integrisana životna zajednica biljaka i životinja koje žive na određenom staništu. Zajednički život zasniva se na vrlo složenim uzajamnim odnosima i prilagođenosti uslovima životne sredine.</w:t>
      </w:r>
    </w:p>
    <w:p w:rsidR="00436A1A" w:rsidRPr="000C51CE" w:rsidRDefault="00436A1A" w:rsidP="00436A1A">
      <w:r w:rsidRPr="000C51CE">
        <w:rPr>
          <w:rFonts w:ascii="Constantia" w:hAnsi="Constantia"/>
          <w:szCs w:val="22"/>
        </w:rPr>
        <w:t>BIOINDIKATORI – biljne i životinjske vrste koje svojim prisustvom i karakteristikama ukazuju na osobine prostora u kojem se nalaze. Njihovo prisustvo u određenim staništima ukazuje da taj faktor varira u tačno određenim granicama.</w:t>
      </w:r>
    </w:p>
    <w:p w:rsidR="00436A1A" w:rsidRPr="000C51CE" w:rsidRDefault="00436A1A" w:rsidP="00436A1A">
      <w:pPr>
        <w:rPr>
          <w:rFonts w:ascii="Constantia" w:hAnsi="Constantia"/>
          <w:szCs w:val="22"/>
        </w:rPr>
      </w:pPr>
      <w:r w:rsidRPr="000C51CE">
        <w:rPr>
          <w:rFonts w:ascii="Constantia" w:hAnsi="Constantia"/>
          <w:szCs w:val="22"/>
        </w:rPr>
        <w:t>BONITET – vrijednost neke stvari (npr. zemljišta, vode).</w:t>
      </w:r>
    </w:p>
    <w:p w:rsidR="00436A1A" w:rsidRPr="000C51CE" w:rsidRDefault="00436A1A" w:rsidP="00436A1A">
      <w:pPr>
        <w:rPr>
          <w:rFonts w:ascii="Constantia" w:hAnsi="Constantia"/>
          <w:szCs w:val="22"/>
        </w:rPr>
      </w:pPr>
      <w:r w:rsidRPr="000C51CE">
        <w:rPr>
          <w:rFonts w:ascii="Constantia" w:hAnsi="Constantia"/>
          <w:szCs w:val="22"/>
        </w:rPr>
        <w:t xml:space="preserve">BIOTA </w:t>
      </w:r>
      <w:r w:rsidR="007806C7">
        <w:rPr>
          <w:rFonts w:ascii="Constantia" w:hAnsi="Constantia"/>
          <w:szCs w:val="22"/>
        </w:rPr>
        <w:t>–</w:t>
      </w:r>
      <w:r w:rsidRPr="000C51CE">
        <w:rPr>
          <w:rFonts w:ascii="Constantia" w:hAnsi="Constantia"/>
          <w:szCs w:val="22"/>
        </w:rPr>
        <w:t xml:space="preserve"> skup živih organizama iz neke sredine koji služe kao uzorak na osnovu koga se procjenjuje stanje sredine u kojoj žive.</w:t>
      </w:r>
    </w:p>
    <w:p w:rsidR="00436A1A" w:rsidRPr="000C51CE" w:rsidRDefault="00436A1A" w:rsidP="00436A1A">
      <w:pPr>
        <w:rPr>
          <w:rFonts w:ascii="Constantia" w:hAnsi="Constantia"/>
          <w:szCs w:val="22"/>
        </w:rPr>
      </w:pPr>
      <w:r w:rsidRPr="000C51CE">
        <w:rPr>
          <w:rFonts w:ascii="Constantia" w:hAnsi="Constantia"/>
          <w:szCs w:val="22"/>
        </w:rPr>
        <w:lastRenderedPageBreak/>
        <w:t>BIOLOŠKA POTROŠNJA KISEONIKA (BPK) –</w:t>
      </w:r>
      <w:r w:rsidR="0085779F">
        <w:rPr>
          <w:rFonts w:ascii="Constantia" w:hAnsi="Constantia"/>
          <w:szCs w:val="22"/>
        </w:rPr>
        <w:t xml:space="preserve"> </w:t>
      </w:r>
      <w:r w:rsidRPr="000C51CE">
        <w:rPr>
          <w:rFonts w:ascii="Constantia" w:hAnsi="Constantia"/>
          <w:szCs w:val="22"/>
        </w:rPr>
        <w:t xml:space="preserve">kiseonički </w:t>
      </w:r>
      <w:r>
        <w:rPr>
          <w:rFonts w:ascii="Constantia" w:hAnsi="Constantia"/>
          <w:szCs w:val="22"/>
        </w:rPr>
        <w:t>ekvivalent sadržaja biorazgrad</w:t>
      </w:r>
      <w:r w:rsidRPr="000C51CE">
        <w:rPr>
          <w:rFonts w:ascii="Constantia" w:hAnsi="Constantia"/>
          <w:szCs w:val="22"/>
        </w:rPr>
        <w:t>ive organske materije u vodi, odnosno broj miligrama kiseonika koji se utroši na bi</w:t>
      </w:r>
      <w:r>
        <w:rPr>
          <w:rFonts w:ascii="Constantia" w:hAnsi="Constantia"/>
          <w:szCs w:val="22"/>
        </w:rPr>
        <w:t>o</w:t>
      </w:r>
      <w:r w:rsidRPr="000C51CE">
        <w:rPr>
          <w:rFonts w:ascii="Constantia" w:hAnsi="Constantia"/>
          <w:szCs w:val="22"/>
        </w:rPr>
        <w:t>lošku oksidaciju organske materije, prisutne u jednom litru vode, pod određenim uslovima i u toku određenog vremena, najčešće u toku 5 dana.</w:t>
      </w:r>
    </w:p>
    <w:p w:rsidR="00436A1A" w:rsidRPr="000C51CE" w:rsidRDefault="00436A1A" w:rsidP="00436A1A">
      <w:pPr>
        <w:spacing w:line="276" w:lineRule="auto"/>
        <w:rPr>
          <w:rFonts w:ascii="Constantia" w:hAnsi="Constantia"/>
          <w:b/>
          <w:szCs w:val="22"/>
        </w:rPr>
      </w:pPr>
      <w:r w:rsidRPr="000C51CE">
        <w:rPr>
          <w:rFonts w:ascii="Constantia" w:hAnsi="Constantia"/>
          <w:b/>
          <w:szCs w:val="22"/>
        </w:rPr>
        <w:t>C</w:t>
      </w:r>
    </w:p>
    <w:p w:rsidR="00436A1A" w:rsidRPr="000C51CE" w:rsidRDefault="00436A1A" w:rsidP="00436A1A">
      <w:pPr>
        <w:rPr>
          <w:rFonts w:ascii="Constantia" w:hAnsi="Constantia"/>
          <w:szCs w:val="22"/>
        </w:rPr>
      </w:pPr>
      <w:r w:rsidRPr="000C51CE">
        <w:rPr>
          <w:rFonts w:ascii="Constantia" w:hAnsi="Constantia"/>
          <w:szCs w:val="22"/>
        </w:rPr>
        <w:t xml:space="preserve">CINK (Zn) </w:t>
      </w:r>
      <w:r w:rsidR="007806C7">
        <w:rPr>
          <w:rFonts w:ascii="Constantia" w:hAnsi="Constantia"/>
          <w:szCs w:val="22"/>
        </w:rPr>
        <w:t>–</w:t>
      </w:r>
      <w:r w:rsidRPr="000C51CE">
        <w:rPr>
          <w:rFonts w:ascii="Constantia" w:hAnsi="Constantia"/>
          <w:szCs w:val="22"/>
        </w:rPr>
        <w:t xml:space="preserve"> metal </w:t>
      </w:r>
      <w:r>
        <w:rPr>
          <w:rFonts w:ascii="Constantia" w:hAnsi="Constantia"/>
          <w:szCs w:val="22"/>
        </w:rPr>
        <w:t>koji je</w:t>
      </w:r>
      <w:r w:rsidRPr="000C51CE">
        <w:rPr>
          <w:rFonts w:ascii="Constantia" w:hAnsi="Constantia"/>
          <w:szCs w:val="22"/>
        </w:rPr>
        <w:t xml:space="preserve"> zastupljen u zemljinoj kori u količini od 75 ppm u obliku mineral</w:t>
      </w:r>
      <w:r>
        <w:rPr>
          <w:rFonts w:ascii="Constantia" w:hAnsi="Constantia"/>
          <w:szCs w:val="22"/>
        </w:rPr>
        <w:t>a</w:t>
      </w:r>
      <w:r w:rsidRPr="000C51CE">
        <w:rPr>
          <w:rFonts w:ascii="Constantia" w:hAnsi="Constantia"/>
          <w:szCs w:val="22"/>
        </w:rPr>
        <w:t>.</w:t>
      </w:r>
    </w:p>
    <w:p w:rsidR="00436A1A" w:rsidRPr="004F58DD" w:rsidRDefault="00436A1A" w:rsidP="00436A1A">
      <w:pPr>
        <w:rPr>
          <w:rFonts w:ascii="Constantia" w:hAnsi="Constantia"/>
          <w:szCs w:val="22"/>
        </w:rPr>
      </w:pPr>
      <w:r>
        <w:rPr>
          <w:rFonts w:ascii="Constantia" w:hAnsi="Constantia"/>
          <w:szCs w:val="22"/>
        </w:rPr>
        <w:t xml:space="preserve">COP – </w:t>
      </w:r>
      <w:r w:rsidRPr="004F58DD">
        <w:rPr>
          <w:rFonts w:ascii="Constantia" w:hAnsi="Constantia"/>
          <w:szCs w:val="22"/>
        </w:rPr>
        <w:t>CONFERENCE OF PARTIES UNFCCC– Konferencija potpisnica Konvencije UNFCCC.</w:t>
      </w:r>
    </w:p>
    <w:p w:rsidR="00436A1A" w:rsidRPr="000C51CE" w:rsidRDefault="00436A1A" w:rsidP="00436A1A">
      <w:pPr>
        <w:spacing w:line="276" w:lineRule="auto"/>
        <w:rPr>
          <w:rFonts w:ascii="Constantia" w:hAnsi="Constantia"/>
          <w:b/>
          <w:szCs w:val="22"/>
        </w:rPr>
      </w:pPr>
      <w:r w:rsidRPr="000C51CE">
        <w:rPr>
          <w:rFonts w:ascii="Constantia" w:hAnsi="Constantia"/>
          <w:b/>
          <w:szCs w:val="22"/>
        </w:rPr>
        <w:t>D</w:t>
      </w:r>
    </w:p>
    <w:p w:rsidR="00436A1A" w:rsidRPr="000C51CE" w:rsidRDefault="00436A1A" w:rsidP="00436A1A">
      <w:pPr>
        <w:rPr>
          <w:rFonts w:ascii="Constantia" w:hAnsi="Constantia"/>
          <w:szCs w:val="22"/>
        </w:rPr>
      </w:pPr>
      <w:r w:rsidRPr="000C51CE">
        <w:rPr>
          <w:rFonts w:ascii="Constantia" w:hAnsi="Constantia"/>
          <w:szCs w:val="22"/>
        </w:rPr>
        <w:t xml:space="preserve">DIJATOMEJA </w:t>
      </w:r>
      <w:r w:rsidR="00492221">
        <w:rPr>
          <w:rFonts w:ascii="Constantia" w:hAnsi="Constantia"/>
          <w:szCs w:val="22"/>
        </w:rPr>
        <w:t>–</w:t>
      </w:r>
      <w:r w:rsidRPr="000C51CE">
        <w:rPr>
          <w:rFonts w:ascii="Constantia" w:hAnsi="Constantia"/>
          <w:szCs w:val="22"/>
        </w:rPr>
        <w:t xml:space="preserve"> vrsta fitoplanktona, organizama koji lebde u slobodnoj morskoj </w:t>
      </w:r>
      <w:r>
        <w:rPr>
          <w:rFonts w:ascii="Constantia" w:hAnsi="Constantia"/>
          <w:szCs w:val="22"/>
        </w:rPr>
        <w:t>površin</w:t>
      </w:r>
      <w:r w:rsidRPr="000C51CE">
        <w:rPr>
          <w:rFonts w:ascii="Constantia" w:hAnsi="Constantia"/>
          <w:szCs w:val="22"/>
        </w:rPr>
        <w:t>i.</w:t>
      </w:r>
    </w:p>
    <w:p w:rsidR="00436A1A" w:rsidRPr="000C51CE" w:rsidRDefault="00436A1A" w:rsidP="00436A1A">
      <w:pPr>
        <w:rPr>
          <w:rFonts w:ascii="Constantia" w:hAnsi="Constantia"/>
          <w:szCs w:val="22"/>
        </w:rPr>
      </w:pPr>
      <w:r w:rsidRPr="000C51CE">
        <w:rPr>
          <w:rFonts w:ascii="Constantia" w:hAnsi="Constantia"/>
          <w:szCs w:val="22"/>
        </w:rPr>
        <w:t xml:space="preserve">DINOFLAGELATA </w:t>
      </w:r>
      <w:r w:rsidR="00492221">
        <w:rPr>
          <w:rFonts w:ascii="Constantia" w:hAnsi="Constantia"/>
          <w:szCs w:val="22"/>
        </w:rPr>
        <w:t>–</w:t>
      </w:r>
      <w:r w:rsidRPr="000C51CE">
        <w:rPr>
          <w:rFonts w:ascii="Constantia" w:hAnsi="Constantia"/>
          <w:szCs w:val="22"/>
        </w:rPr>
        <w:t xml:space="preserve"> vrsta fitoplanktona, organizama koji lebde u slobodnoj morskoj površini.</w:t>
      </w:r>
    </w:p>
    <w:p w:rsidR="00436A1A" w:rsidRPr="000C51CE" w:rsidRDefault="00436A1A" w:rsidP="00436A1A">
      <w:pPr>
        <w:rPr>
          <w:rFonts w:ascii="Constantia" w:hAnsi="Constantia"/>
          <w:szCs w:val="22"/>
        </w:rPr>
      </w:pPr>
      <w:r w:rsidRPr="000C51CE">
        <w:rPr>
          <w:rFonts w:ascii="Constantia" w:hAnsi="Constantia"/>
          <w:szCs w:val="22"/>
        </w:rPr>
        <w:t xml:space="preserve">DIOKSINI </w:t>
      </w:r>
      <w:r w:rsidR="00492221">
        <w:rPr>
          <w:rFonts w:ascii="Constantia" w:hAnsi="Constantia"/>
          <w:szCs w:val="22"/>
        </w:rPr>
        <w:t>–</w:t>
      </w:r>
      <w:r w:rsidRPr="000C51CE">
        <w:rPr>
          <w:rFonts w:ascii="Constantia" w:hAnsi="Constantia"/>
          <w:szCs w:val="22"/>
        </w:rPr>
        <w:t xml:space="preserve"> spadaju u najtoksičnije ekološke zagađivače i visokokancerogene supstance. Najopasniji dioksin (TCDD) naučnici nazivaju najotrovnijim moleku</w:t>
      </w:r>
      <w:r w:rsidR="002E6A2F">
        <w:rPr>
          <w:rFonts w:ascii="Constantia" w:hAnsi="Constantia"/>
          <w:szCs w:val="22"/>
        </w:rPr>
        <w:t xml:space="preserve">lom na planeti. Otrovniji je 11 </w:t>
      </w:r>
      <w:r w:rsidRPr="000C51CE">
        <w:rPr>
          <w:rFonts w:ascii="Constantia" w:hAnsi="Constantia"/>
          <w:szCs w:val="22"/>
        </w:rPr>
        <w:t>000 puta od smrtonosnog natrijum-cijanida. Dioksini se raznose vazduhom i talože u vodi i zemljištu.</w:t>
      </w:r>
      <w:r w:rsidR="002E6A2F">
        <w:rPr>
          <w:rFonts w:ascii="Constantia" w:hAnsi="Constantia"/>
          <w:szCs w:val="22"/>
        </w:rPr>
        <w:t xml:space="preserve"> </w:t>
      </w:r>
      <w:r w:rsidRPr="000C51CE">
        <w:rPr>
          <w:rFonts w:ascii="Constantia" w:hAnsi="Constantia"/>
          <w:szCs w:val="22"/>
        </w:rPr>
        <w:t>Odatle ulaze u lance ishrane i u tkiva svih živih bića.</w:t>
      </w:r>
    </w:p>
    <w:p w:rsidR="00436A1A" w:rsidRPr="000C51CE" w:rsidRDefault="00436A1A" w:rsidP="00436A1A">
      <w:pPr>
        <w:spacing w:line="276" w:lineRule="auto"/>
        <w:rPr>
          <w:rFonts w:ascii="Constantia" w:hAnsi="Constantia"/>
          <w:b/>
          <w:szCs w:val="22"/>
        </w:rPr>
      </w:pPr>
      <w:r w:rsidRPr="000C51CE">
        <w:rPr>
          <w:rFonts w:ascii="Constantia" w:hAnsi="Constantia"/>
          <w:b/>
          <w:szCs w:val="22"/>
        </w:rPr>
        <w:t>E</w:t>
      </w:r>
    </w:p>
    <w:p w:rsidR="00436A1A" w:rsidRPr="000C51CE" w:rsidRDefault="00436A1A" w:rsidP="00436A1A">
      <w:pPr>
        <w:rPr>
          <w:rFonts w:ascii="Constantia" w:hAnsi="Constantia"/>
          <w:szCs w:val="22"/>
        </w:rPr>
      </w:pPr>
      <w:r w:rsidRPr="000C51CE">
        <w:rPr>
          <w:rFonts w:ascii="Constantia" w:hAnsi="Constantia"/>
          <w:szCs w:val="22"/>
        </w:rPr>
        <w:t xml:space="preserve">EKOSISTEM </w:t>
      </w:r>
      <w:r w:rsidR="00492221">
        <w:rPr>
          <w:rFonts w:ascii="Constantia" w:hAnsi="Constantia"/>
          <w:szCs w:val="22"/>
        </w:rPr>
        <w:t>–</w:t>
      </w:r>
      <w:r w:rsidRPr="000C51CE">
        <w:rPr>
          <w:rFonts w:ascii="Constantia" w:hAnsi="Constantia"/>
          <w:szCs w:val="22"/>
        </w:rPr>
        <w:t xml:space="preserve"> prostor (biotop) naseljen organizmima i njihovim zajednicama (biocenoza).</w:t>
      </w:r>
    </w:p>
    <w:p w:rsidR="00436A1A" w:rsidRPr="000C51CE" w:rsidRDefault="00436A1A" w:rsidP="00436A1A">
      <w:pPr>
        <w:rPr>
          <w:rFonts w:ascii="Constantia" w:hAnsi="Constantia"/>
          <w:szCs w:val="22"/>
        </w:rPr>
      </w:pPr>
      <w:r w:rsidRPr="000C51CE">
        <w:rPr>
          <w:rFonts w:ascii="Constantia" w:hAnsi="Constantia"/>
          <w:szCs w:val="22"/>
        </w:rPr>
        <w:t>ENDEMI – biljne i životinjske vrste koje prirodno naseljavaju neko ograničeno, veće ili manje geografsko područje.</w:t>
      </w:r>
    </w:p>
    <w:p w:rsidR="00436A1A" w:rsidRPr="000C51CE" w:rsidRDefault="00436A1A" w:rsidP="00436A1A">
      <w:pPr>
        <w:rPr>
          <w:rFonts w:ascii="Constantia" w:hAnsi="Constantia"/>
          <w:szCs w:val="22"/>
        </w:rPr>
      </w:pPr>
      <w:r w:rsidRPr="000C51CE">
        <w:rPr>
          <w:rFonts w:ascii="Constantia" w:hAnsi="Constantia"/>
          <w:szCs w:val="22"/>
        </w:rPr>
        <w:t xml:space="preserve">ENDEMO-RELIKTNA VRSTA </w:t>
      </w:r>
      <w:r w:rsidR="00492221">
        <w:rPr>
          <w:rFonts w:ascii="Constantia" w:hAnsi="Constantia"/>
          <w:szCs w:val="22"/>
        </w:rPr>
        <w:t>–</w:t>
      </w:r>
      <w:r w:rsidRPr="000C51CE">
        <w:rPr>
          <w:rFonts w:ascii="Constantia" w:hAnsi="Constantia"/>
          <w:szCs w:val="22"/>
        </w:rPr>
        <w:t xml:space="preserve"> vrsta čije je prirodno rasprostranjenje veoma ograničeno, a za koju se pouzdano zna da je zaostala do danas iz dalje ili bliže prošlosti.</w:t>
      </w:r>
    </w:p>
    <w:p w:rsidR="00436A1A" w:rsidRPr="000C51CE" w:rsidRDefault="00436A1A" w:rsidP="00436A1A">
      <w:pPr>
        <w:rPr>
          <w:rFonts w:ascii="Constantia" w:hAnsi="Constantia"/>
          <w:szCs w:val="22"/>
        </w:rPr>
      </w:pPr>
      <w:r w:rsidRPr="000C51CE">
        <w:rPr>
          <w:rFonts w:ascii="Constantia" w:hAnsi="Constantia"/>
          <w:szCs w:val="22"/>
        </w:rPr>
        <w:t>EPIFITE – biljke koje naseljavaju površine drugih vodenih ili kopnenih biljaka.</w:t>
      </w:r>
    </w:p>
    <w:p w:rsidR="00436A1A" w:rsidRPr="000C51CE" w:rsidRDefault="00436A1A" w:rsidP="00436A1A">
      <w:pPr>
        <w:rPr>
          <w:rFonts w:ascii="Constantia" w:hAnsi="Constantia"/>
          <w:szCs w:val="22"/>
        </w:rPr>
      </w:pPr>
      <w:r w:rsidRPr="000C51CE">
        <w:rPr>
          <w:rFonts w:ascii="Constantia" w:hAnsi="Constantia"/>
          <w:szCs w:val="22"/>
        </w:rPr>
        <w:t>EUTROFIKACIJA – proces povećavanja biološ</w:t>
      </w:r>
      <w:r>
        <w:rPr>
          <w:rFonts w:ascii="Constantia" w:hAnsi="Constantia"/>
          <w:szCs w:val="22"/>
        </w:rPr>
        <w:t>ke produkcije živog svijeta usl</w:t>
      </w:r>
      <w:r w:rsidRPr="000C51CE">
        <w:rPr>
          <w:rFonts w:ascii="Constantia" w:hAnsi="Constantia"/>
          <w:szCs w:val="22"/>
        </w:rPr>
        <w:t>ed povećanog priliva hranjivih materija</w:t>
      </w:r>
      <w:r>
        <w:rPr>
          <w:rFonts w:ascii="Constantia" w:hAnsi="Constantia"/>
          <w:szCs w:val="22"/>
        </w:rPr>
        <w:t>,</w:t>
      </w:r>
      <w:r w:rsidRPr="000C51CE">
        <w:rPr>
          <w:rFonts w:ascii="Constantia" w:hAnsi="Constantia"/>
          <w:szCs w:val="22"/>
        </w:rPr>
        <w:t xml:space="preserve"> njihovim spiranjem s</w:t>
      </w:r>
      <w:r>
        <w:rPr>
          <w:rFonts w:ascii="Constantia" w:hAnsi="Constantia"/>
          <w:szCs w:val="22"/>
        </w:rPr>
        <w:t>a</w:t>
      </w:r>
      <w:r w:rsidRPr="000C51CE">
        <w:rPr>
          <w:rFonts w:ascii="Constantia" w:hAnsi="Constantia"/>
          <w:szCs w:val="22"/>
        </w:rPr>
        <w:t xml:space="preserve"> okolnih terena ili putem padavina.</w:t>
      </w:r>
    </w:p>
    <w:p w:rsidR="00436A1A" w:rsidRPr="000C51CE" w:rsidRDefault="00436A1A" w:rsidP="00436A1A">
      <w:pPr>
        <w:rPr>
          <w:rFonts w:ascii="Constantia" w:hAnsi="Constantia"/>
          <w:szCs w:val="22"/>
        </w:rPr>
      </w:pPr>
      <w:r w:rsidRPr="000C51CE">
        <w:rPr>
          <w:rFonts w:ascii="Constantia" w:hAnsi="Constantia"/>
          <w:szCs w:val="22"/>
        </w:rPr>
        <w:t xml:space="preserve">EUTROFNA PODRUČJA </w:t>
      </w:r>
      <w:r w:rsidR="00492221">
        <w:rPr>
          <w:rFonts w:ascii="Constantia" w:hAnsi="Constantia"/>
          <w:szCs w:val="22"/>
        </w:rPr>
        <w:t>–</w:t>
      </w:r>
      <w:r w:rsidRPr="000C51CE">
        <w:rPr>
          <w:rFonts w:ascii="Constantia" w:hAnsi="Constantia"/>
          <w:szCs w:val="22"/>
        </w:rPr>
        <w:t xml:space="preserve"> područja zahvaćena procesom eutrofikacije.</w:t>
      </w:r>
    </w:p>
    <w:p w:rsidR="00436A1A" w:rsidRPr="000C51CE" w:rsidRDefault="00436A1A" w:rsidP="00436A1A">
      <w:pPr>
        <w:rPr>
          <w:rFonts w:ascii="Constantia" w:hAnsi="Constantia"/>
          <w:szCs w:val="22"/>
        </w:rPr>
      </w:pPr>
      <w:r w:rsidRPr="000C51CE">
        <w:rPr>
          <w:rFonts w:ascii="Constantia" w:hAnsi="Constantia"/>
          <w:szCs w:val="22"/>
        </w:rPr>
        <w:t xml:space="preserve">EMISIJA </w:t>
      </w:r>
      <w:r w:rsidR="00492221">
        <w:rPr>
          <w:rFonts w:ascii="Constantia" w:hAnsi="Constantia"/>
          <w:szCs w:val="22"/>
        </w:rPr>
        <w:t>–</w:t>
      </w:r>
      <w:r w:rsidRPr="000C51CE">
        <w:rPr>
          <w:rFonts w:ascii="Constantia" w:hAnsi="Constantia"/>
          <w:szCs w:val="22"/>
        </w:rPr>
        <w:t xml:space="preserve"> ispuštanje zagađujućih materija u okolinu: vazduh, vodu i zemljište.</w:t>
      </w:r>
    </w:p>
    <w:p w:rsidR="00436A1A" w:rsidRPr="000C51CE" w:rsidRDefault="00436A1A" w:rsidP="00436A1A">
      <w:pPr>
        <w:spacing w:line="276" w:lineRule="auto"/>
        <w:rPr>
          <w:rFonts w:ascii="Constantia" w:hAnsi="Constantia"/>
          <w:b/>
          <w:szCs w:val="22"/>
        </w:rPr>
      </w:pPr>
      <w:r w:rsidRPr="000C51CE">
        <w:rPr>
          <w:rFonts w:ascii="Constantia" w:hAnsi="Constantia"/>
          <w:b/>
          <w:szCs w:val="22"/>
        </w:rPr>
        <w:t>F</w:t>
      </w:r>
    </w:p>
    <w:p w:rsidR="00436A1A" w:rsidRPr="000C51CE" w:rsidRDefault="00436A1A" w:rsidP="00436A1A">
      <w:pPr>
        <w:rPr>
          <w:rFonts w:ascii="Constantia" w:hAnsi="Constantia"/>
          <w:szCs w:val="22"/>
        </w:rPr>
      </w:pPr>
      <w:r>
        <w:rPr>
          <w:rFonts w:ascii="Constantia" w:hAnsi="Constantia"/>
          <w:szCs w:val="22"/>
        </w:rPr>
        <w:t>FENOLI – organska aromatičn</w:t>
      </w:r>
      <w:r w:rsidRPr="000C51CE">
        <w:rPr>
          <w:rFonts w:ascii="Constantia" w:hAnsi="Constantia"/>
          <w:szCs w:val="22"/>
        </w:rPr>
        <w:t>a jedinjenja koja sadrže hidroksilne grupe direktno vezane za benzenov prsten.</w:t>
      </w:r>
      <w:r w:rsidR="007A77AB">
        <w:rPr>
          <w:rFonts w:ascii="Constantia" w:hAnsi="Constantia"/>
          <w:szCs w:val="22"/>
        </w:rPr>
        <w:t xml:space="preserve"> </w:t>
      </w:r>
      <w:r w:rsidRPr="000C51CE">
        <w:rPr>
          <w:rFonts w:ascii="Constantia" w:hAnsi="Constantia"/>
          <w:szCs w:val="22"/>
        </w:rPr>
        <w:t>Imaju jak miris, veoma su otrovni i ubijaju ćelije s kojima dođu u kontakt.</w:t>
      </w:r>
      <w:r w:rsidR="007A77AB">
        <w:rPr>
          <w:rFonts w:ascii="Constantia" w:hAnsi="Constantia"/>
          <w:szCs w:val="22"/>
        </w:rPr>
        <w:t xml:space="preserve"> </w:t>
      </w:r>
      <w:r w:rsidRPr="000C51CE">
        <w:rPr>
          <w:rFonts w:ascii="Constantia" w:hAnsi="Constantia"/>
          <w:szCs w:val="22"/>
        </w:rPr>
        <w:t>U vodenom rastvoru reaguju kiselo.</w:t>
      </w:r>
      <w:r w:rsidR="007A77AB">
        <w:rPr>
          <w:rFonts w:ascii="Constantia" w:hAnsi="Constantia"/>
          <w:szCs w:val="22"/>
        </w:rPr>
        <w:t xml:space="preserve"> </w:t>
      </w:r>
      <w:r w:rsidRPr="000C51CE">
        <w:rPr>
          <w:rFonts w:ascii="Constantia" w:hAnsi="Constantia"/>
          <w:szCs w:val="22"/>
        </w:rPr>
        <w:t>Javljaju se u otpadnim vodama hemijske industrije.</w:t>
      </w:r>
      <w:r w:rsidR="007A77AB">
        <w:rPr>
          <w:rFonts w:ascii="Constantia" w:hAnsi="Constantia"/>
          <w:szCs w:val="22"/>
        </w:rPr>
        <w:t xml:space="preserve"> </w:t>
      </w:r>
      <w:r w:rsidRPr="000C51CE">
        <w:rPr>
          <w:rFonts w:ascii="Constantia" w:hAnsi="Constantia"/>
          <w:szCs w:val="22"/>
        </w:rPr>
        <w:t>Prisustvo fenola, zbog baktericidnog djelovanja, onemogućava proces biološke razgradnje organskih materija u vodi.</w:t>
      </w:r>
    </w:p>
    <w:p w:rsidR="00436A1A" w:rsidRPr="000C51CE" w:rsidRDefault="00436A1A" w:rsidP="00436A1A">
      <w:pPr>
        <w:rPr>
          <w:rFonts w:ascii="Constantia" w:hAnsi="Constantia"/>
          <w:szCs w:val="22"/>
        </w:rPr>
      </w:pPr>
      <w:r w:rsidRPr="000C51CE">
        <w:rPr>
          <w:rFonts w:ascii="Constantia" w:hAnsi="Constantia"/>
          <w:szCs w:val="22"/>
        </w:rPr>
        <w:t>FITOBENTOS – cjelokupnost biljnih organizama koji svoj životni ciklus provode na dnu vodenog bazena. Neke bi</w:t>
      </w:r>
      <w:r>
        <w:rPr>
          <w:rFonts w:ascii="Constantia" w:hAnsi="Constantia"/>
          <w:szCs w:val="22"/>
        </w:rPr>
        <w:t>ljke su pričvršćene za podlogu i m</w:t>
      </w:r>
      <w:r w:rsidRPr="000C51CE">
        <w:rPr>
          <w:rFonts w:ascii="Constantia" w:hAnsi="Constantia"/>
          <w:szCs w:val="22"/>
        </w:rPr>
        <w:t xml:space="preserve">eđu njima </w:t>
      </w:r>
      <w:r>
        <w:rPr>
          <w:rFonts w:ascii="Constantia" w:hAnsi="Constantia"/>
          <w:szCs w:val="22"/>
        </w:rPr>
        <w:t xml:space="preserve">su </w:t>
      </w:r>
      <w:r w:rsidRPr="000C51CE">
        <w:rPr>
          <w:rFonts w:ascii="Constantia" w:hAnsi="Constantia"/>
          <w:szCs w:val="22"/>
        </w:rPr>
        <w:t>najbrojnije alge. Bentosnoj zajednici pripadaju i biljke koje nisu sesilne, već se kao slobodne nalaze na dnu.</w:t>
      </w:r>
    </w:p>
    <w:p w:rsidR="00436A1A" w:rsidRPr="000C51CE" w:rsidRDefault="00436A1A" w:rsidP="00436A1A">
      <w:pPr>
        <w:rPr>
          <w:rFonts w:ascii="Constantia" w:hAnsi="Constantia"/>
          <w:szCs w:val="22"/>
        </w:rPr>
      </w:pPr>
      <w:r w:rsidRPr="000C51CE">
        <w:rPr>
          <w:rFonts w:ascii="Constantia" w:hAnsi="Constantia"/>
          <w:szCs w:val="22"/>
        </w:rPr>
        <w:t>FITOPLANKTON – biljke koje pasivno lebde u vodenoj masi.</w:t>
      </w:r>
      <w:r w:rsidR="008441E3">
        <w:rPr>
          <w:rFonts w:ascii="Constantia" w:hAnsi="Constantia"/>
          <w:szCs w:val="22"/>
        </w:rPr>
        <w:t xml:space="preserve"> </w:t>
      </w:r>
      <w:r w:rsidRPr="000C51CE">
        <w:rPr>
          <w:rFonts w:ascii="Constantia" w:hAnsi="Constantia"/>
          <w:szCs w:val="22"/>
        </w:rPr>
        <w:t>Najčešće su veoma sitne, mikroskopskih dimenzija i jednoćelijske, među kojima su najznačajnije alge.</w:t>
      </w:r>
    </w:p>
    <w:p w:rsidR="00436A1A" w:rsidRPr="000C51CE" w:rsidRDefault="00436A1A" w:rsidP="00436A1A">
      <w:pPr>
        <w:rPr>
          <w:rFonts w:ascii="Constantia" w:hAnsi="Constantia"/>
          <w:szCs w:val="22"/>
        </w:rPr>
      </w:pPr>
      <w:r w:rsidRPr="000C51CE">
        <w:rPr>
          <w:rFonts w:ascii="Constantia" w:hAnsi="Constantia"/>
          <w:szCs w:val="22"/>
        </w:rPr>
        <w:t>FLUORIDI – soli fluorovodonične kiseline (HF), odnosno jedinjenja metala s fluorom. Ulaze u atmosferu kao čvrsta ili gasovita jedinjenja. Fluoridi su kumulativni otrovi za biljke i životinje.</w:t>
      </w:r>
    </w:p>
    <w:p w:rsidR="00436A1A" w:rsidRPr="000C51CE" w:rsidRDefault="00436A1A" w:rsidP="00436A1A">
      <w:pPr>
        <w:rPr>
          <w:rFonts w:ascii="Constantia" w:hAnsi="Constantia"/>
          <w:szCs w:val="22"/>
        </w:rPr>
      </w:pPr>
      <w:r w:rsidRPr="000C51CE">
        <w:rPr>
          <w:rFonts w:ascii="Constantia" w:hAnsi="Constantia"/>
          <w:szCs w:val="22"/>
        </w:rPr>
        <w:t>FURANI –</w:t>
      </w:r>
      <w:r w:rsidR="008441E3">
        <w:rPr>
          <w:rFonts w:ascii="Constantia" w:hAnsi="Constantia"/>
          <w:szCs w:val="22"/>
        </w:rPr>
        <w:t xml:space="preserve"> </w:t>
      </w:r>
      <w:r w:rsidRPr="000C51CE">
        <w:rPr>
          <w:rFonts w:ascii="Constantia" w:hAnsi="Constantia"/>
          <w:szCs w:val="22"/>
        </w:rPr>
        <w:t>razlikuju se od dioksina</w:t>
      </w:r>
      <w:r w:rsidR="008441E3">
        <w:rPr>
          <w:rFonts w:ascii="Constantia" w:hAnsi="Constantia"/>
          <w:szCs w:val="22"/>
        </w:rPr>
        <w:t xml:space="preserve"> </w:t>
      </w:r>
      <w:r w:rsidRPr="000C51CE">
        <w:rPr>
          <w:rFonts w:ascii="Constantia" w:hAnsi="Constantia"/>
          <w:szCs w:val="22"/>
        </w:rPr>
        <w:t>samo po prisustvu ili odsustvu molekula kiseonika u svojoj strukturi, a uobičajeno se pod zajedničkim pojmom dioksini podrazumijevaju obje ove grupe jedinjenja.</w:t>
      </w:r>
    </w:p>
    <w:p w:rsidR="00436A1A" w:rsidRPr="000C51CE" w:rsidRDefault="00436A1A" w:rsidP="00436A1A">
      <w:pPr>
        <w:spacing w:line="276" w:lineRule="auto"/>
        <w:rPr>
          <w:rFonts w:ascii="Constantia" w:hAnsi="Constantia"/>
          <w:b/>
          <w:szCs w:val="22"/>
        </w:rPr>
      </w:pPr>
      <w:r w:rsidRPr="000C51CE">
        <w:rPr>
          <w:rFonts w:ascii="Constantia" w:hAnsi="Constantia"/>
          <w:b/>
          <w:szCs w:val="22"/>
        </w:rPr>
        <w:lastRenderedPageBreak/>
        <w:t>H</w:t>
      </w:r>
    </w:p>
    <w:p w:rsidR="00436A1A" w:rsidRPr="000C51CE" w:rsidRDefault="00436A1A" w:rsidP="00436A1A">
      <w:pPr>
        <w:rPr>
          <w:rFonts w:ascii="Constantia" w:hAnsi="Constantia"/>
          <w:szCs w:val="22"/>
        </w:rPr>
      </w:pPr>
      <w:r w:rsidRPr="000C51CE">
        <w:rPr>
          <w:rFonts w:ascii="Constantia" w:hAnsi="Constantia"/>
          <w:szCs w:val="22"/>
        </w:rPr>
        <w:t xml:space="preserve">HABITAT </w:t>
      </w:r>
      <w:r w:rsidR="00492221">
        <w:rPr>
          <w:rFonts w:ascii="Constantia" w:hAnsi="Constantia"/>
          <w:szCs w:val="22"/>
        </w:rPr>
        <w:t>–</w:t>
      </w:r>
      <w:r w:rsidRPr="000C51CE">
        <w:rPr>
          <w:rFonts w:ascii="Constantia" w:hAnsi="Constantia"/>
          <w:szCs w:val="22"/>
        </w:rPr>
        <w:t xml:space="preserve"> prostor ili mjesto na kojem se u prirodi može naći neki organizam ili populacija, odnosno posebna sredina u kojem živi određena životinja ili biljka, s</w:t>
      </w:r>
      <w:r>
        <w:rPr>
          <w:rFonts w:ascii="Constantia" w:hAnsi="Constantia"/>
          <w:szCs w:val="22"/>
        </w:rPr>
        <w:t>a</w:t>
      </w:r>
      <w:r w:rsidRPr="000C51CE">
        <w:rPr>
          <w:rFonts w:ascii="Constantia" w:hAnsi="Constantia"/>
          <w:szCs w:val="22"/>
        </w:rPr>
        <w:t xml:space="preserve"> ukupnim kompleksom flore, faune, zemljišta i klimatskih uslova na koje je ta vrsta, podvrsta ili populacija adaptirana.</w:t>
      </w:r>
    </w:p>
    <w:p w:rsidR="00436A1A" w:rsidRPr="000C51CE" w:rsidRDefault="00436A1A" w:rsidP="00436A1A">
      <w:pPr>
        <w:spacing w:line="276" w:lineRule="auto"/>
        <w:rPr>
          <w:rFonts w:ascii="Constantia" w:hAnsi="Constantia"/>
          <w:b/>
          <w:szCs w:val="22"/>
        </w:rPr>
      </w:pPr>
      <w:r w:rsidRPr="000C51CE">
        <w:rPr>
          <w:rFonts w:ascii="Constantia" w:hAnsi="Constantia"/>
          <w:b/>
          <w:szCs w:val="22"/>
        </w:rPr>
        <w:t>I</w:t>
      </w:r>
    </w:p>
    <w:p w:rsidR="00436A1A" w:rsidRPr="000C51CE" w:rsidRDefault="00436A1A" w:rsidP="00436A1A">
      <w:pPr>
        <w:rPr>
          <w:rFonts w:ascii="Constantia" w:hAnsi="Constantia"/>
          <w:szCs w:val="22"/>
        </w:rPr>
      </w:pPr>
      <w:r w:rsidRPr="000C51CE">
        <w:rPr>
          <w:rFonts w:ascii="Constantia" w:hAnsi="Constantia"/>
          <w:szCs w:val="22"/>
        </w:rPr>
        <w:t>IMISIJA – sva zagađenja životne sredine nastala prirodnim putem ili djelovanjem čovjeka</w:t>
      </w:r>
      <w:r>
        <w:rPr>
          <w:rFonts w:ascii="Constantia" w:hAnsi="Constantia"/>
          <w:szCs w:val="22"/>
        </w:rPr>
        <w:t>,</w:t>
      </w:r>
      <w:r w:rsidRPr="000C51CE">
        <w:rPr>
          <w:rFonts w:ascii="Constantia" w:hAnsi="Constantia"/>
          <w:szCs w:val="22"/>
        </w:rPr>
        <w:t xml:space="preserve"> mjerena na određenoj udaljenosti od izvora zagađenja.</w:t>
      </w:r>
    </w:p>
    <w:p w:rsidR="00436A1A" w:rsidRPr="000C51CE" w:rsidRDefault="00436A1A" w:rsidP="00436A1A">
      <w:pPr>
        <w:spacing w:line="276" w:lineRule="auto"/>
        <w:rPr>
          <w:rFonts w:ascii="Constantia" w:hAnsi="Constantia"/>
          <w:b/>
          <w:szCs w:val="22"/>
        </w:rPr>
      </w:pPr>
      <w:r w:rsidRPr="000C51CE">
        <w:rPr>
          <w:rFonts w:ascii="Constantia" w:hAnsi="Constantia"/>
          <w:b/>
          <w:szCs w:val="22"/>
        </w:rPr>
        <w:t>K</w:t>
      </w:r>
    </w:p>
    <w:p w:rsidR="00436A1A" w:rsidRPr="000C51CE" w:rsidRDefault="00436A1A" w:rsidP="00436A1A">
      <w:pPr>
        <w:rPr>
          <w:rFonts w:ascii="Constantia" w:hAnsi="Constantia"/>
          <w:szCs w:val="22"/>
        </w:rPr>
      </w:pPr>
      <w:r w:rsidRPr="000C51CE">
        <w:rPr>
          <w:rFonts w:ascii="Constantia" w:hAnsi="Constantia"/>
          <w:szCs w:val="22"/>
        </w:rPr>
        <w:t>KADMIJUM (Cd) – hemijski element dosta rijedak u prirodi. Ima ga u otpadnim vodama iz rudnika.Ima tendenciju akumulacije u organizmu.</w:t>
      </w:r>
    </w:p>
    <w:p w:rsidR="00436A1A" w:rsidRPr="000C51CE" w:rsidRDefault="00436A1A" w:rsidP="00436A1A">
      <w:pPr>
        <w:rPr>
          <w:rFonts w:ascii="Constantia" w:hAnsi="Constantia"/>
          <w:szCs w:val="22"/>
        </w:rPr>
      </w:pPr>
      <w:r w:rsidRPr="000C51CE">
        <w:rPr>
          <w:rFonts w:ascii="Constantia" w:hAnsi="Constantia"/>
          <w:szCs w:val="22"/>
        </w:rPr>
        <w:t>KLASTOGENE SUPSTANCE – mutageni koji izazivaju promjene na hromozomima.</w:t>
      </w:r>
    </w:p>
    <w:p w:rsidR="00436A1A" w:rsidRPr="000C51CE" w:rsidRDefault="00436A1A" w:rsidP="00436A1A">
      <w:pPr>
        <w:rPr>
          <w:rFonts w:ascii="Constantia" w:hAnsi="Constantia"/>
          <w:szCs w:val="22"/>
        </w:rPr>
      </w:pPr>
      <w:r w:rsidRPr="000C51CE">
        <w:rPr>
          <w:rFonts w:ascii="Constantia" w:hAnsi="Constantia"/>
          <w:szCs w:val="22"/>
        </w:rPr>
        <w:t>KOBALT (Co) – srebrnasto bijeli metal koji se u prirodi nalazi u jedinjenjima s</w:t>
      </w:r>
      <w:r>
        <w:rPr>
          <w:rFonts w:ascii="Constantia" w:hAnsi="Constantia"/>
          <w:szCs w:val="22"/>
        </w:rPr>
        <w:t>a</w:t>
      </w:r>
      <w:r w:rsidRPr="000C51CE">
        <w:rPr>
          <w:rFonts w:ascii="Constantia" w:hAnsi="Constantia"/>
          <w:szCs w:val="22"/>
        </w:rPr>
        <w:t xml:space="preserve"> arsenom. Jedinjenja kobalta lokalno izazivaju dermatitis i senzibilnost kože, a izazivaju </w:t>
      </w:r>
      <w:r>
        <w:rPr>
          <w:rFonts w:ascii="Constantia" w:hAnsi="Constantia"/>
          <w:szCs w:val="22"/>
        </w:rPr>
        <w:t>i</w:t>
      </w:r>
      <w:r w:rsidRPr="000C51CE">
        <w:rPr>
          <w:rFonts w:ascii="Constantia" w:hAnsi="Constantia"/>
          <w:szCs w:val="22"/>
        </w:rPr>
        <w:t xml:space="preserve"> pulmonarne, hematološke i digestivne promjene. Potencijalni je kancerogen.</w:t>
      </w:r>
    </w:p>
    <w:p w:rsidR="00436A1A" w:rsidRPr="000C51CE" w:rsidRDefault="00436A1A" w:rsidP="00436A1A">
      <w:pPr>
        <w:spacing w:line="276" w:lineRule="auto"/>
        <w:rPr>
          <w:rFonts w:ascii="Constantia" w:hAnsi="Constantia"/>
          <w:b/>
          <w:szCs w:val="22"/>
        </w:rPr>
      </w:pPr>
      <w:r w:rsidRPr="000C51CE">
        <w:rPr>
          <w:rFonts w:ascii="Constantia" w:hAnsi="Constantia"/>
          <w:b/>
          <w:szCs w:val="22"/>
        </w:rPr>
        <w:t>L</w:t>
      </w:r>
    </w:p>
    <w:p w:rsidR="00436A1A" w:rsidRPr="000C51CE" w:rsidRDefault="00436A1A" w:rsidP="00436A1A">
      <w:pPr>
        <w:rPr>
          <w:rFonts w:ascii="Constantia" w:hAnsi="Constantia"/>
          <w:szCs w:val="22"/>
        </w:rPr>
      </w:pPr>
      <w:r w:rsidRPr="000C51CE">
        <w:rPr>
          <w:rFonts w:ascii="Constantia" w:hAnsi="Constantia"/>
          <w:szCs w:val="22"/>
        </w:rPr>
        <w:t>Lihenoflora</w:t>
      </w:r>
      <w:r w:rsidR="00EE7756">
        <w:rPr>
          <w:rFonts w:ascii="Constantia" w:hAnsi="Constantia"/>
          <w:szCs w:val="22"/>
        </w:rPr>
        <w:t xml:space="preserve"> –</w:t>
      </w:r>
      <w:r w:rsidRPr="000C51CE">
        <w:rPr>
          <w:rFonts w:ascii="Constantia" w:hAnsi="Constantia"/>
          <w:szCs w:val="22"/>
        </w:rPr>
        <w:t xml:space="preserve"> uključuje sve vrste lišajeva koje se mogu naći na određenom području.</w:t>
      </w:r>
    </w:p>
    <w:p w:rsidR="00436A1A" w:rsidRPr="000C51CE" w:rsidRDefault="00436A1A" w:rsidP="00436A1A">
      <w:pPr>
        <w:spacing w:line="276" w:lineRule="auto"/>
        <w:rPr>
          <w:rFonts w:ascii="Constantia" w:hAnsi="Constantia"/>
          <w:b/>
          <w:szCs w:val="22"/>
        </w:rPr>
      </w:pPr>
      <w:r w:rsidRPr="000C51CE">
        <w:rPr>
          <w:rFonts w:ascii="Constantia" w:hAnsi="Constantia"/>
          <w:b/>
          <w:szCs w:val="22"/>
        </w:rPr>
        <w:t>M</w:t>
      </w:r>
    </w:p>
    <w:p w:rsidR="00436A1A" w:rsidRPr="000C51CE" w:rsidRDefault="00436A1A" w:rsidP="00436A1A">
      <w:pPr>
        <w:rPr>
          <w:rFonts w:ascii="Constantia" w:hAnsi="Constantia"/>
          <w:szCs w:val="22"/>
        </w:rPr>
      </w:pPr>
      <w:r w:rsidRPr="000C51CE">
        <w:rPr>
          <w:rFonts w:ascii="Constantia" w:hAnsi="Constantia"/>
          <w:szCs w:val="22"/>
        </w:rPr>
        <w:t>MANGAN(Mn) – biogeni element koji učestvuje u oksido</w:t>
      </w:r>
      <w:r>
        <w:rPr>
          <w:rFonts w:ascii="Constantia" w:hAnsi="Constantia"/>
          <w:szCs w:val="22"/>
        </w:rPr>
        <w:t>-redu</w:t>
      </w:r>
      <w:r w:rsidRPr="000C51CE">
        <w:rPr>
          <w:rFonts w:ascii="Constantia" w:hAnsi="Constantia"/>
          <w:szCs w:val="22"/>
        </w:rPr>
        <w:t>kcijskim procesima.</w:t>
      </w:r>
    </w:p>
    <w:p w:rsidR="00436A1A" w:rsidRPr="000C51CE" w:rsidRDefault="00436A1A" w:rsidP="00436A1A">
      <w:pPr>
        <w:rPr>
          <w:rFonts w:ascii="Constantia" w:hAnsi="Constantia"/>
          <w:szCs w:val="22"/>
        </w:rPr>
      </w:pPr>
      <w:r w:rsidRPr="000C51CE">
        <w:rPr>
          <w:rFonts w:ascii="Constantia" w:hAnsi="Constantia"/>
          <w:szCs w:val="22"/>
        </w:rPr>
        <w:t xml:space="preserve">MDK </w:t>
      </w:r>
      <w:r w:rsidR="00EE7756">
        <w:rPr>
          <w:rFonts w:ascii="Constantia" w:hAnsi="Constantia"/>
          <w:szCs w:val="22"/>
        </w:rPr>
        <w:t>–</w:t>
      </w:r>
      <w:r w:rsidR="00EA2E58">
        <w:rPr>
          <w:rFonts w:ascii="Constantia" w:hAnsi="Constantia"/>
          <w:szCs w:val="22"/>
        </w:rPr>
        <w:t xml:space="preserve"> </w:t>
      </w:r>
      <w:r w:rsidRPr="000C51CE">
        <w:rPr>
          <w:rFonts w:ascii="Constantia" w:hAnsi="Constantia"/>
          <w:szCs w:val="22"/>
        </w:rPr>
        <w:t>maksimalno dozvoljena koncentracija.</w:t>
      </w:r>
    </w:p>
    <w:p w:rsidR="00436A1A" w:rsidRPr="000C51CE" w:rsidRDefault="00436A1A" w:rsidP="00436A1A">
      <w:pPr>
        <w:rPr>
          <w:rFonts w:ascii="Constantia" w:hAnsi="Constantia"/>
          <w:szCs w:val="22"/>
        </w:rPr>
      </w:pPr>
      <w:r w:rsidRPr="000C51CE">
        <w:rPr>
          <w:rFonts w:ascii="Constantia" w:hAnsi="Constantia"/>
          <w:szCs w:val="22"/>
        </w:rPr>
        <w:t>MEDIOLIT</w:t>
      </w:r>
      <w:r>
        <w:rPr>
          <w:rFonts w:ascii="Constantia" w:hAnsi="Constantia"/>
          <w:szCs w:val="22"/>
        </w:rPr>
        <w:t xml:space="preserve">ORAL </w:t>
      </w:r>
      <w:r w:rsidR="00386503">
        <w:rPr>
          <w:rFonts w:ascii="Constantia" w:hAnsi="Constantia"/>
          <w:szCs w:val="22"/>
        </w:rPr>
        <w:t>–</w:t>
      </w:r>
      <w:r>
        <w:rPr>
          <w:rFonts w:ascii="Constantia" w:hAnsi="Constantia"/>
          <w:szCs w:val="22"/>
        </w:rPr>
        <w:t xml:space="preserve"> pojas izmjene plime i os</w:t>
      </w:r>
      <w:r w:rsidRPr="000C51CE">
        <w:rPr>
          <w:rFonts w:ascii="Constantia" w:hAnsi="Constantia"/>
          <w:szCs w:val="22"/>
        </w:rPr>
        <w:t>eke koji se proteže od gornje granice visoke plime do donje granice normalne oseke. Za vrijeme plime uro</w:t>
      </w:r>
      <w:r>
        <w:rPr>
          <w:rFonts w:ascii="Constantia" w:hAnsi="Constantia"/>
          <w:szCs w:val="22"/>
        </w:rPr>
        <w:t>njen je u more, a za vrijeme os</w:t>
      </w:r>
      <w:r w:rsidRPr="000C51CE">
        <w:rPr>
          <w:rFonts w:ascii="Constantia" w:hAnsi="Constantia"/>
          <w:szCs w:val="22"/>
        </w:rPr>
        <w:t xml:space="preserve">eke je izvan mora, pa ekološki faktori (temperatura, vlažnost, osvijetljenost i dr.) u tom pojasu </w:t>
      </w:r>
      <w:r>
        <w:rPr>
          <w:rFonts w:ascii="Constantia" w:hAnsi="Constantia"/>
          <w:szCs w:val="22"/>
        </w:rPr>
        <w:t>izrazito</w:t>
      </w:r>
      <w:r w:rsidRPr="000C51CE">
        <w:rPr>
          <w:rFonts w:ascii="Constantia" w:hAnsi="Constantia"/>
          <w:szCs w:val="22"/>
        </w:rPr>
        <w:t xml:space="preserve"> variraju.</w:t>
      </w:r>
    </w:p>
    <w:p w:rsidR="00436A1A" w:rsidRPr="000C51CE" w:rsidRDefault="00436A1A" w:rsidP="00436A1A">
      <w:pPr>
        <w:rPr>
          <w:rFonts w:ascii="Constantia" w:hAnsi="Constantia"/>
          <w:szCs w:val="22"/>
        </w:rPr>
      </w:pPr>
      <w:r w:rsidRPr="000C51CE">
        <w:rPr>
          <w:rFonts w:ascii="Constantia" w:hAnsi="Constantia"/>
          <w:szCs w:val="22"/>
        </w:rPr>
        <w:t>α-MEZOSAPROBNE VODE – karakterišu se snažnim zagađenjem.</w:t>
      </w:r>
      <w:r w:rsidR="00EA2E58">
        <w:rPr>
          <w:rFonts w:ascii="Constantia" w:hAnsi="Constantia"/>
          <w:szCs w:val="22"/>
        </w:rPr>
        <w:t xml:space="preserve"> </w:t>
      </w:r>
      <w:r w:rsidRPr="000C51CE">
        <w:rPr>
          <w:rFonts w:ascii="Constantia" w:hAnsi="Constantia"/>
          <w:szCs w:val="22"/>
        </w:rPr>
        <w:t>U vodi su prisutne znatne količine aminokiselina i njihovih degradacionih produkata (masnih kiselin</w:t>
      </w:r>
      <w:r>
        <w:rPr>
          <w:rFonts w:ascii="Constantia" w:hAnsi="Constantia"/>
          <w:szCs w:val="22"/>
        </w:rPr>
        <w:t>a) i uvećana količina kiseonika (naročito danju, usl</w:t>
      </w:r>
      <w:r w:rsidRPr="000C51CE">
        <w:rPr>
          <w:rFonts w:ascii="Constantia" w:hAnsi="Constantia"/>
          <w:szCs w:val="22"/>
        </w:rPr>
        <w:t>ed intezivne fotosinteze)</w:t>
      </w:r>
      <w:r>
        <w:rPr>
          <w:rFonts w:ascii="Constantia" w:hAnsi="Constantia"/>
          <w:szCs w:val="22"/>
        </w:rPr>
        <w:t>,</w:t>
      </w:r>
      <w:r w:rsidRPr="000C51CE">
        <w:rPr>
          <w:rFonts w:ascii="Constantia" w:hAnsi="Constantia"/>
          <w:szCs w:val="22"/>
        </w:rPr>
        <w:t xml:space="preserve"> zbog čega se redukcioni procesi odvijaju uglavnom u mulju, a ne u slobodnoj vodi.</w:t>
      </w:r>
    </w:p>
    <w:p w:rsidR="00436A1A" w:rsidRPr="000C51CE" w:rsidRDefault="00436A1A" w:rsidP="00436A1A">
      <w:pPr>
        <w:rPr>
          <w:rFonts w:ascii="Constantia" w:hAnsi="Constantia"/>
          <w:szCs w:val="22"/>
        </w:rPr>
      </w:pPr>
      <w:r w:rsidRPr="000C51CE">
        <w:rPr>
          <w:rFonts w:ascii="Constantia" w:hAnsi="Constantia"/>
          <w:szCs w:val="22"/>
        </w:rPr>
        <w:t>ß</w:t>
      </w:r>
      <w:r>
        <w:rPr>
          <w:rFonts w:ascii="Constantia" w:hAnsi="Constantia"/>
          <w:szCs w:val="22"/>
        </w:rPr>
        <w:t>-MEZOSAPROBNE VODE – karakterišu</w:t>
      </w:r>
      <w:r w:rsidRPr="000C51CE">
        <w:rPr>
          <w:rFonts w:ascii="Constantia" w:hAnsi="Constantia"/>
          <w:szCs w:val="22"/>
        </w:rPr>
        <w:t xml:space="preserve"> se umjerenim organskim zagađenjem.</w:t>
      </w:r>
      <w:r w:rsidR="00257C50">
        <w:rPr>
          <w:rFonts w:ascii="Constantia" w:hAnsi="Constantia"/>
          <w:szCs w:val="22"/>
        </w:rPr>
        <w:t xml:space="preserve"> </w:t>
      </w:r>
      <w:r w:rsidRPr="000C51CE">
        <w:rPr>
          <w:rFonts w:ascii="Constantia" w:hAnsi="Constantia"/>
          <w:szCs w:val="22"/>
        </w:rPr>
        <w:t>U vodi su redukcioni procesi praktično već završeni, pa je uspostavljeno aerobno stanje. Amonijak može biti prisutan, ali u jako maloj količini, kao i aminokiseline - produkti razgradnje bjelančevina. Ugljen</w:t>
      </w:r>
      <w:r>
        <w:rPr>
          <w:rFonts w:ascii="Constantia" w:hAnsi="Constantia"/>
          <w:szCs w:val="22"/>
        </w:rPr>
        <w:t>-</w:t>
      </w:r>
      <w:r w:rsidRPr="000C51CE">
        <w:rPr>
          <w:rFonts w:ascii="Constantia" w:hAnsi="Constantia"/>
          <w:szCs w:val="22"/>
        </w:rPr>
        <w:t>dioksid i kiseonik su</w:t>
      </w:r>
      <w:r w:rsidR="00257C50">
        <w:rPr>
          <w:rFonts w:ascii="Constantia" w:hAnsi="Constantia"/>
          <w:szCs w:val="22"/>
        </w:rPr>
        <w:t xml:space="preserve"> </w:t>
      </w:r>
      <w:r w:rsidRPr="000C51CE">
        <w:rPr>
          <w:rFonts w:ascii="Constantia" w:hAnsi="Constantia"/>
          <w:szCs w:val="22"/>
        </w:rPr>
        <w:t>često prisutni u znatnoj količini.</w:t>
      </w:r>
      <w:r w:rsidR="00257C50">
        <w:rPr>
          <w:rFonts w:ascii="Constantia" w:hAnsi="Constantia"/>
          <w:szCs w:val="22"/>
        </w:rPr>
        <w:t xml:space="preserve"> </w:t>
      </w:r>
      <w:r w:rsidRPr="000C51CE">
        <w:rPr>
          <w:rFonts w:ascii="Constantia" w:hAnsi="Constantia"/>
          <w:szCs w:val="22"/>
        </w:rPr>
        <w:t>Boja i miris vode su normalni.</w:t>
      </w:r>
      <w:r w:rsidR="00257C50">
        <w:rPr>
          <w:rFonts w:ascii="Constantia" w:hAnsi="Constantia"/>
          <w:szCs w:val="22"/>
        </w:rPr>
        <w:t xml:space="preserve"> </w:t>
      </w:r>
      <w:r w:rsidRPr="000C51CE">
        <w:rPr>
          <w:rFonts w:ascii="Constantia" w:hAnsi="Constantia"/>
          <w:szCs w:val="22"/>
        </w:rPr>
        <w:t>Ponekad</w:t>
      </w:r>
      <w:r>
        <w:rPr>
          <w:rFonts w:ascii="Constantia" w:hAnsi="Constantia"/>
          <w:szCs w:val="22"/>
        </w:rPr>
        <w:t>,</w:t>
      </w:r>
      <w:r w:rsidRPr="000C51CE">
        <w:rPr>
          <w:rFonts w:ascii="Constantia" w:hAnsi="Constantia"/>
          <w:szCs w:val="22"/>
        </w:rPr>
        <w:t xml:space="preserve"> voda m</w:t>
      </w:r>
      <w:r>
        <w:rPr>
          <w:rFonts w:ascii="Constantia" w:hAnsi="Constantia"/>
          <w:szCs w:val="22"/>
        </w:rPr>
        <w:t>ože da ima zelenkastu boju (usl</w:t>
      </w:r>
      <w:r w:rsidRPr="000C51CE">
        <w:rPr>
          <w:rFonts w:ascii="Constantia" w:hAnsi="Constantia"/>
          <w:szCs w:val="22"/>
        </w:rPr>
        <w:t>ed razvoja fitoplanktona) i miris zemlje.</w:t>
      </w:r>
    </w:p>
    <w:p w:rsidR="00436A1A" w:rsidRPr="000C51CE" w:rsidRDefault="00436A1A" w:rsidP="00436A1A">
      <w:pPr>
        <w:spacing w:line="276" w:lineRule="auto"/>
        <w:rPr>
          <w:rFonts w:ascii="Constantia" w:hAnsi="Constantia"/>
          <w:b/>
          <w:szCs w:val="22"/>
        </w:rPr>
      </w:pPr>
      <w:r w:rsidRPr="000C51CE">
        <w:rPr>
          <w:rFonts w:ascii="Constantia" w:hAnsi="Constantia"/>
          <w:b/>
          <w:szCs w:val="22"/>
        </w:rPr>
        <w:t>N</w:t>
      </w:r>
    </w:p>
    <w:p w:rsidR="00436A1A" w:rsidRPr="000C51CE" w:rsidRDefault="00436A1A" w:rsidP="00436A1A">
      <w:pPr>
        <w:rPr>
          <w:rFonts w:ascii="Constantia" w:hAnsi="Constantia"/>
          <w:szCs w:val="22"/>
        </w:rPr>
      </w:pPr>
      <w:r w:rsidRPr="000C51CE">
        <w:rPr>
          <w:rFonts w:ascii="Constantia" w:hAnsi="Constantia"/>
          <w:szCs w:val="22"/>
        </w:rPr>
        <w:t>NIKAL (Ni) – bijeli metal srebrnastog sjaja. Redovno se nalazi u zemljištu (5-500 ppm), biljkama i životinjama. Smatra se da nije esencijalan ni u biljnoj ni u životinjskoj fiziologiji.</w:t>
      </w:r>
    </w:p>
    <w:p w:rsidR="00436A1A" w:rsidRPr="000C51CE" w:rsidRDefault="00436A1A" w:rsidP="00436A1A">
      <w:pPr>
        <w:spacing w:line="276" w:lineRule="auto"/>
        <w:rPr>
          <w:rFonts w:ascii="Constantia" w:hAnsi="Constantia"/>
          <w:b/>
          <w:szCs w:val="22"/>
        </w:rPr>
      </w:pPr>
      <w:r w:rsidRPr="000C51CE">
        <w:rPr>
          <w:rFonts w:ascii="Constantia" w:hAnsi="Constantia"/>
          <w:b/>
          <w:szCs w:val="22"/>
        </w:rPr>
        <w:t>O</w:t>
      </w:r>
    </w:p>
    <w:p w:rsidR="00436A1A" w:rsidRPr="000C51CE" w:rsidRDefault="00436A1A" w:rsidP="00436A1A">
      <w:pPr>
        <w:rPr>
          <w:rFonts w:ascii="Constantia" w:hAnsi="Constantia"/>
          <w:szCs w:val="22"/>
        </w:rPr>
      </w:pPr>
      <w:r w:rsidRPr="000C51CE">
        <w:rPr>
          <w:rFonts w:ascii="Constantia" w:hAnsi="Constantia"/>
          <w:szCs w:val="22"/>
        </w:rPr>
        <w:t xml:space="preserve">OLOVO (Pb) – hemijski element koji spada u teške metale. Kao zagađujuća materija u životnoj sredini najčešće se javlja iz 3 izvora: </w:t>
      </w:r>
      <w:r>
        <w:rPr>
          <w:rFonts w:ascii="Constantia" w:hAnsi="Constantia"/>
          <w:szCs w:val="22"/>
        </w:rPr>
        <w:t xml:space="preserve">iz </w:t>
      </w:r>
      <w:r w:rsidRPr="000C51CE">
        <w:rPr>
          <w:rFonts w:ascii="Constantia" w:hAnsi="Constantia"/>
          <w:szCs w:val="22"/>
        </w:rPr>
        <w:t>benzina prilikom sagorijevanja u motorima s</w:t>
      </w:r>
      <w:r>
        <w:rPr>
          <w:rFonts w:ascii="Constantia" w:hAnsi="Constantia"/>
          <w:szCs w:val="22"/>
        </w:rPr>
        <w:t>a</w:t>
      </w:r>
      <w:r w:rsidRPr="000C51CE">
        <w:rPr>
          <w:rFonts w:ascii="Constantia" w:hAnsi="Constantia"/>
          <w:szCs w:val="22"/>
        </w:rPr>
        <w:t xml:space="preserve"> unutrašnjim sagorijevanjem, </w:t>
      </w:r>
      <w:r>
        <w:rPr>
          <w:rFonts w:ascii="Constantia" w:hAnsi="Constantia"/>
          <w:szCs w:val="22"/>
        </w:rPr>
        <w:t xml:space="preserve">iz </w:t>
      </w:r>
      <w:r w:rsidRPr="000C51CE">
        <w:rPr>
          <w:rFonts w:ascii="Constantia" w:hAnsi="Constantia"/>
          <w:szCs w:val="22"/>
        </w:rPr>
        <w:t>fabričkih di</w:t>
      </w:r>
      <w:r>
        <w:rPr>
          <w:rFonts w:ascii="Constantia" w:hAnsi="Constantia"/>
          <w:szCs w:val="22"/>
        </w:rPr>
        <w:t>mnjaka hemijske industrije boja i iz</w:t>
      </w:r>
      <w:r w:rsidRPr="000C51CE">
        <w:rPr>
          <w:rFonts w:ascii="Constantia" w:hAnsi="Constantia"/>
          <w:szCs w:val="22"/>
        </w:rPr>
        <w:t xml:space="preserve"> prerade ruda i raznih pesticida. Olovo je veoma stimulativan otrov, pa unošenje i najmanjih količina njegovih soli s hranom ugrožava životne funkcije organizma.</w:t>
      </w:r>
      <w:r w:rsidR="00257C50">
        <w:rPr>
          <w:rFonts w:ascii="Constantia" w:hAnsi="Constantia"/>
          <w:szCs w:val="22"/>
        </w:rPr>
        <w:t xml:space="preserve"> </w:t>
      </w:r>
      <w:r w:rsidRPr="000C51CE">
        <w:rPr>
          <w:rFonts w:ascii="Constantia" w:hAnsi="Constantia"/>
          <w:szCs w:val="22"/>
        </w:rPr>
        <w:t>Izaziva smanjenje broja eritrocita.</w:t>
      </w:r>
    </w:p>
    <w:p w:rsidR="00436A1A" w:rsidRPr="000C51CE" w:rsidRDefault="00436A1A" w:rsidP="00436A1A">
      <w:pPr>
        <w:rPr>
          <w:rFonts w:ascii="Constantia" w:hAnsi="Constantia"/>
          <w:szCs w:val="22"/>
        </w:rPr>
      </w:pPr>
      <w:r w:rsidRPr="000C51CE">
        <w:rPr>
          <w:rFonts w:ascii="Constantia" w:hAnsi="Constantia"/>
          <w:szCs w:val="22"/>
        </w:rPr>
        <w:lastRenderedPageBreak/>
        <w:t>OLIGOSAPROBNE VODE – označava</w:t>
      </w:r>
      <w:r>
        <w:rPr>
          <w:rFonts w:ascii="Constantia" w:hAnsi="Constantia"/>
          <w:szCs w:val="22"/>
        </w:rPr>
        <w:t>ju</w:t>
      </w:r>
      <w:r w:rsidRPr="000C51CE">
        <w:rPr>
          <w:rFonts w:ascii="Constantia" w:hAnsi="Constantia"/>
          <w:szCs w:val="22"/>
        </w:rPr>
        <w:t xml:space="preserve"> čistu ili neznatno zagađenu vodu koja se karakteriše veoma uznapred</w:t>
      </w:r>
      <w:r>
        <w:rPr>
          <w:rFonts w:ascii="Constantia" w:hAnsi="Constantia"/>
          <w:szCs w:val="22"/>
        </w:rPr>
        <w:t>ovanim procesima mineralizacije</w:t>
      </w:r>
      <w:r w:rsidRPr="000C51CE">
        <w:rPr>
          <w:rFonts w:ascii="Constantia" w:hAnsi="Constantia"/>
          <w:szCs w:val="22"/>
        </w:rPr>
        <w:t xml:space="preserve"> koji, ipak, nisu još uvijek dovedeni do kraja. U vodi </w:t>
      </w:r>
      <w:r>
        <w:rPr>
          <w:rFonts w:ascii="Constantia" w:hAnsi="Constantia"/>
          <w:szCs w:val="22"/>
        </w:rPr>
        <w:t>mogu biti prisutne huminske kis</w:t>
      </w:r>
      <w:r w:rsidRPr="000C51CE">
        <w:rPr>
          <w:rFonts w:ascii="Constantia" w:hAnsi="Constantia"/>
          <w:szCs w:val="22"/>
        </w:rPr>
        <w:t>eline</w:t>
      </w:r>
      <w:r>
        <w:rPr>
          <w:rFonts w:ascii="Constantia" w:hAnsi="Constantia"/>
          <w:szCs w:val="22"/>
        </w:rPr>
        <w:t>,</w:t>
      </w:r>
      <w:r w:rsidRPr="000C51CE">
        <w:rPr>
          <w:rFonts w:ascii="Constantia" w:hAnsi="Constantia"/>
          <w:szCs w:val="22"/>
        </w:rPr>
        <w:t xml:space="preserve"> kao predstavnici stabilnih organskih komponenti razgradnje.</w:t>
      </w:r>
    </w:p>
    <w:p w:rsidR="00436A1A" w:rsidRPr="000C51CE" w:rsidRDefault="00436A1A" w:rsidP="00436A1A">
      <w:pPr>
        <w:spacing w:line="276" w:lineRule="auto"/>
        <w:rPr>
          <w:rFonts w:ascii="Constantia" w:hAnsi="Constantia"/>
          <w:b/>
          <w:szCs w:val="22"/>
        </w:rPr>
      </w:pPr>
      <w:r w:rsidRPr="000C51CE">
        <w:rPr>
          <w:rFonts w:ascii="Constantia" w:hAnsi="Constantia"/>
          <w:b/>
          <w:szCs w:val="22"/>
        </w:rPr>
        <w:t>P</w:t>
      </w:r>
    </w:p>
    <w:p w:rsidR="00436A1A" w:rsidRPr="000C51CE" w:rsidRDefault="00436A1A" w:rsidP="00436A1A">
      <w:pPr>
        <w:rPr>
          <w:rFonts w:ascii="Constantia" w:hAnsi="Constantia"/>
          <w:szCs w:val="22"/>
        </w:rPr>
      </w:pPr>
      <w:r w:rsidRPr="000C51CE">
        <w:rPr>
          <w:rFonts w:ascii="Constantia" w:hAnsi="Constantia"/>
          <w:szCs w:val="22"/>
        </w:rPr>
        <w:t xml:space="preserve">PAH (poliaromatični ugljovodonici) </w:t>
      </w:r>
      <w:r>
        <w:rPr>
          <w:rFonts w:ascii="Constantia" w:hAnsi="Constantia"/>
          <w:szCs w:val="22"/>
        </w:rPr>
        <w:t xml:space="preserve">– </w:t>
      </w:r>
      <w:r w:rsidRPr="000C51CE">
        <w:rPr>
          <w:rFonts w:ascii="Constantia" w:hAnsi="Constantia"/>
          <w:szCs w:val="22"/>
        </w:rPr>
        <w:t>organska jedinjenja koja čine najmanje</w:t>
      </w:r>
      <w:r>
        <w:rPr>
          <w:rFonts w:ascii="Constantia" w:hAnsi="Constantia"/>
          <w:szCs w:val="22"/>
        </w:rPr>
        <w:t xml:space="preserve"> dva spojena aromatična prstena</w:t>
      </w:r>
      <w:r w:rsidRPr="000C51CE">
        <w:rPr>
          <w:rFonts w:ascii="Constantia" w:hAnsi="Constantia"/>
          <w:szCs w:val="22"/>
        </w:rPr>
        <w:t>, sačinjena isključivo od ugljenika i vodonika.</w:t>
      </w:r>
    </w:p>
    <w:p w:rsidR="00436A1A" w:rsidRPr="000C51CE" w:rsidRDefault="00436A1A" w:rsidP="00436A1A">
      <w:pPr>
        <w:rPr>
          <w:rFonts w:ascii="Constantia" w:hAnsi="Constantia"/>
          <w:szCs w:val="22"/>
        </w:rPr>
      </w:pPr>
      <w:r w:rsidRPr="000C51CE">
        <w:rPr>
          <w:rFonts w:ascii="Constantia" w:hAnsi="Constantia"/>
          <w:szCs w:val="22"/>
        </w:rPr>
        <w:t>PEDOLOŠKI POKRIVAČ</w:t>
      </w:r>
      <w:r>
        <w:rPr>
          <w:rFonts w:ascii="Constantia" w:hAnsi="Constantia"/>
          <w:szCs w:val="22"/>
        </w:rPr>
        <w:t xml:space="preserve"> (pedosfera) – </w:t>
      </w:r>
      <w:r w:rsidRPr="000C51CE">
        <w:rPr>
          <w:rFonts w:ascii="Constantia" w:hAnsi="Constantia"/>
          <w:szCs w:val="22"/>
        </w:rPr>
        <w:t>spoljašnji sloj Zemlje, koji se sasto</w:t>
      </w:r>
      <w:r>
        <w:rPr>
          <w:rFonts w:ascii="Constantia" w:hAnsi="Constantia"/>
          <w:szCs w:val="22"/>
        </w:rPr>
        <w:t>ji od zemljišta debljine od 1,5-</w:t>
      </w:r>
      <w:r w:rsidRPr="000C51CE">
        <w:rPr>
          <w:rFonts w:ascii="Constantia" w:hAnsi="Constantia"/>
          <w:szCs w:val="22"/>
        </w:rPr>
        <w:t>2 metra.</w:t>
      </w:r>
    </w:p>
    <w:p w:rsidR="00436A1A" w:rsidRPr="000C51CE" w:rsidRDefault="00436A1A" w:rsidP="00436A1A">
      <w:pPr>
        <w:rPr>
          <w:rFonts w:ascii="Constantia" w:hAnsi="Constantia"/>
          <w:szCs w:val="22"/>
        </w:rPr>
      </w:pPr>
      <w:r w:rsidRPr="000C51CE">
        <w:rPr>
          <w:rFonts w:ascii="Constantia" w:hAnsi="Constantia"/>
          <w:szCs w:val="22"/>
        </w:rPr>
        <w:t>pH VRIJEDNOST –</w:t>
      </w:r>
      <w:r w:rsidR="00FE41DD">
        <w:rPr>
          <w:rFonts w:ascii="Constantia" w:hAnsi="Constantia"/>
          <w:szCs w:val="22"/>
        </w:rPr>
        <w:t xml:space="preserve"> </w:t>
      </w:r>
      <w:r w:rsidRPr="000C51CE">
        <w:rPr>
          <w:rFonts w:ascii="Constantia" w:hAnsi="Constantia"/>
          <w:szCs w:val="22"/>
        </w:rPr>
        <w:t>negativan logaritam koncentracije vodonikovih jona u nekom rastvoru. Služi kao mjera za kiselost odnosno bazičnost vodenih rastvo</w:t>
      </w:r>
      <w:r>
        <w:rPr>
          <w:rFonts w:ascii="Constantia" w:hAnsi="Constantia"/>
          <w:szCs w:val="22"/>
        </w:rPr>
        <w:t>ra. Neutralni rastvori imaju pH 7, kiseli ispod 7, a bazni od 7-</w:t>
      </w:r>
      <w:r w:rsidRPr="000C51CE">
        <w:rPr>
          <w:rFonts w:ascii="Constantia" w:hAnsi="Constantia"/>
          <w:szCs w:val="22"/>
        </w:rPr>
        <w:t>14.</w:t>
      </w:r>
    </w:p>
    <w:p w:rsidR="00436A1A" w:rsidRPr="000C51CE" w:rsidRDefault="00436A1A" w:rsidP="00436A1A">
      <w:pPr>
        <w:rPr>
          <w:rFonts w:ascii="Constantia" w:hAnsi="Constantia"/>
          <w:szCs w:val="22"/>
        </w:rPr>
      </w:pPr>
      <w:r w:rsidRPr="000C51CE">
        <w:rPr>
          <w:rFonts w:ascii="Constantia" w:hAnsi="Constantia"/>
          <w:szCs w:val="22"/>
        </w:rPr>
        <w:t>PM</w:t>
      </w:r>
      <w:r w:rsidRPr="000C51CE">
        <w:rPr>
          <w:rFonts w:ascii="Constantia" w:hAnsi="Constantia"/>
          <w:szCs w:val="22"/>
          <w:vertAlign w:val="subscript"/>
        </w:rPr>
        <w:t xml:space="preserve">10 </w:t>
      </w:r>
      <w:r w:rsidRPr="000C51CE">
        <w:rPr>
          <w:rFonts w:ascii="Constantia" w:hAnsi="Constantia"/>
          <w:szCs w:val="22"/>
        </w:rPr>
        <w:t>– praškaste materije radijusa manjeg od 10μm.</w:t>
      </w:r>
    </w:p>
    <w:p w:rsidR="00436A1A" w:rsidRPr="000C51CE" w:rsidRDefault="00436A1A" w:rsidP="00436A1A">
      <w:pPr>
        <w:rPr>
          <w:rFonts w:ascii="Constantia" w:hAnsi="Constantia"/>
          <w:szCs w:val="22"/>
        </w:rPr>
      </w:pPr>
      <w:r w:rsidRPr="000C51CE">
        <w:rPr>
          <w:rFonts w:ascii="Constantia" w:hAnsi="Constantia"/>
          <w:szCs w:val="22"/>
        </w:rPr>
        <w:t xml:space="preserve">POLIDOMINANTNE ZAJEDNICE </w:t>
      </w:r>
      <w:r w:rsidR="00386503">
        <w:rPr>
          <w:rFonts w:ascii="Constantia" w:hAnsi="Constantia"/>
          <w:szCs w:val="22"/>
        </w:rPr>
        <w:t>–</w:t>
      </w:r>
      <w:r w:rsidRPr="000C51CE">
        <w:rPr>
          <w:rFonts w:ascii="Constantia" w:hAnsi="Constantia"/>
          <w:szCs w:val="22"/>
        </w:rPr>
        <w:t xml:space="preserve"> izgrađene su od većeg broja vrsta, n</w:t>
      </w:r>
      <w:r>
        <w:rPr>
          <w:rFonts w:ascii="Constantia" w:hAnsi="Constantia"/>
          <w:szCs w:val="22"/>
        </w:rPr>
        <w:t>pr. tropske kišne šume ili</w:t>
      </w:r>
      <w:r w:rsidRPr="000C51CE">
        <w:rPr>
          <w:rFonts w:ascii="Constantia" w:hAnsi="Constantia"/>
          <w:szCs w:val="22"/>
        </w:rPr>
        <w:t xml:space="preserve"> polidominatna bukovo-jelovo-smrčeva šuma.</w:t>
      </w:r>
    </w:p>
    <w:p w:rsidR="00436A1A" w:rsidRPr="000C51CE" w:rsidRDefault="00436A1A" w:rsidP="00436A1A">
      <w:pPr>
        <w:rPr>
          <w:rFonts w:ascii="Constantia" w:hAnsi="Constantia"/>
          <w:szCs w:val="22"/>
        </w:rPr>
      </w:pPr>
      <w:r w:rsidRPr="000C51CE">
        <w:rPr>
          <w:rFonts w:ascii="Constantia" w:hAnsi="Constantia"/>
          <w:szCs w:val="22"/>
        </w:rPr>
        <w:t>POLIHLOROVANI BIFENILI (PCB)</w:t>
      </w:r>
      <w:r w:rsidR="004E559D">
        <w:rPr>
          <w:rFonts w:ascii="Constantia" w:hAnsi="Constantia"/>
          <w:szCs w:val="22"/>
        </w:rPr>
        <w:t xml:space="preserve"> </w:t>
      </w:r>
      <w:r w:rsidR="00386503">
        <w:rPr>
          <w:rFonts w:ascii="Constantia" w:hAnsi="Constantia"/>
          <w:szCs w:val="22"/>
        </w:rPr>
        <w:t>–</w:t>
      </w:r>
      <w:r w:rsidRPr="000C51CE">
        <w:rPr>
          <w:rFonts w:ascii="Constantia" w:hAnsi="Constantia"/>
          <w:szCs w:val="22"/>
        </w:rPr>
        <w:t xml:space="preserve"> hemijska jedinjenja koja se široko primjenjuju u industriji boja, kao komponente pesticida, dodaci materijalima za izgradnju silosa itd. Slabo se rastvaraju u vodi i zato se veoma dugo zadržavaju u životnoj sredini.</w:t>
      </w:r>
    </w:p>
    <w:p w:rsidR="00436A1A" w:rsidRPr="000C51CE" w:rsidRDefault="00436A1A" w:rsidP="00436A1A">
      <w:pPr>
        <w:rPr>
          <w:rFonts w:ascii="Constantia" w:hAnsi="Constantia"/>
          <w:szCs w:val="22"/>
        </w:rPr>
      </w:pPr>
      <w:r w:rsidRPr="000C51CE">
        <w:rPr>
          <w:rFonts w:ascii="Constantia" w:hAnsi="Constantia"/>
          <w:szCs w:val="22"/>
        </w:rPr>
        <w:t>PRIZEMNI OZON – ozon koji nastaje u nižim slojevima atmosfere ili troposferski ozon je sastavni dio gradskog smoga. Troposferski ozon je u neposrednom dodiru s živim organizmima. Lako reaguje s drugim molekulama, oštećuje površinsko tkivo biljaka i životinja, pa štetno djel</w:t>
      </w:r>
      <w:r>
        <w:rPr>
          <w:rFonts w:ascii="Constantia" w:hAnsi="Constantia"/>
          <w:szCs w:val="22"/>
        </w:rPr>
        <w:t>uje na ljudsko zdravlje (disajne organe</w:t>
      </w:r>
      <w:r w:rsidRPr="000C51CE">
        <w:rPr>
          <w:rFonts w:ascii="Constantia" w:hAnsi="Constantia"/>
          <w:szCs w:val="22"/>
        </w:rPr>
        <w:t>), biljne usjeve i šume.</w:t>
      </w:r>
    </w:p>
    <w:p w:rsidR="00436A1A" w:rsidRPr="000C51CE" w:rsidRDefault="00436A1A" w:rsidP="00436A1A">
      <w:pPr>
        <w:spacing w:line="276" w:lineRule="auto"/>
        <w:rPr>
          <w:rFonts w:ascii="Constantia" w:hAnsi="Constantia"/>
          <w:b/>
          <w:szCs w:val="22"/>
        </w:rPr>
      </w:pPr>
      <w:r w:rsidRPr="000C51CE">
        <w:rPr>
          <w:rFonts w:ascii="Constantia" w:hAnsi="Constantia"/>
          <w:b/>
          <w:szCs w:val="22"/>
        </w:rPr>
        <w:t>R</w:t>
      </w:r>
    </w:p>
    <w:p w:rsidR="00436A1A" w:rsidRPr="000C51CE" w:rsidRDefault="00436A1A" w:rsidP="00436A1A">
      <w:pPr>
        <w:rPr>
          <w:rFonts w:ascii="Constantia" w:hAnsi="Constantia"/>
          <w:szCs w:val="22"/>
        </w:rPr>
      </w:pPr>
      <w:r w:rsidRPr="000C51CE">
        <w:rPr>
          <w:rFonts w:ascii="Constantia" w:hAnsi="Constantia"/>
          <w:szCs w:val="22"/>
        </w:rPr>
        <w:t>RELIKTI – vrste koje su zaostale do danas iz bliže ili dalje prošlosti. Reliktne vrste su, gotovo po pravilu, nekad bile široko rasprostranjene i dobro prilagođene spoljašnim uslovima, a danas im spoljašni uslovi često ne odgovaraju u potpunosti i po pravilu su sačuvane na malim prostorima ili prostorima izolovanim od glavne oblasti njihovog savremenog rasprostranjenja.</w:t>
      </w:r>
    </w:p>
    <w:p w:rsidR="00436A1A" w:rsidRPr="000C51CE" w:rsidRDefault="00436A1A" w:rsidP="00436A1A">
      <w:pPr>
        <w:spacing w:line="276" w:lineRule="auto"/>
        <w:rPr>
          <w:rFonts w:ascii="Constantia" w:hAnsi="Constantia"/>
          <w:b/>
          <w:szCs w:val="22"/>
        </w:rPr>
      </w:pPr>
      <w:r w:rsidRPr="000C51CE">
        <w:rPr>
          <w:rFonts w:ascii="Constantia" w:hAnsi="Constantia"/>
          <w:b/>
          <w:szCs w:val="22"/>
        </w:rPr>
        <w:t>S</w:t>
      </w:r>
    </w:p>
    <w:p w:rsidR="00436A1A" w:rsidRPr="000C51CE" w:rsidRDefault="00436A1A" w:rsidP="00436A1A">
      <w:pPr>
        <w:rPr>
          <w:rFonts w:ascii="Constantia" w:hAnsi="Constantia"/>
          <w:szCs w:val="22"/>
        </w:rPr>
      </w:pPr>
      <w:r w:rsidRPr="000C51CE">
        <w:rPr>
          <w:rFonts w:ascii="Constantia" w:hAnsi="Constantia"/>
          <w:szCs w:val="22"/>
        </w:rPr>
        <w:t>SUMPOR-DIOKSID(SO</w:t>
      </w:r>
      <w:r w:rsidRPr="000C51CE">
        <w:rPr>
          <w:rFonts w:ascii="Constantia" w:hAnsi="Constantia"/>
          <w:szCs w:val="22"/>
          <w:vertAlign w:val="subscript"/>
        </w:rPr>
        <w:t>2</w:t>
      </w:r>
      <w:r w:rsidRPr="000C51CE">
        <w:rPr>
          <w:rFonts w:ascii="Constantia" w:hAnsi="Constantia"/>
          <w:szCs w:val="22"/>
        </w:rPr>
        <w:t>) – bezbojan, nezapaljiv gas. Znatne količine SO</w:t>
      </w:r>
      <w:r w:rsidRPr="000C51CE">
        <w:rPr>
          <w:rFonts w:ascii="Constantia" w:hAnsi="Constantia"/>
          <w:szCs w:val="22"/>
          <w:vertAlign w:val="subscript"/>
        </w:rPr>
        <w:t>2</w:t>
      </w:r>
      <w:r w:rsidRPr="000C51CE">
        <w:rPr>
          <w:rFonts w:ascii="Constantia" w:hAnsi="Constantia"/>
          <w:szCs w:val="22"/>
        </w:rPr>
        <w:t xml:space="preserve"> u atmosferu dolaze vulkanskom aktivnošću, sagorijevanjem fosilnih goriva, procesima topljenja ruda, prerade papira i celuloze.</w:t>
      </w:r>
      <w:r w:rsidR="004E559D">
        <w:rPr>
          <w:rFonts w:ascii="Constantia" w:hAnsi="Constantia"/>
          <w:szCs w:val="22"/>
        </w:rPr>
        <w:t xml:space="preserve"> </w:t>
      </w:r>
      <w:r w:rsidRPr="000C51CE">
        <w:rPr>
          <w:rFonts w:ascii="Constantia" w:hAnsi="Constantia"/>
          <w:szCs w:val="22"/>
        </w:rPr>
        <w:t>Primarni efekat SO</w:t>
      </w:r>
      <w:r w:rsidRPr="000C51CE">
        <w:rPr>
          <w:rFonts w:ascii="Constantia" w:hAnsi="Constantia"/>
          <w:szCs w:val="22"/>
          <w:vertAlign w:val="subscript"/>
        </w:rPr>
        <w:t>2</w:t>
      </w:r>
      <w:r w:rsidRPr="000C51CE">
        <w:rPr>
          <w:rFonts w:ascii="Constantia" w:hAnsi="Constantia"/>
          <w:szCs w:val="22"/>
        </w:rPr>
        <w:t xml:space="preserve"> ispoljava seu iritaciji očiju, nosa i grla.</w:t>
      </w:r>
      <w:r w:rsidR="004E559D">
        <w:rPr>
          <w:rFonts w:ascii="Constantia" w:hAnsi="Constantia"/>
          <w:szCs w:val="22"/>
        </w:rPr>
        <w:t xml:space="preserve"> </w:t>
      </w:r>
      <w:r w:rsidRPr="000C51CE">
        <w:rPr>
          <w:rFonts w:ascii="Constantia" w:hAnsi="Constantia"/>
          <w:szCs w:val="22"/>
        </w:rPr>
        <w:t>U respiratornom sistemu može izazvati edem pluća i respiratornu paralizu.</w:t>
      </w:r>
    </w:p>
    <w:p w:rsidR="00436A1A" w:rsidRPr="000C51CE" w:rsidRDefault="00436A1A" w:rsidP="00436A1A">
      <w:pPr>
        <w:rPr>
          <w:rFonts w:ascii="Constantia" w:hAnsi="Constantia"/>
          <w:szCs w:val="22"/>
        </w:rPr>
      </w:pPr>
      <w:r w:rsidRPr="000C51CE">
        <w:rPr>
          <w:rFonts w:ascii="Constantia" w:hAnsi="Constantia"/>
          <w:szCs w:val="22"/>
        </w:rPr>
        <w:t xml:space="preserve">SUPRALITORAL </w:t>
      </w:r>
      <w:r>
        <w:rPr>
          <w:rFonts w:ascii="Constantia" w:hAnsi="Constantia"/>
          <w:szCs w:val="22"/>
        </w:rPr>
        <w:t>–</w:t>
      </w:r>
      <w:r w:rsidRPr="000C51CE">
        <w:rPr>
          <w:rFonts w:ascii="Constantia" w:hAnsi="Constantia"/>
          <w:szCs w:val="22"/>
        </w:rPr>
        <w:t xml:space="preserve"> stalno je izvan vode, a vlaži se samo prskanjem talasa. Visina te stepenice varira zavisno od izloženosti obale, od pola metra na zaštićenim mjestima pa do 10 metara i više, ako je obala izložena vjetru koji nosi kapljice mora.</w:t>
      </w:r>
    </w:p>
    <w:p w:rsidR="00436A1A" w:rsidRPr="000C51CE" w:rsidRDefault="00436A1A" w:rsidP="00436A1A">
      <w:pPr>
        <w:spacing w:line="276" w:lineRule="auto"/>
        <w:rPr>
          <w:rFonts w:ascii="Constantia" w:hAnsi="Constantia"/>
          <w:b/>
          <w:szCs w:val="22"/>
        </w:rPr>
      </w:pPr>
      <w:r w:rsidRPr="000C51CE">
        <w:rPr>
          <w:rFonts w:ascii="Constantia" w:hAnsi="Constantia"/>
          <w:b/>
          <w:szCs w:val="22"/>
        </w:rPr>
        <w:t>T</w:t>
      </w:r>
    </w:p>
    <w:p w:rsidR="00436A1A" w:rsidRPr="000C51CE" w:rsidRDefault="00436A1A" w:rsidP="00436A1A">
      <w:pPr>
        <w:rPr>
          <w:rFonts w:ascii="Constantia" w:hAnsi="Constantia"/>
          <w:szCs w:val="22"/>
        </w:rPr>
      </w:pPr>
      <w:r w:rsidRPr="000C51CE">
        <w:rPr>
          <w:rFonts w:ascii="Constantia" w:hAnsi="Constantia"/>
          <w:szCs w:val="22"/>
        </w:rPr>
        <w:t xml:space="preserve">TAKSON </w:t>
      </w:r>
      <w:r w:rsidR="00386503">
        <w:rPr>
          <w:rFonts w:ascii="Constantia" w:hAnsi="Constantia"/>
          <w:szCs w:val="22"/>
        </w:rPr>
        <w:t>–</w:t>
      </w:r>
      <w:r w:rsidRPr="000C51CE">
        <w:rPr>
          <w:rFonts w:ascii="Constantia" w:hAnsi="Constantia"/>
          <w:szCs w:val="22"/>
        </w:rPr>
        <w:t xml:space="preserve"> uslovni termin koji obično označava vrstu ili niže taksonomske nivoe, uključujući i oblike koji još nisu formalno opisani.</w:t>
      </w:r>
    </w:p>
    <w:p w:rsidR="00436A1A" w:rsidRPr="000C51CE" w:rsidRDefault="00436A1A" w:rsidP="00436A1A">
      <w:pPr>
        <w:rPr>
          <w:rFonts w:ascii="Constantia" w:hAnsi="Constantia"/>
          <w:szCs w:val="22"/>
        </w:rPr>
      </w:pPr>
      <w:r w:rsidRPr="000C51CE">
        <w:rPr>
          <w:rFonts w:ascii="Constantia" w:hAnsi="Constantia"/>
          <w:szCs w:val="22"/>
        </w:rPr>
        <w:t>TEMPERATURNA INVERZIJA – pojava gdje temperatura vazduha s visinom raste umjesto da opada. Atmosfera se tada nalazi u ekstremno stabilnim uslovima, a sloj toplog vazduha u sendviču između slojeva hladnog vazduha.</w:t>
      </w:r>
      <w:r w:rsidR="005D2515">
        <w:rPr>
          <w:rFonts w:ascii="Constantia" w:hAnsi="Constantia"/>
          <w:szCs w:val="22"/>
        </w:rPr>
        <w:t xml:space="preserve"> </w:t>
      </w:r>
      <w:r w:rsidRPr="000C51CE">
        <w:rPr>
          <w:rFonts w:ascii="Constantia" w:hAnsi="Constantia"/>
          <w:szCs w:val="22"/>
        </w:rPr>
        <w:t>To je najgora situacija s</w:t>
      </w:r>
      <w:r>
        <w:rPr>
          <w:rFonts w:ascii="Constantia" w:hAnsi="Constantia"/>
          <w:szCs w:val="22"/>
        </w:rPr>
        <w:t>a</w:t>
      </w:r>
      <w:r w:rsidRPr="000C51CE">
        <w:rPr>
          <w:rFonts w:ascii="Constantia" w:hAnsi="Constantia"/>
          <w:szCs w:val="22"/>
        </w:rPr>
        <w:t xml:space="preserve"> aspekta zagađenja vazduha, jer ne može doći do znatnijeg raspršivanja zagađujući</w:t>
      </w:r>
      <w:r>
        <w:rPr>
          <w:rFonts w:ascii="Constantia" w:hAnsi="Constantia"/>
          <w:szCs w:val="22"/>
        </w:rPr>
        <w:t>h materija. Sloj toplog vazduha</w:t>
      </w:r>
      <w:r w:rsidRPr="000C51CE">
        <w:rPr>
          <w:rFonts w:ascii="Constantia" w:hAnsi="Constantia"/>
          <w:szCs w:val="22"/>
        </w:rPr>
        <w:t xml:space="preserve"> iznad sloja prizemnog vazduha postaje barijera za vertikalno strujanje vazduha, te se dimovi iz dimnjaka rasprostiru u prizemnom sloju i zagađujuće materije se nagomilavaju ispod tog </w:t>
      </w:r>
      <w:r w:rsidRPr="000C51CE">
        <w:rPr>
          <w:rFonts w:ascii="Constantia" w:hAnsi="Constantia"/>
          <w:szCs w:val="22"/>
        </w:rPr>
        <w:lastRenderedPageBreak/>
        <w:t>inverzionog sloja, pa njihova koncentracija uskoro dostiže vrijednosti opasne po ljudsko zdravlje.</w:t>
      </w:r>
    </w:p>
    <w:p w:rsidR="00436A1A" w:rsidRPr="000C51CE" w:rsidRDefault="00436A1A" w:rsidP="00436A1A">
      <w:pPr>
        <w:rPr>
          <w:rFonts w:ascii="Constantia" w:hAnsi="Constantia"/>
          <w:szCs w:val="22"/>
        </w:rPr>
      </w:pPr>
      <w:r w:rsidRPr="000C51CE">
        <w:rPr>
          <w:rFonts w:ascii="Constantia" w:hAnsi="Constantia"/>
          <w:szCs w:val="22"/>
        </w:rPr>
        <w:t xml:space="preserve">TERCIJARNI RELIKT </w:t>
      </w:r>
      <w:r w:rsidR="00386503">
        <w:rPr>
          <w:rFonts w:ascii="Constantia" w:hAnsi="Constantia"/>
          <w:szCs w:val="22"/>
        </w:rPr>
        <w:t>–</w:t>
      </w:r>
      <w:r w:rsidRPr="000C51CE">
        <w:rPr>
          <w:rFonts w:ascii="Constantia" w:hAnsi="Constantia"/>
          <w:szCs w:val="22"/>
        </w:rPr>
        <w:t xml:space="preserve"> vrsta za koju postoje sigurni paleontološki nalazi da je živjela krajem Tercijara (Pliocen) i bila široko rasprostranjena, a čije je rasprostranjenje danas relativno usko i vezano za staništa refugijalnog tipa, odnosno reliktne biogeocenoze, u kakvim se smatra da je preživjela pleistocenske glacijacije.</w:t>
      </w:r>
    </w:p>
    <w:p w:rsidR="00436A1A" w:rsidRPr="000C51CE" w:rsidRDefault="00436A1A" w:rsidP="00436A1A">
      <w:pPr>
        <w:spacing w:line="276" w:lineRule="auto"/>
        <w:rPr>
          <w:rFonts w:ascii="Constantia" w:hAnsi="Constantia"/>
          <w:b/>
          <w:szCs w:val="22"/>
        </w:rPr>
      </w:pPr>
      <w:r w:rsidRPr="000C51CE">
        <w:rPr>
          <w:rFonts w:ascii="Constantia" w:hAnsi="Constantia"/>
          <w:b/>
          <w:szCs w:val="22"/>
        </w:rPr>
        <w:t>U</w:t>
      </w:r>
    </w:p>
    <w:p w:rsidR="00436A1A" w:rsidRPr="00AA0E4E" w:rsidRDefault="00436A1A" w:rsidP="00436A1A">
      <w:pPr>
        <w:rPr>
          <w:rFonts w:ascii="Constantia" w:hAnsi="Constantia"/>
          <w:szCs w:val="22"/>
        </w:rPr>
      </w:pPr>
      <w:r w:rsidRPr="00AA0E4E">
        <w:rPr>
          <w:rFonts w:ascii="Constantia" w:hAnsi="Constantia"/>
          <w:szCs w:val="22"/>
        </w:rPr>
        <w:t xml:space="preserve">UNFCC (United Nations Framework Convention on Climate Change) </w:t>
      </w:r>
      <w:r w:rsidR="00386503">
        <w:rPr>
          <w:rFonts w:ascii="Constantia" w:hAnsi="Constantia"/>
          <w:szCs w:val="22"/>
        </w:rPr>
        <w:t>–</w:t>
      </w:r>
      <w:r w:rsidRPr="00AA0E4E">
        <w:rPr>
          <w:rFonts w:ascii="Constantia" w:hAnsi="Constantia"/>
          <w:szCs w:val="22"/>
        </w:rPr>
        <w:t xml:space="preserve"> Konvencija Ujedinjenih nacija o klimatskim promjenama.</w:t>
      </w:r>
    </w:p>
    <w:p w:rsidR="00436A1A" w:rsidRPr="000C51CE" w:rsidRDefault="00436A1A" w:rsidP="00436A1A">
      <w:pPr>
        <w:spacing w:line="276" w:lineRule="auto"/>
        <w:rPr>
          <w:rFonts w:ascii="Constantia" w:hAnsi="Constantia"/>
          <w:b/>
          <w:szCs w:val="22"/>
        </w:rPr>
      </w:pPr>
      <w:r w:rsidRPr="000C51CE">
        <w:rPr>
          <w:rFonts w:ascii="Constantia" w:hAnsi="Constantia"/>
          <w:b/>
          <w:szCs w:val="22"/>
        </w:rPr>
        <w:t>V</w:t>
      </w:r>
    </w:p>
    <w:p w:rsidR="00436A1A" w:rsidRPr="000C51CE" w:rsidRDefault="00436A1A" w:rsidP="00436A1A">
      <w:pPr>
        <w:rPr>
          <w:rFonts w:ascii="Constantia" w:hAnsi="Constantia"/>
          <w:szCs w:val="22"/>
        </w:rPr>
      </w:pPr>
      <w:r w:rsidRPr="000C51CE">
        <w:rPr>
          <w:rFonts w:ascii="Constantia" w:hAnsi="Constantia"/>
          <w:szCs w:val="22"/>
        </w:rPr>
        <w:t>VASKULARNA FLORA – zajedničk</w:t>
      </w:r>
      <w:r>
        <w:rPr>
          <w:rFonts w:ascii="Constantia" w:hAnsi="Constantia"/>
          <w:szCs w:val="22"/>
        </w:rPr>
        <w:t>i</w:t>
      </w:r>
      <w:r w:rsidRPr="000C51CE">
        <w:rPr>
          <w:rFonts w:ascii="Constantia" w:hAnsi="Constantia"/>
          <w:szCs w:val="22"/>
        </w:rPr>
        <w:t xml:space="preserve"> naziv koji objedinjuje biljke sa sprovodnim sistemima (vaskularni sistem), u koje spadaju sve paprati, golosjemenjače i skrivenosjemenjače.</w:t>
      </w:r>
    </w:p>
    <w:p w:rsidR="00436A1A" w:rsidRPr="000C51CE" w:rsidRDefault="00436A1A" w:rsidP="00436A1A">
      <w:pPr>
        <w:spacing w:line="276" w:lineRule="auto"/>
        <w:rPr>
          <w:rFonts w:ascii="Constantia" w:hAnsi="Constantia"/>
          <w:b/>
          <w:szCs w:val="22"/>
        </w:rPr>
      </w:pPr>
      <w:r w:rsidRPr="000C51CE">
        <w:rPr>
          <w:rFonts w:ascii="Constantia" w:hAnsi="Constantia"/>
          <w:b/>
          <w:szCs w:val="22"/>
        </w:rPr>
        <w:t>Z</w:t>
      </w:r>
    </w:p>
    <w:p w:rsidR="00436A1A" w:rsidRPr="000C51CE" w:rsidRDefault="00436A1A" w:rsidP="00436A1A">
      <w:pPr>
        <w:rPr>
          <w:rFonts w:ascii="Constantia" w:hAnsi="Constantia"/>
          <w:szCs w:val="22"/>
        </w:rPr>
      </w:pPr>
      <w:r w:rsidRPr="000C51CE">
        <w:rPr>
          <w:rFonts w:ascii="Constantia" w:hAnsi="Constantia"/>
          <w:szCs w:val="22"/>
        </w:rPr>
        <w:t xml:space="preserve">ZAGAĐUJUĆA MATERIJA </w:t>
      </w:r>
      <w:r>
        <w:rPr>
          <w:rFonts w:ascii="Constantia" w:hAnsi="Constantia"/>
          <w:szCs w:val="22"/>
        </w:rPr>
        <w:t xml:space="preserve">– </w:t>
      </w:r>
      <w:r w:rsidRPr="000C51CE">
        <w:rPr>
          <w:rFonts w:ascii="Constantia" w:hAnsi="Constantia"/>
          <w:szCs w:val="22"/>
        </w:rPr>
        <w:t>s</w:t>
      </w:r>
      <w:r>
        <w:rPr>
          <w:rFonts w:ascii="Constantia" w:hAnsi="Constantia"/>
          <w:szCs w:val="22"/>
        </w:rPr>
        <w:t>v</w:t>
      </w:r>
      <w:r w:rsidRPr="000C51CE">
        <w:rPr>
          <w:rFonts w:ascii="Constantia" w:hAnsi="Constantia"/>
          <w:szCs w:val="22"/>
        </w:rPr>
        <w:t>aka materija prisutna u vazduhu, vodi i zemljištu koja može nepovoljno uticati na ljudsko zdravlje i/ili životnu sredinu.</w:t>
      </w:r>
    </w:p>
    <w:p w:rsidR="00436A1A" w:rsidRPr="000C51CE" w:rsidRDefault="00436A1A" w:rsidP="00436A1A">
      <w:pPr>
        <w:rPr>
          <w:rFonts w:ascii="Constantia" w:hAnsi="Constantia"/>
          <w:szCs w:val="22"/>
        </w:rPr>
      </w:pPr>
      <w:r w:rsidRPr="000C51CE">
        <w:rPr>
          <w:rFonts w:ascii="Constantia" w:hAnsi="Constantia"/>
          <w:szCs w:val="22"/>
        </w:rPr>
        <w:t>ZAŠTIĆENE BILJKE – biljke koje su zaštićene kao prirodne rijetkosti</w:t>
      </w:r>
      <w:r>
        <w:rPr>
          <w:rFonts w:ascii="Constantia" w:hAnsi="Constantia"/>
          <w:szCs w:val="22"/>
        </w:rPr>
        <w:t>,</w:t>
      </w:r>
      <w:r w:rsidR="005D2515">
        <w:rPr>
          <w:rFonts w:ascii="Constantia" w:hAnsi="Constantia"/>
          <w:szCs w:val="22"/>
        </w:rPr>
        <w:t xml:space="preserve"> </w:t>
      </w:r>
      <w:r w:rsidRPr="000C51CE">
        <w:rPr>
          <w:rFonts w:ascii="Constantia" w:hAnsi="Constantia"/>
          <w:szCs w:val="22"/>
        </w:rPr>
        <w:t>ili su zaštićene kao prorijeđene ili ugrožene. Rijetke, prorijeđene, endemične i ugrožene biljne vrste zabranjeno je uklanjati s njihovih staništa u bilo koje svrhe, oštećivati i uništavati na bilo koji način, kao i prodavati ili iznositi u inostranstvo.</w:t>
      </w:r>
    </w:p>
    <w:p w:rsidR="00436A1A" w:rsidRPr="000C51CE" w:rsidRDefault="00436A1A" w:rsidP="00436A1A">
      <w:pPr>
        <w:spacing w:line="276" w:lineRule="auto"/>
        <w:rPr>
          <w:rFonts w:ascii="Constantia" w:hAnsi="Constantia"/>
          <w:b/>
          <w:szCs w:val="22"/>
        </w:rPr>
      </w:pPr>
      <w:r w:rsidRPr="000C51CE">
        <w:rPr>
          <w:rFonts w:ascii="Constantia" w:hAnsi="Constantia"/>
          <w:b/>
          <w:szCs w:val="22"/>
        </w:rPr>
        <w:t>Ž</w:t>
      </w:r>
    </w:p>
    <w:p w:rsidR="00436A1A" w:rsidRPr="000C51CE" w:rsidRDefault="00436A1A" w:rsidP="00436A1A">
      <w:pPr>
        <w:rPr>
          <w:rFonts w:ascii="Constantia" w:hAnsi="Constantia"/>
          <w:szCs w:val="22"/>
        </w:rPr>
      </w:pPr>
      <w:r w:rsidRPr="000C51CE">
        <w:rPr>
          <w:rFonts w:ascii="Constantia" w:hAnsi="Constantia"/>
          <w:szCs w:val="22"/>
        </w:rPr>
        <w:t>ŽIVA (Hg) – srebrnasto bijeli metal, jedini je koji je pri običnoj temperaturi u tečnom stanju. Isparava već pri sobnoj temperaturi, a pare su otrovne. Organska jedinjenja žive su toksičnija od neorganskih. Živa je snažan mutagen.</w:t>
      </w:r>
    </w:p>
    <w:p w:rsidR="00436A1A" w:rsidRPr="000C51CE" w:rsidRDefault="00436A1A" w:rsidP="00436A1A">
      <w:pPr>
        <w:spacing w:line="276" w:lineRule="auto"/>
        <w:rPr>
          <w:rFonts w:ascii="Constantia" w:hAnsi="Constantia"/>
          <w:szCs w:val="22"/>
        </w:rPr>
      </w:pPr>
    </w:p>
    <w:p w:rsidR="00436A1A" w:rsidRPr="000C51CE" w:rsidRDefault="00436A1A" w:rsidP="00436A1A">
      <w:pPr>
        <w:spacing w:line="276" w:lineRule="auto"/>
        <w:rPr>
          <w:rFonts w:ascii="Constantia" w:hAnsi="Constantia"/>
          <w:szCs w:val="22"/>
        </w:rPr>
      </w:pPr>
    </w:p>
    <w:p w:rsidR="00436A1A" w:rsidRPr="000C51CE" w:rsidRDefault="00436A1A" w:rsidP="005361F8">
      <w:pPr>
        <w:spacing w:line="276" w:lineRule="auto"/>
        <w:contextualSpacing/>
        <w:jc w:val="center"/>
        <w:rPr>
          <w:rFonts w:ascii="Constantia" w:hAnsi="Constantia"/>
          <w:szCs w:val="22"/>
        </w:rPr>
      </w:pPr>
      <w:r w:rsidRPr="000C51CE">
        <w:rPr>
          <w:rFonts w:ascii="Constantia" w:hAnsi="Constantia"/>
          <w:szCs w:val="22"/>
        </w:rPr>
        <w:t>*</w:t>
      </w:r>
      <w:r w:rsidRPr="000C51CE">
        <w:rPr>
          <w:rFonts w:ascii="Constantia" w:hAnsi="Constantia"/>
          <w:szCs w:val="22"/>
        </w:rPr>
        <w:tab/>
        <w:t>*</w:t>
      </w:r>
      <w:r w:rsidRPr="000C51CE">
        <w:rPr>
          <w:rFonts w:ascii="Constantia" w:hAnsi="Constantia"/>
          <w:szCs w:val="22"/>
        </w:rPr>
        <w:tab/>
        <w:t>*</w:t>
      </w:r>
    </w:p>
    <w:p w:rsidR="00B542CD" w:rsidRPr="00B542CD" w:rsidRDefault="00B542CD" w:rsidP="00B542CD">
      <w:pPr>
        <w:rPr>
          <w:lang w:val="sr-Latn-CS"/>
        </w:rPr>
      </w:pPr>
    </w:p>
    <w:p w:rsidR="00B542CD" w:rsidRDefault="00B542CD" w:rsidP="00CB18B6">
      <w:pPr>
        <w:rPr>
          <w:lang w:val="sr-Latn-CS"/>
        </w:rPr>
      </w:pPr>
    </w:p>
    <w:p w:rsidR="006C7224" w:rsidRDefault="006C7224" w:rsidP="00CB18B6">
      <w:pPr>
        <w:rPr>
          <w:lang w:val="sr-Latn-CS"/>
        </w:rPr>
      </w:pPr>
    </w:p>
    <w:sectPr w:rsidR="006C7224" w:rsidSect="00041D74">
      <w:footerReference w:type="default" r:id="rId189"/>
      <w:pgSz w:w="11909" w:h="16834" w:code="9"/>
      <w:pgMar w:top="1418" w:right="1418" w:bottom="1418" w:left="1418"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7809" w:rsidRDefault="00047809">
      <w:r>
        <w:separator/>
      </w:r>
    </w:p>
  </w:endnote>
  <w:endnote w:type="continuationSeparator" w:id="0">
    <w:p w:rsidR="00047809" w:rsidRDefault="000478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Constantia">
    <w:panose1 w:val="02030602050306030303"/>
    <w:charset w:val="00"/>
    <w:family w:val="roman"/>
    <w:pitch w:val="variable"/>
    <w:sig w:usb0="A00002EF" w:usb1="4000204B" w:usb2="00000000"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10002FF" w:usb1="4000FCFF" w:usb2="00000009" w:usb3="00000000" w:csb0="0000019F" w:csb1="00000000"/>
  </w:font>
  <w:font w:name="Wingdings 2">
    <w:panose1 w:val="050201020105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MyriadPro-Regular">
    <w:altName w:val="Arial Unicode MS"/>
    <w:panose1 w:val="00000000000000000000"/>
    <w:charset w:val="80"/>
    <w:family w:val="swiss"/>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EAE" w:rsidRPr="00041D74" w:rsidRDefault="00762EAE" w:rsidP="005A29A1">
    <w:pPr>
      <w:pStyle w:val="Footer"/>
      <w:tabs>
        <w:tab w:val="clear" w:pos="8640"/>
        <w:tab w:val="right" w:pos="9072"/>
      </w:tabs>
      <w:rPr>
        <w:sz w:val="16"/>
        <w:szCs w:val="16"/>
        <w:lang w:val="sr-Latn-CS"/>
      </w:rPr>
    </w:pPr>
    <w:r>
      <w:rPr>
        <w:i/>
        <w:noProof/>
        <w:sz w:val="16"/>
        <w:szCs w:val="16"/>
      </w:rPr>
      <mc:AlternateContent>
        <mc:Choice Requires="wps">
          <w:drawing>
            <wp:anchor distT="0" distB="0" distL="114300" distR="114300" simplePos="0" relativeHeight="251659264" behindDoc="0" locked="0" layoutInCell="1" allowOverlap="1">
              <wp:simplePos x="0" y="0"/>
              <wp:positionH relativeFrom="column">
                <wp:posOffset>2709545</wp:posOffset>
              </wp:positionH>
              <wp:positionV relativeFrom="paragraph">
                <wp:posOffset>-23495</wp:posOffset>
              </wp:positionV>
              <wp:extent cx="3208655" cy="635"/>
              <wp:effectExtent l="0" t="0" r="10795" b="37465"/>
              <wp:wrapNone/>
              <wp:docPr id="207"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8655" cy="635"/>
                      </a:xfrm>
                      <a:prstGeom prst="straightConnector1">
                        <a:avLst/>
                      </a:prstGeom>
                      <a:noFill/>
                      <a:ln w="9525">
                        <a:solidFill>
                          <a:schemeClr val="accent5">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margin-left:213.35pt;margin-top:-1.85pt;width:252.6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" strokecolor="#9bd45f [3208]"/>
          </w:pict>
        </mc:Fallback>
      </mc:AlternateContent>
    </w:r>
    <w:r>
      <w:rPr>
        <w:i/>
        <w:noProof/>
        <w:sz w:val="16"/>
        <w:szCs w:val="16"/>
      </w:rPr>
      <w:drawing>
        <wp:anchor distT="0" distB="0" distL="114300" distR="114300" simplePos="0" relativeHeight="251658240" behindDoc="1" locked="0" layoutInCell="1" allowOverlap="1" wp14:anchorId="7AD7D1FA" wp14:editId="449F52DD">
          <wp:simplePos x="0" y="0"/>
          <wp:positionH relativeFrom="column">
            <wp:posOffset>-608424</wp:posOffset>
          </wp:positionH>
          <wp:positionV relativeFrom="paragraph">
            <wp:posOffset>-458621</wp:posOffset>
          </wp:positionV>
          <wp:extent cx="772994" cy="757451"/>
          <wp:effectExtent l="19050" t="0" r="8056" b="0"/>
          <wp:wrapNone/>
          <wp:docPr id="254" name="Picture 0"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a:stretch>
                    <a:fillRect/>
                  </a:stretch>
                </pic:blipFill>
                <pic:spPr>
                  <a:xfrm>
                    <a:off x="0" y="0"/>
                    <a:ext cx="772994" cy="757451"/>
                  </a:xfrm>
                  <a:prstGeom prst="rect">
                    <a:avLst/>
                  </a:prstGeom>
                </pic:spPr>
              </pic:pic>
            </a:graphicData>
          </a:graphic>
        </wp:anchor>
      </w:drawing>
    </w:r>
    <w:r>
      <w:rPr>
        <w:i/>
        <w:sz w:val="16"/>
        <w:szCs w:val="16"/>
        <w:lang w:val="sr-Latn-CS"/>
      </w:rPr>
      <w:t>Informacija</w:t>
    </w:r>
    <w:r w:rsidRPr="00041D74">
      <w:rPr>
        <w:i/>
        <w:sz w:val="16"/>
        <w:szCs w:val="16"/>
        <w:lang w:val="sr-Latn-CS"/>
      </w:rPr>
      <w:t xml:space="preserve"> o stanju životne sredine u Crnoj Gori</w:t>
    </w:r>
    <w:r>
      <w:rPr>
        <w:i/>
        <w:sz w:val="16"/>
        <w:szCs w:val="16"/>
        <w:lang w:val="sr-Latn-CS"/>
      </w:rPr>
      <w:t xml:space="preserve">  za 2013</w:t>
    </w:r>
    <w:r w:rsidRPr="00041D74">
      <w:rPr>
        <w:i/>
        <w:sz w:val="16"/>
        <w:szCs w:val="16"/>
        <w:lang w:val="sr-Latn-CS"/>
      </w:rPr>
      <w:t>. godinu</w:t>
    </w:r>
    <w:r w:rsidRPr="00041D74">
      <w:rPr>
        <w:sz w:val="16"/>
        <w:szCs w:val="16"/>
        <w:lang w:val="sr-Latn-CS"/>
      </w:rPr>
      <w:tab/>
    </w:r>
    <w:r>
      <w:rPr>
        <w:sz w:val="16"/>
        <w:szCs w:val="16"/>
        <w:lang w:val="sr-Latn-CS"/>
      </w:rPr>
      <w:tab/>
    </w:r>
    <w:r w:rsidRPr="00041D74">
      <w:rPr>
        <w:sz w:val="16"/>
        <w:szCs w:val="16"/>
        <w:lang w:val="sr-Latn-CS"/>
      </w:rPr>
      <w:t xml:space="preserve">strana </w:t>
    </w:r>
    <w:r w:rsidRPr="00E7376B">
      <w:rPr>
        <w:sz w:val="16"/>
        <w:szCs w:val="16"/>
        <w:lang w:val="sr-Latn-CS"/>
      </w:rPr>
      <w:fldChar w:fldCharType="begin"/>
    </w:r>
    <w:r w:rsidRPr="00E7376B">
      <w:rPr>
        <w:sz w:val="16"/>
        <w:szCs w:val="16"/>
        <w:lang w:val="sr-Latn-CS"/>
      </w:rPr>
      <w:instrText xml:space="preserve"> PAGE   \* MERGEFORMAT </w:instrText>
    </w:r>
    <w:r w:rsidRPr="00E7376B">
      <w:rPr>
        <w:sz w:val="16"/>
        <w:szCs w:val="16"/>
        <w:lang w:val="sr-Latn-CS"/>
      </w:rPr>
      <w:fldChar w:fldCharType="separate"/>
    </w:r>
    <w:r w:rsidR="004155AF">
      <w:rPr>
        <w:noProof/>
        <w:sz w:val="16"/>
        <w:szCs w:val="16"/>
        <w:lang w:val="sr-Latn-CS"/>
      </w:rPr>
      <w:t>139</w:t>
    </w:r>
    <w:r w:rsidRPr="00E7376B">
      <w:rPr>
        <w:sz w:val="16"/>
        <w:szCs w:val="16"/>
        <w:lang w:val="sr-Latn-C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7809" w:rsidRDefault="00047809">
      <w:r>
        <w:separator/>
      </w:r>
    </w:p>
  </w:footnote>
  <w:footnote w:type="continuationSeparator" w:id="0">
    <w:p w:rsidR="00047809" w:rsidRDefault="00047809">
      <w:r>
        <w:continuationSeparator/>
      </w:r>
    </w:p>
  </w:footnote>
  <w:footnote w:id="1">
    <w:p w:rsidR="00762EAE" w:rsidRPr="00A36678" w:rsidRDefault="00762EAE" w:rsidP="00EA21B3">
      <w:pPr>
        <w:pStyle w:val="FootnoteText"/>
        <w:rPr>
          <w:rFonts w:ascii="Constantia" w:hAnsi="Constantia"/>
        </w:rPr>
      </w:pPr>
      <w:r w:rsidRPr="00897A69">
        <w:rPr>
          <w:rStyle w:val="FootnoteReference"/>
          <w:rFonts w:ascii="Constantia" w:hAnsi="Constantia"/>
        </w:rPr>
        <w:footnoteRef/>
      </w:r>
      <w:r>
        <w:rPr>
          <w:rFonts w:ascii="Constantia" w:hAnsi="Constantia"/>
        </w:rPr>
        <w:t xml:space="preserve"> Godišnji P</w:t>
      </w:r>
      <w:r w:rsidRPr="00936678">
        <w:rPr>
          <w:rFonts w:ascii="Constantia" w:hAnsi="Constantia"/>
        </w:rPr>
        <w:t xml:space="preserve">rogram </w:t>
      </w:r>
      <w:r>
        <w:rPr>
          <w:rFonts w:ascii="Constantia" w:hAnsi="Constantia"/>
        </w:rPr>
        <w:t xml:space="preserve">monitoringa </w:t>
      </w:r>
      <w:r w:rsidRPr="00A36678">
        <w:rPr>
          <w:rFonts w:ascii="Constantia" w:hAnsi="Constantia"/>
        </w:rPr>
        <w:t>priprema Agencija za zaštitu životne sredine</w:t>
      </w:r>
      <w:r>
        <w:rPr>
          <w:rFonts w:ascii="Constantia" w:hAnsi="Constantia"/>
        </w:rPr>
        <w:t xml:space="preserve"> koji, uz prethodnu saglasnost </w:t>
      </w:r>
      <w:r w:rsidRPr="00A36678">
        <w:rPr>
          <w:rFonts w:ascii="Constantia" w:hAnsi="Constantia"/>
        </w:rPr>
        <w:t>Ministarstva održivog razvoja i turizma</w:t>
      </w:r>
      <w:r>
        <w:rPr>
          <w:rFonts w:ascii="Constantia" w:hAnsi="Constantia"/>
        </w:rPr>
        <w:t>,</w:t>
      </w:r>
      <w:r w:rsidRPr="00A36678">
        <w:rPr>
          <w:rFonts w:ascii="Constantia" w:hAnsi="Constantia"/>
        </w:rPr>
        <w:t xml:space="preserve"> usvaja Vlada</w:t>
      </w:r>
      <w:r w:rsidRPr="00936678">
        <w:rPr>
          <w:rFonts w:ascii="Constantia" w:hAnsi="Constantia"/>
        </w:rPr>
        <w:t xml:space="preserve"> u IV kvarta</w:t>
      </w:r>
      <w:r>
        <w:rPr>
          <w:rFonts w:ascii="Constantia" w:hAnsi="Constantia"/>
        </w:rPr>
        <w:t>lu teku</w:t>
      </w:r>
      <w:r w:rsidRPr="00936678">
        <w:rPr>
          <w:rFonts w:ascii="Constantia" w:hAnsi="Constantia"/>
        </w:rPr>
        <w:t>će za nared</w:t>
      </w:r>
      <w:r>
        <w:rPr>
          <w:rFonts w:ascii="Constantia" w:hAnsi="Constantia"/>
        </w:rPr>
        <w:t>n</w:t>
      </w:r>
      <w:r w:rsidRPr="00936678">
        <w:rPr>
          <w:rFonts w:ascii="Constantia" w:hAnsi="Constantia"/>
        </w:rPr>
        <w:t>u godinu.</w:t>
      </w:r>
    </w:p>
  </w:footnote>
  <w:footnote w:id="2">
    <w:p w:rsidR="00762EAE" w:rsidRPr="00A46632" w:rsidRDefault="00762EAE" w:rsidP="0017725E">
      <w:pPr>
        <w:pStyle w:val="FootnoteText"/>
        <w:rPr>
          <w:rFonts w:ascii="Constantia" w:hAnsi="Constantia"/>
        </w:rPr>
      </w:pPr>
      <w:r w:rsidRPr="00A46632">
        <w:rPr>
          <w:rStyle w:val="FootnoteReference"/>
          <w:rFonts w:ascii="Constantia" w:hAnsi="Constantia"/>
        </w:rPr>
        <w:footnoteRef/>
      </w:r>
      <w:r w:rsidRPr="00A46632">
        <w:rPr>
          <w:rFonts w:ascii="Constantia" w:hAnsi="Constantia"/>
        </w:rPr>
        <w:t xml:space="preserve"> Protokol uz Konvenciju o prekograničnom zagađivanju vazduha na velikim udaljenostima, dugoročnom finansiranju programa saradnje za praćenje i procjenu prekograničnog prenosa zagađujućih materija u vazduh na velikim udaljenostima.</w:t>
      </w:r>
    </w:p>
    <w:p w:rsidR="00762EAE" w:rsidRPr="00A46632" w:rsidRDefault="00762EAE">
      <w:pPr>
        <w:pStyle w:val="FootnoteText"/>
        <w:rPr>
          <w:rFonts w:ascii="Constantia" w:hAnsi="Constantia"/>
        </w:rPr>
      </w:pPr>
    </w:p>
  </w:footnote>
  <w:footnote w:id="3">
    <w:p w:rsidR="00762EAE" w:rsidRPr="008B13DB" w:rsidRDefault="00762EAE" w:rsidP="00235E72">
      <w:pPr>
        <w:pStyle w:val="FootnoteText"/>
        <w:rPr>
          <w:rFonts w:ascii="Constantia" w:hAnsi="Constantia"/>
        </w:rPr>
      </w:pPr>
      <w:r w:rsidRPr="008B13DB">
        <w:rPr>
          <w:rStyle w:val="FootnoteReference"/>
          <w:rFonts w:ascii="Constantia" w:hAnsi="Constantia"/>
        </w:rPr>
        <w:footnoteRef/>
      </w:r>
      <w:r>
        <w:rPr>
          <w:rFonts w:ascii="Constantia" w:hAnsi="Constantia"/>
        </w:rPr>
        <w:t xml:space="preserve"> </w:t>
      </w:r>
      <w:r w:rsidRPr="008B13DB">
        <w:rPr>
          <w:rFonts w:ascii="Constantia" w:hAnsi="Constantia"/>
        </w:rPr>
        <w:t>Metodologija praćenja kvaliteta vazduha koju sprovodi ZHMS nije usklađena s važećom regulativom, zbog neposjedovanja opreme za automatsko mjerenje koncentracije polutanata koja omogućava praćenje satnih koncentracija i upoređivanje izm</w:t>
      </w:r>
      <w:r>
        <w:rPr>
          <w:rFonts w:ascii="Constantia" w:hAnsi="Constantia"/>
        </w:rPr>
        <w:t>jerenih s</w:t>
      </w:r>
      <w:r w:rsidRPr="008B13DB">
        <w:rPr>
          <w:rFonts w:ascii="Constantia" w:hAnsi="Constantia"/>
        </w:rPr>
        <w:t xml:space="preserve"> graničnim </w:t>
      </w:r>
      <w:r>
        <w:rPr>
          <w:rFonts w:ascii="Constantia" w:hAnsi="Constantia"/>
        </w:rPr>
        <w:t>vrijednostima. U nacionalnoj</w:t>
      </w:r>
      <w:r w:rsidRPr="008B13DB">
        <w:rPr>
          <w:rFonts w:ascii="Constantia" w:hAnsi="Constantia"/>
        </w:rPr>
        <w:t>/EU legislativi nema graničnih vrijednosti za koncentraciju dima i čađi.</w:t>
      </w:r>
    </w:p>
    <w:p w:rsidR="00762EAE" w:rsidRPr="00235E72" w:rsidRDefault="00762EAE">
      <w:pPr>
        <w:pStyle w:val="FootnoteText"/>
      </w:pPr>
    </w:p>
  </w:footnote>
  <w:footnote w:id="4">
    <w:p w:rsidR="00762EAE" w:rsidRDefault="00762EAE" w:rsidP="000C51CE">
      <w:pPr>
        <w:pStyle w:val="FootnoteText"/>
        <w:rPr>
          <w:sz w:val="16"/>
        </w:rPr>
      </w:pPr>
      <w:r>
        <w:rPr>
          <w:rStyle w:val="FootnoteReference"/>
          <w:rFonts w:ascii="Constantia" w:hAnsi="Constantia"/>
        </w:rPr>
        <w:footnoteRef/>
      </w:r>
      <w:r>
        <w:rPr>
          <w:rFonts w:ascii="Constantia" w:hAnsi="Constantia"/>
          <w:szCs w:val="24"/>
          <w:lang w:val="sr-Latn-CS"/>
        </w:rPr>
        <w:t xml:space="preserve"> Za bazno stanje (osnovna potrošnja od koje se računa smanjenje pot</w:t>
      </w:r>
      <w:r>
        <w:rPr>
          <w:rFonts w:ascii="Constantia" w:hAnsi="Constantia"/>
          <w:lang w:val="sr-Latn-CS"/>
        </w:rPr>
        <w:t>r</w:t>
      </w:r>
      <w:r>
        <w:rPr>
          <w:rFonts w:ascii="Constantia" w:hAnsi="Constantia"/>
          <w:szCs w:val="24"/>
          <w:lang w:val="sr-Latn-CS"/>
        </w:rPr>
        <w:t>ošnje HCF</w:t>
      </w:r>
      <w:r>
        <w:rPr>
          <w:rFonts w:ascii="Constantia" w:hAnsi="Constantia"/>
          <w:lang w:val="sr-Latn-CS"/>
        </w:rPr>
        <w:t>C supstanci) uzima se period od</w:t>
      </w:r>
      <w:r>
        <w:rPr>
          <w:rFonts w:ascii="Constantia" w:hAnsi="Constantia"/>
          <w:szCs w:val="24"/>
          <w:lang w:val="sr-Latn-CS"/>
        </w:rPr>
        <w:t xml:space="preserve"> 2009-2010.</w:t>
      </w:r>
    </w:p>
  </w:footnote>
  <w:footnote w:id="5">
    <w:p w:rsidR="00762EAE" w:rsidRDefault="00762EAE" w:rsidP="000C51CE">
      <w:pPr>
        <w:pStyle w:val="FootnoteText"/>
        <w:rPr>
          <w:rFonts w:ascii="Constantia" w:hAnsi="Constantia"/>
        </w:rPr>
      </w:pPr>
      <w:r>
        <w:rPr>
          <w:rStyle w:val="FootnoteReference"/>
          <w:rFonts w:ascii="Constantia" w:hAnsi="Constantia"/>
        </w:rPr>
        <w:footnoteRef/>
      </w:r>
      <w:r>
        <w:rPr>
          <w:rFonts w:ascii="Constantia" w:hAnsi="Constantia"/>
        </w:rPr>
        <w:t xml:space="preserve"> Evidencija o izdatim dozvolama za uvoz alternativnih supstaci – izvor: Agencija za zaštitu životne sredine Crne Gore.</w:t>
      </w:r>
    </w:p>
  </w:footnote>
  <w:footnote w:id="6">
    <w:p w:rsidR="00762EAE" w:rsidRDefault="00762EAE" w:rsidP="000C51CE">
      <w:pPr>
        <w:pStyle w:val="FootnoteText"/>
        <w:rPr>
          <w:rFonts w:ascii="Constantia" w:hAnsi="Constantia"/>
          <w:lang w:val="sr-Latn-CS"/>
        </w:rPr>
      </w:pPr>
      <w:r>
        <w:rPr>
          <w:rStyle w:val="FootnoteReference"/>
          <w:rFonts w:ascii="Constantia" w:hAnsi="Constantia"/>
        </w:rPr>
        <w:footnoteRef/>
      </w:r>
      <w:r>
        <w:rPr>
          <w:rFonts w:ascii="Constantia" w:hAnsi="Constantia"/>
        </w:rPr>
        <w:t xml:space="preserve">  Izvor: Zavod za hidrometeorologiju i seizmologiju Crne Gore</w:t>
      </w:r>
    </w:p>
  </w:footnote>
  <w:footnote w:id="7">
    <w:p w:rsidR="00762EAE" w:rsidRDefault="00762EAE" w:rsidP="000C51CE">
      <w:pPr>
        <w:pStyle w:val="FootnoteText"/>
        <w:rPr>
          <w:rFonts w:ascii="Constantia" w:hAnsi="Constantia"/>
        </w:rPr>
      </w:pPr>
      <w:r>
        <w:rPr>
          <w:rStyle w:val="FootnoteReference"/>
          <w:rFonts w:ascii="Constantia" w:hAnsi="Constantia"/>
        </w:rPr>
        <w:footnoteRef/>
      </w:r>
      <w:r>
        <w:rPr>
          <w:rFonts w:ascii="Constantia" w:hAnsi="Constantia"/>
        </w:rPr>
        <w:t xml:space="preserve"> Izvor: Ministarstvo održivog razvoja i turizma Crne Gore</w:t>
      </w:r>
    </w:p>
  </w:footnote>
  <w:footnote w:id="8">
    <w:p w:rsidR="00762EAE" w:rsidRPr="00D453AD" w:rsidRDefault="00762EAE" w:rsidP="00E7780B">
      <w:pPr>
        <w:pStyle w:val="FootnoteText"/>
        <w:rPr>
          <w:rFonts w:ascii="Constantia" w:hAnsi="Constantia"/>
          <w:lang w:val="sr-Latn-CS"/>
        </w:rPr>
      </w:pPr>
      <w:r w:rsidRPr="00D453AD">
        <w:rPr>
          <w:rStyle w:val="FootnoteReference"/>
          <w:rFonts w:ascii="Constantia" w:hAnsi="Constantia"/>
        </w:rPr>
        <w:footnoteRef/>
      </w:r>
      <w:r w:rsidRPr="00D453AD">
        <w:rPr>
          <w:rFonts w:ascii="Constantia" w:hAnsi="Constantia"/>
        </w:rPr>
        <w:t xml:space="preserve"> </w:t>
      </w:r>
      <w:r w:rsidRPr="00D453AD">
        <w:rPr>
          <w:rFonts w:ascii="Constantia" w:hAnsi="Constantia"/>
          <w:lang w:val="sr-Latn-CS"/>
        </w:rPr>
        <w:t>Izvor: MONSTAT, Statistički godišnjak Crne Gore 2013</w:t>
      </w:r>
    </w:p>
  </w:footnote>
  <w:footnote w:id="9">
    <w:p w:rsidR="00762EAE" w:rsidRPr="002A39CC" w:rsidRDefault="00762EAE" w:rsidP="00E7780B">
      <w:pPr>
        <w:pStyle w:val="FootnoteText"/>
        <w:rPr>
          <w:rFonts w:ascii="Constantia" w:hAnsi="Constantia"/>
          <w:lang w:val="sr-Latn-CS"/>
        </w:rPr>
      </w:pPr>
      <w:r>
        <w:rPr>
          <w:rStyle w:val="FootnoteReference"/>
        </w:rPr>
        <w:footnoteRef/>
      </w:r>
      <w:r>
        <w:t xml:space="preserve"> </w:t>
      </w:r>
      <w:r>
        <w:rPr>
          <w:rFonts w:ascii="Constantia" w:hAnsi="Constantia"/>
        </w:rPr>
        <w:t xml:space="preserve">Fotografije preuzete sa zvanične veb-stranice deponije “Livade” u Podgorici, www.deponija.me </w:t>
      </w:r>
    </w:p>
  </w:footnote>
  <w:footnote w:id="10">
    <w:p w:rsidR="00762EAE" w:rsidRPr="002A39CC" w:rsidRDefault="00762EAE" w:rsidP="00E7780B">
      <w:pPr>
        <w:pStyle w:val="FootnoteText"/>
        <w:rPr>
          <w:lang w:val="sr-Latn-CS"/>
        </w:rPr>
      </w:pPr>
      <w:r>
        <w:rPr>
          <w:rStyle w:val="FootnoteReference"/>
        </w:rPr>
        <w:footnoteRef/>
      </w:r>
      <w:r>
        <w:t xml:space="preserve"> </w:t>
      </w:r>
      <w:r>
        <w:rPr>
          <w:rFonts w:ascii="Constantia" w:hAnsi="Constantia"/>
        </w:rPr>
        <w:t xml:space="preserve">Fotografije preuzete sa zvanične veb-stranice deponije “Livade” u Podgorici, www.deponija.me </w:t>
      </w:r>
    </w:p>
  </w:footnote>
  <w:footnote w:id="11">
    <w:p w:rsidR="00762EAE" w:rsidRPr="00DE6160" w:rsidRDefault="00762EAE">
      <w:pPr>
        <w:pStyle w:val="FootnoteText"/>
        <w:rPr>
          <w:lang w:val="sr-Latn-ME"/>
        </w:rPr>
      </w:pPr>
      <w:r w:rsidRPr="00DE6160">
        <w:rPr>
          <w:rStyle w:val="FootnoteReference"/>
          <w:rFonts w:ascii="Constantia" w:hAnsi="Constantia"/>
        </w:rPr>
        <w:footnoteRef/>
      </w:r>
      <w:r w:rsidRPr="00DE6160">
        <w:rPr>
          <w:rFonts w:ascii="Constantia" w:hAnsi="Constantia"/>
        </w:rPr>
        <w:t xml:space="preserve"> </w:t>
      </w:r>
      <w:r>
        <w:rPr>
          <w:rFonts w:ascii="Constantia" w:hAnsi="Constantia"/>
        </w:rPr>
        <w:t>I</w:t>
      </w:r>
      <w:r w:rsidRPr="00C81876">
        <w:rPr>
          <w:rFonts w:ascii="Constantia" w:hAnsi="Constantia"/>
          <w:lang w:val="sr-Latn-ME"/>
        </w:rPr>
        <w:t xml:space="preserve">zvor: MONSTAT, Saopštenje o generisanim količinama otpada iz industrije za </w:t>
      </w:r>
      <w:r>
        <w:rPr>
          <w:rFonts w:ascii="Constantia" w:hAnsi="Constantia"/>
          <w:lang w:val="sr-Latn-ME"/>
        </w:rPr>
        <w:t xml:space="preserve">2011. i </w:t>
      </w:r>
      <w:r w:rsidRPr="00C81876">
        <w:rPr>
          <w:rFonts w:ascii="Constantia" w:hAnsi="Constantia"/>
          <w:lang w:val="sr-Latn-ME"/>
        </w:rPr>
        <w:t>2012. godinu</w:t>
      </w:r>
    </w:p>
  </w:footnote>
  <w:footnote w:id="12">
    <w:p w:rsidR="00762EAE" w:rsidRPr="0012535A" w:rsidRDefault="00762EAE">
      <w:pPr>
        <w:pStyle w:val="FootnoteText"/>
        <w:rPr>
          <w:lang w:val="sr-Latn-ME"/>
        </w:rPr>
      </w:pPr>
      <w:r>
        <w:rPr>
          <w:rStyle w:val="FootnoteReference"/>
        </w:rPr>
        <w:footnoteRef/>
      </w:r>
      <w:r>
        <w:t xml:space="preserve"> </w:t>
      </w:r>
      <w:r w:rsidRPr="00790CC9">
        <w:rPr>
          <w:rFonts w:ascii="Constantia" w:hAnsi="Constantia"/>
        </w:rPr>
        <w:t>Meneko projektom je 1996. god. realizovano mapiranje fona γ zračenja, metodom in-situ γ- spektrometrijom, na teritoriji Crne Gore. Projekat je realizovan u saradnji sa Odsjekom za nuklearnu fiziku i radiohemiju Instituta Kurčatovski iz Moskve.</w:t>
      </w:r>
    </w:p>
  </w:footnote>
  <w:footnote w:id="13">
    <w:p w:rsidR="00762EAE" w:rsidRPr="00ED0D97" w:rsidRDefault="00762EAE" w:rsidP="00912E35">
      <w:pPr>
        <w:pStyle w:val="FootnoteText"/>
        <w:rPr>
          <w:rFonts w:ascii="Constantia" w:hAnsi="Constantia"/>
        </w:rPr>
      </w:pPr>
      <w:r w:rsidRPr="00ED0D97">
        <w:rPr>
          <w:rStyle w:val="FootnoteReference"/>
          <w:rFonts w:ascii="Constantia" w:hAnsi="Constantia"/>
        </w:rPr>
        <w:footnoteRef/>
      </w:r>
      <w:r w:rsidRPr="00ED0D97">
        <w:rPr>
          <w:rFonts w:ascii="Constantia" w:hAnsi="Constantia"/>
        </w:rPr>
        <w:t xml:space="preserve"> UK Department of Environment,</w:t>
      </w:r>
      <w:r>
        <w:rPr>
          <w:rFonts w:ascii="Constantia" w:hAnsi="Constantia"/>
        </w:rPr>
        <w:t xml:space="preserve"> </w:t>
      </w:r>
      <w:r w:rsidRPr="00ED0D97">
        <w:rPr>
          <w:rFonts w:ascii="Constantia" w:hAnsi="Constantia"/>
        </w:rPr>
        <w:t>Transport &amp; the Regions</w:t>
      </w:r>
    </w:p>
  </w:footnote>
  <w:footnote w:id="14">
    <w:p w:rsidR="00762EAE" w:rsidRDefault="00762EAE" w:rsidP="00912E35">
      <w:pPr>
        <w:pStyle w:val="FootnoteText"/>
        <w:rPr>
          <w:rFonts w:ascii="Constantia" w:hAnsi="Constantia"/>
        </w:rPr>
      </w:pPr>
      <w:r>
        <w:rPr>
          <w:rFonts w:ascii="Constantia" w:hAnsi="Constantia"/>
          <w:vertAlign w:val="superscript"/>
        </w:rPr>
        <w:t xml:space="preserve">  2</w:t>
      </w:r>
      <w:r>
        <w:rPr>
          <w:rFonts w:ascii="Constantia" w:hAnsi="Constantia"/>
        </w:rPr>
        <w:t xml:space="preserve"> Izvor</w:t>
      </w:r>
      <w:r w:rsidRPr="007A7155">
        <w:rPr>
          <w:rFonts w:ascii="Constantia" w:hAnsi="Constantia"/>
        </w:rPr>
        <w:t>: Ministarstvo ekonomije, godišnji Energetski bilansi Crne Gore</w:t>
      </w:r>
      <w:r>
        <w:rPr>
          <w:rFonts w:ascii="Constantia" w:hAnsi="Constantia"/>
        </w:rPr>
        <w:t xml:space="preserve">; od 2012. </w:t>
      </w:r>
      <w:r w:rsidRPr="00786851">
        <w:rPr>
          <w:rFonts w:ascii="Constantia" w:hAnsi="Constantia"/>
        </w:rPr>
        <w:t xml:space="preserve">Zavod za statistiku Crne </w:t>
      </w:r>
      <w:r>
        <w:rPr>
          <w:rFonts w:ascii="Constantia" w:hAnsi="Constantia"/>
        </w:rPr>
        <w:t xml:space="preserve">   </w:t>
      </w:r>
    </w:p>
    <w:p w:rsidR="00762EAE" w:rsidRPr="007A7155" w:rsidRDefault="00762EAE" w:rsidP="00912E35">
      <w:pPr>
        <w:pStyle w:val="FootnoteText"/>
        <w:rPr>
          <w:rFonts w:ascii="Constantia" w:hAnsi="Constantia"/>
        </w:rPr>
      </w:pPr>
      <w:r>
        <w:rPr>
          <w:rFonts w:ascii="Constantia" w:hAnsi="Constantia"/>
        </w:rPr>
        <w:t xml:space="preserve">   Gore </w:t>
      </w:r>
    </w:p>
  </w:footnote>
  <w:footnote w:id="15">
    <w:p w:rsidR="00762EAE" w:rsidRPr="00434C60" w:rsidRDefault="00762EAE" w:rsidP="006A7FAE">
      <w:pPr>
        <w:pStyle w:val="FootnoteText"/>
      </w:pPr>
      <w:r>
        <w:rPr>
          <w:rStyle w:val="FootnoteReference"/>
        </w:rPr>
        <w:footnoteRef/>
      </w:r>
      <w:r>
        <w:rPr>
          <w:rFonts w:ascii="Constantia" w:hAnsi="Constantia"/>
        </w:rPr>
        <w:t xml:space="preserve"> </w:t>
      </w:r>
      <w:r w:rsidRPr="00897A69">
        <w:rPr>
          <w:rFonts w:ascii="Constantia" w:hAnsi="Constantia"/>
        </w:rPr>
        <w:t>Taj trend malo remeti 2010.</w:t>
      </w:r>
      <w:r>
        <w:rPr>
          <w:rFonts w:ascii="Constantia" w:hAnsi="Constantia"/>
        </w:rPr>
        <w:t xml:space="preserve"> godina</w:t>
      </w:r>
      <w:r w:rsidRPr="00897A69">
        <w:rPr>
          <w:rFonts w:ascii="Constantia" w:hAnsi="Constantia"/>
        </w:rPr>
        <w:t xml:space="preserve"> gdje se desio mali porast potrošnje</w:t>
      </w:r>
      <w:r>
        <w:rPr>
          <w:rFonts w:ascii="Constantia" w:hAnsi="Constantia"/>
        </w:rPr>
        <w:t xml:space="preserve"> od 0,42% u odnosu na prethodnu </w:t>
      </w:r>
      <w:r w:rsidRPr="00897A69">
        <w:rPr>
          <w:rFonts w:ascii="Constantia" w:hAnsi="Constantia"/>
        </w:rPr>
        <w:t>godinu</w:t>
      </w:r>
      <w:r>
        <w:rPr>
          <w:rFonts w:ascii="Constantia" w:hAnsi="Constantia"/>
        </w:rPr>
        <w:t>.</w:t>
      </w:r>
    </w:p>
  </w:footnote>
  <w:footnote w:id="16">
    <w:p w:rsidR="00762EAE" w:rsidRPr="00EB435E" w:rsidRDefault="00762EAE" w:rsidP="00912E35">
      <w:pPr>
        <w:pStyle w:val="FootnoteText"/>
        <w:rPr>
          <w:rFonts w:ascii="Constantia" w:hAnsi="Constantia"/>
        </w:rPr>
      </w:pPr>
      <w:r w:rsidRPr="00EB435E">
        <w:rPr>
          <w:rStyle w:val="FootnoteReference"/>
          <w:rFonts w:ascii="Constantia" w:hAnsi="Constantia"/>
        </w:rPr>
        <w:footnoteRef/>
      </w:r>
      <w:r w:rsidRPr="00EB435E">
        <w:rPr>
          <w:rFonts w:ascii="Constantia" w:hAnsi="Constantia"/>
        </w:rPr>
        <w:t xml:space="preserve"> Izvor: Zavod z</w:t>
      </w:r>
      <w:r>
        <w:rPr>
          <w:rFonts w:ascii="Constantia" w:hAnsi="Constantia"/>
        </w:rPr>
        <w:t>a statistiku Crne Gore</w:t>
      </w:r>
    </w:p>
  </w:footnote>
  <w:footnote w:id="17">
    <w:p w:rsidR="00762EAE" w:rsidRPr="00F42289" w:rsidRDefault="00762EAE" w:rsidP="00912E35">
      <w:pPr>
        <w:pStyle w:val="FootnoteText"/>
      </w:pPr>
      <w:r>
        <w:rPr>
          <w:rStyle w:val="FootnoteReference"/>
        </w:rPr>
        <w:footnoteRef/>
      </w:r>
      <w:r>
        <w:rPr>
          <w:rFonts w:ascii="Constantia" w:hAnsi="Constantia"/>
        </w:rPr>
        <w:t xml:space="preserve"> Vrijednost BDP-a u 2013. godini od 3.262</w:t>
      </w:r>
      <w:r w:rsidRPr="00897A69">
        <w:rPr>
          <w:rFonts w:ascii="Constantia" w:hAnsi="Constantia"/>
        </w:rPr>
        <w:t xml:space="preserve"> mil. </w:t>
      </w:r>
      <w:r w:rsidRPr="00897A69">
        <w:rPr>
          <w:rFonts w:ascii="Constantia" w:hAnsi="Constantia" w:cs="Calibri"/>
        </w:rPr>
        <w:t>€</w:t>
      </w:r>
      <w:r>
        <w:rPr>
          <w:rFonts w:ascii="Constantia" w:hAnsi="Constantia" w:cs="Calibri"/>
        </w:rPr>
        <w:t xml:space="preserve"> </w:t>
      </w:r>
      <w:r w:rsidRPr="00897A69">
        <w:rPr>
          <w:rFonts w:ascii="Constantia" w:hAnsi="Constantia"/>
        </w:rPr>
        <w:t xml:space="preserve"> je procijenjena vrijednost.</w:t>
      </w:r>
    </w:p>
  </w:footnote>
  <w:footnote w:id="18">
    <w:p w:rsidR="00762EAE" w:rsidRPr="00EB435E" w:rsidRDefault="00762EAE" w:rsidP="00912E35">
      <w:pPr>
        <w:pStyle w:val="FootnoteText"/>
        <w:rPr>
          <w:rFonts w:ascii="Constantia" w:hAnsi="Constantia"/>
        </w:rPr>
      </w:pPr>
      <w:r w:rsidRPr="00EB435E">
        <w:rPr>
          <w:rStyle w:val="FootnoteReference"/>
          <w:rFonts w:ascii="Constantia" w:hAnsi="Constantia"/>
        </w:rPr>
        <w:footnoteRef/>
      </w:r>
      <w:r w:rsidRPr="00EB435E">
        <w:rPr>
          <w:rFonts w:ascii="Constantia" w:hAnsi="Constantia"/>
        </w:rPr>
        <w:t xml:space="preserve"> Izvor: Zavod z</w:t>
      </w:r>
      <w:r>
        <w:rPr>
          <w:rFonts w:ascii="Constantia" w:hAnsi="Constantia"/>
        </w:rPr>
        <w:t>a statistiku Crne Gore</w:t>
      </w:r>
    </w:p>
  </w:footnote>
  <w:footnote w:id="19">
    <w:p w:rsidR="00762EAE" w:rsidRDefault="00762EAE" w:rsidP="00912E35">
      <w:pPr>
        <w:pStyle w:val="FootnoteText"/>
      </w:pPr>
      <w:r w:rsidRPr="008F0541">
        <w:rPr>
          <w:rFonts w:ascii="Constantia" w:hAnsi="Constantia"/>
          <w:szCs w:val="22"/>
          <w:vertAlign w:val="superscript"/>
          <w:lang w:val="sr-Latn-CS"/>
        </w:rPr>
        <w:footnoteRef/>
      </w:r>
      <w:r w:rsidRPr="008F0541">
        <w:rPr>
          <w:rFonts w:ascii="Constantia" w:hAnsi="Constantia"/>
          <w:szCs w:val="22"/>
          <w:vertAlign w:val="superscript"/>
          <w:lang w:val="sr-Latn-CS"/>
        </w:rPr>
        <w:t xml:space="preserve"> </w:t>
      </w:r>
      <w:r w:rsidRPr="00DD75FC">
        <w:rPr>
          <w:rFonts w:ascii="Constantia" w:hAnsi="Constantia"/>
          <w:szCs w:val="22"/>
          <w:lang w:val="sr-Latn-CS"/>
        </w:rPr>
        <w:t>Izvor: MUP Crne Gore</w:t>
      </w:r>
    </w:p>
  </w:footnote>
  <w:footnote w:id="20">
    <w:p w:rsidR="00762EAE" w:rsidRPr="00EB435E" w:rsidRDefault="00762EAE" w:rsidP="00912E35">
      <w:pPr>
        <w:pStyle w:val="FootnoteText"/>
        <w:rPr>
          <w:rFonts w:ascii="Constantia" w:hAnsi="Constantia"/>
        </w:rPr>
      </w:pPr>
      <w:r w:rsidRPr="00EB435E">
        <w:rPr>
          <w:rStyle w:val="FootnoteReference"/>
          <w:rFonts w:ascii="Constantia" w:hAnsi="Constantia"/>
        </w:rPr>
        <w:footnoteRef/>
      </w:r>
      <w:r w:rsidRPr="00EB435E">
        <w:rPr>
          <w:rFonts w:ascii="Constantia" w:hAnsi="Constantia"/>
        </w:rPr>
        <w:t xml:space="preserve"> Izvor: </w:t>
      </w:r>
      <w:r>
        <w:rPr>
          <w:rFonts w:ascii="Constantia" w:hAnsi="Constantia"/>
        </w:rPr>
        <w:t>MUP Crne Gore</w:t>
      </w:r>
    </w:p>
  </w:footnote>
  <w:footnote w:id="21">
    <w:p w:rsidR="00762EAE" w:rsidRPr="00300C3D" w:rsidRDefault="00762EAE" w:rsidP="00912E35">
      <w:pPr>
        <w:pStyle w:val="FootnoteText"/>
        <w:rPr>
          <w:rFonts w:ascii="Constantia" w:hAnsi="Constantia"/>
        </w:rPr>
      </w:pPr>
      <w:r>
        <w:rPr>
          <w:rStyle w:val="FootnoteReference"/>
        </w:rPr>
        <w:footnoteRef/>
      </w:r>
      <w:r>
        <w:t xml:space="preserve"> </w:t>
      </w:r>
      <w:r w:rsidRPr="00300C3D">
        <w:rPr>
          <w:rFonts w:ascii="Constantia" w:hAnsi="Constantia"/>
        </w:rPr>
        <w:t>Izvor: Zavod za statistiku Crne Gore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F541A8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33114FF"/>
    <w:multiLevelType w:val="hybridMultilevel"/>
    <w:tmpl w:val="0EFE6E22"/>
    <w:lvl w:ilvl="0" w:tplc="8E6C35C0">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3C967E9"/>
    <w:multiLevelType w:val="hybridMultilevel"/>
    <w:tmpl w:val="7176334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FB6013"/>
    <w:multiLevelType w:val="hybridMultilevel"/>
    <w:tmpl w:val="B6485C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4AC7443"/>
    <w:multiLevelType w:val="hybridMultilevel"/>
    <w:tmpl w:val="3C6A1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6CD250F"/>
    <w:multiLevelType w:val="hybridMultilevel"/>
    <w:tmpl w:val="CAF0E69C"/>
    <w:lvl w:ilvl="0" w:tplc="A40E5C2C">
      <w:numFmt w:val="bullet"/>
      <w:lvlText w:val="•"/>
      <w:lvlJc w:val="left"/>
      <w:pPr>
        <w:ind w:left="720" w:hanging="360"/>
      </w:pPr>
      <w:rPr>
        <w:rFonts w:ascii="Myriad Pro" w:eastAsia="Times New Roman" w:hAnsi="Myriad Pro"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71D09F9"/>
    <w:multiLevelType w:val="hybridMultilevel"/>
    <w:tmpl w:val="9AC870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096A50C1"/>
    <w:multiLevelType w:val="hybridMultilevel"/>
    <w:tmpl w:val="998E4724"/>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8">
    <w:nsid w:val="0A51788F"/>
    <w:multiLevelType w:val="multilevel"/>
    <w:tmpl w:val="08A8970A"/>
    <w:lvl w:ilvl="0">
      <w:start w:val="1"/>
      <w:numFmt w:val="decimal"/>
      <w:pStyle w:val="Heading1"/>
      <w:lvlText w:val="%1"/>
      <w:lvlJc w:val="left"/>
      <w:pPr>
        <w:ind w:left="994" w:hanging="454"/>
      </w:pPr>
      <w:rPr>
        <w:rFonts w:cs="Times New Roman" w:hint="default"/>
      </w:rPr>
    </w:lvl>
    <w:lvl w:ilvl="1">
      <w:start w:val="1"/>
      <w:numFmt w:val="decimal"/>
      <w:pStyle w:val="Heading2"/>
      <w:lvlText w:val="%1.%2"/>
      <w:lvlJc w:val="left"/>
      <w:pPr>
        <w:ind w:left="680" w:hanging="680"/>
      </w:pPr>
      <w:rPr>
        <w:rFonts w:cs="Times New Roman" w:hint="default"/>
        <w:b w:val="0"/>
        <w:color w:val="auto"/>
      </w:rPr>
    </w:lvl>
    <w:lvl w:ilvl="2">
      <w:start w:val="1"/>
      <w:numFmt w:val="decimal"/>
      <w:lvlText w:val="%1.%2.%3"/>
      <w:lvlJc w:val="left"/>
      <w:pPr>
        <w:ind w:left="907" w:hanging="907"/>
      </w:pPr>
      <w:rPr>
        <w:rFonts w:cs="Times New Roman" w:hint="default"/>
      </w:rPr>
    </w:lvl>
    <w:lvl w:ilvl="3">
      <w:start w:val="1"/>
      <w:numFmt w:val="decimal"/>
      <w:pStyle w:val="Heading4"/>
      <w:lvlText w:val="%1.%2.%3.%4"/>
      <w:lvlJc w:val="left"/>
      <w:pPr>
        <w:ind w:left="1134" w:hanging="1134"/>
      </w:pPr>
      <w:rPr>
        <w:rFonts w:cs="Times New Roman" w:hint="default"/>
      </w:rPr>
    </w:lvl>
    <w:lvl w:ilvl="4">
      <w:start w:val="1"/>
      <w:numFmt w:val="decimal"/>
      <w:pStyle w:val="Heading5"/>
      <w:lvlText w:val="%1.%2.%3.%4.%5"/>
      <w:lvlJc w:val="left"/>
      <w:pPr>
        <w:ind w:left="1008" w:hanging="1008"/>
      </w:pPr>
      <w:rPr>
        <w:rFonts w:cs="Times New Roman" w:hint="default"/>
        <w:color w:val="auto"/>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abstractNum w:abstractNumId="9">
    <w:nsid w:val="0B590E67"/>
    <w:multiLevelType w:val="hybridMultilevel"/>
    <w:tmpl w:val="7B2E357E"/>
    <w:lvl w:ilvl="0" w:tplc="A40E5C2C">
      <w:numFmt w:val="bullet"/>
      <w:lvlText w:val="•"/>
      <w:lvlJc w:val="left"/>
      <w:pPr>
        <w:ind w:left="720" w:hanging="360"/>
      </w:pPr>
      <w:rPr>
        <w:rFonts w:ascii="Myriad Pro" w:eastAsia="Times New Roman" w:hAnsi="Myriad Pro"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0B712704"/>
    <w:multiLevelType w:val="hybridMultilevel"/>
    <w:tmpl w:val="1F021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2C11D04"/>
    <w:multiLevelType w:val="hybridMultilevel"/>
    <w:tmpl w:val="A88C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48027FF"/>
    <w:multiLevelType w:val="hybridMultilevel"/>
    <w:tmpl w:val="495833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6D9288A"/>
    <w:multiLevelType w:val="hybridMultilevel"/>
    <w:tmpl w:val="04D81E58"/>
    <w:lvl w:ilvl="0" w:tplc="7986A89A">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8DB41C7"/>
    <w:multiLevelType w:val="hybridMultilevel"/>
    <w:tmpl w:val="4672E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97C6783"/>
    <w:multiLevelType w:val="hybridMultilevel"/>
    <w:tmpl w:val="D8E6A2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9DB1599"/>
    <w:multiLevelType w:val="hybridMultilevel"/>
    <w:tmpl w:val="A0C64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A462606"/>
    <w:multiLevelType w:val="hybridMultilevel"/>
    <w:tmpl w:val="CB1C8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BCD442F"/>
    <w:multiLevelType w:val="hybridMultilevel"/>
    <w:tmpl w:val="4496B0A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C2D19F6"/>
    <w:multiLevelType w:val="hybridMultilevel"/>
    <w:tmpl w:val="1B8C40FA"/>
    <w:lvl w:ilvl="0" w:tplc="B874BED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E392E1F"/>
    <w:multiLevelType w:val="hybridMultilevel"/>
    <w:tmpl w:val="08ECC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E5562F0"/>
    <w:multiLevelType w:val="hybridMultilevel"/>
    <w:tmpl w:val="ECD2DC08"/>
    <w:lvl w:ilvl="0" w:tplc="7D583F7C">
      <w:start w:val="19"/>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20A04E88"/>
    <w:multiLevelType w:val="hybridMultilevel"/>
    <w:tmpl w:val="5B1A5FC6"/>
    <w:lvl w:ilvl="0" w:tplc="84B45C26">
      <w:start w:val="1"/>
      <w:numFmt w:val="decimal"/>
      <w:pStyle w:val="Tabele"/>
      <w:lvlText w:val="Tabela %1."/>
      <w:lvlJc w:val="left"/>
      <w:pPr>
        <w:ind w:left="1620" w:hanging="360"/>
      </w:pPr>
      <w:rPr>
        <w:rFonts w:ascii="Constantia" w:hAnsi="Constantia" w:cs="Times New Roman" w:hint="default"/>
        <w:b/>
        <w:bCs w:val="0"/>
        <w:i/>
        <w:iCs w:val="0"/>
        <w:caps w:val="0"/>
        <w:smallCaps w:val="0"/>
        <w:strike w:val="0"/>
        <w:dstrike w:val="0"/>
        <w:noProof w:val="0"/>
        <w:vanish w:val="0"/>
        <w:color w:val="000000"/>
        <w:spacing w:val="0"/>
        <w:kern w:val="0"/>
        <w:position w:val="0"/>
        <w:sz w:val="22"/>
        <w:szCs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540" w:hanging="360"/>
      </w:pPr>
      <w:rPr>
        <w:rFonts w:cs="Times New Roman"/>
      </w:rPr>
    </w:lvl>
    <w:lvl w:ilvl="2" w:tplc="0409001B" w:tentative="1">
      <w:start w:val="1"/>
      <w:numFmt w:val="lowerRoman"/>
      <w:lvlText w:val="%3."/>
      <w:lvlJc w:val="right"/>
      <w:pPr>
        <w:ind w:left="1260" w:hanging="180"/>
      </w:pPr>
      <w:rPr>
        <w:rFonts w:cs="Times New Roman"/>
      </w:rPr>
    </w:lvl>
    <w:lvl w:ilvl="3" w:tplc="0409000F" w:tentative="1">
      <w:start w:val="1"/>
      <w:numFmt w:val="decimal"/>
      <w:lvlText w:val="%4."/>
      <w:lvlJc w:val="left"/>
      <w:pPr>
        <w:ind w:left="1980" w:hanging="360"/>
      </w:pPr>
      <w:rPr>
        <w:rFonts w:cs="Times New Roman"/>
      </w:rPr>
    </w:lvl>
    <w:lvl w:ilvl="4" w:tplc="04090019" w:tentative="1">
      <w:start w:val="1"/>
      <w:numFmt w:val="lowerLetter"/>
      <w:lvlText w:val="%5."/>
      <w:lvlJc w:val="left"/>
      <w:pPr>
        <w:ind w:left="2700" w:hanging="360"/>
      </w:pPr>
      <w:rPr>
        <w:rFonts w:cs="Times New Roman"/>
      </w:rPr>
    </w:lvl>
    <w:lvl w:ilvl="5" w:tplc="0409001B" w:tentative="1">
      <w:start w:val="1"/>
      <w:numFmt w:val="lowerRoman"/>
      <w:lvlText w:val="%6."/>
      <w:lvlJc w:val="right"/>
      <w:pPr>
        <w:ind w:left="3420" w:hanging="180"/>
      </w:pPr>
      <w:rPr>
        <w:rFonts w:cs="Times New Roman"/>
      </w:rPr>
    </w:lvl>
    <w:lvl w:ilvl="6" w:tplc="0409000F" w:tentative="1">
      <w:start w:val="1"/>
      <w:numFmt w:val="decimal"/>
      <w:lvlText w:val="%7."/>
      <w:lvlJc w:val="left"/>
      <w:pPr>
        <w:ind w:left="4140" w:hanging="360"/>
      </w:pPr>
      <w:rPr>
        <w:rFonts w:cs="Times New Roman"/>
      </w:rPr>
    </w:lvl>
    <w:lvl w:ilvl="7" w:tplc="04090019" w:tentative="1">
      <w:start w:val="1"/>
      <w:numFmt w:val="lowerLetter"/>
      <w:lvlText w:val="%8."/>
      <w:lvlJc w:val="left"/>
      <w:pPr>
        <w:ind w:left="4860" w:hanging="360"/>
      </w:pPr>
      <w:rPr>
        <w:rFonts w:cs="Times New Roman"/>
      </w:rPr>
    </w:lvl>
    <w:lvl w:ilvl="8" w:tplc="0409001B" w:tentative="1">
      <w:start w:val="1"/>
      <w:numFmt w:val="lowerRoman"/>
      <w:lvlText w:val="%9."/>
      <w:lvlJc w:val="right"/>
      <w:pPr>
        <w:ind w:left="5580" w:hanging="180"/>
      </w:pPr>
      <w:rPr>
        <w:rFonts w:cs="Times New Roman"/>
      </w:rPr>
    </w:lvl>
  </w:abstractNum>
  <w:abstractNum w:abstractNumId="23">
    <w:nsid w:val="23AD5950"/>
    <w:multiLevelType w:val="hybridMultilevel"/>
    <w:tmpl w:val="3982A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4F63BF7"/>
    <w:multiLevelType w:val="hybridMultilevel"/>
    <w:tmpl w:val="793A3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6BC3C5A"/>
    <w:multiLevelType w:val="hybridMultilevel"/>
    <w:tmpl w:val="128CC3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nsid w:val="2C5B578E"/>
    <w:multiLevelType w:val="hybridMultilevel"/>
    <w:tmpl w:val="47002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D8343A5"/>
    <w:multiLevelType w:val="hybridMultilevel"/>
    <w:tmpl w:val="61D47FC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F3F32F5"/>
    <w:multiLevelType w:val="hybridMultilevel"/>
    <w:tmpl w:val="5734C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0160A81"/>
    <w:multiLevelType w:val="hybridMultilevel"/>
    <w:tmpl w:val="3D08EAE2"/>
    <w:lvl w:ilvl="0" w:tplc="04090001">
      <w:start w:val="1"/>
      <w:numFmt w:val="bullet"/>
      <w:lvlText w:val=""/>
      <w:lvlJc w:val="left"/>
      <w:pPr>
        <w:ind w:left="2850" w:hanging="360"/>
      </w:pPr>
      <w:rPr>
        <w:rFonts w:ascii="Symbol" w:hAnsi="Symbol" w:hint="default"/>
      </w:rPr>
    </w:lvl>
    <w:lvl w:ilvl="1" w:tplc="04090003" w:tentative="1">
      <w:start w:val="1"/>
      <w:numFmt w:val="bullet"/>
      <w:lvlText w:val="o"/>
      <w:lvlJc w:val="left"/>
      <w:pPr>
        <w:ind w:left="3570" w:hanging="360"/>
      </w:pPr>
      <w:rPr>
        <w:rFonts w:ascii="Courier New" w:hAnsi="Courier New" w:cs="Courier New" w:hint="default"/>
      </w:rPr>
    </w:lvl>
    <w:lvl w:ilvl="2" w:tplc="04090005" w:tentative="1">
      <w:start w:val="1"/>
      <w:numFmt w:val="bullet"/>
      <w:lvlText w:val=""/>
      <w:lvlJc w:val="left"/>
      <w:pPr>
        <w:ind w:left="4290" w:hanging="360"/>
      </w:pPr>
      <w:rPr>
        <w:rFonts w:ascii="Wingdings" w:hAnsi="Wingdings" w:hint="default"/>
      </w:rPr>
    </w:lvl>
    <w:lvl w:ilvl="3" w:tplc="04090001" w:tentative="1">
      <w:start w:val="1"/>
      <w:numFmt w:val="bullet"/>
      <w:lvlText w:val=""/>
      <w:lvlJc w:val="left"/>
      <w:pPr>
        <w:ind w:left="5010" w:hanging="360"/>
      </w:pPr>
      <w:rPr>
        <w:rFonts w:ascii="Symbol" w:hAnsi="Symbol" w:hint="default"/>
      </w:rPr>
    </w:lvl>
    <w:lvl w:ilvl="4" w:tplc="04090003" w:tentative="1">
      <w:start w:val="1"/>
      <w:numFmt w:val="bullet"/>
      <w:lvlText w:val="o"/>
      <w:lvlJc w:val="left"/>
      <w:pPr>
        <w:ind w:left="5730" w:hanging="360"/>
      </w:pPr>
      <w:rPr>
        <w:rFonts w:ascii="Courier New" w:hAnsi="Courier New" w:cs="Courier New" w:hint="default"/>
      </w:rPr>
    </w:lvl>
    <w:lvl w:ilvl="5" w:tplc="04090005" w:tentative="1">
      <w:start w:val="1"/>
      <w:numFmt w:val="bullet"/>
      <w:lvlText w:val=""/>
      <w:lvlJc w:val="left"/>
      <w:pPr>
        <w:ind w:left="6450" w:hanging="360"/>
      </w:pPr>
      <w:rPr>
        <w:rFonts w:ascii="Wingdings" w:hAnsi="Wingdings" w:hint="default"/>
      </w:rPr>
    </w:lvl>
    <w:lvl w:ilvl="6" w:tplc="04090001" w:tentative="1">
      <w:start w:val="1"/>
      <w:numFmt w:val="bullet"/>
      <w:lvlText w:val=""/>
      <w:lvlJc w:val="left"/>
      <w:pPr>
        <w:ind w:left="7170" w:hanging="360"/>
      </w:pPr>
      <w:rPr>
        <w:rFonts w:ascii="Symbol" w:hAnsi="Symbol" w:hint="default"/>
      </w:rPr>
    </w:lvl>
    <w:lvl w:ilvl="7" w:tplc="04090003" w:tentative="1">
      <w:start w:val="1"/>
      <w:numFmt w:val="bullet"/>
      <w:lvlText w:val="o"/>
      <w:lvlJc w:val="left"/>
      <w:pPr>
        <w:ind w:left="7890" w:hanging="360"/>
      </w:pPr>
      <w:rPr>
        <w:rFonts w:ascii="Courier New" w:hAnsi="Courier New" w:cs="Courier New" w:hint="default"/>
      </w:rPr>
    </w:lvl>
    <w:lvl w:ilvl="8" w:tplc="04090005" w:tentative="1">
      <w:start w:val="1"/>
      <w:numFmt w:val="bullet"/>
      <w:lvlText w:val=""/>
      <w:lvlJc w:val="left"/>
      <w:pPr>
        <w:ind w:left="8610" w:hanging="360"/>
      </w:pPr>
      <w:rPr>
        <w:rFonts w:ascii="Wingdings" w:hAnsi="Wingdings" w:hint="default"/>
      </w:rPr>
    </w:lvl>
  </w:abstractNum>
  <w:abstractNum w:abstractNumId="30">
    <w:nsid w:val="30E15DAA"/>
    <w:multiLevelType w:val="hybridMultilevel"/>
    <w:tmpl w:val="7B585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10E2880"/>
    <w:multiLevelType w:val="hybridMultilevel"/>
    <w:tmpl w:val="C5B2E5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nsid w:val="351C31FC"/>
    <w:multiLevelType w:val="hybridMultilevel"/>
    <w:tmpl w:val="90660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7770BC9"/>
    <w:multiLevelType w:val="hybridMultilevel"/>
    <w:tmpl w:val="9A36973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7596F7B"/>
    <w:multiLevelType w:val="hybridMultilevel"/>
    <w:tmpl w:val="C38C4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8AB0A3F"/>
    <w:multiLevelType w:val="hybridMultilevel"/>
    <w:tmpl w:val="8D36E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C3C5E9D"/>
    <w:multiLevelType w:val="hybridMultilevel"/>
    <w:tmpl w:val="D3700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FAE081E"/>
    <w:multiLevelType w:val="hybridMultilevel"/>
    <w:tmpl w:val="455A1D2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8">
    <w:nsid w:val="57F81598"/>
    <w:multiLevelType w:val="hybridMultilevel"/>
    <w:tmpl w:val="2D965B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5BCF5D22"/>
    <w:multiLevelType w:val="hybridMultilevel"/>
    <w:tmpl w:val="B0A42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C767586"/>
    <w:multiLevelType w:val="multilevel"/>
    <w:tmpl w:val="C73CBD8A"/>
    <w:lvl w:ilvl="0">
      <w:start w:val="8"/>
      <w:numFmt w:val="decimal"/>
      <w:lvlText w:val="%1."/>
      <w:lvlJc w:val="left"/>
      <w:pPr>
        <w:ind w:left="600" w:hanging="600"/>
      </w:pPr>
      <w:rPr>
        <w:rFonts w:ascii="Myriad Pro" w:hAnsi="Myriad Pro" w:hint="default"/>
        <w:b w:val="0"/>
        <w:sz w:val="36"/>
      </w:rPr>
    </w:lvl>
    <w:lvl w:ilvl="1">
      <w:start w:val="9"/>
      <w:numFmt w:val="decimal"/>
      <w:lvlText w:val="%1.%2."/>
      <w:lvlJc w:val="left"/>
      <w:pPr>
        <w:ind w:left="1260" w:hanging="720"/>
      </w:pPr>
      <w:rPr>
        <w:rFonts w:ascii="Myriad Pro" w:hAnsi="Myriad Pro" w:hint="default"/>
        <w:b w:val="0"/>
        <w:sz w:val="36"/>
      </w:rPr>
    </w:lvl>
    <w:lvl w:ilvl="2">
      <w:start w:val="1"/>
      <w:numFmt w:val="decimal"/>
      <w:lvlText w:val="%1.%2.%3."/>
      <w:lvlJc w:val="left"/>
      <w:pPr>
        <w:ind w:left="1800" w:hanging="720"/>
      </w:pPr>
      <w:rPr>
        <w:rFonts w:ascii="Myriad Pro" w:hAnsi="Myriad Pro" w:hint="default"/>
        <w:b w:val="0"/>
        <w:sz w:val="36"/>
      </w:rPr>
    </w:lvl>
    <w:lvl w:ilvl="3">
      <w:start w:val="1"/>
      <w:numFmt w:val="decimal"/>
      <w:lvlText w:val="%1.%2.%3.%4."/>
      <w:lvlJc w:val="left"/>
      <w:pPr>
        <w:ind w:left="2700" w:hanging="1080"/>
      </w:pPr>
      <w:rPr>
        <w:rFonts w:ascii="Myriad Pro" w:hAnsi="Myriad Pro" w:hint="default"/>
        <w:b w:val="0"/>
        <w:sz w:val="36"/>
      </w:rPr>
    </w:lvl>
    <w:lvl w:ilvl="4">
      <w:start w:val="1"/>
      <w:numFmt w:val="decimal"/>
      <w:lvlText w:val="%1.%2.%3.%4.%5."/>
      <w:lvlJc w:val="left"/>
      <w:pPr>
        <w:ind w:left="3600" w:hanging="1440"/>
      </w:pPr>
      <w:rPr>
        <w:rFonts w:ascii="Myriad Pro" w:hAnsi="Myriad Pro" w:hint="default"/>
        <w:b w:val="0"/>
        <w:sz w:val="36"/>
      </w:rPr>
    </w:lvl>
    <w:lvl w:ilvl="5">
      <w:start w:val="1"/>
      <w:numFmt w:val="decimal"/>
      <w:lvlText w:val="%1.%2.%3.%4.%5.%6."/>
      <w:lvlJc w:val="left"/>
      <w:pPr>
        <w:ind w:left="4140" w:hanging="1440"/>
      </w:pPr>
      <w:rPr>
        <w:rFonts w:ascii="Myriad Pro" w:hAnsi="Myriad Pro" w:hint="default"/>
        <w:b w:val="0"/>
        <w:sz w:val="36"/>
      </w:rPr>
    </w:lvl>
    <w:lvl w:ilvl="6">
      <w:start w:val="1"/>
      <w:numFmt w:val="decimal"/>
      <w:lvlText w:val="%1.%2.%3.%4.%5.%6.%7."/>
      <w:lvlJc w:val="left"/>
      <w:pPr>
        <w:ind w:left="5040" w:hanging="1800"/>
      </w:pPr>
      <w:rPr>
        <w:rFonts w:ascii="Myriad Pro" w:hAnsi="Myriad Pro" w:hint="default"/>
        <w:b w:val="0"/>
        <w:sz w:val="36"/>
      </w:rPr>
    </w:lvl>
    <w:lvl w:ilvl="7">
      <w:start w:val="1"/>
      <w:numFmt w:val="decimal"/>
      <w:lvlText w:val="%1.%2.%3.%4.%5.%6.%7.%8."/>
      <w:lvlJc w:val="left"/>
      <w:pPr>
        <w:ind w:left="5940" w:hanging="2160"/>
      </w:pPr>
      <w:rPr>
        <w:rFonts w:ascii="Myriad Pro" w:hAnsi="Myriad Pro" w:hint="default"/>
        <w:b w:val="0"/>
        <w:sz w:val="36"/>
      </w:rPr>
    </w:lvl>
    <w:lvl w:ilvl="8">
      <w:start w:val="1"/>
      <w:numFmt w:val="decimal"/>
      <w:lvlText w:val="%1.%2.%3.%4.%5.%6.%7.%8.%9."/>
      <w:lvlJc w:val="left"/>
      <w:pPr>
        <w:ind w:left="6480" w:hanging="2160"/>
      </w:pPr>
      <w:rPr>
        <w:rFonts w:ascii="Myriad Pro" w:hAnsi="Myriad Pro" w:hint="default"/>
        <w:b w:val="0"/>
        <w:sz w:val="36"/>
      </w:rPr>
    </w:lvl>
  </w:abstractNum>
  <w:abstractNum w:abstractNumId="41">
    <w:nsid w:val="5FE17A70"/>
    <w:multiLevelType w:val="hybridMultilevel"/>
    <w:tmpl w:val="0A8AAF1E"/>
    <w:lvl w:ilvl="0" w:tplc="6AA81280">
      <w:start w:val="1"/>
      <w:numFmt w:val="decimal"/>
      <w:pStyle w:val="Slika"/>
      <w:lvlText w:val="Slika %1."/>
      <w:lvlJc w:val="left"/>
      <w:pPr>
        <w:ind w:left="3150" w:hanging="360"/>
      </w:pPr>
      <w:rPr>
        <w:rFonts w:ascii="Constantia" w:hAnsi="Constantia" w:hint="default"/>
        <w:b/>
        <w:i/>
        <w:color w:val="auto"/>
        <w:sz w:val="22"/>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42">
    <w:nsid w:val="6C5B3BEA"/>
    <w:multiLevelType w:val="hybridMultilevel"/>
    <w:tmpl w:val="90802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CC9366F"/>
    <w:multiLevelType w:val="hybridMultilevel"/>
    <w:tmpl w:val="7F88007C"/>
    <w:lvl w:ilvl="0" w:tplc="A40E5C2C">
      <w:numFmt w:val="bullet"/>
      <w:lvlText w:val="•"/>
      <w:lvlJc w:val="left"/>
      <w:pPr>
        <w:ind w:left="720" w:hanging="360"/>
      </w:pPr>
      <w:rPr>
        <w:rFonts w:ascii="Myriad Pro" w:eastAsia="Times New Roman" w:hAnsi="Myriad Pro"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DF470D5"/>
    <w:multiLevelType w:val="hybridMultilevel"/>
    <w:tmpl w:val="765E8DDA"/>
    <w:lvl w:ilvl="0" w:tplc="4FDADB94">
      <w:start w:val="1"/>
      <w:numFmt w:val="decimal"/>
      <w:pStyle w:val="Aneksi"/>
      <w:lvlText w:val="Aneks %1"/>
      <w:lvlJc w:val="left"/>
      <w:pPr>
        <w:tabs>
          <w:tab w:val="num" w:pos="1985"/>
        </w:tabs>
        <w:ind w:left="1985" w:hanging="1985"/>
      </w:pPr>
      <w:rPr>
        <w:rFonts w:ascii="Verdana" w:hAnsi="Verdana" w:cs="Times New Roman" w:hint="default"/>
        <w:b/>
        <w:i w:val="0"/>
        <w:sz w:val="28"/>
        <w:szCs w:val="28"/>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5">
    <w:nsid w:val="6F6A1075"/>
    <w:multiLevelType w:val="hybridMultilevel"/>
    <w:tmpl w:val="3BF4525E"/>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nsid w:val="702A428F"/>
    <w:multiLevelType w:val="hybridMultilevel"/>
    <w:tmpl w:val="4D4CAA6A"/>
    <w:lvl w:ilvl="0" w:tplc="A40E5C2C">
      <w:numFmt w:val="bullet"/>
      <w:lvlText w:val="•"/>
      <w:lvlJc w:val="left"/>
      <w:pPr>
        <w:ind w:left="720" w:hanging="360"/>
      </w:pPr>
      <w:rPr>
        <w:rFonts w:ascii="Myriad Pro" w:eastAsia="Times New Roman" w:hAnsi="Myriad Pro"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79DF3F42"/>
    <w:multiLevelType w:val="hybridMultilevel"/>
    <w:tmpl w:val="0DE20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BD72B3F"/>
    <w:multiLevelType w:val="hybridMultilevel"/>
    <w:tmpl w:val="9A8C7E8C"/>
    <w:lvl w:ilvl="0" w:tplc="5AFA7D36">
      <w:start w:val="1"/>
      <w:numFmt w:val="decimal"/>
      <w:pStyle w:val="Grafikon"/>
      <w:lvlText w:val="Grafikon %1."/>
      <w:lvlJc w:val="left"/>
      <w:pPr>
        <w:ind w:left="540" w:hanging="360"/>
      </w:pPr>
      <w:rPr>
        <w:rFonts w:ascii="Constantia" w:hAnsi="Constantia" w:cs="Times New Roman" w:hint="default"/>
        <w:b/>
        <w:bCs w:val="0"/>
        <w:i/>
        <w:iCs w:val="0"/>
        <w:caps w:val="0"/>
        <w:smallCaps w:val="0"/>
        <w:strike w:val="0"/>
        <w:dstrike w:val="0"/>
        <w:noProof w:val="0"/>
        <w:snapToGrid w:val="0"/>
        <w:vanish w:val="0"/>
        <w:color w:val="000000"/>
        <w:spacing w:val="0"/>
        <w:w w:val="0"/>
        <w:kern w:val="0"/>
        <w:position w:val="0"/>
        <w:sz w:val="22"/>
        <w:szCs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4590" w:hanging="360"/>
      </w:pPr>
      <w:rPr>
        <w:rFonts w:cs="Times New Roman"/>
      </w:rPr>
    </w:lvl>
    <w:lvl w:ilvl="2" w:tplc="0409001B" w:tentative="1">
      <w:start w:val="1"/>
      <w:numFmt w:val="lowerRoman"/>
      <w:lvlText w:val="%3."/>
      <w:lvlJc w:val="right"/>
      <w:pPr>
        <w:ind w:left="-387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2430" w:hanging="360"/>
      </w:pPr>
      <w:rPr>
        <w:rFonts w:cs="Times New Roman"/>
      </w:rPr>
    </w:lvl>
    <w:lvl w:ilvl="5" w:tplc="0409001B" w:tentative="1">
      <w:start w:val="1"/>
      <w:numFmt w:val="lowerRoman"/>
      <w:lvlText w:val="%6."/>
      <w:lvlJc w:val="right"/>
      <w:pPr>
        <w:ind w:left="-1710" w:hanging="180"/>
      </w:pPr>
      <w:rPr>
        <w:rFonts w:cs="Times New Roman"/>
      </w:rPr>
    </w:lvl>
    <w:lvl w:ilvl="6" w:tplc="0409000F" w:tentative="1">
      <w:start w:val="1"/>
      <w:numFmt w:val="decimal"/>
      <w:lvlText w:val="%7."/>
      <w:lvlJc w:val="left"/>
      <w:pPr>
        <w:ind w:left="-990" w:hanging="360"/>
      </w:pPr>
      <w:rPr>
        <w:rFonts w:cs="Times New Roman"/>
      </w:rPr>
    </w:lvl>
    <w:lvl w:ilvl="7" w:tplc="04090019" w:tentative="1">
      <w:start w:val="1"/>
      <w:numFmt w:val="lowerLetter"/>
      <w:lvlText w:val="%8."/>
      <w:lvlJc w:val="left"/>
      <w:pPr>
        <w:ind w:left="-270" w:hanging="360"/>
      </w:pPr>
      <w:rPr>
        <w:rFonts w:cs="Times New Roman"/>
      </w:rPr>
    </w:lvl>
    <w:lvl w:ilvl="8" w:tplc="0409001B" w:tentative="1">
      <w:start w:val="1"/>
      <w:numFmt w:val="lowerRoman"/>
      <w:lvlText w:val="%9."/>
      <w:lvlJc w:val="right"/>
      <w:pPr>
        <w:ind w:left="450" w:hanging="180"/>
      </w:pPr>
      <w:rPr>
        <w:rFonts w:cs="Times New Roman"/>
      </w:rPr>
    </w:lvl>
  </w:abstractNum>
  <w:abstractNum w:abstractNumId="49">
    <w:nsid w:val="7D075051"/>
    <w:multiLevelType w:val="hybridMultilevel"/>
    <w:tmpl w:val="2F066A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7D882BA8"/>
    <w:multiLevelType w:val="hybridMultilevel"/>
    <w:tmpl w:val="1B62F8E4"/>
    <w:lvl w:ilvl="0" w:tplc="A40E5C2C">
      <w:numFmt w:val="bullet"/>
      <w:lvlText w:val="•"/>
      <w:lvlJc w:val="left"/>
      <w:pPr>
        <w:ind w:left="720" w:hanging="360"/>
      </w:pPr>
      <w:rPr>
        <w:rFonts w:ascii="Myriad Pro" w:eastAsia="Times New Roman" w:hAnsi="Myriad Pro"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F5A7FF0"/>
    <w:multiLevelType w:val="hybridMultilevel"/>
    <w:tmpl w:val="D7A45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4"/>
  </w:num>
  <w:num w:numId="2">
    <w:abstractNumId w:val="8"/>
  </w:num>
  <w:num w:numId="3">
    <w:abstractNumId w:val="22"/>
  </w:num>
  <w:num w:numId="4">
    <w:abstractNumId w:val="48"/>
  </w:num>
  <w:num w:numId="5">
    <w:abstractNumId w:val="12"/>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27"/>
  </w:num>
  <w:num w:numId="10">
    <w:abstractNumId w:val="10"/>
  </w:num>
  <w:num w:numId="11">
    <w:abstractNumId w:val="26"/>
  </w:num>
  <w:num w:numId="12">
    <w:abstractNumId w:val="17"/>
  </w:num>
  <w:num w:numId="13">
    <w:abstractNumId w:val="41"/>
  </w:num>
  <w:num w:numId="14">
    <w:abstractNumId w:val="7"/>
  </w:num>
  <w:num w:numId="15">
    <w:abstractNumId w:val="18"/>
  </w:num>
  <w:num w:numId="16">
    <w:abstractNumId w:val="15"/>
  </w:num>
  <w:num w:numId="17">
    <w:abstractNumId w:val="33"/>
  </w:num>
  <w:num w:numId="18">
    <w:abstractNumId w:val="38"/>
  </w:num>
  <w:num w:numId="19">
    <w:abstractNumId w:val="9"/>
  </w:num>
  <w:num w:numId="20">
    <w:abstractNumId w:val="5"/>
  </w:num>
  <w:num w:numId="21">
    <w:abstractNumId w:val="50"/>
  </w:num>
  <w:num w:numId="22">
    <w:abstractNumId w:val="43"/>
  </w:num>
  <w:num w:numId="23">
    <w:abstractNumId w:val="46"/>
  </w:num>
  <w:num w:numId="24">
    <w:abstractNumId w:val="31"/>
  </w:num>
  <w:num w:numId="25">
    <w:abstractNumId w:val="45"/>
  </w:num>
  <w:num w:numId="26">
    <w:abstractNumId w:val="0"/>
  </w:num>
  <w:num w:numId="27">
    <w:abstractNumId w:val="36"/>
  </w:num>
  <w:num w:numId="28">
    <w:abstractNumId w:val="3"/>
  </w:num>
  <w:num w:numId="29">
    <w:abstractNumId w:val="19"/>
  </w:num>
  <w:num w:numId="30">
    <w:abstractNumId w:val="11"/>
  </w:num>
  <w:num w:numId="31">
    <w:abstractNumId w:val="39"/>
  </w:num>
  <w:num w:numId="32">
    <w:abstractNumId w:val="35"/>
  </w:num>
  <w:num w:numId="33">
    <w:abstractNumId w:val="32"/>
  </w:num>
  <w:num w:numId="34">
    <w:abstractNumId w:val="14"/>
  </w:num>
  <w:num w:numId="35">
    <w:abstractNumId w:val="20"/>
  </w:num>
  <w:num w:numId="36">
    <w:abstractNumId w:val="47"/>
  </w:num>
  <w:num w:numId="37">
    <w:abstractNumId w:val="23"/>
  </w:num>
  <w:num w:numId="38">
    <w:abstractNumId w:val="16"/>
  </w:num>
  <w:num w:numId="39">
    <w:abstractNumId w:val="4"/>
  </w:num>
  <w:num w:numId="40">
    <w:abstractNumId w:val="28"/>
  </w:num>
  <w:num w:numId="41">
    <w:abstractNumId w:val="30"/>
  </w:num>
  <w:num w:numId="42">
    <w:abstractNumId w:val="51"/>
  </w:num>
  <w:num w:numId="43">
    <w:abstractNumId w:val="2"/>
  </w:num>
  <w:num w:numId="44">
    <w:abstractNumId w:val="29"/>
  </w:num>
  <w:num w:numId="45">
    <w:abstractNumId w:val="49"/>
  </w:num>
  <w:num w:numId="46">
    <w:abstractNumId w:val="37"/>
  </w:num>
  <w:num w:numId="47">
    <w:abstractNumId w:val="34"/>
  </w:num>
  <w:num w:numId="48">
    <w:abstractNumId w:val="42"/>
  </w:num>
  <w:num w:numId="49">
    <w:abstractNumId w:val="24"/>
  </w:num>
  <w:num w:numId="50">
    <w:abstractNumId w:val="13"/>
  </w:num>
  <w:num w:numId="51">
    <w:abstractNumId w:val="21"/>
  </w:num>
  <w:num w:numId="52">
    <w:abstractNumId w:val="4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3F1C"/>
    <w:rsid w:val="0000016C"/>
    <w:rsid w:val="00000450"/>
    <w:rsid w:val="00000BD6"/>
    <w:rsid w:val="000015DA"/>
    <w:rsid w:val="00001722"/>
    <w:rsid w:val="00002698"/>
    <w:rsid w:val="000027BD"/>
    <w:rsid w:val="00003242"/>
    <w:rsid w:val="00003E43"/>
    <w:rsid w:val="00003FC7"/>
    <w:rsid w:val="0000426A"/>
    <w:rsid w:val="0000463C"/>
    <w:rsid w:val="000048FF"/>
    <w:rsid w:val="00005C8A"/>
    <w:rsid w:val="000068B4"/>
    <w:rsid w:val="000068E0"/>
    <w:rsid w:val="00007111"/>
    <w:rsid w:val="0001059E"/>
    <w:rsid w:val="00010E15"/>
    <w:rsid w:val="0001182D"/>
    <w:rsid w:val="00011F1F"/>
    <w:rsid w:val="00012781"/>
    <w:rsid w:val="00012AC3"/>
    <w:rsid w:val="000134A6"/>
    <w:rsid w:val="00014035"/>
    <w:rsid w:val="000141DE"/>
    <w:rsid w:val="000144F6"/>
    <w:rsid w:val="00014A43"/>
    <w:rsid w:val="000151F5"/>
    <w:rsid w:val="000153E7"/>
    <w:rsid w:val="00015B22"/>
    <w:rsid w:val="00015E7B"/>
    <w:rsid w:val="00016834"/>
    <w:rsid w:val="000200EE"/>
    <w:rsid w:val="00020575"/>
    <w:rsid w:val="00020837"/>
    <w:rsid w:val="000210A5"/>
    <w:rsid w:val="000210FA"/>
    <w:rsid w:val="000214A8"/>
    <w:rsid w:val="0002210E"/>
    <w:rsid w:val="000221DA"/>
    <w:rsid w:val="0002344B"/>
    <w:rsid w:val="00023E0F"/>
    <w:rsid w:val="000240B7"/>
    <w:rsid w:val="000247B8"/>
    <w:rsid w:val="00025B83"/>
    <w:rsid w:val="00025CEE"/>
    <w:rsid w:val="0002726D"/>
    <w:rsid w:val="0003266E"/>
    <w:rsid w:val="00032D8A"/>
    <w:rsid w:val="00034381"/>
    <w:rsid w:val="00034AB2"/>
    <w:rsid w:val="00034AC8"/>
    <w:rsid w:val="00034F4E"/>
    <w:rsid w:val="00035117"/>
    <w:rsid w:val="00035A3E"/>
    <w:rsid w:val="000361BD"/>
    <w:rsid w:val="00036CD9"/>
    <w:rsid w:val="00037327"/>
    <w:rsid w:val="000403CB"/>
    <w:rsid w:val="0004060E"/>
    <w:rsid w:val="0004145E"/>
    <w:rsid w:val="000419D3"/>
    <w:rsid w:val="00041A03"/>
    <w:rsid w:val="00041D74"/>
    <w:rsid w:val="00041ED1"/>
    <w:rsid w:val="00043CCA"/>
    <w:rsid w:val="000445AF"/>
    <w:rsid w:val="00044632"/>
    <w:rsid w:val="000455E7"/>
    <w:rsid w:val="000457A4"/>
    <w:rsid w:val="00045A99"/>
    <w:rsid w:val="00046DA4"/>
    <w:rsid w:val="00047027"/>
    <w:rsid w:val="00047809"/>
    <w:rsid w:val="000502BC"/>
    <w:rsid w:val="000507E3"/>
    <w:rsid w:val="0005154A"/>
    <w:rsid w:val="00053736"/>
    <w:rsid w:val="00054B79"/>
    <w:rsid w:val="00055385"/>
    <w:rsid w:val="0005545A"/>
    <w:rsid w:val="00056320"/>
    <w:rsid w:val="0005692E"/>
    <w:rsid w:val="00056C8C"/>
    <w:rsid w:val="00056CD4"/>
    <w:rsid w:val="000577A0"/>
    <w:rsid w:val="0006010D"/>
    <w:rsid w:val="00060117"/>
    <w:rsid w:val="00061B55"/>
    <w:rsid w:val="00063CFC"/>
    <w:rsid w:val="00065059"/>
    <w:rsid w:val="0006514A"/>
    <w:rsid w:val="00065488"/>
    <w:rsid w:val="00070AE4"/>
    <w:rsid w:val="000711DA"/>
    <w:rsid w:val="00071E2B"/>
    <w:rsid w:val="0007217B"/>
    <w:rsid w:val="00072417"/>
    <w:rsid w:val="00072676"/>
    <w:rsid w:val="000734D3"/>
    <w:rsid w:val="00074D6A"/>
    <w:rsid w:val="00075653"/>
    <w:rsid w:val="000760F7"/>
    <w:rsid w:val="000766F2"/>
    <w:rsid w:val="00076734"/>
    <w:rsid w:val="000770E6"/>
    <w:rsid w:val="00077488"/>
    <w:rsid w:val="000779F5"/>
    <w:rsid w:val="00077AA6"/>
    <w:rsid w:val="000804AB"/>
    <w:rsid w:val="00080A04"/>
    <w:rsid w:val="000813AF"/>
    <w:rsid w:val="00081C4C"/>
    <w:rsid w:val="00083709"/>
    <w:rsid w:val="00084153"/>
    <w:rsid w:val="0008459A"/>
    <w:rsid w:val="00084D50"/>
    <w:rsid w:val="000851A8"/>
    <w:rsid w:val="000856A0"/>
    <w:rsid w:val="00086185"/>
    <w:rsid w:val="00086531"/>
    <w:rsid w:val="000873F7"/>
    <w:rsid w:val="00087C36"/>
    <w:rsid w:val="00090014"/>
    <w:rsid w:val="00090367"/>
    <w:rsid w:val="000903C2"/>
    <w:rsid w:val="000908ED"/>
    <w:rsid w:val="00091531"/>
    <w:rsid w:val="00092839"/>
    <w:rsid w:val="00093EEE"/>
    <w:rsid w:val="00093FCF"/>
    <w:rsid w:val="00094A4D"/>
    <w:rsid w:val="00094D4B"/>
    <w:rsid w:val="00095632"/>
    <w:rsid w:val="000958E4"/>
    <w:rsid w:val="0009630C"/>
    <w:rsid w:val="000972C5"/>
    <w:rsid w:val="000974C2"/>
    <w:rsid w:val="00097E04"/>
    <w:rsid w:val="000A046D"/>
    <w:rsid w:val="000A19CC"/>
    <w:rsid w:val="000A2119"/>
    <w:rsid w:val="000A2201"/>
    <w:rsid w:val="000A2AF6"/>
    <w:rsid w:val="000A2C12"/>
    <w:rsid w:val="000A335E"/>
    <w:rsid w:val="000A3B4A"/>
    <w:rsid w:val="000A3E2F"/>
    <w:rsid w:val="000A4D02"/>
    <w:rsid w:val="000A5917"/>
    <w:rsid w:val="000A5E78"/>
    <w:rsid w:val="000A613A"/>
    <w:rsid w:val="000A7800"/>
    <w:rsid w:val="000B095F"/>
    <w:rsid w:val="000B0EB3"/>
    <w:rsid w:val="000B21DA"/>
    <w:rsid w:val="000B23AF"/>
    <w:rsid w:val="000B2642"/>
    <w:rsid w:val="000B2F5E"/>
    <w:rsid w:val="000B3AF7"/>
    <w:rsid w:val="000B3D21"/>
    <w:rsid w:val="000B48E4"/>
    <w:rsid w:val="000B5CBF"/>
    <w:rsid w:val="000B61F2"/>
    <w:rsid w:val="000B6734"/>
    <w:rsid w:val="000C1628"/>
    <w:rsid w:val="000C1C1D"/>
    <w:rsid w:val="000C1EC0"/>
    <w:rsid w:val="000C2BD6"/>
    <w:rsid w:val="000C2C5E"/>
    <w:rsid w:val="000C3F61"/>
    <w:rsid w:val="000C4DAE"/>
    <w:rsid w:val="000C516E"/>
    <w:rsid w:val="000C51CE"/>
    <w:rsid w:val="000C582A"/>
    <w:rsid w:val="000C636E"/>
    <w:rsid w:val="000C6EAB"/>
    <w:rsid w:val="000C749A"/>
    <w:rsid w:val="000D1045"/>
    <w:rsid w:val="000D2DE9"/>
    <w:rsid w:val="000D3199"/>
    <w:rsid w:val="000D32A7"/>
    <w:rsid w:val="000D3AB1"/>
    <w:rsid w:val="000D4867"/>
    <w:rsid w:val="000D4A89"/>
    <w:rsid w:val="000D4F71"/>
    <w:rsid w:val="000D50FF"/>
    <w:rsid w:val="000D561E"/>
    <w:rsid w:val="000D5BDC"/>
    <w:rsid w:val="000D5F7F"/>
    <w:rsid w:val="000D609F"/>
    <w:rsid w:val="000D629D"/>
    <w:rsid w:val="000D649E"/>
    <w:rsid w:val="000D6635"/>
    <w:rsid w:val="000D6A12"/>
    <w:rsid w:val="000D6CAD"/>
    <w:rsid w:val="000D7692"/>
    <w:rsid w:val="000D7CEC"/>
    <w:rsid w:val="000E0797"/>
    <w:rsid w:val="000E0A30"/>
    <w:rsid w:val="000E0E1C"/>
    <w:rsid w:val="000E1856"/>
    <w:rsid w:val="000E337A"/>
    <w:rsid w:val="000E388C"/>
    <w:rsid w:val="000E3F05"/>
    <w:rsid w:val="000E46EB"/>
    <w:rsid w:val="000E5149"/>
    <w:rsid w:val="000E56C8"/>
    <w:rsid w:val="000E6C87"/>
    <w:rsid w:val="000F0461"/>
    <w:rsid w:val="000F0A55"/>
    <w:rsid w:val="000F0AE9"/>
    <w:rsid w:val="000F0E15"/>
    <w:rsid w:val="000F1962"/>
    <w:rsid w:val="000F226A"/>
    <w:rsid w:val="000F29B0"/>
    <w:rsid w:val="000F2D83"/>
    <w:rsid w:val="000F3724"/>
    <w:rsid w:val="000F3C61"/>
    <w:rsid w:val="000F3D06"/>
    <w:rsid w:val="000F45F5"/>
    <w:rsid w:val="000F71E1"/>
    <w:rsid w:val="00100F52"/>
    <w:rsid w:val="001011F9"/>
    <w:rsid w:val="00101318"/>
    <w:rsid w:val="00101351"/>
    <w:rsid w:val="00101AA9"/>
    <w:rsid w:val="001023EC"/>
    <w:rsid w:val="00102A33"/>
    <w:rsid w:val="00110551"/>
    <w:rsid w:val="00110952"/>
    <w:rsid w:val="00111533"/>
    <w:rsid w:val="00112601"/>
    <w:rsid w:val="00112DD0"/>
    <w:rsid w:val="001135D2"/>
    <w:rsid w:val="00113868"/>
    <w:rsid w:val="0011397F"/>
    <w:rsid w:val="00114F9C"/>
    <w:rsid w:val="00115473"/>
    <w:rsid w:val="001159ED"/>
    <w:rsid w:val="00116483"/>
    <w:rsid w:val="00117FB6"/>
    <w:rsid w:val="00120673"/>
    <w:rsid w:val="001207D0"/>
    <w:rsid w:val="0012198D"/>
    <w:rsid w:val="00121AE1"/>
    <w:rsid w:val="00122158"/>
    <w:rsid w:val="00122193"/>
    <w:rsid w:val="00122E0D"/>
    <w:rsid w:val="001231D2"/>
    <w:rsid w:val="00124334"/>
    <w:rsid w:val="0012475D"/>
    <w:rsid w:val="00124AA4"/>
    <w:rsid w:val="0012535A"/>
    <w:rsid w:val="00126119"/>
    <w:rsid w:val="001270B0"/>
    <w:rsid w:val="00127177"/>
    <w:rsid w:val="0012792D"/>
    <w:rsid w:val="00127B07"/>
    <w:rsid w:val="001302D2"/>
    <w:rsid w:val="001337B5"/>
    <w:rsid w:val="00133D21"/>
    <w:rsid w:val="00134093"/>
    <w:rsid w:val="001340B6"/>
    <w:rsid w:val="00134E17"/>
    <w:rsid w:val="00134F24"/>
    <w:rsid w:val="0013566F"/>
    <w:rsid w:val="00136DC5"/>
    <w:rsid w:val="001373F7"/>
    <w:rsid w:val="0014009C"/>
    <w:rsid w:val="00140CFA"/>
    <w:rsid w:val="00140F14"/>
    <w:rsid w:val="00141A4F"/>
    <w:rsid w:val="0014206E"/>
    <w:rsid w:val="001423B9"/>
    <w:rsid w:val="00142BF1"/>
    <w:rsid w:val="00142FD8"/>
    <w:rsid w:val="0014354B"/>
    <w:rsid w:val="00143699"/>
    <w:rsid w:val="00143B62"/>
    <w:rsid w:val="00143F88"/>
    <w:rsid w:val="001444B0"/>
    <w:rsid w:val="00145615"/>
    <w:rsid w:val="0014587B"/>
    <w:rsid w:val="00147003"/>
    <w:rsid w:val="001476A5"/>
    <w:rsid w:val="0014781B"/>
    <w:rsid w:val="00147F95"/>
    <w:rsid w:val="001510D3"/>
    <w:rsid w:val="001520FF"/>
    <w:rsid w:val="0015255E"/>
    <w:rsid w:val="00153DBF"/>
    <w:rsid w:val="00153F1A"/>
    <w:rsid w:val="0015485E"/>
    <w:rsid w:val="00154EE9"/>
    <w:rsid w:val="001551E1"/>
    <w:rsid w:val="00155766"/>
    <w:rsid w:val="00156524"/>
    <w:rsid w:val="00156F5C"/>
    <w:rsid w:val="001601A1"/>
    <w:rsid w:val="0016056B"/>
    <w:rsid w:val="00160F4B"/>
    <w:rsid w:val="0016157C"/>
    <w:rsid w:val="001617B1"/>
    <w:rsid w:val="00162203"/>
    <w:rsid w:val="00162651"/>
    <w:rsid w:val="00163129"/>
    <w:rsid w:val="0016354C"/>
    <w:rsid w:val="00164AE0"/>
    <w:rsid w:val="00164E94"/>
    <w:rsid w:val="00164EF1"/>
    <w:rsid w:val="00166806"/>
    <w:rsid w:val="0016775D"/>
    <w:rsid w:val="001710CC"/>
    <w:rsid w:val="00172746"/>
    <w:rsid w:val="00172863"/>
    <w:rsid w:val="00172AD5"/>
    <w:rsid w:val="00172C84"/>
    <w:rsid w:val="00172DC4"/>
    <w:rsid w:val="001742EF"/>
    <w:rsid w:val="0017542C"/>
    <w:rsid w:val="00175749"/>
    <w:rsid w:val="00176006"/>
    <w:rsid w:val="00176A96"/>
    <w:rsid w:val="00176BFE"/>
    <w:rsid w:val="001771C7"/>
    <w:rsid w:val="0017725E"/>
    <w:rsid w:val="00177396"/>
    <w:rsid w:val="0018027E"/>
    <w:rsid w:val="001807EC"/>
    <w:rsid w:val="00181A2D"/>
    <w:rsid w:val="00181D60"/>
    <w:rsid w:val="00183161"/>
    <w:rsid w:val="00183789"/>
    <w:rsid w:val="0018385E"/>
    <w:rsid w:val="00184106"/>
    <w:rsid w:val="00184A36"/>
    <w:rsid w:val="00184FB8"/>
    <w:rsid w:val="00185700"/>
    <w:rsid w:val="0018683A"/>
    <w:rsid w:val="001868ED"/>
    <w:rsid w:val="0018759D"/>
    <w:rsid w:val="00192F3C"/>
    <w:rsid w:val="001933CE"/>
    <w:rsid w:val="001940E9"/>
    <w:rsid w:val="00194A1D"/>
    <w:rsid w:val="00194ECA"/>
    <w:rsid w:val="001951D3"/>
    <w:rsid w:val="001958E5"/>
    <w:rsid w:val="00195E1A"/>
    <w:rsid w:val="00196552"/>
    <w:rsid w:val="00197AC4"/>
    <w:rsid w:val="00197E2B"/>
    <w:rsid w:val="001A0064"/>
    <w:rsid w:val="001A090C"/>
    <w:rsid w:val="001A0C18"/>
    <w:rsid w:val="001A0D7D"/>
    <w:rsid w:val="001A1776"/>
    <w:rsid w:val="001A2AD6"/>
    <w:rsid w:val="001A4699"/>
    <w:rsid w:val="001A5A01"/>
    <w:rsid w:val="001A5BA4"/>
    <w:rsid w:val="001A6B5A"/>
    <w:rsid w:val="001A7036"/>
    <w:rsid w:val="001A771F"/>
    <w:rsid w:val="001A7A92"/>
    <w:rsid w:val="001A7E22"/>
    <w:rsid w:val="001B0551"/>
    <w:rsid w:val="001B168B"/>
    <w:rsid w:val="001B20DE"/>
    <w:rsid w:val="001B2765"/>
    <w:rsid w:val="001B2839"/>
    <w:rsid w:val="001B40D5"/>
    <w:rsid w:val="001B43A4"/>
    <w:rsid w:val="001B52C9"/>
    <w:rsid w:val="001B700F"/>
    <w:rsid w:val="001B7090"/>
    <w:rsid w:val="001B739D"/>
    <w:rsid w:val="001C02D6"/>
    <w:rsid w:val="001C04F9"/>
    <w:rsid w:val="001C0696"/>
    <w:rsid w:val="001C163F"/>
    <w:rsid w:val="001C2712"/>
    <w:rsid w:val="001C285C"/>
    <w:rsid w:val="001C2D33"/>
    <w:rsid w:val="001C6290"/>
    <w:rsid w:val="001C6CBD"/>
    <w:rsid w:val="001C73D1"/>
    <w:rsid w:val="001C74D8"/>
    <w:rsid w:val="001D0BAB"/>
    <w:rsid w:val="001D1B03"/>
    <w:rsid w:val="001D2068"/>
    <w:rsid w:val="001D2FAF"/>
    <w:rsid w:val="001D39B3"/>
    <w:rsid w:val="001D4073"/>
    <w:rsid w:val="001D41AC"/>
    <w:rsid w:val="001D46B4"/>
    <w:rsid w:val="001D5342"/>
    <w:rsid w:val="001D5C1B"/>
    <w:rsid w:val="001D6043"/>
    <w:rsid w:val="001D7C3F"/>
    <w:rsid w:val="001E2525"/>
    <w:rsid w:val="001E2765"/>
    <w:rsid w:val="001E2AAF"/>
    <w:rsid w:val="001E3660"/>
    <w:rsid w:val="001E39EE"/>
    <w:rsid w:val="001E4893"/>
    <w:rsid w:val="001E48A6"/>
    <w:rsid w:val="001E5249"/>
    <w:rsid w:val="001E541C"/>
    <w:rsid w:val="001E6299"/>
    <w:rsid w:val="001E6713"/>
    <w:rsid w:val="001E6720"/>
    <w:rsid w:val="001F02C8"/>
    <w:rsid w:val="001F0721"/>
    <w:rsid w:val="001F0B5D"/>
    <w:rsid w:val="001F1843"/>
    <w:rsid w:val="001F1C8E"/>
    <w:rsid w:val="001F1DC7"/>
    <w:rsid w:val="001F27CB"/>
    <w:rsid w:val="001F34D0"/>
    <w:rsid w:val="001F3B10"/>
    <w:rsid w:val="001F40AF"/>
    <w:rsid w:val="001F4307"/>
    <w:rsid w:val="001F5808"/>
    <w:rsid w:val="001F5913"/>
    <w:rsid w:val="001F5AD1"/>
    <w:rsid w:val="001F5E7D"/>
    <w:rsid w:val="001F7C13"/>
    <w:rsid w:val="00200C37"/>
    <w:rsid w:val="0020141D"/>
    <w:rsid w:val="002014A2"/>
    <w:rsid w:val="00202248"/>
    <w:rsid w:val="0020337B"/>
    <w:rsid w:val="00203997"/>
    <w:rsid w:val="00204B76"/>
    <w:rsid w:val="002055A3"/>
    <w:rsid w:val="002059BE"/>
    <w:rsid w:val="002106B4"/>
    <w:rsid w:val="00211FFE"/>
    <w:rsid w:val="00213093"/>
    <w:rsid w:val="00213784"/>
    <w:rsid w:val="0021447F"/>
    <w:rsid w:val="00214B08"/>
    <w:rsid w:val="00214CBD"/>
    <w:rsid w:val="00214D16"/>
    <w:rsid w:val="00214D53"/>
    <w:rsid w:val="00214EB1"/>
    <w:rsid w:val="00215500"/>
    <w:rsid w:val="00215E83"/>
    <w:rsid w:val="00216699"/>
    <w:rsid w:val="002179AD"/>
    <w:rsid w:val="002213B4"/>
    <w:rsid w:val="00223A52"/>
    <w:rsid w:val="00224D96"/>
    <w:rsid w:val="002259BD"/>
    <w:rsid w:val="002264BD"/>
    <w:rsid w:val="00230275"/>
    <w:rsid w:val="002303F9"/>
    <w:rsid w:val="00230D0F"/>
    <w:rsid w:val="00230FB4"/>
    <w:rsid w:val="002310BE"/>
    <w:rsid w:val="0023149E"/>
    <w:rsid w:val="002315FF"/>
    <w:rsid w:val="0023338F"/>
    <w:rsid w:val="002333F3"/>
    <w:rsid w:val="00233A04"/>
    <w:rsid w:val="00233D06"/>
    <w:rsid w:val="00234B9E"/>
    <w:rsid w:val="00235AB7"/>
    <w:rsid w:val="00235E72"/>
    <w:rsid w:val="00235F31"/>
    <w:rsid w:val="00237B49"/>
    <w:rsid w:val="00237C0A"/>
    <w:rsid w:val="0024111B"/>
    <w:rsid w:val="0024412E"/>
    <w:rsid w:val="00246375"/>
    <w:rsid w:val="0024691B"/>
    <w:rsid w:val="00246A66"/>
    <w:rsid w:val="00246FDD"/>
    <w:rsid w:val="002471B9"/>
    <w:rsid w:val="00247846"/>
    <w:rsid w:val="00247FAD"/>
    <w:rsid w:val="00250148"/>
    <w:rsid w:val="0025035C"/>
    <w:rsid w:val="00251B6C"/>
    <w:rsid w:val="00251C2E"/>
    <w:rsid w:val="00252B50"/>
    <w:rsid w:val="002544B2"/>
    <w:rsid w:val="00254530"/>
    <w:rsid w:val="00254AE2"/>
    <w:rsid w:val="00254B82"/>
    <w:rsid w:val="00255E62"/>
    <w:rsid w:val="00255E67"/>
    <w:rsid w:val="00257C50"/>
    <w:rsid w:val="00257C6F"/>
    <w:rsid w:val="00257E41"/>
    <w:rsid w:val="00257EDC"/>
    <w:rsid w:val="00260072"/>
    <w:rsid w:val="0026053E"/>
    <w:rsid w:val="00260B18"/>
    <w:rsid w:val="00261C4A"/>
    <w:rsid w:val="002624E0"/>
    <w:rsid w:val="002627E4"/>
    <w:rsid w:val="002638DC"/>
    <w:rsid w:val="00263B3B"/>
    <w:rsid w:val="00265CAC"/>
    <w:rsid w:val="00266188"/>
    <w:rsid w:val="00266316"/>
    <w:rsid w:val="002665DE"/>
    <w:rsid w:val="002668F6"/>
    <w:rsid w:val="00267089"/>
    <w:rsid w:val="002724B9"/>
    <w:rsid w:val="00272596"/>
    <w:rsid w:val="00273E78"/>
    <w:rsid w:val="00274156"/>
    <w:rsid w:val="00275073"/>
    <w:rsid w:val="00275161"/>
    <w:rsid w:val="00276411"/>
    <w:rsid w:val="00276AFC"/>
    <w:rsid w:val="0027772F"/>
    <w:rsid w:val="00280B10"/>
    <w:rsid w:val="002814F8"/>
    <w:rsid w:val="0028154A"/>
    <w:rsid w:val="00281AEC"/>
    <w:rsid w:val="002828AB"/>
    <w:rsid w:val="00282BD0"/>
    <w:rsid w:val="00282D44"/>
    <w:rsid w:val="00283A6D"/>
    <w:rsid w:val="00283DC6"/>
    <w:rsid w:val="00283FDE"/>
    <w:rsid w:val="0028420B"/>
    <w:rsid w:val="00284515"/>
    <w:rsid w:val="0028498A"/>
    <w:rsid w:val="002856BC"/>
    <w:rsid w:val="00285B3B"/>
    <w:rsid w:val="00285C53"/>
    <w:rsid w:val="00285C94"/>
    <w:rsid w:val="00286271"/>
    <w:rsid w:val="00286CAF"/>
    <w:rsid w:val="00287090"/>
    <w:rsid w:val="0029035B"/>
    <w:rsid w:val="002913AA"/>
    <w:rsid w:val="00291B7E"/>
    <w:rsid w:val="002927B9"/>
    <w:rsid w:val="00293982"/>
    <w:rsid w:val="00293F3B"/>
    <w:rsid w:val="002943BD"/>
    <w:rsid w:val="0029517F"/>
    <w:rsid w:val="00295433"/>
    <w:rsid w:val="00295802"/>
    <w:rsid w:val="00297F31"/>
    <w:rsid w:val="002A08CC"/>
    <w:rsid w:val="002A0DF6"/>
    <w:rsid w:val="002A138A"/>
    <w:rsid w:val="002A3053"/>
    <w:rsid w:val="002A4048"/>
    <w:rsid w:val="002A633E"/>
    <w:rsid w:val="002A6616"/>
    <w:rsid w:val="002A67AF"/>
    <w:rsid w:val="002A69CA"/>
    <w:rsid w:val="002A770A"/>
    <w:rsid w:val="002B1379"/>
    <w:rsid w:val="002B1515"/>
    <w:rsid w:val="002B18DF"/>
    <w:rsid w:val="002B19BF"/>
    <w:rsid w:val="002B1E38"/>
    <w:rsid w:val="002B2515"/>
    <w:rsid w:val="002B416B"/>
    <w:rsid w:val="002B4387"/>
    <w:rsid w:val="002B46B5"/>
    <w:rsid w:val="002B517D"/>
    <w:rsid w:val="002B5385"/>
    <w:rsid w:val="002B62C1"/>
    <w:rsid w:val="002B6EC7"/>
    <w:rsid w:val="002B715D"/>
    <w:rsid w:val="002B7D48"/>
    <w:rsid w:val="002C0A3C"/>
    <w:rsid w:val="002C13E9"/>
    <w:rsid w:val="002C207B"/>
    <w:rsid w:val="002C2D12"/>
    <w:rsid w:val="002C39DA"/>
    <w:rsid w:val="002C4225"/>
    <w:rsid w:val="002C44AB"/>
    <w:rsid w:val="002C44CA"/>
    <w:rsid w:val="002C4EC0"/>
    <w:rsid w:val="002C4F6C"/>
    <w:rsid w:val="002C58D3"/>
    <w:rsid w:val="002C6DD2"/>
    <w:rsid w:val="002C74DC"/>
    <w:rsid w:val="002D042E"/>
    <w:rsid w:val="002D0F1D"/>
    <w:rsid w:val="002D20E9"/>
    <w:rsid w:val="002D270F"/>
    <w:rsid w:val="002D2810"/>
    <w:rsid w:val="002D2C76"/>
    <w:rsid w:val="002D3102"/>
    <w:rsid w:val="002D3A27"/>
    <w:rsid w:val="002D458C"/>
    <w:rsid w:val="002D5B56"/>
    <w:rsid w:val="002D5BBA"/>
    <w:rsid w:val="002D63CB"/>
    <w:rsid w:val="002D6B83"/>
    <w:rsid w:val="002D6D10"/>
    <w:rsid w:val="002D6FB3"/>
    <w:rsid w:val="002E03CC"/>
    <w:rsid w:val="002E09E4"/>
    <w:rsid w:val="002E0C6F"/>
    <w:rsid w:val="002E1481"/>
    <w:rsid w:val="002E2A84"/>
    <w:rsid w:val="002E30FF"/>
    <w:rsid w:val="002E40A2"/>
    <w:rsid w:val="002E4FA3"/>
    <w:rsid w:val="002E5043"/>
    <w:rsid w:val="002E526B"/>
    <w:rsid w:val="002E5757"/>
    <w:rsid w:val="002E5CB2"/>
    <w:rsid w:val="002E5D2E"/>
    <w:rsid w:val="002E6154"/>
    <w:rsid w:val="002E632A"/>
    <w:rsid w:val="002E6731"/>
    <w:rsid w:val="002E6A2F"/>
    <w:rsid w:val="002E6AD1"/>
    <w:rsid w:val="002E6DC7"/>
    <w:rsid w:val="002E6E86"/>
    <w:rsid w:val="002E74AA"/>
    <w:rsid w:val="002E7816"/>
    <w:rsid w:val="002E7F1A"/>
    <w:rsid w:val="002F0316"/>
    <w:rsid w:val="002F05DD"/>
    <w:rsid w:val="002F0FB4"/>
    <w:rsid w:val="002F1602"/>
    <w:rsid w:val="002F1C18"/>
    <w:rsid w:val="002F2747"/>
    <w:rsid w:val="002F28DB"/>
    <w:rsid w:val="002F2DE5"/>
    <w:rsid w:val="002F424D"/>
    <w:rsid w:val="002F4B21"/>
    <w:rsid w:val="002F4DAE"/>
    <w:rsid w:val="002F52E0"/>
    <w:rsid w:val="002F5CEE"/>
    <w:rsid w:val="002F61F0"/>
    <w:rsid w:val="002F6A9E"/>
    <w:rsid w:val="002F6E4E"/>
    <w:rsid w:val="002F7D96"/>
    <w:rsid w:val="00300A0E"/>
    <w:rsid w:val="003017C4"/>
    <w:rsid w:val="00301834"/>
    <w:rsid w:val="00301E01"/>
    <w:rsid w:val="00302479"/>
    <w:rsid w:val="003029D3"/>
    <w:rsid w:val="00302DAA"/>
    <w:rsid w:val="003038E5"/>
    <w:rsid w:val="00303DA3"/>
    <w:rsid w:val="003042B0"/>
    <w:rsid w:val="0030466E"/>
    <w:rsid w:val="003049BD"/>
    <w:rsid w:val="0030643A"/>
    <w:rsid w:val="0030681C"/>
    <w:rsid w:val="00306859"/>
    <w:rsid w:val="003076C3"/>
    <w:rsid w:val="003107A5"/>
    <w:rsid w:val="0031281B"/>
    <w:rsid w:val="00312A53"/>
    <w:rsid w:val="0031313B"/>
    <w:rsid w:val="003135AC"/>
    <w:rsid w:val="0031677F"/>
    <w:rsid w:val="0031747A"/>
    <w:rsid w:val="003174D0"/>
    <w:rsid w:val="00317EC1"/>
    <w:rsid w:val="003210B8"/>
    <w:rsid w:val="003218CD"/>
    <w:rsid w:val="003219A3"/>
    <w:rsid w:val="00321A48"/>
    <w:rsid w:val="00321B33"/>
    <w:rsid w:val="00321B7E"/>
    <w:rsid w:val="00323782"/>
    <w:rsid w:val="0032378A"/>
    <w:rsid w:val="0032453C"/>
    <w:rsid w:val="00324CBC"/>
    <w:rsid w:val="00324F28"/>
    <w:rsid w:val="003252A2"/>
    <w:rsid w:val="0032539B"/>
    <w:rsid w:val="00326912"/>
    <w:rsid w:val="00326F3A"/>
    <w:rsid w:val="00327EE2"/>
    <w:rsid w:val="0033068E"/>
    <w:rsid w:val="00331544"/>
    <w:rsid w:val="0033172A"/>
    <w:rsid w:val="0033191B"/>
    <w:rsid w:val="00332007"/>
    <w:rsid w:val="00332715"/>
    <w:rsid w:val="003330E4"/>
    <w:rsid w:val="00333793"/>
    <w:rsid w:val="00334A1E"/>
    <w:rsid w:val="003359B0"/>
    <w:rsid w:val="003367A5"/>
    <w:rsid w:val="00336F83"/>
    <w:rsid w:val="00340B82"/>
    <w:rsid w:val="00340D7B"/>
    <w:rsid w:val="00341013"/>
    <w:rsid w:val="0034192E"/>
    <w:rsid w:val="00341BF1"/>
    <w:rsid w:val="00342D7C"/>
    <w:rsid w:val="00342E90"/>
    <w:rsid w:val="003431E5"/>
    <w:rsid w:val="003431F2"/>
    <w:rsid w:val="003447A7"/>
    <w:rsid w:val="00344EF9"/>
    <w:rsid w:val="00345D86"/>
    <w:rsid w:val="003465E8"/>
    <w:rsid w:val="00350108"/>
    <w:rsid w:val="003502A5"/>
    <w:rsid w:val="00350593"/>
    <w:rsid w:val="00350BB9"/>
    <w:rsid w:val="00351009"/>
    <w:rsid w:val="003524EB"/>
    <w:rsid w:val="0035276D"/>
    <w:rsid w:val="00352D91"/>
    <w:rsid w:val="003533B7"/>
    <w:rsid w:val="00354A40"/>
    <w:rsid w:val="00355DCD"/>
    <w:rsid w:val="00355E75"/>
    <w:rsid w:val="00355E9A"/>
    <w:rsid w:val="00356B27"/>
    <w:rsid w:val="003576E6"/>
    <w:rsid w:val="00357741"/>
    <w:rsid w:val="00357D11"/>
    <w:rsid w:val="00357D27"/>
    <w:rsid w:val="00357EFF"/>
    <w:rsid w:val="00360262"/>
    <w:rsid w:val="00360AB6"/>
    <w:rsid w:val="00361B67"/>
    <w:rsid w:val="003627B7"/>
    <w:rsid w:val="00363B34"/>
    <w:rsid w:val="00364039"/>
    <w:rsid w:val="0036458C"/>
    <w:rsid w:val="00364A58"/>
    <w:rsid w:val="003653E2"/>
    <w:rsid w:val="0036615C"/>
    <w:rsid w:val="003665D8"/>
    <w:rsid w:val="00366E26"/>
    <w:rsid w:val="003675AA"/>
    <w:rsid w:val="0036778F"/>
    <w:rsid w:val="00367CB3"/>
    <w:rsid w:val="003721EB"/>
    <w:rsid w:val="00372309"/>
    <w:rsid w:val="0037262F"/>
    <w:rsid w:val="00372999"/>
    <w:rsid w:val="00374A47"/>
    <w:rsid w:val="00374B70"/>
    <w:rsid w:val="003754F7"/>
    <w:rsid w:val="0037560A"/>
    <w:rsid w:val="00376003"/>
    <w:rsid w:val="003767BC"/>
    <w:rsid w:val="00376C5A"/>
    <w:rsid w:val="003776C2"/>
    <w:rsid w:val="00377C5D"/>
    <w:rsid w:val="003800F5"/>
    <w:rsid w:val="00380E3B"/>
    <w:rsid w:val="00381A6F"/>
    <w:rsid w:val="00381D63"/>
    <w:rsid w:val="00381E37"/>
    <w:rsid w:val="003835D3"/>
    <w:rsid w:val="00383C0C"/>
    <w:rsid w:val="00384217"/>
    <w:rsid w:val="00385315"/>
    <w:rsid w:val="00385389"/>
    <w:rsid w:val="003853BF"/>
    <w:rsid w:val="003855B5"/>
    <w:rsid w:val="003856C7"/>
    <w:rsid w:val="00386503"/>
    <w:rsid w:val="00386FBC"/>
    <w:rsid w:val="00387396"/>
    <w:rsid w:val="0038757D"/>
    <w:rsid w:val="003908C0"/>
    <w:rsid w:val="003914B3"/>
    <w:rsid w:val="0039173B"/>
    <w:rsid w:val="00392446"/>
    <w:rsid w:val="003927A1"/>
    <w:rsid w:val="00392B60"/>
    <w:rsid w:val="00392BFF"/>
    <w:rsid w:val="00393224"/>
    <w:rsid w:val="003934D8"/>
    <w:rsid w:val="00393880"/>
    <w:rsid w:val="00393A23"/>
    <w:rsid w:val="00393B71"/>
    <w:rsid w:val="00394803"/>
    <w:rsid w:val="0039614E"/>
    <w:rsid w:val="00396377"/>
    <w:rsid w:val="003974C8"/>
    <w:rsid w:val="003977B3"/>
    <w:rsid w:val="0039780F"/>
    <w:rsid w:val="00397E6D"/>
    <w:rsid w:val="003A0344"/>
    <w:rsid w:val="003A06FF"/>
    <w:rsid w:val="003A1B59"/>
    <w:rsid w:val="003A1B63"/>
    <w:rsid w:val="003A1BF5"/>
    <w:rsid w:val="003A25C6"/>
    <w:rsid w:val="003A3422"/>
    <w:rsid w:val="003A4385"/>
    <w:rsid w:val="003A50EF"/>
    <w:rsid w:val="003A7697"/>
    <w:rsid w:val="003A7D0E"/>
    <w:rsid w:val="003A7D44"/>
    <w:rsid w:val="003B09E1"/>
    <w:rsid w:val="003B1435"/>
    <w:rsid w:val="003B1D69"/>
    <w:rsid w:val="003B1EF8"/>
    <w:rsid w:val="003B21B4"/>
    <w:rsid w:val="003B2A2F"/>
    <w:rsid w:val="003B4CA8"/>
    <w:rsid w:val="003B4EA2"/>
    <w:rsid w:val="003B5366"/>
    <w:rsid w:val="003B5373"/>
    <w:rsid w:val="003B5760"/>
    <w:rsid w:val="003B6E4E"/>
    <w:rsid w:val="003B7B9B"/>
    <w:rsid w:val="003C0A4B"/>
    <w:rsid w:val="003C12B8"/>
    <w:rsid w:val="003C1445"/>
    <w:rsid w:val="003C1FAD"/>
    <w:rsid w:val="003C22FB"/>
    <w:rsid w:val="003C30C1"/>
    <w:rsid w:val="003C33F6"/>
    <w:rsid w:val="003C3A29"/>
    <w:rsid w:val="003C3D50"/>
    <w:rsid w:val="003C4C88"/>
    <w:rsid w:val="003C522A"/>
    <w:rsid w:val="003C73B0"/>
    <w:rsid w:val="003D0313"/>
    <w:rsid w:val="003D1F16"/>
    <w:rsid w:val="003D1F33"/>
    <w:rsid w:val="003D4721"/>
    <w:rsid w:val="003D5113"/>
    <w:rsid w:val="003D5C13"/>
    <w:rsid w:val="003D63AF"/>
    <w:rsid w:val="003D6548"/>
    <w:rsid w:val="003D6E49"/>
    <w:rsid w:val="003D6E6D"/>
    <w:rsid w:val="003D7053"/>
    <w:rsid w:val="003D7467"/>
    <w:rsid w:val="003E007D"/>
    <w:rsid w:val="003E019B"/>
    <w:rsid w:val="003E1894"/>
    <w:rsid w:val="003E18B2"/>
    <w:rsid w:val="003E1D24"/>
    <w:rsid w:val="003E244E"/>
    <w:rsid w:val="003E26E2"/>
    <w:rsid w:val="003E288D"/>
    <w:rsid w:val="003E2E32"/>
    <w:rsid w:val="003E6ABB"/>
    <w:rsid w:val="003E6BD6"/>
    <w:rsid w:val="003E705B"/>
    <w:rsid w:val="003E7CE8"/>
    <w:rsid w:val="003E7D8E"/>
    <w:rsid w:val="003F0094"/>
    <w:rsid w:val="003F152E"/>
    <w:rsid w:val="003F1B1F"/>
    <w:rsid w:val="003F394C"/>
    <w:rsid w:val="003F3F1C"/>
    <w:rsid w:val="003F3F75"/>
    <w:rsid w:val="003F4434"/>
    <w:rsid w:val="003F4FD8"/>
    <w:rsid w:val="003F71D1"/>
    <w:rsid w:val="00402780"/>
    <w:rsid w:val="00403249"/>
    <w:rsid w:val="0040361D"/>
    <w:rsid w:val="00403B2A"/>
    <w:rsid w:val="0040412E"/>
    <w:rsid w:val="004060C8"/>
    <w:rsid w:val="00406708"/>
    <w:rsid w:val="00412407"/>
    <w:rsid w:val="00412D36"/>
    <w:rsid w:val="00413392"/>
    <w:rsid w:val="004138DE"/>
    <w:rsid w:val="004142B5"/>
    <w:rsid w:val="0041496E"/>
    <w:rsid w:val="004155AF"/>
    <w:rsid w:val="00416DBE"/>
    <w:rsid w:val="0041700E"/>
    <w:rsid w:val="00420349"/>
    <w:rsid w:val="0042084D"/>
    <w:rsid w:val="00421197"/>
    <w:rsid w:val="00421AD5"/>
    <w:rsid w:val="00425791"/>
    <w:rsid w:val="00425AAF"/>
    <w:rsid w:val="00425BEC"/>
    <w:rsid w:val="0042745B"/>
    <w:rsid w:val="00427676"/>
    <w:rsid w:val="00427964"/>
    <w:rsid w:val="00427C86"/>
    <w:rsid w:val="00430863"/>
    <w:rsid w:val="00430D74"/>
    <w:rsid w:val="00430FBA"/>
    <w:rsid w:val="00431E56"/>
    <w:rsid w:val="00432551"/>
    <w:rsid w:val="00433843"/>
    <w:rsid w:val="00434E9E"/>
    <w:rsid w:val="004357A2"/>
    <w:rsid w:val="00435CA0"/>
    <w:rsid w:val="004365C0"/>
    <w:rsid w:val="00436A1A"/>
    <w:rsid w:val="00436FBD"/>
    <w:rsid w:val="00437A90"/>
    <w:rsid w:val="00441052"/>
    <w:rsid w:val="00441E05"/>
    <w:rsid w:val="004422B2"/>
    <w:rsid w:val="004428D5"/>
    <w:rsid w:val="00442EFD"/>
    <w:rsid w:val="00443732"/>
    <w:rsid w:val="00444DD2"/>
    <w:rsid w:val="00444FA8"/>
    <w:rsid w:val="004453D5"/>
    <w:rsid w:val="00446030"/>
    <w:rsid w:val="00446AC6"/>
    <w:rsid w:val="0045150D"/>
    <w:rsid w:val="004515BC"/>
    <w:rsid w:val="00451648"/>
    <w:rsid w:val="00451DEE"/>
    <w:rsid w:val="00454DFE"/>
    <w:rsid w:val="00454EE2"/>
    <w:rsid w:val="004552F6"/>
    <w:rsid w:val="00455472"/>
    <w:rsid w:val="004555B9"/>
    <w:rsid w:val="00455735"/>
    <w:rsid w:val="00460AD9"/>
    <w:rsid w:val="00461D40"/>
    <w:rsid w:val="00461F48"/>
    <w:rsid w:val="00461FA7"/>
    <w:rsid w:val="00462158"/>
    <w:rsid w:val="00462A9F"/>
    <w:rsid w:val="00463772"/>
    <w:rsid w:val="00463B94"/>
    <w:rsid w:val="0046473D"/>
    <w:rsid w:val="00466FCA"/>
    <w:rsid w:val="004701FA"/>
    <w:rsid w:val="00470CBE"/>
    <w:rsid w:val="00474578"/>
    <w:rsid w:val="00474980"/>
    <w:rsid w:val="004756B4"/>
    <w:rsid w:val="00476D71"/>
    <w:rsid w:val="004779E4"/>
    <w:rsid w:val="0048002A"/>
    <w:rsid w:val="00480388"/>
    <w:rsid w:val="004809FA"/>
    <w:rsid w:val="00480B68"/>
    <w:rsid w:val="00480DEC"/>
    <w:rsid w:val="00481904"/>
    <w:rsid w:val="0048196E"/>
    <w:rsid w:val="00482868"/>
    <w:rsid w:val="00482B1C"/>
    <w:rsid w:val="00484138"/>
    <w:rsid w:val="00484934"/>
    <w:rsid w:val="0048737B"/>
    <w:rsid w:val="00487CF9"/>
    <w:rsid w:val="004905F4"/>
    <w:rsid w:val="00490AD7"/>
    <w:rsid w:val="00490B00"/>
    <w:rsid w:val="004914B5"/>
    <w:rsid w:val="00492221"/>
    <w:rsid w:val="004926B8"/>
    <w:rsid w:val="00493384"/>
    <w:rsid w:val="00493DD3"/>
    <w:rsid w:val="00494664"/>
    <w:rsid w:val="0049470F"/>
    <w:rsid w:val="00494C18"/>
    <w:rsid w:val="00494E2D"/>
    <w:rsid w:val="0049500C"/>
    <w:rsid w:val="004962F6"/>
    <w:rsid w:val="00496388"/>
    <w:rsid w:val="00496F38"/>
    <w:rsid w:val="004A1E9F"/>
    <w:rsid w:val="004A211E"/>
    <w:rsid w:val="004A35E0"/>
    <w:rsid w:val="004A44C8"/>
    <w:rsid w:val="004A47E2"/>
    <w:rsid w:val="004A4AA4"/>
    <w:rsid w:val="004A563B"/>
    <w:rsid w:val="004A5B14"/>
    <w:rsid w:val="004A5FC8"/>
    <w:rsid w:val="004A6348"/>
    <w:rsid w:val="004A7196"/>
    <w:rsid w:val="004B071C"/>
    <w:rsid w:val="004B152D"/>
    <w:rsid w:val="004B1BE1"/>
    <w:rsid w:val="004B1F52"/>
    <w:rsid w:val="004B2DD5"/>
    <w:rsid w:val="004B2DF0"/>
    <w:rsid w:val="004B3B31"/>
    <w:rsid w:val="004B3C6D"/>
    <w:rsid w:val="004B3C9B"/>
    <w:rsid w:val="004B5C2D"/>
    <w:rsid w:val="004B5C71"/>
    <w:rsid w:val="004B61DF"/>
    <w:rsid w:val="004B7D9A"/>
    <w:rsid w:val="004C0D96"/>
    <w:rsid w:val="004C2A1D"/>
    <w:rsid w:val="004C2AEF"/>
    <w:rsid w:val="004C2B00"/>
    <w:rsid w:val="004C2D3B"/>
    <w:rsid w:val="004C310F"/>
    <w:rsid w:val="004C42FA"/>
    <w:rsid w:val="004C43FB"/>
    <w:rsid w:val="004C5497"/>
    <w:rsid w:val="004C55F3"/>
    <w:rsid w:val="004C5739"/>
    <w:rsid w:val="004C57C2"/>
    <w:rsid w:val="004C5981"/>
    <w:rsid w:val="004C5C6D"/>
    <w:rsid w:val="004C5FC6"/>
    <w:rsid w:val="004C6198"/>
    <w:rsid w:val="004C68A6"/>
    <w:rsid w:val="004C75B0"/>
    <w:rsid w:val="004C7AFF"/>
    <w:rsid w:val="004D1CBB"/>
    <w:rsid w:val="004D254B"/>
    <w:rsid w:val="004D27FD"/>
    <w:rsid w:val="004D44B5"/>
    <w:rsid w:val="004D529D"/>
    <w:rsid w:val="004D5745"/>
    <w:rsid w:val="004D5C8F"/>
    <w:rsid w:val="004D6A4F"/>
    <w:rsid w:val="004D75BC"/>
    <w:rsid w:val="004E08C0"/>
    <w:rsid w:val="004E0EF2"/>
    <w:rsid w:val="004E10EC"/>
    <w:rsid w:val="004E14D6"/>
    <w:rsid w:val="004E1E24"/>
    <w:rsid w:val="004E2902"/>
    <w:rsid w:val="004E42C6"/>
    <w:rsid w:val="004E45B3"/>
    <w:rsid w:val="004E4CFB"/>
    <w:rsid w:val="004E559D"/>
    <w:rsid w:val="004E5C8D"/>
    <w:rsid w:val="004E680E"/>
    <w:rsid w:val="004E7BB1"/>
    <w:rsid w:val="004F1041"/>
    <w:rsid w:val="004F13E8"/>
    <w:rsid w:val="004F1B44"/>
    <w:rsid w:val="004F1DF7"/>
    <w:rsid w:val="004F20C6"/>
    <w:rsid w:val="004F21E9"/>
    <w:rsid w:val="004F27CE"/>
    <w:rsid w:val="004F2959"/>
    <w:rsid w:val="004F3444"/>
    <w:rsid w:val="004F3DE0"/>
    <w:rsid w:val="004F4683"/>
    <w:rsid w:val="004F4B91"/>
    <w:rsid w:val="004F4BF0"/>
    <w:rsid w:val="004F58DD"/>
    <w:rsid w:val="004F7168"/>
    <w:rsid w:val="0050143B"/>
    <w:rsid w:val="00501DBD"/>
    <w:rsid w:val="00502582"/>
    <w:rsid w:val="00503941"/>
    <w:rsid w:val="00503C17"/>
    <w:rsid w:val="00503D63"/>
    <w:rsid w:val="005048C2"/>
    <w:rsid w:val="00506086"/>
    <w:rsid w:val="0050673A"/>
    <w:rsid w:val="005069BE"/>
    <w:rsid w:val="00506FF2"/>
    <w:rsid w:val="005109F1"/>
    <w:rsid w:val="005116B9"/>
    <w:rsid w:val="00512E8E"/>
    <w:rsid w:val="00515135"/>
    <w:rsid w:val="005152BF"/>
    <w:rsid w:val="00515A22"/>
    <w:rsid w:val="00515B62"/>
    <w:rsid w:val="005164F3"/>
    <w:rsid w:val="0051787D"/>
    <w:rsid w:val="00517B04"/>
    <w:rsid w:val="00520446"/>
    <w:rsid w:val="00520AFB"/>
    <w:rsid w:val="0052165D"/>
    <w:rsid w:val="00521938"/>
    <w:rsid w:val="00521BE7"/>
    <w:rsid w:val="0052327F"/>
    <w:rsid w:val="00523A55"/>
    <w:rsid w:val="00524DD9"/>
    <w:rsid w:val="005253E8"/>
    <w:rsid w:val="00525C6F"/>
    <w:rsid w:val="00525FC2"/>
    <w:rsid w:val="005267F4"/>
    <w:rsid w:val="00526B9D"/>
    <w:rsid w:val="005270CC"/>
    <w:rsid w:val="00530307"/>
    <w:rsid w:val="00530C4F"/>
    <w:rsid w:val="00530E74"/>
    <w:rsid w:val="0053102C"/>
    <w:rsid w:val="0053186B"/>
    <w:rsid w:val="005319D7"/>
    <w:rsid w:val="00532098"/>
    <w:rsid w:val="00532F21"/>
    <w:rsid w:val="00533590"/>
    <w:rsid w:val="005346C0"/>
    <w:rsid w:val="00535DD2"/>
    <w:rsid w:val="00535FBD"/>
    <w:rsid w:val="005361F8"/>
    <w:rsid w:val="00537F2E"/>
    <w:rsid w:val="00540F35"/>
    <w:rsid w:val="0054101A"/>
    <w:rsid w:val="00541693"/>
    <w:rsid w:val="00541CA4"/>
    <w:rsid w:val="00541CBD"/>
    <w:rsid w:val="00542202"/>
    <w:rsid w:val="005422DF"/>
    <w:rsid w:val="0054237D"/>
    <w:rsid w:val="005427CF"/>
    <w:rsid w:val="00542806"/>
    <w:rsid w:val="00542C30"/>
    <w:rsid w:val="005435B2"/>
    <w:rsid w:val="00543B6E"/>
    <w:rsid w:val="00544FDE"/>
    <w:rsid w:val="00545658"/>
    <w:rsid w:val="00545843"/>
    <w:rsid w:val="005468D9"/>
    <w:rsid w:val="00546AB8"/>
    <w:rsid w:val="005478A2"/>
    <w:rsid w:val="005478C4"/>
    <w:rsid w:val="00550CE8"/>
    <w:rsid w:val="005512AE"/>
    <w:rsid w:val="00551EBA"/>
    <w:rsid w:val="005546CA"/>
    <w:rsid w:val="005551BC"/>
    <w:rsid w:val="00560F62"/>
    <w:rsid w:val="00562E34"/>
    <w:rsid w:val="00563002"/>
    <w:rsid w:val="005632EC"/>
    <w:rsid w:val="0056357E"/>
    <w:rsid w:val="00563B47"/>
    <w:rsid w:val="00563EE9"/>
    <w:rsid w:val="0056438B"/>
    <w:rsid w:val="00565389"/>
    <w:rsid w:val="00565FB9"/>
    <w:rsid w:val="005660A0"/>
    <w:rsid w:val="00566213"/>
    <w:rsid w:val="0056633D"/>
    <w:rsid w:val="00567238"/>
    <w:rsid w:val="00570F03"/>
    <w:rsid w:val="00571FDE"/>
    <w:rsid w:val="0057339A"/>
    <w:rsid w:val="00573DD6"/>
    <w:rsid w:val="005747EE"/>
    <w:rsid w:val="00574D4C"/>
    <w:rsid w:val="00575159"/>
    <w:rsid w:val="005767B8"/>
    <w:rsid w:val="00576CBD"/>
    <w:rsid w:val="00577907"/>
    <w:rsid w:val="0058087E"/>
    <w:rsid w:val="0058094A"/>
    <w:rsid w:val="00583F73"/>
    <w:rsid w:val="0058459F"/>
    <w:rsid w:val="005853BD"/>
    <w:rsid w:val="00585CA7"/>
    <w:rsid w:val="00590710"/>
    <w:rsid w:val="005907E7"/>
    <w:rsid w:val="00591AA6"/>
    <w:rsid w:val="00591B8A"/>
    <w:rsid w:val="00591E24"/>
    <w:rsid w:val="00592016"/>
    <w:rsid w:val="0059415F"/>
    <w:rsid w:val="005953E2"/>
    <w:rsid w:val="00595411"/>
    <w:rsid w:val="005956AA"/>
    <w:rsid w:val="005964D9"/>
    <w:rsid w:val="005965DF"/>
    <w:rsid w:val="00596A12"/>
    <w:rsid w:val="005978C4"/>
    <w:rsid w:val="00597BB9"/>
    <w:rsid w:val="005A04AF"/>
    <w:rsid w:val="005A08C3"/>
    <w:rsid w:val="005A1CA7"/>
    <w:rsid w:val="005A24CE"/>
    <w:rsid w:val="005A29A1"/>
    <w:rsid w:val="005A4A17"/>
    <w:rsid w:val="005A54E3"/>
    <w:rsid w:val="005A5E89"/>
    <w:rsid w:val="005A7285"/>
    <w:rsid w:val="005A73DA"/>
    <w:rsid w:val="005A77B9"/>
    <w:rsid w:val="005B0109"/>
    <w:rsid w:val="005B0178"/>
    <w:rsid w:val="005B0241"/>
    <w:rsid w:val="005B0C66"/>
    <w:rsid w:val="005B111E"/>
    <w:rsid w:val="005B14A9"/>
    <w:rsid w:val="005B160E"/>
    <w:rsid w:val="005B16E4"/>
    <w:rsid w:val="005B2157"/>
    <w:rsid w:val="005B28A4"/>
    <w:rsid w:val="005B2D08"/>
    <w:rsid w:val="005B323F"/>
    <w:rsid w:val="005B36B6"/>
    <w:rsid w:val="005B44BA"/>
    <w:rsid w:val="005B4DBA"/>
    <w:rsid w:val="005B5736"/>
    <w:rsid w:val="005B6456"/>
    <w:rsid w:val="005B6B15"/>
    <w:rsid w:val="005B7CED"/>
    <w:rsid w:val="005C03F1"/>
    <w:rsid w:val="005C1BEE"/>
    <w:rsid w:val="005C1D25"/>
    <w:rsid w:val="005C29CE"/>
    <w:rsid w:val="005C2B48"/>
    <w:rsid w:val="005C30F0"/>
    <w:rsid w:val="005C3307"/>
    <w:rsid w:val="005C42BE"/>
    <w:rsid w:val="005C4425"/>
    <w:rsid w:val="005C4608"/>
    <w:rsid w:val="005C57BA"/>
    <w:rsid w:val="005C5C7A"/>
    <w:rsid w:val="005C60BE"/>
    <w:rsid w:val="005C6261"/>
    <w:rsid w:val="005D0873"/>
    <w:rsid w:val="005D2515"/>
    <w:rsid w:val="005D2B71"/>
    <w:rsid w:val="005D32A4"/>
    <w:rsid w:val="005D3DFB"/>
    <w:rsid w:val="005D4472"/>
    <w:rsid w:val="005D4584"/>
    <w:rsid w:val="005D4777"/>
    <w:rsid w:val="005D4980"/>
    <w:rsid w:val="005D4DAA"/>
    <w:rsid w:val="005D5AEC"/>
    <w:rsid w:val="005D6163"/>
    <w:rsid w:val="005D737D"/>
    <w:rsid w:val="005D7A4D"/>
    <w:rsid w:val="005E1628"/>
    <w:rsid w:val="005E17F9"/>
    <w:rsid w:val="005E217E"/>
    <w:rsid w:val="005E2C00"/>
    <w:rsid w:val="005E2DEB"/>
    <w:rsid w:val="005E4332"/>
    <w:rsid w:val="005E4430"/>
    <w:rsid w:val="005E4D8E"/>
    <w:rsid w:val="005E6620"/>
    <w:rsid w:val="005E7299"/>
    <w:rsid w:val="005E7E1C"/>
    <w:rsid w:val="005F03FF"/>
    <w:rsid w:val="005F103D"/>
    <w:rsid w:val="005F13EA"/>
    <w:rsid w:val="005F1DFB"/>
    <w:rsid w:val="005F2301"/>
    <w:rsid w:val="005F2A12"/>
    <w:rsid w:val="005F2A63"/>
    <w:rsid w:val="005F5EF6"/>
    <w:rsid w:val="005F5FC2"/>
    <w:rsid w:val="005F5FDC"/>
    <w:rsid w:val="005F6356"/>
    <w:rsid w:val="005F7304"/>
    <w:rsid w:val="00600001"/>
    <w:rsid w:val="0060244B"/>
    <w:rsid w:val="0060299B"/>
    <w:rsid w:val="00603CEC"/>
    <w:rsid w:val="0060408E"/>
    <w:rsid w:val="00604B59"/>
    <w:rsid w:val="0060520B"/>
    <w:rsid w:val="0060549F"/>
    <w:rsid w:val="00605CA5"/>
    <w:rsid w:val="00605D2C"/>
    <w:rsid w:val="006062AE"/>
    <w:rsid w:val="0060652D"/>
    <w:rsid w:val="00606558"/>
    <w:rsid w:val="00606AB2"/>
    <w:rsid w:val="00610298"/>
    <w:rsid w:val="00610356"/>
    <w:rsid w:val="00610D3F"/>
    <w:rsid w:val="00611367"/>
    <w:rsid w:val="0061179E"/>
    <w:rsid w:val="006120B7"/>
    <w:rsid w:val="0061232C"/>
    <w:rsid w:val="0061279D"/>
    <w:rsid w:val="006127B0"/>
    <w:rsid w:val="00612BC2"/>
    <w:rsid w:val="006131CC"/>
    <w:rsid w:val="00614629"/>
    <w:rsid w:val="0061506A"/>
    <w:rsid w:val="006151A0"/>
    <w:rsid w:val="006154F6"/>
    <w:rsid w:val="0061632D"/>
    <w:rsid w:val="006166C7"/>
    <w:rsid w:val="00616B68"/>
    <w:rsid w:val="00616DF5"/>
    <w:rsid w:val="006171AD"/>
    <w:rsid w:val="0061727D"/>
    <w:rsid w:val="006173BF"/>
    <w:rsid w:val="00617ABC"/>
    <w:rsid w:val="00617D1C"/>
    <w:rsid w:val="00617F89"/>
    <w:rsid w:val="00620612"/>
    <w:rsid w:val="006209B4"/>
    <w:rsid w:val="006212B2"/>
    <w:rsid w:val="006213B2"/>
    <w:rsid w:val="00621DD7"/>
    <w:rsid w:val="00622C85"/>
    <w:rsid w:val="00623A05"/>
    <w:rsid w:val="006244D6"/>
    <w:rsid w:val="0062491A"/>
    <w:rsid w:val="00624B6B"/>
    <w:rsid w:val="00624BAE"/>
    <w:rsid w:val="00624D01"/>
    <w:rsid w:val="006256E3"/>
    <w:rsid w:val="006266EE"/>
    <w:rsid w:val="00627CDA"/>
    <w:rsid w:val="0063159E"/>
    <w:rsid w:val="0063192E"/>
    <w:rsid w:val="00631B21"/>
    <w:rsid w:val="00631C6E"/>
    <w:rsid w:val="006327E6"/>
    <w:rsid w:val="00633537"/>
    <w:rsid w:val="00633889"/>
    <w:rsid w:val="0063457F"/>
    <w:rsid w:val="006345F1"/>
    <w:rsid w:val="006349CA"/>
    <w:rsid w:val="00635EA8"/>
    <w:rsid w:val="00637122"/>
    <w:rsid w:val="006414EA"/>
    <w:rsid w:val="00644263"/>
    <w:rsid w:val="00644478"/>
    <w:rsid w:val="006451D7"/>
    <w:rsid w:val="00645761"/>
    <w:rsid w:val="00647BD2"/>
    <w:rsid w:val="00647E83"/>
    <w:rsid w:val="00650231"/>
    <w:rsid w:val="00650E4D"/>
    <w:rsid w:val="00650EB4"/>
    <w:rsid w:val="00651C0E"/>
    <w:rsid w:val="006529B4"/>
    <w:rsid w:val="00653CFB"/>
    <w:rsid w:val="00653D68"/>
    <w:rsid w:val="00654F18"/>
    <w:rsid w:val="00655416"/>
    <w:rsid w:val="00655AC8"/>
    <w:rsid w:val="00656333"/>
    <w:rsid w:val="00660E06"/>
    <w:rsid w:val="00661609"/>
    <w:rsid w:val="00661A54"/>
    <w:rsid w:val="006621B2"/>
    <w:rsid w:val="006621FB"/>
    <w:rsid w:val="00662DA7"/>
    <w:rsid w:val="00663B62"/>
    <w:rsid w:val="00664306"/>
    <w:rsid w:val="00664479"/>
    <w:rsid w:val="00664A78"/>
    <w:rsid w:val="00665E9E"/>
    <w:rsid w:val="0066636E"/>
    <w:rsid w:val="006671EF"/>
    <w:rsid w:val="00667A3F"/>
    <w:rsid w:val="00670650"/>
    <w:rsid w:val="00671477"/>
    <w:rsid w:val="006720DD"/>
    <w:rsid w:val="006721BD"/>
    <w:rsid w:val="0067231E"/>
    <w:rsid w:val="006736F0"/>
    <w:rsid w:val="00673B98"/>
    <w:rsid w:val="006749F2"/>
    <w:rsid w:val="00674B73"/>
    <w:rsid w:val="00675343"/>
    <w:rsid w:val="00677BAC"/>
    <w:rsid w:val="00680136"/>
    <w:rsid w:val="00680CEB"/>
    <w:rsid w:val="00681368"/>
    <w:rsid w:val="00682C28"/>
    <w:rsid w:val="00682CE5"/>
    <w:rsid w:val="00682F57"/>
    <w:rsid w:val="00683D11"/>
    <w:rsid w:val="006844E1"/>
    <w:rsid w:val="00684870"/>
    <w:rsid w:val="00684899"/>
    <w:rsid w:val="00684C14"/>
    <w:rsid w:val="0068523E"/>
    <w:rsid w:val="006853F8"/>
    <w:rsid w:val="0068555E"/>
    <w:rsid w:val="006858A9"/>
    <w:rsid w:val="0068590C"/>
    <w:rsid w:val="00686996"/>
    <w:rsid w:val="00687233"/>
    <w:rsid w:val="00687515"/>
    <w:rsid w:val="00690428"/>
    <w:rsid w:val="00690498"/>
    <w:rsid w:val="00690A3E"/>
    <w:rsid w:val="00690B1C"/>
    <w:rsid w:val="006911A1"/>
    <w:rsid w:val="0069147A"/>
    <w:rsid w:val="00691779"/>
    <w:rsid w:val="00691BED"/>
    <w:rsid w:val="00691D48"/>
    <w:rsid w:val="006930D7"/>
    <w:rsid w:val="006939CA"/>
    <w:rsid w:val="006943DD"/>
    <w:rsid w:val="00694576"/>
    <w:rsid w:val="00696A62"/>
    <w:rsid w:val="00697C70"/>
    <w:rsid w:val="00697CE4"/>
    <w:rsid w:val="006A0366"/>
    <w:rsid w:val="006A1254"/>
    <w:rsid w:val="006A321D"/>
    <w:rsid w:val="006A3422"/>
    <w:rsid w:val="006A4582"/>
    <w:rsid w:val="006A4620"/>
    <w:rsid w:val="006A5452"/>
    <w:rsid w:val="006A59DD"/>
    <w:rsid w:val="006A5B6C"/>
    <w:rsid w:val="006A5DB5"/>
    <w:rsid w:val="006A5FC3"/>
    <w:rsid w:val="006A6260"/>
    <w:rsid w:val="006A7FAE"/>
    <w:rsid w:val="006B0F56"/>
    <w:rsid w:val="006B1ED3"/>
    <w:rsid w:val="006B2893"/>
    <w:rsid w:val="006B2B5E"/>
    <w:rsid w:val="006B46C2"/>
    <w:rsid w:val="006B4C5A"/>
    <w:rsid w:val="006B65D8"/>
    <w:rsid w:val="006B710B"/>
    <w:rsid w:val="006B7531"/>
    <w:rsid w:val="006C0306"/>
    <w:rsid w:val="006C0A77"/>
    <w:rsid w:val="006C35B3"/>
    <w:rsid w:val="006C59A0"/>
    <w:rsid w:val="006C6120"/>
    <w:rsid w:val="006C6D73"/>
    <w:rsid w:val="006C7224"/>
    <w:rsid w:val="006D2D01"/>
    <w:rsid w:val="006D2D12"/>
    <w:rsid w:val="006D3DC7"/>
    <w:rsid w:val="006D4813"/>
    <w:rsid w:val="006D4FD5"/>
    <w:rsid w:val="006D5A59"/>
    <w:rsid w:val="006D5F4B"/>
    <w:rsid w:val="006D6A8A"/>
    <w:rsid w:val="006D7889"/>
    <w:rsid w:val="006D799B"/>
    <w:rsid w:val="006E0D35"/>
    <w:rsid w:val="006E209C"/>
    <w:rsid w:val="006E29A0"/>
    <w:rsid w:val="006E2E7E"/>
    <w:rsid w:val="006E3556"/>
    <w:rsid w:val="006E3860"/>
    <w:rsid w:val="006E5A72"/>
    <w:rsid w:val="006E63B7"/>
    <w:rsid w:val="006E775B"/>
    <w:rsid w:val="006E7847"/>
    <w:rsid w:val="006F0D40"/>
    <w:rsid w:val="006F1185"/>
    <w:rsid w:val="006F13AB"/>
    <w:rsid w:val="006F255C"/>
    <w:rsid w:val="006F303E"/>
    <w:rsid w:val="006F39AB"/>
    <w:rsid w:val="006F4114"/>
    <w:rsid w:val="006F4728"/>
    <w:rsid w:val="006F69A4"/>
    <w:rsid w:val="00701C7A"/>
    <w:rsid w:val="00702021"/>
    <w:rsid w:val="007021DA"/>
    <w:rsid w:val="0070246C"/>
    <w:rsid w:val="00702DD4"/>
    <w:rsid w:val="007032F8"/>
    <w:rsid w:val="007037FC"/>
    <w:rsid w:val="00704A84"/>
    <w:rsid w:val="00706C91"/>
    <w:rsid w:val="00710449"/>
    <w:rsid w:val="00710558"/>
    <w:rsid w:val="00712033"/>
    <w:rsid w:val="00713C86"/>
    <w:rsid w:val="007143C3"/>
    <w:rsid w:val="00714631"/>
    <w:rsid w:val="00714A74"/>
    <w:rsid w:val="00714B04"/>
    <w:rsid w:val="007158BE"/>
    <w:rsid w:val="00716E44"/>
    <w:rsid w:val="007178E6"/>
    <w:rsid w:val="00720299"/>
    <w:rsid w:val="0072078E"/>
    <w:rsid w:val="00720B05"/>
    <w:rsid w:val="00720E9F"/>
    <w:rsid w:val="00721CA0"/>
    <w:rsid w:val="00722291"/>
    <w:rsid w:val="007224D6"/>
    <w:rsid w:val="00722A9A"/>
    <w:rsid w:val="0072420B"/>
    <w:rsid w:val="007248A4"/>
    <w:rsid w:val="00724FAE"/>
    <w:rsid w:val="007253AA"/>
    <w:rsid w:val="007258BC"/>
    <w:rsid w:val="00725948"/>
    <w:rsid w:val="00726DB4"/>
    <w:rsid w:val="0072729C"/>
    <w:rsid w:val="007273D5"/>
    <w:rsid w:val="00727442"/>
    <w:rsid w:val="0072753F"/>
    <w:rsid w:val="00727E60"/>
    <w:rsid w:val="00730502"/>
    <w:rsid w:val="007330D2"/>
    <w:rsid w:val="00733F7A"/>
    <w:rsid w:val="00734273"/>
    <w:rsid w:val="00734642"/>
    <w:rsid w:val="0073596F"/>
    <w:rsid w:val="00735E4D"/>
    <w:rsid w:val="007362BA"/>
    <w:rsid w:val="00736896"/>
    <w:rsid w:val="00736FF7"/>
    <w:rsid w:val="00737091"/>
    <w:rsid w:val="007377C6"/>
    <w:rsid w:val="007378D4"/>
    <w:rsid w:val="0074119A"/>
    <w:rsid w:val="00741973"/>
    <w:rsid w:val="0074212B"/>
    <w:rsid w:val="0074220F"/>
    <w:rsid w:val="00742A63"/>
    <w:rsid w:val="00742B61"/>
    <w:rsid w:val="00742CD9"/>
    <w:rsid w:val="00743CC2"/>
    <w:rsid w:val="00744242"/>
    <w:rsid w:val="0074536A"/>
    <w:rsid w:val="007453F4"/>
    <w:rsid w:val="00745DF2"/>
    <w:rsid w:val="00746223"/>
    <w:rsid w:val="007468D3"/>
    <w:rsid w:val="007475A0"/>
    <w:rsid w:val="0075006A"/>
    <w:rsid w:val="007507A4"/>
    <w:rsid w:val="00752683"/>
    <w:rsid w:val="0075369C"/>
    <w:rsid w:val="0075388B"/>
    <w:rsid w:val="00754584"/>
    <w:rsid w:val="00754BFE"/>
    <w:rsid w:val="00754E82"/>
    <w:rsid w:val="007558B0"/>
    <w:rsid w:val="00757171"/>
    <w:rsid w:val="00757537"/>
    <w:rsid w:val="007576BF"/>
    <w:rsid w:val="00757861"/>
    <w:rsid w:val="00760287"/>
    <w:rsid w:val="007605FF"/>
    <w:rsid w:val="00760879"/>
    <w:rsid w:val="00761B69"/>
    <w:rsid w:val="0076256D"/>
    <w:rsid w:val="00762B93"/>
    <w:rsid w:val="00762BF0"/>
    <w:rsid w:val="00762CD8"/>
    <w:rsid w:val="00762EAE"/>
    <w:rsid w:val="00762FF7"/>
    <w:rsid w:val="0076343B"/>
    <w:rsid w:val="007637D8"/>
    <w:rsid w:val="00763B31"/>
    <w:rsid w:val="00764D75"/>
    <w:rsid w:val="007701A6"/>
    <w:rsid w:val="007710F0"/>
    <w:rsid w:val="00771B11"/>
    <w:rsid w:val="00771C41"/>
    <w:rsid w:val="0077224B"/>
    <w:rsid w:val="00772473"/>
    <w:rsid w:val="00772F66"/>
    <w:rsid w:val="00773237"/>
    <w:rsid w:val="007751EE"/>
    <w:rsid w:val="00775771"/>
    <w:rsid w:val="00775C08"/>
    <w:rsid w:val="00775D19"/>
    <w:rsid w:val="00777301"/>
    <w:rsid w:val="007803C4"/>
    <w:rsid w:val="007806C7"/>
    <w:rsid w:val="00780C50"/>
    <w:rsid w:val="0078141C"/>
    <w:rsid w:val="0078525F"/>
    <w:rsid w:val="00785F9B"/>
    <w:rsid w:val="00786869"/>
    <w:rsid w:val="00786BC4"/>
    <w:rsid w:val="00787C34"/>
    <w:rsid w:val="00790829"/>
    <w:rsid w:val="00790CC9"/>
    <w:rsid w:val="00790F7F"/>
    <w:rsid w:val="007916CD"/>
    <w:rsid w:val="00793169"/>
    <w:rsid w:val="00793BEB"/>
    <w:rsid w:val="0079456E"/>
    <w:rsid w:val="00794702"/>
    <w:rsid w:val="00795423"/>
    <w:rsid w:val="007959BF"/>
    <w:rsid w:val="00795D6F"/>
    <w:rsid w:val="00796A74"/>
    <w:rsid w:val="0079725D"/>
    <w:rsid w:val="007A066C"/>
    <w:rsid w:val="007A0AFF"/>
    <w:rsid w:val="007A10C4"/>
    <w:rsid w:val="007A1896"/>
    <w:rsid w:val="007A2944"/>
    <w:rsid w:val="007A2DD0"/>
    <w:rsid w:val="007A318C"/>
    <w:rsid w:val="007A38C1"/>
    <w:rsid w:val="007A3F3E"/>
    <w:rsid w:val="007A3F92"/>
    <w:rsid w:val="007A45D9"/>
    <w:rsid w:val="007A5C6D"/>
    <w:rsid w:val="007A6E43"/>
    <w:rsid w:val="007A6FCD"/>
    <w:rsid w:val="007A77AB"/>
    <w:rsid w:val="007A7A13"/>
    <w:rsid w:val="007B05C3"/>
    <w:rsid w:val="007B25F0"/>
    <w:rsid w:val="007B4723"/>
    <w:rsid w:val="007B4A3A"/>
    <w:rsid w:val="007B5F43"/>
    <w:rsid w:val="007B5FA5"/>
    <w:rsid w:val="007B63D3"/>
    <w:rsid w:val="007B67A2"/>
    <w:rsid w:val="007B7FE9"/>
    <w:rsid w:val="007C0DA4"/>
    <w:rsid w:val="007C125E"/>
    <w:rsid w:val="007C12D1"/>
    <w:rsid w:val="007C17D0"/>
    <w:rsid w:val="007C1E23"/>
    <w:rsid w:val="007C1F9A"/>
    <w:rsid w:val="007C2069"/>
    <w:rsid w:val="007C2308"/>
    <w:rsid w:val="007C3449"/>
    <w:rsid w:val="007C4F77"/>
    <w:rsid w:val="007C52A5"/>
    <w:rsid w:val="007C67C5"/>
    <w:rsid w:val="007C6983"/>
    <w:rsid w:val="007D03DE"/>
    <w:rsid w:val="007D068A"/>
    <w:rsid w:val="007D0857"/>
    <w:rsid w:val="007D11E0"/>
    <w:rsid w:val="007D2712"/>
    <w:rsid w:val="007D3121"/>
    <w:rsid w:val="007D37BD"/>
    <w:rsid w:val="007D3B5D"/>
    <w:rsid w:val="007D42A3"/>
    <w:rsid w:val="007D46E6"/>
    <w:rsid w:val="007D7902"/>
    <w:rsid w:val="007D7AE6"/>
    <w:rsid w:val="007D7EB2"/>
    <w:rsid w:val="007E2EF7"/>
    <w:rsid w:val="007E3305"/>
    <w:rsid w:val="007E43B1"/>
    <w:rsid w:val="007E447C"/>
    <w:rsid w:val="007E4887"/>
    <w:rsid w:val="007E4C5C"/>
    <w:rsid w:val="007E5A93"/>
    <w:rsid w:val="007E5FC1"/>
    <w:rsid w:val="007E66B5"/>
    <w:rsid w:val="007E7140"/>
    <w:rsid w:val="007E7B64"/>
    <w:rsid w:val="007F0714"/>
    <w:rsid w:val="007F0F2F"/>
    <w:rsid w:val="007F0F78"/>
    <w:rsid w:val="007F12B0"/>
    <w:rsid w:val="007F182C"/>
    <w:rsid w:val="007F3731"/>
    <w:rsid w:val="007F3BC5"/>
    <w:rsid w:val="007F426D"/>
    <w:rsid w:val="007F4CD4"/>
    <w:rsid w:val="007F5821"/>
    <w:rsid w:val="007F66B2"/>
    <w:rsid w:val="007F69DC"/>
    <w:rsid w:val="007F6DD6"/>
    <w:rsid w:val="007F727D"/>
    <w:rsid w:val="00800CE0"/>
    <w:rsid w:val="0080107B"/>
    <w:rsid w:val="008010F6"/>
    <w:rsid w:val="00801283"/>
    <w:rsid w:val="008014EF"/>
    <w:rsid w:val="008017B9"/>
    <w:rsid w:val="00801831"/>
    <w:rsid w:val="00801DEC"/>
    <w:rsid w:val="0080555A"/>
    <w:rsid w:val="00806CB7"/>
    <w:rsid w:val="00807773"/>
    <w:rsid w:val="00807794"/>
    <w:rsid w:val="00807D09"/>
    <w:rsid w:val="00807F98"/>
    <w:rsid w:val="00810713"/>
    <w:rsid w:val="0081135F"/>
    <w:rsid w:val="0081316D"/>
    <w:rsid w:val="00815706"/>
    <w:rsid w:val="00815721"/>
    <w:rsid w:val="008158C2"/>
    <w:rsid w:val="00815B20"/>
    <w:rsid w:val="008163BA"/>
    <w:rsid w:val="00816926"/>
    <w:rsid w:val="00820144"/>
    <w:rsid w:val="008205E1"/>
    <w:rsid w:val="008206C3"/>
    <w:rsid w:val="00821080"/>
    <w:rsid w:val="008213E3"/>
    <w:rsid w:val="00821698"/>
    <w:rsid w:val="0082182E"/>
    <w:rsid w:val="00822BFB"/>
    <w:rsid w:val="00823BD8"/>
    <w:rsid w:val="00823CFC"/>
    <w:rsid w:val="0082411F"/>
    <w:rsid w:val="008250E6"/>
    <w:rsid w:val="00825C8B"/>
    <w:rsid w:val="00826489"/>
    <w:rsid w:val="00826896"/>
    <w:rsid w:val="00827858"/>
    <w:rsid w:val="00827A0A"/>
    <w:rsid w:val="00827B9A"/>
    <w:rsid w:val="008305A7"/>
    <w:rsid w:val="00830ABC"/>
    <w:rsid w:val="008315C2"/>
    <w:rsid w:val="0083298F"/>
    <w:rsid w:val="008358B8"/>
    <w:rsid w:val="00835E2E"/>
    <w:rsid w:val="00836AA0"/>
    <w:rsid w:val="008401FB"/>
    <w:rsid w:val="00840D27"/>
    <w:rsid w:val="008418F6"/>
    <w:rsid w:val="0084236A"/>
    <w:rsid w:val="00842786"/>
    <w:rsid w:val="00843986"/>
    <w:rsid w:val="00843B3B"/>
    <w:rsid w:val="00843FE6"/>
    <w:rsid w:val="008441E3"/>
    <w:rsid w:val="00844EA3"/>
    <w:rsid w:val="00845916"/>
    <w:rsid w:val="00845CCA"/>
    <w:rsid w:val="0084624B"/>
    <w:rsid w:val="00850034"/>
    <w:rsid w:val="008505BA"/>
    <w:rsid w:val="008523D5"/>
    <w:rsid w:val="008523DA"/>
    <w:rsid w:val="00853393"/>
    <w:rsid w:val="0085350B"/>
    <w:rsid w:val="00854D81"/>
    <w:rsid w:val="00855840"/>
    <w:rsid w:val="008566B0"/>
    <w:rsid w:val="0085779F"/>
    <w:rsid w:val="008578CD"/>
    <w:rsid w:val="0086023B"/>
    <w:rsid w:val="008602AF"/>
    <w:rsid w:val="00860437"/>
    <w:rsid w:val="0086109C"/>
    <w:rsid w:val="00861BC0"/>
    <w:rsid w:val="00862186"/>
    <w:rsid w:val="008625DA"/>
    <w:rsid w:val="00863387"/>
    <w:rsid w:val="00863718"/>
    <w:rsid w:val="00863A03"/>
    <w:rsid w:val="00863E25"/>
    <w:rsid w:val="00864F84"/>
    <w:rsid w:val="008652B3"/>
    <w:rsid w:val="008652D0"/>
    <w:rsid w:val="00866053"/>
    <w:rsid w:val="00866163"/>
    <w:rsid w:val="00866406"/>
    <w:rsid w:val="0086653C"/>
    <w:rsid w:val="00866A2D"/>
    <w:rsid w:val="00866D28"/>
    <w:rsid w:val="00866F5F"/>
    <w:rsid w:val="00867738"/>
    <w:rsid w:val="0087039F"/>
    <w:rsid w:val="008707B6"/>
    <w:rsid w:val="008716A3"/>
    <w:rsid w:val="008718DE"/>
    <w:rsid w:val="00871EFB"/>
    <w:rsid w:val="008724CF"/>
    <w:rsid w:val="008736E0"/>
    <w:rsid w:val="00874AEE"/>
    <w:rsid w:val="00874B6A"/>
    <w:rsid w:val="00874BB6"/>
    <w:rsid w:val="00875695"/>
    <w:rsid w:val="00875CE0"/>
    <w:rsid w:val="00876B21"/>
    <w:rsid w:val="00876C09"/>
    <w:rsid w:val="00876E85"/>
    <w:rsid w:val="0087761D"/>
    <w:rsid w:val="0087781B"/>
    <w:rsid w:val="00877E53"/>
    <w:rsid w:val="00880A99"/>
    <w:rsid w:val="0088185A"/>
    <w:rsid w:val="00881A71"/>
    <w:rsid w:val="00882419"/>
    <w:rsid w:val="00883942"/>
    <w:rsid w:val="008842D6"/>
    <w:rsid w:val="008844A9"/>
    <w:rsid w:val="008847E8"/>
    <w:rsid w:val="008849C0"/>
    <w:rsid w:val="00884F5B"/>
    <w:rsid w:val="008860FA"/>
    <w:rsid w:val="0088639A"/>
    <w:rsid w:val="00886E1F"/>
    <w:rsid w:val="008875C0"/>
    <w:rsid w:val="0089093C"/>
    <w:rsid w:val="008916A6"/>
    <w:rsid w:val="00892CB2"/>
    <w:rsid w:val="00893543"/>
    <w:rsid w:val="0089362B"/>
    <w:rsid w:val="00893830"/>
    <w:rsid w:val="00893C83"/>
    <w:rsid w:val="00893D0F"/>
    <w:rsid w:val="00893E9B"/>
    <w:rsid w:val="00894752"/>
    <w:rsid w:val="00894FF9"/>
    <w:rsid w:val="00895D6F"/>
    <w:rsid w:val="00895DCC"/>
    <w:rsid w:val="00896DE4"/>
    <w:rsid w:val="00896E53"/>
    <w:rsid w:val="008974DD"/>
    <w:rsid w:val="00897B8D"/>
    <w:rsid w:val="00897FDC"/>
    <w:rsid w:val="008A0989"/>
    <w:rsid w:val="008A14C1"/>
    <w:rsid w:val="008A1534"/>
    <w:rsid w:val="008A1F77"/>
    <w:rsid w:val="008A2150"/>
    <w:rsid w:val="008A3FD5"/>
    <w:rsid w:val="008A4DE4"/>
    <w:rsid w:val="008A598A"/>
    <w:rsid w:val="008A63FF"/>
    <w:rsid w:val="008A74B4"/>
    <w:rsid w:val="008B071F"/>
    <w:rsid w:val="008B0AF1"/>
    <w:rsid w:val="008B13DB"/>
    <w:rsid w:val="008B1438"/>
    <w:rsid w:val="008B238B"/>
    <w:rsid w:val="008B29F1"/>
    <w:rsid w:val="008B2A0F"/>
    <w:rsid w:val="008B384D"/>
    <w:rsid w:val="008B4098"/>
    <w:rsid w:val="008B4307"/>
    <w:rsid w:val="008B462D"/>
    <w:rsid w:val="008B5A4E"/>
    <w:rsid w:val="008B5ECC"/>
    <w:rsid w:val="008B6422"/>
    <w:rsid w:val="008B664F"/>
    <w:rsid w:val="008B6EEA"/>
    <w:rsid w:val="008B746A"/>
    <w:rsid w:val="008B7EA5"/>
    <w:rsid w:val="008C18B6"/>
    <w:rsid w:val="008C309D"/>
    <w:rsid w:val="008C3438"/>
    <w:rsid w:val="008C49AE"/>
    <w:rsid w:val="008C589F"/>
    <w:rsid w:val="008C6028"/>
    <w:rsid w:val="008C66E3"/>
    <w:rsid w:val="008C6B9D"/>
    <w:rsid w:val="008C7572"/>
    <w:rsid w:val="008C7B64"/>
    <w:rsid w:val="008D0042"/>
    <w:rsid w:val="008D0F63"/>
    <w:rsid w:val="008D1A70"/>
    <w:rsid w:val="008D239D"/>
    <w:rsid w:val="008D4426"/>
    <w:rsid w:val="008D48AE"/>
    <w:rsid w:val="008D5A4B"/>
    <w:rsid w:val="008D619F"/>
    <w:rsid w:val="008D6712"/>
    <w:rsid w:val="008D6DFB"/>
    <w:rsid w:val="008D70B0"/>
    <w:rsid w:val="008D7182"/>
    <w:rsid w:val="008E1483"/>
    <w:rsid w:val="008E1696"/>
    <w:rsid w:val="008E2AD8"/>
    <w:rsid w:val="008E2E2A"/>
    <w:rsid w:val="008E3D81"/>
    <w:rsid w:val="008E4707"/>
    <w:rsid w:val="008F0AB7"/>
    <w:rsid w:val="008F2717"/>
    <w:rsid w:val="008F2922"/>
    <w:rsid w:val="008F3CC1"/>
    <w:rsid w:val="008F4430"/>
    <w:rsid w:val="008F4E7A"/>
    <w:rsid w:val="008F5336"/>
    <w:rsid w:val="008F6252"/>
    <w:rsid w:val="008F7973"/>
    <w:rsid w:val="00900B13"/>
    <w:rsid w:val="00901BB4"/>
    <w:rsid w:val="00901E3A"/>
    <w:rsid w:val="009026C5"/>
    <w:rsid w:val="00902A9B"/>
    <w:rsid w:val="00903625"/>
    <w:rsid w:val="00903739"/>
    <w:rsid w:val="00903923"/>
    <w:rsid w:val="00903F36"/>
    <w:rsid w:val="00905049"/>
    <w:rsid w:val="0090578B"/>
    <w:rsid w:val="009059EA"/>
    <w:rsid w:val="00905C40"/>
    <w:rsid w:val="0090666E"/>
    <w:rsid w:val="00906B1F"/>
    <w:rsid w:val="00910399"/>
    <w:rsid w:val="009121D3"/>
    <w:rsid w:val="00912E35"/>
    <w:rsid w:val="009136C4"/>
    <w:rsid w:val="00915E9D"/>
    <w:rsid w:val="00916915"/>
    <w:rsid w:val="009174BE"/>
    <w:rsid w:val="009179CD"/>
    <w:rsid w:val="0092117B"/>
    <w:rsid w:val="00921C50"/>
    <w:rsid w:val="0092212A"/>
    <w:rsid w:val="009254C2"/>
    <w:rsid w:val="00925A1F"/>
    <w:rsid w:val="00926752"/>
    <w:rsid w:val="009269E9"/>
    <w:rsid w:val="00927173"/>
    <w:rsid w:val="00927606"/>
    <w:rsid w:val="00927880"/>
    <w:rsid w:val="009307F0"/>
    <w:rsid w:val="009309E6"/>
    <w:rsid w:val="00931803"/>
    <w:rsid w:val="00931EC6"/>
    <w:rsid w:val="00933A2C"/>
    <w:rsid w:val="00933BA2"/>
    <w:rsid w:val="00934301"/>
    <w:rsid w:val="009349B8"/>
    <w:rsid w:val="00935F1E"/>
    <w:rsid w:val="00937150"/>
    <w:rsid w:val="00937A78"/>
    <w:rsid w:val="00941ACB"/>
    <w:rsid w:val="0094225F"/>
    <w:rsid w:val="00943791"/>
    <w:rsid w:val="00943CBB"/>
    <w:rsid w:val="00943E88"/>
    <w:rsid w:val="00947AA7"/>
    <w:rsid w:val="00950554"/>
    <w:rsid w:val="009505AF"/>
    <w:rsid w:val="009505E3"/>
    <w:rsid w:val="009507AA"/>
    <w:rsid w:val="00951612"/>
    <w:rsid w:val="00951FC2"/>
    <w:rsid w:val="00955487"/>
    <w:rsid w:val="00955AE2"/>
    <w:rsid w:val="00955FA4"/>
    <w:rsid w:val="00960ED8"/>
    <w:rsid w:val="00961458"/>
    <w:rsid w:val="00961619"/>
    <w:rsid w:val="00961E20"/>
    <w:rsid w:val="00961F3D"/>
    <w:rsid w:val="009623AF"/>
    <w:rsid w:val="00962559"/>
    <w:rsid w:val="009629B1"/>
    <w:rsid w:val="00962FD5"/>
    <w:rsid w:val="00963426"/>
    <w:rsid w:val="009634A9"/>
    <w:rsid w:val="00963741"/>
    <w:rsid w:val="00963F65"/>
    <w:rsid w:val="009647FD"/>
    <w:rsid w:val="00964FF8"/>
    <w:rsid w:val="00965181"/>
    <w:rsid w:val="00965A79"/>
    <w:rsid w:val="00967C23"/>
    <w:rsid w:val="00970582"/>
    <w:rsid w:val="00970C0A"/>
    <w:rsid w:val="0097111A"/>
    <w:rsid w:val="0097248A"/>
    <w:rsid w:val="009726D0"/>
    <w:rsid w:val="00973A75"/>
    <w:rsid w:val="00973FE5"/>
    <w:rsid w:val="00974394"/>
    <w:rsid w:val="0097460C"/>
    <w:rsid w:val="00974945"/>
    <w:rsid w:val="00975938"/>
    <w:rsid w:val="00975C4D"/>
    <w:rsid w:val="00976289"/>
    <w:rsid w:val="009768A0"/>
    <w:rsid w:val="00980A1E"/>
    <w:rsid w:val="00980C28"/>
    <w:rsid w:val="009817C4"/>
    <w:rsid w:val="009821BB"/>
    <w:rsid w:val="00982889"/>
    <w:rsid w:val="00982D9C"/>
    <w:rsid w:val="00982DB2"/>
    <w:rsid w:val="00983CF5"/>
    <w:rsid w:val="009846B5"/>
    <w:rsid w:val="009848E2"/>
    <w:rsid w:val="00985966"/>
    <w:rsid w:val="00986348"/>
    <w:rsid w:val="0098715D"/>
    <w:rsid w:val="00987704"/>
    <w:rsid w:val="00990B04"/>
    <w:rsid w:val="00990B0A"/>
    <w:rsid w:val="00990F71"/>
    <w:rsid w:val="00991D09"/>
    <w:rsid w:val="009926A7"/>
    <w:rsid w:val="009931B4"/>
    <w:rsid w:val="00993993"/>
    <w:rsid w:val="00993B46"/>
    <w:rsid w:val="00993D1C"/>
    <w:rsid w:val="00993DB9"/>
    <w:rsid w:val="009941B9"/>
    <w:rsid w:val="00994493"/>
    <w:rsid w:val="0099501B"/>
    <w:rsid w:val="00995A7C"/>
    <w:rsid w:val="00995E1B"/>
    <w:rsid w:val="0099688A"/>
    <w:rsid w:val="0099792A"/>
    <w:rsid w:val="00997CF1"/>
    <w:rsid w:val="009A052E"/>
    <w:rsid w:val="009A2C61"/>
    <w:rsid w:val="009A31A9"/>
    <w:rsid w:val="009A3DE0"/>
    <w:rsid w:val="009A4996"/>
    <w:rsid w:val="009A662C"/>
    <w:rsid w:val="009A6C69"/>
    <w:rsid w:val="009A7465"/>
    <w:rsid w:val="009B0535"/>
    <w:rsid w:val="009B0628"/>
    <w:rsid w:val="009B1252"/>
    <w:rsid w:val="009B1427"/>
    <w:rsid w:val="009B1BF3"/>
    <w:rsid w:val="009B2B94"/>
    <w:rsid w:val="009B3980"/>
    <w:rsid w:val="009B3CB2"/>
    <w:rsid w:val="009B3ECB"/>
    <w:rsid w:val="009B43D7"/>
    <w:rsid w:val="009B516E"/>
    <w:rsid w:val="009B693B"/>
    <w:rsid w:val="009B7665"/>
    <w:rsid w:val="009B76DC"/>
    <w:rsid w:val="009B789D"/>
    <w:rsid w:val="009B7AEC"/>
    <w:rsid w:val="009C0C65"/>
    <w:rsid w:val="009C0FEC"/>
    <w:rsid w:val="009C20CE"/>
    <w:rsid w:val="009C3337"/>
    <w:rsid w:val="009C37F3"/>
    <w:rsid w:val="009C3F18"/>
    <w:rsid w:val="009C4249"/>
    <w:rsid w:val="009C43FC"/>
    <w:rsid w:val="009C50EB"/>
    <w:rsid w:val="009C518B"/>
    <w:rsid w:val="009C5467"/>
    <w:rsid w:val="009C6557"/>
    <w:rsid w:val="009C68D4"/>
    <w:rsid w:val="009C7498"/>
    <w:rsid w:val="009C7D9F"/>
    <w:rsid w:val="009C7EB5"/>
    <w:rsid w:val="009D06E6"/>
    <w:rsid w:val="009D0D0E"/>
    <w:rsid w:val="009D2824"/>
    <w:rsid w:val="009D2B69"/>
    <w:rsid w:val="009D3120"/>
    <w:rsid w:val="009D474B"/>
    <w:rsid w:val="009D55E0"/>
    <w:rsid w:val="009D779C"/>
    <w:rsid w:val="009D7C04"/>
    <w:rsid w:val="009E01DF"/>
    <w:rsid w:val="009E043D"/>
    <w:rsid w:val="009E0A11"/>
    <w:rsid w:val="009E0FEF"/>
    <w:rsid w:val="009E109C"/>
    <w:rsid w:val="009E15AC"/>
    <w:rsid w:val="009E220D"/>
    <w:rsid w:val="009E2298"/>
    <w:rsid w:val="009E22D7"/>
    <w:rsid w:val="009E25CE"/>
    <w:rsid w:val="009E2856"/>
    <w:rsid w:val="009E287E"/>
    <w:rsid w:val="009E2CFD"/>
    <w:rsid w:val="009E2E26"/>
    <w:rsid w:val="009E2F5E"/>
    <w:rsid w:val="009E30AB"/>
    <w:rsid w:val="009E369F"/>
    <w:rsid w:val="009E38CF"/>
    <w:rsid w:val="009E4056"/>
    <w:rsid w:val="009E4917"/>
    <w:rsid w:val="009E4ADE"/>
    <w:rsid w:val="009E5384"/>
    <w:rsid w:val="009E551E"/>
    <w:rsid w:val="009E5C4B"/>
    <w:rsid w:val="009E5CA4"/>
    <w:rsid w:val="009E5FFD"/>
    <w:rsid w:val="009E6C1D"/>
    <w:rsid w:val="009E6C64"/>
    <w:rsid w:val="009F036D"/>
    <w:rsid w:val="009F0CAB"/>
    <w:rsid w:val="009F0F31"/>
    <w:rsid w:val="009F1218"/>
    <w:rsid w:val="009F1764"/>
    <w:rsid w:val="009F1A16"/>
    <w:rsid w:val="009F2C5C"/>
    <w:rsid w:val="009F37CE"/>
    <w:rsid w:val="009F3893"/>
    <w:rsid w:val="009F3E70"/>
    <w:rsid w:val="009F48C6"/>
    <w:rsid w:val="009F4CF9"/>
    <w:rsid w:val="009F5D71"/>
    <w:rsid w:val="009F60B6"/>
    <w:rsid w:val="009F6BFB"/>
    <w:rsid w:val="009F6ECB"/>
    <w:rsid w:val="009F7B33"/>
    <w:rsid w:val="00A001B2"/>
    <w:rsid w:val="00A01369"/>
    <w:rsid w:val="00A01441"/>
    <w:rsid w:val="00A01A8C"/>
    <w:rsid w:val="00A02384"/>
    <w:rsid w:val="00A032CA"/>
    <w:rsid w:val="00A046B5"/>
    <w:rsid w:val="00A047B3"/>
    <w:rsid w:val="00A06B41"/>
    <w:rsid w:val="00A105A1"/>
    <w:rsid w:val="00A1080D"/>
    <w:rsid w:val="00A10FA6"/>
    <w:rsid w:val="00A12679"/>
    <w:rsid w:val="00A12979"/>
    <w:rsid w:val="00A129F3"/>
    <w:rsid w:val="00A1307C"/>
    <w:rsid w:val="00A13D82"/>
    <w:rsid w:val="00A140DD"/>
    <w:rsid w:val="00A16F7F"/>
    <w:rsid w:val="00A170F4"/>
    <w:rsid w:val="00A20704"/>
    <w:rsid w:val="00A20766"/>
    <w:rsid w:val="00A22018"/>
    <w:rsid w:val="00A22465"/>
    <w:rsid w:val="00A2308D"/>
    <w:rsid w:val="00A2332A"/>
    <w:rsid w:val="00A23A51"/>
    <w:rsid w:val="00A24047"/>
    <w:rsid w:val="00A24C81"/>
    <w:rsid w:val="00A24FC2"/>
    <w:rsid w:val="00A25158"/>
    <w:rsid w:val="00A258A9"/>
    <w:rsid w:val="00A2635E"/>
    <w:rsid w:val="00A26C00"/>
    <w:rsid w:val="00A278C7"/>
    <w:rsid w:val="00A30B9D"/>
    <w:rsid w:val="00A31705"/>
    <w:rsid w:val="00A319E8"/>
    <w:rsid w:val="00A33210"/>
    <w:rsid w:val="00A333FF"/>
    <w:rsid w:val="00A33DD4"/>
    <w:rsid w:val="00A340B4"/>
    <w:rsid w:val="00A346EC"/>
    <w:rsid w:val="00A3482B"/>
    <w:rsid w:val="00A3583C"/>
    <w:rsid w:val="00A359B2"/>
    <w:rsid w:val="00A36212"/>
    <w:rsid w:val="00A36675"/>
    <w:rsid w:val="00A369A3"/>
    <w:rsid w:val="00A36A7D"/>
    <w:rsid w:val="00A424D6"/>
    <w:rsid w:val="00A431AB"/>
    <w:rsid w:val="00A4479F"/>
    <w:rsid w:val="00A447AA"/>
    <w:rsid w:val="00A45653"/>
    <w:rsid w:val="00A45907"/>
    <w:rsid w:val="00A46632"/>
    <w:rsid w:val="00A46FC8"/>
    <w:rsid w:val="00A47E87"/>
    <w:rsid w:val="00A502A8"/>
    <w:rsid w:val="00A50466"/>
    <w:rsid w:val="00A5141D"/>
    <w:rsid w:val="00A517C5"/>
    <w:rsid w:val="00A531C3"/>
    <w:rsid w:val="00A53F68"/>
    <w:rsid w:val="00A54F60"/>
    <w:rsid w:val="00A5540F"/>
    <w:rsid w:val="00A564A9"/>
    <w:rsid w:val="00A565EB"/>
    <w:rsid w:val="00A6083F"/>
    <w:rsid w:val="00A60BDD"/>
    <w:rsid w:val="00A61851"/>
    <w:rsid w:val="00A620C1"/>
    <w:rsid w:val="00A62216"/>
    <w:rsid w:val="00A62218"/>
    <w:rsid w:val="00A62DEF"/>
    <w:rsid w:val="00A639B2"/>
    <w:rsid w:val="00A63D18"/>
    <w:rsid w:val="00A651F3"/>
    <w:rsid w:val="00A655D1"/>
    <w:rsid w:val="00A65D53"/>
    <w:rsid w:val="00A66475"/>
    <w:rsid w:val="00A66B1E"/>
    <w:rsid w:val="00A6758D"/>
    <w:rsid w:val="00A67A7F"/>
    <w:rsid w:val="00A708CD"/>
    <w:rsid w:val="00A7320C"/>
    <w:rsid w:val="00A740B4"/>
    <w:rsid w:val="00A74362"/>
    <w:rsid w:val="00A74824"/>
    <w:rsid w:val="00A74C57"/>
    <w:rsid w:val="00A75AC9"/>
    <w:rsid w:val="00A83430"/>
    <w:rsid w:val="00A83610"/>
    <w:rsid w:val="00A846CF"/>
    <w:rsid w:val="00A853F4"/>
    <w:rsid w:val="00A85C32"/>
    <w:rsid w:val="00A86475"/>
    <w:rsid w:val="00A8678D"/>
    <w:rsid w:val="00A86937"/>
    <w:rsid w:val="00A876B4"/>
    <w:rsid w:val="00A87F7F"/>
    <w:rsid w:val="00A909D9"/>
    <w:rsid w:val="00A92098"/>
    <w:rsid w:val="00A9224B"/>
    <w:rsid w:val="00A935B8"/>
    <w:rsid w:val="00A93BE1"/>
    <w:rsid w:val="00A963D8"/>
    <w:rsid w:val="00A9796F"/>
    <w:rsid w:val="00A97EE6"/>
    <w:rsid w:val="00AA0A03"/>
    <w:rsid w:val="00AA0E4E"/>
    <w:rsid w:val="00AA1132"/>
    <w:rsid w:val="00AA253B"/>
    <w:rsid w:val="00AA3B90"/>
    <w:rsid w:val="00AA3C77"/>
    <w:rsid w:val="00AA6316"/>
    <w:rsid w:val="00AB076E"/>
    <w:rsid w:val="00AB241A"/>
    <w:rsid w:val="00AB3191"/>
    <w:rsid w:val="00AB48E3"/>
    <w:rsid w:val="00AB4B36"/>
    <w:rsid w:val="00AB53E6"/>
    <w:rsid w:val="00AB620A"/>
    <w:rsid w:val="00AB6BDE"/>
    <w:rsid w:val="00AB7A5D"/>
    <w:rsid w:val="00AC06F9"/>
    <w:rsid w:val="00AC0909"/>
    <w:rsid w:val="00AC0948"/>
    <w:rsid w:val="00AC0C46"/>
    <w:rsid w:val="00AC120B"/>
    <w:rsid w:val="00AC1EE1"/>
    <w:rsid w:val="00AC2893"/>
    <w:rsid w:val="00AC2B46"/>
    <w:rsid w:val="00AC2C0F"/>
    <w:rsid w:val="00AC3F7D"/>
    <w:rsid w:val="00AC4624"/>
    <w:rsid w:val="00AC50F9"/>
    <w:rsid w:val="00AC53C6"/>
    <w:rsid w:val="00AC61D0"/>
    <w:rsid w:val="00AC6A03"/>
    <w:rsid w:val="00AC7298"/>
    <w:rsid w:val="00AC7368"/>
    <w:rsid w:val="00AC74A6"/>
    <w:rsid w:val="00AD0150"/>
    <w:rsid w:val="00AD08C5"/>
    <w:rsid w:val="00AD0BE7"/>
    <w:rsid w:val="00AD0DB3"/>
    <w:rsid w:val="00AD0E01"/>
    <w:rsid w:val="00AD151C"/>
    <w:rsid w:val="00AD1601"/>
    <w:rsid w:val="00AD2F8A"/>
    <w:rsid w:val="00AD33C7"/>
    <w:rsid w:val="00AD340D"/>
    <w:rsid w:val="00AD367F"/>
    <w:rsid w:val="00AD3930"/>
    <w:rsid w:val="00AD3D09"/>
    <w:rsid w:val="00AD55EB"/>
    <w:rsid w:val="00AD5610"/>
    <w:rsid w:val="00AD7137"/>
    <w:rsid w:val="00AD7C03"/>
    <w:rsid w:val="00AE0D84"/>
    <w:rsid w:val="00AE0DE2"/>
    <w:rsid w:val="00AE0E7F"/>
    <w:rsid w:val="00AE11CE"/>
    <w:rsid w:val="00AE2DD4"/>
    <w:rsid w:val="00AE2E9B"/>
    <w:rsid w:val="00AE4923"/>
    <w:rsid w:val="00AE5784"/>
    <w:rsid w:val="00AE57D5"/>
    <w:rsid w:val="00AE6281"/>
    <w:rsid w:val="00AE64B6"/>
    <w:rsid w:val="00AE6708"/>
    <w:rsid w:val="00AE6BCE"/>
    <w:rsid w:val="00AE6D3E"/>
    <w:rsid w:val="00AE795E"/>
    <w:rsid w:val="00AF0332"/>
    <w:rsid w:val="00AF05CD"/>
    <w:rsid w:val="00AF1617"/>
    <w:rsid w:val="00AF1664"/>
    <w:rsid w:val="00AF2D23"/>
    <w:rsid w:val="00AF3E22"/>
    <w:rsid w:val="00AF3F71"/>
    <w:rsid w:val="00AF4735"/>
    <w:rsid w:val="00AF5320"/>
    <w:rsid w:val="00AF560B"/>
    <w:rsid w:val="00AF5C46"/>
    <w:rsid w:val="00AF5EF6"/>
    <w:rsid w:val="00AF5FAF"/>
    <w:rsid w:val="00AF6140"/>
    <w:rsid w:val="00AF7180"/>
    <w:rsid w:val="00AF7987"/>
    <w:rsid w:val="00AF7ECB"/>
    <w:rsid w:val="00B0018D"/>
    <w:rsid w:val="00B00743"/>
    <w:rsid w:val="00B0085F"/>
    <w:rsid w:val="00B00F7E"/>
    <w:rsid w:val="00B01FCB"/>
    <w:rsid w:val="00B0213E"/>
    <w:rsid w:val="00B03E0B"/>
    <w:rsid w:val="00B04051"/>
    <w:rsid w:val="00B042C2"/>
    <w:rsid w:val="00B05478"/>
    <w:rsid w:val="00B05FFC"/>
    <w:rsid w:val="00B06996"/>
    <w:rsid w:val="00B07CD9"/>
    <w:rsid w:val="00B07E22"/>
    <w:rsid w:val="00B102A3"/>
    <w:rsid w:val="00B106C2"/>
    <w:rsid w:val="00B12065"/>
    <w:rsid w:val="00B1284D"/>
    <w:rsid w:val="00B12C47"/>
    <w:rsid w:val="00B12EAA"/>
    <w:rsid w:val="00B13033"/>
    <w:rsid w:val="00B138CE"/>
    <w:rsid w:val="00B13DCE"/>
    <w:rsid w:val="00B1402A"/>
    <w:rsid w:val="00B1428B"/>
    <w:rsid w:val="00B146BF"/>
    <w:rsid w:val="00B166A2"/>
    <w:rsid w:val="00B17657"/>
    <w:rsid w:val="00B177B9"/>
    <w:rsid w:val="00B20178"/>
    <w:rsid w:val="00B20BF9"/>
    <w:rsid w:val="00B20E2F"/>
    <w:rsid w:val="00B211BA"/>
    <w:rsid w:val="00B21E0F"/>
    <w:rsid w:val="00B2258F"/>
    <w:rsid w:val="00B2280E"/>
    <w:rsid w:val="00B22865"/>
    <w:rsid w:val="00B240C6"/>
    <w:rsid w:val="00B24F37"/>
    <w:rsid w:val="00B2529F"/>
    <w:rsid w:val="00B2579E"/>
    <w:rsid w:val="00B261B8"/>
    <w:rsid w:val="00B265ED"/>
    <w:rsid w:val="00B26882"/>
    <w:rsid w:val="00B26AFC"/>
    <w:rsid w:val="00B26F31"/>
    <w:rsid w:val="00B27A6C"/>
    <w:rsid w:val="00B30102"/>
    <w:rsid w:val="00B30214"/>
    <w:rsid w:val="00B30330"/>
    <w:rsid w:val="00B3053D"/>
    <w:rsid w:val="00B3096E"/>
    <w:rsid w:val="00B30BD0"/>
    <w:rsid w:val="00B31C63"/>
    <w:rsid w:val="00B321F6"/>
    <w:rsid w:val="00B3226D"/>
    <w:rsid w:val="00B32619"/>
    <w:rsid w:val="00B33BA8"/>
    <w:rsid w:val="00B345F4"/>
    <w:rsid w:val="00B34C5D"/>
    <w:rsid w:val="00B359BD"/>
    <w:rsid w:val="00B35B16"/>
    <w:rsid w:val="00B378E3"/>
    <w:rsid w:val="00B378F3"/>
    <w:rsid w:val="00B40AFB"/>
    <w:rsid w:val="00B41BBF"/>
    <w:rsid w:val="00B42646"/>
    <w:rsid w:val="00B431BC"/>
    <w:rsid w:val="00B4343F"/>
    <w:rsid w:val="00B43BEA"/>
    <w:rsid w:val="00B43D7B"/>
    <w:rsid w:val="00B43D8B"/>
    <w:rsid w:val="00B45DF0"/>
    <w:rsid w:val="00B46A79"/>
    <w:rsid w:val="00B46CD9"/>
    <w:rsid w:val="00B47BDD"/>
    <w:rsid w:val="00B47DA6"/>
    <w:rsid w:val="00B47F5A"/>
    <w:rsid w:val="00B503F0"/>
    <w:rsid w:val="00B5093B"/>
    <w:rsid w:val="00B50B6E"/>
    <w:rsid w:val="00B51986"/>
    <w:rsid w:val="00B520DD"/>
    <w:rsid w:val="00B521CB"/>
    <w:rsid w:val="00B52EA8"/>
    <w:rsid w:val="00B542CD"/>
    <w:rsid w:val="00B54DB1"/>
    <w:rsid w:val="00B56C07"/>
    <w:rsid w:val="00B57472"/>
    <w:rsid w:val="00B5789D"/>
    <w:rsid w:val="00B60588"/>
    <w:rsid w:val="00B60755"/>
    <w:rsid w:val="00B60DB3"/>
    <w:rsid w:val="00B61973"/>
    <w:rsid w:val="00B61CE0"/>
    <w:rsid w:val="00B62455"/>
    <w:rsid w:val="00B633EB"/>
    <w:rsid w:val="00B636FB"/>
    <w:rsid w:val="00B6381C"/>
    <w:rsid w:val="00B6386B"/>
    <w:rsid w:val="00B64F56"/>
    <w:rsid w:val="00B654F5"/>
    <w:rsid w:val="00B656BF"/>
    <w:rsid w:val="00B65A71"/>
    <w:rsid w:val="00B65D23"/>
    <w:rsid w:val="00B66966"/>
    <w:rsid w:val="00B67634"/>
    <w:rsid w:val="00B67A3F"/>
    <w:rsid w:val="00B70152"/>
    <w:rsid w:val="00B718AB"/>
    <w:rsid w:val="00B71BA4"/>
    <w:rsid w:val="00B72975"/>
    <w:rsid w:val="00B73B99"/>
    <w:rsid w:val="00B74B1F"/>
    <w:rsid w:val="00B758FD"/>
    <w:rsid w:val="00B759EA"/>
    <w:rsid w:val="00B75A49"/>
    <w:rsid w:val="00B75AC4"/>
    <w:rsid w:val="00B75C5B"/>
    <w:rsid w:val="00B75F61"/>
    <w:rsid w:val="00B7628A"/>
    <w:rsid w:val="00B762F6"/>
    <w:rsid w:val="00B76710"/>
    <w:rsid w:val="00B7699A"/>
    <w:rsid w:val="00B80AF3"/>
    <w:rsid w:val="00B80B3F"/>
    <w:rsid w:val="00B80F0B"/>
    <w:rsid w:val="00B81A8A"/>
    <w:rsid w:val="00B83FCC"/>
    <w:rsid w:val="00B84AA3"/>
    <w:rsid w:val="00B84FD1"/>
    <w:rsid w:val="00B85966"/>
    <w:rsid w:val="00B86292"/>
    <w:rsid w:val="00B8750B"/>
    <w:rsid w:val="00B876CB"/>
    <w:rsid w:val="00B87D12"/>
    <w:rsid w:val="00B91DE8"/>
    <w:rsid w:val="00B92676"/>
    <w:rsid w:val="00B92E16"/>
    <w:rsid w:val="00B92E6F"/>
    <w:rsid w:val="00B9322D"/>
    <w:rsid w:val="00B93CFE"/>
    <w:rsid w:val="00B93D30"/>
    <w:rsid w:val="00B945BC"/>
    <w:rsid w:val="00B94BA3"/>
    <w:rsid w:val="00B955B7"/>
    <w:rsid w:val="00B957EE"/>
    <w:rsid w:val="00B96A4D"/>
    <w:rsid w:val="00B96E6B"/>
    <w:rsid w:val="00B9767C"/>
    <w:rsid w:val="00B97F7D"/>
    <w:rsid w:val="00BA0227"/>
    <w:rsid w:val="00BA0340"/>
    <w:rsid w:val="00BA0D58"/>
    <w:rsid w:val="00BA143A"/>
    <w:rsid w:val="00BA16B9"/>
    <w:rsid w:val="00BA1AC1"/>
    <w:rsid w:val="00BA223F"/>
    <w:rsid w:val="00BA3507"/>
    <w:rsid w:val="00BA3F65"/>
    <w:rsid w:val="00BA4659"/>
    <w:rsid w:val="00BA6076"/>
    <w:rsid w:val="00BA6DB6"/>
    <w:rsid w:val="00BB089E"/>
    <w:rsid w:val="00BB08AF"/>
    <w:rsid w:val="00BB0FA0"/>
    <w:rsid w:val="00BB14D5"/>
    <w:rsid w:val="00BB153A"/>
    <w:rsid w:val="00BB15AB"/>
    <w:rsid w:val="00BB1649"/>
    <w:rsid w:val="00BB1846"/>
    <w:rsid w:val="00BB32B7"/>
    <w:rsid w:val="00BB3672"/>
    <w:rsid w:val="00BB3E6C"/>
    <w:rsid w:val="00BB40E9"/>
    <w:rsid w:val="00BB4EB1"/>
    <w:rsid w:val="00BB51A7"/>
    <w:rsid w:val="00BB53D9"/>
    <w:rsid w:val="00BB5A30"/>
    <w:rsid w:val="00BB7261"/>
    <w:rsid w:val="00BB7387"/>
    <w:rsid w:val="00BB7E7D"/>
    <w:rsid w:val="00BC0F47"/>
    <w:rsid w:val="00BC0FBA"/>
    <w:rsid w:val="00BC1BD2"/>
    <w:rsid w:val="00BC2361"/>
    <w:rsid w:val="00BC2D76"/>
    <w:rsid w:val="00BC3AC8"/>
    <w:rsid w:val="00BC463A"/>
    <w:rsid w:val="00BC4745"/>
    <w:rsid w:val="00BC4896"/>
    <w:rsid w:val="00BC4E3F"/>
    <w:rsid w:val="00BC4F92"/>
    <w:rsid w:val="00BC5835"/>
    <w:rsid w:val="00BC5B01"/>
    <w:rsid w:val="00BC6159"/>
    <w:rsid w:val="00BC61C4"/>
    <w:rsid w:val="00BC669A"/>
    <w:rsid w:val="00BC6949"/>
    <w:rsid w:val="00BC6FE8"/>
    <w:rsid w:val="00BC7247"/>
    <w:rsid w:val="00BC76D0"/>
    <w:rsid w:val="00BD0D61"/>
    <w:rsid w:val="00BD15EC"/>
    <w:rsid w:val="00BD4E59"/>
    <w:rsid w:val="00BD556F"/>
    <w:rsid w:val="00BD55C9"/>
    <w:rsid w:val="00BD664F"/>
    <w:rsid w:val="00BD6BAC"/>
    <w:rsid w:val="00BD6C6E"/>
    <w:rsid w:val="00BD6DA2"/>
    <w:rsid w:val="00BE0EA8"/>
    <w:rsid w:val="00BE109C"/>
    <w:rsid w:val="00BE15D3"/>
    <w:rsid w:val="00BE5DE9"/>
    <w:rsid w:val="00BE6334"/>
    <w:rsid w:val="00BE6AB5"/>
    <w:rsid w:val="00BE7913"/>
    <w:rsid w:val="00BF03A7"/>
    <w:rsid w:val="00BF0559"/>
    <w:rsid w:val="00BF23FD"/>
    <w:rsid w:val="00BF2D6F"/>
    <w:rsid w:val="00BF31C1"/>
    <w:rsid w:val="00BF3628"/>
    <w:rsid w:val="00BF362B"/>
    <w:rsid w:val="00BF3C01"/>
    <w:rsid w:val="00BF4A28"/>
    <w:rsid w:val="00BF590C"/>
    <w:rsid w:val="00BF5C74"/>
    <w:rsid w:val="00BF7474"/>
    <w:rsid w:val="00BF78D5"/>
    <w:rsid w:val="00BF78E4"/>
    <w:rsid w:val="00C0025A"/>
    <w:rsid w:val="00C00F53"/>
    <w:rsid w:val="00C00FBF"/>
    <w:rsid w:val="00C01894"/>
    <w:rsid w:val="00C027E4"/>
    <w:rsid w:val="00C038E0"/>
    <w:rsid w:val="00C03D74"/>
    <w:rsid w:val="00C04052"/>
    <w:rsid w:val="00C04742"/>
    <w:rsid w:val="00C04C8E"/>
    <w:rsid w:val="00C05456"/>
    <w:rsid w:val="00C05911"/>
    <w:rsid w:val="00C05998"/>
    <w:rsid w:val="00C05F51"/>
    <w:rsid w:val="00C06ADA"/>
    <w:rsid w:val="00C105E1"/>
    <w:rsid w:val="00C1079C"/>
    <w:rsid w:val="00C10E79"/>
    <w:rsid w:val="00C10F6E"/>
    <w:rsid w:val="00C11982"/>
    <w:rsid w:val="00C12489"/>
    <w:rsid w:val="00C13EB5"/>
    <w:rsid w:val="00C146B0"/>
    <w:rsid w:val="00C14DA4"/>
    <w:rsid w:val="00C14EDA"/>
    <w:rsid w:val="00C15601"/>
    <w:rsid w:val="00C15F6A"/>
    <w:rsid w:val="00C16985"/>
    <w:rsid w:val="00C16F52"/>
    <w:rsid w:val="00C16FAF"/>
    <w:rsid w:val="00C17249"/>
    <w:rsid w:val="00C173FA"/>
    <w:rsid w:val="00C1785D"/>
    <w:rsid w:val="00C17F8E"/>
    <w:rsid w:val="00C20167"/>
    <w:rsid w:val="00C20535"/>
    <w:rsid w:val="00C21961"/>
    <w:rsid w:val="00C21981"/>
    <w:rsid w:val="00C21FE2"/>
    <w:rsid w:val="00C23DFD"/>
    <w:rsid w:val="00C251C2"/>
    <w:rsid w:val="00C25271"/>
    <w:rsid w:val="00C2547B"/>
    <w:rsid w:val="00C25A81"/>
    <w:rsid w:val="00C26403"/>
    <w:rsid w:val="00C26944"/>
    <w:rsid w:val="00C269A0"/>
    <w:rsid w:val="00C27412"/>
    <w:rsid w:val="00C30E2C"/>
    <w:rsid w:val="00C3118E"/>
    <w:rsid w:val="00C31195"/>
    <w:rsid w:val="00C31C2B"/>
    <w:rsid w:val="00C32007"/>
    <w:rsid w:val="00C325BD"/>
    <w:rsid w:val="00C327CD"/>
    <w:rsid w:val="00C32F9E"/>
    <w:rsid w:val="00C35AD9"/>
    <w:rsid w:val="00C35E33"/>
    <w:rsid w:val="00C368BC"/>
    <w:rsid w:val="00C36E9D"/>
    <w:rsid w:val="00C3788B"/>
    <w:rsid w:val="00C4080A"/>
    <w:rsid w:val="00C40EFD"/>
    <w:rsid w:val="00C41D3E"/>
    <w:rsid w:val="00C42C83"/>
    <w:rsid w:val="00C43128"/>
    <w:rsid w:val="00C4345C"/>
    <w:rsid w:val="00C44912"/>
    <w:rsid w:val="00C44B21"/>
    <w:rsid w:val="00C4515C"/>
    <w:rsid w:val="00C45F34"/>
    <w:rsid w:val="00C4740A"/>
    <w:rsid w:val="00C476C2"/>
    <w:rsid w:val="00C47AFF"/>
    <w:rsid w:val="00C51186"/>
    <w:rsid w:val="00C51593"/>
    <w:rsid w:val="00C51C71"/>
    <w:rsid w:val="00C51F6A"/>
    <w:rsid w:val="00C52E24"/>
    <w:rsid w:val="00C54CBC"/>
    <w:rsid w:val="00C55597"/>
    <w:rsid w:val="00C558E1"/>
    <w:rsid w:val="00C56700"/>
    <w:rsid w:val="00C57588"/>
    <w:rsid w:val="00C57940"/>
    <w:rsid w:val="00C5797B"/>
    <w:rsid w:val="00C57B24"/>
    <w:rsid w:val="00C60908"/>
    <w:rsid w:val="00C60CB8"/>
    <w:rsid w:val="00C62004"/>
    <w:rsid w:val="00C621CE"/>
    <w:rsid w:val="00C62700"/>
    <w:rsid w:val="00C62F89"/>
    <w:rsid w:val="00C6444E"/>
    <w:rsid w:val="00C654C2"/>
    <w:rsid w:val="00C654FC"/>
    <w:rsid w:val="00C655E2"/>
    <w:rsid w:val="00C658E7"/>
    <w:rsid w:val="00C65C07"/>
    <w:rsid w:val="00C66522"/>
    <w:rsid w:val="00C66815"/>
    <w:rsid w:val="00C66898"/>
    <w:rsid w:val="00C66B09"/>
    <w:rsid w:val="00C6702C"/>
    <w:rsid w:val="00C6712E"/>
    <w:rsid w:val="00C674FF"/>
    <w:rsid w:val="00C675EE"/>
    <w:rsid w:val="00C67E20"/>
    <w:rsid w:val="00C71760"/>
    <w:rsid w:val="00C71A05"/>
    <w:rsid w:val="00C7232C"/>
    <w:rsid w:val="00C725E0"/>
    <w:rsid w:val="00C74499"/>
    <w:rsid w:val="00C7488F"/>
    <w:rsid w:val="00C74FC9"/>
    <w:rsid w:val="00C809AB"/>
    <w:rsid w:val="00C80A2E"/>
    <w:rsid w:val="00C80D9C"/>
    <w:rsid w:val="00C81876"/>
    <w:rsid w:val="00C81C9B"/>
    <w:rsid w:val="00C83B79"/>
    <w:rsid w:val="00C84A87"/>
    <w:rsid w:val="00C84E51"/>
    <w:rsid w:val="00C854CE"/>
    <w:rsid w:val="00C855FA"/>
    <w:rsid w:val="00C85C88"/>
    <w:rsid w:val="00C85CD6"/>
    <w:rsid w:val="00C85D0C"/>
    <w:rsid w:val="00C86C2B"/>
    <w:rsid w:val="00C87B86"/>
    <w:rsid w:val="00C87DE2"/>
    <w:rsid w:val="00C91294"/>
    <w:rsid w:val="00C9132F"/>
    <w:rsid w:val="00C928C6"/>
    <w:rsid w:val="00C939D8"/>
    <w:rsid w:val="00C93B90"/>
    <w:rsid w:val="00C94192"/>
    <w:rsid w:val="00C954E7"/>
    <w:rsid w:val="00C95592"/>
    <w:rsid w:val="00C9564E"/>
    <w:rsid w:val="00C95CB9"/>
    <w:rsid w:val="00C96F21"/>
    <w:rsid w:val="00C971B3"/>
    <w:rsid w:val="00C97DD3"/>
    <w:rsid w:val="00CA040D"/>
    <w:rsid w:val="00CA1248"/>
    <w:rsid w:val="00CA19D1"/>
    <w:rsid w:val="00CA1AC8"/>
    <w:rsid w:val="00CA1F68"/>
    <w:rsid w:val="00CA2BC3"/>
    <w:rsid w:val="00CA2CD4"/>
    <w:rsid w:val="00CA437A"/>
    <w:rsid w:val="00CA464D"/>
    <w:rsid w:val="00CA4749"/>
    <w:rsid w:val="00CA4DA5"/>
    <w:rsid w:val="00CA5183"/>
    <w:rsid w:val="00CA58E2"/>
    <w:rsid w:val="00CA6D84"/>
    <w:rsid w:val="00CA766E"/>
    <w:rsid w:val="00CB02F0"/>
    <w:rsid w:val="00CB0ED8"/>
    <w:rsid w:val="00CB18B6"/>
    <w:rsid w:val="00CB3616"/>
    <w:rsid w:val="00CB3BF8"/>
    <w:rsid w:val="00CB3CE0"/>
    <w:rsid w:val="00CB4009"/>
    <w:rsid w:val="00CB459F"/>
    <w:rsid w:val="00CB461A"/>
    <w:rsid w:val="00CB52F0"/>
    <w:rsid w:val="00CB54A6"/>
    <w:rsid w:val="00CB5886"/>
    <w:rsid w:val="00CB78B2"/>
    <w:rsid w:val="00CC10A9"/>
    <w:rsid w:val="00CC2C67"/>
    <w:rsid w:val="00CC4933"/>
    <w:rsid w:val="00CC4A39"/>
    <w:rsid w:val="00CC51A2"/>
    <w:rsid w:val="00CC5AC7"/>
    <w:rsid w:val="00CC5DA4"/>
    <w:rsid w:val="00CC5DA9"/>
    <w:rsid w:val="00CC6E13"/>
    <w:rsid w:val="00CC72E4"/>
    <w:rsid w:val="00CC7EED"/>
    <w:rsid w:val="00CD0127"/>
    <w:rsid w:val="00CD2153"/>
    <w:rsid w:val="00CD26F2"/>
    <w:rsid w:val="00CD28B2"/>
    <w:rsid w:val="00CD3B12"/>
    <w:rsid w:val="00CD3E3B"/>
    <w:rsid w:val="00CD4082"/>
    <w:rsid w:val="00CD4452"/>
    <w:rsid w:val="00CD4E96"/>
    <w:rsid w:val="00CD5D0D"/>
    <w:rsid w:val="00CD71AC"/>
    <w:rsid w:val="00CE1EAA"/>
    <w:rsid w:val="00CE210F"/>
    <w:rsid w:val="00CE4331"/>
    <w:rsid w:val="00CE4BD6"/>
    <w:rsid w:val="00CE4EF0"/>
    <w:rsid w:val="00CE67E0"/>
    <w:rsid w:val="00CE7F40"/>
    <w:rsid w:val="00CF003F"/>
    <w:rsid w:val="00CF1238"/>
    <w:rsid w:val="00CF1919"/>
    <w:rsid w:val="00CF25FC"/>
    <w:rsid w:val="00CF3015"/>
    <w:rsid w:val="00CF310D"/>
    <w:rsid w:val="00CF4005"/>
    <w:rsid w:val="00CF4BB7"/>
    <w:rsid w:val="00CF54F4"/>
    <w:rsid w:val="00CF6E9E"/>
    <w:rsid w:val="00CF7BDC"/>
    <w:rsid w:val="00CF7DBD"/>
    <w:rsid w:val="00D0066B"/>
    <w:rsid w:val="00D0089C"/>
    <w:rsid w:val="00D01242"/>
    <w:rsid w:val="00D016D0"/>
    <w:rsid w:val="00D01BFD"/>
    <w:rsid w:val="00D03712"/>
    <w:rsid w:val="00D0383E"/>
    <w:rsid w:val="00D03DFE"/>
    <w:rsid w:val="00D0495C"/>
    <w:rsid w:val="00D04C4D"/>
    <w:rsid w:val="00D0508C"/>
    <w:rsid w:val="00D05784"/>
    <w:rsid w:val="00D0580E"/>
    <w:rsid w:val="00D05E25"/>
    <w:rsid w:val="00D070B7"/>
    <w:rsid w:val="00D11EC1"/>
    <w:rsid w:val="00D1299A"/>
    <w:rsid w:val="00D13424"/>
    <w:rsid w:val="00D1423B"/>
    <w:rsid w:val="00D160C2"/>
    <w:rsid w:val="00D1693B"/>
    <w:rsid w:val="00D16950"/>
    <w:rsid w:val="00D16A4F"/>
    <w:rsid w:val="00D2075A"/>
    <w:rsid w:val="00D20C18"/>
    <w:rsid w:val="00D21ABC"/>
    <w:rsid w:val="00D220CD"/>
    <w:rsid w:val="00D22468"/>
    <w:rsid w:val="00D23C7A"/>
    <w:rsid w:val="00D24A12"/>
    <w:rsid w:val="00D262B8"/>
    <w:rsid w:val="00D300BE"/>
    <w:rsid w:val="00D3057F"/>
    <w:rsid w:val="00D3067C"/>
    <w:rsid w:val="00D313A0"/>
    <w:rsid w:val="00D31F26"/>
    <w:rsid w:val="00D320C5"/>
    <w:rsid w:val="00D32128"/>
    <w:rsid w:val="00D32CF1"/>
    <w:rsid w:val="00D32F6E"/>
    <w:rsid w:val="00D333C1"/>
    <w:rsid w:val="00D34316"/>
    <w:rsid w:val="00D344D8"/>
    <w:rsid w:val="00D34B9B"/>
    <w:rsid w:val="00D34BA0"/>
    <w:rsid w:val="00D34D23"/>
    <w:rsid w:val="00D35387"/>
    <w:rsid w:val="00D4065D"/>
    <w:rsid w:val="00D41E55"/>
    <w:rsid w:val="00D42F7E"/>
    <w:rsid w:val="00D43417"/>
    <w:rsid w:val="00D44289"/>
    <w:rsid w:val="00D44395"/>
    <w:rsid w:val="00D44B0F"/>
    <w:rsid w:val="00D44BE8"/>
    <w:rsid w:val="00D45989"/>
    <w:rsid w:val="00D45AB7"/>
    <w:rsid w:val="00D45E03"/>
    <w:rsid w:val="00D46AF0"/>
    <w:rsid w:val="00D479F5"/>
    <w:rsid w:val="00D50550"/>
    <w:rsid w:val="00D506C9"/>
    <w:rsid w:val="00D50D6D"/>
    <w:rsid w:val="00D50FF6"/>
    <w:rsid w:val="00D5234D"/>
    <w:rsid w:val="00D52B11"/>
    <w:rsid w:val="00D52FAC"/>
    <w:rsid w:val="00D542C1"/>
    <w:rsid w:val="00D54709"/>
    <w:rsid w:val="00D54F2C"/>
    <w:rsid w:val="00D552C4"/>
    <w:rsid w:val="00D56340"/>
    <w:rsid w:val="00D56A16"/>
    <w:rsid w:val="00D57E2D"/>
    <w:rsid w:val="00D608B6"/>
    <w:rsid w:val="00D609D6"/>
    <w:rsid w:val="00D61053"/>
    <w:rsid w:val="00D61676"/>
    <w:rsid w:val="00D61DB6"/>
    <w:rsid w:val="00D620F8"/>
    <w:rsid w:val="00D62108"/>
    <w:rsid w:val="00D62E53"/>
    <w:rsid w:val="00D64035"/>
    <w:rsid w:val="00D643C7"/>
    <w:rsid w:val="00D64814"/>
    <w:rsid w:val="00D64FDD"/>
    <w:rsid w:val="00D65E40"/>
    <w:rsid w:val="00D66260"/>
    <w:rsid w:val="00D67D79"/>
    <w:rsid w:val="00D7042A"/>
    <w:rsid w:val="00D704B4"/>
    <w:rsid w:val="00D708A4"/>
    <w:rsid w:val="00D709C5"/>
    <w:rsid w:val="00D70A1C"/>
    <w:rsid w:val="00D7124D"/>
    <w:rsid w:val="00D7160E"/>
    <w:rsid w:val="00D719CF"/>
    <w:rsid w:val="00D71BD3"/>
    <w:rsid w:val="00D72677"/>
    <w:rsid w:val="00D7271B"/>
    <w:rsid w:val="00D72EC1"/>
    <w:rsid w:val="00D73850"/>
    <w:rsid w:val="00D739A9"/>
    <w:rsid w:val="00D73F90"/>
    <w:rsid w:val="00D7496E"/>
    <w:rsid w:val="00D74C66"/>
    <w:rsid w:val="00D75897"/>
    <w:rsid w:val="00D75BDE"/>
    <w:rsid w:val="00D7613A"/>
    <w:rsid w:val="00D80101"/>
    <w:rsid w:val="00D805A3"/>
    <w:rsid w:val="00D81A99"/>
    <w:rsid w:val="00D82613"/>
    <w:rsid w:val="00D82B07"/>
    <w:rsid w:val="00D849E0"/>
    <w:rsid w:val="00D84BB6"/>
    <w:rsid w:val="00D84CBB"/>
    <w:rsid w:val="00D853F3"/>
    <w:rsid w:val="00D868D8"/>
    <w:rsid w:val="00D86EE0"/>
    <w:rsid w:val="00D909CE"/>
    <w:rsid w:val="00D90CDD"/>
    <w:rsid w:val="00D918EC"/>
    <w:rsid w:val="00D91A1E"/>
    <w:rsid w:val="00D9286C"/>
    <w:rsid w:val="00D92AD8"/>
    <w:rsid w:val="00D92B51"/>
    <w:rsid w:val="00D938B3"/>
    <w:rsid w:val="00D9390D"/>
    <w:rsid w:val="00D93EF0"/>
    <w:rsid w:val="00D9417E"/>
    <w:rsid w:val="00D94881"/>
    <w:rsid w:val="00D965DA"/>
    <w:rsid w:val="00DA0CDE"/>
    <w:rsid w:val="00DA1810"/>
    <w:rsid w:val="00DA1B66"/>
    <w:rsid w:val="00DA200F"/>
    <w:rsid w:val="00DA3046"/>
    <w:rsid w:val="00DA3626"/>
    <w:rsid w:val="00DA3E8F"/>
    <w:rsid w:val="00DA3F77"/>
    <w:rsid w:val="00DA565C"/>
    <w:rsid w:val="00DA6147"/>
    <w:rsid w:val="00DA64F0"/>
    <w:rsid w:val="00DA772B"/>
    <w:rsid w:val="00DA77F9"/>
    <w:rsid w:val="00DA7A66"/>
    <w:rsid w:val="00DA7D52"/>
    <w:rsid w:val="00DA7E10"/>
    <w:rsid w:val="00DA7F10"/>
    <w:rsid w:val="00DB02FC"/>
    <w:rsid w:val="00DB054A"/>
    <w:rsid w:val="00DB0C8D"/>
    <w:rsid w:val="00DB22B7"/>
    <w:rsid w:val="00DB2725"/>
    <w:rsid w:val="00DB2C11"/>
    <w:rsid w:val="00DB2CE6"/>
    <w:rsid w:val="00DB396B"/>
    <w:rsid w:val="00DB46D3"/>
    <w:rsid w:val="00DB4A01"/>
    <w:rsid w:val="00DB501A"/>
    <w:rsid w:val="00DB5567"/>
    <w:rsid w:val="00DB58C2"/>
    <w:rsid w:val="00DB59CB"/>
    <w:rsid w:val="00DB6C45"/>
    <w:rsid w:val="00DB7C9F"/>
    <w:rsid w:val="00DB7E53"/>
    <w:rsid w:val="00DC0CCE"/>
    <w:rsid w:val="00DC1A4D"/>
    <w:rsid w:val="00DC1EC2"/>
    <w:rsid w:val="00DC25E0"/>
    <w:rsid w:val="00DC263D"/>
    <w:rsid w:val="00DC3107"/>
    <w:rsid w:val="00DC48A2"/>
    <w:rsid w:val="00DC4B98"/>
    <w:rsid w:val="00DC4CA3"/>
    <w:rsid w:val="00DC4CFD"/>
    <w:rsid w:val="00DC5255"/>
    <w:rsid w:val="00DC6C34"/>
    <w:rsid w:val="00DD0DE5"/>
    <w:rsid w:val="00DD1584"/>
    <w:rsid w:val="00DD198B"/>
    <w:rsid w:val="00DD24D3"/>
    <w:rsid w:val="00DD28F0"/>
    <w:rsid w:val="00DD2A8A"/>
    <w:rsid w:val="00DD35EE"/>
    <w:rsid w:val="00DD38FC"/>
    <w:rsid w:val="00DD40F0"/>
    <w:rsid w:val="00DD4CF8"/>
    <w:rsid w:val="00DD4D66"/>
    <w:rsid w:val="00DD4E03"/>
    <w:rsid w:val="00DD7161"/>
    <w:rsid w:val="00DE1135"/>
    <w:rsid w:val="00DE24CD"/>
    <w:rsid w:val="00DE2AA6"/>
    <w:rsid w:val="00DE32F9"/>
    <w:rsid w:val="00DE3687"/>
    <w:rsid w:val="00DE5EC2"/>
    <w:rsid w:val="00DE6160"/>
    <w:rsid w:val="00DE61C3"/>
    <w:rsid w:val="00DE6B70"/>
    <w:rsid w:val="00DE711E"/>
    <w:rsid w:val="00DE7510"/>
    <w:rsid w:val="00DF05C1"/>
    <w:rsid w:val="00DF1618"/>
    <w:rsid w:val="00DF231B"/>
    <w:rsid w:val="00DF33D2"/>
    <w:rsid w:val="00DF755D"/>
    <w:rsid w:val="00E01212"/>
    <w:rsid w:val="00E01ADA"/>
    <w:rsid w:val="00E0247B"/>
    <w:rsid w:val="00E02B0A"/>
    <w:rsid w:val="00E02B9E"/>
    <w:rsid w:val="00E03AD5"/>
    <w:rsid w:val="00E0435E"/>
    <w:rsid w:val="00E053BE"/>
    <w:rsid w:val="00E057B4"/>
    <w:rsid w:val="00E059D2"/>
    <w:rsid w:val="00E05A68"/>
    <w:rsid w:val="00E05D7E"/>
    <w:rsid w:val="00E062AC"/>
    <w:rsid w:val="00E06B86"/>
    <w:rsid w:val="00E07633"/>
    <w:rsid w:val="00E10798"/>
    <w:rsid w:val="00E11722"/>
    <w:rsid w:val="00E117C9"/>
    <w:rsid w:val="00E1511C"/>
    <w:rsid w:val="00E1542C"/>
    <w:rsid w:val="00E17842"/>
    <w:rsid w:val="00E17BB3"/>
    <w:rsid w:val="00E20AA9"/>
    <w:rsid w:val="00E21488"/>
    <w:rsid w:val="00E214A4"/>
    <w:rsid w:val="00E21D19"/>
    <w:rsid w:val="00E21D6C"/>
    <w:rsid w:val="00E22DD3"/>
    <w:rsid w:val="00E23F30"/>
    <w:rsid w:val="00E241B6"/>
    <w:rsid w:val="00E253FB"/>
    <w:rsid w:val="00E259E9"/>
    <w:rsid w:val="00E25BE0"/>
    <w:rsid w:val="00E25DE9"/>
    <w:rsid w:val="00E25F6D"/>
    <w:rsid w:val="00E26AB8"/>
    <w:rsid w:val="00E27206"/>
    <w:rsid w:val="00E2728C"/>
    <w:rsid w:val="00E27844"/>
    <w:rsid w:val="00E27A9D"/>
    <w:rsid w:val="00E31B54"/>
    <w:rsid w:val="00E31C82"/>
    <w:rsid w:val="00E32E6B"/>
    <w:rsid w:val="00E335FB"/>
    <w:rsid w:val="00E33E19"/>
    <w:rsid w:val="00E345ED"/>
    <w:rsid w:val="00E34661"/>
    <w:rsid w:val="00E346C5"/>
    <w:rsid w:val="00E34CEF"/>
    <w:rsid w:val="00E36299"/>
    <w:rsid w:val="00E369E9"/>
    <w:rsid w:val="00E3720C"/>
    <w:rsid w:val="00E40053"/>
    <w:rsid w:val="00E400F2"/>
    <w:rsid w:val="00E408EB"/>
    <w:rsid w:val="00E40DD5"/>
    <w:rsid w:val="00E426F0"/>
    <w:rsid w:val="00E43014"/>
    <w:rsid w:val="00E434D9"/>
    <w:rsid w:val="00E43A60"/>
    <w:rsid w:val="00E43BFD"/>
    <w:rsid w:val="00E44478"/>
    <w:rsid w:val="00E44582"/>
    <w:rsid w:val="00E45121"/>
    <w:rsid w:val="00E45CD3"/>
    <w:rsid w:val="00E46438"/>
    <w:rsid w:val="00E5077E"/>
    <w:rsid w:val="00E50A59"/>
    <w:rsid w:val="00E50ED4"/>
    <w:rsid w:val="00E518E1"/>
    <w:rsid w:val="00E51DB0"/>
    <w:rsid w:val="00E52A6D"/>
    <w:rsid w:val="00E52E04"/>
    <w:rsid w:val="00E53423"/>
    <w:rsid w:val="00E55269"/>
    <w:rsid w:val="00E55505"/>
    <w:rsid w:val="00E55716"/>
    <w:rsid w:val="00E5582E"/>
    <w:rsid w:val="00E56085"/>
    <w:rsid w:val="00E57142"/>
    <w:rsid w:val="00E60473"/>
    <w:rsid w:val="00E615A7"/>
    <w:rsid w:val="00E61741"/>
    <w:rsid w:val="00E617C7"/>
    <w:rsid w:val="00E62EF4"/>
    <w:rsid w:val="00E63611"/>
    <w:rsid w:val="00E646F1"/>
    <w:rsid w:val="00E64B0F"/>
    <w:rsid w:val="00E67A75"/>
    <w:rsid w:val="00E67DBE"/>
    <w:rsid w:val="00E67FCE"/>
    <w:rsid w:val="00E70E3B"/>
    <w:rsid w:val="00E71839"/>
    <w:rsid w:val="00E726DA"/>
    <w:rsid w:val="00E7376B"/>
    <w:rsid w:val="00E75F07"/>
    <w:rsid w:val="00E7635D"/>
    <w:rsid w:val="00E76DC7"/>
    <w:rsid w:val="00E770A8"/>
    <w:rsid w:val="00E7780B"/>
    <w:rsid w:val="00E8037B"/>
    <w:rsid w:val="00E8150D"/>
    <w:rsid w:val="00E82536"/>
    <w:rsid w:val="00E82709"/>
    <w:rsid w:val="00E83336"/>
    <w:rsid w:val="00E8361E"/>
    <w:rsid w:val="00E84BB5"/>
    <w:rsid w:val="00E85862"/>
    <w:rsid w:val="00E86D4E"/>
    <w:rsid w:val="00E87408"/>
    <w:rsid w:val="00E875CD"/>
    <w:rsid w:val="00E878C4"/>
    <w:rsid w:val="00E87FE4"/>
    <w:rsid w:val="00E91FD5"/>
    <w:rsid w:val="00E92580"/>
    <w:rsid w:val="00E92723"/>
    <w:rsid w:val="00E92F63"/>
    <w:rsid w:val="00E93079"/>
    <w:rsid w:val="00E93B92"/>
    <w:rsid w:val="00E93FFC"/>
    <w:rsid w:val="00E9425A"/>
    <w:rsid w:val="00E94BC3"/>
    <w:rsid w:val="00E9523C"/>
    <w:rsid w:val="00E95510"/>
    <w:rsid w:val="00E95915"/>
    <w:rsid w:val="00E95B9B"/>
    <w:rsid w:val="00E96199"/>
    <w:rsid w:val="00E96C54"/>
    <w:rsid w:val="00E9770F"/>
    <w:rsid w:val="00E97B0C"/>
    <w:rsid w:val="00EA1716"/>
    <w:rsid w:val="00EA17A8"/>
    <w:rsid w:val="00EA1FCF"/>
    <w:rsid w:val="00EA21B3"/>
    <w:rsid w:val="00EA22A8"/>
    <w:rsid w:val="00EA2E58"/>
    <w:rsid w:val="00EA45FC"/>
    <w:rsid w:val="00EA518D"/>
    <w:rsid w:val="00EA585C"/>
    <w:rsid w:val="00EB0C75"/>
    <w:rsid w:val="00EB1233"/>
    <w:rsid w:val="00EB1795"/>
    <w:rsid w:val="00EB2229"/>
    <w:rsid w:val="00EB2B9C"/>
    <w:rsid w:val="00EB3E54"/>
    <w:rsid w:val="00EB4713"/>
    <w:rsid w:val="00EB4DE4"/>
    <w:rsid w:val="00EB574F"/>
    <w:rsid w:val="00EB58D2"/>
    <w:rsid w:val="00EC0AA0"/>
    <w:rsid w:val="00EC0E46"/>
    <w:rsid w:val="00EC28DC"/>
    <w:rsid w:val="00EC35D7"/>
    <w:rsid w:val="00EC4473"/>
    <w:rsid w:val="00EC4A75"/>
    <w:rsid w:val="00EC5025"/>
    <w:rsid w:val="00EC57E5"/>
    <w:rsid w:val="00EC6C02"/>
    <w:rsid w:val="00ED071C"/>
    <w:rsid w:val="00ED0CB2"/>
    <w:rsid w:val="00ED0E66"/>
    <w:rsid w:val="00ED0FEA"/>
    <w:rsid w:val="00ED1105"/>
    <w:rsid w:val="00ED14AE"/>
    <w:rsid w:val="00ED1C66"/>
    <w:rsid w:val="00ED233A"/>
    <w:rsid w:val="00ED2884"/>
    <w:rsid w:val="00ED2A98"/>
    <w:rsid w:val="00ED3445"/>
    <w:rsid w:val="00ED3581"/>
    <w:rsid w:val="00ED461E"/>
    <w:rsid w:val="00ED57B3"/>
    <w:rsid w:val="00ED5B9E"/>
    <w:rsid w:val="00ED5D46"/>
    <w:rsid w:val="00ED65A8"/>
    <w:rsid w:val="00ED6D6E"/>
    <w:rsid w:val="00ED70FE"/>
    <w:rsid w:val="00EE12E4"/>
    <w:rsid w:val="00EE157E"/>
    <w:rsid w:val="00EE2F1B"/>
    <w:rsid w:val="00EE37CB"/>
    <w:rsid w:val="00EE3A9C"/>
    <w:rsid w:val="00EE3DC7"/>
    <w:rsid w:val="00EE3E85"/>
    <w:rsid w:val="00EE40D6"/>
    <w:rsid w:val="00EE4C87"/>
    <w:rsid w:val="00EE514C"/>
    <w:rsid w:val="00EE554A"/>
    <w:rsid w:val="00EE5807"/>
    <w:rsid w:val="00EE765B"/>
    <w:rsid w:val="00EE7756"/>
    <w:rsid w:val="00EF4A89"/>
    <w:rsid w:val="00EF4E76"/>
    <w:rsid w:val="00EF5B11"/>
    <w:rsid w:val="00F0140B"/>
    <w:rsid w:val="00F0178E"/>
    <w:rsid w:val="00F01FC2"/>
    <w:rsid w:val="00F02FF5"/>
    <w:rsid w:val="00F03093"/>
    <w:rsid w:val="00F03456"/>
    <w:rsid w:val="00F03641"/>
    <w:rsid w:val="00F044D9"/>
    <w:rsid w:val="00F049AC"/>
    <w:rsid w:val="00F04F9D"/>
    <w:rsid w:val="00F05780"/>
    <w:rsid w:val="00F05858"/>
    <w:rsid w:val="00F05A7D"/>
    <w:rsid w:val="00F069B5"/>
    <w:rsid w:val="00F06A67"/>
    <w:rsid w:val="00F073A8"/>
    <w:rsid w:val="00F0745B"/>
    <w:rsid w:val="00F07746"/>
    <w:rsid w:val="00F07886"/>
    <w:rsid w:val="00F07E3D"/>
    <w:rsid w:val="00F07EC1"/>
    <w:rsid w:val="00F10E52"/>
    <w:rsid w:val="00F115C0"/>
    <w:rsid w:val="00F11F5F"/>
    <w:rsid w:val="00F13AA1"/>
    <w:rsid w:val="00F1469A"/>
    <w:rsid w:val="00F1487F"/>
    <w:rsid w:val="00F14AF8"/>
    <w:rsid w:val="00F16B10"/>
    <w:rsid w:val="00F17833"/>
    <w:rsid w:val="00F178A2"/>
    <w:rsid w:val="00F17C9B"/>
    <w:rsid w:val="00F17EEE"/>
    <w:rsid w:val="00F20063"/>
    <w:rsid w:val="00F20870"/>
    <w:rsid w:val="00F2121A"/>
    <w:rsid w:val="00F21C09"/>
    <w:rsid w:val="00F22042"/>
    <w:rsid w:val="00F22849"/>
    <w:rsid w:val="00F241F5"/>
    <w:rsid w:val="00F25730"/>
    <w:rsid w:val="00F26525"/>
    <w:rsid w:val="00F26627"/>
    <w:rsid w:val="00F269E8"/>
    <w:rsid w:val="00F26CC9"/>
    <w:rsid w:val="00F27012"/>
    <w:rsid w:val="00F275E8"/>
    <w:rsid w:val="00F27AFD"/>
    <w:rsid w:val="00F30679"/>
    <w:rsid w:val="00F3085B"/>
    <w:rsid w:val="00F309CD"/>
    <w:rsid w:val="00F32066"/>
    <w:rsid w:val="00F34166"/>
    <w:rsid w:val="00F34472"/>
    <w:rsid w:val="00F34C48"/>
    <w:rsid w:val="00F3583E"/>
    <w:rsid w:val="00F35B1F"/>
    <w:rsid w:val="00F37B67"/>
    <w:rsid w:val="00F4066C"/>
    <w:rsid w:val="00F408C4"/>
    <w:rsid w:val="00F40B10"/>
    <w:rsid w:val="00F40E9F"/>
    <w:rsid w:val="00F417EF"/>
    <w:rsid w:val="00F41D69"/>
    <w:rsid w:val="00F4213B"/>
    <w:rsid w:val="00F42B03"/>
    <w:rsid w:val="00F43A26"/>
    <w:rsid w:val="00F43B41"/>
    <w:rsid w:val="00F44589"/>
    <w:rsid w:val="00F45C2F"/>
    <w:rsid w:val="00F45DE6"/>
    <w:rsid w:val="00F47343"/>
    <w:rsid w:val="00F50079"/>
    <w:rsid w:val="00F5106F"/>
    <w:rsid w:val="00F51129"/>
    <w:rsid w:val="00F526D9"/>
    <w:rsid w:val="00F52A72"/>
    <w:rsid w:val="00F54F47"/>
    <w:rsid w:val="00F55ABB"/>
    <w:rsid w:val="00F55B7A"/>
    <w:rsid w:val="00F56304"/>
    <w:rsid w:val="00F563F8"/>
    <w:rsid w:val="00F56F2B"/>
    <w:rsid w:val="00F574E8"/>
    <w:rsid w:val="00F5771B"/>
    <w:rsid w:val="00F6056D"/>
    <w:rsid w:val="00F61101"/>
    <w:rsid w:val="00F616AC"/>
    <w:rsid w:val="00F61EEE"/>
    <w:rsid w:val="00F62065"/>
    <w:rsid w:val="00F6215B"/>
    <w:rsid w:val="00F62755"/>
    <w:rsid w:val="00F62E46"/>
    <w:rsid w:val="00F6332D"/>
    <w:rsid w:val="00F64275"/>
    <w:rsid w:val="00F64F62"/>
    <w:rsid w:val="00F6647E"/>
    <w:rsid w:val="00F66D3D"/>
    <w:rsid w:val="00F67A1A"/>
    <w:rsid w:val="00F70518"/>
    <w:rsid w:val="00F705C9"/>
    <w:rsid w:val="00F708FB"/>
    <w:rsid w:val="00F71A37"/>
    <w:rsid w:val="00F72352"/>
    <w:rsid w:val="00F7311D"/>
    <w:rsid w:val="00F73915"/>
    <w:rsid w:val="00F74E58"/>
    <w:rsid w:val="00F751D8"/>
    <w:rsid w:val="00F80788"/>
    <w:rsid w:val="00F81955"/>
    <w:rsid w:val="00F81FDC"/>
    <w:rsid w:val="00F82B7E"/>
    <w:rsid w:val="00F82FED"/>
    <w:rsid w:val="00F830C6"/>
    <w:rsid w:val="00F8310F"/>
    <w:rsid w:val="00F83A0F"/>
    <w:rsid w:val="00F83B61"/>
    <w:rsid w:val="00F83C54"/>
    <w:rsid w:val="00F844FC"/>
    <w:rsid w:val="00F84730"/>
    <w:rsid w:val="00F84C33"/>
    <w:rsid w:val="00F84D73"/>
    <w:rsid w:val="00F84E7F"/>
    <w:rsid w:val="00F8564F"/>
    <w:rsid w:val="00F85E5A"/>
    <w:rsid w:val="00F85E8B"/>
    <w:rsid w:val="00F8760F"/>
    <w:rsid w:val="00F87BD1"/>
    <w:rsid w:val="00F905D8"/>
    <w:rsid w:val="00F907FB"/>
    <w:rsid w:val="00F90CB5"/>
    <w:rsid w:val="00F91B2F"/>
    <w:rsid w:val="00F921A2"/>
    <w:rsid w:val="00F922DB"/>
    <w:rsid w:val="00F93416"/>
    <w:rsid w:val="00F93E80"/>
    <w:rsid w:val="00F946AF"/>
    <w:rsid w:val="00F946B9"/>
    <w:rsid w:val="00F94EA8"/>
    <w:rsid w:val="00F953EE"/>
    <w:rsid w:val="00F95732"/>
    <w:rsid w:val="00F962C3"/>
    <w:rsid w:val="00F96368"/>
    <w:rsid w:val="00F96533"/>
    <w:rsid w:val="00F9661F"/>
    <w:rsid w:val="00F9699C"/>
    <w:rsid w:val="00F970D5"/>
    <w:rsid w:val="00F9786B"/>
    <w:rsid w:val="00F97A39"/>
    <w:rsid w:val="00F97A65"/>
    <w:rsid w:val="00FA2B08"/>
    <w:rsid w:val="00FA2F7A"/>
    <w:rsid w:val="00FA41AB"/>
    <w:rsid w:val="00FA4357"/>
    <w:rsid w:val="00FA47EB"/>
    <w:rsid w:val="00FA4CC8"/>
    <w:rsid w:val="00FA579A"/>
    <w:rsid w:val="00FA6D1E"/>
    <w:rsid w:val="00FB0262"/>
    <w:rsid w:val="00FB0840"/>
    <w:rsid w:val="00FB0D6D"/>
    <w:rsid w:val="00FB11E8"/>
    <w:rsid w:val="00FB1305"/>
    <w:rsid w:val="00FB1465"/>
    <w:rsid w:val="00FB18B4"/>
    <w:rsid w:val="00FB1AA3"/>
    <w:rsid w:val="00FB1F7D"/>
    <w:rsid w:val="00FB2749"/>
    <w:rsid w:val="00FB365E"/>
    <w:rsid w:val="00FB3D09"/>
    <w:rsid w:val="00FB5356"/>
    <w:rsid w:val="00FB6BB3"/>
    <w:rsid w:val="00FC02DB"/>
    <w:rsid w:val="00FC2FF7"/>
    <w:rsid w:val="00FC36EA"/>
    <w:rsid w:val="00FC3E95"/>
    <w:rsid w:val="00FC595C"/>
    <w:rsid w:val="00FC5E49"/>
    <w:rsid w:val="00FC6671"/>
    <w:rsid w:val="00FD0D09"/>
    <w:rsid w:val="00FD38A9"/>
    <w:rsid w:val="00FD4AB5"/>
    <w:rsid w:val="00FD5664"/>
    <w:rsid w:val="00FD5CA1"/>
    <w:rsid w:val="00FD60C2"/>
    <w:rsid w:val="00FD60D4"/>
    <w:rsid w:val="00FD6FA8"/>
    <w:rsid w:val="00FD775E"/>
    <w:rsid w:val="00FD7FC1"/>
    <w:rsid w:val="00FE07AC"/>
    <w:rsid w:val="00FE0F6C"/>
    <w:rsid w:val="00FE1CC4"/>
    <w:rsid w:val="00FE2439"/>
    <w:rsid w:val="00FE329C"/>
    <w:rsid w:val="00FE41DD"/>
    <w:rsid w:val="00FE43A1"/>
    <w:rsid w:val="00FE4E95"/>
    <w:rsid w:val="00FE50A7"/>
    <w:rsid w:val="00FE56B7"/>
    <w:rsid w:val="00FE6BB7"/>
    <w:rsid w:val="00FE7E2D"/>
    <w:rsid w:val="00FF0633"/>
    <w:rsid w:val="00FF1204"/>
    <w:rsid w:val="00FF2394"/>
    <w:rsid w:val="00FF23A8"/>
    <w:rsid w:val="00FF31C0"/>
    <w:rsid w:val="00FF34B8"/>
    <w:rsid w:val="00FF3A7C"/>
    <w:rsid w:val="00FF4C64"/>
    <w:rsid w:val="00FF5B65"/>
    <w:rsid w:val="00FF6096"/>
    <w:rsid w:val="00FF60C4"/>
    <w:rsid w:val="00FF685A"/>
    <w:rsid w:val="00FF6B55"/>
    <w:rsid w:val="00FF78B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qFormat="1"/>
  </w:latentStyles>
  <w:style w:type="paragraph" w:default="1" w:styleId="Normal">
    <w:name w:val="Normal"/>
    <w:qFormat/>
    <w:rsid w:val="00C655E2"/>
    <w:pPr>
      <w:spacing w:after="120"/>
      <w:jc w:val="both"/>
    </w:pPr>
    <w:rPr>
      <w:rFonts w:ascii="Myriad Pro" w:hAnsi="Myriad Pro"/>
      <w:sz w:val="22"/>
      <w:szCs w:val="24"/>
    </w:rPr>
  </w:style>
  <w:style w:type="paragraph" w:styleId="Heading1">
    <w:name w:val="heading 1"/>
    <w:basedOn w:val="Normal"/>
    <w:next w:val="Normal"/>
    <w:link w:val="Heading1Char"/>
    <w:autoRedefine/>
    <w:uiPriority w:val="99"/>
    <w:qFormat/>
    <w:rsid w:val="0075369C"/>
    <w:pPr>
      <w:keepNext/>
      <w:pageBreakBefore/>
      <w:numPr>
        <w:numId w:val="2"/>
      </w:numPr>
      <w:shd w:val="clear" w:color="auto" w:fill="C2E59E"/>
      <w:tabs>
        <w:tab w:val="left" w:pos="630"/>
      </w:tabs>
      <w:spacing w:before="600" w:after="360"/>
      <w:ind w:left="0" w:firstLine="0"/>
      <w:jc w:val="left"/>
      <w:outlineLvl w:val="0"/>
    </w:pPr>
    <w:rPr>
      <w:rFonts w:cs="Arial"/>
      <w:b/>
      <w:bCs/>
      <w:color w:val="000000" w:themeColor="text1"/>
      <w:kern w:val="32"/>
      <w:sz w:val="40"/>
      <w:szCs w:val="32"/>
    </w:rPr>
  </w:style>
  <w:style w:type="paragraph" w:styleId="Heading2">
    <w:name w:val="heading 2"/>
    <w:basedOn w:val="Normal"/>
    <w:next w:val="Normal"/>
    <w:link w:val="Heading2Char"/>
    <w:uiPriority w:val="99"/>
    <w:qFormat/>
    <w:rsid w:val="007E2EF7"/>
    <w:pPr>
      <w:keepNext/>
      <w:numPr>
        <w:ilvl w:val="1"/>
        <w:numId w:val="2"/>
      </w:numPr>
      <w:pBdr>
        <w:bottom w:val="single" w:sz="18" w:space="1" w:color="9BD45F" w:themeColor="accent5"/>
      </w:pBdr>
      <w:tabs>
        <w:tab w:val="left" w:pos="851"/>
      </w:tabs>
      <w:spacing w:before="480" w:after="240"/>
      <w:ind w:left="1220"/>
      <w:jc w:val="left"/>
      <w:outlineLvl w:val="1"/>
    </w:pPr>
    <w:rPr>
      <w:rFonts w:cs="Arial"/>
      <w:bCs/>
      <w:iCs/>
      <w:color w:val="000000" w:themeColor="text1"/>
      <w:sz w:val="36"/>
      <w:szCs w:val="28"/>
    </w:rPr>
  </w:style>
  <w:style w:type="paragraph" w:styleId="Heading3">
    <w:name w:val="heading 3"/>
    <w:basedOn w:val="Normal"/>
    <w:next w:val="Normal"/>
    <w:link w:val="Heading3Char"/>
    <w:uiPriority w:val="99"/>
    <w:qFormat/>
    <w:rsid w:val="00B762F6"/>
    <w:pPr>
      <w:keepNext/>
      <w:pBdr>
        <w:bottom w:val="single" w:sz="18" w:space="1" w:color="BF83D7" w:themeColor="accent2"/>
      </w:pBdr>
      <w:spacing w:before="240" w:after="60"/>
      <w:jc w:val="left"/>
      <w:outlineLvl w:val="2"/>
    </w:pPr>
    <w:rPr>
      <w:rFonts w:cs="Arial"/>
      <w:b/>
      <w:bCs/>
      <w:sz w:val="24"/>
      <w:szCs w:val="26"/>
      <w:lang w:val="sr-Latn-CS"/>
    </w:rPr>
  </w:style>
  <w:style w:type="paragraph" w:styleId="Heading4">
    <w:name w:val="heading 4"/>
    <w:basedOn w:val="Normal"/>
    <w:next w:val="Normal"/>
    <w:link w:val="Heading4Char"/>
    <w:uiPriority w:val="99"/>
    <w:qFormat/>
    <w:rsid w:val="00D84CBB"/>
    <w:pPr>
      <w:keepNext/>
      <w:keepLines/>
      <w:numPr>
        <w:ilvl w:val="3"/>
        <w:numId w:val="2"/>
      </w:numPr>
      <w:spacing w:before="60" w:after="0"/>
      <w:outlineLvl w:val="3"/>
    </w:pPr>
    <w:rPr>
      <w:b/>
      <w:bCs/>
      <w:iCs/>
      <w:color w:val="000000"/>
      <w:sz w:val="18"/>
    </w:rPr>
  </w:style>
  <w:style w:type="paragraph" w:styleId="Heading5">
    <w:name w:val="heading 5"/>
    <w:basedOn w:val="Normal"/>
    <w:next w:val="Normal"/>
    <w:link w:val="Heading5Char"/>
    <w:uiPriority w:val="99"/>
    <w:qFormat/>
    <w:rsid w:val="00E46438"/>
    <w:pPr>
      <w:keepNext/>
      <w:keepLines/>
      <w:numPr>
        <w:ilvl w:val="4"/>
        <w:numId w:val="2"/>
      </w:numPr>
      <w:spacing w:before="200" w:after="0"/>
      <w:outlineLvl w:val="4"/>
    </w:pPr>
    <w:rPr>
      <w:rFonts w:ascii="Cambria" w:hAnsi="Cambria"/>
      <w:color w:val="243F60"/>
    </w:rPr>
  </w:style>
  <w:style w:type="paragraph" w:styleId="Heading6">
    <w:name w:val="heading 6"/>
    <w:basedOn w:val="Normal"/>
    <w:next w:val="Normal"/>
    <w:link w:val="Heading6Char"/>
    <w:uiPriority w:val="99"/>
    <w:qFormat/>
    <w:rsid w:val="00E46438"/>
    <w:pPr>
      <w:keepNext/>
      <w:keepLines/>
      <w:numPr>
        <w:ilvl w:val="5"/>
        <w:numId w:val="2"/>
      </w:numPr>
      <w:spacing w:before="200" w:after="0"/>
      <w:outlineLvl w:val="5"/>
    </w:pPr>
    <w:rPr>
      <w:rFonts w:ascii="Cambria" w:hAnsi="Cambria"/>
      <w:i/>
      <w:iCs/>
      <w:color w:val="243F60"/>
    </w:rPr>
  </w:style>
  <w:style w:type="paragraph" w:styleId="Heading7">
    <w:name w:val="heading 7"/>
    <w:basedOn w:val="Normal"/>
    <w:next w:val="Normal"/>
    <w:link w:val="Heading7Char"/>
    <w:uiPriority w:val="99"/>
    <w:qFormat/>
    <w:rsid w:val="00E46438"/>
    <w:pPr>
      <w:keepNext/>
      <w:keepLines/>
      <w:numPr>
        <w:ilvl w:val="6"/>
        <w:numId w:val="2"/>
      </w:numPr>
      <w:spacing w:before="200" w:after="0"/>
      <w:outlineLvl w:val="6"/>
    </w:pPr>
    <w:rPr>
      <w:rFonts w:ascii="Cambria" w:hAnsi="Cambria"/>
      <w:i/>
      <w:iCs/>
      <w:color w:val="404040"/>
    </w:rPr>
  </w:style>
  <w:style w:type="paragraph" w:styleId="Heading8">
    <w:name w:val="heading 8"/>
    <w:basedOn w:val="Normal"/>
    <w:next w:val="Normal"/>
    <w:link w:val="Heading8Char"/>
    <w:uiPriority w:val="99"/>
    <w:qFormat/>
    <w:rsid w:val="00E46438"/>
    <w:pPr>
      <w:keepNext/>
      <w:keepLines/>
      <w:numPr>
        <w:ilvl w:val="7"/>
        <w:numId w:val="2"/>
      </w:numPr>
      <w:spacing w:before="200" w:after="0"/>
      <w:outlineLvl w:val="7"/>
    </w:pPr>
    <w:rPr>
      <w:rFonts w:ascii="Cambria" w:hAnsi="Cambria"/>
      <w:color w:val="404040"/>
      <w:szCs w:val="20"/>
    </w:rPr>
  </w:style>
  <w:style w:type="paragraph" w:styleId="Heading9">
    <w:name w:val="heading 9"/>
    <w:basedOn w:val="Normal"/>
    <w:next w:val="Normal"/>
    <w:link w:val="Heading9Char"/>
    <w:uiPriority w:val="99"/>
    <w:qFormat/>
    <w:rsid w:val="00E46438"/>
    <w:pPr>
      <w:keepNext/>
      <w:keepLines/>
      <w:numPr>
        <w:ilvl w:val="8"/>
        <w:numId w:val="2"/>
      </w:numPr>
      <w:spacing w:before="200" w:after="0"/>
      <w:outlineLvl w:val="8"/>
    </w:pPr>
    <w:rPr>
      <w:rFonts w:ascii="Cambria" w:hAnsi="Cambria"/>
      <w:i/>
      <w:iCs/>
      <w:color w:val="4040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5369C"/>
    <w:rPr>
      <w:rFonts w:ascii="Myriad Pro" w:hAnsi="Myriad Pro" w:cs="Arial"/>
      <w:b/>
      <w:bCs/>
      <w:color w:val="000000" w:themeColor="text1"/>
      <w:kern w:val="32"/>
      <w:sz w:val="40"/>
      <w:szCs w:val="32"/>
      <w:shd w:val="clear" w:color="auto" w:fill="C2E59E"/>
    </w:rPr>
  </w:style>
  <w:style w:type="character" w:customStyle="1" w:styleId="Heading2Char">
    <w:name w:val="Heading 2 Char"/>
    <w:basedOn w:val="DefaultParagraphFont"/>
    <w:link w:val="Heading2"/>
    <w:uiPriority w:val="99"/>
    <w:locked/>
    <w:rsid w:val="007E2EF7"/>
    <w:rPr>
      <w:rFonts w:ascii="Myriad Pro" w:hAnsi="Myriad Pro" w:cs="Arial"/>
      <w:bCs/>
      <w:iCs/>
      <w:color w:val="000000" w:themeColor="text1"/>
      <w:sz w:val="36"/>
      <w:szCs w:val="28"/>
    </w:rPr>
  </w:style>
  <w:style w:type="character" w:customStyle="1" w:styleId="Heading3Char">
    <w:name w:val="Heading 3 Char"/>
    <w:basedOn w:val="DefaultParagraphFont"/>
    <w:link w:val="Heading3"/>
    <w:uiPriority w:val="99"/>
    <w:locked/>
    <w:rsid w:val="00B762F6"/>
    <w:rPr>
      <w:rFonts w:ascii="Myriad Pro" w:hAnsi="Myriad Pro" w:cs="Arial"/>
      <w:b/>
      <w:bCs/>
      <w:sz w:val="24"/>
      <w:szCs w:val="26"/>
      <w:lang w:val="sr-Latn-CS"/>
    </w:rPr>
  </w:style>
  <w:style w:type="character" w:customStyle="1" w:styleId="Heading4Char">
    <w:name w:val="Heading 4 Char"/>
    <w:basedOn w:val="DefaultParagraphFont"/>
    <w:link w:val="Heading4"/>
    <w:uiPriority w:val="99"/>
    <w:locked/>
    <w:rsid w:val="00D84CBB"/>
    <w:rPr>
      <w:rFonts w:ascii="Myriad Pro" w:hAnsi="Myriad Pro"/>
      <w:b/>
      <w:bCs/>
      <w:iCs/>
      <w:color w:val="000000"/>
      <w:sz w:val="18"/>
      <w:szCs w:val="24"/>
    </w:rPr>
  </w:style>
  <w:style w:type="character" w:customStyle="1" w:styleId="Heading5Char">
    <w:name w:val="Heading 5 Char"/>
    <w:basedOn w:val="DefaultParagraphFont"/>
    <w:link w:val="Heading5"/>
    <w:uiPriority w:val="99"/>
    <w:locked/>
    <w:rsid w:val="00E46438"/>
    <w:rPr>
      <w:rFonts w:ascii="Cambria" w:hAnsi="Cambria"/>
      <w:color w:val="243F60"/>
      <w:sz w:val="22"/>
      <w:szCs w:val="24"/>
    </w:rPr>
  </w:style>
  <w:style w:type="character" w:customStyle="1" w:styleId="Heading6Char">
    <w:name w:val="Heading 6 Char"/>
    <w:basedOn w:val="DefaultParagraphFont"/>
    <w:link w:val="Heading6"/>
    <w:uiPriority w:val="99"/>
    <w:locked/>
    <w:rsid w:val="00E46438"/>
    <w:rPr>
      <w:rFonts w:ascii="Cambria" w:hAnsi="Cambria"/>
      <w:i/>
      <w:iCs/>
      <w:color w:val="243F60"/>
      <w:sz w:val="22"/>
      <w:szCs w:val="24"/>
    </w:rPr>
  </w:style>
  <w:style w:type="character" w:customStyle="1" w:styleId="Heading7Char">
    <w:name w:val="Heading 7 Char"/>
    <w:basedOn w:val="DefaultParagraphFont"/>
    <w:link w:val="Heading7"/>
    <w:uiPriority w:val="99"/>
    <w:locked/>
    <w:rsid w:val="00E46438"/>
    <w:rPr>
      <w:rFonts w:ascii="Cambria" w:hAnsi="Cambria"/>
      <w:i/>
      <w:iCs/>
      <w:color w:val="404040"/>
      <w:sz w:val="22"/>
      <w:szCs w:val="24"/>
    </w:rPr>
  </w:style>
  <w:style w:type="character" w:customStyle="1" w:styleId="Heading8Char">
    <w:name w:val="Heading 8 Char"/>
    <w:basedOn w:val="DefaultParagraphFont"/>
    <w:link w:val="Heading8"/>
    <w:uiPriority w:val="99"/>
    <w:locked/>
    <w:rsid w:val="00E46438"/>
    <w:rPr>
      <w:rFonts w:ascii="Cambria" w:hAnsi="Cambria"/>
      <w:color w:val="404040"/>
      <w:sz w:val="22"/>
    </w:rPr>
  </w:style>
  <w:style w:type="character" w:customStyle="1" w:styleId="Heading9Char">
    <w:name w:val="Heading 9 Char"/>
    <w:basedOn w:val="DefaultParagraphFont"/>
    <w:link w:val="Heading9"/>
    <w:uiPriority w:val="99"/>
    <w:locked/>
    <w:rsid w:val="00E46438"/>
    <w:rPr>
      <w:rFonts w:ascii="Cambria" w:hAnsi="Cambria"/>
      <w:i/>
      <w:iCs/>
      <w:color w:val="404040"/>
      <w:sz w:val="22"/>
    </w:rPr>
  </w:style>
  <w:style w:type="table" w:styleId="MediumGrid3-Accent1">
    <w:name w:val="Medium Grid 3 Accent 1"/>
    <w:basedOn w:val="TableNormal"/>
    <w:uiPriority w:val="69"/>
    <w:rsid w:val="00246FDD"/>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2F9EB"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EEAB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EEAB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EEAB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EEAB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6F4D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6F4D7" w:themeFill="accent1" w:themeFillTint="7F"/>
      </w:tcPr>
    </w:tblStylePr>
  </w:style>
  <w:style w:type="paragraph" w:styleId="Header">
    <w:name w:val="header"/>
    <w:basedOn w:val="Normal"/>
    <w:link w:val="HeaderChar"/>
    <w:uiPriority w:val="99"/>
    <w:rsid w:val="003F3F1C"/>
    <w:pPr>
      <w:tabs>
        <w:tab w:val="center" w:pos="4320"/>
        <w:tab w:val="right" w:pos="8640"/>
      </w:tabs>
    </w:pPr>
  </w:style>
  <w:style w:type="character" w:customStyle="1" w:styleId="HeaderChar">
    <w:name w:val="Header Char"/>
    <w:basedOn w:val="DefaultParagraphFont"/>
    <w:link w:val="Header"/>
    <w:uiPriority w:val="99"/>
    <w:locked/>
    <w:rsid w:val="009846B5"/>
    <w:rPr>
      <w:rFonts w:ascii="Verdana" w:hAnsi="Verdana" w:cs="Times New Roman"/>
      <w:sz w:val="24"/>
      <w:szCs w:val="24"/>
    </w:rPr>
  </w:style>
  <w:style w:type="paragraph" w:styleId="Footer">
    <w:name w:val="footer"/>
    <w:basedOn w:val="Normal"/>
    <w:link w:val="FooterChar"/>
    <w:uiPriority w:val="99"/>
    <w:rsid w:val="003F3F1C"/>
    <w:pPr>
      <w:tabs>
        <w:tab w:val="center" w:pos="4320"/>
        <w:tab w:val="right" w:pos="8640"/>
      </w:tabs>
    </w:pPr>
  </w:style>
  <w:style w:type="character" w:customStyle="1" w:styleId="FooterChar">
    <w:name w:val="Footer Char"/>
    <w:basedOn w:val="DefaultParagraphFont"/>
    <w:link w:val="Footer"/>
    <w:uiPriority w:val="99"/>
    <w:locked/>
    <w:rsid w:val="009846B5"/>
    <w:rPr>
      <w:rFonts w:ascii="Verdana" w:hAnsi="Verdana" w:cs="Times New Roman"/>
      <w:sz w:val="24"/>
      <w:szCs w:val="24"/>
    </w:rPr>
  </w:style>
  <w:style w:type="table" w:styleId="TableGrid">
    <w:name w:val="Table Grid"/>
    <w:basedOn w:val="TableNormal"/>
    <w:uiPriority w:val="99"/>
    <w:rsid w:val="005F5FC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85350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846B5"/>
    <w:rPr>
      <w:rFonts w:cs="Times New Roman"/>
      <w:sz w:val="2"/>
    </w:rPr>
  </w:style>
  <w:style w:type="paragraph" w:styleId="TOC1">
    <w:name w:val="toc 1"/>
    <w:basedOn w:val="Normal"/>
    <w:next w:val="Normal"/>
    <w:autoRedefine/>
    <w:uiPriority w:val="39"/>
    <w:rsid w:val="00F309CD"/>
    <w:pPr>
      <w:tabs>
        <w:tab w:val="left" w:pos="360"/>
        <w:tab w:val="right" w:leader="dot" w:pos="9063"/>
      </w:tabs>
      <w:spacing w:after="0" w:line="276" w:lineRule="auto"/>
      <w:jc w:val="left"/>
    </w:pPr>
    <w:rPr>
      <w:rFonts w:asciiTheme="minorHAnsi" w:hAnsiTheme="minorHAnsi"/>
      <w:b/>
      <w:bCs/>
      <w:sz w:val="20"/>
      <w:szCs w:val="20"/>
    </w:rPr>
  </w:style>
  <w:style w:type="paragraph" w:styleId="TOC2">
    <w:name w:val="toc 2"/>
    <w:basedOn w:val="Normal"/>
    <w:next w:val="Normal"/>
    <w:autoRedefine/>
    <w:uiPriority w:val="39"/>
    <w:rsid w:val="00D84BB6"/>
    <w:pPr>
      <w:spacing w:before="120" w:after="0"/>
      <w:ind w:left="180"/>
      <w:jc w:val="left"/>
    </w:pPr>
    <w:rPr>
      <w:rFonts w:asciiTheme="minorHAnsi" w:hAnsiTheme="minorHAnsi"/>
      <w:i/>
      <w:iCs/>
      <w:sz w:val="20"/>
      <w:szCs w:val="20"/>
    </w:rPr>
  </w:style>
  <w:style w:type="paragraph" w:styleId="TOC3">
    <w:name w:val="toc 3"/>
    <w:basedOn w:val="Normal"/>
    <w:next w:val="Normal"/>
    <w:autoRedefine/>
    <w:uiPriority w:val="39"/>
    <w:rsid w:val="00D84BB6"/>
    <w:pPr>
      <w:spacing w:after="0"/>
      <w:ind w:left="360"/>
      <w:jc w:val="left"/>
    </w:pPr>
    <w:rPr>
      <w:rFonts w:asciiTheme="minorHAnsi" w:hAnsiTheme="minorHAnsi"/>
      <w:sz w:val="20"/>
      <w:szCs w:val="20"/>
    </w:rPr>
  </w:style>
  <w:style w:type="paragraph" w:styleId="TOC4">
    <w:name w:val="toc 4"/>
    <w:basedOn w:val="Normal"/>
    <w:next w:val="Normal"/>
    <w:autoRedefine/>
    <w:uiPriority w:val="39"/>
    <w:rsid w:val="00D84BB6"/>
    <w:pPr>
      <w:spacing w:after="0"/>
      <w:ind w:left="540"/>
      <w:jc w:val="left"/>
    </w:pPr>
    <w:rPr>
      <w:rFonts w:asciiTheme="minorHAnsi" w:hAnsiTheme="minorHAnsi"/>
      <w:sz w:val="20"/>
      <w:szCs w:val="20"/>
    </w:rPr>
  </w:style>
  <w:style w:type="paragraph" w:styleId="TOC5">
    <w:name w:val="toc 5"/>
    <w:basedOn w:val="Normal"/>
    <w:next w:val="Normal"/>
    <w:autoRedefine/>
    <w:uiPriority w:val="39"/>
    <w:rsid w:val="00DB58C2"/>
    <w:pPr>
      <w:spacing w:after="0"/>
      <w:ind w:left="720"/>
      <w:jc w:val="left"/>
    </w:pPr>
    <w:rPr>
      <w:rFonts w:asciiTheme="minorHAnsi" w:hAnsiTheme="minorHAnsi"/>
      <w:sz w:val="20"/>
      <w:szCs w:val="20"/>
    </w:rPr>
  </w:style>
  <w:style w:type="paragraph" w:styleId="TOC6">
    <w:name w:val="toc 6"/>
    <w:basedOn w:val="Normal"/>
    <w:next w:val="Normal"/>
    <w:autoRedefine/>
    <w:uiPriority w:val="39"/>
    <w:rsid w:val="00DB58C2"/>
    <w:pPr>
      <w:spacing w:after="0"/>
      <w:ind w:left="900"/>
      <w:jc w:val="left"/>
    </w:pPr>
    <w:rPr>
      <w:rFonts w:asciiTheme="minorHAnsi" w:hAnsiTheme="minorHAnsi"/>
      <w:sz w:val="20"/>
      <w:szCs w:val="20"/>
    </w:rPr>
  </w:style>
  <w:style w:type="paragraph" w:styleId="TOC7">
    <w:name w:val="toc 7"/>
    <w:basedOn w:val="Normal"/>
    <w:next w:val="Normal"/>
    <w:autoRedefine/>
    <w:uiPriority w:val="39"/>
    <w:rsid w:val="00DB58C2"/>
    <w:pPr>
      <w:spacing w:after="0"/>
      <w:ind w:left="1080"/>
      <w:jc w:val="left"/>
    </w:pPr>
    <w:rPr>
      <w:rFonts w:asciiTheme="minorHAnsi" w:hAnsiTheme="minorHAnsi"/>
      <w:sz w:val="20"/>
      <w:szCs w:val="20"/>
    </w:rPr>
  </w:style>
  <w:style w:type="paragraph" w:styleId="TOC8">
    <w:name w:val="toc 8"/>
    <w:basedOn w:val="Normal"/>
    <w:next w:val="Normal"/>
    <w:autoRedefine/>
    <w:uiPriority w:val="39"/>
    <w:rsid w:val="00DB58C2"/>
    <w:pPr>
      <w:spacing w:after="0"/>
      <w:ind w:left="1260"/>
      <w:jc w:val="left"/>
    </w:pPr>
    <w:rPr>
      <w:rFonts w:asciiTheme="minorHAnsi" w:hAnsiTheme="minorHAnsi"/>
      <w:sz w:val="20"/>
      <w:szCs w:val="20"/>
    </w:rPr>
  </w:style>
  <w:style w:type="paragraph" w:styleId="TOC9">
    <w:name w:val="toc 9"/>
    <w:basedOn w:val="Normal"/>
    <w:next w:val="Normal"/>
    <w:autoRedefine/>
    <w:uiPriority w:val="39"/>
    <w:rsid w:val="00DB58C2"/>
    <w:pPr>
      <w:spacing w:after="0"/>
      <w:ind w:left="1440"/>
      <w:jc w:val="left"/>
    </w:pPr>
    <w:rPr>
      <w:rFonts w:asciiTheme="minorHAnsi" w:hAnsiTheme="minorHAnsi"/>
      <w:sz w:val="20"/>
      <w:szCs w:val="20"/>
    </w:rPr>
  </w:style>
  <w:style w:type="character" w:styleId="Hyperlink">
    <w:name w:val="Hyperlink"/>
    <w:basedOn w:val="DefaultParagraphFont"/>
    <w:uiPriority w:val="99"/>
    <w:rsid w:val="004B1F52"/>
    <w:rPr>
      <w:rFonts w:cs="Times New Roman"/>
      <w:color w:val="000000"/>
      <w:u w:val="single"/>
    </w:rPr>
  </w:style>
  <w:style w:type="table" w:styleId="MediumShading1-Accent2">
    <w:name w:val="Medium Shading 1 Accent 2"/>
    <w:basedOn w:val="TableNormal"/>
    <w:uiPriority w:val="63"/>
    <w:rsid w:val="00246FDD"/>
    <w:tblPr>
      <w:tblStyleRowBandSize w:val="1"/>
      <w:tblStyleColBandSize w:val="1"/>
      <w:tblInd w:w="0" w:type="dxa"/>
      <w:tblBorders>
        <w:top w:val="single" w:sz="8" w:space="0" w:color="CEA2E1" w:themeColor="accent2" w:themeTint="BF"/>
        <w:left w:val="single" w:sz="8" w:space="0" w:color="CEA2E1" w:themeColor="accent2" w:themeTint="BF"/>
        <w:bottom w:val="single" w:sz="8" w:space="0" w:color="CEA2E1" w:themeColor="accent2" w:themeTint="BF"/>
        <w:right w:val="single" w:sz="8" w:space="0" w:color="CEA2E1" w:themeColor="accent2" w:themeTint="BF"/>
        <w:insideH w:val="single" w:sz="8" w:space="0" w:color="CEA2E1"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EA2E1" w:themeColor="accent2" w:themeTint="BF"/>
          <w:left w:val="single" w:sz="8" w:space="0" w:color="CEA2E1" w:themeColor="accent2" w:themeTint="BF"/>
          <w:bottom w:val="single" w:sz="8" w:space="0" w:color="CEA2E1" w:themeColor="accent2" w:themeTint="BF"/>
          <w:right w:val="single" w:sz="8" w:space="0" w:color="CEA2E1" w:themeColor="accent2" w:themeTint="BF"/>
          <w:insideH w:val="nil"/>
          <w:insideV w:val="nil"/>
        </w:tcBorders>
        <w:shd w:val="clear" w:color="auto" w:fill="BF83D7" w:themeFill="accent2"/>
      </w:tcPr>
    </w:tblStylePr>
    <w:tblStylePr w:type="lastRow">
      <w:pPr>
        <w:spacing w:before="0" w:after="0" w:line="240" w:lineRule="auto"/>
      </w:pPr>
      <w:rPr>
        <w:b/>
        <w:bCs/>
      </w:rPr>
      <w:tblPr/>
      <w:tcPr>
        <w:tcBorders>
          <w:top w:val="double" w:sz="6" w:space="0" w:color="CEA2E1" w:themeColor="accent2" w:themeTint="BF"/>
          <w:left w:val="single" w:sz="8" w:space="0" w:color="CEA2E1" w:themeColor="accent2" w:themeTint="BF"/>
          <w:bottom w:val="single" w:sz="8" w:space="0" w:color="CEA2E1" w:themeColor="accent2" w:themeTint="BF"/>
          <w:right w:val="single" w:sz="8" w:space="0" w:color="CEA2E1"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E0F5" w:themeFill="accent2" w:themeFillTint="3F"/>
      </w:tcPr>
    </w:tblStylePr>
    <w:tblStylePr w:type="band1Horz">
      <w:tblPr/>
      <w:tcPr>
        <w:tcBorders>
          <w:insideH w:val="nil"/>
          <w:insideV w:val="nil"/>
        </w:tcBorders>
        <w:shd w:val="clear" w:color="auto" w:fill="EFE0F5" w:themeFill="accent2" w:themeFillTint="3F"/>
      </w:tcPr>
    </w:tblStylePr>
    <w:tblStylePr w:type="band2Horz">
      <w:tblPr/>
      <w:tcPr>
        <w:tcBorders>
          <w:insideH w:val="nil"/>
          <w:insideV w:val="nil"/>
        </w:tcBorders>
      </w:tcPr>
    </w:tblStylePr>
  </w:style>
  <w:style w:type="paragraph" w:customStyle="1" w:styleId="Aneksi">
    <w:name w:val="Aneksi"/>
    <w:basedOn w:val="Heading1"/>
    <w:uiPriority w:val="99"/>
    <w:rsid w:val="00893C83"/>
    <w:pPr>
      <w:numPr>
        <w:numId w:val="1"/>
      </w:numPr>
    </w:pPr>
    <w:rPr>
      <w:b w:val="0"/>
      <w:sz w:val="24"/>
    </w:rPr>
  </w:style>
  <w:style w:type="character" w:styleId="FollowedHyperlink">
    <w:name w:val="FollowedHyperlink"/>
    <w:basedOn w:val="DefaultParagraphFont"/>
    <w:uiPriority w:val="99"/>
    <w:rsid w:val="004B1F52"/>
    <w:rPr>
      <w:rFonts w:cs="Times New Roman"/>
      <w:color w:val="000000"/>
      <w:u w:val="single"/>
    </w:rPr>
  </w:style>
  <w:style w:type="paragraph" w:styleId="BodyText">
    <w:name w:val="Body Text"/>
    <w:basedOn w:val="Normal"/>
    <w:link w:val="BodyTextChar"/>
    <w:uiPriority w:val="99"/>
    <w:rsid w:val="00D21ABC"/>
    <w:pPr>
      <w:spacing w:after="0"/>
    </w:pPr>
    <w:rPr>
      <w:rFonts w:ascii="Times New Roman" w:hAnsi="Times New Roman"/>
      <w:b/>
      <w:bCs/>
      <w:smallCaps/>
      <w:sz w:val="24"/>
      <w:lang w:val="en-GB"/>
    </w:rPr>
  </w:style>
  <w:style w:type="character" w:customStyle="1" w:styleId="BodyTextChar">
    <w:name w:val="Body Text Char"/>
    <w:basedOn w:val="DefaultParagraphFont"/>
    <w:link w:val="BodyText"/>
    <w:uiPriority w:val="99"/>
    <w:locked/>
    <w:rsid w:val="009846B5"/>
    <w:rPr>
      <w:rFonts w:ascii="Verdana" w:hAnsi="Verdana" w:cs="Times New Roman"/>
      <w:sz w:val="24"/>
      <w:szCs w:val="24"/>
    </w:rPr>
  </w:style>
  <w:style w:type="paragraph" w:styleId="TOCHeading">
    <w:name w:val="TOC Heading"/>
    <w:basedOn w:val="Heading1"/>
    <w:next w:val="Normal"/>
    <w:uiPriority w:val="99"/>
    <w:qFormat/>
    <w:rsid w:val="005E6620"/>
    <w:pPr>
      <w:keepLines/>
      <w:pageBreakBefore w:val="0"/>
      <w:numPr>
        <w:numId w:val="0"/>
      </w:numPr>
      <w:spacing w:before="480" w:after="0" w:line="276" w:lineRule="auto"/>
      <w:outlineLvl w:val="9"/>
    </w:pPr>
    <w:rPr>
      <w:rFonts w:cs="Times New Roman"/>
      <w:color w:val="365F91"/>
      <w:kern w:val="0"/>
      <w:szCs w:val="28"/>
    </w:rPr>
  </w:style>
  <w:style w:type="paragraph" w:styleId="ListParagraph">
    <w:name w:val="List Paragraph"/>
    <w:basedOn w:val="Normal"/>
    <w:uiPriority w:val="99"/>
    <w:qFormat/>
    <w:rsid w:val="008401FB"/>
    <w:pPr>
      <w:ind w:left="720"/>
      <w:contextualSpacing/>
    </w:pPr>
  </w:style>
  <w:style w:type="table" w:styleId="TableColumns5">
    <w:name w:val="Table Columns 5"/>
    <w:basedOn w:val="TableNormal"/>
    <w:uiPriority w:val="99"/>
    <w:rsid w:val="00AA0A03"/>
    <w:pPr>
      <w:spacing w:before="120" w:after="120"/>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paragraph" w:styleId="Subtitle">
    <w:name w:val="Subtitle"/>
    <w:basedOn w:val="Normal"/>
    <w:next w:val="Normal"/>
    <w:link w:val="SubtitleChar"/>
    <w:uiPriority w:val="99"/>
    <w:qFormat/>
    <w:rsid w:val="00FD4AB5"/>
    <w:pPr>
      <w:numPr>
        <w:ilvl w:val="1"/>
      </w:numPr>
    </w:pPr>
    <w:rPr>
      <w:rFonts w:ascii="Cambria" w:hAnsi="Cambria"/>
      <w:i/>
      <w:iCs/>
      <w:color w:val="4F81BD"/>
      <w:spacing w:val="15"/>
      <w:sz w:val="24"/>
    </w:rPr>
  </w:style>
  <w:style w:type="character" w:customStyle="1" w:styleId="SubtitleChar">
    <w:name w:val="Subtitle Char"/>
    <w:basedOn w:val="DefaultParagraphFont"/>
    <w:link w:val="Subtitle"/>
    <w:uiPriority w:val="99"/>
    <w:locked/>
    <w:rsid w:val="00FD4AB5"/>
    <w:rPr>
      <w:rFonts w:ascii="Cambria" w:hAnsi="Cambria" w:cs="Times New Roman"/>
      <w:i/>
      <w:iCs/>
      <w:color w:val="4F81BD"/>
      <w:spacing w:val="15"/>
      <w:sz w:val="24"/>
      <w:szCs w:val="24"/>
    </w:rPr>
  </w:style>
  <w:style w:type="table" w:styleId="TableClassic1">
    <w:name w:val="Table Classic 1"/>
    <w:basedOn w:val="TableNormal"/>
    <w:uiPriority w:val="99"/>
    <w:rsid w:val="00970582"/>
    <w:pPr>
      <w:spacing w:before="120" w:after="120"/>
      <w:jc w:val="both"/>
    </w:p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Tabele">
    <w:name w:val="Tabele"/>
    <w:basedOn w:val="Normal"/>
    <w:uiPriority w:val="99"/>
    <w:qFormat/>
    <w:rsid w:val="000F0461"/>
    <w:pPr>
      <w:numPr>
        <w:numId w:val="3"/>
      </w:numPr>
      <w:spacing w:before="120" w:after="360"/>
      <w:ind w:left="4770"/>
      <w:jc w:val="center"/>
    </w:pPr>
    <w:rPr>
      <w:i/>
      <w:sz w:val="20"/>
      <w:lang w:val="sr-Latn-CS"/>
    </w:rPr>
  </w:style>
  <w:style w:type="table" w:styleId="Table3Deffects3">
    <w:name w:val="Table 3D effects 3"/>
    <w:basedOn w:val="TableNormal"/>
    <w:uiPriority w:val="99"/>
    <w:rsid w:val="0032453C"/>
    <w:pPr>
      <w:spacing w:before="120" w:after="120"/>
      <w:jc w:val="both"/>
    </w:p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uiPriority w:val="99"/>
    <w:rsid w:val="0032453C"/>
    <w:pPr>
      <w:spacing w:before="120" w:after="12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paragraph" w:customStyle="1" w:styleId="Grafikon">
    <w:name w:val="Grafikon"/>
    <w:basedOn w:val="Normal"/>
    <w:uiPriority w:val="99"/>
    <w:qFormat/>
    <w:rsid w:val="003017C4"/>
    <w:pPr>
      <w:numPr>
        <w:numId w:val="4"/>
      </w:numPr>
      <w:ind w:left="360"/>
      <w:jc w:val="center"/>
    </w:pPr>
    <w:rPr>
      <w:i/>
      <w:sz w:val="20"/>
      <w:lang w:val="sr-Latn-CS"/>
    </w:rPr>
  </w:style>
  <w:style w:type="character" w:styleId="CommentReference">
    <w:name w:val="annotation reference"/>
    <w:basedOn w:val="DefaultParagraphFont"/>
    <w:uiPriority w:val="99"/>
    <w:semiHidden/>
    <w:unhideWhenUsed/>
    <w:rsid w:val="002E5D2E"/>
    <w:rPr>
      <w:sz w:val="16"/>
      <w:szCs w:val="16"/>
    </w:rPr>
  </w:style>
  <w:style w:type="paragraph" w:styleId="CommentText">
    <w:name w:val="annotation text"/>
    <w:basedOn w:val="Normal"/>
    <w:link w:val="CommentTextChar"/>
    <w:uiPriority w:val="99"/>
    <w:unhideWhenUsed/>
    <w:rsid w:val="002E5D2E"/>
    <w:rPr>
      <w:szCs w:val="20"/>
    </w:rPr>
  </w:style>
  <w:style w:type="character" w:customStyle="1" w:styleId="CommentTextChar">
    <w:name w:val="Comment Text Char"/>
    <w:basedOn w:val="DefaultParagraphFont"/>
    <w:link w:val="CommentText"/>
    <w:uiPriority w:val="99"/>
    <w:rsid w:val="002E5D2E"/>
    <w:rPr>
      <w:rFonts w:ascii="Verdana" w:hAnsi="Verdana"/>
    </w:rPr>
  </w:style>
  <w:style w:type="paragraph" w:styleId="CommentSubject">
    <w:name w:val="annotation subject"/>
    <w:basedOn w:val="CommentText"/>
    <w:next w:val="CommentText"/>
    <w:link w:val="CommentSubjectChar"/>
    <w:uiPriority w:val="99"/>
    <w:semiHidden/>
    <w:unhideWhenUsed/>
    <w:rsid w:val="002E5D2E"/>
    <w:rPr>
      <w:b/>
      <w:bCs/>
    </w:rPr>
  </w:style>
  <w:style w:type="character" w:customStyle="1" w:styleId="CommentSubjectChar">
    <w:name w:val="Comment Subject Char"/>
    <w:basedOn w:val="CommentTextChar"/>
    <w:link w:val="CommentSubject"/>
    <w:uiPriority w:val="99"/>
    <w:semiHidden/>
    <w:rsid w:val="002E5D2E"/>
    <w:rPr>
      <w:rFonts w:ascii="Verdana" w:hAnsi="Verdana"/>
      <w:b/>
      <w:bCs/>
    </w:rPr>
  </w:style>
  <w:style w:type="paragraph" w:styleId="NoSpacing">
    <w:name w:val="No Spacing"/>
    <w:link w:val="NoSpacingChar"/>
    <w:uiPriority w:val="1"/>
    <w:qFormat/>
    <w:rsid w:val="009E4056"/>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9E4056"/>
    <w:rPr>
      <w:rFonts w:asciiTheme="minorHAnsi" w:eastAsiaTheme="minorEastAsia" w:hAnsiTheme="minorHAnsi" w:cstheme="minorBidi"/>
      <w:sz w:val="22"/>
      <w:szCs w:val="22"/>
    </w:rPr>
  </w:style>
  <w:style w:type="table" w:styleId="LightShading-Accent3">
    <w:name w:val="Light Shading Accent 3"/>
    <w:basedOn w:val="TableNormal"/>
    <w:uiPriority w:val="60"/>
    <w:rsid w:val="00A7320C"/>
    <w:rPr>
      <w:color w:val="F58A30" w:themeColor="accent3" w:themeShade="BF"/>
    </w:rPr>
    <w:tblPr>
      <w:tblStyleRowBandSize w:val="1"/>
      <w:tblStyleColBandSize w:val="1"/>
      <w:tblInd w:w="0" w:type="dxa"/>
      <w:tblBorders>
        <w:top w:val="single" w:sz="8" w:space="0" w:color="FAC08F" w:themeColor="accent3"/>
        <w:bottom w:val="single" w:sz="8" w:space="0" w:color="FAC08F"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AC08F" w:themeColor="accent3"/>
          <w:left w:val="nil"/>
          <w:bottom w:val="single" w:sz="8" w:space="0" w:color="FAC08F" w:themeColor="accent3"/>
          <w:right w:val="nil"/>
          <w:insideH w:val="nil"/>
          <w:insideV w:val="nil"/>
        </w:tcBorders>
      </w:tcPr>
    </w:tblStylePr>
    <w:tblStylePr w:type="lastRow">
      <w:pPr>
        <w:spacing w:before="0" w:after="0" w:line="240" w:lineRule="auto"/>
      </w:pPr>
      <w:rPr>
        <w:b/>
        <w:bCs/>
      </w:rPr>
      <w:tblPr/>
      <w:tcPr>
        <w:tcBorders>
          <w:top w:val="single" w:sz="8" w:space="0" w:color="FAC08F" w:themeColor="accent3"/>
          <w:left w:val="nil"/>
          <w:bottom w:val="single" w:sz="8" w:space="0" w:color="FAC08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FE3" w:themeFill="accent3" w:themeFillTint="3F"/>
      </w:tcPr>
    </w:tblStylePr>
    <w:tblStylePr w:type="band1Horz">
      <w:tblPr/>
      <w:tcPr>
        <w:tcBorders>
          <w:left w:val="nil"/>
          <w:right w:val="nil"/>
          <w:insideH w:val="nil"/>
          <w:insideV w:val="nil"/>
        </w:tcBorders>
        <w:shd w:val="clear" w:color="auto" w:fill="FDEFE3" w:themeFill="accent3" w:themeFillTint="3F"/>
      </w:tcPr>
    </w:tblStylePr>
  </w:style>
  <w:style w:type="table" w:styleId="LightShading-Accent4">
    <w:name w:val="Light Shading Accent 4"/>
    <w:basedOn w:val="TableNormal"/>
    <w:uiPriority w:val="60"/>
    <w:rsid w:val="00A7320C"/>
    <w:rPr>
      <w:color w:val="3232FF" w:themeColor="accent4" w:themeShade="BF"/>
    </w:rPr>
    <w:tblPr>
      <w:tblStyleRowBandSize w:val="1"/>
      <w:tblStyleColBandSize w:val="1"/>
      <w:tblInd w:w="0" w:type="dxa"/>
      <w:tblBorders>
        <w:top w:val="single" w:sz="8" w:space="0" w:color="9999FF" w:themeColor="accent4"/>
        <w:bottom w:val="single" w:sz="8" w:space="0" w:color="9999FF"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999FF" w:themeColor="accent4"/>
          <w:left w:val="nil"/>
          <w:bottom w:val="single" w:sz="8" w:space="0" w:color="9999FF" w:themeColor="accent4"/>
          <w:right w:val="nil"/>
          <w:insideH w:val="nil"/>
          <w:insideV w:val="nil"/>
        </w:tcBorders>
      </w:tcPr>
    </w:tblStylePr>
    <w:tblStylePr w:type="lastRow">
      <w:pPr>
        <w:spacing w:before="0" w:after="0" w:line="240" w:lineRule="auto"/>
      </w:pPr>
      <w:rPr>
        <w:b/>
        <w:bCs/>
      </w:rPr>
      <w:tblPr/>
      <w:tcPr>
        <w:tcBorders>
          <w:top w:val="single" w:sz="8" w:space="0" w:color="9999FF" w:themeColor="accent4"/>
          <w:left w:val="nil"/>
          <w:bottom w:val="single" w:sz="8" w:space="0" w:color="9999F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FF" w:themeFill="accent4" w:themeFillTint="3F"/>
      </w:tcPr>
    </w:tblStylePr>
    <w:tblStylePr w:type="band1Horz">
      <w:tblPr/>
      <w:tcPr>
        <w:tcBorders>
          <w:left w:val="nil"/>
          <w:right w:val="nil"/>
          <w:insideH w:val="nil"/>
          <w:insideV w:val="nil"/>
        </w:tcBorders>
        <w:shd w:val="clear" w:color="auto" w:fill="E5E5FF" w:themeFill="accent4" w:themeFillTint="3F"/>
      </w:tcPr>
    </w:tblStylePr>
  </w:style>
  <w:style w:type="table" w:styleId="MediumShading2-Accent3">
    <w:name w:val="Medium Shading 2 Accent 3"/>
    <w:basedOn w:val="TableNormal"/>
    <w:uiPriority w:val="64"/>
    <w:rsid w:val="00A7320C"/>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AC08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AC08F" w:themeFill="accent3"/>
      </w:tcPr>
    </w:tblStylePr>
    <w:tblStylePr w:type="lastCol">
      <w:rPr>
        <w:b/>
        <w:bCs/>
        <w:color w:val="FFFFFF" w:themeColor="background1"/>
      </w:rPr>
      <w:tblPr/>
      <w:tcPr>
        <w:tcBorders>
          <w:left w:val="nil"/>
          <w:right w:val="nil"/>
          <w:insideH w:val="nil"/>
          <w:insideV w:val="nil"/>
        </w:tcBorders>
        <w:shd w:val="clear" w:color="auto" w:fill="FAC08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5">
    <w:name w:val="Medium List 1 Accent 5"/>
    <w:basedOn w:val="TableNormal"/>
    <w:uiPriority w:val="65"/>
    <w:rsid w:val="00FF23A8"/>
    <w:rPr>
      <w:color w:val="000000" w:themeColor="text1"/>
    </w:rPr>
    <w:tblPr>
      <w:tblStyleRowBandSize w:val="1"/>
      <w:tblStyleColBandSize w:val="1"/>
      <w:tblInd w:w="0" w:type="dxa"/>
      <w:tblBorders>
        <w:top w:val="single" w:sz="8" w:space="0" w:color="9BD45F" w:themeColor="accent5"/>
        <w:bottom w:val="single" w:sz="8" w:space="0" w:color="9BD45F"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D45F" w:themeColor="accent5"/>
        </w:tcBorders>
      </w:tcPr>
    </w:tblStylePr>
    <w:tblStylePr w:type="lastRow">
      <w:rPr>
        <w:b/>
        <w:bCs/>
        <w:color w:val="1F497D" w:themeColor="text2"/>
      </w:rPr>
      <w:tblPr/>
      <w:tcPr>
        <w:tcBorders>
          <w:top w:val="single" w:sz="8" w:space="0" w:color="9BD45F" w:themeColor="accent5"/>
          <w:bottom w:val="single" w:sz="8" w:space="0" w:color="9BD45F" w:themeColor="accent5"/>
        </w:tcBorders>
      </w:tcPr>
    </w:tblStylePr>
    <w:tblStylePr w:type="firstCol">
      <w:rPr>
        <w:b/>
        <w:bCs/>
      </w:rPr>
    </w:tblStylePr>
    <w:tblStylePr w:type="lastCol">
      <w:rPr>
        <w:b/>
        <w:bCs/>
      </w:rPr>
      <w:tblPr/>
      <w:tcPr>
        <w:tcBorders>
          <w:top w:val="single" w:sz="8" w:space="0" w:color="9BD45F" w:themeColor="accent5"/>
          <w:bottom w:val="single" w:sz="8" w:space="0" w:color="9BD45F" w:themeColor="accent5"/>
        </w:tcBorders>
      </w:tcPr>
    </w:tblStylePr>
    <w:tblStylePr w:type="band1Vert">
      <w:tblPr/>
      <w:tcPr>
        <w:shd w:val="clear" w:color="auto" w:fill="E6F4D7" w:themeFill="accent5" w:themeFillTint="3F"/>
      </w:tcPr>
    </w:tblStylePr>
    <w:tblStylePr w:type="band1Horz">
      <w:tblPr/>
      <w:tcPr>
        <w:shd w:val="clear" w:color="auto" w:fill="E6F4D7" w:themeFill="accent5" w:themeFillTint="3F"/>
      </w:tcPr>
    </w:tblStylePr>
  </w:style>
  <w:style w:type="table" w:styleId="MediumGrid3-Accent5">
    <w:name w:val="Medium Grid 3 Accent 5"/>
    <w:basedOn w:val="TableNormal"/>
    <w:uiPriority w:val="69"/>
    <w:rsid w:val="00FF23A8"/>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F4D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D4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D4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D4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D4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CE9A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CE9AF" w:themeFill="accent5" w:themeFillTint="7F"/>
      </w:tcPr>
    </w:tblStylePr>
  </w:style>
  <w:style w:type="table" w:styleId="MediumGrid2-Accent2">
    <w:name w:val="Medium Grid 2 Accent 2"/>
    <w:basedOn w:val="TableNormal"/>
    <w:uiPriority w:val="68"/>
    <w:rsid w:val="00853393"/>
    <w:rPr>
      <w:rFonts w:asciiTheme="majorHAnsi" w:eastAsiaTheme="majorEastAsia" w:hAnsiTheme="majorHAnsi" w:cstheme="majorBidi"/>
      <w:color w:val="000000" w:themeColor="text1"/>
    </w:rPr>
    <w:tblPr>
      <w:tblStyleRowBandSize w:val="1"/>
      <w:tblStyleColBandSize w:val="1"/>
      <w:tblInd w:w="0" w:type="dxa"/>
      <w:tblBorders>
        <w:top w:val="single" w:sz="8" w:space="0" w:color="BF83D7" w:themeColor="accent2"/>
        <w:left w:val="single" w:sz="8" w:space="0" w:color="BF83D7" w:themeColor="accent2"/>
        <w:bottom w:val="single" w:sz="8" w:space="0" w:color="BF83D7" w:themeColor="accent2"/>
        <w:right w:val="single" w:sz="8" w:space="0" w:color="BF83D7" w:themeColor="accent2"/>
        <w:insideH w:val="single" w:sz="8" w:space="0" w:color="BF83D7" w:themeColor="accent2"/>
        <w:insideV w:val="single" w:sz="8" w:space="0" w:color="BF83D7" w:themeColor="accent2"/>
      </w:tblBorders>
      <w:tblCellMar>
        <w:top w:w="0" w:type="dxa"/>
        <w:left w:w="108" w:type="dxa"/>
        <w:bottom w:w="0" w:type="dxa"/>
        <w:right w:w="108" w:type="dxa"/>
      </w:tblCellMar>
    </w:tblPr>
    <w:tcPr>
      <w:shd w:val="clear" w:color="auto" w:fill="EFE0F5" w:themeFill="accent2" w:themeFillTint="3F"/>
    </w:tcPr>
    <w:tblStylePr w:type="firstRow">
      <w:rPr>
        <w:b/>
        <w:bCs/>
        <w:color w:val="000000" w:themeColor="text1"/>
      </w:rPr>
      <w:tblPr/>
      <w:tcPr>
        <w:shd w:val="clear" w:color="auto" w:fill="F8F2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E6F7" w:themeFill="accent2" w:themeFillTint="33"/>
      </w:tcPr>
    </w:tblStylePr>
    <w:tblStylePr w:type="band1Vert">
      <w:tblPr/>
      <w:tcPr>
        <w:shd w:val="clear" w:color="auto" w:fill="DEC1EB" w:themeFill="accent2" w:themeFillTint="7F"/>
      </w:tcPr>
    </w:tblStylePr>
    <w:tblStylePr w:type="band1Horz">
      <w:tblPr/>
      <w:tcPr>
        <w:tcBorders>
          <w:insideH w:val="single" w:sz="6" w:space="0" w:color="BF83D7" w:themeColor="accent2"/>
          <w:insideV w:val="single" w:sz="6" w:space="0" w:color="BF83D7" w:themeColor="accent2"/>
        </w:tcBorders>
        <w:shd w:val="clear" w:color="auto" w:fill="DEC1EB" w:themeFill="accent2" w:themeFillTint="7F"/>
      </w:tcPr>
    </w:tblStylePr>
    <w:tblStylePr w:type="nwCell">
      <w:tblPr/>
      <w:tcPr>
        <w:shd w:val="clear" w:color="auto" w:fill="FFFFFF" w:themeFill="background1"/>
      </w:tcPr>
    </w:tblStylePr>
  </w:style>
  <w:style w:type="paragraph" w:styleId="FootnoteText">
    <w:name w:val="footnote text"/>
    <w:basedOn w:val="Normal"/>
    <w:link w:val="FootnoteTextChar"/>
    <w:uiPriority w:val="99"/>
    <w:semiHidden/>
    <w:unhideWhenUsed/>
    <w:rsid w:val="0088185A"/>
    <w:pPr>
      <w:spacing w:after="0"/>
    </w:pPr>
    <w:rPr>
      <w:sz w:val="20"/>
      <w:szCs w:val="20"/>
    </w:rPr>
  </w:style>
  <w:style w:type="character" w:customStyle="1" w:styleId="FootnoteTextChar">
    <w:name w:val="Footnote Text Char"/>
    <w:basedOn w:val="DefaultParagraphFont"/>
    <w:link w:val="FootnoteText"/>
    <w:uiPriority w:val="99"/>
    <w:semiHidden/>
    <w:rsid w:val="0088185A"/>
    <w:rPr>
      <w:rFonts w:ascii="Verdana" w:hAnsi="Verdana"/>
    </w:rPr>
  </w:style>
  <w:style w:type="character" w:styleId="FootnoteReference">
    <w:name w:val="footnote reference"/>
    <w:basedOn w:val="DefaultParagraphFont"/>
    <w:uiPriority w:val="99"/>
    <w:semiHidden/>
    <w:unhideWhenUsed/>
    <w:rsid w:val="0088185A"/>
    <w:rPr>
      <w:vertAlign w:val="superscript"/>
    </w:rPr>
  </w:style>
  <w:style w:type="table" w:styleId="LightList-Accent4">
    <w:name w:val="Light List Accent 4"/>
    <w:basedOn w:val="TableNormal"/>
    <w:uiPriority w:val="61"/>
    <w:rsid w:val="00C027E4"/>
    <w:tblPr>
      <w:tblStyleRowBandSize w:val="1"/>
      <w:tblStyleColBandSize w:val="1"/>
      <w:tblInd w:w="0" w:type="dxa"/>
      <w:tblBorders>
        <w:top w:val="single" w:sz="8" w:space="0" w:color="9999FF" w:themeColor="accent4"/>
        <w:left w:val="single" w:sz="8" w:space="0" w:color="9999FF" w:themeColor="accent4"/>
        <w:bottom w:val="single" w:sz="8" w:space="0" w:color="9999FF" w:themeColor="accent4"/>
        <w:right w:val="single" w:sz="8" w:space="0" w:color="9999FF"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999FF" w:themeFill="accent4"/>
      </w:tcPr>
    </w:tblStylePr>
    <w:tblStylePr w:type="lastRow">
      <w:pPr>
        <w:spacing w:before="0" w:after="0" w:line="240" w:lineRule="auto"/>
      </w:pPr>
      <w:rPr>
        <w:b/>
        <w:bCs/>
      </w:rPr>
      <w:tblPr/>
      <w:tcPr>
        <w:tcBorders>
          <w:top w:val="double" w:sz="6" w:space="0" w:color="9999FF" w:themeColor="accent4"/>
          <w:left w:val="single" w:sz="8" w:space="0" w:color="9999FF" w:themeColor="accent4"/>
          <w:bottom w:val="single" w:sz="8" w:space="0" w:color="9999FF" w:themeColor="accent4"/>
          <w:right w:val="single" w:sz="8" w:space="0" w:color="9999FF" w:themeColor="accent4"/>
        </w:tcBorders>
      </w:tcPr>
    </w:tblStylePr>
    <w:tblStylePr w:type="firstCol">
      <w:rPr>
        <w:b/>
        <w:bCs/>
      </w:rPr>
    </w:tblStylePr>
    <w:tblStylePr w:type="lastCol">
      <w:rPr>
        <w:b/>
        <w:bCs/>
      </w:rPr>
    </w:tblStylePr>
    <w:tblStylePr w:type="band1Vert">
      <w:tblPr/>
      <w:tcPr>
        <w:tcBorders>
          <w:top w:val="single" w:sz="8" w:space="0" w:color="9999FF" w:themeColor="accent4"/>
          <w:left w:val="single" w:sz="8" w:space="0" w:color="9999FF" w:themeColor="accent4"/>
          <w:bottom w:val="single" w:sz="8" w:space="0" w:color="9999FF" w:themeColor="accent4"/>
          <w:right w:val="single" w:sz="8" w:space="0" w:color="9999FF" w:themeColor="accent4"/>
        </w:tcBorders>
      </w:tcPr>
    </w:tblStylePr>
    <w:tblStylePr w:type="band1Horz">
      <w:tblPr/>
      <w:tcPr>
        <w:tcBorders>
          <w:top w:val="single" w:sz="8" w:space="0" w:color="9999FF" w:themeColor="accent4"/>
          <w:left w:val="single" w:sz="8" w:space="0" w:color="9999FF" w:themeColor="accent4"/>
          <w:bottom w:val="single" w:sz="8" w:space="0" w:color="9999FF" w:themeColor="accent4"/>
          <w:right w:val="single" w:sz="8" w:space="0" w:color="9999FF" w:themeColor="accent4"/>
        </w:tcBorders>
      </w:tcPr>
    </w:tblStylePr>
  </w:style>
  <w:style w:type="table" w:customStyle="1" w:styleId="LightList1">
    <w:name w:val="Light List1"/>
    <w:basedOn w:val="TableNormal"/>
    <w:uiPriority w:val="61"/>
    <w:rsid w:val="00F907FB"/>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TableNormal"/>
    <w:uiPriority w:val="61"/>
    <w:rsid w:val="00F907FB"/>
    <w:tblPr>
      <w:tblStyleRowBandSize w:val="1"/>
      <w:tblStyleColBandSize w:val="1"/>
      <w:tblInd w:w="0" w:type="dxa"/>
      <w:tblBorders>
        <w:top w:val="single" w:sz="8" w:space="0" w:color="CEEAB0" w:themeColor="accent1"/>
        <w:left w:val="single" w:sz="8" w:space="0" w:color="CEEAB0" w:themeColor="accent1"/>
        <w:bottom w:val="single" w:sz="8" w:space="0" w:color="CEEAB0" w:themeColor="accent1"/>
        <w:right w:val="single" w:sz="8" w:space="0" w:color="CEEAB0"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EEAB0" w:themeFill="accent1"/>
      </w:tcPr>
    </w:tblStylePr>
    <w:tblStylePr w:type="lastRow">
      <w:pPr>
        <w:spacing w:before="0" w:after="0" w:line="240" w:lineRule="auto"/>
      </w:pPr>
      <w:rPr>
        <w:b/>
        <w:bCs/>
      </w:rPr>
      <w:tblPr/>
      <w:tcPr>
        <w:tcBorders>
          <w:top w:val="double" w:sz="6" w:space="0" w:color="CEEAB0" w:themeColor="accent1"/>
          <w:left w:val="single" w:sz="8" w:space="0" w:color="CEEAB0" w:themeColor="accent1"/>
          <w:bottom w:val="single" w:sz="8" w:space="0" w:color="CEEAB0" w:themeColor="accent1"/>
          <w:right w:val="single" w:sz="8" w:space="0" w:color="CEEAB0" w:themeColor="accent1"/>
        </w:tcBorders>
      </w:tcPr>
    </w:tblStylePr>
    <w:tblStylePr w:type="firstCol">
      <w:rPr>
        <w:b/>
        <w:bCs/>
      </w:rPr>
    </w:tblStylePr>
    <w:tblStylePr w:type="lastCol">
      <w:rPr>
        <w:b/>
        <w:bCs/>
      </w:rPr>
    </w:tblStylePr>
    <w:tblStylePr w:type="band1Vert">
      <w:tblPr/>
      <w:tcPr>
        <w:tcBorders>
          <w:top w:val="single" w:sz="8" w:space="0" w:color="CEEAB0" w:themeColor="accent1"/>
          <w:left w:val="single" w:sz="8" w:space="0" w:color="CEEAB0" w:themeColor="accent1"/>
          <w:bottom w:val="single" w:sz="8" w:space="0" w:color="CEEAB0" w:themeColor="accent1"/>
          <w:right w:val="single" w:sz="8" w:space="0" w:color="CEEAB0" w:themeColor="accent1"/>
        </w:tcBorders>
      </w:tcPr>
    </w:tblStylePr>
    <w:tblStylePr w:type="band1Horz">
      <w:tblPr/>
      <w:tcPr>
        <w:tcBorders>
          <w:top w:val="single" w:sz="8" w:space="0" w:color="CEEAB0" w:themeColor="accent1"/>
          <w:left w:val="single" w:sz="8" w:space="0" w:color="CEEAB0" w:themeColor="accent1"/>
          <w:bottom w:val="single" w:sz="8" w:space="0" w:color="CEEAB0" w:themeColor="accent1"/>
          <w:right w:val="single" w:sz="8" w:space="0" w:color="CEEAB0" w:themeColor="accent1"/>
        </w:tcBorders>
      </w:tcPr>
    </w:tblStylePr>
  </w:style>
  <w:style w:type="table" w:styleId="ColorfulShading-Accent5">
    <w:name w:val="Colorful Shading Accent 5"/>
    <w:basedOn w:val="TableNormal"/>
    <w:uiPriority w:val="71"/>
    <w:rsid w:val="00F907FB"/>
    <w:rPr>
      <w:color w:val="000000" w:themeColor="text1"/>
    </w:rPr>
    <w:tblPr>
      <w:tblStyleRowBandSize w:val="1"/>
      <w:tblStyleColBandSize w:val="1"/>
      <w:tblInd w:w="0" w:type="dxa"/>
      <w:tblBorders>
        <w:top w:val="single" w:sz="24" w:space="0" w:color="F79646" w:themeColor="accent6"/>
        <w:left w:val="single" w:sz="4" w:space="0" w:color="9BD45F" w:themeColor="accent5"/>
        <w:bottom w:val="single" w:sz="4" w:space="0" w:color="9BD45F" w:themeColor="accent5"/>
        <w:right w:val="single" w:sz="4" w:space="0" w:color="9BD45F"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AEF"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D9027" w:themeFill="accent5" w:themeFillShade="99"/>
      </w:tcPr>
    </w:tblStylePr>
    <w:tblStylePr w:type="firstCol">
      <w:rPr>
        <w:color w:val="FFFFFF" w:themeColor="background1"/>
      </w:rPr>
      <w:tblPr/>
      <w:tcPr>
        <w:tcBorders>
          <w:top w:val="nil"/>
          <w:left w:val="nil"/>
          <w:bottom w:val="nil"/>
          <w:right w:val="nil"/>
          <w:insideH w:val="single" w:sz="4" w:space="0" w:color="5D9027" w:themeColor="accent5" w:themeShade="99"/>
          <w:insideV w:val="nil"/>
        </w:tcBorders>
        <w:shd w:val="clear" w:color="auto" w:fill="5D902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D9027" w:themeFill="accent5" w:themeFillShade="99"/>
      </w:tcPr>
    </w:tblStylePr>
    <w:tblStylePr w:type="band1Vert">
      <w:tblPr/>
      <w:tcPr>
        <w:shd w:val="clear" w:color="auto" w:fill="D6EDBE" w:themeFill="accent5" w:themeFillTint="66"/>
      </w:tcPr>
    </w:tblStylePr>
    <w:tblStylePr w:type="band1Horz">
      <w:tblPr/>
      <w:tcPr>
        <w:shd w:val="clear" w:color="auto" w:fill="CCE9AF" w:themeFill="accent5" w:themeFillTint="7F"/>
      </w:tcPr>
    </w:tblStylePr>
    <w:tblStylePr w:type="neCell">
      <w:rPr>
        <w:color w:val="000000" w:themeColor="text1"/>
      </w:rPr>
    </w:tblStylePr>
    <w:tblStylePr w:type="nwCell">
      <w:rPr>
        <w:color w:val="000000" w:themeColor="text1"/>
      </w:rPr>
    </w:tblStylePr>
  </w:style>
  <w:style w:type="table" w:styleId="LightList-Accent2">
    <w:name w:val="Light List Accent 2"/>
    <w:basedOn w:val="TableNormal"/>
    <w:uiPriority w:val="61"/>
    <w:rsid w:val="00F907FB"/>
    <w:tblPr>
      <w:tblStyleRowBandSize w:val="1"/>
      <w:tblStyleColBandSize w:val="1"/>
      <w:tblInd w:w="0" w:type="dxa"/>
      <w:tblBorders>
        <w:top w:val="single" w:sz="8" w:space="0" w:color="BF83D7" w:themeColor="accent2"/>
        <w:left w:val="single" w:sz="8" w:space="0" w:color="BF83D7" w:themeColor="accent2"/>
        <w:bottom w:val="single" w:sz="8" w:space="0" w:color="BF83D7" w:themeColor="accent2"/>
        <w:right w:val="single" w:sz="8" w:space="0" w:color="BF83D7"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BF83D7" w:themeFill="accent2"/>
      </w:tcPr>
    </w:tblStylePr>
    <w:tblStylePr w:type="lastRow">
      <w:pPr>
        <w:spacing w:before="0" w:after="0" w:line="240" w:lineRule="auto"/>
      </w:pPr>
      <w:rPr>
        <w:b/>
        <w:bCs/>
      </w:rPr>
      <w:tblPr/>
      <w:tcPr>
        <w:tcBorders>
          <w:top w:val="double" w:sz="6" w:space="0" w:color="BF83D7" w:themeColor="accent2"/>
          <w:left w:val="single" w:sz="8" w:space="0" w:color="BF83D7" w:themeColor="accent2"/>
          <w:bottom w:val="single" w:sz="8" w:space="0" w:color="BF83D7" w:themeColor="accent2"/>
          <w:right w:val="single" w:sz="8" w:space="0" w:color="BF83D7" w:themeColor="accent2"/>
        </w:tcBorders>
      </w:tcPr>
    </w:tblStylePr>
    <w:tblStylePr w:type="firstCol">
      <w:rPr>
        <w:b/>
        <w:bCs/>
      </w:rPr>
    </w:tblStylePr>
    <w:tblStylePr w:type="lastCol">
      <w:rPr>
        <w:b/>
        <w:bCs/>
      </w:rPr>
    </w:tblStylePr>
    <w:tblStylePr w:type="band1Vert">
      <w:tblPr/>
      <w:tcPr>
        <w:tcBorders>
          <w:top w:val="single" w:sz="8" w:space="0" w:color="BF83D7" w:themeColor="accent2"/>
          <w:left w:val="single" w:sz="8" w:space="0" w:color="BF83D7" w:themeColor="accent2"/>
          <w:bottom w:val="single" w:sz="8" w:space="0" w:color="BF83D7" w:themeColor="accent2"/>
          <w:right w:val="single" w:sz="8" w:space="0" w:color="BF83D7" w:themeColor="accent2"/>
        </w:tcBorders>
      </w:tcPr>
    </w:tblStylePr>
    <w:tblStylePr w:type="band1Horz">
      <w:tblPr/>
      <w:tcPr>
        <w:tcBorders>
          <w:top w:val="single" w:sz="8" w:space="0" w:color="BF83D7" w:themeColor="accent2"/>
          <w:left w:val="single" w:sz="8" w:space="0" w:color="BF83D7" w:themeColor="accent2"/>
          <w:bottom w:val="single" w:sz="8" w:space="0" w:color="BF83D7" w:themeColor="accent2"/>
          <w:right w:val="single" w:sz="8" w:space="0" w:color="BF83D7" w:themeColor="accent2"/>
        </w:tcBorders>
      </w:tcPr>
    </w:tblStylePr>
  </w:style>
  <w:style w:type="paragraph" w:styleId="EndnoteText">
    <w:name w:val="endnote text"/>
    <w:basedOn w:val="Normal"/>
    <w:link w:val="EndnoteTextChar"/>
    <w:uiPriority w:val="99"/>
    <w:semiHidden/>
    <w:unhideWhenUsed/>
    <w:rsid w:val="002E03CC"/>
    <w:pPr>
      <w:spacing w:after="0"/>
    </w:pPr>
    <w:rPr>
      <w:sz w:val="20"/>
      <w:szCs w:val="20"/>
    </w:rPr>
  </w:style>
  <w:style w:type="character" w:customStyle="1" w:styleId="EndnoteTextChar">
    <w:name w:val="Endnote Text Char"/>
    <w:basedOn w:val="DefaultParagraphFont"/>
    <w:link w:val="EndnoteText"/>
    <w:uiPriority w:val="99"/>
    <w:semiHidden/>
    <w:rsid w:val="002E03CC"/>
    <w:rPr>
      <w:rFonts w:ascii="Myriad Pro" w:hAnsi="Myriad Pro"/>
    </w:rPr>
  </w:style>
  <w:style w:type="character" w:styleId="EndnoteReference">
    <w:name w:val="endnote reference"/>
    <w:basedOn w:val="DefaultParagraphFont"/>
    <w:uiPriority w:val="99"/>
    <w:semiHidden/>
    <w:unhideWhenUsed/>
    <w:rsid w:val="002E03CC"/>
    <w:rPr>
      <w:vertAlign w:val="superscript"/>
    </w:rPr>
  </w:style>
  <w:style w:type="table" w:styleId="DarkList-Accent2">
    <w:name w:val="Dark List Accent 2"/>
    <w:basedOn w:val="TableNormal"/>
    <w:uiPriority w:val="70"/>
    <w:rsid w:val="000068B4"/>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BF83D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82A82"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C41C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C41C1" w:themeFill="accent2" w:themeFillShade="BF"/>
      </w:tcPr>
    </w:tblStylePr>
    <w:tblStylePr w:type="band1Vert">
      <w:tblPr/>
      <w:tcPr>
        <w:tcBorders>
          <w:top w:val="nil"/>
          <w:left w:val="nil"/>
          <w:bottom w:val="nil"/>
          <w:right w:val="nil"/>
          <w:insideH w:val="nil"/>
          <w:insideV w:val="nil"/>
        </w:tcBorders>
        <w:shd w:val="clear" w:color="auto" w:fill="9C41C1" w:themeFill="accent2" w:themeFillShade="BF"/>
      </w:tcPr>
    </w:tblStylePr>
    <w:tblStylePr w:type="band1Horz">
      <w:tblPr/>
      <w:tcPr>
        <w:tcBorders>
          <w:top w:val="nil"/>
          <w:left w:val="nil"/>
          <w:bottom w:val="nil"/>
          <w:right w:val="nil"/>
          <w:insideH w:val="nil"/>
          <w:insideV w:val="nil"/>
        </w:tcBorders>
        <w:shd w:val="clear" w:color="auto" w:fill="9C41C1" w:themeFill="accent2" w:themeFillShade="BF"/>
      </w:tcPr>
    </w:tblStylePr>
  </w:style>
  <w:style w:type="table" w:styleId="MediumGrid3-Accent6">
    <w:name w:val="Medium Grid 3 Accent 6"/>
    <w:basedOn w:val="TableNormal"/>
    <w:uiPriority w:val="69"/>
    <w:rsid w:val="000068B4"/>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ghtList-Accent5">
    <w:name w:val="Light List Accent 5"/>
    <w:basedOn w:val="TableNormal"/>
    <w:uiPriority w:val="61"/>
    <w:rsid w:val="000068B4"/>
    <w:tblPr>
      <w:tblStyleRowBandSize w:val="1"/>
      <w:tblStyleColBandSize w:val="1"/>
      <w:tblInd w:w="0" w:type="dxa"/>
      <w:tblBorders>
        <w:top w:val="single" w:sz="8" w:space="0" w:color="9BD45F" w:themeColor="accent5"/>
        <w:left w:val="single" w:sz="8" w:space="0" w:color="9BD45F" w:themeColor="accent5"/>
        <w:bottom w:val="single" w:sz="8" w:space="0" w:color="9BD45F" w:themeColor="accent5"/>
        <w:right w:val="single" w:sz="8" w:space="0" w:color="9BD45F"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D45F" w:themeFill="accent5"/>
      </w:tcPr>
    </w:tblStylePr>
    <w:tblStylePr w:type="lastRow">
      <w:pPr>
        <w:spacing w:before="0" w:after="0" w:line="240" w:lineRule="auto"/>
      </w:pPr>
      <w:rPr>
        <w:b/>
        <w:bCs/>
      </w:rPr>
      <w:tblPr/>
      <w:tcPr>
        <w:tcBorders>
          <w:top w:val="double" w:sz="6" w:space="0" w:color="9BD45F" w:themeColor="accent5"/>
          <w:left w:val="single" w:sz="8" w:space="0" w:color="9BD45F" w:themeColor="accent5"/>
          <w:bottom w:val="single" w:sz="8" w:space="0" w:color="9BD45F" w:themeColor="accent5"/>
          <w:right w:val="single" w:sz="8" w:space="0" w:color="9BD45F" w:themeColor="accent5"/>
        </w:tcBorders>
      </w:tcPr>
    </w:tblStylePr>
    <w:tblStylePr w:type="firstCol">
      <w:rPr>
        <w:b/>
        <w:bCs/>
      </w:rPr>
    </w:tblStylePr>
    <w:tblStylePr w:type="lastCol">
      <w:rPr>
        <w:b/>
        <w:bCs/>
      </w:rPr>
    </w:tblStylePr>
    <w:tblStylePr w:type="band1Vert">
      <w:tblPr/>
      <w:tcPr>
        <w:tcBorders>
          <w:top w:val="single" w:sz="8" w:space="0" w:color="9BD45F" w:themeColor="accent5"/>
          <w:left w:val="single" w:sz="8" w:space="0" w:color="9BD45F" w:themeColor="accent5"/>
          <w:bottom w:val="single" w:sz="8" w:space="0" w:color="9BD45F" w:themeColor="accent5"/>
          <w:right w:val="single" w:sz="8" w:space="0" w:color="9BD45F" w:themeColor="accent5"/>
        </w:tcBorders>
      </w:tcPr>
    </w:tblStylePr>
    <w:tblStylePr w:type="band1Horz">
      <w:tblPr/>
      <w:tcPr>
        <w:tcBorders>
          <w:top w:val="single" w:sz="8" w:space="0" w:color="9BD45F" w:themeColor="accent5"/>
          <w:left w:val="single" w:sz="8" w:space="0" w:color="9BD45F" w:themeColor="accent5"/>
          <w:bottom w:val="single" w:sz="8" w:space="0" w:color="9BD45F" w:themeColor="accent5"/>
          <w:right w:val="single" w:sz="8" w:space="0" w:color="9BD45F" w:themeColor="accent5"/>
        </w:tcBorders>
      </w:tcPr>
    </w:tblStylePr>
  </w:style>
  <w:style w:type="table" w:styleId="LightGrid-Accent4">
    <w:name w:val="Light Grid Accent 4"/>
    <w:basedOn w:val="TableNormal"/>
    <w:uiPriority w:val="62"/>
    <w:rsid w:val="00143F88"/>
    <w:tblPr>
      <w:tblStyleRowBandSize w:val="1"/>
      <w:tblStyleColBandSize w:val="1"/>
      <w:tblInd w:w="0" w:type="dxa"/>
      <w:tblBorders>
        <w:top w:val="single" w:sz="8" w:space="0" w:color="9999FF" w:themeColor="accent4"/>
        <w:left w:val="single" w:sz="8" w:space="0" w:color="9999FF" w:themeColor="accent4"/>
        <w:bottom w:val="single" w:sz="8" w:space="0" w:color="9999FF" w:themeColor="accent4"/>
        <w:right w:val="single" w:sz="8" w:space="0" w:color="9999FF" w:themeColor="accent4"/>
        <w:insideH w:val="single" w:sz="8" w:space="0" w:color="9999FF" w:themeColor="accent4"/>
        <w:insideV w:val="single" w:sz="8" w:space="0" w:color="9999FF"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999FF" w:themeColor="accent4"/>
          <w:left w:val="single" w:sz="8" w:space="0" w:color="9999FF" w:themeColor="accent4"/>
          <w:bottom w:val="single" w:sz="18" w:space="0" w:color="9999FF" w:themeColor="accent4"/>
          <w:right w:val="single" w:sz="8" w:space="0" w:color="9999FF" w:themeColor="accent4"/>
          <w:insideH w:val="nil"/>
          <w:insideV w:val="single" w:sz="8" w:space="0" w:color="9999F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999FF" w:themeColor="accent4"/>
          <w:left w:val="single" w:sz="8" w:space="0" w:color="9999FF" w:themeColor="accent4"/>
          <w:bottom w:val="single" w:sz="8" w:space="0" w:color="9999FF" w:themeColor="accent4"/>
          <w:right w:val="single" w:sz="8" w:space="0" w:color="9999FF" w:themeColor="accent4"/>
          <w:insideH w:val="nil"/>
          <w:insideV w:val="single" w:sz="8" w:space="0" w:color="9999F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999FF" w:themeColor="accent4"/>
          <w:left w:val="single" w:sz="8" w:space="0" w:color="9999FF" w:themeColor="accent4"/>
          <w:bottom w:val="single" w:sz="8" w:space="0" w:color="9999FF" w:themeColor="accent4"/>
          <w:right w:val="single" w:sz="8" w:space="0" w:color="9999FF" w:themeColor="accent4"/>
        </w:tcBorders>
      </w:tcPr>
    </w:tblStylePr>
    <w:tblStylePr w:type="band1Vert">
      <w:tblPr/>
      <w:tcPr>
        <w:tcBorders>
          <w:top w:val="single" w:sz="8" w:space="0" w:color="9999FF" w:themeColor="accent4"/>
          <w:left w:val="single" w:sz="8" w:space="0" w:color="9999FF" w:themeColor="accent4"/>
          <w:bottom w:val="single" w:sz="8" w:space="0" w:color="9999FF" w:themeColor="accent4"/>
          <w:right w:val="single" w:sz="8" w:space="0" w:color="9999FF" w:themeColor="accent4"/>
        </w:tcBorders>
        <w:shd w:val="clear" w:color="auto" w:fill="E5E5FF" w:themeFill="accent4" w:themeFillTint="3F"/>
      </w:tcPr>
    </w:tblStylePr>
    <w:tblStylePr w:type="band1Horz">
      <w:tblPr/>
      <w:tcPr>
        <w:tcBorders>
          <w:top w:val="single" w:sz="8" w:space="0" w:color="9999FF" w:themeColor="accent4"/>
          <w:left w:val="single" w:sz="8" w:space="0" w:color="9999FF" w:themeColor="accent4"/>
          <w:bottom w:val="single" w:sz="8" w:space="0" w:color="9999FF" w:themeColor="accent4"/>
          <w:right w:val="single" w:sz="8" w:space="0" w:color="9999FF" w:themeColor="accent4"/>
          <w:insideV w:val="single" w:sz="8" w:space="0" w:color="9999FF" w:themeColor="accent4"/>
        </w:tcBorders>
        <w:shd w:val="clear" w:color="auto" w:fill="E5E5FF" w:themeFill="accent4" w:themeFillTint="3F"/>
      </w:tcPr>
    </w:tblStylePr>
    <w:tblStylePr w:type="band2Horz">
      <w:tblPr/>
      <w:tcPr>
        <w:tcBorders>
          <w:top w:val="single" w:sz="8" w:space="0" w:color="9999FF" w:themeColor="accent4"/>
          <w:left w:val="single" w:sz="8" w:space="0" w:color="9999FF" w:themeColor="accent4"/>
          <w:bottom w:val="single" w:sz="8" w:space="0" w:color="9999FF" w:themeColor="accent4"/>
          <w:right w:val="single" w:sz="8" w:space="0" w:color="9999FF" w:themeColor="accent4"/>
          <w:insideV w:val="single" w:sz="8" w:space="0" w:color="9999FF" w:themeColor="accent4"/>
        </w:tcBorders>
      </w:tcPr>
    </w:tblStylePr>
  </w:style>
  <w:style w:type="table" w:styleId="MediumShading1-Accent6">
    <w:name w:val="Medium Shading 1 Accent 6"/>
    <w:basedOn w:val="TableNormal"/>
    <w:uiPriority w:val="63"/>
    <w:rsid w:val="00143F88"/>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Grid3-Accent2">
    <w:name w:val="Medium Grid 3 Accent 2"/>
    <w:basedOn w:val="TableNormal"/>
    <w:uiPriority w:val="69"/>
    <w:rsid w:val="000C51CE"/>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E0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F83D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F83D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F83D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F83D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C1EB"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C1EB" w:themeFill="accent2" w:themeFillTint="7F"/>
      </w:tcPr>
    </w:tblStylePr>
  </w:style>
  <w:style w:type="table" w:styleId="MediumShading1-Accent5">
    <w:name w:val="Medium Shading 1 Accent 5"/>
    <w:basedOn w:val="TableNormal"/>
    <w:uiPriority w:val="63"/>
    <w:rsid w:val="000C51CE"/>
    <w:tblPr>
      <w:tblStyleRowBandSize w:val="1"/>
      <w:tblStyleColBandSize w:val="1"/>
      <w:tblInd w:w="0" w:type="dxa"/>
      <w:tblBorders>
        <w:top w:val="single" w:sz="8" w:space="0" w:color="B3DE86" w:themeColor="accent5" w:themeTint="BF"/>
        <w:left w:val="single" w:sz="8" w:space="0" w:color="B3DE86" w:themeColor="accent5" w:themeTint="BF"/>
        <w:bottom w:val="single" w:sz="8" w:space="0" w:color="B3DE86" w:themeColor="accent5" w:themeTint="BF"/>
        <w:right w:val="single" w:sz="8" w:space="0" w:color="B3DE86" w:themeColor="accent5" w:themeTint="BF"/>
        <w:insideH w:val="single" w:sz="8" w:space="0" w:color="B3DE86" w:themeColor="accent5" w:themeTint="BF"/>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tcBorders>
          <w:top w:val="single" w:sz="8" w:space="0" w:color="B3DE86" w:themeColor="accent5" w:themeTint="BF"/>
          <w:left w:val="single" w:sz="8" w:space="0" w:color="B3DE86" w:themeColor="accent5" w:themeTint="BF"/>
          <w:bottom w:val="single" w:sz="8" w:space="0" w:color="B3DE86" w:themeColor="accent5" w:themeTint="BF"/>
          <w:right w:val="single" w:sz="8" w:space="0" w:color="B3DE86" w:themeColor="accent5" w:themeTint="BF"/>
          <w:insideH w:val="nil"/>
          <w:insideV w:val="nil"/>
        </w:tcBorders>
        <w:shd w:val="clear" w:color="auto" w:fill="9BD45F" w:themeFill="accent5"/>
      </w:tcPr>
    </w:tblStylePr>
    <w:tblStylePr w:type="lastRow">
      <w:pPr>
        <w:spacing w:beforeLines="0" w:beforeAutospacing="0" w:afterLines="0" w:afterAutospacing="0" w:line="240" w:lineRule="auto"/>
      </w:pPr>
      <w:rPr>
        <w:b/>
        <w:bCs/>
      </w:rPr>
      <w:tblPr/>
      <w:tcPr>
        <w:tcBorders>
          <w:top w:val="double" w:sz="6" w:space="0" w:color="B3DE86" w:themeColor="accent5" w:themeTint="BF"/>
          <w:left w:val="single" w:sz="8" w:space="0" w:color="B3DE86" w:themeColor="accent5" w:themeTint="BF"/>
          <w:bottom w:val="single" w:sz="8" w:space="0" w:color="B3DE86" w:themeColor="accent5" w:themeTint="BF"/>
          <w:right w:val="single" w:sz="8" w:space="0" w:color="B3DE86" w:themeColor="accent5" w:themeTint="BF"/>
          <w:insideH w:val="nil"/>
          <w:insideV w:val="nil"/>
        </w:tcBorders>
      </w:tcPr>
    </w:tblStylePr>
    <w:tblStylePr w:type="firstCol">
      <w:rPr>
        <w:b/>
        <w:bCs/>
      </w:rPr>
    </w:tblStylePr>
    <w:tblStylePr w:type="lastCol">
      <w:rPr>
        <w:b/>
        <w:bCs/>
      </w:rPr>
    </w:tblStylePr>
    <w:tblStylePr w:type="band1Vert">
      <w:tblPr/>
      <w:tcPr>
        <w:shd w:val="clear" w:color="auto" w:fill="E6F4D7" w:themeFill="accent5" w:themeFillTint="3F"/>
      </w:tcPr>
    </w:tblStylePr>
    <w:tblStylePr w:type="band1Horz">
      <w:tblPr/>
      <w:tcPr>
        <w:tcBorders>
          <w:insideH w:val="nil"/>
          <w:insideV w:val="nil"/>
        </w:tcBorders>
        <w:shd w:val="clear" w:color="auto" w:fill="E6F4D7" w:themeFill="accent5" w:themeFillTint="3F"/>
      </w:tcPr>
    </w:tblStylePr>
    <w:tblStylePr w:type="band2Horz">
      <w:tblPr/>
      <w:tcPr>
        <w:tcBorders>
          <w:insideH w:val="nil"/>
          <w:insideV w:val="nil"/>
        </w:tcBorders>
      </w:tcPr>
    </w:tblStylePr>
  </w:style>
  <w:style w:type="table" w:styleId="MediumGrid3-Accent4">
    <w:name w:val="Medium Grid 3 Accent 4"/>
    <w:basedOn w:val="TableNormal"/>
    <w:uiPriority w:val="69"/>
    <w:rsid w:val="004F3444"/>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5E5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999F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999F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999F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999F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CCC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CCCFF" w:themeFill="accent4" w:themeFillTint="7F"/>
      </w:tcPr>
    </w:tblStylePr>
  </w:style>
  <w:style w:type="paragraph" w:customStyle="1" w:styleId="Slika">
    <w:name w:val="Slika"/>
    <w:basedOn w:val="Normal"/>
    <w:qFormat/>
    <w:rsid w:val="00E7780B"/>
    <w:pPr>
      <w:numPr>
        <w:numId w:val="13"/>
      </w:numPr>
      <w:jc w:val="center"/>
    </w:pPr>
    <w:rPr>
      <w:i/>
    </w:rPr>
  </w:style>
  <w:style w:type="character" w:customStyle="1" w:styleId="hps">
    <w:name w:val="hps"/>
    <w:basedOn w:val="DefaultParagraphFont"/>
    <w:rsid w:val="00E7780B"/>
  </w:style>
  <w:style w:type="table" w:styleId="LightGrid-Accent5">
    <w:name w:val="Light Grid Accent 5"/>
    <w:basedOn w:val="TableNormal"/>
    <w:uiPriority w:val="62"/>
    <w:rsid w:val="00E7780B"/>
    <w:tblPr>
      <w:tblStyleRowBandSize w:val="1"/>
      <w:tblStyleColBandSize w:val="1"/>
      <w:tblInd w:w="0" w:type="dxa"/>
      <w:tblBorders>
        <w:top w:val="single" w:sz="8" w:space="0" w:color="9BD45F" w:themeColor="accent5"/>
        <w:left w:val="single" w:sz="8" w:space="0" w:color="9BD45F" w:themeColor="accent5"/>
        <w:bottom w:val="single" w:sz="8" w:space="0" w:color="9BD45F" w:themeColor="accent5"/>
        <w:right w:val="single" w:sz="8" w:space="0" w:color="9BD45F" w:themeColor="accent5"/>
        <w:insideH w:val="single" w:sz="8" w:space="0" w:color="9BD45F" w:themeColor="accent5"/>
        <w:insideV w:val="single" w:sz="8" w:space="0" w:color="9BD45F"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D45F" w:themeColor="accent5"/>
          <w:left w:val="single" w:sz="8" w:space="0" w:color="9BD45F" w:themeColor="accent5"/>
          <w:bottom w:val="single" w:sz="18" w:space="0" w:color="9BD45F" w:themeColor="accent5"/>
          <w:right w:val="single" w:sz="8" w:space="0" w:color="9BD45F" w:themeColor="accent5"/>
          <w:insideH w:val="nil"/>
          <w:insideV w:val="single" w:sz="8" w:space="0" w:color="9BD4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D45F" w:themeColor="accent5"/>
          <w:left w:val="single" w:sz="8" w:space="0" w:color="9BD45F" w:themeColor="accent5"/>
          <w:bottom w:val="single" w:sz="8" w:space="0" w:color="9BD45F" w:themeColor="accent5"/>
          <w:right w:val="single" w:sz="8" w:space="0" w:color="9BD45F" w:themeColor="accent5"/>
          <w:insideH w:val="nil"/>
          <w:insideV w:val="single" w:sz="8" w:space="0" w:color="9BD4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D45F" w:themeColor="accent5"/>
          <w:left w:val="single" w:sz="8" w:space="0" w:color="9BD45F" w:themeColor="accent5"/>
          <w:bottom w:val="single" w:sz="8" w:space="0" w:color="9BD45F" w:themeColor="accent5"/>
          <w:right w:val="single" w:sz="8" w:space="0" w:color="9BD45F" w:themeColor="accent5"/>
        </w:tcBorders>
      </w:tcPr>
    </w:tblStylePr>
    <w:tblStylePr w:type="band1Vert">
      <w:tblPr/>
      <w:tcPr>
        <w:tcBorders>
          <w:top w:val="single" w:sz="8" w:space="0" w:color="9BD45F" w:themeColor="accent5"/>
          <w:left w:val="single" w:sz="8" w:space="0" w:color="9BD45F" w:themeColor="accent5"/>
          <w:bottom w:val="single" w:sz="8" w:space="0" w:color="9BD45F" w:themeColor="accent5"/>
          <w:right w:val="single" w:sz="8" w:space="0" w:color="9BD45F" w:themeColor="accent5"/>
        </w:tcBorders>
        <w:shd w:val="clear" w:color="auto" w:fill="E6F4D7" w:themeFill="accent5" w:themeFillTint="3F"/>
      </w:tcPr>
    </w:tblStylePr>
    <w:tblStylePr w:type="band1Horz">
      <w:tblPr/>
      <w:tcPr>
        <w:tcBorders>
          <w:top w:val="single" w:sz="8" w:space="0" w:color="9BD45F" w:themeColor="accent5"/>
          <w:left w:val="single" w:sz="8" w:space="0" w:color="9BD45F" w:themeColor="accent5"/>
          <w:bottom w:val="single" w:sz="8" w:space="0" w:color="9BD45F" w:themeColor="accent5"/>
          <w:right w:val="single" w:sz="8" w:space="0" w:color="9BD45F" w:themeColor="accent5"/>
          <w:insideV w:val="single" w:sz="8" w:space="0" w:color="9BD45F" w:themeColor="accent5"/>
        </w:tcBorders>
        <w:shd w:val="clear" w:color="auto" w:fill="E6F4D7" w:themeFill="accent5" w:themeFillTint="3F"/>
      </w:tcPr>
    </w:tblStylePr>
    <w:tblStylePr w:type="band2Horz">
      <w:tblPr/>
      <w:tcPr>
        <w:tcBorders>
          <w:top w:val="single" w:sz="8" w:space="0" w:color="9BD45F" w:themeColor="accent5"/>
          <w:left w:val="single" w:sz="8" w:space="0" w:color="9BD45F" w:themeColor="accent5"/>
          <w:bottom w:val="single" w:sz="8" w:space="0" w:color="9BD45F" w:themeColor="accent5"/>
          <w:right w:val="single" w:sz="8" w:space="0" w:color="9BD45F" w:themeColor="accent5"/>
          <w:insideV w:val="single" w:sz="8" w:space="0" w:color="9BD45F" w:themeColor="accent5"/>
        </w:tcBorders>
      </w:tcPr>
    </w:tblStylePr>
  </w:style>
  <w:style w:type="character" w:customStyle="1" w:styleId="apple-style-span">
    <w:name w:val="apple-style-span"/>
    <w:basedOn w:val="DefaultParagraphFont"/>
    <w:rsid w:val="00E7780B"/>
  </w:style>
  <w:style w:type="character" w:customStyle="1" w:styleId="apple-converted-space">
    <w:name w:val="apple-converted-space"/>
    <w:basedOn w:val="DefaultParagraphFont"/>
    <w:rsid w:val="00E7780B"/>
  </w:style>
  <w:style w:type="table" w:styleId="MediumShading1-Accent4">
    <w:name w:val="Medium Shading 1 Accent 4"/>
    <w:basedOn w:val="TableNormal"/>
    <w:uiPriority w:val="63"/>
    <w:rsid w:val="004B071C"/>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Grid3-Accent3">
    <w:name w:val="Medium Grid 3 Accent 3"/>
    <w:basedOn w:val="TableNormal"/>
    <w:uiPriority w:val="69"/>
    <w:rsid w:val="004B071C"/>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character" w:styleId="Strong">
    <w:name w:val="Strong"/>
    <w:qFormat/>
    <w:locked/>
    <w:rsid w:val="004B071C"/>
    <w:rPr>
      <w:b/>
      <w:bCs/>
    </w:rPr>
  </w:style>
  <w:style w:type="table" w:customStyle="1" w:styleId="LightGrid1">
    <w:name w:val="Light Grid1"/>
    <w:basedOn w:val="TableNormal"/>
    <w:uiPriority w:val="62"/>
    <w:rsid w:val="004B071C"/>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MediumShading2-Accent2">
    <w:name w:val="Medium Shading 2 Accent 2"/>
    <w:basedOn w:val="TableNormal"/>
    <w:uiPriority w:val="64"/>
    <w:rsid w:val="004B071C"/>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styleId="PlaceholderText">
    <w:name w:val="Placeholder Text"/>
    <w:uiPriority w:val="99"/>
    <w:semiHidden/>
    <w:rsid w:val="004B071C"/>
    <w:rPr>
      <w:color w:val="808080"/>
    </w:rPr>
  </w:style>
  <w:style w:type="table" w:styleId="MediumGrid1-Accent1">
    <w:name w:val="Medium Grid 1 Accent 1"/>
    <w:basedOn w:val="TableNormal"/>
    <w:uiPriority w:val="67"/>
    <w:rsid w:val="004B071C"/>
    <w:tblPr>
      <w:tblStyleRowBandSize w:val="1"/>
      <w:tblStyleColBandSize w:val="1"/>
      <w:tblInd w:w="0" w:type="dxa"/>
      <w:tblBorders>
        <w:top w:val="single" w:sz="8" w:space="0" w:color="DAEFC3"/>
        <w:left w:val="single" w:sz="8" w:space="0" w:color="DAEFC3"/>
        <w:bottom w:val="single" w:sz="8" w:space="0" w:color="DAEFC3"/>
        <w:right w:val="single" w:sz="8" w:space="0" w:color="DAEFC3"/>
        <w:insideH w:val="single" w:sz="8" w:space="0" w:color="DAEFC3"/>
        <w:insideV w:val="single" w:sz="8" w:space="0" w:color="DAEFC3"/>
      </w:tblBorders>
      <w:tblCellMar>
        <w:top w:w="0" w:type="dxa"/>
        <w:left w:w="108" w:type="dxa"/>
        <w:bottom w:w="0" w:type="dxa"/>
        <w:right w:w="108" w:type="dxa"/>
      </w:tblCellMar>
    </w:tblPr>
    <w:tcPr>
      <w:shd w:val="clear" w:color="auto" w:fill="F2F9EB"/>
    </w:tcPr>
    <w:tblStylePr w:type="firstRow">
      <w:rPr>
        <w:b/>
        <w:bCs/>
      </w:rPr>
    </w:tblStylePr>
    <w:tblStylePr w:type="lastRow">
      <w:rPr>
        <w:b/>
        <w:bCs/>
      </w:rPr>
      <w:tblPr/>
      <w:tcPr>
        <w:tcBorders>
          <w:top w:val="single" w:sz="18" w:space="0" w:color="DAEFC3"/>
        </w:tcBorders>
      </w:tcPr>
    </w:tblStylePr>
    <w:tblStylePr w:type="firstCol">
      <w:rPr>
        <w:b/>
        <w:bCs/>
      </w:rPr>
    </w:tblStylePr>
    <w:tblStylePr w:type="lastCol">
      <w:rPr>
        <w:b/>
        <w:bCs/>
      </w:rPr>
    </w:tblStylePr>
    <w:tblStylePr w:type="band1Vert">
      <w:tblPr/>
      <w:tcPr>
        <w:shd w:val="clear" w:color="auto" w:fill="E6F4D7"/>
      </w:tcPr>
    </w:tblStylePr>
    <w:tblStylePr w:type="band1Horz">
      <w:tblPr/>
      <w:tcPr>
        <w:shd w:val="clear" w:color="auto" w:fill="E6F4D7"/>
      </w:tcPr>
    </w:tblStylePr>
  </w:style>
  <w:style w:type="table" w:customStyle="1" w:styleId="LightShading-Accent11">
    <w:name w:val="Light Shading - Accent 11"/>
    <w:basedOn w:val="TableNormal"/>
    <w:uiPriority w:val="60"/>
    <w:rsid w:val="004B071C"/>
    <w:rPr>
      <w:color w:val="9BD45E"/>
    </w:rPr>
    <w:tblPr>
      <w:tblStyleRowBandSize w:val="1"/>
      <w:tblStyleColBandSize w:val="1"/>
      <w:tblInd w:w="0" w:type="dxa"/>
      <w:tblBorders>
        <w:top w:val="single" w:sz="8" w:space="0" w:color="CEEAB0"/>
        <w:bottom w:val="single" w:sz="8" w:space="0" w:color="CEEAB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EEAB0"/>
          <w:left w:val="nil"/>
          <w:bottom w:val="single" w:sz="8" w:space="0" w:color="CEEAB0"/>
          <w:right w:val="nil"/>
          <w:insideH w:val="nil"/>
          <w:insideV w:val="nil"/>
        </w:tcBorders>
      </w:tcPr>
    </w:tblStylePr>
    <w:tblStylePr w:type="lastRow">
      <w:pPr>
        <w:spacing w:before="0" w:after="0" w:line="240" w:lineRule="auto"/>
      </w:pPr>
      <w:rPr>
        <w:b/>
        <w:bCs/>
      </w:rPr>
      <w:tblPr/>
      <w:tcPr>
        <w:tcBorders>
          <w:top w:val="single" w:sz="8" w:space="0" w:color="CEEAB0"/>
          <w:left w:val="nil"/>
          <w:bottom w:val="single" w:sz="8" w:space="0" w:color="CEEAB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F9EB"/>
      </w:tcPr>
    </w:tblStylePr>
    <w:tblStylePr w:type="band1Horz">
      <w:tblPr/>
      <w:tcPr>
        <w:tcBorders>
          <w:left w:val="nil"/>
          <w:right w:val="nil"/>
          <w:insideH w:val="nil"/>
          <w:insideV w:val="nil"/>
        </w:tcBorders>
        <w:shd w:val="clear" w:color="auto" w:fill="F2F9EB"/>
      </w:tcPr>
    </w:tblStylePr>
  </w:style>
  <w:style w:type="table" w:styleId="MediumGrid1-Accent3">
    <w:name w:val="Medium Grid 1 Accent 3"/>
    <w:basedOn w:val="TableNormal"/>
    <w:uiPriority w:val="67"/>
    <w:rsid w:val="004B071C"/>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ColorfulGrid-Accent3">
    <w:name w:val="Colorful Grid Accent 3"/>
    <w:basedOn w:val="TableNormal"/>
    <w:uiPriority w:val="73"/>
    <w:rsid w:val="004B071C"/>
    <w:rPr>
      <w:rFonts w:ascii="Calibri" w:eastAsia="Calibri" w:hAnsi="Calibri"/>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numbering" w:customStyle="1" w:styleId="NoList1">
    <w:name w:val="No List1"/>
    <w:next w:val="NoList"/>
    <w:uiPriority w:val="99"/>
    <w:semiHidden/>
    <w:unhideWhenUsed/>
    <w:rsid w:val="004B071C"/>
  </w:style>
  <w:style w:type="table" w:customStyle="1" w:styleId="MediumGrid3-Accent11">
    <w:name w:val="Medium Grid 3 - Accent 11"/>
    <w:basedOn w:val="TableNormal"/>
    <w:next w:val="MediumGrid3-Accent1"/>
    <w:uiPriority w:val="69"/>
    <w:rsid w:val="004B071C"/>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TableGrid1">
    <w:name w:val="Table Grid1"/>
    <w:basedOn w:val="TableNormal"/>
    <w:next w:val="TableGrid"/>
    <w:uiPriority w:val="99"/>
    <w:rsid w:val="004B07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Shading1-Accent21">
    <w:name w:val="Medium Shading 1 - Accent 21"/>
    <w:basedOn w:val="TableNormal"/>
    <w:next w:val="MediumShading1-Accent2"/>
    <w:uiPriority w:val="63"/>
    <w:rsid w:val="004B071C"/>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Columns51">
    <w:name w:val="Table Columns 51"/>
    <w:basedOn w:val="TableNormal"/>
    <w:next w:val="TableColumns5"/>
    <w:uiPriority w:val="99"/>
    <w:rsid w:val="004B071C"/>
    <w:pPr>
      <w:spacing w:before="120" w:after="120"/>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TableClassic11">
    <w:name w:val="Table Classic 11"/>
    <w:basedOn w:val="TableNormal"/>
    <w:next w:val="TableClassic1"/>
    <w:uiPriority w:val="99"/>
    <w:rsid w:val="004B071C"/>
    <w:pPr>
      <w:spacing w:before="120" w:after="120"/>
      <w:jc w:val="both"/>
    </w:p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uiPriority w:val="99"/>
    <w:rsid w:val="004B071C"/>
    <w:pPr>
      <w:spacing w:before="120" w:after="120"/>
      <w:jc w:val="both"/>
    </w:p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List31">
    <w:name w:val="Table List 31"/>
    <w:basedOn w:val="TableNormal"/>
    <w:next w:val="TableList3"/>
    <w:uiPriority w:val="99"/>
    <w:rsid w:val="004B071C"/>
    <w:pPr>
      <w:spacing w:before="120" w:after="12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LightShading-Accent31">
    <w:name w:val="Light Shading - Accent 31"/>
    <w:basedOn w:val="TableNormal"/>
    <w:next w:val="LightShading-Accent3"/>
    <w:uiPriority w:val="60"/>
    <w:rsid w:val="004B071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1">
    <w:name w:val="Light Shading - Accent 41"/>
    <w:basedOn w:val="TableNormal"/>
    <w:next w:val="LightShading-Accent4"/>
    <w:uiPriority w:val="60"/>
    <w:rsid w:val="004B071C"/>
    <w:rPr>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31">
    <w:name w:val="Medium Shading 2 - Accent 31"/>
    <w:basedOn w:val="TableNormal"/>
    <w:next w:val="MediumShading2-Accent3"/>
    <w:uiPriority w:val="64"/>
    <w:rsid w:val="004B071C"/>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Accent51">
    <w:name w:val="Medium List 1 - Accent 51"/>
    <w:basedOn w:val="TableNormal"/>
    <w:next w:val="MediumList1-Accent5"/>
    <w:uiPriority w:val="65"/>
    <w:rsid w:val="004B071C"/>
    <w:rPr>
      <w:color w:val="00000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Grid3-Accent51">
    <w:name w:val="Medium Grid 3 - Accent 51"/>
    <w:basedOn w:val="TableNormal"/>
    <w:next w:val="MediumGrid3-Accent5"/>
    <w:uiPriority w:val="69"/>
    <w:rsid w:val="004B071C"/>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2-Accent21">
    <w:name w:val="Medium Grid 2 - Accent 21"/>
    <w:basedOn w:val="TableNormal"/>
    <w:next w:val="MediumGrid2-Accent2"/>
    <w:uiPriority w:val="68"/>
    <w:rsid w:val="004B071C"/>
    <w:rPr>
      <w:rFonts w:ascii="Cambria" w:hAnsi="Cambria"/>
      <w:color w:val="00000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LightList-Accent41">
    <w:name w:val="Light List - Accent 41"/>
    <w:basedOn w:val="TableNormal"/>
    <w:next w:val="LightList-Accent4"/>
    <w:uiPriority w:val="61"/>
    <w:rsid w:val="004B071C"/>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MediumShading1-Accent41">
    <w:name w:val="Medium Shading 1 - Accent 41"/>
    <w:basedOn w:val="TableNormal"/>
    <w:next w:val="MediumShading1-Accent4"/>
    <w:uiPriority w:val="63"/>
    <w:rsid w:val="004B071C"/>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Grid3-Accent31">
    <w:name w:val="Medium Grid 3 - Accent 31"/>
    <w:basedOn w:val="TableNormal"/>
    <w:next w:val="MediumGrid3-Accent3"/>
    <w:uiPriority w:val="69"/>
    <w:rsid w:val="004B071C"/>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Shading1-Accent51">
    <w:name w:val="Medium Shading 1 - Accent 51"/>
    <w:basedOn w:val="TableNormal"/>
    <w:next w:val="MediumShading1-Accent5"/>
    <w:uiPriority w:val="63"/>
    <w:rsid w:val="004B071C"/>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Grid3-Accent41">
    <w:name w:val="Medium Grid 3 - Accent 41"/>
    <w:basedOn w:val="TableNormal"/>
    <w:next w:val="MediumGrid3-Accent4"/>
    <w:uiPriority w:val="69"/>
    <w:rsid w:val="004B071C"/>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LightList-Accent21">
    <w:name w:val="Light List - Accent 21"/>
    <w:basedOn w:val="TableNormal"/>
    <w:next w:val="LightList-Accent2"/>
    <w:uiPriority w:val="61"/>
    <w:rsid w:val="004B071C"/>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Grid3-Accent21">
    <w:name w:val="Medium Grid 3 - Accent 21"/>
    <w:basedOn w:val="TableNormal"/>
    <w:next w:val="MediumGrid3-Accent2"/>
    <w:uiPriority w:val="69"/>
    <w:rsid w:val="004B071C"/>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LightGrid11">
    <w:name w:val="Light Grid11"/>
    <w:basedOn w:val="TableNormal"/>
    <w:uiPriority w:val="62"/>
    <w:rsid w:val="004B071C"/>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2-Accent21">
    <w:name w:val="Medium Shading 2 - Accent 21"/>
    <w:basedOn w:val="TableNormal"/>
    <w:next w:val="MediumShading2-Accent2"/>
    <w:uiPriority w:val="64"/>
    <w:rsid w:val="004B071C"/>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111">
    <w:name w:val="Light List - Accent 111"/>
    <w:basedOn w:val="TableNormal"/>
    <w:uiPriority w:val="61"/>
    <w:rsid w:val="004B071C"/>
    <w:tblPr>
      <w:tblStyleRowBandSize w:val="1"/>
      <w:tblStyleColBandSize w:val="1"/>
      <w:tblInd w:w="0" w:type="dxa"/>
      <w:tblBorders>
        <w:top w:val="single" w:sz="8" w:space="0" w:color="CEEAB0"/>
        <w:left w:val="single" w:sz="8" w:space="0" w:color="CEEAB0"/>
        <w:bottom w:val="single" w:sz="8" w:space="0" w:color="CEEAB0"/>
        <w:right w:val="single" w:sz="8" w:space="0" w:color="CEEAB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EEAB0"/>
      </w:tcPr>
    </w:tblStylePr>
    <w:tblStylePr w:type="lastRow">
      <w:pPr>
        <w:spacing w:before="0" w:after="0" w:line="240" w:lineRule="auto"/>
      </w:pPr>
      <w:rPr>
        <w:b/>
        <w:bCs/>
      </w:rPr>
      <w:tblPr/>
      <w:tcPr>
        <w:tcBorders>
          <w:top w:val="double" w:sz="6" w:space="0" w:color="CEEAB0"/>
          <w:left w:val="single" w:sz="8" w:space="0" w:color="CEEAB0"/>
          <w:bottom w:val="single" w:sz="8" w:space="0" w:color="CEEAB0"/>
          <w:right w:val="single" w:sz="8" w:space="0" w:color="CEEAB0"/>
        </w:tcBorders>
      </w:tcPr>
    </w:tblStylePr>
    <w:tblStylePr w:type="firstCol">
      <w:rPr>
        <w:b/>
        <w:bCs/>
      </w:rPr>
    </w:tblStylePr>
    <w:tblStylePr w:type="lastCol">
      <w:rPr>
        <w:b/>
        <w:bCs/>
      </w:rPr>
    </w:tblStylePr>
    <w:tblStylePr w:type="band1Vert">
      <w:tblPr/>
      <w:tcPr>
        <w:tcBorders>
          <w:top w:val="single" w:sz="8" w:space="0" w:color="CEEAB0"/>
          <w:left w:val="single" w:sz="8" w:space="0" w:color="CEEAB0"/>
          <w:bottom w:val="single" w:sz="8" w:space="0" w:color="CEEAB0"/>
          <w:right w:val="single" w:sz="8" w:space="0" w:color="CEEAB0"/>
        </w:tcBorders>
      </w:tcPr>
    </w:tblStylePr>
    <w:tblStylePr w:type="band1Horz">
      <w:tblPr/>
      <w:tcPr>
        <w:tcBorders>
          <w:top w:val="single" w:sz="8" w:space="0" w:color="CEEAB0"/>
          <w:left w:val="single" w:sz="8" w:space="0" w:color="CEEAB0"/>
          <w:bottom w:val="single" w:sz="8" w:space="0" w:color="CEEAB0"/>
          <w:right w:val="single" w:sz="8" w:space="0" w:color="CEEAB0"/>
        </w:tcBorders>
      </w:tcPr>
    </w:tblStylePr>
  </w:style>
  <w:style w:type="table" w:customStyle="1" w:styleId="MediumGrid1-Accent11">
    <w:name w:val="Medium Grid 1 - Accent 11"/>
    <w:basedOn w:val="TableNormal"/>
    <w:next w:val="MediumGrid1-Accent1"/>
    <w:uiPriority w:val="67"/>
    <w:rsid w:val="004B071C"/>
    <w:tblPr>
      <w:tblStyleRowBandSize w:val="1"/>
      <w:tblStyleColBandSize w:val="1"/>
      <w:tblInd w:w="0" w:type="dxa"/>
      <w:tblBorders>
        <w:top w:val="single" w:sz="8" w:space="0" w:color="DAEFC3"/>
        <w:left w:val="single" w:sz="8" w:space="0" w:color="DAEFC3"/>
        <w:bottom w:val="single" w:sz="8" w:space="0" w:color="DAEFC3"/>
        <w:right w:val="single" w:sz="8" w:space="0" w:color="DAEFC3"/>
        <w:insideH w:val="single" w:sz="8" w:space="0" w:color="DAEFC3"/>
        <w:insideV w:val="single" w:sz="8" w:space="0" w:color="DAEFC3"/>
      </w:tblBorders>
      <w:tblCellMar>
        <w:top w:w="0" w:type="dxa"/>
        <w:left w:w="108" w:type="dxa"/>
        <w:bottom w:w="0" w:type="dxa"/>
        <w:right w:w="108" w:type="dxa"/>
      </w:tblCellMar>
    </w:tblPr>
    <w:tcPr>
      <w:shd w:val="clear" w:color="auto" w:fill="F2F9EB"/>
    </w:tcPr>
    <w:tblStylePr w:type="firstRow">
      <w:rPr>
        <w:b/>
        <w:bCs/>
      </w:rPr>
    </w:tblStylePr>
    <w:tblStylePr w:type="lastRow">
      <w:rPr>
        <w:b/>
        <w:bCs/>
      </w:rPr>
      <w:tblPr/>
      <w:tcPr>
        <w:tcBorders>
          <w:top w:val="single" w:sz="18" w:space="0" w:color="DAEFC3"/>
        </w:tcBorders>
      </w:tcPr>
    </w:tblStylePr>
    <w:tblStylePr w:type="firstCol">
      <w:rPr>
        <w:b/>
        <w:bCs/>
      </w:rPr>
    </w:tblStylePr>
    <w:tblStylePr w:type="lastCol">
      <w:rPr>
        <w:b/>
        <w:bCs/>
      </w:rPr>
    </w:tblStylePr>
    <w:tblStylePr w:type="band1Vert">
      <w:tblPr/>
      <w:tcPr>
        <w:shd w:val="clear" w:color="auto" w:fill="E6F4D7"/>
      </w:tcPr>
    </w:tblStylePr>
    <w:tblStylePr w:type="band1Horz">
      <w:tblPr/>
      <w:tcPr>
        <w:shd w:val="clear" w:color="auto" w:fill="E6F4D7"/>
      </w:tcPr>
    </w:tblStylePr>
  </w:style>
  <w:style w:type="table" w:customStyle="1" w:styleId="LightShading-Accent111">
    <w:name w:val="Light Shading - Accent 111"/>
    <w:basedOn w:val="TableNormal"/>
    <w:uiPriority w:val="60"/>
    <w:rsid w:val="004B071C"/>
    <w:rPr>
      <w:color w:val="9BD45E"/>
    </w:rPr>
    <w:tblPr>
      <w:tblStyleRowBandSize w:val="1"/>
      <w:tblStyleColBandSize w:val="1"/>
      <w:tblInd w:w="0" w:type="dxa"/>
      <w:tblBorders>
        <w:top w:val="single" w:sz="8" w:space="0" w:color="CEEAB0"/>
        <w:bottom w:val="single" w:sz="8" w:space="0" w:color="CEEAB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EEAB0"/>
          <w:left w:val="nil"/>
          <w:bottom w:val="single" w:sz="8" w:space="0" w:color="CEEAB0"/>
          <w:right w:val="nil"/>
          <w:insideH w:val="nil"/>
          <w:insideV w:val="nil"/>
        </w:tcBorders>
      </w:tcPr>
    </w:tblStylePr>
    <w:tblStylePr w:type="lastRow">
      <w:pPr>
        <w:spacing w:before="0" w:after="0" w:line="240" w:lineRule="auto"/>
      </w:pPr>
      <w:rPr>
        <w:b/>
        <w:bCs/>
      </w:rPr>
      <w:tblPr/>
      <w:tcPr>
        <w:tcBorders>
          <w:top w:val="single" w:sz="8" w:space="0" w:color="CEEAB0"/>
          <w:left w:val="nil"/>
          <w:bottom w:val="single" w:sz="8" w:space="0" w:color="CEEAB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F9EB"/>
      </w:tcPr>
    </w:tblStylePr>
    <w:tblStylePr w:type="band1Horz">
      <w:tblPr/>
      <w:tcPr>
        <w:tcBorders>
          <w:left w:val="nil"/>
          <w:right w:val="nil"/>
          <w:insideH w:val="nil"/>
          <w:insideV w:val="nil"/>
        </w:tcBorders>
        <w:shd w:val="clear" w:color="auto" w:fill="F2F9EB"/>
      </w:tcPr>
    </w:tblStylePr>
  </w:style>
  <w:style w:type="table" w:customStyle="1" w:styleId="MediumGrid1-Accent31">
    <w:name w:val="Medium Grid 1 - Accent 31"/>
    <w:basedOn w:val="TableNormal"/>
    <w:next w:val="MediumGrid1-Accent3"/>
    <w:uiPriority w:val="67"/>
    <w:rsid w:val="004B071C"/>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ColorfulGrid-Accent31">
    <w:name w:val="Colorful Grid - Accent 31"/>
    <w:basedOn w:val="TableNormal"/>
    <w:next w:val="ColorfulGrid-Accent3"/>
    <w:uiPriority w:val="73"/>
    <w:rsid w:val="004B071C"/>
    <w:rPr>
      <w:rFonts w:ascii="Calibri" w:eastAsia="Calibri" w:hAnsi="Calibri"/>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paragraph" w:customStyle="1" w:styleId="WW-Default">
    <w:name w:val="WW-Default"/>
    <w:rsid w:val="004B071C"/>
    <w:pPr>
      <w:suppressAutoHyphens/>
      <w:autoSpaceDE w:val="0"/>
    </w:pPr>
    <w:rPr>
      <w:rFonts w:ascii="Tahoma" w:hAnsi="Tahoma" w:cs="Tahoma"/>
      <w:color w:val="000000"/>
      <w:sz w:val="24"/>
      <w:szCs w:val="24"/>
      <w:lang w:eastAsia="zh-CN"/>
    </w:rPr>
  </w:style>
  <w:style w:type="character" w:customStyle="1" w:styleId="reference-text">
    <w:name w:val="reference-text"/>
    <w:basedOn w:val="DefaultParagraphFont"/>
    <w:rsid w:val="004B071C"/>
  </w:style>
  <w:style w:type="numbering" w:customStyle="1" w:styleId="NoList2">
    <w:name w:val="No List2"/>
    <w:next w:val="NoList"/>
    <w:semiHidden/>
    <w:rsid w:val="004B071C"/>
  </w:style>
  <w:style w:type="table" w:customStyle="1" w:styleId="TableGrid2">
    <w:name w:val="Table Grid2"/>
    <w:basedOn w:val="TableNormal"/>
    <w:next w:val="TableGrid"/>
    <w:rsid w:val="004B071C"/>
    <w:rPr>
      <w:rFonts w:eastAsia="Calibri"/>
      <w:lang w:val="sr-Latn-CS" w:eastAsia="sr-Latn-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rsid w:val="004B071C"/>
    <w:rPr>
      <w:rFonts w:eastAsia="Calibri"/>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1z0">
    <w:name w:val="WW8Num1z0"/>
    <w:rsid w:val="004B071C"/>
  </w:style>
  <w:style w:type="character" w:customStyle="1" w:styleId="Absatz-Standardschriftart">
    <w:name w:val="Absatz-Standardschriftart"/>
    <w:rsid w:val="004B071C"/>
  </w:style>
  <w:style w:type="character" w:customStyle="1" w:styleId="WW-Absatz-Standardschriftart">
    <w:name w:val="WW-Absatz-Standardschriftart"/>
    <w:rsid w:val="004B071C"/>
  </w:style>
  <w:style w:type="character" w:customStyle="1" w:styleId="WW8Num2z0">
    <w:name w:val="WW8Num2z0"/>
    <w:rsid w:val="004B071C"/>
  </w:style>
  <w:style w:type="character" w:customStyle="1" w:styleId="WW8Num6z0">
    <w:name w:val="WW8Num6z0"/>
    <w:rsid w:val="004B071C"/>
    <w:rPr>
      <w:rFonts w:ascii="Symbol" w:hAnsi="Symbol"/>
    </w:rPr>
  </w:style>
  <w:style w:type="character" w:customStyle="1" w:styleId="WW8Num9z0">
    <w:name w:val="WW8Num9z0"/>
    <w:rsid w:val="004B071C"/>
    <w:rPr>
      <w:rFonts w:ascii="Symbol" w:hAnsi="Symbol"/>
    </w:rPr>
  </w:style>
  <w:style w:type="character" w:customStyle="1" w:styleId="WW-Absatz-Standardschriftart1">
    <w:name w:val="WW-Absatz-Standardschriftart1"/>
    <w:rsid w:val="004B071C"/>
  </w:style>
  <w:style w:type="character" w:customStyle="1" w:styleId="WW-Absatz-Standardschriftart11">
    <w:name w:val="WW-Absatz-Standardschriftart11"/>
    <w:rsid w:val="004B071C"/>
  </w:style>
  <w:style w:type="character" w:customStyle="1" w:styleId="WW-Absatz-Standardschriftart111">
    <w:name w:val="WW-Absatz-Standardschriftart111"/>
    <w:rsid w:val="004B071C"/>
  </w:style>
  <w:style w:type="character" w:customStyle="1" w:styleId="WW-Absatz-Standardschriftart1111">
    <w:name w:val="WW-Absatz-Standardschriftart1111"/>
    <w:rsid w:val="004B071C"/>
  </w:style>
  <w:style w:type="character" w:customStyle="1" w:styleId="WW-Absatz-Standardschriftart11111">
    <w:name w:val="WW-Absatz-Standardschriftart11111"/>
    <w:rsid w:val="004B071C"/>
  </w:style>
  <w:style w:type="character" w:customStyle="1" w:styleId="WW-Absatz-Standardschriftart111111">
    <w:name w:val="WW-Absatz-Standardschriftart111111"/>
    <w:rsid w:val="004B071C"/>
  </w:style>
  <w:style w:type="character" w:customStyle="1" w:styleId="WW8Num6z1">
    <w:name w:val="WW8Num6z1"/>
    <w:rsid w:val="004B071C"/>
    <w:rPr>
      <w:rFonts w:ascii="Courier New" w:hAnsi="Courier New"/>
    </w:rPr>
  </w:style>
  <w:style w:type="character" w:customStyle="1" w:styleId="WW8Num6z2">
    <w:name w:val="WW8Num6z2"/>
    <w:rsid w:val="004B071C"/>
    <w:rPr>
      <w:rFonts w:ascii="Wingdings" w:hAnsi="Wingdings"/>
    </w:rPr>
  </w:style>
  <w:style w:type="character" w:customStyle="1" w:styleId="WW8Num8z0">
    <w:name w:val="WW8Num8z0"/>
    <w:rsid w:val="004B071C"/>
  </w:style>
  <w:style w:type="character" w:customStyle="1" w:styleId="WW8Num10z0">
    <w:name w:val="WW8Num10z0"/>
    <w:rsid w:val="004B071C"/>
    <w:rPr>
      <w:rFonts w:ascii="Symbol" w:hAnsi="Symbol"/>
    </w:rPr>
  </w:style>
  <w:style w:type="character" w:customStyle="1" w:styleId="WW8Num10z1">
    <w:name w:val="WW8Num10z1"/>
    <w:rsid w:val="004B071C"/>
    <w:rPr>
      <w:rFonts w:ascii="Courier New" w:hAnsi="Courier New"/>
    </w:rPr>
  </w:style>
  <w:style w:type="character" w:customStyle="1" w:styleId="WW8Num10z2">
    <w:name w:val="WW8Num10z2"/>
    <w:rsid w:val="004B071C"/>
    <w:rPr>
      <w:rFonts w:ascii="Wingdings" w:hAnsi="Wingdings"/>
    </w:rPr>
  </w:style>
  <w:style w:type="paragraph" w:customStyle="1" w:styleId="Heading">
    <w:name w:val="Heading"/>
    <w:basedOn w:val="Normal"/>
    <w:next w:val="BodyText"/>
    <w:rsid w:val="004B071C"/>
    <w:pPr>
      <w:keepNext/>
      <w:suppressAutoHyphens/>
      <w:spacing w:before="240" w:line="276" w:lineRule="auto"/>
      <w:jc w:val="left"/>
    </w:pPr>
    <w:rPr>
      <w:rFonts w:ascii="Arial" w:eastAsia="Arial Unicode MS" w:hAnsi="Arial" w:cs="Mangal"/>
      <w:sz w:val="28"/>
      <w:szCs w:val="28"/>
      <w:lang w:eastAsia="zh-CN"/>
    </w:rPr>
  </w:style>
  <w:style w:type="paragraph" w:styleId="List">
    <w:name w:val="List"/>
    <w:basedOn w:val="BodyText"/>
    <w:rsid w:val="004B071C"/>
    <w:pPr>
      <w:suppressAutoHyphens/>
      <w:spacing w:after="120" w:line="276" w:lineRule="auto"/>
      <w:jc w:val="left"/>
    </w:pPr>
    <w:rPr>
      <w:rFonts w:ascii="Calibri" w:hAnsi="Calibri" w:cs="Mangal"/>
      <w:b w:val="0"/>
      <w:bCs w:val="0"/>
      <w:smallCaps w:val="0"/>
      <w:sz w:val="22"/>
      <w:szCs w:val="22"/>
      <w:lang w:val="en-US" w:eastAsia="zh-CN"/>
    </w:rPr>
  </w:style>
  <w:style w:type="paragraph" w:styleId="Caption">
    <w:name w:val="caption"/>
    <w:basedOn w:val="Normal"/>
    <w:qFormat/>
    <w:locked/>
    <w:rsid w:val="004B071C"/>
    <w:pPr>
      <w:suppressLineNumbers/>
      <w:suppressAutoHyphens/>
      <w:spacing w:before="120" w:line="276" w:lineRule="auto"/>
      <w:jc w:val="left"/>
    </w:pPr>
    <w:rPr>
      <w:rFonts w:ascii="Calibri" w:hAnsi="Calibri" w:cs="Mangal"/>
      <w:i/>
      <w:iCs/>
      <w:sz w:val="24"/>
      <w:lang w:eastAsia="zh-CN"/>
    </w:rPr>
  </w:style>
  <w:style w:type="paragraph" w:customStyle="1" w:styleId="Index">
    <w:name w:val="Index"/>
    <w:basedOn w:val="Normal"/>
    <w:rsid w:val="004B071C"/>
    <w:pPr>
      <w:suppressLineNumbers/>
      <w:suppressAutoHyphens/>
      <w:spacing w:after="200" w:line="276" w:lineRule="auto"/>
      <w:jc w:val="left"/>
    </w:pPr>
    <w:rPr>
      <w:rFonts w:ascii="Calibri" w:hAnsi="Calibri" w:cs="Mangal"/>
      <w:szCs w:val="22"/>
      <w:lang w:eastAsia="zh-CN"/>
    </w:rPr>
  </w:style>
  <w:style w:type="paragraph" w:styleId="NormalWeb">
    <w:name w:val="Normal (Web)"/>
    <w:basedOn w:val="Normal"/>
    <w:rsid w:val="004B071C"/>
    <w:pPr>
      <w:suppressAutoHyphens/>
      <w:spacing w:before="280" w:after="280"/>
      <w:jc w:val="left"/>
    </w:pPr>
    <w:rPr>
      <w:rFonts w:ascii="Times New Roman" w:eastAsia="Calibri" w:hAnsi="Times New Roman"/>
      <w:sz w:val="24"/>
      <w:lang w:eastAsia="zh-CN"/>
    </w:rPr>
  </w:style>
  <w:style w:type="paragraph" w:customStyle="1" w:styleId="TableContents">
    <w:name w:val="Table Contents"/>
    <w:basedOn w:val="Normal"/>
    <w:rsid w:val="004B071C"/>
    <w:pPr>
      <w:suppressLineNumbers/>
      <w:suppressAutoHyphens/>
      <w:spacing w:after="200" w:line="276" w:lineRule="auto"/>
      <w:jc w:val="left"/>
    </w:pPr>
    <w:rPr>
      <w:rFonts w:ascii="Calibri" w:hAnsi="Calibri"/>
      <w:szCs w:val="22"/>
      <w:lang w:eastAsia="zh-CN"/>
    </w:rPr>
  </w:style>
  <w:style w:type="paragraph" w:customStyle="1" w:styleId="TableHeading">
    <w:name w:val="Table Heading"/>
    <w:basedOn w:val="TableContents"/>
    <w:rsid w:val="004B071C"/>
    <w:pPr>
      <w:jc w:val="center"/>
    </w:pPr>
    <w:rPr>
      <w:b/>
      <w:bCs/>
    </w:rPr>
  </w:style>
  <w:style w:type="paragraph" w:customStyle="1" w:styleId="Default">
    <w:name w:val="Default"/>
    <w:rsid w:val="004B071C"/>
    <w:pPr>
      <w:autoSpaceDE w:val="0"/>
      <w:autoSpaceDN w:val="0"/>
      <w:adjustRightInd w:val="0"/>
    </w:pPr>
    <w:rPr>
      <w:rFonts w:ascii="Tahoma" w:eastAsia="Calibri" w:hAnsi="Tahoma" w:cs="Tahoma"/>
      <w:color w:val="000000"/>
      <w:sz w:val="24"/>
      <w:szCs w:val="24"/>
    </w:rPr>
  </w:style>
  <w:style w:type="paragraph" w:styleId="ListBullet">
    <w:name w:val="List Bullet"/>
    <w:basedOn w:val="Normal"/>
    <w:rsid w:val="004B071C"/>
    <w:pPr>
      <w:numPr>
        <w:numId w:val="26"/>
      </w:numPr>
      <w:suppressAutoHyphens/>
      <w:spacing w:after="200" w:line="276" w:lineRule="auto"/>
      <w:jc w:val="left"/>
    </w:pPr>
    <w:rPr>
      <w:rFonts w:ascii="Times New Roman" w:eastAsia="SimSun" w:hAnsi="Times New Roman"/>
      <w:sz w:val="20"/>
      <w:szCs w:val="20"/>
    </w:rPr>
  </w:style>
  <w:style w:type="character" w:styleId="PageNumber">
    <w:name w:val="page number"/>
    <w:rsid w:val="004B071C"/>
  </w:style>
  <w:style w:type="table" w:customStyle="1" w:styleId="MediumGrid1-Accent32">
    <w:name w:val="Medium Grid 1 - Accent 32"/>
    <w:basedOn w:val="TableNormal"/>
    <w:next w:val="MediumGrid1-Accent3"/>
    <w:uiPriority w:val="67"/>
    <w:rsid w:val="004B071C"/>
    <w:rPr>
      <w:rFonts w:ascii="Calibri" w:eastAsia="Calibri" w:hAnsi="Calibri"/>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33">
    <w:name w:val="Medium Grid 1 - Accent 33"/>
    <w:basedOn w:val="TableNormal"/>
    <w:next w:val="MediumGrid1-Accent3"/>
    <w:uiPriority w:val="67"/>
    <w:rsid w:val="004B071C"/>
    <w:rPr>
      <w:rFonts w:ascii="Calibri" w:eastAsia="Calibri" w:hAnsi="Calibri"/>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LightGrid-Accent6">
    <w:name w:val="Light Grid Accent 6"/>
    <w:basedOn w:val="TableNormal"/>
    <w:uiPriority w:val="62"/>
    <w:rsid w:val="00EB3E54"/>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Accent6">
    <w:name w:val="Light List Accent 6"/>
    <w:basedOn w:val="TableNormal"/>
    <w:uiPriority w:val="61"/>
    <w:rsid w:val="00EB3E54"/>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MediumList1-Accent2">
    <w:name w:val="Medium List 1 Accent 2"/>
    <w:basedOn w:val="TableNormal"/>
    <w:uiPriority w:val="65"/>
    <w:rsid w:val="00EB3E54"/>
    <w:rPr>
      <w:color w:val="000000" w:themeColor="text1"/>
    </w:rPr>
    <w:tblPr>
      <w:tblStyleRowBandSize w:val="1"/>
      <w:tblStyleColBandSize w:val="1"/>
      <w:tblInd w:w="0" w:type="dxa"/>
      <w:tblBorders>
        <w:top w:val="single" w:sz="8" w:space="0" w:color="BF83D7" w:themeColor="accent2"/>
        <w:bottom w:val="single" w:sz="8" w:space="0" w:color="BF83D7"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BF83D7" w:themeColor="accent2"/>
        </w:tcBorders>
      </w:tcPr>
    </w:tblStylePr>
    <w:tblStylePr w:type="lastRow">
      <w:rPr>
        <w:b/>
        <w:bCs/>
        <w:color w:val="1F497D" w:themeColor="text2"/>
      </w:rPr>
      <w:tblPr/>
      <w:tcPr>
        <w:tcBorders>
          <w:top w:val="single" w:sz="8" w:space="0" w:color="BF83D7" w:themeColor="accent2"/>
          <w:bottom w:val="single" w:sz="8" w:space="0" w:color="BF83D7" w:themeColor="accent2"/>
        </w:tcBorders>
      </w:tcPr>
    </w:tblStylePr>
    <w:tblStylePr w:type="firstCol">
      <w:rPr>
        <w:b/>
        <w:bCs/>
      </w:rPr>
    </w:tblStylePr>
    <w:tblStylePr w:type="lastCol">
      <w:rPr>
        <w:b/>
        <w:bCs/>
      </w:rPr>
      <w:tblPr/>
      <w:tcPr>
        <w:tcBorders>
          <w:top w:val="single" w:sz="8" w:space="0" w:color="BF83D7" w:themeColor="accent2"/>
          <w:bottom w:val="single" w:sz="8" w:space="0" w:color="BF83D7" w:themeColor="accent2"/>
        </w:tcBorders>
      </w:tcPr>
    </w:tblStylePr>
    <w:tblStylePr w:type="band1Vert">
      <w:tblPr/>
      <w:tcPr>
        <w:shd w:val="clear" w:color="auto" w:fill="EFE0F5" w:themeFill="accent2" w:themeFillTint="3F"/>
      </w:tcPr>
    </w:tblStylePr>
    <w:tblStylePr w:type="band1Horz">
      <w:tblPr/>
      <w:tcPr>
        <w:shd w:val="clear" w:color="auto" w:fill="EFE0F5" w:themeFill="accent2" w:themeFillTint="3F"/>
      </w:tcPr>
    </w:tblStylePr>
  </w:style>
  <w:style w:type="table" w:styleId="LightList-Accent3">
    <w:name w:val="Light List Accent 3"/>
    <w:basedOn w:val="TableNormal"/>
    <w:uiPriority w:val="61"/>
    <w:rsid w:val="00EB3E54"/>
    <w:tblPr>
      <w:tblStyleRowBandSize w:val="1"/>
      <w:tblStyleColBandSize w:val="1"/>
      <w:tblInd w:w="0" w:type="dxa"/>
      <w:tblBorders>
        <w:top w:val="single" w:sz="8" w:space="0" w:color="FAC08F" w:themeColor="accent3"/>
        <w:left w:val="single" w:sz="8" w:space="0" w:color="FAC08F" w:themeColor="accent3"/>
        <w:bottom w:val="single" w:sz="8" w:space="0" w:color="FAC08F" w:themeColor="accent3"/>
        <w:right w:val="single" w:sz="8" w:space="0" w:color="FAC08F"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AC08F" w:themeFill="accent3"/>
      </w:tcPr>
    </w:tblStylePr>
    <w:tblStylePr w:type="lastRow">
      <w:pPr>
        <w:spacing w:before="0" w:after="0" w:line="240" w:lineRule="auto"/>
      </w:pPr>
      <w:rPr>
        <w:b/>
        <w:bCs/>
      </w:rPr>
      <w:tblPr/>
      <w:tcPr>
        <w:tcBorders>
          <w:top w:val="double" w:sz="6" w:space="0" w:color="FAC08F" w:themeColor="accent3"/>
          <w:left w:val="single" w:sz="8" w:space="0" w:color="FAC08F" w:themeColor="accent3"/>
          <w:bottom w:val="single" w:sz="8" w:space="0" w:color="FAC08F" w:themeColor="accent3"/>
          <w:right w:val="single" w:sz="8" w:space="0" w:color="FAC08F" w:themeColor="accent3"/>
        </w:tcBorders>
      </w:tcPr>
    </w:tblStylePr>
    <w:tblStylePr w:type="firstCol">
      <w:rPr>
        <w:b/>
        <w:bCs/>
      </w:rPr>
    </w:tblStylePr>
    <w:tblStylePr w:type="lastCol">
      <w:rPr>
        <w:b/>
        <w:bCs/>
      </w:rPr>
    </w:tblStylePr>
    <w:tblStylePr w:type="band1Vert">
      <w:tblPr/>
      <w:tcPr>
        <w:tcBorders>
          <w:top w:val="single" w:sz="8" w:space="0" w:color="FAC08F" w:themeColor="accent3"/>
          <w:left w:val="single" w:sz="8" w:space="0" w:color="FAC08F" w:themeColor="accent3"/>
          <w:bottom w:val="single" w:sz="8" w:space="0" w:color="FAC08F" w:themeColor="accent3"/>
          <w:right w:val="single" w:sz="8" w:space="0" w:color="FAC08F" w:themeColor="accent3"/>
        </w:tcBorders>
      </w:tcPr>
    </w:tblStylePr>
    <w:tblStylePr w:type="band1Horz">
      <w:tblPr/>
      <w:tcPr>
        <w:tcBorders>
          <w:top w:val="single" w:sz="8" w:space="0" w:color="FAC08F" w:themeColor="accent3"/>
          <w:left w:val="single" w:sz="8" w:space="0" w:color="FAC08F" w:themeColor="accent3"/>
          <w:bottom w:val="single" w:sz="8" w:space="0" w:color="FAC08F" w:themeColor="accent3"/>
          <w:right w:val="single" w:sz="8" w:space="0" w:color="FAC08F" w:themeColor="accent3"/>
        </w:tcBorders>
      </w:tcPr>
    </w:tblStylePr>
  </w:style>
  <w:style w:type="table" w:styleId="LightList">
    <w:name w:val="Light List"/>
    <w:basedOn w:val="TableNormal"/>
    <w:uiPriority w:val="61"/>
    <w:rsid w:val="00EB3E54"/>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EB3E54"/>
    <w:tblPr>
      <w:tblStyleRowBandSize w:val="1"/>
      <w:tblStyleColBandSize w:val="1"/>
      <w:tblInd w:w="0" w:type="dxa"/>
      <w:tblBorders>
        <w:top w:val="single" w:sz="8" w:space="0" w:color="CEEAB0" w:themeColor="accent1"/>
        <w:left w:val="single" w:sz="8" w:space="0" w:color="CEEAB0" w:themeColor="accent1"/>
        <w:bottom w:val="single" w:sz="8" w:space="0" w:color="CEEAB0" w:themeColor="accent1"/>
        <w:right w:val="single" w:sz="8" w:space="0" w:color="CEEAB0"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EEAB0" w:themeFill="accent1"/>
      </w:tcPr>
    </w:tblStylePr>
    <w:tblStylePr w:type="lastRow">
      <w:pPr>
        <w:spacing w:before="0" w:after="0" w:line="240" w:lineRule="auto"/>
      </w:pPr>
      <w:rPr>
        <w:b/>
        <w:bCs/>
      </w:rPr>
      <w:tblPr/>
      <w:tcPr>
        <w:tcBorders>
          <w:top w:val="double" w:sz="6" w:space="0" w:color="CEEAB0" w:themeColor="accent1"/>
          <w:left w:val="single" w:sz="8" w:space="0" w:color="CEEAB0" w:themeColor="accent1"/>
          <w:bottom w:val="single" w:sz="8" w:space="0" w:color="CEEAB0" w:themeColor="accent1"/>
          <w:right w:val="single" w:sz="8" w:space="0" w:color="CEEAB0" w:themeColor="accent1"/>
        </w:tcBorders>
      </w:tcPr>
    </w:tblStylePr>
    <w:tblStylePr w:type="firstCol">
      <w:rPr>
        <w:b/>
        <w:bCs/>
      </w:rPr>
    </w:tblStylePr>
    <w:tblStylePr w:type="lastCol">
      <w:rPr>
        <w:b/>
        <w:bCs/>
      </w:rPr>
    </w:tblStylePr>
    <w:tblStylePr w:type="band1Vert">
      <w:tblPr/>
      <w:tcPr>
        <w:tcBorders>
          <w:top w:val="single" w:sz="8" w:space="0" w:color="CEEAB0" w:themeColor="accent1"/>
          <w:left w:val="single" w:sz="8" w:space="0" w:color="CEEAB0" w:themeColor="accent1"/>
          <w:bottom w:val="single" w:sz="8" w:space="0" w:color="CEEAB0" w:themeColor="accent1"/>
          <w:right w:val="single" w:sz="8" w:space="0" w:color="CEEAB0" w:themeColor="accent1"/>
        </w:tcBorders>
      </w:tcPr>
    </w:tblStylePr>
    <w:tblStylePr w:type="band1Horz">
      <w:tblPr/>
      <w:tcPr>
        <w:tcBorders>
          <w:top w:val="single" w:sz="8" w:space="0" w:color="CEEAB0" w:themeColor="accent1"/>
          <w:left w:val="single" w:sz="8" w:space="0" w:color="CEEAB0" w:themeColor="accent1"/>
          <w:bottom w:val="single" w:sz="8" w:space="0" w:color="CEEAB0" w:themeColor="accent1"/>
          <w:right w:val="single" w:sz="8" w:space="0" w:color="CEEAB0" w:themeColor="accent1"/>
        </w:tcBorders>
      </w:tcPr>
    </w:tblStylePr>
  </w:style>
  <w:style w:type="table" w:customStyle="1" w:styleId="MediumGrid3-Accent32">
    <w:name w:val="Medium Grid 3 - Accent 32"/>
    <w:basedOn w:val="TableNormal"/>
    <w:next w:val="MediumGrid3-Accent3"/>
    <w:rsid w:val="00EB3E54"/>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FE3"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AC08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AC08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AC08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AC08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CDFC7"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CDFC7" w:themeFill="accent3" w:themeFillTint="7F"/>
      </w:tcPr>
    </w:tblStylePr>
  </w:style>
  <w:style w:type="table" w:customStyle="1" w:styleId="MediumShading1-Accent52">
    <w:name w:val="Medium Shading 1 - Accent 52"/>
    <w:basedOn w:val="TableNormal"/>
    <w:next w:val="MediumShading1-Accent5"/>
    <w:rsid w:val="00EB3E54"/>
    <w:tblPr>
      <w:tblStyleRowBandSize w:val="1"/>
      <w:tblStyleColBandSize w:val="1"/>
      <w:tblInd w:w="0" w:type="dxa"/>
      <w:tblBorders>
        <w:top w:val="single" w:sz="8" w:space="0" w:color="B3DE86" w:themeColor="accent5" w:themeTint="BF"/>
        <w:left w:val="single" w:sz="8" w:space="0" w:color="B3DE86" w:themeColor="accent5" w:themeTint="BF"/>
        <w:bottom w:val="single" w:sz="8" w:space="0" w:color="B3DE86" w:themeColor="accent5" w:themeTint="BF"/>
        <w:right w:val="single" w:sz="8" w:space="0" w:color="B3DE86" w:themeColor="accent5" w:themeTint="BF"/>
        <w:insideH w:val="single" w:sz="8" w:space="0" w:color="B3DE86"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DE86" w:themeColor="accent5" w:themeTint="BF"/>
          <w:left w:val="single" w:sz="8" w:space="0" w:color="B3DE86" w:themeColor="accent5" w:themeTint="BF"/>
          <w:bottom w:val="single" w:sz="8" w:space="0" w:color="B3DE86" w:themeColor="accent5" w:themeTint="BF"/>
          <w:right w:val="single" w:sz="8" w:space="0" w:color="B3DE86" w:themeColor="accent5" w:themeTint="BF"/>
          <w:insideH w:val="nil"/>
          <w:insideV w:val="nil"/>
        </w:tcBorders>
        <w:shd w:val="clear" w:color="auto" w:fill="9BD45F" w:themeFill="accent5"/>
      </w:tcPr>
    </w:tblStylePr>
    <w:tblStylePr w:type="lastRow">
      <w:pPr>
        <w:spacing w:before="0" w:after="0" w:line="240" w:lineRule="auto"/>
      </w:pPr>
      <w:rPr>
        <w:b/>
        <w:bCs/>
      </w:rPr>
      <w:tblPr/>
      <w:tcPr>
        <w:tcBorders>
          <w:top w:val="double" w:sz="6" w:space="0" w:color="B3DE86" w:themeColor="accent5" w:themeTint="BF"/>
          <w:left w:val="single" w:sz="8" w:space="0" w:color="B3DE86" w:themeColor="accent5" w:themeTint="BF"/>
          <w:bottom w:val="single" w:sz="8" w:space="0" w:color="B3DE86" w:themeColor="accent5" w:themeTint="BF"/>
          <w:right w:val="single" w:sz="8" w:space="0" w:color="B3DE86" w:themeColor="accent5" w:themeTint="BF"/>
          <w:insideH w:val="nil"/>
          <w:insideV w:val="nil"/>
        </w:tcBorders>
      </w:tcPr>
    </w:tblStylePr>
    <w:tblStylePr w:type="firstCol">
      <w:rPr>
        <w:b/>
        <w:bCs/>
      </w:rPr>
    </w:tblStylePr>
    <w:tblStylePr w:type="lastCol">
      <w:rPr>
        <w:b/>
        <w:bCs/>
      </w:rPr>
    </w:tblStylePr>
    <w:tblStylePr w:type="band1Vert">
      <w:tblPr/>
      <w:tcPr>
        <w:shd w:val="clear" w:color="auto" w:fill="E6F4D7" w:themeFill="accent5" w:themeFillTint="3F"/>
      </w:tcPr>
    </w:tblStylePr>
    <w:tblStylePr w:type="band1Horz">
      <w:tblPr/>
      <w:tcPr>
        <w:tcBorders>
          <w:insideH w:val="nil"/>
          <w:insideV w:val="nil"/>
        </w:tcBorders>
        <w:shd w:val="clear" w:color="auto" w:fill="E6F4D7" w:themeFill="accent5" w:themeFillTint="3F"/>
      </w:tcPr>
    </w:tblStylePr>
    <w:tblStylePr w:type="band2Horz">
      <w:tblPr/>
      <w:tcPr>
        <w:tcBorders>
          <w:insideH w:val="nil"/>
          <w:insideV w:val="nil"/>
        </w:tcBorders>
      </w:tcPr>
    </w:tblStylePr>
  </w:style>
  <w:style w:type="table" w:customStyle="1" w:styleId="MediumShading1-Accent42">
    <w:name w:val="Medium Shading 1 - Accent 42"/>
    <w:basedOn w:val="TableNormal"/>
    <w:next w:val="MediumShading1-Accent4"/>
    <w:rsid w:val="00EB3E54"/>
    <w:tblPr>
      <w:tblStyleRowBandSize w:val="1"/>
      <w:tblStyleColBandSize w:val="1"/>
      <w:tblInd w:w="0" w:type="dxa"/>
      <w:tblBorders>
        <w:top w:val="single" w:sz="8" w:space="0" w:color="B2B2FF" w:themeColor="accent4" w:themeTint="BF"/>
        <w:left w:val="single" w:sz="8" w:space="0" w:color="B2B2FF" w:themeColor="accent4" w:themeTint="BF"/>
        <w:bottom w:val="single" w:sz="8" w:space="0" w:color="B2B2FF" w:themeColor="accent4" w:themeTint="BF"/>
        <w:right w:val="single" w:sz="8" w:space="0" w:color="B2B2FF" w:themeColor="accent4" w:themeTint="BF"/>
        <w:insideH w:val="single" w:sz="8" w:space="0" w:color="B2B2FF"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2B2FF" w:themeColor="accent4" w:themeTint="BF"/>
          <w:left w:val="single" w:sz="8" w:space="0" w:color="B2B2FF" w:themeColor="accent4" w:themeTint="BF"/>
          <w:bottom w:val="single" w:sz="8" w:space="0" w:color="B2B2FF" w:themeColor="accent4" w:themeTint="BF"/>
          <w:right w:val="single" w:sz="8" w:space="0" w:color="B2B2FF" w:themeColor="accent4" w:themeTint="BF"/>
          <w:insideH w:val="nil"/>
          <w:insideV w:val="nil"/>
        </w:tcBorders>
        <w:shd w:val="clear" w:color="auto" w:fill="9999FF" w:themeFill="accent4"/>
      </w:tcPr>
    </w:tblStylePr>
    <w:tblStylePr w:type="lastRow">
      <w:pPr>
        <w:spacing w:before="0" w:after="0" w:line="240" w:lineRule="auto"/>
      </w:pPr>
      <w:rPr>
        <w:b/>
        <w:bCs/>
      </w:rPr>
      <w:tblPr/>
      <w:tcPr>
        <w:tcBorders>
          <w:top w:val="double" w:sz="6" w:space="0" w:color="B2B2FF" w:themeColor="accent4" w:themeTint="BF"/>
          <w:left w:val="single" w:sz="8" w:space="0" w:color="B2B2FF" w:themeColor="accent4" w:themeTint="BF"/>
          <w:bottom w:val="single" w:sz="8" w:space="0" w:color="B2B2FF" w:themeColor="accent4" w:themeTint="BF"/>
          <w:right w:val="single" w:sz="8" w:space="0" w:color="B2B2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FF" w:themeFill="accent4" w:themeFillTint="3F"/>
      </w:tcPr>
    </w:tblStylePr>
    <w:tblStylePr w:type="band1Horz">
      <w:tblPr/>
      <w:tcPr>
        <w:tcBorders>
          <w:insideH w:val="nil"/>
          <w:insideV w:val="nil"/>
        </w:tcBorders>
        <w:shd w:val="clear" w:color="auto" w:fill="E5E5FF" w:themeFill="accent4" w:themeFillTint="3F"/>
      </w:tcPr>
    </w:tblStylePr>
    <w:tblStylePr w:type="band2Horz">
      <w:tblPr/>
      <w:tcPr>
        <w:tcBorders>
          <w:insideH w:val="nil"/>
          <w:insideV w:val="nil"/>
        </w:tcBorders>
      </w:tcPr>
    </w:tblStylePr>
  </w:style>
  <w:style w:type="table" w:customStyle="1" w:styleId="LightGrid12">
    <w:name w:val="Light Grid12"/>
    <w:basedOn w:val="TableNormal"/>
    <w:rsid w:val="00EB3E54"/>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Accent22">
    <w:name w:val="Medium Shading 2 - Accent 22"/>
    <w:basedOn w:val="TableNormal"/>
    <w:next w:val="MediumShading2-Accent2"/>
    <w:rsid w:val="00EB3E5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F83D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F83D7" w:themeFill="accent2"/>
      </w:tcPr>
    </w:tblStylePr>
    <w:tblStylePr w:type="lastCol">
      <w:rPr>
        <w:b/>
        <w:bCs/>
        <w:color w:val="FFFFFF" w:themeColor="background1"/>
      </w:rPr>
      <w:tblPr/>
      <w:tcPr>
        <w:tcBorders>
          <w:left w:val="nil"/>
          <w:right w:val="nil"/>
          <w:insideH w:val="nil"/>
          <w:insideV w:val="nil"/>
        </w:tcBorders>
        <w:shd w:val="clear" w:color="auto" w:fill="BF83D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Accent112">
    <w:name w:val="Light List - Accent 112"/>
    <w:basedOn w:val="TableNormal"/>
    <w:rsid w:val="00EB3E54"/>
    <w:tblPr>
      <w:tblStyleRowBandSize w:val="1"/>
      <w:tblStyleColBandSize w:val="1"/>
      <w:tblInd w:w="0" w:type="dxa"/>
      <w:tblBorders>
        <w:top w:val="single" w:sz="8" w:space="0" w:color="CEEAB0"/>
        <w:left w:val="single" w:sz="8" w:space="0" w:color="CEEAB0"/>
        <w:bottom w:val="single" w:sz="8" w:space="0" w:color="CEEAB0"/>
        <w:right w:val="single" w:sz="8" w:space="0" w:color="CEEAB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EEAB0"/>
      </w:tcPr>
    </w:tblStylePr>
    <w:tblStylePr w:type="lastRow">
      <w:pPr>
        <w:spacing w:before="0" w:after="0" w:line="240" w:lineRule="auto"/>
      </w:pPr>
      <w:rPr>
        <w:b/>
        <w:bCs/>
      </w:rPr>
      <w:tblPr/>
      <w:tcPr>
        <w:tcBorders>
          <w:top w:val="double" w:sz="6" w:space="0" w:color="CEEAB0"/>
          <w:left w:val="single" w:sz="8" w:space="0" w:color="CEEAB0"/>
          <w:bottom w:val="single" w:sz="8" w:space="0" w:color="CEEAB0"/>
          <w:right w:val="single" w:sz="8" w:space="0" w:color="CEEAB0"/>
        </w:tcBorders>
      </w:tcPr>
    </w:tblStylePr>
    <w:tblStylePr w:type="firstCol">
      <w:rPr>
        <w:b/>
        <w:bCs/>
      </w:rPr>
    </w:tblStylePr>
    <w:tblStylePr w:type="lastCol">
      <w:rPr>
        <w:b/>
        <w:bCs/>
      </w:rPr>
    </w:tblStylePr>
    <w:tblStylePr w:type="band1Vert">
      <w:tblPr/>
      <w:tcPr>
        <w:tcBorders>
          <w:top w:val="single" w:sz="8" w:space="0" w:color="CEEAB0"/>
          <w:left w:val="single" w:sz="8" w:space="0" w:color="CEEAB0"/>
          <w:bottom w:val="single" w:sz="8" w:space="0" w:color="CEEAB0"/>
          <w:right w:val="single" w:sz="8" w:space="0" w:color="CEEAB0"/>
        </w:tcBorders>
      </w:tcPr>
    </w:tblStylePr>
    <w:tblStylePr w:type="band1Horz">
      <w:tblPr/>
      <w:tcPr>
        <w:tcBorders>
          <w:top w:val="single" w:sz="8" w:space="0" w:color="CEEAB0"/>
          <w:left w:val="single" w:sz="8" w:space="0" w:color="CEEAB0"/>
          <w:bottom w:val="single" w:sz="8" w:space="0" w:color="CEEAB0"/>
          <w:right w:val="single" w:sz="8" w:space="0" w:color="CEEAB0"/>
        </w:tcBorders>
      </w:tcPr>
    </w:tblStylePr>
  </w:style>
  <w:style w:type="character" w:customStyle="1" w:styleId="longtext1">
    <w:name w:val="long_text1"/>
    <w:rsid w:val="00EB3E54"/>
    <w:rPr>
      <w:sz w:val="20"/>
      <w:szCs w:val="20"/>
    </w:rPr>
  </w:style>
  <w:style w:type="table" w:styleId="MediumShading2-Accent5">
    <w:name w:val="Medium Shading 2 Accent 5"/>
    <w:basedOn w:val="TableNormal"/>
    <w:uiPriority w:val="64"/>
    <w:rsid w:val="00EB3E5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D4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D45F" w:themeFill="accent5"/>
      </w:tcPr>
    </w:tblStylePr>
    <w:tblStylePr w:type="lastCol">
      <w:rPr>
        <w:b/>
        <w:bCs/>
        <w:color w:val="FFFFFF" w:themeColor="background1"/>
      </w:rPr>
      <w:tblPr/>
      <w:tcPr>
        <w:tcBorders>
          <w:left w:val="nil"/>
          <w:right w:val="nil"/>
          <w:insideH w:val="nil"/>
          <w:insideV w:val="nil"/>
        </w:tcBorders>
        <w:shd w:val="clear" w:color="auto" w:fill="9BD4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2">
    <w:name w:val="Light Shading Accent 2"/>
    <w:basedOn w:val="TableNormal"/>
    <w:uiPriority w:val="60"/>
    <w:rsid w:val="00EB3E54"/>
    <w:rPr>
      <w:color w:val="9C41C1" w:themeColor="accent2" w:themeShade="BF"/>
    </w:rPr>
    <w:tblPr>
      <w:tblStyleRowBandSize w:val="1"/>
      <w:tblStyleColBandSize w:val="1"/>
      <w:tblInd w:w="0" w:type="dxa"/>
      <w:tblBorders>
        <w:top w:val="single" w:sz="8" w:space="0" w:color="BF83D7" w:themeColor="accent2"/>
        <w:bottom w:val="single" w:sz="8" w:space="0" w:color="BF83D7"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BF83D7" w:themeColor="accent2"/>
          <w:left w:val="nil"/>
          <w:bottom w:val="single" w:sz="8" w:space="0" w:color="BF83D7" w:themeColor="accent2"/>
          <w:right w:val="nil"/>
          <w:insideH w:val="nil"/>
          <w:insideV w:val="nil"/>
        </w:tcBorders>
      </w:tcPr>
    </w:tblStylePr>
    <w:tblStylePr w:type="lastRow">
      <w:pPr>
        <w:spacing w:before="0" w:after="0" w:line="240" w:lineRule="auto"/>
      </w:pPr>
      <w:rPr>
        <w:b/>
        <w:bCs/>
      </w:rPr>
      <w:tblPr/>
      <w:tcPr>
        <w:tcBorders>
          <w:top w:val="single" w:sz="8" w:space="0" w:color="BF83D7" w:themeColor="accent2"/>
          <w:left w:val="nil"/>
          <w:bottom w:val="single" w:sz="8" w:space="0" w:color="BF83D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E0F5" w:themeFill="accent2" w:themeFillTint="3F"/>
      </w:tcPr>
    </w:tblStylePr>
    <w:tblStylePr w:type="band1Horz">
      <w:tblPr/>
      <w:tcPr>
        <w:tcBorders>
          <w:left w:val="nil"/>
          <w:right w:val="nil"/>
          <w:insideH w:val="nil"/>
          <w:insideV w:val="nil"/>
        </w:tcBorders>
        <w:shd w:val="clear" w:color="auto" w:fill="EFE0F5" w:themeFill="accent2" w:themeFillTint="3F"/>
      </w:tcPr>
    </w:tblStylePr>
  </w:style>
  <w:style w:type="table" w:styleId="LightGrid-Accent2">
    <w:name w:val="Light Grid Accent 2"/>
    <w:basedOn w:val="TableNormal"/>
    <w:uiPriority w:val="62"/>
    <w:rsid w:val="00EB3E54"/>
    <w:tblPr>
      <w:tblStyleRowBandSize w:val="1"/>
      <w:tblStyleColBandSize w:val="1"/>
      <w:tblInd w:w="0" w:type="dxa"/>
      <w:tblBorders>
        <w:top w:val="single" w:sz="8" w:space="0" w:color="BF83D7" w:themeColor="accent2"/>
        <w:left w:val="single" w:sz="8" w:space="0" w:color="BF83D7" w:themeColor="accent2"/>
        <w:bottom w:val="single" w:sz="8" w:space="0" w:color="BF83D7" w:themeColor="accent2"/>
        <w:right w:val="single" w:sz="8" w:space="0" w:color="BF83D7" w:themeColor="accent2"/>
        <w:insideH w:val="single" w:sz="8" w:space="0" w:color="BF83D7" w:themeColor="accent2"/>
        <w:insideV w:val="single" w:sz="8" w:space="0" w:color="BF83D7"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BF83D7" w:themeColor="accent2"/>
          <w:left w:val="single" w:sz="8" w:space="0" w:color="BF83D7" w:themeColor="accent2"/>
          <w:bottom w:val="single" w:sz="18" w:space="0" w:color="BF83D7" w:themeColor="accent2"/>
          <w:right w:val="single" w:sz="8" w:space="0" w:color="BF83D7" w:themeColor="accent2"/>
          <w:insideH w:val="nil"/>
          <w:insideV w:val="single" w:sz="8" w:space="0" w:color="BF83D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F83D7" w:themeColor="accent2"/>
          <w:left w:val="single" w:sz="8" w:space="0" w:color="BF83D7" w:themeColor="accent2"/>
          <w:bottom w:val="single" w:sz="8" w:space="0" w:color="BF83D7" w:themeColor="accent2"/>
          <w:right w:val="single" w:sz="8" w:space="0" w:color="BF83D7" w:themeColor="accent2"/>
          <w:insideH w:val="nil"/>
          <w:insideV w:val="single" w:sz="8" w:space="0" w:color="BF83D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F83D7" w:themeColor="accent2"/>
          <w:left w:val="single" w:sz="8" w:space="0" w:color="BF83D7" w:themeColor="accent2"/>
          <w:bottom w:val="single" w:sz="8" w:space="0" w:color="BF83D7" w:themeColor="accent2"/>
          <w:right w:val="single" w:sz="8" w:space="0" w:color="BF83D7" w:themeColor="accent2"/>
        </w:tcBorders>
      </w:tcPr>
    </w:tblStylePr>
    <w:tblStylePr w:type="band1Vert">
      <w:tblPr/>
      <w:tcPr>
        <w:tcBorders>
          <w:top w:val="single" w:sz="8" w:space="0" w:color="BF83D7" w:themeColor="accent2"/>
          <w:left w:val="single" w:sz="8" w:space="0" w:color="BF83D7" w:themeColor="accent2"/>
          <w:bottom w:val="single" w:sz="8" w:space="0" w:color="BF83D7" w:themeColor="accent2"/>
          <w:right w:val="single" w:sz="8" w:space="0" w:color="BF83D7" w:themeColor="accent2"/>
        </w:tcBorders>
        <w:shd w:val="clear" w:color="auto" w:fill="EFE0F5" w:themeFill="accent2" w:themeFillTint="3F"/>
      </w:tcPr>
    </w:tblStylePr>
    <w:tblStylePr w:type="band1Horz">
      <w:tblPr/>
      <w:tcPr>
        <w:tcBorders>
          <w:top w:val="single" w:sz="8" w:space="0" w:color="BF83D7" w:themeColor="accent2"/>
          <w:left w:val="single" w:sz="8" w:space="0" w:color="BF83D7" w:themeColor="accent2"/>
          <w:bottom w:val="single" w:sz="8" w:space="0" w:color="BF83D7" w:themeColor="accent2"/>
          <w:right w:val="single" w:sz="8" w:space="0" w:color="BF83D7" w:themeColor="accent2"/>
          <w:insideV w:val="single" w:sz="8" w:space="0" w:color="BF83D7" w:themeColor="accent2"/>
        </w:tcBorders>
        <w:shd w:val="clear" w:color="auto" w:fill="EFE0F5" w:themeFill="accent2" w:themeFillTint="3F"/>
      </w:tcPr>
    </w:tblStylePr>
    <w:tblStylePr w:type="band2Horz">
      <w:tblPr/>
      <w:tcPr>
        <w:tcBorders>
          <w:top w:val="single" w:sz="8" w:space="0" w:color="BF83D7" w:themeColor="accent2"/>
          <w:left w:val="single" w:sz="8" w:space="0" w:color="BF83D7" w:themeColor="accent2"/>
          <w:bottom w:val="single" w:sz="8" w:space="0" w:color="BF83D7" w:themeColor="accent2"/>
          <w:right w:val="single" w:sz="8" w:space="0" w:color="BF83D7" w:themeColor="accent2"/>
          <w:insideV w:val="single" w:sz="8" w:space="0" w:color="BF83D7" w:themeColor="accent2"/>
        </w:tcBorders>
      </w:tcPr>
    </w:tblStylePr>
  </w:style>
  <w:style w:type="table" w:styleId="MediumShading1-Accent3">
    <w:name w:val="Medium Shading 1 Accent 3"/>
    <w:basedOn w:val="TableNormal"/>
    <w:uiPriority w:val="63"/>
    <w:rsid w:val="00EB3E54"/>
    <w:tblPr>
      <w:tblStyleRowBandSize w:val="1"/>
      <w:tblStyleColBandSize w:val="1"/>
      <w:tblInd w:w="0" w:type="dxa"/>
      <w:tblBorders>
        <w:top w:val="single" w:sz="8" w:space="0" w:color="FBCFAB" w:themeColor="accent3" w:themeTint="BF"/>
        <w:left w:val="single" w:sz="8" w:space="0" w:color="FBCFAB" w:themeColor="accent3" w:themeTint="BF"/>
        <w:bottom w:val="single" w:sz="8" w:space="0" w:color="FBCFAB" w:themeColor="accent3" w:themeTint="BF"/>
        <w:right w:val="single" w:sz="8" w:space="0" w:color="FBCFAB" w:themeColor="accent3" w:themeTint="BF"/>
        <w:insideH w:val="single" w:sz="8" w:space="0" w:color="FBCFAB"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BCFAB" w:themeColor="accent3" w:themeTint="BF"/>
          <w:left w:val="single" w:sz="8" w:space="0" w:color="FBCFAB" w:themeColor="accent3" w:themeTint="BF"/>
          <w:bottom w:val="single" w:sz="8" w:space="0" w:color="FBCFAB" w:themeColor="accent3" w:themeTint="BF"/>
          <w:right w:val="single" w:sz="8" w:space="0" w:color="FBCFAB" w:themeColor="accent3" w:themeTint="BF"/>
          <w:insideH w:val="nil"/>
          <w:insideV w:val="nil"/>
        </w:tcBorders>
        <w:shd w:val="clear" w:color="auto" w:fill="FAC08F" w:themeFill="accent3"/>
      </w:tcPr>
    </w:tblStylePr>
    <w:tblStylePr w:type="lastRow">
      <w:pPr>
        <w:spacing w:before="0" w:after="0" w:line="240" w:lineRule="auto"/>
      </w:pPr>
      <w:rPr>
        <w:b/>
        <w:bCs/>
      </w:rPr>
      <w:tblPr/>
      <w:tcPr>
        <w:tcBorders>
          <w:top w:val="double" w:sz="6" w:space="0" w:color="FBCFAB" w:themeColor="accent3" w:themeTint="BF"/>
          <w:left w:val="single" w:sz="8" w:space="0" w:color="FBCFAB" w:themeColor="accent3" w:themeTint="BF"/>
          <w:bottom w:val="single" w:sz="8" w:space="0" w:color="FBCFAB" w:themeColor="accent3" w:themeTint="BF"/>
          <w:right w:val="single" w:sz="8" w:space="0" w:color="FBCFAB" w:themeColor="accent3" w:themeTint="BF"/>
          <w:insideH w:val="nil"/>
          <w:insideV w:val="nil"/>
        </w:tcBorders>
      </w:tcPr>
    </w:tblStylePr>
    <w:tblStylePr w:type="firstCol">
      <w:rPr>
        <w:b/>
        <w:bCs/>
      </w:rPr>
    </w:tblStylePr>
    <w:tblStylePr w:type="lastCol">
      <w:rPr>
        <w:b/>
        <w:bCs/>
      </w:rPr>
    </w:tblStylePr>
    <w:tblStylePr w:type="band1Vert">
      <w:tblPr/>
      <w:tcPr>
        <w:shd w:val="clear" w:color="auto" w:fill="FDEFE3" w:themeFill="accent3" w:themeFillTint="3F"/>
      </w:tcPr>
    </w:tblStylePr>
    <w:tblStylePr w:type="band1Horz">
      <w:tblPr/>
      <w:tcPr>
        <w:tcBorders>
          <w:insideH w:val="nil"/>
          <w:insideV w:val="nil"/>
        </w:tcBorders>
        <w:shd w:val="clear" w:color="auto" w:fill="FDEFE3" w:themeFill="accent3" w:themeFillTint="3F"/>
      </w:tcPr>
    </w:tblStylePr>
    <w:tblStylePr w:type="band2Horz">
      <w:tblPr/>
      <w:tcPr>
        <w:tcBorders>
          <w:insideH w:val="nil"/>
          <w:insideV w:val="nil"/>
        </w:tcBorders>
      </w:tcPr>
    </w:tblStylePr>
  </w:style>
  <w:style w:type="paragraph" w:styleId="PlainText">
    <w:name w:val="Plain Text"/>
    <w:basedOn w:val="Normal"/>
    <w:link w:val="PlainTextChar"/>
    <w:uiPriority w:val="99"/>
    <w:unhideWhenUsed/>
    <w:rsid w:val="00EB3E54"/>
    <w:pPr>
      <w:spacing w:after="0"/>
      <w:jc w:val="left"/>
    </w:pPr>
    <w:rPr>
      <w:rFonts w:ascii="Consolas" w:eastAsia="Calibri" w:hAnsi="Consolas"/>
      <w:sz w:val="21"/>
      <w:szCs w:val="21"/>
    </w:rPr>
  </w:style>
  <w:style w:type="character" w:customStyle="1" w:styleId="PlainTextChar">
    <w:name w:val="Plain Text Char"/>
    <w:basedOn w:val="DefaultParagraphFont"/>
    <w:link w:val="PlainText"/>
    <w:uiPriority w:val="99"/>
    <w:rsid w:val="00EB3E54"/>
    <w:rPr>
      <w:rFonts w:ascii="Consolas" w:eastAsia="Calibri" w:hAnsi="Consolas"/>
      <w:sz w:val="21"/>
      <w:szCs w:val="21"/>
    </w:rPr>
  </w:style>
  <w:style w:type="table" w:styleId="TableTheme">
    <w:name w:val="Table Theme"/>
    <w:basedOn w:val="TableNormal"/>
    <w:rsid w:val="00EB3E54"/>
    <w:pPr>
      <w:widowControl w:val="0"/>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113">
    <w:name w:val="Light List - Accent 113"/>
    <w:basedOn w:val="TableNormal"/>
    <w:uiPriority w:val="61"/>
    <w:rsid w:val="00912E35"/>
    <w:tblPr>
      <w:tblStyleRowBandSize w:val="1"/>
      <w:tblStyleColBandSize w:val="1"/>
      <w:tblInd w:w="0" w:type="dxa"/>
      <w:tblBorders>
        <w:top w:val="single" w:sz="8" w:space="0" w:color="CEEAB0"/>
        <w:left w:val="single" w:sz="8" w:space="0" w:color="CEEAB0"/>
        <w:bottom w:val="single" w:sz="8" w:space="0" w:color="CEEAB0"/>
        <w:right w:val="single" w:sz="8" w:space="0" w:color="CEEAB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EEAB0"/>
      </w:tcPr>
    </w:tblStylePr>
    <w:tblStylePr w:type="lastRow">
      <w:pPr>
        <w:spacing w:before="0" w:after="0" w:line="240" w:lineRule="auto"/>
      </w:pPr>
      <w:rPr>
        <w:b/>
        <w:bCs/>
      </w:rPr>
      <w:tblPr/>
      <w:tcPr>
        <w:tcBorders>
          <w:top w:val="double" w:sz="6" w:space="0" w:color="CEEAB0"/>
          <w:left w:val="single" w:sz="8" w:space="0" w:color="CEEAB0"/>
          <w:bottom w:val="single" w:sz="8" w:space="0" w:color="CEEAB0"/>
          <w:right w:val="single" w:sz="8" w:space="0" w:color="CEEAB0"/>
        </w:tcBorders>
      </w:tcPr>
    </w:tblStylePr>
    <w:tblStylePr w:type="firstCol">
      <w:rPr>
        <w:b/>
        <w:bCs/>
      </w:rPr>
    </w:tblStylePr>
    <w:tblStylePr w:type="lastCol">
      <w:rPr>
        <w:b/>
        <w:bCs/>
      </w:rPr>
    </w:tblStylePr>
    <w:tblStylePr w:type="band1Vert">
      <w:tblPr/>
      <w:tcPr>
        <w:tcBorders>
          <w:top w:val="single" w:sz="8" w:space="0" w:color="CEEAB0"/>
          <w:left w:val="single" w:sz="8" w:space="0" w:color="CEEAB0"/>
          <w:bottom w:val="single" w:sz="8" w:space="0" w:color="CEEAB0"/>
          <w:right w:val="single" w:sz="8" w:space="0" w:color="CEEAB0"/>
        </w:tcBorders>
      </w:tcPr>
    </w:tblStylePr>
    <w:tblStylePr w:type="band1Horz">
      <w:tblPr/>
      <w:tcPr>
        <w:tcBorders>
          <w:top w:val="single" w:sz="8" w:space="0" w:color="CEEAB0"/>
          <w:left w:val="single" w:sz="8" w:space="0" w:color="CEEAB0"/>
          <w:bottom w:val="single" w:sz="8" w:space="0" w:color="CEEAB0"/>
          <w:right w:val="single" w:sz="8" w:space="0" w:color="CEEAB0"/>
        </w:tcBorders>
      </w:tcPr>
    </w:tblStylePr>
  </w:style>
  <w:style w:type="table" w:customStyle="1" w:styleId="MediumGrid3-Accent12">
    <w:name w:val="Medium Grid 3 - Accent 12"/>
    <w:rsid w:val="00912E35"/>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2F9EB"/>
    </w:tcPr>
  </w:style>
  <w:style w:type="table" w:customStyle="1" w:styleId="MediumShading1-Accent22">
    <w:name w:val="Medium Shading 1 - Accent 22"/>
    <w:rsid w:val="00912E35"/>
    <w:tblPr>
      <w:tblStyleRowBandSize w:val="1"/>
      <w:tblStyleColBandSize w:val="1"/>
      <w:tblInd w:w="0" w:type="dxa"/>
      <w:tblBorders>
        <w:top w:val="single" w:sz="8" w:space="0" w:color="CEA2E1"/>
        <w:left w:val="single" w:sz="8" w:space="0" w:color="CEA2E1"/>
        <w:bottom w:val="single" w:sz="8" w:space="0" w:color="CEA2E1"/>
        <w:right w:val="single" w:sz="8" w:space="0" w:color="CEA2E1"/>
        <w:insideH w:val="single" w:sz="8" w:space="0" w:color="CEA2E1"/>
      </w:tblBorders>
      <w:tblCellMar>
        <w:top w:w="0" w:type="dxa"/>
        <w:left w:w="108" w:type="dxa"/>
        <w:bottom w:w="0" w:type="dxa"/>
        <w:right w:w="108" w:type="dxa"/>
      </w:tblCellMar>
    </w:tblPr>
  </w:style>
  <w:style w:type="table" w:customStyle="1" w:styleId="LightShading-Accent32">
    <w:name w:val="Light Shading - Accent 32"/>
    <w:rsid w:val="00912E35"/>
    <w:rPr>
      <w:color w:val="F58A30"/>
    </w:rPr>
    <w:tblPr>
      <w:tblStyleRowBandSize w:val="1"/>
      <w:tblStyleColBandSize w:val="1"/>
      <w:tblInd w:w="0" w:type="dxa"/>
      <w:tblBorders>
        <w:top w:val="single" w:sz="8" w:space="0" w:color="FAC08F"/>
        <w:bottom w:val="single" w:sz="8" w:space="0" w:color="FAC08F"/>
      </w:tblBorders>
      <w:tblCellMar>
        <w:top w:w="0" w:type="dxa"/>
        <w:left w:w="108" w:type="dxa"/>
        <w:bottom w:w="0" w:type="dxa"/>
        <w:right w:w="108" w:type="dxa"/>
      </w:tblCellMar>
    </w:tblPr>
  </w:style>
  <w:style w:type="table" w:customStyle="1" w:styleId="LightShading-Accent42">
    <w:name w:val="Light Shading - Accent 42"/>
    <w:rsid w:val="00912E35"/>
    <w:rPr>
      <w:color w:val="3232FF"/>
    </w:rPr>
    <w:tblPr>
      <w:tblStyleRowBandSize w:val="1"/>
      <w:tblStyleColBandSize w:val="1"/>
      <w:tblInd w:w="0" w:type="dxa"/>
      <w:tblBorders>
        <w:top w:val="single" w:sz="8" w:space="0" w:color="9999FF"/>
        <w:bottom w:val="single" w:sz="8" w:space="0" w:color="9999FF"/>
      </w:tblBorders>
      <w:tblCellMar>
        <w:top w:w="0" w:type="dxa"/>
        <w:left w:w="108" w:type="dxa"/>
        <w:bottom w:w="0" w:type="dxa"/>
        <w:right w:w="108" w:type="dxa"/>
      </w:tblCellMar>
    </w:tblPr>
  </w:style>
  <w:style w:type="table" w:customStyle="1" w:styleId="MediumShading2-Accent32">
    <w:name w:val="Medium Shading 2 - Accent 32"/>
    <w:rsid w:val="00912E35"/>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MediumList1-Accent52">
    <w:name w:val="Medium List 1 - Accent 52"/>
    <w:rsid w:val="00912E35"/>
    <w:rPr>
      <w:color w:val="000000"/>
    </w:rPr>
    <w:tblPr>
      <w:tblStyleRowBandSize w:val="1"/>
      <w:tblStyleColBandSize w:val="1"/>
      <w:tblInd w:w="0" w:type="dxa"/>
      <w:tblBorders>
        <w:top w:val="single" w:sz="8" w:space="0" w:color="9BD45F"/>
        <w:bottom w:val="single" w:sz="8" w:space="0" w:color="9BD45F"/>
      </w:tblBorders>
      <w:tblCellMar>
        <w:top w:w="0" w:type="dxa"/>
        <w:left w:w="108" w:type="dxa"/>
        <w:bottom w:w="0" w:type="dxa"/>
        <w:right w:w="108" w:type="dxa"/>
      </w:tblCellMar>
    </w:tblPr>
  </w:style>
  <w:style w:type="table" w:customStyle="1" w:styleId="MediumGrid3-Accent52">
    <w:name w:val="Medium Grid 3 - Accent 52"/>
    <w:rsid w:val="00912E35"/>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F4D7"/>
    </w:tcPr>
  </w:style>
  <w:style w:type="table" w:customStyle="1" w:styleId="MediumGrid2-Accent22">
    <w:name w:val="Medium Grid 2 - Accent 22"/>
    <w:rsid w:val="00912E35"/>
    <w:rPr>
      <w:rFonts w:ascii="Cambria" w:hAnsi="Cambria"/>
      <w:color w:val="000000"/>
    </w:rPr>
    <w:tblPr>
      <w:tblStyleRowBandSize w:val="1"/>
      <w:tblStyleColBandSize w:val="1"/>
      <w:tblInd w:w="0" w:type="dxa"/>
      <w:tblBorders>
        <w:top w:val="single" w:sz="8" w:space="0" w:color="BF83D7"/>
        <w:left w:val="single" w:sz="8" w:space="0" w:color="BF83D7"/>
        <w:bottom w:val="single" w:sz="8" w:space="0" w:color="BF83D7"/>
        <w:right w:val="single" w:sz="8" w:space="0" w:color="BF83D7"/>
        <w:insideH w:val="single" w:sz="8" w:space="0" w:color="BF83D7"/>
        <w:insideV w:val="single" w:sz="8" w:space="0" w:color="BF83D7"/>
      </w:tblBorders>
      <w:tblCellMar>
        <w:top w:w="0" w:type="dxa"/>
        <w:left w:w="108" w:type="dxa"/>
        <w:bottom w:w="0" w:type="dxa"/>
        <w:right w:w="108" w:type="dxa"/>
      </w:tblCellMar>
    </w:tblPr>
    <w:tcPr>
      <w:shd w:val="clear" w:color="auto" w:fill="EFE0F5"/>
    </w:tcPr>
  </w:style>
  <w:style w:type="table" w:customStyle="1" w:styleId="LightList-Accent42">
    <w:name w:val="Light List - Accent 42"/>
    <w:rsid w:val="00912E35"/>
    <w:tblPr>
      <w:tblStyleRowBandSize w:val="1"/>
      <w:tblStyleColBandSize w:val="1"/>
      <w:tblInd w:w="0" w:type="dxa"/>
      <w:tblBorders>
        <w:top w:val="single" w:sz="8" w:space="0" w:color="9999FF"/>
        <w:left w:val="single" w:sz="8" w:space="0" w:color="9999FF"/>
        <w:bottom w:val="single" w:sz="8" w:space="0" w:color="9999FF"/>
        <w:right w:val="single" w:sz="8" w:space="0" w:color="9999FF"/>
      </w:tblBorders>
      <w:tblCellMar>
        <w:top w:w="0" w:type="dxa"/>
        <w:left w:w="108" w:type="dxa"/>
        <w:bottom w:w="0" w:type="dxa"/>
        <w:right w:w="108" w:type="dxa"/>
      </w:tblCellMar>
    </w:tblPr>
  </w:style>
  <w:style w:type="table" w:customStyle="1" w:styleId="LightList11">
    <w:name w:val="Light List11"/>
    <w:next w:val="LightList1"/>
    <w:rsid w:val="00912E35"/>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LightList-Accent12">
    <w:name w:val="Light List - Accent 12"/>
    <w:rsid w:val="00912E35"/>
    <w:tblPr>
      <w:tblStyleRowBandSize w:val="1"/>
      <w:tblStyleColBandSize w:val="1"/>
      <w:tblInd w:w="0" w:type="dxa"/>
      <w:tblBorders>
        <w:top w:val="single" w:sz="8" w:space="0" w:color="CEEAB0"/>
        <w:left w:val="single" w:sz="8" w:space="0" w:color="CEEAB0"/>
        <w:bottom w:val="single" w:sz="8" w:space="0" w:color="CEEAB0"/>
        <w:right w:val="single" w:sz="8" w:space="0" w:color="CEEAB0"/>
      </w:tblBorders>
      <w:tblCellMar>
        <w:top w:w="0" w:type="dxa"/>
        <w:left w:w="108" w:type="dxa"/>
        <w:bottom w:w="0" w:type="dxa"/>
        <w:right w:w="108" w:type="dxa"/>
      </w:tblCellMar>
    </w:tblPr>
  </w:style>
  <w:style w:type="table" w:customStyle="1" w:styleId="ColorfulShading-Accent51">
    <w:name w:val="Colorful Shading - Accent 51"/>
    <w:rsid w:val="00912E35"/>
    <w:rPr>
      <w:color w:val="000000"/>
    </w:rPr>
    <w:tblPr>
      <w:tblStyleRowBandSize w:val="1"/>
      <w:tblStyleColBandSize w:val="1"/>
      <w:tblInd w:w="0" w:type="dxa"/>
      <w:tblBorders>
        <w:top w:val="single" w:sz="24" w:space="0" w:color="F79646"/>
        <w:left w:val="single" w:sz="4" w:space="0" w:color="9BD45F"/>
        <w:bottom w:val="single" w:sz="4" w:space="0" w:color="9BD45F"/>
        <w:right w:val="single" w:sz="4" w:space="0" w:color="9BD45F"/>
        <w:insideH w:val="single" w:sz="4" w:space="0" w:color="FFFFFF"/>
        <w:insideV w:val="single" w:sz="4" w:space="0" w:color="FFFFFF"/>
      </w:tblBorders>
      <w:tblCellMar>
        <w:top w:w="0" w:type="dxa"/>
        <w:left w:w="108" w:type="dxa"/>
        <w:bottom w:w="0" w:type="dxa"/>
        <w:right w:w="108" w:type="dxa"/>
      </w:tblCellMar>
    </w:tblPr>
    <w:tcPr>
      <w:shd w:val="clear" w:color="auto" w:fill="F5FAEF"/>
    </w:tcPr>
  </w:style>
  <w:style w:type="table" w:customStyle="1" w:styleId="LightList-Accent22">
    <w:name w:val="Light List - Accent 22"/>
    <w:rsid w:val="00912E35"/>
    <w:tblPr>
      <w:tblStyleRowBandSize w:val="1"/>
      <w:tblStyleColBandSize w:val="1"/>
      <w:tblInd w:w="0" w:type="dxa"/>
      <w:tblBorders>
        <w:top w:val="single" w:sz="8" w:space="0" w:color="BF83D7"/>
        <w:left w:val="single" w:sz="8" w:space="0" w:color="BF83D7"/>
        <w:bottom w:val="single" w:sz="8" w:space="0" w:color="BF83D7"/>
        <w:right w:val="single" w:sz="8" w:space="0" w:color="BF83D7"/>
      </w:tblBorders>
      <w:tblCellMar>
        <w:top w:w="0" w:type="dxa"/>
        <w:left w:w="108" w:type="dxa"/>
        <w:bottom w:w="0" w:type="dxa"/>
        <w:right w:w="108" w:type="dxa"/>
      </w:tblCellMar>
    </w:tblPr>
  </w:style>
  <w:style w:type="table" w:customStyle="1" w:styleId="DarkList-Accent21">
    <w:name w:val="Dark List - Accent 21"/>
    <w:rsid w:val="00912E35"/>
    <w:rPr>
      <w:color w:val="FFFFFF"/>
    </w:rPr>
    <w:tblPr>
      <w:tblStyleRowBandSize w:val="1"/>
      <w:tblStyleColBandSize w:val="1"/>
      <w:tblInd w:w="0" w:type="dxa"/>
      <w:tblCellMar>
        <w:top w:w="0" w:type="dxa"/>
        <w:left w:w="108" w:type="dxa"/>
        <w:bottom w:w="0" w:type="dxa"/>
        <w:right w:w="108" w:type="dxa"/>
      </w:tblCellMar>
    </w:tblPr>
    <w:tcPr>
      <w:shd w:val="clear" w:color="auto" w:fill="BF83D7"/>
    </w:tcPr>
  </w:style>
  <w:style w:type="table" w:customStyle="1" w:styleId="MediumGrid3-Accent61">
    <w:name w:val="Medium Grid 3 - Accent 61"/>
    <w:rsid w:val="00912E35"/>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style>
  <w:style w:type="table" w:customStyle="1" w:styleId="LightList-Accent51">
    <w:name w:val="Light List - Accent 51"/>
    <w:rsid w:val="00912E35"/>
    <w:tblPr>
      <w:tblStyleRowBandSize w:val="1"/>
      <w:tblStyleColBandSize w:val="1"/>
      <w:tblInd w:w="0" w:type="dxa"/>
      <w:tblBorders>
        <w:top w:val="single" w:sz="8" w:space="0" w:color="9BD45F"/>
        <w:left w:val="single" w:sz="8" w:space="0" w:color="9BD45F"/>
        <w:bottom w:val="single" w:sz="8" w:space="0" w:color="9BD45F"/>
        <w:right w:val="single" w:sz="8" w:space="0" w:color="9BD45F"/>
      </w:tblBorders>
      <w:tblCellMar>
        <w:top w:w="0" w:type="dxa"/>
        <w:left w:w="108" w:type="dxa"/>
        <w:bottom w:w="0" w:type="dxa"/>
        <w:right w:w="108" w:type="dxa"/>
      </w:tblCellMar>
    </w:tblPr>
  </w:style>
  <w:style w:type="table" w:customStyle="1" w:styleId="MediumGrid3-Accent22">
    <w:name w:val="Medium Grid 3 - Accent 22"/>
    <w:rsid w:val="00912E35"/>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E0F5"/>
    </w:tcPr>
  </w:style>
  <w:style w:type="table" w:customStyle="1" w:styleId="MediumGrid3-Accent42">
    <w:name w:val="Medium Grid 3 - Accent 42"/>
    <w:rsid w:val="00912E35"/>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5E5FF"/>
    </w:tcPr>
  </w:style>
  <w:style w:type="table" w:customStyle="1" w:styleId="MediumGrid1-Accent12">
    <w:name w:val="Medium Grid 1 - Accent 12"/>
    <w:rsid w:val="00912E35"/>
    <w:tblPr>
      <w:tblStyleRowBandSize w:val="1"/>
      <w:tblStyleColBandSize w:val="1"/>
      <w:tblInd w:w="0" w:type="dxa"/>
      <w:tblBorders>
        <w:top w:val="single" w:sz="8" w:space="0" w:color="DAEFC3"/>
        <w:left w:val="single" w:sz="8" w:space="0" w:color="DAEFC3"/>
        <w:bottom w:val="single" w:sz="8" w:space="0" w:color="DAEFC3"/>
        <w:right w:val="single" w:sz="8" w:space="0" w:color="DAEFC3"/>
        <w:insideH w:val="single" w:sz="8" w:space="0" w:color="DAEFC3"/>
        <w:insideV w:val="single" w:sz="8" w:space="0" w:color="DAEFC3"/>
      </w:tblBorders>
      <w:tblCellMar>
        <w:top w:w="0" w:type="dxa"/>
        <w:left w:w="108" w:type="dxa"/>
        <w:bottom w:w="0" w:type="dxa"/>
        <w:right w:w="108" w:type="dxa"/>
      </w:tblCellMar>
    </w:tblPr>
    <w:tcPr>
      <w:shd w:val="clear" w:color="auto" w:fill="F2F9EB"/>
    </w:tcPr>
  </w:style>
  <w:style w:type="table" w:customStyle="1" w:styleId="LightShading-Accent112">
    <w:name w:val="Light Shading - Accent 112"/>
    <w:rsid w:val="00912E35"/>
    <w:rPr>
      <w:color w:val="9BD45E"/>
    </w:rPr>
    <w:tblPr>
      <w:tblStyleRowBandSize w:val="1"/>
      <w:tblStyleColBandSize w:val="1"/>
      <w:tblInd w:w="0" w:type="dxa"/>
      <w:tblBorders>
        <w:top w:val="single" w:sz="8" w:space="0" w:color="CEEAB0"/>
        <w:bottom w:val="single" w:sz="8" w:space="0" w:color="CEEAB0"/>
      </w:tblBorders>
      <w:tblCellMar>
        <w:top w:w="0" w:type="dxa"/>
        <w:left w:w="108" w:type="dxa"/>
        <w:bottom w:w="0" w:type="dxa"/>
        <w:right w:w="108" w:type="dxa"/>
      </w:tblCellMar>
    </w:tblPr>
  </w:style>
  <w:style w:type="table" w:customStyle="1" w:styleId="MediumGrid1-Accent34">
    <w:name w:val="Medium Grid 1 - Accent 34"/>
    <w:rsid w:val="00912E35"/>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style>
  <w:style w:type="table" w:customStyle="1" w:styleId="MediumShading2-Accent51">
    <w:name w:val="Medium Shading 2 - Accent 51"/>
    <w:rsid w:val="00912E35"/>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LightShading-Accent21">
    <w:name w:val="Light Shading - Accent 21"/>
    <w:rsid w:val="00912E35"/>
    <w:rPr>
      <w:color w:val="9C41C1"/>
    </w:rPr>
    <w:tblPr>
      <w:tblStyleRowBandSize w:val="1"/>
      <w:tblStyleColBandSize w:val="1"/>
      <w:tblInd w:w="0" w:type="dxa"/>
      <w:tblBorders>
        <w:top w:val="single" w:sz="8" w:space="0" w:color="BF83D7"/>
        <w:bottom w:val="single" w:sz="8" w:space="0" w:color="BF83D7"/>
      </w:tblBorders>
      <w:tblCellMar>
        <w:top w:w="0" w:type="dxa"/>
        <w:left w:w="108" w:type="dxa"/>
        <w:bottom w:w="0" w:type="dxa"/>
        <w:right w:w="108" w:type="dxa"/>
      </w:tblCellMar>
    </w:tblPr>
  </w:style>
  <w:style w:type="table" w:customStyle="1" w:styleId="LightGrid-Accent61">
    <w:name w:val="Light Grid - Accent 61"/>
    <w:rsid w:val="00912E35"/>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style>
  <w:style w:type="table" w:customStyle="1" w:styleId="LightGrid-Accent51">
    <w:name w:val="Light Grid - Accent 51"/>
    <w:rsid w:val="00912E35"/>
    <w:tblPr>
      <w:tblStyleRowBandSize w:val="1"/>
      <w:tblStyleColBandSize w:val="1"/>
      <w:tblInd w:w="0" w:type="dxa"/>
      <w:tblBorders>
        <w:top w:val="single" w:sz="8" w:space="0" w:color="9BD45F"/>
        <w:left w:val="single" w:sz="8" w:space="0" w:color="9BD45F"/>
        <w:bottom w:val="single" w:sz="8" w:space="0" w:color="9BD45F"/>
        <w:right w:val="single" w:sz="8" w:space="0" w:color="9BD45F"/>
        <w:insideH w:val="single" w:sz="8" w:space="0" w:color="9BD45F"/>
        <w:insideV w:val="single" w:sz="8" w:space="0" w:color="9BD45F"/>
      </w:tblBorders>
      <w:tblCellMar>
        <w:top w:w="0" w:type="dxa"/>
        <w:left w:w="108" w:type="dxa"/>
        <w:bottom w:w="0" w:type="dxa"/>
        <w:right w:w="108" w:type="dxa"/>
      </w:tblCellMar>
    </w:tblPr>
  </w:style>
  <w:style w:type="table" w:customStyle="1" w:styleId="ColorfulGrid-Accent32">
    <w:name w:val="Colorful Grid - Accent 32"/>
    <w:rsid w:val="00912E35"/>
    <w:rPr>
      <w:rFonts w:ascii="Calibri" w:hAnsi="Calibri"/>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style>
  <w:style w:type="table" w:customStyle="1" w:styleId="MediumGrid3-Accent111">
    <w:name w:val="Medium Grid 3 - Accent 111"/>
    <w:rsid w:val="00912E35"/>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style>
  <w:style w:type="table" w:customStyle="1" w:styleId="MediumShading1-Accent211">
    <w:name w:val="Medium Shading 1 - Accent 211"/>
    <w:rsid w:val="00912E35"/>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style>
  <w:style w:type="table" w:customStyle="1" w:styleId="TableColumns511">
    <w:name w:val="Table Columns 511"/>
    <w:rsid w:val="00912E35"/>
    <w:pPr>
      <w:spacing w:before="120" w:after="120"/>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TableClassic111">
    <w:name w:val="Table Classic 111"/>
    <w:rsid w:val="00912E35"/>
    <w:pPr>
      <w:spacing w:before="120" w:after="120"/>
      <w:jc w:val="both"/>
    </w:p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Table3Deffects311">
    <w:name w:val="Table 3D effects 311"/>
    <w:rsid w:val="00912E35"/>
    <w:pPr>
      <w:spacing w:before="120" w:after="120"/>
      <w:jc w:val="both"/>
    </w:pPr>
    <w:tblPr>
      <w:tblStyleRowBandSize w:val="1"/>
      <w:tblStyleColBandSize w:val="1"/>
      <w:tblInd w:w="0" w:type="dxa"/>
      <w:tblCellMar>
        <w:top w:w="0" w:type="dxa"/>
        <w:left w:w="108" w:type="dxa"/>
        <w:bottom w:w="0" w:type="dxa"/>
        <w:right w:w="108" w:type="dxa"/>
      </w:tblCellMar>
    </w:tblPr>
  </w:style>
  <w:style w:type="table" w:customStyle="1" w:styleId="TableList311">
    <w:name w:val="Table List 311"/>
    <w:rsid w:val="00912E35"/>
    <w:pPr>
      <w:spacing w:before="120" w:after="12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311">
    <w:name w:val="Light Shading - Accent 311"/>
    <w:rsid w:val="00912E35"/>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style>
  <w:style w:type="table" w:customStyle="1" w:styleId="LightShading-Accent411">
    <w:name w:val="Light Shading - Accent 411"/>
    <w:rsid w:val="00912E35"/>
    <w:rPr>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style>
  <w:style w:type="table" w:customStyle="1" w:styleId="MediumShading2-Accent311">
    <w:name w:val="Medium Shading 2 - Accent 311"/>
    <w:rsid w:val="00912E35"/>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MediumList1-Accent511">
    <w:name w:val="Medium List 1 - Accent 511"/>
    <w:rsid w:val="00912E35"/>
    <w:rPr>
      <w:color w:val="00000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style>
  <w:style w:type="table" w:customStyle="1" w:styleId="MediumGrid3-Accent511">
    <w:name w:val="Medium Grid 3 - Accent 511"/>
    <w:rsid w:val="00912E35"/>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2-Accent211">
    <w:name w:val="Medium Grid 2 - Accent 211"/>
    <w:rsid w:val="00912E35"/>
    <w:rPr>
      <w:rFonts w:ascii="Cambria" w:hAnsi="Cambria"/>
      <w:color w:val="00000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style>
  <w:style w:type="table" w:customStyle="1" w:styleId="LightList-Accent411">
    <w:name w:val="Light List - Accent 411"/>
    <w:rsid w:val="00912E35"/>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style>
  <w:style w:type="table" w:customStyle="1" w:styleId="MediumShading1-Accent411">
    <w:name w:val="Medium Shading 1 - Accent 411"/>
    <w:rsid w:val="00912E35"/>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style>
  <w:style w:type="table" w:customStyle="1" w:styleId="MediumGrid3-Accent311">
    <w:name w:val="Medium Grid 3 - Accent 311"/>
    <w:rsid w:val="00912E35"/>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MediumShading1-Accent511">
    <w:name w:val="Medium Shading 1 - Accent 511"/>
    <w:rsid w:val="00912E35"/>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style>
  <w:style w:type="table" w:customStyle="1" w:styleId="MediumGrid3-Accent411">
    <w:name w:val="Medium Grid 3 - Accent 411"/>
    <w:rsid w:val="00912E35"/>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style>
  <w:style w:type="table" w:customStyle="1" w:styleId="LightList-Accent211">
    <w:name w:val="Light List - Accent 211"/>
    <w:rsid w:val="00912E35"/>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style>
  <w:style w:type="table" w:customStyle="1" w:styleId="MediumGrid3-Accent211">
    <w:name w:val="Medium Grid 3 - Accent 211"/>
    <w:rsid w:val="00912E35"/>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style>
  <w:style w:type="table" w:customStyle="1" w:styleId="LightGrid111">
    <w:name w:val="Light Grid111"/>
    <w:rsid w:val="00912E35"/>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MediumShading2-Accent211">
    <w:name w:val="Medium Shading 2 - Accent 211"/>
    <w:rsid w:val="00912E35"/>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LightList-Accent1111">
    <w:name w:val="Light List - Accent 1111"/>
    <w:rsid w:val="00912E35"/>
    <w:tblPr>
      <w:tblStyleRowBandSize w:val="1"/>
      <w:tblStyleColBandSize w:val="1"/>
      <w:tblInd w:w="0" w:type="dxa"/>
      <w:tblBorders>
        <w:top w:val="single" w:sz="8" w:space="0" w:color="CEEAB0"/>
        <w:left w:val="single" w:sz="8" w:space="0" w:color="CEEAB0"/>
        <w:bottom w:val="single" w:sz="8" w:space="0" w:color="CEEAB0"/>
        <w:right w:val="single" w:sz="8" w:space="0" w:color="CEEAB0"/>
      </w:tblBorders>
      <w:tblCellMar>
        <w:top w:w="0" w:type="dxa"/>
        <w:left w:w="108" w:type="dxa"/>
        <w:bottom w:w="0" w:type="dxa"/>
        <w:right w:w="108" w:type="dxa"/>
      </w:tblCellMar>
    </w:tblPr>
  </w:style>
  <w:style w:type="table" w:customStyle="1" w:styleId="MediumGrid1-Accent111">
    <w:name w:val="Medium Grid 1 - Accent 111"/>
    <w:rsid w:val="00912E35"/>
    <w:tblPr>
      <w:tblStyleRowBandSize w:val="1"/>
      <w:tblStyleColBandSize w:val="1"/>
      <w:tblInd w:w="0" w:type="dxa"/>
      <w:tblBorders>
        <w:top w:val="single" w:sz="8" w:space="0" w:color="DAEFC3"/>
        <w:left w:val="single" w:sz="8" w:space="0" w:color="DAEFC3"/>
        <w:bottom w:val="single" w:sz="8" w:space="0" w:color="DAEFC3"/>
        <w:right w:val="single" w:sz="8" w:space="0" w:color="DAEFC3"/>
        <w:insideH w:val="single" w:sz="8" w:space="0" w:color="DAEFC3"/>
        <w:insideV w:val="single" w:sz="8" w:space="0" w:color="DAEFC3"/>
      </w:tblBorders>
      <w:tblCellMar>
        <w:top w:w="0" w:type="dxa"/>
        <w:left w:w="108" w:type="dxa"/>
        <w:bottom w:w="0" w:type="dxa"/>
        <w:right w:w="108" w:type="dxa"/>
      </w:tblCellMar>
    </w:tblPr>
    <w:tcPr>
      <w:shd w:val="clear" w:color="auto" w:fill="F2F9EB"/>
    </w:tcPr>
  </w:style>
  <w:style w:type="table" w:customStyle="1" w:styleId="LightShading-Accent1111">
    <w:name w:val="Light Shading - Accent 1111"/>
    <w:rsid w:val="00912E35"/>
    <w:rPr>
      <w:color w:val="9BD45E"/>
    </w:rPr>
    <w:tblPr>
      <w:tblStyleRowBandSize w:val="1"/>
      <w:tblStyleColBandSize w:val="1"/>
      <w:tblInd w:w="0" w:type="dxa"/>
      <w:tblBorders>
        <w:top w:val="single" w:sz="8" w:space="0" w:color="CEEAB0"/>
        <w:bottom w:val="single" w:sz="8" w:space="0" w:color="CEEAB0"/>
      </w:tblBorders>
      <w:tblCellMar>
        <w:top w:w="0" w:type="dxa"/>
        <w:left w:w="108" w:type="dxa"/>
        <w:bottom w:w="0" w:type="dxa"/>
        <w:right w:w="108" w:type="dxa"/>
      </w:tblCellMar>
    </w:tblPr>
  </w:style>
  <w:style w:type="table" w:customStyle="1" w:styleId="MediumGrid1-Accent311">
    <w:name w:val="Medium Grid 1 - Accent 311"/>
    <w:rsid w:val="00912E35"/>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style>
  <w:style w:type="table" w:customStyle="1" w:styleId="ColorfulGrid-Accent311">
    <w:name w:val="Colorful Grid - Accent 311"/>
    <w:rsid w:val="00912E35"/>
    <w:rPr>
      <w:rFonts w:ascii="Calibri" w:hAnsi="Calibri"/>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style>
  <w:style w:type="table" w:customStyle="1" w:styleId="TableGrid21">
    <w:name w:val="Table Grid21"/>
    <w:rsid w:val="00912E35"/>
    <w:rPr>
      <w:lang w:val="sr-Latn-CS" w:eastAsia="sr-Latn-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rsid w:val="00912E35"/>
    <w:rPr>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1-Accent321">
    <w:name w:val="Medium Grid 1 - Accent 321"/>
    <w:rsid w:val="00912E35"/>
    <w:rPr>
      <w:rFonts w:ascii="Calibri" w:hAnsi="Calibri"/>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style>
  <w:style w:type="table" w:customStyle="1" w:styleId="MediumGrid1-Accent331">
    <w:name w:val="Medium Grid 1 - Accent 331"/>
    <w:rsid w:val="00912E35"/>
    <w:rPr>
      <w:rFonts w:ascii="Calibri" w:hAnsi="Calibri"/>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style>
  <w:style w:type="table" w:customStyle="1" w:styleId="LightList-Accent61">
    <w:name w:val="Light List - Accent 61"/>
    <w:rsid w:val="00912E35"/>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style>
  <w:style w:type="table" w:customStyle="1" w:styleId="LightList-Accent31">
    <w:name w:val="Light List - Accent 31"/>
    <w:rsid w:val="00912E35"/>
    <w:tblPr>
      <w:tblStyleRowBandSize w:val="1"/>
      <w:tblStyleColBandSize w:val="1"/>
      <w:tblInd w:w="0" w:type="dxa"/>
      <w:tblBorders>
        <w:top w:val="single" w:sz="8" w:space="0" w:color="FAC08F"/>
        <w:left w:val="single" w:sz="8" w:space="0" w:color="FAC08F"/>
        <w:bottom w:val="single" w:sz="8" w:space="0" w:color="FAC08F"/>
        <w:right w:val="single" w:sz="8" w:space="0" w:color="FAC08F"/>
      </w:tblBorders>
      <w:tblCellMar>
        <w:top w:w="0" w:type="dxa"/>
        <w:left w:w="108" w:type="dxa"/>
        <w:bottom w:w="0" w:type="dxa"/>
        <w:right w:w="108" w:type="dxa"/>
      </w:tblCellMar>
    </w:tblPr>
  </w:style>
  <w:style w:type="table" w:customStyle="1" w:styleId="MediumShading1-Accent61">
    <w:name w:val="Medium Shading 1 - Accent 61"/>
    <w:rsid w:val="00912E35"/>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style>
  <w:style w:type="table" w:customStyle="1" w:styleId="LightGrid-Accent21">
    <w:name w:val="Light Grid - Accent 21"/>
    <w:rsid w:val="00912E35"/>
    <w:tblPr>
      <w:tblStyleRowBandSize w:val="1"/>
      <w:tblStyleColBandSize w:val="1"/>
      <w:tblInd w:w="0" w:type="dxa"/>
      <w:tblBorders>
        <w:top w:val="single" w:sz="8" w:space="0" w:color="BF83D7"/>
        <w:left w:val="single" w:sz="8" w:space="0" w:color="BF83D7"/>
        <w:bottom w:val="single" w:sz="8" w:space="0" w:color="BF83D7"/>
        <w:right w:val="single" w:sz="8" w:space="0" w:color="BF83D7"/>
        <w:insideH w:val="single" w:sz="8" w:space="0" w:color="BF83D7"/>
        <w:insideV w:val="single" w:sz="8" w:space="0" w:color="BF83D7"/>
      </w:tblBorders>
      <w:tblCellMar>
        <w:top w:w="0" w:type="dxa"/>
        <w:left w:w="108" w:type="dxa"/>
        <w:bottom w:w="0" w:type="dxa"/>
        <w:right w:w="108" w:type="dxa"/>
      </w:tblCellMar>
    </w:tblPr>
  </w:style>
  <w:style w:type="table" w:customStyle="1" w:styleId="MediumShading1-Accent31">
    <w:name w:val="Medium Shading 1 - Accent 31"/>
    <w:rsid w:val="00912E35"/>
    <w:tblPr>
      <w:tblStyleRowBandSize w:val="1"/>
      <w:tblStyleColBandSize w:val="1"/>
      <w:tblInd w:w="0" w:type="dxa"/>
      <w:tblBorders>
        <w:top w:val="single" w:sz="8" w:space="0" w:color="FBCFAB"/>
        <w:left w:val="single" w:sz="8" w:space="0" w:color="FBCFAB"/>
        <w:bottom w:val="single" w:sz="8" w:space="0" w:color="FBCFAB"/>
        <w:right w:val="single" w:sz="8" w:space="0" w:color="FBCFAB"/>
        <w:insideH w:val="single" w:sz="8" w:space="0" w:color="FBCFAB"/>
      </w:tblBorders>
      <w:tblCellMar>
        <w:top w:w="0" w:type="dxa"/>
        <w:left w:w="108" w:type="dxa"/>
        <w:bottom w:w="0" w:type="dxa"/>
        <w:right w:w="108" w:type="dxa"/>
      </w:tblCellMar>
    </w:tblPr>
  </w:style>
  <w:style w:type="character" w:styleId="Emphasis">
    <w:name w:val="Emphasis"/>
    <w:uiPriority w:val="20"/>
    <w:qFormat/>
    <w:locked/>
    <w:rsid w:val="00912E35"/>
    <w:rPr>
      <w:i/>
      <w:iCs/>
    </w:rPr>
  </w:style>
  <w:style w:type="paragraph" w:styleId="Quote">
    <w:name w:val="Quote"/>
    <w:basedOn w:val="Normal"/>
    <w:next w:val="Normal"/>
    <w:link w:val="QuoteChar"/>
    <w:uiPriority w:val="29"/>
    <w:qFormat/>
    <w:rsid w:val="00912E35"/>
    <w:pPr>
      <w:spacing w:after="200" w:line="276" w:lineRule="auto"/>
      <w:jc w:val="left"/>
    </w:pPr>
    <w:rPr>
      <w:rFonts w:asciiTheme="minorHAnsi" w:eastAsiaTheme="minorEastAsia" w:hAnsiTheme="minorHAnsi" w:cstheme="minorBidi"/>
      <w:i/>
      <w:iCs/>
      <w:color w:val="000000" w:themeColor="text1"/>
      <w:szCs w:val="22"/>
      <w:lang w:eastAsia="ja-JP"/>
    </w:rPr>
  </w:style>
  <w:style w:type="character" w:customStyle="1" w:styleId="QuoteChar">
    <w:name w:val="Quote Char"/>
    <w:basedOn w:val="DefaultParagraphFont"/>
    <w:link w:val="Quote"/>
    <w:uiPriority w:val="29"/>
    <w:rsid w:val="00912E35"/>
    <w:rPr>
      <w:rFonts w:asciiTheme="minorHAnsi" w:eastAsiaTheme="minorEastAsia" w:hAnsiTheme="minorHAnsi" w:cstheme="minorBidi"/>
      <w:i/>
      <w:iCs/>
      <w:color w:val="000000" w:themeColor="text1"/>
      <w:sz w:val="22"/>
      <w:szCs w:val="22"/>
      <w:lang w:eastAsia="ja-JP"/>
    </w:rPr>
  </w:style>
  <w:style w:type="table" w:styleId="LightShading-Accent5">
    <w:name w:val="Light Shading Accent 5"/>
    <w:basedOn w:val="TableNormal"/>
    <w:uiPriority w:val="60"/>
    <w:rsid w:val="00B65A71"/>
    <w:rPr>
      <w:color w:val="74B430" w:themeColor="accent5" w:themeShade="BF"/>
    </w:rPr>
    <w:tblPr>
      <w:tblStyleRowBandSize w:val="1"/>
      <w:tblStyleColBandSize w:val="1"/>
      <w:tblInd w:w="0" w:type="dxa"/>
      <w:tblBorders>
        <w:top w:val="single" w:sz="8" w:space="0" w:color="9BD45F" w:themeColor="accent5"/>
        <w:bottom w:val="single" w:sz="8" w:space="0" w:color="9BD45F"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D45F" w:themeColor="accent5"/>
          <w:left w:val="nil"/>
          <w:bottom w:val="single" w:sz="8" w:space="0" w:color="9BD45F" w:themeColor="accent5"/>
          <w:right w:val="nil"/>
          <w:insideH w:val="nil"/>
          <w:insideV w:val="nil"/>
        </w:tcBorders>
      </w:tcPr>
    </w:tblStylePr>
    <w:tblStylePr w:type="lastRow">
      <w:pPr>
        <w:spacing w:before="0" w:after="0" w:line="240" w:lineRule="auto"/>
      </w:pPr>
      <w:rPr>
        <w:b/>
        <w:bCs/>
      </w:rPr>
      <w:tblPr/>
      <w:tcPr>
        <w:tcBorders>
          <w:top w:val="single" w:sz="8" w:space="0" w:color="9BD45F" w:themeColor="accent5"/>
          <w:left w:val="nil"/>
          <w:bottom w:val="single" w:sz="8" w:space="0" w:color="9BD4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F4D7" w:themeFill="accent5" w:themeFillTint="3F"/>
      </w:tcPr>
    </w:tblStylePr>
    <w:tblStylePr w:type="band1Horz">
      <w:tblPr/>
      <w:tcPr>
        <w:tcBorders>
          <w:left w:val="nil"/>
          <w:right w:val="nil"/>
          <w:insideH w:val="nil"/>
          <w:insideV w:val="nil"/>
        </w:tcBorders>
        <w:shd w:val="clear" w:color="auto" w:fill="E6F4D7" w:themeFill="accent5"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qFormat="1"/>
  </w:latentStyles>
  <w:style w:type="paragraph" w:default="1" w:styleId="Normal">
    <w:name w:val="Normal"/>
    <w:qFormat/>
    <w:rsid w:val="00C655E2"/>
    <w:pPr>
      <w:spacing w:after="120"/>
      <w:jc w:val="both"/>
    </w:pPr>
    <w:rPr>
      <w:rFonts w:ascii="Myriad Pro" w:hAnsi="Myriad Pro"/>
      <w:sz w:val="22"/>
      <w:szCs w:val="24"/>
    </w:rPr>
  </w:style>
  <w:style w:type="paragraph" w:styleId="Heading1">
    <w:name w:val="heading 1"/>
    <w:basedOn w:val="Normal"/>
    <w:next w:val="Normal"/>
    <w:link w:val="Heading1Char"/>
    <w:autoRedefine/>
    <w:uiPriority w:val="99"/>
    <w:qFormat/>
    <w:rsid w:val="0075369C"/>
    <w:pPr>
      <w:keepNext/>
      <w:pageBreakBefore/>
      <w:numPr>
        <w:numId w:val="2"/>
      </w:numPr>
      <w:shd w:val="clear" w:color="auto" w:fill="C2E59E"/>
      <w:tabs>
        <w:tab w:val="left" w:pos="630"/>
      </w:tabs>
      <w:spacing w:before="600" w:after="360"/>
      <w:ind w:left="0" w:firstLine="0"/>
      <w:jc w:val="left"/>
      <w:outlineLvl w:val="0"/>
    </w:pPr>
    <w:rPr>
      <w:rFonts w:cs="Arial"/>
      <w:b/>
      <w:bCs/>
      <w:color w:val="000000" w:themeColor="text1"/>
      <w:kern w:val="32"/>
      <w:sz w:val="40"/>
      <w:szCs w:val="32"/>
    </w:rPr>
  </w:style>
  <w:style w:type="paragraph" w:styleId="Heading2">
    <w:name w:val="heading 2"/>
    <w:basedOn w:val="Normal"/>
    <w:next w:val="Normal"/>
    <w:link w:val="Heading2Char"/>
    <w:uiPriority w:val="99"/>
    <w:qFormat/>
    <w:rsid w:val="007E2EF7"/>
    <w:pPr>
      <w:keepNext/>
      <w:numPr>
        <w:ilvl w:val="1"/>
        <w:numId w:val="2"/>
      </w:numPr>
      <w:pBdr>
        <w:bottom w:val="single" w:sz="18" w:space="1" w:color="9BD45F" w:themeColor="accent5"/>
      </w:pBdr>
      <w:tabs>
        <w:tab w:val="left" w:pos="851"/>
      </w:tabs>
      <w:spacing w:before="480" w:after="240"/>
      <w:ind w:left="1220"/>
      <w:jc w:val="left"/>
      <w:outlineLvl w:val="1"/>
    </w:pPr>
    <w:rPr>
      <w:rFonts w:cs="Arial"/>
      <w:bCs/>
      <w:iCs/>
      <w:color w:val="000000" w:themeColor="text1"/>
      <w:sz w:val="36"/>
      <w:szCs w:val="28"/>
    </w:rPr>
  </w:style>
  <w:style w:type="paragraph" w:styleId="Heading3">
    <w:name w:val="heading 3"/>
    <w:basedOn w:val="Normal"/>
    <w:next w:val="Normal"/>
    <w:link w:val="Heading3Char"/>
    <w:uiPriority w:val="99"/>
    <w:qFormat/>
    <w:rsid w:val="00B762F6"/>
    <w:pPr>
      <w:keepNext/>
      <w:pBdr>
        <w:bottom w:val="single" w:sz="18" w:space="1" w:color="BF83D7" w:themeColor="accent2"/>
      </w:pBdr>
      <w:spacing w:before="240" w:after="60"/>
      <w:jc w:val="left"/>
      <w:outlineLvl w:val="2"/>
    </w:pPr>
    <w:rPr>
      <w:rFonts w:cs="Arial"/>
      <w:b/>
      <w:bCs/>
      <w:sz w:val="24"/>
      <w:szCs w:val="26"/>
      <w:lang w:val="sr-Latn-CS"/>
    </w:rPr>
  </w:style>
  <w:style w:type="paragraph" w:styleId="Heading4">
    <w:name w:val="heading 4"/>
    <w:basedOn w:val="Normal"/>
    <w:next w:val="Normal"/>
    <w:link w:val="Heading4Char"/>
    <w:uiPriority w:val="99"/>
    <w:qFormat/>
    <w:rsid w:val="00D84CBB"/>
    <w:pPr>
      <w:keepNext/>
      <w:keepLines/>
      <w:numPr>
        <w:ilvl w:val="3"/>
        <w:numId w:val="2"/>
      </w:numPr>
      <w:spacing w:before="60" w:after="0"/>
      <w:outlineLvl w:val="3"/>
    </w:pPr>
    <w:rPr>
      <w:b/>
      <w:bCs/>
      <w:iCs/>
      <w:color w:val="000000"/>
      <w:sz w:val="18"/>
    </w:rPr>
  </w:style>
  <w:style w:type="paragraph" w:styleId="Heading5">
    <w:name w:val="heading 5"/>
    <w:basedOn w:val="Normal"/>
    <w:next w:val="Normal"/>
    <w:link w:val="Heading5Char"/>
    <w:uiPriority w:val="99"/>
    <w:qFormat/>
    <w:rsid w:val="00E46438"/>
    <w:pPr>
      <w:keepNext/>
      <w:keepLines/>
      <w:numPr>
        <w:ilvl w:val="4"/>
        <w:numId w:val="2"/>
      </w:numPr>
      <w:spacing w:before="200" w:after="0"/>
      <w:outlineLvl w:val="4"/>
    </w:pPr>
    <w:rPr>
      <w:rFonts w:ascii="Cambria" w:hAnsi="Cambria"/>
      <w:color w:val="243F60"/>
    </w:rPr>
  </w:style>
  <w:style w:type="paragraph" w:styleId="Heading6">
    <w:name w:val="heading 6"/>
    <w:basedOn w:val="Normal"/>
    <w:next w:val="Normal"/>
    <w:link w:val="Heading6Char"/>
    <w:uiPriority w:val="99"/>
    <w:qFormat/>
    <w:rsid w:val="00E46438"/>
    <w:pPr>
      <w:keepNext/>
      <w:keepLines/>
      <w:numPr>
        <w:ilvl w:val="5"/>
        <w:numId w:val="2"/>
      </w:numPr>
      <w:spacing w:before="200" w:after="0"/>
      <w:outlineLvl w:val="5"/>
    </w:pPr>
    <w:rPr>
      <w:rFonts w:ascii="Cambria" w:hAnsi="Cambria"/>
      <w:i/>
      <w:iCs/>
      <w:color w:val="243F60"/>
    </w:rPr>
  </w:style>
  <w:style w:type="paragraph" w:styleId="Heading7">
    <w:name w:val="heading 7"/>
    <w:basedOn w:val="Normal"/>
    <w:next w:val="Normal"/>
    <w:link w:val="Heading7Char"/>
    <w:uiPriority w:val="99"/>
    <w:qFormat/>
    <w:rsid w:val="00E46438"/>
    <w:pPr>
      <w:keepNext/>
      <w:keepLines/>
      <w:numPr>
        <w:ilvl w:val="6"/>
        <w:numId w:val="2"/>
      </w:numPr>
      <w:spacing w:before="200" w:after="0"/>
      <w:outlineLvl w:val="6"/>
    </w:pPr>
    <w:rPr>
      <w:rFonts w:ascii="Cambria" w:hAnsi="Cambria"/>
      <w:i/>
      <w:iCs/>
      <w:color w:val="404040"/>
    </w:rPr>
  </w:style>
  <w:style w:type="paragraph" w:styleId="Heading8">
    <w:name w:val="heading 8"/>
    <w:basedOn w:val="Normal"/>
    <w:next w:val="Normal"/>
    <w:link w:val="Heading8Char"/>
    <w:uiPriority w:val="99"/>
    <w:qFormat/>
    <w:rsid w:val="00E46438"/>
    <w:pPr>
      <w:keepNext/>
      <w:keepLines/>
      <w:numPr>
        <w:ilvl w:val="7"/>
        <w:numId w:val="2"/>
      </w:numPr>
      <w:spacing w:before="200" w:after="0"/>
      <w:outlineLvl w:val="7"/>
    </w:pPr>
    <w:rPr>
      <w:rFonts w:ascii="Cambria" w:hAnsi="Cambria"/>
      <w:color w:val="404040"/>
      <w:szCs w:val="20"/>
    </w:rPr>
  </w:style>
  <w:style w:type="paragraph" w:styleId="Heading9">
    <w:name w:val="heading 9"/>
    <w:basedOn w:val="Normal"/>
    <w:next w:val="Normal"/>
    <w:link w:val="Heading9Char"/>
    <w:uiPriority w:val="99"/>
    <w:qFormat/>
    <w:rsid w:val="00E46438"/>
    <w:pPr>
      <w:keepNext/>
      <w:keepLines/>
      <w:numPr>
        <w:ilvl w:val="8"/>
        <w:numId w:val="2"/>
      </w:numPr>
      <w:spacing w:before="200" w:after="0"/>
      <w:outlineLvl w:val="8"/>
    </w:pPr>
    <w:rPr>
      <w:rFonts w:ascii="Cambria" w:hAnsi="Cambria"/>
      <w:i/>
      <w:iCs/>
      <w:color w:val="4040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5369C"/>
    <w:rPr>
      <w:rFonts w:ascii="Myriad Pro" w:hAnsi="Myriad Pro" w:cs="Arial"/>
      <w:b/>
      <w:bCs/>
      <w:color w:val="000000" w:themeColor="text1"/>
      <w:kern w:val="32"/>
      <w:sz w:val="40"/>
      <w:szCs w:val="32"/>
      <w:shd w:val="clear" w:color="auto" w:fill="C2E59E"/>
    </w:rPr>
  </w:style>
  <w:style w:type="character" w:customStyle="1" w:styleId="Heading2Char">
    <w:name w:val="Heading 2 Char"/>
    <w:basedOn w:val="DefaultParagraphFont"/>
    <w:link w:val="Heading2"/>
    <w:uiPriority w:val="99"/>
    <w:locked/>
    <w:rsid w:val="007E2EF7"/>
    <w:rPr>
      <w:rFonts w:ascii="Myriad Pro" w:hAnsi="Myriad Pro" w:cs="Arial"/>
      <w:bCs/>
      <w:iCs/>
      <w:color w:val="000000" w:themeColor="text1"/>
      <w:sz w:val="36"/>
      <w:szCs w:val="28"/>
    </w:rPr>
  </w:style>
  <w:style w:type="character" w:customStyle="1" w:styleId="Heading3Char">
    <w:name w:val="Heading 3 Char"/>
    <w:basedOn w:val="DefaultParagraphFont"/>
    <w:link w:val="Heading3"/>
    <w:uiPriority w:val="99"/>
    <w:locked/>
    <w:rsid w:val="00B762F6"/>
    <w:rPr>
      <w:rFonts w:ascii="Myriad Pro" w:hAnsi="Myriad Pro" w:cs="Arial"/>
      <w:b/>
      <w:bCs/>
      <w:sz w:val="24"/>
      <w:szCs w:val="26"/>
      <w:lang w:val="sr-Latn-CS"/>
    </w:rPr>
  </w:style>
  <w:style w:type="character" w:customStyle="1" w:styleId="Heading4Char">
    <w:name w:val="Heading 4 Char"/>
    <w:basedOn w:val="DefaultParagraphFont"/>
    <w:link w:val="Heading4"/>
    <w:uiPriority w:val="99"/>
    <w:locked/>
    <w:rsid w:val="00D84CBB"/>
    <w:rPr>
      <w:rFonts w:ascii="Myriad Pro" w:hAnsi="Myriad Pro"/>
      <w:b/>
      <w:bCs/>
      <w:iCs/>
      <w:color w:val="000000"/>
      <w:sz w:val="18"/>
      <w:szCs w:val="24"/>
    </w:rPr>
  </w:style>
  <w:style w:type="character" w:customStyle="1" w:styleId="Heading5Char">
    <w:name w:val="Heading 5 Char"/>
    <w:basedOn w:val="DefaultParagraphFont"/>
    <w:link w:val="Heading5"/>
    <w:uiPriority w:val="99"/>
    <w:locked/>
    <w:rsid w:val="00E46438"/>
    <w:rPr>
      <w:rFonts w:ascii="Cambria" w:hAnsi="Cambria"/>
      <w:color w:val="243F60"/>
      <w:sz w:val="22"/>
      <w:szCs w:val="24"/>
    </w:rPr>
  </w:style>
  <w:style w:type="character" w:customStyle="1" w:styleId="Heading6Char">
    <w:name w:val="Heading 6 Char"/>
    <w:basedOn w:val="DefaultParagraphFont"/>
    <w:link w:val="Heading6"/>
    <w:uiPriority w:val="99"/>
    <w:locked/>
    <w:rsid w:val="00E46438"/>
    <w:rPr>
      <w:rFonts w:ascii="Cambria" w:hAnsi="Cambria"/>
      <w:i/>
      <w:iCs/>
      <w:color w:val="243F60"/>
      <w:sz w:val="22"/>
      <w:szCs w:val="24"/>
    </w:rPr>
  </w:style>
  <w:style w:type="character" w:customStyle="1" w:styleId="Heading7Char">
    <w:name w:val="Heading 7 Char"/>
    <w:basedOn w:val="DefaultParagraphFont"/>
    <w:link w:val="Heading7"/>
    <w:uiPriority w:val="99"/>
    <w:locked/>
    <w:rsid w:val="00E46438"/>
    <w:rPr>
      <w:rFonts w:ascii="Cambria" w:hAnsi="Cambria"/>
      <w:i/>
      <w:iCs/>
      <w:color w:val="404040"/>
      <w:sz w:val="22"/>
      <w:szCs w:val="24"/>
    </w:rPr>
  </w:style>
  <w:style w:type="character" w:customStyle="1" w:styleId="Heading8Char">
    <w:name w:val="Heading 8 Char"/>
    <w:basedOn w:val="DefaultParagraphFont"/>
    <w:link w:val="Heading8"/>
    <w:uiPriority w:val="99"/>
    <w:locked/>
    <w:rsid w:val="00E46438"/>
    <w:rPr>
      <w:rFonts w:ascii="Cambria" w:hAnsi="Cambria"/>
      <w:color w:val="404040"/>
      <w:sz w:val="22"/>
    </w:rPr>
  </w:style>
  <w:style w:type="character" w:customStyle="1" w:styleId="Heading9Char">
    <w:name w:val="Heading 9 Char"/>
    <w:basedOn w:val="DefaultParagraphFont"/>
    <w:link w:val="Heading9"/>
    <w:uiPriority w:val="99"/>
    <w:locked/>
    <w:rsid w:val="00E46438"/>
    <w:rPr>
      <w:rFonts w:ascii="Cambria" w:hAnsi="Cambria"/>
      <w:i/>
      <w:iCs/>
      <w:color w:val="404040"/>
      <w:sz w:val="22"/>
    </w:rPr>
  </w:style>
  <w:style w:type="table" w:styleId="MediumGrid3-Accent1">
    <w:name w:val="Medium Grid 3 Accent 1"/>
    <w:basedOn w:val="TableNormal"/>
    <w:uiPriority w:val="69"/>
    <w:rsid w:val="00246FDD"/>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2F9EB"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EEAB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EEAB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EEAB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EEAB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6F4D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6F4D7" w:themeFill="accent1" w:themeFillTint="7F"/>
      </w:tcPr>
    </w:tblStylePr>
  </w:style>
  <w:style w:type="paragraph" w:styleId="Header">
    <w:name w:val="header"/>
    <w:basedOn w:val="Normal"/>
    <w:link w:val="HeaderChar"/>
    <w:uiPriority w:val="99"/>
    <w:rsid w:val="003F3F1C"/>
    <w:pPr>
      <w:tabs>
        <w:tab w:val="center" w:pos="4320"/>
        <w:tab w:val="right" w:pos="8640"/>
      </w:tabs>
    </w:pPr>
  </w:style>
  <w:style w:type="character" w:customStyle="1" w:styleId="HeaderChar">
    <w:name w:val="Header Char"/>
    <w:basedOn w:val="DefaultParagraphFont"/>
    <w:link w:val="Header"/>
    <w:uiPriority w:val="99"/>
    <w:locked/>
    <w:rsid w:val="009846B5"/>
    <w:rPr>
      <w:rFonts w:ascii="Verdana" w:hAnsi="Verdana" w:cs="Times New Roman"/>
      <w:sz w:val="24"/>
      <w:szCs w:val="24"/>
    </w:rPr>
  </w:style>
  <w:style w:type="paragraph" w:styleId="Footer">
    <w:name w:val="footer"/>
    <w:basedOn w:val="Normal"/>
    <w:link w:val="FooterChar"/>
    <w:uiPriority w:val="99"/>
    <w:rsid w:val="003F3F1C"/>
    <w:pPr>
      <w:tabs>
        <w:tab w:val="center" w:pos="4320"/>
        <w:tab w:val="right" w:pos="8640"/>
      </w:tabs>
    </w:pPr>
  </w:style>
  <w:style w:type="character" w:customStyle="1" w:styleId="FooterChar">
    <w:name w:val="Footer Char"/>
    <w:basedOn w:val="DefaultParagraphFont"/>
    <w:link w:val="Footer"/>
    <w:uiPriority w:val="99"/>
    <w:locked/>
    <w:rsid w:val="009846B5"/>
    <w:rPr>
      <w:rFonts w:ascii="Verdana" w:hAnsi="Verdana" w:cs="Times New Roman"/>
      <w:sz w:val="24"/>
      <w:szCs w:val="24"/>
    </w:rPr>
  </w:style>
  <w:style w:type="table" w:styleId="TableGrid">
    <w:name w:val="Table Grid"/>
    <w:basedOn w:val="TableNormal"/>
    <w:uiPriority w:val="99"/>
    <w:rsid w:val="005F5FC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85350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846B5"/>
    <w:rPr>
      <w:rFonts w:cs="Times New Roman"/>
      <w:sz w:val="2"/>
    </w:rPr>
  </w:style>
  <w:style w:type="paragraph" w:styleId="TOC1">
    <w:name w:val="toc 1"/>
    <w:basedOn w:val="Normal"/>
    <w:next w:val="Normal"/>
    <w:autoRedefine/>
    <w:uiPriority w:val="39"/>
    <w:rsid w:val="00F309CD"/>
    <w:pPr>
      <w:tabs>
        <w:tab w:val="left" w:pos="360"/>
        <w:tab w:val="right" w:leader="dot" w:pos="9063"/>
      </w:tabs>
      <w:spacing w:after="0" w:line="276" w:lineRule="auto"/>
      <w:jc w:val="left"/>
    </w:pPr>
    <w:rPr>
      <w:rFonts w:asciiTheme="minorHAnsi" w:hAnsiTheme="minorHAnsi"/>
      <w:b/>
      <w:bCs/>
      <w:sz w:val="20"/>
      <w:szCs w:val="20"/>
    </w:rPr>
  </w:style>
  <w:style w:type="paragraph" w:styleId="TOC2">
    <w:name w:val="toc 2"/>
    <w:basedOn w:val="Normal"/>
    <w:next w:val="Normal"/>
    <w:autoRedefine/>
    <w:uiPriority w:val="39"/>
    <w:rsid w:val="00D84BB6"/>
    <w:pPr>
      <w:spacing w:before="120" w:after="0"/>
      <w:ind w:left="180"/>
      <w:jc w:val="left"/>
    </w:pPr>
    <w:rPr>
      <w:rFonts w:asciiTheme="minorHAnsi" w:hAnsiTheme="minorHAnsi"/>
      <w:i/>
      <w:iCs/>
      <w:sz w:val="20"/>
      <w:szCs w:val="20"/>
    </w:rPr>
  </w:style>
  <w:style w:type="paragraph" w:styleId="TOC3">
    <w:name w:val="toc 3"/>
    <w:basedOn w:val="Normal"/>
    <w:next w:val="Normal"/>
    <w:autoRedefine/>
    <w:uiPriority w:val="39"/>
    <w:rsid w:val="00D84BB6"/>
    <w:pPr>
      <w:spacing w:after="0"/>
      <w:ind w:left="360"/>
      <w:jc w:val="left"/>
    </w:pPr>
    <w:rPr>
      <w:rFonts w:asciiTheme="minorHAnsi" w:hAnsiTheme="minorHAnsi"/>
      <w:sz w:val="20"/>
      <w:szCs w:val="20"/>
    </w:rPr>
  </w:style>
  <w:style w:type="paragraph" w:styleId="TOC4">
    <w:name w:val="toc 4"/>
    <w:basedOn w:val="Normal"/>
    <w:next w:val="Normal"/>
    <w:autoRedefine/>
    <w:uiPriority w:val="39"/>
    <w:rsid w:val="00D84BB6"/>
    <w:pPr>
      <w:spacing w:after="0"/>
      <w:ind w:left="540"/>
      <w:jc w:val="left"/>
    </w:pPr>
    <w:rPr>
      <w:rFonts w:asciiTheme="minorHAnsi" w:hAnsiTheme="minorHAnsi"/>
      <w:sz w:val="20"/>
      <w:szCs w:val="20"/>
    </w:rPr>
  </w:style>
  <w:style w:type="paragraph" w:styleId="TOC5">
    <w:name w:val="toc 5"/>
    <w:basedOn w:val="Normal"/>
    <w:next w:val="Normal"/>
    <w:autoRedefine/>
    <w:uiPriority w:val="39"/>
    <w:rsid w:val="00DB58C2"/>
    <w:pPr>
      <w:spacing w:after="0"/>
      <w:ind w:left="720"/>
      <w:jc w:val="left"/>
    </w:pPr>
    <w:rPr>
      <w:rFonts w:asciiTheme="minorHAnsi" w:hAnsiTheme="minorHAnsi"/>
      <w:sz w:val="20"/>
      <w:szCs w:val="20"/>
    </w:rPr>
  </w:style>
  <w:style w:type="paragraph" w:styleId="TOC6">
    <w:name w:val="toc 6"/>
    <w:basedOn w:val="Normal"/>
    <w:next w:val="Normal"/>
    <w:autoRedefine/>
    <w:uiPriority w:val="39"/>
    <w:rsid w:val="00DB58C2"/>
    <w:pPr>
      <w:spacing w:after="0"/>
      <w:ind w:left="900"/>
      <w:jc w:val="left"/>
    </w:pPr>
    <w:rPr>
      <w:rFonts w:asciiTheme="minorHAnsi" w:hAnsiTheme="minorHAnsi"/>
      <w:sz w:val="20"/>
      <w:szCs w:val="20"/>
    </w:rPr>
  </w:style>
  <w:style w:type="paragraph" w:styleId="TOC7">
    <w:name w:val="toc 7"/>
    <w:basedOn w:val="Normal"/>
    <w:next w:val="Normal"/>
    <w:autoRedefine/>
    <w:uiPriority w:val="39"/>
    <w:rsid w:val="00DB58C2"/>
    <w:pPr>
      <w:spacing w:after="0"/>
      <w:ind w:left="1080"/>
      <w:jc w:val="left"/>
    </w:pPr>
    <w:rPr>
      <w:rFonts w:asciiTheme="minorHAnsi" w:hAnsiTheme="minorHAnsi"/>
      <w:sz w:val="20"/>
      <w:szCs w:val="20"/>
    </w:rPr>
  </w:style>
  <w:style w:type="paragraph" w:styleId="TOC8">
    <w:name w:val="toc 8"/>
    <w:basedOn w:val="Normal"/>
    <w:next w:val="Normal"/>
    <w:autoRedefine/>
    <w:uiPriority w:val="39"/>
    <w:rsid w:val="00DB58C2"/>
    <w:pPr>
      <w:spacing w:after="0"/>
      <w:ind w:left="1260"/>
      <w:jc w:val="left"/>
    </w:pPr>
    <w:rPr>
      <w:rFonts w:asciiTheme="minorHAnsi" w:hAnsiTheme="minorHAnsi"/>
      <w:sz w:val="20"/>
      <w:szCs w:val="20"/>
    </w:rPr>
  </w:style>
  <w:style w:type="paragraph" w:styleId="TOC9">
    <w:name w:val="toc 9"/>
    <w:basedOn w:val="Normal"/>
    <w:next w:val="Normal"/>
    <w:autoRedefine/>
    <w:uiPriority w:val="39"/>
    <w:rsid w:val="00DB58C2"/>
    <w:pPr>
      <w:spacing w:after="0"/>
      <w:ind w:left="1440"/>
      <w:jc w:val="left"/>
    </w:pPr>
    <w:rPr>
      <w:rFonts w:asciiTheme="minorHAnsi" w:hAnsiTheme="minorHAnsi"/>
      <w:sz w:val="20"/>
      <w:szCs w:val="20"/>
    </w:rPr>
  </w:style>
  <w:style w:type="character" w:styleId="Hyperlink">
    <w:name w:val="Hyperlink"/>
    <w:basedOn w:val="DefaultParagraphFont"/>
    <w:uiPriority w:val="99"/>
    <w:rsid w:val="004B1F52"/>
    <w:rPr>
      <w:rFonts w:cs="Times New Roman"/>
      <w:color w:val="000000"/>
      <w:u w:val="single"/>
    </w:rPr>
  </w:style>
  <w:style w:type="table" w:styleId="MediumShading1-Accent2">
    <w:name w:val="Medium Shading 1 Accent 2"/>
    <w:basedOn w:val="TableNormal"/>
    <w:uiPriority w:val="63"/>
    <w:rsid w:val="00246FDD"/>
    <w:tblPr>
      <w:tblStyleRowBandSize w:val="1"/>
      <w:tblStyleColBandSize w:val="1"/>
      <w:tblInd w:w="0" w:type="dxa"/>
      <w:tblBorders>
        <w:top w:val="single" w:sz="8" w:space="0" w:color="CEA2E1" w:themeColor="accent2" w:themeTint="BF"/>
        <w:left w:val="single" w:sz="8" w:space="0" w:color="CEA2E1" w:themeColor="accent2" w:themeTint="BF"/>
        <w:bottom w:val="single" w:sz="8" w:space="0" w:color="CEA2E1" w:themeColor="accent2" w:themeTint="BF"/>
        <w:right w:val="single" w:sz="8" w:space="0" w:color="CEA2E1" w:themeColor="accent2" w:themeTint="BF"/>
        <w:insideH w:val="single" w:sz="8" w:space="0" w:color="CEA2E1"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EA2E1" w:themeColor="accent2" w:themeTint="BF"/>
          <w:left w:val="single" w:sz="8" w:space="0" w:color="CEA2E1" w:themeColor="accent2" w:themeTint="BF"/>
          <w:bottom w:val="single" w:sz="8" w:space="0" w:color="CEA2E1" w:themeColor="accent2" w:themeTint="BF"/>
          <w:right w:val="single" w:sz="8" w:space="0" w:color="CEA2E1" w:themeColor="accent2" w:themeTint="BF"/>
          <w:insideH w:val="nil"/>
          <w:insideV w:val="nil"/>
        </w:tcBorders>
        <w:shd w:val="clear" w:color="auto" w:fill="BF83D7" w:themeFill="accent2"/>
      </w:tcPr>
    </w:tblStylePr>
    <w:tblStylePr w:type="lastRow">
      <w:pPr>
        <w:spacing w:before="0" w:after="0" w:line="240" w:lineRule="auto"/>
      </w:pPr>
      <w:rPr>
        <w:b/>
        <w:bCs/>
      </w:rPr>
      <w:tblPr/>
      <w:tcPr>
        <w:tcBorders>
          <w:top w:val="double" w:sz="6" w:space="0" w:color="CEA2E1" w:themeColor="accent2" w:themeTint="BF"/>
          <w:left w:val="single" w:sz="8" w:space="0" w:color="CEA2E1" w:themeColor="accent2" w:themeTint="BF"/>
          <w:bottom w:val="single" w:sz="8" w:space="0" w:color="CEA2E1" w:themeColor="accent2" w:themeTint="BF"/>
          <w:right w:val="single" w:sz="8" w:space="0" w:color="CEA2E1"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E0F5" w:themeFill="accent2" w:themeFillTint="3F"/>
      </w:tcPr>
    </w:tblStylePr>
    <w:tblStylePr w:type="band1Horz">
      <w:tblPr/>
      <w:tcPr>
        <w:tcBorders>
          <w:insideH w:val="nil"/>
          <w:insideV w:val="nil"/>
        </w:tcBorders>
        <w:shd w:val="clear" w:color="auto" w:fill="EFE0F5" w:themeFill="accent2" w:themeFillTint="3F"/>
      </w:tcPr>
    </w:tblStylePr>
    <w:tblStylePr w:type="band2Horz">
      <w:tblPr/>
      <w:tcPr>
        <w:tcBorders>
          <w:insideH w:val="nil"/>
          <w:insideV w:val="nil"/>
        </w:tcBorders>
      </w:tcPr>
    </w:tblStylePr>
  </w:style>
  <w:style w:type="paragraph" w:customStyle="1" w:styleId="Aneksi">
    <w:name w:val="Aneksi"/>
    <w:basedOn w:val="Heading1"/>
    <w:uiPriority w:val="99"/>
    <w:rsid w:val="00893C83"/>
    <w:pPr>
      <w:numPr>
        <w:numId w:val="1"/>
      </w:numPr>
    </w:pPr>
    <w:rPr>
      <w:b w:val="0"/>
      <w:sz w:val="24"/>
    </w:rPr>
  </w:style>
  <w:style w:type="character" w:styleId="FollowedHyperlink">
    <w:name w:val="FollowedHyperlink"/>
    <w:basedOn w:val="DefaultParagraphFont"/>
    <w:uiPriority w:val="99"/>
    <w:rsid w:val="004B1F52"/>
    <w:rPr>
      <w:rFonts w:cs="Times New Roman"/>
      <w:color w:val="000000"/>
      <w:u w:val="single"/>
    </w:rPr>
  </w:style>
  <w:style w:type="paragraph" w:styleId="BodyText">
    <w:name w:val="Body Text"/>
    <w:basedOn w:val="Normal"/>
    <w:link w:val="BodyTextChar"/>
    <w:uiPriority w:val="99"/>
    <w:rsid w:val="00D21ABC"/>
    <w:pPr>
      <w:spacing w:after="0"/>
    </w:pPr>
    <w:rPr>
      <w:rFonts w:ascii="Times New Roman" w:hAnsi="Times New Roman"/>
      <w:b/>
      <w:bCs/>
      <w:smallCaps/>
      <w:sz w:val="24"/>
      <w:lang w:val="en-GB"/>
    </w:rPr>
  </w:style>
  <w:style w:type="character" w:customStyle="1" w:styleId="BodyTextChar">
    <w:name w:val="Body Text Char"/>
    <w:basedOn w:val="DefaultParagraphFont"/>
    <w:link w:val="BodyText"/>
    <w:uiPriority w:val="99"/>
    <w:locked/>
    <w:rsid w:val="009846B5"/>
    <w:rPr>
      <w:rFonts w:ascii="Verdana" w:hAnsi="Verdana" w:cs="Times New Roman"/>
      <w:sz w:val="24"/>
      <w:szCs w:val="24"/>
    </w:rPr>
  </w:style>
  <w:style w:type="paragraph" w:styleId="TOCHeading">
    <w:name w:val="TOC Heading"/>
    <w:basedOn w:val="Heading1"/>
    <w:next w:val="Normal"/>
    <w:uiPriority w:val="99"/>
    <w:qFormat/>
    <w:rsid w:val="005E6620"/>
    <w:pPr>
      <w:keepLines/>
      <w:pageBreakBefore w:val="0"/>
      <w:numPr>
        <w:numId w:val="0"/>
      </w:numPr>
      <w:spacing w:before="480" w:after="0" w:line="276" w:lineRule="auto"/>
      <w:outlineLvl w:val="9"/>
    </w:pPr>
    <w:rPr>
      <w:rFonts w:cs="Times New Roman"/>
      <w:color w:val="365F91"/>
      <w:kern w:val="0"/>
      <w:szCs w:val="28"/>
    </w:rPr>
  </w:style>
  <w:style w:type="paragraph" w:styleId="ListParagraph">
    <w:name w:val="List Paragraph"/>
    <w:basedOn w:val="Normal"/>
    <w:uiPriority w:val="99"/>
    <w:qFormat/>
    <w:rsid w:val="008401FB"/>
    <w:pPr>
      <w:ind w:left="720"/>
      <w:contextualSpacing/>
    </w:pPr>
  </w:style>
  <w:style w:type="table" w:styleId="TableColumns5">
    <w:name w:val="Table Columns 5"/>
    <w:basedOn w:val="TableNormal"/>
    <w:uiPriority w:val="99"/>
    <w:rsid w:val="00AA0A03"/>
    <w:pPr>
      <w:spacing w:before="120" w:after="120"/>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paragraph" w:styleId="Subtitle">
    <w:name w:val="Subtitle"/>
    <w:basedOn w:val="Normal"/>
    <w:next w:val="Normal"/>
    <w:link w:val="SubtitleChar"/>
    <w:uiPriority w:val="99"/>
    <w:qFormat/>
    <w:rsid w:val="00FD4AB5"/>
    <w:pPr>
      <w:numPr>
        <w:ilvl w:val="1"/>
      </w:numPr>
    </w:pPr>
    <w:rPr>
      <w:rFonts w:ascii="Cambria" w:hAnsi="Cambria"/>
      <w:i/>
      <w:iCs/>
      <w:color w:val="4F81BD"/>
      <w:spacing w:val="15"/>
      <w:sz w:val="24"/>
    </w:rPr>
  </w:style>
  <w:style w:type="character" w:customStyle="1" w:styleId="SubtitleChar">
    <w:name w:val="Subtitle Char"/>
    <w:basedOn w:val="DefaultParagraphFont"/>
    <w:link w:val="Subtitle"/>
    <w:uiPriority w:val="99"/>
    <w:locked/>
    <w:rsid w:val="00FD4AB5"/>
    <w:rPr>
      <w:rFonts w:ascii="Cambria" w:hAnsi="Cambria" w:cs="Times New Roman"/>
      <w:i/>
      <w:iCs/>
      <w:color w:val="4F81BD"/>
      <w:spacing w:val="15"/>
      <w:sz w:val="24"/>
      <w:szCs w:val="24"/>
    </w:rPr>
  </w:style>
  <w:style w:type="table" w:styleId="TableClassic1">
    <w:name w:val="Table Classic 1"/>
    <w:basedOn w:val="TableNormal"/>
    <w:uiPriority w:val="99"/>
    <w:rsid w:val="00970582"/>
    <w:pPr>
      <w:spacing w:before="120" w:after="120"/>
      <w:jc w:val="both"/>
    </w:p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Tabele">
    <w:name w:val="Tabele"/>
    <w:basedOn w:val="Normal"/>
    <w:uiPriority w:val="99"/>
    <w:qFormat/>
    <w:rsid w:val="000F0461"/>
    <w:pPr>
      <w:numPr>
        <w:numId w:val="3"/>
      </w:numPr>
      <w:spacing w:before="120" w:after="360"/>
      <w:ind w:left="4770"/>
      <w:jc w:val="center"/>
    </w:pPr>
    <w:rPr>
      <w:i/>
      <w:sz w:val="20"/>
      <w:lang w:val="sr-Latn-CS"/>
    </w:rPr>
  </w:style>
  <w:style w:type="table" w:styleId="Table3Deffects3">
    <w:name w:val="Table 3D effects 3"/>
    <w:basedOn w:val="TableNormal"/>
    <w:uiPriority w:val="99"/>
    <w:rsid w:val="0032453C"/>
    <w:pPr>
      <w:spacing w:before="120" w:after="120"/>
      <w:jc w:val="both"/>
    </w:p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uiPriority w:val="99"/>
    <w:rsid w:val="0032453C"/>
    <w:pPr>
      <w:spacing w:before="120" w:after="12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paragraph" w:customStyle="1" w:styleId="Grafikon">
    <w:name w:val="Grafikon"/>
    <w:basedOn w:val="Normal"/>
    <w:uiPriority w:val="99"/>
    <w:qFormat/>
    <w:rsid w:val="003017C4"/>
    <w:pPr>
      <w:numPr>
        <w:numId w:val="4"/>
      </w:numPr>
      <w:ind w:left="360"/>
      <w:jc w:val="center"/>
    </w:pPr>
    <w:rPr>
      <w:i/>
      <w:sz w:val="20"/>
      <w:lang w:val="sr-Latn-CS"/>
    </w:rPr>
  </w:style>
  <w:style w:type="character" w:styleId="CommentReference">
    <w:name w:val="annotation reference"/>
    <w:basedOn w:val="DefaultParagraphFont"/>
    <w:uiPriority w:val="99"/>
    <w:semiHidden/>
    <w:unhideWhenUsed/>
    <w:rsid w:val="002E5D2E"/>
    <w:rPr>
      <w:sz w:val="16"/>
      <w:szCs w:val="16"/>
    </w:rPr>
  </w:style>
  <w:style w:type="paragraph" w:styleId="CommentText">
    <w:name w:val="annotation text"/>
    <w:basedOn w:val="Normal"/>
    <w:link w:val="CommentTextChar"/>
    <w:uiPriority w:val="99"/>
    <w:unhideWhenUsed/>
    <w:rsid w:val="002E5D2E"/>
    <w:rPr>
      <w:szCs w:val="20"/>
    </w:rPr>
  </w:style>
  <w:style w:type="character" w:customStyle="1" w:styleId="CommentTextChar">
    <w:name w:val="Comment Text Char"/>
    <w:basedOn w:val="DefaultParagraphFont"/>
    <w:link w:val="CommentText"/>
    <w:uiPriority w:val="99"/>
    <w:rsid w:val="002E5D2E"/>
    <w:rPr>
      <w:rFonts w:ascii="Verdana" w:hAnsi="Verdana"/>
    </w:rPr>
  </w:style>
  <w:style w:type="paragraph" w:styleId="CommentSubject">
    <w:name w:val="annotation subject"/>
    <w:basedOn w:val="CommentText"/>
    <w:next w:val="CommentText"/>
    <w:link w:val="CommentSubjectChar"/>
    <w:uiPriority w:val="99"/>
    <w:semiHidden/>
    <w:unhideWhenUsed/>
    <w:rsid w:val="002E5D2E"/>
    <w:rPr>
      <w:b/>
      <w:bCs/>
    </w:rPr>
  </w:style>
  <w:style w:type="character" w:customStyle="1" w:styleId="CommentSubjectChar">
    <w:name w:val="Comment Subject Char"/>
    <w:basedOn w:val="CommentTextChar"/>
    <w:link w:val="CommentSubject"/>
    <w:uiPriority w:val="99"/>
    <w:semiHidden/>
    <w:rsid w:val="002E5D2E"/>
    <w:rPr>
      <w:rFonts w:ascii="Verdana" w:hAnsi="Verdana"/>
      <w:b/>
      <w:bCs/>
    </w:rPr>
  </w:style>
  <w:style w:type="paragraph" w:styleId="NoSpacing">
    <w:name w:val="No Spacing"/>
    <w:link w:val="NoSpacingChar"/>
    <w:uiPriority w:val="1"/>
    <w:qFormat/>
    <w:rsid w:val="009E4056"/>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9E4056"/>
    <w:rPr>
      <w:rFonts w:asciiTheme="minorHAnsi" w:eastAsiaTheme="minorEastAsia" w:hAnsiTheme="minorHAnsi" w:cstheme="minorBidi"/>
      <w:sz w:val="22"/>
      <w:szCs w:val="22"/>
    </w:rPr>
  </w:style>
  <w:style w:type="table" w:styleId="LightShading-Accent3">
    <w:name w:val="Light Shading Accent 3"/>
    <w:basedOn w:val="TableNormal"/>
    <w:uiPriority w:val="60"/>
    <w:rsid w:val="00A7320C"/>
    <w:rPr>
      <w:color w:val="F58A30" w:themeColor="accent3" w:themeShade="BF"/>
    </w:rPr>
    <w:tblPr>
      <w:tblStyleRowBandSize w:val="1"/>
      <w:tblStyleColBandSize w:val="1"/>
      <w:tblInd w:w="0" w:type="dxa"/>
      <w:tblBorders>
        <w:top w:val="single" w:sz="8" w:space="0" w:color="FAC08F" w:themeColor="accent3"/>
        <w:bottom w:val="single" w:sz="8" w:space="0" w:color="FAC08F"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AC08F" w:themeColor="accent3"/>
          <w:left w:val="nil"/>
          <w:bottom w:val="single" w:sz="8" w:space="0" w:color="FAC08F" w:themeColor="accent3"/>
          <w:right w:val="nil"/>
          <w:insideH w:val="nil"/>
          <w:insideV w:val="nil"/>
        </w:tcBorders>
      </w:tcPr>
    </w:tblStylePr>
    <w:tblStylePr w:type="lastRow">
      <w:pPr>
        <w:spacing w:before="0" w:after="0" w:line="240" w:lineRule="auto"/>
      </w:pPr>
      <w:rPr>
        <w:b/>
        <w:bCs/>
      </w:rPr>
      <w:tblPr/>
      <w:tcPr>
        <w:tcBorders>
          <w:top w:val="single" w:sz="8" w:space="0" w:color="FAC08F" w:themeColor="accent3"/>
          <w:left w:val="nil"/>
          <w:bottom w:val="single" w:sz="8" w:space="0" w:color="FAC08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FE3" w:themeFill="accent3" w:themeFillTint="3F"/>
      </w:tcPr>
    </w:tblStylePr>
    <w:tblStylePr w:type="band1Horz">
      <w:tblPr/>
      <w:tcPr>
        <w:tcBorders>
          <w:left w:val="nil"/>
          <w:right w:val="nil"/>
          <w:insideH w:val="nil"/>
          <w:insideV w:val="nil"/>
        </w:tcBorders>
        <w:shd w:val="clear" w:color="auto" w:fill="FDEFE3" w:themeFill="accent3" w:themeFillTint="3F"/>
      </w:tcPr>
    </w:tblStylePr>
  </w:style>
  <w:style w:type="table" w:styleId="LightShading-Accent4">
    <w:name w:val="Light Shading Accent 4"/>
    <w:basedOn w:val="TableNormal"/>
    <w:uiPriority w:val="60"/>
    <w:rsid w:val="00A7320C"/>
    <w:rPr>
      <w:color w:val="3232FF" w:themeColor="accent4" w:themeShade="BF"/>
    </w:rPr>
    <w:tblPr>
      <w:tblStyleRowBandSize w:val="1"/>
      <w:tblStyleColBandSize w:val="1"/>
      <w:tblInd w:w="0" w:type="dxa"/>
      <w:tblBorders>
        <w:top w:val="single" w:sz="8" w:space="0" w:color="9999FF" w:themeColor="accent4"/>
        <w:bottom w:val="single" w:sz="8" w:space="0" w:color="9999FF"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999FF" w:themeColor="accent4"/>
          <w:left w:val="nil"/>
          <w:bottom w:val="single" w:sz="8" w:space="0" w:color="9999FF" w:themeColor="accent4"/>
          <w:right w:val="nil"/>
          <w:insideH w:val="nil"/>
          <w:insideV w:val="nil"/>
        </w:tcBorders>
      </w:tcPr>
    </w:tblStylePr>
    <w:tblStylePr w:type="lastRow">
      <w:pPr>
        <w:spacing w:before="0" w:after="0" w:line="240" w:lineRule="auto"/>
      </w:pPr>
      <w:rPr>
        <w:b/>
        <w:bCs/>
      </w:rPr>
      <w:tblPr/>
      <w:tcPr>
        <w:tcBorders>
          <w:top w:val="single" w:sz="8" w:space="0" w:color="9999FF" w:themeColor="accent4"/>
          <w:left w:val="nil"/>
          <w:bottom w:val="single" w:sz="8" w:space="0" w:color="9999F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FF" w:themeFill="accent4" w:themeFillTint="3F"/>
      </w:tcPr>
    </w:tblStylePr>
    <w:tblStylePr w:type="band1Horz">
      <w:tblPr/>
      <w:tcPr>
        <w:tcBorders>
          <w:left w:val="nil"/>
          <w:right w:val="nil"/>
          <w:insideH w:val="nil"/>
          <w:insideV w:val="nil"/>
        </w:tcBorders>
        <w:shd w:val="clear" w:color="auto" w:fill="E5E5FF" w:themeFill="accent4" w:themeFillTint="3F"/>
      </w:tcPr>
    </w:tblStylePr>
  </w:style>
  <w:style w:type="table" w:styleId="MediumShading2-Accent3">
    <w:name w:val="Medium Shading 2 Accent 3"/>
    <w:basedOn w:val="TableNormal"/>
    <w:uiPriority w:val="64"/>
    <w:rsid w:val="00A7320C"/>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AC08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AC08F" w:themeFill="accent3"/>
      </w:tcPr>
    </w:tblStylePr>
    <w:tblStylePr w:type="lastCol">
      <w:rPr>
        <w:b/>
        <w:bCs/>
        <w:color w:val="FFFFFF" w:themeColor="background1"/>
      </w:rPr>
      <w:tblPr/>
      <w:tcPr>
        <w:tcBorders>
          <w:left w:val="nil"/>
          <w:right w:val="nil"/>
          <w:insideH w:val="nil"/>
          <w:insideV w:val="nil"/>
        </w:tcBorders>
        <w:shd w:val="clear" w:color="auto" w:fill="FAC08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5">
    <w:name w:val="Medium List 1 Accent 5"/>
    <w:basedOn w:val="TableNormal"/>
    <w:uiPriority w:val="65"/>
    <w:rsid w:val="00FF23A8"/>
    <w:rPr>
      <w:color w:val="000000" w:themeColor="text1"/>
    </w:rPr>
    <w:tblPr>
      <w:tblStyleRowBandSize w:val="1"/>
      <w:tblStyleColBandSize w:val="1"/>
      <w:tblInd w:w="0" w:type="dxa"/>
      <w:tblBorders>
        <w:top w:val="single" w:sz="8" w:space="0" w:color="9BD45F" w:themeColor="accent5"/>
        <w:bottom w:val="single" w:sz="8" w:space="0" w:color="9BD45F"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D45F" w:themeColor="accent5"/>
        </w:tcBorders>
      </w:tcPr>
    </w:tblStylePr>
    <w:tblStylePr w:type="lastRow">
      <w:rPr>
        <w:b/>
        <w:bCs/>
        <w:color w:val="1F497D" w:themeColor="text2"/>
      </w:rPr>
      <w:tblPr/>
      <w:tcPr>
        <w:tcBorders>
          <w:top w:val="single" w:sz="8" w:space="0" w:color="9BD45F" w:themeColor="accent5"/>
          <w:bottom w:val="single" w:sz="8" w:space="0" w:color="9BD45F" w:themeColor="accent5"/>
        </w:tcBorders>
      </w:tcPr>
    </w:tblStylePr>
    <w:tblStylePr w:type="firstCol">
      <w:rPr>
        <w:b/>
        <w:bCs/>
      </w:rPr>
    </w:tblStylePr>
    <w:tblStylePr w:type="lastCol">
      <w:rPr>
        <w:b/>
        <w:bCs/>
      </w:rPr>
      <w:tblPr/>
      <w:tcPr>
        <w:tcBorders>
          <w:top w:val="single" w:sz="8" w:space="0" w:color="9BD45F" w:themeColor="accent5"/>
          <w:bottom w:val="single" w:sz="8" w:space="0" w:color="9BD45F" w:themeColor="accent5"/>
        </w:tcBorders>
      </w:tcPr>
    </w:tblStylePr>
    <w:tblStylePr w:type="band1Vert">
      <w:tblPr/>
      <w:tcPr>
        <w:shd w:val="clear" w:color="auto" w:fill="E6F4D7" w:themeFill="accent5" w:themeFillTint="3F"/>
      </w:tcPr>
    </w:tblStylePr>
    <w:tblStylePr w:type="band1Horz">
      <w:tblPr/>
      <w:tcPr>
        <w:shd w:val="clear" w:color="auto" w:fill="E6F4D7" w:themeFill="accent5" w:themeFillTint="3F"/>
      </w:tcPr>
    </w:tblStylePr>
  </w:style>
  <w:style w:type="table" w:styleId="MediumGrid3-Accent5">
    <w:name w:val="Medium Grid 3 Accent 5"/>
    <w:basedOn w:val="TableNormal"/>
    <w:uiPriority w:val="69"/>
    <w:rsid w:val="00FF23A8"/>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F4D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D4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D4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D4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D4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CE9A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CE9AF" w:themeFill="accent5" w:themeFillTint="7F"/>
      </w:tcPr>
    </w:tblStylePr>
  </w:style>
  <w:style w:type="table" w:styleId="MediumGrid2-Accent2">
    <w:name w:val="Medium Grid 2 Accent 2"/>
    <w:basedOn w:val="TableNormal"/>
    <w:uiPriority w:val="68"/>
    <w:rsid w:val="00853393"/>
    <w:rPr>
      <w:rFonts w:asciiTheme="majorHAnsi" w:eastAsiaTheme="majorEastAsia" w:hAnsiTheme="majorHAnsi" w:cstheme="majorBidi"/>
      <w:color w:val="000000" w:themeColor="text1"/>
    </w:rPr>
    <w:tblPr>
      <w:tblStyleRowBandSize w:val="1"/>
      <w:tblStyleColBandSize w:val="1"/>
      <w:tblInd w:w="0" w:type="dxa"/>
      <w:tblBorders>
        <w:top w:val="single" w:sz="8" w:space="0" w:color="BF83D7" w:themeColor="accent2"/>
        <w:left w:val="single" w:sz="8" w:space="0" w:color="BF83D7" w:themeColor="accent2"/>
        <w:bottom w:val="single" w:sz="8" w:space="0" w:color="BF83D7" w:themeColor="accent2"/>
        <w:right w:val="single" w:sz="8" w:space="0" w:color="BF83D7" w:themeColor="accent2"/>
        <w:insideH w:val="single" w:sz="8" w:space="0" w:color="BF83D7" w:themeColor="accent2"/>
        <w:insideV w:val="single" w:sz="8" w:space="0" w:color="BF83D7" w:themeColor="accent2"/>
      </w:tblBorders>
      <w:tblCellMar>
        <w:top w:w="0" w:type="dxa"/>
        <w:left w:w="108" w:type="dxa"/>
        <w:bottom w:w="0" w:type="dxa"/>
        <w:right w:w="108" w:type="dxa"/>
      </w:tblCellMar>
    </w:tblPr>
    <w:tcPr>
      <w:shd w:val="clear" w:color="auto" w:fill="EFE0F5" w:themeFill="accent2" w:themeFillTint="3F"/>
    </w:tcPr>
    <w:tblStylePr w:type="firstRow">
      <w:rPr>
        <w:b/>
        <w:bCs/>
        <w:color w:val="000000" w:themeColor="text1"/>
      </w:rPr>
      <w:tblPr/>
      <w:tcPr>
        <w:shd w:val="clear" w:color="auto" w:fill="F8F2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E6F7" w:themeFill="accent2" w:themeFillTint="33"/>
      </w:tcPr>
    </w:tblStylePr>
    <w:tblStylePr w:type="band1Vert">
      <w:tblPr/>
      <w:tcPr>
        <w:shd w:val="clear" w:color="auto" w:fill="DEC1EB" w:themeFill="accent2" w:themeFillTint="7F"/>
      </w:tcPr>
    </w:tblStylePr>
    <w:tblStylePr w:type="band1Horz">
      <w:tblPr/>
      <w:tcPr>
        <w:tcBorders>
          <w:insideH w:val="single" w:sz="6" w:space="0" w:color="BF83D7" w:themeColor="accent2"/>
          <w:insideV w:val="single" w:sz="6" w:space="0" w:color="BF83D7" w:themeColor="accent2"/>
        </w:tcBorders>
        <w:shd w:val="clear" w:color="auto" w:fill="DEC1EB" w:themeFill="accent2" w:themeFillTint="7F"/>
      </w:tcPr>
    </w:tblStylePr>
    <w:tblStylePr w:type="nwCell">
      <w:tblPr/>
      <w:tcPr>
        <w:shd w:val="clear" w:color="auto" w:fill="FFFFFF" w:themeFill="background1"/>
      </w:tcPr>
    </w:tblStylePr>
  </w:style>
  <w:style w:type="paragraph" w:styleId="FootnoteText">
    <w:name w:val="footnote text"/>
    <w:basedOn w:val="Normal"/>
    <w:link w:val="FootnoteTextChar"/>
    <w:uiPriority w:val="99"/>
    <w:semiHidden/>
    <w:unhideWhenUsed/>
    <w:rsid w:val="0088185A"/>
    <w:pPr>
      <w:spacing w:after="0"/>
    </w:pPr>
    <w:rPr>
      <w:sz w:val="20"/>
      <w:szCs w:val="20"/>
    </w:rPr>
  </w:style>
  <w:style w:type="character" w:customStyle="1" w:styleId="FootnoteTextChar">
    <w:name w:val="Footnote Text Char"/>
    <w:basedOn w:val="DefaultParagraphFont"/>
    <w:link w:val="FootnoteText"/>
    <w:uiPriority w:val="99"/>
    <w:semiHidden/>
    <w:rsid w:val="0088185A"/>
    <w:rPr>
      <w:rFonts w:ascii="Verdana" w:hAnsi="Verdana"/>
    </w:rPr>
  </w:style>
  <w:style w:type="character" w:styleId="FootnoteReference">
    <w:name w:val="footnote reference"/>
    <w:basedOn w:val="DefaultParagraphFont"/>
    <w:uiPriority w:val="99"/>
    <w:semiHidden/>
    <w:unhideWhenUsed/>
    <w:rsid w:val="0088185A"/>
    <w:rPr>
      <w:vertAlign w:val="superscript"/>
    </w:rPr>
  </w:style>
  <w:style w:type="table" w:styleId="LightList-Accent4">
    <w:name w:val="Light List Accent 4"/>
    <w:basedOn w:val="TableNormal"/>
    <w:uiPriority w:val="61"/>
    <w:rsid w:val="00C027E4"/>
    <w:tblPr>
      <w:tblStyleRowBandSize w:val="1"/>
      <w:tblStyleColBandSize w:val="1"/>
      <w:tblInd w:w="0" w:type="dxa"/>
      <w:tblBorders>
        <w:top w:val="single" w:sz="8" w:space="0" w:color="9999FF" w:themeColor="accent4"/>
        <w:left w:val="single" w:sz="8" w:space="0" w:color="9999FF" w:themeColor="accent4"/>
        <w:bottom w:val="single" w:sz="8" w:space="0" w:color="9999FF" w:themeColor="accent4"/>
        <w:right w:val="single" w:sz="8" w:space="0" w:color="9999FF"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999FF" w:themeFill="accent4"/>
      </w:tcPr>
    </w:tblStylePr>
    <w:tblStylePr w:type="lastRow">
      <w:pPr>
        <w:spacing w:before="0" w:after="0" w:line="240" w:lineRule="auto"/>
      </w:pPr>
      <w:rPr>
        <w:b/>
        <w:bCs/>
      </w:rPr>
      <w:tblPr/>
      <w:tcPr>
        <w:tcBorders>
          <w:top w:val="double" w:sz="6" w:space="0" w:color="9999FF" w:themeColor="accent4"/>
          <w:left w:val="single" w:sz="8" w:space="0" w:color="9999FF" w:themeColor="accent4"/>
          <w:bottom w:val="single" w:sz="8" w:space="0" w:color="9999FF" w:themeColor="accent4"/>
          <w:right w:val="single" w:sz="8" w:space="0" w:color="9999FF" w:themeColor="accent4"/>
        </w:tcBorders>
      </w:tcPr>
    </w:tblStylePr>
    <w:tblStylePr w:type="firstCol">
      <w:rPr>
        <w:b/>
        <w:bCs/>
      </w:rPr>
    </w:tblStylePr>
    <w:tblStylePr w:type="lastCol">
      <w:rPr>
        <w:b/>
        <w:bCs/>
      </w:rPr>
    </w:tblStylePr>
    <w:tblStylePr w:type="band1Vert">
      <w:tblPr/>
      <w:tcPr>
        <w:tcBorders>
          <w:top w:val="single" w:sz="8" w:space="0" w:color="9999FF" w:themeColor="accent4"/>
          <w:left w:val="single" w:sz="8" w:space="0" w:color="9999FF" w:themeColor="accent4"/>
          <w:bottom w:val="single" w:sz="8" w:space="0" w:color="9999FF" w:themeColor="accent4"/>
          <w:right w:val="single" w:sz="8" w:space="0" w:color="9999FF" w:themeColor="accent4"/>
        </w:tcBorders>
      </w:tcPr>
    </w:tblStylePr>
    <w:tblStylePr w:type="band1Horz">
      <w:tblPr/>
      <w:tcPr>
        <w:tcBorders>
          <w:top w:val="single" w:sz="8" w:space="0" w:color="9999FF" w:themeColor="accent4"/>
          <w:left w:val="single" w:sz="8" w:space="0" w:color="9999FF" w:themeColor="accent4"/>
          <w:bottom w:val="single" w:sz="8" w:space="0" w:color="9999FF" w:themeColor="accent4"/>
          <w:right w:val="single" w:sz="8" w:space="0" w:color="9999FF" w:themeColor="accent4"/>
        </w:tcBorders>
      </w:tcPr>
    </w:tblStylePr>
  </w:style>
  <w:style w:type="table" w:customStyle="1" w:styleId="LightList1">
    <w:name w:val="Light List1"/>
    <w:basedOn w:val="TableNormal"/>
    <w:uiPriority w:val="61"/>
    <w:rsid w:val="00F907FB"/>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TableNormal"/>
    <w:uiPriority w:val="61"/>
    <w:rsid w:val="00F907FB"/>
    <w:tblPr>
      <w:tblStyleRowBandSize w:val="1"/>
      <w:tblStyleColBandSize w:val="1"/>
      <w:tblInd w:w="0" w:type="dxa"/>
      <w:tblBorders>
        <w:top w:val="single" w:sz="8" w:space="0" w:color="CEEAB0" w:themeColor="accent1"/>
        <w:left w:val="single" w:sz="8" w:space="0" w:color="CEEAB0" w:themeColor="accent1"/>
        <w:bottom w:val="single" w:sz="8" w:space="0" w:color="CEEAB0" w:themeColor="accent1"/>
        <w:right w:val="single" w:sz="8" w:space="0" w:color="CEEAB0"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EEAB0" w:themeFill="accent1"/>
      </w:tcPr>
    </w:tblStylePr>
    <w:tblStylePr w:type="lastRow">
      <w:pPr>
        <w:spacing w:before="0" w:after="0" w:line="240" w:lineRule="auto"/>
      </w:pPr>
      <w:rPr>
        <w:b/>
        <w:bCs/>
      </w:rPr>
      <w:tblPr/>
      <w:tcPr>
        <w:tcBorders>
          <w:top w:val="double" w:sz="6" w:space="0" w:color="CEEAB0" w:themeColor="accent1"/>
          <w:left w:val="single" w:sz="8" w:space="0" w:color="CEEAB0" w:themeColor="accent1"/>
          <w:bottom w:val="single" w:sz="8" w:space="0" w:color="CEEAB0" w:themeColor="accent1"/>
          <w:right w:val="single" w:sz="8" w:space="0" w:color="CEEAB0" w:themeColor="accent1"/>
        </w:tcBorders>
      </w:tcPr>
    </w:tblStylePr>
    <w:tblStylePr w:type="firstCol">
      <w:rPr>
        <w:b/>
        <w:bCs/>
      </w:rPr>
    </w:tblStylePr>
    <w:tblStylePr w:type="lastCol">
      <w:rPr>
        <w:b/>
        <w:bCs/>
      </w:rPr>
    </w:tblStylePr>
    <w:tblStylePr w:type="band1Vert">
      <w:tblPr/>
      <w:tcPr>
        <w:tcBorders>
          <w:top w:val="single" w:sz="8" w:space="0" w:color="CEEAB0" w:themeColor="accent1"/>
          <w:left w:val="single" w:sz="8" w:space="0" w:color="CEEAB0" w:themeColor="accent1"/>
          <w:bottom w:val="single" w:sz="8" w:space="0" w:color="CEEAB0" w:themeColor="accent1"/>
          <w:right w:val="single" w:sz="8" w:space="0" w:color="CEEAB0" w:themeColor="accent1"/>
        </w:tcBorders>
      </w:tcPr>
    </w:tblStylePr>
    <w:tblStylePr w:type="band1Horz">
      <w:tblPr/>
      <w:tcPr>
        <w:tcBorders>
          <w:top w:val="single" w:sz="8" w:space="0" w:color="CEEAB0" w:themeColor="accent1"/>
          <w:left w:val="single" w:sz="8" w:space="0" w:color="CEEAB0" w:themeColor="accent1"/>
          <w:bottom w:val="single" w:sz="8" w:space="0" w:color="CEEAB0" w:themeColor="accent1"/>
          <w:right w:val="single" w:sz="8" w:space="0" w:color="CEEAB0" w:themeColor="accent1"/>
        </w:tcBorders>
      </w:tcPr>
    </w:tblStylePr>
  </w:style>
  <w:style w:type="table" w:styleId="ColorfulShading-Accent5">
    <w:name w:val="Colorful Shading Accent 5"/>
    <w:basedOn w:val="TableNormal"/>
    <w:uiPriority w:val="71"/>
    <w:rsid w:val="00F907FB"/>
    <w:rPr>
      <w:color w:val="000000" w:themeColor="text1"/>
    </w:rPr>
    <w:tblPr>
      <w:tblStyleRowBandSize w:val="1"/>
      <w:tblStyleColBandSize w:val="1"/>
      <w:tblInd w:w="0" w:type="dxa"/>
      <w:tblBorders>
        <w:top w:val="single" w:sz="24" w:space="0" w:color="F79646" w:themeColor="accent6"/>
        <w:left w:val="single" w:sz="4" w:space="0" w:color="9BD45F" w:themeColor="accent5"/>
        <w:bottom w:val="single" w:sz="4" w:space="0" w:color="9BD45F" w:themeColor="accent5"/>
        <w:right w:val="single" w:sz="4" w:space="0" w:color="9BD45F"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AEF"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D9027" w:themeFill="accent5" w:themeFillShade="99"/>
      </w:tcPr>
    </w:tblStylePr>
    <w:tblStylePr w:type="firstCol">
      <w:rPr>
        <w:color w:val="FFFFFF" w:themeColor="background1"/>
      </w:rPr>
      <w:tblPr/>
      <w:tcPr>
        <w:tcBorders>
          <w:top w:val="nil"/>
          <w:left w:val="nil"/>
          <w:bottom w:val="nil"/>
          <w:right w:val="nil"/>
          <w:insideH w:val="single" w:sz="4" w:space="0" w:color="5D9027" w:themeColor="accent5" w:themeShade="99"/>
          <w:insideV w:val="nil"/>
        </w:tcBorders>
        <w:shd w:val="clear" w:color="auto" w:fill="5D902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D9027" w:themeFill="accent5" w:themeFillShade="99"/>
      </w:tcPr>
    </w:tblStylePr>
    <w:tblStylePr w:type="band1Vert">
      <w:tblPr/>
      <w:tcPr>
        <w:shd w:val="clear" w:color="auto" w:fill="D6EDBE" w:themeFill="accent5" w:themeFillTint="66"/>
      </w:tcPr>
    </w:tblStylePr>
    <w:tblStylePr w:type="band1Horz">
      <w:tblPr/>
      <w:tcPr>
        <w:shd w:val="clear" w:color="auto" w:fill="CCE9AF" w:themeFill="accent5" w:themeFillTint="7F"/>
      </w:tcPr>
    </w:tblStylePr>
    <w:tblStylePr w:type="neCell">
      <w:rPr>
        <w:color w:val="000000" w:themeColor="text1"/>
      </w:rPr>
    </w:tblStylePr>
    <w:tblStylePr w:type="nwCell">
      <w:rPr>
        <w:color w:val="000000" w:themeColor="text1"/>
      </w:rPr>
    </w:tblStylePr>
  </w:style>
  <w:style w:type="table" w:styleId="LightList-Accent2">
    <w:name w:val="Light List Accent 2"/>
    <w:basedOn w:val="TableNormal"/>
    <w:uiPriority w:val="61"/>
    <w:rsid w:val="00F907FB"/>
    <w:tblPr>
      <w:tblStyleRowBandSize w:val="1"/>
      <w:tblStyleColBandSize w:val="1"/>
      <w:tblInd w:w="0" w:type="dxa"/>
      <w:tblBorders>
        <w:top w:val="single" w:sz="8" w:space="0" w:color="BF83D7" w:themeColor="accent2"/>
        <w:left w:val="single" w:sz="8" w:space="0" w:color="BF83D7" w:themeColor="accent2"/>
        <w:bottom w:val="single" w:sz="8" w:space="0" w:color="BF83D7" w:themeColor="accent2"/>
        <w:right w:val="single" w:sz="8" w:space="0" w:color="BF83D7"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BF83D7" w:themeFill="accent2"/>
      </w:tcPr>
    </w:tblStylePr>
    <w:tblStylePr w:type="lastRow">
      <w:pPr>
        <w:spacing w:before="0" w:after="0" w:line="240" w:lineRule="auto"/>
      </w:pPr>
      <w:rPr>
        <w:b/>
        <w:bCs/>
      </w:rPr>
      <w:tblPr/>
      <w:tcPr>
        <w:tcBorders>
          <w:top w:val="double" w:sz="6" w:space="0" w:color="BF83D7" w:themeColor="accent2"/>
          <w:left w:val="single" w:sz="8" w:space="0" w:color="BF83D7" w:themeColor="accent2"/>
          <w:bottom w:val="single" w:sz="8" w:space="0" w:color="BF83D7" w:themeColor="accent2"/>
          <w:right w:val="single" w:sz="8" w:space="0" w:color="BF83D7" w:themeColor="accent2"/>
        </w:tcBorders>
      </w:tcPr>
    </w:tblStylePr>
    <w:tblStylePr w:type="firstCol">
      <w:rPr>
        <w:b/>
        <w:bCs/>
      </w:rPr>
    </w:tblStylePr>
    <w:tblStylePr w:type="lastCol">
      <w:rPr>
        <w:b/>
        <w:bCs/>
      </w:rPr>
    </w:tblStylePr>
    <w:tblStylePr w:type="band1Vert">
      <w:tblPr/>
      <w:tcPr>
        <w:tcBorders>
          <w:top w:val="single" w:sz="8" w:space="0" w:color="BF83D7" w:themeColor="accent2"/>
          <w:left w:val="single" w:sz="8" w:space="0" w:color="BF83D7" w:themeColor="accent2"/>
          <w:bottom w:val="single" w:sz="8" w:space="0" w:color="BF83D7" w:themeColor="accent2"/>
          <w:right w:val="single" w:sz="8" w:space="0" w:color="BF83D7" w:themeColor="accent2"/>
        </w:tcBorders>
      </w:tcPr>
    </w:tblStylePr>
    <w:tblStylePr w:type="band1Horz">
      <w:tblPr/>
      <w:tcPr>
        <w:tcBorders>
          <w:top w:val="single" w:sz="8" w:space="0" w:color="BF83D7" w:themeColor="accent2"/>
          <w:left w:val="single" w:sz="8" w:space="0" w:color="BF83D7" w:themeColor="accent2"/>
          <w:bottom w:val="single" w:sz="8" w:space="0" w:color="BF83D7" w:themeColor="accent2"/>
          <w:right w:val="single" w:sz="8" w:space="0" w:color="BF83D7" w:themeColor="accent2"/>
        </w:tcBorders>
      </w:tcPr>
    </w:tblStylePr>
  </w:style>
  <w:style w:type="paragraph" w:styleId="EndnoteText">
    <w:name w:val="endnote text"/>
    <w:basedOn w:val="Normal"/>
    <w:link w:val="EndnoteTextChar"/>
    <w:uiPriority w:val="99"/>
    <w:semiHidden/>
    <w:unhideWhenUsed/>
    <w:rsid w:val="002E03CC"/>
    <w:pPr>
      <w:spacing w:after="0"/>
    </w:pPr>
    <w:rPr>
      <w:sz w:val="20"/>
      <w:szCs w:val="20"/>
    </w:rPr>
  </w:style>
  <w:style w:type="character" w:customStyle="1" w:styleId="EndnoteTextChar">
    <w:name w:val="Endnote Text Char"/>
    <w:basedOn w:val="DefaultParagraphFont"/>
    <w:link w:val="EndnoteText"/>
    <w:uiPriority w:val="99"/>
    <w:semiHidden/>
    <w:rsid w:val="002E03CC"/>
    <w:rPr>
      <w:rFonts w:ascii="Myriad Pro" w:hAnsi="Myriad Pro"/>
    </w:rPr>
  </w:style>
  <w:style w:type="character" w:styleId="EndnoteReference">
    <w:name w:val="endnote reference"/>
    <w:basedOn w:val="DefaultParagraphFont"/>
    <w:uiPriority w:val="99"/>
    <w:semiHidden/>
    <w:unhideWhenUsed/>
    <w:rsid w:val="002E03CC"/>
    <w:rPr>
      <w:vertAlign w:val="superscript"/>
    </w:rPr>
  </w:style>
  <w:style w:type="table" w:styleId="DarkList-Accent2">
    <w:name w:val="Dark List Accent 2"/>
    <w:basedOn w:val="TableNormal"/>
    <w:uiPriority w:val="70"/>
    <w:rsid w:val="000068B4"/>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BF83D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82A82"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C41C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C41C1" w:themeFill="accent2" w:themeFillShade="BF"/>
      </w:tcPr>
    </w:tblStylePr>
    <w:tblStylePr w:type="band1Vert">
      <w:tblPr/>
      <w:tcPr>
        <w:tcBorders>
          <w:top w:val="nil"/>
          <w:left w:val="nil"/>
          <w:bottom w:val="nil"/>
          <w:right w:val="nil"/>
          <w:insideH w:val="nil"/>
          <w:insideV w:val="nil"/>
        </w:tcBorders>
        <w:shd w:val="clear" w:color="auto" w:fill="9C41C1" w:themeFill="accent2" w:themeFillShade="BF"/>
      </w:tcPr>
    </w:tblStylePr>
    <w:tblStylePr w:type="band1Horz">
      <w:tblPr/>
      <w:tcPr>
        <w:tcBorders>
          <w:top w:val="nil"/>
          <w:left w:val="nil"/>
          <w:bottom w:val="nil"/>
          <w:right w:val="nil"/>
          <w:insideH w:val="nil"/>
          <w:insideV w:val="nil"/>
        </w:tcBorders>
        <w:shd w:val="clear" w:color="auto" w:fill="9C41C1" w:themeFill="accent2" w:themeFillShade="BF"/>
      </w:tcPr>
    </w:tblStylePr>
  </w:style>
  <w:style w:type="table" w:styleId="MediumGrid3-Accent6">
    <w:name w:val="Medium Grid 3 Accent 6"/>
    <w:basedOn w:val="TableNormal"/>
    <w:uiPriority w:val="69"/>
    <w:rsid w:val="000068B4"/>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ghtList-Accent5">
    <w:name w:val="Light List Accent 5"/>
    <w:basedOn w:val="TableNormal"/>
    <w:uiPriority w:val="61"/>
    <w:rsid w:val="000068B4"/>
    <w:tblPr>
      <w:tblStyleRowBandSize w:val="1"/>
      <w:tblStyleColBandSize w:val="1"/>
      <w:tblInd w:w="0" w:type="dxa"/>
      <w:tblBorders>
        <w:top w:val="single" w:sz="8" w:space="0" w:color="9BD45F" w:themeColor="accent5"/>
        <w:left w:val="single" w:sz="8" w:space="0" w:color="9BD45F" w:themeColor="accent5"/>
        <w:bottom w:val="single" w:sz="8" w:space="0" w:color="9BD45F" w:themeColor="accent5"/>
        <w:right w:val="single" w:sz="8" w:space="0" w:color="9BD45F"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D45F" w:themeFill="accent5"/>
      </w:tcPr>
    </w:tblStylePr>
    <w:tblStylePr w:type="lastRow">
      <w:pPr>
        <w:spacing w:before="0" w:after="0" w:line="240" w:lineRule="auto"/>
      </w:pPr>
      <w:rPr>
        <w:b/>
        <w:bCs/>
      </w:rPr>
      <w:tblPr/>
      <w:tcPr>
        <w:tcBorders>
          <w:top w:val="double" w:sz="6" w:space="0" w:color="9BD45F" w:themeColor="accent5"/>
          <w:left w:val="single" w:sz="8" w:space="0" w:color="9BD45F" w:themeColor="accent5"/>
          <w:bottom w:val="single" w:sz="8" w:space="0" w:color="9BD45F" w:themeColor="accent5"/>
          <w:right w:val="single" w:sz="8" w:space="0" w:color="9BD45F" w:themeColor="accent5"/>
        </w:tcBorders>
      </w:tcPr>
    </w:tblStylePr>
    <w:tblStylePr w:type="firstCol">
      <w:rPr>
        <w:b/>
        <w:bCs/>
      </w:rPr>
    </w:tblStylePr>
    <w:tblStylePr w:type="lastCol">
      <w:rPr>
        <w:b/>
        <w:bCs/>
      </w:rPr>
    </w:tblStylePr>
    <w:tblStylePr w:type="band1Vert">
      <w:tblPr/>
      <w:tcPr>
        <w:tcBorders>
          <w:top w:val="single" w:sz="8" w:space="0" w:color="9BD45F" w:themeColor="accent5"/>
          <w:left w:val="single" w:sz="8" w:space="0" w:color="9BD45F" w:themeColor="accent5"/>
          <w:bottom w:val="single" w:sz="8" w:space="0" w:color="9BD45F" w:themeColor="accent5"/>
          <w:right w:val="single" w:sz="8" w:space="0" w:color="9BD45F" w:themeColor="accent5"/>
        </w:tcBorders>
      </w:tcPr>
    </w:tblStylePr>
    <w:tblStylePr w:type="band1Horz">
      <w:tblPr/>
      <w:tcPr>
        <w:tcBorders>
          <w:top w:val="single" w:sz="8" w:space="0" w:color="9BD45F" w:themeColor="accent5"/>
          <w:left w:val="single" w:sz="8" w:space="0" w:color="9BD45F" w:themeColor="accent5"/>
          <w:bottom w:val="single" w:sz="8" w:space="0" w:color="9BD45F" w:themeColor="accent5"/>
          <w:right w:val="single" w:sz="8" w:space="0" w:color="9BD45F" w:themeColor="accent5"/>
        </w:tcBorders>
      </w:tcPr>
    </w:tblStylePr>
  </w:style>
  <w:style w:type="table" w:styleId="LightGrid-Accent4">
    <w:name w:val="Light Grid Accent 4"/>
    <w:basedOn w:val="TableNormal"/>
    <w:uiPriority w:val="62"/>
    <w:rsid w:val="00143F88"/>
    <w:tblPr>
      <w:tblStyleRowBandSize w:val="1"/>
      <w:tblStyleColBandSize w:val="1"/>
      <w:tblInd w:w="0" w:type="dxa"/>
      <w:tblBorders>
        <w:top w:val="single" w:sz="8" w:space="0" w:color="9999FF" w:themeColor="accent4"/>
        <w:left w:val="single" w:sz="8" w:space="0" w:color="9999FF" w:themeColor="accent4"/>
        <w:bottom w:val="single" w:sz="8" w:space="0" w:color="9999FF" w:themeColor="accent4"/>
        <w:right w:val="single" w:sz="8" w:space="0" w:color="9999FF" w:themeColor="accent4"/>
        <w:insideH w:val="single" w:sz="8" w:space="0" w:color="9999FF" w:themeColor="accent4"/>
        <w:insideV w:val="single" w:sz="8" w:space="0" w:color="9999FF"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999FF" w:themeColor="accent4"/>
          <w:left w:val="single" w:sz="8" w:space="0" w:color="9999FF" w:themeColor="accent4"/>
          <w:bottom w:val="single" w:sz="18" w:space="0" w:color="9999FF" w:themeColor="accent4"/>
          <w:right w:val="single" w:sz="8" w:space="0" w:color="9999FF" w:themeColor="accent4"/>
          <w:insideH w:val="nil"/>
          <w:insideV w:val="single" w:sz="8" w:space="0" w:color="9999F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999FF" w:themeColor="accent4"/>
          <w:left w:val="single" w:sz="8" w:space="0" w:color="9999FF" w:themeColor="accent4"/>
          <w:bottom w:val="single" w:sz="8" w:space="0" w:color="9999FF" w:themeColor="accent4"/>
          <w:right w:val="single" w:sz="8" w:space="0" w:color="9999FF" w:themeColor="accent4"/>
          <w:insideH w:val="nil"/>
          <w:insideV w:val="single" w:sz="8" w:space="0" w:color="9999F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999FF" w:themeColor="accent4"/>
          <w:left w:val="single" w:sz="8" w:space="0" w:color="9999FF" w:themeColor="accent4"/>
          <w:bottom w:val="single" w:sz="8" w:space="0" w:color="9999FF" w:themeColor="accent4"/>
          <w:right w:val="single" w:sz="8" w:space="0" w:color="9999FF" w:themeColor="accent4"/>
        </w:tcBorders>
      </w:tcPr>
    </w:tblStylePr>
    <w:tblStylePr w:type="band1Vert">
      <w:tblPr/>
      <w:tcPr>
        <w:tcBorders>
          <w:top w:val="single" w:sz="8" w:space="0" w:color="9999FF" w:themeColor="accent4"/>
          <w:left w:val="single" w:sz="8" w:space="0" w:color="9999FF" w:themeColor="accent4"/>
          <w:bottom w:val="single" w:sz="8" w:space="0" w:color="9999FF" w:themeColor="accent4"/>
          <w:right w:val="single" w:sz="8" w:space="0" w:color="9999FF" w:themeColor="accent4"/>
        </w:tcBorders>
        <w:shd w:val="clear" w:color="auto" w:fill="E5E5FF" w:themeFill="accent4" w:themeFillTint="3F"/>
      </w:tcPr>
    </w:tblStylePr>
    <w:tblStylePr w:type="band1Horz">
      <w:tblPr/>
      <w:tcPr>
        <w:tcBorders>
          <w:top w:val="single" w:sz="8" w:space="0" w:color="9999FF" w:themeColor="accent4"/>
          <w:left w:val="single" w:sz="8" w:space="0" w:color="9999FF" w:themeColor="accent4"/>
          <w:bottom w:val="single" w:sz="8" w:space="0" w:color="9999FF" w:themeColor="accent4"/>
          <w:right w:val="single" w:sz="8" w:space="0" w:color="9999FF" w:themeColor="accent4"/>
          <w:insideV w:val="single" w:sz="8" w:space="0" w:color="9999FF" w:themeColor="accent4"/>
        </w:tcBorders>
        <w:shd w:val="clear" w:color="auto" w:fill="E5E5FF" w:themeFill="accent4" w:themeFillTint="3F"/>
      </w:tcPr>
    </w:tblStylePr>
    <w:tblStylePr w:type="band2Horz">
      <w:tblPr/>
      <w:tcPr>
        <w:tcBorders>
          <w:top w:val="single" w:sz="8" w:space="0" w:color="9999FF" w:themeColor="accent4"/>
          <w:left w:val="single" w:sz="8" w:space="0" w:color="9999FF" w:themeColor="accent4"/>
          <w:bottom w:val="single" w:sz="8" w:space="0" w:color="9999FF" w:themeColor="accent4"/>
          <w:right w:val="single" w:sz="8" w:space="0" w:color="9999FF" w:themeColor="accent4"/>
          <w:insideV w:val="single" w:sz="8" w:space="0" w:color="9999FF" w:themeColor="accent4"/>
        </w:tcBorders>
      </w:tcPr>
    </w:tblStylePr>
  </w:style>
  <w:style w:type="table" w:styleId="MediumShading1-Accent6">
    <w:name w:val="Medium Shading 1 Accent 6"/>
    <w:basedOn w:val="TableNormal"/>
    <w:uiPriority w:val="63"/>
    <w:rsid w:val="00143F88"/>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Grid3-Accent2">
    <w:name w:val="Medium Grid 3 Accent 2"/>
    <w:basedOn w:val="TableNormal"/>
    <w:uiPriority w:val="69"/>
    <w:rsid w:val="000C51CE"/>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E0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F83D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F83D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F83D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F83D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C1EB"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C1EB" w:themeFill="accent2" w:themeFillTint="7F"/>
      </w:tcPr>
    </w:tblStylePr>
  </w:style>
  <w:style w:type="table" w:styleId="MediumShading1-Accent5">
    <w:name w:val="Medium Shading 1 Accent 5"/>
    <w:basedOn w:val="TableNormal"/>
    <w:uiPriority w:val="63"/>
    <w:rsid w:val="000C51CE"/>
    <w:tblPr>
      <w:tblStyleRowBandSize w:val="1"/>
      <w:tblStyleColBandSize w:val="1"/>
      <w:tblInd w:w="0" w:type="dxa"/>
      <w:tblBorders>
        <w:top w:val="single" w:sz="8" w:space="0" w:color="B3DE86" w:themeColor="accent5" w:themeTint="BF"/>
        <w:left w:val="single" w:sz="8" w:space="0" w:color="B3DE86" w:themeColor="accent5" w:themeTint="BF"/>
        <w:bottom w:val="single" w:sz="8" w:space="0" w:color="B3DE86" w:themeColor="accent5" w:themeTint="BF"/>
        <w:right w:val="single" w:sz="8" w:space="0" w:color="B3DE86" w:themeColor="accent5" w:themeTint="BF"/>
        <w:insideH w:val="single" w:sz="8" w:space="0" w:color="B3DE86" w:themeColor="accent5" w:themeTint="BF"/>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tcBorders>
          <w:top w:val="single" w:sz="8" w:space="0" w:color="B3DE86" w:themeColor="accent5" w:themeTint="BF"/>
          <w:left w:val="single" w:sz="8" w:space="0" w:color="B3DE86" w:themeColor="accent5" w:themeTint="BF"/>
          <w:bottom w:val="single" w:sz="8" w:space="0" w:color="B3DE86" w:themeColor="accent5" w:themeTint="BF"/>
          <w:right w:val="single" w:sz="8" w:space="0" w:color="B3DE86" w:themeColor="accent5" w:themeTint="BF"/>
          <w:insideH w:val="nil"/>
          <w:insideV w:val="nil"/>
        </w:tcBorders>
        <w:shd w:val="clear" w:color="auto" w:fill="9BD45F" w:themeFill="accent5"/>
      </w:tcPr>
    </w:tblStylePr>
    <w:tblStylePr w:type="lastRow">
      <w:pPr>
        <w:spacing w:beforeLines="0" w:beforeAutospacing="0" w:afterLines="0" w:afterAutospacing="0" w:line="240" w:lineRule="auto"/>
      </w:pPr>
      <w:rPr>
        <w:b/>
        <w:bCs/>
      </w:rPr>
      <w:tblPr/>
      <w:tcPr>
        <w:tcBorders>
          <w:top w:val="double" w:sz="6" w:space="0" w:color="B3DE86" w:themeColor="accent5" w:themeTint="BF"/>
          <w:left w:val="single" w:sz="8" w:space="0" w:color="B3DE86" w:themeColor="accent5" w:themeTint="BF"/>
          <w:bottom w:val="single" w:sz="8" w:space="0" w:color="B3DE86" w:themeColor="accent5" w:themeTint="BF"/>
          <w:right w:val="single" w:sz="8" w:space="0" w:color="B3DE86" w:themeColor="accent5" w:themeTint="BF"/>
          <w:insideH w:val="nil"/>
          <w:insideV w:val="nil"/>
        </w:tcBorders>
      </w:tcPr>
    </w:tblStylePr>
    <w:tblStylePr w:type="firstCol">
      <w:rPr>
        <w:b/>
        <w:bCs/>
      </w:rPr>
    </w:tblStylePr>
    <w:tblStylePr w:type="lastCol">
      <w:rPr>
        <w:b/>
        <w:bCs/>
      </w:rPr>
    </w:tblStylePr>
    <w:tblStylePr w:type="band1Vert">
      <w:tblPr/>
      <w:tcPr>
        <w:shd w:val="clear" w:color="auto" w:fill="E6F4D7" w:themeFill="accent5" w:themeFillTint="3F"/>
      </w:tcPr>
    </w:tblStylePr>
    <w:tblStylePr w:type="band1Horz">
      <w:tblPr/>
      <w:tcPr>
        <w:tcBorders>
          <w:insideH w:val="nil"/>
          <w:insideV w:val="nil"/>
        </w:tcBorders>
        <w:shd w:val="clear" w:color="auto" w:fill="E6F4D7" w:themeFill="accent5" w:themeFillTint="3F"/>
      </w:tcPr>
    </w:tblStylePr>
    <w:tblStylePr w:type="band2Horz">
      <w:tblPr/>
      <w:tcPr>
        <w:tcBorders>
          <w:insideH w:val="nil"/>
          <w:insideV w:val="nil"/>
        </w:tcBorders>
      </w:tcPr>
    </w:tblStylePr>
  </w:style>
  <w:style w:type="table" w:styleId="MediumGrid3-Accent4">
    <w:name w:val="Medium Grid 3 Accent 4"/>
    <w:basedOn w:val="TableNormal"/>
    <w:uiPriority w:val="69"/>
    <w:rsid w:val="004F3444"/>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5E5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999F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999F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999F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999F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CCC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CCCFF" w:themeFill="accent4" w:themeFillTint="7F"/>
      </w:tcPr>
    </w:tblStylePr>
  </w:style>
  <w:style w:type="paragraph" w:customStyle="1" w:styleId="Slika">
    <w:name w:val="Slika"/>
    <w:basedOn w:val="Normal"/>
    <w:qFormat/>
    <w:rsid w:val="00E7780B"/>
    <w:pPr>
      <w:numPr>
        <w:numId w:val="13"/>
      </w:numPr>
      <w:jc w:val="center"/>
    </w:pPr>
    <w:rPr>
      <w:i/>
    </w:rPr>
  </w:style>
  <w:style w:type="character" w:customStyle="1" w:styleId="hps">
    <w:name w:val="hps"/>
    <w:basedOn w:val="DefaultParagraphFont"/>
    <w:rsid w:val="00E7780B"/>
  </w:style>
  <w:style w:type="table" w:styleId="LightGrid-Accent5">
    <w:name w:val="Light Grid Accent 5"/>
    <w:basedOn w:val="TableNormal"/>
    <w:uiPriority w:val="62"/>
    <w:rsid w:val="00E7780B"/>
    <w:tblPr>
      <w:tblStyleRowBandSize w:val="1"/>
      <w:tblStyleColBandSize w:val="1"/>
      <w:tblInd w:w="0" w:type="dxa"/>
      <w:tblBorders>
        <w:top w:val="single" w:sz="8" w:space="0" w:color="9BD45F" w:themeColor="accent5"/>
        <w:left w:val="single" w:sz="8" w:space="0" w:color="9BD45F" w:themeColor="accent5"/>
        <w:bottom w:val="single" w:sz="8" w:space="0" w:color="9BD45F" w:themeColor="accent5"/>
        <w:right w:val="single" w:sz="8" w:space="0" w:color="9BD45F" w:themeColor="accent5"/>
        <w:insideH w:val="single" w:sz="8" w:space="0" w:color="9BD45F" w:themeColor="accent5"/>
        <w:insideV w:val="single" w:sz="8" w:space="0" w:color="9BD45F"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D45F" w:themeColor="accent5"/>
          <w:left w:val="single" w:sz="8" w:space="0" w:color="9BD45F" w:themeColor="accent5"/>
          <w:bottom w:val="single" w:sz="18" w:space="0" w:color="9BD45F" w:themeColor="accent5"/>
          <w:right w:val="single" w:sz="8" w:space="0" w:color="9BD45F" w:themeColor="accent5"/>
          <w:insideH w:val="nil"/>
          <w:insideV w:val="single" w:sz="8" w:space="0" w:color="9BD4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D45F" w:themeColor="accent5"/>
          <w:left w:val="single" w:sz="8" w:space="0" w:color="9BD45F" w:themeColor="accent5"/>
          <w:bottom w:val="single" w:sz="8" w:space="0" w:color="9BD45F" w:themeColor="accent5"/>
          <w:right w:val="single" w:sz="8" w:space="0" w:color="9BD45F" w:themeColor="accent5"/>
          <w:insideH w:val="nil"/>
          <w:insideV w:val="single" w:sz="8" w:space="0" w:color="9BD4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D45F" w:themeColor="accent5"/>
          <w:left w:val="single" w:sz="8" w:space="0" w:color="9BD45F" w:themeColor="accent5"/>
          <w:bottom w:val="single" w:sz="8" w:space="0" w:color="9BD45F" w:themeColor="accent5"/>
          <w:right w:val="single" w:sz="8" w:space="0" w:color="9BD45F" w:themeColor="accent5"/>
        </w:tcBorders>
      </w:tcPr>
    </w:tblStylePr>
    <w:tblStylePr w:type="band1Vert">
      <w:tblPr/>
      <w:tcPr>
        <w:tcBorders>
          <w:top w:val="single" w:sz="8" w:space="0" w:color="9BD45F" w:themeColor="accent5"/>
          <w:left w:val="single" w:sz="8" w:space="0" w:color="9BD45F" w:themeColor="accent5"/>
          <w:bottom w:val="single" w:sz="8" w:space="0" w:color="9BD45F" w:themeColor="accent5"/>
          <w:right w:val="single" w:sz="8" w:space="0" w:color="9BD45F" w:themeColor="accent5"/>
        </w:tcBorders>
        <w:shd w:val="clear" w:color="auto" w:fill="E6F4D7" w:themeFill="accent5" w:themeFillTint="3F"/>
      </w:tcPr>
    </w:tblStylePr>
    <w:tblStylePr w:type="band1Horz">
      <w:tblPr/>
      <w:tcPr>
        <w:tcBorders>
          <w:top w:val="single" w:sz="8" w:space="0" w:color="9BD45F" w:themeColor="accent5"/>
          <w:left w:val="single" w:sz="8" w:space="0" w:color="9BD45F" w:themeColor="accent5"/>
          <w:bottom w:val="single" w:sz="8" w:space="0" w:color="9BD45F" w:themeColor="accent5"/>
          <w:right w:val="single" w:sz="8" w:space="0" w:color="9BD45F" w:themeColor="accent5"/>
          <w:insideV w:val="single" w:sz="8" w:space="0" w:color="9BD45F" w:themeColor="accent5"/>
        </w:tcBorders>
        <w:shd w:val="clear" w:color="auto" w:fill="E6F4D7" w:themeFill="accent5" w:themeFillTint="3F"/>
      </w:tcPr>
    </w:tblStylePr>
    <w:tblStylePr w:type="band2Horz">
      <w:tblPr/>
      <w:tcPr>
        <w:tcBorders>
          <w:top w:val="single" w:sz="8" w:space="0" w:color="9BD45F" w:themeColor="accent5"/>
          <w:left w:val="single" w:sz="8" w:space="0" w:color="9BD45F" w:themeColor="accent5"/>
          <w:bottom w:val="single" w:sz="8" w:space="0" w:color="9BD45F" w:themeColor="accent5"/>
          <w:right w:val="single" w:sz="8" w:space="0" w:color="9BD45F" w:themeColor="accent5"/>
          <w:insideV w:val="single" w:sz="8" w:space="0" w:color="9BD45F" w:themeColor="accent5"/>
        </w:tcBorders>
      </w:tcPr>
    </w:tblStylePr>
  </w:style>
  <w:style w:type="character" w:customStyle="1" w:styleId="apple-style-span">
    <w:name w:val="apple-style-span"/>
    <w:basedOn w:val="DefaultParagraphFont"/>
    <w:rsid w:val="00E7780B"/>
  </w:style>
  <w:style w:type="character" w:customStyle="1" w:styleId="apple-converted-space">
    <w:name w:val="apple-converted-space"/>
    <w:basedOn w:val="DefaultParagraphFont"/>
    <w:rsid w:val="00E7780B"/>
  </w:style>
  <w:style w:type="table" w:styleId="MediumShading1-Accent4">
    <w:name w:val="Medium Shading 1 Accent 4"/>
    <w:basedOn w:val="TableNormal"/>
    <w:uiPriority w:val="63"/>
    <w:rsid w:val="004B071C"/>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Grid3-Accent3">
    <w:name w:val="Medium Grid 3 Accent 3"/>
    <w:basedOn w:val="TableNormal"/>
    <w:uiPriority w:val="69"/>
    <w:rsid w:val="004B071C"/>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character" w:styleId="Strong">
    <w:name w:val="Strong"/>
    <w:qFormat/>
    <w:locked/>
    <w:rsid w:val="004B071C"/>
    <w:rPr>
      <w:b/>
      <w:bCs/>
    </w:rPr>
  </w:style>
  <w:style w:type="table" w:customStyle="1" w:styleId="LightGrid1">
    <w:name w:val="Light Grid1"/>
    <w:basedOn w:val="TableNormal"/>
    <w:uiPriority w:val="62"/>
    <w:rsid w:val="004B071C"/>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MediumShading2-Accent2">
    <w:name w:val="Medium Shading 2 Accent 2"/>
    <w:basedOn w:val="TableNormal"/>
    <w:uiPriority w:val="64"/>
    <w:rsid w:val="004B071C"/>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styleId="PlaceholderText">
    <w:name w:val="Placeholder Text"/>
    <w:uiPriority w:val="99"/>
    <w:semiHidden/>
    <w:rsid w:val="004B071C"/>
    <w:rPr>
      <w:color w:val="808080"/>
    </w:rPr>
  </w:style>
  <w:style w:type="table" w:styleId="MediumGrid1-Accent1">
    <w:name w:val="Medium Grid 1 Accent 1"/>
    <w:basedOn w:val="TableNormal"/>
    <w:uiPriority w:val="67"/>
    <w:rsid w:val="004B071C"/>
    <w:tblPr>
      <w:tblStyleRowBandSize w:val="1"/>
      <w:tblStyleColBandSize w:val="1"/>
      <w:tblInd w:w="0" w:type="dxa"/>
      <w:tblBorders>
        <w:top w:val="single" w:sz="8" w:space="0" w:color="DAEFC3"/>
        <w:left w:val="single" w:sz="8" w:space="0" w:color="DAEFC3"/>
        <w:bottom w:val="single" w:sz="8" w:space="0" w:color="DAEFC3"/>
        <w:right w:val="single" w:sz="8" w:space="0" w:color="DAEFC3"/>
        <w:insideH w:val="single" w:sz="8" w:space="0" w:color="DAEFC3"/>
        <w:insideV w:val="single" w:sz="8" w:space="0" w:color="DAEFC3"/>
      </w:tblBorders>
      <w:tblCellMar>
        <w:top w:w="0" w:type="dxa"/>
        <w:left w:w="108" w:type="dxa"/>
        <w:bottom w:w="0" w:type="dxa"/>
        <w:right w:w="108" w:type="dxa"/>
      </w:tblCellMar>
    </w:tblPr>
    <w:tcPr>
      <w:shd w:val="clear" w:color="auto" w:fill="F2F9EB"/>
    </w:tcPr>
    <w:tblStylePr w:type="firstRow">
      <w:rPr>
        <w:b/>
        <w:bCs/>
      </w:rPr>
    </w:tblStylePr>
    <w:tblStylePr w:type="lastRow">
      <w:rPr>
        <w:b/>
        <w:bCs/>
      </w:rPr>
      <w:tblPr/>
      <w:tcPr>
        <w:tcBorders>
          <w:top w:val="single" w:sz="18" w:space="0" w:color="DAEFC3"/>
        </w:tcBorders>
      </w:tcPr>
    </w:tblStylePr>
    <w:tblStylePr w:type="firstCol">
      <w:rPr>
        <w:b/>
        <w:bCs/>
      </w:rPr>
    </w:tblStylePr>
    <w:tblStylePr w:type="lastCol">
      <w:rPr>
        <w:b/>
        <w:bCs/>
      </w:rPr>
    </w:tblStylePr>
    <w:tblStylePr w:type="band1Vert">
      <w:tblPr/>
      <w:tcPr>
        <w:shd w:val="clear" w:color="auto" w:fill="E6F4D7"/>
      </w:tcPr>
    </w:tblStylePr>
    <w:tblStylePr w:type="band1Horz">
      <w:tblPr/>
      <w:tcPr>
        <w:shd w:val="clear" w:color="auto" w:fill="E6F4D7"/>
      </w:tcPr>
    </w:tblStylePr>
  </w:style>
  <w:style w:type="table" w:customStyle="1" w:styleId="LightShading-Accent11">
    <w:name w:val="Light Shading - Accent 11"/>
    <w:basedOn w:val="TableNormal"/>
    <w:uiPriority w:val="60"/>
    <w:rsid w:val="004B071C"/>
    <w:rPr>
      <w:color w:val="9BD45E"/>
    </w:rPr>
    <w:tblPr>
      <w:tblStyleRowBandSize w:val="1"/>
      <w:tblStyleColBandSize w:val="1"/>
      <w:tblInd w:w="0" w:type="dxa"/>
      <w:tblBorders>
        <w:top w:val="single" w:sz="8" w:space="0" w:color="CEEAB0"/>
        <w:bottom w:val="single" w:sz="8" w:space="0" w:color="CEEAB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EEAB0"/>
          <w:left w:val="nil"/>
          <w:bottom w:val="single" w:sz="8" w:space="0" w:color="CEEAB0"/>
          <w:right w:val="nil"/>
          <w:insideH w:val="nil"/>
          <w:insideV w:val="nil"/>
        </w:tcBorders>
      </w:tcPr>
    </w:tblStylePr>
    <w:tblStylePr w:type="lastRow">
      <w:pPr>
        <w:spacing w:before="0" w:after="0" w:line="240" w:lineRule="auto"/>
      </w:pPr>
      <w:rPr>
        <w:b/>
        <w:bCs/>
      </w:rPr>
      <w:tblPr/>
      <w:tcPr>
        <w:tcBorders>
          <w:top w:val="single" w:sz="8" w:space="0" w:color="CEEAB0"/>
          <w:left w:val="nil"/>
          <w:bottom w:val="single" w:sz="8" w:space="0" w:color="CEEAB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F9EB"/>
      </w:tcPr>
    </w:tblStylePr>
    <w:tblStylePr w:type="band1Horz">
      <w:tblPr/>
      <w:tcPr>
        <w:tcBorders>
          <w:left w:val="nil"/>
          <w:right w:val="nil"/>
          <w:insideH w:val="nil"/>
          <w:insideV w:val="nil"/>
        </w:tcBorders>
        <w:shd w:val="clear" w:color="auto" w:fill="F2F9EB"/>
      </w:tcPr>
    </w:tblStylePr>
  </w:style>
  <w:style w:type="table" w:styleId="MediumGrid1-Accent3">
    <w:name w:val="Medium Grid 1 Accent 3"/>
    <w:basedOn w:val="TableNormal"/>
    <w:uiPriority w:val="67"/>
    <w:rsid w:val="004B071C"/>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ColorfulGrid-Accent3">
    <w:name w:val="Colorful Grid Accent 3"/>
    <w:basedOn w:val="TableNormal"/>
    <w:uiPriority w:val="73"/>
    <w:rsid w:val="004B071C"/>
    <w:rPr>
      <w:rFonts w:ascii="Calibri" w:eastAsia="Calibri" w:hAnsi="Calibri"/>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numbering" w:customStyle="1" w:styleId="NoList1">
    <w:name w:val="No List1"/>
    <w:next w:val="NoList"/>
    <w:uiPriority w:val="99"/>
    <w:semiHidden/>
    <w:unhideWhenUsed/>
    <w:rsid w:val="004B071C"/>
  </w:style>
  <w:style w:type="table" w:customStyle="1" w:styleId="MediumGrid3-Accent11">
    <w:name w:val="Medium Grid 3 - Accent 11"/>
    <w:basedOn w:val="TableNormal"/>
    <w:next w:val="MediumGrid3-Accent1"/>
    <w:uiPriority w:val="69"/>
    <w:rsid w:val="004B071C"/>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TableGrid1">
    <w:name w:val="Table Grid1"/>
    <w:basedOn w:val="TableNormal"/>
    <w:next w:val="TableGrid"/>
    <w:uiPriority w:val="99"/>
    <w:rsid w:val="004B07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Shading1-Accent21">
    <w:name w:val="Medium Shading 1 - Accent 21"/>
    <w:basedOn w:val="TableNormal"/>
    <w:next w:val="MediumShading1-Accent2"/>
    <w:uiPriority w:val="63"/>
    <w:rsid w:val="004B071C"/>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Columns51">
    <w:name w:val="Table Columns 51"/>
    <w:basedOn w:val="TableNormal"/>
    <w:next w:val="TableColumns5"/>
    <w:uiPriority w:val="99"/>
    <w:rsid w:val="004B071C"/>
    <w:pPr>
      <w:spacing w:before="120" w:after="120"/>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TableClassic11">
    <w:name w:val="Table Classic 11"/>
    <w:basedOn w:val="TableNormal"/>
    <w:next w:val="TableClassic1"/>
    <w:uiPriority w:val="99"/>
    <w:rsid w:val="004B071C"/>
    <w:pPr>
      <w:spacing w:before="120" w:after="120"/>
      <w:jc w:val="both"/>
    </w:p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uiPriority w:val="99"/>
    <w:rsid w:val="004B071C"/>
    <w:pPr>
      <w:spacing w:before="120" w:after="120"/>
      <w:jc w:val="both"/>
    </w:p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List31">
    <w:name w:val="Table List 31"/>
    <w:basedOn w:val="TableNormal"/>
    <w:next w:val="TableList3"/>
    <w:uiPriority w:val="99"/>
    <w:rsid w:val="004B071C"/>
    <w:pPr>
      <w:spacing w:before="120" w:after="12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LightShading-Accent31">
    <w:name w:val="Light Shading - Accent 31"/>
    <w:basedOn w:val="TableNormal"/>
    <w:next w:val="LightShading-Accent3"/>
    <w:uiPriority w:val="60"/>
    <w:rsid w:val="004B071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1">
    <w:name w:val="Light Shading - Accent 41"/>
    <w:basedOn w:val="TableNormal"/>
    <w:next w:val="LightShading-Accent4"/>
    <w:uiPriority w:val="60"/>
    <w:rsid w:val="004B071C"/>
    <w:rPr>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31">
    <w:name w:val="Medium Shading 2 - Accent 31"/>
    <w:basedOn w:val="TableNormal"/>
    <w:next w:val="MediumShading2-Accent3"/>
    <w:uiPriority w:val="64"/>
    <w:rsid w:val="004B071C"/>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Accent51">
    <w:name w:val="Medium List 1 - Accent 51"/>
    <w:basedOn w:val="TableNormal"/>
    <w:next w:val="MediumList1-Accent5"/>
    <w:uiPriority w:val="65"/>
    <w:rsid w:val="004B071C"/>
    <w:rPr>
      <w:color w:val="00000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Grid3-Accent51">
    <w:name w:val="Medium Grid 3 - Accent 51"/>
    <w:basedOn w:val="TableNormal"/>
    <w:next w:val="MediumGrid3-Accent5"/>
    <w:uiPriority w:val="69"/>
    <w:rsid w:val="004B071C"/>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2-Accent21">
    <w:name w:val="Medium Grid 2 - Accent 21"/>
    <w:basedOn w:val="TableNormal"/>
    <w:next w:val="MediumGrid2-Accent2"/>
    <w:uiPriority w:val="68"/>
    <w:rsid w:val="004B071C"/>
    <w:rPr>
      <w:rFonts w:ascii="Cambria" w:hAnsi="Cambria"/>
      <w:color w:val="00000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LightList-Accent41">
    <w:name w:val="Light List - Accent 41"/>
    <w:basedOn w:val="TableNormal"/>
    <w:next w:val="LightList-Accent4"/>
    <w:uiPriority w:val="61"/>
    <w:rsid w:val="004B071C"/>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MediumShading1-Accent41">
    <w:name w:val="Medium Shading 1 - Accent 41"/>
    <w:basedOn w:val="TableNormal"/>
    <w:next w:val="MediumShading1-Accent4"/>
    <w:uiPriority w:val="63"/>
    <w:rsid w:val="004B071C"/>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Grid3-Accent31">
    <w:name w:val="Medium Grid 3 - Accent 31"/>
    <w:basedOn w:val="TableNormal"/>
    <w:next w:val="MediumGrid3-Accent3"/>
    <w:uiPriority w:val="69"/>
    <w:rsid w:val="004B071C"/>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Shading1-Accent51">
    <w:name w:val="Medium Shading 1 - Accent 51"/>
    <w:basedOn w:val="TableNormal"/>
    <w:next w:val="MediumShading1-Accent5"/>
    <w:uiPriority w:val="63"/>
    <w:rsid w:val="004B071C"/>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Grid3-Accent41">
    <w:name w:val="Medium Grid 3 - Accent 41"/>
    <w:basedOn w:val="TableNormal"/>
    <w:next w:val="MediumGrid3-Accent4"/>
    <w:uiPriority w:val="69"/>
    <w:rsid w:val="004B071C"/>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LightList-Accent21">
    <w:name w:val="Light List - Accent 21"/>
    <w:basedOn w:val="TableNormal"/>
    <w:next w:val="LightList-Accent2"/>
    <w:uiPriority w:val="61"/>
    <w:rsid w:val="004B071C"/>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Grid3-Accent21">
    <w:name w:val="Medium Grid 3 - Accent 21"/>
    <w:basedOn w:val="TableNormal"/>
    <w:next w:val="MediumGrid3-Accent2"/>
    <w:uiPriority w:val="69"/>
    <w:rsid w:val="004B071C"/>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LightGrid11">
    <w:name w:val="Light Grid11"/>
    <w:basedOn w:val="TableNormal"/>
    <w:uiPriority w:val="62"/>
    <w:rsid w:val="004B071C"/>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2-Accent21">
    <w:name w:val="Medium Shading 2 - Accent 21"/>
    <w:basedOn w:val="TableNormal"/>
    <w:next w:val="MediumShading2-Accent2"/>
    <w:uiPriority w:val="64"/>
    <w:rsid w:val="004B071C"/>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111">
    <w:name w:val="Light List - Accent 111"/>
    <w:basedOn w:val="TableNormal"/>
    <w:uiPriority w:val="61"/>
    <w:rsid w:val="004B071C"/>
    <w:tblPr>
      <w:tblStyleRowBandSize w:val="1"/>
      <w:tblStyleColBandSize w:val="1"/>
      <w:tblInd w:w="0" w:type="dxa"/>
      <w:tblBorders>
        <w:top w:val="single" w:sz="8" w:space="0" w:color="CEEAB0"/>
        <w:left w:val="single" w:sz="8" w:space="0" w:color="CEEAB0"/>
        <w:bottom w:val="single" w:sz="8" w:space="0" w:color="CEEAB0"/>
        <w:right w:val="single" w:sz="8" w:space="0" w:color="CEEAB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EEAB0"/>
      </w:tcPr>
    </w:tblStylePr>
    <w:tblStylePr w:type="lastRow">
      <w:pPr>
        <w:spacing w:before="0" w:after="0" w:line="240" w:lineRule="auto"/>
      </w:pPr>
      <w:rPr>
        <w:b/>
        <w:bCs/>
      </w:rPr>
      <w:tblPr/>
      <w:tcPr>
        <w:tcBorders>
          <w:top w:val="double" w:sz="6" w:space="0" w:color="CEEAB0"/>
          <w:left w:val="single" w:sz="8" w:space="0" w:color="CEEAB0"/>
          <w:bottom w:val="single" w:sz="8" w:space="0" w:color="CEEAB0"/>
          <w:right w:val="single" w:sz="8" w:space="0" w:color="CEEAB0"/>
        </w:tcBorders>
      </w:tcPr>
    </w:tblStylePr>
    <w:tblStylePr w:type="firstCol">
      <w:rPr>
        <w:b/>
        <w:bCs/>
      </w:rPr>
    </w:tblStylePr>
    <w:tblStylePr w:type="lastCol">
      <w:rPr>
        <w:b/>
        <w:bCs/>
      </w:rPr>
    </w:tblStylePr>
    <w:tblStylePr w:type="band1Vert">
      <w:tblPr/>
      <w:tcPr>
        <w:tcBorders>
          <w:top w:val="single" w:sz="8" w:space="0" w:color="CEEAB0"/>
          <w:left w:val="single" w:sz="8" w:space="0" w:color="CEEAB0"/>
          <w:bottom w:val="single" w:sz="8" w:space="0" w:color="CEEAB0"/>
          <w:right w:val="single" w:sz="8" w:space="0" w:color="CEEAB0"/>
        </w:tcBorders>
      </w:tcPr>
    </w:tblStylePr>
    <w:tblStylePr w:type="band1Horz">
      <w:tblPr/>
      <w:tcPr>
        <w:tcBorders>
          <w:top w:val="single" w:sz="8" w:space="0" w:color="CEEAB0"/>
          <w:left w:val="single" w:sz="8" w:space="0" w:color="CEEAB0"/>
          <w:bottom w:val="single" w:sz="8" w:space="0" w:color="CEEAB0"/>
          <w:right w:val="single" w:sz="8" w:space="0" w:color="CEEAB0"/>
        </w:tcBorders>
      </w:tcPr>
    </w:tblStylePr>
  </w:style>
  <w:style w:type="table" w:customStyle="1" w:styleId="MediumGrid1-Accent11">
    <w:name w:val="Medium Grid 1 - Accent 11"/>
    <w:basedOn w:val="TableNormal"/>
    <w:next w:val="MediumGrid1-Accent1"/>
    <w:uiPriority w:val="67"/>
    <w:rsid w:val="004B071C"/>
    <w:tblPr>
      <w:tblStyleRowBandSize w:val="1"/>
      <w:tblStyleColBandSize w:val="1"/>
      <w:tblInd w:w="0" w:type="dxa"/>
      <w:tblBorders>
        <w:top w:val="single" w:sz="8" w:space="0" w:color="DAEFC3"/>
        <w:left w:val="single" w:sz="8" w:space="0" w:color="DAEFC3"/>
        <w:bottom w:val="single" w:sz="8" w:space="0" w:color="DAEFC3"/>
        <w:right w:val="single" w:sz="8" w:space="0" w:color="DAEFC3"/>
        <w:insideH w:val="single" w:sz="8" w:space="0" w:color="DAEFC3"/>
        <w:insideV w:val="single" w:sz="8" w:space="0" w:color="DAEFC3"/>
      </w:tblBorders>
      <w:tblCellMar>
        <w:top w:w="0" w:type="dxa"/>
        <w:left w:w="108" w:type="dxa"/>
        <w:bottom w:w="0" w:type="dxa"/>
        <w:right w:w="108" w:type="dxa"/>
      </w:tblCellMar>
    </w:tblPr>
    <w:tcPr>
      <w:shd w:val="clear" w:color="auto" w:fill="F2F9EB"/>
    </w:tcPr>
    <w:tblStylePr w:type="firstRow">
      <w:rPr>
        <w:b/>
        <w:bCs/>
      </w:rPr>
    </w:tblStylePr>
    <w:tblStylePr w:type="lastRow">
      <w:rPr>
        <w:b/>
        <w:bCs/>
      </w:rPr>
      <w:tblPr/>
      <w:tcPr>
        <w:tcBorders>
          <w:top w:val="single" w:sz="18" w:space="0" w:color="DAEFC3"/>
        </w:tcBorders>
      </w:tcPr>
    </w:tblStylePr>
    <w:tblStylePr w:type="firstCol">
      <w:rPr>
        <w:b/>
        <w:bCs/>
      </w:rPr>
    </w:tblStylePr>
    <w:tblStylePr w:type="lastCol">
      <w:rPr>
        <w:b/>
        <w:bCs/>
      </w:rPr>
    </w:tblStylePr>
    <w:tblStylePr w:type="band1Vert">
      <w:tblPr/>
      <w:tcPr>
        <w:shd w:val="clear" w:color="auto" w:fill="E6F4D7"/>
      </w:tcPr>
    </w:tblStylePr>
    <w:tblStylePr w:type="band1Horz">
      <w:tblPr/>
      <w:tcPr>
        <w:shd w:val="clear" w:color="auto" w:fill="E6F4D7"/>
      </w:tcPr>
    </w:tblStylePr>
  </w:style>
  <w:style w:type="table" w:customStyle="1" w:styleId="LightShading-Accent111">
    <w:name w:val="Light Shading - Accent 111"/>
    <w:basedOn w:val="TableNormal"/>
    <w:uiPriority w:val="60"/>
    <w:rsid w:val="004B071C"/>
    <w:rPr>
      <w:color w:val="9BD45E"/>
    </w:rPr>
    <w:tblPr>
      <w:tblStyleRowBandSize w:val="1"/>
      <w:tblStyleColBandSize w:val="1"/>
      <w:tblInd w:w="0" w:type="dxa"/>
      <w:tblBorders>
        <w:top w:val="single" w:sz="8" w:space="0" w:color="CEEAB0"/>
        <w:bottom w:val="single" w:sz="8" w:space="0" w:color="CEEAB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EEAB0"/>
          <w:left w:val="nil"/>
          <w:bottom w:val="single" w:sz="8" w:space="0" w:color="CEEAB0"/>
          <w:right w:val="nil"/>
          <w:insideH w:val="nil"/>
          <w:insideV w:val="nil"/>
        </w:tcBorders>
      </w:tcPr>
    </w:tblStylePr>
    <w:tblStylePr w:type="lastRow">
      <w:pPr>
        <w:spacing w:before="0" w:after="0" w:line="240" w:lineRule="auto"/>
      </w:pPr>
      <w:rPr>
        <w:b/>
        <w:bCs/>
      </w:rPr>
      <w:tblPr/>
      <w:tcPr>
        <w:tcBorders>
          <w:top w:val="single" w:sz="8" w:space="0" w:color="CEEAB0"/>
          <w:left w:val="nil"/>
          <w:bottom w:val="single" w:sz="8" w:space="0" w:color="CEEAB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F9EB"/>
      </w:tcPr>
    </w:tblStylePr>
    <w:tblStylePr w:type="band1Horz">
      <w:tblPr/>
      <w:tcPr>
        <w:tcBorders>
          <w:left w:val="nil"/>
          <w:right w:val="nil"/>
          <w:insideH w:val="nil"/>
          <w:insideV w:val="nil"/>
        </w:tcBorders>
        <w:shd w:val="clear" w:color="auto" w:fill="F2F9EB"/>
      </w:tcPr>
    </w:tblStylePr>
  </w:style>
  <w:style w:type="table" w:customStyle="1" w:styleId="MediumGrid1-Accent31">
    <w:name w:val="Medium Grid 1 - Accent 31"/>
    <w:basedOn w:val="TableNormal"/>
    <w:next w:val="MediumGrid1-Accent3"/>
    <w:uiPriority w:val="67"/>
    <w:rsid w:val="004B071C"/>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ColorfulGrid-Accent31">
    <w:name w:val="Colorful Grid - Accent 31"/>
    <w:basedOn w:val="TableNormal"/>
    <w:next w:val="ColorfulGrid-Accent3"/>
    <w:uiPriority w:val="73"/>
    <w:rsid w:val="004B071C"/>
    <w:rPr>
      <w:rFonts w:ascii="Calibri" w:eastAsia="Calibri" w:hAnsi="Calibri"/>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paragraph" w:customStyle="1" w:styleId="WW-Default">
    <w:name w:val="WW-Default"/>
    <w:rsid w:val="004B071C"/>
    <w:pPr>
      <w:suppressAutoHyphens/>
      <w:autoSpaceDE w:val="0"/>
    </w:pPr>
    <w:rPr>
      <w:rFonts w:ascii="Tahoma" w:hAnsi="Tahoma" w:cs="Tahoma"/>
      <w:color w:val="000000"/>
      <w:sz w:val="24"/>
      <w:szCs w:val="24"/>
      <w:lang w:eastAsia="zh-CN"/>
    </w:rPr>
  </w:style>
  <w:style w:type="character" w:customStyle="1" w:styleId="reference-text">
    <w:name w:val="reference-text"/>
    <w:basedOn w:val="DefaultParagraphFont"/>
    <w:rsid w:val="004B071C"/>
  </w:style>
  <w:style w:type="numbering" w:customStyle="1" w:styleId="NoList2">
    <w:name w:val="No List2"/>
    <w:next w:val="NoList"/>
    <w:semiHidden/>
    <w:rsid w:val="004B071C"/>
  </w:style>
  <w:style w:type="table" w:customStyle="1" w:styleId="TableGrid2">
    <w:name w:val="Table Grid2"/>
    <w:basedOn w:val="TableNormal"/>
    <w:next w:val="TableGrid"/>
    <w:rsid w:val="004B071C"/>
    <w:rPr>
      <w:rFonts w:eastAsia="Calibri"/>
      <w:lang w:val="sr-Latn-CS" w:eastAsia="sr-Latn-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rsid w:val="004B071C"/>
    <w:rPr>
      <w:rFonts w:eastAsia="Calibri"/>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1z0">
    <w:name w:val="WW8Num1z0"/>
    <w:rsid w:val="004B071C"/>
  </w:style>
  <w:style w:type="character" w:customStyle="1" w:styleId="Absatz-Standardschriftart">
    <w:name w:val="Absatz-Standardschriftart"/>
    <w:rsid w:val="004B071C"/>
  </w:style>
  <w:style w:type="character" w:customStyle="1" w:styleId="WW-Absatz-Standardschriftart">
    <w:name w:val="WW-Absatz-Standardschriftart"/>
    <w:rsid w:val="004B071C"/>
  </w:style>
  <w:style w:type="character" w:customStyle="1" w:styleId="WW8Num2z0">
    <w:name w:val="WW8Num2z0"/>
    <w:rsid w:val="004B071C"/>
  </w:style>
  <w:style w:type="character" w:customStyle="1" w:styleId="WW8Num6z0">
    <w:name w:val="WW8Num6z0"/>
    <w:rsid w:val="004B071C"/>
    <w:rPr>
      <w:rFonts w:ascii="Symbol" w:hAnsi="Symbol"/>
    </w:rPr>
  </w:style>
  <w:style w:type="character" w:customStyle="1" w:styleId="WW8Num9z0">
    <w:name w:val="WW8Num9z0"/>
    <w:rsid w:val="004B071C"/>
    <w:rPr>
      <w:rFonts w:ascii="Symbol" w:hAnsi="Symbol"/>
    </w:rPr>
  </w:style>
  <w:style w:type="character" w:customStyle="1" w:styleId="WW-Absatz-Standardschriftart1">
    <w:name w:val="WW-Absatz-Standardschriftart1"/>
    <w:rsid w:val="004B071C"/>
  </w:style>
  <w:style w:type="character" w:customStyle="1" w:styleId="WW-Absatz-Standardschriftart11">
    <w:name w:val="WW-Absatz-Standardschriftart11"/>
    <w:rsid w:val="004B071C"/>
  </w:style>
  <w:style w:type="character" w:customStyle="1" w:styleId="WW-Absatz-Standardschriftart111">
    <w:name w:val="WW-Absatz-Standardschriftart111"/>
    <w:rsid w:val="004B071C"/>
  </w:style>
  <w:style w:type="character" w:customStyle="1" w:styleId="WW-Absatz-Standardschriftart1111">
    <w:name w:val="WW-Absatz-Standardschriftart1111"/>
    <w:rsid w:val="004B071C"/>
  </w:style>
  <w:style w:type="character" w:customStyle="1" w:styleId="WW-Absatz-Standardschriftart11111">
    <w:name w:val="WW-Absatz-Standardschriftart11111"/>
    <w:rsid w:val="004B071C"/>
  </w:style>
  <w:style w:type="character" w:customStyle="1" w:styleId="WW-Absatz-Standardschriftart111111">
    <w:name w:val="WW-Absatz-Standardschriftart111111"/>
    <w:rsid w:val="004B071C"/>
  </w:style>
  <w:style w:type="character" w:customStyle="1" w:styleId="WW8Num6z1">
    <w:name w:val="WW8Num6z1"/>
    <w:rsid w:val="004B071C"/>
    <w:rPr>
      <w:rFonts w:ascii="Courier New" w:hAnsi="Courier New"/>
    </w:rPr>
  </w:style>
  <w:style w:type="character" w:customStyle="1" w:styleId="WW8Num6z2">
    <w:name w:val="WW8Num6z2"/>
    <w:rsid w:val="004B071C"/>
    <w:rPr>
      <w:rFonts w:ascii="Wingdings" w:hAnsi="Wingdings"/>
    </w:rPr>
  </w:style>
  <w:style w:type="character" w:customStyle="1" w:styleId="WW8Num8z0">
    <w:name w:val="WW8Num8z0"/>
    <w:rsid w:val="004B071C"/>
  </w:style>
  <w:style w:type="character" w:customStyle="1" w:styleId="WW8Num10z0">
    <w:name w:val="WW8Num10z0"/>
    <w:rsid w:val="004B071C"/>
    <w:rPr>
      <w:rFonts w:ascii="Symbol" w:hAnsi="Symbol"/>
    </w:rPr>
  </w:style>
  <w:style w:type="character" w:customStyle="1" w:styleId="WW8Num10z1">
    <w:name w:val="WW8Num10z1"/>
    <w:rsid w:val="004B071C"/>
    <w:rPr>
      <w:rFonts w:ascii="Courier New" w:hAnsi="Courier New"/>
    </w:rPr>
  </w:style>
  <w:style w:type="character" w:customStyle="1" w:styleId="WW8Num10z2">
    <w:name w:val="WW8Num10z2"/>
    <w:rsid w:val="004B071C"/>
    <w:rPr>
      <w:rFonts w:ascii="Wingdings" w:hAnsi="Wingdings"/>
    </w:rPr>
  </w:style>
  <w:style w:type="paragraph" w:customStyle="1" w:styleId="Heading">
    <w:name w:val="Heading"/>
    <w:basedOn w:val="Normal"/>
    <w:next w:val="BodyText"/>
    <w:rsid w:val="004B071C"/>
    <w:pPr>
      <w:keepNext/>
      <w:suppressAutoHyphens/>
      <w:spacing w:before="240" w:line="276" w:lineRule="auto"/>
      <w:jc w:val="left"/>
    </w:pPr>
    <w:rPr>
      <w:rFonts w:ascii="Arial" w:eastAsia="Arial Unicode MS" w:hAnsi="Arial" w:cs="Mangal"/>
      <w:sz w:val="28"/>
      <w:szCs w:val="28"/>
      <w:lang w:eastAsia="zh-CN"/>
    </w:rPr>
  </w:style>
  <w:style w:type="paragraph" w:styleId="List">
    <w:name w:val="List"/>
    <w:basedOn w:val="BodyText"/>
    <w:rsid w:val="004B071C"/>
    <w:pPr>
      <w:suppressAutoHyphens/>
      <w:spacing w:after="120" w:line="276" w:lineRule="auto"/>
      <w:jc w:val="left"/>
    </w:pPr>
    <w:rPr>
      <w:rFonts w:ascii="Calibri" w:hAnsi="Calibri" w:cs="Mangal"/>
      <w:b w:val="0"/>
      <w:bCs w:val="0"/>
      <w:smallCaps w:val="0"/>
      <w:sz w:val="22"/>
      <w:szCs w:val="22"/>
      <w:lang w:val="en-US" w:eastAsia="zh-CN"/>
    </w:rPr>
  </w:style>
  <w:style w:type="paragraph" w:styleId="Caption">
    <w:name w:val="caption"/>
    <w:basedOn w:val="Normal"/>
    <w:qFormat/>
    <w:locked/>
    <w:rsid w:val="004B071C"/>
    <w:pPr>
      <w:suppressLineNumbers/>
      <w:suppressAutoHyphens/>
      <w:spacing w:before="120" w:line="276" w:lineRule="auto"/>
      <w:jc w:val="left"/>
    </w:pPr>
    <w:rPr>
      <w:rFonts w:ascii="Calibri" w:hAnsi="Calibri" w:cs="Mangal"/>
      <w:i/>
      <w:iCs/>
      <w:sz w:val="24"/>
      <w:lang w:eastAsia="zh-CN"/>
    </w:rPr>
  </w:style>
  <w:style w:type="paragraph" w:customStyle="1" w:styleId="Index">
    <w:name w:val="Index"/>
    <w:basedOn w:val="Normal"/>
    <w:rsid w:val="004B071C"/>
    <w:pPr>
      <w:suppressLineNumbers/>
      <w:suppressAutoHyphens/>
      <w:spacing w:after="200" w:line="276" w:lineRule="auto"/>
      <w:jc w:val="left"/>
    </w:pPr>
    <w:rPr>
      <w:rFonts w:ascii="Calibri" w:hAnsi="Calibri" w:cs="Mangal"/>
      <w:szCs w:val="22"/>
      <w:lang w:eastAsia="zh-CN"/>
    </w:rPr>
  </w:style>
  <w:style w:type="paragraph" w:styleId="NormalWeb">
    <w:name w:val="Normal (Web)"/>
    <w:basedOn w:val="Normal"/>
    <w:rsid w:val="004B071C"/>
    <w:pPr>
      <w:suppressAutoHyphens/>
      <w:spacing w:before="280" w:after="280"/>
      <w:jc w:val="left"/>
    </w:pPr>
    <w:rPr>
      <w:rFonts w:ascii="Times New Roman" w:eastAsia="Calibri" w:hAnsi="Times New Roman"/>
      <w:sz w:val="24"/>
      <w:lang w:eastAsia="zh-CN"/>
    </w:rPr>
  </w:style>
  <w:style w:type="paragraph" w:customStyle="1" w:styleId="TableContents">
    <w:name w:val="Table Contents"/>
    <w:basedOn w:val="Normal"/>
    <w:rsid w:val="004B071C"/>
    <w:pPr>
      <w:suppressLineNumbers/>
      <w:suppressAutoHyphens/>
      <w:spacing w:after="200" w:line="276" w:lineRule="auto"/>
      <w:jc w:val="left"/>
    </w:pPr>
    <w:rPr>
      <w:rFonts w:ascii="Calibri" w:hAnsi="Calibri"/>
      <w:szCs w:val="22"/>
      <w:lang w:eastAsia="zh-CN"/>
    </w:rPr>
  </w:style>
  <w:style w:type="paragraph" w:customStyle="1" w:styleId="TableHeading">
    <w:name w:val="Table Heading"/>
    <w:basedOn w:val="TableContents"/>
    <w:rsid w:val="004B071C"/>
    <w:pPr>
      <w:jc w:val="center"/>
    </w:pPr>
    <w:rPr>
      <w:b/>
      <w:bCs/>
    </w:rPr>
  </w:style>
  <w:style w:type="paragraph" w:customStyle="1" w:styleId="Default">
    <w:name w:val="Default"/>
    <w:rsid w:val="004B071C"/>
    <w:pPr>
      <w:autoSpaceDE w:val="0"/>
      <w:autoSpaceDN w:val="0"/>
      <w:adjustRightInd w:val="0"/>
    </w:pPr>
    <w:rPr>
      <w:rFonts w:ascii="Tahoma" w:eastAsia="Calibri" w:hAnsi="Tahoma" w:cs="Tahoma"/>
      <w:color w:val="000000"/>
      <w:sz w:val="24"/>
      <w:szCs w:val="24"/>
    </w:rPr>
  </w:style>
  <w:style w:type="paragraph" w:styleId="ListBullet">
    <w:name w:val="List Bullet"/>
    <w:basedOn w:val="Normal"/>
    <w:rsid w:val="004B071C"/>
    <w:pPr>
      <w:numPr>
        <w:numId w:val="26"/>
      </w:numPr>
      <w:suppressAutoHyphens/>
      <w:spacing w:after="200" w:line="276" w:lineRule="auto"/>
      <w:jc w:val="left"/>
    </w:pPr>
    <w:rPr>
      <w:rFonts w:ascii="Times New Roman" w:eastAsia="SimSun" w:hAnsi="Times New Roman"/>
      <w:sz w:val="20"/>
      <w:szCs w:val="20"/>
    </w:rPr>
  </w:style>
  <w:style w:type="character" w:styleId="PageNumber">
    <w:name w:val="page number"/>
    <w:rsid w:val="004B071C"/>
  </w:style>
  <w:style w:type="table" w:customStyle="1" w:styleId="MediumGrid1-Accent32">
    <w:name w:val="Medium Grid 1 - Accent 32"/>
    <w:basedOn w:val="TableNormal"/>
    <w:next w:val="MediumGrid1-Accent3"/>
    <w:uiPriority w:val="67"/>
    <w:rsid w:val="004B071C"/>
    <w:rPr>
      <w:rFonts w:ascii="Calibri" w:eastAsia="Calibri" w:hAnsi="Calibri"/>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33">
    <w:name w:val="Medium Grid 1 - Accent 33"/>
    <w:basedOn w:val="TableNormal"/>
    <w:next w:val="MediumGrid1-Accent3"/>
    <w:uiPriority w:val="67"/>
    <w:rsid w:val="004B071C"/>
    <w:rPr>
      <w:rFonts w:ascii="Calibri" w:eastAsia="Calibri" w:hAnsi="Calibri"/>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LightGrid-Accent6">
    <w:name w:val="Light Grid Accent 6"/>
    <w:basedOn w:val="TableNormal"/>
    <w:uiPriority w:val="62"/>
    <w:rsid w:val="00EB3E54"/>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Accent6">
    <w:name w:val="Light List Accent 6"/>
    <w:basedOn w:val="TableNormal"/>
    <w:uiPriority w:val="61"/>
    <w:rsid w:val="00EB3E54"/>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MediumList1-Accent2">
    <w:name w:val="Medium List 1 Accent 2"/>
    <w:basedOn w:val="TableNormal"/>
    <w:uiPriority w:val="65"/>
    <w:rsid w:val="00EB3E54"/>
    <w:rPr>
      <w:color w:val="000000" w:themeColor="text1"/>
    </w:rPr>
    <w:tblPr>
      <w:tblStyleRowBandSize w:val="1"/>
      <w:tblStyleColBandSize w:val="1"/>
      <w:tblInd w:w="0" w:type="dxa"/>
      <w:tblBorders>
        <w:top w:val="single" w:sz="8" w:space="0" w:color="BF83D7" w:themeColor="accent2"/>
        <w:bottom w:val="single" w:sz="8" w:space="0" w:color="BF83D7"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BF83D7" w:themeColor="accent2"/>
        </w:tcBorders>
      </w:tcPr>
    </w:tblStylePr>
    <w:tblStylePr w:type="lastRow">
      <w:rPr>
        <w:b/>
        <w:bCs/>
        <w:color w:val="1F497D" w:themeColor="text2"/>
      </w:rPr>
      <w:tblPr/>
      <w:tcPr>
        <w:tcBorders>
          <w:top w:val="single" w:sz="8" w:space="0" w:color="BF83D7" w:themeColor="accent2"/>
          <w:bottom w:val="single" w:sz="8" w:space="0" w:color="BF83D7" w:themeColor="accent2"/>
        </w:tcBorders>
      </w:tcPr>
    </w:tblStylePr>
    <w:tblStylePr w:type="firstCol">
      <w:rPr>
        <w:b/>
        <w:bCs/>
      </w:rPr>
    </w:tblStylePr>
    <w:tblStylePr w:type="lastCol">
      <w:rPr>
        <w:b/>
        <w:bCs/>
      </w:rPr>
      <w:tblPr/>
      <w:tcPr>
        <w:tcBorders>
          <w:top w:val="single" w:sz="8" w:space="0" w:color="BF83D7" w:themeColor="accent2"/>
          <w:bottom w:val="single" w:sz="8" w:space="0" w:color="BF83D7" w:themeColor="accent2"/>
        </w:tcBorders>
      </w:tcPr>
    </w:tblStylePr>
    <w:tblStylePr w:type="band1Vert">
      <w:tblPr/>
      <w:tcPr>
        <w:shd w:val="clear" w:color="auto" w:fill="EFE0F5" w:themeFill="accent2" w:themeFillTint="3F"/>
      </w:tcPr>
    </w:tblStylePr>
    <w:tblStylePr w:type="band1Horz">
      <w:tblPr/>
      <w:tcPr>
        <w:shd w:val="clear" w:color="auto" w:fill="EFE0F5" w:themeFill="accent2" w:themeFillTint="3F"/>
      </w:tcPr>
    </w:tblStylePr>
  </w:style>
  <w:style w:type="table" w:styleId="LightList-Accent3">
    <w:name w:val="Light List Accent 3"/>
    <w:basedOn w:val="TableNormal"/>
    <w:uiPriority w:val="61"/>
    <w:rsid w:val="00EB3E54"/>
    <w:tblPr>
      <w:tblStyleRowBandSize w:val="1"/>
      <w:tblStyleColBandSize w:val="1"/>
      <w:tblInd w:w="0" w:type="dxa"/>
      <w:tblBorders>
        <w:top w:val="single" w:sz="8" w:space="0" w:color="FAC08F" w:themeColor="accent3"/>
        <w:left w:val="single" w:sz="8" w:space="0" w:color="FAC08F" w:themeColor="accent3"/>
        <w:bottom w:val="single" w:sz="8" w:space="0" w:color="FAC08F" w:themeColor="accent3"/>
        <w:right w:val="single" w:sz="8" w:space="0" w:color="FAC08F"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AC08F" w:themeFill="accent3"/>
      </w:tcPr>
    </w:tblStylePr>
    <w:tblStylePr w:type="lastRow">
      <w:pPr>
        <w:spacing w:before="0" w:after="0" w:line="240" w:lineRule="auto"/>
      </w:pPr>
      <w:rPr>
        <w:b/>
        <w:bCs/>
      </w:rPr>
      <w:tblPr/>
      <w:tcPr>
        <w:tcBorders>
          <w:top w:val="double" w:sz="6" w:space="0" w:color="FAC08F" w:themeColor="accent3"/>
          <w:left w:val="single" w:sz="8" w:space="0" w:color="FAC08F" w:themeColor="accent3"/>
          <w:bottom w:val="single" w:sz="8" w:space="0" w:color="FAC08F" w:themeColor="accent3"/>
          <w:right w:val="single" w:sz="8" w:space="0" w:color="FAC08F" w:themeColor="accent3"/>
        </w:tcBorders>
      </w:tcPr>
    </w:tblStylePr>
    <w:tblStylePr w:type="firstCol">
      <w:rPr>
        <w:b/>
        <w:bCs/>
      </w:rPr>
    </w:tblStylePr>
    <w:tblStylePr w:type="lastCol">
      <w:rPr>
        <w:b/>
        <w:bCs/>
      </w:rPr>
    </w:tblStylePr>
    <w:tblStylePr w:type="band1Vert">
      <w:tblPr/>
      <w:tcPr>
        <w:tcBorders>
          <w:top w:val="single" w:sz="8" w:space="0" w:color="FAC08F" w:themeColor="accent3"/>
          <w:left w:val="single" w:sz="8" w:space="0" w:color="FAC08F" w:themeColor="accent3"/>
          <w:bottom w:val="single" w:sz="8" w:space="0" w:color="FAC08F" w:themeColor="accent3"/>
          <w:right w:val="single" w:sz="8" w:space="0" w:color="FAC08F" w:themeColor="accent3"/>
        </w:tcBorders>
      </w:tcPr>
    </w:tblStylePr>
    <w:tblStylePr w:type="band1Horz">
      <w:tblPr/>
      <w:tcPr>
        <w:tcBorders>
          <w:top w:val="single" w:sz="8" w:space="0" w:color="FAC08F" w:themeColor="accent3"/>
          <w:left w:val="single" w:sz="8" w:space="0" w:color="FAC08F" w:themeColor="accent3"/>
          <w:bottom w:val="single" w:sz="8" w:space="0" w:color="FAC08F" w:themeColor="accent3"/>
          <w:right w:val="single" w:sz="8" w:space="0" w:color="FAC08F" w:themeColor="accent3"/>
        </w:tcBorders>
      </w:tcPr>
    </w:tblStylePr>
  </w:style>
  <w:style w:type="table" w:styleId="LightList">
    <w:name w:val="Light List"/>
    <w:basedOn w:val="TableNormal"/>
    <w:uiPriority w:val="61"/>
    <w:rsid w:val="00EB3E54"/>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EB3E54"/>
    <w:tblPr>
      <w:tblStyleRowBandSize w:val="1"/>
      <w:tblStyleColBandSize w:val="1"/>
      <w:tblInd w:w="0" w:type="dxa"/>
      <w:tblBorders>
        <w:top w:val="single" w:sz="8" w:space="0" w:color="CEEAB0" w:themeColor="accent1"/>
        <w:left w:val="single" w:sz="8" w:space="0" w:color="CEEAB0" w:themeColor="accent1"/>
        <w:bottom w:val="single" w:sz="8" w:space="0" w:color="CEEAB0" w:themeColor="accent1"/>
        <w:right w:val="single" w:sz="8" w:space="0" w:color="CEEAB0"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EEAB0" w:themeFill="accent1"/>
      </w:tcPr>
    </w:tblStylePr>
    <w:tblStylePr w:type="lastRow">
      <w:pPr>
        <w:spacing w:before="0" w:after="0" w:line="240" w:lineRule="auto"/>
      </w:pPr>
      <w:rPr>
        <w:b/>
        <w:bCs/>
      </w:rPr>
      <w:tblPr/>
      <w:tcPr>
        <w:tcBorders>
          <w:top w:val="double" w:sz="6" w:space="0" w:color="CEEAB0" w:themeColor="accent1"/>
          <w:left w:val="single" w:sz="8" w:space="0" w:color="CEEAB0" w:themeColor="accent1"/>
          <w:bottom w:val="single" w:sz="8" w:space="0" w:color="CEEAB0" w:themeColor="accent1"/>
          <w:right w:val="single" w:sz="8" w:space="0" w:color="CEEAB0" w:themeColor="accent1"/>
        </w:tcBorders>
      </w:tcPr>
    </w:tblStylePr>
    <w:tblStylePr w:type="firstCol">
      <w:rPr>
        <w:b/>
        <w:bCs/>
      </w:rPr>
    </w:tblStylePr>
    <w:tblStylePr w:type="lastCol">
      <w:rPr>
        <w:b/>
        <w:bCs/>
      </w:rPr>
    </w:tblStylePr>
    <w:tblStylePr w:type="band1Vert">
      <w:tblPr/>
      <w:tcPr>
        <w:tcBorders>
          <w:top w:val="single" w:sz="8" w:space="0" w:color="CEEAB0" w:themeColor="accent1"/>
          <w:left w:val="single" w:sz="8" w:space="0" w:color="CEEAB0" w:themeColor="accent1"/>
          <w:bottom w:val="single" w:sz="8" w:space="0" w:color="CEEAB0" w:themeColor="accent1"/>
          <w:right w:val="single" w:sz="8" w:space="0" w:color="CEEAB0" w:themeColor="accent1"/>
        </w:tcBorders>
      </w:tcPr>
    </w:tblStylePr>
    <w:tblStylePr w:type="band1Horz">
      <w:tblPr/>
      <w:tcPr>
        <w:tcBorders>
          <w:top w:val="single" w:sz="8" w:space="0" w:color="CEEAB0" w:themeColor="accent1"/>
          <w:left w:val="single" w:sz="8" w:space="0" w:color="CEEAB0" w:themeColor="accent1"/>
          <w:bottom w:val="single" w:sz="8" w:space="0" w:color="CEEAB0" w:themeColor="accent1"/>
          <w:right w:val="single" w:sz="8" w:space="0" w:color="CEEAB0" w:themeColor="accent1"/>
        </w:tcBorders>
      </w:tcPr>
    </w:tblStylePr>
  </w:style>
  <w:style w:type="table" w:customStyle="1" w:styleId="MediumGrid3-Accent32">
    <w:name w:val="Medium Grid 3 - Accent 32"/>
    <w:basedOn w:val="TableNormal"/>
    <w:next w:val="MediumGrid3-Accent3"/>
    <w:rsid w:val="00EB3E54"/>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FE3"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AC08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AC08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AC08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AC08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CDFC7"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CDFC7" w:themeFill="accent3" w:themeFillTint="7F"/>
      </w:tcPr>
    </w:tblStylePr>
  </w:style>
  <w:style w:type="table" w:customStyle="1" w:styleId="MediumShading1-Accent52">
    <w:name w:val="Medium Shading 1 - Accent 52"/>
    <w:basedOn w:val="TableNormal"/>
    <w:next w:val="MediumShading1-Accent5"/>
    <w:rsid w:val="00EB3E54"/>
    <w:tblPr>
      <w:tblStyleRowBandSize w:val="1"/>
      <w:tblStyleColBandSize w:val="1"/>
      <w:tblInd w:w="0" w:type="dxa"/>
      <w:tblBorders>
        <w:top w:val="single" w:sz="8" w:space="0" w:color="B3DE86" w:themeColor="accent5" w:themeTint="BF"/>
        <w:left w:val="single" w:sz="8" w:space="0" w:color="B3DE86" w:themeColor="accent5" w:themeTint="BF"/>
        <w:bottom w:val="single" w:sz="8" w:space="0" w:color="B3DE86" w:themeColor="accent5" w:themeTint="BF"/>
        <w:right w:val="single" w:sz="8" w:space="0" w:color="B3DE86" w:themeColor="accent5" w:themeTint="BF"/>
        <w:insideH w:val="single" w:sz="8" w:space="0" w:color="B3DE86"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DE86" w:themeColor="accent5" w:themeTint="BF"/>
          <w:left w:val="single" w:sz="8" w:space="0" w:color="B3DE86" w:themeColor="accent5" w:themeTint="BF"/>
          <w:bottom w:val="single" w:sz="8" w:space="0" w:color="B3DE86" w:themeColor="accent5" w:themeTint="BF"/>
          <w:right w:val="single" w:sz="8" w:space="0" w:color="B3DE86" w:themeColor="accent5" w:themeTint="BF"/>
          <w:insideH w:val="nil"/>
          <w:insideV w:val="nil"/>
        </w:tcBorders>
        <w:shd w:val="clear" w:color="auto" w:fill="9BD45F" w:themeFill="accent5"/>
      </w:tcPr>
    </w:tblStylePr>
    <w:tblStylePr w:type="lastRow">
      <w:pPr>
        <w:spacing w:before="0" w:after="0" w:line="240" w:lineRule="auto"/>
      </w:pPr>
      <w:rPr>
        <w:b/>
        <w:bCs/>
      </w:rPr>
      <w:tblPr/>
      <w:tcPr>
        <w:tcBorders>
          <w:top w:val="double" w:sz="6" w:space="0" w:color="B3DE86" w:themeColor="accent5" w:themeTint="BF"/>
          <w:left w:val="single" w:sz="8" w:space="0" w:color="B3DE86" w:themeColor="accent5" w:themeTint="BF"/>
          <w:bottom w:val="single" w:sz="8" w:space="0" w:color="B3DE86" w:themeColor="accent5" w:themeTint="BF"/>
          <w:right w:val="single" w:sz="8" w:space="0" w:color="B3DE86" w:themeColor="accent5" w:themeTint="BF"/>
          <w:insideH w:val="nil"/>
          <w:insideV w:val="nil"/>
        </w:tcBorders>
      </w:tcPr>
    </w:tblStylePr>
    <w:tblStylePr w:type="firstCol">
      <w:rPr>
        <w:b/>
        <w:bCs/>
      </w:rPr>
    </w:tblStylePr>
    <w:tblStylePr w:type="lastCol">
      <w:rPr>
        <w:b/>
        <w:bCs/>
      </w:rPr>
    </w:tblStylePr>
    <w:tblStylePr w:type="band1Vert">
      <w:tblPr/>
      <w:tcPr>
        <w:shd w:val="clear" w:color="auto" w:fill="E6F4D7" w:themeFill="accent5" w:themeFillTint="3F"/>
      </w:tcPr>
    </w:tblStylePr>
    <w:tblStylePr w:type="band1Horz">
      <w:tblPr/>
      <w:tcPr>
        <w:tcBorders>
          <w:insideH w:val="nil"/>
          <w:insideV w:val="nil"/>
        </w:tcBorders>
        <w:shd w:val="clear" w:color="auto" w:fill="E6F4D7" w:themeFill="accent5" w:themeFillTint="3F"/>
      </w:tcPr>
    </w:tblStylePr>
    <w:tblStylePr w:type="band2Horz">
      <w:tblPr/>
      <w:tcPr>
        <w:tcBorders>
          <w:insideH w:val="nil"/>
          <w:insideV w:val="nil"/>
        </w:tcBorders>
      </w:tcPr>
    </w:tblStylePr>
  </w:style>
  <w:style w:type="table" w:customStyle="1" w:styleId="MediumShading1-Accent42">
    <w:name w:val="Medium Shading 1 - Accent 42"/>
    <w:basedOn w:val="TableNormal"/>
    <w:next w:val="MediumShading1-Accent4"/>
    <w:rsid w:val="00EB3E54"/>
    <w:tblPr>
      <w:tblStyleRowBandSize w:val="1"/>
      <w:tblStyleColBandSize w:val="1"/>
      <w:tblInd w:w="0" w:type="dxa"/>
      <w:tblBorders>
        <w:top w:val="single" w:sz="8" w:space="0" w:color="B2B2FF" w:themeColor="accent4" w:themeTint="BF"/>
        <w:left w:val="single" w:sz="8" w:space="0" w:color="B2B2FF" w:themeColor="accent4" w:themeTint="BF"/>
        <w:bottom w:val="single" w:sz="8" w:space="0" w:color="B2B2FF" w:themeColor="accent4" w:themeTint="BF"/>
        <w:right w:val="single" w:sz="8" w:space="0" w:color="B2B2FF" w:themeColor="accent4" w:themeTint="BF"/>
        <w:insideH w:val="single" w:sz="8" w:space="0" w:color="B2B2FF"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2B2FF" w:themeColor="accent4" w:themeTint="BF"/>
          <w:left w:val="single" w:sz="8" w:space="0" w:color="B2B2FF" w:themeColor="accent4" w:themeTint="BF"/>
          <w:bottom w:val="single" w:sz="8" w:space="0" w:color="B2B2FF" w:themeColor="accent4" w:themeTint="BF"/>
          <w:right w:val="single" w:sz="8" w:space="0" w:color="B2B2FF" w:themeColor="accent4" w:themeTint="BF"/>
          <w:insideH w:val="nil"/>
          <w:insideV w:val="nil"/>
        </w:tcBorders>
        <w:shd w:val="clear" w:color="auto" w:fill="9999FF" w:themeFill="accent4"/>
      </w:tcPr>
    </w:tblStylePr>
    <w:tblStylePr w:type="lastRow">
      <w:pPr>
        <w:spacing w:before="0" w:after="0" w:line="240" w:lineRule="auto"/>
      </w:pPr>
      <w:rPr>
        <w:b/>
        <w:bCs/>
      </w:rPr>
      <w:tblPr/>
      <w:tcPr>
        <w:tcBorders>
          <w:top w:val="double" w:sz="6" w:space="0" w:color="B2B2FF" w:themeColor="accent4" w:themeTint="BF"/>
          <w:left w:val="single" w:sz="8" w:space="0" w:color="B2B2FF" w:themeColor="accent4" w:themeTint="BF"/>
          <w:bottom w:val="single" w:sz="8" w:space="0" w:color="B2B2FF" w:themeColor="accent4" w:themeTint="BF"/>
          <w:right w:val="single" w:sz="8" w:space="0" w:color="B2B2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FF" w:themeFill="accent4" w:themeFillTint="3F"/>
      </w:tcPr>
    </w:tblStylePr>
    <w:tblStylePr w:type="band1Horz">
      <w:tblPr/>
      <w:tcPr>
        <w:tcBorders>
          <w:insideH w:val="nil"/>
          <w:insideV w:val="nil"/>
        </w:tcBorders>
        <w:shd w:val="clear" w:color="auto" w:fill="E5E5FF" w:themeFill="accent4" w:themeFillTint="3F"/>
      </w:tcPr>
    </w:tblStylePr>
    <w:tblStylePr w:type="band2Horz">
      <w:tblPr/>
      <w:tcPr>
        <w:tcBorders>
          <w:insideH w:val="nil"/>
          <w:insideV w:val="nil"/>
        </w:tcBorders>
      </w:tcPr>
    </w:tblStylePr>
  </w:style>
  <w:style w:type="table" w:customStyle="1" w:styleId="LightGrid12">
    <w:name w:val="Light Grid12"/>
    <w:basedOn w:val="TableNormal"/>
    <w:rsid w:val="00EB3E54"/>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Accent22">
    <w:name w:val="Medium Shading 2 - Accent 22"/>
    <w:basedOn w:val="TableNormal"/>
    <w:next w:val="MediumShading2-Accent2"/>
    <w:rsid w:val="00EB3E5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F83D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F83D7" w:themeFill="accent2"/>
      </w:tcPr>
    </w:tblStylePr>
    <w:tblStylePr w:type="lastCol">
      <w:rPr>
        <w:b/>
        <w:bCs/>
        <w:color w:val="FFFFFF" w:themeColor="background1"/>
      </w:rPr>
      <w:tblPr/>
      <w:tcPr>
        <w:tcBorders>
          <w:left w:val="nil"/>
          <w:right w:val="nil"/>
          <w:insideH w:val="nil"/>
          <w:insideV w:val="nil"/>
        </w:tcBorders>
        <w:shd w:val="clear" w:color="auto" w:fill="BF83D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Accent112">
    <w:name w:val="Light List - Accent 112"/>
    <w:basedOn w:val="TableNormal"/>
    <w:rsid w:val="00EB3E54"/>
    <w:tblPr>
      <w:tblStyleRowBandSize w:val="1"/>
      <w:tblStyleColBandSize w:val="1"/>
      <w:tblInd w:w="0" w:type="dxa"/>
      <w:tblBorders>
        <w:top w:val="single" w:sz="8" w:space="0" w:color="CEEAB0"/>
        <w:left w:val="single" w:sz="8" w:space="0" w:color="CEEAB0"/>
        <w:bottom w:val="single" w:sz="8" w:space="0" w:color="CEEAB0"/>
        <w:right w:val="single" w:sz="8" w:space="0" w:color="CEEAB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EEAB0"/>
      </w:tcPr>
    </w:tblStylePr>
    <w:tblStylePr w:type="lastRow">
      <w:pPr>
        <w:spacing w:before="0" w:after="0" w:line="240" w:lineRule="auto"/>
      </w:pPr>
      <w:rPr>
        <w:b/>
        <w:bCs/>
      </w:rPr>
      <w:tblPr/>
      <w:tcPr>
        <w:tcBorders>
          <w:top w:val="double" w:sz="6" w:space="0" w:color="CEEAB0"/>
          <w:left w:val="single" w:sz="8" w:space="0" w:color="CEEAB0"/>
          <w:bottom w:val="single" w:sz="8" w:space="0" w:color="CEEAB0"/>
          <w:right w:val="single" w:sz="8" w:space="0" w:color="CEEAB0"/>
        </w:tcBorders>
      </w:tcPr>
    </w:tblStylePr>
    <w:tblStylePr w:type="firstCol">
      <w:rPr>
        <w:b/>
        <w:bCs/>
      </w:rPr>
    </w:tblStylePr>
    <w:tblStylePr w:type="lastCol">
      <w:rPr>
        <w:b/>
        <w:bCs/>
      </w:rPr>
    </w:tblStylePr>
    <w:tblStylePr w:type="band1Vert">
      <w:tblPr/>
      <w:tcPr>
        <w:tcBorders>
          <w:top w:val="single" w:sz="8" w:space="0" w:color="CEEAB0"/>
          <w:left w:val="single" w:sz="8" w:space="0" w:color="CEEAB0"/>
          <w:bottom w:val="single" w:sz="8" w:space="0" w:color="CEEAB0"/>
          <w:right w:val="single" w:sz="8" w:space="0" w:color="CEEAB0"/>
        </w:tcBorders>
      </w:tcPr>
    </w:tblStylePr>
    <w:tblStylePr w:type="band1Horz">
      <w:tblPr/>
      <w:tcPr>
        <w:tcBorders>
          <w:top w:val="single" w:sz="8" w:space="0" w:color="CEEAB0"/>
          <w:left w:val="single" w:sz="8" w:space="0" w:color="CEEAB0"/>
          <w:bottom w:val="single" w:sz="8" w:space="0" w:color="CEEAB0"/>
          <w:right w:val="single" w:sz="8" w:space="0" w:color="CEEAB0"/>
        </w:tcBorders>
      </w:tcPr>
    </w:tblStylePr>
  </w:style>
  <w:style w:type="character" w:customStyle="1" w:styleId="longtext1">
    <w:name w:val="long_text1"/>
    <w:rsid w:val="00EB3E54"/>
    <w:rPr>
      <w:sz w:val="20"/>
      <w:szCs w:val="20"/>
    </w:rPr>
  </w:style>
  <w:style w:type="table" w:styleId="MediumShading2-Accent5">
    <w:name w:val="Medium Shading 2 Accent 5"/>
    <w:basedOn w:val="TableNormal"/>
    <w:uiPriority w:val="64"/>
    <w:rsid w:val="00EB3E54"/>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D4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D45F" w:themeFill="accent5"/>
      </w:tcPr>
    </w:tblStylePr>
    <w:tblStylePr w:type="lastCol">
      <w:rPr>
        <w:b/>
        <w:bCs/>
        <w:color w:val="FFFFFF" w:themeColor="background1"/>
      </w:rPr>
      <w:tblPr/>
      <w:tcPr>
        <w:tcBorders>
          <w:left w:val="nil"/>
          <w:right w:val="nil"/>
          <w:insideH w:val="nil"/>
          <w:insideV w:val="nil"/>
        </w:tcBorders>
        <w:shd w:val="clear" w:color="auto" w:fill="9BD4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2">
    <w:name w:val="Light Shading Accent 2"/>
    <w:basedOn w:val="TableNormal"/>
    <w:uiPriority w:val="60"/>
    <w:rsid w:val="00EB3E54"/>
    <w:rPr>
      <w:color w:val="9C41C1" w:themeColor="accent2" w:themeShade="BF"/>
    </w:rPr>
    <w:tblPr>
      <w:tblStyleRowBandSize w:val="1"/>
      <w:tblStyleColBandSize w:val="1"/>
      <w:tblInd w:w="0" w:type="dxa"/>
      <w:tblBorders>
        <w:top w:val="single" w:sz="8" w:space="0" w:color="BF83D7" w:themeColor="accent2"/>
        <w:bottom w:val="single" w:sz="8" w:space="0" w:color="BF83D7"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BF83D7" w:themeColor="accent2"/>
          <w:left w:val="nil"/>
          <w:bottom w:val="single" w:sz="8" w:space="0" w:color="BF83D7" w:themeColor="accent2"/>
          <w:right w:val="nil"/>
          <w:insideH w:val="nil"/>
          <w:insideV w:val="nil"/>
        </w:tcBorders>
      </w:tcPr>
    </w:tblStylePr>
    <w:tblStylePr w:type="lastRow">
      <w:pPr>
        <w:spacing w:before="0" w:after="0" w:line="240" w:lineRule="auto"/>
      </w:pPr>
      <w:rPr>
        <w:b/>
        <w:bCs/>
      </w:rPr>
      <w:tblPr/>
      <w:tcPr>
        <w:tcBorders>
          <w:top w:val="single" w:sz="8" w:space="0" w:color="BF83D7" w:themeColor="accent2"/>
          <w:left w:val="nil"/>
          <w:bottom w:val="single" w:sz="8" w:space="0" w:color="BF83D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E0F5" w:themeFill="accent2" w:themeFillTint="3F"/>
      </w:tcPr>
    </w:tblStylePr>
    <w:tblStylePr w:type="band1Horz">
      <w:tblPr/>
      <w:tcPr>
        <w:tcBorders>
          <w:left w:val="nil"/>
          <w:right w:val="nil"/>
          <w:insideH w:val="nil"/>
          <w:insideV w:val="nil"/>
        </w:tcBorders>
        <w:shd w:val="clear" w:color="auto" w:fill="EFE0F5" w:themeFill="accent2" w:themeFillTint="3F"/>
      </w:tcPr>
    </w:tblStylePr>
  </w:style>
  <w:style w:type="table" w:styleId="LightGrid-Accent2">
    <w:name w:val="Light Grid Accent 2"/>
    <w:basedOn w:val="TableNormal"/>
    <w:uiPriority w:val="62"/>
    <w:rsid w:val="00EB3E54"/>
    <w:tblPr>
      <w:tblStyleRowBandSize w:val="1"/>
      <w:tblStyleColBandSize w:val="1"/>
      <w:tblInd w:w="0" w:type="dxa"/>
      <w:tblBorders>
        <w:top w:val="single" w:sz="8" w:space="0" w:color="BF83D7" w:themeColor="accent2"/>
        <w:left w:val="single" w:sz="8" w:space="0" w:color="BF83D7" w:themeColor="accent2"/>
        <w:bottom w:val="single" w:sz="8" w:space="0" w:color="BF83D7" w:themeColor="accent2"/>
        <w:right w:val="single" w:sz="8" w:space="0" w:color="BF83D7" w:themeColor="accent2"/>
        <w:insideH w:val="single" w:sz="8" w:space="0" w:color="BF83D7" w:themeColor="accent2"/>
        <w:insideV w:val="single" w:sz="8" w:space="0" w:color="BF83D7"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BF83D7" w:themeColor="accent2"/>
          <w:left w:val="single" w:sz="8" w:space="0" w:color="BF83D7" w:themeColor="accent2"/>
          <w:bottom w:val="single" w:sz="18" w:space="0" w:color="BF83D7" w:themeColor="accent2"/>
          <w:right w:val="single" w:sz="8" w:space="0" w:color="BF83D7" w:themeColor="accent2"/>
          <w:insideH w:val="nil"/>
          <w:insideV w:val="single" w:sz="8" w:space="0" w:color="BF83D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F83D7" w:themeColor="accent2"/>
          <w:left w:val="single" w:sz="8" w:space="0" w:color="BF83D7" w:themeColor="accent2"/>
          <w:bottom w:val="single" w:sz="8" w:space="0" w:color="BF83D7" w:themeColor="accent2"/>
          <w:right w:val="single" w:sz="8" w:space="0" w:color="BF83D7" w:themeColor="accent2"/>
          <w:insideH w:val="nil"/>
          <w:insideV w:val="single" w:sz="8" w:space="0" w:color="BF83D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F83D7" w:themeColor="accent2"/>
          <w:left w:val="single" w:sz="8" w:space="0" w:color="BF83D7" w:themeColor="accent2"/>
          <w:bottom w:val="single" w:sz="8" w:space="0" w:color="BF83D7" w:themeColor="accent2"/>
          <w:right w:val="single" w:sz="8" w:space="0" w:color="BF83D7" w:themeColor="accent2"/>
        </w:tcBorders>
      </w:tcPr>
    </w:tblStylePr>
    <w:tblStylePr w:type="band1Vert">
      <w:tblPr/>
      <w:tcPr>
        <w:tcBorders>
          <w:top w:val="single" w:sz="8" w:space="0" w:color="BF83D7" w:themeColor="accent2"/>
          <w:left w:val="single" w:sz="8" w:space="0" w:color="BF83D7" w:themeColor="accent2"/>
          <w:bottom w:val="single" w:sz="8" w:space="0" w:color="BF83D7" w:themeColor="accent2"/>
          <w:right w:val="single" w:sz="8" w:space="0" w:color="BF83D7" w:themeColor="accent2"/>
        </w:tcBorders>
        <w:shd w:val="clear" w:color="auto" w:fill="EFE0F5" w:themeFill="accent2" w:themeFillTint="3F"/>
      </w:tcPr>
    </w:tblStylePr>
    <w:tblStylePr w:type="band1Horz">
      <w:tblPr/>
      <w:tcPr>
        <w:tcBorders>
          <w:top w:val="single" w:sz="8" w:space="0" w:color="BF83D7" w:themeColor="accent2"/>
          <w:left w:val="single" w:sz="8" w:space="0" w:color="BF83D7" w:themeColor="accent2"/>
          <w:bottom w:val="single" w:sz="8" w:space="0" w:color="BF83D7" w:themeColor="accent2"/>
          <w:right w:val="single" w:sz="8" w:space="0" w:color="BF83D7" w:themeColor="accent2"/>
          <w:insideV w:val="single" w:sz="8" w:space="0" w:color="BF83D7" w:themeColor="accent2"/>
        </w:tcBorders>
        <w:shd w:val="clear" w:color="auto" w:fill="EFE0F5" w:themeFill="accent2" w:themeFillTint="3F"/>
      </w:tcPr>
    </w:tblStylePr>
    <w:tblStylePr w:type="band2Horz">
      <w:tblPr/>
      <w:tcPr>
        <w:tcBorders>
          <w:top w:val="single" w:sz="8" w:space="0" w:color="BF83D7" w:themeColor="accent2"/>
          <w:left w:val="single" w:sz="8" w:space="0" w:color="BF83D7" w:themeColor="accent2"/>
          <w:bottom w:val="single" w:sz="8" w:space="0" w:color="BF83D7" w:themeColor="accent2"/>
          <w:right w:val="single" w:sz="8" w:space="0" w:color="BF83D7" w:themeColor="accent2"/>
          <w:insideV w:val="single" w:sz="8" w:space="0" w:color="BF83D7" w:themeColor="accent2"/>
        </w:tcBorders>
      </w:tcPr>
    </w:tblStylePr>
  </w:style>
  <w:style w:type="table" w:styleId="MediumShading1-Accent3">
    <w:name w:val="Medium Shading 1 Accent 3"/>
    <w:basedOn w:val="TableNormal"/>
    <w:uiPriority w:val="63"/>
    <w:rsid w:val="00EB3E54"/>
    <w:tblPr>
      <w:tblStyleRowBandSize w:val="1"/>
      <w:tblStyleColBandSize w:val="1"/>
      <w:tblInd w:w="0" w:type="dxa"/>
      <w:tblBorders>
        <w:top w:val="single" w:sz="8" w:space="0" w:color="FBCFAB" w:themeColor="accent3" w:themeTint="BF"/>
        <w:left w:val="single" w:sz="8" w:space="0" w:color="FBCFAB" w:themeColor="accent3" w:themeTint="BF"/>
        <w:bottom w:val="single" w:sz="8" w:space="0" w:color="FBCFAB" w:themeColor="accent3" w:themeTint="BF"/>
        <w:right w:val="single" w:sz="8" w:space="0" w:color="FBCFAB" w:themeColor="accent3" w:themeTint="BF"/>
        <w:insideH w:val="single" w:sz="8" w:space="0" w:color="FBCFAB"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BCFAB" w:themeColor="accent3" w:themeTint="BF"/>
          <w:left w:val="single" w:sz="8" w:space="0" w:color="FBCFAB" w:themeColor="accent3" w:themeTint="BF"/>
          <w:bottom w:val="single" w:sz="8" w:space="0" w:color="FBCFAB" w:themeColor="accent3" w:themeTint="BF"/>
          <w:right w:val="single" w:sz="8" w:space="0" w:color="FBCFAB" w:themeColor="accent3" w:themeTint="BF"/>
          <w:insideH w:val="nil"/>
          <w:insideV w:val="nil"/>
        </w:tcBorders>
        <w:shd w:val="clear" w:color="auto" w:fill="FAC08F" w:themeFill="accent3"/>
      </w:tcPr>
    </w:tblStylePr>
    <w:tblStylePr w:type="lastRow">
      <w:pPr>
        <w:spacing w:before="0" w:after="0" w:line="240" w:lineRule="auto"/>
      </w:pPr>
      <w:rPr>
        <w:b/>
        <w:bCs/>
      </w:rPr>
      <w:tblPr/>
      <w:tcPr>
        <w:tcBorders>
          <w:top w:val="double" w:sz="6" w:space="0" w:color="FBCFAB" w:themeColor="accent3" w:themeTint="BF"/>
          <w:left w:val="single" w:sz="8" w:space="0" w:color="FBCFAB" w:themeColor="accent3" w:themeTint="BF"/>
          <w:bottom w:val="single" w:sz="8" w:space="0" w:color="FBCFAB" w:themeColor="accent3" w:themeTint="BF"/>
          <w:right w:val="single" w:sz="8" w:space="0" w:color="FBCFAB" w:themeColor="accent3" w:themeTint="BF"/>
          <w:insideH w:val="nil"/>
          <w:insideV w:val="nil"/>
        </w:tcBorders>
      </w:tcPr>
    </w:tblStylePr>
    <w:tblStylePr w:type="firstCol">
      <w:rPr>
        <w:b/>
        <w:bCs/>
      </w:rPr>
    </w:tblStylePr>
    <w:tblStylePr w:type="lastCol">
      <w:rPr>
        <w:b/>
        <w:bCs/>
      </w:rPr>
    </w:tblStylePr>
    <w:tblStylePr w:type="band1Vert">
      <w:tblPr/>
      <w:tcPr>
        <w:shd w:val="clear" w:color="auto" w:fill="FDEFE3" w:themeFill="accent3" w:themeFillTint="3F"/>
      </w:tcPr>
    </w:tblStylePr>
    <w:tblStylePr w:type="band1Horz">
      <w:tblPr/>
      <w:tcPr>
        <w:tcBorders>
          <w:insideH w:val="nil"/>
          <w:insideV w:val="nil"/>
        </w:tcBorders>
        <w:shd w:val="clear" w:color="auto" w:fill="FDEFE3" w:themeFill="accent3" w:themeFillTint="3F"/>
      </w:tcPr>
    </w:tblStylePr>
    <w:tblStylePr w:type="band2Horz">
      <w:tblPr/>
      <w:tcPr>
        <w:tcBorders>
          <w:insideH w:val="nil"/>
          <w:insideV w:val="nil"/>
        </w:tcBorders>
      </w:tcPr>
    </w:tblStylePr>
  </w:style>
  <w:style w:type="paragraph" w:styleId="PlainText">
    <w:name w:val="Plain Text"/>
    <w:basedOn w:val="Normal"/>
    <w:link w:val="PlainTextChar"/>
    <w:uiPriority w:val="99"/>
    <w:unhideWhenUsed/>
    <w:rsid w:val="00EB3E54"/>
    <w:pPr>
      <w:spacing w:after="0"/>
      <w:jc w:val="left"/>
    </w:pPr>
    <w:rPr>
      <w:rFonts w:ascii="Consolas" w:eastAsia="Calibri" w:hAnsi="Consolas"/>
      <w:sz w:val="21"/>
      <w:szCs w:val="21"/>
    </w:rPr>
  </w:style>
  <w:style w:type="character" w:customStyle="1" w:styleId="PlainTextChar">
    <w:name w:val="Plain Text Char"/>
    <w:basedOn w:val="DefaultParagraphFont"/>
    <w:link w:val="PlainText"/>
    <w:uiPriority w:val="99"/>
    <w:rsid w:val="00EB3E54"/>
    <w:rPr>
      <w:rFonts w:ascii="Consolas" w:eastAsia="Calibri" w:hAnsi="Consolas"/>
      <w:sz w:val="21"/>
      <w:szCs w:val="21"/>
    </w:rPr>
  </w:style>
  <w:style w:type="table" w:styleId="TableTheme">
    <w:name w:val="Table Theme"/>
    <w:basedOn w:val="TableNormal"/>
    <w:rsid w:val="00EB3E54"/>
    <w:pPr>
      <w:widowControl w:val="0"/>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113">
    <w:name w:val="Light List - Accent 113"/>
    <w:basedOn w:val="TableNormal"/>
    <w:uiPriority w:val="61"/>
    <w:rsid w:val="00912E35"/>
    <w:tblPr>
      <w:tblStyleRowBandSize w:val="1"/>
      <w:tblStyleColBandSize w:val="1"/>
      <w:tblInd w:w="0" w:type="dxa"/>
      <w:tblBorders>
        <w:top w:val="single" w:sz="8" w:space="0" w:color="CEEAB0"/>
        <w:left w:val="single" w:sz="8" w:space="0" w:color="CEEAB0"/>
        <w:bottom w:val="single" w:sz="8" w:space="0" w:color="CEEAB0"/>
        <w:right w:val="single" w:sz="8" w:space="0" w:color="CEEAB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EEAB0"/>
      </w:tcPr>
    </w:tblStylePr>
    <w:tblStylePr w:type="lastRow">
      <w:pPr>
        <w:spacing w:before="0" w:after="0" w:line="240" w:lineRule="auto"/>
      </w:pPr>
      <w:rPr>
        <w:b/>
        <w:bCs/>
      </w:rPr>
      <w:tblPr/>
      <w:tcPr>
        <w:tcBorders>
          <w:top w:val="double" w:sz="6" w:space="0" w:color="CEEAB0"/>
          <w:left w:val="single" w:sz="8" w:space="0" w:color="CEEAB0"/>
          <w:bottom w:val="single" w:sz="8" w:space="0" w:color="CEEAB0"/>
          <w:right w:val="single" w:sz="8" w:space="0" w:color="CEEAB0"/>
        </w:tcBorders>
      </w:tcPr>
    </w:tblStylePr>
    <w:tblStylePr w:type="firstCol">
      <w:rPr>
        <w:b/>
        <w:bCs/>
      </w:rPr>
    </w:tblStylePr>
    <w:tblStylePr w:type="lastCol">
      <w:rPr>
        <w:b/>
        <w:bCs/>
      </w:rPr>
    </w:tblStylePr>
    <w:tblStylePr w:type="band1Vert">
      <w:tblPr/>
      <w:tcPr>
        <w:tcBorders>
          <w:top w:val="single" w:sz="8" w:space="0" w:color="CEEAB0"/>
          <w:left w:val="single" w:sz="8" w:space="0" w:color="CEEAB0"/>
          <w:bottom w:val="single" w:sz="8" w:space="0" w:color="CEEAB0"/>
          <w:right w:val="single" w:sz="8" w:space="0" w:color="CEEAB0"/>
        </w:tcBorders>
      </w:tcPr>
    </w:tblStylePr>
    <w:tblStylePr w:type="band1Horz">
      <w:tblPr/>
      <w:tcPr>
        <w:tcBorders>
          <w:top w:val="single" w:sz="8" w:space="0" w:color="CEEAB0"/>
          <w:left w:val="single" w:sz="8" w:space="0" w:color="CEEAB0"/>
          <w:bottom w:val="single" w:sz="8" w:space="0" w:color="CEEAB0"/>
          <w:right w:val="single" w:sz="8" w:space="0" w:color="CEEAB0"/>
        </w:tcBorders>
      </w:tcPr>
    </w:tblStylePr>
  </w:style>
  <w:style w:type="table" w:customStyle="1" w:styleId="MediumGrid3-Accent12">
    <w:name w:val="Medium Grid 3 - Accent 12"/>
    <w:rsid w:val="00912E35"/>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2F9EB"/>
    </w:tcPr>
  </w:style>
  <w:style w:type="table" w:customStyle="1" w:styleId="MediumShading1-Accent22">
    <w:name w:val="Medium Shading 1 - Accent 22"/>
    <w:rsid w:val="00912E35"/>
    <w:tblPr>
      <w:tblStyleRowBandSize w:val="1"/>
      <w:tblStyleColBandSize w:val="1"/>
      <w:tblInd w:w="0" w:type="dxa"/>
      <w:tblBorders>
        <w:top w:val="single" w:sz="8" w:space="0" w:color="CEA2E1"/>
        <w:left w:val="single" w:sz="8" w:space="0" w:color="CEA2E1"/>
        <w:bottom w:val="single" w:sz="8" w:space="0" w:color="CEA2E1"/>
        <w:right w:val="single" w:sz="8" w:space="0" w:color="CEA2E1"/>
        <w:insideH w:val="single" w:sz="8" w:space="0" w:color="CEA2E1"/>
      </w:tblBorders>
      <w:tblCellMar>
        <w:top w:w="0" w:type="dxa"/>
        <w:left w:w="108" w:type="dxa"/>
        <w:bottom w:w="0" w:type="dxa"/>
        <w:right w:w="108" w:type="dxa"/>
      </w:tblCellMar>
    </w:tblPr>
  </w:style>
  <w:style w:type="table" w:customStyle="1" w:styleId="LightShading-Accent32">
    <w:name w:val="Light Shading - Accent 32"/>
    <w:rsid w:val="00912E35"/>
    <w:rPr>
      <w:color w:val="F58A30"/>
    </w:rPr>
    <w:tblPr>
      <w:tblStyleRowBandSize w:val="1"/>
      <w:tblStyleColBandSize w:val="1"/>
      <w:tblInd w:w="0" w:type="dxa"/>
      <w:tblBorders>
        <w:top w:val="single" w:sz="8" w:space="0" w:color="FAC08F"/>
        <w:bottom w:val="single" w:sz="8" w:space="0" w:color="FAC08F"/>
      </w:tblBorders>
      <w:tblCellMar>
        <w:top w:w="0" w:type="dxa"/>
        <w:left w:w="108" w:type="dxa"/>
        <w:bottom w:w="0" w:type="dxa"/>
        <w:right w:w="108" w:type="dxa"/>
      </w:tblCellMar>
    </w:tblPr>
  </w:style>
  <w:style w:type="table" w:customStyle="1" w:styleId="LightShading-Accent42">
    <w:name w:val="Light Shading - Accent 42"/>
    <w:rsid w:val="00912E35"/>
    <w:rPr>
      <w:color w:val="3232FF"/>
    </w:rPr>
    <w:tblPr>
      <w:tblStyleRowBandSize w:val="1"/>
      <w:tblStyleColBandSize w:val="1"/>
      <w:tblInd w:w="0" w:type="dxa"/>
      <w:tblBorders>
        <w:top w:val="single" w:sz="8" w:space="0" w:color="9999FF"/>
        <w:bottom w:val="single" w:sz="8" w:space="0" w:color="9999FF"/>
      </w:tblBorders>
      <w:tblCellMar>
        <w:top w:w="0" w:type="dxa"/>
        <w:left w:w="108" w:type="dxa"/>
        <w:bottom w:w="0" w:type="dxa"/>
        <w:right w:w="108" w:type="dxa"/>
      </w:tblCellMar>
    </w:tblPr>
  </w:style>
  <w:style w:type="table" w:customStyle="1" w:styleId="MediumShading2-Accent32">
    <w:name w:val="Medium Shading 2 - Accent 32"/>
    <w:rsid w:val="00912E35"/>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MediumList1-Accent52">
    <w:name w:val="Medium List 1 - Accent 52"/>
    <w:rsid w:val="00912E35"/>
    <w:rPr>
      <w:color w:val="000000"/>
    </w:rPr>
    <w:tblPr>
      <w:tblStyleRowBandSize w:val="1"/>
      <w:tblStyleColBandSize w:val="1"/>
      <w:tblInd w:w="0" w:type="dxa"/>
      <w:tblBorders>
        <w:top w:val="single" w:sz="8" w:space="0" w:color="9BD45F"/>
        <w:bottom w:val="single" w:sz="8" w:space="0" w:color="9BD45F"/>
      </w:tblBorders>
      <w:tblCellMar>
        <w:top w:w="0" w:type="dxa"/>
        <w:left w:w="108" w:type="dxa"/>
        <w:bottom w:w="0" w:type="dxa"/>
        <w:right w:w="108" w:type="dxa"/>
      </w:tblCellMar>
    </w:tblPr>
  </w:style>
  <w:style w:type="table" w:customStyle="1" w:styleId="MediumGrid3-Accent52">
    <w:name w:val="Medium Grid 3 - Accent 52"/>
    <w:rsid w:val="00912E35"/>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F4D7"/>
    </w:tcPr>
  </w:style>
  <w:style w:type="table" w:customStyle="1" w:styleId="MediumGrid2-Accent22">
    <w:name w:val="Medium Grid 2 - Accent 22"/>
    <w:rsid w:val="00912E35"/>
    <w:rPr>
      <w:rFonts w:ascii="Cambria" w:hAnsi="Cambria"/>
      <w:color w:val="000000"/>
    </w:rPr>
    <w:tblPr>
      <w:tblStyleRowBandSize w:val="1"/>
      <w:tblStyleColBandSize w:val="1"/>
      <w:tblInd w:w="0" w:type="dxa"/>
      <w:tblBorders>
        <w:top w:val="single" w:sz="8" w:space="0" w:color="BF83D7"/>
        <w:left w:val="single" w:sz="8" w:space="0" w:color="BF83D7"/>
        <w:bottom w:val="single" w:sz="8" w:space="0" w:color="BF83D7"/>
        <w:right w:val="single" w:sz="8" w:space="0" w:color="BF83D7"/>
        <w:insideH w:val="single" w:sz="8" w:space="0" w:color="BF83D7"/>
        <w:insideV w:val="single" w:sz="8" w:space="0" w:color="BF83D7"/>
      </w:tblBorders>
      <w:tblCellMar>
        <w:top w:w="0" w:type="dxa"/>
        <w:left w:w="108" w:type="dxa"/>
        <w:bottom w:w="0" w:type="dxa"/>
        <w:right w:w="108" w:type="dxa"/>
      </w:tblCellMar>
    </w:tblPr>
    <w:tcPr>
      <w:shd w:val="clear" w:color="auto" w:fill="EFE0F5"/>
    </w:tcPr>
  </w:style>
  <w:style w:type="table" w:customStyle="1" w:styleId="LightList-Accent42">
    <w:name w:val="Light List - Accent 42"/>
    <w:rsid w:val="00912E35"/>
    <w:tblPr>
      <w:tblStyleRowBandSize w:val="1"/>
      <w:tblStyleColBandSize w:val="1"/>
      <w:tblInd w:w="0" w:type="dxa"/>
      <w:tblBorders>
        <w:top w:val="single" w:sz="8" w:space="0" w:color="9999FF"/>
        <w:left w:val="single" w:sz="8" w:space="0" w:color="9999FF"/>
        <w:bottom w:val="single" w:sz="8" w:space="0" w:color="9999FF"/>
        <w:right w:val="single" w:sz="8" w:space="0" w:color="9999FF"/>
      </w:tblBorders>
      <w:tblCellMar>
        <w:top w:w="0" w:type="dxa"/>
        <w:left w:w="108" w:type="dxa"/>
        <w:bottom w:w="0" w:type="dxa"/>
        <w:right w:w="108" w:type="dxa"/>
      </w:tblCellMar>
    </w:tblPr>
  </w:style>
  <w:style w:type="table" w:customStyle="1" w:styleId="LightList11">
    <w:name w:val="Light List11"/>
    <w:next w:val="LightList1"/>
    <w:rsid w:val="00912E35"/>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LightList-Accent12">
    <w:name w:val="Light List - Accent 12"/>
    <w:rsid w:val="00912E35"/>
    <w:tblPr>
      <w:tblStyleRowBandSize w:val="1"/>
      <w:tblStyleColBandSize w:val="1"/>
      <w:tblInd w:w="0" w:type="dxa"/>
      <w:tblBorders>
        <w:top w:val="single" w:sz="8" w:space="0" w:color="CEEAB0"/>
        <w:left w:val="single" w:sz="8" w:space="0" w:color="CEEAB0"/>
        <w:bottom w:val="single" w:sz="8" w:space="0" w:color="CEEAB0"/>
        <w:right w:val="single" w:sz="8" w:space="0" w:color="CEEAB0"/>
      </w:tblBorders>
      <w:tblCellMar>
        <w:top w:w="0" w:type="dxa"/>
        <w:left w:w="108" w:type="dxa"/>
        <w:bottom w:w="0" w:type="dxa"/>
        <w:right w:w="108" w:type="dxa"/>
      </w:tblCellMar>
    </w:tblPr>
  </w:style>
  <w:style w:type="table" w:customStyle="1" w:styleId="ColorfulShading-Accent51">
    <w:name w:val="Colorful Shading - Accent 51"/>
    <w:rsid w:val="00912E35"/>
    <w:rPr>
      <w:color w:val="000000"/>
    </w:rPr>
    <w:tblPr>
      <w:tblStyleRowBandSize w:val="1"/>
      <w:tblStyleColBandSize w:val="1"/>
      <w:tblInd w:w="0" w:type="dxa"/>
      <w:tblBorders>
        <w:top w:val="single" w:sz="24" w:space="0" w:color="F79646"/>
        <w:left w:val="single" w:sz="4" w:space="0" w:color="9BD45F"/>
        <w:bottom w:val="single" w:sz="4" w:space="0" w:color="9BD45F"/>
        <w:right w:val="single" w:sz="4" w:space="0" w:color="9BD45F"/>
        <w:insideH w:val="single" w:sz="4" w:space="0" w:color="FFFFFF"/>
        <w:insideV w:val="single" w:sz="4" w:space="0" w:color="FFFFFF"/>
      </w:tblBorders>
      <w:tblCellMar>
        <w:top w:w="0" w:type="dxa"/>
        <w:left w:w="108" w:type="dxa"/>
        <w:bottom w:w="0" w:type="dxa"/>
        <w:right w:w="108" w:type="dxa"/>
      </w:tblCellMar>
    </w:tblPr>
    <w:tcPr>
      <w:shd w:val="clear" w:color="auto" w:fill="F5FAEF"/>
    </w:tcPr>
  </w:style>
  <w:style w:type="table" w:customStyle="1" w:styleId="LightList-Accent22">
    <w:name w:val="Light List - Accent 22"/>
    <w:rsid w:val="00912E35"/>
    <w:tblPr>
      <w:tblStyleRowBandSize w:val="1"/>
      <w:tblStyleColBandSize w:val="1"/>
      <w:tblInd w:w="0" w:type="dxa"/>
      <w:tblBorders>
        <w:top w:val="single" w:sz="8" w:space="0" w:color="BF83D7"/>
        <w:left w:val="single" w:sz="8" w:space="0" w:color="BF83D7"/>
        <w:bottom w:val="single" w:sz="8" w:space="0" w:color="BF83D7"/>
        <w:right w:val="single" w:sz="8" w:space="0" w:color="BF83D7"/>
      </w:tblBorders>
      <w:tblCellMar>
        <w:top w:w="0" w:type="dxa"/>
        <w:left w:w="108" w:type="dxa"/>
        <w:bottom w:w="0" w:type="dxa"/>
        <w:right w:w="108" w:type="dxa"/>
      </w:tblCellMar>
    </w:tblPr>
  </w:style>
  <w:style w:type="table" w:customStyle="1" w:styleId="DarkList-Accent21">
    <w:name w:val="Dark List - Accent 21"/>
    <w:rsid w:val="00912E35"/>
    <w:rPr>
      <w:color w:val="FFFFFF"/>
    </w:rPr>
    <w:tblPr>
      <w:tblStyleRowBandSize w:val="1"/>
      <w:tblStyleColBandSize w:val="1"/>
      <w:tblInd w:w="0" w:type="dxa"/>
      <w:tblCellMar>
        <w:top w:w="0" w:type="dxa"/>
        <w:left w:w="108" w:type="dxa"/>
        <w:bottom w:w="0" w:type="dxa"/>
        <w:right w:w="108" w:type="dxa"/>
      </w:tblCellMar>
    </w:tblPr>
    <w:tcPr>
      <w:shd w:val="clear" w:color="auto" w:fill="BF83D7"/>
    </w:tcPr>
  </w:style>
  <w:style w:type="table" w:customStyle="1" w:styleId="MediumGrid3-Accent61">
    <w:name w:val="Medium Grid 3 - Accent 61"/>
    <w:rsid w:val="00912E35"/>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style>
  <w:style w:type="table" w:customStyle="1" w:styleId="LightList-Accent51">
    <w:name w:val="Light List - Accent 51"/>
    <w:rsid w:val="00912E35"/>
    <w:tblPr>
      <w:tblStyleRowBandSize w:val="1"/>
      <w:tblStyleColBandSize w:val="1"/>
      <w:tblInd w:w="0" w:type="dxa"/>
      <w:tblBorders>
        <w:top w:val="single" w:sz="8" w:space="0" w:color="9BD45F"/>
        <w:left w:val="single" w:sz="8" w:space="0" w:color="9BD45F"/>
        <w:bottom w:val="single" w:sz="8" w:space="0" w:color="9BD45F"/>
        <w:right w:val="single" w:sz="8" w:space="0" w:color="9BD45F"/>
      </w:tblBorders>
      <w:tblCellMar>
        <w:top w:w="0" w:type="dxa"/>
        <w:left w:w="108" w:type="dxa"/>
        <w:bottom w:w="0" w:type="dxa"/>
        <w:right w:w="108" w:type="dxa"/>
      </w:tblCellMar>
    </w:tblPr>
  </w:style>
  <w:style w:type="table" w:customStyle="1" w:styleId="MediumGrid3-Accent22">
    <w:name w:val="Medium Grid 3 - Accent 22"/>
    <w:rsid w:val="00912E35"/>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E0F5"/>
    </w:tcPr>
  </w:style>
  <w:style w:type="table" w:customStyle="1" w:styleId="MediumGrid3-Accent42">
    <w:name w:val="Medium Grid 3 - Accent 42"/>
    <w:rsid w:val="00912E35"/>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5E5FF"/>
    </w:tcPr>
  </w:style>
  <w:style w:type="table" w:customStyle="1" w:styleId="MediumGrid1-Accent12">
    <w:name w:val="Medium Grid 1 - Accent 12"/>
    <w:rsid w:val="00912E35"/>
    <w:tblPr>
      <w:tblStyleRowBandSize w:val="1"/>
      <w:tblStyleColBandSize w:val="1"/>
      <w:tblInd w:w="0" w:type="dxa"/>
      <w:tblBorders>
        <w:top w:val="single" w:sz="8" w:space="0" w:color="DAEFC3"/>
        <w:left w:val="single" w:sz="8" w:space="0" w:color="DAEFC3"/>
        <w:bottom w:val="single" w:sz="8" w:space="0" w:color="DAEFC3"/>
        <w:right w:val="single" w:sz="8" w:space="0" w:color="DAEFC3"/>
        <w:insideH w:val="single" w:sz="8" w:space="0" w:color="DAEFC3"/>
        <w:insideV w:val="single" w:sz="8" w:space="0" w:color="DAEFC3"/>
      </w:tblBorders>
      <w:tblCellMar>
        <w:top w:w="0" w:type="dxa"/>
        <w:left w:w="108" w:type="dxa"/>
        <w:bottom w:w="0" w:type="dxa"/>
        <w:right w:w="108" w:type="dxa"/>
      </w:tblCellMar>
    </w:tblPr>
    <w:tcPr>
      <w:shd w:val="clear" w:color="auto" w:fill="F2F9EB"/>
    </w:tcPr>
  </w:style>
  <w:style w:type="table" w:customStyle="1" w:styleId="LightShading-Accent112">
    <w:name w:val="Light Shading - Accent 112"/>
    <w:rsid w:val="00912E35"/>
    <w:rPr>
      <w:color w:val="9BD45E"/>
    </w:rPr>
    <w:tblPr>
      <w:tblStyleRowBandSize w:val="1"/>
      <w:tblStyleColBandSize w:val="1"/>
      <w:tblInd w:w="0" w:type="dxa"/>
      <w:tblBorders>
        <w:top w:val="single" w:sz="8" w:space="0" w:color="CEEAB0"/>
        <w:bottom w:val="single" w:sz="8" w:space="0" w:color="CEEAB0"/>
      </w:tblBorders>
      <w:tblCellMar>
        <w:top w:w="0" w:type="dxa"/>
        <w:left w:w="108" w:type="dxa"/>
        <w:bottom w:w="0" w:type="dxa"/>
        <w:right w:w="108" w:type="dxa"/>
      </w:tblCellMar>
    </w:tblPr>
  </w:style>
  <w:style w:type="table" w:customStyle="1" w:styleId="MediumGrid1-Accent34">
    <w:name w:val="Medium Grid 1 - Accent 34"/>
    <w:rsid w:val="00912E35"/>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style>
  <w:style w:type="table" w:customStyle="1" w:styleId="MediumShading2-Accent51">
    <w:name w:val="Medium Shading 2 - Accent 51"/>
    <w:rsid w:val="00912E35"/>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LightShading-Accent21">
    <w:name w:val="Light Shading - Accent 21"/>
    <w:rsid w:val="00912E35"/>
    <w:rPr>
      <w:color w:val="9C41C1"/>
    </w:rPr>
    <w:tblPr>
      <w:tblStyleRowBandSize w:val="1"/>
      <w:tblStyleColBandSize w:val="1"/>
      <w:tblInd w:w="0" w:type="dxa"/>
      <w:tblBorders>
        <w:top w:val="single" w:sz="8" w:space="0" w:color="BF83D7"/>
        <w:bottom w:val="single" w:sz="8" w:space="0" w:color="BF83D7"/>
      </w:tblBorders>
      <w:tblCellMar>
        <w:top w:w="0" w:type="dxa"/>
        <w:left w:w="108" w:type="dxa"/>
        <w:bottom w:w="0" w:type="dxa"/>
        <w:right w:w="108" w:type="dxa"/>
      </w:tblCellMar>
    </w:tblPr>
  </w:style>
  <w:style w:type="table" w:customStyle="1" w:styleId="LightGrid-Accent61">
    <w:name w:val="Light Grid - Accent 61"/>
    <w:rsid w:val="00912E35"/>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style>
  <w:style w:type="table" w:customStyle="1" w:styleId="LightGrid-Accent51">
    <w:name w:val="Light Grid - Accent 51"/>
    <w:rsid w:val="00912E35"/>
    <w:tblPr>
      <w:tblStyleRowBandSize w:val="1"/>
      <w:tblStyleColBandSize w:val="1"/>
      <w:tblInd w:w="0" w:type="dxa"/>
      <w:tblBorders>
        <w:top w:val="single" w:sz="8" w:space="0" w:color="9BD45F"/>
        <w:left w:val="single" w:sz="8" w:space="0" w:color="9BD45F"/>
        <w:bottom w:val="single" w:sz="8" w:space="0" w:color="9BD45F"/>
        <w:right w:val="single" w:sz="8" w:space="0" w:color="9BD45F"/>
        <w:insideH w:val="single" w:sz="8" w:space="0" w:color="9BD45F"/>
        <w:insideV w:val="single" w:sz="8" w:space="0" w:color="9BD45F"/>
      </w:tblBorders>
      <w:tblCellMar>
        <w:top w:w="0" w:type="dxa"/>
        <w:left w:w="108" w:type="dxa"/>
        <w:bottom w:w="0" w:type="dxa"/>
        <w:right w:w="108" w:type="dxa"/>
      </w:tblCellMar>
    </w:tblPr>
  </w:style>
  <w:style w:type="table" w:customStyle="1" w:styleId="ColorfulGrid-Accent32">
    <w:name w:val="Colorful Grid - Accent 32"/>
    <w:rsid w:val="00912E35"/>
    <w:rPr>
      <w:rFonts w:ascii="Calibri" w:hAnsi="Calibri"/>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style>
  <w:style w:type="table" w:customStyle="1" w:styleId="MediumGrid3-Accent111">
    <w:name w:val="Medium Grid 3 - Accent 111"/>
    <w:rsid w:val="00912E35"/>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style>
  <w:style w:type="table" w:customStyle="1" w:styleId="MediumShading1-Accent211">
    <w:name w:val="Medium Shading 1 - Accent 211"/>
    <w:rsid w:val="00912E35"/>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style>
  <w:style w:type="table" w:customStyle="1" w:styleId="TableColumns511">
    <w:name w:val="Table Columns 511"/>
    <w:rsid w:val="00912E35"/>
    <w:pPr>
      <w:spacing w:before="120" w:after="120"/>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TableClassic111">
    <w:name w:val="Table Classic 111"/>
    <w:rsid w:val="00912E35"/>
    <w:pPr>
      <w:spacing w:before="120" w:after="120"/>
      <w:jc w:val="both"/>
    </w:p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Table3Deffects311">
    <w:name w:val="Table 3D effects 311"/>
    <w:rsid w:val="00912E35"/>
    <w:pPr>
      <w:spacing w:before="120" w:after="120"/>
      <w:jc w:val="both"/>
    </w:pPr>
    <w:tblPr>
      <w:tblStyleRowBandSize w:val="1"/>
      <w:tblStyleColBandSize w:val="1"/>
      <w:tblInd w:w="0" w:type="dxa"/>
      <w:tblCellMar>
        <w:top w:w="0" w:type="dxa"/>
        <w:left w:w="108" w:type="dxa"/>
        <w:bottom w:w="0" w:type="dxa"/>
        <w:right w:w="108" w:type="dxa"/>
      </w:tblCellMar>
    </w:tblPr>
  </w:style>
  <w:style w:type="table" w:customStyle="1" w:styleId="TableList311">
    <w:name w:val="Table List 311"/>
    <w:rsid w:val="00912E35"/>
    <w:pPr>
      <w:spacing w:before="120" w:after="12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311">
    <w:name w:val="Light Shading - Accent 311"/>
    <w:rsid w:val="00912E35"/>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style>
  <w:style w:type="table" w:customStyle="1" w:styleId="LightShading-Accent411">
    <w:name w:val="Light Shading - Accent 411"/>
    <w:rsid w:val="00912E35"/>
    <w:rPr>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style>
  <w:style w:type="table" w:customStyle="1" w:styleId="MediumShading2-Accent311">
    <w:name w:val="Medium Shading 2 - Accent 311"/>
    <w:rsid w:val="00912E35"/>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MediumList1-Accent511">
    <w:name w:val="Medium List 1 - Accent 511"/>
    <w:rsid w:val="00912E35"/>
    <w:rPr>
      <w:color w:val="00000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style>
  <w:style w:type="table" w:customStyle="1" w:styleId="MediumGrid3-Accent511">
    <w:name w:val="Medium Grid 3 - Accent 511"/>
    <w:rsid w:val="00912E35"/>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2-Accent211">
    <w:name w:val="Medium Grid 2 - Accent 211"/>
    <w:rsid w:val="00912E35"/>
    <w:rPr>
      <w:rFonts w:ascii="Cambria" w:hAnsi="Cambria"/>
      <w:color w:val="00000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style>
  <w:style w:type="table" w:customStyle="1" w:styleId="LightList-Accent411">
    <w:name w:val="Light List - Accent 411"/>
    <w:rsid w:val="00912E35"/>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style>
  <w:style w:type="table" w:customStyle="1" w:styleId="MediumShading1-Accent411">
    <w:name w:val="Medium Shading 1 - Accent 411"/>
    <w:rsid w:val="00912E35"/>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style>
  <w:style w:type="table" w:customStyle="1" w:styleId="MediumGrid3-Accent311">
    <w:name w:val="Medium Grid 3 - Accent 311"/>
    <w:rsid w:val="00912E35"/>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MediumShading1-Accent511">
    <w:name w:val="Medium Shading 1 - Accent 511"/>
    <w:rsid w:val="00912E35"/>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style>
  <w:style w:type="table" w:customStyle="1" w:styleId="MediumGrid3-Accent411">
    <w:name w:val="Medium Grid 3 - Accent 411"/>
    <w:rsid w:val="00912E35"/>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style>
  <w:style w:type="table" w:customStyle="1" w:styleId="LightList-Accent211">
    <w:name w:val="Light List - Accent 211"/>
    <w:rsid w:val="00912E35"/>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style>
  <w:style w:type="table" w:customStyle="1" w:styleId="MediumGrid3-Accent211">
    <w:name w:val="Medium Grid 3 - Accent 211"/>
    <w:rsid w:val="00912E35"/>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style>
  <w:style w:type="table" w:customStyle="1" w:styleId="LightGrid111">
    <w:name w:val="Light Grid111"/>
    <w:rsid w:val="00912E35"/>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MediumShading2-Accent211">
    <w:name w:val="Medium Shading 2 - Accent 211"/>
    <w:rsid w:val="00912E35"/>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LightList-Accent1111">
    <w:name w:val="Light List - Accent 1111"/>
    <w:rsid w:val="00912E35"/>
    <w:tblPr>
      <w:tblStyleRowBandSize w:val="1"/>
      <w:tblStyleColBandSize w:val="1"/>
      <w:tblInd w:w="0" w:type="dxa"/>
      <w:tblBorders>
        <w:top w:val="single" w:sz="8" w:space="0" w:color="CEEAB0"/>
        <w:left w:val="single" w:sz="8" w:space="0" w:color="CEEAB0"/>
        <w:bottom w:val="single" w:sz="8" w:space="0" w:color="CEEAB0"/>
        <w:right w:val="single" w:sz="8" w:space="0" w:color="CEEAB0"/>
      </w:tblBorders>
      <w:tblCellMar>
        <w:top w:w="0" w:type="dxa"/>
        <w:left w:w="108" w:type="dxa"/>
        <w:bottom w:w="0" w:type="dxa"/>
        <w:right w:w="108" w:type="dxa"/>
      </w:tblCellMar>
    </w:tblPr>
  </w:style>
  <w:style w:type="table" w:customStyle="1" w:styleId="MediumGrid1-Accent111">
    <w:name w:val="Medium Grid 1 - Accent 111"/>
    <w:rsid w:val="00912E35"/>
    <w:tblPr>
      <w:tblStyleRowBandSize w:val="1"/>
      <w:tblStyleColBandSize w:val="1"/>
      <w:tblInd w:w="0" w:type="dxa"/>
      <w:tblBorders>
        <w:top w:val="single" w:sz="8" w:space="0" w:color="DAEFC3"/>
        <w:left w:val="single" w:sz="8" w:space="0" w:color="DAEFC3"/>
        <w:bottom w:val="single" w:sz="8" w:space="0" w:color="DAEFC3"/>
        <w:right w:val="single" w:sz="8" w:space="0" w:color="DAEFC3"/>
        <w:insideH w:val="single" w:sz="8" w:space="0" w:color="DAEFC3"/>
        <w:insideV w:val="single" w:sz="8" w:space="0" w:color="DAEFC3"/>
      </w:tblBorders>
      <w:tblCellMar>
        <w:top w:w="0" w:type="dxa"/>
        <w:left w:w="108" w:type="dxa"/>
        <w:bottom w:w="0" w:type="dxa"/>
        <w:right w:w="108" w:type="dxa"/>
      </w:tblCellMar>
    </w:tblPr>
    <w:tcPr>
      <w:shd w:val="clear" w:color="auto" w:fill="F2F9EB"/>
    </w:tcPr>
  </w:style>
  <w:style w:type="table" w:customStyle="1" w:styleId="LightShading-Accent1111">
    <w:name w:val="Light Shading - Accent 1111"/>
    <w:rsid w:val="00912E35"/>
    <w:rPr>
      <w:color w:val="9BD45E"/>
    </w:rPr>
    <w:tblPr>
      <w:tblStyleRowBandSize w:val="1"/>
      <w:tblStyleColBandSize w:val="1"/>
      <w:tblInd w:w="0" w:type="dxa"/>
      <w:tblBorders>
        <w:top w:val="single" w:sz="8" w:space="0" w:color="CEEAB0"/>
        <w:bottom w:val="single" w:sz="8" w:space="0" w:color="CEEAB0"/>
      </w:tblBorders>
      <w:tblCellMar>
        <w:top w:w="0" w:type="dxa"/>
        <w:left w:w="108" w:type="dxa"/>
        <w:bottom w:w="0" w:type="dxa"/>
        <w:right w:w="108" w:type="dxa"/>
      </w:tblCellMar>
    </w:tblPr>
  </w:style>
  <w:style w:type="table" w:customStyle="1" w:styleId="MediumGrid1-Accent311">
    <w:name w:val="Medium Grid 1 - Accent 311"/>
    <w:rsid w:val="00912E35"/>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style>
  <w:style w:type="table" w:customStyle="1" w:styleId="ColorfulGrid-Accent311">
    <w:name w:val="Colorful Grid - Accent 311"/>
    <w:rsid w:val="00912E35"/>
    <w:rPr>
      <w:rFonts w:ascii="Calibri" w:hAnsi="Calibri"/>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style>
  <w:style w:type="table" w:customStyle="1" w:styleId="TableGrid21">
    <w:name w:val="Table Grid21"/>
    <w:rsid w:val="00912E35"/>
    <w:rPr>
      <w:lang w:val="sr-Latn-CS" w:eastAsia="sr-Latn-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rsid w:val="00912E35"/>
    <w:rPr>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1-Accent321">
    <w:name w:val="Medium Grid 1 - Accent 321"/>
    <w:rsid w:val="00912E35"/>
    <w:rPr>
      <w:rFonts w:ascii="Calibri" w:hAnsi="Calibri"/>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style>
  <w:style w:type="table" w:customStyle="1" w:styleId="MediumGrid1-Accent331">
    <w:name w:val="Medium Grid 1 - Accent 331"/>
    <w:rsid w:val="00912E35"/>
    <w:rPr>
      <w:rFonts w:ascii="Calibri" w:hAnsi="Calibri"/>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style>
  <w:style w:type="table" w:customStyle="1" w:styleId="LightList-Accent61">
    <w:name w:val="Light List - Accent 61"/>
    <w:rsid w:val="00912E35"/>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style>
  <w:style w:type="table" w:customStyle="1" w:styleId="LightList-Accent31">
    <w:name w:val="Light List - Accent 31"/>
    <w:rsid w:val="00912E35"/>
    <w:tblPr>
      <w:tblStyleRowBandSize w:val="1"/>
      <w:tblStyleColBandSize w:val="1"/>
      <w:tblInd w:w="0" w:type="dxa"/>
      <w:tblBorders>
        <w:top w:val="single" w:sz="8" w:space="0" w:color="FAC08F"/>
        <w:left w:val="single" w:sz="8" w:space="0" w:color="FAC08F"/>
        <w:bottom w:val="single" w:sz="8" w:space="0" w:color="FAC08F"/>
        <w:right w:val="single" w:sz="8" w:space="0" w:color="FAC08F"/>
      </w:tblBorders>
      <w:tblCellMar>
        <w:top w:w="0" w:type="dxa"/>
        <w:left w:w="108" w:type="dxa"/>
        <w:bottom w:w="0" w:type="dxa"/>
        <w:right w:w="108" w:type="dxa"/>
      </w:tblCellMar>
    </w:tblPr>
  </w:style>
  <w:style w:type="table" w:customStyle="1" w:styleId="MediumShading1-Accent61">
    <w:name w:val="Medium Shading 1 - Accent 61"/>
    <w:rsid w:val="00912E35"/>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style>
  <w:style w:type="table" w:customStyle="1" w:styleId="LightGrid-Accent21">
    <w:name w:val="Light Grid - Accent 21"/>
    <w:rsid w:val="00912E35"/>
    <w:tblPr>
      <w:tblStyleRowBandSize w:val="1"/>
      <w:tblStyleColBandSize w:val="1"/>
      <w:tblInd w:w="0" w:type="dxa"/>
      <w:tblBorders>
        <w:top w:val="single" w:sz="8" w:space="0" w:color="BF83D7"/>
        <w:left w:val="single" w:sz="8" w:space="0" w:color="BF83D7"/>
        <w:bottom w:val="single" w:sz="8" w:space="0" w:color="BF83D7"/>
        <w:right w:val="single" w:sz="8" w:space="0" w:color="BF83D7"/>
        <w:insideH w:val="single" w:sz="8" w:space="0" w:color="BF83D7"/>
        <w:insideV w:val="single" w:sz="8" w:space="0" w:color="BF83D7"/>
      </w:tblBorders>
      <w:tblCellMar>
        <w:top w:w="0" w:type="dxa"/>
        <w:left w:w="108" w:type="dxa"/>
        <w:bottom w:w="0" w:type="dxa"/>
        <w:right w:w="108" w:type="dxa"/>
      </w:tblCellMar>
    </w:tblPr>
  </w:style>
  <w:style w:type="table" w:customStyle="1" w:styleId="MediumShading1-Accent31">
    <w:name w:val="Medium Shading 1 - Accent 31"/>
    <w:rsid w:val="00912E35"/>
    <w:tblPr>
      <w:tblStyleRowBandSize w:val="1"/>
      <w:tblStyleColBandSize w:val="1"/>
      <w:tblInd w:w="0" w:type="dxa"/>
      <w:tblBorders>
        <w:top w:val="single" w:sz="8" w:space="0" w:color="FBCFAB"/>
        <w:left w:val="single" w:sz="8" w:space="0" w:color="FBCFAB"/>
        <w:bottom w:val="single" w:sz="8" w:space="0" w:color="FBCFAB"/>
        <w:right w:val="single" w:sz="8" w:space="0" w:color="FBCFAB"/>
        <w:insideH w:val="single" w:sz="8" w:space="0" w:color="FBCFAB"/>
      </w:tblBorders>
      <w:tblCellMar>
        <w:top w:w="0" w:type="dxa"/>
        <w:left w:w="108" w:type="dxa"/>
        <w:bottom w:w="0" w:type="dxa"/>
        <w:right w:w="108" w:type="dxa"/>
      </w:tblCellMar>
    </w:tblPr>
  </w:style>
  <w:style w:type="character" w:styleId="Emphasis">
    <w:name w:val="Emphasis"/>
    <w:uiPriority w:val="20"/>
    <w:qFormat/>
    <w:locked/>
    <w:rsid w:val="00912E35"/>
    <w:rPr>
      <w:i/>
      <w:iCs/>
    </w:rPr>
  </w:style>
  <w:style w:type="paragraph" w:styleId="Quote">
    <w:name w:val="Quote"/>
    <w:basedOn w:val="Normal"/>
    <w:next w:val="Normal"/>
    <w:link w:val="QuoteChar"/>
    <w:uiPriority w:val="29"/>
    <w:qFormat/>
    <w:rsid w:val="00912E35"/>
    <w:pPr>
      <w:spacing w:after="200" w:line="276" w:lineRule="auto"/>
      <w:jc w:val="left"/>
    </w:pPr>
    <w:rPr>
      <w:rFonts w:asciiTheme="minorHAnsi" w:eastAsiaTheme="minorEastAsia" w:hAnsiTheme="minorHAnsi" w:cstheme="minorBidi"/>
      <w:i/>
      <w:iCs/>
      <w:color w:val="000000" w:themeColor="text1"/>
      <w:szCs w:val="22"/>
      <w:lang w:eastAsia="ja-JP"/>
    </w:rPr>
  </w:style>
  <w:style w:type="character" w:customStyle="1" w:styleId="QuoteChar">
    <w:name w:val="Quote Char"/>
    <w:basedOn w:val="DefaultParagraphFont"/>
    <w:link w:val="Quote"/>
    <w:uiPriority w:val="29"/>
    <w:rsid w:val="00912E35"/>
    <w:rPr>
      <w:rFonts w:asciiTheme="minorHAnsi" w:eastAsiaTheme="minorEastAsia" w:hAnsiTheme="minorHAnsi" w:cstheme="minorBidi"/>
      <w:i/>
      <w:iCs/>
      <w:color w:val="000000" w:themeColor="text1"/>
      <w:sz w:val="22"/>
      <w:szCs w:val="22"/>
      <w:lang w:eastAsia="ja-JP"/>
    </w:rPr>
  </w:style>
  <w:style w:type="table" w:styleId="LightShading-Accent5">
    <w:name w:val="Light Shading Accent 5"/>
    <w:basedOn w:val="TableNormal"/>
    <w:uiPriority w:val="60"/>
    <w:rsid w:val="00B65A71"/>
    <w:rPr>
      <w:color w:val="74B430" w:themeColor="accent5" w:themeShade="BF"/>
    </w:rPr>
    <w:tblPr>
      <w:tblStyleRowBandSize w:val="1"/>
      <w:tblStyleColBandSize w:val="1"/>
      <w:tblInd w:w="0" w:type="dxa"/>
      <w:tblBorders>
        <w:top w:val="single" w:sz="8" w:space="0" w:color="9BD45F" w:themeColor="accent5"/>
        <w:bottom w:val="single" w:sz="8" w:space="0" w:color="9BD45F"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D45F" w:themeColor="accent5"/>
          <w:left w:val="nil"/>
          <w:bottom w:val="single" w:sz="8" w:space="0" w:color="9BD45F" w:themeColor="accent5"/>
          <w:right w:val="nil"/>
          <w:insideH w:val="nil"/>
          <w:insideV w:val="nil"/>
        </w:tcBorders>
      </w:tcPr>
    </w:tblStylePr>
    <w:tblStylePr w:type="lastRow">
      <w:pPr>
        <w:spacing w:before="0" w:after="0" w:line="240" w:lineRule="auto"/>
      </w:pPr>
      <w:rPr>
        <w:b/>
        <w:bCs/>
      </w:rPr>
      <w:tblPr/>
      <w:tcPr>
        <w:tcBorders>
          <w:top w:val="single" w:sz="8" w:space="0" w:color="9BD45F" w:themeColor="accent5"/>
          <w:left w:val="nil"/>
          <w:bottom w:val="single" w:sz="8" w:space="0" w:color="9BD4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F4D7" w:themeFill="accent5" w:themeFillTint="3F"/>
      </w:tcPr>
    </w:tblStylePr>
    <w:tblStylePr w:type="band1Horz">
      <w:tblPr/>
      <w:tcPr>
        <w:tcBorders>
          <w:left w:val="nil"/>
          <w:right w:val="nil"/>
          <w:insideH w:val="nil"/>
          <w:insideV w:val="nil"/>
        </w:tcBorders>
        <w:shd w:val="clear" w:color="auto" w:fill="E6F4D7" w:themeFill="accent5"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352248">
      <w:bodyDiv w:val="1"/>
      <w:marLeft w:val="0"/>
      <w:marRight w:val="0"/>
      <w:marTop w:val="0"/>
      <w:marBottom w:val="0"/>
      <w:divBdr>
        <w:top w:val="none" w:sz="0" w:space="0" w:color="auto"/>
        <w:left w:val="none" w:sz="0" w:space="0" w:color="auto"/>
        <w:bottom w:val="none" w:sz="0" w:space="0" w:color="auto"/>
        <w:right w:val="none" w:sz="0" w:space="0" w:color="auto"/>
      </w:divBdr>
    </w:div>
    <w:div w:id="608315581">
      <w:bodyDiv w:val="1"/>
      <w:marLeft w:val="0"/>
      <w:marRight w:val="0"/>
      <w:marTop w:val="0"/>
      <w:marBottom w:val="0"/>
      <w:divBdr>
        <w:top w:val="none" w:sz="0" w:space="0" w:color="auto"/>
        <w:left w:val="none" w:sz="0" w:space="0" w:color="auto"/>
        <w:bottom w:val="none" w:sz="0" w:space="0" w:color="auto"/>
        <w:right w:val="none" w:sz="0" w:space="0" w:color="auto"/>
      </w:divBdr>
    </w:div>
    <w:div w:id="1336691902">
      <w:bodyDiv w:val="1"/>
      <w:marLeft w:val="0"/>
      <w:marRight w:val="0"/>
      <w:marTop w:val="0"/>
      <w:marBottom w:val="0"/>
      <w:divBdr>
        <w:top w:val="none" w:sz="0" w:space="0" w:color="auto"/>
        <w:left w:val="none" w:sz="0" w:space="0" w:color="auto"/>
        <w:bottom w:val="none" w:sz="0" w:space="0" w:color="auto"/>
        <w:right w:val="none" w:sz="0" w:space="0" w:color="auto"/>
      </w:divBdr>
    </w:div>
    <w:div w:id="1371497886">
      <w:bodyDiv w:val="1"/>
      <w:marLeft w:val="0"/>
      <w:marRight w:val="0"/>
      <w:marTop w:val="0"/>
      <w:marBottom w:val="0"/>
      <w:divBdr>
        <w:top w:val="none" w:sz="0" w:space="0" w:color="auto"/>
        <w:left w:val="none" w:sz="0" w:space="0" w:color="auto"/>
        <w:bottom w:val="none" w:sz="0" w:space="0" w:color="auto"/>
        <w:right w:val="none" w:sz="0" w:space="0" w:color="auto"/>
      </w:divBdr>
    </w:div>
    <w:div w:id="1571965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1.xml"/><Relationship Id="rId117" Type="http://schemas.openxmlformats.org/officeDocument/2006/relationships/chart" Target="charts/chart84.xml"/><Relationship Id="rId21" Type="http://schemas.openxmlformats.org/officeDocument/2006/relationships/chart" Target="charts/chart6.xml"/><Relationship Id="rId42" Type="http://schemas.openxmlformats.org/officeDocument/2006/relationships/chart" Target="charts/chart24.xml"/><Relationship Id="rId47" Type="http://schemas.openxmlformats.org/officeDocument/2006/relationships/chart" Target="charts/chart27.xml"/><Relationship Id="rId63" Type="http://schemas.openxmlformats.org/officeDocument/2006/relationships/chart" Target="charts/chart43.xml"/><Relationship Id="rId68" Type="http://schemas.openxmlformats.org/officeDocument/2006/relationships/chart" Target="charts/chart48.xml"/><Relationship Id="rId84" Type="http://schemas.openxmlformats.org/officeDocument/2006/relationships/chart" Target="charts/chart64.xml"/><Relationship Id="rId89" Type="http://schemas.openxmlformats.org/officeDocument/2006/relationships/chart" Target="charts/chart69.xml"/><Relationship Id="rId112" Type="http://schemas.openxmlformats.org/officeDocument/2006/relationships/chart" Target="charts/chart82.xml"/><Relationship Id="rId133" Type="http://schemas.openxmlformats.org/officeDocument/2006/relationships/chart" Target="charts/chart92.xml"/><Relationship Id="rId138" Type="http://schemas.openxmlformats.org/officeDocument/2006/relationships/image" Target="media/image48.jpeg"/><Relationship Id="rId154" Type="http://schemas.openxmlformats.org/officeDocument/2006/relationships/diagramColors" Target="diagrams/colors1.xml"/><Relationship Id="rId159" Type="http://schemas.openxmlformats.org/officeDocument/2006/relationships/chart" Target="charts/chart111.xml"/><Relationship Id="rId175" Type="http://schemas.openxmlformats.org/officeDocument/2006/relationships/chart" Target="charts/chart127.xml"/><Relationship Id="rId170" Type="http://schemas.openxmlformats.org/officeDocument/2006/relationships/chart" Target="charts/chart122.xml"/><Relationship Id="rId191" Type="http://schemas.openxmlformats.org/officeDocument/2006/relationships/theme" Target="theme/theme1.xml"/><Relationship Id="rId16" Type="http://schemas.openxmlformats.org/officeDocument/2006/relationships/chart" Target="charts/chart3.xml"/><Relationship Id="rId107" Type="http://schemas.openxmlformats.org/officeDocument/2006/relationships/image" Target="media/image32.jpeg"/><Relationship Id="rId11" Type="http://schemas.openxmlformats.org/officeDocument/2006/relationships/image" Target="media/image1.jpeg"/><Relationship Id="rId32" Type="http://schemas.openxmlformats.org/officeDocument/2006/relationships/image" Target="media/image21.jpeg"/><Relationship Id="rId37" Type="http://schemas.openxmlformats.org/officeDocument/2006/relationships/chart" Target="charts/chart19.xml"/><Relationship Id="rId53" Type="http://schemas.openxmlformats.org/officeDocument/2006/relationships/chart" Target="charts/chart33.xml"/><Relationship Id="rId58" Type="http://schemas.openxmlformats.org/officeDocument/2006/relationships/chart" Target="charts/chart38.xml"/><Relationship Id="rId74" Type="http://schemas.openxmlformats.org/officeDocument/2006/relationships/chart" Target="charts/chart54.xml"/><Relationship Id="rId79" Type="http://schemas.openxmlformats.org/officeDocument/2006/relationships/chart" Target="charts/chart59.xml"/><Relationship Id="rId102" Type="http://schemas.openxmlformats.org/officeDocument/2006/relationships/image" Target="media/image28.emf"/><Relationship Id="rId123" Type="http://schemas.openxmlformats.org/officeDocument/2006/relationships/chart" Target="charts/chart87.xml"/><Relationship Id="rId128" Type="http://schemas.openxmlformats.org/officeDocument/2006/relationships/image" Target="media/image44.jpeg"/><Relationship Id="rId144" Type="http://schemas.openxmlformats.org/officeDocument/2006/relationships/chart" Target="charts/chart101.xml"/><Relationship Id="rId149" Type="http://schemas.openxmlformats.org/officeDocument/2006/relationships/chart" Target="charts/chart106.xml"/><Relationship Id="rId5" Type="http://schemas.microsoft.com/office/2007/relationships/stylesWithEffects" Target="stylesWithEffects.xml"/><Relationship Id="rId90" Type="http://schemas.openxmlformats.org/officeDocument/2006/relationships/chart" Target="charts/chart70.xml"/><Relationship Id="rId95" Type="http://schemas.openxmlformats.org/officeDocument/2006/relationships/chart" Target="charts/chart75.xml"/><Relationship Id="rId160" Type="http://schemas.openxmlformats.org/officeDocument/2006/relationships/chart" Target="charts/chart112.xml"/><Relationship Id="rId165" Type="http://schemas.openxmlformats.org/officeDocument/2006/relationships/chart" Target="charts/chart117.xml"/><Relationship Id="rId181" Type="http://schemas.openxmlformats.org/officeDocument/2006/relationships/chart" Target="charts/chart133.xml"/><Relationship Id="rId186" Type="http://schemas.openxmlformats.org/officeDocument/2006/relationships/chart" Target="charts/chart138.xml"/><Relationship Id="rId22" Type="http://schemas.openxmlformats.org/officeDocument/2006/relationships/chart" Target="charts/chart7.xml"/><Relationship Id="rId27" Type="http://schemas.openxmlformats.org/officeDocument/2006/relationships/chart" Target="charts/chart12.xml"/><Relationship Id="rId43" Type="http://schemas.openxmlformats.org/officeDocument/2006/relationships/chart" Target="charts/chart25.xml"/><Relationship Id="rId48" Type="http://schemas.openxmlformats.org/officeDocument/2006/relationships/chart" Target="charts/chart28.xml"/><Relationship Id="rId64" Type="http://schemas.openxmlformats.org/officeDocument/2006/relationships/chart" Target="charts/chart44.xml"/><Relationship Id="rId69" Type="http://schemas.openxmlformats.org/officeDocument/2006/relationships/chart" Target="charts/chart49.xml"/><Relationship Id="rId113" Type="http://schemas.openxmlformats.org/officeDocument/2006/relationships/image" Target="media/image36.jpeg"/><Relationship Id="rId118" Type="http://schemas.openxmlformats.org/officeDocument/2006/relationships/image" Target="media/image39.jpeg"/><Relationship Id="rId134" Type="http://schemas.openxmlformats.org/officeDocument/2006/relationships/image" Target="media/image47.jpeg"/><Relationship Id="rId139" Type="http://schemas.openxmlformats.org/officeDocument/2006/relationships/chart" Target="charts/chart96.xml"/><Relationship Id="rId80" Type="http://schemas.openxmlformats.org/officeDocument/2006/relationships/chart" Target="charts/chart60.xml"/><Relationship Id="rId85" Type="http://schemas.openxmlformats.org/officeDocument/2006/relationships/chart" Target="charts/chart65.xml"/><Relationship Id="rId150" Type="http://schemas.openxmlformats.org/officeDocument/2006/relationships/chart" Target="charts/chart107.xml"/><Relationship Id="rId155" Type="http://schemas.microsoft.com/office/2007/relationships/diagramDrawing" Target="diagrams/drawing1.xml"/><Relationship Id="rId171" Type="http://schemas.openxmlformats.org/officeDocument/2006/relationships/chart" Target="charts/chart123.xml"/><Relationship Id="rId176" Type="http://schemas.openxmlformats.org/officeDocument/2006/relationships/chart" Target="charts/chart128.xml"/><Relationship Id="rId12" Type="http://schemas.openxmlformats.org/officeDocument/2006/relationships/image" Target="media/image2.png"/><Relationship Id="rId17" Type="http://schemas.openxmlformats.org/officeDocument/2006/relationships/hyperlink" Target="http://www.eosnap.com/public/media/2013/05/dust/20130519-dust1-full.jpg" TargetMode="External"/><Relationship Id="rId33" Type="http://schemas.openxmlformats.org/officeDocument/2006/relationships/image" Target="media/image22.jpeg"/><Relationship Id="rId38" Type="http://schemas.openxmlformats.org/officeDocument/2006/relationships/chart" Target="charts/chart20.xml"/><Relationship Id="rId59" Type="http://schemas.openxmlformats.org/officeDocument/2006/relationships/chart" Target="charts/chart39.xml"/><Relationship Id="rId103" Type="http://schemas.openxmlformats.org/officeDocument/2006/relationships/image" Target="media/image29.png"/><Relationship Id="rId108" Type="http://schemas.openxmlformats.org/officeDocument/2006/relationships/image" Target="media/image33.jpeg"/><Relationship Id="rId124" Type="http://schemas.openxmlformats.org/officeDocument/2006/relationships/image" Target="media/image42.jpeg"/><Relationship Id="rId129" Type="http://schemas.openxmlformats.org/officeDocument/2006/relationships/chart" Target="charts/chart90.xml"/><Relationship Id="rId54" Type="http://schemas.openxmlformats.org/officeDocument/2006/relationships/chart" Target="charts/chart34.xml"/><Relationship Id="rId70" Type="http://schemas.openxmlformats.org/officeDocument/2006/relationships/chart" Target="charts/chart50.xml"/><Relationship Id="rId75" Type="http://schemas.openxmlformats.org/officeDocument/2006/relationships/chart" Target="charts/chart55.xml"/><Relationship Id="rId91" Type="http://schemas.openxmlformats.org/officeDocument/2006/relationships/chart" Target="charts/chart71.xml"/><Relationship Id="rId96" Type="http://schemas.openxmlformats.org/officeDocument/2006/relationships/chart" Target="charts/chart76.xml"/><Relationship Id="rId140" Type="http://schemas.openxmlformats.org/officeDocument/2006/relationships/chart" Target="charts/chart97.xml"/><Relationship Id="rId145" Type="http://schemas.openxmlformats.org/officeDocument/2006/relationships/chart" Target="charts/chart102.xml"/><Relationship Id="rId161" Type="http://schemas.openxmlformats.org/officeDocument/2006/relationships/chart" Target="charts/chart113.xml"/><Relationship Id="rId166" Type="http://schemas.openxmlformats.org/officeDocument/2006/relationships/chart" Target="charts/chart118.xml"/><Relationship Id="rId182" Type="http://schemas.openxmlformats.org/officeDocument/2006/relationships/chart" Target="charts/chart134.xml"/><Relationship Id="rId187" Type="http://schemas.openxmlformats.org/officeDocument/2006/relationships/chart" Target="charts/chart139.xml"/><Relationship Id="rId1" Type="http://schemas.openxmlformats.org/officeDocument/2006/relationships/customXml" Target="../customXml/item1.xml"/><Relationship Id="rId6" Type="http://schemas.openxmlformats.org/officeDocument/2006/relationships/settings" Target="settings.xml"/><Relationship Id="rId23" Type="http://schemas.openxmlformats.org/officeDocument/2006/relationships/chart" Target="charts/chart8.xml"/><Relationship Id="rId28" Type="http://schemas.openxmlformats.org/officeDocument/2006/relationships/chart" Target="charts/chart13.xml"/><Relationship Id="rId49" Type="http://schemas.openxmlformats.org/officeDocument/2006/relationships/chart" Target="charts/chart29.xml"/><Relationship Id="rId114" Type="http://schemas.openxmlformats.org/officeDocument/2006/relationships/image" Target="media/image37.jpeg"/><Relationship Id="rId119" Type="http://schemas.openxmlformats.org/officeDocument/2006/relationships/chart" Target="charts/chart85.xml"/><Relationship Id="rId44" Type="http://schemas.openxmlformats.org/officeDocument/2006/relationships/image" Target="media/image24.emf"/><Relationship Id="rId60" Type="http://schemas.openxmlformats.org/officeDocument/2006/relationships/chart" Target="charts/chart40.xml"/><Relationship Id="rId65" Type="http://schemas.openxmlformats.org/officeDocument/2006/relationships/chart" Target="charts/chart45.xml"/><Relationship Id="rId81" Type="http://schemas.openxmlformats.org/officeDocument/2006/relationships/chart" Target="charts/chart61.xml"/><Relationship Id="rId86" Type="http://schemas.openxmlformats.org/officeDocument/2006/relationships/chart" Target="charts/chart66.xml"/><Relationship Id="rId130" Type="http://schemas.openxmlformats.org/officeDocument/2006/relationships/image" Target="media/image45.jpeg"/><Relationship Id="rId135" Type="http://schemas.openxmlformats.org/officeDocument/2006/relationships/chart" Target="charts/chart93.xml"/><Relationship Id="rId151" Type="http://schemas.openxmlformats.org/officeDocument/2006/relationships/diagramData" Target="diagrams/data1.xml"/><Relationship Id="rId156" Type="http://schemas.openxmlformats.org/officeDocument/2006/relationships/chart" Target="charts/chart108.xml"/><Relationship Id="rId177" Type="http://schemas.openxmlformats.org/officeDocument/2006/relationships/chart" Target="charts/chart129.xml"/><Relationship Id="rId172" Type="http://schemas.openxmlformats.org/officeDocument/2006/relationships/chart" Target="charts/chart124.xml"/><Relationship Id="rId13" Type="http://schemas.openxmlformats.org/officeDocument/2006/relationships/image" Target="media/image3.jpeg"/><Relationship Id="rId18" Type="http://schemas.openxmlformats.org/officeDocument/2006/relationships/image" Target="media/image7.jpeg"/><Relationship Id="rId39" Type="http://schemas.openxmlformats.org/officeDocument/2006/relationships/chart" Target="charts/chart21.xml"/><Relationship Id="rId109" Type="http://schemas.openxmlformats.org/officeDocument/2006/relationships/image" Target="media/image34.jpeg"/><Relationship Id="rId34" Type="http://schemas.openxmlformats.org/officeDocument/2006/relationships/image" Target="media/image23.jpeg"/><Relationship Id="rId50" Type="http://schemas.openxmlformats.org/officeDocument/2006/relationships/chart" Target="charts/chart30.xml"/><Relationship Id="rId55" Type="http://schemas.openxmlformats.org/officeDocument/2006/relationships/chart" Target="charts/chart35.xml"/><Relationship Id="rId76" Type="http://schemas.openxmlformats.org/officeDocument/2006/relationships/chart" Target="charts/chart56.xml"/><Relationship Id="rId97" Type="http://schemas.openxmlformats.org/officeDocument/2006/relationships/chart" Target="charts/chart77.xml"/><Relationship Id="rId104" Type="http://schemas.openxmlformats.org/officeDocument/2006/relationships/image" Target="media/image30.jpeg"/><Relationship Id="rId120" Type="http://schemas.openxmlformats.org/officeDocument/2006/relationships/image" Target="media/image40.jpeg"/><Relationship Id="rId125" Type="http://schemas.openxmlformats.org/officeDocument/2006/relationships/chart" Target="charts/chart88.xml"/><Relationship Id="rId141" Type="http://schemas.openxmlformats.org/officeDocument/2006/relationships/chart" Target="charts/chart98.xml"/><Relationship Id="rId146" Type="http://schemas.openxmlformats.org/officeDocument/2006/relationships/chart" Target="charts/chart103.xml"/><Relationship Id="rId167" Type="http://schemas.openxmlformats.org/officeDocument/2006/relationships/chart" Target="charts/chart119.xml"/><Relationship Id="rId188" Type="http://schemas.openxmlformats.org/officeDocument/2006/relationships/chart" Target="charts/chart140.xml"/><Relationship Id="rId7" Type="http://schemas.openxmlformats.org/officeDocument/2006/relationships/webSettings" Target="webSettings.xml"/><Relationship Id="rId71" Type="http://schemas.openxmlformats.org/officeDocument/2006/relationships/chart" Target="charts/chart51.xml"/><Relationship Id="rId92" Type="http://schemas.openxmlformats.org/officeDocument/2006/relationships/chart" Target="charts/chart72.xml"/><Relationship Id="rId162" Type="http://schemas.openxmlformats.org/officeDocument/2006/relationships/chart" Target="charts/chart114.xml"/><Relationship Id="rId183" Type="http://schemas.openxmlformats.org/officeDocument/2006/relationships/chart" Target="charts/chart135.xml"/><Relationship Id="rId2" Type="http://schemas.openxmlformats.org/officeDocument/2006/relationships/customXml" Target="../customXml/item2.xml"/><Relationship Id="rId29" Type="http://schemas.openxmlformats.org/officeDocument/2006/relationships/chart" Target="charts/chart14.xml"/><Relationship Id="rId24" Type="http://schemas.openxmlformats.org/officeDocument/2006/relationships/chart" Target="charts/chart9.xml"/><Relationship Id="rId40" Type="http://schemas.openxmlformats.org/officeDocument/2006/relationships/chart" Target="charts/chart22.xml"/><Relationship Id="rId45" Type="http://schemas.openxmlformats.org/officeDocument/2006/relationships/image" Target="media/image25.emf"/><Relationship Id="rId66" Type="http://schemas.openxmlformats.org/officeDocument/2006/relationships/chart" Target="charts/chart46.xml"/><Relationship Id="rId87" Type="http://schemas.openxmlformats.org/officeDocument/2006/relationships/chart" Target="charts/chart67.xml"/><Relationship Id="rId110" Type="http://schemas.openxmlformats.org/officeDocument/2006/relationships/image" Target="media/image35.jpeg"/><Relationship Id="rId115" Type="http://schemas.openxmlformats.org/officeDocument/2006/relationships/chart" Target="charts/chart83.xml"/><Relationship Id="rId131" Type="http://schemas.openxmlformats.org/officeDocument/2006/relationships/chart" Target="charts/chart91.xml"/><Relationship Id="rId136" Type="http://schemas.openxmlformats.org/officeDocument/2006/relationships/chart" Target="charts/chart94.xml"/><Relationship Id="rId157" Type="http://schemas.openxmlformats.org/officeDocument/2006/relationships/chart" Target="charts/chart109.xml"/><Relationship Id="rId178" Type="http://schemas.openxmlformats.org/officeDocument/2006/relationships/chart" Target="charts/chart130.xml"/><Relationship Id="rId61" Type="http://schemas.openxmlformats.org/officeDocument/2006/relationships/chart" Target="charts/chart41.xml"/><Relationship Id="rId82" Type="http://schemas.openxmlformats.org/officeDocument/2006/relationships/chart" Target="charts/chart62.xml"/><Relationship Id="rId152" Type="http://schemas.openxmlformats.org/officeDocument/2006/relationships/diagramLayout" Target="diagrams/layout1.xml"/><Relationship Id="rId173" Type="http://schemas.openxmlformats.org/officeDocument/2006/relationships/chart" Target="charts/chart125.xml"/><Relationship Id="rId19" Type="http://schemas.openxmlformats.org/officeDocument/2006/relationships/chart" Target="charts/chart4.xml"/><Relationship Id="rId14" Type="http://schemas.openxmlformats.org/officeDocument/2006/relationships/chart" Target="charts/chart1.xml"/><Relationship Id="rId30" Type="http://schemas.openxmlformats.org/officeDocument/2006/relationships/chart" Target="charts/chart15.xml"/><Relationship Id="rId35" Type="http://schemas.openxmlformats.org/officeDocument/2006/relationships/chart" Target="charts/chart17.xml"/><Relationship Id="rId56" Type="http://schemas.openxmlformats.org/officeDocument/2006/relationships/chart" Target="charts/chart36.xml"/><Relationship Id="rId77" Type="http://schemas.openxmlformats.org/officeDocument/2006/relationships/chart" Target="charts/chart57.xml"/><Relationship Id="rId100" Type="http://schemas.openxmlformats.org/officeDocument/2006/relationships/image" Target="media/image26.emf"/><Relationship Id="rId105" Type="http://schemas.openxmlformats.org/officeDocument/2006/relationships/image" Target="media/image31.jpeg"/><Relationship Id="rId126" Type="http://schemas.openxmlformats.org/officeDocument/2006/relationships/image" Target="media/image43.jpeg"/><Relationship Id="rId147" Type="http://schemas.openxmlformats.org/officeDocument/2006/relationships/chart" Target="charts/chart104.xml"/><Relationship Id="rId168" Type="http://schemas.openxmlformats.org/officeDocument/2006/relationships/chart" Target="charts/chart120.xml"/><Relationship Id="rId8" Type="http://schemas.openxmlformats.org/officeDocument/2006/relationships/footnotes" Target="footnotes.xml"/><Relationship Id="rId51" Type="http://schemas.openxmlformats.org/officeDocument/2006/relationships/chart" Target="charts/chart31.xml"/><Relationship Id="rId72" Type="http://schemas.openxmlformats.org/officeDocument/2006/relationships/chart" Target="charts/chart52.xml"/><Relationship Id="rId93" Type="http://schemas.openxmlformats.org/officeDocument/2006/relationships/chart" Target="charts/chart73.xml"/><Relationship Id="rId98" Type="http://schemas.openxmlformats.org/officeDocument/2006/relationships/chart" Target="charts/chart78.xml"/><Relationship Id="rId121" Type="http://schemas.openxmlformats.org/officeDocument/2006/relationships/chart" Target="charts/chart86.xml"/><Relationship Id="rId142" Type="http://schemas.openxmlformats.org/officeDocument/2006/relationships/chart" Target="charts/chart99.xml"/><Relationship Id="rId163" Type="http://schemas.openxmlformats.org/officeDocument/2006/relationships/chart" Target="charts/chart115.xml"/><Relationship Id="rId184" Type="http://schemas.openxmlformats.org/officeDocument/2006/relationships/chart" Target="charts/chart136.xml"/><Relationship Id="rId189" Type="http://schemas.openxmlformats.org/officeDocument/2006/relationships/footer" Target="footer1.xml"/><Relationship Id="rId3" Type="http://schemas.openxmlformats.org/officeDocument/2006/relationships/numbering" Target="numbering.xml"/><Relationship Id="rId25" Type="http://schemas.openxmlformats.org/officeDocument/2006/relationships/chart" Target="charts/chart10.xml"/><Relationship Id="rId46" Type="http://schemas.openxmlformats.org/officeDocument/2006/relationships/chart" Target="charts/chart26.xml"/><Relationship Id="rId67" Type="http://schemas.openxmlformats.org/officeDocument/2006/relationships/chart" Target="charts/chart47.xml"/><Relationship Id="rId116" Type="http://schemas.openxmlformats.org/officeDocument/2006/relationships/image" Target="media/image38.jpeg"/><Relationship Id="rId137" Type="http://schemas.openxmlformats.org/officeDocument/2006/relationships/chart" Target="charts/chart95.xml"/><Relationship Id="rId158" Type="http://schemas.openxmlformats.org/officeDocument/2006/relationships/chart" Target="charts/chart110.xml"/><Relationship Id="rId20" Type="http://schemas.openxmlformats.org/officeDocument/2006/relationships/chart" Target="charts/chart5.xml"/><Relationship Id="rId41" Type="http://schemas.openxmlformats.org/officeDocument/2006/relationships/chart" Target="charts/chart23.xml"/><Relationship Id="rId62" Type="http://schemas.openxmlformats.org/officeDocument/2006/relationships/chart" Target="charts/chart42.xml"/><Relationship Id="rId83" Type="http://schemas.openxmlformats.org/officeDocument/2006/relationships/chart" Target="charts/chart63.xml"/><Relationship Id="rId88" Type="http://schemas.openxmlformats.org/officeDocument/2006/relationships/chart" Target="charts/chart68.xml"/><Relationship Id="rId111" Type="http://schemas.openxmlformats.org/officeDocument/2006/relationships/chart" Target="charts/chart81.xml"/><Relationship Id="rId132" Type="http://schemas.openxmlformats.org/officeDocument/2006/relationships/image" Target="media/image46.jpeg"/><Relationship Id="rId153" Type="http://schemas.openxmlformats.org/officeDocument/2006/relationships/diagramQuickStyle" Target="diagrams/quickStyle1.xml"/><Relationship Id="rId174" Type="http://schemas.openxmlformats.org/officeDocument/2006/relationships/chart" Target="charts/chart126.xml"/><Relationship Id="rId179" Type="http://schemas.openxmlformats.org/officeDocument/2006/relationships/chart" Target="charts/chart131.xml"/><Relationship Id="rId190" Type="http://schemas.openxmlformats.org/officeDocument/2006/relationships/fontTable" Target="fontTable.xml"/><Relationship Id="rId15" Type="http://schemas.openxmlformats.org/officeDocument/2006/relationships/chart" Target="charts/chart2.xml"/><Relationship Id="rId36" Type="http://schemas.openxmlformats.org/officeDocument/2006/relationships/chart" Target="charts/chart18.xml"/><Relationship Id="rId57" Type="http://schemas.openxmlformats.org/officeDocument/2006/relationships/chart" Target="charts/chart37.xml"/><Relationship Id="rId106" Type="http://schemas.openxmlformats.org/officeDocument/2006/relationships/chart" Target="charts/chart80.xml"/><Relationship Id="rId127" Type="http://schemas.openxmlformats.org/officeDocument/2006/relationships/chart" Target="charts/chart89.xml"/><Relationship Id="rId10" Type="http://schemas.openxmlformats.org/officeDocument/2006/relationships/image" Target="media/image1.gif"/><Relationship Id="rId31" Type="http://schemas.openxmlformats.org/officeDocument/2006/relationships/chart" Target="charts/chart16.xml"/><Relationship Id="rId52" Type="http://schemas.openxmlformats.org/officeDocument/2006/relationships/chart" Target="charts/chart32.xml"/><Relationship Id="rId73" Type="http://schemas.openxmlformats.org/officeDocument/2006/relationships/chart" Target="charts/chart53.xml"/><Relationship Id="rId78" Type="http://schemas.openxmlformats.org/officeDocument/2006/relationships/chart" Target="charts/chart58.xml"/><Relationship Id="rId94" Type="http://schemas.openxmlformats.org/officeDocument/2006/relationships/chart" Target="charts/chart74.xml"/><Relationship Id="rId99" Type="http://schemas.openxmlformats.org/officeDocument/2006/relationships/chart" Target="charts/chart79.xml"/><Relationship Id="rId101" Type="http://schemas.openxmlformats.org/officeDocument/2006/relationships/image" Target="media/image27.emf"/><Relationship Id="rId122" Type="http://schemas.openxmlformats.org/officeDocument/2006/relationships/image" Target="media/image41.jpeg"/><Relationship Id="rId143" Type="http://schemas.openxmlformats.org/officeDocument/2006/relationships/chart" Target="charts/chart100.xml"/><Relationship Id="rId148" Type="http://schemas.openxmlformats.org/officeDocument/2006/relationships/chart" Target="charts/chart105.xml"/><Relationship Id="rId164" Type="http://schemas.openxmlformats.org/officeDocument/2006/relationships/chart" Target="charts/chart116.xml"/><Relationship Id="rId169" Type="http://schemas.openxmlformats.org/officeDocument/2006/relationships/chart" Target="charts/chart121.xml"/><Relationship Id="rId185" Type="http://schemas.openxmlformats.org/officeDocument/2006/relationships/chart" Target="charts/chart137.xml"/><Relationship Id="rId4" Type="http://schemas.openxmlformats.org/officeDocument/2006/relationships/styles" Target="styles.xml"/><Relationship Id="rId9" Type="http://schemas.openxmlformats.org/officeDocument/2006/relationships/endnotes" Target="endnotes.xml"/><Relationship Id="rId180" Type="http://schemas.openxmlformats.org/officeDocument/2006/relationships/chart" Target="charts/chart132.xml"/></Relationships>
</file>

<file path=word/_rels/footer1.xml.rels><?xml version="1.0" encoding="UTF-8" standalone="yes"?>
<Relationships xmlns="http://schemas.openxmlformats.org/package/2006/relationships"><Relationship Id="rId1" Type="http://schemas.openxmlformats.org/officeDocument/2006/relationships/image" Target="media/image50.jpe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image" Target="../media/image4.jpeg"/></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image" Target="../media/image14.jpeg"/></Relationships>
</file>

<file path=word/charts/_rels/chart100.xml.rels><?xml version="1.0" encoding="UTF-8" standalone="yes"?>
<Relationships xmlns="http://schemas.openxmlformats.org/package/2006/relationships"><Relationship Id="rId1" Type="http://schemas.openxmlformats.org/officeDocument/2006/relationships/package" Target="../embeddings/Microsoft_Excel_Worksheet85.xlsx"/></Relationships>
</file>

<file path=word/charts/_rels/chart101.xml.rels><?xml version="1.0" encoding="UTF-8" standalone="yes"?>
<Relationships xmlns="http://schemas.openxmlformats.org/package/2006/relationships"><Relationship Id="rId1" Type="http://schemas.openxmlformats.org/officeDocument/2006/relationships/package" Target="../embeddings/Microsoft_Excel_Worksheet86.xlsx"/></Relationships>
</file>

<file path=word/charts/_rels/chart102.xml.rels><?xml version="1.0" encoding="UTF-8" standalone="yes"?>
<Relationships xmlns="http://schemas.openxmlformats.org/package/2006/relationships"><Relationship Id="rId1" Type="http://schemas.openxmlformats.org/officeDocument/2006/relationships/package" Target="../embeddings/Microsoft_Excel_Worksheet87.xlsx"/></Relationships>
</file>

<file path=word/charts/_rels/chart103.xml.rels><?xml version="1.0" encoding="UTF-8" standalone="yes"?>
<Relationships xmlns="http://schemas.openxmlformats.org/package/2006/relationships"><Relationship Id="rId1" Type="http://schemas.openxmlformats.org/officeDocument/2006/relationships/package" Target="../embeddings/Microsoft_Excel_Worksheet88.xlsx"/></Relationships>
</file>

<file path=word/charts/_rels/chart104.xml.rels><?xml version="1.0" encoding="UTF-8" standalone="yes"?>
<Relationships xmlns="http://schemas.openxmlformats.org/package/2006/relationships"><Relationship Id="rId1" Type="http://schemas.openxmlformats.org/officeDocument/2006/relationships/package" Target="../embeddings/Microsoft_Excel_Worksheet89.xlsx"/></Relationships>
</file>

<file path=word/charts/_rels/chart105.xml.rels><?xml version="1.0" encoding="UTF-8" standalone="yes"?>
<Relationships xmlns="http://schemas.openxmlformats.org/package/2006/relationships"><Relationship Id="rId1" Type="http://schemas.openxmlformats.org/officeDocument/2006/relationships/package" Target="../embeddings/Microsoft_Excel_Worksheet90.xlsx"/></Relationships>
</file>

<file path=word/charts/_rels/chart106.xml.rels><?xml version="1.0" encoding="UTF-8" standalone="yes"?>
<Relationships xmlns="http://schemas.openxmlformats.org/package/2006/relationships"><Relationship Id="rId1" Type="http://schemas.openxmlformats.org/officeDocument/2006/relationships/package" Target="../embeddings/Microsoft_Excel_Worksheet91.xlsx"/></Relationships>
</file>

<file path=word/charts/_rels/chart107.xml.rels><?xml version="1.0" encoding="UTF-8" standalone="yes"?>
<Relationships xmlns="http://schemas.openxmlformats.org/package/2006/relationships"><Relationship Id="rId1" Type="http://schemas.openxmlformats.org/officeDocument/2006/relationships/package" Target="../embeddings/Microsoft_Excel_Worksheet92.xlsx"/></Relationships>
</file>

<file path=word/charts/_rels/chart108.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Guest\Desktop\BAZA%20PODATAKA\ENERGETIKA,%20za%202012..xls" TargetMode="External"/></Relationships>
</file>

<file path=word/charts/_rels/chart109.xml.rels><?xml version="1.0" encoding="UTF-8" standalone="yes"?>
<Relationships xmlns="http://schemas.openxmlformats.org/package/2006/relationships"><Relationship Id="rId1" Type="http://schemas.openxmlformats.org/officeDocument/2006/relationships/oleObject" Target="file:///C:\Users\Guest\Desktop\BAZA%20PODATAKA\ENERGETIKA,%20za%202012..xls" TargetMode="Externa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image" Target="../media/image15.jpeg"/></Relationships>
</file>

<file path=word/charts/_rels/chart110.xml.rels><?xml version="1.0" encoding="UTF-8" standalone="yes"?>
<Relationships xmlns="http://schemas.openxmlformats.org/package/2006/relationships"><Relationship Id="rId1" Type="http://schemas.openxmlformats.org/officeDocument/2006/relationships/oleObject" Target="file:///C:\Users\Guest\Desktop\BAZA%20PODATAKA\ENERGETIKA,%20za%202012..xls" TargetMode="External"/></Relationships>
</file>

<file path=word/charts/_rels/chart111.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Guest\Desktop\BAZA%20PODATAKA\ENERGETIKA,%20za%202012..xls" TargetMode="External"/></Relationships>
</file>

<file path=word/charts/_rels/chart112.xml.rels><?xml version="1.0" encoding="UTF-8" standalone="yes"?>
<Relationships xmlns="http://schemas.openxmlformats.org/package/2006/relationships"><Relationship Id="rId2" Type="http://schemas.openxmlformats.org/officeDocument/2006/relationships/oleObject" Target="file:///C:\Users\Guest\Desktop\BAZA%20PODATAKA\ENERGETIKA,%20za%202012..xls" TargetMode="External"/><Relationship Id="rId1" Type="http://schemas.openxmlformats.org/officeDocument/2006/relationships/themeOverride" Target="../theme/themeOverride27.xml"/></Relationships>
</file>

<file path=word/charts/_rels/chart113.xml.rels><?xml version="1.0" encoding="UTF-8" standalone="yes"?>
<Relationships xmlns="http://schemas.openxmlformats.org/package/2006/relationships"><Relationship Id="rId2" Type="http://schemas.openxmlformats.org/officeDocument/2006/relationships/oleObject" Target="file:///C:\Users\Guest\Desktop\BAZA%20PODATAKA\ENERGETIKA,%20za%202012..xls" TargetMode="External"/><Relationship Id="rId1" Type="http://schemas.openxmlformats.org/officeDocument/2006/relationships/themeOverride" Target="../theme/themeOverride28.xml"/></Relationships>
</file>

<file path=word/charts/_rels/chart114.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Users\Guest\Desktop\BAZA%20PODATAKA\ENERGETIKA,%20za%202012..xls" TargetMode="External"/></Relationships>
</file>

<file path=word/charts/_rels/chart115.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C:\Users\Guest\Desktop\BAZA%20PODATAKA\ENERGETIKA,%20za%202012..xls" TargetMode="External"/></Relationships>
</file>

<file path=word/charts/_rels/chart116.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file:///C:\Users\Guest\Desktop\BAZA%20PODATAKA\SAOBRACAJ,%20za%202012..xls" TargetMode="External"/></Relationships>
</file>

<file path=word/charts/_rels/chart117.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oleObject" Target="file:///C:\Users\Guest\Desktop\BAZA%20PODATAKA\SAOBRACAJ,%20za%202012..xls" TargetMode="External"/></Relationships>
</file>

<file path=word/charts/_rels/chart118.xml.rels><?xml version="1.0" encoding="UTF-8" standalone="yes"?>
<Relationships xmlns="http://schemas.openxmlformats.org/package/2006/relationships"><Relationship Id="rId2" Type="http://schemas.openxmlformats.org/officeDocument/2006/relationships/chartUserShapes" Target="../drawings/drawing7.xml"/><Relationship Id="rId1" Type="http://schemas.openxmlformats.org/officeDocument/2006/relationships/oleObject" Target="file:///C:\Users\Guest\Desktop\BAZA%20PODATAKA\SAOBRACAJ,%20za%202012..xls" TargetMode="External"/></Relationships>
</file>

<file path=word/charts/_rels/chart119.xml.rels><?xml version="1.0" encoding="UTF-8" standalone="yes"?>
<Relationships xmlns="http://schemas.openxmlformats.org/package/2006/relationships"><Relationship Id="rId2" Type="http://schemas.openxmlformats.org/officeDocument/2006/relationships/chartUserShapes" Target="../drawings/drawing8.xml"/><Relationship Id="rId1" Type="http://schemas.openxmlformats.org/officeDocument/2006/relationships/oleObject" Target="file:///C:\Users\Guest\Desktop\BAZA%20PODATAKA\SAOBRACAJ,%20za%202012..xls" TargetMode="Externa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image" Target="../media/image16.jpeg"/></Relationships>
</file>

<file path=word/charts/_rels/chart120.xml.rels><?xml version="1.0" encoding="UTF-8" standalone="yes"?>
<Relationships xmlns="http://schemas.openxmlformats.org/package/2006/relationships"><Relationship Id="rId2" Type="http://schemas.openxmlformats.org/officeDocument/2006/relationships/chartUserShapes" Target="../drawings/drawing9.xml"/><Relationship Id="rId1" Type="http://schemas.openxmlformats.org/officeDocument/2006/relationships/oleObject" Target="file:///C:\Users\Guest\Desktop\BAZA%20PODATAKA\SAOBRACAJ,%20za%202012..xls" TargetMode="External"/></Relationships>
</file>

<file path=word/charts/_rels/chart121.xml.rels><?xml version="1.0" encoding="UTF-8" standalone="yes"?>
<Relationships xmlns="http://schemas.openxmlformats.org/package/2006/relationships"><Relationship Id="rId2" Type="http://schemas.openxmlformats.org/officeDocument/2006/relationships/chartUserShapes" Target="../drawings/drawing10.xml"/><Relationship Id="rId1" Type="http://schemas.openxmlformats.org/officeDocument/2006/relationships/oleObject" Target="file:///C:\Users\Guest\Desktop\BAZA%20PODATAKA\SAOBRACAJ,%20za%202012..xls" TargetMode="External"/></Relationships>
</file>

<file path=word/charts/_rels/chart122.xml.rels><?xml version="1.0" encoding="UTF-8" standalone="yes"?>
<Relationships xmlns="http://schemas.openxmlformats.org/package/2006/relationships"><Relationship Id="rId2" Type="http://schemas.openxmlformats.org/officeDocument/2006/relationships/chartUserShapes" Target="../drawings/drawing11.xml"/><Relationship Id="rId1" Type="http://schemas.openxmlformats.org/officeDocument/2006/relationships/oleObject" Target="file:///C:\Users\Guest\Desktop\BAZA%20PODATAKA\SAOBRACAJ,%20za%202012..xls" TargetMode="External"/></Relationships>
</file>

<file path=word/charts/_rels/chart123.xml.rels><?xml version="1.0" encoding="UTF-8" standalone="yes"?>
<Relationships xmlns="http://schemas.openxmlformats.org/package/2006/relationships"><Relationship Id="rId2" Type="http://schemas.openxmlformats.org/officeDocument/2006/relationships/chartUserShapes" Target="../drawings/drawing12.xml"/><Relationship Id="rId1" Type="http://schemas.openxmlformats.org/officeDocument/2006/relationships/oleObject" Target="file:///C:\Users\Guest\Desktop\BAZA%20PODATAKA\SAOBRACAJ,%20za%202012..xls" TargetMode="External"/></Relationships>
</file>

<file path=word/charts/_rels/chart124.xml.rels><?xml version="1.0" encoding="UTF-8" standalone="yes"?>
<Relationships xmlns="http://schemas.openxmlformats.org/package/2006/relationships"><Relationship Id="rId2" Type="http://schemas.openxmlformats.org/officeDocument/2006/relationships/chartUserShapes" Target="../drawings/drawing13.xml"/><Relationship Id="rId1" Type="http://schemas.openxmlformats.org/officeDocument/2006/relationships/oleObject" Target="file:///C:\Users\Guest\Desktop\BAZA%20PODATAKA\SAOBRACAJ,%20za%202012..xls" TargetMode="External"/></Relationships>
</file>

<file path=word/charts/_rels/chart125.xml.rels><?xml version="1.0" encoding="UTF-8" standalone="yes"?>
<Relationships xmlns="http://schemas.openxmlformats.org/package/2006/relationships"><Relationship Id="rId1" Type="http://schemas.openxmlformats.org/officeDocument/2006/relationships/oleObject" Target="file:///C:\Users\Guest\Desktop\BAZA%20PODATAKA\SAOBRACAJ,%20za%202012..xls" TargetMode="External"/></Relationships>
</file>

<file path=word/charts/_rels/chart126.xml.rels><?xml version="1.0" encoding="UTF-8" standalone="yes"?>
<Relationships xmlns="http://schemas.openxmlformats.org/package/2006/relationships"><Relationship Id="rId2" Type="http://schemas.openxmlformats.org/officeDocument/2006/relationships/chartUserShapes" Target="../drawings/drawing14.xml"/><Relationship Id="rId1" Type="http://schemas.openxmlformats.org/officeDocument/2006/relationships/oleObject" Target="file:///C:\Users\Guest\Desktop\BAZA%20PODATAKA\SAOBRACAJ,%20za%202012..xls" TargetMode="External"/></Relationships>
</file>

<file path=word/charts/_rels/chart127.xml.rels><?xml version="1.0" encoding="UTF-8" standalone="yes"?>
<Relationships xmlns="http://schemas.openxmlformats.org/package/2006/relationships"><Relationship Id="rId2" Type="http://schemas.openxmlformats.org/officeDocument/2006/relationships/chartUserShapes" Target="../drawings/drawing15.xml"/><Relationship Id="rId1" Type="http://schemas.openxmlformats.org/officeDocument/2006/relationships/oleObject" Target="file:///C:\Documents%20and%20Settings\Dell\Desktop\baza%20podataka%20za%20INDIKATORE%20MAJ%202012_2,%20J.B,%20B.M,%203\SAOBRACAJ,%20maj%202012%20(1).xls" TargetMode="External"/></Relationships>
</file>

<file path=word/charts/_rels/chart128.xml.rels><?xml version="1.0" encoding="UTF-8" standalone="yes"?>
<Relationships xmlns="http://schemas.openxmlformats.org/package/2006/relationships"><Relationship Id="rId2" Type="http://schemas.openxmlformats.org/officeDocument/2006/relationships/chartUserShapes" Target="../drawings/drawing16.xml"/><Relationship Id="rId1" Type="http://schemas.openxmlformats.org/officeDocument/2006/relationships/oleObject" Target="file:///C:\Documents%20and%20Settings\Dell\Desktop\baza%20podataka%20za%20INDIKATORE%20MAJ%202012_2,%20J.B,%20B.M,%204\SAOBRACAJ,%20maj%202012%20(1).xls" TargetMode="External"/></Relationships>
</file>

<file path=word/charts/_rels/chart129.xml.rels><?xml version="1.0" encoding="UTF-8" standalone="yes"?>
<Relationships xmlns="http://schemas.openxmlformats.org/package/2006/relationships"><Relationship Id="rId2" Type="http://schemas.openxmlformats.org/officeDocument/2006/relationships/chartUserShapes" Target="../drawings/drawing17.xml"/><Relationship Id="rId1" Type="http://schemas.openxmlformats.org/officeDocument/2006/relationships/oleObject" Target="file:///C:\Users\Guest\Desktop\BAZA%20PODATAKA\TURIZAM,%20za%202012..xls" TargetMode="Externa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image" Target="../media/image17.jpeg"/></Relationships>
</file>

<file path=word/charts/_rels/chart130.xml.rels><?xml version="1.0" encoding="UTF-8" standalone="yes"?>
<Relationships xmlns="http://schemas.openxmlformats.org/package/2006/relationships"><Relationship Id="rId2" Type="http://schemas.openxmlformats.org/officeDocument/2006/relationships/chartUserShapes" Target="../drawings/drawing18.xml"/><Relationship Id="rId1" Type="http://schemas.openxmlformats.org/officeDocument/2006/relationships/oleObject" Target="file:///C:\Users\Guest\Desktop\BAZA%20PODATAKA\TURIZAM,%20za%202012..xls" TargetMode="External"/></Relationships>
</file>

<file path=word/charts/_rels/chart131.xml.rels><?xml version="1.0" encoding="UTF-8" standalone="yes"?>
<Relationships xmlns="http://schemas.openxmlformats.org/package/2006/relationships"><Relationship Id="rId2" Type="http://schemas.openxmlformats.org/officeDocument/2006/relationships/chartUserShapes" Target="../drawings/drawing19.xml"/><Relationship Id="rId1" Type="http://schemas.openxmlformats.org/officeDocument/2006/relationships/oleObject" Target="file:///C:\Users\Guest\Desktop\BAZA%20PODATAKA\TURIZAM,%20za%202012..xls" TargetMode="External"/></Relationships>
</file>

<file path=word/charts/_rels/chart132.xml.rels><?xml version="1.0" encoding="UTF-8" standalone="yes"?>
<Relationships xmlns="http://schemas.openxmlformats.org/package/2006/relationships"><Relationship Id="rId1" Type="http://schemas.openxmlformats.org/officeDocument/2006/relationships/oleObject" Target="file:///C:\Users\Guest\Desktop\BAZA%20PODATAKA\TURIZAM,%20za%202012..xls" TargetMode="External"/></Relationships>
</file>

<file path=word/charts/_rels/chart133.xml.rels><?xml version="1.0" encoding="UTF-8" standalone="yes"?>
<Relationships xmlns="http://schemas.openxmlformats.org/package/2006/relationships"><Relationship Id="rId1" Type="http://schemas.openxmlformats.org/officeDocument/2006/relationships/oleObject" Target="Chart%20in%20Microsoft%20Word" TargetMode="External"/></Relationships>
</file>

<file path=word/charts/_rels/chart134.xml.rels><?xml version="1.0" encoding="UTF-8" standalone="yes"?>
<Relationships xmlns="http://schemas.openxmlformats.org/package/2006/relationships"><Relationship Id="rId2" Type="http://schemas.openxmlformats.org/officeDocument/2006/relationships/chartUserShapes" Target="../drawings/drawing20.xml"/><Relationship Id="rId1" Type="http://schemas.openxmlformats.org/officeDocument/2006/relationships/oleObject" Target="file:///C:\Users\Guest\Desktop\BAZA%20PODATAKA\TURIZAM,%20za%202012..xls" TargetMode="External"/></Relationships>
</file>

<file path=word/charts/_rels/chart135.xml.rels><?xml version="1.0" encoding="UTF-8" standalone="yes"?>
<Relationships xmlns="http://schemas.openxmlformats.org/package/2006/relationships"><Relationship Id="rId2" Type="http://schemas.openxmlformats.org/officeDocument/2006/relationships/chartUserShapes" Target="../drawings/drawing21.xml"/><Relationship Id="rId1" Type="http://schemas.openxmlformats.org/officeDocument/2006/relationships/oleObject" Target="file:///C:\Users\Guest\Desktop\BAZA%20PODATAKA\TURIZAM,%20za%202012..xls" TargetMode="External"/></Relationships>
</file>

<file path=word/charts/_rels/chart136.xml.rels><?xml version="1.0" encoding="UTF-8" standalone="yes"?>
<Relationships xmlns="http://schemas.openxmlformats.org/package/2006/relationships"><Relationship Id="rId1" Type="http://schemas.openxmlformats.org/officeDocument/2006/relationships/oleObject" Target="file:///C:\Users\Guest\Desktop\BAZA%20PODATAKA\TURIZAM,%20za%202012..xls" TargetMode="External"/></Relationships>
</file>

<file path=word/charts/_rels/chart137.xml.rels><?xml version="1.0" encoding="UTF-8" standalone="yes"?>
<Relationships xmlns="http://schemas.openxmlformats.org/package/2006/relationships"><Relationship Id="rId1" Type="http://schemas.openxmlformats.org/officeDocument/2006/relationships/oleObject" Target="file:///C:\Users\Guest\Desktop\BAZA%20PODATAKA\TURIZAM,%20za%202012..xls" TargetMode="External"/></Relationships>
</file>

<file path=word/charts/_rels/chart138.xml.rels><?xml version="1.0" encoding="UTF-8" standalone="yes"?>
<Relationships xmlns="http://schemas.openxmlformats.org/package/2006/relationships"><Relationship Id="rId2" Type="http://schemas.openxmlformats.org/officeDocument/2006/relationships/chartUserShapes" Target="../drawings/drawing22.xml"/><Relationship Id="rId1" Type="http://schemas.openxmlformats.org/officeDocument/2006/relationships/oleObject" Target="file:///C:\Users\Guest\Desktop\BAZA%20PODATAKA\TURIZAM,%20za%202012..xls" TargetMode="External"/></Relationships>
</file>

<file path=word/charts/_rels/chart139.xml.rels><?xml version="1.0" encoding="UTF-8" standalone="yes"?>
<Relationships xmlns="http://schemas.openxmlformats.org/package/2006/relationships"><Relationship Id="rId2" Type="http://schemas.openxmlformats.org/officeDocument/2006/relationships/chartUserShapes" Target="../drawings/drawing23.xml"/><Relationship Id="rId1" Type="http://schemas.openxmlformats.org/officeDocument/2006/relationships/oleObject" Target="file:///C:\Users\Guest\Desktop\BAZA%20PODATAKA\TURIZAM,%20za%202012..xls" TargetMode="Externa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image" Target="../media/image18.jpeg"/></Relationships>
</file>

<file path=word/charts/_rels/chart140.xml.rels><?xml version="1.0" encoding="UTF-8" standalone="yes"?>
<Relationships xmlns="http://schemas.openxmlformats.org/package/2006/relationships"><Relationship Id="rId1" Type="http://schemas.openxmlformats.org/officeDocument/2006/relationships/oleObject" Target="file:///C:\Users\Guest\Desktop\BAZA%20PODATAKA\TURIZAM,%20za%202012..xls" TargetMode="Externa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image" Target="../media/image19.jpeg"/></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6.xlsx"/><Relationship Id="rId1" Type="http://schemas.openxmlformats.org/officeDocument/2006/relationships/image" Target="../media/image20.jpeg"/></Relationships>
</file>

<file path=word/charts/_rels/chart17.xml.rels><?xml version="1.0" encoding="UTF-8" standalone="yes"?>
<Relationships xmlns="http://schemas.openxmlformats.org/package/2006/relationships"><Relationship Id="rId2" Type="http://schemas.openxmlformats.org/officeDocument/2006/relationships/oleObject" Target="file:///C:\Users\antonije\Desktop\ukupne%20GHG%20emisije%2090-011.xlsx" TargetMode="External"/><Relationship Id="rId1" Type="http://schemas.openxmlformats.org/officeDocument/2006/relationships/themeOverride" Target="../theme/themeOverride1.xml"/></Relationships>
</file>

<file path=word/charts/_rels/chart18.xml.rels><?xml version="1.0" encoding="UTF-8" standalone="yes"?>
<Relationships xmlns="http://schemas.openxmlformats.org/package/2006/relationships"><Relationship Id="rId2" Type="http://schemas.openxmlformats.org/officeDocument/2006/relationships/oleObject" Target="file:///C:\Users\Irena\Desktop\ukupne%20GHG%20emisije%2090-011.xlsx" TargetMode="External"/><Relationship Id="rId1" Type="http://schemas.openxmlformats.org/officeDocument/2006/relationships/themeOverride" Target="../theme/themeOverride2.xml"/></Relationships>
</file>

<file path=word/charts/_rels/chart19.xml.rels><?xml version="1.0" encoding="UTF-8" standalone="yes"?>
<Relationships xmlns="http://schemas.openxmlformats.org/package/2006/relationships"><Relationship Id="rId2" Type="http://schemas.openxmlformats.org/officeDocument/2006/relationships/oleObject" Target="file:///C:\Users\Irena\Desktop\ukupne%20GHG%20emisije%2090-011.xlsx" TargetMode="External"/><Relationship Id="rId1" Type="http://schemas.openxmlformats.org/officeDocument/2006/relationships/themeOverride" Target="../theme/themeOverride3.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image" Target="../media/image5.jpeg"/></Relationships>
</file>

<file path=word/charts/_rels/chart20.xml.rels><?xml version="1.0" encoding="UTF-8" standalone="yes"?>
<Relationships xmlns="http://schemas.openxmlformats.org/package/2006/relationships"><Relationship Id="rId2" Type="http://schemas.openxmlformats.org/officeDocument/2006/relationships/oleObject" Target="file:///C:\Users\antonije\Desktop\ukupne%20GHG%20emisije%2090-011.xlsx" TargetMode="External"/><Relationship Id="rId1" Type="http://schemas.openxmlformats.org/officeDocument/2006/relationships/themeOverride" Target="../theme/themeOverride4.xml"/></Relationships>
</file>

<file path=word/charts/_rels/chart21.xml.rels><?xml version="1.0" encoding="UTF-8" standalone="yes"?>
<Relationships xmlns="http://schemas.openxmlformats.org/package/2006/relationships"><Relationship Id="rId2" Type="http://schemas.openxmlformats.org/officeDocument/2006/relationships/oleObject" Target="file:///C:\Users\antonije\Desktop\ukupne%20GHG%20emisije%2090-011.xlsx" TargetMode="External"/><Relationship Id="rId1" Type="http://schemas.openxmlformats.org/officeDocument/2006/relationships/themeOverride" Target="../theme/themeOverride5.xml"/></Relationships>
</file>

<file path=word/charts/_rels/chart22.xml.rels><?xml version="1.0" encoding="UTF-8" standalone="yes"?>
<Relationships xmlns="http://schemas.openxmlformats.org/package/2006/relationships"><Relationship Id="rId2" Type="http://schemas.openxmlformats.org/officeDocument/2006/relationships/oleObject" Target="file:///C:\Users\Irena\Desktop\ukupne%20GHG%20emisije%2090-011.xlsx" TargetMode="External"/><Relationship Id="rId1" Type="http://schemas.openxmlformats.org/officeDocument/2006/relationships/themeOverride" Target="../theme/themeOverride6.xml"/></Relationships>
</file>

<file path=word/charts/_rels/chart23.xml.rels><?xml version="1.0" encoding="UTF-8" standalone="yes"?>
<Relationships xmlns="http://schemas.openxmlformats.org/package/2006/relationships"><Relationship Id="rId2" Type="http://schemas.openxmlformats.org/officeDocument/2006/relationships/oleObject" Target="file:///C:\Users\Irena\Desktop\ukupne%20GHG%20emisije%2090-011.xlsx" TargetMode="External"/><Relationship Id="rId1" Type="http://schemas.openxmlformats.org/officeDocument/2006/relationships/themeOverride" Target="../theme/themeOverride7.xml"/></Relationships>
</file>

<file path=word/charts/_rels/chart24.xml.rels><?xml version="1.0" encoding="UTF-8" standalone="yes"?>
<Relationships xmlns="http://schemas.openxmlformats.org/package/2006/relationships"><Relationship Id="rId2" Type="http://schemas.openxmlformats.org/officeDocument/2006/relationships/oleObject" Target="file:///C:\Users\Irena\Desktop\ukupne%20GHG%20emisije%2090-011.xlsx" TargetMode="External"/><Relationship Id="rId1" Type="http://schemas.openxmlformats.org/officeDocument/2006/relationships/themeOverride" Target="../theme/themeOverride8.xml"/></Relationships>
</file>

<file path=word/charts/_rels/chart25.xml.rels><?xml version="1.0" encoding="UTF-8" standalone="yes"?>
<Relationships xmlns="http://schemas.openxmlformats.org/package/2006/relationships"><Relationship Id="rId2" Type="http://schemas.openxmlformats.org/officeDocument/2006/relationships/package" Target="../embeddings/Microsoft_Excel_Worksheet17.xlsx"/><Relationship Id="rId1" Type="http://schemas.openxmlformats.org/officeDocument/2006/relationships/themeOverride" Target="../theme/themeOverride9.xml"/></Relationships>
</file>

<file path=word/charts/_rels/chart26.xml.rels><?xml version="1.0" encoding="UTF-8" standalone="yes"?>
<Relationships xmlns="http://schemas.openxmlformats.org/package/2006/relationships"><Relationship Id="rId1" Type="http://schemas.openxmlformats.org/officeDocument/2006/relationships/package" Target="../embeddings/Microsoft_Excel_Worksheet18.xlsx"/></Relationships>
</file>

<file path=word/charts/_rels/chart27.xml.rels><?xml version="1.0" encoding="UTF-8" standalone="yes"?>
<Relationships xmlns="http://schemas.openxmlformats.org/package/2006/relationships"><Relationship Id="rId1" Type="http://schemas.openxmlformats.org/officeDocument/2006/relationships/package" Target="../embeddings/Microsoft_Excel_Worksheet19.xlsx"/></Relationships>
</file>

<file path=word/charts/_rels/chart28.xml.rels><?xml version="1.0" encoding="UTF-8" standalone="yes"?>
<Relationships xmlns="http://schemas.openxmlformats.org/package/2006/relationships"><Relationship Id="rId1" Type="http://schemas.openxmlformats.org/officeDocument/2006/relationships/package" Target="../embeddings/Microsoft_Excel_Worksheet20.xlsx"/></Relationships>
</file>

<file path=word/charts/_rels/chart29.xml.rels><?xml version="1.0" encoding="UTF-8" standalone="yes"?>
<Relationships xmlns="http://schemas.openxmlformats.org/package/2006/relationships"><Relationship Id="rId1" Type="http://schemas.openxmlformats.org/officeDocument/2006/relationships/package" Target="../embeddings/Microsoft_Excel_Worksheet21.xlsx"/></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image" Target="../media/image6.jpeg"/></Relationships>
</file>

<file path=word/charts/_rels/chart30.xml.rels><?xml version="1.0" encoding="UTF-8" standalone="yes"?>
<Relationships xmlns="http://schemas.openxmlformats.org/package/2006/relationships"><Relationship Id="rId1" Type="http://schemas.openxmlformats.org/officeDocument/2006/relationships/package" Target="../embeddings/Microsoft_Excel_Worksheet22.xlsx"/></Relationships>
</file>

<file path=word/charts/_rels/chart31.xml.rels><?xml version="1.0" encoding="UTF-8" standalone="yes"?>
<Relationships xmlns="http://schemas.openxmlformats.org/package/2006/relationships"><Relationship Id="rId1" Type="http://schemas.openxmlformats.org/officeDocument/2006/relationships/package" Target="../embeddings/Microsoft_Excel_Worksheet23.xlsx"/></Relationships>
</file>

<file path=word/charts/_rels/chart32.xml.rels><?xml version="1.0" encoding="UTF-8" standalone="yes"?>
<Relationships xmlns="http://schemas.openxmlformats.org/package/2006/relationships"><Relationship Id="rId1" Type="http://schemas.openxmlformats.org/officeDocument/2006/relationships/package" Target="../embeddings/Microsoft_Excel_Worksheet24.xlsx"/></Relationships>
</file>

<file path=word/charts/_rels/chart33.xml.rels><?xml version="1.0" encoding="UTF-8" standalone="yes"?>
<Relationships xmlns="http://schemas.openxmlformats.org/package/2006/relationships"><Relationship Id="rId1" Type="http://schemas.openxmlformats.org/officeDocument/2006/relationships/package" Target="../embeddings/Microsoft_Excel_Worksheet25.xlsx"/></Relationships>
</file>

<file path=word/charts/_rels/chart34.xml.rels><?xml version="1.0" encoding="UTF-8" standalone="yes"?>
<Relationships xmlns="http://schemas.openxmlformats.org/package/2006/relationships"><Relationship Id="rId1" Type="http://schemas.openxmlformats.org/officeDocument/2006/relationships/package" Target="../embeddings/Microsoft_Excel_Worksheet26.xlsx"/></Relationships>
</file>

<file path=word/charts/_rels/chart35.xml.rels><?xml version="1.0" encoding="UTF-8" standalone="yes"?>
<Relationships xmlns="http://schemas.openxmlformats.org/package/2006/relationships"><Relationship Id="rId1" Type="http://schemas.openxmlformats.org/officeDocument/2006/relationships/package" Target="../embeddings/Microsoft_Excel_Worksheet27.xlsx"/></Relationships>
</file>

<file path=word/charts/_rels/chart36.xml.rels><?xml version="1.0" encoding="UTF-8" standalone="yes"?>
<Relationships xmlns="http://schemas.openxmlformats.org/package/2006/relationships"><Relationship Id="rId1" Type="http://schemas.openxmlformats.org/officeDocument/2006/relationships/package" Target="../embeddings/Microsoft_Excel_Worksheet28.xlsx"/></Relationships>
</file>

<file path=word/charts/_rels/chart37.xml.rels><?xml version="1.0" encoding="UTF-8" standalone="yes"?>
<Relationships xmlns="http://schemas.openxmlformats.org/package/2006/relationships"><Relationship Id="rId1" Type="http://schemas.openxmlformats.org/officeDocument/2006/relationships/package" Target="../embeddings/Microsoft_Excel_Worksheet29.xlsx"/></Relationships>
</file>

<file path=word/charts/_rels/chart38.xml.rels><?xml version="1.0" encoding="UTF-8" standalone="yes"?>
<Relationships xmlns="http://schemas.openxmlformats.org/package/2006/relationships"><Relationship Id="rId1" Type="http://schemas.openxmlformats.org/officeDocument/2006/relationships/package" Target="../embeddings/Microsoft_Excel_Worksheet30.xlsx"/></Relationships>
</file>

<file path=word/charts/_rels/chart39.xml.rels><?xml version="1.0" encoding="UTF-8" standalone="yes"?>
<Relationships xmlns="http://schemas.openxmlformats.org/package/2006/relationships"><Relationship Id="rId1" Type="http://schemas.openxmlformats.org/officeDocument/2006/relationships/package" Target="../embeddings/Microsoft_Excel_Worksheet31.xlsx"/></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image" Target="../media/image8.jpeg"/></Relationships>
</file>

<file path=word/charts/_rels/chart40.xml.rels><?xml version="1.0" encoding="UTF-8" standalone="yes"?>
<Relationships xmlns="http://schemas.openxmlformats.org/package/2006/relationships"><Relationship Id="rId1" Type="http://schemas.openxmlformats.org/officeDocument/2006/relationships/package" Target="../embeddings/Microsoft_Excel_Worksheet32.xlsx"/></Relationships>
</file>

<file path=word/charts/_rels/chart41.xml.rels><?xml version="1.0" encoding="UTF-8" standalone="yes"?>
<Relationships xmlns="http://schemas.openxmlformats.org/package/2006/relationships"><Relationship Id="rId1" Type="http://schemas.openxmlformats.org/officeDocument/2006/relationships/package" Target="../embeddings/Microsoft_Excel_Worksheet33.xlsx"/></Relationships>
</file>

<file path=word/charts/_rels/chart42.xml.rels><?xml version="1.0" encoding="UTF-8" standalone="yes"?>
<Relationships xmlns="http://schemas.openxmlformats.org/package/2006/relationships"><Relationship Id="rId1" Type="http://schemas.openxmlformats.org/officeDocument/2006/relationships/package" Target="../embeddings/Microsoft_Excel_Worksheet34.xlsx"/></Relationships>
</file>

<file path=word/charts/_rels/chart43.xml.rels><?xml version="1.0" encoding="UTF-8" standalone="yes"?>
<Relationships xmlns="http://schemas.openxmlformats.org/package/2006/relationships"><Relationship Id="rId1" Type="http://schemas.openxmlformats.org/officeDocument/2006/relationships/package" Target="../embeddings/Microsoft_Excel_Worksheet35.xlsx"/></Relationships>
</file>

<file path=word/charts/_rels/chart44.xml.rels><?xml version="1.0" encoding="UTF-8" standalone="yes"?>
<Relationships xmlns="http://schemas.openxmlformats.org/package/2006/relationships"><Relationship Id="rId1" Type="http://schemas.openxmlformats.org/officeDocument/2006/relationships/package" Target="../embeddings/Microsoft_Excel_Worksheet36.xlsx"/></Relationships>
</file>

<file path=word/charts/_rels/chart45.xml.rels><?xml version="1.0" encoding="UTF-8" standalone="yes"?>
<Relationships xmlns="http://schemas.openxmlformats.org/package/2006/relationships"><Relationship Id="rId1" Type="http://schemas.openxmlformats.org/officeDocument/2006/relationships/package" Target="../embeddings/Microsoft_Excel_Worksheet37.xlsx"/></Relationships>
</file>

<file path=word/charts/_rels/chart46.xml.rels><?xml version="1.0" encoding="UTF-8" standalone="yes"?>
<Relationships xmlns="http://schemas.openxmlformats.org/package/2006/relationships"><Relationship Id="rId1" Type="http://schemas.openxmlformats.org/officeDocument/2006/relationships/package" Target="../embeddings/Microsoft_Excel_Worksheet38.xlsx"/></Relationships>
</file>

<file path=word/charts/_rels/chart47.xml.rels><?xml version="1.0" encoding="UTF-8" standalone="yes"?>
<Relationships xmlns="http://schemas.openxmlformats.org/package/2006/relationships"><Relationship Id="rId2" Type="http://schemas.openxmlformats.org/officeDocument/2006/relationships/package" Target="../embeddings/Microsoft_Excel_Worksheet39.xlsx"/><Relationship Id="rId1" Type="http://schemas.openxmlformats.org/officeDocument/2006/relationships/themeOverride" Target="../theme/themeOverride10.xml"/></Relationships>
</file>

<file path=word/charts/_rels/chart48.xml.rels><?xml version="1.0" encoding="UTF-8" standalone="yes"?>
<Relationships xmlns="http://schemas.openxmlformats.org/package/2006/relationships"><Relationship Id="rId2" Type="http://schemas.openxmlformats.org/officeDocument/2006/relationships/package" Target="../embeddings/Microsoft_Excel_Worksheet40.xlsx"/><Relationship Id="rId1" Type="http://schemas.openxmlformats.org/officeDocument/2006/relationships/themeOverride" Target="../theme/themeOverride11.xml"/></Relationships>
</file>

<file path=word/charts/_rels/chart49.xml.rels><?xml version="1.0" encoding="UTF-8" standalone="yes"?>
<Relationships xmlns="http://schemas.openxmlformats.org/package/2006/relationships"><Relationship Id="rId2" Type="http://schemas.openxmlformats.org/officeDocument/2006/relationships/package" Target="../embeddings/Microsoft_Excel_Worksheet41.xlsx"/><Relationship Id="rId1" Type="http://schemas.openxmlformats.org/officeDocument/2006/relationships/themeOverride" Target="../theme/themeOverride12.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image" Target="../media/image9.jpeg"/></Relationships>
</file>

<file path=word/charts/_rels/chart50.xml.rels><?xml version="1.0" encoding="UTF-8" standalone="yes"?>
<Relationships xmlns="http://schemas.openxmlformats.org/package/2006/relationships"><Relationship Id="rId2" Type="http://schemas.openxmlformats.org/officeDocument/2006/relationships/package" Target="../embeddings/Microsoft_Excel_Worksheet42.xlsx"/><Relationship Id="rId1" Type="http://schemas.openxmlformats.org/officeDocument/2006/relationships/themeOverride" Target="../theme/themeOverride13.xml"/></Relationships>
</file>

<file path=word/charts/_rels/chart51.xml.rels><?xml version="1.0" encoding="UTF-8" standalone="yes"?>
<Relationships xmlns="http://schemas.openxmlformats.org/package/2006/relationships"><Relationship Id="rId2" Type="http://schemas.openxmlformats.org/officeDocument/2006/relationships/package" Target="../embeddings/Microsoft_Excel_Worksheet43.xlsx"/><Relationship Id="rId1" Type="http://schemas.openxmlformats.org/officeDocument/2006/relationships/themeOverride" Target="../theme/themeOverride14.xml"/></Relationships>
</file>

<file path=word/charts/_rels/chart52.xml.rels><?xml version="1.0" encoding="UTF-8" standalone="yes"?>
<Relationships xmlns="http://schemas.openxmlformats.org/package/2006/relationships"><Relationship Id="rId1" Type="http://schemas.openxmlformats.org/officeDocument/2006/relationships/package" Target="../embeddings/Microsoft_Excel_Worksheet44.xlsx"/></Relationships>
</file>

<file path=word/charts/_rels/chart53.xml.rels><?xml version="1.0" encoding="UTF-8" standalone="yes"?>
<Relationships xmlns="http://schemas.openxmlformats.org/package/2006/relationships"><Relationship Id="rId1" Type="http://schemas.openxmlformats.org/officeDocument/2006/relationships/package" Target="../embeddings/Microsoft_Excel_Worksheet45.xlsx"/></Relationships>
</file>

<file path=word/charts/_rels/chart54.xml.rels><?xml version="1.0" encoding="UTF-8" standalone="yes"?>
<Relationships xmlns="http://schemas.openxmlformats.org/package/2006/relationships"><Relationship Id="rId1" Type="http://schemas.openxmlformats.org/officeDocument/2006/relationships/package" Target="../embeddings/Microsoft_Excel_Worksheet46.xlsx"/></Relationships>
</file>

<file path=word/charts/_rels/chart55.xml.rels><?xml version="1.0" encoding="UTF-8" standalone="yes"?>
<Relationships xmlns="http://schemas.openxmlformats.org/package/2006/relationships"><Relationship Id="rId1" Type="http://schemas.openxmlformats.org/officeDocument/2006/relationships/package" Target="../embeddings/Microsoft_Excel_Worksheet47.xlsx"/></Relationships>
</file>

<file path=word/charts/_rels/chart56.xml.rels><?xml version="1.0" encoding="UTF-8" standalone="yes"?>
<Relationships xmlns="http://schemas.openxmlformats.org/package/2006/relationships"><Relationship Id="rId1" Type="http://schemas.openxmlformats.org/officeDocument/2006/relationships/package" Target="../embeddings/Microsoft_Excel_Worksheet48.xlsx"/></Relationships>
</file>

<file path=word/charts/_rels/chart57.xml.rels><?xml version="1.0" encoding="UTF-8" standalone="yes"?>
<Relationships xmlns="http://schemas.openxmlformats.org/package/2006/relationships"><Relationship Id="rId1" Type="http://schemas.openxmlformats.org/officeDocument/2006/relationships/package" Target="../embeddings/Microsoft_Excel_Worksheet49.xlsx"/></Relationships>
</file>

<file path=word/charts/_rels/chart58.xml.rels><?xml version="1.0" encoding="UTF-8" standalone="yes"?>
<Relationships xmlns="http://schemas.openxmlformats.org/package/2006/relationships"><Relationship Id="rId1" Type="http://schemas.openxmlformats.org/officeDocument/2006/relationships/package" Target="../embeddings/Microsoft_Excel_Worksheet50.xlsx"/></Relationships>
</file>

<file path=word/charts/_rels/chart59.xml.rels><?xml version="1.0" encoding="UTF-8" standalone="yes"?>
<Relationships xmlns="http://schemas.openxmlformats.org/package/2006/relationships"><Relationship Id="rId1" Type="http://schemas.openxmlformats.org/officeDocument/2006/relationships/package" Target="../embeddings/Microsoft_Excel_Worksheet51.xlsx"/></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image" Target="../media/image10.jpeg"/></Relationships>
</file>

<file path=word/charts/_rels/chart60.xml.rels><?xml version="1.0" encoding="UTF-8" standalone="yes"?>
<Relationships xmlns="http://schemas.openxmlformats.org/package/2006/relationships"><Relationship Id="rId1" Type="http://schemas.openxmlformats.org/officeDocument/2006/relationships/package" Target="../embeddings/Microsoft_Excel_Worksheet52.xlsx"/></Relationships>
</file>

<file path=word/charts/_rels/chart61.xml.rels><?xml version="1.0" encoding="UTF-8" standalone="yes"?>
<Relationships xmlns="http://schemas.openxmlformats.org/package/2006/relationships"><Relationship Id="rId1" Type="http://schemas.openxmlformats.org/officeDocument/2006/relationships/package" Target="../embeddings/Microsoft_Excel_Worksheet53.xlsx"/></Relationships>
</file>

<file path=word/charts/_rels/chart62.xml.rels><?xml version="1.0" encoding="UTF-8" standalone="yes"?>
<Relationships xmlns="http://schemas.openxmlformats.org/package/2006/relationships"><Relationship Id="rId1" Type="http://schemas.openxmlformats.org/officeDocument/2006/relationships/package" Target="../embeddings/Microsoft_Excel_Worksheet54.xlsx"/></Relationships>
</file>

<file path=word/charts/_rels/chart63.xml.rels><?xml version="1.0" encoding="UTF-8" standalone="yes"?>
<Relationships xmlns="http://schemas.openxmlformats.org/package/2006/relationships"><Relationship Id="rId1" Type="http://schemas.openxmlformats.org/officeDocument/2006/relationships/package" Target="../embeddings/Microsoft_Excel_Worksheet55.xlsx"/></Relationships>
</file>

<file path=word/charts/_rels/chart64.xml.rels><?xml version="1.0" encoding="UTF-8" standalone="yes"?>
<Relationships xmlns="http://schemas.openxmlformats.org/package/2006/relationships"><Relationship Id="rId1" Type="http://schemas.openxmlformats.org/officeDocument/2006/relationships/package" Target="../embeddings/Microsoft_Excel_Worksheet56.xlsx"/></Relationships>
</file>

<file path=word/charts/_rels/chart65.xml.rels><?xml version="1.0" encoding="UTF-8" standalone="yes"?>
<Relationships xmlns="http://schemas.openxmlformats.org/package/2006/relationships"><Relationship Id="rId1" Type="http://schemas.openxmlformats.org/officeDocument/2006/relationships/package" Target="../embeddings/Microsoft_Excel_Worksheet57.xlsx"/></Relationships>
</file>

<file path=word/charts/_rels/chart66.xml.rels><?xml version="1.0" encoding="UTF-8" standalone="yes"?>
<Relationships xmlns="http://schemas.openxmlformats.org/package/2006/relationships"><Relationship Id="rId1" Type="http://schemas.openxmlformats.org/officeDocument/2006/relationships/package" Target="../embeddings/Microsoft_Excel_Worksheet58.xlsx"/></Relationships>
</file>

<file path=word/charts/_rels/chart67.xml.rels><?xml version="1.0" encoding="UTF-8" standalone="yes"?>
<Relationships xmlns="http://schemas.openxmlformats.org/package/2006/relationships"><Relationship Id="rId1" Type="http://schemas.openxmlformats.org/officeDocument/2006/relationships/package" Target="../embeddings/Microsoft_Excel_Worksheet59.xlsx"/></Relationships>
</file>

<file path=word/charts/_rels/chart68.xml.rels><?xml version="1.0" encoding="UTF-8" standalone="yes"?>
<Relationships xmlns="http://schemas.openxmlformats.org/package/2006/relationships"><Relationship Id="rId1" Type="http://schemas.openxmlformats.org/officeDocument/2006/relationships/package" Target="../embeddings/Microsoft_Excel_Worksheet60.xlsx"/></Relationships>
</file>

<file path=word/charts/_rels/chart69.xml.rels><?xml version="1.0" encoding="UTF-8" standalone="yes"?>
<Relationships xmlns="http://schemas.openxmlformats.org/package/2006/relationships"><Relationship Id="rId1" Type="http://schemas.openxmlformats.org/officeDocument/2006/relationships/package" Target="../embeddings/Microsoft_Excel_Worksheet61.xlsx"/></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image" Target="../media/image11.jpeg"/></Relationships>
</file>

<file path=word/charts/_rels/chart70.xml.rels><?xml version="1.0" encoding="UTF-8" standalone="yes"?>
<Relationships xmlns="http://schemas.openxmlformats.org/package/2006/relationships"><Relationship Id="rId1" Type="http://schemas.openxmlformats.org/officeDocument/2006/relationships/package" Target="../embeddings/Microsoft_Excel_Worksheet62.xlsx"/></Relationships>
</file>

<file path=word/charts/_rels/chart71.xml.rels><?xml version="1.0" encoding="UTF-8" standalone="yes"?>
<Relationships xmlns="http://schemas.openxmlformats.org/package/2006/relationships"><Relationship Id="rId1" Type="http://schemas.openxmlformats.org/officeDocument/2006/relationships/oleObject" Target="Chart%20in%20Microsoft%20Office%20Word"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Chart%20in%20Microsoft%20Office%20Word"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Chart%20in%20Microsoft%20Office%20Word"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Chart%20in%20Microsoft%20Office%20Word" TargetMode="External"/></Relationships>
</file>

<file path=word/charts/_rels/chart75.xml.rels><?xml version="1.0" encoding="UTF-8" standalone="yes"?>
<Relationships xmlns="http://schemas.openxmlformats.org/package/2006/relationships"><Relationship Id="rId1" Type="http://schemas.openxmlformats.org/officeDocument/2006/relationships/oleObject" Target="Chart%20in%20Microsoft%20Office%20Word" TargetMode="External"/></Relationships>
</file>

<file path=word/charts/_rels/chart76.xml.rels><?xml version="1.0" encoding="UTF-8" standalone="yes"?>
<Relationships xmlns="http://schemas.openxmlformats.org/package/2006/relationships"><Relationship Id="rId1" Type="http://schemas.openxmlformats.org/officeDocument/2006/relationships/package" Target="../embeddings/Microsoft_Excel_Worksheet63.xlsx"/></Relationships>
</file>

<file path=word/charts/_rels/chart77.xml.rels><?xml version="1.0" encoding="UTF-8" standalone="yes"?>
<Relationships xmlns="http://schemas.openxmlformats.org/package/2006/relationships"><Relationship Id="rId1" Type="http://schemas.openxmlformats.org/officeDocument/2006/relationships/package" Target="../embeddings/Microsoft_Excel_Worksheet64.xlsx"/></Relationships>
</file>

<file path=word/charts/_rels/chart78.xml.rels><?xml version="1.0" encoding="UTF-8" standalone="yes"?>
<Relationships xmlns="http://schemas.openxmlformats.org/package/2006/relationships"><Relationship Id="rId1" Type="http://schemas.openxmlformats.org/officeDocument/2006/relationships/package" Target="../embeddings/Microsoft_Excel_Worksheet65.xlsx"/></Relationships>
</file>

<file path=word/charts/_rels/chart79.xml.rels><?xml version="1.0" encoding="UTF-8" standalone="yes"?>
<Relationships xmlns="http://schemas.openxmlformats.org/package/2006/relationships"><Relationship Id="rId1" Type="http://schemas.openxmlformats.org/officeDocument/2006/relationships/package" Target="../embeddings/Microsoft_Excel_Worksheet66.xlsx"/></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image" Target="../media/image12.jpeg"/></Relationships>
</file>

<file path=word/charts/_rels/chart80.xml.rels><?xml version="1.0" encoding="UTF-8" standalone="yes"?>
<Relationships xmlns="http://schemas.openxmlformats.org/package/2006/relationships"><Relationship Id="rId1" Type="http://schemas.openxmlformats.org/officeDocument/2006/relationships/package" Target="../embeddings/Microsoft_Excel_Worksheet67.xlsx"/></Relationships>
</file>

<file path=word/charts/_rels/chart8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5.xml"/></Relationships>
</file>

<file path=word/charts/_rels/chart82.xml.rels><?xml version="1.0" encoding="UTF-8" standalone="yes"?>
<Relationships xmlns="http://schemas.openxmlformats.org/package/2006/relationships"><Relationship Id="rId2" Type="http://schemas.openxmlformats.org/officeDocument/2006/relationships/package" Target="../embeddings/Microsoft_Excel_Worksheet68.xlsx"/><Relationship Id="rId1" Type="http://schemas.openxmlformats.org/officeDocument/2006/relationships/themeOverride" Target="../theme/themeOverride16.xml"/></Relationships>
</file>

<file path=word/charts/_rels/chart83.xml.rels><?xml version="1.0" encoding="UTF-8" standalone="yes"?>
<Relationships xmlns="http://schemas.openxmlformats.org/package/2006/relationships"><Relationship Id="rId2" Type="http://schemas.openxmlformats.org/officeDocument/2006/relationships/package" Target="../embeddings/Microsoft_Excel_Worksheet69.xlsx"/><Relationship Id="rId1" Type="http://schemas.openxmlformats.org/officeDocument/2006/relationships/themeOverride" Target="../theme/themeOverride17.xml"/></Relationships>
</file>

<file path=word/charts/_rels/chart84.xml.rels><?xml version="1.0" encoding="UTF-8" standalone="yes"?>
<Relationships xmlns="http://schemas.openxmlformats.org/package/2006/relationships"><Relationship Id="rId2" Type="http://schemas.openxmlformats.org/officeDocument/2006/relationships/package" Target="../embeddings/Microsoft_Excel_Worksheet70.xlsx"/><Relationship Id="rId1" Type="http://schemas.openxmlformats.org/officeDocument/2006/relationships/themeOverride" Target="../theme/themeOverride18.xml"/></Relationships>
</file>

<file path=word/charts/_rels/chart85.xml.rels><?xml version="1.0" encoding="UTF-8" standalone="yes"?>
<Relationships xmlns="http://schemas.openxmlformats.org/package/2006/relationships"><Relationship Id="rId2" Type="http://schemas.openxmlformats.org/officeDocument/2006/relationships/package" Target="../embeddings/Microsoft_Excel_Worksheet71.xlsx"/><Relationship Id="rId1" Type="http://schemas.openxmlformats.org/officeDocument/2006/relationships/themeOverride" Target="../theme/themeOverride19.xml"/></Relationships>
</file>

<file path=word/charts/_rels/chart86.xml.rels><?xml version="1.0" encoding="UTF-8" standalone="yes"?>
<Relationships xmlns="http://schemas.openxmlformats.org/package/2006/relationships"><Relationship Id="rId2" Type="http://schemas.openxmlformats.org/officeDocument/2006/relationships/package" Target="../embeddings/Microsoft_Excel_Worksheet72.xlsx"/><Relationship Id="rId1" Type="http://schemas.openxmlformats.org/officeDocument/2006/relationships/themeOverride" Target="../theme/themeOverride20.xml"/></Relationships>
</file>

<file path=word/charts/_rels/chart87.xml.rels><?xml version="1.0" encoding="UTF-8" standalone="yes"?>
<Relationships xmlns="http://schemas.openxmlformats.org/package/2006/relationships"><Relationship Id="rId2" Type="http://schemas.openxmlformats.org/officeDocument/2006/relationships/package" Target="../embeddings/Microsoft_Excel_Worksheet73.xlsx"/><Relationship Id="rId1" Type="http://schemas.openxmlformats.org/officeDocument/2006/relationships/themeOverride" Target="../theme/themeOverride21.xml"/></Relationships>
</file>

<file path=word/charts/_rels/chart88.xml.rels><?xml version="1.0" encoding="UTF-8" standalone="yes"?>
<Relationships xmlns="http://schemas.openxmlformats.org/package/2006/relationships"><Relationship Id="rId2" Type="http://schemas.openxmlformats.org/officeDocument/2006/relationships/package" Target="../embeddings/Microsoft_Excel_Worksheet74.xlsx"/><Relationship Id="rId1" Type="http://schemas.openxmlformats.org/officeDocument/2006/relationships/themeOverride" Target="../theme/themeOverride22.xml"/></Relationships>
</file>

<file path=word/charts/_rels/chart89.xml.rels><?xml version="1.0" encoding="UTF-8" standalone="yes"?>
<Relationships xmlns="http://schemas.openxmlformats.org/package/2006/relationships"><Relationship Id="rId2" Type="http://schemas.openxmlformats.org/officeDocument/2006/relationships/package" Target="../embeddings/Microsoft_Excel_Worksheet75.xlsx"/><Relationship Id="rId1" Type="http://schemas.openxmlformats.org/officeDocument/2006/relationships/themeOverride" Target="../theme/themeOverride23.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image" Target="../media/image13.jpeg"/></Relationships>
</file>

<file path=word/charts/_rels/chart90.xml.rels><?xml version="1.0" encoding="UTF-8" standalone="yes"?>
<Relationships xmlns="http://schemas.openxmlformats.org/package/2006/relationships"><Relationship Id="rId2" Type="http://schemas.openxmlformats.org/officeDocument/2006/relationships/package" Target="../embeddings/Microsoft_Excel_Worksheet76.xlsx"/><Relationship Id="rId1" Type="http://schemas.openxmlformats.org/officeDocument/2006/relationships/themeOverride" Target="../theme/themeOverride24.xml"/></Relationships>
</file>

<file path=word/charts/_rels/chart91.xml.rels><?xml version="1.0" encoding="UTF-8" standalone="yes"?>
<Relationships xmlns="http://schemas.openxmlformats.org/package/2006/relationships"><Relationship Id="rId2" Type="http://schemas.openxmlformats.org/officeDocument/2006/relationships/package" Target="../embeddings/Microsoft_Excel_Worksheet77.xlsx"/><Relationship Id="rId1" Type="http://schemas.openxmlformats.org/officeDocument/2006/relationships/themeOverride" Target="../theme/themeOverride25.xml"/></Relationships>
</file>

<file path=word/charts/_rels/chart92.xml.rels><?xml version="1.0" encoding="UTF-8" standalone="yes"?>
<Relationships xmlns="http://schemas.openxmlformats.org/package/2006/relationships"><Relationship Id="rId2" Type="http://schemas.openxmlformats.org/officeDocument/2006/relationships/package" Target="../embeddings/Microsoft_Excel_Worksheet78.xlsx"/><Relationship Id="rId1" Type="http://schemas.openxmlformats.org/officeDocument/2006/relationships/themeOverride" Target="../theme/themeOverride26.xml"/></Relationships>
</file>

<file path=word/charts/_rels/chart93.xml.rels><?xml version="1.0" encoding="UTF-8" standalone="yes"?>
<Relationships xmlns="http://schemas.openxmlformats.org/package/2006/relationships"><Relationship Id="rId1" Type="http://schemas.openxmlformats.org/officeDocument/2006/relationships/package" Target="../embeddings/Microsoft_Excel_Worksheet79.xlsx"/></Relationships>
</file>

<file path=word/charts/_rels/chart94.xml.rels><?xml version="1.0" encoding="UTF-8" standalone="yes"?>
<Relationships xmlns="http://schemas.openxmlformats.org/package/2006/relationships"><Relationship Id="rId1" Type="http://schemas.openxmlformats.org/officeDocument/2006/relationships/package" Target="../embeddings/Microsoft_Excel_Worksheet80.xlsx"/></Relationships>
</file>

<file path=word/charts/_rels/chart9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96.xml.rels><?xml version="1.0" encoding="UTF-8" standalone="yes"?>
<Relationships xmlns="http://schemas.openxmlformats.org/package/2006/relationships"><Relationship Id="rId1" Type="http://schemas.openxmlformats.org/officeDocument/2006/relationships/package" Target="../embeddings/Microsoft_Excel_Worksheet81.xlsx"/></Relationships>
</file>

<file path=word/charts/_rels/chart97.xml.rels><?xml version="1.0" encoding="UTF-8" standalone="yes"?>
<Relationships xmlns="http://schemas.openxmlformats.org/package/2006/relationships"><Relationship Id="rId1" Type="http://schemas.openxmlformats.org/officeDocument/2006/relationships/package" Target="../embeddings/Microsoft_Excel_Worksheet82.xlsx"/></Relationships>
</file>

<file path=word/charts/_rels/chart98.xml.rels><?xml version="1.0" encoding="UTF-8" standalone="yes"?>
<Relationships xmlns="http://schemas.openxmlformats.org/package/2006/relationships"><Relationship Id="rId1" Type="http://schemas.openxmlformats.org/officeDocument/2006/relationships/package" Target="../embeddings/Microsoft_Excel_Worksheet83.xlsx"/></Relationships>
</file>

<file path=word/charts/_rels/chart99.xml.rels><?xml version="1.0" encoding="UTF-8" standalone="yes"?>
<Relationships xmlns="http://schemas.openxmlformats.org/package/2006/relationships"><Relationship Id="rId1" Type="http://schemas.openxmlformats.org/officeDocument/2006/relationships/package" Target="../embeddings/Microsoft_Excel_Worksheet8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manualLayout>
          <c:layoutTarget val="inner"/>
          <c:xMode val="edge"/>
          <c:yMode val="edge"/>
          <c:x val="9.5873799280244643E-2"/>
          <c:y val="9.1675348273773674E-2"/>
          <c:w val="0.63055702573260741"/>
          <c:h val="0.7301413284877859"/>
        </c:manualLayout>
      </c:layout>
      <c:barChart>
        <c:barDir val="col"/>
        <c:grouping val="clustered"/>
        <c:varyColors val="0"/>
        <c:ser>
          <c:idx val="0"/>
          <c:order val="0"/>
          <c:tx>
            <c:strRef>
              <c:f>Sheet1!$B$1</c:f>
              <c:strCache>
                <c:ptCount val="1"/>
                <c:pt idx="0">
                  <c:v>Csr </c:v>
                </c:pt>
              </c:strCache>
            </c:strRef>
          </c:tx>
          <c:spPr>
            <a:solidFill>
              <a:srgbClr val="FFFF00"/>
            </a:solidFill>
          </c:spPr>
          <c:invertIfNegative val="0"/>
          <c:cat>
            <c:strRef>
              <c:f>Sheet1!$A$2:$A$13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Sheet1!$B$2:$B$13</c:f>
              <c:numCache>
                <c:formatCode>General</c:formatCode>
                <c:ptCount val="12"/>
                <c:pt idx="0">
                  <c:v>28.81000000000002</c:v>
                </c:pt>
                <c:pt idx="1">
                  <c:v>29.459999999999987</c:v>
                </c:pt>
                <c:pt idx="2">
                  <c:v>27.95</c:v>
                </c:pt>
                <c:pt idx="3">
                  <c:v>26.16</c:v>
                </c:pt>
                <c:pt idx="4">
                  <c:v>19.43</c:v>
                </c:pt>
                <c:pt idx="5">
                  <c:v>16.439999999999987</c:v>
                </c:pt>
                <c:pt idx="6">
                  <c:v>12.48</c:v>
                </c:pt>
                <c:pt idx="7">
                  <c:v>14.27</c:v>
                </c:pt>
                <c:pt idx="8">
                  <c:v>23.77</c:v>
                </c:pt>
                <c:pt idx="9">
                  <c:v>21.89</c:v>
                </c:pt>
                <c:pt idx="10">
                  <c:v>30.08</c:v>
                </c:pt>
                <c:pt idx="11">
                  <c:v>42.13</c:v>
                </c:pt>
              </c:numCache>
            </c:numRef>
          </c:val>
        </c:ser>
        <c:ser>
          <c:idx val="1"/>
          <c:order val="1"/>
          <c:tx>
            <c:strRef>
              <c:f>Sheet1!$C$1</c:f>
              <c:strCache>
                <c:ptCount val="1"/>
                <c:pt idx="0">
                  <c:v>Cmax </c:v>
                </c:pt>
              </c:strCache>
            </c:strRef>
          </c:tx>
          <c:invertIfNegative val="0"/>
          <c:cat>
            <c:strRef>
              <c:f>Sheet1!$A$2:$A$13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Sheet1!$C$2:$C$13</c:f>
              <c:numCache>
                <c:formatCode>General</c:formatCode>
                <c:ptCount val="12"/>
                <c:pt idx="0">
                  <c:v>88.8</c:v>
                </c:pt>
                <c:pt idx="1">
                  <c:v>84</c:v>
                </c:pt>
                <c:pt idx="2">
                  <c:v>95.440000000000026</c:v>
                </c:pt>
                <c:pt idx="3">
                  <c:v>90.7</c:v>
                </c:pt>
                <c:pt idx="4">
                  <c:v>69.349999999999994</c:v>
                </c:pt>
                <c:pt idx="5">
                  <c:v>69.959999999999994</c:v>
                </c:pt>
                <c:pt idx="6">
                  <c:v>64.36999999999999</c:v>
                </c:pt>
                <c:pt idx="7">
                  <c:v>62.760000000000012</c:v>
                </c:pt>
                <c:pt idx="8">
                  <c:v>89.02</c:v>
                </c:pt>
                <c:pt idx="9">
                  <c:v>80.11</c:v>
                </c:pt>
                <c:pt idx="10">
                  <c:v>91.08</c:v>
                </c:pt>
                <c:pt idx="11">
                  <c:v>117.61</c:v>
                </c:pt>
              </c:numCache>
            </c:numRef>
          </c:val>
        </c:ser>
        <c:dLbls>
          <c:showLegendKey val="0"/>
          <c:showVal val="0"/>
          <c:showCatName val="0"/>
          <c:showSerName val="0"/>
          <c:showPercent val="0"/>
          <c:showBubbleSize val="0"/>
        </c:dLbls>
        <c:gapWidth val="150"/>
        <c:axId val="196483712"/>
        <c:axId val="196489600"/>
      </c:barChart>
      <c:lineChart>
        <c:grouping val="standard"/>
        <c:varyColors val="0"/>
        <c:ser>
          <c:idx val="2"/>
          <c:order val="2"/>
          <c:tx>
            <c:strRef>
              <c:f>Sheet1!$D$1</c:f>
              <c:strCache>
                <c:ptCount val="1"/>
                <c:pt idx="0">
                  <c:v>granična jednočasovna srednja vrijednost</c:v>
                </c:pt>
              </c:strCache>
            </c:strRef>
          </c:tx>
          <c:spPr>
            <a:ln w="41275">
              <a:solidFill>
                <a:srgbClr val="FF0000"/>
              </a:solidFill>
            </a:ln>
          </c:spPr>
          <c:marker>
            <c:symbol val="none"/>
          </c:marker>
          <c:cat>
            <c:strRef>
              <c:f>Sheet1!$A$2:$A$13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Sheet1!$D$2:$D$13</c:f>
              <c:numCache>
                <c:formatCode>General</c:formatCode>
                <c:ptCount val="12"/>
                <c:pt idx="0">
                  <c:v>200</c:v>
                </c:pt>
                <c:pt idx="1">
                  <c:v>200</c:v>
                </c:pt>
                <c:pt idx="2">
                  <c:v>200</c:v>
                </c:pt>
                <c:pt idx="3">
                  <c:v>200</c:v>
                </c:pt>
                <c:pt idx="4">
                  <c:v>200</c:v>
                </c:pt>
                <c:pt idx="5">
                  <c:v>200</c:v>
                </c:pt>
                <c:pt idx="6">
                  <c:v>200</c:v>
                </c:pt>
                <c:pt idx="7">
                  <c:v>200</c:v>
                </c:pt>
                <c:pt idx="8">
                  <c:v>200</c:v>
                </c:pt>
                <c:pt idx="9">
                  <c:v>200</c:v>
                </c:pt>
                <c:pt idx="10">
                  <c:v>200</c:v>
                </c:pt>
                <c:pt idx="11">
                  <c:v>200</c:v>
                </c:pt>
              </c:numCache>
            </c:numRef>
          </c:val>
          <c:smooth val="0"/>
        </c:ser>
        <c:dLbls>
          <c:showLegendKey val="0"/>
          <c:showVal val="0"/>
          <c:showCatName val="0"/>
          <c:showSerName val="0"/>
          <c:showPercent val="0"/>
          <c:showBubbleSize val="0"/>
        </c:dLbls>
        <c:marker val="1"/>
        <c:smooth val="0"/>
        <c:axId val="196483712"/>
        <c:axId val="196489600"/>
      </c:lineChart>
      <c:catAx>
        <c:axId val="196483712"/>
        <c:scaling>
          <c:orientation val="minMax"/>
        </c:scaling>
        <c:delete val="0"/>
        <c:axPos val="b"/>
        <c:majorTickMark val="out"/>
        <c:minorTickMark val="none"/>
        <c:tickLblPos val="nextTo"/>
        <c:crossAx val="196489600"/>
        <c:crosses val="autoZero"/>
        <c:auto val="1"/>
        <c:lblAlgn val="ctr"/>
        <c:lblOffset val="100"/>
        <c:noMultiLvlLbl val="0"/>
      </c:catAx>
      <c:valAx>
        <c:axId val="196489600"/>
        <c:scaling>
          <c:orientation val="minMax"/>
        </c:scaling>
        <c:delete val="0"/>
        <c:axPos val="l"/>
        <c:title>
          <c:tx>
            <c:rich>
              <a:bodyPr rot="0" vert="horz"/>
              <a:lstStyle/>
              <a:p>
                <a:pPr>
                  <a:defRPr/>
                </a:pPr>
                <a:r>
                  <a:rPr lang="en-US">
                    <a:latin typeface="Calibri"/>
                  </a:rPr>
                  <a:t>µg/m</a:t>
                </a:r>
                <a:r>
                  <a:rPr lang="en-US" baseline="30000">
                    <a:latin typeface="Calibri"/>
                  </a:rPr>
                  <a:t>3</a:t>
                </a:r>
                <a:endParaRPr lang="en-US" baseline="30000"/>
              </a:p>
            </c:rich>
          </c:tx>
          <c:layout>
            <c:manualLayout>
              <c:xMode val="edge"/>
              <c:yMode val="edge"/>
              <c:x val="1.3745704467353974E-2"/>
              <c:y val="2.3739147991116544E-3"/>
            </c:manualLayout>
          </c:layout>
          <c:overlay val="0"/>
        </c:title>
        <c:numFmt formatCode="General" sourceLinked="1"/>
        <c:majorTickMark val="out"/>
        <c:minorTickMark val="none"/>
        <c:tickLblPos val="nextTo"/>
        <c:crossAx val="196483712"/>
        <c:crosses val="autoZero"/>
        <c:crossBetween val="between"/>
      </c:valAx>
      <c:spPr>
        <a:blipFill dpi="0" rotWithShape="1">
          <a:blip xmlns:r="http://schemas.openxmlformats.org/officeDocument/2006/relationships" r:embed="rId1">
            <a:alphaModFix amt="70000"/>
          </a:blip>
          <a:srcRect/>
          <a:stretch>
            <a:fillRect/>
          </a:stretch>
        </a:blipFill>
      </c:spPr>
    </c:plotArea>
    <c:legend>
      <c:legendPos val="r"/>
      <c:layout>
        <c:manualLayout>
          <c:xMode val="edge"/>
          <c:yMode val="edge"/>
          <c:x val="0.76182295394893862"/>
          <c:y val="0.11791978264023563"/>
          <c:w val="0.23590942740549256"/>
          <c:h val="0.66474894155819619"/>
        </c:manualLayout>
      </c:layout>
      <c:overlay val="1"/>
      <c:txPr>
        <a:bodyPr/>
        <a:lstStyle/>
        <a:p>
          <a:pPr>
            <a:defRPr sz="800"/>
          </a:pPr>
          <a:endParaRPr lang="en-US"/>
        </a:p>
      </c:txPr>
    </c:legend>
    <c:plotVisOnly val="1"/>
    <c:dispBlanksAs val="gap"/>
    <c:showDLblsOverMax val="0"/>
  </c:chart>
  <c:spPr>
    <a:ln>
      <a:noFill/>
    </a:ln>
  </c:sp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manualLayout>
          <c:layoutTarget val="inner"/>
          <c:xMode val="edge"/>
          <c:yMode val="edge"/>
          <c:x val="9.6456519094053728E-2"/>
          <c:y val="0.10238740157480307"/>
          <c:w val="0.62997456443772371"/>
          <c:h val="0.71942887139107692"/>
        </c:manualLayout>
      </c:layout>
      <c:barChart>
        <c:barDir val="col"/>
        <c:grouping val="clustered"/>
        <c:varyColors val="0"/>
        <c:ser>
          <c:idx val="0"/>
          <c:order val="0"/>
          <c:tx>
            <c:strRef>
              <c:f>Sheet1!$B$1</c:f>
              <c:strCache>
                <c:ptCount val="1"/>
                <c:pt idx="0">
                  <c:v>Csr </c:v>
                </c:pt>
              </c:strCache>
            </c:strRef>
          </c:tx>
          <c:spPr>
            <a:solidFill>
              <a:srgbClr val="FFFF00"/>
            </a:solidFill>
          </c:spPr>
          <c:invertIfNegative val="0"/>
          <c:cat>
            <c:strRef>
              <c:f>Sheet1!$A$2:$A$13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Sheet1!$B$2:$B$13</c:f>
              <c:numCache>
                <c:formatCode>General</c:formatCode>
                <c:ptCount val="12"/>
                <c:pt idx="0">
                  <c:v>20.459999999999987</c:v>
                </c:pt>
                <c:pt idx="1">
                  <c:v>16.779999999999987</c:v>
                </c:pt>
                <c:pt idx="2">
                  <c:v>15.91</c:v>
                </c:pt>
                <c:pt idx="3">
                  <c:v>12.61</c:v>
                </c:pt>
                <c:pt idx="4">
                  <c:v>9.6</c:v>
                </c:pt>
                <c:pt idx="5">
                  <c:v>8.66</c:v>
                </c:pt>
                <c:pt idx="6">
                  <c:v>6.8599999999999985</c:v>
                </c:pt>
                <c:pt idx="7">
                  <c:v>11.18</c:v>
                </c:pt>
                <c:pt idx="8">
                  <c:v>10.220000000000001</c:v>
                </c:pt>
                <c:pt idx="9">
                  <c:v>18.03</c:v>
                </c:pt>
                <c:pt idx="10">
                  <c:v>18.420000000000002</c:v>
                </c:pt>
                <c:pt idx="11">
                  <c:v>30.67</c:v>
                </c:pt>
              </c:numCache>
            </c:numRef>
          </c:val>
        </c:ser>
        <c:ser>
          <c:idx val="1"/>
          <c:order val="1"/>
          <c:tx>
            <c:strRef>
              <c:f>Sheet1!$C$1</c:f>
              <c:strCache>
                <c:ptCount val="1"/>
                <c:pt idx="0">
                  <c:v>Cmax </c:v>
                </c:pt>
              </c:strCache>
            </c:strRef>
          </c:tx>
          <c:invertIfNegative val="0"/>
          <c:cat>
            <c:strRef>
              <c:f>Sheet1!$A$2:$A$13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Sheet1!$C$2:$C$13</c:f>
              <c:numCache>
                <c:formatCode>General</c:formatCode>
                <c:ptCount val="12"/>
                <c:pt idx="0">
                  <c:v>37.28</c:v>
                </c:pt>
                <c:pt idx="1">
                  <c:v>40.71</c:v>
                </c:pt>
                <c:pt idx="2">
                  <c:v>27.87</c:v>
                </c:pt>
                <c:pt idx="3">
                  <c:v>18.850000000000001</c:v>
                </c:pt>
                <c:pt idx="4">
                  <c:v>15.21</c:v>
                </c:pt>
                <c:pt idx="5">
                  <c:v>14.73</c:v>
                </c:pt>
                <c:pt idx="6">
                  <c:v>11.07</c:v>
                </c:pt>
                <c:pt idx="7">
                  <c:v>24.919999999999987</c:v>
                </c:pt>
                <c:pt idx="8">
                  <c:v>19.25</c:v>
                </c:pt>
                <c:pt idx="9">
                  <c:v>25.45</c:v>
                </c:pt>
                <c:pt idx="10">
                  <c:v>29.49</c:v>
                </c:pt>
                <c:pt idx="11">
                  <c:v>62.9</c:v>
                </c:pt>
              </c:numCache>
            </c:numRef>
          </c:val>
        </c:ser>
        <c:dLbls>
          <c:showLegendKey val="0"/>
          <c:showVal val="0"/>
          <c:showCatName val="0"/>
          <c:showSerName val="0"/>
          <c:showPercent val="0"/>
          <c:showBubbleSize val="0"/>
        </c:dLbls>
        <c:gapWidth val="150"/>
        <c:axId val="202932992"/>
        <c:axId val="202934528"/>
      </c:barChart>
      <c:lineChart>
        <c:grouping val="standard"/>
        <c:varyColors val="0"/>
        <c:ser>
          <c:idx val="2"/>
          <c:order val="2"/>
          <c:tx>
            <c:strRef>
              <c:f>Sheet1!$D$1</c:f>
              <c:strCache>
                <c:ptCount val="1"/>
                <c:pt idx="0">
                  <c:v>granična jednočasovna srednja vrijednost</c:v>
                </c:pt>
              </c:strCache>
            </c:strRef>
          </c:tx>
          <c:spPr>
            <a:ln w="41275">
              <a:solidFill>
                <a:srgbClr val="FF0000"/>
              </a:solidFill>
            </a:ln>
          </c:spPr>
          <c:marker>
            <c:symbol val="none"/>
          </c:marker>
          <c:cat>
            <c:strRef>
              <c:f>Sheet1!$A$2:$A$13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Sheet1!$D$2:$D$13</c:f>
              <c:numCache>
                <c:formatCode>General</c:formatCode>
                <c:ptCount val="12"/>
                <c:pt idx="0">
                  <c:v>200</c:v>
                </c:pt>
                <c:pt idx="1">
                  <c:v>200</c:v>
                </c:pt>
                <c:pt idx="2">
                  <c:v>200</c:v>
                </c:pt>
                <c:pt idx="3">
                  <c:v>200</c:v>
                </c:pt>
                <c:pt idx="4">
                  <c:v>200</c:v>
                </c:pt>
                <c:pt idx="5">
                  <c:v>200</c:v>
                </c:pt>
                <c:pt idx="6">
                  <c:v>200</c:v>
                </c:pt>
                <c:pt idx="7">
                  <c:v>200</c:v>
                </c:pt>
                <c:pt idx="8">
                  <c:v>200</c:v>
                </c:pt>
                <c:pt idx="9">
                  <c:v>200</c:v>
                </c:pt>
                <c:pt idx="10">
                  <c:v>200</c:v>
                </c:pt>
                <c:pt idx="11">
                  <c:v>200</c:v>
                </c:pt>
              </c:numCache>
            </c:numRef>
          </c:val>
          <c:smooth val="0"/>
        </c:ser>
        <c:dLbls>
          <c:showLegendKey val="0"/>
          <c:showVal val="0"/>
          <c:showCatName val="0"/>
          <c:showSerName val="0"/>
          <c:showPercent val="0"/>
          <c:showBubbleSize val="0"/>
        </c:dLbls>
        <c:marker val="1"/>
        <c:smooth val="0"/>
        <c:axId val="202932992"/>
        <c:axId val="202934528"/>
      </c:lineChart>
      <c:catAx>
        <c:axId val="202932992"/>
        <c:scaling>
          <c:orientation val="minMax"/>
        </c:scaling>
        <c:delete val="0"/>
        <c:axPos val="b"/>
        <c:majorTickMark val="out"/>
        <c:minorTickMark val="none"/>
        <c:tickLblPos val="nextTo"/>
        <c:crossAx val="202934528"/>
        <c:crosses val="autoZero"/>
        <c:auto val="1"/>
        <c:lblAlgn val="ctr"/>
        <c:lblOffset val="100"/>
        <c:noMultiLvlLbl val="0"/>
      </c:catAx>
      <c:valAx>
        <c:axId val="202934528"/>
        <c:scaling>
          <c:orientation val="minMax"/>
          <c:max val="250"/>
        </c:scaling>
        <c:delete val="0"/>
        <c:axPos val="l"/>
        <c:title>
          <c:tx>
            <c:rich>
              <a:bodyPr rot="0" vert="horz"/>
              <a:lstStyle/>
              <a:p>
                <a:pPr>
                  <a:defRPr/>
                </a:pPr>
                <a:r>
                  <a:rPr lang="en-US">
                    <a:latin typeface="Calibri"/>
                  </a:rPr>
                  <a:t>µg/m</a:t>
                </a:r>
                <a:r>
                  <a:rPr lang="en-US" baseline="30000">
                    <a:latin typeface="Calibri"/>
                  </a:rPr>
                  <a:t>3</a:t>
                </a:r>
                <a:endParaRPr lang="en-US" baseline="30000"/>
              </a:p>
            </c:rich>
          </c:tx>
          <c:layout>
            <c:manualLayout>
              <c:xMode val="edge"/>
              <c:yMode val="edge"/>
              <c:x val="1.177336276674025E-2"/>
              <c:y val="2.2350539515894152E-3"/>
            </c:manualLayout>
          </c:layout>
          <c:overlay val="0"/>
        </c:title>
        <c:numFmt formatCode="General" sourceLinked="1"/>
        <c:majorTickMark val="out"/>
        <c:minorTickMark val="none"/>
        <c:tickLblPos val="nextTo"/>
        <c:crossAx val="202932992"/>
        <c:crosses val="autoZero"/>
        <c:crossBetween val="between"/>
      </c:valAx>
      <c:spPr>
        <a:blipFill dpi="0" rotWithShape="1">
          <a:blip xmlns:r="http://schemas.openxmlformats.org/officeDocument/2006/relationships" r:embed="rId1">
            <a:alphaModFix amt="70000"/>
          </a:blip>
          <a:srcRect/>
          <a:stretch>
            <a:fillRect/>
          </a:stretch>
        </a:blipFill>
      </c:spPr>
    </c:plotArea>
    <c:legend>
      <c:legendPos val="r"/>
      <c:layout>
        <c:manualLayout>
          <c:xMode val="edge"/>
          <c:yMode val="edge"/>
          <c:x val="0.76182295394893862"/>
          <c:y val="4.4217940094171716E-2"/>
          <c:w val="0.23590942740549256"/>
          <c:h val="0.89925480420475068"/>
        </c:manualLayout>
      </c:layout>
      <c:overlay val="1"/>
      <c:txPr>
        <a:bodyPr/>
        <a:lstStyle/>
        <a:p>
          <a:pPr>
            <a:defRPr sz="800"/>
          </a:pPr>
          <a:endParaRPr lang="en-US"/>
        </a:p>
      </c:txPr>
    </c:legend>
    <c:plotVisOnly val="1"/>
    <c:dispBlanksAs val="gap"/>
    <c:showDLblsOverMax val="0"/>
  </c:chart>
  <c:spPr>
    <a:ln>
      <a:noFill/>
    </a:ln>
  </c:spPr>
  <c:externalData r:id="rId2">
    <c:autoUpdate val="0"/>
  </c:externalData>
</c:chartSpace>
</file>

<file path=word/charts/chart10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barChart>
        <c:barDir val="col"/>
        <c:grouping val="clustered"/>
        <c:varyColors val="0"/>
        <c:ser>
          <c:idx val="0"/>
          <c:order val="0"/>
          <c:tx>
            <c:strRef>
              <c:f>Sheet1!$B$1</c:f>
              <c:strCache>
                <c:ptCount val="1"/>
                <c:pt idx="0">
                  <c:v>Specifična aktivnost torijuma (Bq/kg)</c:v>
                </c:pt>
              </c:strCache>
            </c:strRef>
          </c:tx>
          <c:invertIfNegative val="0"/>
          <c:cat>
            <c:numRef>
              <c:f>Sheet1!$A$2:$A$6</c:f>
              <c:numCache>
                <c:formatCode>General</c:formatCode>
                <c:ptCount val="5"/>
              </c:numCache>
            </c:numRef>
          </c:cat>
          <c:val>
            <c:numRef>
              <c:f>Sheet1!$B$2:$B$6</c:f>
              <c:numCache>
                <c:formatCode>mmm/yy</c:formatCode>
                <c:ptCount val="5"/>
                <c:pt idx="1">
                  <c:v>6.21</c:v>
                </c:pt>
                <c:pt idx="3" formatCode="General">
                  <c:v>4.7</c:v>
                </c:pt>
              </c:numCache>
            </c:numRef>
          </c:val>
        </c:ser>
        <c:dLbls>
          <c:showLegendKey val="0"/>
          <c:showVal val="0"/>
          <c:showCatName val="0"/>
          <c:showSerName val="0"/>
          <c:showPercent val="0"/>
          <c:showBubbleSize val="0"/>
        </c:dLbls>
        <c:gapWidth val="150"/>
        <c:axId val="337111296"/>
        <c:axId val="335806464"/>
      </c:barChart>
      <c:lineChart>
        <c:grouping val="standard"/>
        <c:varyColors val="0"/>
        <c:ser>
          <c:idx val="1"/>
          <c:order val="1"/>
          <c:tx>
            <c:strRef>
              <c:f>Sheet1!$C$1</c:f>
              <c:strCache>
                <c:ptCount val="1"/>
                <c:pt idx="0">
                  <c:v>Granica kontaminacije - upotreba za enterijer I eksterijer</c:v>
                </c:pt>
              </c:strCache>
            </c:strRef>
          </c:tx>
          <c:spPr>
            <a:ln w="38100"/>
          </c:spPr>
          <c:marker>
            <c:symbol val="none"/>
          </c:marker>
          <c:cat>
            <c:numRef>
              <c:f>Sheet1!$A$2:$A$6</c:f>
              <c:numCache>
                <c:formatCode>General</c:formatCode>
                <c:ptCount val="5"/>
              </c:numCache>
            </c:numRef>
          </c:cat>
          <c:val>
            <c:numRef>
              <c:f>Sheet1!$C$2:$C$6</c:f>
              <c:numCache>
                <c:formatCode>General</c:formatCode>
                <c:ptCount val="5"/>
                <c:pt idx="0">
                  <c:v>300</c:v>
                </c:pt>
                <c:pt idx="1">
                  <c:v>300</c:v>
                </c:pt>
                <c:pt idx="2">
                  <c:v>300</c:v>
                </c:pt>
                <c:pt idx="3">
                  <c:v>300</c:v>
                </c:pt>
                <c:pt idx="4">
                  <c:v>300</c:v>
                </c:pt>
              </c:numCache>
            </c:numRef>
          </c:val>
          <c:smooth val="0"/>
        </c:ser>
        <c:ser>
          <c:idx val="2"/>
          <c:order val="2"/>
          <c:tx>
            <c:strRef>
              <c:f>Sheet1!$D$1</c:f>
              <c:strCache>
                <c:ptCount val="1"/>
                <c:pt idx="0">
                  <c:v>Granica kontaminacije upotreba za eksterijer</c:v>
                </c:pt>
              </c:strCache>
            </c:strRef>
          </c:tx>
          <c:spPr>
            <a:ln w="38100"/>
          </c:spPr>
          <c:marker>
            <c:symbol val="none"/>
          </c:marker>
          <c:cat>
            <c:numRef>
              <c:f>Sheet1!$A$2:$A$6</c:f>
              <c:numCache>
                <c:formatCode>General</c:formatCode>
                <c:ptCount val="5"/>
              </c:numCache>
            </c:numRef>
          </c:cat>
          <c:val>
            <c:numRef>
              <c:f>Sheet1!$D$2:$D$6</c:f>
              <c:numCache>
                <c:formatCode>General</c:formatCode>
                <c:ptCount val="5"/>
              </c:numCache>
            </c:numRef>
          </c:val>
          <c:smooth val="0"/>
        </c:ser>
        <c:dLbls>
          <c:showLegendKey val="0"/>
          <c:showVal val="0"/>
          <c:showCatName val="0"/>
          <c:showSerName val="0"/>
          <c:showPercent val="0"/>
          <c:showBubbleSize val="0"/>
        </c:dLbls>
        <c:marker val="1"/>
        <c:smooth val="0"/>
        <c:axId val="337111296"/>
        <c:axId val="335806464"/>
      </c:lineChart>
      <c:catAx>
        <c:axId val="337111296"/>
        <c:scaling>
          <c:orientation val="minMax"/>
        </c:scaling>
        <c:delete val="0"/>
        <c:axPos val="b"/>
        <c:numFmt formatCode="General" sourceLinked="1"/>
        <c:majorTickMark val="out"/>
        <c:minorTickMark val="none"/>
        <c:tickLblPos val="nextTo"/>
        <c:crossAx val="335806464"/>
        <c:crosses val="autoZero"/>
        <c:auto val="1"/>
        <c:lblAlgn val="ctr"/>
        <c:lblOffset val="100"/>
        <c:noMultiLvlLbl val="0"/>
      </c:catAx>
      <c:valAx>
        <c:axId val="335806464"/>
        <c:scaling>
          <c:orientation val="minMax"/>
        </c:scaling>
        <c:delete val="0"/>
        <c:axPos val="l"/>
        <c:numFmt formatCode="mmm/yy" sourceLinked="1"/>
        <c:majorTickMark val="out"/>
        <c:minorTickMark val="none"/>
        <c:tickLblPos val="nextTo"/>
        <c:txPr>
          <a:bodyPr/>
          <a:lstStyle/>
          <a:p>
            <a:pPr>
              <a:defRPr sz="700"/>
            </a:pPr>
            <a:endParaRPr lang="en-US"/>
          </a:p>
        </c:txPr>
        <c:crossAx val="337111296"/>
        <c:crosses val="autoZero"/>
        <c:crossBetween val="between"/>
      </c:valAx>
    </c:plotArea>
    <c:legend>
      <c:legendPos val="r"/>
      <c:legendEntry>
        <c:idx val="2"/>
        <c:delete val="1"/>
      </c:legendEntry>
      <c:layout>
        <c:manualLayout>
          <c:xMode val="edge"/>
          <c:yMode val="edge"/>
          <c:x val="0.64954268594562026"/>
          <c:y val="0.11062480606633412"/>
          <c:w val="0.33556175366078062"/>
          <c:h val="0.49465113892087781"/>
        </c:manualLayout>
      </c:layout>
      <c:overlay val="0"/>
      <c:txPr>
        <a:bodyPr/>
        <a:lstStyle/>
        <a:p>
          <a:pPr>
            <a:defRPr sz="700"/>
          </a:pPr>
          <a:endParaRPr lang="en-US"/>
        </a:p>
      </c:txPr>
    </c:legend>
    <c:plotVisOnly val="1"/>
    <c:dispBlanksAs val="gap"/>
    <c:showDLblsOverMax val="0"/>
  </c:chart>
  <c:spPr>
    <a:ln>
      <a:noFill/>
    </a:ln>
  </c:spPr>
  <c:externalData r:id="rId1">
    <c:autoUpdate val="0"/>
  </c:externalData>
</c:chartSpace>
</file>

<file path=word/charts/chart10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barChart>
        <c:barDir val="col"/>
        <c:grouping val="clustered"/>
        <c:varyColors val="0"/>
        <c:ser>
          <c:idx val="0"/>
          <c:order val="0"/>
          <c:tx>
            <c:strRef>
              <c:f>Sheet1!$B$1</c:f>
              <c:strCache>
                <c:ptCount val="1"/>
                <c:pt idx="0">
                  <c:v>Specifična aktivnost kalijuma (Bq/kg)</c:v>
                </c:pt>
              </c:strCache>
            </c:strRef>
          </c:tx>
          <c:invertIfNegative val="0"/>
          <c:cat>
            <c:numRef>
              <c:f>Sheet1!$A$2:$A$6</c:f>
              <c:numCache>
                <c:formatCode>General</c:formatCode>
                <c:ptCount val="5"/>
              </c:numCache>
            </c:numRef>
          </c:cat>
          <c:val>
            <c:numRef>
              <c:f>Sheet1!$B$2:$B$6</c:f>
              <c:numCache>
                <c:formatCode>General</c:formatCode>
                <c:ptCount val="5"/>
                <c:pt idx="1">
                  <c:v>121</c:v>
                </c:pt>
                <c:pt idx="3">
                  <c:v>44.3</c:v>
                </c:pt>
              </c:numCache>
            </c:numRef>
          </c:val>
        </c:ser>
        <c:dLbls>
          <c:showLegendKey val="0"/>
          <c:showVal val="0"/>
          <c:showCatName val="0"/>
          <c:showSerName val="0"/>
          <c:showPercent val="0"/>
          <c:showBubbleSize val="0"/>
        </c:dLbls>
        <c:gapWidth val="150"/>
        <c:axId val="335828864"/>
        <c:axId val="335830400"/>
      </c:barChart>
      <c:lineChart>
        <c:grouping val="standard"/>
        <c:varyColors val="0"/>
        <c:ser>
          <c:idx val="1"/>
          <c:order val="1"/>
          <c:tx>
            <c:strRef>
              <c:f>Sheet1!$C$1</c:f>
              <c:strCache>
                <c:ptCount val="1"/>
                <c:pt idx="0">
                  <c:v>Granica kontaminacije - upotreba za eksterijer</c:v>
                </c:pt>
              </c:strCache>
            </c:strRef>
          </c:tx>
          <c:spPr>
            <a:ln w="38100"/>
          </c:spPr>
          <c:marker>
            <c:symbol val="none"/>
          </c:marker>
          <c:cat>
            <c:numRef>
              <c:f>Sheet1!$A$2:$A$6</c:f>
              <c:numCache>
                <c:formatCode>General</c:formatCode>
                <c:ptCount val="5"/>
              </c:numCache>
            </c:numRef>
          </c:cat>
          <c:val>
            <c:numRef>
              <c:f>Sheet1!$C$2:$C$6</c:f>
              <c:numCache>
                <c:formatCode>General</c:formatCode>
                <c:ptCount val="5"/>
                <c:pt idx="0">
                  <c:v>5000</c:v>
                </c:pt>
                <c:pt idx="1">
                  <c:v>5000</c:v>
                </c:pt>
                <c:pt idx="2">
                  <c:v>5000</c:v>
                </c:pt>
                <c:pt idx="3">
                  <c:v>5000</c:v>
                </c:pt>
                <c:pt idx="4">
                  <c:v>5000</c:v>
                </c:pt>
              </c:numCache>
            </c:numRef>
          </c:val>
          <c:smooth val="0"/>
        </c:ser>
        <c:ser>
          <c:idx val="2"/>
          <c:order val="2"/>
          <c:tx>
            <c:strRef>
              <c:f>Sheet1!$D$1</c:f>
              <c:strCache>
                <c:ptCount val="1"/>
                <c:pt idx="0">
                  <c:v>Granica kontaminacije - upotreba za enterijer</c:v>
                </c:pt>
              </c:strCache>
            </c:strRef>
          </c:tx>
          <c:spPr>
            <a:ln w="38100"/>
          </c:spPr>
          <c:marker>
            <c:symbol val="none"/>
          </c:marker>
          <c:cat>
            <c:numRef>
              <c:f>Sheet1!$A$2:$A$6</c:f>
              <c:numCache>
                <c:formatCode>General</c:formatCode>
                <c:ptCount val="5"/>
              </c:numCache>
            </c:numRef>
          </c:cat>
          <c:val>
            <c:numRef>
              <c:f>Sheet1!$D$2:$D$6</c:f>
              <c:numCache>
                <c:formatCode>General</c:formatCode>
                <c:ptCount val="5"/>
                <c:pt idx="0">
                  <c:v>3000</c:v>
                </c:pt>
                <c:pt idx="1">
                  <c:v>3000</c:v>
                </c:pt>
                <c:pt idx="2">
                  <c:v>3000</c:v>
                </c:pt>
                <c:pt idx="3">
                  <c:v>3000</c:v>
                </c:pt>
                <c:pt idx="4">
                  <c:v>3000</c:v>
                </c:pt>
              </c:numCache>
            </c:numRef>
          </c:val>
          <c:smooth val="0"/>
        </c:ser>
        <c:dLbls>
          <c:showLegendKey val="0"/>
          <c:showVal val="0"/>
          <c:showCatName val="0"/>
          <c:showSerName val="0"/>
          <c:showPercent val="0"/>
          <c:showBubbleSize val="0"/>
        </c:dLbls>
        <c:marker val="1"/>
        <c:smooth val="0"/>
        <c:axId val="335828864"/>
        <c:axId val="335830400"/>
      </c:lineChart>
      <c:catAx>
        <c:axId val="335828864"/>
        <c:scaling>
          <c:orientation val="minMax"/>
        </c:scaling>
        <c:delete val="0"/>
        <c:axPos val="b"/>
        <c:numFmt formatCode="General" sourceLinked="1"/>
        <c:majorTickMark val="out"/>
        <c:minorTickMark val="none"/>
        <c:tickLblPos val="nextTo"/>
        <c:crossAx val="335830400"/>
        <c:crosses val="autoZero"/>
        <c:auto val="1"/>
        <c:lblAlgn val="ctr"/>
        <c:lblOffset val="100"/>
        <c:noMultiLvlLbl val="0"/>
      </c:catAx>
      <c:valAx>
        <c:axId val="335830400"/>
        <c:scaling>
          <c:orientation val="minMax"/>
        </c:scaling>
        <c:delete val="0"/>
        <c:axPos val="l"/>
        <c:numFmt formatCode="General" sourceLinked="1"/>
        <c:majorTickMark val="out"/>
        <c:minorTickMark val="none"/>
        <c:tickLblPos val="nextTo"/>
        <c:txPr>
          <a:bodyPr/>
          <a:lstStyle/>
          <a:p>
            <a:pPr>
              <a:defRPr sz="700"/>
            </a:pPr>
            <a:endParaRPr lang="en-US"/>
          </a:p>
        </c:txPr>
        <c:crossAx val="335828864"/>
        <c:crosses val="autoZero"/>
        <c:crossBetween val="between"/>
      </c:valAx>
    </c:plotArea>
    <c:legend>
      <c:legendPos val="r"/>
      <c:legendEntry>
        <c:idx val="2"/>
        <c:txPr>
          <a:bodyPr/>
          <a:lstStyle/>
          <a:p>
            <a:pPr>
              <a:defRPr sz="700" b="0"/>
            </a:pPr>
            <a:endParaRPr lang="en-US"/>
          </a:p>
        </c:txPr>
      </c:legendEntry>
      <c:layout>
        <c:manualLayout>
          <c:xMode val="edge"/>
          <c:yMode val="edge"/>
          <c:x val="0.64954268594562026"/>
          <c:y val="0.11062480606633412"/>
          <c:w val="0.33556175366078062"/>
          <c:h val="0.49465113892087781"/>
        </c:manualLayout>
      </c:layout>
      <c:overlay val="0"/>
      <c:txPr>
        <a:bodyPr/>
        <a:lstStyle/>
        <a:p>
          <a:pPr>
            <a:defRPr sz="700"/>
          </a:pPr>
          <a:endParaRPr lang="en-US"/>
        </a:p>
      </c:txPr>
    </c:legend>
    <c:plotVisOnly val="1"/>
    <c:dispBlanksAs val="gap"/>
    <c:showDLblsOverMax val="0"/>
  </c:chart>
  <c:spPr>
    <a:ln>
      <a:noFill/>
    </a:ln>
  </c:spPr>
  <c:externalData r:id="rId1">
    <c:autoUpdate val="0"/>
  </c:externalData>
</c:chartSpace>
</file>

<file path=word/charts/chart10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manualLayout>
          <c:layoutTarget val="inner"/>
          <c:xMode val="edge"/>
          <c:yMode val="edge"/>
          <c:x val="0.16433420528464887"/>
          <c:y val="5.6709754443109807E-2"/>
          <c:w val="0.57268037968631891"/>
          <c:h val="0.80014094221004062"/>
        </c:manualLayout>
      </c:layout>
      <c:barChart>
        <c:barDir val="col"/>
        <c:grouping val="clustered"/>
        <c:varyColors val="0"/>
        <c:ser>
          <c:idx val="0"/>
          <c:order val="0"/>
          <c:tx>
            <c:strRef>
              <c:f>Sheet1!$B$1</c:f>
              <c:strCache>
                <c:ptCount val="1"/>
                <c:pt idx="0">
                  <c:v> K-40 u mesu (Bq/kg)</c:v>
                </c:pt>
              </c:strCache>
            </c:strRef>
          </c:tx>
          <c:invertIfNegative val="0"/>
          <c:cat>
            <c:numRef>
              <c:f>Sheet1!$A$2:$A$14</c:f>
              <c:numCache>
                <c:formatCode>General</c:formatCode>
                <c:ptCount val="13"/>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numCache>
            </c:numRef>
          </c:cat>
          <c:val>
            <c:numRef>
              <c:f>Sheet1!$B$2:$B$14</c:f>
              <c:numCache>
                <c:formatCode>General</c:formatCode>
                <c:ptCount val="13"/>
                <c:pt idx="0">
                  <c:v>98.2</c:v>
                </c:pt>
                <c:pt idx="1">
                  <c:v>100</c:v>
                </c:pt>
                <c:pt idx="2">
                  <c:v>90.2</c:v>
                </c:pt>
                <c:pt idx="3">
                  <c:v>98.8</c:v>
                </c:pt>
                <c:pt idx="4">
                  <c:v>85.03</c:v>
                </c:pt>
                <c:pt idx="5">
                  <c:v>106.55</c:v>
                </c:pt>
                <c:pt idx="6">
                  <c:v>103.57</c:v>
                </c:pt>
                <c:pt idx="7">
                  <c:v>100.98</c:v>
                </c:pt>
                <c:pt idx="8">
                  <c:v>103.83</c:v>
                </c:pt>
                <c:pt idx="9">
                  <c:v>92.960000000000022</c:v>
                </c:pt>
                <c:pt idx="10">
                  <c:v>107.053</c:v>
                </c:pt>
                <c:pt idx="11">
                  <c:v>109</c:v>
                </c:pt>
                <c:pt idx="12">
                  <c:v>108.3</c:v>
                </c:pt>
              </c:numCache>
            </c:numRef>
          </c:val>
        </c:ser>
        <c:ser>
          <c:idx val="1"/>
          <c:order val="1"/>
          <c:tx>
            <c:strRef>
              <c:f>Sheet1!$C$1</c:f>
              <c:strCache>
                <c:ptCount val="1"/>
                <c:pt idx="0">
                  <c:v>Column1</c:v>
                </c:pt>
              </c:strCache>
            </c:strRef>
          </c:tx>
          <c:invertIfNegative val="0"/>
          <c:cat>
            <c:numRef>
              <c:f>Sheet1!$A$2:$A$14</c:f>
              <c:numCache>
                <c:formatCode>General</c:formatCode>
                <c:ptCount val="13"/>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numCache>
            </c:numRef>
          </c:cat>
          <c:val>
            <c:numRef>
              <c:f>Sheet1!$C$2:$C$14</c:f>
              <c:numCache>
                <c:formatCode>General</c:formatCode>
                <c:ptCount val="13"/>
              </c:numCache>
            </c:numRef>
          </c:val>
        </c:ser>
        <c:dLbls>
          <c:showLegendKey val="0"/>
          <c:showVal val="0"/>
          <c:showCatName val="0"/>
          <c:showSerName val="0"/>
          <c:showPercent val="0"/>
          <c:showBubbleSize val="0"/>
        </c:dLbls>
        <c:gapWidth val="150"/>
        <c:axId val="335356288"/>
        <c:axId val="335357824"/>
      </c:barChart>
      <c:catAx>
        <c:axId val="335356288"/>
        <c:scaling>
          <c:orientation val="minMax"/>
        </c:scaling>
        <c:delete val="0"/>
        <c:axPos val="b"/>
        <c:numFmt formatCode="General" sourceLinked="1"/>
        <c:majorTickMark val="out"/>
        <c:minorTickMark val="none"/>
        <c:tickLblPos val="nextTo"/>
        <c:txPr>
          <a:bodyPr/>
          <a:lstStyle/>
          <a:p>
            <a:pPr>
              <a:defRPr sz="700"/>
            </a:pPr>
            <a:endParaRPr lang="en-US"/>
          </a:p>
        </c:txPr>
        <c:crossAx val="335357824"/>
        <c:crosses val="autoZero"/>
        <c:auto val="1"/>
        <c:lblAlgn val="ctr"/>
        <c:lblOffset val="100"/>
        <c:noMultiLvlLbl val="0"/>
      </c:catAx>
      <c:valAx>
        <c:axId val="335357824"/>
        <c:scaling>
          <c:orientation val="minMax"/>
        </c:scaling>
        <c:delete val="0"/>
        <c:axPos val="l"/>
        <c:numFmt formatCode="General" sourceLinked="1"/>
        <c:majorTickMark val="out"/>
        <c:minorTickMark val="none"/>
        <c:tickLblPos val="nextTo"/>
        <c:txPr>
          <a:bodyPr/>
          <a:lstStyle/>
          <a:p>
            <a:pPr>
              <a:defRPr sz="700"/>
            </a:pPr>
            <a:endParaRPr lang="en-US"/>
          </a:p>
        </c:txPr>
        <c:crossAx val="335356288"/>
        <c:crosses val="autoZero"/>
        <c:crossBetween val="between"/>
      </c:valAx>
    </c:plotArea>
    <c:legend>
      <c:legendPos val="r"/>
      <c:legendEntry>
        <c:idx val="1"/>
        <c:delete val="1"/>
      </c:legendEntry>
      <c:layout>
        <c:manualLayout>
          <c:xMode val="edge"/>
          <c:yMode val="edge"/>
          <c:x val="0.71604636004888933"/>
          <c:y val="1.861999751318898E-2"/>
          <c:w val="0.23463462369670762"/>
          <c:h val="0.36930412429997161"/>
        </c:manualLayout>
      </c:layout>
      <c:overlay val="0"/>
      <c:txPr>
        <a:bodyPr/>
        <a:lstStyle/>
        <a:p>
          <a:pPr>
            <a:defRPr sz="700"/>
          </a:pPr>
          <a:endParaRPr lang="en-US"/>
        </a:p>
      </c:txPr>
    </c:legend>
    <c:plotVisOnly val="1"/>
    <c:dispBlanksAs val="gap"/>
    <c:showDLblsOverMax val="0"/>
  </c:chart>
  <c:spPr>
    <a:ln>
      <a:noFill/>
    </a:ln>
  </c:spPr>
  <c:externalData r:id="rId1">
    <c:autoUpdate val="0"/>
  </c:externalData>
</c:chartSpace>
</file>

<file path=word/charts/chart10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manualLayout>
          <c:layoutTarget val="inner"/>
          <c:xMode val="edge"/>
          <c:yMode val="edge"/>
          <c:x val="0.19342738291277833"/>
          <c:y val="8.5300943805789842E-2"/>
          <c:w val="0.57198080048749522"/>
          <c:h val="0.69937859147811043"/>
        </c:manualLayout>
      </c:layout>
      <c:barChart>
        <c:barDir val="col"/>
        <c:grouping val="clustered"/>
        <c:varyColors val="0"/>
        <c:ser>
          <c:idx val="0"/>
          <c:order val="0"/>
          <c:tx>
            <c:strRef>
              <c:f>Sheet1!$B$1</c:f>
              <c:strCache>
                <c:ptCount val="1"/>
                <c:pt idx="0">
                  <c:v>Cs-137 u mesu (Bq/kg)</c:v>
                </c:pt>
              </c:strCache>
            </c:strRef>
          </c:tx>
          <c:spPr>
            <a:solidFill>
              <a:srgbClr val="FF0000"/>
            </a:solidFill>
          </c:spPr>
          <c:invertIfNegative val="0"/>
          <c:cat>
            <c:numRef>
              <c:f>Sheet1!$A$2:$A$14</c:f>
              <c:numCache>
                <c:formatCode>General</c:formatCode>
                <c:ptCount val="13"/>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numCache>
            </c:numRef>
          </c:cat>
          <c:val>
            <c:numRef>
              <c:f>Sheet1!$B$2:$B$14</c:f>
              <c:numCache>
                <c:formatCode>General</c:formatCode>
                <c:ptCount val="13"/>
                <c:pt idx="0">
                  <c:v>4.95</c:v>
                </c:pt>
                <c:pt idx="1">
                  <c:v>1.07</c:v>
                </c:pt>
                <c:pt idx="2">
                  <c:v>0.65000000000000302</c:v>
                </c:pt>
                <c:pt idx="3">
                  <c:v>3.4499999999999997</c:v>
                </c:pt>
                <c:pt idx="4">
                  <c:v>0.75000000000000266</c:v>
                </c:pt>
                <c:pt idx="5">
                  <c:v>0.23</c:v>
                </c:pt>
                <c:pt idx="6">
                  <c:v>0.70000000000000062</c:v>
                </c:pt>
                <c:pt idx="7">
                  <c:v>0.22</c:v>
                </c:pt>
                <c:pt idx="8">
                  <c:v>0.19</c:v>
                </c:pt>
                <c:pt idx="9">
                  <c:v>0.15000000000000024</c:v>
                </c:pt>
                <c:pt idx="10">
                  <c:v>0.28000000000000008</c:v>
                </c:pt>
                <c:pt idx="11">
                  <c:v>0.127</c:v>
                </c:pt>
                <c:pt idx="12">
                  <c:v>0.49000000000000032</c:v>
                </c:pt>
              </c:numCache>
            </c:numRef>
          </c:val>
        </c:ser>
        <c:ser>
          <c:idx val="1"/>
          <c:order val="1"/>
          <c:tx>
            <c:strRef>
              <c:f>Sheet1!$C$1</c:f>
              <c:strCache>
                <c:ptCount val="1"/>
                <c:pt idx="0">
                  <c:v> Ra-226 u mesu (Bq/kg)</c:v>
                </c:pt>
              </c:strCache>
            </c:strRef>
          </c:tx>
          <c:invertIfNegative val="0"/>
          <c:cat>
            <c:numRef>
              <c:f>Sheet1!$A$2:$A$14</c:f>
              <c:numCache>
                <c:formatCode>General</c:formatCode>
                <c:ptCount val="13"/>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numCache>
            </c:numRef>
          </c:cat>
          <c:val>
            <c:numRef>
              <c:f>Sheet1!$C$2:$C$14</c:f>
              <c:numCache>
                <c:formatCode>General</c:formatCode>
                <c:ptCount val="13"/>
                <c:pt idx="0">
                  <c:v>0.21000000000000021</c:v>
                </c:pt>
                <c:pt idx="1">
                  <c:v>0.19</c:v>
                </c:pt>
                <c:pt idx="2">
                  <c:v>0.23</c:v>
                </c:pt>
                <c:pt idx="3">
                  <c:v>0.48000000000000032</c:v>
                </c:pt>
                <c:pt idx="4">
                  <c:v>0.35000000000000031</c:v>
                </c:pt>
                <c:pt idx="5">
                  <c:v>0.85000000000000064</c:v>
                </c:pt>
                <c:pt idx="6">
                  <c:v>0.27</c:v>
                </c:pt>
                <c:pt idx="7">
                  <c:v>0.26</c:v>
                </c:pt>
                <c:pt idx="8">
                  <c:v>0.24000000000000021</c:v>
                </c:pt>
                <c:pt idx="9">
                  <c:v>0.2</c:v>
                </c:pt>
                <c:pt idx="10">
                  <c:v>0.19</c:v>
                </c:pt>
                <c:pt idx="11">
                  <c:v>0.19</c:v>
                </c:pt>
                <c:pt idx="12">
                  <c:v>0.17</c:v>
                </c:pt>
              </c:numCache>
            </c:numRef>
          </c:val>
        </c:ser>
        <c:ser>
          <c:idx val="2"/>
          <c:order val="2"/>
          <c:tx>
            <c:strRef>
              <c:f>Sheet1!$D$1</c:f>
              <c:strCache>
                <c:ptCount val="1"/>
                <c:pt idx="0">
                  <c:v>Th-232 u mesu (Bq/kg)</c:v>
                </c:pt>
              </c:strCache>
            </c:strRef>
          </c:tx>
          <c:invertIfNegative val="0"/>
          <c:cat>
            <c:numRef>
              <c:f>Sheet1!$A$2:$A$14</c:f>
              <c:numCache>
                <c:formatCode>General</c:formatCode>
                <c:ptCount val="13"/>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numCache>
            </c:numRef>
          </c:cat>
          <c:val>
            <c:numRef>
              <c:f>Sheet1!$D$2:$D$14</c:f>
              <c:numCache>
                <c:formatCode>General</c:formatCode>
                <c:ptCount val="13"/>
                <c:pt idx="0">
                  <c:v>0.12000000000000002</c:v>
                </c:pt>
                <c:pt idx="1">
                  <c:v>8.0000000000000043E-2</c:v>
                </c:pt>
                <c:pt idx="2">
                  <c:v>0.12000000000000002</c:v>
                </c:pt>
                <c:pt idx="3">
                  <c:v>0.11</c:v>
                </c:pt>
                <c:pt idx="4">
                  <c:v>0.16</c:v>
                </c:pt>
                <c:pt idx="5">
                  <c:v>0.61000000000000065</c:v>
                </c:pt>
                <c:pt idx="6">
                  <c:v>0.42000000000000032</c:v>
                </c:pt>
                <c:pt idx="7">
                  <c:v>0.46</c:v>
                </c:pt>
                <c:pt idx="8">
                  <c:v>0.4</c:v>
                </c:pt>
                <c:pt idx="9">
                  <c:v>0.37500000000000128</c:v>
                </c:pt>
                <c:pt idx="10">
                  <c:v>0.34</c:v>
                </c:pt>
                <c:pt idx="11">
                  <c:v>0.39000000000000146</c:v>
                </c:pt>
                <c:pt idx="12">
                  <c:v>0.35000000000000031</c:v>
                </c:pt>
              </c:numCache>
            </c:numRef>
          </c:val>
        </c:ser>
        <c:dLbls>
          <c:showLegendKey val="0"/>
          <c:showVal val="0"/>
          <c:showCatName val="0"/>
          <c:showSerName val="0"/>
          <c:showPercent val="0"/>
          <c:showBubbleSize val="0"/>
        </c:dLbls>
        <c:gapWidth val="150"/>
        <c:axId val="337415552"/>
        <c:axId val="337421440"/>
      </c:barChart>
      <c:catAx>
        <c:axId val="337415552"/>
        <c:scaling>
          <c:orientation val="minMax"/>
        </c:scaling>
        <c:delete val="0"/>
        <c:axPos val="b"/>
        <c:numFmt formatCode="General" sourceLinked="1"/>
        <c:majorTickMark val="out"/>
        <c:minorTickMark val="none"/>
        <c:tickLblPos val="nextTo"/>
        <c:txPr>
          <a:bodyPr/>
          <a:lstStyle/>
          <a:p>
            <a:pPr>
              <a:defRPr sz="700"/>
            </a:pPr>
            <a:endParaRPr lang="en-US"/>
          </a:p>
        </c:txPr>
        <c:crossAx val="337421440"/>
        <c:crosses val="autoZero"/>
        <c:auto val="1"/>
        <c:lblAlgn val="ctr"/>
        <c:lblOffset val="100"/>
        <c:noMultiLvlLbl val="0"/>
      </c:catAx>
      <c:valAx>
        <c:axId val="337421440"/>
        <c:scaling>
          <c:orientation val="minMax"/>
        </c:scaling>
        <c:delete val="0"/>
        <c:axPos val="l"/>
        <c:numFmt formatCode="General" sourceLinked="1"/>
        <c:majorTickMark val="out"/>
        <c:minorTickMark val="none"/>
        <c:tickLblPos val="nextTo"/>
        <c:txPr>
          <a:bodyPr/>
          <a:lstStyle/>
          <a:p>
            <a:pPr>
              <a:defRPr sz="700"/>
            </a:pPr>
            <a:endParaRPr lang="en-US"/>
          </a:p>
        </c:txPr>
        <c:crossAx val="337415552"/>
        <c:crosses val="autoZero"/>
        <c:crossBetween val="between"/>
      </c:valAx>
    </c:plotArea>
    <c:legend>
      <c:legendPos val="r"/>
      <c:layout>
        <c:manualLayout>
          <c:xMode val="edge"/>
          <c:yMode val="edge"/>
          <c:x val="0.53551535662568961"/>
          <c:y val="5.3652889271803485E-2"/>
          <c:w val="0.38053376818496942"/>
          <c:h val="0.41507854464499988"/>
        </c:manualLayout>
      </c:layout>
      <c:overlay val="0"/>
      <c:txPr>
        <a:bodyPr/>
        <a:lstStyle/>
        <a:p>
          <a:pPr>
            <a:defRPr sz="700"/>
          </a:pPr>
          <a:endParaRPr lang="en-US"/>
        </a:p>
      </c:txPr>
    </c:legend>
    <c:plotVisOnly val="1"/>
    <c:dispBlanksAs val="gap"/>
    <c:showDLblsOverMax val="0"/>
  </c:chart>
  <c:spPr>
    <a:ln>
      <a:noFill/>
    </a:ln>
  </c:spPr>
  <c:externalData r:id="rId1">
    <c:autoUpdate val="0"/>
  </c:externalData>
</c:chartSpace>
</file>

<file path=word/charts/chart10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manualLayout>
          <c:layoutTarget val="inner"/>
          <c:xMode val="edge"/>
          <c:yMode val="edge"/>
          <c:x val="0.12743032529097811"/>
          <c:y val="9.9524632738440255E-2"/>
          <c:w val="0.69780083052634989"/>
          <c:h val="0.61417591253121728"/>
        </c:manualLayout>
      </c:layout>
      <c:barChart>
        <c:barDir val="col"/>
        <c:grouping val="clustered"/>
        <c:varyColors val="0"/>
        <c:ser>
          <c:idx val="0"/>
          <c:order val="0"/>
          <c:tx>
            <c:strRef>
              <c:f>Sheet1!$B$1</c:f>
              <c:strCache>
                <c:ptCount val="1"/>
                <c:pt idx="0">
                  <c:v> K-40 u mlijeku (Bq/l)</c:v>
                </c:pt>
              </c:strCache>
            </c:strRef>
          </c:tx>
          <c:invertIfNegative val="0"/>
          <c:cat>
            <c:numRef>
              <c:f>Sheet1!$A$2:$A$16</c:f>
              <c:numCache>
                <c:formatCode>General</c:formatCode>
                <c:ptCount val="15"/>
                <c:pt idx="0">
                  <c:v>1999</c:v>
                </c:pt>
                <c:pt idx="1">
                  <c:v>2000</c:v>
                </c:pt>
                <c:pt idx="2">
                  <c:v>2001</c:v>
                </c:pt>
                <c:pt idx="3">
                  <c:v>2002</c:v>
                </c:pt>
                <c:pt idx="4">
                  <c:v>2003</c:v>
                </c:pt>
                <c:pt idx="5">
                  <c:v>2004</c:v>
                </c:pt>
                <c:pt idx="6">
                  <c:v>2005</c:v>
                </c:pt>
                <c:pt idx="7">
                  <c:v>2006</c:v>
                </c:pt>
                <c:pt idx="8">
                  <c:v>2007</c:v>
                </c:pt>
                <c:pt idx="9">
                  <c:v>2008</c:v>
                </c:pt>
                <c:pt idx="10">
                  <c:v>2009</c:v>
                </c:pt>
                <c:pt idx="11">
                  <c:v>2010</c:v>
                </c:pt>
                <c:pt idx="12">
                  <c:v>2011</c:v>
                </c:pt>
                <c:pt idx="13">
                  <c:v>2012</c:v>
                </c:pt>
                <c:pt idx="14">
                  <c:v>2013</c:v>
                </c:pt>
              </c:numCache>
            </c:numRef>
          </c:cat>
          <c:val>
            <c:numRef>
              <c:f>Sheet1!$B$2:$B$16</c:f>
              <c:numCache>
                <c:formatCode>General</c:formatCode>
                <c:ptCount val="15"/>
                <c:pt idx="0">
                  <c:v>40.300000000000004</c:v>
                </c:pt>
                <c:pt idx="1">
                  <c:v>43.1</c:v>
                </c:pt>
                <c:pt idx="2">
                  <c:v>44.3</c:v>
                </c:pt>
                <c:pt idx="3">
                  <c:v>45.9</c:v>
                </c:pt>
                <c:pt idx="4">
                  <c:v>48.7</c:v>
                </c:pt>
                <c:pt idx="5">
                  <c:v>46.9</c:v>
                </c:pt>
                <c:pt idx="6">
                  <c:v>44.5</c:v>
                </c:pt>
                <c:pt idx="7">
                  <c:v>47.4</c:v>
                </c:pt>
                <c:pt idx="8">
                  <c:v>46.4</c:v>
                </c:pt>
                <c:pt idx="9">
                  <c:v>47.2</c:v>
                </c:pt>
                <c:pt idx="10">
                  <c:v>39</c:v>
                </c:pt>
                <c:pt idx="11">
                  <c:v>45.8</c:v>
                </c:pt>
                <c:pt idx="12">
                  <c:v>44.2</c:v>
                </c:pt>
                <c:pt idx="13">
                  <c:v>40</c:v>
                </c:pt>
                <c:pt idx="14">
                  <c:v>41.1</c:v>
                </c:pt>
              </c:numCache>
            </c:numRef>
          </c:val>
        </c:ser>
        <c:dLbls>
          <c:showLegendKey val="0"/>
          <c:showVal val="0"/>
          <c:showCatName val="0"/>
          <c:showSerName val="0"/>
          <c:showPercent val="0"/>
          <c:showBubbleSize val="0"/>
        </c:dLbls>
        <c:gapWidth val="150"/>
        <c:axId val="335954688"/>
        <c:axId val="335956224"/>
      </c:barChart>
      <c:catAx>
        <c:axId val="335954688"/>
        <c:scaling>
          <c:orientation val="minMax"/>
        </c:scaling>
        <c:delete val="0"/>
        <c:axPos val="b"/>
        <c:numFmt formatCode="General" sourceLinked="1"/>
        <c:majorTickMark val="out"/>
        <c:minorTickMark val="none"/>
        <c:tickLblPos val="nextTo"/>
        <c:txPr>
          <a:bodyPr/>
          <a:lstStyle/>
          <a:p>
            <a:pPr>
              <a:defRPr sz="700"/>
            </a:pPr>
            <a:endParaRPr lang="en-US"/>
          </a:p>
        </c:txPr>
        <c:crossAx val="335956224"/>
        <c:crosses val="autoZero"/>
        <c:auto val="1"/>
        <c:lblAlgn val="ctr"/>
        <c:lblOffset val="100"/>
        <c:noMultiLvlLbl val="0"/>
      </c:catAx>
      <c:valAx>
        <c:axId val="335956224"/>
        <c:scaling>
          <c:orientation val="minMax"/>
        </c:scaling>
        <c:delete val="0"/>
        <c:axPos val="l"/>
        <c:numFmt formatCode="General" sourceLinked="1"/>
        <c:majorTickMark val="out"/>
        <c:minorTickMark val="none"/>
        <c:tickLblPos val="nextTo"/>
        <c:txPr>
          <a:bodyPr/>
          <a:lstStyle/>
          <a:p>
            <a:pPr>
              <a:defRPr sz="700"/>
            </a:pPr>
            <a:endParaRPr lang="en-US"/>
          </a:p>
        </c:txPr>
        <c:crossAx val="335954688"/>
        <c:crosses val="autoZero"/>
        <c:crossBetween val="between"/>
      </c:valAx>
    </c:plotArea>
    <c:legend>
      <c:legendPos val="r"/>
      <c:layout>
        <c:manualLayout>
          <c:xMode val="edge"/>
          <c:yMode val="edge"/>
          <c:x val="0.73567869641097861"/>
          <c:y val="8.6515901215141237E-4"/>
          <c:w val="0.26432130358903116"/>
          <c:h val="0.31218761412028523"/>
        </c:manualLayout>
      </c:layout>
      <c:overlay val="0"/>
      <c:txPr>
        <a:bodyPr/>
        <a:lstStyle/>
        <a:p>
          <a:pPr>
            <a:defRPr sz="700"/>
          </a:pPr>
          <a:endParaRPr lang="en-US"/>
        </a:p>
      </c:txPr>
    </c:legend>
    <c:plotVisOnly val="1"/>
    <c:dispBlanksAs val="gap"/>
    <c:showDLblsOverMax val="0"/>
  </c:chart>
  <c:spPr>
    <a:ln>
      <a:noFill/>
    </a:ln>
  </c:spPr>
  <c:externalData r:id="rId1">
    <c:autoUpdate val="0"/>
  </c:externalData>
</c:chartSpace>
</file>

<file path=word/charts/chart10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barChart>
        <c:barDir val="col"/>
        <c:grouping val="clustered"/>
        <c:varyColors val="0"/>
        <c:ser>
          <c:idx val="0"/>
          <c:order val="0"/>
          <c:tx>
            <c:strRef>
              <c:f>Sheet1!$B$1</c:f>
              <c:strCache>
                <c:ptCount val="1"/>
                <c:pt idx="0">
                  <c:v> Cs-137 u mlijeku (Bq/l)</c:v>
                </c:pt>
              </c:strCache>
            </c:strRef>
          </c:tx>
          <c:spPr>
            <a:solidFill>
              <a:srgbClr val="FF0000"/>
            </a:solidFill>
          </c:spPr>
          <c:invertIfNegative val="0"/>
          <c:cat>
            <c:numRef>
              <c:f>Sheet1!$A$2:$A$16</c:f>
              <c:numCache>
                <c:formatCode>General</c:formatCode>
                <c:ptCount val="15"/>
                <c:pt idx="0">
                  <c:v>1999</c:v>
                </c:pt>
                <c:pt idx="1">
                  <c:v>2000</c:v>
                </c:pt>
                <c:pt idx="2">
                  <c:v>2001</c:v>
                </c:pt>
                <c:pt idx="3">
                  <c:v>2002</c:v>
                </c:pt>
                <c:pt idx="4">
                  <c:v>2003</c:v>
                </c:pt>
                <c:pt idx="5">
                  <c:v>2004</c:v>
                </c:pt>
                <c:pt idx="6">
                  <c:v>2005</c:v>
                </c:pt>
                <c:pt idx="7">
                  <c:v>2006</c:v>
                </c:pt>
                <c:pt idx="8">
                  <c:v>2007</c:v>
                </c:pt>
                <c:pt idx="9">
                  <c:v>2008</c:v>
                </c:pt>
                <c:pt idx="10">
                  <c:v>2009</c:v>
                </c:pt>
                <c:pt idx="11">
                  <c:v>2010</c:v>
                </c:pt>
                <c:pt idx="12">
                  <c:v>2011</c:v>
                </c:pt>
                <c:pt idx="13">
                  <c:v>2012</c:v>
                </c:pt>
                <c:pt idx="14">
                  <c:v>2013</c:v>
                </c:pt>
              </c:numCache>
            </c:numRef>
          </c:cat>
          <c:val>
            <c:numRef>
              <c:f>Sheet1!$B$2:$B$16</c:f>
              <c:numCache>
                <c:formatCode>General</c:formatCode>
                <c:ptCount val="15"/>
                <c:pt idx="0">
                  <c:v>0.14000000000000001</c:v>
                </c:pt>
                <c:pt idx="1">
                  <c:v>0.25</c:v>
                </c:pt>
                <c:pt idx="2">
                  <c:v>0.22</c:v>
                </c:pt>
                <c:pt idx="3">
                  <c:v>0.22</c:v>
                </c:pt>
                <c:pt idx="4">
                  <c:v>0.21000000000000021</c:v>
                </c:pt>
                <c:pt idx="5">
                  <c:v>0.13</c:v>
                </c:pt>
                <c:pt idx="6">
                  <c:v>0.20400000000000001</c:v>
                </c:pt>
                <c:pt idx="7">
                  <c:v>0.13</c:v>
                </c:pt>
                <c:pt idx="8">
                  <c:v>0.22</c:v>
                </c:pt>
                <c:pt idx="9">
                  <c:v>0.13</c:v>
                </c:pt>
                <c:pt idx="10">
                  <c:v>0.1</c:v>
                </c:pt>
                <c:pt idx="11">
                  <c:v>8.0000000000000043E-2</c:v>
                </c:pt>
                <c:pt idx="12">
                  <c:v>7.0000000000000021E-2</c:v>
                </c:pt>
                <c:pt idx="13">
                  <c:v>7.0000000000000021E-2</c:v>
                </c:pt>
                <c:pt idx="14">
                  <c:v>7.0000000000000021E-2</c:v>
                </c:pt>
              </c:numCache>
            </c:numRef>
          </c:val>
        </c:ser>
        <c:ser>
          <c:idx val="1"/>
          <c:order val="1"/>
          <c:tx>
            <c:strRef>
              <c:f>Sheet1!$C$1</c:f>
              <c:strCache>
                <c:ptCount val="1"/>
                <c:pt idx="0">
                  <c:v> Ra-226 u mlijeku (Bq/l)</c:v>
                </c:pt>
              </c:strCache>
            </c:strRef>
          </c:tx>
          <c:invertIfNegative val="0"/>
          <c:cat>
            <c:numRef>
              <c:f>Sheet1!$A$2:$A$16</c:f>
              <c:numCache>
                <c:formatCode>General</c:formatCode>
                <c:ptCount val="15"/>
                <c:pt idx="0">
                  <c:v>1999</c:v>
                </c:pt>
                <c:pt idx="1">
                  <c:v>2000</c:v>
                </c:pt>
                <c:pt idx="2">
                  <c:v>2001</c:v>
                </c:pt>
                <c:pt idx="3">
                  <c:v>2002</c:v>
                </c:pt>
                <c:pt idx="4">
                  <c:v>2003</c:v>
                </c:pt>
                <c:pt idx="5">
                  <c:v>2004</c:v>
                </c:pt>
                <c:pt idx="6">
                  <c:v>2005</c:v>
                </c:pt>
                <c:pt idx="7">
                  <c:v>2006</c:v>
                </c:pt>
                <c:pt idx="8">
                  <c:v>2007</c:v>
                </c:pt>
                <c:pt idx="9">
                  <c:v>2008</c:v>
                </c:pt>
                <c:pt idx="10">
                  <c:v>2009</c:v>
                </c:pt>
                <c:pt idx="11">
                  <c:v>2010</c:v>
                </c:pt>
                <c:pt idx="12">
                  <c:v>2011</c:v>
                </c:pt>
                <c:pt idx="13">
                  <c:v>2012</c:v>
                </c:pt>
                <c:pt idx="14">
                  <c:v>2013</c:v>
                </c:pt>
              </c:numCache>
            </c:numRef>
          </c:cat>
          <c:val>
            <c:numRef>
              <c:f>Sheet1!$C$2:$C$16</c:f>
              <c:numCache>
                <c:formatCode>General</c:formatCode>
                <c:ptCount val="15"/>
                <c:pt idx="0">
                  <c:v>0.21000000000000021</c:v>
                </c:pt>
                <c:pt idx="1">
                  <c:v>0.22</c:v>
                </c:pt>
                <c:pt idx="2">
                  <c:v>0.16</c:v>
                </c:pt>
                <c:pt idx="3">
                  <c:v>0.19</c:v>
                </c:pt>
                <c:pt idx="4">
                  <c:v>0.30000000000000032</c:v>
                </c:pt>
                <c:pt idx="5">
                  <c:v>0.23</c:v>
                </c:pt>
                <c:pt idx="6">
                  <c:v>0.19</c:v>
                </c:pt>
                <c:pt idx="7">
                  <c:v>0.24000000000000021</c:v>
                </c:pt>
                <c:pt idx="8">
                  <c:v>0.17</c:v>
                </c:pt>
                <c:pt idx="9">
                  <c:v>0.2</c:v>
                </c:pt>
                <c:pt idx="10">
                  <c:v>0.24000000000000021</c:v>
                </c:pt>
                <c:pt idx="11">
                  <c:v>0.17</c:v>
                </c:pt>
                <c:pt idx="12">
                  <c:v>0.18000000000000024</c:v>
                </c:pt>
                <c:pt idx="13">
                  <c:v>0.16</c:v>
                </c:pt>
                <c:pt idx="14">
                  <c:v>0.12000000000000002</c:v>
                </c:pt>
              </c:numCache>
            </c:numRef>
          </c:val>
        </c:ser>
        <c:ser>
          <c:idx val="2"/>
          <c:order val="2"/>
          <c:tx>
            <c:strRef>
              <c:f>Sheet1!$D$1</c:f>
              <c:strCache>
                <c:ptCount val="1"/>
                <c:pt idx="0">
                  <c:v> Th-232 u mlijeku (Bq/l)</c:v>
                </c:pt>
              </c:strCache>
            </c:strRef>
          </c:tx>
          <c:invertIfNegative val="0"/>
          <c:cat>
            <c:numRef>
              <c:f>Sheet1!$A$2:$A$16</c:f>
              <c:numCache>
                <c:formatCode>General</c:formatCode>
                <c:ptCount val="15"/>
                <c:pt idx="0">
                  <c:v>1999</c:v>
                </c:pt>
                <c:pt idx="1">
                  <c:v>2000</c:v>
                </c:pt>
                <c:pt idx="2">
                  <c:v>2001</c:v>
                </c:pt>
                <c:pt idx="3">
                  <c:v>2002</c:v>
                </c:pt>
                <c:pt idx="4">
                  <c:v>2003</c:v>
                </c:pt>
                <c:pt idx="5">
                  <c:v>2004</c:v>
                </c:pt>
                <c:pt idx="6">
                  <c:v>2005</c:v>
                </c:pt>
                <c:pt idx="7">
                  <c:v>2006</c:v>
                </c:pt>
                <c:pt idx="8">
                  <c:v>2007</c:v>
                </c:pt>
                <c:pt idx="9">
                  <c:v>2008</c:v>
                </c:pt>
                <c:pt idx="10">
                  <c:v>2009</c:v>
                </c:pt>
                <c:pt idx="11">
                  <c:v>2010</c:v>
                </c:pt>
                <c:pt idx="12">
                  <c:v>2011</c:v>
                </c:pt>
                <c:pt idx="13">
                  <c:v>2012</c:v>
                </c:pt>
                <c:pt idx="14">
                  <c:v>2013</c:v>
                </c:pt>
              </c:numCache>
            </c:numRef>
          </c:cat>
          <c:val>
            <c:numRef>
              <c:f>Sheet1!$D$2:$D$16</c:f>
              <c:numCache>
                <c:formatCode>General</c:formatCode>
                <c:ptCount val="15"/>
                <c:pt idx="0">
                  <c:v>9.0000000000000024E-2</c:v>
                </c:pt>
                <c:pt idx="1">
                  <c:v>0.14000000000000001</c:v>
                </c:pt>
                <c:pt idx="2">
                  <c:v>8.0000000000000043E-2</c:v>
                </c:pt>
                <c:pt idx="3">
                  <c:v>0.1</c:v>
                </c:pt>
                <c:pt idx="4">
                  <c:v>0.12000000000000002</c:v>
                </c:pt>
                <c:pt idx="5">
                  <c:v>7.0000000000000021E-2</c:v>
                </c:pt>
                <c:pt idx="6">
                  <c:v>0.05</c:v>
                </c:pt>
                <c:pt idx="7">
                  <c:v>0.30000000000000032</c:v>
                </c:pt>
                <c:pt idx="8">
                  <c:v>0.30000000000000032</c:v>
                </c:pt>
                <c:pt idx="9">
                  <c:v>0.23</c:v>
                </c:pt>
                <c:pt idx="10">
                  <c:v>0.31000000000000127</c:v>
                </c:pt>
                <c:pt idx="11">
                  <c:v>0.26</c:v>
                </c:pt>
                <c:pt idx="12">
                  <c:v>0.28000000000000008</c:v>
                </c:pt>
                <c:pt idx="13">
                  <c:v>0.29000000000000031</c:v>
                </c:pt>
                <c:pt idx="14">
                  <c:v>0.25</c:v>
                </c:pt>
              </c:numCache>
            </c:numRef>
          </c:val>
        </c:ser>
        <c:dLbls>
          <c:showLegendKey val="0"/>
          <c:showVal val="0"/>
          <c:showCatName val="0"/>
          <c:showSerName val="0"/>
          <c:showPercent val="0"/>
          <c:showBubbleSize val="0"/>
        </c:dLbls>
        <c:gapWidth val="150"/>
        <c:axId val="335969664"/>
        <c:axId val="337441920"/>
      </c:barChart>
      <c:catAx>
        <c:axId val="335969664"/>
        <c:scaling>
          <c:orientation val="minMax"/>
        </c:scaling>
        <c:delete val="0"/>
        <c:axPos val="b"/>
        <c:numFmt formatCode="General" sourceLinked="1"/>
        <c:majorTickMark val="out"/>
        <c:minorTickMark val="none"/>
        <c:tickLblPos val="nextTo"/>
        <c:txPr>
          <a:bodyPr/>
          <a:lstStyle/>
          <a:p>
            <a:pPr>
              <a:defRPr sz="700"/>
            </a:pPr>
            <a:endParaRPr lang="en-US"/>
          </a:p>
        </c:txPr>
        <c:crossAx val="337441920"/>
        <c:crosses val="autoZero"/>
        <c:auto val="1"/>
        <c:lblAlgn val="ctr"/>
        <c:lblOffset val="100"/>
        <c:noMultiLvlLbl val="0"/>
      </c:catAx>
      <c:valAx>
        <c:axId val="337441920"/>
        <c:scaling>
          <c:orientation val="minMax"/>
        </c:scaling>
        <c:delete val="0"/>
        <c:axPos val="l"/>
        <c:numFmt formatCode="General" sourceLinked="1"/>
        <c:majorTickMark val="out"/>
        <c:minorTickMark val="none"/>
        <c:tickLblPos val="nextTo"/>
        <c:txPr>
          <a:bodyPr/>
          <a:lstStyle/>
          <a:p>
            <a:pPr>
              <a:defRPr sz="700"/>
            </a:pPr>
            <a:endParaRPr lang="en-US"/>
          </a:p>
        </c:txPr>
        <c:crossAx val="335969664"/>
        <c:crosses val="autoZero"/>
        <c:crossBetween val="between"/>
      </c:valAx>
    </c:plotArea>
    <c:legend>
      <c:legendPos val="r"/>
      <c:overlay val="0"/>
      <c:txPr>
        <a:bodyPr/>
        <a:lstStyle/>
        <a:p>
          <a:pPr>
            <a:defRPr sz="700"/>
          </a:pPr>
          <a:endParaRPr lang="en-US"/>
        </a:p>
      </c:txPr>
    </c:legend>
    <c:plotVisOnly val="1"/>
    <c:dispBlanksAs val="gap"/>
    <c:showDLblsOverMax val="0"/>
  </c:chart>
  <c:spPr>
    <a:ln>
      <a:noFill/>
    </a:ln>
  </c:spPr>
  <c:externalData r:id="rId1">
    <c:autoUpdate val="0"/>
  </c:externalData>
</c:chartSpace>
</file>

<file path=word/charts/chart10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manualLayout>
          <c:layoutTarget val="inner"/>
          <c:xMode val="edge"/>
          <c:yMode val="edge"/>
          <c:x val="6.5847357088740413E-2"/>
          <c:y val="6.0071449334441022E-2"/>
          <c:w val="0.8730739207997017"/>
          <c:h val="0.78829350643542861"/>
        </c:manualLayout>
      </c:layout>
      <c:barChart>
        <c:barDir val="col"/>
        <c:grouping val="clustered"/>
        <c:varyColors val="0"/>
        <c:ser>
          <c:idx val="0"/>
          <c:order val="0"/>
          <c:tx>
            <c:strRef>
              <c:f>Sheet1!$B$1</c:f>
              <c:strCache>
                <c:ptCount val="1"/>
                <c:pt idx="0">
                  <c:v> K-40 u stočnoj hrani (Bq/kg)</c:v>
                </c:pt>
              </c:strCache>
            </c:strRef>
          </c:tx>
          <c:spPr>
            <a:solidFill>
              <a:schemeClr val="accent1">
                <a:lumMod val="75000"/>
              </a:schemeClr>
            </a:solidFill>
          </c:spPr>
          <c:invertIfNegative val="0"/>
          <c:cat>
            <c:numRef>
              <c:f>Sheet1!$A$2:$A$15</c:f>
              <c:numCache>
                <c:formatCode>General</c:formatCode>
                <c:ptCount val="1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numCache>
            </c:numRef>
          </c:cat>
          <c:val>
            <c:numRef>
              <c:f>Sheet1!$B$2:$B$15</c:f>
              <c:numCache>
                <c:formatCode>General</c:formatCode>
                <c:ptCount val="14"/>
                <c:pt idx="0">
                  <c:v>267</c:v>
                </c:pt>
                <c:pt idx="1">
                  <c:v>397</c:v>
                </c:pt>
                <c:pt idx="2">
                  <c:v>256</c:v>
                </c:pt>
                <c:pt idx="3">
                  <c:v>202</c:v>
                </c:pt>
                <c:pt idx="4">
                  <c:v>286</c:v>
                </c:pt>
                <c:pt idx="5">
                  <c:v>269</c:v>
                </c:pt>
                <c:pt idx="6">
                  <c:v>241</c:v>
                </c:pt>
                <c:pt idx="7">
                  <c:v>248</c:v>
                </c:pt>
                <c:pt idx="8">
                  <c:v>237</c:v>
                </c:pt>
                <c:pt idx="9">
                  <c:v>273</c:v>
                </c:pt>
                <c:pt idx="10">
                  <c:v>218</c:v>
                </c:pt>
                <c:pt idx="11">
                  <c:v>181</c:v>
                </c:pt>
                <c:pt idx="12">
                  <c:v>178</c:v>
                </c:pt>
                <c:pt idx="13">
                  <c:v>214</c:v>
                </c:pt>
              </c:numCache>
            </c:numRef>
          </c:val>
        </c:ser>
        <c:ser>
          <c:idx val="1"/>
          <c:order val="1"/>
          <c:tx>
            <c:strRef>
              <c:f>Sheet1!$C$1</c:f>
              <c:strCache>
                <c:ptCount val="1"/>
                <c:pt idx="0">
                  <c:v>Cs-137 u stočnoj hrani (Bq/kg)</c:v>
                </c:pt>
              </c:strCache>
            </c:strRef>
          </c:tx>
          <c:spPr>
            <a:solidFill>
              <a:srgbClr val="C00000"/>
            </a:solidFill>
          </c:spPr>
          <c:invertIfNegative val="0"/>
          <c:cat>
            <c:numRef>
              <c:f>Sheet1!$A$2:$A$15</c:f>
              <c:numCache>
                <c:formatCode>General</c:formatCode>
                <c:ptCount val="1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numCache>
            </c:numRef>
          </c:cat>
          <c:val>
            <c:numRef>
              <c:f>Sheet1!$C$2:$C$15</c:f>
              <c:numCache>
                <c:formatCode>General</c:formatCode>
                <c:ptCount val="14"/>
                <c:pt idx="0">
                  <c:v>2.59</c:v>
                </c:pt>
                <c:pt idx="1">
                  <c:v>2.13</c:v>
                </c:pt>
                <c:pt idx="2">
                  <c:v>1.37</c:v>
                </c:pt>
                <c:pt idx="3">
                  <c:v>47.1</c:v>
                </c:pt>
                <c:pt idx="4">
                  <c:v>0.32000000000000145</c:v>
                </c:pt>
                <c:pt idx="5">
                  <c:v>0.4</c:v>
                </c:pt>
                <c:pt idx="6">
                  <c:v>0.51</c:v>
                </c:pt>
                <c:pt idx="7">
                  <c:v>1.37</c:v>
                </c:pt>
                <c:pt idx="8">
                  <c:v>0.18000000000000024</c:v>
                </c:pt>
                <c:pt idx="9">
                  <c:v>0.2</c:v>
                </c:pt>
                <c:pt idx="10">
                  <c:v>0.24000000000000021</c:v>
                </c:pt>
                <c:pt idx="11">
                  <c:v>0.34</c:v>
                </c:pt>
                <c:pt idx="12">
                  <c:v>0.24000000000000021</c:v>
                </c:pt>
              </c:numCache>
            </c:numRef>
          </c:val>
        </c:ser>
        <c:dLbls>
          <c:showLegendKey val="0"/>
          <c:showVal val="0"/>
          <c:showCatName val="0"/>
          <c:showSerName val="0"/>
          <c:showPercent val="0"/>
          <c:showBubbleSize val="0"/>
        </c:dLbls>
        <c:gapWidth val="150"/>
        <c:axId val="337204736"/>
        <c:axId val="337206272"/>
      </c:barChart>
      <c:catAx>
        <c:axId val="337204736"/>
        <c:scaling>
          <c:orientation val="minMax"/>
        </c:scaling>
        <c:delete val="0"/>
        <c:axPos val="b"/>
        <c:numFmt formatCode="General" sourceLinked="1"/>
        <c:majorTickMark val="out"/>
        <c:minorTickMark val="none"/>
        <c:tickLblPos val="nextTo"/>
        <c:txPr>
          <a:bodyPr/>
          <a:lstStyle/>
          <a:p>
            <a:pPr>
              <a:defRPr sz="700"/>
            </a:pPr>
            <a:endParaRPr lang="en-US"/>
          </a:p>
        </c:txPr>
        <c:crossAx val="337206272"/>
        <c:crosses val="autoZero"/>
        <c:auto val="1"/>
        <c:lblAlgn val="ctr"/>
        <c:lblOffset val="100"/>
        <c:noMultiLvlLbl val="0"/>
      </c:catAx>
      <c:valAx>
        <c:axId val="337206272"/>
        <c:scaling>
          <c:orientation val="minMax"/>
        </c:scaling>
        <c:delete val="0"/>
        <c:axPos val="l"/>
        <c:numFmt formatCode="General" sourceLinked="1"/>
        <c:majorTickMark val="out"/>
        <c:minorTickMark val="none"/>
        <c:tickLblPos val="nextTo"/>
        <c:txPr>
          <a:bodyPr/>
          <a:lstStyle/>
          <a:p>
            <a:pPr>
              <a:defRPr sz="700"/>
            </a:pPr>
            <a:endParaRPr lang="en-US"/>
          </a:p>
        </c:txPr>
        <c:crossAx val="337204736"/>
        <c:crosses val="autoZero"/>
        <c:crossBetween val="between"/>
      </c:valAx>
    </c:plotArea>
    <c:legend>
      <c:legendPos val="r"/>
      <c:layout>
        <c:manualLayout>
          <c:xMode val="edge"/>
          <c:yMode val="edge"/>
          <c:x val="0.61056640620432678"/>
          <c:y val="5.045202682998352E-4"/>
          <c:w val="0.34181297482326811"/>
          <c:h val="0.4193081073199435"/>
        </c:manualLayout>
      </c:layout>
      <c:overlay val="0"/>
      <c:txPr>
        <a:bodyPr/>
        <a:lstStyle/>
        <a:p>
          <a:pPr>
            <a:defRPr sz="700"/>
          </a:pPr>
          <a:endParaRPr lang="en-US"/>
        </a:p>
      </c:txPr>
    </c:legend>
    <c:plotVisOnly val="1"/>
    <c:dispBlanksAs val="gap"/>
    <c:showDLblsOverMax val="0"/>
  </c:chart>
  <c:spPr>
    <a:ln>
      <a:noFill/>
    </a:ln>
  </c:spPr>
  <c:externalData r:id="rId1">
    <c:autoUpdate val="0"/>
  </c:externalData>
</c:chartSpace>
</file>

<file path=word/charts/chart10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manualLayout>
          <c:layoutTarget val="inner"/>
          <c:xMode val="edge"/>
          <c:yMode val="edge"/>
          <c:x val="7.4170066642830962E-2"/>
          <c:y val="9.0185994896131175E-2"/>
          <c:w val="0.90834224052657564"/>
          <c:h val="0.70367089923248738"/>
        </c:manualLayout>
      </c:layout>
      <c:barChart>
        <c:barDir val="col"/>
        <c:grouping val="clustered"/>
        <c:varyColors val="0"/>
        <c:ser>
          <c:idx val="0"/>
          <c:order val="0"/>
          <c:tx>
            <c:strRef>
              <c:f>Sheet1!$B$1</c:f>
              <c:strCache>
                <c:ptCount val="1"/>
                <c:pt idx="0">
                  <c:v> Ra-226 u stočnoj hrani (Bq/kg)</c:v>
                </c:pt>
              </c:strCache>
            </c:strRef>
          </c:tx>
          <c:spPr>
            <a:solidFill>
              <a:schemeClr val="accent3">
                <a:lumMod val="75000"/>
              </a:schemeClr>
            </a:solidFill>
          </c:spPr>
          <c:invertIfNegative val="0"/>
          <c:cat>
            <c:numRef>
              <c:f>Sheet1!$A$2:$A$15</c:f>
              <c:numCache>
                <c:formatCode>General</c:formatCode>
                <c:ptCount val="1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numCache>
            </c:numRef>
          </c:cat>
          <c:val>
            <c:numRef>
              <c:f>Sheet1!$B$2:$B$15</c:f>
              <c:numCache>
                <c:formatCode>General</c:formatCode>
                <c:ptCount val="14"/>
                <c:pt idx="0">
                  <c:v>1.1900000000000051</c:v>
                </c:pt>
                <c:pt idx="1">
                  <c:v>0.55000000000000004</c:v>
                </c:pt>
                <c:pt idx="2">
                  <c:v>0.19</c:v>
                </c:pt>
                <c:pt idx="3">
                  <c:v>0.65000000000000302</c:v>
                </c:pt>
                <c:pt idx="4">
                  <c:v>4.2699999999999996</c:v>
                </c:pt>
                <c:pt idx="5">
                  <c:v>1.03</c:v>
                </c:pt>
                <c:pt idx="6">
                  <c:v>1.6</c:v>
                </c:pt>
                <c:pt idx="7">
                  <c:v>0.60000000000000064</c:v>
                </c:pt>
                <c:pt idx="8">
                  <c:v>0.59</c:v>
                </c:pt>
                <c:pt idx="9">
                  <c:v>0.49000000000000032</c:v>
                </c:pt>
                <c:pt idx="10">
                  <c:v>0.43000000000000038</c:v>
                </c:pt>
                <c:pt idx="11">
                  <c:v>0.39000000000000146</c:v>
                </c:pt>
                <c:pt idx="12">
                  <c:v>0.37000000000000038</c:v>
                </c:pt>
                <c:pt idx="13">
                  <c:v>0.33000000000000163</c:v>
                </c:pt>
              </c:numCache>
            </c:numRef>
          </c:val>
        </c:ser>
        <c:ser>
          <c:idx val="1"/>
          <c:order val="1"/>
          <c:tx>
            <c:strRef>
              <c:f>Sheet1!$C$1</c:f>
              <c:strCache>
                <c:ptCount val="1"/>
                <c:pt idx="0">
                  <c:v> Th-232 u stočnoj hrani (Bq/kg)</c:v>
                </c:pt>
              </c:strCache>
            </c:strRef>
          </c:tx>
          <c:invertIfNegative val="0"/>
          <c:cat>
            <c:numRef>
              <c:f>Sheet1!$A$2:$A$15</c:f>
              <c:numCache>
                <c:formatCode>General</c:formatCode>
                <c:ptCount val="1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numCache>
            </c:numRef>
          </c:cat>
          <c:val>
            <c:numRef>
              <c:f>Sheet1!$C$2:$C$15</c:f>
              <c:numCache>
                <c:formatCode>General</c:formatCode>
                <c:ptCount val="14"/>
                <c:pt idx="0">
                  <c:v>0.28000000000000008</c:v>
                </c:pt>
                <c:pt idx="1">
                  <c:v>0.15000000000000024</c:v>
                </c:pt>
                <c:pt idx="2">
                  <c:v>0.63000000000000289</c:v>
                </c:pt>
                <c:pt idx="3">
                  <c:v>0.11</c:v>
                </c:pt>
                <c:pt idx="4">
                  <c:v>1.3</c:v>
                </c:pt>
                <c:pt idx="5">
                  <c:v>0.58000000000000007</c:v>
                </c:pt>
                <c:pt idx="6">
                  <c:v>1.61</c:v>
                </c:pt>
                <c:pt idx="7">
                  <c:v>0.89</c:v>
                </c:pt>
                <c:pt idx="8">
                  <c:v>0.7600000000000029</c:v>
                </c:pt>
                <c:pt idx="9">
                  <c:v>0.53</c:v>
                </c:pt>
                <c:pt idx="10">
                  <c:v>0.71800000000000064</c:v>
                </c:pt>
                <c:pt idx="11">
                  <c:v>0.18000000000000024</c:v>
                </c:pt>
                <c:pt idx="12">
                  <c:v>0.86000000000000065</c:v>
                </c:pt>
                <c:pt idx="13" formatCode="d/mmm">
                  <c:v>1.02</c:v>
                </c:pt>
              </c:numCache>
            </c:numRef>
          </c:val>
        </c:ser>
        <c:dLbls>
          <c:showLegendKey val="0"/>
          <c:showVal val="0"/>
          <c:showCatName val="0"/>
          <c:showSerName val="0"/>
          <c:showPercent val="0"/>
          <c:showBubbleSize val="0"/>
        </c:dLbls>
        <c:gapWidth val="150"/>
        <c:axId val="337198464"/>
        <c:axId val="338650240"/>
      </c:barChart>
      <c:catAx>
        <c:axId val="337198464"/>
        <c:scaling>
          <c:orientation val="minMax"/>
        </c:scaling>
        <c:delete val="0"/>
        <c:axPos val="b"/>
        <c:numFmt formatCode="General" sourceLinked="1"/>
        <c:majorTickMark val="out"/>
        <c:minorTickMark val="none"/>
        <c:tickLblPos val="nextTo"/>
        <c:txPr>
          <a:bodyPr/>
          <a:lstStyle/>
          <a:p>
            <a:pPr>
              <a:defRPr sz="700"/>
            </a:pPr>
            <a:endParaRPr lang="en-US"/>
          </a:p>
        </c:txPr>
        <c:crossAx val="338650240"/>
        <c:crosses val="autoZero"/>
        <c:auto val="1"/>
        <c:lblAlgn val="ctr"/>
        <c:lblOffset val="100"/>
        <c:noMultiLvlLbl val="0"/>
      </c:catAx>
      <c:valAx>
        <c:axId val="338650240"/>
        <c:scaling>
          <c:orientation val="minMax"/>
        </c:scaling>
        <c:delete val="0"/>
        <c:axPos val="l"/>
        <c:numFmt formatCode="General" sourceLinked="1"/>
        <c:majorTickMark val="out"/>
        <c:minorTickMark val="none"/>
        <c:tickLblPos val="nextTo"/>
        <c:txPr>
          <a:bodyPr/>
          <a:lstStyle/>
          <a:p>
            <a:pPr>
              <a:defRPr sz="700"/>
            </a:pPr>
            <a:endParaRPr lang="en-US"/>
          </a:p>
        </c:txPr>
        <c:crossAx val="337198464"/>
        <c:crosses val="autoZero"/>
        <c:crossBetween val="between"/>
      </c:valAx>
    </c:plotArea>
    <c:legend>
      <c:legendPos val="r"/>
      <c:overlay val="0"/>
      <c:txPr>
        <a:bodyPr/>
        <a:lstStyle/>
        <a:p>
          <a:pPr>
            <a:defRPr sz="700"/>
          </a:pPr>
          <a:endParaRPr lang="en-US"/>
        </a:p>
      </c:txPr>
    </c:legend>
    <c:plotVisOnly val="1"/>
    <c:dispBlanksAs val="gap"/>
    <c:showDLblsOverMax val="0"/>
  </c:chart>
  <c:spPr>
    <a:noFill/>
    <a:ln>
      <a:noFill/>
    </a:ln>
  </c:spPr>
  <c:externalData r:id="rId1">
    <c:autoUpdate val="0"/>
  </c:externalData>
</c:chartSpace>
</file>

<file path=word/charts/chart10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manualLayout>
          <c:layoutTarget val="inner"/>
          <c:xMode val="edge"/>
          <c:yMode val="edge"/>
          <c:x val="0.10818993080410404"/>
          <c:y val="5.1400554097404488E-2"/>
          <c:w val="0.85848775514630915"/>
          <c:h val="0.81008411491225718"/>
        </c:manualLayout>
      </c:layout>
      <c:areaChart>
        <c:grouping val="stacked"/>
        <c:varyColors val="0"/>
        <c:ser>
          <c:idx val="0"/>
          <c:order val="0"/>
          <c:tx>
            <c:v>Ugalj</c:v>
          </c:tx>
          <c:cat>
            <c:numLit>
              <c:formatCode>General</c:formatCode>
              <c:ptCount val="1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numLit>
          </c:cat>
          <c:val>
            <c:numRef>
              <c:f>'E01'!$B$7:$N$7</c:f>
              <c:numCache>
                <c:formatCode>0</c:formatCode>
                <c:ptCount val="13"/>
                <c:pt idx="0">
                  <c:v>330.1</c:v>
                </c:pt>
                <c:pt idx="1">
                  <c:v>246.7</c:v>
                </c:pt>
                <c:pt idx="2">
                  <c:v>382.3</c:v>
                </c:pt>
                <c:pt idx="3">
                  <c:v>351.4</c:v>
                </c:pt>
                <c:pt idx="4">
                  <c:v>328.85960399350336</c:v>
                </c:pt>
                <c:pt idx="5">
                  <c:v>286.44799999999998</c:v>
                </c:pt>
                <c:pt idx="6">
                  <c:v>322.79899999999998</c:v>
                </c:pt>
                <c:pt idx="7">
                  <c:v>251.45599999999999</c:v>
                </c:pt>
                <c:pt idx="8">
                  <c:v>373.52199999999999</c:v>
                </c:pt>
                <c:pt idx="9">
                  <c:v>206.26900000000001</c:v>
                </c:pt>
                <c:pt idx="10">
                  <c:v>419.52499999999998</c:v>
                </c:pt>
                <c:pt idx="11">
                  <c:v>429.66399999999999</c:v>
                </c:pt>
                <c:pt idx="12">
                  <c:v>381</c:v>
                </c:pt>
              </c:numCache>
            </c:numRef>
          </c:val>
        </c:ser>
        <c:ser>
          <c:idx val="1"/>
          <c:order val="1"/>
          <c:tx>
            <c:v>Naftni derivati</c:v>
          </c:tx>
          <c:spPr>
            <a:solidFill>
              <a:schemeClr val="accent6">
                <a:lumMod val="60000"/>
                <a:lumOff val="40000"/>
              </a:schemeClr>
            </a:solidFill>
          </c:spPr>
          <c:cat>
            <c:numLit>
              <c:formatCode>General</c:formatCode>
              <c:ptCount val="1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numLit>
          </c:cat>
          <c:val>
            <c:numRef>
              <c:f>'E01'!$B$8:$N$8</c:f>
              <c:numCache>
                <c:formatCode>0</c:formatCode>
                <c:ptCount val="13"/>
                <c:pt idx="0">
                  <c:v>354</c:v>
                </c:pt>
                <c:pt idx="1">
                  <c:v>332.7</c:v>
                </c:pt>
                <c:pt idx="2">
                  <c:v>320.39999999999998</c:v>
                </c:pt>
                <c:pt idx="3">
                  <c:v>343.12025890895188</c:v>
                </c:pt>
                <c:pt idx="4">
                  <c:v>357.3426722078915</c:v>
                </c:pt>
                <c:pt idx="5">
                  <c:v>361.29599999999999</c:v>
                </c:pt>
                <c:pt idx="6">
                  <c:v>381.32100000000003</c:v>
                </c:pt>
                <c:pt idx="7">
                  <c:v>461.93799999999999</c:v>
                </c:pt>
                <c:pt idx="8">
                  <c:v>467.85599999999999</c:v>
                </c:pt>
                <c:pt idx="9">
                  <c:v>404.00700000000001</c:v>
                </c:pt>
                <c:pt idx="10">
                  <c:v>375.536</c:v>
                </c:pt>
                <c:pt idx="11">
                  <c:v>303.86099999999999</c:v>
                </c:pt>
                <c:pt idx="12">
                  <c:v>288.61900000000003</c:v>
                </c:pt>
              </c:numCache>
            </c:numRef>
          </c:val>
        </c:ser>
        <c:ser>
          <c:idx val="2"/>
          <c:order val="2"/>
          <c:tx>
            <c:v>Obnovljivi izvori ener.</c:v>
          </c:tx>
          <c:spPr>
            <a:solidFill>
              <a:srgbClr val="92D050"/>
            </a:solidFill>
          </c:spPr>
          <c:cat>
            <c:numLit>
              <c:formatCode>General</c:formatCode>
              <c:ptCount val="1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numLit>
          </c:cat>
          <c:val>
            <c:numRef>
              <c:f>'E01'!$B$9:$N$9</c:f>
              <c:numCache>
                <c:formatCode>0</c:formatCode>
                <c:ptCount val="13"/>
                <c:pt idx="0">
                  <c:v>489.29999999999995</c:v>
                </c:pt>
                <c:pt idx="1">
                  <c:v>577.4</c:v>
                </c:pt>
                <c:pt idx="2">
                  <c:v>352.90000000000003</c:v>
                </c:pt>
                <c:pt idx="3">
                  <c:v>469.3</c:v>
                </c:pt>
                <c:pt idx="4">
                  <c:v>698.1</c:v>
                </c:pt>
                <c:pt idx="5">
                  <c:v>208.733</c:v>
                </c:pt>
                <c:pt idx="6">
                  <c:v>198.66200000000001</c:v>
                </c:pt>
                <c:pt idx="7">
                  <c:v>158.792</c:v>
                </c:pt>
                <c:pt idx="8">
                  <c:v>180.619</c:v>
                </c:pt>
                <c:pt idx="9">
                  <c:v>226.404</c:v>
                </c:pt>
                <c:pt idx="10">
                  <c:v>285.68200000000002</c:v>
                </c:pt>
                <c:pt idx="11">
                  <c:v>152.066</c:v>
                </c:pt>
                <c:pt idx="12">
                  <c:v>283.47500000000002</c:v>
                </c:pt>
              </c:numCache>
            </c:numRef>
          </c:val>
        </c:ser>
        <c:ser>
          <c:idx val="3"/>
          <c:order val="3"/>
          <c:tx>
            <c:v>Ostali</c:v>
          </c:tx>
          <c:spPr>
            <a:solidFill>
              <a:schemeClr val="accent6"/>
            </a:solidFill>
          </c:spPr>
          <c:cat>
            <c:numLit>
              <c:formatCode>General</c:formatCode>
              <c:ptCount val="1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numLit>
          </c:cat>
          <c:val>
            <c:numRef>
              <c:f>'E01'!$B$10:$N$10</c:f>
              <c:numCache>
                <c:formatCode>0</c:formatCode>
                <c:ptCount val="13"/>
                <c:pt idx="0">
                  <c:v>111.6</c:v>
                </c:pt>
                <c:pt idx="1">
                  <c:v>145.19999999999999</c:v>
                </c:pt>
                <c:pt idx="2">
                  <c:v>175</c:v>
                </c:pt>
                <c:pt idx="3">
                  <c:v>153.69999999999999</c:v>
                </c:pt>
                <c:pt idx="4">
                  <c:v>113.852106620808</c:v>
                </c:pt>
                <c:pt idx="5">
                  <c:v>153.887</c:v>
                </c:pt>
                <c:pt idx="6">
                  <c:v>158.745</c:v>
                </c:pt>
                <c:pt idx="7">
                  <c:v>222.511</c:v>
                </c:pt>
                <c:pt idx="8">
                  <c:v>162.23599999999999</c:v>
                </c:pt>
                <c:pt idx="9">
                  <c:v>91.367000000000004</c:v>
                </c:pt>
                <c:pt idx="10">
                  <c:v>0.14599999999999999</c:v>
                </c:pt>
                <c:pt idx="11">
                  <c:v>131.68299999999999</c:v>
                </c:pt>
                <c:pt idx="12">
                  <c:v>104.21299999999999</c:v>
                </c:pt>
              </c:numCache>
            </c:numRef>
          </c:val>
        </c:ser>
        <c:dLbls>
          <c:showLegendKey val="0"/>
          <c:showVal val="0"/>
          <c:showCatName val="0"/>
          <c:showSerName val="0"/>
          <c:showPercent val="0"/>
          <c:showBubbleSize val="0"/>
        </c:dLbls>
        <c:axId val="338764160"/>
        <c:axId val="338765696"/>
      </c:areaChart>
      <c:catAx>
        <c:axId val="338764160"/>
        <c:scaling>
          <c:orientation val="minMax"/>
        </c:scaling>
        <c:delete val="0"/>
        <c:axPos val="b"/>
        <c:numFmt formatCode="General" sourceLinked="1"/>
        <c:majorTickMark val="out"/>
        <c:minorTickMark val="none"/>
        <c:tickLblPos val="nextTo"/>
        <c:txPr>
          <a:bodyPr rot="0" vert="horz"/>
          <a:lstStyle/>
          <a:p>
            <a:pPr>
              <a:defRPr sz="900" b="0" i="0" u="none" strike="noStrike" baseline="0">
                <a:solidFill>
                  <a:srgbClr val="000000"/>
                </a:solidFill>
                <a:latin typeface="Calibri"/>
                <a:ea typeface="Calibri"/>
                <a:cs typeface="Calibri"/>
              </a:defRPr>
            </a:pPr>
            <a:endParaRPr lang="en-US"/>
          </a:p>
        </c:txPr>
        <c:crossAx val="338765696"/>
        <c:crosses val="autoZero"/>
        <c:auto val="1"/>
        <c:lblAlgn val="ctr"/>
        <c:lblOffset val="100"/>
        <c:noMultiLvlLbl val="0"/>
      </c:catAx>
      <c:valAx>
        <c:axId val="338765696"/>
        <c:scaling>
          <c:orientation val="minMax"/>
        </c:scaling>
        <c:delete val="0"/>
        <c:axPos val="l"/>
        <c:majorGridlines/>
        <c:numFmt formatCode="0" sourceLinked="1"/>
        <c:majorTickMark val="out"/>
        <c:minorTickMark val="none"/>
        <c:tickLblPos val="nextTo"/>
        <c:txPr>
          <a:bodyPr rot="0" vert="horz"/>
          <a:lstStyle/>
          <a:p>
            <a:pPr>
              <a:defRPr sz="900" b="0" i="0" u="none" strike="noStrike" baseline="0">
                <a:solidFill>
                  <a:srgbClr val="000000"/>
                </a:solidFill>
                <a:latin typeface="Calibri"/>
                <a:ea typeface="Calibri"/>
                <a:cs typeface="Calibri"/>
              </a:defRPr>
            </a:pPr>
            <a:endParaRPr lang="en-US"/>
          </a:p>
        </c:txPr>
        <c:crossAx val="338764160"/>
        <c:crosses val="autoZero"/>
        <c:crossBetween val="midCat"/>
      </c:valAx>
    </c:plotArea>
    <c:legend>
      <c:legendPos val="r"/>
      <c:layout>
        <c:manualLayout>
          <c:xMode val="edge"/>
          <c:yMode val="edge"/>
          <c:x val="0.43360568798763166"/>
          <c:y val="4.481757186495032E-2"/>
          <c:w val="0.52964728723977994"/>
          <c:h val="0.11350693791262441"/>
        </c:manualLayout>
      </c:layout>
      <c:overlay val="0"/>
      <c:txPr>
        <a:bodyPr/>
        <a:lstStyle/>
        <a:p>
          <a:pPr>
            <a:defRPr sz="1100" b="0" i="0" u="none" strike="noStrike" baseline="0">
              <a:solidFill>
                <a:srgbClr val="000000"/>
              </a:solidFill>
              <a:latin typeface="Calibri"/>
              <a:ea typeface="Calibri"/>
              <a:cs typeface="Calibri"/>
            </a:defRPr>
          </a:pPr>
          <a:endParaRPr lang="en-US"/>
        </a:p>
      </c:txPr>
    </c:legend>
    <c:plotVisOnly val="1"/>
    <c:dispBlanksAs val="zero"/>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userShapes r:id="rId2"/>
</c:chartSpace>
</file>

<file path=word/charts/chart10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7215523336335727E-2"/>
          <c:y val="0"/>
          <c:w val="0.87882383705726819"/>
          <c:h val="1"/>
        </c:manualLayout>
      </c:layout>
      <c:pieChart>
        <c:varyColors val="1"/>
        <c:ser>
          <c:idx val="0"/>
          <c:order val="0"/>
          <c:tx>
            <c:strRef>
              <c:f>'E01'!$W$6</c:f>
              <c:strCache>
                <c:ptCount val="1"/>
                <c:pt idx="0">
                  <c:v>Struktura potrošnje primarne energije prema energentima za 2012, %</c:v>
                </c:pt>
              </c:strCache>
            </c:strRef>
          </c:tx>
          <c:dPt>
            <c:idx val="0"/>
            <c:bubble3D val="0"/>
            <c:spPr>
              <a:solidFill>
                <a:schemeClr val="tx2">
                  <a:lumMod val="60000"/>
                  <a:lumOff val="40000"/>
                </a:schemeClr>
              </a:solidFill>
              <a:ln>
                <a:solidFill>
                  <a:schemeClr val="accent1">
                    <a:lumMod val="75000"/>
                  </a:schemeClr>
                </a:solidFill>
              </a:ln>
            </c:spPr>
          </c:dPt>
          <c:dPt>
            <c:idx val="1"/>
            <c:bubble3D val="0"/>
            <c:spPr>
              <a:solidFill>
                <a:srgbClr val="F9B277"/>
              </a:solidFill>
            </c:spPr>
          </c:dPt>
          <c:dPt>
            <c:idx val="2"/>
            <c:bubble3D val="0"/>
          </c:dPt>
          <c:dPt>
            <c:idx val="3"/>
            <c:bubble3D val="0"/>
            <c:spPr>
              <a:solidFill>
                <a:schemeClr val="accent6">
                  <a:lumMod val="75000"/>
                </a:schemeClr>
              </a:solidFill>
            </c:spPr>
          </c:dPt>
          <c:dLbls>
            <c:dLbl>
              <c:idx val="0"/>
              <c:layout>
                <c:manualLayout>
                  <c:x val="-0.21027050585466484"/>
                  <c:y val="0.14252229783494258"/>
                </c:manualLayout>
              </c:layout>
              <c:tx>
                <c:rich>
                  <a:bodyPr/>
                  <a:lstStyle/>
                  <a:p>
                    <a:r>
                      <a:rPr lang="en-US" sz="1100" b="1">
                        <a:solidFill>
                          <a:schemeClr val="bg1"/>
                        </a:solidFill>
                      </a:rPr>
                      <a:t>Ugalj</a:t>
                    </a:r>
                    <a:r>
                      <a:rPr lang="sr-Latn-ME" sz="1100" b="1">
                        <a:solidFill>
                          <a:schemeClr val="bg1"/>
                        </a:solidFill>
                      </a:rPr>
                      <a:t>;</a:t>
                    </a:r>
                    <a:r>
                      <a:rPr lang="en-US" sz="1100" b="1">
                        <a:solidFill>
                          <a:schemeClr val="bg1"/>
                        </a:solidFill>
                      </a:rPr>
                      <a:t>
36%</a:t>
                    </a:r>
                    <a:endParaRPr lang="en-US"/>
                  </a:p>
                </c:rich>
              </c:tx>
              <c:showLegendKey val="0"/>
              <c:showVal val="0"/>
              <c:showCatName val="1"/>
              <c:showSerName val="0"/>
              <c:showPercent val="1"/>
              <c:showBubbleSize val="0"/>
            </c:dLbl>
            <c:dLbl>
              <c:idx val="1"/>
              <c:layout>
                <c:manualLayout>
                  <c:x val="-6.121006091950683E-5"/>
                  <c:y val="-5.2368024132730014E-2"/>
                </c:manualLayout>
              </c:layout>
              <c:tx>
                <c:rich>
                  <a:bodyPr/>
                  <a:lstStyle/>
                  <a:p>
                    <a:r>
                      <a:rPr lang="en-US" sz="1100" b="1">
                        <a:solidFill>
                          <a:schemeClr val="bg1"/>
                        </a:solidFill>
                      </a:rPr>
                      <a:t>Naftni </a:t>
                    </a:r>
                    <a:r>
                      <a:rPr lang="en-US" sz="1000" b="0">
                        <a:solidFill>
                          <a:schemeClr val="bg1"/>
                        </a:solidFill>
                      </a:rPr>
                      <a:t>derivati</a:t>
                    </a:r>
                    <a:r>
                      <a:rPr lang="sr-Latn-ME" sz="1000" b="0">
                        <a:solidFill>
                          <a:schemeClr val="bg1"/>
                        </a:solidFill>
                      </a:rPr>
                      <a:t>;</a:t>
                    </a:r>
                    <a:r>
                      <a:rPr lang="en-US" sz="1100" b="0">
                        <a:solidFill>
                          <a:schemeClr val="bg1"/>
                        </a:solidFill>
                      </a:rPr>
                      <a:t>
</a:t>
                    </a:r>
                    <a:r>
                      <a:rPr lang="en-US" sz="1100" b="1">
                        <a:solidFill>
                          <a:schemeClr val="bg1"/>
                        </a:solidFill>
                      </a:rPr>
                      <a:t>27%</a:t>
                    </a:r>
                    <a:endParaRPr lang="en-US" b="1"/>
                  </a:p>
                </c:rich>
              </c:tx>
              <c:showLegendKey val="0"/>
              <c:showVal val="0"/>
              <c:showCatName val="1"/>
              <c:showSerName val="0"/>
              <c:showPercent val="1"/>
              <c:showBubbleSize val="0"/>
            </c:dLbl>
            <c:dLbl>
              <c:idx val="2"/>
              <c:layout>
                <c:manualLayout>
                  <c:x val="0.23332190487259202"/>
                  <c:y val="4.4305412049738126E-2"/>
                </c:manualLayout>
              </c:layout>
              <c:tx>
                <c:rich>
                  <a:bodyPr/>
                  <a:lstStyle/>
                  <a:p>
                    <a:r>
                      <a:rPr lang="en-US" sz="1100" b="1">
                        <a:solidFill>
                          <a:schemeClr val="bg1"/>
                        </a:solidFill>
                      </a:rPr>
                      <a:t> OIE</a:t>
                    </a:r>
                    <a:r>
                      <a:rPr lang="sr-Latn-ME" sz="1100" b="1">
                        <a:solidFill>
                          <a:schemeClr val="bg1"/>
                        </a:solidFill>
                      </a:rPr>
                      <a:t>;</a:t>
                    </a:r>
                  </a:p>
                  <a:p>
                    <a:r>
                      <a:rPr lang="en-US" sz="1100" b="1">
                        <a:solidFill>
                          <a:schemeClr val="bg1"/>
                        </a:solidFill>
                      </a:rPr>
                      <a:t>15%</a:t>
                    </a:r>
                    <a:endParaRPr lang="en-US"/>
                  </a:p>
                </c:rich>
              </c:tx>
              <c:showLegendKey val="0"/>
              <c:showVal val="0"/>
              <c:showCatName val="1"/>
              <c:showSerName val="0"/>
              <c:showPercent val="1"/>
              <c:showBubbleSize val="0"/>
            </c:dLbl>
            <c:dLbl>
              <c:idx val="3"/>
              <c:tx>
                <c:rich>
                  <a:bodyPr/>
                  <a:lstStyle/>
                  <a:p>
                    <a:r>
                      <a:rPr lang="en-US" sz="1100" b="1">
                        <a:solidFill>
                          <a:schemeClr val="bg1"/>
                        </a:solidFill>
                      </a:rPr>
                      <a:t>Ostali</a:t>
                    </a:r>
                    <a:r>
                      <a:rPr lang="sr-Latn-ME" sz="1100" b="1">
                        <a:solidFill>
                          <a:schemeClr val="bg1"/>
                        </a:solidFill>
                      </a:rPr>
                      <a:t>;</a:t>
                    </a:r>
                    <a:r>
                      <a:rPr lang="en-US" sz="1100" b="1">
                        <a:solidFill>
                          <a:schemeClr val="bg1"/>
                        </a:solidFill>
                      </a:rPr>
                      <a:t>
10%</a:t>
                    </a:r>
                    <a:endParaRPr lang="en-US"/>
                  </a:p>
                </c:rich>
              </c:tx>
              <c:showLegendKey val="0"/>
              <c:showVal val="0"/>
              <c:showCatName val="1"/>
              <c:showSerName val="0"/>
              <c:showPercent val="1"/>
              <c:showBubbleSize val="0"/>
            </c:dLbl>
            <c:txPr>
              <a:bodyPr/>
              <a:lstStyle/>
              <a:p>
                <a:pPr>
                  <a:defRPr sz="1100" b="1" i="0" u="none" strike="noStrike" baseline="0">
                    <a:solidFill>
                      <a:schemeClr val="bg1"/>
                    </a:solidFill>
                    <a:latin typeface="Calibri"/>
                    <a:ea typeface="Calibri"/>
                    <a:cs typeface="Calibri"/>
                  </a:defRPr>
                </a:pPr>
                <a:endParaRPr lang="en-US"/>
              </a:p>
            </c:txPr>
            <c:showLegendKey val="0"/>
            <c:showVal val="0"/>
            <c:showCatName val="1"/>
            <c:showSerName val="0"/>
            <c:showPercent val="1"/>
            <c:showBubbleSize val="0"/>
            <c:showLeaderLines val="1"/>
          </c:dLbls>
          <c:cat>
            <c:strLit>
              <c:ptCount val="4"/>
              <c:pt idx="0">
                <c:v>Ugalj</c:v>
              </c:pt>
              <c:pt idx="1">
                <c:v>Naftni derivati</c:v>
              </c:pt>
              <c:pt idx="2">
                <c:v>Obnov.izvori ener.</c:v>
              </c:pt>
              <c:pt idx="3">
                <c:v>Ostali</c:v>
              </c:pt>
            </c:strLit>
          </c:cat>
          <c:val>
            <c:numRef>
              <c:f>'E01'!$W$7:$W$10</c:f>
              <c:numCache>
                <c:formatCode>0%</c:formatCode>
                <c:ptCount val="4"/>
                <c:pt idx="0">
                  <c:v>0.36034945384831463</c:v>
                </c:pt>
                <c:pt idx="1">
                  <c:v>0.27297558797965021</c:v>
                </c:pt>
                <c:pt idx="2">
                  <c:v>0.26811039745315224</c:v>
                </c:pt>
                <c:pt idx="3">
                  <c:v>9.8564560718882963E-2</c:v>
                </c:pt>
              </c:numCache>
            </c:numRef>
          </c:val>
        </c:ser>
        <c:dLbls>
          <c:showLegendKey val="0"/>
          <c:showVal val="0"/>
          <c:showCatName val="1"/>
          <c:showSerName val="0"/>
          <c:showPercent val="1"/>
          <c:showBubbleSize val="0"/>
          <c:showLeaderLines val="1"/>
        </c:dLbls>
        <c:firstSliceAng val="0"/>
      </c:pieChart>
      <c:spPr>
        <a:noFill/>
        <a:ln w="25400">
          <a:noFill/>
        </a:ln>
      </c:spPr>
    </c:plotArea>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manualLayout>
          <c:layoutTarget val="inner"/>
          <c:xMode val="edge"/>
          <c:yMode val="edge"/>
          <c:x val="9.0569837710683679E-2"/>
          <c:y val="0.10238740157480307"/>
          <c:w val="0.6358612458210936"/>
          <c:h val="0.71942887139107692"/>
        </c:manualLayout>
      </c:layout>
      <c:barChart>
        <c:barDir val="col"/>
        <c:grouping val="clustered"/>
        <c:varyColors val="0"/>
        <c:ser>
          <c:idx val="0"/>
          <c:order val="0"/>
          <c:tx>
            <c:strRef>
              <c:f>Sheet1!$B$1</c:f>
              <c:strCache>
                <c:ptCount val="1"/>
                <c:pt idx="0">
                  <c:v>Csr </c:v>
                </c:pt>
              </c:strCache>
            </c:strRef>
          </c:tx>
          <c:spPr>
            <a:solidFill>
              <a:srgbClr val="FFFF00"/>
            </a:solidFill>
          </c:spPr>
          <c:invertIfNegative val="0"/>
          <c:cat>
            <c:strRef>
              <c:f>Sheet1!$A$2:$A$13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Sheet1!$B$2:$B$13</c:f>
              <c:numCache>
                <c:formatCode>General</c:formatCode>
                <c:ptCount val="12"/>
                <c:pt idx="0">
                  <c:v>65.7</c:v>
                </c:pt>
                <c:pt idx="1">
                  <c:v>77.64</c:v>
                </c:pt>
                <c:pt idx="2">
                  <c:v>84.4</c:v>
                </c:pt>
                <c:pt idx="3">
                  <c:v>104.05</c:v>
                </c:pt>
                <c:pt idx="4">
                  <c:v>96.83</c:v>
                </c:pt>
                <c:pt idx="5">
                  <c:v>102.73</c:v>
                </c:pt>
                <c:pt idx="6">
                  <c:v>114.78</c:v>
                </c:pt>
                <c:pt idx="7">
                  <c:v>120.32</c:v>
                </c:pt>
                <c:pt idx="8">
                  <c:v>92.86</c:v>
                </c:pt>
                <c:pt idx="10">
                  <c:v>61.82</c:v>
                </c:pt>
                <c:pt idx="11">
                  <c:v>61.96</c:v>
                </c:pt>
              </c:numCache>
            </c:numRef>
          </c:val>
        </c:ser>
        <c:ser>
          <c:idx val="1"/>
          <c:order val="1"/>
          <c:tx>
            <c:strRef>
              <c:f>Sheet1!$C$1</c:f>
              <c:strCache>
                <c:ptCount val="1"/>
                <c:pt idx="0">
                  <c:v>Cmax </c:v>
                </c:pt>
              </c:strCache>
            </c:strRef>
          </c:tx>
          <c:invertIfNegative val="0"/>
          <c:cat>
            <c:strRef>
              <c:f>Sheet1!$A$2:$A$13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Sheet1!$C$2:$C$13</c:f>
              <c:numCache>
                <c:formatCode>General</c:formatCode>
                <c:ptCount val="12"/>
                <c:pt idx="0">
                  <c:v>84.09</c:v>
                </c:pt>
                <c:pt idx="1">
                  <c:v>117.88</c:v>
                </c:pt>
                <c:pt idx="2">
                  <c:v>114.2</c:v>
                </c:pt>
                <c:pt idx="3">
                  <c:v>130.15</c:v>
                </c:pt>
                <c:pt idx="4">
                  <c:v>118.11999999999999</c:v>
                </c:pt>
                <c:pt idx="5">
                  <c:v>118.94000000000008</c:v>
                </c:pt>
                <c:pt idx="6">
                  <c:v>141.63999999999999</c:v>
                </c:pt>
                <c:pt idx="7">
                  <c:v>146.84</c:v>
                </c:pt>
                <c:pt idx="8">
                  <c:v>120.29</c:v>
                </c:pt>
                <c:pt idx="10">
                  <c:v>70.400000000000006</c:v>
                </c:pt>
                <c:pt idx="11">
                  <c:v>91.149999999999991</c:v>
                </c:pt>
              </c:numCache>
            </c:numRef>
          </c:val>
        </c:ser>
        <c:dLbls>
          <c:showLegendKey val="0"/>
          <c:showVal val="0"/>
          <c:showCatName val="0"/>
          <c:showSerName val="0"/>
          <c:showPercent val="0"/>
          <c:showBubbleSize val="0"/>
        </c:dLbls>
        <c:gapWidth val="150"/>
        <c:axId val="202129792"/>
        <c:axId val="202131328"/>
      </c:barChart>
      <c:lineChart>
        <c:grouping val="standard"/>
        <c:varyColors val="0"/>
        <c:ser>
          <c:idx val="2"/>
          <c:order val="2"/>
          <c:tx>
            <c:strRef>
              <c:f>Sheet1!$D$1</c:f>
              <c:strCache>
                <c:ptCount val="1"/>
                <c:pt idx="0">
                  <c:v>max dozvoljena dnevna 8-časovna srednja vrijednost</c:v>
                </c:pt>
              </c:strCache>
            </c:strRef>
          </c:tx>
          <c:spPr>
            <a:ln w="41275">
              <a:solidFill>
                <a:srgbClr val="FF0000"/>
              </a:solidFill>
            </a:ln>
          </c:spPr>
          <c:marker>
            <c:symbol val="none"/>
          </c:marker>
          <c:cat>
            <c:strRef>
              <c:f>Sheet1!$A$2:$A$13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Sheet1!$D$2:$D$13</c:f>
              <c:numCache>
                <c:formatCode>General</c:formatCode>
                <c:ptCount val="12"/>
                <c:pt idx="0">
                  <c:v>120</c:v>
                </c:pt>
                <c:pt idx="1">
                  <c:v>120</c:v>
                </c:pt>
                <c:pt idx="2">
                  <c:v>120</c:v>
                </c:pt>
                <c:pt idx="3">
                  <c:v>120</c:v>
                </c:pt>
                <c:pt idx="4">
                  <c:v>120</c:v>
                </c:pt>
                <c:pt idx="5">
                  <c:v>120</c:v>
                </c:pt>
                <c:pt idx="6">
                  <c:v>120</c:v>
                </c:pt>
                <c:pt idx="7">
                  <c:v>120</c:v>
                </c:pt>
                <c:pt idx="8">
                  <c:v>120</c:v>
                </c:pt>
                <c:pt idx="9">
                  <c:v>120</c:v>
                </c:pt>
                <c:pt idx="10">
                  <c:v>120</c:v>
                </c:pt>
                <c:pt idx="11">
                  <c:v>120</c:v>
                </c:pt>
              </c:numCache>
            </c:numRef>
          </c:val>
          <c:smooth val="0"/>
        </c:ser>
        <c:dLbls>
          <c:showLegendKey val="0"/>
          <c:showVal val="0"/>
          <c:showCatName val="0"/>
          <c:showSerName val="0"/>
          <c:showPercent val="0"/>
          <c:showBubbleSize val="0"/>
        </c:dLbls>
        <c:marker val="1"/>
        <c:smooth val="0"/>
        <c:axId val="202129792"/>
        <c:axId val="202131328"/>
      </c:lineChart>
      <c:catAx>
        <c:axId val="202129792"/>
        <c:scaling>
          <c:orientation val="minMax"/>
        </c:scaling>
        <c:delete val="0"/>
        <c:axPos val="b"/>
        <c:majorTickMark val="out"/>
        <c:minorTickMark val="none"/>
        <c:tickLblPos val="nextTo"/>
        <c:crossAx val="202131328"/>
        <c:crosses val="autoZero"/>
        <c:auto val="1"/>
        <c:lblAlgn val="ctr"/>
        <c:lblOffset val="100"/>
        <c:noMultiLvlLbl val="0"/>
      </c:catAx>
      <c:valAx>
        <c:axId val="202131328"/>
        <c:scaling>
          <c:orientation val="minMax"/>
        </c:scaling>
        <c:delete val="0"/>
        <c:axPos val="l"/>
        <c:title>
          <c:tx>
            <c:rich>
              <a:bodyPr rot="0" vert="horz"/>
              <a:lstStyle/>
              <a:p>
                <a:pPr>
                  <a:defRPr/>
                </a:pPr>
                <a:r>
                  <a:rPr lang="en-US">
                    <a:latin typeface="Calibri"/>
                  </a:rPr>
                  <a:t>µg/m</a:t>
                </a:r>
                <a:r>
                  <a:rPr lang="en-US" baseline="30000">
                    <a:latin typeface="Calibri"/>
                  </a:rPr>
                  <a:t>3</a:t>
                </a:r>
                <a:endParaRPr lang="en-US" baseline="30000"/>
              </a:p>
            </c:rich>
          </c:tx>
          <c:layout>
            <c:manualLayout>
              <c:xMode val="edge"/>
              <c:yMode val="edge"/>
              <c:x val="8.8300220750551876E-3"/>
              <c:y val="2.2350539515894152E-3"/>
            </c:manualLayout>
          </c:layout>
          <c:overlay val="0"/>
        </c:title>
        <c:numFmt formatCode="General" sourceLinked="1"/>
        <c:majorTickMark val="out"/>
        <c:minorTickMark val="none"/>
        <c:tickLblPos val="nextTo"/>
        <c:crossAx val="202129792"/>
        <c:crosses val="autoZero"/>
        <c:crossBetween val="between"/>
      </c:valAx>
      <c:spPr>
        <a:blipFill dpi="0" rotWithShape="1">
          <a:blip xmlns:r="http://schemas.openxmlformats.org/officeDocument/2006/relationships" r:embed="rId1">
            <a:alphaModFix amt="70000"/>
          </a:blip>
          <a:srcRect/>
          <a:stretch>
            <a:fillRect/>
          </a:stretch>
        </a:blipFill>
      </c:spPr>
    </c:plotArea>
    <c:legend>
      <c:legendPos val="r"/>
      <c:layout>
        <c:manualLayout>
          <c:xMode val="edge"/>
          <c:yMode val="edge"/>
          <c:x val="0.76182295394893862"/>
          <c:y val="4.4217940094171716E-2"/>
          <c:w val="0.23590942740549256"/>
          <c:h val="0.89925480420475068"/>
        </c:manualLayout>
      </c:layout>
      <c:overlay val="1"/>
      <c:txPr>
        <a:bodyPr/>
        <a:lstStyle/>
        <a:p>
          <a:pPr>
            <a:defRPr sz="800"/>
          </a:pPr>
          <a:endParaRPr lang="en-US"/>
        </a:p>
      </c:txPr>
    </c:legend>
    <c:plotVisOnly val="1"/>
    <c:dispBlanksAs val="gap"/>
    <c:showDLblsOverMax val="0"/>
  </c:chart>
  <c:spPr>
    <a:ln>
      <a:noFill/>
    </a:ln>
  </c:spPr>
  <c:externalData r:id="rId2">
    <c:autoUpdate val="0"/>
  </c:externalData>
</c:chartSpace>
</file>

<file path=word/charts/chart1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5615853658536587E-2"/>
          <c:y val="2.9073446327683612E-2"/>
          <c:w val="0.77679112691558716"/>
          <c:h val="0.85103201506591342"/>
        </c:manualLayout>
      </c:layout>
      <c:barChart>
        <c:barDir val="bar"/>
        <c:grouping val="clustered"/>
        <c:varyColors val="0"/>
        <c:ser>
          <c:idx val="0"/>
          <c:order val="0"/>
          <c:tx>
            <c:v>2000-2012</c:v>
          </c:tx>
          <c:spPr>
            <a:solidFill>
              <a:srgbClr val="807B1A"/>
            </a:solidFill>
          </c:spPr>
          <c:invertIfNegative val="0"/>
          <c:cat>
            <c:strLit>
              <c:ptCount val="5"/>
              <c:pt idx="0">
                <c:v>Ugalj</c:v>
              </c:pt>
              <c:pt idx="1">
                <c:v>Naftni derivati</c:v>
              </c:pt>
              <c:pt idx="2">
                <c:v>OIE</c:v>
              </c:pt>
              <c:pt idx="3">
                <c:v>Ostali</c:v>
              </c:pt>
              <c:pt idx="4">
                <c:v>Ukupno</c:v>
              </c:pt>
            </c:strLit>
          </c:cat>
          <c:val>
            <c:numRef>
              <c:f>'E01'!$Q$7:$Q$11</c:f>
              <c:numCache>
                <c:formatCode>0.0%</c:formatCode>
                <c:ptCount val="5"/>
                <c:pt idx="0">
                  <c:v>3.688275654876394E-2</c:v>
                </c:pt>
                <c:pt idx="1">
                  <c:v>-1.1774605646328595E-2</c:v>
                </c:pt>
                <c:pt idx="2">
                  <c:v>-5.756118318593717E-2</c:v>
                </c:pt>
                <c:pt idx="3">
                  <c:v>-2.7261122957082273E-2</c:v>
                </c:pt>
                <c:pt idx="4">
                  <c:v>-1.7198425421535268E-2</c:v>
                </c:pt>
              </c:numCache>
            </c:numRef>
          </c:val>
        </c:ser>
        <c:ser>
          <c:idx val="1"/>
          <c:order val="1"/>
          <c:tx>
            <c:v>2011-2012</c:v>
          </c:tx>
          <c:spPr>
            <a:solidFill>
              <a:srgbClr val="C89800"/>
            </a:solidFill>
          </c:spPr>
          <c:invertIfNegative val="0"/>
          <c:cat>
            <c:strLit>
              <c:ptCount val="5"/>
              <c:pt idx="0">
                <c:v>Ugalj</c:v>
              </c:pt>
              <c:pt idx="1">
                <c:v>Naftni derivati</c:v>
              </c:pt>
              <c:pt idx="2">
                <c:v>OIE</c:v>
              </c:pt>
              <c:pt idx="3">
                <c:v>Ostali</c:v>
              </c:pt>
              <c:pt idx="4">
                <c:v>Ukupno</c:v>
              </c:pt>
            </c:strLit>
          </c:cat>
          <c:val>
            <c:numRef>
              <c:f>'E01'!$T$7:$T$11</c:f>
              <c:numCache>
                <c:formatCode>0.0%</c:formatCode>
                <c:ptCount val="5"/>
                <c:pt idx="0">
                  <c:v>-5.8331584008929238E-2</c:v>
                </c:pt>
                <c:pt idx="1">
                  <c:v>-2.5403208190524107E-2</c:v>
                </c:pt>
                <c:pt idx="2">
                  <c:v>0.36534159402723643</c:v>
                </c:pt>
                <c:pt idx="3">
                  <c:v>-0.11039729854156943</c:v>
                </c:pt>
                <c:pt idx="4">
                  <c:v>1.9486739788926011E-2</c:v>
                </c:pt>
              </c:numCache>
            </c:numRef>
          </c:val>
        </c:ser>
        <c:dLbls>
          <c:showLegendKey val="0"/>
          <c:showVal val="0"/>
          <c:showCatName val="0"/>
          <c:showSerName val="0"/>
          <c:showPercent val="0"/>
          <c:showBubbleSize val="0"/>
        </c:dLbls>
        <c:gapWidth val="150"/>
        <c:axId val="340461824"/>
        <c:axId val="340467712"/>
      </c:barChart>
      <c:catAx>
        <c:axId val="340461824"/>
        <c:scaling>
          <c:orientation val="minMax"/>
        </c:scaling>
        <c:delete val="0"/>
        <c:axPos val="l"/>
        <c:numFmt formatCode="General" sourceLinked="1"/>
        <c:majorTickMark val="out"/>
        <c:minorTickMark val="none"/>
        <c:tickLblPos val="nextTo"/>
        <c:txPr>
          <a:bodyPr/>
          <a:lstStyle/>
          <a:p>
            <a:pPr>
              <a:defRPr sz="1000" b="0">
                <a:solidFill>
                  <a:sysClr val="windowText" lastClr="000000"/>
                </a:solidFill>
                <a:latin typeface="Arial Unicode MS" pitchFamily="34" charset="-128"/>
                <a:ea typeface="Arial Unicode MS" pitchFamily="34" charset="-128"/>
                <a:cs typeface="Arial Unicode MS" pitchFamily="34" charset="-128"/>
              </a:defRPr>
            </a:pPr>
            <a:endParaRPr lang="en-US"/>
          </a:p>
        </c:txPr>
        <c:crossAx val="340467712"/>
        <c:crosses val="autoZero"/>
        <c:auto val="1"/>
        <c:lblAlgn val="ctr"/>
        <c:lblOffset val="100"/>
        <c:noMultiLvlLbl val="0"/>
      </c:catAx>
      <c:valAx>
        <c:axId val="340467712"/>
        <c:scaling>
          <c:orientation val="minMax"/>
        </c:scaling>
        <c:delete val="0"/>
        <c:axPos val="b"/>
        <c:majorGridlines/>
        <c:numFmt formatCode="0%" sourceLinked="0"/>
        <c:majorTickMark val="out"/>
        <c:minorTickMark val="none"/>
        <c:tickLblPos val="nextTo"/>
        <c:crossAx val="340461824"/>
        <c:crosses val="autoZero"/>
        <c:crossBetween val="between"/>
        <c:majorUnit val="0.1"/>
      </c:valAx>
    </c:plotArea>
    <c:legend>
      <c:legendPos val="r"/>
      <c:layout>
        <c:manualLayout>
          <c:xMode val="edge"/>
          <c:yMode val="edge"/>
          <c:x val="0.61590210027100278"/>
          <c:y val="0.11612570621468926"/>
          <c:w val="0.25008705962059619"/>
          <c:h val="0.16743438320209972"/>
        </c:manualLayout>
      </c:layout>
      <c:overlay val="0"/>
      <c:txPr>
        <a:bodyPr/>
        <a:lstStyle/>
        <a:p>
          <a:pPr>
            <a:defRPr b="0">
              <a:solidFill>
                <a:sysClr val="windowText" lastClr="000000"/>
              </a:solidFill>
            </a:defRPr>
          </a:pPr>
          <a:endParaRPr lang="en-US"/>
        </a:p>
      </c:txPr>
    </c:legend>
    <c:plotVisOnly val="1"/>
    <c:dispBlanksAs val="gap"/>
    <c:showDLblsOverMax val="0"/>
  </c:chart>
  <c:externalData r:id="rId1">
    <c:autoUpdate val="0"/>
  </c:externalData>
</c:chartSpace>
</file>

<file path=word/charts/chart1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1492775192762624E-2"/>
          <c:y val="3.3522121394018563E-2"/>
          <c:w val="0.87246837863859983"/>
          <c:h val="0.83251715108912938"/>
        </c:manualLayout>
      </c:layout>
      <c:areaChart>
        <c:grouping val="stacked"/>
        <c:varyColors val="0"/>
        <c:ser>
          <c:idx val="0"/>
          <c:order val="0"/>
          <c:tx>
            <c:strRef>
              <c:f>'E02'!$A$8</c:f>
              <c:strCache>
                <c:ptCount val="1"/>
                <c:pt idx="0">
                  <c:v>Industrija</c:v>
                </c:pt>
              </c:strCache>
            </c:strRef>
          </c:tx>
          <c:cat>
            <c:numLit>
              <c:formatCode>General</c:formatCode>
              <c:ptCount val="1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numLit>
          </c:cat>
          <c:val>
            <c:numRef>
              <c:f>'E02'!$B$8:$N$8</c:f>
              <c:numCache>
                <c:formatCode>0</c:formatCode>
                <c:ptCount val="13"/>
                <c:pt idx="0">
                  <c:v>273.03723846374322</c:v>
                </c:pt>
                <c:pt idx="1">
                  <c:v>295.15200152861377</c:v>
                </c:pt>
                <c:pt idx="2">
                  <c:v>323.28854972771569</c:v>
                </c:pt>
                <c:pt idx="3">
                  <c:v>335.97317760580876</c:v>
                </c:pt>
                <c:pt idx="4">
                  <c:v>341.8213432693226</c:v>
                </c:pt>
                <c:pt idx="5">
                  <c:v>345.55810284704313</c:v>
                </c:pt>
                <c:pt idx="6">
                  <c:v>349.1549584</c:v>
                </c:pt>
                <c:pt idx="7">
                  <c:v>366.1546462692271</c:v>
                </c:pt>
                <c:pt idx="8">
                  <c:v>344.73791817617268</c:v>
                </c:pt>
                <c:pt idx="9">
                  <c:v>171.00529034107194</c:v>
                </c:pt>
                <c:pt idx="10">
                  <c:v>171.98836127830322</c:v>
                </c:pt>
                <c:pt idx="11">
                  <c:v>190.727</c:v>
                </c:pt>
                <c:pt idx="12">
                  <c:v>231.45699999999999</c:v>
                </c:pt>
              </c:numCache>
            </c:numRef>
          </c:val>
        </c:ser>
        <c:ser>
          <c:idx val="1"/>
          <c:order val="1"/>
          <c:tx>
            <c:strRef>
              <c:f>'E02'!$A$9</c:f>
              <c:strCache>
                <c:ptCount val="1"/>
                <c:pt idx="0">
                  <c:v>Saobraćaj</c:v>
                </c:pt>
              </c:strCache>
            </c:strRef>
          </c:tx>
          <c:spPr>
            <a:solidFill>
              <a:schemeClr val="accent6">
                <a:lumMod val="75000"/>
              </a:schemeClr>
            </a:solidFill>
          </c:spPr>
          <c:cat>
            <c:numLit>
              <c:formatCode>General</c:formatCode>
              <c:ptCount val="1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numLit>
          </c:cat>
          <c:val>
            <c:numRef>
              <c:f>'E02'!$B$9:$N$9</c:f>
              <c:numCache>
                <c:formatCode>0</c:formatCode>
                <c:ptCount val="13"/>
                <c:pt idx="0">
                  <c:v>184.81358077768223</c:v>
                </c:pt>
                <c:pt idx="1">
                  <c:v>163.92925384541891</c:v>
                </c:pt>
                <c:pt idx="2">
                  <c:v>133.15152383682047</c:v>
                </c:pt>
                <c:pt idx="3">
                  <c:v>136.74995223082067</c:v>
                </c:pt>
                <c:pt idx="4">
                  <c:v>151.89569599694278</c:v>
                </c:pt>
                <c:pt idx="5">
                  <c:v>166.88282315849816</c:v>
                </c:pt>
                <c:pt idx="6">
                  <c:v>197.07042229999999</c:v>
                </c:pt>
                <c:pt idx="7">
                  <c:v>228.56169676124966</c:v>
                </c:pt>
                <c:pt idx="8">
                  <c:v>239.28891229578676</c:v>
                </c:pt>
                <c:pt idx="9">
                  <c:v>278.99369733447986</c:v>
                </c:pt>
                <c:pt idx="10">
                  <c:v>278.13870736600751</c:v>
                </c:pt>
                <c:pt idx="11">
                  <c:v>203.80760000000001</c:v>
                </c:pt>
                <c:pt idx="12">
                  <c:v>223.12100000000001</c:v>
                </c:pt>
              </c:numCache>
            </c:numRef>
          </c:val>
        </c:ser>
        <c:ser>
          <c:idx val="2"/>
          <c:order val="2"/>
          <c:tx>
            <c:strRef>
              <c:f>'E02'!$A$10</c:f>
              <c:strCache>
                <c:ptCount val="1"/>
                <c:pt idx="0">
                  <c:v>Domaćinstva</c:v>
                </c:pt>
              </c:strCache>
            </c:strRef>
          </c:tx>
          <c:cat>
            <c:numLit>
              <c:formatCode>General</c:formatCode>
              <c:ptCount val="1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numLit>
          </c:cat>
          <c:val>
            <c:numRef>
              <c:f>'E02'!$B$10:$N$10</c:f>
              <c:numCache>
                <c:formatCode>0</c:formatCode>
                <c:ptCount val="13"/>
                <c:pt idx="0">
                  <c:v>129.54738702589086</c:v>
                </c:pt>
                <c:pt idx="1">
                  <c:v>131.6279664660361</c:v>
                </c:pt>
                <c:pt idx="2">
                  <c:v>134.51895242189738</c:v>
                </c:pt>
                <c:pt idx="3">
                  <c:v>150.85728002292919</c:v>
                </c:pt>
                <c:pt idx="4">
                  <c:v>151.93027132893855</c:v>
                </c:pt>
                <c:pt idx="5">
                  <c:v>152.99691806447251</c:v>
                </c:pt>
                <c:pt idx="6">
                  <c:v>150.58095359999999</c:v>
                </c:pt>
                <c:pt idx="7">
                  <c:v>154.57437029529316</c:v>
                </c:pt>
                <c:pt idx="8">
                  <c:v>161.30348680432155</c:v>
                </c:pt>
                <c:pt idx="9">
                  <c:v>161.28303371365564</c:v>
                </c:pt>
                <c:pt idx="10">
                  <c:v>165.24959447459545</c:v>
                </c:pt>
                <c:pt idx="11">
                  <c:v>162.40700000000001</c:v>
                </c:pt>
                <c:pt idx="12">
                  <c:v>281.25099999999998</c:v>
                </c:pt>
              </c:numCache>
            </c:numRef>
          </c:val>
        </c:ser>
        <c:ser>
          <c:idx val="3"/>
          <c:order val="3"/>
          <c:tx>
            <c:strRef>
              <c:f>'E02'!$A$11</c:f>
              <c:strCache>
                <c:ptCount val="1"/>
                <c:pt idx="0">
                  <c:v>Usluge*</c:v>
                </c:pt>
              </c:strCache>
            </c:strRef>
          </c:tx>
          <c:spPr>
            <a:solidFill>
              <a:srgbClr val="CDC800"/>
            </a:solidFill>
          </c:spPr>
          <c:cat>
            <c:numLit>
              <c:formatCode>General</c:formatCode>
              <c:ptCount val="1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numLit>
          </c:cat>
          <c:val>
            <c:numRef>
              <c:f>'E02'!$B$11:$N$11</c:f>
              <c:numCache>
                <c:formatCode>0</c:formatCode>
                <c:ptCount val="13"/>
                <c:pt idx="0">
                  <c:v>64.237787809305431</c:v>
                </c:pt>
                <c:pt idx="1">
                  <c:v>70.814722461068129</c:v>
                </c:pt>
                <c:pt idx="2">
                  <c:v>77.259393809114357</c:v>
                </c:pt>
                <c:pt idx="3">
                  <c:v>81.551750740422293</c:v>
                </c:pt>
                <c:pt idx="4">
                  <c:v>77.434334097640203</c:v>
                </c:pt>
                <c:pt idx="5">
                  <c:v>73.210538358651007</c:v>
                </c:pt>
                <c:pt idx="6">
                  <c:v>65.194464029807975</c:v>
                </c:pt>
                <c:pt idx="7">
                  <c:v>92.172402789720053</c:v>
                </c:pt>
                <c:pt idx="8">
                  <c:v>91.621232205980675</c:v>
                </c:pt>
                <c:pt idx="9">
                  <c:v>92.122338540173942</c:v>
                </c:pt>
                <c:pt idx="10">
                  <c:v>89.753831804719596</c:v>
                </c:pt>
                <c:pt idx="11">
                  <c:v>98.831999999999994</c:v>
                </c:pt>
                <c:pt idx="12">
                  <c:v>8.8699999999999992</c:v>
                </c:pt>
              </c:numCache>
            </c:numRef>
          </c:val>
        </c:ser>
        <c:ser>
          <c:idx val="4"/>
          <c:order val="4"/>
          <c:tx>
            <c:strRef>
              <c:f>'E02'!$A$12</c:f>
              <c:strCache>
                <c:ptCount val="1"/>
                <c:pt idx="0">
                  <c:v>Poljoprivreda</c:v>
                </c:pt>
              </c:strCache>
            </c:strRef>
          </c:tx>
          <c:spPr>
            <a:solidFill>
              <a:srgbClr val="FF00FF"/>
            </a:solidFill>
          </c:spPr>
          <c:cat>
            <c:numLit>
              <c:formatCode>General</c:formatCode>
              <c:ptCount val="1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numLit>
          </c:cat>
          <c:val>
            <c:numRef>
              <c:f>'E02'!$B$12:$N$12</c:f>
              <c:numCache>
                <c:formatCode>0</c:formatCode>
                <c:ptCount val="13"/>
                <c:pt idx="0">
                  <c:v>8.360537880959205</c:v>
                </c:pt>
                <c:pt idx="1">
                  <c:v>7.4840689786949461</c:v>
                </c:pt>
                <c:pt idx="2">
                  <c:v>7.7514091907901008</c:v>
                </c:pt>
                <c:pt idx="3">
                  <c:v>7.0688353874080443</c:v>
                </c:pt>
                <c:pt idx="4">
                  <c:v>7.2673402120951547</c:v>
                </c:pt>
                <c:pt idx="5">
                  <c:v>7.1985081685296635</c:v>
                </c:pt>
                <c:pt idx="6">
                  <c:v>6.4166095820000004</c:v>
                </c:pt>
                <c:pt idx="7">
                  <c:v>11.232229148753225</c:v>
                </c:pt>
                <c:pt idx="8">
                  <c:v>9.9992677414732007</c:v>
                </c:pt>
                <c:pt idx="9">
                  <c:v>7.8258022833667713</c:v>
                </c:pt>
                <c:pt idx="10">
                  <c:v>8.7437677940193002</c:v>
                </c:pt>
                <c:pt idx="11">
                  <c:v>7.9829999999999997</c:v>
                </c:pt>
                <c:pt idx="12">
                  <c:v>3.9009999999999998</c:v>
                </c:pt>
              </c:numCache>
            </c:numRef>
          </c:val>
        </c:ser>
        <c:dLbls>
          <c:showLegendKey val="0"/>
          <c:showVal val="0"/>
          <c:showCatName val="0"/>
          <c:showSerName val="0"/>
          <c:showPercent val="0"/>
          <c:showBubbleSize val="0"/>
        </c:dLbls>
        <c:axId val="340494976"/>
        <c:axId val="340509056"/>
      </c:areaChart>
      <c:catAx>
        <c:axId val="340494976"/>
        <c:scaling>
          <c:orientation val="minMax"/>
        </c:scaling>
        <c:delete val="0"/>
        <c:axPos val="b"/>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340509056"/>
        <c:crosses val="autoZero"/>
        <c:auto val="1"/>
        <c:lblAlgn val="ctr"/>
        <c:lblOffset val="100"/>
        <c:noMultiLvlLbl val="0"/>
      </c:catAx>
      <c:valAx>
        <c:axId val="340509056"/>
        <c:scaling>
          <c:orientation val="minMax"/>
        </c:scaling>
        <c:delete val="0"/>
        <c:axPos val="l"/>
        <c:majorGridlines/>
        <c:numFmt formatCode="0"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340494976"/>
        <c:crosses val="autoZero"/>
        <c:crossBetween val="midCat"/>
      </c:valAx>
    </c:plotArea>
    <c:legend>
      <c:legendPos val="r"/>
      <c:layout>
        <c:manualLayout>
          <c:xMode val="edge"/>
          <c:yMode val="edge"/>
          <c:x val="0.14274884244120647"/>
          <c:y val="3.8212098487689E-2"/>
          <c:w val="0.79614678818414031"/>
          <c:h val="5.2848180972894086E-2"/>
        </c:manualLayout>
      </c:layout>
      <c:overlay val="0"/>
      <c:txPr>
        <a:bodyPr/>
        <a:lstStyle/>
        <a:p>
          <a:pPr>
            <a:defRPr sz="1100" b="0" i="0" u="none" strike="noStrike" baseline="0">
              <a:solidFill>
                <a:srgbClr val="000000"/>
              </a:solidFill>
              <a:latin typeface="Calibri"/>
              <a:ea typeface="Calibri"/>
              <a:cs typeface="Calibri"/>
            </a:defRPr>
          </a:pPr>
          <a:endParaRPr lang="en-US"/>
        </a:p>
      </c:txPr>
    </c:legend>
    <c:plotVisOnly val="1"/>
    <c:dispBlanksAs val="zero"/>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userShapes r:id="rId2"/>
</c:chartSpace>
</file>

<file path=word/charts/chart1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3.1289088863892006E-2"/>
          <c:y val="0.22894477290684684"/>
          <c:w val="0.90476833252986233"/>
          <c:h val="0.76701813657375872"/>
        </c:manualLayout>
      </c:layout>
      <c:pieChart>
        <c:varyColors val="1"/>
        <c:ser>
          <c:idx val="0"/>
          <c:order val="0"/>
          <c:explosion val="25"/>
          <c:dPt>
            <c:idx val="0"/>
            <c:bubble3D val="0"/>
          </c:dPt>
          <c:dPt>
            <c:idx val="1"/>
            <c:bubble3D val="0"/>
            <c:spPr>
              <a:solidFill>
                <a:schemeClr val="accent6">
                  <a:lumMod val="75000"/>
                </a:schemeClr>
              </a:solidFill>
            </c:spPr>
          </c:dPt>
          <c:dPt>
            <c:idx val="2"/>
            <c:bubble3D val="0"/>
          </c:dPt>
          <c:dPt>
            <c:idx val="3"/>
            <c:bubble3D val="0"/>
            <c:spPr>
              <a:solidFill>
                <a:srgbClr val="CDC800"/>
              </a:solidFill>
            </c:spPr>
          </c:dPt>
          <c:dPt>
            <c:idx val="4"/>
            <c:bubble3D val="0"/>
            <c:spPr>
              <a:solidFill>
                <a:srgbClr val="FF00FF"/>
              </a:solidFill>
            </c:spPr>
          </c:dPt>
          <c:dLbls>
            <c:dLbl>
              <c:idx val="3"/>
              <c:layout>
                <c:manualLayout>
                  <c:x val="-5.373785419679683E-2"/>
                  <c:y val="5.6661308339917719E-2"/>
                </c:manualLayout>
              </c:layout>
              <c:showLegendKey val="0"/>
              <c:showVal val="0"/>
              <c:showCatName val="0"/>
              <c:showSerName val="0"/>
              <c:showPercent val="1"/>
              <c:showBubbleSize val="0"/>
            </c:dLbl>
            <c:dLbl>
              <c:idx val="4"/>
              <c:layout>
                <c:manualLayout>
                  <c:x val="0.11835149177781348"/>
                  <c:y val="3.7968558428466338E-2"/>
                </c:manualLayout>
              </c:layout>
              <c:showLegendKey val="0"/>
              <c:showVal val="0"/>
              <c:showCatName val="0"/>
              <c:showSerName val="0"/>
              <c:showPercent val="1"/>
              <c:showBubbleSize val="0"/>
            </c:dLbl>
            <c:txPr>
              <a:bodyPr/>
              <a:lstStyle/>
              <a:p>
                <a:pPr>
                  <a:defRPr sz="1000" b="0" i="0" u="none" strike="noStrike" baseline="0">
                    <a:solidFill>
                      <a:srgbClr val="000000"/>
                    </a:solidFill>
                    <a:latin typeface="Calibri"/>
                    <a:ea typeface="Calibri"/>
                    <a:cs typeface="Calibri"/>
                  </a:defRPr>
                </a:pPr>
                <a:endParaRPr lang="en-US"/>
              </a:p>
            </c:txPr>
            <c:showLegendKey val="0"/>
            <c:showVal val="0"/>
            <c:showCatName val="0"/>
            <c:showSerName val="0"/>
            <c:showPercent val="1"/>
            <c:showBubbleSize val="0"/>
            <c:showLeaderLines val="1"/>
          </c:dLbls>
          <c:cat>
            <c:strLit>
              <c:ptCount val="5"/>
              <c:pt idx="0">
                <c:v>Industrija</c:v>
              </c:pt>
              <c:pt idx="1">
                <c:v>Saobraćaj</c:v>
              </c:pt>
              <c:pt idx="2">
                <c:v>Domaćinstva</c:v>
              </c:pt>
              <c:pt idx="3">
                <c:v>Usluge</c:v>
              </c:pt>
              <c:pt idx="4">
                <c:v>Poljoprivreda</c:v>
              </c:pt>
            </c:strLit>
          </c:cat>
          <c:val>
            <c:numRef>
              <c:f>'E02'!$N$8:$N$12</c:f>
              <c:numCache>
                <c:formatCode>0</c:formatCode>
                <c:ptCount val="5"/>
                <c:pt idx="0">
                  <c:v>231.45699999999999</c:v>
                </c:pt>
                <c:pt idx="1">
                  <c:v>223.12100000000001</c:v>
                </c:pt>
                <c:pt idx="2">
                  <c:v>281.25099999999998</c:v>
                </c:pt>
                <c:pt idx="3">
                  <c:v>8.8699999999999992</c:v>
                </c:pt>
                <c:pt idx="4">
                  <c:v>3.9009999999999998</c:v>
                </c:pt>
              </c:numCache>
            </c:numRef>
          </c:val>
        </c:ser>
        <c:dLbls>
          <c:showLegendKey val="0"/>
          <c:showVal val="0"/>
          <c:showCatName val="0"/>
          <c:showSerName val="0"/>
          <c:showPercent val="1"/>
          <c:showBubbleSize val="0"/>
          <c:showLeaderLines val="1"/>
        </c:dLbls>
        <c:firstSliceAng val="0"/>
      </c:pieChart>
      <c:spPr>
        <a:noFill/>
        <a:ln w="25400">
          <a:noFill/>
        </a:ln>
      </c:spPr>
    </c:plotArea>
    <c:legend>
      <c:legendPos val="t"/>
      <c:layout>
        <c:manualLayout>
          <c:xMode val="edge"/>
          <c:yMode val="edge"/>
          <c:x val="0"/>
          <c:y val="2.768166089965398E-2"/>
          <c:w val="1"/>
          <c:h val="0.15108991998837515"/>
        </c:manualLayout>
      </c:layout>
      <c:overlay val="0"/>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1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1.7955895048002717E-3"/>
          <c:y val="0.19504743279639064"/>
          <c:w val="0.72286010760282859"/>
          <c:h val="0.71104866793611576"/>
        </c:manualLayout>
      </c:layout>
      <c:pieChart>
        <c:varyColors val="1"/>
        <c:ser>
          <c:idx val="0"/>
          <c:order val="0"/>
          <c:explosion val="25"/>
          <c:dPt>
            <c:idx val="0"/>
            <c:bubble3D val="0"/>
          </c:dPt>
          <c:dPt>
            <c:idx val="1"/>
            <c:bubble3D val="0"/>
            <c:spPr>
              <a:solidFill>
                <a:srgbClr val="FFC000"/>
              </a:solidFill>
            </c:spPr>
          </c:dPt>
          <c:dPt>
            <c:idx val="2"/>
            <c:bubble3D val="0"/>
          </c:dPt>
          <c:dPt>
            <c:idx val="3"/>
            <c:bubble3D val="0"/>
          </c:dPt>
          <c:dPt>
            <c:idx val="4"/>
            <c:bubble3D val="0"/>
          </c:dPt>
          <c:dPt>
            <c:idx val="5"/>
            <c:bubble3D val="0"/>
          </c:dPt>
          <c:dPt>
            <c:idx val="6"/>
            <c:bubble3D val="0"/>
          </c:dPt>
          <c:dPt>
            <c:idx val="7"/>
            <c:bubble3D val="0"/>
          </c:dPt>
          <c:dPt>
            <c:idx val="8"/>
            <c:bubble3D val="0"/>
            <c:spPr>
              <a:solidFill>
                <a:srgbClr val="009999"/>
              </a:solidFill>
            </c:spPr>
          </c:dPt>
          <c:dLbls>
            <c:dLbl>
              <c:idx val="4"/>
              <c:layout>
                <c:manualLayout>
                  <c:x val="-1.0726013414989794E-2"/>
                  <c:y val="2.9622338874307377E-3"/>
                </c:manualLayout>
              </c:layout>
              <c:showLegendKey val="0"/>
              <c:showVal val="0"/>
              <c:showCatName val="0"/>
              <c:showSerName val="0"/>
              <c:showPercent val="1"/>
              <c:showBubbleSize val="0"/>
            </c:dLbl>
            <c:dLbl>
              <c:idx val="6"/>
              <c:layout>
                <c:manualLayout>
                  <c:x val="1.9074074074074074E-3"/>
                  <c:y val="5.6978346456692912E-2"/>
                </c:manualLayout>
              </c:layout>
              <c:showLegendKey val="0"/>
              <c:showVal val="0"/>
              <c:showCatName val="0"/>
              <c:showSerName val="0"/>
              <c:showPercent val="1"/>
              <c:showBubbleSize val="0"/>
            </c:dLbl>
            <c:dLbl>
              <c:idx val="7"/>
              <c:layout>
                <c:manualLayout>
                  <c:x val="1.7185185185185182E-2"/>
                  <c:y val="-7.3414625255176433E-2"/>
                </c:manualLayout>
              </c:layout>
              <c:showLegendKey val="0"/>
              <c:showVal val="0"/>
              <c:showCatName val="0"/>
              <c:showSerName val="0"/>
              <c:showPercent val="1"/>
              <c:showBubbleSize val="0"/>
            </c:dLbl>
            <c:showLegendKey val="0"/>
            <c:showVal val="0"/>
            <c:showCatName val="0"/>
            <c:showSerName val="0"/>
            <c:showPercent val="1"/>
            <c:showBubbleSize val="0"/>
            <c:showLeaderLines val="1"/>
          </c:dLbls>
          <c:cat>
            <c:strLit>
              <c:ptCount val="9"/>
              <c:pt idx="0">
                <c:v>Crna metalurgija</c:v>
              </c:pt>
              <c:pt idx="1">
                <c:v>Obojeni metali</c:v>
              </c:pt>
              <c:pt idx="2">
                <c:v>Hemijska industrija</c:v>
              </c:pt>
              <c:pt idx="3">
                <c:v>Nemetalni minerali</c:v>
              </c:pt>
              <c:pt idx="4">
                <c:v>Vađenje rude i kamena</c:v>
              </c:pt>
              <c:pt idx="5">
                <c:v>Prehrambeni proizvodi</c:v>
              </c:pt>
              <c:pt idx="6">
                <c:v>Tekstil i koža</c:v>
              </c:pt>
              <c:pt idx="7">
                <c:v>Papir,celuloza i štampa</c:v>
              </c:pt>
              <c:pt idx="8">
                <c:v>Ostala industrija</c:v>
              </c:pt>
            </c:strLit>
          </c:cat>
          <c:val>
            <c:numRef>
              <c:f>'E02'!$I$49:$I$57</c:f>
              <c:numCache>
                <c:formatCode>0.0</c:formatCode>
                <c:ptCount val="9"/>
                <c:pt idx="0">
                  <c:v>10.68</c:v>
                </c:pt>
                <c:pt idx="1">
                  <c:v>119.53</c:v>
                </c:pt>
                <c:pt idx="2">
                  <c:v>13.28</c:v>
                </c:pt>
                <c:pt idx="3">
                  <c:v>1.98</c:v>
                </c:pt>
                <c:pt idx="4">
                  <c:v>3.4</c:v>
                </c:pt>
                <c:pt idx="5">
                  <c:v>10.84</c:v>
                </c:pt>
                <c:pt idx="6">
                  <c:v>0.09</c:v>
                </c:pt>
                <c:pt idx="7">
                  <c:v>0.34</c:v>
                </c:pt>
                <c:pt idx="8">
                  <c:v>71.319999999999993</c:v>
                </c:pt>
              </c:numCache>
            </c:numRef>
          </c:val>
        </c:ser>
        <c:dLbls>
          <c:showLegendKey val="0"/>
          <c:showVal val="0"/>
          <c:showCatName val="0"/>
          <c:showSerName val="0"/>
          <c:showPercent val="0"/>
          <c:showBubbleSize val="0"/>
          <c:showLeaderLines val="1"/>
        </c:dLbls>
        <c:firstSliceAng val="0"/>
      </c:pieChart>
      <c:spPr>
        <a:ln>
          <a:solidFill>
            <a:schemeClr val="bg1"/>
          </a:solidFill>
        </a:ln>
      </c:spPr>
    </c:plotArea>
    <c:legend>
      <c:legendPos val="t"/>
      <c:layout>
        <c:manualLayout>
          <c:xMode val="edge"/>
          <c:yMode val="edge"/>
          <c:x val="0.64735880858343187"/>
          <c:y val="1.0592705762525957E-3"/>
          <c:w val="0.34934802478763638"/>
          <c:h val="0.99894072942374745"/>
        </c:manualLayout>
      </c:layout>
      <c:overlay val="0"/>
      <c:txPr>
        <a:bodyPr/>
        <a:lstStyle/>
        <a:p>
          <a:pPr>
            <a:defRPr sz="900"/>
          </a:pPr>
          <a:endParaRPr lang="en-US"/>
        </a:p>
      </c:txPr>
    </c:legend>
    <c:plotVisOnly val="1"/>
    <c:dispBlanksAs val="gap"/>
    <c:showDLblsOverMax val="0"/>
  </c:chart>
  <c:externalData r:id="rId2">
    <c:autoUpdate val="0"/>
  </c:externalData>
</c:chartSpace>
</file>

<file path=word/charts/chart1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manualLayout>
          <c:layoutTarget val="inner"/>
          <c:xMode val="edge"/>
          <c:yMode val="edge"/>
          <c:x val="0.11443376917334874"/>
          <c:y val="1.9055486916594443E-2"/>
          <c:w val="0.88360519155289075"/>
          <c:h val="0.8359437498427712"/>
        </c:manualLayout>
      </c:layout>
      <c:barChart>
        <c:barDir val="col"/>
        <c:grouping val="stacked"/>
        <c:varyColors val="0"/>
        <c:ser>
          <c:idx val="0"/>
          <c:order val="0"/>
          <c:tx>
            <c:strRef>
              <c:f>'E02'!$A$49</c:f>
              <c:strCache>
                <c:ptCount val="1"/>
                <c:pt idx="0">
                  <c:v>Crna metalurgija</c:v>
                </c:pt>
              </c:strCache>
            </c:strRef>
          </c:tx>
          <c:invertIfNegative val="0"/>
          <c:cat>
            <c:numRef>
              <c:f>'E02'!$B$48:$I$48</c:f>
              <c:numCache>
                <c:formatCode>General</c:formatCode>
                <c:ptCount val="8"/>
                <c:pt idx="0">
                  <c:v>2005</c:v>
                </c:pt>
                <c:pt idx="1">
                  <c:v>2006</c:v>
                </c:pt>
                <c:pt idx="2">
                  <c:v>2007</c:v>
                </c:pt>
                <c:pt idx="3">
                  <c:v>2008</c:v>
                </c:pt>
                <c:pt idx="4">
                  <c:v>2009</c:v>
                </c:pt>
                <c:pt idx="5">
                  <c:v>2010</c:v>
                </c:pt>
                <c:pt idx="6">
                  <c:v>2011</c:v>
                </c:pt>
                <c:pt idx="7">
                  <c:v>2012</c:v>
                </c:pt>
              </c:numCache>
            </c:numRef>
          </c:cat>
          <c:val>
            <c:numRef>
              <c:f>'E02'!$B$49:$I$49</c:f>
              <c:numCache>
                <c:formatCode>0.0</c:formatCode>
                <c:ptCount val="8"/>
                <c:pt idx="0">
                  <c:v>21.234000000000002</c:v>
                </c:pt>
                <c:pt idx="1">
                  <c:v>25.861999999999998</c:v>
                </c:pt>
                <c:pt idx="2">
                  <c:v>28.627687016337056</c:v>
                </c:pt>
                <c:pt idx="3">
                  <c:v>35.101605044425334</c:v>
                </c:pt>
                <c:pt idx="4">
                  <c:v>18.918983471863953</c:v>
                </c:pt>
                <c:pt idx="5">
                  <c:v>23.349120091716824</c:v>
                </c:pt>
                <c:pt idx="6">
                  <c:v>15.452999999999999</c:v>
                </c:pt>
                <c:pt idx="7">
                  <c:v>10.68</c:v>
                </c:pt>
              </c:numCache>
            </c:numRef>
          </c:val>
        </c:ser>
        <c:ser>
          <c:idx val="1"/>
          <c:order val="1"/>
          <c:tx>
            <c:strRef>
              <c:f>'E02'!$A$50</c:f>
              <c:strCache>
                <c:ptCount val="1"/>
                <c:pt idx="0">
                  <c:v>Obojeni metali</c:v>
                </c:pt>
              </c:strCache>
            </c:strRef>
          </c:tx>
          <c:spPr>
            <a:solidFill>
              <a:srgbClr val="FFCC00"/>
            </a:solidFill>
          </c:spPr>
          <c:invertIfNegative val="0"/>
          <c:cat>
            <c:numRef>
              <c:f>'E02'!$B$48:$I$48</c:f>
              <c:numCache>
                <c:formatCode>General</c:formatCode>
                <c:ptCount val="8"/>
                <c:pt idx="0">
                  <c:v>2005</c:v>
                </c:pt>
                <c:pt idx="1">
                  <c:v>2006</c:v>
                </c:pt>
                <c:pt idx="2">
                  <c:v>2007</c:v>
                </c:pt>
                <c:pt idx="3">
                  <c:v>2008</c:v>
                </c:pt>
                <c:pt idx="4">
                  <c:v>2009</c:v>
                </c:pt>
                <c:pt idx="5">
                  <c:v>2010</c:v>
                </c:pt>
                <c:pt idx="6">
                  <c:v>2011</c:v>
                </c:pt>
                <c:pt idx="7">
                  <c:v>2012</c:v>
                </c:pt>
              </c:numCache>
            </c:numRef>
          </c:cat>
          <c:val>
            <c:numRef>
              <c:f>'E02'!$B$50:$I$50</c:f>
              <c:numCache>
                <c:formatCode>0.0</c:formatCode>
                <c:ptCount val="8"/>
                <c:pt idx="0">
                  <c:v>286.51400000000001</c:v>
                </c:pt>
                <c:pt idx="1">
                  <c:v>298.36799999999999</c:v>
                </c:pt>
                <c:pt idx="2">
                  <c:v>305.43700000000001</c:v>
                </c:pt>
                <c:pt idx="3">
                  <c:v>269.82799999999997</c:v>
                </c:pt>
                <c:pt idx="4">
                  <c:v>137.69399999999999</c:v>
                </c:pt>
                <c:pt idx="5">
                  <c:v>134.54126397248496</c:v>
                </c:pt>
                <c:pt idx="6">
                  <c:v>154.26</c:v>
                </c:pt>
                <c:pt idx="7">
                  <c:v>119.53</c:v>
                </c:pt>
              </c:numCache>
            </c:numRef>
          </c:val>
        </c:ser>
        <c:ser>
          <c:idx val="2"/>
          <c:order val="2"/>
          <c:tx>
            <c:strRef>
              <c:f>'E02'!$A$51</c:f>
              <c:strCache>
                <c:ptCount val="1"/>
                <c:pt idx="0">
                  <c:v>Hemijska industrija</c:v>
                </c:pt>
              </c:strCache>
            </c:strRef>
          </c:tx>
          <c:invertIfNegative val="0"/>
          <c:cat>
            <c:numRef>
              <c:f>'E02'!$B$48:$I$48</c:f>
              <c:numCache>
                <c:formatCode>General</c:formatCode>
                <c:ptCount val="8"/>
                <c:pt idx="0">
                  <c:v>2005</c:v>
                </c:pt>
                <c:pt idx="1">
                  <c:v>2006</c:v>
                </c:pt>
                <c:pt idx="2">
                  <c:v>2007</c:v>
                </c:pt>
                <c:pt idx="3">
                  <c:v>2008</c:v>
                </c:pt>
                <c:pt idx="4">
                  <c:v>2009</c:v>
                </c:pt>
                <c:pt idx="5">
                  <c:v>2010</c:v>
                </c:pt>
                <c:pt idx="6">
                  <c:v>2011</c:v>
                </c:pt>
                <c:pt idx="7">
                  <c:v>2012</c:v>
                </c:pt>
              </c:numCache>
            </c:numRef>
          </c:cat>
          <c:val>
            <c:numRef>
              <c:f>'E02'!$B$51:$I$51</c:f>
              <c:numCache>
                <c:formatCode>0.0</c:formatCode>
                <c:ptCount val="8"/>
                <c:pt idx="0">
                  <c:v>0.13989681857265693</c:v>
                </c:pt>
                <c:pt idx="1">
                  <c:v>0.33798605100000001</c:v>
                </c:pt>
                <c:pt idx="2">
                  <c:v>0.15425623387790199</c:v>
                </c:pt>
                <c:pt idx="3">
                  <c:v>0.1693895098882201</c:v>
                </c:pt>
                <c:pt idx="4">
                  <c:v>0.15434221840068788</c:v>
                </c:pt>
                <c:pt idx="5">
                  <c:v>0.15752364574376612</c:v>
                </c:pt>
                <c:pt idx="6">
                  <c:v>0.51900000000000002</c:v>
                </c:pt>
                <c:pt idx="7">
                  <c:v>13.28</c:v>
                </c:pt>
              </c:numCache>
            </c:numRef>
          </c:val>
        </c:ser>
        <c:ser>
          <c:idx val="3"/>
          <c:order val="3"/>
          <c:tx>
            <c:strRef>
              <c:f>'E02'!$A$52</c:f>
              <c:strCache>
                <c:ptCount val="1"/>
                <c:pt idx="0">
                  <c:v>Nemetalni minerali</c:v>
                </c:pt>
              </c:strCache>
            </c:strRef>
          </c:tx>
          <c:invertIfNegative val="0"/>
          <c:cat>
            <c:numRef>
              <c:f>'E02'!$B$48:$I$48</c:f>
              <c:numCache>
                <c:formatCode>General</c:formatCode>
                <c:ptCount val="8"/>
                <c:pt idx="0">
                  <c:v>2005</c:v>
                </c:pt>
                <c:pt idx="1">
                  <c:v>2006</c:v>
                </c:pt>
                <c:pt idx="2">
                  <c:v>2007</c:v>
                </c:pt>
                <c:pt idx="3">
                  <c:v>2008</c:v>
                </c:pt>
                <c:pt idx="4">
                  <c:v>2009</c:v>
                </c:pt>
                <c:pt idx="5">
                  <c:v>2010</c:v>
                </c:pt>
                <c:pt idx="6">
                  <c:v>2011</c:v>
                </c:pt>
                <c:pt idx="7">
                  <c:v>2012</c:v>
                </c:pt>
              </c:numCache>
            </c:numRef>
          </c:cat>
          <c:val>
            <c:numRef>
              <c:f>'E02'!$B$52:$I$52</c:f>
              <c:numCache>
                <c:formatCode>0.0</c:formatCode>
                <c:ptCount val="8"/>
                <c:pt idx="0">
                  <c:v>1.5802044520875129</c:v>
                </c:pt>
                <c:pt idx="1">
                  <c:v>1.500191077</c:v>
                </c:pt>
                <c:pt idx="2">
                  <c:v>1.8202445781981464</c:v>
                </c:pt>
                <c:pt idx="3">
                  <c:v>1.9802713289385685</c:v>
                </c:pt>
                <c:pt idx="4">
                  <c:v>1.1221219069456387</c:v>
                </c:pt>
                <c:pt idx="5">
                  <c:v>1.0201108244960351</c:v>
                </c:pt>
                <c:pt idx="6">
                  <c:v>0</c:v>
                </c:pt>
                <c:pt idx="7">
                  <c:v>1.98</c:v>
                </c:pt>
              </c:numCache>
            </c:numRef>
          </c:val>
        </c:ser>
        <c:ser>
          <c:idx val="4"/>
          <c:order val="4"/>
          <c:tx>
            <c:strRef>
              <c:f>'E02'!$A$53</c:f>
              <c:strCache>
                <c:ptCount val="1"/>
                <c:pt idx="0">
                  <c:v>Vađenje rude i kamena</c:v>
                </c:pt>
              </c:strCache>
            </c:strRef>
          </c:tx>
          <c:invertIfNegative val="0"/>
          <c:cat>
            <c:numRef>
              <c:f>'E02'!$B$48:$I$48</c:f>
              <c:numCache>
                <c:formatCode>General</c:formatCode>
                <c:ptCount val="8"/>
                <c:pt idx="0">
                  <c:v>2005</c:v>
                </c:pt>
                <c:pt idx="1">
                  <c:v>2006</c:v>
                </c:pt>
                <c:pt idx="2">
                  <c:v>2007</c:v>
                </c:pt>
                <c:pt idx="3">
                  <c:v>2008</c:v>
                </c:pt>
                <c:pt idx="4">
                  <c:v>2009</c:v>
                </c:pt>
                <c:pt idx="5">
                  <c:v>2010</c:v>
                </c:pt>
                <c:pt idx="6">
                  <c:v>2011</c:v>
                </c:pt>
                <c:pt idx="7">
                  <c:v>2012</c:v>
                </c:pt>
              </c:numCache>
            </c:numRef>
          </c:cat>
          <c:val>
            <c:numRef>
              <c:f>'E02'!$B$53:$I$53</c:f>
              <c:numCache>
                <c:formatCode>0.0</c:formatCode>
                <c:ptCount val="8"/>
                <c:pt idx="0">
                  <c:v>1.0201108244960351</c:v>
                </c:pt>
                <c:pt idx="1">
                  <c:v>1.0201108000000001</c:v>
                </c:pt>
                <c:pt idx="2">
                  <c:v>1.0201108244960351</c:v>
                </c:pt>
                <c:pt idx="3">
                  <c:v>1.0201108244960351</c:v>
                </c:pt>
                <c:pt idx="4">
                  <c:v>1.3261440718448458</c:v>
                </c:pt>
                <c:pt idx="5">
                  <c:v>1.0201108244960351</c:v>
                </c:pt>
                <c:pt idx="6">
                  <c:v>7.0679999999999996</c:v>
                </c:pt>
                <c:pt idx="7">
                  <c:v>3.4</c:v>
                </c:pt>
              </c:numCache>
            </c:numRef>
          </c:val>
        </c:ser>
        <c:ser>
          <c:idx val="5"/>
          <c:order val="5"/>
          <c:tx>
            <c:strRef>
              <c:f>'E02'!$A$54</c:f>
              <c:strCache>
                <c:ptCount val="1"/>
                <c:pt idx="0">
                  <c:v>Prehrambeni proizvodi, pića i duvana</c:v>
                </c:pt>
              </c:strCache>
            </c:strRef>
          </c:tx>
          <c:invertIfNegative val="0"/>
          <c:cat>
            <c:numRef>
              <c:f>'E02'!$B$48:$I$48</c:f>
              <c:numCache>
                <c:formatCode>General</c:formatCode>
                <c:ptCount val="8"/>
                <c:pt idx="0">
                  <c:v>2005</c:v>
                </c:pt>
                <c:pt idx="1">
                  <c:v>2006</c:v>
                </c:pt>
                <c:pt idx="2">
                  <c:v>2007</c:v>
                </c:pt>
                <c:pt idx="3">
                  <c:v>2008</c:v>
                </c:pt>
                <c:pt idx="4">
                  <c:v>2009</c:v>
                </c:pt>
                <c:pt idx="5">
                  <c:v>2010</c:v>
                </c:pt>
                <c:pt idx="6">
                  <c:v>2011</c:v>
                </c:pt>
                <c:pt idx="7">
                  <c:v>2012</c:v>
                </c:pt>
              </c:numCache>
            </c:numRef>
          </c:cat>
          <c:val>
            <c:numRef>
              <c:f>'E02'!$B$54:$I$54</c:f>
              <c:numCache>
                <c:formatCode>0.0</c:formatCode>
                <c:ptCount val="8"/>
                <c:pt idx="0">
                  <c:v>6.8063915161937514</c:v>
                </c:pt>
                <c:pt idx="1">
                  <c:v>7.3768115999999999</c:v>
                </c:pt>
                <c:pt idx="2">
                  <c:v>7.5837871405369253</c:v>
                </c:pt>
                <c:pt idx="3">
                  <c:v>8.6990732779210855</c:v>
                </c:pt>
                <c:pt idx="4">
                  <c:v>3.5116986720168146</c:v>
                </c:pt>
                <c:pt idx="5">
                  <c:v>3.6127304862902458</c:v>
                </c:pt>
                <c:pt idx="6">
                  <c:v>6.1449999999999996</c:v>
                </c:pt>
                <c:pt idx="7">
                  <c:v>10.84</c:v>
                </c:pt>
              </c:numCache>
            </c:numRef>
          </c:val>
        </c:ser>
        <c:ser>
          <c:idx val="6"/>
          <c:order val="6"/>
          <c:tx>
            <c:strRef>
              <c:f>'E02'!$A$55</c:f>
              <c:strCache>
                <c:ptCount val="1"/>
                <c:pt idx="0">
                  <c:v>Tekstil i koža</c:v>
                </c:pt>
              </c:strCache>
            </c:strRef>
          </c:tx>
          <c:invertIfNegative val="0"/>
          <c:cat>
            <c:numRef>
              <c:f>'E02'!$B$48:$I$48</c:f>
              <c:numCache>
                <c:formatCode>General</c:formatCode>
                <c:ptCount val="8"/>
                <c:pt idx="0">
                  <c:v>2005</c:v>
                </c:pt>
                <c:pt idx="1">
                  <c:v>2006</c:v>
                </c:pt>
                <c:pt idx="2">
                  <c:v>2007</c:v>
                </c:pt>
                <c:pt idx="3">
                  <c:v>2008</c:v>
                </c:pt>
                <c:pt idx="4">
                  <c:v>2009</c:v>
                </c:pt>
                <c:pt idx="5">
                  <c:v>2010</c:v>
                </c:pt>
                <c:pt idx="6">
                  <c:v>2011</c:v>
                </c:pt>
                <c:pt idx="7">
                  <c:v>2012</c:v>
                </c:pt>
              </c:numCache>
            </c:numRef>
          </c:cat>
          <c:val>
            <c:numRef>
              <c:f>'E02'!$B$55:$I$55</c:f>
              <c:numCache>
                <c:formatCode>0.0</c:formatCode>
                <c:ptCount val="8"/>
                <c:pt idx="0">
                  <c:v>5.4138865004299221</c:v>
                </c:pt>
                <c:pt idx="1">
                  <c:v>2.6133324</c:v>
                </c:pt>
                <c:pt idx="2">
                  <c:v>2.3397344033629501</c:v>
                </c:pt>
                <c:pt idx="3">
                  <c:v>0.45647272379860521</c:v>
                </c:pt>
                <c:pt idx="4">
                  <c:v>3.9036973344797936E-2</c:v>
                </c:pt>
                <c:pt idx="5">
                  <c:v>3.1814273430782462E-2</c:v>
                </c:pt>
                <c:pt idx="6">
                  <c:v>3.4000000000000002E-2</c:v>
                </c:pt>
                <c:pt idx="7">
                  <c:v>0.09</c:v>
                </c:pt>
              </c:numCache>
            </c:numRef>
          </c:val>
        </c:ser>
        <c:ser>
          <c:idx val="7"/>
          <c:order val="7"/>
          <c:tx>
            <c:strRef>
              <c:f>'E02'!$A$56</c:f>
              <c:strCache>
                <c:ptCount val="1"/>
                <c:pt idx="0">
                  <c:v>Papir, celuloza i štampanje</c:v>
                </c:pt>
              </c:strCache>
            </c:strRef>
          </c:tx>
          <c:invertIfNegative val="0"/>
          <c:cat>
            <c:numRef>
              <c:f>'E02'!$B$48:$I$48</c:f>
              <c:numCache>
                <c:formatCode>General</c:formatCode>
                <c:ptCount val="8"/>
                <c:pt idx="0">
                  <c:v>2005</c:v>
                </c:pt>
                <c:pt idx="1">
                  <c:v>2006</c:v>
                </c:pt>
                <c:pt idx="2">
                  <c:v>2007</c:v>
                </c:pt>
                <c:pt idx="3">
                  <c:v>2008</c:v>
                </c:pt>
                <c:pt idx="4">
                  <c:v>2009</c:v>
                </c:pt>
                <c:pt idx="5">
                  <c:v>2010</c:v>
                </c:pt>
                <c:pt idx="6">
                  <c:v>2011</c:v>
                </c:pt>
                <c:pt idx="7">
                  <c:v>2012</c:v>
                </c:pt>
              </c:numCache>
            </c:numRef>
          </c:cat>
          <c:val>
            <c:numRef>
              <c:f>'E02'!$B$56:$I$56</c:f>
              <c:numCache>
                <c:formatCode>0.0</c:formatCode>
                <c:ptCount val="8"/>
                <c:pt idx="0">
                  <c:v>2.4591573516766978E-2</c:v>
                </c:pt>
                <c:pt idx="1">
                  <c:v>2.57954E-2</c:v>
                </c:pt>
                <c:pt idx="2">
                  <c:v>2.5795356835769563E-2</c:v>
                </c:pt>
                <c:pt idx="3">
                  <c:v>2.4333619948409282E-2</c:v>
                </c:pt>
                <c:pt idx="4">
                  <c:v>2.4247635425623387E-2</c:v>
                </c:pt>
                <c:pt idx="5">
                  <c:v>2.3817712811693897E-2</c:v>
                </c:pt>
                <c:pt idx="6">
                  <c:v>2.7E-2</c:v>
                </c:pt>
                <c:pt idx="7">
                  <c:v>0.34</c:v>
                </c:pt>
              </c:numCache>
            </c:numRef>
          </c:val>
        </c:ser>
        <c:ser>
          <c:idx val="8"/>
          <c:order val="8"/>
          <c:tx>
            <c:strRef>
              <c:f>'E02'!$A$57</c:f>
              <c:strCache>
                <c:ptCount val="1"/>
                <c:pt idx="0">
                  <c:v>Ostala industrija</c:v>
                </c:pt>
              </c:strCache>
            </c:strRef>
          </c:tx>
          <c:spPr>
            <a:solidFill>
              <a:srgbClr val="009999"/>
            </a:solidFill>
          </c:spPr>
          <c:invertIfNegative val="0"/>
          <c:cat>
            <c:numRef>
              <c:f>'E02'!$B$48:$I$48</c:f>
              <c:numCache>
                <c:formatCode>General</c:formatCode>
                <c:ptCount val="8"/>
                <c:pt idx="0">
                  <c:v>2005</c:v>
                </c:pt>
                <c:pt idx="1">
                  <c:v>2006</c:v>
                </c:pt>
                <c:pt idx="2">
                  <c:v>2007</c:v>
                </c:pt>
                <c:pt idx="3">
                  <c:v>2008</c:v>
                </c:pt>
                <c:pt idx="4">
                  <c:v>2009</c:v>
                </c:pt>
                <c:pt idx="5">
                  <c:v>2010</c:v>
                </c:pt>
                <c:pt idx="6">
                  <c:v>2011</c:v>
                </c:pt>
                <c:pt idx="7">
                  <c:v>2012</c:v>
                </c:pt>
              </c:numCache>
            </c:numRef>
          </c:cat>
          <c:val>
            <c:numRef>
              <c:f>'E02'!$B$57:$I$57</c:f>
              <c:numCache>
                <c:formatCode>0.0</c:formatCode>
                <c:ptCount val="8"/>
                <c:pt idx="0">
                  <c:v>22.824116747874275</c:v>
                </c:pt>
                <c:pt idx="1">
                  <c:v>12.051520999999999</c:v>
                </c:pt>
                <c:pt idx="2">
                  <c:v>19.145373554982324</c:v>
                </c:pt>
                <c:pt idx="3">
                  <c:v>27.458316332282415</c:v>
                </c:pt>
                <c:pt idx="4">
                  <c:v>8.2143651476067649</c:v>
                </c:pt>
                <c:pt idx="5">
                  <c:v>8.2318694468329028</c:v>
                </c:pt>
                <c:pt idx="6">
                  <c:v>7.2210000000000001</c:v>
                </c:pt>
                <c:pt idx="7">
                  <c:v>71.319999999999993</c:v>
                </c:pt>
              </c:numCache>
            </c:numRef>
          </c:val>
        </c:ser>
        <c:dLbls>
          <c:showLegendKey val="0"/>
          <c:showVal val="0"/>
          <c:showCatName val="0"/>
          <c:showSerName val="0"/>
          <c:showPercent val="0"/>
          <c:showBubbleSize val="0"/>
        </c:dLbls>
        <c:gapWidth val="150"/>
        <c:overlap val="100"/>
        <c:axId val="340567936"/>
        <c:axId val="340569472"/>
      </c:barChart>
      <c:catAx>
        <c:axId val="340567936"/>
        <c:scaling>
          <c:orientation val="minMax"/>
        </c:scaling>
        <c:delete val="0"/>
        <c:axPos val="b"/>
        <c:numFmt formatCode="General" sourceLinked="1"/>
        <c:majorTickMark val="out"/>
        <c:minorTickMark val="none"/>
        <c:tickLblPos val="nextTo"/>
        <c:txPr>
          <a:bodyPr rot="0" vert="horz"/>
          <a:lstStyle/>
          <a:p>
            <a:pPr>
              <a:defRPr/>
            </a:pPr>
            <a:endParaRPr lang="en-US"/>
          </a:p>
        </c:txPr>
        <c:crossAx val="340569472"/>
        <c:crosses val="autoZero"/>
        <c:auto val="1"/>
        <c:lblAlgn val="ctr"/>
        <c:lblOffset val="100"/>
        <c:noMultiLvlLbl val="0"/>
      </c:catAx>
      <c:valAx>
        <c:axId val="340569472"/>
        <c:scaling>
          <c:orientation val="minMax"/>
        </c:scaling>
        <c:delete val="0"/>
        <c:axPos val="l"/>
        <c:title>
          <c:tx>
            <c:rich>
              <a:bodyPr/>
              <a:lstStyle/>
              <a:p>
                <a:pPr>
                  <a:defRPr b="0"/>
                </a:pPr>
                <a:r>
                  <a:rPr lang="en-US" b="0"/>
                  <a:t>Potrošnja finalne energije, kt</a:t>
                </a:r>
                <a:r>
                  <a:rPr lang="sr-Latn-ME" b="0"/>
                  <a:t>oe</a:t>
                </a:r>
                <a:r>
                  <a:rPr lang="en-US" b="0"/>
                  <a:t>
</a:t>
                </a:r>
              </a:p>
            </c:rich>
          </c:tx>
          <c:layout>
            <c:manualLayout>
              <c:xMode val="edge"/>
              <c:yMode val="edge"/>
              <c:x val="2.9922223024874185E-3"/>
              <c:y val="4.7407530523064567E-2"/>
            </c:manualLayout>
          </c:layout>
          <c:overlay val="0"/>
        </c:title>
        <c:numFmt formatCode="0" sourceLinked="0"/>
        <c:majorTickMark val="out"/>
        <c:minorTickMark val="none"/>
        <c:tickLblPos val="nextTo"/>
        <c:txPr>
          <a:bodyPr rot="0" vert="horz"/>
          <a:lstStyle/>
          <a:p>
            <a:pPr>
              <a:defRPr/>
            </a:pPr>
            <a:endParaRPr lang="en-US"/>
          </a:p>
        </c:txPr>
        <c:crossAx val="340567936"/>
        <c:crosses val="autoZero"/>
        <c:crossBetween val="between"/>
      </c:valAx>
    </c:plotArea>
    <c:legend>
      <c:legendPos val="r"/>
      <c:layout>
        <c:manualLayout>
          <c:xMode val="edge"/>
          <c:yMode val="edge"/>
          <c:x val="0.56566659442799005"/>
          <c:y val="1.2074875864791307E-2"/>
          <c:w val="0.40986857376772856"/>
          <c:h val="0.48569533030007134"/>
        </c:manualLayout>
      </c:layout>
      <c:overlay val="0"/>
    </c:legend>
    <c:plotVisOnly val="1"/>
    <c:dispBlanksAs val="gap"/>
    <c:showDLblsOverMax val="0"/>
  </c:chart>
  <c:externalData r:id="rId1">
    <c:autoUpdate val="0"/>
  </c:externalData>
  <c:userShapes r:id="rId2"/>
</c:chartSpace>
</file>

<file path=word/charts/chart1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manualLayout>
          <c:layoutTarget val="inner"/>
          <c:xMode val="edge"/>
          <c:yMode val="edge"/>
          <c:x val="0.10404098526145771"/>
          <c:y val="1.8336678503422365E-2"/>
          <c:w val="0.89404590485823943"/>
          <c:h val="0.85244512313993159"/>
        </c:manualLayout>
      </c:layout>
      <c:lineChart>
        <c:grouping val="standard"/>
        <c:varyColors val="0"/>
        <c:ser>
          <c:idx val="0"/>
          <c:order val="0"/>
          <c:tx>
            <c:v>Potrošnja primarne energije</c:v>
          </c:tx>
          <c:spPr>
            <a:ln w="38100">
              <a:solidFill>
                <a:srgbClr val="FF6600"/>
              </a:solidFill>
              <a:prstDash val="solid"/>
            </a:ln>
          </c:spPr>
          <c:marker>
            <c:symbol val="none"/>
          </c:marker>
          <c:cat>
            <c:numRef>
              <c:f>'E03'!$B$5:$N$5</c:f>
              <c:numCache>
                <c:formatCode>General</c:formatCode>
                <c:ptCount val="1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numCache>
            </c:numRef>
          </c:cat>
          <c:val>
            <c:numRef>
              <c:f>'E03'!$B$10:$N$10</c:f>
              <c:numCache>
                <c:formatCode>0</c:formatCode>
                <c:ptCount val="13"/>
                <c:pt idx="0" formatCode="General">
                  <c:v>100</c:v>
                </c:pt>
                <c:pt idx="1">
                  <c:v>101.35450723960766</c:v>
                </c:pt>
                <c:pt idx="2">
                  <c:v>95.796356842596936</c:v>
                </c:pt>
                <c:pt idx="3">
                  <c:v>102.42995332478866</c:v>
                </c:pt>
                <c:pt idx="4">
                  <c:v>116.38443909950549</c:v>
                </c:pt>
                <c:pt idx="5">
                  <c:v>78.652031760859401</c:v>
                </c:pt>
                <c:pt idx="6">
                  <c:v>82.634827962011528</c:v>
                </c:pt>
                <c:pt idx="7">
                  <c:v>85.216954694068207</c:v>
                </c:pt>
                <c:pt idx="8">
                  <c:v>92.189241787326793</c:v>
                </c:pt>
                <c:pt idx="9">
                  <c:v>72.244044838860361</c:v>
                </c:pt>
                <c:pt idx="10">
                  <c:v>84.142067569671482</c:v>
                </c:pt>
                <c:pt idx="11">
                  <c:v>79.190098085007008</c:v>
                </c:pt>
                <c:pt idx="12">
                  <c:v>82.282422543982563</c:v>
                </c:pt>
              </c:numCache>
            </c:numRef>
          </c:val>
          <c:smooth val="0"/>
        </c:ser>
        <c:ser>
          <c:idx val="1"/>
          <c:order val="1"/>
          <c:tx>
            <c:v>BDP</c:v>
          </c:tx>
          <c:spPr>
            <a:ln w="38100">
              <a:solidFill>
                <a:srgbClr val="006411"/>
              </a:solidFill>
              <a:prstDash val="solid"/>
            </a:ln>
          </c:spPr>
          <c:marker>
            <c:symbol val="none"/>
          </c:marker>
          <c:cat>
            <c:numRef>
              <c:f>'E03'!$B$5:$N$5</c:f>
              <c:numCache>
                <c:formatCode>General</c:formatCode>
                <c:ptCount val="1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numCache>
            </c:numRef>
          </c:cat>
          <c:val>
            <c:numRef>
              <c:f>'E03'!$B$11:$N$11</c:f>
              <c:numCache>
                <c:formatCode>0</c:formatCode>
                <c:ptCount val="13"/>
                <c:pt idx="0" formatCode="General">
                  <c:v>100</c:v>
                </c:pt>
                <c:pt idx="1">
                  <c:v>101.1661971830986</c:v>
                </c:pt>
                <c:pt idx="2">
                  <c:v>123.92187793427229</c:v>
                </c:pt>
                <c:pt idx="3">
                  <c:v>130.90384976525823</c:v>
                </c:pt>
                <c:pt idx="4">
                  <c:v>148.07201877934273</c:v>
                </c:pt>
                <c:pt idx="5">
                  <c:v>163.34178403755868</c:v>
                </c:pt>
                <c:pt idx="6">
                  <c:v>185.02103286384977</c:v>
                </c:pt>
                <c:pt idx="7">
                  <c:v>223.28976525821597</c:v>
                </c:pt>
                <c:pt idx="8">
                  <c:v>269.11032863849766</c:v>
                </c:pt>
                <c:pt idx="9">
                  <c:v>273.33990610328641</c:v>
                </c:pt>
                <c:pt idx="10">
                  <c:v>286.79906103286385</c:v>
                </c:pt>
                <c:pt idx="11">
                  <c:v>300.84507042253523</c:v>
                </c:pt>
                <c:pt idx="12">
                  <c:v>295.96244131455398</c:v>
                </c:pt>
              </c:numCache>
            </c:numRef>
          </c:val>
          <c:smooth val="0"/>
        </c:ser>
        <c:ser>
          <c:idx val="2"/>
          <c:order val="2"/>
          <c:tx>
            <c:v>Energetski intezitet</c:v>
          </c:tx>
          <c:spPr>
            <a:ln w="38100">
              <a:solidFill>
                <a:srgbClr val="0000D4"/>
              </a:solidFill>
              <a:prstDash val="solid"/>
            </a:ln>
          </c:spPr>
          <c:marker>
            <c:symbol val="none"/>
          </c:marker>
          <c:cat>
            <c:numRef>
              <c:f>'E03'!$B$5:$N$5</c:f>
              <c:numCache>
                <c:formatCode>General</c:formatCode>
                <c:ptCount val="1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numCache>
            </c:numRef>
          </c:cat>
          <c:val>
            <c:numRef>
              <c:f>'E03'!$B$12:$N$12</c:f>
              <c:numCache>
                <c:formatCode>0</c:formatCode>
                <c:ptCount val="13"/>
                <c:pt idx="0" formatCode="General">
                  <c:v>100</c:v>
                </c:pt>
                <c:pt idx="1">
                  <c:v>100.18613930517549</c:v>
                </c:pt>
                <c:pt idx="2">
                  <c:v>77.303829186164336</c:v>
                </c:pt>
                <c:pt idx="3">
                  <c:v>78.248236020919151</c:v>
                </c:pt>
                <c:pt idx="4">
                  <c:v>78.599886770600378</c:v>
                </c:pt>
                <c:pt idx="5">
                  <c:v>48.151813832750982</c:v>
                </c:pt>
                <c:pt idx="6">
                  <c:v>44.662396854534634</c:v>
                </c:pt>
                <c:pt idx="7">
                  <c:v>38.164290510817601</c:v>
                </c:pt>
                <c:pt idx="8">
                  <c:v>34.257043292889293</c:v>
                </c:pt>
                <c:pt idx="9">
                  <c:v>26.43011255427945</c:v>
                </c:pt>
                <c:pt idx="10">
                  <c:v>29.338334395742599</c:v>
                </c:pt>
                <c:pt idx="11">
                  <c:v>26.322551329754202</c:v>
                </c:pt>
                <c:pt idx="12">
                  <c:v>27.801643403978886</c:v>
                </c:pt>
              </c:numCache>
            </c:numRef>
          </c:val>
          <c:smooth val="0"/>
        </c:ser>
        <c:dLbls>
          <c:showLegendKey val="0"/>
          <c:showVal val="0"/>
          <c:showCatName val="0"/>
          <c:showSerName val="0"/>
          <c:showPercent val="0"/>
          <c:showBubbleSize val="0"/>
        </c:dLbls>
        <c:marker val="1"/>
        <c:smooth val="0"/>
        <c:axId val="341268736"/>
        <c:axId val="341278720"/>
      </c:lineChart>
      <c:catAx>
        <c:axId val="341268736"/>
        <c:scaling>
          <c:orientation val="minMax"/>
        </c:scaling>
        <c:delete val="0"/>
        <c:axPos val="b"/>
        <c:numFmt formatCode="General" sourceLinked="1"/>
        <c:majorTickMark val="out"/>
        <c:minorTickMark val="none"/>
        <c:tickLblPos val="nextTo"/>
        <c:spPr>
          <a:ln w="3175">
            <a:solidFill>
              <a:srgbClr val="808080"/>
            </a:solidFill>
            <a:prstDash val="solid"/>
          </a:ln>
        </c:spPr>
        <c:txPr>
          <a:bodyPr rot="0" vert="horz"/>
          <a:lstStyle/>
          <a:p>
            <a:pPr>
              <a:defRPr sz="1000" b="0" i="0" u="none" strike="noStrike" baseline="0">
                <a:solidFill>
                  <a:srgbClr val="000000"/>
                </a:solidFill>
                <a:latin typeface="Calibri"/>
                <a:ea typeface="Calibri"/>
                <a:cs typeface="Calibri"/>
              </a:defRPr>
            </a:pPr>
            <a:endParaRPr lang="en-US"/>
          </a:p>
        </c:txPr>
        <c:crossAx val="341278720"/>
        <c:crosses val="autoZero"/>
        <c:auto val="1"/>
        <c:lblAlgn val="ctr"/>
        <c:lblOffset val="100"/>
        <c:noMultiLvlLbl val="0"/>
      </c:catAx>
      <c:valAx>
        <c:axId val="341278720"/>
        <c:scaling>
          <c:orientation val="minMax"/>
        </c:scaling>
        <c:delete val="0"/>
        <c:axPos val="l"/>
        <c:title>
          <c:tx>
            <c:rich>
              <a:bodyPr/>
              <a:lstStyle/>
              <a:p>
                <a:pPr>
                  <a:defRPr sz="1000" b="0" i="0" u="none" strike="noStrike" baseline="0">
                    <a:solidFill>
                      <a:srgbClr val="000000"/>
                    </a:solidFill>
                    <a:latin typeface="Calibri"/>
                    <a:ea typeface="Calibri"/>
                    <a:cs typeface="Calibri"/>
                  </a:defRPr>
                </a:pPr>
                <a:r>
                  <a:rPr lang="en-US"/>
                  <a:t>Indeks (2000=100)</a:t>
                </a:r>
              </a:p>
            </c:rich>
          </c:tx>
          <c:layout>
            <c:manualLayout>
              <c:xMode val="edge"/>
              <c:yMode val="edge"/>
              <c:x val="5.4052981749374354E-3"/>
              <c:y val="4.0200599925009371E-2"/>
            </c:manualLayout>
          </c:layout>
          <c:overlay val="0"/>
          <c:spPr>
            <a:noFill/>
            <a:ln w="25400">
              <a:noFill/>
            </a:ln>
          </c:spPr>
        </c:title>
        <c:numFmt formatCode="General" sourceLinked="1"/>
        <c:majorTickMark val="out"/>
        <c:minorTickMark val="none"/>
        <c:tickLblPos val="nextTo"/>
        <c:spPr>
          <a:ln w="3175">
            <a:solidFill>
              <a:srgbClr val="808080"/>
            </a:solidFill>
            <a:prstDash val="solid"/>
          </a:ln>
        </c:spPr>
        <c:txPr>
          <a:bodyPr rot="0" vert="horz"/>
          <a:lstStyle/>
          <a:p>
            <a:pPr>
              <a:defRPr sz="1000" b="0" i="0" u="none" strike="noStrike" baseline="0">
                <a:solidFill>
                  <a:srgbClr val="000000"/>
                </a:solidFill>
                <a:latin typeface="Calibri"/>
                <a:ea typeface="Calibri"/>
                <a:cs typeface="Calibri"/>
              </a:defRPr>
            </a:pPr>
            <a:endParaRPr lang="en-US"/>
          </a:p>
        </c:txPr>
        <c:crossAx val="341268736"/>
        <c:crosses val="autoZero"/>
        <c:crossBetween val="between"/>
      </c:valAx>
      <c:spPr>
        <a:solidFill>
          <a:srgbClr val="FFFFFF"/>
        </a:solidFill>
        <a:ln w="25400">
          <a:noFill/>
        </a:ln>
      </c:spPr>
    </c:plotArea>
    <c:legend>
      <c:legendPos val="r"/>
      <c:layout>
        <c:manualLayout>
          <c:xMode val="edge"/>
          <c:yMode val="edge"/>
          <c:x val="9.5573002502594151E-2"/>
          <c:y val="6.590280381618964E-2"/>
          <c:w val="0.37176616004394802"/>
          <c:h val="0.19099904178644339"/>
        </c:manualLayout>
      </c:layout>
      <c:overlay val="0"/>
      <c:spPr>
        <a:noFill/>
        <a:ln w="25400">
          <a:noFill/>
        </a:ln>
      </c:spPr>
      <c:txPr>
        <a:bodyPr/>
        <a:lstStyle/>
        <a:p>
          <a:pPr>
            <a:defRPr sz="1100" b="0" i="0" u="none" strike="noStrike" baseline="0">
              <a:solidFill>
                <a:srgbClr val="000000"/>
              </a:solidFill>
              <a:latin typeface="Calibri"/>
              <a:ea typeface="Calibri"/>
              <a:cs typeface="Calibri"/>
            </a:defRPr>
          </a:pPr>
          <a:endParaRPr lang="en-US"/>
        </a:p>
      </c:txPr>
    </c:legend>
    <c:plotVisOnly val="1"/>
    <c:dispBlanksAs val="gap"/>
    <c:showDLblsOverMax val="0"/>
  </c:chart>
  <c:spPr>
    <a:solidFill>
      <a:srgbClr val="FFFFFF"/>
    </a:solidFill>
    <a:ln w="3175">
      <a:solidFill>
        <a:srgbClr val="808080"/>
      </a:solidFill>
      <a:prstDash val="solid"/>
    </a:ln>
  </c:spPr>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userShapes r:id="rId2"/>
</c:chartSpace>
</file>

<file path=word/charts/chart1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688615892956515"/>
          <c:y val="4.7013114973843986E-2"/>
          <c:w val="0.74706265375364667"/>
          <c:h val="0.78127777777777774"/>
        </c:manualLayout>
      </c:layout>
      <c:barChart>
        <c:barDir val="col"/>
        <c:grouping val="clustered"/>
        <c:varyColors val="0"/>
        <c:ser>
          <c:idx val="2"/>
          <c:order val="2"/>
          <c:tx>
            <c:v>Razdvajanje</c:v>
          </c:tx>
          <c:invertIfNegative val="0"/>
          <c:dPt>
            <c:idx val="6"/>
            <c:invertIfNegative val="0"/>
            <c:bubble3D val="0"/>
            <c:spPr>
              <a:solidFill>
                <a:schemeClr val="lt1"/>
              </a:solidFill>
              <a:ln w="25400" cap="flat" cmpd="sng" algn="ctr">
                <a:solidFill>
                  <a:schemeClr val="accent3"/>
                </a:solidFill>
                <a:prstDash val="solid"/>
              </a:ln>
              <a:effectLst/>
            </c:spPr>
          </c:dPt>
          <c:dPt>
            <c:idx val="12"/>
            <c:invertIfNegative val="0"/>
            <c:bubble3D val="0"/>
            <c:spPr>
              <a:solidFill>
                <a:schemeClr val="lt1"/>
              </a:solidFill>
              <a:ln w="25400" cap="flat" cmpd="sng" algn="ctr">
                <a:solidFill>
                  <a:schemeClr val="accent3"/>
                </a:solidFill>
                <a:prstDash val="solid"/>
              </a:ln>
              <a:effectLst/>
            </c:spPr>
          </c:dPt>
          <c:dPt>
            <c:idx val="13"/>
            <c:invertIfNegative val="0"/>
            <c:bubble3D val="0"/>
            <c:spPr>
              <a:solidFill>
                <a:schemeClr val="lt1"/>
              </a:solidFill>
              <a:ln w="25400" cap="flat" cmpd="sng" algn="ctr">
                <a:solidFill>
                  <a:schemeClr val="accent3"/>
                </a:solidFill>
                <a:prstDash val="solid"/>
              </a:ln>
              <a:effectLst/>
            </c:spPr>
          </c:dPt>
          <c:cat>
            <c:numLit>
              <c:formatCode>General</c:formatCode>
              <c:ptCount val="1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numLit>
          </c:cat>
          <c:val>
            <c:numRef>
              <c:f>'S01'!$B$12:$O$12</c:f>
              <c:numCache>
                <c:formatCode>#,##0.00</c:formatCode>
                <c:ptCount val="14"/>
                <c:pt idx="1">
                  <c:v>0.11094368372711794</c:v>
                </c:pt>
                <c:pt idx="2">
                  <c:v>0.26844552779429931</c:v>
                </c:pt>
                <c:pt idx="3">
                  <c:v>0.12097230494129041</c:v>
                </c:pt>
                <c:pt idx="4">
                  <c:v>0.29969856255347427</c:v>
                </c:pt>
                <c:pt idx="5">
                  <c:v>0.1817529159841369</c:v>
                </c:pt>
                <c:pt idx="6">
                  <c:v>-4.5932382492045898E-2</c:v>
                </c:pt>
                <c:pt idx="7">
                  <c:v>0.15438254274880481</c:v>
                </c:pt>
                <c:pt idx="8">
                  <c:v>0.17959958493618222</c:v>
                </c:pt>
                <c:pt idx="9">
                  <c:v>0.20290230167805401</c:v>
                </c:pt>
                <c:pt idx="10">
                  <c:v>0.18735816073217681</c:v>
                </c:pt>
                <c:pt idx="11">
                  <c:v>0.19248163905577342</c:v>
                </c:pt>
                <c:pt idx="12">
                  <c:v>-0.21448445949076733</c:v>
                </c:pt>
                <c:pt idx="13">
                  <c:v>-2.4983376661508627E-2</c:v>
                </c:pt>
              </c:numCache>
            </c:numRef>
          </c:val>
        </c:ser>
        <c:dLbls>
          <c:showLegendKey val="0"/>
          <c:showVal val="0"/>
          <c:showCatName val="0"/>
          <c:showSerName val="0"/>
          <c:showPercent val="0"/>
          <c:showBubbleSize val="0"/>
        </c:dLbls>
        <c:gapWidth val="150"/>
        <c:axId val="341979136"/>
        <c:axId val="341980672"/>
      </c:barChart>
      <c:lineChart>
        <c:grouping val="standard"/>
        <c:varyColors val="0"/>
        <c:ser>
          <c:idx val="0"/>
          <c:order val="0"/>
          <c:tx>
            <c:v>pkm</c:v>
          </c:tx>
          <c:marker>
            <c:symbol val="none"/>
          </c:marker>
          <c:cat>
            <c:numLit>
              <c:formatCode>General</c:formatCode>
              <c:ptCount val="1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numLit>
          </c:cat>
          <c:val>
            <c:numRef>
              <c:f>'S01'!$B$9:$O$9</c:f>
              <c:numCache>
                <c:formatCode>#,##0.00</c:formatCode>
                <c:ptCount val="14"/>
                <c:pt idx="0">
                  <c:v>100</c:v>
                </c:pt>
                <c:pt idx="1">
                  <c:v>89.942446598941643</c:v>
                </c:pt>
                <c:pt idx="2">
                  <c:v>80.597937347908385</c:v>
                </c:pt>
                <c:pt idx="3">
                  <c:v>74.839507126578866</c:v>
                </c:pt>
                <c:pt idx="4">
                  <c:v>59.283865734481829</c:v>
                </c:pt>
                <c:pt idx="5">
                  <c:v>53.51127248380908</c:v>
                </c:pt>
                <c:pt idx="6">
                  <c:v>63.397581984626676</c:v>
                </c:pt>
                <c:pt idx="7">
                  <c:v>64.698520607207698</c:v>
                </c:pt>
                <c:pt idx="8">
                  <c:v>63.970798408590518</c:v>
                </c:pt>
                <c:pt idx="9">
                  <c:v>51.792395740790816</c:v>
                </c:pt>
                <c:pt idx="10">
                  <c:v>44.161098021038534</c:v>
                </c:pt>
                <c:pt idx="11">
                  <c:v>37.407393101317162</c:v>
                </c:pt>
                <c:pt idx="12">
                  <c:v>44.693370414719254</c:v>
                </c:pt>
                <c:pt idx="13">
                  <c:v>46.866751644842729</c:v>
                </c:pt>
              </c:numCache>
            </c:numRef>
          </c:val>
          <c:smooth val="0"/>
        </c:ser>
        <c:ser>
          <c:idx val="1"/>
          <c:order val="1"/>
          <c:tx>
            <c:v>BDP</c:v>
          </c:tx>
          <c:marker>
            <c:symbol val="none"/>
          </c:marker>
          <c:cat>
            <c:numLit>
              <c:formatCode>General</c:formatCode>
              <c:ptCount val="1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numLit>
          </c:cat>
          <c:val>
            <c:numRef>
              <c:f>'S01'!$B$10:$O$10</c:f>
              <c:numCache>
                <c:formatCode>#,##0.00</c:formatCode>
                <c:ptCount val="14"/>
                <c:pt idx="0">
                  <c:v>100</c:v>
                </c:pt>
                <c:pt idx="1">
                  <c:v>101.16619718309859</c:v>
                </c:pt>
                <c:pt idx="2">
                  <c:v>123.92187793427229</c:v>
                </c:pt>
                <c:pt idx="3">
                  <c:v>130.90384976525823</c:v>
                </c:pt>
                <c:pt idx="4">
                  <c:v>148.07201877934273</c:v>
                </c:pt>
                <c:pt idx="5">
                  <c:v>163.34178403755868</c:v>
                </c:pt>
                <c:pt idx="6">
                  <c:v>185.02103286384977</c:v>
                </c:pt>
                <c:pt idx="7">
                  <c:v>223.28976525821597</c:v>
                </c:pt>
                <c:pt idx="8">
                  <c:v>269.11032863849766</c:v>
                </c:pt>
                <c:pt idx="9">
                  <c:v>273.33990610328641</c:v>
                </c:pt>
                <c:pt idx="10">
                  <c:v>286.79906103286385</c:v>
                </c:pt>
                <c:pt idx="11">
                  <c:v>300.84507042253523</c:v>
                </c:pt>
                <c:pt idx="12">
                  <c:v>295.96244131455398</c:v>
                </c:pt>
                <c:pt idx="13">
                  <c:v>302.78999832934232</c:v>
                </c:pt>
              </c:numCache>
            </c:numRef>
          </c:val>
          <c:smooth val="0"/>
        </c:ser>
        <c:dLbls>
          <c:showLegendKey val="0"/>
          <c:showVal val="0"/>
          <c:showCatName val="0"/>
          <c:showSerName val="0"/>
          <c:showPercent val="0"/>
          <c:showBubbleSize val="0"/>
        </c:dLbls>
        <c:marker val="1"/>
        <c:smooth val="0"/>
        <c:axId val="341308160"/>
        <c:axId val="341309696"/>
      </c:lineChart>
      <c:catAx>
        <c:axId val="341308160"/>
        <c:scaling>
          <c:orientation val="minMax"/>
        </c:scaling>
        <c:delete val="0"/>
        <c:axPos val="b"/>
        <c:numFmt formatCode="General" sourceLinked="1"/>
        <c:majorTickMark val="out"/>
        <c:minorTickMark val="none"/>
        <c:tickLblPos val="nextTo"/>
        <c:crossAx val="341309696"/>
        <c:crosses val="autoZero"/>
        <c:auto val="1"/>
        <c:lblAlgn val="ctr"/>
        <c:lblOffset val="100"/>
        <c:noMultiLvlLbl val="0"/>
      </c:catAx>
      <c:valAx>
        <c:axId val="341309696"/>
        <c:scaling>
          <c:orientation val="minMax"/>
        </c:scaling>
        <c:delete val="0"/>
        <c:axPos val="l"/>
        <c:majorGridlines/>
        <c:numFmt formatCode="#,##0" sourceLinked="0"/>
        <c:majorTickMark val="out"/>
        <c:minorTickMark val="none"/>
        <c:tickLblPos val="nextTo"/>
        <c:crossAx val="341308160"/>
        <c:crosses val="autoZero"/>
        <c:crossBetween val="between"/>
      </c:valAx>
      <c:catAx>
        <c:axId val="341979136"/>
        <c:scaling>
          <c:orientation val="minMax"/>
        </c:scaling>
        <c:delete val="1"/>
        <c:axPos val="b"/>
        <c:numFmt formatCode="General" sourceLinked="1"/>
        <c:majorTickMark val="out"/>
        <c:minorTickMark val="none"/>
        <c:tickLblPos val="nextTo"/>
        <c:crossAx val="341980672"/>
        <c:crosses val="autoZero"/>
        <c:auto val="1"/>
        <c:lblAlgn val="ctr"/>
        <c:lblOffset val="100"/>
        <c:noMultiLvlLbl val="0"/>
      </c:catAx>
      <c:valAx>
        <c:axId val="341980672"/>
        <c:scaling>
          <c:orientation val="minMax"/>
          <c:max val="0.9"/>
          <c:min val="-0.36000000000000004"/>
        </c:scaling>
        <c:delete val="0"/>
        <c:axPos val="r"/>
        <c:numFmt formatCode="0%" sourceLinked="0"/>
        <c:majorTickMark val="out"/>
        <c:minorTickMark val="none"/>
        <c:tickLblPos val="nextTo"/>
        <c:crossAx val="341979136"/>
        <c:crosses val="max"/>
        <c:crossBetween val="between"/>
        <c:majorUnit val="0.1"/>
        <c:minorUnit val="4.0000000000000008E-2"/>
      </c:valAx>
    </c:plotArea>
    <c:legend>
      <c:legendPos val="r"/>
      <c:layout>
        <c:manualLayout>
          <c:xMode val="edge"/>
          <c:yMode val="edge"/>
          <c:x val="0.14915215473584476"/>
          <c:y val="6.8468458684043804E-2"/>
          <c:w val="0.47029219895230934"/>
          <c:h val="8.4424653814824863E-2"/>
        </c:manualLayout>
      </c:layout>
      <c:overlay val="0"/>
    </c:legend>
    <c:plotVisOnly val="1"/>
    <c:dispBlanksAs val="gap"/>
    <c:showDLblsOverMax val="0"/>
  </c:chart>
  <c:txPr>
    <a:bodyPr/>
    <a:lstStyle/>
    <a:p>
      <a:pPr>
        <a:defRPr>
          <a:solidFill>
            <a:sysClr val="windowText" lastClr="000000"/>
          </a:solidFill>
        </a:defRPr>
      </a:pPr>
      <a:endParaRPr lang="en-US"/>
    </a:p>
  </c:txPr>
  <c:externalData r:id="rId1">
    <c:autoUpdate val="0"/>
  </c:externalData>
  <c:userShapes r:id="rId2"/>
</c:chartSpace>
</file>

<file path=word/charts/chart1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380151024811219"/>
          <c:y val="3.915017361111111E-2"/>
          <c:w val="0.81752993527508089"/>
          <c:h val="0.74007899305555558"/>
        </c:manualLayout>
      </c:layout>
      <c:barChart>
        <c:barDir val="col"/>
        <c:grouping val="clustered"/>
        <c:varyColors val="0"/>
        <c:ser>
          <c:idx val="0"/>
          <c:order val="0"/>
          <c:tx>
            <c:v>Drumski</c:v>
          </c:tx>
          <c:spPr>
            <a:solidFill>
              <a:schemeClr val="accent6">
                <a:lumMod val="40000"/>
                <a:lumOff val="60000"/>
              </a:schemeClr>
            </a:solidFill>
          </c:spPr>
          <c:invertIfNegative val="0"/>
          <c:cat>
            <c:numLit>
              <c:formatCode>General</c:formatCode>
              <c:ptCount val="1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numLit>
          </c:cat>
          <c:val>
            <c:numRef>
              <c:f>'S01'!$B$46:$O$46</c:f>
              <c:numCache>
                <c:formatCode>0</c:formatCode>
                <c:ptCount val="14"/>
                <c:pt idx="0">
                  <c:v>188.26</c:v>
                </c:pt>
                <c:pt idx="1">
                  <c:v>134.114</c:v>
                </c:pt>
                <c:pt idx="2">
                  <c:v>120.86199999999999</c:v>
                </c:pt>
                <c:pt idx="3">
                  <c:v>98.911000000000001</c:v>
                </c:pt>
                <c:pt idx="4">
                  <c:v>100.62</c:v>
                </c:pt>
                <c:pt idx="5">
                  <c:v>84.882999999999996</c:v>
                </c:pt>
                <c:pt idx="6">
                  <c:v>114.69499999999999</c:v>
                </c:pt>
                <c:pt idx="7">
                  <c:v>141.24700000000001</c:v>
                </c:pt>
                <c:pt idx="8">
                  <c:v>123.42100000000001</c:v>
                </c:pt>
                <c:pt idx="9">
                  <c:v>101.928</c:v>
                </c:pt>
                <c:pt idx="10">
                  <c:v>80.832999999999998</c:v>
                </c:pt>
                <c:pt idx="11">
                  <c:v>80.165999999999997</c:v>
                </c:pt>
                <c:pt idx="12">
                  <c:v>111.18300000000001</c:v>
                </c:pt>
                <c:pt idx="13">
                  <c:v>108.80200000000001</c:v>
                </c:pt>
              </c:numCache>
            </c:numRef>
          </c:val>
        </c:ser>
        <c:ser>
          <c:idx val="1"/>
          <c:order val="1"/>
          <c:tx>
            <c:v>Željeznički</c:v>
          </c:tx>
          <c:spPr>
            <a:solidFill>
              <a:schemeClr val="accent6">
                <a:lumMod val="75000"/>
              </a:schemeClr>
            </a:solidFill>
          </c:spPr>
          <c:invertIfNegative val="0"/>
          <c:cat>
            <c:numLit>
              <c:formatCode>General</c:formatCode>
              <c:ptCount val="1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numLit>
          </c:cat>
          <c:val>
            <c:numRef>
              <c:f>'S01'!$B$47:$O$47</c:f>
              <c:numCache>
                <c:formatCode>0</c:formatCode>
                <c:ptCount val="14"/>
                <c:pt idx="0">
                  <c:v>200.07499999999999</c:v>
                </c:pt>
                <c:pt idx="1">
                  <c:v>215.16399999999999</c:v>
                </c:pt>
                <c:pt idx="2">
                  <c:v>192.12799999999999</c:v>
                </c:pt>
                <c:pt idx="3">
                  <c:v>191.71700000000001</c:v>
                </c:pt>
                <c:pt idx="4">
                  <c:v>129.6</c:v>
                </c:pt>
                <c:pt idx="5">
                  <c:v>122.92</c:v>
                </c:pt>
                <c:pt idx="6">
                  <c:v>131.5</c:v>
                </c:pt>
                <c:pt idx="7">
                  <c:v>110</c:v>
                </c:pt>
                <c:pt idx="8">
                  <c:v>125</c:v>
                </c:pt>
                <c:pt idx="9">
                  <c:v>99.2</c:v>
                </c:pt>
                <c:pt idx="10">
                  <c:v>90.66</c:v>
                </c:pt>
                <c:pt idx="11">
                  <c:v>65.099999999999994</c:v>
                </c:pt>
                <c:pt idx="12">
                  <c:v>62.377000000000002</c:v>
                </c:pt>
                <c:pt idx="13">
                  <c:v>73.438999999999993</c:v>
                </c:pt>
              </c:numCache>
            </c:numRef>
          </c:val>
        </c:ser>
        <c:dLbls>
          <c:showLegendKey val="0"/>
          <c:showVal val="0"/>
          <c:showCatName val="0"/>
          <c:showSerName val="0"/>
          <c:showPercent val="0"/>
          <c:showBubbleSize val="0"/>
        </c:dLbls>
        <c:gapWidth val="150"/>
        <c:axId val="342022784"/>
        <c:axId val="342024960"/>
      </c:barChart>
      <c:lineChart>
        <c:grouping val="stacked"/>
        <c:varyColors val="0"/>
        <c:ser>
          <c:idx val="2"/>
          <c:order val="2"/>
          <c:tx>
            <c:v>Ukupno</c:v>
          </c:tx>
          <c:marker>
            <c:spPr>
              <a:solidFill>
                <a:schemeClr val="accent3">
                  <a:lumMod val="50000"/>
                </a:schemeClr>
              </a:solidFill>
            </c:spPr>
          </c:marker>
          <c:val>
            <c:numRef>
              <c:f>'S01'!$B$48:$O$48</c:f>
              <c:numCache>
                <c:formatCode>0</c:formatCode>
                <c:ptCount val="14"/>
                <c:pt idx="0">
                  <c:v>388.33499999999998</c:v>
                </c:pt>
                <c:pt idx="1">
                  <c:v>349.27800000000002</c:v>
                </c:pt>
                <c:pt idx="2">
                  <c:v>312.99</c:v>
                </c:pt>
                <c:pt idx="3">
                  <c:v>290.62800000000004</c:v>
                </c:pt>
                <c:pt idx="4">
                  <c:v>230.22</c:v>
                </c:pt>
                <c:pt idx="5">
                  <c:v>207.803</c:v>
                </c:pt>
                <c:pt idx="6">
                  <c:v>246.19499999999999</c:v>
                </c:pt>
                <c:pt idx="7">
                  <c:v>251.24700000000001</c:v>
                </c:pt>
                <c:pt idx="8">
                  <c:v>248.42099999999999</c:v>
                </c:pt>
                <c:pt idx="9">
                  <c:v>201.12799999999999</c:v>
                </c:pt>
                <c:pt idx="10">
                  <c:v>171.49299999999999</c:v>
                </c:pt>
                <c:pt idx="11">
                  <c:v>145.26599999999999</c:v>
                </c:pt>
                <c:pt idx="12">
                  <c:v>173.56</c:v>
                </c:pt>
                <c:pt idx="13">
                  <c:v>182.24099999999999</c:v>
                </c:pt>
              </c:numCache>
            </c:numRef>
          </c:val>
          <c:smooth val="0"/>
        </c:ser>
        <c:dLbls>
          <c:showLegendKey val="0"/>
          <c:showVal val="0"/>
          <c:showCatName val="0"/>
          <c:showSerName val="0"/>
          <c:showPercent val="0"/>
          <c:showBubbleSize val="0"/>
        </c:dLbls>
        <c:marker val="1"/>
        <c:smooth val="0"/>
        <c:axId val="342022784"/>
        <c:axId val="342024960"/>
      </c:lineChart>
      <c:catAx>
        <c:axId val="342022784"/>
        <c:scaling>
          <c:orientation val="minMax"/>
        </c:scaling>
        <c:delete val="0"/>
        <c:axPos val="b"/>
        <c:numFmt formatCode="General" sourceLinked="1"/>
        <c:majorTickMark val="out"/>
        <c:minorTickMark val="none"/>
        <c:tickLblPos val="nextTo"/>
        <c:txPr>
          <a:bodyPr rot="-2760000"/>
          <a:lstStyle/>
          <a:p>
            <a:pPr>
              <a:defRPr/>
            </a:pPr>
            <a:endParaRPr lang="en-US"/>
          </a:p>
        </c:txPr>
        <c:crossAx val="342024960"/>
        <c:crosses val="autoZero"/>
        <c:auto val="1"/>
        <c:lblAlgn val="ctr"/>
        <c:lblOffset val="100"/>
        <c:noMultiLvlLbl val="0"/>
      </c:catAx>
      <c:valAx>
        <c:axId val="342024960"/>
        <c:scaling>
          <c:orientation val="minMax"/>
        </c:scaling>
        <c:delete val="0"/>
        <c:axPos val="l"/>
        <c:majorGridlines/>
        <c:numFmt formatCode="0" sourceLinked="1"/>
        <c:majorTickMark val="out"/>
        <c:minorTickMark val="none"/>
        <c:tickLblPos val="nextTo"/>
        <c:crossAx val="342022784"/>
        <c:crosses val="autoZero"/>
        <c:crossBetween val="between"/>
      </c:valAx>
    </c:plotArea>
    <c:legend>
      <c:legendPos val="r"/>
      <c:layout>
        <c:manualLayout>
          <c:xMode val="edge"/>
          <c:yMode val="edge"/>
          <c:x val="0.22152669902912622"/>
          <c:y val="2.5497829861111113E-2"/>
          <c:w val="0.73737297734627827"/>
          <c:h val="0.11115711805555555"/>
        </c:manualLayout>
      </c:layout>
      <c:overlay val="0"/>
      <c:txPr>
        <a:bodyPr/>
        <a:lstStyle/>
        <a:p>
          <a:pPr>
            <a:defRPr sz="1100"/>
          </a:pPr>
          <a:endParaRPr lang="en-US"/>
        </a:p>
      </c:txPr>
    </c:legend>
    <c:plotVisOnly val="1"/>
    <c:dispBlanksAs val="gap"/>
    <c:showDLblsOverMax val="0"/>
  </c:chart>
  <c:externalData r:id="rId1">
    <c:autoUpdate val="0"/>
  </c:externalData>
  <c:userShapes r:id="rId2"/>
</c:chartSpace>
</file>

<file path=word/charts/chart1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198907925454042"/>
          <c:y val="0.13209576646697227"/>
          <c:w val="0.82835371413374281"/>
          <c:h val="0.65255344242704261"/>
        </c:manualLayout>
      </c:layout>
      <c:barChart>
        <c:barDir val="col"/>
        <c:grouping val="percentStacked"/>
        <c:varyColors val="0"/>
        <c:ser>
          <c:idx val="0"/>
          <c:order val="0"/>
          <c:tx>
            <c:v>Drumski</c:v>
          </c:tx>
          <c:spPr>
            <a:solidFill>
              <a:schemeClr val="accent6">
                <a:lumMod val="40000"/>
                <a:lumOff val="60000"/>
              </a:schemeClr>
            </a:solidFill>
          </c:spPr>
          <c:invertIfNegative val="0"/>
          <c:cat>
            <c:numLit>
              <c:formatCode>General</c:formatCode>
              <c:ptCount val="1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numLit>
          </c:cat>
          <c:val>
            <c:numRef>
              <c:f>'S01'!$B$46:$O$46</c:f>
              <c:numCache>
                <c:formatCode>0</c:formatCode>
                <c:ptCount val="14"/>
                <c:pt idx="0">
                  <c:v>188.26</c:v>
                </c:pt>
                <c:pt idx="1">
                  <c:v>134.114</c:v>
                </c:pt>
                <c:pt idx="2">
                  <c:v>120.86199999999999</c:v>
                </c:pt>
                <c:pt idx="3">
                  <c:v>98.911000000000001</c:v>
                </c:pt>
                <c:pt idx="4">
                  <c:v>100.62</c:v>
                </c:pt>
                <c:pt idx="5">
                  <c:v>84.882999999999996</c:v>
                </c:pt>
                <c:pt idx="6">
                  <c:v>114.69499999999999</c:v>
                </c:pt>
                <c:pt idx="7">
                  <c:v>141.24700000000001</c:v>
                </c:pt>
                <c:pt idx="8">
                  <c:v>123.42100000000001</c:v>
                </c:pt>
                <c:pt idx="9">
                  <c:v>101.928</c:v>
                </c:pt>
                <c:pt idx="10">
                  <c:v>80.832999999999998</c:v>
                </c:pt>
                <c:pt idx="11">
                  <c:v>80.165999999999997</c:v>
                </c:pt>
                <c:pt idx="12">
                  <c:v>111.18300000000001</c:v>
                </c:pt>
                <c:pt idx="13">
                  <c:v>108.80200000000001</c:v>
                </c:pt>
              </c:numCache>
            </c:numRef>
          </c:val>
        </c:ser>
        <c:ser>
          <c:idx val="1"/>
          <c:order val="1"/>
          <c:tx>
            <c:v>Željeznički</c:v>
          </c:tx>
          <c:spPr>
            <a:solidFill>
              <a:schemeClr val="accent6">
                <a:lumMod val="75000"/>
              </a:schemeClr>
            </a:solidFill>
          </c:spPr>
          <c:invertIfNegative val="0"/>
          <c:cat>
            <c:numLit>
              <c:formatCode>General</c:formatCode>
              <c:ptCount val="1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numLit>
          </c:cat>
          <c:val>
            <c:numRef>
              <c:f>'S01'!$B$47:$O$47</c:f>
              <c:numCache>
                <c:formatCode>0</c:formatCode>
                <c:ptCount val="14"/>
                <c:pt idx="0">
                  <c:v>200.07499999999999</c:v>
                </c:pt>
                <c:pt idx="1">
                  <c:v>215.16399999999999</c:v>
                </c:pt>
                <c:pt idx="2">
                  <c:v>192.12799999999999</c:v>
                </c:pt>
                <c:pt idx="3">
                  <c:v>191.71700000000001</c:v>
                </c:pt>
                <c:pt idx="4">
                  <c:v>129.6</c:v>
                </c:pt>
                <c:pt idx="5">
                  <c:v>122.92</c:v>
                </c:pt>
                <c:pt idx="6">
                  <c:v>131.5</c:v>
                </c:pt>
                <c:pt idx="7">
                  <c:v>110</c:v>
                </c:pt>
                <c:pt idx="8">
                  <c:v>125</c:v>
                </c:pt>
                <c:pt idx="9">
                  <c:v>99.2</c:v>
                </c:pt>
                <c:pt idx="10">
                  <c:v>90.66</c:v>
                </c:pt>
                <c:pt idx="11">
                  <c:v>65.099999999999994</c:v>
                </c:pt>
                <c:pt idx="12">
                  <c:v>62.377000000000002</c:v>
                </c:pt>
                <c:pt idx="13">
                  <c:v>73.438999999999993</c:v>
                </c:pt>
              </c:numCache>
            </c:numRef>
          </c:val>
        </c:ser>
        <c:dLbls>
          <c:showLegendKey val="0"/>
          <c:showVal val="0"/>
          <c:showCatName val="0"/>
          <c:showSerName val="0"/>
          <c:showPercent val="0"/>
          <c:showBubbleSize val="0"/>
        </c:dLbls>
        <c:gapWidth val="150"/>
        <c:overlap val="100"/>
        <c:axId val="342054784"/>
        <c:axId val="342056320"/>
      </c:barChart>
      <c:catAx>
        <c:axId val="342054784"/>
        <c:scaling>
          <c:orientation val="minMax"/>
        </c:scaling>
        <c:delete val="0"/>
        <c:axPos val="b"/>
        <c:numFmt formatCode="General" sourceLinked="1"/>
        <c:majorTickMark val="out"/>
        <c:minorTickMark val="none"/>
        <c:tickLblPos val="nextTo"/>
        <c:txPr>
          <a:bodyPr rot="-2640000" vert="horz"/>
          <a:lstStyle/>
          <a:p>
            <a:pPr>
              <a:defRPr sz="900" b="0" i="0" u="none" strike="noStrike" baseline="0">
                <a:solidFill>
                  <a:srgbClr val="000000"/>
                </a:solidFill>
                <a:latin typeface="Calibri"/>
                <a:ea typeface="Calibri"/>
                <a:cs typeface="Calibri"/>
              </a:defRPr>
            </a:pPr>
            <a:endParaRPr lang="en-US"/>
          </a:p>
        </c:txPr>
        <c:crossAx val="342056320"/>
        <c:crosses val="autoZero"/>
        <c:auto val="1"/>
        <c:lblAlgn val="ctr"/>
        <c:lblOffset val="100"/>
        <c:noMultiLvlLbl val="0"/>
      </c:catAx>
      <c:valAx>
        <c:axId val="342056320"/>
        <c:scaling>
          <c:orientation val="minMax"/>
        </c:scaling>
        <c:delete val="0"/>
        <c:axPos val="l"/>
        <c:majorGridlines/>
        <c:numFmt formatCode="0%"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342054784"/>
        <c:crosses val="autoZero"/>
        <c:crossBetween val="between"/>
      </c:valAx>
    </c:plotArea>
    <c:legend>
      <c:legendPos val="r"/>
      <c:layout>
        <c:manualLayout>
          <c:xMode val="edge"/>
          <c:yMode val="edge"/>
          <c:x val="0.35725505479189645"/>
          <c:y val="2.3443972951800705E-2"/>
          <c:w val="0.5120964918654346"/>
          <c:h val="0.10025108307244723"/>
        </c:manualLayout>
      </c:layout>
      <c:overlay val="0"/>
      <c:spPr>
        <a:ln>
          <a:solidFill>
            <a:srgbClr val="7030A0"/>
          </a:solidFill>
        </a:ln>
      </c:spPr>
      <c:txPr>
        <a:bodyPr/>
        <a:lstStyle/>
        <a:p>
          <a:pPr>
            <a:defRPr sz="1100" b="0" i="0" u="none" strike="noStrike" baseline="0">
              <a:solidFill>
                <a:srgbClr val="333300"/>
              </a:solidFill>
              <a:latin typeface="Calibri"/>
              <a:ea typeface="Calibri"/>
              <a:cs typeface="Calibri"/>
            </a:defRPr>
          </a:pPr>
          <a:endParaRPr lang="en-US"/>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userShapes r:id="rId2"/>
</c:chartSpace>
</file>

<file path=word/charts/chart1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096283783783784"/>
          <c:y val="6.5289442986293383E-2"/>
          <c:w val="0.76906775525525539"/>
          <c:h val="0.77766532797858101"/>
        </c:manualLayout>
      </c:layout>
      <c:barChart>
        <c:barDir val="col"/>
        <c:grouping val="clustered"/>
        <c:varyColors val="0"/>
        <c:ser>
          <c:idx val="2"/>
          <c:order val="2"/>
          <c:tx>
            <c:v>Razdvajanje</c:v>
          </c:tx>
          <c:invertIfNegative val="0"/>
          <c:dPt>
            <c:idx val="1"/>
            <c:invertIfNegative val="0"/>
            <c:bubble3D val="0"/>
            <c:spPr>
              <a:solidFill>
                <a:schemeClr val="lt1"/>
              </a:solidFill>
              <a:ln w="25400" cap="flat" cmpd="sng" algn="ctr">
                <a:solidFill>
                  <a:schemeClr val="accent3"/>
                </a:solidFill>
                <a:prstDash val="solid"/>
              </a:ln>
              <a:effectLst/>
            </c:spPr>
          </c:dPt>
          <c:dPt>
            <c:idx val="4"/>
            <c:invertIfNegative val="0"/>
            <c:bubble3D val="0"/>
            <c:spPr>
              <a:solidFill>
                <a:schemeClr val="lt1"/>
              </a:solidFill>
              <a:ln w="25400" cap="flat" cmpd="sng" algn="ctr">
                <a:solidFill>
                  <a:schemeClr val="accent3"/>
                </a:solidFill>
                <a:prstDash val="solid"/>
              </a:ln>
              <a:effectLst/>
            </c:spPr>
          </c:dPt>
          <c:dPt>
            <c:idx val="5"/>
            <c:invertIfNegative val="0"/>
            <c:bubble3D val="0"/>
            <c:spPr>
              <a:solidFill>
                <a:schemeClr val="lt1"/>
              </a:solidFill>
              <a:ln w="25400" cap="flat" cmpd="sng" algn="ctr">
                <a:solidFill>
                  <a:schemeClr val="accent3"/>
                </a:solidFill>
                <a:prstDash val="solid"/>
              </a:ln>
              <a:effectLst/>
            </c:spPr>
          </c:dPt>
          <c:dPt>
            <c:idx val="6"/>
            <c:invertIfNegative val="0"/>
            <c:bubble3D val="0"/>
            <c:spPr>
              <a:solidFill>
                <a:schemeClr val="lt1"/>
              </a:solidFill>
              <a:ln w="25400" cap="flat" cmpd="sng" algn="ctr">
                <a:solidFill>
                  <a:schemeClr val="accent3"/>
                </a:solidFill>
                <a:prstDash val="solid"/>
              </a:ln>
              <a:effectLst/>
            </c:spPr>
          </c:dPt>
          <c:dPt>
            <c:idx val="10"/>
            <c:invertIfNegative val="0"/>
            <c:bubble3D val="0"/>
            <c:spPr>
              <a:solidFill>
                <a:schemeClr val="lt1"/>
              </a:solidFill>
              <a:ln w="25400" cap="flat" cmpd="sng" algn="ctr">
                <a:solidFill>
                  <a:schemeClr val="accent3"/>
                </a:solidFill>
                <a:prstDash val="solid"/>
              </a:ln>
              <a:effectLst/>
            </c:spPr>
          </c:dPt>
          <c:dPt>
            <c:idx val="13"/>
            <c:invertIfNegative val="0"/>
            <c:bubble3D val="0"/>
            <c:spPr>
              <a:solidFill>
                <a:schemeClr val="lt1"/>
              </a:solidFill>
              <a:ln w="25400" cap="flat" cmpd="sng" algn="ctr">
                <a:solidFill>
                  <a:schemeClr val="accent3"/>
                </a:solidFill>
                <a:prstDash val="solid"/>
              </a:ln>
              <a:effectLst/>
            </c:spPr>
          </c:dPt>
          <c:val>
            <c:numRef>
              <c:f>'S02'!$B$13:$O$13</c:f>
              <c:numCache>
                <c:formatCode>0%</c:formatCode>
                <c:ptCount val="14"/>
                <c:pt idx="1">
                  <c:v>-9.0121680022395623E-2</c:v>
                </c:pt>
                <c:pt idx="2">
                  <c:v>0.13981833480652739</c:v>
                </c:pt>
                <c:pt idx="3">
                  <c:v>0.12945925937353442</c:v>
                </c:pt>
                <c:pt idx="4">
                  <c:v>-0.10441844687716073</c:v>
                </c:pt>
                <c:pt idx="5">
                  <c:v>-0.11940148902366809</c:v>
                </c:pt>
                <c:pt idx="6">
                  <c:v>-0.16061021409485488</c:v>
                </c:pt>
                <c:pt idx="7">
                  <c:v>0.10033413525555934</c:v>
                </c:pt>
                <c:pt idx="8">
                  <c:v>3.318575006781932E-2</c:v>
                </c:pt>
                <c:pt idx="9">
                  <c:v>0.1456288611202895</c:v>
                </c:pt>
                <c:pt idx="10">
                  <c:v>-8.0548492809505934E-2</c:v>
                </c:pt>
                <c:pt idx="11">
                  <c:v>0.2848969450149943</c:v>
                </c:pt>
                <c:pt idx="12">
                  <c:v>0.36022511595192475</c:v>
                </c:pt>
                <c:pt idx="13">
                  <c:v>-5.3586595966914619E-2</c:v>
                </c:pt>
              </c:numCache>
            </c:numRef>
          </c:val>
        </c:ser>
        <c:dLbls>
          <c:showLegendKey val="0"/>
          <c:showVal val="0"/>
          <c:showCatName val="0"/>
          <c:showSerName val="0"/>
          <c:showPercent val="0"/>
          <c:showBubbleSize val="0"/>
        </c:dLbls>
        <c:gapWidth val="150"/>
        <c:axId val="342110592"/>
        <c:axId val="342112128"/>
      </c:barChart>
      <c:lineChart>
        <c:grouping val="standard"/>
        <c:varyColors val="0"/>
        <c:ser>
          <c:idx val="0"/>
          <c:order val="0"/>
          <c:tx>
            <c:v>tkm</c:v>
          </c:tx>
          <c:marker>
            <c:symbol val="none"/>
          </c:marker>
          <c:cat>
            <c:numLit>
              <c:formatCode>General</c:formatCode>
              <c:ptCount val="1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numLit>
          </c:cat>
          <c:val>
            <c:numRef>
              <c:f>'S02'!$B$10:$O$10</c:f>
              <c:numCache>
                <c:formatCode>#,##0</c:formatCode>
                <c:ptCount val="14"/>
                <c:pt idx="0">
                  <c:v>100</c:v>
                </c:pt>
                <c:pt idx="1">
                  <c:v>110.28346483471638</c:v>
                </c:pt>
                <c:pt idx="2">
                  <c:v>116.20187729560602</c:v>
                </c:pt>
                <c:pt idx="3">
                  <c:v>106.85791048836893</c:v>
                </c:pt>
                <c:pt idx="4">
                  <c:v>133.49374234797986</c:v>
                </c:pt>
                <c:pt idx="5">
                  <c:v>164.84321860971298</c:v>
                </c:pt>
                <c:pt idx="6">
                  <c:v>216.71116174670112</c:v>
                </c:pt>
                <c:pt idx="7">
                  <c:v>235.29366752822745</c:v>
                </c:pt>
                <c:pt idx="8">
                  <c:v>274.16678002992796</c:v>
                </c:pt>
                <c:pt idx="9">
                  <c:v>237.92171133179161</c:v>
                </c:pt>
                <c:pt idx="10">
                  <c:v>269.74476261733099</c:v>
                </c:pt>
                <c:pt idx="11">
                  <c:v>202.34236838525371</c:v>
                </c:pt>
                <c:pt idx="12">
                  <c:v>127.35257107876481</c:v>
                </c:pt>
                <c:pt idx="13">
                  <c:v>132.63023182305278</c:v>
                </c:pt>
              </c:numCache>
            </c:numRef>
          </c:val>
          <c:smooth val="0"/>
        </c:ser>
        <c:ser>
          <c:idx val="1"/>
          <c:order val="1"/>
          <c:tx>
            <c:v>BDP</c:v>
          </c:tx>
          <c:marker>
            <c:symbol val="none"/>
          </c:marker>
          <c:cat>
            <c:numLit>
              <c:formatCode>General</c:formatCode>
              <c:ptCount val="1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numLit>
          </c:cat>
          <c:val>
            <c:numRef>
              <c:f>'S02'!$B$11:$O$11</c:f>
              <c:numCache>
                <c:formatCode>#,##0</c:formatCode>
                <c:ptCount val="14"/>
                <c:pt idx="0">
                  <c:v>100</c:v>
                </c:pt>
                <c:pt idx="1">
                  <c:v>101.16619718309859</c:v>
                </c:pt>
                <c:pt idx="2">
                  <c:v>123.92187793427229</c:v>
                </c:pt>
                <c:pt idx="3">
                  <c:v>130.90384976525823</c:v>
                </c:pt>
                <c:pt idx="4">
                  <c:v>148.07201877934273</c:v>
                </c:pt>
                <c:pt idx="5">
                  <c:v>163.34178403755868</c:v>
                </c:pt>
                <c:pt idx="6">
                  <c:v>185.02103286384977</c:v>
                </c:pt>
                <c:pt idx="7">
                  <c:v>223.28976525821597</c:v>
                </c:pt>
                <c:pt idx="8">
                  <c:v>269.11032863849766</c:v>
                </c:pt>
                <c:pt idx="9">
                  <c:v>273.33990610328641</c:v>
                </c:pt>
                <c:pt idx="10">
                  <c:v>286.79906103286385</c:v>
                </c:pt>
                <c:pt idx="11" formatCode="0">
                  <c:v>300.84507042253523</c:v>
                </c:pt>
                <c:pt idx="12">
                  <c:v>295.96244131455398</c:v>
                </c:pt>
                <c:pt idx="13">
                  <c:v>292.55072302351914</c:v>
                </c:pt>
              </c:numCache>
            </c:numRef>
          </c:val>
          <c:smooth val="0"/>
        </c:ser>
        <c:dLbls>
          <c:showLegendKey val="0"/>
          <c:showVal val="0"/>
          <c:showCatName val="0"/>
          <c:showSerName val="0"/>
          <c:showPercent val="0"/>
          <c:showBubbleSize val="0"/>
        </c:dLbls>
        <c:marker val="1"/>
        <c:smooth val="0"/>
        <c:axId val="342103168"/>
        <c:axId val="342104704"/>
      </c:lineChart>
      <c:catAx>
        <c:axId val="342103168"/>
        <c:scaling>
          <c:orientation val="minMax"/>
        </c:scaling>
        <c:delete val="0"/>
        <c:axPos val="b"/>
        <c:numFmt formatCode="General" sourceLinked="1"/>
        <c:majorTickMark val="out"/>
        <c:minorTickMark val="none"/>
        <c:tickLblPos val="nextTo"/>
        <c:crossAx val="342104704"/>
        <c:crosses val="autoZero"/>
        <c:auto val="1"/>
        <c:lblAlgn val="ctr"/>
        <c:lblOffset val="100"/>
        <c:noMultiLvlLbl val="0"/>
      </c:catAx>
      <c:valAx>
        <c:axId val="342104704"/>
        <c:scaling>
          <c:orientation val="minMax"/>
        </c:scaling>
        <c:delete val="0"/>
        <c:axPos val="l"/>
        <c:majorGridlines/>
        <c:numFmt formatCode="#,##0" sourceLinked="1"/>
        <c:majorTickMark val="out"/>
        <c:minorTickMark val="none"/>
        <c:tickLblPos val="nextTo"/>
        <c:txPr>
          <a:bodyPr/>
          <a:lstStyle/>
          <a:p>
            <a:pPr>
              <a:defRPr sz="900"/>
            </a:pPr>
            <a:endParaRPr lang="en-US"/>
          </a:p>
        </c:txPr>
        <c:crossAx val="342103168"/>
        <c:crosses val="autoZero"/>
        <c:crossBetween val="between"/>
      </c:valAx>
      <c:catAx>
        <c:axId val="342110592"/>
        <c:scaling>
          <c:orientation val="minMax"/>
        </c:scaling>
        <c:delete val="1"/>
        <c:axPos val="b"/>
        <c:majorTickMark val="out"/>
        <c:minorTickMark val="none"/>
        <c:tickLblPos val="nextTo"/>
        <c:crossAx val="342112128"/>
        <c:crosses val="autoZero"/>
        <c:auto val="1"/>
        <c:lblAlgn val="ctr"/>
        <c:lblOffset val="100"/>
        <c:noMultiLvlLbl val="0"/>
      </c:catAx>
      <c:valAx>
        <c:axId val="342112128"/>
        <c:scaling>
          <c:orientation val="minMax"/>
          <c:max val="0.5"/>
          <c:min val="-0.2"/>
        </c:scaling>
        <c:delete val="0"/>
        <c:axPos val="r"/>
        <c:numFmt formatCode="0%" sourceLinked="0"/>
        <c:majorTickMark val="out"/>
        <c:minorTickMark val="none"/>
        <c:tickLblPos val="nextTo"/>
        <c:txPr>
          <a:bodyPr/>
          <a:lstStyle/>
          <a:p>
            <a:pPr>
              <a:defRPr sz="900"/>
            </a:pPr>
            <a:endParaRPr lang="en-US"/>
          </a:p>
        </c:txPr>
        <c:crossAx val="342110592"/>
        <c:crosses val="max"/>
        <c:crossBetween val="between"/>
        <c:majorUnit val="0.1"/>
      </c:valAx>
    </c:plotArea>
    <c:legend>
      <c:legendPos val="r"/>
      <c:layout>
        <c:manualLayout>
          <c:xMode val="edge"/>
          <c:yMode val="edge"/>
          <c:x val="0.15193009639448021"/>
          <c:y val="6.8868372284135407E-2"/>
          <c:w val="0.53973659374867944"/>
          <c:h val="9.3744224463954792E-2"/>
        </c:manualLayout>
      </c:layout>
      <c:overlay val="0"/>
    </c:legend>
    <c:plotVisOnly val="1"/>
    <c:dispBlanksAs val="gap"/>
    <c:showDLblsOverMax val="0"/>
  </c:chart>
  <c:externalData r:id="rId1">
    <c:autoUpdate val="0"/>
  </c:externalData>
  <c:userShapes r:id="rId2"/>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manualLayout>
          <c:layoutTarget val="inner"/>
          <c:xMode val="edge"/>
          <c:yMode val="edge"/>
          <c:x val="0.10845988001499801"/>
          <c:y val="0.10096358126907966"/>
          <c:w val="0.61797126921634793"/>
          <c:h val="0.72085341263672631"/>
        </c:manualLayout>
      </c:layout>
      <c:barChart>
        <c:barDir val="col"/>
        <c:grouping val="clustered"/>
        <c:varyColors val="0"/>
        <c:ser>
          <c:idx val="0"/>
          <c:order val="0"/>
          <c:tx>
            <c:strRef>
              <c:f>Sheet1!$B$1</c:f>
              <c:strCache>
                <c:ptCount val="1"/>
                <c:pt idx="0">
                  <c:v>Srednja mjesečna 8-časovna vrijednost</c:v>
                </c:pt>
              </c:strCache>
            </c:strRef>
          </c:tx>
          <c:spPr>
            <a:solidFill>
              <a:srgbClr val="FFFF00"/>
            </a:solidFill>
          </c:spPr>
          <c:invertIfNegative val="0"/>
          <c:cat>
            <c:strRef>
              <c:f>Sheet1!$A$2:$A$13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Sheet1!$B$2:$B$13</c:f>
              <c:numCache>
                <c:formatCode>General</c:formatCode>
                <c:ptCount val="12"/>
                <c:pt idx="0">
                  <c:v>2.3299999999999987</c:v>
                </c:pt>
                <c:pt idx="1">
                  <c:v>1.6</c:v>
                </c:pt>
                <c:pt idx="2">
                  <c:v>1.32</c:v>
                </c:pt>
                <c:pt idx="3">
                  <c:v>0.72000000000000064</c:v>
                </c:pt>
                <c:pt idx="4">
                  <c:v>0.34</c:v>
                </c:pt>
                <c:pt idx="5">
                  <c:v>0.24000000000000016</c:v>
                </c:pt>
                <c:pt idx="6">
                  <c:v>0.18000000000000016</c:v>
                </c:pt>
                <c:pt idx="7">
                  <c:v>0.27</c:v>
                </c:pt>
                <c:pt idx="8">
                  <c:v>0.35000000000000031</c:v>
                </c:pt>
                <c:pt idx="9">
                  <c:v>1.45</c:v>
                </c:pt>
                <c:pt idx="10">
                  <c:v>1.9900000000000013</c:v>
                </c:pt>
                <c:pt idx="11">
                  <c:v>3.32</c:v>
                </c:pt>
              </c:numCache>
            </c:numRef>
          </c:val>
        </c:ser>
        <c:ser>
          <c:idx val="1"/>
          <c:order val="1"/>
          <c:tx>
            <c:strRef>
              <c:f>Sheet1!$C$1</c:f>
              <c:strCache>
                <c:ptCount val="1"/>
                <c:pt idx="0">
                  <c:v>Max dnevna 8-časovna vrijednost</c:v>
                </c:pt>
              </c:strCache>
            </c:strRef>
          </c:tx>
          <c:invertIfNegative val="0"/>
          <c:cat>
            <c:strRef>
              <c:f>Sheet1!$A$2:$A$13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Sheet1!$C$2:$C$13</c:f>
              <c:numCache>
                <c:formatCode>General</c:formatCode>
                <c:ptCount val="12"/>
                <c:pt idx="0">
                  <c:v>4.9300000000000024</c:v>
                </c:pt>
                <c:pt idx="1">
                  <c:v>4.0999999999999996</c:v>
                </c:pt>
                <c:pt idx="2">
                  <c:v>2.14</c:v>
                </c:pt>
                <c:pt idx="3">
                  <c:v>1.26</c:v>
                </c:pt>
                <c:pt idx="4">
                  <c:v>0.56000000000000005</c:v>
                </c:pt>
                <c:pt idx="5">
                  <c:v>0.47000000000000008</c:v>
                </c:pt>
                <c:pt idx="6">
                  <c:v>0.24000000000000016</c:v>
                </c:pt>
                <c:pt idx="7">
                  <c:v>0.61000000000000065</c:v>
                </c:pt>
                <c:pt idx="8">
                  <c:v>0.91</c:v>
                </c:pt>
                <c:pt idx="9">
                  <c:v>2.96</c:v>
                </c:pt>
                <c:pt idx="10">
                  <c:v>3.4</c:v>
                </c:pt>
                <c:pt idx="11">
                  <c:v>5.45</c:v>
                </c:pt>
              </c:numCache>
            </c:numRef>
          </c:val>
        </c:ser>
        <c:dLbls>
          <c:showLegendKey val="0"/>
          <c:showVal val="0"/>
          <c:showCatName val="0"/>
          <c:showSerName val="0"/>
          <c:showPercent val="0"/>
          <c:showBubbleSize val="0"/>
        </c:dLbls>
        <c:gapWidth val="150"/>
        <c:axId val="197869568"/>
        <c:axId val="197871104"/>
      </c:barChart>
      <c:lineChart>
        <c:grouping val="standard"/>
        <c:varyColors val="0"/>
        <c:ser>
          <c:idx val="2"/>
          <c:order val="2"/>
          <c:tx>
            <c:strRef>
              <c:f>Sheet1!$D$1</c:f>
              <c:strCache>
                <c:ptCount val="1"/>
                <c:pt idx="0">
                  <c:v>max dozvoljena dnevna 8-časovna vrijednost</c:v>
                </c:pt>
              </c:strCache>
            </c:strRef>
          </c:tx>
          <c:spPr>
            <a:ln w="41275">
              <a:solidFill>
                <a:srgbClr val="FF0000"/>
              </a:solidFill>
            </a:ln>
          </c:spPr>
          <c:marker>
            <c:symbol val="none"/>
          </c:marker>
          <c:cat>
            <c:strRef>
              <c:f>Sheet1!$A$2:$A$13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Sheet1!$D$2:$D$13</c:f>
              <c:numCache>
                <c:formatCode>General</c:formatCode>
                <c:ptCount val="12"/>
                <c:pt idx="0">
                  <c:v>10</c:v>
                </c:pt>
                <c:pt idx="1">
                  <c:v>10</c:v>
                </c:pt>
                <c:pt idx="2">
                  <c:v>10</c:v>
                </c:pt>
                <c:pt idx="3">
                  <c:v>10</c:v>
                </c:pt>
                <c:pt idx="4">
                  <c:v>10</c:v>
                </c:pt>
                <c:pt idx="5">
                  <c:v>10</c:v>
                </c:pt>
                <c:pt idx="6">
                  <c:v>10</c:v>
                </c:pt>
                <c:pt idx="7">
                  <c:v>10</c:v>
                </c:pt>
                <c:pt idx="8">
                  <c:v>10</c:v>
                </c:pt>
                <c:pt idx="9">
                  <c:v>10</c:v>
                </c:pt>
                <c:pt idx="10">
                  <c:v>10</c:v>
                </c:pt>
                <c:pt idx="11">
                  <c:v>10</c:v>
                </c:pt>
              </c:numCache>
            </c:numRef>
          </c:val>
          <c:smooth val="0"/>
        </c:ser>
        <c:dLbls>
          <c:showLegendKey val="0"/>
          <c:showVal val="0"/>
          <c:showCatName val="0"/>
          <c:showSerName val="0"/>
          <c:showPercent val="0"/>
          <c:showBubbleSize val="0"/>
        </c:dLbls>
        <c:marker val="1"/>
        <c:smooth val="0"/>
        <c:axId val="197869568"/>
        <c:axId val="197871104"/>
      </c:lineChart>
      <c:catAx>
        <c:axId val="197869568"/>
        <c:scaling>
          <c:orientation val="minMax"/>
        </c:scaling>
        <c:delete val="0"/>
        <c:axPos val="b"/>
        <c:majorTickMark val="out"/>
        <c:minorTickMark val="none"/>
        <c:tickLblPos val="nextTo"/>
        <c:crossAx val="197871104"/>
        <c:crosses val="autoZero"/>
        <c:auto val="1"/>
        <c:lblAlgn val="ctr"/>
        <c:lblOffset val="100"/>
        <c:noMultiLvlLbl val="0"/>
      </c:catAx>
      <c:valAx>
        <c:axId val="197871104"/>
        <c:scaling>
          <c:orientation val="minMax"/>
        </c:scaling>
        <c:delete val="0"/>
        <c:axPos val="l"/>
        <c:title>
          <c:tx>
            <c:rich>
              <a:bodyPr rot="0" vert="horz"/>
              <a:lstStyle/>
              <a:p>
                <a:pPr>
                  <a:defRPr/>
                </a:pPr>
                <a:r>
                  <a:rPr lang="x-none">
                    <a:latin typeface="Calibri"/>
                  </a:rPr>
                  <a:t>m</a:t>
                </a:r>
                <a:r>
                  <a:rPr lang="en-US">
                    <a:latin typeface="Calibri"/>
                  </a:rPr>
                  <a:t>g/m</a:t>
                </a:r>
                <a:r>
                  <a:rPr lang="en-US" baseline="30000">
                    <a:latin typeface="Calibri"/>
                  </a:rPr>
                  <a:t>3</a:t>
                </a:r>
                <a:endParaRPr lang="en-US" baseline="30000"/>
              </a:p>
            </c:rich>
          </c:tx>
          <c:layout>
            <c:manualLayout>
              <c:xMode val="edge"/>
              <c:yMode val="edge"/>
              <c:x val="0"/>
              <c:y val="3.0067700764872299E-3"/>
            </c:manualLayout>
          </c:layout>
          <c:overlay val="0"/>
        </c:title>
        <c:numFmt formatCode="General" sourceLinked="1"/>
        <c:majorTickMark val="out"/>
        <c:minorTickMark val="none"/>
        <c:tickLblPos val="nextTo"/>
        <c:crossAx val="197869568"/>
        <c:crosses val="autoZero"/>
        <c:crossBetween val="between"/>
      </c:valAx>
      <c:spPr>
        <a:blipFill dpi="0" rotWithShape="1">
          <a:blip xmlns:r="http://schemas.openxmlformats.org/officeDocument/2006/relationships" r:embed="rId1">
            <a:alphaModFix amt="70000"/>
          </a:blip>
          <a:srcRect/>
          <a:stretch>
            <a:fillRect/>
          </a:stretch>
        </a:blipFill>
      </c:spPr>
    </c:plotArea>
    <c:legend>
      <c:legendPos val="r"/>
      <c:layout>
        <c:manualLayout>
          <c:xMode val="edge"/>
          <c:yMode val="edge"/>
          <c:x val="0.76182295394893862"/>
          <c:y val="0.11791978264023559"/>
          <c:w val="0.23590942740549256"/>
          <c:h val="0.66474894155819619"/>
        </c:manualLayout>
      </c:layout>
      <c:overlay val="1"/>
      <c:txPr>
        <a:bodyPr/>
        <a:lstStyle/>
        <a:p>
          <a:pPr>
            <a:defRPr sz="800"/>
          </a:pPr>
          <a:endParaRPr lang="en-US"/>
        </a:p>
      </c:txPr>
    </c:legend>
    <c:plotVisOnly val="1"/>
    <c:dispBlanksAs val="gap"/>
    <c:showDLblsOverMax val="0"/>
  </c:chart>
  <c:spPr>
    <a:ln>
      <a:noFill/>
    </a:ln>
  </c:spPr>
  <c:externalData r:id="rId2">
    <c:autoUpdate val="0"/>
  </c:externalData>
</c:chartSpace>
</file>

<file path=word/charts/chart1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6667348605593485"/>
          <c:y val="6.1198784722222226E-2"/>
          <c:w val="0.80703982999103963"/>
          <c:h val="0.6794629183748726"/>
        </c:manualLayout>
      </c:layout>
      <c:barChart>
        <c:barDir val="col"/>
        <c:grouping val="clustered"/>
        <c:varyColors val="0"/>
        <c:ser>
          <c:idx val="0"/>
          <c:order val="0"/>
          <c:tx>
            <c:v>Drumski</c:v>
          </c:tx>
          <c:spPr>
            <a:solidFill>
              <a:schemeClr val="accent3"/>
            </a:solidFill>
          </c:spPr>
          <c:invertIfNegative val="0"/>
          <c:cat>
            <c:numLit>
              <c:formatCode>General</c:formatCode>
              <c:ptCount val="1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numLit>
          </c:cat>
          <c:val>
            <c:numRef>
              <c:f>'S02'!$B$46:$O$46</c:f>
              <c:numCache>
                <c:formatCode>0</c:formatCode>
                <c:ptCount val="14"/>
                <c:pt idx="0">
                  <c:v>51.783000000000001</c:v>
                </c:pt>
                <c:pt idx="1">
                  <c:v>78.231999999999999</c:v>
                </c:pt>
                <c:pt idx="2">
                  <c:v>70.614999999999995</c:v>
                </c:pt>
                <c:pt idx="3">
                  <c:v>70.515000000000001</c:v>
                </c:pt>
                <c:pt idx="4">
                  <c:v>64.507999999999996</c:v>
                </c:pt>
                <c:pt idx="5">
                  <c:v>61.1</c:v>
                </c:pt>
                <c:pt idx="6">
                  <c:v>72.724000000000004</c:v>
                </c:pt>
                <c:pt idx="7">
                  <c:v>91.786000000000001</c:v>
                </c:pt>
                <c:pt idx="8">
                  <c:v>138.61000000000001</c:v>
                </c:pt>
                <c:pt idx="9">
                  <c:v>179.28800000000001</c:v>
                </c:pt>
                <c:pt idx="10">
                  <c:v>166.56399999999999</c:v>
                </c:pt>
                <c:pt idx="11">
                  <c:v>102.465</c:v>
                </c:pt>
                <c:pt idx="12">
                  <c:v>76.45</c:v>
                </c:pt>
                <c:pt idx="13">
                  <c:v>67.305000000000007</c:v>
                </c:pt>
              </c:numCache>
            </c:numRef>
          </c:val>
        </c:ser>
        <c:ser>
          <c:idx val="1"/>
          <c:order val="1"/>
          <c:tx>
            <c:v>Željeznički</c:v>
          </c:tx>
          <c:spPr>
            <a:solidFill>
              <a:srgbClr val="0000FF"/>
            </a:solidFill>
          </c:spPr>
          <c:invertIfNegative val="0"/>
          <c:cat>
            <c:numLit>
              <c:formatCode>General</c:formatCode>
              <c:ptCount val="1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numLit>
          </c:cat>
          <c:val>
            <c:numRef>
              <c:f>'S02'!$B$47:$O$47</c:f>
              <c:numCache>
                <c:formatCode>0</c:formatCode>
                <c:ptCount val="14"/>
                <c:pt idx="0">
                  <c:v>65.888000000000005</c:v>
                </c:pt>
                <c:pt idx="1">
                  <c:v>51.478999999999999</c:v>
                </c:pt>
                <c:pt idx="2">
                  <c:v>66.057000000000002</c:v>
                </c:pt>
                <c:pt idx="3">
                  <c:v>55.167000000000002</c:v>
                </c:pt>
                <c:pt idx="4">
                  <c:v>92.501999999999995</c:v>
                </c:pt>
                <c:pt idx="5">
                  <c:v>132.78200000000001</c:v>
                </c:pt>
                <c:pt idx="6">
                  <c:v>182.16300000000001</c:v>
                </c:pt>
                <c:pt idx="7">
                  <c:v>184.95699999999999</c:v>
                </c:pt>
                <c:pt idx="8">
                  <c:v>183.85400000000001</c:v>
                </c:pt>
                <c:pt idx="9">
                  <c:v>100.54600000000001</c:v>
                </c:pt>
                <c:pt idx="10">
                  <c:v>150.69900000000001</c:v>
                </c:pt>
                <c:pt idx="11">
                  <c:v>135.52199999999999</c:v>
                </c:pt>
                <c:pt idx="12">
                  <c:v>73.337000000000003</c:v>
                </c:pt>
                <c:pt idx="13">
                  <c:v>104.73099999999999</c:v>
                </c:pt>
              </c:numCache>
            </c:numRef>
          </c:val>
        </c:ser>
        <c:dLbls>
          <c:showLegendKey val="0"/>
          <c:showVal val="0"/>
          <c:showCatName val="0"/>
          <c:showSerName val="0"/>
          <c:showPercent val="0"/>
          <c:showBubbleSize val="0"/>
        </c:dLbls>
        <c:gapWidth val="150"/>
        <c:axId val="342165376"/>
        <c:axId val="342166912"/>
      </c:barChart>
      <c:catAx>
        <c:axId val="342165376"/>
        <c:scaling>
          <c:orientation val="minMax"/>
        </c:scaling>
        <c:delete val="0"/>
        <c:axPos val="b"/>
        <c:numFmt formatCode="General" sourceLinked="1"/>
        <c:majorTickMark val="out"/>
        <c:minorTickMark val="none"/>
        <c:tickLblPos val="nextTo"/>
        <c:txPr>
          <a:bodyPr rot="-3540000"/>
          <a:lstStyle/>
          <a:p>
            <a:pPr>
              <a:defRPr sz="900"/>
            </a:pPr>
            <a:endParaRPr lang="en-US"/>
          </a:p>
        </c:txPr>
        <c:crossAx val="342166912"/>
        <c:crosses val="autoZero"/>
        <c:auto val="1"/>
        <c:lblAlgn val="ctr"/>
        <c:lblOffset val="100"/>
        <c:noMultiLvlLbl val="0"/>
      </c:catAx>
      <c:valAx>
        <c:axId val="342166912"/>
        <c:scaling>
          <c:orientation val="minMax"/>
        </c:scaling>
        <c:delete val="0"/>
        <c:axPos val="l"/>
        <c:majorGridlines/>
        <c:numFmt formatCode="0" sourceLinked="1"/>
        <c:majorTickMark val="out"/>
        <c:minorTickMark val="none"/>
        <c:tickLblPos val="nextTo"/>
        <c:crossAx val="342165376"/>
        <c:crosses val="autoZero"/>
        <c:crossBetween val="between"/>
      </c:valAx>
    </c:plotArea>
    <c:legend>
      <c:legendPos val="r"/>
      <c:layout>
        <c:manualLayout>
          <c:xMode val="edge"/>
          <c:yMode val="edge"/>
          <c:x val="0.1487836111111111"/>
          <c:y val="5.3058593749999994E-2"/>
          <c:w val="0.32828413064681111"/>
          <c:h val="0.15718003469905245"/>
        </c:manualLayout>
      </c:layout>
      <c:overlay val="0"/>
      <c:txPr>
        <a:bodyPr/>
        <a:lstStyle/>
        <a:p>
          <a:pPr>
            <a:defRPr sz="1100"/>
          </a:pPr>
          <a:endParaRPr lang="en-US"/>
        </a:p>
      </c:txPr>
    </c:legend>
    <c:plotVisOnly val="1"/>
    <c:dispBlanksAs val="gap"/>
    <c:showDLblsOverMax val="0"/>
  </c:chart>
  <c:externalData r:id="rId1">
    <c:autoUpdate val="0"/>
  </c:externalData>
  <c:userShapes r:id="rId2"/>
</c:chartSpace>
</file>

<file path=word/charts/chart1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manualLayout>
          <c:layoutTarget val="inner"/>
          <c:xMode val="edge"/>
          <c:yMode val="edge"/>
          <c:x val="0.16972841552700646"/>
          <c:y val="8.7975924305758069E-2"/>
          <c:w val="0.80220140903439696"/>
          <c:h val="0.66960322089368463"/>
        </c:manualLayout>
      </c:layout>
      <c:areaChart>
        <c:grouping val="stacked"/>
        <c:varyColors val="0"/>
        <c:ser>
          <c:idx val="0"/>
          <c:order val="0"/>
          <c:tx>
            <c:strRef>
              <c:f>'S02'!$A$46</c:f>
              <c:strCache>
                <c:ptCount val="1"/>
                <c:pt idx="0">
                  <c:v>Drumski</c:v>
                </c:pt>
              </c:strCache>
            </c:strRef>
          </c:tx>
          <c:spPr>
            <a:solidFill>
              <a:srgbClr val="77933C"/>
            </a:solidFill>
            <a:ln w="25400">
              <a:noFill/>
            </a:ln>
            <a:effectLst>
              <a:outerShdw dist="35921" dir="2700000" algn="br">
                <a:srgbClr val="000000"/>
              </a:outerShdw>
            </a:effectLst>
          </c:spPr>
          <c:cat>
            <c:numRef>
              <c:f>'S02'!$B$45:$O$45</c:f>
              <c:numCache>
                <c:formatCode>General</c:formatCode>
                <c:ptCount val="1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numCache>
            </c:numRef>
          </c:cat>
          <c:val>
            <c:numRef>
              <c:f>'S02'!$B$46:$O$46</c:f>
              <c:numCache>
                <c:formatCode>0</c:formatCode>
                <c:ptCount val="14"/>
                <c:pt idx="0">
                  <c:v>51.783000000000001</c:v>
                </c:pt>
                <c:pt idx="1">
                  <c:v>78.231999999999999</c:v>
                </c:pt>
                <c:pt idx="2">
                  <c:v>70.614999999999995</c:v>
                </c:pt>
                <c:pt idx="3">
                  <c:v>70.515000000000001</c:v>
                </c:pt>
                <c:pt idx="4">
                  <c:v>64.507999999999996</c:v>
                </c:pt>
                <c:pt idx="5">
                  <c:v>61.1</c:v>
                </c:pt>
                <c:pt idx="6">
                  <c:v>72.724000000000004</c:v>
                </c:pt>
                <c:pt idx="7">
                  <c:v>91.786000000000001</c:v>
                </c:pt>
                <c:pt idx="8">
                  <c:v>138.61000000000001</c:v>
                </c:pt>
                <c:pt idx="9">
                  <c:v>179.28800000000001</c:v>
                </c:pt>
                <c:pt idx="10">
                  <c:v>166.56399999999999</c:v>
                </c:pt>
                <c:pt idx="11">
                  <c:v>102.465</c:v>
                </c:pt>
                <c:pt idx="12">
                  <c:v>76.45</c:v>
                </c:pt>
                <c:pt idx="13">
                  <c:v>67.305000000000007</c:v>
                </c:pt>
              </c:numCache>
            </c:numRef>
          </c:val>
        </c:ser>
        <c:ser>
          <c:idx val="1"/>
          <c:order val="1"/>
          <c:tx>
            <c:strRef>
              <c:f>'S02'!$A$47</c:f>
              <c:strCache>
                <c:ptCount val="1"/>
                <c:pt idx="0">
                  <c:v>Železnički</c:v>
                </c:pt>
              </c:strCache>
            </c:strRef>
          </c:tx>
          <c:spPr>
            <a:solidFill>
              <a:srgbClr val="0000FF"/>
            </a:solidFill>
            <a:ln w="25400">
              <a:noFill/>
            </a:ln>
            <a:effectLst>
              <a:outerShdw dist="35921" dir="2700000" algn="br">
                <a:srgbClr val="000000"/>
              </a:outerShdw>
            </a:effectLst>
          </c:spPr>
          <c:cat>
            <c:numRef>
              <c:f>'S02'!$B$45:$O$45</c:f>
              <c:numCache>
                <c:formatCode>General</c:formatCode>
                <c:ptCount val="1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numCache>
            </c:numRef>
          </c:cat>
          <c:val>
            <c:numRef>
              <c:f>'S02'!$B$47:$O$47</c:f>
              <c:numCache>
                <c:formatCode>0</c:formatCode>
                <c:ptCount val="14"/>
                <c:pt idx="0">
                  <c:v>65.888000000000005</c:v>
                </c:pt>
                <c:pt idx="1">
                  <c:v>51.478999999999999</c:v>
                </c:pt>
                <c:pt idx="2">
                  <c:v>66.057000000000002</c:v>
                </c:pt>
                <c:pt idx="3">
                  <c:v>55.167000000000002</c:v>
                </c:pt>
                <c:pt idx="4">
                  <c:v>92.501999999999995</c:v>
                </c:pt>
                <c:pt idx="5">
                  <c:v>132.78200000000001</c:v>
                </c:pt>
                <c:pt idx="6">
                  <c:v>182.16300000000001</c:v>
                </c:pt>
                <c:pt idx="7">
                  <c:v>184.95699999999999</c:v>
                </c:pt>
                <c:pt idx="8">
                  <c:v>183.85400000000001</c:v>
                </c:pt>
                <c:pt idx="9">
                  <c:v>100.54600000000001</c:v>
                </c:pt>
                <c:pt idx="10">
                  <c:v>150.69900000000001</c:v>
                </c:pt>
                <c:pt idx="11">
                  <c:v>135.52199999999999</c:v>
                </c:pt>
                <c:pt idx="12">
                  <c:v>73.337000000000003</c:v>
                </c:pt>
                <c:pt idx="13">
                  <c:v>104.73099999999999</c:v>
                </c:pt>
              </c:numCache>
            </c:numRef>
          </c:val>
        </c:ser>
        <c:dLbls>
          <c:showLegendKey val="0"/>
          <c:showVal val="0"/>
          <c:showCatName val="0"/>
          <c:showSerName val="0"/>
          <c:showPercent val="0"/>
          <c:showBubbleSize val="0"/>
        </c:dLbls>
        <c:axId val="342194048"/>
        <c:axId val="342195584"/>
      </c:areaChart>
      <c:catAx>
        <c:axId val="342194048"/>
        <c:scaling>
          <c:orientation val="minMax"/>
        </c:scaling>
        <c:delete val="0"/>
        <c:axPos val="b"/>
        <c:numFmt formatCode="General" sourceLinked="1"/>
        <c:majorTickMark val="out"/>
        <c:minorTickMark val="none"/>
        <c:tickLblPos val="nextTo"/>
        <c:spPr>
          <a:ln w="3175">
            <a:solidFill>
              <a:srgbClr val="808080"/>
            </a:solidFill>
            <a:prstDash val="solid"/>
          </a:ln>
        </c:spPr>
        <c:txPr>
          <a:bodyPr rot="-5400000" vert="horz"/>
          <a:lstStyle/>
          <a:p>
            <a:pPr>
              <a:defRPr sz="1000" b="0" i="0" u="none" strike="noStrike" baseline="0">
                <a:solidFill>
                  <a:srgbClr val="000000"/>
                </a:solidFill>
                <a:latin typeface="Calibri"/>
                <a:ea typeface="Calibri"/>
                <a:cs typeface="Calibri"/>
              </a:defRPr>
            </a:pPr>
            <a:endParaRPr lang="en-US"/>
          </a:p>
        </c:txPr>
        <c:crossAx val="342195584"/>
        <c:crosses val="autoZero"/>
        <c:auto val="1"/>
        <c:lblAlgn val="ctr"/>
        <c:lblOffset val="100"/>
        <c:noMultiLvlLbl val="0"/>
      </c:catAx>
      <c:valAx>
        <c:axId val="342195584"/>
        <c:scaling>
          <c:orientation val="minMax"/>
        </c:scaling>
        <c:delete val="0"/>
        <c:axPos val="l"/>
        <c:title>
          <c:tx>
            <c:rich>
              <a:bodyPr/>
              <a:lstStyle/>
              <a:p>
                <a:pPr>
                  <a:defRPr sz="800" b="0" i="0" u="none" strike="noStrike" baseline="0">
                    <a:solidFill>
                      <a:srgbClr val="000000"/>
                    </a:solidFill>
                    <a:latin typeface="Calibri (body)"/>
                    <a:ea typeface="Calibri"/>
                    <a:cs typeface="Calibri"/>
                  </a:defRPr>
                </a:pPr>
                <a:r>
                  <a:rPr lang="en-US" sz="800" baseline="0">
                    <a:latin typeface="Calibri (body)"/>
                  </a:rPr>
                  <a:t>Teretni saobraćaj , mil tkm</a:t>
                </a:r>
              </a:p>
            </c:rich>
          </c:tx>
          <c:layout>
            <c:manualLayout>
              <c:xMode val="edge"/>
              <c:yMode val="edge"/>
              <c:x val="7.124740986324078E-3"/>
              <c:y val="4.9752114319043451E-2"/>
            </c:manualLayout>
          </c:layout>
          <c:overlay val="0"/>
          <c:spPr>
            <a:noFill/>
            <a:ln w="25400">
              <a:noFill/>
            </a:ln>
          </c:spPr>
        </c:title>
        <c:numFmt formatCode="0" sourceLinked="1"/>
        <c:majorTickMark val="out"/>
        <c:minorTickMark val="none"/>
        <c:tickLblPos val="nextTo"/>
        <c:spPr>
          <a:ln w="3175">
            <a:solidFill>
              <a:srgbClr val="808080"/>
            </a:solidFill>
            <a:prstDash val="solid"/>
          </a:ln>
        </c:spPr>
        <c:txPr>
          <a:bodyPr rot="0" vert="horz"/>
          <a:lstStyle/>
          <a:p>
            <a:pPr>
              <a:defRPr sz="900" b="0" i="0" u="none" strike="noStrike" baseline="0">
                <a:solidFill>
                  <a:srgbClr val="000000"/>
                </a:solidFill>
                <a:latin typeface="Calibri"/>
                <a:ea typeface="Calibri"/>
                <a:cs typeface="Calibri"/>
              </a:defRPr>
            </a:pPr>
            <a:endParaRPr lang="en-US"/>
          </a:p>
        </c:txPr>
        <c:crossAx val="342194048"/>
        <c:crosses val="autoZero"/>
        <c:crossBetween val="midCat"/>
      </c:valAx>
      <c:spPr>
        <a:solidFill>
          <a:srgbClr val="FFFFFF"/>
        </a:solidFill>
        <a:ln w="25400">
          <a:noFill/>
        </a:ln>
      </c:spPr>
    </c:plotArea>
    <c:legend>
      <c:legendPos val="r"/>
      <c:layout>
        <c:manualLayout>
          <c:xMode val="edge"/>
          <c:yMode val="edge"/>
          <c:x val="0.20228978676935455"/>
          <c:y val="5.1405473050045961E-2"/>
          <c:w val="0.29257853294653957"/>
          <c:h val="0.2388863417389282"/>
        </c:manualLayout>
      </c:layout>
      <c:overlay val="0"/>
      <c:spPr>
        <a:noFill/>
        <a:ln w="25400">
          <a:noFill/>
        </a:ln>
      </c:spPr>
      <c:txPr>
        <a:bodyPr/>
        <a:lstStyle/>
        <a:p>
          <a:pPr>
            <a:defRPr sz="1100" b="0" i="0" u="none" strike="noStrike" baseline="0">
              <a:solidFill>
                <a:srgbClr val="000000"/>
              </a:solidFill>
              <a:latin typeface="Calibri"/>
              <a:ea typeface="Calibri"/>
              <a:cs typeface="Calibri"/>
            </a:defRPr>
          </a:pPr>
          <a:endParaRPr lang="en-US"/>
        </a:p>
      </c:txPr>
    </c:legend>
    <c:plotVisOnly val="1"/>
    <c:dispBlanksAs val="zero"/>
    <c:showDLblsOverMax val="0"/>
  </c:chart>
  <c:spPr>
    <a:solidFill>
      <a:srgbClr val="FFFFFF"/>
    </a:solidFill>
    <a:ln w="3175">
      <a:solidFill>
        <a:srgbClr val="808080"/>
      </a:solidFill>
      <a:prstDash val="solid"/>
    </a:ln>
  </c:spPr>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userShapes r:id="rId2"/>
</c:chartSpace>
</file>

<file path=word/charts/chart1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72447921857869"/>
          <c:y val="6.1198784722222226E-2"/>
          <c:w val="0.80545964982225327"/>
          <c:h val="0.71803038194444446"/>
        </c:manualLayout>
      </c:layout>
      <c:barChart>
        <c:barDir val="col"/>
        <c:grouping val="clustered"/>
        <c:varyColors val="0"/>
        <c:ser>
          <c:idx val="0"/>
          <c:order val="0"/>
          <c:tx>
            <c:v>Drumski</c:v>
          </c:tx>
          <c:spPr>
            <a:solidFill>
              <a:schemeClr val="accent3"/>
            </a:solidFill>
          </c:spPr>
          <c:invertIfNegative val="0"/>
          <c:cat>
            <c:numLit>
              <c:formatCode>General</c:formatCode>
              <c:ptCount val="1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numLit>
          </c:cat>
          <c:val>
            <c:numRef>
              <c:f>'S02'!$B$46:$O$46</c:f>
              <c:numCache>
                <c:formatCode>0</c:formatCode>
                <c:ptCount val="14"/>
                <c:pt idx="0">
                  <c:v>51.783000000000001</c:v>
                </c:pt>
                <c:pt idx="1">
                  <c:v>78.231999999999999</c:v>
                </c:pt>
                <c:pt idx="2">
                  <c:v>70.614999999999995</c:v>
                </c:pt>
                <c:pt idx="3">
                  <c:v>70.515000000000001</c:v>
                </c:pt>
                <c:pt idx="4">
                  <c:v>64.507999999999996</c:v>
                </c:pt>
                <c:pt idx="5">
                  <c:v>61.1</c:v>
                </c:pt>
                <c:pt idx="6">
                  <c:v>72.724000000000004</c:v>
                </c:pt>
                <c:pt idx="7">
                  <c:v>91.786000000000001</c:v>
                </c:pt>
                <c:pt idx="8">
                  <c:v>138.61000000000001</c:v>
                </c:pt>
                <c:pt idx="9">
                  <c:v>179.28800000000001</c:v>
                </c:pt>
                <c:pt idx="10">
                  <c:v>166.56399999999999</c:v>
                </c:pt>
                <c:pt idx="11">
                  <c:v>102.465</c:v>
                </c:pt>
                <c:pt idx="12">
                  <c:v>76.45</c:v>
                </c:pt>
                <c:pt idx="13">
                  <c:v>67.305000000000007</c:v>
                </c:pt>
              </c:numCache>
            </c:numRef>
          </c:val>
        </c:ser>
        <c:ser>
          <c:idx val="1"/>
          <c:order val="1"/>
          <c:tx>
            <c:v>Željeznički</c:v>
          </c:tx>
          <c:spPr>
            <a:solidFill>
              <a:srgbClr val="0000FF"/>
            </a:solidFill>
          </c:spPr>
          <c:invertIfNegative val="0"/>
          <c:cat>
            <c:numLit>
              <c:formatCode>General</c:formatCode>
              <c:ptCount val="1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numLit>
          </c:cat>
          <c:val>
            <c:numRef>
              <c:f>'S02'!$B$47:$O$47</c:f>
              <c:numCache>
                <c:formatCode>0</c:formatCode>
                <c:ptCount val="14"/>
                <c:pt idx="0">
                  <c:v>65.888000000000005</c:v>
                </c:pt>
                <c:pt idx="1">
                  <c:v>51.478999999999999</c:v>
                </c:pt>
                <c:pt idx="2">
                  <c:v>66.057000000000002</c:v>
                </c:pt>
                <c:pt idx="3">
                  <c:v>55.167000000000002</c:v>
                </c:pt>
                <c:pt idx="4">
                  <c:v>92.501999999999995</c:v>
                </c:pt>
                <c:pt idx="5">
                  <c:v>132.78200000000001</c:v>
                </c:pt>
                <c:pt idx="6">
                  <c:v>182.16300000000001</c:v>
                </c:pt>
                <c:pt idx="7">
                  <c:v>184.95699999999999</c:v>
                </c:pt>
                <c:pt idx="8">
                  <c:v>183.85400000000001</c:v>
                </c:pt>
                <c:pt idx="9">
                  <c:v>100.54600000000001</c:v>
                </c:pt>
                <c:pt idx="10">
                  <c:v>150.69900000000001</c:v>
                </c:pt>
                <c:pt idx="11">
                  <c:v>135.52199999999999</c:v>
                </c:pt>
                <c:pt idx="12">
                  <c:v>73.337000000000003</c:v>
                </c:pt>
                <c:pt idx="13">
                  <c:v>104.73099999999999</c:v>
                </c:pt>
              </c:numCache>
            </c:numRef>
          </c:val>
        </c:ser>
        <c:dLbls>
          <c:showLegendKey val="0"/>
          <c:showVal val="0"/>
          <c:showCatName val="0"/>
          <c:showSerName val="0"/>
          <c:showPercent val="0"/>
          <c:showBubbleSize val="0"/>
        </c:dLbls>
        <c:gapWidth val="150"/>
        <c:axId val="342222336"/>
        <c:axId val="342224256"/>
      </c:barChart>
      <c:lineChart>
        <c:grouping val="stacked"/>
        <c:varyColors val="0"/>
        <c:ser>
          <c:idx val="2"/>
          <c:order val="2"/>
          <c:tx>
            <c:v>Ukupno</c:v>
          </c:tx>
          <c:spPr>
            <a:ln>
              <a:solidFill>
                <a:srgbClr val="7030A0"/>
              </a:solidFill>
            </a:ln>
          </c:spPr>
          <c:marker>
            <c:spPr>
              <a:solidFill>
                <a:srgbClr val="FECAEF"/>
              </a:solidFill>
              <a:ln>
                <a:solidFill>
                  <a:srgbClr val="7030A0"/>
                </a:solidFill>
              </a:ln>
            </c:spPr>
          </c:marker>
          <c:val>
            <c:numRef>
              <c:f>'S02'!$B$48:$O$48</c:f>
              <c:numCache>
                <c:formatCode>0</c:formatCode>
                <c:ptCount val="14"/>
                <c:pt idx="0">
                  <c:v>117.67100000000001</c:v>
                </c:pt>
                <c:pt idx="1">
                  <c:v>129.71100000000001</c:v>
                </c:pt>
                <c:pt idx="2">
                  <c:v>136.672</c:v>
                </c:pt>
                <c:pt idx="3">
                  <c:v>125.682</c:v>
                </c:pt>
                <c:pt idx="4">
                  <c:v>157.01</c:v>
                </c:pt>
                <c:pt idx="5">
                  <c:v>193.88200000000001</c:v>
                </c:pt>
                <c:pt idx="6">
                  <c:v>254.887</c:v>
                </c:pt>
                <c:pt idx="7">
                  <c:v>276.74299999999999</c:v>
                </c:pt>
                <c:pt idx="8">
                  <c:v>322.46400000000006</c:v>
                </c:pt>
                <c:pt idx="9">
                  <c:v>279.834</c:v>
                </c:pt>
                <c:pt idx="10">
                  <c:v>317.26300000000003</c:v>
                </c:pt>
                <c:pt idx="11">
                  <c:v>237.98699999999999</c:v>
                </c:pt>
                <c:pt idx="12">
                  <c:v>149.78700000000001</c:v>
                </c:pt>
                <c:pt idx="13">
                  <c:v>172.036</c:v>
                </c:pt>
              </c:numCache>
            </c:numRef>
          </c:val>
          <c:smooth val="0"/>
        </c:ser>
        <c:dLbls>
          <c:showLegendKey val="0"/>
          <c:showVal val="0"/>
          <c:showCatName val="0"/>
          <c:showSerName val="0"/>
          <c:showPercent val="0"/>
          <c:showBubbleSize val="0"/>
        </c:dLbls>
        <c:marker val="1"/>
        <c:smooth val="0"/>
        <c:axId val="342222336"/>
        <c:axId val="342224256"/>
      </c:lineChart>
      <c:catAx>
        <c:axId val="342222336"/>
        <c:scaling>
          <c:orientation val="minMax"/>
        </c:scaling>
        <c:delete val="0"/>
        <c:axPos val="b"/>
        <c:numFmt formatCode="General" sourceLinked="1"/>
        <c:majorTickMark val="out"/>
        <c:minorTickMark val="none"/>
        <c:tickLblPos val="nextTo"/>
        <c:txPr>
          <a:bodyPr rot="-4200000"/>
          <a:lstStyle/>
          <a:p>
            <a:pPr>
              <a:defRPr sz="900" strike="noStrike"/>
            </a:pPr>
            <a:endParaRPr lang="en-US"/>
          </a:p>
        </c:txPr>
        <c:crossAx val="342224256"/>
        <c:crosses val="autoZero"/>
        <c:auto val="1"/>
        <c:lblAlgn val="ctr"/>
        <c:lblOffset val="100"/>
        <c:noMultiLvlLbl val="0"/>
      </c:catAx>
      <c:valAx>
        <c:axId val="342224256"/>
        <c:scaling>
          <c:orientation val="minMax"/>
        </c:scaling>
        <c:delete val="0"/>
        <c:axPos val="l"/>
        <c:majorGridlines/>
        <c:numFmt formatCode="0" sourceLinked="1"/>
        <c:majorTickMark val="out"/>
        <c:minorTickMark val="none"/>
        <c:tickLblPos val="nextTo"/>
        <c:crossAx val="342222336"/>
        <c:crosses val="autoZero"/>
        <c:crossBetween val="between"/>
      </c:valAx>
    </c:plotArea>
    <c:legend>
      <c:legendPos val="r"/>
      <c:layout>
        <c:manualLayout>
          <c:xMode val="edge"/>
          <c:yMode val="edge"/>
          <c:x val="0.16988072693444964"/>
          <c:y val="5.3058593749999994E-2"/>
          <c:w val="0.35679675910076464"/>
          <c:h val="0.30406759072471312"/>
        </c:manualLayout>
      </c:layout>
      <c:overlay val="0"/>
      <c:txPr>
        <a:bodyPr/>
        <a:lstStyle/>
        <a:p>
          <a:pPr>
            <a:defRPr sz="1100"/>
          </a:pPr>
          <a:endParaRPr lang="en-US"/>
        </a:p>
      </c:txPr>
    </c:legend>
    <c:plotVisOnly val="1"/>
    <c:dispBlanksAs val="gap"/>
    <c:showDLblsOverMax val="0"/>
  </c:chart>
  <c:externalData r:id="rId1">
    <c:autoUpdate val="0"/>
  </c:externalData>
  <c:userShapes r:id="rId2"/>
</c:chartSpace>
</file>

<file path=word/charts/chart1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7584149861566556"/>
          <c:y val="5.1400554097404488E-2"/>
          <c:w val="0.77137968726477768"/>
          <c:h val="0.70068877203430657"/>
        </c:manualLayout>
      </c:layout>
      <c:barChart>
        <c:barDir val="col"/>
        <c:grouping val="stacked"/>
        <c:varyColors val="0"/>
        <c:ser>
          <c:idx val="0"/>
          <c:order val="0"/>
          <c:tx>
            <c:v>Drumski</c:v>
          </c:tx>
          <c:spPr>
            <a:solidFill>
              <a:schemeClr val="accent3">
                <a:lumMod val="75000"/>
              </a:schemeClr>
            </a:solidFill>
          </c:spPr>
          <c:invertIfNegative val="0"/>
          <c:cat>
            <c:numLit>
              <c:formatCode>General</c:formatCode>
              <c:ptCount val="1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numLit>
          </c:cat>
          <c:val>
            <c:numRef>
              <c:f>'S02'!$B$49:$O$49</c:f>
              <c:numCache>
                <c:formatCode>0%</c:formatCode>
                <c:ptCount val="14"/>
                <c:pt idx="0">
                  <c:v>0.44006594657987097</c:v>
                </c:pt>
                <c:pt idx="1">
                  <c:v>0.60312540956433913</c:v>
                </c:pt>
                <c:pt idx="2">
                  <c:v>0.51667495902598926</c:v>
                </c:pt>
                <c:pt idx="3">
                  <c:v>0.56105886284432138</c:v>
                </c:pt>
                <c:pt idx="4">
                  <c:v>0.41085281192280748</c:v>
                </c:pt>
                <c:pt idx="5">
                  <c:v>0.31514013678422959</c:v>
                </c:pt>
                <c:pt idx="6">
                  <c:v>0.28531859216044758</c:v>
                </c:pt>
                <c:pt idx="7">
                  <c:v>0.33166511890092976</c:v>
                </c:pt>
                <c:pt idx="8">
                  <c:v>0.42984643246998111</c:v>
                </c:pt>
                <c:pt idx="9">
                  <c:v>0.64069412580315477</c:v>
                </c:pt>
                <c:pt idx="10">
                  <c:v>0.5250029155621676</c:v>
                </c:pt>
                <c:pt idx="11">
                  <c:v>0.43054872745149947</c:v>
                </c:pt>
                <c:pt idx="12">
                  <c:v>0.51039142248659763</c:v>
                </c:pt>
                <c:pt idx="13">
                  <c:v>0.39122625496989005</c:v>
                </c:pt>
              </c:numCache>
            </c:numRef>
          </c:val>
        </c:ser>
        <c:ser>
          <c:idx val="1"/>
          <c:order val="1"/>
          <c:tx>
            <c:v>Željeznički</c:v>
          </c:tx>
          <c:spPr>
            <a:solidFill>
              <a:srgbClr val="0000FF"/>
            </a:solidFill>
          </c:spPr>
          <c:invertIfNegative val="0"/>
          <c:cat>
            <c:numLit>
              <c:formatCode>General</c:formatCode>
              <c:ptCount val="1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numLit>
          </c:cat>
          <c:val>
            <c:numRef>
              <c:f>'S02'!$B$50:$O$50</c:f>
              <c:numCache>
                <c:formatCode>0%</c:formatCode>
                <c:ptCount val="14"/>
                <c:pt idx="0">
                  <c:v>0.55993405342012903</c:v>
                </c:pt>
                <c:pt idx="1">
                  <c:v>0.39687459043566076</c:v>
                </c:pt>
                <c:pt idx="2">
                  <c:v>0.4833250409740108</c:v>
                </c:pt>
                <c:pt idx="3">
                  <c:v>0.43894113715567862</c:v>
                </c:pt>
                <c:pt idx="4">
                  <c:v>0.58914718807719257</c:v>
                </c:pt>
                <c:pt idx="5">
                  <c:v>0.68485986321577041</c:v>
                </c:pt>
                <c:pt idx="6">
                  <c:v>0.71468140783955247</c:v>
                </c:pt>
                <c:pt idx="7">
                  <c:v>0.66833488109907024</c:v>
                </c:pt>
                <c:pt idx="8">
                  <c:v>0.57015356753001878</c:v>
                </c:pt>
                <c:pt idx="9">
                  <c:v>0.35930587419684529</c:v>
                </c:pt>
                <c:pt idx="10">
                  <c:v>0.47499708443783234</c:v>
                </c:pt>
                <c:pt idx="11">
                  <c:v>0.56945127254850048</c:v>
                </c:pt>
                <c:pt idx="12">
                  <c:v>0.48960857751340237</c:v>
                </c:pt>
                <c:pt idx="13">
                  <c:v>0.60877374503010995</c:v>
                </c:pt>
              </c:numCache>
            </c:numRef>
          </c:val>
        </c:ser>
        <c:dLbls>
          <c:showLegendKey val="0"/>
          <c:showVal val="0"/>
          <c:showCatName val="0"/>
          <c:showSerName val="0"/>
          <c:showPercent val="0"/>
          <c:showBubbleSize val="0"/>
        </c:dLbls>
        <c:gapWidth val="150"/>
        <c:overlap val="100"/>
        <c:axId val="342267392"/>
        <c:axId val="342268928"/>
      </c:barChart>
      <c:catAx>
        <c:axId val="342267392"/>
        <c:scaling>
          <c:orientation val="minMax"/>
        </c:scaling>
        <c:delete val="0"/>
        <c:axPos val="b"/>
        <c:numFmt formatCode="General" sourceLinked="1"/>
        <c:majorTickMark val="out"/>
        <c:minorTickMark val="none"/>
        <c:tickLblPos val="nextTo"/>
        <c:txPr>
          <a:bodyPr rot="-4200000"/>
          <a:lstStyle/>
          <a:p>
            <a:pPr>
              <a:defRPr sz="900"/>
            </a:pPr>
            <a:endParaRPr lang="en-US"/>
          </a:p>
        </c:txPr>
        <c:crossAx val="342268928"/>
        <c:crosses val="autoZero"/>
        <c:auto val="1"/>
        <c:lblAlgn val="r"/>
        <c:lblOffset val="100"/>
        <c:noMultiLvlLbl val="0"/>
      </c:catAx>
      <c:valAx>
        <c:axId val="342268928"/>
        <c:scaling>
          <c:orientation val="minMax"/>
        </c:scaling>
        <c:delete val="0"/>
        <c:axPos val="l"/>
        <c:majorGridlines/>
        <c:numFmt formatCode="0%" sourceLinked="1"/>
        <c:majorTickMark val="out"/>
        <c:minorTickMark val="none"/>
        <c:tickLblPos val="nextTo"/>
        <c:crossAx val="342267392"/>
        <c:crosses val="autoZero"/>
        <c:crossBetween val="between"/>
      </c:valAx>
    </c:plotArea>
    <c:legend>
      <c:legendPos val="r"/>
      <c:layout>
        <c:manualLayout>
          <c:xMode val="edge"/>
          <c:yMode val="edge"/>
          <c:x val="0.2408618817935716"/>
          <c:y val="5.9801022895853435E-2"/>
          <c:w val="0.55525772629206693"/>
          <c:h val="0.10724886661894537"/>
        </c:manualLayout>
      </c:layout>
      <c:overlay val="0"/>
    </c:legend>
    <c:plotVisOnly val="1"/>
    <c:dispBlanksAs val="gap"/>
    <c:showDLblsOverMax val="0"/>
  </c:chart>
  <c:externalData r:id="rId1">
    <c:autoUpdate val="0"/>
  </c:externalData>
  <c:userShapes r:id="rId2"/>
</c:chartSpace>
</file>

<file path=word/charts/chart1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832174103237096"/>
          <c:y val="5.1400554097404488E-2"/>
          <c:w val="0.85138604549431318"/>
          <c:h val="0.74621815372797673"/>
        </c:manualLayout>
      </c:layout>
      <c:lineChart>
        <c:grouping val="standard"/>
        <c:varyColors val="0"/>
        <c:ser>
          <c:idx val="0"/>
          <c:order val="0"/>
          <c:tx>
            <c:v>Motor</c:v>
          </c:tx>
          <c:marker>
            <c:symbol val="none"/>
          </c:marker>
          <c:cat>
            <c:numLit>
              <c:formatCode>General</c:formatCode>
              <c:ptCount val="24"/>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numLit>
          </c:cat>
          <c:val>
            <c:numRef>
              <c:f>'S04'!$B$81:$B$104</c:f>
              <c:numCache>
                <c:formatCode>General</c:formatCode>
                <c:ptCount val="24"/>
                <c:pt idx="0">
                  <c:v>38</c:v>
                </c:pt>
                <c:pt idx="1">
                  <c:v>59</c:v>
                </c:pt>
                <c:pt idx="2">
                  <c:v>51</c:v>
                </c:pt>
                <c:pt idx="3">
                  <c:v>67</c:v>
                </c:pt>
                <c:pt idx="4">
                  <c:v>46</c:v>
                </c:pt>
                <c:pt idx="5">
                  <c:v>29</c:v>
                </c:pt>
                <c:pt idx="6">
                  <c:v>74</c:v>
                </c:pt>
                <c:pt idx="7">
                  <c:v>295</c:v>
                </c:pt>
                <c:pt idx="8">
                  <c:v>684</c:v>
                </c:pt>
                <c:pt idx="9">
                  <c:v>386</c:v>
                </c:pt>
                <c:pt idx="10">
                  <c:v>401</c:v>
                </c:pt>
                <c:pt idx="11">
                  <c:v>597</c:v>
                </c:pt>
                <c:pt idx="12">
                  <c:v>834</c:v>
                </c:pt>
                <c:pt idx="13">
                  <c:v>970</c:v>
                </c:pt>
                <c:pt idx="14">
                  <c:v>1021</c:v>
                </c:pt>
                <c:pt idx="15">
                  <c:v>1251</c:v>
                </c:pt>
                <c:pt idx="16">
                  <c:v>1715</c:v>
                </c:pt>
                <c:pt idx="17">
                  <c:v>3020</c:v>
                </c:pt>
                <c:pt idx="18">
                  <c:v>4483</c:v>
                </c:pt>
                <c:pt idx="19">
                  <c:v>4594</c:v>
                </c:pt>
                <c:pt idx="20">
                  <c:v>4361</c:v>
                </c:pt>
                <c:pt idx="21">
                  <c:v>4378</c:v>
                </c:pt>
                <c:pt idx="22">
                  <c:v>4389</c:v>
                </c:pt>
                <c:pt idx="23">
                  <c:v>5151</c:v>
                </c:pt>
              </c:numCache>
            </c:numRef>
          </c:val>
          <c:smooth val="0"/>
        </c:ser>
        <c:ser>
          <c:idx val="1"/>
          <c:order val="1"/>
          <c:tx>
            <c:v>Putnički automobil</c:v>
          </c:tx>
          <c:spPr>
            <a:ln>
              <a:solidFill>
                <a:srgbClr val="B90385"/>
              </a:solidFill>
            </a:ln>
          </c:spPr>
          <c:marker>
            <c:symbol val="none"/>
          </c:marker>
          <c:cat>
            <c:numLit>
              <c:formatCode>General</c:formatCode>
              <c:ptCount val="24"/>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numLit>
          </c:cat>
          <c:val>
            <c:numRef>
              <c:f>'S04'!$C$81:$C$104</c:f>
              <c:numCache>
                <c:formatCode>General</c:formatCode>
                <c:ptCount val="24"/>
                <c:pt idx="0">
                  <c:v>2351</c:v>
                </c:pt>
                <c:pt idx="1">
                  <c:v>3911</c:v>
                </c:pt>
                <c:pt idx="2">
                  <c:v>3566</c:v>
                </c:pt>
                <c:pt idx="3">
                  <c:v>5290</c:v>
                </c:pt>
                <c:pt idx="4">
                  <c:v>4937</c:v>
                </c:pt>
                <c:pt idx="5">
                  <c:v>7550</c:v>
                </c:pt>
                <c:pt idx="6">
                  <c:v>9780</c:v>
                </c:pt>
                <c:pt idx="7">
                  <c:v>66486</c:v>
                </c:pt>
                <c:pt idx="8">
                  <c:v>158148</c:v>
                </c:pt>
                <c:pt idx="9">
                  <c:v>109515</c:v>
                </c:pt>
                <c:pt idx="10">
                  <c:v>111656</c:v>
                </c:pt>
                <c:pt idx="11">
                  <c:v>97894</c:v>
                </c:pt>
                <c:pt idx="12">
                  <c:v>102218</c:v>
                </c:pt>
                <c:pt idx="13">
                  <c:v>106018</c:v>
                </c:pt>
                <c:pt idx="14">
                  <c:v>109208</c:v>
                </c:pt>
                <c:pt idx="15">
                  <c:v>128565</c:v>
                </c:pt>
                <c:pt idx="16">
                  <c:v>168948</c:v>
                </c:pt>
                <c:pt idx="17">
                  <c:v>178692</c:v>
                </c:pt>
                <c:pt idx="18">
                  <c:v>187374</c:v>
                </c:pt>
                <c:pt idx="19">
                  <c:v>178879</c:v>
                </c:pt>
                <c:pt idx="20">
                  <c:v>164620</c:v>
                </c:pt>
                <c:pt idx="21">
                  <c:v>166802</c:v>
                </c:pt>
                <c:pt idx="22">
                  <c:v>170430</c:v>
                </c:pt>
                <c:pt idx="23">
                  <c:v>177679</c:v>
                </c:pt>
              </c:numCache>
            </c:numRef>
          </c:val>
          <c:smooth val="0"/>
        </c:ser>
        <c:ser>
          <c:idx val="2"/>
          <c:order val="2"/>
          <c:tx>
            <c:v>Autobus</c:v>
          </c:tx>
          <c:spPr>
            <a:ln>
              <a:solidFill>
                <a:schemeClr val="accent6"/>
              </a:solidFill>
            </a:ln>
          </c:spPr>
          <c:marker>
            <c:symbol val="none"/>
          </c:marker>
          <c:cat>
            <c:numLit>
              <c:formatCode>General</c:formatCode>
              <c:ptCount val="24"/>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numLit>
          </c:cat>
          <c:val>
            <c:numRef>
              <c:f>'S04'!$E$81:$E$104</c:f>
              <c:numCache>
                <c:formatCode>General</c:formatCode>
                <c:ptCount val="24"/>
                <c:pt idx="0">
                  <c:v>35</c:v>
                </c:pt>
                <c:pt idx="1">
                  <c:v>69</c:v>
                </c:pt>
                <c:pt idx="2">
                  <c:v>54</c:v>
                </c:pt>
                <c:pt idx="3">
                  <c:v>41</c:v>
                </c:pt>
                <c:pt idx="4">
                  <c:v>35</c:v>
                </c:pt>
                <c:pt idx="5">
                  <c:v>68</c:v>
                </c:pt>
                <c:pt idx="6">
                  <c:v>74</c:v>
                </c:pt>
                <c:pt idx="7">
                  <c:v>305</c:v>
                </c:pt>
                <c:pt idx="8">
                  <c:v>693</c:v>
                </c:pt>
                <c:pt idx="9">
                  <c:v>1212</c:v>
                </c:pt>
                <c:pt idx="10">
                  <c:v>757</c:v>
                </c:pt>
                <c:pt idx="11">
                  <c:v>624</c:v>
                </c:pt>
                <c:pt idx="12">
                  <c:v>589</c:v>
                </c:pt>
                <c:pt idx="13">
                  <c:v>605</c:v>
                </c:pt>
                <c:pt idx="14">
                  <c:v>634</c:v>
                </c:pt>
                <c:pt idx="15">
                  <c:v>745</c:v>
                </c:pt>
                <c:pt idx="16">
                  <c:v>777</c:v>
                </c:pt>
                <c:pt idx="17">
                  <c:v>1100</c:v>
                </c:pt>
                <c:pt idx="18">
                  <c:v>1206</c:v>
                </c:pt>
                <c:pt idx="19">
                  <c:v>1184</c:v>
                </c:pt>
                <c:pt idx="20">
                  <c:v>1140</c:v>
                </c:pt>
                <c:pt idx="21">
                  <c:v>1175</c:v>
                </c:pt>
                <c:pt idx="22">
                  <c:v>1179</c:v>
                </c:pt>
                <c:pt idx="23">
                  <c:v>1238</c:v>
                </c:pt>
              </c:numCache>
            </c:numRef>
          </c:val>
          <c:smooth val="0"/>
        </c:ser>
        <c:ser>
          <c:idx val="3"/>
          <c:order val="3"/>
          <c:tx>
            <c:v>Teretno vozilo</c:v>
          </c:tx>
          <c:spPr>
            <a:ln>
              <a:solidFill>
                <a:srgbClr val="0033CC"/>
              </a:solidFill>
            </a:ln>
          </c:spPr>
          <c:marker>
            <c:symbol val="none"/>
          </c:marker>
          <c:cat>
            <c:numLit>
              <c:formatCode>General</c:formatCode>
              <c:ptCount val="24"/>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numLit>
          </c:cat>
          <c:val>
            <c:numRef>
              <c:f>'S04'!$F$81:$F$104</c:f>
              <c:numCache>
                <c:formatCode>General</c:formatCode>
                <c:ptCount val="24"/>
                <c:pt idx="0">
                  <c:v>149</c:v>
                </c:pt>
                <c:pt idx="1">
                  <c:v>333</c:v>
                </c:pt>
                <c:pt idx="2">
                  <c:v>313</c:v>
                </c:pt>
                <c:pt idx="3">
                  <c:v>370</c:v>
                </c:pt>
                <c:pt idx="4">
                  <c:v>415</c:v>
                </c:pt>
                <c:pt idx="5">
                  <c:v>668</c:v>
                </c:pt>
                <c:pt idx="6">
                  <c:v>1143</c:v>
                </c:pt>
                <c:pt idx="7">
                  <c:v>4899</c:v>
                </c:pt>
                <c:pt idx="8">
                  <c:v>11476</c:v>
                </c:pt>
                <c:pt idx="9">
                  <c:v>10139</c:v>
                </c:pt>
                <c:pt idx="10">
                  <c:v>10607</c:v>
                </c:pt>
                <c:pt idx="11">
                  <c:v>8331</c:v>
                </c:pt>
                <c:pt idx="12">
                  <c:v>8673</c:v>
                </c:pt>
                <c:pt idx="13">
                  <c:v>8551</c:v>
                </c:pt>
                <c:pt idx="14">
                  <c:v>8749</c:v>
                </c:pt>
                <c:pt idx="15">
                  <c:v>9176</c:v>
                </c:pt>
                <c:pt idx="16">
                  <c:v>10661</c:v>
                </c:pt>
                <c:pt idx="17">
                  <c:v>12498</c:v>
                </c:pt>
                <c:pt idx="18">
                  <c:v>13647</c:v>
                </c:pt>
                <c:pt idx="19">
                  <c:v>12682</c:v>
                </c:pt>
                <c:pt idx="20">
                  <c:v>12096</c:v>
                </c:pt>
                <c:pt idx="21">
                  <c:v>12008</c:v>
                </c:pt>
                <c:pt idx="22">
                  <c:v>12357</c:v>
                </c:pt>
                <c:pt idx="23">
                  <c:v>12764</c:v>
                </c:pt>
              </c:numCache>
            </c:numRef>
          </c:val>
          <c:smooth val="0"/>
        </c:ser>
        <c:ser>
          <c:idx val="4"/>
          <c:order val="4"/>
          <c:tx>
            <c:v>Ukupno</c:v>
          </c:tx>
          <c:spPr>
            <a:ln>
              <a:solidFill>
                <a:srgbClr val="1DD13F"/>
              </a:solidFill>
            </a:ln>
          </c:spPr>
          <c:marker>
            <c:symbol val="none"/>
          </c:marker>
          <c:cat>
            <c:numLit>
              <c:formatCode>General</c:formatCode>
              <c:ptCount val="24"/>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numLit>
          </c:cat>
          <c:val>
            <c:numRef>
              <c:f>'S04'!$K$81:$K$104</c:f>
              <c:numCache>
                <c:formatCode>General</c:formatCode>
                <c:ptCount val="24"/>
                <c:pt idx="0">
                  <c:v>2751</c:v>
                </c:pt>
                <c:pt idx="1">
                  <c:v>4575</c:v>
                </c:pt>
                <c:pt idx="2">
                  <c:v>4179</c:v>
                </c:pt>
                <c:pt idx="3">
                  <c:v>5941</c:v>
                </c:pt>
                <c:pt idx="4">
                  <c:v>5653</c:v>
                </c:pt>
                <c:pt idx="5">
                  <c:v>8631</c:v>
                </c:pt>
                <c:pt idx="6">
                  <c:v>11640</c:v>
                </c:pt>
                <c:pt idx="7">
                  <c:v>73713</c:v>
                </c:pt>
                <c:pt idx="8">
                  <c:v>173807</c:v>
                </c:pt>
                <c:pt idx="9">
                  <c:v>124853</c:v>
                </c:pt>
                <c:pt idx="10">
                  <c:v>127783</c:v>
                </c:pt>
                <c:pt idx="11">
                  <c:v>110946</c:v>
                </c:pt>
                <c:pt idx="12">
                  <c:v>115822</c:v>
                </c:pt>
                <c:pt idx="13">
                  <c:v>119490</c:v>
                </c:pt>
                <c:pt idx="14">
                  <c:v>122877</c:v>
                </c:pt>
                <c:pt idx="15">
                  <c:v>142906</c:v>
                </c:pt>
                <c:pt idx="16">
                  <c:v>185442</c:v>
                </c:pt>
                <c:pt idx="17">
                  <c:v>199259</c:v>
                </c:pt>
                <c:pt idx="18">
                  <c:v>212107</c:v>
                </c:pt>
                <c:pt idx="19">
                  <c:v>202839</c:v>
                </c:pt>
                <c:pt idx="20">
                  <c:v>187491</c:v>
                </c:pt>
                <c:pt idx="21">
                  <c:v>190218</c:v>
                </c:pt>
                <c:pt idx="22">
                  <c:v>193616</c:v>
                </c:pt>
                <c:pt idx="23">
                  <c:v>202317</c:v>
                </c:pt>
              </c:numCache>
            </c:numRef>
          </c:val>
          <c:smooth val="0"/>
        </c:ser>
        <c:dLbls>
          <c:showLegendKey val="0"/>
          <c:showVal val="0"/>
          <c:showCatName val="0"/>
          <c:showSerName val="0"/>
          <c:showPercent val="0"/>
          <c:showBubbleSize val="0"/>
        </c:dLbls>
        <c:marker val="1"/>
        <c:smooth val="0"/>
        <c:axId val="342313216"/>
        <c:axId val="342323200"/>
      </c:lineChart>
      <c:catAx>
        <c:axId val="342313216"/>
        <c:scaling>
          <c:orientation val="minMax"/>
        </c:scaling>
        <c:delete val="0"/>
        <c:axPos val="b"/>
        <c:numFmt formatCode="General" sourceLinked="1"/>
        <c:majorTickMark val="out"/>
        <c:minorTickMark val="none"/>
        <c:tickLblPos val="nextTo"/>
        <c:txPr>
          <a:bodyPr rot="-3600000"/>
          <a:lstStyle/>
          <a:p>
            <a:pPr>
              <a:defRPr/>
            </a:pPr>
            <a:endParaRPr lang="en-US"/>
          </a:p>
        </c:txPr>
        <c:crossAx val="342323200"/>
        <c:crosses val="autoZero"/>
        <c:auto val="1"/>
        <c:lblAlgn val="ctr"/>
        <c:lblOffset val="100"/>
        <c:noMultiLvlLbl val="0"/>
      </c:catAx>
      <c:valAx>
        <c:axId val="342323200"/>
        <c:scaling>
          <c:orientation val="minMax"/>
        </c:scaling>
        <c:delete val="0"/>
        <c:axPos val="l"/>
        <c:majorGridlines/>
        <c:numFmt formatCode="General" sourceLinked="1"/>
        <c:majorTickMark val="out"/>
        <c:minorTickMark val="none"/>
        <c:tickLblPos val="nextTo"/>
        <c:txPr>
          <a:bodyPr/>
          <a:lstStyle/>
          <a:p>
            <a:pPr>
              <a:defRPr sz="900"/>
            </a:pPr>
            <a:endParaRPr lang="en-US"/>
          </a:p>
        </c:txPr>
        <c:crossAx val="342313216"/>
        <c:crosses val="autoZero"/>
        <c:crossBetween val="between"/>
        <c:majorUnit val="25000"/>
      </c:valAx>
    </c:plotArea>
    <c:legend>
      <c:legendPos val="r"/>
      <c:layout>
        <c:manualLayout>
          <c:xMode val="edge"/>
          <c:yMode val="edge"/>
          <c:x val="0.14081889763779526"/>
          <c:y val="7.7743875765529324E-2"/>
          <c:w val="0.27207001629268612"/>
          <c:h val="0.37890360938332046"/>
        </c:manualLayout>
      </c:layout>
      <c:overlay val="0"/>
      <c:txPr>
        <a:bodyPr/>
        <a:lstStyle/>
        <a:p>
          <a:pPr>
            <a:defRPr sz="1100"/>
          </a:pPr>
          <a:endParaRPr lang="en-US"/>
        </a:p>
      </c:txPr>
    </c:legend>
    <c:plotVisOnly val="1"/>
    <c:dispBlanksAs val="gap"/>
    <c:showDLblsOverMax val="0"/>
  </c:chart>
  <c:externalData r:id="rId1">
    <c:autoUpdate val="0"/>
  </c:externalData>
  <c:userShapes r:id="rId2"/>
</c:chartSpace>
</file>

<file path=word/charts/chart1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2.8773475854378307E-2"/>
          <c:y val="8.3361583618841537E-2"/>
          <c:w val="0.95050113554458537"/>
          <c:h val="0.67891767345875653"/>
        </c:manualLayout>
      </c:layout>
      <c:pie3DChart>
        <c:varyColors val="1"/>
        <c:ser>
          <c:idx val="0"/>
          <c:order val="0"/>
          <c:explosion val="25"/>
          <c:dPt>
            <c:idx val="0"/>
            <c:bubble3D val="0"/>
            <c:spPr>
              <a:solidFill>
                <a:schemeClr val="accent6">
                  <a:lumMod val="75000"/>
                </a:schemeClr>
              </a:solidFill>
            </c:spPr>
          </c:dPt>
          <c:dPt>
            <c:idx val="1"/>
            <c:bubble3D val="0"/>
            <c:spPr>
              <a:solidFill>
                <a:schemeClr val="accent6">
                  <a:lumMod val="40000"/>
                  <a:lumOff val="60000"/>
                </a:schemeClr>
              </a:solidFill>
            </c:spPr>
          </c:dPt>
          <c:dPt>
            <c:idx val="2"/>
            <c:bubble3D val="0"/>
            <c:spPr>
              <a:solidFill>
                <a:srgbClr val="FF0000"/>
              </a:solidFill>
            </c:spPr>
          </c:dPt>
          <c:dPt>
            <c:idx val="3"/>
            <c:bubble3D val="0"/>
          </c:dPt>
          <c:dPt>
            <c:idx val="4"/>
            <c:bubble3D val="0"/>
          </c:dPt>
          <c:dPt>
            <c:idx val="5"/>
            <c:bubble3D val="0"/>
          </c:dPt>
          <c:dPt>
            <c:idx val="6"/>
            <c:bubble3D val="0"/>
            <c:spPr>
              <a:solidFill>
                <a:srgbClr val="B800B8"/>
              </a:solidFill>
            </c:spPr>
          </c:dPt>
          <c:dPt>
            <c:idx val="7"/>
            <c:bubble3D val="0"/>
            <c:spPr>
              <a:solidFill>
                <a:srgbClr val="00B050"/>
              </a:solidFill>
            </c:spPr>
          </c:dPt>
          <c:dPt>
            <c:idx val="8"/>
            <c:bubble3D val="0"/>
          </c:dPt>
          <c:dLbls>
            <c:dLbl>
              <c:idx val="0"/>
              <c:layout>
                <c:manualLayout>
                  <c:x val="0.15061970632049373"/>
                  <c:y val="-8.6614173228346455E-3"/>
                </c:manualLayout>
              </c:layout>
              <c:showLegendKey val="0"/>
              <c:showVal val="0"/>
              <c:showCatName val="0"/>
              <c:showSerName val="0"/>
              <c:showPercent val="1"/>
              <c:showBubbleSize val="0"/>
            </c:dLbl>
            <c:dLbl>
              <c:idx val="3"/>
              <c:layout>
                <c:manualLayout>
                  <c:x val="1.8170073300422939E-3"/>
                  <c:y val="-5.0753864100320796E-2"/>
                </c:manualLayout>
              </c:layout>
              <c:showLegendKey val="0"/>
              <c:showVal val="0"/>
              <c:showCatName val="0"/>
              <c:showSerName val="0"/>
              <c:showPercent val="1"/>
              <c:showBubbleSize val="0"/>
            </c:dLbl>
            <c:dLbl>
              <c:idx val="5"/>
              <c:layout>
                <c:manualLayout>
                  <c:x val="-7.4611903241824498E-2"/>
                  <c:y val="-3.2966972878390198E-2"/>
                </c:manualLayout>
              </c:layout>
              <c:showLegendKey val="0"/>
              <c:showVal val="0"/>
              <c:showCatName val="0"/>
              <c:showSerName val="0"/>
              <c:showPercent val="1"/>
              <c:showBubbleSize val="0"/>
            </c:dLbl>
            <c:dLbl>
              <c:idx val="6"/>
              <c:layout>
                <c:manualLayout>
                  <c:x val="5.7555508264169677E-3"/>
                  <c:y val="-3.5281787693205016E-2"/>
                </c:manualLayout>
              </c:layout>
              <c:showLegendKey val="0"/>
              <c:showVal val="0"/>
              <c:showCatName val="0"/>
              <c:showSerName val="0"/>
              <c:showPercent val="1"/>
              <c:showBubbleSize val="0"/>
            </c:dLbl>
            <c:dLbl>
              <c:idx val="7"/>
              <c:layout>
                <c:manualLayout>
                  <c:x val="5.2370575299709156E-2"/>
                  <c:y val="-2.9494750656167978E-2"/>
                </c:manualLayout>
              </c:layout>
              <c:showLegendKey val="0"/>
              <c:showVal val="0"/>
              <c:showCatName val="0"/>
              <c:showSerName val="0"/>
              <c:showPercent val="1"/>
              <c:showBubbleSize val="0"/>
            </c:dLbl>
            <c:showLegendKey val="0"/>
            <c:showVal val="0"/>
            <c:showCatName val="0"/>
            <c:showSerName val="0"/>
            <c:showPercent val="1"/>
            <c:showBubbleSize val="0"/>
            <c:showLeaderLines val="1"/>
          </c:dLbls>
          <c:cat>
            <c:strLit>
              <c:ptCount val="9"/>
              <c:pt idx="0">
                <c:v>Motor</c:v>
              </c:pt>
              <c:pt idx="1">
                <c:v>Putn.automobil</c:v>
              </c:pt>
              <c:pt idx="2">
                <c:v>Kombi</c:v>
              </c:pt>
              <c:pt idx="3">
                <c:v>Autobus</c:v>
              </c:pt>
              <c:pt idx="4">
                <c:v>Teretna voz.</c:v>
              </c:pt>
              <c:pt idx="5">
                <c:v>Spec.ter.vozilo</c:v>
              </c:pt>
              <c:pt idx="6">
                <c:v>Vučno vozilo</c:v>
              </c:pt>
              <c:pt idx="7">
                <c:v>Priklj.vozilčo</c:v>
              </c:pt>
              <c:pt idx="8">
                <c:v>Polj.traktor</c:v>
              </c:pt>
            </c:strLit>
          </c:cat>
          <c:val>
            <c:numRef>
              <c:f>'S04'!$B$104:$J$104</c:f>
              <c:numCache>
                <c:formatCode>General</c:formatCode>
                <c:ptCount val="9"/>
                <c:pt idx="0">
                  <c:v>5151</c:v>
                </c:pt>
                <c:pt idx="1">
                  <c:v>177679</c:v>
                </c:pt>
                <c:pt idx="2">
                  <c:v>954</c:v>
                </c:pt>
                <c:pt idx="3">
                  <c:v>1238</c:v>
                </c:pt>
                <c:pt idx="4">
                  <c:v>12764</c:v>
                </c:pt>
                <c:pt idx="5">
                  <c:v>1207</c:v>
                </c:pt>
                <c:pt idx="6">
                  <c:v>1030</c:v>
                </c:pt>
                <c:pt idx="7">
                  <c:v>2071</c:v>
                </c:pt>
                <c:pt idx="8">
                  <c:v>223</c:v>
                </c:pt>
              </c:numCache>
            </c:numRef>
          </c:val>
        </c:ser>
        <c:dLbls>
          <c:showLegendKey val="0"/>
          <c:showVal val="0"/>
          <c:showCatName val="0"/>
          <c:showSerName val="0"/>
          <c:showPercent val="1"/>
          <c:showBubbleSize val="0"/>
          <c:showLeaderLines val="1"/>
        </c:dLbls>
      </c:pie3DChart>
      <c:spPr>
        <a:noFill/>
        <a:ln w="25400">
          <a:noFill/>
        </a:ln>
      </c:spPr>
    </c:plotArea>
    <c:legend>
      <c:legendPos val="t"/>
      <c:layout>
        <c:manualLayout>
          <c:xMode val="edge"/>
          <c:yMode val="edge"/>
          <c:x val="0.13773244665660317"/>
          <c:y val="0.82407407407407407"/>
          <c:w val="0.7295147175815434"/>
          <c:h val="0.17476268591426072"/>
        </c:manualLayout>
      </c:layout>
      <c:overlay val="0"/>
      <c:txPr>
        <a:bodyPr/>
        <a:lstStyle/>
        <a:p>
          <a:pPr rtl="0">
            <a:defRPr sz="900"/>
          </a:pPr>
          <a:endParaRPr lang="en-US"/>
        </a:p>
      </c:txPr>
    </c:legend>
    <c:plotVisOnly val="1"/>
    <c:dispBlanksAs val="gap"/>
    <c:showDLblsOverMax val="0"/>
  </c:chart>
  <c:externalData r:id="rId1">
    <c:autoUpdate val="0"/>
  </c:externalData>
</c:chartSpace>
</file>

<file path=word/charts/chart1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8426493926631263"/>
          <c:y val="3.6824277562319638E-2"/>
          <c:w val="0.78306755986896992"/>
          <c:h val="0.78625328083989499"/>
        </c:manualLayout>
      </c:layout>
      <c:lineChart>
        <c:grouping val="standard"/>
        <c:varyColors val="0"/>
        <c:ser>
          <c:idx val="0"/>
          <c:order val="0"/>
          <c:tx>
            <c:v>Benzin 98</c:v>
          </c:tx>
          <c:cat>
            <c:numLit>
              <c:formatCode>General</c:formatCode>
              <c:ptCount val="1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numLit>
          </c:cat>
          <c:val>
            <c:numRef>
              <c:f>'S04'!$B$121:$B$134</c:f>
              <c:numCache>
                <c:formatCode>General</c:formatCode>
                <c:ptCount val="14"/>
                <c:pt idx="0">
                  <c:v>18532</c:v>
                </c:pt>
                <c:pt idx="1">
                  <c:v>5261</c:v>
                </c:pt>
                <c:pt idx="2">
                  <c:v>5861</c:v>
                </c:pt>
                <c:pt idx="3">
                  <c:v>5776</c:v>
                </c:pt>
                <c:pt idx="4">
                  <c:v>6177</c:v>
                </c:pt>
                <c:pt idx="5">
                  <c:v>8011</c:v>
                </c:pt>
                <c:pt idx="6">
                  <c:v>10880</c:v>
                </c:pt>
                <c:pt idx="7">
                  <c:v>12238</c:v>
                </c:pt>
                <c:pt idx="8">
                  <c:v>22520</c:v>
                </c:pt>
                <c:pt idx="9">
                  <c:v>20040</c:v>
                </c:pt>
                <c:pt idx="10">
                  <c:v>71102</c:v>
                </c:pt>
                <c:pt idx="11">
                  <c:v>83137</c:v>
                </c:pt>
                <c:pt idx="12">
                  <c:v>77284</c:v>
                </c:pt>
                <c:pt idx="13">
                  <c:v>76432</c:v>
                </c:pt>
              </c:numCache>
            </c:numRef>
          </c:val>
          <c:smooth val="0"/>
        </c:ser>
        <c:ser>
          <c:idx val="1"/>
          <c:order val="1"/>
          <c:tx>
            <c:v>Benzin 86</c:v>
          </c:tx>
          <c:cat>
            <c:numLit>
              <c:formatCode>General</c:formatCode>
              <c:ptCount val="1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numLit>
          </c:cat>
          <c:val>
            <c:numRef>
              <c:f>'S04'!$C$121:$C$134</c:f>
              <c:numCache>
                <c:formatCode>General</c:formatCode>
                <c:ptCount val="14"/>
                <c:pt idx="0">
                  <c:v>387</c:v>
                </c:pt>
                <c:pt idx="1">
                  <c:v>198</c:v>
                </c:pt>
                <c:pt idx="2">
                  <c:v>276</c:v>
                </c:pt>
                <c:pt idx="3">
                  <c:v>211</c:v>
                </c:pt>
                <c:pt idx="4">
                  <c:v>176</c:v>
                </c:pt>
                <c:pt idx="5">
                  <c:v>230</c:v>
                </c:pt>
                <c:pt idx="6">
                  <c:v>289</c:v>
                </c:pt>
                <c:pt idx="7">
                  <c:v>332</c:v>
                </c:pt>
                <c:pt idx="8">
                  <c:v>518</c:v>
                </c:pt>
                <c:pt idx="9">
                  <c:v>334</c:v>
                </c:pt>
                <c:pt idx="10">
                  <c:v>1048</c:v>
                </c:pt>
                <c:pt idx="11">
                  <c:v>999</c:v>
                </c:pt>
                <c:pt idx="12">
                  <c:v>831</c:v>
                </c:pt>
                <c:pt idx="13">
                  <c:v>796</c:v>
                </c:pt>
              </c:numCache>
            </c:numRef>
          </c:val>
          <c:smooth val="0"/>
        </c:ser>
        <c:ser>
          <c:idx val="2"/>
          <c:order val="2"/>
          <c:tx>
            <c:v>Nafta</c:v>
          </c:tx>
          <c:cat>
            <c:numLit>
              <c:formatCode>General</c:formatCode>
              <c:ptCount val="1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numLit>
          </c:cat>
          <c:val>
            <c:numRef>
              <c:f>'S04'!$D$121:$D$134</c:f>
              <c:numCache>
                <c:formatCode>General</c:formatCode>
                <c:ptCount val="14"/>
                <c:pt idx="0">
                  <c:v>4639</c:v>
                </c:pt>
                <c:pt idx="1">
                  <c:v>1115</c:v>
                </c:pt>
                <c:pt idx="2">
                  <c:v>1160</c:v>
                </c:pt>
                <c:pt idx="3">
                  <c:v>1025</c:v>
                </c:pt>
                <c:pt idx="4">
                  <c:v>1144</c:v>
                </c:pt>
                <c:pt idx="5">
                  <c:v>1721</c:v>
                </c:pt>
                <c:pt idx="6">
                  <c:v>2506</c:v>
                </c:pt>
                <c:pt idx="7">
                  <c:v>3190</c:v>
                </c:pt>
                <c:pt idx="8">
                  <c:v>9616</c:v>
                </c:pt>
                <c:pt idx="9">
                  <c:v>11030</c:v>
                </c:pt>
                <c:pt idx="10">
                  <c:v>74719</c:v>
                </c:pt>
                <c:pt idx="11">
                  <c:v>98160</c:v>
                </c:pt>
                <c:pt idx="12">
                  <c:v>101394</c:v>
                </c:pt>
                <c:pt idx="13">
                  <c:v>110964</c:v>
                </c:pt>
              </c:numCache>
            </c:numRef>
          </c:val>
          <c:smooth val="0"/>
        </c:ser>
        <c:ser>
          <c:idx val="3"/>
          <c:order val="3"/>
          <c:tx>
            <c:v>Mješavina</c:v>
          </c:tx>
          <c:cat>
            <c:numLit>
              <c:formatCode>General</c:formatCode>
              <c:ptCount val="1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numLit>
          </c:cat>
          <c:val>
            <c:numRef>
              <c:f>'S04'!$E$121:$E$134</c:f>
              <c:numCache>
                <c:formatCode>General</c:formatCode>
                <c:ptCount val="14"/>
                <c:pt idx="0">
                  <c:v>38</c:v>
                </c:pt>
                <c:pt idx="1">
                  <c:v>37</c:v>
                </c:pt>
                <c:pt idx="2">
                  <c:v>50</c:v>
                </c:pt>
                <c:pt idx="3">
                  <c:v>39</c:v>
                </c:pt>
                <c:pt idx="4">
                  <c:v>38</c:v>
                </c:pt>
                <c:pt idx="5">
                  <c:v>39</c:v>
                </c:pt>
                <c:pt idx="6">
                  <c:v>52</c:v>
                </c:pt>
                <c:pt idx="7">
                  <c:v>110</c:v>
                </c:pt>
                <c:pt idx="8">
                  <c:v>148</c:v>
                </c:pt>
                <c:pt idx="9">
                  <c:v>21</c:v>
                </c:pt>
                <c:pt idx="10">
                  <c:v>33</c:v>
                </c:pt>
                <c:pt idx="11">
                  <c:v>28</c:v>
                </c:pt>
                <c:pt idx="12">
                  <c:v>26</c:v>
                </c:pt>
                <c:pt idx="13">
                  <c:v>26</c:v>
                </c:pt>
              </c:numCache>
            </c:numRef>
          </c:val>
          <c:smooth val="0"/>
        </c:ser>
        <c:ser>
          <c:idx val="4"/>
          <c:order val="4"/>
          <c:tx>
            <c:v>Benzin-Plin</c:v>
          </c:tx>
          <c:cat>
            <c:numLit>
              <c:formatCode>General</c:formatCode>
              <c:ptCount val="1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numLit>
          </c:cat>
          <c:val>
            <c:numRef>
              <c:f>'S04'!$F$121:$F$134</c:f>
              <c:numCache>
                <c:formatCode>General</c:formatCode>
                <c:ptCount val="14"/>
                <c:pt idx="0">
                  <c:v>4</c:v>
                </c:pt>
                <c:pt idx="1">
                  <c:v>4</c:v>
                </c:pt>
                <c:pt idx="2">
                  <c:v>5</c:v>
                </c:pt>
                <c:pt idx="3">
                  <c:v>9</c:v>
                </c:pt>
                <c:pt idx="4">
                  <c:v>11</c:v>
                </c:pt>
                <c:pt idx="5">
                  <c:v>9</c:v>
                </c:pt>
                <c:pt idx="6">
                  <c:v>10</c:v>
                </c:pt>
                <c:pt idx="7">
                  <c:v>11</c:v>
                </c:pt>
                <c:pt idx="8">
                  <c:v>83</c:v>
                </c:pt>
                <c:pt idx="9">
                  <c:v>695</c:v>
                </c:pt>
                <c:pt idx="10">
                  <c:v>743</c:v>
                </c:pt>
                <c:pt idx="11">
                  <c:v>1078</c:v>
                </c:pt>
                <c:pt idx="12">
                  <c:v>1226</c:v>
                </c:pt>
                <c:pt idx="13">
                  <c:v>1784</c:v>
                </c:pt>
              </c:numCache>
            </c:numRef>
          </c:val>
          <c:smooth val="0"/>
        </c:ser>
        <c:ser>
          <c:idx val="5"/>
          <c:order val="5"/>
          <c:tx>
            <c:v>El.energija</c:v>
          </c:tx>
          <c:cat>
            <c:numLit>
              <c:formatCode>General</c:formatCode>
              <c:ptCount val="1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numLit>
          </c:cat>
          <c:val>
            <c:numRef>
              <c:f>'S04'!$G$121:$G$134</c:f>
              <c:numCache>
                <c:formatCode>General</c:formatCode>
                <c:ptCount val="14"/>
                <c:pt idx="0">
                  <c:v>15</c:v>
                </c:pt>
                <c:pt idx="1">
                  <c:v>4</c:v>
                </c:pt>
                <c:pt idx="2">
                  <c:v>3</c:v>
                </c:pt>
                <c:pt idx="3">
                  <c:v>5</c:v>
                </c:pt>
                <c:pt idx="4">
                  <c:v>6</c:v>
                </c:pt>
                <c:pt idx="5">
                  <c:v>7</c:v>
                </c:pt>
                <c:pt idx="6">
                  <c:v>19</c:v>
                </c:pt>
                <c:pt idx="7">
                  <c:v>41</c:v>
                </c:pt>
                <c:pt idx="8">
                  <c:v>49</c:v>
                </c:pt>
                <c:pt idx="9">
                  <c:v>4</c:v>
                </c:pt>
                <c:pt idx="10">
                  <c:v>6</c:v>
                </c:pt>
                <c:pt idx="11">
                  <c:v>6</c:v>
                </c:pt>
                <c:pt idx="12">
                  <c:v>4</c:v>
                </c:pt>
                <c:pt idx="13">
                  <c:v>23</c:v>
                </c:pt>
              </c:numCache>
            </c:numRef>
          </c:val>
          <c:smooth val="0"/>
        </c:ser>
        <c:dLbls>
          <c:showLegendKey val="0"/>
          <c:showVal val="0"/>
          <c:showCatName val="0"/>
          <c:showSerName val="0"/>
          <c:showPercent val="0"/>
          <c:showBubbleSize val="0"/>
        </c:dLbls>
        <c:marker val="1"/>
        <c:smooth val="0"/>
        <c:axId val="340632320"/>
        <c:axId val="340633856"/>
      </c:lineChart>
      <c:catAx>
        <c:axId val="340632320"/>
        <c:scaling>
          <c:orientation val="minMax"/>
        </c:scaling>
        <c:delete val="0"/>
        <c:axPos val="b"/>
        <c:numFmt formatCode="General" sourceLinked="1"/>
        <c:majorTickMark val="out"/>
        <c:minorTickMark val="none"/>
        <c:tickLblPos val="nextTo"/>
        <c:txPr>
          <a:bodyPr rot="-2700000" vert="horz"/>
          <a:lstStyle/>
          <a:p>
            <a:pPr>
              <a:defRPr sz="1000" b="0" i="0" u="none" strike="noStrike" baseline="0">
                <a:solidFill>
                  <a:srgbClr val="000000"/>
                </a:solidFill>
                <a:latin typeface="Calibri"/>
                <a:ea typeface="Calibri"/>
                <a:cs typeface="Calibri"/>
              </a:defRPr>
            </a:pPr>
            <a:endParaRPr lang="en-US"/>
          </a:p>
        </c:txPr>
        <c:crossAx val="340633856"/>
        <c:crosses val="autoZero"/>
        <c:auto val="1"/>
        <c:lblAlgn val="ctr"/>
        <c:lblOffset val="100"/>
        <c:noMultiLvlLbl val="0"/>
      </c:catAx>
      <c:valAx>
        <c:axId val="340633856"/>
        <c:scaling>
          <c:orientation val="minMax"/>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340632320"/>
        <c:crosses val="autoZero"/>
        <c:crossBetween val="between"/>
      </c:valAx>
    </c:plotArea>
    <c:legend>
      <c:legendPos val="r"/>
      <c:layout>
        <c:manualLayout>
          <c:xMode val="edge"/>
          <c:yMode val="edge"/>
          <c:x val="0.20232043335008654"/>
          <c:y val="3.8400570299082989E-2"/>
          <c:w val="0.26677589769363935"/>
          <c:h val="0.3992453258157545"/>
        </c:manualLayout>
      </c:layout>
      <c:overlay val="0"/>
      <c:txPr>
        <a:bodyPr/>
        <a:lstStyle/>
        <a:p>
          <a:pPr>
            <a:defRPr sz="845" b="0" i="0" u="none" strike="noStrike" baseline="0">
              <a:solidFill>
                <a:srgbClr val="000000"/>
              </a:solidFill>
              <a:latin typeface="Calibri"/>
              <a:ea typeface="Calibri"/>
              <a:cs typeface="Calibri"/>
            </a:defRPr>
          </a:pPr>
          <a:endParaRPr lang="en-US"/>
        </a:p>
      </c:txPr>
    </c:legend>
    <c:plotVisOnly val="1"/>
    <c:dispBlanksAs val="zero"/>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userShapes r:id="rId2"/>
</c:chartSpace>
</file>

<file path=word/charts/chart1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287882764654418"/>
          <c:y val="4.0718722659667542E-2"/>
          <c:w val="0.87043684490419093"/>
          <c:h val="0.81505938651608301"/>
        </c:manualLayout>
      </c:layout>
      <c:lineChart>
        <c:grouping val="standard"/>
        <c:varyColors val="0"/>
        <c:ser>
          <c:idx val="0"/>
          <c:order val="0"/>
          <c:tx>
            <c:v>Putnički automobil</c:v>
          </c:tx>
          <c:spPr>
            <a:ln>
              <a:solidFill>
                <a:schemeClr val="accent6">
                  <a:lumMod val="75000"/>
                </a:schemeClr>
              </a:solidFill>
            </a:ln>
          </c:spPr>
          <c:marker>
            <c:symbol val="none"/>
          </c:marker>
          <c:cat>
            <c:numLit>
              <c:formatCode>General</c:formatCode>
              <c:ptCount val="1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numLit>
          </c:cat>
          <c:val>
            <c:numRef>
              <c:f>'S04'!$B$7:$N$7</c:f>
              <c:numCache>
                <c:formatCode>0</c:formatCode>
                <c:ptCount val="13"/>
                <c:pt idx="0">
                  <c:v>13.17</c:v>
                </c:pt>
                <c:pt idx="1">
                  <c:v>13.75</c:v>
                </c:pt>
                <c:pt idx="2">
                  <c:v>14.42</c:v>
                </c:pt>
                <c:pt idx="3">
                  <c:v>14.47</c:v>
                </c:pt>
                <c:pt idx="4">
                  <c:v>14.6</c:v>
                </c:pt>
                <c:pt idx="5">
                  <c:v>14.69</c:v>
                </c:pt>
                <c:pt idx="6">
                  <c:v>14.49</c:v>
                </c:pt>
                <c:pt idx="7">
                  <c:v>14.26</c:v>
                </c:pt>
                <c:pt idx="8">
                  <c:v>12.93</c:v>
                </c:pt>
                <c:pt idx="9">
                  <c:v>12.9</c:v>
                </c:pt>
                <c:pt idx="10">
                  <c:v>14.23</c:v>
                </c:pt>
                <c:pt idx="11">
                  <c:v>14.419</c:v>
                </c:pt>
                <c:pt idx="12">
                  <c:v>14.63</c:v>
                </c:pt>
              </c:numCache>
            </c:numRef>
          </c:val>
          <c:smooth val="0"/>
        </c:ser>
        <c:ser>
          <c:idx val="1"/>
          <c:order val="1"/>
          <c:tx>
            <c:v>Kombi</c:v>
          </c:tx>
          <c:spPr>
            <a:ln>
              <a:solidFill>
                <a:schemeClr val="tx2">
                  <a:lumMod val="60000"/>
                  <a:lumOff val="40000"/>
                </a:schemeClr>
              </a:solidFill>
            </a:ln>
          </c:spPr>
          <c:marker>
            <c:symbol val="none"/>
          </c:marker>
          <c:cat>
            <c:numLit>
              <c:formatCode>General</c:formatCode>
              <c:ptCount val="1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numLit>
          </c:cat>
          <c:val>
            <c:numRef>
              <c:f>'S04'!$B$8:$N$8</c:f>
              <c:numCache>
                <c:formatCode>0</c:formatCode>
                <c:ptCount val="13"/>
                <c:pt idx="0">
                  <c:v>13.04</c:v>
                </c:pt>
                <c:pt idx="1">
                  <c:v>13.51</c:v>
                </c:pt>
                <c:pt idx="2">
                  <c:v>14.27</c:v>
                </c:pt>
                <c:pt idx="3">
                  <c:v>14.73</c:v>
                </c:pt>
                <c:pt idx="4">
                  <c:v>15.22</c:v>
                </c:pt>
                <c:pt idx="5">
                  <c:v>15.21</c:v>
                </c:pt>
                <c:pt idx="6">
                  <c:v>15.53</c:v>
                </c:pt>
                <c:pt idx="7">
                  <c:v>15.34</c:v>
                </c:pt>
                <c:pt idx="8">
                  <c:v>15.46</c:v>
                </c:pt>
                <c:pt idx="9">
                  <c:v>15.54</c:v>
                </c:pt>
                <c:pt idx="10">
                  <c:v>15.96</c:v>
                </c:pt>
                <c:pt idx="11">
                  <c:v>15.587</c:v>
                </c:pt>
                <c:pt idx="12">
                  <c:v>16.010000000000005</c:v>
                </c:pt>
              </c:numCache>
            </c:numRef>
          </c:val>
          <c:smooth val="0"/>
        </c:ser>
        <c:ser>
          <c:idx val="2"/>
          <c:order val="2"/>
          <c:tx>
            <c:v>Autobus</c:v>
          </c:tx>
          <c:spPr>
            <a:ln>
              <a:solidFill>
                <a:srgbClr val="00B050"/>
              </a:solidFill>
            </a:ln>
          </c:spPr>
          <c:marker>
            <c:symbol val="none"/>
          </c:marker>
          <c:cat>
            <c:numLit>
              <c:formatCode>General</c:formatCode>
              <c:ptCount val="1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numLit>
          </c:cat>
          <c:val>
            <c:numRef>
              <c:f>'S04'!$B$9:$N$9</c:f>
              <c:numCache>
                <c:formatCode>0</c:formatCode>
                <c:ptCount val="13"/>
                <c:pt idx="0">
                  <c:v>14.04</c:v>
                </c:pt>
                <c:pt idx="1">
                  <c:v>14.56</c:v>
                </c:pt>
                <c:pt idx="2">
                  <c:v>14.94</c:v>
                </c:pt>
                <c:pt idx="3">
                  <c:v>14.870000000000006</c:v>
                </c:pt>
                <c:pt idx="4">
                  <c:v>15.54</c:v>
                </c:pt>
                <c:pt idx="5">
                  <c:v>15.850000000000026</c:v>
                </c:pt>
                <c:pt idx="6">
                  <c:v>14.89</c:v>
                </c:pt>
                <c:pt idx="7">
                  <c:v>14.81</c:v>
                </c:pt>
                <c:pt idx="8">
                  <c:v>14.29</c:v>
                </c:pt>
                <c:pt idx="9">
                  <c:v>13.65</c:v>
                </c:pt>
                <c:pt idx="10">
                  <c:v>14.08</c:v>
                </c:pt>
                <c:pt idx="11">
                  <c:v>13.624000000000001</c:v>
                </c:pt>
                <c:pt idx="12">
                  <c:v>14.13</c:v>
                </c:pt>
              </c:numCache>
            </c:numRef>
          </c:val>
          <c:smooth val="0"/>
        </c:ser>
        <c:ser>
          <c:idx val="3"/>
          <c:order val="3"/>
          <c:tx>
            <c:v>Teretno vozilo</c:v>
          </c:tx>
          <c:spPr>
            <a:ln>
              <a:solidFill>
                <a:srgbClr val="7030A0"/>
              </a:solidFill>
            </a:ln>
          </c:spPr>
          <c:marker>
            <c:symbol val="none"/>
          </c:marker>
          <c:cat>
            <c:numLit>
              <c:formatCode>General</c:formatCode>
              <c:ptCount val="1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numLit>
          </c:cat>
          <c:val>
            <c:numRef>
              <c:f>'S04'!$B$10:$N$10</c:f>
              <c:numCache>
                <c:formatCode>0</c:formatCode>
                <c:ptCount val="13"/>
                <c:pt idx="0">
                  <c:v>13.71</c:v>
                </c:pt>
                <c:pt idx="1">
                  <c:v>14.350000000000026</c:v>
                </c:pt>
                <c:pt idx="2">
                  <c:v>14.82</c:v>
                </c:pt>
                <c:pt idx="3">
                  <c:v>14.69</c:v>
                </c:pt>
                <c:pt idx="4">
                  <c:v>14.72</c:v>
                </c:pt>
                <c:pt idx="5">
                  <c:v>14.93</c:v>
                </c:pt>
                <c:pt idx="6">
                  <c:v>15.67</c:v>
                </c:pt>
                <c:pt idx="7">
                  <c:v>15.21</c:v>
                </c:pt>
                <c:pt idx="8">
                  <c:v>14.27</c:v>
                </c:pt>
                <c:pt idx="9">
                  <c:v>13.76</c:v>
                </c:pt>
                <c:pt idx="10">
                  <c:v>13.860000000000024</c:v>
                </c:pt>
                <c:pt idx="11">
                  <c:v>13.327</c:v>
                </c:pt>
                <c:pt idx="12">
                  <c:v>14.1</c:v>
                </c:pt>
              </c:numCache>
            </c:numRef>
          </c:val>
          <c:smooth val="0"/>
        </c:ser>
        <c:dLbls>
          <c:showLegendKey val="0"/>
          <c:showVal val="0"/>
          <c:showCatName val="0"/>
          <c:showSerName val="0"/>
          <c:showPercent val="0"/>
          <c:showBubbleSize val="0"/>
        </c:dLbls>
        <c:marker val="1"/>
        <c:smooth val="0"/>
        <c:axId val="342509056"/>
        <c:axId val="342510592"/>
      </c:lineChart>
      <c:catAx>
        <c:axId val="342509056"/>
        <c:scaling>
          <c:orientation val="minMax"/>
        </c:scaling>
        <c:delete val="0"/>
        <c:axPos val="b"/>
        <c:numFmt formatCode="General" sourceLinked="1"/>
        <c:majorTickMark val="out"/>
        <c:minorTickMark val="none"/>
        <c:tickLblPos val="nextTo"/>
        <c:txPr>
          <a:bodyPr/>
          <a:lstStyle/>
          <a:p>
            <a:pPr>
              <a:defRPr sz="900"/>
            </a:pPr>
            <a:endParaRPr lang="en-US"/>
          </a:p>
        </c:txPr>
        <c:crossAx val="342510592"/>
        <c:crosses val="autoZero"/>
        <c:auto val="1"/>
        <c:lblAlgn val="ctr"/>
        <c:lblOffset val="100"/>
        <c:noMultiLvlLbl val="0"/>
      </c:catAx>
      <c:valAx>
        <c:axId val="342510592"/>
        <c:scaling>
          <c:orientation val="minMax"/>
          <c:max val="16.5"/>
          <c:min val="10.5"/>
        </c:scaling>
        <c:delete val="0"/>
        <c:axPos val="l"/>
        <c:majorGridlines/>
        <c:numFmt formatCode="0" sourceLinked="1"/>
        <c:majorTickMark val="out"/>
        <c:minorTickMark val="none"/>
        <c:tickLblPos val="nextTo"/>
        <c:txPr>
          <a:bodyPr/>
          <a:lstStyle/>
          <a:p>
            <a:pPr>
              <a:defRPr sz="900"/>
            </a:pPr>
            <a:endParaRPr lang="en-US"/>
          </a:p>
        </c:txPr>
        <c:crossAx val="342509056"/>
        <c:crosses val="autoZero"/>
        <c:crossBetween val="between"/>
        <c:majorUnit val="1"/>
        <c:minorUnit val="0.1"/>
      </c:valAx>
    </c:plotArea>
    <c:legend>
      <c:legendPos val="r"/>
      <c:layout>
        <c:manualLayout>
          <c:xMode val="edge"/>
          <c:yMode val="edge"/>
          <c:x val="0.26561176727909014"/>
          <c:y val="0.43380271216097988"/>
          <c:w val="0.31628455818022749"/>
          <c:h val="0.29326246719160104"/>
        </c:manualLayout>
      </c:layout>
      <c:overlay val="0"/>
      <c:txPr>
        <a:bodyPr/>
        <a:lstStyle/>
        <a:p>
          <a:pPr>
            <a:defRPr sz="1000" b="1"/>
          </a:pPr>
          <a:endParaRPr lang="en-US"/>
        </a:p>
      </c:txPr>
    </c:legend>
    <c:plotVisOnly val="1"/>
    <c:dispBlanksAs val="gap"/>
    <c:showDLblsOverMax val="0"/>
  </c:chart>
  <c:externalData r:id="rId1">
    <c:autoUpdate val="0"/>
  </c:externalData>
  <c:userShapes r:id="rId2"/>
</c:chartSpace>
</file>

<file path=word/charts/chart12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365507436570428"/>
          <c:y val="5.1400554097404488E-2"/>
          <c:w val="0.84775970760664265"/>
          <c:h val="0.77611475648877937"/>
        </c:manualLayout>
      </c:layout>
      <c:barChart>
        <c:barDir val="col"/>
        <c:grouping val="clustered"/>
        <c:varyColors val="0"/>
        <c:ser>
          <c:idx val="0"/>
          <c:order val="0"/>
          <c:tx>
            <c:v>2000</c:v>
          </c:tx>
          <c:invertIfNegative val="0"/>
          <c:cat>
            <c:strLit>
              <c:ptCount val="5"/>
              <c:pt idx="0">
                <c:v>putnički automobil</c:v>
              </c:pt>
              <c:pt idx="1">
                <c:v>kombi</c:v>
              </c:pt>
              <c:pt idx="2">
                <c:v>autobus</c:v>
              </c:pt>
              <c:pt idx="3">
                <c:v>teretno vozilo</c:v>
              </c:pt>
              <c:pt idx="4">
                <c:v>vučno vozilo</c:v>
              </c:pt>
            </c:strLit>
          </c:cat>
          <c:val>
            <c:numRef>
              <c:f>'S04'!$C$123:$C$127</c:f>
              <c:numCache>
                <c:formatCode>General</c:formatCode>
                <c:ptCount val="5"/>
                <c:pt idx="0">
                  <c:v>13.17</c:v>
                </c:pt>
                <c:pt idx="1">
                  <c:v>13.04</c:v>
                </c:pt>
                <c:pt idx="2">
                  <c:v>14.04</c:v>
                </c:pt>
                <c:pt idx="3">
                  <c:v>13.71</c:v>
                </c:pt>
                <c:pt idx="4">
                  <c:v>10.18</c:v>
                </c:pt>
              </c:numCache>
            </c:numRef>
          </c:val>
        </c:ser>
        <c:ser>
          <c:idx val="1"/>
          <c:order val="1"/>
          <c:tx>
            <c:v>2012</c:v>
          </c:tx>
          <c:invertIfNegative val="0"/>
          <c:cat>
            <c:strLit>
              <c:ptCount val="5"/>
              <c:pt idx="0">
                <c:v>putnički automobil</c:v>
              </c:pt>
              <c:pt idx="1">
                <c:v>kombi</c:v>
              </c:pt>
              <c:pt idx="2">
                <c:v>autobus</c:v>
              </c:pt>
              <c:pt idx="3">
                <c:v>teretno vozilo</c:v>
              </c:pt>
              <c:pt idx="4">
                <c:v>vučno vozilo</c:v>
              </c:pt>
            </c:strLit>
          </c:cat>
          <c:val>
            <c:numRef>
              <c:f>'S04'!$D$123:$D$127</c:f>
              <c:numCache>
                <c:formatCode>General</c:formatCode>
                <c:ptCount val="5"/>
                <c:pt idx="0">
                  <c:v>14.63</c:v>
                </c:pt>
                <c:pt idx="1">
                  <c:v>16.010000000000005</c:v>
                </c:pt>
                <c:pt idx="2">
                  <c:v>14.13</c:v>
                </c:pt>
                <c:pt idx="3">
                  <c:v>14.1</c:v>
                </c:pt>
                <c:pt idx="4">
                  <c:v>10.94</c:v>
                </c:pt>
              </c:numCache>
            </c:numRef>
          </c:val>
        </c:ser>
        <c:dLbls>
          <c:showLegendKey val="0"/>
          <c:showVal val="0"/>
          <c:showCatName val="0"/>
          <c:showSerName val="0"/>
          <c:showPercent val="0"/>
          <c:showBubbleSize val="0"/>
        </c:dLbls>
        <c:gapWidth val="150"/>
        <c:axId val="342536576"/>
        <c:axId val="342538112"/>
      </c:barChart>
      <c:catAx>
        <c:axId val="342536576"/>
        <c:scaling>
          <c:orientation val="minMax"/>
        </c:scaling>
        <c:delete val="0"/>
        <c:axPos val="b"/>
        <c:numFmt formatCode="General" sourceLinked="0"/>
        <c:majorTickMark val="out"/>
        <c:minorTickMark val="none"/>
        <c:tickLblPos val="nextTo"/>
        <c:txPr>
          <a:bodyPr/>
          <a:lstStyle/>
          <a:p>
            <a:pPr>
              <a:defRPr sz="800" b="1"/>
            </a:pPr>
            <a:endParaRPr lang="en-US"/>
          </a:p>
        </c:txPr>
        <c:crossAx val="342538112"/>
        <c:crosses val="autoZero"/>
        <c:auto val="1"/>
        <c:lblAlgn val="ctr"/>
        <c:lblOffset val="100"/>
        <c:noMultiLvlLbl val="0"/>
      </c:catAx>
      <c:valAx>
        <c:axId val="342538112"/>
        <c:scaling>
          <c:orientation val="minMax"/>
        </c:scaling>
        <c:delete val="0"/>
        <c:axPos val="l"/>
        <c:majorGridlines/>
        <c:numFmt formatCode="General" sourceLinked="1"/>
        <c:majorTickMark val="out"/>
        <c:minorTickMark val="none"/>
        <c:tickLblPos val="nextTo"/>
        <c:crossAx val="342536576"/>
        <c:crosses val="autoZero"/>
        <c:crossBetween val="between"/>
      </c:valAx>
    </c:plotArea>
    <c:legend>
      <c:legendPos val="r"/>
      <c:layout>
        <c:manualLayout>
          <c:xMode val="edge"/>
          <c:yMode val="edge"/>
          <c:x val="0.51387446939502934"/>
          <c:y val="5.5171697287839022E-2"/>
          <c:w val="0.30703528725575963"/>
          <c:h val="8.6275019970329797E-2"/>
        </c:manualLayout>
      </c:layout>
      <c:overlay val="0"/>
    </c:legend>
    <c:plotVisOnly val="1"/>
    <c:dispBlanksAs val="gap"/>
    <c:showDLblsOverMax val="0"/>
  </c:chart>
  <c:externalData r:id="rId1">
    <c:autoUpdate val="0"/>
  </c:externalData>
  <c:userShapes r:id="rId2"/>
</c:chartSpace>
</file>

<file path=word/charts/chart12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0320653515871492"/>
          <c:y val="5.1400554097404488E-2"/>
          <c:w val="0.73499907829247102"/>
          <c:h val="0.71333588509769608"/>
        </c:manualLayout>
      </c:layout>
      <c:barChart>
        <c:barDir val="col"/>
        <c:grouping val="stacked"/>
        <c:varyColors val="0"/>
        <c:ser>
          <c:idx val="0"/>
          <c:order val="0"/>
          <c:tx>
            <c:v>Domaći turisti</c:v>
          </c:tx>
          <c:invertIfNegative val="0"/>
          <c:cat>
            <c:numLit>
              <c:formatCode>General</c:formatCode>
              <c:ptCount val="1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numLit>
          </c:cat>
          <c:val>
            <c:numRef>
              <c:f>'T01'!$B$7:$O$7</c:f>
              <c:numCache>
                <c:formatCode>0</c:formatCode>
                <c:ptCount val="14"/>
                <c:pt idx="0">
                  <c:v>374.62799999999999</c:v>
                </c:pt>
                <c:pt idx="1">
                  <c:v>446.23200000000003</c:v>
                </c:pt>
                <c:pt idx="2">
                  <c:v>405.53899999999999</c:v>
                </c:pt>
                <c:pt idx="3">
                  <c:v>457.64299999999997</c:v>
                </c:pt>
                <c:pt idx="4">
                  <c:v>515.42399999999998</c:v>
                </c:pt>
                <c:pt idx="5">
                  <c:v>548.452</c:v>
                </c:pt>
                <c:pt idx="6">
                  <c:v>156.857</c:v>
                </c:pt>
                <c:pt idx="7">
                  <c:v>149.29400000000001</c:v>
                </c:pt>
                <c:pt idx="8">
                  <c:v>156.904</c:v>
                </c:pt>
                <c:pt idx="9">
                  <c:v>163.68</c:v>
                </c:pt>
                <c:pt idx="10">
                  <c:v>175.191</c:v>
                </c:pt>
                <c:pt idx="11">
                  <c:v>172.35499999999999</c:v>
                </c:pt>
                <c:pt idx="12">
                  <c:v>175.33699999999999</c:v>
                </c:pt>
                <c:pt idx="13">
                  <c:v>167.60300000000001</c:v>
                </c:pt>
              </c:numCache>
            </c:numRef>
          </c:val>
        </c:ser>
        <c:ser>
          <c:idx val="1"/>
          <c:order val="1"/>
          <c:tx>
            <c:v>Strani turisti</c:v>
          </c:tx>
          <c:invertIfNegative val="0"/>
          <c:cat>
            <c:numLit>
              <c:formatCode>General</c:formatCode>
              <c:ptCount val="1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numLit>
          </c:cat>
          <c:val>
            <c:numRef>
              <c:f>'T01'!$B$8:$O$8</c:f>
              <c:numCache>
                <c:formatCode>0</c:formatCode>
                <c:ptCount val="14"/>
                <c:pt idx="0">
                  <c:v>73.558999999999997</c:v>
                </c:pt>
                <c:pt idx="1">
                  <c:v>108.80800000000001</c:v>
                </c:pt>
                <c:pt idx="2">
                  <c:v>136.16</c:v>
                </c:pt>
                <c:pt idx="3">
                  <c:v>141.78700000000001</c:v>
                </c:pt>
                <c:pt idx="4">
                  <c:v>188.06</c:v>
                </c:pt>
                <c:pt idx="5">
                  <c:v>272.005</c:v>
                </c:pt>
                <c:pt idx="6">
                  <c:v>797.07100000000003</c:v>
                </c:pt>
                <c:pt idx="7">
                  <c:v>984.13800000000003</c:v>
                </c:pt>
                <c:pt idx="8">
                  <c:v>1031.212</c:v>
                </c:pt>
                <c:pt idx="9">
                  <c:v>1043.933</c:v>
                </c:pt>
                <c:pt idx="10">
                  <c:v>1087.7940000000001</c:v>
                </c:pt>
                <c:pt idx="11">
                  <c:v>1201.0989999999999</c:v>
                </c:pt>
                <c:pt idx="12">
                  <c:v>1264.163</c:v>
                </c:pt>
                <c:pt idx="13">
                  <c:v>1324.403</c:v>
                </c:pt>
              </c:numCache>
            </c:numRef>
          </c:val>
        </c:ser>
        <c:dLbls>
          <c:showLegendKey val="0"/>
          <c:showVal val="0"/>
          <c:showCatName val="0"/>
          <c:showSerName val="0"/>
          <c:showPercent val="0"/>
          <c:showBubbleSize val="0"/>
        </c:dLbls>
        <c:gapWidth val="150"/>
        <c:overlap val="100"/>
        <c:axId val="342547072"/>
        <c:axId val="341320064"/>
      </c:barChart>
      <c:catAx>
        <c:axId val="342547072"/>
        <c:scaling>
          <c:orientation val="minMax"/>
        </c:scaling>
        <c:delete val="0"/>
        <c:axPos val="b"/>
        <c:numFmt formatCode="General" sourceLinked="1"/>
        <c:majorTickMark val="out"/>
        <c:minorTickMark val="none"/>
        <c:tickLblPos val="nextTo"/>
        <c:crossAx val="341320064"/>
        <c:crosses val="autoZero"/>
        <c:auto val="1"/>
        <c:lblAlgn val="ctr"/>
        <c:lblOffset val="100"/>
        <c:noMultiLvlLbl val="0"/>
      </c:catAx>
      <c:valAx>
        <c:axId val="341320064"/>
        <c:scaling>
          <c:orientation val="minMax"/>
        </c:scaling>
        <c:delete val="0"/>
        <c:axPos val="l"/>
        <c:majorGridlines/>
        <c:numFmt formatCode="0" sourceLinked="1"/>
        <c:majorTickMark val="out"/>
        <c:minorTickMark val="none"/>
        <c:tickLblPos val="nextTo"/>
        <c:crossAx val="342547072"/>
        <c:crosses val="autoZero"/>
        <c:crossBetween val="between"/>
      </c:valAx>
    </c:plotArea>
    <c:legend>
      <c:legendPos val="r"/>
      <c:layout>
        <c:manualLayout>
          <c:xMode val="edge"/>
          <c:yMode val="edge"/>
          <c:x val="0.1588754992582449"/>
          <c:y val="7.3689851268591428E-2"/>
          <c:w val="0.41447810639523719"/>
          <c:h val="0.16401720618256052"/>
        </c:manualLayout>
      </c:layout>
      <c:overlay val="0"/>
    </c:legend>
    <c:plotVisOnly val="1"/>
    <c:dispBlanksAs val="gap"/>
    <c:showDLblsOverMax val="0"/>
  </c:chart>
  <c:externalData r:id="rId1">
    <c:autoUpdate val="0"/>
  </c:externalData>
  <c:userShapes r:id="rId2"/>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manualLayout>
          <c:layoutTarget val="inner"/>
          <c:xMode val="edge"/>
          <c:yMode val="edge"/>
          <c:x val="9.1609639704127888E-2"/>
          <c:y val="8.6746017212964613E-2"/>
          <c:w val="0.61126159230096233"/>
          <c:h val="0.78158212781541747"/>
        </c:manualLayout>
      </c:layout>
      <c:barChart>
        <c:barDir val="col"/>
        <c:grouping val="clustered"/>
        <c:varyColors val="0"/>
        <c:ser>
          <c:idx val="0"/>
          <c:order val="0"/>
          <c:tx>
            <c:strRef>
              <c:f>Sheet1!$B$1</c:f>
              <c:strCache>
                <c:ptCount val="1"/>
                <c:pt idx="0">
                  <c:v>Csr </c:v>
                </c:pt>
              </c:strCache>
            </c:strRef>
          </c:tx>
          <c:spPr>
            <a:solidFill>
              <a:srgbClr val="FFFF00"/>
            </a:solidFill>
          </c:spPr>
          <c:invertIfNegative val="0"/>
          <c:cat>
            <c:strRef>
              <c:f>Sheet1!$A$2:$A$13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Sheet1!$B$2:$B$13</c:f>
              <c:numCache>
                <c:formatCode>General</c:formatCode>
                <c:ptCount val="12"/>
                <c:pt idx="0">
                  <c:v>85.5</c:v>
                </c:pt>
                <c:pt idx="1">
                  <c:v>57.35</c:v>
                </c:pt>
                <c:pt idx="2">
                  <c:v>41.96</c:v>
                </c:pt>
                <c:pt idx="3">
                  <c:v>30.439999999999987</c:v>
                </c:pt>
                <c:pt idx="4">
                  <c:v>23.68</c:v>
                </c:pt>
                <c:pt idx="5">
                  <c:v>11.36000000000001</c:v>
                </c:pt>
                <c:pt idx="6">
                  <c:v>14.25</c:v>
                </c:pt>
                <c:pt idx="7">
                  <c:v>31.37</c:v>
                </c:pt>
                <c:pt idx="8">
                  <c:v>22.64</c:v>
                </c:pt>
                <c:pt idx="9">
                  <c:v>61.57</c:v>
                </c:pt>
                <c:pt idx="10">
                  <c:v>45.01</c:v>
                </c:pt>
                <c:pt idx="11">
                  <c:v>123.43</c:v>
                </c:pt>
              </c:numCache>
            </c:numRef>
          </c:val>
        </c:ser>
        <c:ser>
          <c:idx val="1"/>
          <c:order val="1"/>
          <c:tx>
            <c:strRef>
              <c:f>Sheet1!$C$1</c:f>
              <c:strCache>
                <c:ptCount val="1"/>
                <c:pt idx="0">
                  <c:v>Cmax</c:v>
                </c:pt>
              </c:strCache>
            </c:strRef>
          </c:tx>
          <c:invertIfNegative val="0"/>
          <c:cat>
            <c:strRef>
              <c:f>Sheet1!$A$2:$A$13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Sheet1!$C$2:$C$13</c:f>
              <c:numCache>
                <c:formatCode>General</c:formatCode>
                <c:ptCount val="12"/>
                <c:pt idx="0">
                  <c:v>197.65</c:v>
                </c:pt>
                <c:pt idx="1">
                  <c:v>115.26</c:v>
                </c:pt>
                <c:pt idx="2">
                  <c:v>91.92</c:v>
                </c:pt>
                <c:pt idx="3">
                  <c:v>48.04</c:v>
                </c:pt>
                <c:pt idx="4">
                  <c:v>84.63</c:v>
                </c:pt>
                <c:pt idx="5">
                  <c:v>25.99</c:v>
                </c:pt>
                <c:pt idx="6">
                  <c:v>30.88</c:v>
                </c:pt>
                <c:pt idx="7">
                  <c:v>69.14</c:v>
                </c:pt>
                <c:pt idx="8">
                  <c:v>75.319999999999993</c:v>
                </c:pt>
                <c:pt idx="9">
                  <c:v>99.05</c:v>
                </c:pt>
                <c:pt idx="10">
                  <c:v>99.13</c:v>
                </c:pt>
                <c:pt idx="11">
                  <c:v>251.5</c:v>
                </c:pt>
              </c:numCache>
            </c:numRef>
          </c:val>
        </c:ser>
        <c:dLbls>
          <c:showLegendKey val="0"/>
          <c:showVal val="0"/>
          <c:showCatName val="0"/>
          <c:showSerName val="0"/>
          <c:showPercent val="0"/>
          <c:showBubbleSize val="0"/>
        </c:dLbls>
        <c:gapWidth val="150"/>
        <c:axId val="202162560"/>
        <c:axId val="202164096"/>
      </c:barChart>
      <c:lineChart>
        <c:grouping val="standard"/>
        <c:varyColors val="0"/>
        <c:ser>
          <c:idx val="2"/>
          <c:order val="2"/>
          <c:tx>
            <c:strRef>
              <c:f>Sheet1!$D$1</c:f>
              <c:strCache>
                <c:ptCount val="1"/>
                <c:pt idx="0">
                  <c:v>srednja dnevna granična vrijednost</c:v>
                </c:pt>
              </c:strCache>
            </c:strRef>
          </c:tx>
          <c:spPr>
            <a:ln w="41275">
              <a:solidFill>
                <a:srgbClr val="FF0000"/>
              </a:solidFill>
            </a:ln>
          </c:spPr>
          <c:marker>
            <c:symbol val="none"/>
          </c:marker>
          <c:cat>
            <c:strRef>
              <c:f>Sheet1!$A$2:$A$13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Sheet1!$D$2:$D$13</c:f>
              <c:numCache>
                <c:formatCode>General</c:formatCode>
                <c:ptCount val="12"/>
                <c:pt idx="0">
                  <c:v>50</c:v>
                </c:pt>
                <c:pt idx="1">
                  <c:v>50</c:v>
                </c:pt>
                <c:pt idx="2">
                  <c:v>50</c:v>
                </c:pt>
                <c:pt idx="3">
                  <c:v>50</c:v>
                </c:pt>
                <c:pt idx="4">
                  <c:v>50</c:v>
                </c:pt>
                <c:pt idx="5">
                  <c:v>50</c:v>
                </c:pt>
                <c:pt idx="6">
                  <c:v>50</c:v>
                </c:pt>
                <c:pt idx="7">
                  <c:v>50</c:v>
                </c:pt>
                <c:pt idx="8">
                  <c:v>50</c:v>
                </c:pt>
                <c:pt idx="9">
                  <c:v>50</c:v>
                </c:pt>
                <c:pt idx="10">
                  <c:v>50</c:v>
                </c:pt>
                <c:pt idx="11">
                  <c:v>50</c:v>
                </c:pt>
              </c:numCache>
            </c:numRef>
          </c:val>
          <c:smooth val="0"/>
        </c:ser>
        <c:ser>
          <c:idx val="3"/>
          <c:order val="3"/>
          <c:tx>
            <c:strRef>
              <c:f>Sheet1!$E$1</c:f>
              <c:strCache>
                <c:ptCount val="1"/>
                <c:pt idx="0">
                  <c:v>granica tolerancije</c:v>
                </c:pt>
              </c:strCache>
            </c:strRef>
          </c:tx>
          <c:spPr>
            <a:ln w="41275">
              <a:solidFill>
                <a:schemeClr val="accent6">
                  <a:lumMod val="75000"/>
                </a:schemeClr>
              </a:solidFill>
            </a:ln>
          </c:spPr>
          <c:marker>
            <c:symbol val="none"/>
          </c:marker>
          <c:cat>
            <c:strRef>
              <c:f>Sheet1!$A$2:$A$13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Sheet1!$E$2:$E$13</c:f>
              <c:numCache>
                <c:formatCode>General</c:formatCode>
                <c:ptCount val="12"/>
                <c:pt idx="0">
                  <c:v>83</c:v>
                </c:pt>
                <c:pt idx="1">
                  <c:v>83</c:v>
                </c:pt>
                <c:pt idx="2">
                  <c:v>83</c:v>
                </c:pt>
                <c:pt idx="3">
                  <c:v>83</c:v>
                </c:pt>
                <c:pt idx="4">
                  <c:v>83</c:v>
                </c:pt>
                <c:pt idx="5">
                  <c:v>83</c:v>
                </c:pt>
                <c:pt idx="6">
                  <c:v>83</c:v>
                </c:pt>
                <c:pt idx="7">
                  <c:v>83</c:v>
                </c:pt>
                <c:pt idx="8">
                  <c:v>83</c:v>
                </c:pt>
                <c:pt idx="9">
                  <c:v>83</c:v>
                </c:pt>
                <c:pt idx="10">
                  <c:v>83</c:v>
                </c:pt>
                <c:pt idx="11">
                  <c:v>83</c:v>
                </c:pt>
              </c:numCache>
            </c:numRef>
          </c:val>
          <c:smooth val="0"/>
        </c:ser>
        <c:dLbls>
          <c:showLegendKey val="0"/>
          <c:showVal val="0"/>
          <c:showCatName val="0"/>
          <c:showSerName val="0"/>
          <c:showPercent val="0"/>
          <c:showBubbleSize val="0"/>
        </c:dLbls>
        <c:marker val="1"/>
        <c:smooth val="0"/>
        <c:axId val="202162560"/>
        <c:axId val="202164096"/>
      </c:lineChart>
      <c:catAx>
        <c:axId val="202162560"/>
        <c:scaling>
          <c:orientation val="minMax"/>
        </c:scaling>
        <c:delete val="0"/>
        <c:axPos val="b"/>
        <c:majorTickMark val="out"/>
        <c:minorTickMark val="none"/>
        <c:tickLblPos val="nextTo"/>
        <c:crossAx val="202164096"/>
        <c:crosses val="autoZero"/>
        <c:auto val="1"/>
        <c:lblAlgn val="ctr"/>
        <c:lblOffset val="100"/>
        <c:noMultiLvlLbl val="0"/>
      </c:catAx>
      <c:valAx>
        <c:axId val="202164096"/>
        <c:scaling>
          <c:orientation val="minMax"/>
        </c:scaling>
        <c:delete val="0"/>
        <c:axPos val="l"/>
        <c:title>
          <c:tx>
            <c:rich>
              <a:bodyPr rot="0" vert="horz"/>
              <a:lstStyle/>
              <a:p>
                <a:pPr>
                  <a:defRPr/>
                </a:pPr>
                <a:r>
                  <a:rPr lang="en-US">
                    <a:latin typeface="Calibri"/>
                  </a:rPr>
                  <a:t>µg/m</a:t>
                </a:r>
                <a:r>
                  <a:rPr lang="en-US" baseline="30000">
                    <a:latin typeface="Calibri"/>
                  </a:rPr>
                  <a:t>3</a:t>
                </a:r>
                <a:endParaRPr lang="en-US" baseline="30000"/>
              </a:p>
            </c:rich>
          </c:tx>
          <c:layout>
            <c:manualLayout>
              <c:xMode val="edge"/>
              <c:yMode val="edge"/>
              <c:x val="0"/>
              <c:y val="1.5548637815622005E-3"/>
            </c:manualLayout>
          </c:layout>
          <c:overlay val="0"/>
        </c:title>
        <c:numFmt formatCode="General" sourceLinked="1"/>
        <c:majorTickMark val="out"/>
        <c:minorTickMark val="none"/>
        <c:tickLblPos val="nextTo"/>
        <c:crossAx val="202162560"/>
        <c:crosses val="autoZero"/>
        <c:crossBetween val="between"/>
      </c:valAx>
      <c:spPr>
        <a:blipFill dpi="0" rotWithShape="1">
          <a:blip xmlns:r="http://schemas.openxmlformats.org/officeDocument/2006/relationships" r:embed="rId1">
            <a:alphaModFix amt="70000"/>
          </a:blip>
          <a:srcRect/>
          <a:stretch>
            <a:fillRect/>
          </a:stretch>
        </a:blipFill>
      </c:spPr>
    </c:plotArea>
    <c:legend>
      <c:legendPos val="r"/>
      <c:layout>
        <c:manualLayout>
          <c:xMode val="edge"/>
          <c:yMode val="edge"/>
          <c:x val="0.70423476111129257"/>
          <c:y val="0.24135843425663281"/>
          <c:w val="0.29511238367931325"/>
          <c:h val="0.54264301299687023"/>
        </c:manualLayout>
      </c:layout>
      <c:overlay val="1"/>
      <c:txPr>
        <a:bodyPr/>
        <a:lstStyle/>
        <a:p>
          <a:pPr>
            <a:defRPr sz="800"/>
          </a:pPr>
          <a:endParaRPr lang="en-US"/>
        </a:p>
      </c:txPr>
    </c:legend>
    <c:plotVisOnly val="1"/>
    <c:dispBlanksAs val="gap"/>
    <c:showDLblsOverMax val="0"/>
  </c:chart>
  <c:spPr>
    <a:ln>
      <a:noFill/>
    </a:ln>
  </c:spPr>
  <c:externalData r:id="rId2">
    <c:autoUpdate val="0"/>
  </c:externalData>
</c:chartSpace>
</file>

<file path=word/charts/chart13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6644628946289464"/>
          <c:y val="5.1400554097404488E-2"/>
          <c:w val="0.69229021456881235"/>
          <c:h val="0.72340586397812656"/>
        </c:manualLayout>
      </c:layout>
      <c:lineChart>
        <c:grouping val="standard"/>
        <c:varyColors val="0"/>
        <c:ser>
          <c:idx val="0"/>
          <c:order val="0"/>
          <c:tx>
            <c:v>Po km ²</c:v>
          </c:tx>
          <c:marker>
            <c:symbol val="none"/>
          </c:marker>
          <c:cat>
            <c:numLit>
              <c:formatCode>General</c:formatCode>
              <c:ptCount val="1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numLit>
          </c:cat>
          <c:val>
            <c:numRef>
              <c:f>'T01'!$B$14:$O$14</c:f>
              <c:numCache>
                <c:formatCode>0</c:formatCode>
                <c:ptCount val="14"/>
                <c:pt idx="0">
                  <c:v>32.449102229944977</c:v>
                </c:pt>
                <c:pt idx="1">
                  <c:v>40.185346075876055</c:v>
                </c:pt>
                <c:pt idx="2">
                  <c:v>39.219446857804805</c:v>
                </c:pt>
                <c:pt idx="3">
                  <c:v>43.399218071242395</c:v>
                </c:pt>
                <c:pt idx="4">
                  <c:v>50.93281204749492</c:v>
                </c:pt>
                <c:pt idx="5">
                  <c:v>59.401752099623515</c:v>
                </c:pt>
                <c:pt idx="6">
                  <c:v>69.065160729800169</c:v>
                </c:pt>
                <c:pt idx="7">
                  <c:v>82.061395887633935</c:v>
                </c:pt>
                <c:pt idx="8">
                  <c:v>86.020561830292493</c:v>
                </c:pt>
                <c:pt idx="9">
                  <c:v>87.432160440196924</c:v>
                </c:pt>
                <c:pt idx="10">
                  <c:v>91.441138140747199</c:v>
                </c:pt>
                <c:pt idx="11">
                  <c:v>99.439183318853168</c:v>
                </c:pt>
                <c:pt idx="12">
                  <c:v>104.22096727483348</c:v>
                </c:pt>
                <c:pt idx="13">
                  <c:v>108.02244425137562</c:v>
                </c:pt>
              </c:numCache>
            </c:numRef>
          </c:val>
          <c:smooth val="0"/>
        </c:ser>
        <c:dLbls>
          <c:showLegendKey val="0"/>
          <c:showVal val="0"/>
          <c:showCatName val="0"/>
          <c:showSerName val="0"/>
          <c:showPercent val="0"/>
          <c:showBubbleSize val="0"/>
        </c:dLbls>
        <c:marker val="1"/>
        <c:smooth val="0"/>
        <c:axId val="341346944"/>
        <c:axId val="341356928"/>
      </c:lineChart>
      <c:lineChart>
        <c:grouping val="standard"/>
        <c:varyColors val="0"/>
        <c:ser>
          <c:idx val="1"/>
          <c:order val="1"/>
          <c:tx>
            <c:v>Po stanovniku</c:v>
          </c:tx>
          <c:marker>
            <c:symbol val="none"/>
          </c:marker>
          <c:cat>
            <c:numLit>
              <c:formatCode>General</c:formatCode>
              <c:ptCount val="1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numLit>
          </c:cat>
          <c:val>
            <c:numRef>
              <c:f>'T01'!$B$15:$O$15</c:f>
              <c:numCache>
                <c:formatCode>0.0</c:formatCode>
                <c:ptCount val="14"/>
                <c:pt idx="0">
                  <c:v>0.73173865625244905</c:v>
                </c:pt>
                <c:pt idx="1">
                  <c:v>0.90281087393927373</c:v>
                </c:pt>
                <c:pt idx="2">
                  <c:v>0.87783530631922657</c:v>
                </c:pt>
                <c:pt idx="3">
                  <c:v>0.9663892641686469</c:v>
                </c:pt>
                <c:pt idx="4">
                  <c:v>1.130788692820333</c:v>
                </c:pt>
                <c:pt idx="5">
                  <c:v>1.3163601416384689</c:v>
                </c:pt>
                <c:pt idx="6">
                  <c:v>1.5281430219146481</c:v>
                </c:pt>
                <c:pt idx="7">
                  <c:v>1.8100506557136196</c:v>
                </c:pt>
                <c:pt idx="8">
                  <c:v>1.8894854358432835</c:v>
                </c:pt>
                <c:pt idx="9">
                  <c:v>1.9121839451749387</c:v>
                </c:pt>
                <c:pt idx="10">
                  <c:v>2.0459692469188604</c:v>
                </c:pt>
                <c:pt idx="11">
                  <c:v>2.2151447754863076</c:v>
                </c:pt>
                <c:pt idx="12">
                  <c:v>2.3217442355582509</c:v>
                </c:pt>
                <c:pt idx="13">
                  <c:v>2.4064302396098114</c:v>
                </c:pt>
              </c:numCache>
            </c:numRef>
          </c:val>
          <c:smooth val="0"/>
        </c:ser>
        <c:dLbls>
          <c:showLegendKey val="0"/>
          <c:showVal val="0"/>
          <c:showCatName val="0"/>
          <c:showSerName val="0"/>
          <c:showPercent val="0"/>
          <c:showBubbleSize val="0"/>
        </c:dLbls>
        <c:marker val="1"/>
        <c:smooth val="0"/>
        <c:axId val="341360000"/>
        <c:axId val="341358464"/>
      </c:lineChart>
      <c:catAx>
        <c:axId val="341346944"/>
        <c:scaling>
          <c:orientation val="minMax"/>
        </c:scaling>
        <c:delete val="0"/>
        <c:axPos val="b"/>
        <c:numFmt formatCode="General" sourceLinked="1"/>
        <c:majorTickMark val="out"/>
        <c:minorTickMark val="none"/>
        <c:tickLblPos val="nextTo"/>
        <c:txPr>
          <a:bodyPr/>
          <a:lstStyle/>
          <a:p>
            <a:pPr>
              <a:defRPr sz="900"/>
            </a:pPr>
            <a:endParaRPr lang="en-US"/>
          </a:p>
        </c:txPr>
        <c:crossAx val="341356928"/>
        <c:crosses val="autoZero"/>
        <c:auto val="1"/>
        <c:lblAlgn val="ctr"/>
        <c:lblOffset val="100"/>
        <c:noMultiLvlLbl val="0"/>
      </c:catAx>
      <c:valAx>
        <c:axId val="341356928"/>
        <c:scaling>
          <c:orientation val="minMax"/>
        </c:scaling>
        <c:delete val="0"/>
        <c:axPos val="l"/>
        <c:majorGridlines/>
        <c:numFmt formatCode="0" sourceLinked="1"/>
        <c:majorTickMark val="out"/>
        <c:minorTickMark val="none"/>
        <c:tickLblPos val="nextTo"/>
        <c:txPr>
          <a:bodyPr/>
          <a:lstStyle/>
          <a:p>
            <a:pPr>
              <a:defRPr sz="900"/>
            </a:pPr>
            <a:endParaRPr lang="en-US"/>
          </a:p>
        </c:txPr>
        <c:crossAx val="341346944"/>
        <c:crosses val="autoZero"/>
        <c:crossBetween val="between"/>
      </c:valAx>
      <c:valAx>
        <c:axId val="341358464"/>
        <c:scaling>
          <c:orientation val="minMax"/>
        </c:scaling>
        <c:delete val="0"/>
        <c:axPos val="r"/>
        <c:numFmt formatCode="0.0" sourceLinked="1"/>
        <c:majorTickMark val="out"/>
        <c:minorTickMark val="none"/>
        <c:tickLblPos val="nextTo"/>
        <c:txPr>
          <a:bodyPr/>
          <a:lstStyle/>
          <a:p>
            <a:pPr>
              <a:defRPr sz="900"/>
            </a:pPr>
            <a:endParaRPr lang="en-US"/>
          </a:p>
        </c:txPr>
        <c:crossAx val="341360000"/>
        <c:crosses val="max"/>
        <c:crossBetween val="between"/>
      </c:valAx>
      <c:catAx>
        <c:axId val="341360000"/>
        <c:scaling>
          <c:orientation val="minMax"/>
        </c:scaling>
        <c:delete val="1"/>
        <c:axPos val="b"/>
        <c:numFmt formatCode="General" sourceLinked="1"/>
        <c:majorTickMark val="out"/>
        <c:minorTickMark val="none"/>
        <c:tickLblPos val="nextTo"/>
        <c:crossAx val="341358464"/>
        <c:crosses val="autoZero"/>
        <c:auto val="1"/>
        <c:lblAlgn val="ctr"/>
        <c:lblOffset val="100"/>
        <c:noMultiLvlLbl val="0"/>
      </c:catAx>
    </c:plotArea>
    <c:legend>
      <c:legendPos val="r"/>
      <c:layout>
        <c:manualLayout>
          <c:xMode val="edge"/>
          <c:yMode val="edge"/>
          <c:x val="0.15512070082148821"/>
          <c:y val="6.8676727909011373E-2"/>
          <c:w val="0.40596214295476291"/>
          <c:h val="0.18687882764654418"/>
        </c:manualLayout>
      </c:layout>
      <c:overlay val="0"/>
    </c:legend>
    <c:plotVisOnly val="1"/>
    <c:dispBlanksAs val="gap"/>
    <c:showDLblsOverMax val="0"/>
  </c:chart>
  <c:externalData r:id="rId1">
    <c:autoUpdate val="0"/>
  </c:externalData>
  <c:userShapes r:id="rId2"/>
</c:chartSpace>
</file>

<file path=word/charts/chart13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73772965879265"/>
          <c:y val="5.1400554097404488E-2"/>
          <c:w val="0.81651159230096237"/>
          <c:h val="0.71730480812441466"/>
        </c:manualLayout>
      </c:layout>
      <c:barChart>
        <c:barDir val="col"/>
        <c:grouping val="stacked"/>
        <c:varyColors val="0"/>
        <c:ser>
          <c:idx val="0"/>
          <c:order val="0"/>
          <c:tx>
            <c:v>Glavni grad</c:v>
          </c:tx>
          <c:invertIfNegative val="0"/>
          <c:cat>
            <c:numRef>
              <c:f>'T01'!$B$107:$O$107</c:f>
              <c:numCache>
                <c:formatCode>General</c:formatCode>
                <c:ptCount val="1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numCache>
            </c:numRef>
          </c:cat>
          <c:val>
            <c:numRef>
              <c:f>'T01'!$B$108:$O$108</c:f>
              <c:numCache>
                <c:formatCode>0</c:formatCode>
                <c:ptCount val="14"/>
                <c:pt idx="0">
                  <c:v>26.084</c:v>
                </c:pt>
                <c:pt idx="1">
                  <c:v>22.210999999999999</c:v>
                </c:pt>
                <c:pt idx="2">
                  <c:v>23.832999999999998</c:v>
                </c:pt>
                <c:pt idx="3">
                  <c:v>21.850999999999999</c:v>
                </c:pt>
                <c:pt idx="4">
                  <c:v>24.58</c:v>
                </c:pt>
                <c:pt idx="5">
                  <c:v>29.818999999999999</c:v>
                </c:pt>
                <c:pt idx="6">
                  <c:v>39.295000000000002</c:v>
                </c:pt>
                <c:pt idx="7">
                  <c:v>45.588000000000001</c:v>
                </c:pt>
                <c:pt idx="8">
                  <c:v>50.393000000000001</c:v>
                </c:pt>
                <c:pt idx="9">
                  <c:v>49.165999999999997</c:v>
                </c:pt>
                <c:pt idx="10">
                  <c:v>54.195999999999998</c:v>
                </c:pt>
                <c:pt idx="11">
                  <c:v>53.48</c:v>
                </c:pt>
                <c:pt idx="12">
                  <c:v>52.889000000000003</c:v>
                </c:pt>
                <c:pt idx="13">
                  <c:v>65.135999999999996</c:v>
                </c:pt>
              </c:numCache>
            </c:numRef>
          </c:val>
        </c:ser>
        <c:ser>
          <c:idx val="1"/>
          <c:order val="1"/>
          <c:tx>
            <c:v>Primorska mjesta</c:v>
          </c:tx>
          <c:invertIfNegative val="0"/>
          <c:cat>
            <c:numRef>
              <c:f>'T01'!$B$107:$O$107</c:f>
              <c:numCache>
                <c:formatCode>General</c:formatCode>
                <c:ptCount val="1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numCache>
            </c:numRef>
          </c:cat>
          <c:val>
            <c:numRef>
              <c:f>'T01'!$B$109:$O$109</c:f>
              <c:numCache>
                <c:formatCode>0</c:formatCode>
                <c:ptCount val="14"/>
                <c:pt idx="0">
                  <c:v>376.06299999999999</c:v>
                </c:pt>
                <c:pt idx="1">
                  <c:v>438.00799999999998</c:v>
                </c:pt>
                <c:pt idx="2">
                  <c:v>476.31599999999997</c:v>
                </c:pt>
                <c:pt idx="3">
                  <c:v>541.72799999999995</c:v>
                </c:pt>
                <c:pt idx="4">
                  <c:v>639.98</c:v>
                </c:pt>
                <c:pt idx="5">
                  <c:v>747.73400000000004</c:v>
                </c:pt>
                <c:pt idx="6">
                  <c:v>859.904</c:v>
                </c:pt>
                <c:pt idx="7">
                  <c:v>1010.742</c:v>
                </c:pt>
                <c:pt idx="8">
                  <c:v>1058.825</c:v>
                </c:pt>
                <c:pt idx="9">
                  <c:v>1081.8050000000001</c:v>
                </c:pt>
                <c:pt idx="10">
                  <c:v>1130.8320000000001</c:v>
                </c:pt>
                <c:pt idx="11">
                  <c:v>1245.3399999999999</c:v>
                </c:pt>
                <c:pt idx="12">
                  <c:v>1301.396</c:v>
                </c:pt>
                <c:pt idx="13">
                  <c:v>1348.394</c:v>
                </c:pt>
              </c:numCache>
            </c:numRef>
          </c:val>
        </c:ser>
        <c:ser>
          <c:idx val="2"/>
          <c:order val="2"/>
          <c:tx>
            <c:v>Planinska mjesta</c:v>
          </c:tx>
          <c:invertIfNegative val="0"/>
          <c:cat>
            <c:numRef>
              <c:f>'T01'!$B$107:$O$107</c:f>
              <c:numCache>
                <c:formatCode>General</c:formatCode>
                <c:ptCount val="1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numCache>
            </c:numRef>
          </c:cat>
          <c:val>
            <c:numRef>
              <c:f>'T01'!$B$110:$O$110</c:f>
              <c:numCache>
                <c:formatCode>0</c:formatCode>
                <c:ptCount val="14"/>
                <c:pt idx="0">
                  <c:v>20.317</c:v>
                </c:pt>
                <c:pt idx="1">
                  <c:v>18.628</c:v>
                </c:pt>
                <c:pt idx="2">
                  <c:v>19.138999999999999</c:v>
                </c:pt>
                <c:pt idx="3">
                  <c:v>18.314</c:v>
                </c:pt>
                <c:pt idx="4">
                  <c:v>18.529</c:v>
                </c:pt>
                <c:pt idx="5">
                  <c:v>19.184999999999999</c:v>
                </c:pt>
                <c:pt idx="6">
                  <c:v>26.361999999999998</c:v>
                </c:pt>
                <c:pt idx="7">
                  <c:v>39.158000000000001</c:v>
                </c:pt>
                <c:pt idx="8">
                  <c:v>38.304000000000002</c:v>
                </c:pt>
                <c:pt idx="9">
                  <c:v>41.13</c:v>
                </c:pt>
                <c:pt idx="10">
                  <c:v>48.997</c:v>
                </c:pt>
                <c:pt idx="11">
                  <c:v>49.183999999999997</c:v>
                </c:pt>
                <c:pt idx="12">
                  <c:v>52.503</c:v>
                </c:pt>
                <c:pt idx="13">
                  <c:v>51.271000000000001</c:v>
                </c:pt>
              </c:numCache>
            </c:numRef>
          </c:val>
        </c:ser>
        <c:ser>
          <c:idx val="3"/>
          <c:order val="3"/>
          <c:tx>
            <c:v>Ostala tur.mjesta</c:v>
          </c:tx>
          <c:invertIfNegative val="0"/>
          <c:cat>
            <c:numRef>
              <c:f>'T01'!$B$107:$O$107</c:f>
              <c:numCache>
                <c:formatCode>General</c:formatCode>
                <c:ptCount val="1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numCache>
            </c:numRef>
          </c:cat>
          <c:val>
            <c:numRef>
              <c:f>'T01'!$B$111:$O$111</c:f>
              <c:numCache>
                <c:formatCode>0</c:formatCode>
                <c:ptCount val="14"/>
                <c:pt idx="0">
                  <c:v>25.065000000000001</c:v>
                </c:pt>
                <c:pt idx="1">
                  <c:v>25.763000000000002</c:v>
                </c:pt>
                <c:pt idx="2">
                  <c:v>21.975999999999999</c:v>
                </c:pt>
                <c:pt idx="3">
                  <c:v>17.395</c:v>
                </c:pt>
                <c:pt idx="4">
                  <c:v>20.285</c:v>
                </c:pt>
                <c:pt idx="5">
                  <c:v>23.599</c:v>
                </c:pt>
                <c:pt idx="6">
                  <c:v>28.143999999999998</c:v>
                </c:pt>
                <c:pt idx="7">
                  <c:v>37.642000000000003</c:v>
                </c:pt>
                <c:pt idx="8">
                  <c:v>40.228999999999999</c:v>
                </c:pt>
                <c:pt idx="9">
                  <c:v>34.622999999999998</c:v>
                </c:pt>
                <c:pt idx="10">
                  <c:v>27.997</c:v>
                </c:pt>
                <c:pt idx="11">
                  <c:v>24.547000000000001</c:v>
                </c:pt>
                <c:pt idx="12">
                  <c:v>30.785</c:v>
                </c:pt>
                <c:pt idx="13">
                  <c:v>20.622</c:v>
                </c:pt>
              </c:numCache>
            </c:numRef>
          </c:val>
        </c:ser>
        <c:ser>
          <c:idx val="4"/>
          <c:order val="4"/>
          <c:tx>
            <c:v>Ostala mjesta</c:v>
          </c:tx>
          <c:invertIfNegative val="0"/>
          <c:cat>
            <c:numRef>
              <c:f>'T01'!$B$107:$O$107</c:f>
              <c:numCache>
                <c:formatCode>General</c:formatCode>
                <c:ptCount val="1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numCache>
            </c:numRef>
          </c:cat>
          <c:val>
            <c:numRef>
              <c:f>'T01'!$B$112:$O$112</c:f>
              <c:numCache>
                <c:formatCode>0</c:formatCode>
                <c:ptCount val="14"/>
                <c:pt idx="0">
                  <c:v>0.65800000000000003</c:v>
                </c:pt>
                <c:pt idx="1">
                  <c:v>0.43</c:v>
                </c:pt>
                <c:pt idx="2">
                  <c:v>0.435</c:v>
                </c:pt>
                <c:pt idx="3">
                  <c:v>0.14199999999999999</c:v>
                </c:pt>
                <c:pt idx="4">
                  <c:v>0.11</c:v>
                </c:pt>
                <c:pt idx="5">
                  <c:v>0.12</c:v>
                </c:pt>
                <c:pt idx="6">
                  <c:v>0.223</c:v>
                </c:pt>
                <c:pt idx="7">
                  <c:v>0.30199999999999999</c:v>
                </c:pt>
                <c:pt idx="8">
                  <c:v>0.36499999999999999</c:v>
                </c:pt>
                <c:pt idx="9">
                  <c:v>0.88900000000000001</c:v>
                </c:pt>
                <c:pt idx="10">
                  <c:v>0.96299999999999997</c:v>
                </c:pt>
                <c:pt idx="11">
                  <c:v>0.90300000000000002</c:v>
                </c:pt>
                <c:pt idx="12">
                  <c:v>1.927</c:v>
                </c:pt>
                <c:pt idx="13">
                  <c:v>1.536</c:v>
                </c:pt>
              </c:numCache>
            </c:numRef>
          </c:val>
        </c:ser>
        <c:dLbls>
          <c:showLegendKey val="0"/>
          <c:showVal val="0"/>
          <c:showCatName val="0"/>
          <c:showSerName val="0"/>
          <c:showPercent val="0"/>
          <c:showBubbleSize val="0"/>
        </c:dLbls>
        <c:gapWidth val="150"/>
        <c:overlap val="100"/>
        <c:axId val="342629376"/>
        <c:axId val="342635264"/>
      </c:barChart>
      <c:catAx>
        <c:axId val="342629376"/>
        <c:scaling>
          <c:orientation val="minMax"/>
        </c:scaling>
        <c:delete val="0"/>
        <c:axPos val="b"/>
        <c:numFmt formatCode="General" sourceLinked="1"/>
        <c:majorTickMark val="out"/>
        <c:minorTickMark val="none"/>
        <c:tickLblPos val="nextTo"/>
        <c:crossAx val="342635264"/>
        <c:crosses val="autoZero"/>
        <c:auto val="1"/>
        <c:lblAlgn val="ctr"/>
        <c:lblOffset val="100"/>
        <c:noMultiLvlLbl val="0"/>
      </c:catAx>
      <c:valAx>
        <c:axId val="342635264"/>
        <c:scaling>
          <c:orientation val="minMax"/>
        </c:scaling>
        <c:delete val="0"/>
        <c:axPos val="l"/>
        <c:majorGridlines/>
        <c:numFmt formatCode="0" sourceLinked="1"/>
        <c:majorTickMark val="out"/>
        <c:minorTickMark val="none"/>
        <c:tickLblPos val="nextTo"/>
        <c:crossAx val="342629376"/>
        <c:crosses val="autoZero"/>
        <c:crossBetween val="between"/>
      </c:valAx>
    </c:plotArea>
    <c:legend>
      <c:legendPos val="r"/>
      <c:layout>
        <c:manualLayout>
          <c:xMode val="edge"/>
          <c:yMode val="edge"/>
          <c:x val="0.13732783402074741"/>
          <c:y val="7.3437082990888761E-2"/>
          <c:w val="0.31742178648493236"/>
          <c:h val="0.33714962397377091"/>
        </c:manualLayout>
      </c:layout>
      <c:overlay val="0"/>
      <c:txPr>
        <a:bodyPr/>
        <a:lstStyle/>
        <a:p>
          <a:pPr>
            <a:defRPr sz="1100"/>
          </a:pPr>
          <a:endParaRPr lang="en-US"/>
        </a:p>
      </c:txPr>
    </c:legend>
    <c:plotVisOnly val="1"/>
    <c:dispBlanksAs val="gap"/>
    <c:showDLblsOverMax val="0"/>
  </c:chart>
  <c:externalData r:id="rId1">
    <c:autoUpdate val="0"/>
  </c:externalData>
  <c:userShapes r:id="rId2"/>
</c:chartSpace>
</file>

<file path=word/charts/chart13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3.0050300991612301E-3"/>
          <c:y val="0.206663095684468"/>
          <c:w val="0.97153753155557221"/>
          <c:h val="0.79333690431553194"/>
        </c:manualLayout>
      </c:layout>
      <c:pie3DChart>
        <c:varyColors val="1"/>
        <c:ser>
          <c:idx val="0"/>
          <c:order val="0"/>
          <c:tx>
            <c:v>12</c:v>
          </c:tx>
          <c:explosion val="25"/>
          <c:dPt>
            <c:idx val="0"/>
            <c:bubble3D val="0"/>
          </c:dPt>
          <c:dPt>
            <c:idx val="1"/>
            <c:bubble3D val="0"/>
            <c:spPr>
              <a:solidFill>
                <a:schemeClr val="accent2"/>
              </a:solidFill>
            </c:spPr>
          </c:dPt>
          <c:dPt>
            <c:idx val="2"/>
            <c:bubble3D val="0"/>
          </c:dPt>
          <c:dPt>
            <c:idx val="3"/>
            <c:bubble3D val="0"/>
          </c:dPt>
          <c:dPt>
            <c:idx val="4"/>
            <c:bubble3D val="0"/>
            <c:spPr>
              <a:solidFill>
                <a:srgbClr val="FFFF00"/>
              </a:solidFill>
            </c:spPr>
          </c:dPt>
          <c:dLbls>
            <c:dLbl>
              <c:idx val="2"/>
              <c:layout>
                <c:manualLayout>
                  <c:x val="-4.2349050044162138E-2"/>
                  <c:y val="5.506097452104201E-3"/>
                </c:manualLayout>
              </c:layout>
              <c:showLegendKey val="0"/>
              <c:showVal val="0"/>
              <c:showCatName val="0"/>
              <c:showSerName val="0"/>
              <c:showPercent val="1"/>
              <c:showBubbleSize val="0"/>
            </c:dLbl>
            <c:dLbl>
              <c:idx val="3"/>
              <c:layout>
                <c:manualLayout>
                  <c:x val="-3.2606443287667798E-2"/>
                  <c:y val="-2.061206634884925E-2"/>
                </c:manualLayout>
              </c:layout>
              <c:showLegendKey val="0"/>
              <c:showVal val="0"/>
              <c:showCatName val="0"/>
              <c:showSerName val="0"/>
              <c:showPercent val="1"/>
              <c:showBubbleSize val="0"/>
            </c:dLbl>
            <c:dLbl>
              <c:idx val="4"/>
              <c:layout>
                <c:manualLayout>
                  <c:x val="3.5886844693339345E-2"/>
                  <c:y val="-2.9682361133429751E-2"/>
                </c:manualLayout>
              </c:layout>
              <c:showLegendKey val="0"/>
              <c:showVal val="0"/>
              <c:showCatName val="0"/>
              <c:showSerName val="0"/>
              <c:showPercent val="1"/>
              <c:showBubbleSize val="0"/>
            </c:dLbl>
            <c:showLegendKey val="0"/>
            <c:showVal val="0"/>
            <c:showCatName val="0"/>
            <c:showSerName val="0"/>
            <c:showPercent val="1"/>
            <c:showBubbleSize val="0"/>
            <c:showLeaderLines val="1"/>
          </c:dLbls>
          <c:cat>
            <c:strLit>
              <c:ptCount val="5"/>
              <c:pt idx="0">
                <c:v>Glavni grad</c:v>
              </c:pt>
              <c:pt idx="1">
                <c:v>Primorska mjesta</c:v>
              </c:pt>
              <c:pt idx="2">
                <c:v>Planinska mjesta</c:v>
              </c:pt>
              <c:pt idx="3">
                <c:v>Ostala tur.mjesta</c:v>
              </c:pt>
              <c:pt idx="4">
                <c:v>Ostala mjesta</c:v>
              </c:pt>
            </c:strLit>
          </c:cat>
          <c:val>
            <c:numRef>
              <c:f>'T01'!$O$108:$O$112</c:f>
              <c:numCache>
                <c:formatCode>0</c:formatCode>
                <c:ptCount val="5"/>
                <c:pt idx="0">
                  <c:v>65.135999999999996</c:v>
                </c:pt>
                <c:pt idx="1">
                  <c:v>1348.394</c:v>
                </c:pt>
                <c:pt idx="2">
                  <c:v>51.271000000000001</c:v>
                </c:pt>
                <c:pt idx="3">
                  <c:v>20.622</c:v>
                </c:pt>
                <c:pt idx="4">
                  <c:v>1.536</c:v>
                </c:pt>
              </c:numCache>
            </c:numRef>
          </c:val>
        </c:ser>
        <c:dLbls>
          <c:showLegendKey val="0"/>
          <c:showVal val="0"/>
          <c:showCatName val="0"/>
          <c:showSerName val="0"/>
          <c:showPercent val="0"/>
          <c:showBubbleSize val="0"/>
          <c:showLeaderLines val="1"/>
        </c:dLbls>
      </c:pie3DChart>
      <c:spPr>
        <a:noFill/>
        <a:ln w="25400">
          <a:noFill/>
        </a:ln>
      </c:spPr>
    </c:plotArea>
    <c:legend>
      <c:legendPos val="t"/>
      <c:layout>
        <c:manualLayout>
          <c:xMode val="edge"/>
          <c:yMode val="edge"/>
          <c:x val="0.64593213437819086"/>
          <c:y val="2.314424982591462E-2"/>
          <c:w val="0.332117339747806"/>
          <c:h val="0.33636009784491228"/>
        </c:manualLayout>
      </c:layout>
      <c:overlay val="0"/>
      <c:txPr>
        <a:bodyPr/>
        <a:lstStyle/>
        <a:p>
          <a:pPr rtl="0">
            <a:defRPr/>
          </a:pPr>
          <a:endParaRPr lang="en-US"/>
        </a:p>
      </c:txPr>
    </c:legend>
    <c:plotVisOnly val="1"/>
    <c:dispBlanksAs val="gap"/>
    <c:showDLblsOverMax val="0"/>
  </c:chart>
  <c:externalData r:id="rId1">
    <c:autoUpdate val="0"/>
  </c:externalData>
</c:chartSpace>
</file>

<file path=word/charts/chart13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cked"/>
        <c:varyColors val="0"/>
        <c:ser>
          <c:idx val="0"/>
          <c:order val="0"/>
          <c:tx>
            <c:v>Domaći turisti</c:v>
          </c:tx>
          <c:cat>
            <c:strRef>
              <c:f>'[Chart in Microsoft Word]T01'!$B$210:$M$210</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'[Chart in Microsoft Word]T01'!$B$211:$M$211</c:f>
              <c:numCache>
                <c:formatCode>0</c:formatCode>
                <c:ptCount val="12"/>
                <c:pt idx="0">
                  <c:v>4.5270000000000001</c:v>
                </c:pt>
                <c:pt idx="1">
                  <c:v>3.577</c:v>
                </c:pt>
                <c:pt idx="2">
                  <c:v>4.2320000000000002</c:v>
                </c:pt>
                <c:pt idx="3">
                  <c:v>5.0060000000000002</c:v>
                </c:pt>
                <c:pt idx="4">
                  <c:v>11.464</c:v>
                </c:pt>
                <c:pt idx="5">
                  <c:v>17.195</c:v>
                </c:pt>
                <c:pt idx="6">
                  <c:v>31.131</c:v>
                </c:pt>
                <c:pt idx="7">
                  <c:v>55.338999999999999</c:v>
                </c:pt>
                <c:pt idx="8">
                  <c:v>20.683</c:v>
                </c:pt>
                <c:pt idx="9">
                  <c:v>6.9539999999999997</c:v>
                </c:pt>
                <c:pt idx="10">
                  <c:v>3.4990000000000001</c:v>
                </c:pt>
                <c:pt idx="11">
                  <c:v>3.996</c:v>
                </c:pt>
              </c:numCache>
            </c:numRef>
          </c:val>
          <c:smooth val="0"/>
        </c:ser>
        <c:ser>
          <c:idx val="1"/>
          <c:order val="1"/>
          <c:tx>
            <c:v>Strani turisti</c:v>
          </c:tx>
          <c:spPr>
            <a:ln>
              <a:solidFill>
                <a:schemeClr val="accent2">
                  <a:lumMod val="50000"/>
                </a:schemeClr>
              </a:solidFill>
            </a:ln>
          </c:spPr>
          <c:marker>
            <c:spPr>
              <a:ln>
                <a:solidFill>
                  <a:schemeClr val="accent2">
                    <a:lumMod val="50000"/>
                  </a:schemeClr>
                </a:solidFill>
              </a:ln>
            </c:spPr>
          </c:marker>
          <c:cat>
            <c:strRef>
              <c:f>'[Chart in Microsoft Word]T01'!$B$210:$M$210</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'[Chart in Microsoft Word]T01'!$B$212:$M$212</c:f>
              <c:numCache>
                <c:formatCode>0</c:formatCode>
                <c:ptCount val="12"/>
                <c:pt idx="0">
                  <c:v>10.977</c:v>
                </c:pt>
                <c:pt idx="1">
                  <c:v>11.773</c:v>
                </c:pt>
                <c:pt idx="2">
                  <c:v>18.463000000000001</c:v>
                </c:pt>
                <c:pt idx="3">
                  <c:v>27.744</c:v>
                </c:pt>
                <c:pt idx="4">
                  <c:v>77.674999999999997</c:v>
                </c:pt>
                <c:pt idx="5">
                  <c:v>144.65899999999999</c:v>
                </c:pt>
                <c:pt idx="6">
                  <c:v>317.05900000000003</c:v>
                </c:pt>
                <c:pt idx="7">
                  <c:v>445.44</c:v>
                </c:pt>
                <c:pt idx="8">
                  <c:v>203.04400000000001</c:v>
                </c:pt>
                <c:pt idx="9">
                  <c:v>38.283999999999999</c:v>
                </c:pt>
                <c:pt idx="10">
                  <c:v>15.324</c:v>
                </c:pt>
                <c:pt idx="11">
                  <c:v>13.961</c:v>
                </c:pt>
              </c:numCache>
            </c:numRef>
          </c:val>
          <c:smooth val="0"/>
        </c:ser>
        <c:dLbls>
          <c:showLegendKey val="0"/>
          <c:showVal val="0"/>
          <c:showCatName val="0"/>
          <c:showSerName val="0"/>
          <c:showPercent val="0"/>
          <c:showBubbleSize val="0"/>
        </c:dLbls>
        <c:marker val="1"/>
        <c:smooth val="0"/>
        <c:axId val="342766336"/>
        <c:axId val="342768256"/>
      </c:lineChart>
      <c:catAx>
        <c:axId val="342766336"/>
        <c:scaling>
          <c:orientation val="minMax"/>
        </c:scaling>
        <c:delete val="0"/>
        <c:axPos val="b"/>
        <c:numFmt formatCode="General" sourceLinked="1"/>
        <c:majorTickMark val="none"/>
        <c:minorTickMark val="none"/>
        <c:tickLblPos val="nextTo"/>
        <c:crossAx val="342768256"/>
        <c:crosses val="autoZero"/>
        <c:auto val="1"/>
        <c:lblAlgn val="ctr"/>
        <c:lblOffset val="100"/>
        <c:noMultiLvlLbl val="0"/>
      </c:catAx>
      <c:valAx>
        <c:axId val="342768256"/>
        <c:scaling>
          <c:orientation val="minMax"/>
        </c:scaling>
        <c:delete val="0"/>
        <c:axPos val="l"/>
        <c:majorGridlines/>
        <c:title>
          <c:tx>
            <c:rich>
              <a:bodyPr/>
              <a:lstStyle/>
              <a:p>
                <a:pPr>
                  <a:defRPr b="0"/>
                </a:pPr>
                <a:r>
                  <a:rPr lang="en-US" b="0"/>
                  <a:t>Broj dolazaka x 1000</a:t>
                </a:r>
              </a:p>
            </c:rich>
          </c:tx>
          <c:layout>
            <c:manualLayout>
              <c:xMode val="edge"/>
              <c:yMode val="edge"/>
              <c:x val="0.16666666666666666"/>
              <c:y val="5.3285578885972573E-2"/>
            </c:manualLayout>
          </c:layout>
          <c:overlay val="0"/>
        </c:title>
        <c:numFmt formatCode="0" sourceLinked="1"/>
        <c:majorTickMark val="none"/>
        <c:minorTickMark val="none"/>
        <c:tickLblPos val="nextTo"/>
        <c:txPr>
          <a:bodyPr/>
          <a:lstStyle/>
          <a:p>
            <a:pPr>
              <a:defRPr sz="900"/>
            </a:pPr>
            <a:endParaRPr lang="en-US"/>
          </a:p>
        </c:txPr>
        <c:crossAx val="342766336"/>
        <c:crosses val="autoZero"/>
        <c:crossBetween val="between"/>
      </c:valAx>
      <c:dTable>
        <c:showHorzBorder val="1"/>
        <c:showVertBorder val="1"/>
        <c:showOutline val="1"/>
        <c:showKeys val="1"/>
      </c:dTable>
    </c:plotArea>
    <c:plotVisOnly val="1"/>
    <c:dispBlanksAs val="zero"/>
    <c:showDLblsOverMax val="0"/>
  </c:chart>
  <c:externalData r:id="rId1">
    <c:autoUpdate val="0"/>
  </c:externalData>
</c:chartSpace>
</file>

<file path=word/charts/chart13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123411899094009"/>
          <c:y val="5.1400554097404488E-2"/>
          <c:w val="0.75840775716988862"/>
          <c:h val="0.74574329250510341"/>
        </c:manualLayout>
      </c:layout>
      <c:barChart>
        <c:barDir val="col"/>
        <c:grouping val="clustered"/>
        <c:varyColors val="0"/>
        <c:ser>
          <c:idx val="0"/>
          <c:order val="0"/>
          <c:tx>
            <c:v>Domaći turisti</c:v>
          </c:tx>
          <c:spPr>
            <a:solidFill>
              <a:schemeClr val="accent6">
                <a:lumMod val="75000"/>
              </a:schemeClr>
            </a:solidFill>
          </c:spPr>
          <c:invertIfNegative val="0"/>
          <c:cat>
            <c:numLit>
              <c:formatCode>General</c:formatCode>
              <c:ptCount val="1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numLit>
          </c:cat>
          <c:val>
            <c:numRef>
              <c:f>'T02'!$B$7:$O$7</c:f>
              <c:numCache>
                <c:formatCode>0</c:formatCode>
                <c:ptCount val="14"/>
                <c:pt idx="0">
                  <c:v>2751.3820000000001</c:v>
                </c:pt>
                <c:pt idx="1">
                  <c:v>3322.9839999999999</c:v>
                </c:pt>
                <c:pt idx="2">
                  <c:v>2777.5949999999998</c:v>
                </c:pt>
                <c:pt idx="3">
                  <c:v>3060.5279999999998</c:v>
                </c:pt>
                <c:pt idx="4">
                  <c:v>3337.2739999999999</c:v>
                </c:pt>
                <c:pt idx="5">
                  <c:v>3628.337</c:v>
                </c:pt>
                <c:pt idx="6">
                  <c:v>3740.1790000000001</c:v>
                </c:pt>
                <c:pt idx="7">
                  <c:v>851.04499999999996</c:v>
                </c:pt>
                <c:pt idx="8">
                  <c:v>828.46199999999999</c:v>
                </c:pt>
                <c:pt idx="9">
                  <c:v>856.33199999999999</c:v>
                </c:pt>
                <c:pt idx="10">
                  <c:v>987.03300000000002</c:v>
                </c:pt>
                <c:pt idx="11">
                  <c:v>956.36800000000005</c:v>
                </c:pt>
                <c:pt idx="12">
                  <c:v>1008.229</c:v>
                </c:pt>
                <c:pt idx="13">
                  <c:v>997.72799999999995</c:v>
                </c:pt>
              </c:numCache>
            </c:numRef>
          </c:val>
        </c:ser>
        <c:ser>
          <c:idx val="1"/>
          <c:order val="1"/>
          <c:tx>
            <c:v>Strani turisti</c:v>
          </c:tx>
          <c:spPr>
            <a:solidFill>
              <a:schemeClr val="accent6"/>
            </a:solidFill>
          </c:spPr>
          <c:invertIfNegative val="0"/>
          <c:cat>
            <c:numLit>
              <c:formatCode>General</c:formatCode>
              <c:ptCount val="1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numLit>
          </c:cat>
          <c:val>
            <c:numRef>
              <c:f>'T02'!$B$8:$O$8</c:f>
              <c:numCache>
                <c:formatCode>0</c:formatCode>
                <c:ptCount val="14"/>
                <c:pt idx="0">
                  <c:v>434.35899999999998</c:v>
                </c:pt>
                <c:pt idx="1">
                  <c:v>688.42899999999997</c:v>
                </c:pt>
                <c:pt idx="2">
                  <c:v>911.90899999999999</c:v>
                </c:pt>
                <c:pt idx="3">
                  <c:v>915.73800000000006</c:v>
                </c:pt>
                <c:pt idx="4">
                  <c:v>1223.847</c:v>
                </c:pt>
                <c:pt idx="5">
                  <c:v>1583.51</c:v>
                </c:pt>
                <c:pt idx="6">
                  <c:v>2196.0909999999999</c:v>
                </c:pt>
                <c:pt idx="7">
                  <c:v>6443.4849999999997</c:v>
                </c:pt>
                <c:pt idx="8">
                  <c:v>6966.2790000000005</c:v>
                </c:pt>
                <c:pt idx="9">
                  <c:v>6694.5140000000001</c:v>
                </c:pt>
                <c:pt idx="10">
                  <c:v>6977.86</c:v>
                </c:pt>
                <c:pt idx="11">
                  <c:v>7818.8029999999999</c:v>
                </c:pt>
                <c:pt idx="12">
                  <c:v>8143.0069999999996</c:v>
                </c:pt>
                <c:pt idx="13">
                  <c:v>8414.2150000000001</c:v>
                </c:pt>
              </c:numCache>
            </c:numRef>
          </c:val>
        </c:ser>
        <c:dLbls>
          <c:showLegendKey val="0"/>
          <c:showVal val="0"/>
          <c:showCatName val="0"/>
          <c:showSerName val="0"/>
          <c:showPercent val="0"/>
          <c:showBubbleSize val="0"/>
        </c:dLbls>
        <c:gapWidth val="150"/>
        <c:axId val="342807296"/>
        <c:axId val="342808832"/>
      </c:barChart>
      <c:catAx>
        <c:axId val="342807296"/>
        <c:scaling>
          <c:orientation val="minMax"/>
        </c:scaling>
        <c:delete val="0"/>
        <c:axPos val="b"/>
        <c:numFmt formatCode="General" sourceLinked="1"/>
        <c:majorTickMark val="out"/>
        <c:minorTickMark val="none"/>
        <c:tickLblPos val="nextTo"/>
        <c:txPr>
          <a:bodyPr rot="-3720000"/>
          <a:lstStyle/>
          <a:p>
            <a:pPr>
              <a:defRPr sz="800"/>
            </a:pPr>
            <a:endParaRPr lang="en-US"/>
          </a:p>
        </c:txPr>
        <c:crossAx val="342808832"/>
        <c:crosses val="autoZero"/>
        <c:auto val="1"/>
        <c:lblAlgn val="ctr"/>
        <c:lblOffset val="100"/>
        <c:noMultiLvlLbl val="0"/>
      </c:catAx>
      <c:valAx>
        <c:axId val="342808832"/>
        <c:scaling>
          <c:orientation val="minMax"/>
        </c:scaling>
        <c:delete val="0"/>
        <c:axPos val="l"/>
        <c:majorGridlines/>
        <c:numFmt formatCode="0" sourceLinked="1"/>
        <c:majorTickMark val="out"/>
        <c:minorTickMark val="none"/>
        <c:tickLblPos val="nextTo"/>
        <c:txPr>
          <a:bodyPr/>
          <a:lstStyle/>
          <a:p>
            <a:pPr>
              <a:defRPr sz="900"/>
            </a:pPr>
            <a:endParaRPr lang="en-US"/>
          </a:p>
        </c:txPr>
        <c:crossAx val="342807296"/>
        <c:crosses val="autoZero"/>
        <c:crossBetween val="between"/>
      </c:valAx>
    </c:plotArea>
    <c:legend>
      <c:legendPos val="r"/>
      <c:layout>
        <c:manualLayout>
          <c:xMode val="edge"/>
          <c:yMode val="edge"/>
          <c:x val="0.1891256926217556"/>
          <c:y val="7.3690213183783673E-2"/>
          <c:w val="0.36144164906215992"/>
          <c:h val="0.16627995241601995"/>
        </c:manualLayout>
      </c:layout>
      <c:overlay val="0"/>
      <c:txPr>
        <a:bodyPr/>
        <a:lstStyle/>
        <a:p>
          <a:pPr>
            <a:defRPr sz="1050"/>
          </a:pPr>
          <a:endParaRPr lang="en-US"/>
        </a:p>
      </c:txPr>
    </c:legend>
    <c:plotVisOnly val="1"/>
    <c:dispBlanksAs val="gap"/>
    <c:showDLblsOverMax val="0"/>
  </c:chart>
  <c:externalData r:id="rId1">
    <c:autoUpdate val="0"/>
  </c:externalData>
  <c:userShapes r:id="rId2"/>
</c:chartSpace>
</file>

<file path=word/charts/chart13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726543215041797"/>
          <c:y val="3.1444319460067489E-2"/>
          <c:w val="0.68572041239943049"/>
          <c:h val="0.77554765411854298"/>
        </c:manualLayout>
      </c:layout>
      <c:lineChart>
        <c:grouping val="stacked"/>
        <c:varyColors val="0"/>
        <c:ser>
          <c:idx val="0"/>
          <c:order val="0"/>
          <c:tx>
            <c:v>po km2</c:v>
          </c:tx>
          <c:spPr>
            <a:ln>
              <a:solidFill>
                <a:schemeClr val="tx2">
                  <a:lumMod val="60000"/>
                  <a:lumOff val="40000"/>
                </a:schemeClr>
              </a:solidFill>
            </a:ln>
          </c:spPr>
          <c:marker>
            <c:symbol val="none"/>
          </c:marker>
          <c:cat>
            <c:numLit>
              <c:formatCode>General</c:formatCode>
              <c:ptCount val="1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numLit>
          </c:cat>
          <c:val>
            <c:numRef>
              <c:f>'T02'!$B$14:$O$14</c:f>
              <c:numCache>
                <c:formatCode>0</c:formatCode>
                <c:ptCount val="14"/>
                <c:pt idx="0">
                  <c:v>230.65023168259486</c:v>
                </c:pt>
                <c:pt idx="1">
                  <c:v>290.42955401100488</c:v>
                </c:pt>
                <c:pt idx="2">
                  <c:v>267.12308137851142</c:v>
                </c:pt>
                <c:pt idx="3">
                  <c:v>287.88488271068633</c:v>
                </c:pt>
                <c:pt idx="4">
                  <c:v>330.22885896322043</c:v>
                </c:pt>
                <c:pt idx="5">
                  <c:v>377.3419490298291</c:v>
                </c:pt>
                <c:pt idx="6">
                  <c:v>429.79076165653055</c:v>
                </c:pt>
                <c:pt idx="7">
                  <c:v>528.12988705473492</c:v>
                </c:pt>
                <c:pt idx="8">
                  <c:v>564.34556907037359</c:v>
                </c:pt>
                <c:pt idx="9">
                  <c:v>546.68737329858095</c:v>
                </c:pt>
                <c:pt idx="10">
                  <c:v>576.66471184477268</c:v>
                </c:pt>
                <c:pt idx="11">
                  <c:v>635.32949609035632</c:v>
                </c:pt>
                <c:pt idx="12">
                  <c:v>662.55690703735866</c:v>
                </c:pt>
                <c:pt idx="13">
                  <c:v>681.43230524181865</c:v>
                </c:pt>
              </c:numCache>
            </c:numRef>
          </c:val>
          <c:smooth val="0"/>
        </c:ser>
        <c:dLbls>
          <c:showLegendKey val="0"/>
          <c:showVal val="0"/>
          <c:showCatName val="0"/>
          <c:showSerName val="0"/>
          <c:showPercent val="0"/>
          <c:showBubbleSize val="0"/>
        </c:dLbls>
        <c:marker val="1"/>
        <c:smooth val="0"/>
        <c:axId val="342835968"/>
        <c:axId val="342837504"/>
      </c:lineChart>
      <c:lineChart>
        <c:grouping val="stacked"/>
        <c:varyColors val="0"/>
        <c:ser>
          <c:idx val="1"/>
          <c:order val="1"/>
          <c:tx>
            <c:v>Po stanovniku</c:v>
          </c:tx>
          <c:spPr>
            <a:ln>
              <a:solidFill>
                <a:schemeClr val="accent6"/>
              </a:solidFill>
            </a:ln>
          </c:spPr>
          <c:marker>
            <c:symbol val="none"/>
          </c:marker>
          <c:cat>
            <c:numLit>
              <c:formatCode>General</c:formatCode>
              <c:ptCount val="1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numLit>
          </c:cat>
          <c:val>
            <c:numRef>
              <c:f>'T02'!$B$15:$O$15</c:f>
              <c:numCache>
                <c:formatCode>0.0</c:formatCode>
                <c:ptCount val="14"/>
                <c:pt idx="0" formatCode="0">
                  <c:v>5.2054591503267975</c:v>
                </c:pt>
                <c:pt idx="1">
                  <c:v>6.5248401489286598</c:v>
                </c:pt>
                <c:pt idx="2">
                  <c:v>5.9789234870398724</c:v>
                </c:pt>
                <c:pt idx="3">
                  <c:v>6.4104578914615695</c:v>
                </c:pt>
                <c:pt idx="4">
                  <c:v>7.3316010788949999</c:v>
                </c:pt>
                <c:pt idx="5">
                  <c:v>8.3620075825034448</c:v>
                </c:pt>
                <c:pt idx="6">
                  <c:v>9.5095956683326932</c:v>
                </c:pt>
                <c:pt idx="7">
                  <c:v>11.64910538049276</c:v>
                </c:pt>
                <c:pt idx="8">
                  <c:v>12.396137747215349</c:v>
                </c:pt>
                <c:pt idx="9">
                  <c:v>11.956319196372021</c:v>
                </c:pt>
                <c:pt idx="10">
                  <c:v>12.872408716184221</c:v>
                </c:pt>
                <c:pt idx="11">
                  <c:v>14.152839625243336</c:v>
                </c:pt>
                <c:pt idx="12">
                  <c:v>14.759867614611421</c:v>
                </c:pt>
                <c:pt idx="13">
                  <c:v>15.180357350227737</c:v>
                </c:pt>
              </c:numCache>
            </c:numRef>
          </c:val>
          <c:smooth val="0"/>
        </c:ser>
        <c:dLbls>
          <c:showLegendKey val="0"/>
          <c:showVal val="0"/>
          <c:showCatName val="0"/>
          <c:showSerName val="0"/>
          <c:showPercent val="0"/>
          <c:showBubbleSize val="0"/>
        </c:dLbls>
        <c:marker val="1"/>
        <c:smooth val="0"/>
        <c:axId val="342851584"/>
        <c:axId val="342853120"/>
      </c:lineChart>
      <c:catAx>
        <c:axId val="342835968"/>
        <c:scaling>
          <c:orientation val="minMax"/>
        </c:scaling>
        <c:delete val="0"/>
        <c:axPos val="b"/>
        <c:numFmt formatCode="General" sourceLinked="1"/>
        <c:majorTickMark val="out"/>
        <c:minorTickMark val="none"/>
        <c:tickLblPos val="nextTo"/>
        <c:txPr>
          <a:bodyPr rot="-4020000"/>
          <a:lstStyle/>
          <a:p>
            <a:pPr>
              <a:defRPr sz="800"/>
            </a:pPr>
            <a:endParaRPr lang="en-US"/>
          </a:p>
        </c:txPr>
        <c:crossAx val="342837504"/>
        <c:crosses val="autoZero"/>
        <c:auto val="1"/>
        <c:lblAlgn val="ctr"/>
        <c:lblOffset val="100"/>
        <c:noMultiLvlLbl val="0"/>
      </c:catAx>
      <c:valAx>
        <c:axId val="342837504"/>
        <c:scaling>
          <c:orientation val="minMax"/>
        </c:scaling>
        <c:delete val="0"/>
        <c:axPos val="l"/>
        <c:majorGridlines/>
        <c:numFmt formatCode="0" sourceLinked="1"/>
        <c:majorTickMark val="out"/>
        <c:minorTickMark val="none"/>
        <c:tickLblPos val="nextTo"/>
        <c:txPr>
          <a:bodyPr/>
          <a:lstStyle/>
          <a:p>
            <a:pPr>
              <a:defRPr sz="900"/>
            </a:pPr>
            <a:endParaRPr lang="en-US"/>
          </a:p>
        </c:txPr>
        <c:crossAx val="342835968"/>
        <c:crosses val="autoZero"/>
        <c:crossBetween val="between"/>
      </c:valAx>
      <c:catAx>
        <c:axId val="342851584"/>
        <c:scaling>
          <c:orientation val="minMax"/>
        </c:scaling>
        <c:delete val="1"/>
        <c:axPos val="b"/>
        <c:numFmt formatCode="General" sourceLinked="1"/>
        <c:majorTickMark val="out"/>
        <c:minorTickMark val="none"/>
        <c:tickLblPos val="nextTo"/>
        <c:crossAx val="342853120"/>
        <c:crosses val="autoZero"/>
        <c:auto val="1"/>
        <c:lblAlgn val="ctr"/>
        <c:lblOffset val="100"/>
        <c:noMultiLvlLbl val="0"/>
      </c:catAx>
      <c:valAx>
        <c:axId val="342853120"/>
        <c:scaling>
          <c:orientation val="minMax"/>
          <c:max val="16"/>
          <c:min val="1.8"/>
        </c:scaling>
        <c:delete val="0"/>
        <c:axPos val="r"/>
        <c:numFmt formatCode="0" sourceLinked="1"/>
        <c:majorTickMark val="out"/>
        <c:minorTickMark val="none"/>
        <c:tickLblPos val="nextTo"/>
        <c:txPr>
          <a:bodyPr/>
          <a:lstStyle/>
          <a:p>
            <a:pPr>
              <a:defRPr sz="900"/>
            </a:pPr>
            <a:endParaRPr lang="en-US"/>
          </a:p>
        </c:txPr>
        <c:crossAx val="342851584"/>
        <c:crosses val="max"/>
        <c:crossBetween val="between"/>
        <c:majorUnit val="2"/>
        <c:minorUnit val="1"/>
      </c:valAx>
    </c:plotArea>
    <c:legend>
      <c:legendPos val="r"/>
      <c:layout>
        <c:manualLayout>
          <c:xMode val="edge"/>
          <c:yMode val="edge"/>
          <c:x val="0.15329387966631561"/>
          <c:y val="6.0191795091761389E-2"/>
          <c:w val="0.40542897068790951"/>
          <c:h val="0.17926067353986225"/>
        </c:manualLayout>
      </c:layout>
      <c:overlay val="0"/>
      <c:txPr>
        <a:bodyPr/>
        <a:lstStyle/>
        <a:p>
          <a:pPr>
            <a:defRPr sz="1050"/>
          </a:pPr>
          <a:endParaRPr lang="en-US"/>
        </a:p>
      </c:txPr>
    </c:legend>
    <c:plotVisOnly val="1"/>
    <c:dispBlanksAs val="zero"/>
    <c:showDLblsOverMax val="0"/>
  </c:chart>
  <c:externalData r:id="rId1">
    <c:autoUpdate val="0"/>
  </c:externalData>
  <c:userShapes r:id="rId2"/>
</c:chartSpace>
</file>

<file path=word/charts/chart13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1.5716511734001647E-2"/>
          <c:y val="3.9967592475377879E-2"/>
          <c:w val="0.96321501573025714"/>
          <c:h val="0.96003240752462216"/>
        </c:manualLayout>
      </c:layout>
      <c:pie3DChart>
        <c:varyColors val="1"/>
        <c:ser>
          <c:idx val="0"/>
          <c:order val="0"/>
          <c:explosion val="25"/>
          <c:dPt>
            <c:idx val="0"/>
            <c:bubble3D val="0"/>
            <c:spPr>
              <a:solidFill>
                <a:srgbClr val="0000FF"/>
              </a:solidFill>
              <a:ln>
                <a:solidFill>
                  <a:schemeClr val="accent6"/>
                </a:solidFill>
              </a:ln>
            </c:spPr>
          </c:dPt>
          <c:dPt>
            <c:idx val="1"/>
            <c:bubble3D val="0"/>
            <c:spPr>
              <a:solidFill>
                <a:schemeClr val="accent4">
                  <a:lumMod val="40000"/>
                  <a:lumOff val="60000"/>
                </a:schemeClr>
              </a:solidFill>
            </c:spPr>
          </c:dPt>
          <c:dPt>
            <c:idx val="2"/>
            <c:bubble3D val="0"/>
            <c:spPr>
              <a:solidFill>
                <a:schemeClr val="accent3"/>
              </a:solidFill>
            </c:spPr>
          </c:dPt>
          <c:dPt>
            <c:idx val="3"/>
            <c:bubble3D val="0"/>
            <c:spPr>
              <a:solidFill>
                <a:srgbClr val="FF00FF"/>
              </a:solidFill>
            </c:spPr>
          </c:dPt>
          <c:dPt>
            <c:idx val="4"/>
            <c:bubble3D val="0"/>
          </c:dPt>
          <c:dLbls>
            <c:dLbl>
              <c:idx val="0"/>
              <c:layout>
                <c:manualLayout>
                  <c:x val="7.9653735943557513E-2"/>
                  <c:y val="-7.2168169311162388E-3"/>
                </c:manualLayout>
              </c:layout>
              <c:spPr/>
              <c:txPr>
                <a:bodyPr/>
                <a:lstStyle/>
                <a:p>
                  <a:pPr>
                    <a:defRPr/>
                  </a:pPr>
                  <a:endParaRPr lang="en-US"/>
                </a:p>
              </c:txPr>
              <c:dLblPos val="bestFit"/>
              <c:showLegendKey val="0"/>
              <c:showVal val="0"/>
              <c:showCatName val="0"/>
              <c:showSerName val="0"/>
              <c:showPercent val="1"/>
              <c:showBubbleSize val="0"/>
            </c:dLbl>
            <c:dLbl>
              <c:idx val="2"/>
              <c:layout>
                <c:manualLayout>
                  <c:x val="-0.10025355775482193"/>
                  <c:y val="-2.1014820277374693E-2"/>
                </c:manualLayout>
              </c:layout>
              <c:spPr/>
              <c:txPr>
                <a:bodyPr/>
                <a:lstStyle/>
                <a:p>
                  <a:pPr>
                    <a:defRPr/>
                  </a:pPr>
                  <a:endParaRPr lang="en-US"/>
                </a:p>
              </c:txPr>
              <c:dLblPos val="bestFit"/>
              <c:showLegendKey val="0"/>
              <c:showVal val="0"/>
              <c:showCatName val="0"/>
              <c:showSerName val="0"/>
              <c:showPercent val="1"/>
              <c:showBubbleSize val="0"/>
            </c:dLbl>
            <c:dLbl>
              <c:idx val="3"/>
              <c:layout>
                <c:manualLayout>
                  <c:x val="-5.1562040983409184E-2"/>
                  <c:y val="-3.6571591693032326E-2"/>
                </c:manualLayout>
              </c:layout>
              <c:spPr/>
              <c:txPr>
                <a:bodyPr/>
                <a:lstStyle/>
                <a:p>
                  <a:pPr>
                    <a:defRPr/>
                  </a:pPr>
                  <a:endParaRPr lang="en-US"/>
                </a:p>
              </c:txPr>
              <c:dLblPos val="bestFit"/>
              <c:showLegendKey val="0"/>
              <c:showVal val="0"/>
              <c:showCatName val="0"/>
              <c:showSerName val="0"/>
              <c:showPercent val="1"/>
              <c:showBubbleSize val="0"/>
            </c:dLbl>
            <c:dLbl>
              <c:idx val="4"/>
              <c:layout>
                <c:manualLayout>
                  <c:x val="3.237015097883407E-2"/>
                  <c:y val="-4.5876410463797763E-2"/>
                </c:manualLayout>
              </c:layout>
              <c:spPr/>
              <c:txPr>
                <a:bodyPr/>
                <a:lstStyle/>
                <a:p>
                  <a:pPr>
                    <a:defRPr/>
                  </a:pPr>
                  <a:endParaRPr lang="en-US"/>
                </a:p>
              </c:txPr>
              <c:dLblPos val="bestFit"/>
              <c:showLegendKey val="0"/>
              <c:showVal val="0"/>
              <c:showCatName val="0"/>
              <c:showSerName val="0"/>
              <c:showPercent val="1"/>
              <c:showBubbleSize val="0"/>
            </c:dLbl>
            <c:showLegendKey val="0"/>
            <c:showVal val="0"/>
            <c:showCatName val="0"/>
            <c:showSerName val="0"/>
            <c:showPercent val="1"/>
            <c:showBubbleSize val="0"/>
            <c:showLeaderLines val="1"/>
          </c:dLbls>
          <c:cat>
            <c:strLit>
              <c:ptCount val="5"/>
              <c:pt idx="0">
                <c:v>Glavni grad</c:v>
              </c:pt>
              <c:pt idx="1">
                <c:v>Primorska mjesta</c:v>
              </c:pt>
              <c:pt idx="2">
                <c:v>Planinska mjesta</c:v>
              </c:pt>
              <c:pt idx="3">
                <c:v>Ostala tur.mjesta</c:v>
              </c:pt>
              <c:pt idx="4">
                <c:v>Ostala mjesta</c:v>
              </c:pt>
            </c:strLit>
          </c:cat>
          <c:val>
            <c:numRef>
              <c:f>'T02'!$O$95:$O$99</c:f>
              <c:numCache>
                <c:formatCode>0</c:formatCode>
                <c:ptCount val="5"/>
                <c:pt idx="0">
                  <c:v>105.733</c:v>
                </c:pt>
                <c:pt idx="1">
                  <c:v>9128.8089999999993</c:v>
                </c:pt>
                <c:pt idx="2">
                  <c:v>107.548</c:v>
                </c:pt>
                <c:pt idx="3">
                  <c:v>54.741</c:v>
                </c:pt>
                <c:pt idx="4">
                  <c:v>2.9180000000000001</c:v>
                </c:pt>
              </c:numCache>
            </c:numRef>
          </c:val>
        </c:ser>
        <c:dLbls>
          <c:showLegendKey val="0"/>
          <c:showVal val="0"/>
          <c:showCatName val="0"/>
          <c:showSerName val="0"/>
          <c:showPercent val="0"/>
          <c:showBubbleSize val="0"/>
          <c:showLeaderLines val="1"/>
        </c:dLbls>
      </c:pie3DChart>
    </c:plotArea>
    <c:legend>
      <c:legendPos val="t"/>
      <c:layout>
        <c:manualLayout>
          <c:xMode val="edge"/>
          <c:yMode val="edge"/>
          <c:x val="0"/>
          <c:y val="2.4724240659628168E-3"/>
          <c:w val="0.29481025932706489"/>
          <c:h val="0.29539998818475666"/>
        </c:manualLayout>
      </c:layout>
      <c:overlay val="0"/>
      <c:txPr>
        <a:bodyPr/>
        <a:lstStyle/>
        <a:p>
          <a:pPr>
            <a:defRPr sz="1050"/>
          </a:pPr>
          <a:endParaRPr lang="en-US"/>
        </a:p>
      </c:txPr>
    </c:legend>
    <c:plotVisOnly val="1"/>
    <c:dispBlanksAs val="gap"/>
    <c:showDLblsOverMax val="0"/>
  </c:chart>
  <c:externalData r:id="rId1">
    <c:autoUpdate val="0"/>
  </c:externalData>
</c:chartSpace>
</file>

<file path=word/charts/chart13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6"/>
    </mc:Choice>
    <mc:Fallback>
      <c:style val="36"/>
    </mc:Fallback>
  </mc:AlternateContent>
  <c:chart>
    <c:autoTitleDeleted val="1"/>
    <c:plotArea>
      <c:layout/>
      <c:barChart>
        <c:barDir val="bar"/>
        <c:grouping val="clustered"/>
        <c:varyColors val="0"/>
        <c:ser>
          <c:idx val="0"/>
          <c:order val="0"/>
          <c:invertIfNegative val="0"/>
          <c:dLbls>
            <c:dLbl>
              <c:idx val="0"/>
              <c:tx>
                <c:rich>
                  <a:bodyPr/>
                  <a:lstStyle/>
                  <a:p>
                    <a:r>
                      <a:rPr lang="en-US"/>
                      <a:t>25</a:t>
                    </a:r>
                    <a:r>
                      <a:rPr lang="sr-Latn-ME"/>
                      <a:t>,</a:t>
                    </a:r>
                    <a:r>
                      <a:rPr lang="en-US"/>
                      <a:t>9</a:t>
                    </a:r>
                    <a:r>
                      <a:rPr lang="sr-Latn-ME"/>
                      <a:t> %</a:t>
                    </a:r>
                    <a:endParaRPr lang="en-US"/>
                  </a:p>
                </c:rich>
              </c:tx>
              <c:showLegendKey val="0"/>
              <c:showVal val="1"/>
              <c:showCatName val="0"/>
              <c:showSerName val="0"/>
              <c:showPercent val="0"/>
              <c:showBubbleSize val="0"/>
            </c:dLbl>
            <c:dLbl>
              <c:idx val="1"/>
              <c:tx>
                <c:rich>
                  <a:bodyPr/>
                  <a:lstStyle/>
                  <a:p>
                    <a:r>
                      <a:rPr lang="en-US"/>
                      <a:t>0,6</a:t>
                    </a:r>
                    <a:r>
                      <a:rPr lang="sr-Latn-ME"/>
                      <a:t> %</a:t>
                    </a:r>
                    <a:endParaRPr lang="en-US"/>
                  </a:p>
                </c:rich>
              </c:tx>
              <c:showLegendKey val="0"/>
              <c:showVal val="1"/>
              <c:showCatName val="0"/>
              <c:showSerName val="0"/>
              <c:showPercent val="0"/>
              <c:showBubbleSize val="0"/>
            </c:dLbl>
            <c:dLbl>
              <c:idx val="2"/>
              <c:tx>
                <c:rich>
                  <a:bodyPr/>
                  <a:lstStyle/>
                  <a:p>
                    <a:r>
                      <a:rPr lang="en-US"/>
                      <a:t>0,6</a:t>
                    </a:r>
                    <a:r>
                      <a:rPr lang="sr-Latn-ME"/>
                      <a:t> %</a:t>
                    </a:r>
                    <a:endParaRPr lang="en-US"/>
                  </a:p>
                </c:rich>
              </c:tx>
              <c:showLegendKey val="0"/>
              <c:showVal val="1"/>
              <c:showCatName val="0"/>
              <c:showSerName val="0"/>
              <c:showPercent val="0"/>
              <c:showBubbleSize val="0"/>
            </c:dLbl>
            <c:dLbl>
              <c:idx val="3"/>
              <c:tx>
                <c:rich>
                  <a:bodyPr/>
                  <a:lstStyle/>
                  <a:p>
                    <a:r>
                      <a:rPr lang="en-US"/>
                      <a:t>0,0</a:t>
                    </a:r>
                    <a:r>
                      <a:rPr lang="sr-Latn-ME"/>
                      <a:t> %</a:t>
                    </a:r>
                    <a:endParaRPr lang="en-US"/>
                  </a:p>
                </c:rich>
              </c:tx>
              <c:showLegendKey val="0"/>
              <c:showVal val="1"/>
              <c:showCatName val="0"/>
              <c:showSerName val="0"/>
              <c:showPercent val="0"/>
              <c:showBubbleSize val="0"/>
            </c:dLbl>
            <c:dLbl>
              <c:idx val="4"/>
              <c:tx>
                <c:rich>
                  <a:bodyPr/>
                  <a:lstStyle/>
                  <a:p>
                    <a:r>
                      <a:rPr lang="en-US"/>
                      <a:t>4,8</a:t>
                    </a:r>
                    <a:r>
                      <a:rPr lang="sr-Latn-ME"/>
                      <a:t> %</a:t>
                    </a:r>
                    <a:endParaRPr lang="en-US"/>
                  </a:p>
                </c:rich>
              </c:tx>
              <c:showLegendKey val="0"/>
              <c:showVal val="1"/>
              <c:showCatName val="0"/>
              <c:showSerName val="0"/>
              <c:showPercent val="0"/>
              <c:showBubbleSize val="0"/>
            </c:dLbl>
            <c:dLbl>
              <c:idx val="5"/>
              <c:tx>
                <c:rich>
                  <a:bodyPr/>
                  <a:lstStyle/>
                  <a:p>
                    <a:r>
                      <a:rPr lang="en-US"/>
                      <a:t>0,0</a:t>
                    </a:r>
                    <a:r>
                      <a:rPr lang="sr-Latn-ME"/>
                      <a:t> %</a:t>
                    </a:r>
                    <a:endParaRPr lang="en-US"/>
                  </a:p>
                </c:rich>
              </c:tx>
              <c:showLegendKey val="0"/>
              <c:showVal val="1"/>
              <c:showCatName val="0"/>
              <c:showSerName val="0"/>
              <c:showPercent val="0"/>
              <c:showBubbleSize val="0"/>
            </c:dLbl>
            <c:dLbl>
              <c:idx val="6"/>
              <c:tx>
                <c:rich>
                  <a:bodyPr/>
                  <a:lstStyle/>
                  <a:p>
                    <a:r>
                      <a:rPr lang="en-US"/>
                      <a:t>0,1</a:t>
                    </a:r>
                    <a:r>
                      <a:rPr lang="sr-Latn-ME"/>
                      <a:t> %</a:t>
                    </a:r>
                    <a:endParaRPr lang="en-US"/>
                  </a:p>
                </c:rich>
              </c:tx>
              <c:showLegendKey val="0"/>
              <c:showVal val="1"/>
              <c:showCatName val="0"/>
              <c:showSerName val="0"/>
              <c:showPercent val="0"/>
              <c:showBubbleSize val="0"/>
            </c:dLbl>
            <c:dLbl>
              <c:idx val="7"/>
              <c:tx>
                <c:rich>
                  <a:bodyPr/>
                  <a:lstStyle/>
                  <a:p>
                    <a:r>
                      <a:rPr lang="en-US"/>
                      <a:t>2,1</a:t>
                    </a:r>
                    <a:r>
                      <a:rPr lang="sr-Latn-ME"/>
                      <a:t> %</a:t>
                    </a:r>
                    <a:endParaRPr lang="en-US"/>
                  </a:p>
                </c:rich>
              </c:tx>
              <c:showLegendKey val="0"/>
              <c:showVal val="1"/>
              <c:showCatName val="0"/>
              <c:showSerName val="0"/>
              <c:showPercent val="0"/>
              <c:showBubbleSize val="0"/>
            </c:dLbl>
            <c:dLbl>
              <c:idx val="8"/>
              <c:tx>
                <c:rich>
                  <a:bodyPr/>
                  <a:lstStyle/>
                  <a:p>
                    <a:r>
                      <a:rPr lang="en-US"/>
                      <a:t>1,6</a:t>
                    </a:r>
                    <a:r>
                      <a:rPr lang="sr-Latn-ME"/>
                      <a:t> %</a:t>
                    </a:r>
                    <a:endParaRPr lang="en-US"/>
                  </a:p>
                </c:rich>
              </c:tx>
              <c:showLegendKey val="0"/>
              <c:showVal val="1"/>
              <c:showCatName val="0"/>
              <c:showSerName val="0"/>
              <c:showPercent val="0"/>
              <c:showBubbleSize val="0"/>
            </c:dLbl>
            <c:dLbl>
              <c:idx val="9"/>
              <c:tx>
                <c:rich>
                  <a:bodyPr/>
                  <a:lstStyle/>
                  <a:p>
                    <a:r>
                      <a:rPr lang="en-US"/>
                      <a:t>0,2</a:t>
                    </a:r>
                    <a:r>
                      <a:rPr lang="sr-Latn-ME"/>
                      <a:t> %</a:t>
                    </a:r>
                    <a:endParaRPr lang="en-US"/>
                  </a:p>
                </c:rich>
              </c:tx>
              <c:showLegendKey val="0"/>
              <c:showVal val="1"/>
              <c:showCatName val="0"/>
              <c:showSerName val="0"/>
              <c:showPercent val="0"/>
              <c:showBubbleSize val="0"/>
            </c:dLbl>
            <c:dLbl>
              <c:idx val="10"/>
              <c:tx>
                <c:rich>
                  <a:bodyPr/>
                  <a:lstStyle/>
                  <a:p>
                    <a:r>
                      <a:rPr lang="en-US"/>
                      <a:t>39,3</a:t>
                    </a:r>
                    <a:r>
                      <a:rPr lang="sr-Latn-ME"/>
                      <a:t> %</a:t>
                    </a:r>
                    <a:endParaRPr lang="en-US"/>
                  </a:p>
                </c:rich>
              </c:tx>
              <c:showLegendKey val="0"/>
              <c:showVal val="1"/>
              <c:showCatName val="0"/>
              <c:showSerName val="0"/>
              <c:showPercent val="0"/>
              <c:showBubbleSize val="0"/>
            </c:dLbl>
            <c:dLbl>
              <c:idx val="11"/>
              <c:tx>
                <c:rich>
                  <a:bodyPr/>
                  <a:lstStyle/>
                  <a:p>
                    <a:r>
                      <a:rPr lang="en-US"/>
                      <a:t>0,7</a:t>
                    </a:r>
                    <a:r>
                      <a:rPr lang="sr-Latn-ME"/>
                      <a:t> %</a:t>
                    </a:r>
                    <a:endParaRPr lang="en-US"/>
                  </a:p>
                </c:rich>
              </c:tx>
              <c:showLegendKey val="0"/>
              <c:showVal val="1"/>
              <c:showCatName val="0"/>
              <c:showSerName val="0"/>
              <c:showPercent val="0"/>
              <c:showBubbleSize val="0"/>
            </c:dLbl>
            <c:dLbl>
              <c:idx val="12"/>
              <c:tx>
                <c:rich>
                  <a:bodyPr/>
                  <a:lstStyle/>
                  <a:p>
                    <a:r>
                      <a:rPr lang="en-US"/>
                      <a:t>23,9</a:t>
                    </a:r>
                    <a:r>
                      <a:rPr lang="sr-Latn-ME"/>
                      <a:t> %</a:t>
                    </a:r>
                    <a:endParaRPr lang="en-US"/>
                  </a:p>
                </c:rich>
              </c:tx>
              <c:showLegendKey val="0"/>
              <c:showVal val="1"/>
              <c:showCatName val="0"/>
              <c:showSerName val="0"/>
              <c:showPercent val="0"/>
              <c:showBubbleSize val="0"/>
            </c:dLbl>
            <c:showLegendKey val="0"/>
            <c:showVal val="1"/>
            <c:showCatName val="0"/>
            <c:showSerName val="0"/>
            <c:showPercent val="0"/>
            <c:showBubbleSize val="0"/>
            <c:showLeaderLines val="0"/>
          </c:dLbls>
          <c:cat>
            <c:strLit>
              <c:ptCount val="14"/>
              <c:pt idx="0">
                <c:v>Hoteli</c:v>
              </c:pt>
              <c:pt idx="1">
                <c:v>Apartmani (hoteli)</c:v>
              </c:pt>
              <c:pt idx="2">
                <c:v>Pansioni</c:v>
              </c:pt>
              <c:pt idx="3">
                <c:v>Moteli</c:v>
              </c:pt>
              <c:pt idx="4">
                <c:v>Tur.naselja</c:v>
              </c:pt>
              <c:pt idx="5">
                <c:v>Tur.apartmani</c:v>
              </c:pt>
              <c:pt idx="6">
                <c:v>Prenoćišta</c:v>
              </c:pt>
              <c:pt idx="7">
                <c:v>Gostionice</c:v>
              </c:pt>
              <c:pt idx="8">
                <c:v>Lječilišta</c:v>
              </c:pt>
              <c:pt idx="9">
                <c:v>Odmarališta</c:v>
              </c:pt>
              <c:pt idx="10">
                <c:v>Kampovi</c:v>
              </c:pt>
              <c:pt idx="11">
                <c:v>Privatne sobe</c:v>
              </c:pt>
              <c:pt idx="12">
                <c:v>Apartmani</c:v>
              </c:pt>
            </c:strLit>
          </c:cat>
          <c:val>
            <c:numRef>
              <c:f>('T02'!$P$136:$P$142;'T02'!$P$144;'T02'!$P$147;'T02'!$P$149;'T02'!$P$155;'T02'!$P$156;'T02'!$P$157)</c:f>
              <c:numCache>
                <c:formatCode>0.0</c:formatCode>
                <c:ptCount val="13"/>
                <c:pt idx="0" formatCode="0%">
                  <c:v>25.988349045833619</c:v>
                </c:pt>
                <c:pt idx="1">
                  <c:v>0.62817064252369825</c:v>
                </c:pt>
                <c:pt idx="2">
                  <c:v>0.62596068204055422</c:v>
                </c:pt>
                <c:pt idx="3">
                  <c:v>1.063543482513103E-2</c:v>
                </c:pt>
                <c:pt idx="4">
                  <c:v>4.8424271613493204</c:v>
                </c:pt>
                <c:pt idx="5">
                  <c:v>2.0612131429324877E-2</c:v>
                </c:pt>
                <c:pt idx="6">
                  <c:v>5.8202709262804991E-2</c:v>
                </c:pt>
                <c:pt idx="7">
                  <c:v>2.1081110543392092</c:v>
                </c:pt>
                <c:pt idx="8">
                  <c:v>1.5756699500517053</c:v>
                </c:pt>
                <c:pt idx="9">
                  <c:v>0.23268333933103855</c:v>
                </c:pt>
                <c:pt idx="10">
                  <c:v>39.330432972695398</c:v>
                </c:pt>
                <c:pt idx="11">
                  <c:v>0.6526395799885103</c:v>
                </c:pt>
                <c:pt idx="12">
                  <c:v>23.921281632582804</c:v>
                </c:pt>
              </c:numCache>
            </c:numRef>
          </c:val>
        </c:ser>
        <c:dLbls>
          <c:showLegendKey val="0"/>
          <c:showVal val="1"/>
          <c:showCatName val="0"/>
          <c:showSerName val="0"/>
          <c:showPercent val="0"/>
          <c:showBubbleSize val="0"/>
        </c:dLbls>
        <c:gapWidth val="150"/>
        <c:overlap val="-25"/>
        <c:axId val="342892928"/>
        <c:axId val="342915712"/>
      </c:barChart>
      <c:catAx>
        <c:axId val="342892928"/>
        <c:scaling>
          <c:orientation val="minMax"/>
        </c:scaling>
        <c:delete val="0"/>
        <c:axPos val="l"/>
        <c:numFmt formatCode="General" sourceLinked="1"/>
        <c:majorTickMark val="none"/>
        <c:minorTickMark val="none"/>
        <c:tickLblPos val="nextTo"/>
        <c:crossAx val="342915712"/>
        <c:crosses val="autoZero"/>
        <c:auto val="1"/>
        <c:lblAlgn val="ctr"/>
        <c:lblOffset val="100"/>
        <c:noMultiLvlLbl val="0"/>
      </c:catAx>
      <c:valAx>
        <c:axId val="342915712"/>
        <c:scaling>
          <c:orientation val="minMax"/>
        </c:scaling>
        <c:delete val="1"/>
        <c:axPos val="b"/>
        <c:numFmt formatCode="#,##0.0\ _€" sourceLinked="0"/>
        <c:majorTickMark val="none"/>
        <c:minorTickMark val="none"/>
        <c:tickLblPos val="nextTo"/>
        <c:crossAx val="342892928"/>
        <c:crosses val="autoZero"/>
        <c:crossBetween val="between"/>
      </c:valAx>
    </c:plotArea>
    <c:plotVisOnly val="1"/>
    <c:dispBlanksAs val="gap"/>
    <c:showDLblsOverMax val="0"/>
  </c:chart>
  <c:externalData r:id="rId1">
    <c:autoUpdate val="0"/>
  </c:externalData>
</c:chartSpace>
</file>

<file path=word/charts/chart13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200864912252567"/>
          <c:y val="5.6030183727034118E-2"/>
          <c:w val="0.83929609613462264"/>
          <c:h val="0.78278032954214061"/>
        </c:manualLayout>
      </c:layout>
      <c:lineChart>
        <c:grouping val="standard"/>
        <c:varyColors val="0"/>
        <c:ser>
          <c:idx val="0"/>
          <c:order val="0"/>
          <c:tx>
            <c:v>Domaći turisti</c:v>
          </c:tx>
          <c:marker>
            <c:spPr>
              <a:solidFill>
                <a:schemeClr val="accent2">
                  <a:lumMod val="75000"/>
                </a:schemeClr>
              </a:solidFill>
            </c:spPr>
          </c:marker>
          <c:dLbls>
            <c:dLbl>
              <c:idx val="0"/>
              <c:layout>
                <c:manualLayout>
                  <c:x val="-1.6293279022403233E-2"/>
                  <c:y val="1.7259978425026967E-2"/>
                </c:manualLayout>
              </c:layout>
              <c:showLegendKey val="0"/>
              <c:showVal val="1"/>
              <c:showCatName val="0"/>
              <c:showSerName val="0"/>
              <c:showPercent val="0"/>
              <c:showBubbleSize val="0"/>
            </c:dLbl>
            <c:dLbl>
              <c:idx val="1"/>
              <c:layout>
                <c:manualLayout>
                  <c:x val="-8.1466395112016286E-3"/>
                  <c:y val="2.1574973031283712E-2"/>
                </c:manualLayout>
              </c:layout>
              <c:showLegendKey val="0"/>
              <c:showVal val="1"/>
              <c:showCatName val="0"/>
              <c:showSerName val="0"/>
              <c:showPercent val="0"/>
              <c:showBubbleSize val="0"/>
            </c:dLbl>
            <c:dLbl>
              <c:idx val="2"/>
              <c:layout>
                <c:manualLayout>
                  <c:x val="-8.1466395112016286E-3"/>
                  <c:y val="2.1574973031283712E-2"/>
                </c:manualLayout>
              </c:layout>
              <c:showLegendKey val="0"/>
              <c:showVal val="1"/>
              <c:showCatName val="0"/>
              <c:showSerName val="0"/>
              <c:showPercent val="0"/>
              <c:showBubbleSize val="0"/>
            </c:dLbl>
            <c:dLbl>
              <c:idx val="8"/>
              <c:layout>
                <c:manualLayout>
                  <c:x val="-1.0862186014935505E-2"/>
                  <c:y val="1.2944983818770227E-2"/>
                </c:manualLayout>
              </c:layout>
              <c:showLegendKey val="0"/>
              <c:showVal val="1"/>
              <c:showCatName val="0"/>
              <c:showSerName val="0"/>
              <c:showPercent val="0"/>
              <c:showBubbleSize val="0"/>
            </c:dLbl>
            <c:dLbl>
              <c:idx val="9"/>
              <c:layout>
                <c:manualLayout>
                  <c:x val="-1.3577732518669382E-2"/>
                  <c:y val="1.2944983818770227E-2"/>
                </c:manualLayout>
              </c:layout>
              <c:showLegendKey val="0"/>
              <c:showVal val="1"/>
              <c:showCatName val="0"/>
              <c:showSerName val="0"/>
              <c:showPercent val="0"/>
              <c:showBubbleSize val="0"/>
            </c:dLbl>
            <c:dLbl>
              <c:idx val="10"/>
              <c:layout>
                <c:manualLayout>
                  <c:x val="-8.1466395112016286E-3"/>
                  <c:y val="8.6299892125134836E-3"/>
                </c:manualLayout>
              </c:layout>
              <c:showLegendKey val="0"/>
              <c:showVal val="1"/>
              <c:showCatName val="0"/>
              <c:showSerName val="0"/>
              <c:showPercent val="0"/>
              <c:showBubbleSize val="0"/>
            </c:dLbl>
            <c:dLbl>
              <c:idx val="11"/>
              <c:layout>
                <c:manualLayout>
                  <c:x val="-8.1466395112016286E-3"/>
                  <c:y val="2.1574973031283712E-2"/>
                </c:manualLayout>
              </c:layout>
              <c:showLegendKey val="0"/>
              <c:showVal val="1"/>
              <c:showCatName val="0"/>
              <c:showSerName val="0"/>
              <c:showPercent val="0"/>
              <c:showBubbleSize val="0"/>
            </c:dLbl>
            <c:txPr>
              <a:bodyPr/>
              <a:lstStyle/>
              <a:p>
                <a:pPr>
                  <a:defRPr sz="800" b="1"/>
                </a:pPr>
                <a:endParaRPr lang="en-US"/>
              </a:p>
            </c:txPr>
            <c:showLegendKey val="0"/>
            <c:showVal val="1"/>
            <c:showCatName val="0"/>
            <c:showSerName val="0"/>
            <c:showPercent val="0"/>
            <c:showBubbleSize val="0"/>
            <c:showLeaderLines val="0"/>
          </c:dLbls>
          <c:cat>
            <c:strLit>
              <c:ptCount val="12"/>
              <c:pt idx="0">
                <c:v>I</c:v>
              </c:pt>
              <c:pt idx="1">
                <c:v>II</c:v>
              </c:pt>
              <c:pt idx="2">
                <c:v>III</c:v>
              </c:pt>
              <c:pt idx="3">
                <c:v>IV</c:v>
              </c:pt>
              <c:pt idx="4">
                <c:v>V</c:v>
              </c:pt>
              <c:pt idx="5">
                <c:v>VI</c:v>
              </c:pt>
              <c:pt idx="6">
                <c:v>VII</c:v>
              </c:pt>
              <c:pt idx="7">
                <c:v>VIII</c:v>
              </c:pt>
              <c:pt idx="8">
                <c:v>IX</c:v>
              </c:pt>
              <c:pt idx="9">
                <c:v>X</c:v>
              </c:pt>
              <c:pt idx="10">
                <c:v>XI</c:v>
              </c:pt>
              <c:pt idx="11">
                <c:v>XII</c:v>
              </c:pt>
            </c:strLit>
          </c:cat>
          <c:val>
            <c:numRef>
              <c:f>'T02'!$B$271:$M$271</c:f>
              <c:numCache>
                <c:formatCode>0</c:formatCode>
                <c:ptCount val="12"/>
                <c:pt idx="0">
                  <c:v>14.852</c:v>
                </c:pt>
                <c:pt idx="1">
                  <c:v>14.077999999999999</c:v>
                </c:pt>
                <c:pt idx="2">
                  <c:v>17.88</c:v>
                </c:pt>
                <c:pt idx="3">
                  <c:v>20.983000000000001</c:v>
                </c:pt>
                <c:pt idx="4">
                  <c:v>56.512999999999998</c:v>
                </c:pt>
                <c:pt idx="5">
                  <c:v>94.581999999999994</c:v>
                </c:pt>
                <c:pt idx="6">
                  <c:v>202.273</c:v>
                </c:pt>
                <c:pt idx="7">
                  <c:v>422.69600000000003</c:v>
                </c:pt>
                <c:pt idx="8">
                  <c:v>99.119</c:v>
                </c:pt>
                <c:pt idx="9">
                  <c:v>29.593</c:v>
                </c:pt>
                <c:pt idx="10">
                  <c:v>14.634</c:v>
                </c:pt>
                <c:pt idx="11">
                  <c:v>10.525</c:v>
                </c:pt>
              </c:numCache>
            </c:numRef>
          </c:val>
          <c:smooth val="0"/>
        </c:ser>
        <c:ser>
          <c:idx val="1"/>
          <c:order val="1"/>
          <c:tx>
            <c:v>Strani turisti</c:v>
          </c:tx>
          <c:marker>
            <c:spPr>
              <a:solidFill>
                <a:srgbClr val="92D050"/>
              </a:solidFill>
            </c:spPr>
          </c:marker>
          <c:dLbls>
            <c:dLbl>
              <c:idx val="0"/>
              <c:layout>
                <c:manualLayout>
                  <c:x val="2.4892222060487154E-17"/>
                  <c:y val="-4.3149946062567425E-2"/>
                </c:manualLayout>
              </c:layout>
              <c:showLegendKey val="0"/>
              <c:showVal val="1"/>
              <c:showCatName val="0"/>
              <c:showSerName val="0"/>
              <c:showPercent val="0"/>
              <c:showBubbleSize val="0"/>
            </c:dLbl>
            <c:dLbl>
              <c:idx val="1"/>
              <c:layout>
                <c:manualLayout>
                  <c:x val="0"/>
                  <c:y val="-3.8834951456310676E-2"/>
                </c:manualLayout>
              </c:layout>
              <c:showLegendKey val="0"/>
              <c:showVal val="1"/>
              <c:showCatName val="0"/>
              <c:showSerName val="0"/>
              <c:showPercent val="0"/>
              <c:showBubbleSize val="0"/>
            </c:dLbl>
            <c:dLbl>
              <c:idx val="2"/>
              <c:layout>
                <c:manualLayout>
                  <c:x val="0"/>
                  <c:y val="-3.8834951456310676E-2"/>
                </c:manualLayout>
              </c:layout>
              <c:showLegendKey val="0"/>
              <c:showVal val="1"/>
              <c:showCatName val="0"/>
              <c:showSerName val="0"/>
              <c:showPercent val="0"/>
              <c:showBubbleSize val="0"/>
            </c:dLbl>
            <c:dLbl>
              <c:idx val="3"/>
              <c:layout>
                <c:manualLayout>
                  <c:x val="-4.9784444120974308E-17"/>
                  <c:y val="-3.8834951456310676E-2"/>
                </c:manualLayout>
              </c:layout>
              <c:showLegendKey val="0"/>
              <c:showVal val="1"/>
              <c:showCatName val="0"/>
              <c:showSerName val="0"/>
              <c:showPercent val="0"/>
              <c:showBubbleSize val="0"/>
            </c:dLbl>
            <c:dLbl>
              <c:idx val="9"/>
              <c:layout>
                <c:manualLayout>
                  <c:x val="0"/>
                  <c:y val="-2.5889967637540454E-2"/>
                </c:manualLayout>
              </c:layout>
              <c:showLegendKey val="0"/>
              <c:showVal val="1"/>
              <c:showCatName val="0"/>
              <c:showSerName val="0"/>
              <c:showPercent val="0"/>
              <c:showBubbleSize val="0"/>
            </c:dLbl>
            <c:dLbl>
              <c:idx val="10"/>
              <c:layout>
                <c:manualLayout>
                  <c:x val="-5.4310930074677527E-3"/>
                  <c:y val="-4.3149946062567425E-2"/>
                </c:manualLayout>
              </c:layout>
              <c:showLegendKey val="0"/>
              <c:showVal val="1"/>
              <c:showCatName val="0"/>
              <c:showSerName val="0"/>
              <c:showPercent val="0"/>
              <c:showBubbleSize val="0"/>
            </c:dLbl>
            <c:dLbl>
              <c:idx val="11"/>
              <c:layout>
                <c:manualLayout>
                  <c:x val="0"/>
                  <c:y val="-3.0204962243797196E-2"/>
                </c:manualLayout>
              </c:layout>
              <c:showLegendKey val="0"/>
              <c:showVal val="1"/>
              <c:showCatName val="0"/>
              <c:showSerName val="0"/>
              <c:showPercent val="0"/>
              <c:showBubbleSize val="0"/>
            </c:dLbl>
            <c:txPr>
              <a:bodyPr/>
              <a:lstStyle/>
              <a:p>
                <a:pPr>
                  <a:defRPr sz="800" b="1"/>
                </a:pPr>
                <a:endParaRPr lang="en-US"/>
              </a:p>
            </c:txPr>
            <c:showLegendKey val="0"/>
            <c:showVal val="1"/>
            <c:showCatName val="0"/>
            <c:showSerName val="0"/>
            <c:showPercent val="0"/>
            <c:showBubbleSize val="0"/>
            <c:showLeaderLines val="0"/>
          </c:dLbls>
          <c:cat>
            <c:strLit>
              <c:ptCount val="12"/>
              <c:pt idx="0">
                <c:v>I</c:v>
              </c:pt>
              <c:pt idx="1">
                <c:v>II</c:v>
              </c:pt>
              <c:pt idx="2">
                <c:v>III</c:v>
              </c:pt>
              <c:pt idx="3">
                <c:v>IV</c:v>
              </c:pt>
              <c:pt idx="4">
                <c:v>V</c:v>
              </c:pt>
              <c:pt idx="5">
                <c:v>VI</c:v>
              </c:pt>
              <c:pt idx="6">
                <c:v>VII</c:v>
              </c:pt>
              <c:pt idx="7">
                <c:v>VIII</c:v>
              </c:pt>
              <c:pt idx="8">
                <c:v>IX</c:v>
              </c:pt>
              <c:pt idx="9">
                <c:v>X</c:v>
              </c:pt>
              <c:pt idx="10">
                <c:v>XI</c:v>
              </c:pt>
              <c:pt idx="11">
                <c:v>XII</c:v>
              </c:pt>
            </c:strLit>
          </c:cat>
          <c:val>
            <c:numRef>
              <c:f>'T02'!$B$272:$M$272</c:f>
              <c:numCache>
                <c:formatCode>0</c:formatCode>
                <c:ptCount val="12"/>
                <c:pt idx="0">
                  <c:v>42.207000000000001</c:v>
                </c:pt>
                <c:pt idx="1">
                  <c:v>39.889000000000003</c:v>
                </c:pt>
                <c:pt idx="2">
                  <c:v>61.7</c:v>
                </c:pt>
                <c:pt idx="3">
                  <c:v>106.843</c:v>
                </c:pt>
                <c:pt idx="4">
                  <c:v>365.17599999999999</c:v>
                </c:pt>
                <c:pt idx="5">
                  <c:v>914.19200000000001</c:v>
                </c:pt>
                <c:pt idx="6">
                  <c:v>2087.06</c:v>
                </c:pt>
                <c:pt idx="7">
                  <c:v>3342.837</c:v>
                </c:pt>
                <c:pt idx="8">
                  <c:v>1191.6780000000001</c:v>
                </c:pt>
                <c:pt idx="9">
                  <c:v>155.63300000000001</c:v>
                </c:pt>
                <c:pt idx="10">
                  <c:v>58.636000000000003</c:v>
                </c:pt>
                <c:pt idx="11">
                  <c:v>48.363999999999997</c:v>
                </c:pt>
              </c:numCache>
            </c:numRef>
          </c:val>
          <c:smooth val="0"/>
        </c:ser>
        <c:dLbls>
          <c:showLegendKey val="0"/>
          <c:showVal val="0"/>
          <c:showCatName val="0"/>
          <c:showSerName val="0"/>
          <c:showPercent val="0"/>
          <c:showBubbleSize val="0"/>
        </c:dLbls>
        <c:marker val="1"/>
        <c:smooth val="0"/>
        <c:axId val="342584704"/>
        <c:axId val="342594688"/>
      </c:lineChart>
      <c:catAx>
        <c:axId val="342584704"/>
        <c:scaling>
          <c:orientation val="minMax"/>
        </c:scaling>
        <c:delete val="0"/>
        <c:axPos val="b"/>
        <c:numFmt formatCode="General" sourceLinked="1"/>
        <c:majorTickMark val="out"/>
        <c:minorTickMark val="none"/>
        <c:tickLblPos val="nextTo"/>
        <c:crossAx val="342594688"/>
        <c:crosses val="autoZero"/>
        <c:auto val="1"/>
        <c:lblAlgn val="ctr"/>
        <c:lblOffset val="100"/>
        <c:noMultiLvlLbl val="0"/>
      </c:catAx>
      <c:valAx>
        <c:axId val="342594688"/>
        <c:scaling>
          <c:orientation val="minMax"/>
        </c:scaling>
        <c:delete val="0"/>
        <c:axPos val="l"/>
        <c:majorGridlines/>
        <c:numFmt formatCode="0" sourceLinked="1"/>
        <c:majorTickMark val="out"/>
        <c:minorTickMark val="none"/>
        <c:tickLblPos val="nextTo"/>
        <c:txPr>
          <a:bodyPr/>
          <a:lstStyle/>
          <a:p>
            <a:pPr>
              <a:defRPr sz="900"/>
            </a:pPr>
            <a:endParaRPr lang="en-US"/>
          </a:p>
        </c:txPr>
        <c:crossAx val="342584704"/>
        <c:crosses val="autoZero"/>
        <c:crossBetween val="between"/>
      </c:valAx>
    </c:plotArea>
    <c:legend>
      <c:legendPos val="r"/>
      <c:layout>
        <c:manualLayout>
          <c:xMode val="edge"/>
          <c:yMode val="edge"/>
          <c:x val="0.19336337540292187"/>
          <c:y val="6.9060367454068239E-2"/>
          <c:w val="0.23606309903726391"/>
          <c:h val="0.16801771653543307"/>
        </c:manualLayout>
      </c:layout>
      <c:overlay val="0"/>
      <c:txPr>
        <a:bodyPr/>
        <a:lstStyle/>
        <a:p>
          <a:pPr>
            <a:defRPr sz="1050"/>
          </a:pPr>
          <a:endParaRPr lang="en-US"/>
        </a:p>
      </c:txPr>
    </c:legend>
    <c:plotVisOnly val="1"/>
    <c:dispBlanksAs val="zero"/>
    <c:showDLblsOverMax val="0"/>
  </c:chart>
  <c:externalData r:id="rId1">
    <c:autoUpdate val="0"/>
  </c:externalData>
  <c:userShapes r:id="rId2"/>
</c:chartSpace>
</file>

<file path=word/charts/chart13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226115061740415"/>
          <c:y val="5.1400554097404488E-2"/>
          <c:w val="0.63895378852610851"/>
          <c:h val="0.77271505166639032"/>
        </c:manualLayout>
      </c:layout>
      <c:lineChart>
        <c:grouping val="stacked"/>
        <c:varyColors val="0"/>
        <c:ser>
          <c:idx val="1"/>
          <c:order val="1"/>
          <c:tx>
            <c:v>Kružna putovanja</c:v>
          </c:tx>
          <c:marker>
            <c:symbol val="none"/>
          </c:marker>
          <c:cat>
            <c:numLit>
              <c:formatCode>General</c:formatCode>
              <c:ptCount val="7"/>
              <c:pt idx="0">
                <c:v>2007</c:v>
              </c:pt>
              <c:pt idx="1">
                <c:v>2008</c:v>
              </c:pt>
              <c:pt idx="2">
                <c:v>2009</c:v>
              </c:pt>
              <c:pt idx="3">
                <c:v>2010</c:v>
              </c:pt>
              <c:pt idx="4">
                <c:v>2011</c:v>
              </c:pt>
              <c:pt idx="5">
                <c:v>2012</c:v>
              </c:pt>
              <c:pt idx="6">
                <c:v>2013</c:v>
              </c:pt>
            </c:numLit>
          </c:cat>
          <c:val>
            <c:numRef>
              <c:f>'T04'!$D$8:$J$8</c:f>
              <c:numCache>
                <c:formatCode>General</c:formatCode>
                <c:ptCount val="7"/>
                <c:pt idx="0">
                  <c:v>174</c:v>
                </c:pt>
                <c:pt idx="1">
                  <c:v>245</c:v>
                </c:pt>
                <c:pt idx="2">
                  <c:v>268</c:v>
                </c:pt>
                <c:pt idx="3">
                  <c:v>313</c:v>
                </c:pt>
                <c:pt idx="4">
                  <c:v>319</c:v>
                </c:pt>
                <c:pt idx="5">
                  <c:v>348</c:v>
                </c:pt>
                <c:pt idx="6">
                  <c:v>409</c:v>
                </c:pt>
              </c:numCache>
            </c:numRef>
          </c:val>
          <c:smooth val="0"/>
        </c:ser>
        <c:dLbls>
          <c:showLegendKey val="0"/>
          <c:showVal val="0"/>
          <c:showCatName val="0"/>
          <c:showSerName val="0"/>
          <c:showPercent val="0"/>
          <c:showBubbleSize val="0"/>
        </c:dLbls>
        <c:marker val="1"/>
        <c:smooth val="0"/>
        <c:axId val="343027072"/>
        <c:axId val="343028864"/>
      </c:lineChart>
      <c:lineChart>
        <c:grouping val="stacked"/>
        <c:varyColors val="0"/>
        <c:ser>
          <c:idx val="0"/>
          <c:order val="0"/>
          <c:tx>
            <c:v>Putnici</c:v>
          </c:tx>
          <c:marker>
            <c:symbol val="none"/>
          </c:marker>
          <c:val>
            <c:numRef>
              <c:f>'T04'!$D$7:$J$7</c:f>
              <c:numCache>
                <c:formatCode>General</c:formatCode>
                <c:ptCount val="7"/>
                <c:pt idx="0">
                  <c:v>46</c:v>
                </c:pt>
                <c:pt idx="1">
                  <c:v>51</c:v>
                </c:pt>
                <c:pt idx="2">
                  <c:v>71</c:v>
                </c:pt>
                <c:pt idx="3">
                  <c:v>142</c:v>
                </c:pt>
                <c:pt idx="4" formatCode="0">
                  <c:v>187.17099999999999</c:v>
                </c:pt>
                <c:pt idx="5" formatCode="0">
                  <c:v>244.084</c:v>
                </c:pt>
                <c:pt idx="6" formatCode="0">
                  <c:v>314.96100000000001</c:v>
                </c:pt>
              </c:numCache>
            </c:numRef>
          </c:val>
          <c:smooth val="0"/>
        </c:ser>
        <c:dLbls>
          <c:showLegendKey val="0"/>
          <c:showVal val="0"/>
          <c:showCatName val="0"/>
          <c:showSerName val="0"/>
          <c:showPercent val="0"/>
          <c:showBubbleSize val="0"/>
        </c:dLbls>
        <c:marker val="1"/>
        <c:smooth val="0"/>
        <c:axId val="343030400"/>
        <c:axId val="343032192"/>
      </c:lineChart>
      <c:catAx>
        <c:axId val="343027072"/>
        <c:scaling>
          <c:orientation val="minMax"/>
        </c:scaling>
        <c:delete val="0"/>
        <c:axPos val="b"/>
        <c:numFmt formatCode="General" sourceLinked="1"/>
        <c:majorTickMark val="out"/>
        <c:minorTickMark val="none"/>
        <c:tickLblPos val="nextTo"/>
        <c:crossAx val="343028864"/>
        <c:crosses val="autoZero"/>
        <c:auto val="1"/>
        <c:lblAlgn val="ctr"/>
        <c:lblOffset val="100"/>
        <c:noMultiLvlLbl val="0"/>
      </c:catAx>
      <c:valAx>
        <c:axId val="343028864"/>
        <c:scaling>
          <c:orientation val="minMax"/>
        </c:scaling>
        <c:delete val="0"/>
        <c:axPos val="l"/>
        <c:majorGridlines/>
        <c:numFmt formatCode="General" sourceLinked="1"/>
        <c:majorTickMark val="out"/>
        <c:minorTickMark val="none"/>
        <c:tickLblPos val="nextTo"/>
        <c:crossAx val="343027072"/>
        <c:crosses val="autoZero"/>
        <c:crossBetween val="between"/>
      </c:valAx>
      <c:catAx>
        <c:axId val="343030400"/>
        <c:scaling>
          <c:orientation val="minMax"/>
        </c:scaling>
        <c:delete val="1"/>
        <c:axPos val="b"/>
        <c:majorTickMark val="out"/>
        <c:minorTickMark val="none"/>
        <c:tickLblPos val="nextTo"/>
        <c:crossAx val="343032192"/>
        <c:crosses val="autoZero"/>
        <c:auto val="1"/>
        <c:lblAlgn val="ctr"/>
        <c:lblOffset val="100"/>
        <c:noMultiLvlLbl val="0"/>
      </c:catAx>
      <c:valAx>
        <c:axId val="343032192"/>
        <c:scaling>
          <c:orientation val="minMax"/>
          <c:max val="350"/>
          <c:min val="0"/>
        </c:scaling>
        <c:delete val="0"/>
        <c:axPos val="r"/>
        <c:numFmt formatCode="General" sourceLinked="1"/>
        <c:majorTickMark val="out"/>
        <c:minorTickMark val="none"/>
        <c:tickLblPos val="nextTo"/>
        <c:crossAx val="343030400"/>
        <c:crosses val="max"/>
        <c:crossBetween val="between"/>
        <c:majorUnit val="50"/>
        <c:minorUnit val="10"/>
      </c:valAx>
    </c:plotArea>
    <c:legend>
      <c:legendPos val="r"/>
      <c:layout>
        <c:manualLayout>
          <c:xMode val="edge"/>
          <c:yMode val="edge"/>
          <c:x val="0.20366141732283466"/>
          <c:y val="4.6822349261136875E-2"/>
          <c:w val="0.38516670564694266"/>
          <c:h val="0.17379666384677123"/>
        </c:manualLayout>
      </c:layout>
      <c:overlay val="0"/>
      <c:txPr>
        <a:bodyPr/>
        <a:lstStyle/>
        <a:p>
          <a:pPr>
            <a:defRPr sz="1050"/>
          </a:pPr>
          <a:endParaRPr lang="en-US"/>
        </a:p>
      </c:txPr>
    </c:legend>
    <c:plotVisOnly val="1"/>
    <c:dispBlanksAs val="zero"/>
    <c:showDLblsOverMax val="0"/>
  </c:chart>
  <c:externalData r:id="rId1">
    <c:autoUpdate val="0"/>
  </c:externalData>
  <c:userShapes r:id="rId2"/>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manualLayout>
          <c:layoutTarget val="inner"/>
          <c:xMode val="edge"/>
          <c:yMode val="edge"/>
          <c:x val="9.34744670074137E-2"/>
          <c:y val="0.10909907345919122"/>
          <c:w val="0.63295666988994759"/>
          <c:h val="0.71271753681392269"/>
        </c:manualLayout>
      </c:layout>
      <c:barChart>
        <c:barDir val="col"/>
        <c:grouping val="clustered"/>
        <c:varyColors val="0"/>
        <c:ser>
          <c:idx val="0"/>
          <c:order val="0"/>
          <c:tx>
            <c:strRef>
              <c:f>Sheet1!$B$1</c:f>
              <c:strCache>
                <c:ptCount val="1"/>
                <c:pt idx="0">
                  <c:v>Csr </c:v>
                </c:pt>
              </c:strCache>
            </c:strRef>
          </c:tx>
          <c:spPr>
            <a:solidFill>
              <a:srgbClr val="FFFF00"/>
            </a:solidFill>
          </c:spPr>
          <c:invertIfNegative val="0"/>
          <c:cat>
            <c:strRef>
              <c:f>Sheet1!$A$2:$A$13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Sheet1!$B$2:$B$13</c:f>
              <c:numCache>
                <c:formatCode>General</c:formatCode>
                <c:ptCount val="12"/>
                <c:pt idx="0">
                  <c:v>5.53</c:v>
                </c:pt>
                <c:pt idx="1">
                  <c:v>34.14</c:v>
                </c:pt>
                <c:pt idx="2">
                  <c:v>52.75</c:v>
                </c:pt>
                <c:pt idx="3">
                  <c:v>36.31</c:v>
                </c:pt>
                <c:pt idx="4">
                  <c:v>6.49</c:v>
                </c:pt>
                <c:pt idx="5">
                  <c:v>6.73</c:v>
                </c:pt>
                <c:pt idx="7">
                  <c:v>1.76</c:v>
                </c:pt>
                <c:pt idx="8">
                  <c:v>4.76</c:v>
                </c:pt>
                <c:pt idx="9">
                  <c:v>25.3</c:v>
                </c:pt>
                <c:pt idx="10">
                  <c:v>8.14</c:v>
                </c:pt>
                <c:pt idx="11">
                  <c:v>75.81</c:v>
                </c:pt>
              </c:numCache>
            </c:numRef>
          </c:val>
        </c:ser>
        <c:ser>
          <c:idx val="1"/>
          <c:order val="1"/>
          <c:tx>
            <c:strRef>
              <c:f>Sheet1!$C$1</c:f>
              <c:strCache>
                <c:ptCount val="1"/>
                <c:pt idx="0">
                  <c:v>Cmax </c:v>
                </c:pt>
              </c:strCache>
            </c:strRef>
          </c:tx>
          <c:invertIfNegative val="0"/>
          <c:cat>
            <c:strRef>
              <c:f>Sheet1!$A$2:$A$13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Sheet1!$C$2:$C$13</c:f>
              <c:numCache>
                <c:formatCode>General</c:formatCode>
                <c:ptCount val="12"/>
                <c:pt idx="0">
                  <c:v>264.08</c:v>
                </c:pt>
                <c:pt idx="1">
                  <c:v>145.76</c:v>
                </c:pt>
                <c:pt idx="2">
                  <c:v>310.77999999999969</c:v>
                </c:pt>
                <c:pt idx="3">
                  <c:v>410.6</c:v>
                </c:pt>
                <c:pt idx="4">
                  <c:v>31.18</c:v>
                </c:pt>
                <c:pt idx="5">
                  <c:v>11.13</c:v>
                </c:pt>
                <c:pt idx="7">
                  <c:v>4.5999999999999996</c:v>
                </c:pt>
                <c:pt idx="8">
                  <c:v>61.230000000000011</c:v>
                </c:pt>
                <c:pt idx="9">
                  <c:v>118.98</c:v>
                </c:pt>
                <c:pt idx="10">
                  <c:v>73.31</c:v>
                </c:pt>
                <c:pt idx="11">
                  <c:v>210.01</c:v>
                </c:pt>
              </c:numCache>
            </c:numRef>
          </c:val>
        </c:ser>
        <c:dLbls>
          <c:showLegendKey val="0"/>
          <c:showVal val="0"/>
          <c:showCatName val="0"/>
          <c:showSerName val="0"/>
          <c:showPercent val="0"/>
          <c:showBubbleSize val="0"/>
        </c:dLbls>
        <c:gapWidth val="150"/>
        <c:axId val="203026432"/>
        <c:axId val="203027968"/>
      </c:barChart>
      <c:lineChart>
        <c:grouping val="standard"/>
        <c:varyColors val="0"/>
        <c:ser>
          <c:idx val="2"/>
          <c:order val="2"/>
          <c:tx>
            <c:strRef>
              <c:f>Sheet1!$D$1</c:f>
              <c:strCache>
                <c:ptCount val="1"/>
                <c:pt idx="0">
                  <c:v>granična jednočasovna srednja vrijednost</c:v>
                </c:pt>
              </c:strCache>
            </c:strRef>
          </c:tx>
          <c:spPr>
            <a:ln w="41275">
              <a:solidFill>
                <a:srgbClr val="FF0000"/>
              </a:solidFill>
            </a:ln>
          </c:spPr>
          <c:marker>
            <c:symbol val="none"/>
          </c:marker>
          <c:cat>
            <c:strRef>
              <c:f>Sheet1!$A$2:$A$13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Sheet1!$D$2:$D$13</c:f>
              <c:numCache>
                <c:formatCode>General</c:formatCode>
                <c:ptCount val="12"/>
                <c:pt idx="0">
                  <c:v>350</c:v>
                </c:pt>
                <c:pt idx="1">
                  <c:v>350</c:v>
                </c:pt>
                <c:pt idx="2">
                  <c:v>350</c:v>
                </c:pt>
                <c:pt idx="3">
                  <c:v>350</c:v>
                </c:pt>
                <c:pt idx="4">
                  <c:v>350</c:v>
                </c:pt>
                <c:pt idx="5">
                  <c:v>350</c:v>
                </c:pt>
                <c:pt idx="6">
                  <c:v>350</c:v>
                </c:pt>
                <c:pt idx="7">
                  <c:v>350</c:v>
                </c:pt>
                <c:pt idx="8">
                  <c:v>350</c:v>
                </c:pt>
                <c:pt idx="9">
                  <c:v>350</c:v>
                </c:pt>
                <c:pt idx="10">
                  <c:v>350</c:v>
                </c:pt>
                <c:pt idx="11">
                  <c:v>350</c:v>
                </c:pt>
              </c:numCache>
            </c:numRef>
          </c:val>
          <c:smooth val="0"/>
        </c:ser>
        <c:dLbls>
          <c:showLegendKey val="0"/>
          <c:showVal val="0"/>
          <c:showCatName val="0"/>
          <c:showSerName val="0"/>
          <c:showPercent val="0"/>
          <c:showBubbleSize val="0"/>
        </c:dLbls>
        <c:marker val="1"/>
        <c:smooth val="0"/>
        <c:axId val="203026432"/>
        <c:axId val="203027968"/>
      </c:lineChart>
      <c:catAx>
        <c:axId val="203026432"/>
        <c:scaling>
          <c:orientation val="minMax"/>
        </c:scaling>
        <c:delete val="0"/>
        <c:axPos val="b"/>
        <c:majorTickMark val="out"/>
        <c:minorTickMark val="none"/>
        <c:tickLblPos val="nextTo"/>
        <c:crossAx val="203027968"/>
        <c:crosses val="autoZero"/>
        <c:auto val="1"/>
        <c:lblAlgn val="ctr"/>
        <c:lblOffset val="100"/>
        <c:noMultiLvlLbl val="0"/>
      </c:catAx>
      <c:valAx>
        <c:axId val="203027968"/>
        <c:scaling>
          <c:orientation val="minMax"/>
        </c:scaling>
        <c:delete val="0"/>
        <c:axPos val="l"/>
        <c:title>
          <c:tx>
            <c:rich>
              <a:bodyPr rot="0" vert="horz"/>
              <a:lstStyle/>
              <a:p>
                <a:pPr>
                  <a:defRPr/>
                </a:pPr>
                <a:r>
                  <a:rPr lang="en-US">
                    <a:latin typeface="Calibri"/>
                  </a:rPr>
                  <a:t>µg/m</a:t>
                </a:r>
                <a:r>
                  <a:rPr lang="en-US" baseline="30000">
                    <a:latin typeface="Calibri"/>
                  </a:rPr>
                  <a:t>3</a:t>
                </a:r>
                <a:endParaRPr lang="en-US" baseline="30000"/>
              </a:p>
            </c:rich>
          </c:tx>
          <c:layout>
            <c:manualLayout>
              <c:xMode val="edge"/>
              <c:yMode val="edge"/>
              <c:x val="0"/>
              <c:y val="1.7227966986054614E-3"/>
            </c:manualLayout>
          </c:layout>
          <c:overlay val="0"/>
        </c:title>
        <c:numFmt formatCode="General" sourceLinked="1"/>
        <c:majorTickMark val="out"/>
        <c:minorTickMark val="none"/>
        <c:tickLblPos val="nextTo"/>
        <c:crossAx val="203026432"/>
        <c:crosses val="autoZero"/>
        <c:crossBetween val="between"/>
      </c:valAx>
      <c:spPr>
        <a:blipFill dpi="0" rotWithShape="1">
          <a:blip xmlns:r="http://schemas.openxmlformats.org/officeDocument/2006/relationships" r:embed="rId1">
            <a:alphaModFix amt="70000"/>
          </a:blip>
          <a:srcRect/>
          <a:stretch>
            <a:fillRect/>
          </a:stretch>
        </a:blipFill>
      </c:spPr>
    </c:plotArea>
    <c:legend>
      <c:legendPos val="r"/>
      <c:layout>
        <c:manualLayout>
          <c:xMode val="edge"/>
          <c:yMode val="edge"/>
          <c:x val="0.76182295394893862"/>
          <c:y val="0.11791978264023559"/>
          <c:w val="0.23590942740549256"/>
          <c:h val="0.66474894155819619"/>
        </c:manualLayout>
      </c:layout>
      <c:overlay val="1"/>
      <c:txPr>
        <a:bodyPr/>
        <a:lstStyle/>
        <a:p>
          <a:pPr>
            <a:defRPr sz="800"/>
          </a:pPr>
          <a:endParaRPr lang="en-US"/>
        </a:p>
      </c:txPr>
    </c:legend>
    <c:plotVisOnly val="1"/>
    <c:dispBlanksAs val="gap"/>
    <c:showDLblsOverMax val="0"/>
  </c:chart>
  <c:spPr>
    <a:ln>
      <a:noFill/>
    </a:ln>
  </c:spPr>
  <c:externalData r:id="rId2">
    <c:autoUpdate val="0"/>
  </c:externalData>
</c:chartSpace>
</file>

<file path=word/charts/chart14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6535488095434611E-2"/>
          <c:y val="0"/>
          <c:w val="0.63312368972746336"/>
          <c:h val="1"/>
        </c:manualLayout>
      </c:layout>
      <c:pieChart>
        <c:varyColors val="1"/>
        <c:ser>
          <c:idx val="0"/>
          <c:order val="0"/>
          <c:explosion val="25"/>
          <c:dLbls>
            <c:dLbl>
              <c:idx val="0"/>
              <c:layout>
                <c:manualLayout>
                  <c:x val="-7.1454464418362798E-2"/>
                  <c:y val="0.14308795512710443"/>
                </c:manualLayout>
              </c:layout>
              <c:showLegendKey val="0"/>
              <c:showVal val="0"/>
              <c:showCatName val="0"/>
              <c:showSerName val="0"/>
              <c:showPercent val="1"/>
              <c:showBubbleSize val="0"/>
            </c:dLbl>
            <c:dLbl>
              <c:idx val="1"/>
              <c:layout>
                <c:manualLayout>
                  <c:x val="-8.5690860969422841E-2"/>
                  <c:y val="2.3417960605391617E-2"/>
                </c:manualLayout>
              </c:layout>
              <c:showLegendKey val="0"/>
              <c:showVal val="0"/>
              <c:showCatName val="0"/>
              <c:showSerName val="0"/>
              <c:showPercent val="1"/>
              <c:showBubbleSize val="0"/>
            </c:dLbl>
            <c:dLbl>
              <c:idx val="3"/>
              <c:layout>
                <c:manualLayout>
                  <c:x val="-8.5349928743183825E-2"/>
                  <c:y val="-5.8272622464248046E-2"/>
                </c:manualLayout>
              </c:layout>
              <c:showLegendKey val="0"/>
              <c:showVal val="0"/>
              <c:showCatName val="0"/>
              <c:showSerName val="0"/>
              <c:showPercent val="1"/>
              <c:showBubbleSize val="0"/>
            </c:dLbl>
            <c:dLbl>
              <c:idx val="7"/>
              <c:layout>
                <c:manualLayout>
                  <c:x val="-6.4058282022923241E-2"/>
                  <c:y val="-0.13514525637566333"/>
                </c:manualLayout>
              </c:layout>
              <c:showLegendKey val="0"/>
              <c:showVal val="0"/>
              <c:showCatName val="0"/>
              <c:showSerName val="0"/>
              <c:showPercent val="1"/>
              <c:showBubbleSize val="0"/>
            </c:dLbl>
            <c:dLbl>
              <c:idx val="8"/>
              <c:layout>
                <c:manualLayout>
                  <c:x val="-3.0449385650693033E-2"/>
                  <c:y val="-0.1247973442572015"/>
                </c:manualLayout>
              </c:layout>
              <c:showLegendKey val="0"/>
              <c:showVal val="0"/>
              <c:showCatName val="0"/>
              <c:showSerName val="0"/>
              <c:showPercent val="1"/>
              <c:showBubbleSize val="0"/>
            </c:dLbl>
            <c:dLbl>
              <c:idx val="9"/>
              <c:layout>
                <c:manualLayout>
                  <c:x val="0.14380010674766283"/>
                  <c:y val="-7.3687050800892884E-2"/>
                </c:manualLayout>
              </c:layout>
              <c:showLegendKey val="0"/>
              <c:showVal val="0"/>
              <c:showCatName val="0"/>
              <c:showSerName val="0"/>
              <c:showPercent val="1"/>
              <c:showBubbleSize val="0"/>
            </c:dLbl>
            <c:spPr>
              <a:solidFill>
                <a:schemeClr val="accent6">
                  <a:lumMod val="40000"/>
                  <a:lumOff val="60000"/>
                </a:schemeClr>
              </a:solidFill>
            </c:spPr>
            <c:showLegendKey val="0"/>
            <c:showVal val="0"/>
            <c:showCatName val="0"/>
            <c:showSerName val="0"/>
            <c:showPercent val="1"/>
            <c:showBubbleSize val="0"/>
            <c:showLeaderLines val="1"/>
          </c:dLbls>
          <c:cat>
            <c:strRef>
              <c:f>'T04'!$A$193:$A$205</c:f>
              <c:strCache>
                <c:ptCount val="13"/>
                <c:pt idx="0">
                  <c:v>Bahami</c:v>
                </c:pt>
                <c:pt idx="1">
                  <c:v>Belgija</c:v>
                </c:pt>
                <c:pt idx="2">
                  <c:v>Bermudi</c:v>
                </c:pt>
                <c:pt idx="3">
                  <c:v>Hrvatska</c:v>
                </c:pt>
                <c:pt idx="4">
                  <c:v>Finska</c:v>
                </c:pt>
                <c:pt idx="5">
                  <c:v>Francuska</c:v>
                </c:pt>
                <c:pt idx="6">
                  <c:v>Njemačka</c:v>
                </c:pt>
                <c:pt idx="7">
                  <c:v>Grčka</c:v>
                </c:pt>
                <c:pt idx="8">
                  <c:v>Italija</c:v>
                </c:pt>
                <c:pt idx="9">
                  <c:v>Malta</c:v>
                </c:pt>
                <c:pt idx="10">
                  <c:v>Holandija</c:v>
                </c:pt>
                <c:pt idx="11">
                  <c:v>Maršalska Ostrva</c:v>
                </c:pt>
                <c:pt idx="12">
                  <c:v>Panama</c:v>
                </c:pt>
              </c:strCache>
            </c:strRef>
          </c:cat>
          <c:val>
            <c:numRef>
              <c:f>'T04'!$B$193:$B$205</c:f>
              <c:numCache>
                <c:formatCode>General</c:formatCode>
                <c:ptCount val="13"/>
                <c:pt idx="0">
                  <c:v>76</c:v>
                </c:pt>
                <c:pt idx="1">
                  <c:v>28</c:v>
                </c:pt>
                <c:pt idx="2">
                  <c:v>10</c:v>
                </c:pt>
                <c:pt idx="3">
                  <c:v>22</c:v>
                </c:pt>
                <c:pt idx="4">
                  <c:v>3</c:v>
                </c:pt>
                <c:pt idx="5">
                  <c:v>12</c:v>
                </c:pt>
                <c:pt idx="6">
                  <c:v>1</c:v>
                </c:pt>
                <c:pt idx="7">
                  <c:v>21</c:v>
                </c:pt>
                <c:pt idx="8">
                  <c:v>24</c:v>
                </c:pt>
                <c:pt idx="9">
                  <c:v>148</c:v>
                </c:pt>
                <c:pt idx="10">
                  <c:v>14</c:v>
                </c:pt>
                <c:pt idx="11">
                  <c:v>8</c:v>
                </c:pt>
                <c:pt idx="12">
                  <c:v>31</c:v>
                </c:pt>
              </c:numCache>
            </c:numRef>
          </c:val>
        </c:ser>
        <c:dLbls>
          <c:showLegendKey val="0"/>
          <c:showVal val="0"/>
          <c:showCatName val="0"/>
          <c:showSerName val="0"/>
          <c:showPercent val="1"/>
          <c:showBubbleSize val="0"/>
          <c:showLeaderLines val="1"/>
        </c:dLbls>
        <c:firstSliceAng val="0"/>
      </c:pieChart>
    </c:plotArea>
    <c:legend>
      <c:legendPos val="t"/>
      <c:layout>
        <c:manualLayout>
          <c:xMode val="edge"/>
          <c:yMode val="edge"/>
          <c:x val="0.75702911306047393"/>
          <c:y val="9.2340616704104553E-2"/>
          <c:w val="0.23871959755030622"/>
          <c:h val="0.79127114319043457"/>
        </c:manualLayout>
      </c:layout>
      <c:overlay val="0"/>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manualLayout>
          <c:layoutTarget val="inner"/>
          <c:xMode val="edge"/>
          <c:yMode val="edge"/>
          <c:x val="9.6456519094053728E-2"/>
          <c:y val="0.10238740157480307"/>
          <c:w val="0.62997456443772371"/>
          <c:h val="0.71942887139107692"/>
        </c:manualLayout>
      </c:layout>
      <c:barChart>
        <c:barDir val="col"/>
        <c:grouping val="clustered"/>
        <c:varyColors val="0"/>
        <c:ser>
          <c:idx val="0"/>
          <c:order val="0"/>
          <c:tx>
            <c:strRef>
              <c:f>Sheet1!$B$1</c:f>
              <c:strCache>
                <c:ptCount val="1"/>
                <c:pt idx="0">
                  <c:v>Csr </c:v>
                </c:pt>
              </c:strCache>
            </c:strRef>
          </c:tx>
          <c:spPr>
            <a:solidFill>
              <a:srgbClr val="FFFF00"/>
            </a:solidFill>
          </c:spPr>
          <c:invertIfNegative val="0"/>
          <c:cat>
            <c:strRef>
              <c:f>Sheet1!$A$2:$A$13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Sheet1!$B$2:$B$13</c:f>
              <c:numCache>
                <c:formatCode>General</c:formatCode>
                <c:ptCount val="12"/>
                <c:pt idx="0">
                  <c:v>31.72</c:v>
                </c:pt>
                <c:pt idx="1">
                  <c:v>27.65000000000002</c:v>
                </c:pt>
                <c:pt idx="2">
                  <c:v>18.829999999999988</c:v>
                </c:pt>
                <c:pt idx="3">
                  <c:v>11.22</c:v>
                </c:pt>
                <c:pt idx="4">
                  <c:v>6.84</c:v>
                </c:pt>
                <c:pt idx="5">
                  <c:v>3.75</c:v>
                </c:pt>
                <c:pt idx="7">
                  <c:v>30.73</c:v>
                </c:pt>
                <c:pt idx="8">
                  <c:v>20.939999999999987</c:v>
                </c:pt>
                <c:pt idx="9">
                  <c:v>11.94</c:v>
                </c:pt>
                <c:pt idx="10">
                  <c:v>2.9099999999999997</c:v>
                </c:pt>
                <c:pt idx="11">
                  <c:v>1.9700000000000013</c:v>
                </c:pt>
              </c:numCache>
            </c:numRef>
          </c:val>
        </c:ser>
        <c:ser>
          <c:idx val="1"/>
          <c:order val="1"/>
          <c:tx>
            <c:strRef>
              <c:f>Sheet1!$C$1</c:f>
              <c:strCache>
                <c:ptCount val="1"/>
                <c:pt idx="0">
                  <c:v>Cmax </c:v>
                </c:pt>
              </c:strCache>
            </c:strRef>
          </c:tx>
          <c:invertIfNegative val="0"/>
          <c:cat>
            <c:strRef>
              <c:f>Sheet1!$A$2:$A$13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Sheet1!$C$2:$C$13</c:f>
              <c:numCache>
                <c:formatCode>General</c:formatCode>
                <c:ptCount val="12"/>
                <c:pt idx="0">
                  <c:v>76.72</c:v>
                </c:pt>
                <c:pt idx="1">
                  <c:v>70.38</c:v>
                </c:pt>
                <c:pt idx="2">
                  <c:v>59.120000000000012</c:v>
                </c:pt>
                <c:pt idx="3">
                  <c:v>46.64</c:v>
                </c:pt>
                <c:pt idx="4">
                  <c:v>25.97</c:v>
                </c:pt>
                <c:pt idx="5">
                  <c:v>37.56</c:v>
                </c:pt>
                <c:pt idx="7">
                  <c:v>88.86</c:v>
                </c:pt>
                <c:pt idx="8">
                  <c:v>41.2</c:v>
                </c:pt>
                <c:pt idx="9">
                  <c:v>34.1</c:v>
                </c:pt>
                <c:pt idx="10">
                  <c:v>54.99</c:v>
                </c:pt>
                <c:pt idx="11">
                  <c:v>41</c:v>
                </c:pt>
              </c:numCache>
            </c:numRef>
          </c:val>
        </c:ser>
        <c:dLbls>
          <c:showLegendKey val="0"/>
          <c:showVal val="0"/>
          <c:showCatName val="0"/>
          <c:showSerName val="0"/>
          <c:showPercent val="0"/>
          <c:showBubbleSize val="0"/>
        </c:dLbls>
        <c:gapWidth val="150"/>
        <c:axId val="203046272"/>
        <c:axId val="203080832"/>
      </c:barChart>
      <c:lineChart>
        <c:grouping val="standard"/>
        <c:varyColors val="0"/>
        <c:ser>
          <c:idx val="2"/>
          <c:order val="2"/>
          <c:tx>
            <c:strRef>
              <c:f>Sheet1!$D$1</c:f>
              <c:strCache>
                <c:ptCount val="1"/>
                <c:pt idx="0">
                  <c:v>granična jednočasovna srednja vrijednost</c:v>
                </c:pt>
              </c:strCache>
            </c:strRef>
          </c:tx>
          <c:spPr>
            <a:ln w="41275">
              <a:solidFill>
                <a:srgbClr val="FF0000"/>
              </a:solidFill>
            </a:ln>
          </c:spPr>
          <c:marker>
            <c:symbol val="none"/>
          </c:marker>
          <c:cat>
            <c:strRef>
              <c:f>Sheet1!$A$2:$A$13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Sheet1!$D$2:$D$13</c:f>
              <c:numCache>
                <c:formatCode>General</c:formatCode>
                <c:ptCount val="12"/>
                <c:pt idx="0">
                  <c:v>200</c:v>
                </c:pt>
                <c:pt idx="1">
                  <c:v>200</c:v>
                </c:pt>
                <c:pt idx="2">
                  <c:v>200</c:v>
                </c:pt>
                <c:pt idx="3">
                  <c:v>200</c:v>
                </c:pt>
                <c:pt idx="4">
                  <c:v>200</c:v>
                </c:pt>
                <c:pt idx="5">
                  <c:v>200</c:v>
                </c:pt>
                <c:pt idx="6">
                  <c:v>200</c:v>
                </c:pt>
                <c:pt idx="7">
                  <c:v>200</c:v>
                </c:pt>
                <c:pt idx="8">
                  <c:v>200</c:v>
                </c:pt>
                <c:pt idx="9">
                  <c:v>200</c:v>
                </c:pt>
                <c:pt idx="10">
                  <c:v>200</c:v>
                </c:pt>
                <c:pt idx="11">
                  <c:v>200</c:v>
                </c:pt>
              </c:numCache>
            </c:numRef>
          </c:val>
          <c:smooth val="0"/>
        </c:ser>
        <c:dLbls>
          <c:showLegendKey val="0"/>
          <c:showVal val="0"/>
          <c:showCatName val="0"/>
          <c:showSerName val="0"/>
          <c:showPercent val="0"/>
          <c:showBubbleSize val="0"/>
        </c:dLbls>
        <c:marker val="1"/>
        <c:smooth val="0"/>
        <c:axId val="203046272"/>
        <c:axId val="203080832"/>
      </c:lineChart>
      <c:catAx>
        <c:axId val="203046272"/>
        <c:scaling>
          <c:orientation val="minMax"/>
        </c:scaling>
        <c:delete val="0"/>
        <c:axPos val="b"/>
        <c:majorTickMark val="out"/>
        <c:minorTickMark val="none"/>
        <c:tickLblPos val="nextTo"/>
        <c:crossAx val="203080832"/>
        <c:crosses val="autoZero"/>
        <c:auto val="1"/>
        <c:lblAlgn val="ctr"/>
        <c:lblOffset val="100"/>
        <c:noMultiLvlLbl val="0"/>
      </c:catAx>
      <c:valAx>
        <c:axId val="203080832"/>
        <c:scaling>
          <c:orientation val="minMax"/>
        </c:scaling>
        <c:delete val="0"/>
        <c:axPos val="l"/>
        <c:title>
          <c:tx>
            <c:rich>
              <a:bodyPr rot="0" vert="horz"/>
              <a:lstStyle/>
              <a:p>
                <a:pPr>
                  <a:defRPr/>
                </a:pPr>
                <a:r>
                  <a:rPr lang="en-US">
                    <a:latin typeface="Calibri"/>
                  </a:rPr>
                  <a:t>µg/m</a:t>
                </a:r>
                <a:r>
                  <a:rPr lang="en-US" baseline="30000">
                    <a:latin typeface="Calibri"/>
                  </a:rPr>
                  <a:t>3</a:t>
                </a:r>
                <a:endParaRPr lang="en-US" baseline="30000"/>
              </a:p>
            </c:rich>
          </c:tx>
          <c:layout>
            <c:manualLayout>
              <c:xMode val="edge"/>
              <c:yMode val="edge"/>
              <c:x val="1.177336276674025E-2"/>
              <c:y val="2.2350539515894152E-3"/>
            </c:manualLayout>
          </c:layout>
          <c:overlay val="0"/>
        </c:title>
        <c:numFmt formatCode="General" sourceLinked="1"/>
        <c:majorTickMark val="out"/>
        <c:minorTickMark val="none"/>
        <c:tickLblPos val="nextTo"/>
        <c:crossAx val="203046272"/>
        <c:crosses val="autoZero"/>
        <c:crossBetween val="between"/>
      </c:valAx>
      <c:spPr>
        <a:blipFill dpi="0" rotWithShape="1">
          <a:blip xmlns:r="http://schemas.openxmlformats.org/officeDocument/2006/relationships" r:embed="rId1">
            <a:alphaModFix amt="70000"/>
          </a:blip>
          <a:srcRect/>
          <a:stretch>
            <a:fillRect/>
          </a:stretch>
        </a:blipFill>
      </c:spPr>
    </c:plotArea>
    <c:legend>
      <c:legendPos val="r"/>
      <c:layout>
        <c:manualLayout>
          <c:xMode val="edge"/>
          <c:yMode val="edge"/>
          <c:x val="0.76182295394893862"/>
          <c:y val="4.4217940094171716E-2"/>
          <c:w val="0.23590942740549256"/>
          <c:h val="0.89925480420475068"/>
        </c:manualLayout>
      </c:layout>
      <c:overlay val="1"/>
      <c:txPr>
        <a:bodyPr/>
        <a:lstStyle/>
        <a:p>
          <a:pPr>
            <a:defRPr sz="800"/>
          </a:pPr>
          <a:endParaRPr lang="en-US"/>
        </a:p>
      </c:txPr>
    </c:legend>
    <c:plotVisOnly val="1"/>
    <c:dispBlanksAs val="gap"/>
    <c:showDLblsOverMax val="0"/>
  </c:chart>
  <c:spPr>
    <a:ln>
      <a:noFill/>
    </a:ln>
  </c:sp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manualLayout>
          <c:layoutTarget val="inner"/>
          <c:xMode val="edge"/>
          <c:yMode val="edge"/>
          <c:x val="9.1609639704127888E-2"/>
          <c:y val="8.6746017212964613E-2"/>
          <c:w val="0.61126159230096233"/>
          <c:h val="0.78158212781541747"/>
        </c:manualLayout>
      </c:layout>
      <c:barChart>
        <c:barDir val="col"/>
        <c:grouping val="clustered"/>
        <c:varyColors val="0"/>
        <c:ser>
          <c:idx val="0"/>
          <c:order val="0"/>
          <c:tx>
            <c:strRef>
              <c:f>Sheet1!$B$1</c:f>
              <c:strCache>
                <c:ptCount val="1"/>
                <c:pt idx="0">
                  <c:v>Csr </c:v>
                </c:pt>
              </c:strCache>
            </c:strRef>
          </c:tx>
          <c:spPr>
            <a:solidFill>
              <a:srgbClr val="FFFF00"/>
            </a:solidFill>
          </c:spPr>
          <c:invertIfNegative val="0"/>
          <c:cat>
            <c:strRef>
              <c:f>Sheet1!$A$2:$A$13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Sheet1!$B$2:$B$13</c:f>
              <c:numCache>
                <c:formatCode>General</c:formatCode>
                <c:ptCount val="12"/>
                <c:pt idx="0">
                  <c:v>115.04</c:v>
                </c:pt>
                <c:pt idx="1">
                  <c:v>74.25</c:v>
                </c:pt>
                <c:pt idx="2">
                  <c:v>70.440000000000026</c:v>
                </c:pt>
                <c:pt idx="3">
                  <c:v>56.2</c:v>
                </c:pt>
                <c:pt idx="4">
                  <c:v>39.07</c:v>
                </c:pt>
                <c:pt idx="5">
                  <c:v>33.290000000000013</c:v>
                </c:pt>
                <c:pt idx="6">
                  <c:v>36.81</c:v>
                </c:pt>
                <c:pt idx="7">
                  <c:v>41.2</c:v>
                </c:pt>
                <c:pt idx="8">
                  <c:v>35.980000000000004</c:v>
                </c:pt>
                <c:pt idx="9">
                  <c:v>89.910000000000025</c:v>
                </c:pt>
                <c:pt idx="10">
                  <c:v>84.75</c:v>
                </c:pt>
                <c:pt idx="11">
                  <c:v>257.88</c:v>
                </c:pt>
              </c:numCache>
            </c:numRef>
          </c:val>
        </c:ser>
        <c:ser>
          <c:idx val="1"/>
          <c:order val="1"/>
          <c:tx>
            <c:strRef>
              <c:f>Sheet1!$C$1</c:f>
              <c:strCache>
                <c:ptCount val="1"/>
                <c:pt idx="0">
                  <c:v>Cmax</c:v>
                </c:pt>
              </c:strCache>
            </c:strRef>
          </c:tx>
          <c:invertIfNegative val="0"/>
          <c:cat>
            <c:strRef>
              <c:f>Sheet1!$A$2:$A$13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Sheet1!$C$2:$C$13</c:f>
              <c:numCache>
                <c:formatCode>General</c:formatCode>
                <c:ptCount val="12"/>
                <c:pt idx="0">
                  <c:v>321.14999999999998</c:v>
                </c:pt>
                <c:pt idx="1">
                  <c:v>236.06</c:v>
                </c:pt>
                <c:pt idx="2">
                  <c:v>132.69999999999999</c:v>
                </c:pt>
                <c:pt idx="3">
                  <c:v>91.33</c:v>
                </c:pt>
                <c:pt idx="4">
                  <c:v>103.17999999999998</c:v>
                </c:pt>
                <c:pt idx="5">
                  <c:v>64.75</c:v>
                </c:pt>
                <c:pt idx="6">
                  <c:v>78.440000000000026</c:v>
                </c:pt>
                <c:pt idx="7">
                  <c:v>69.739999999999995</c:v>
                </c:pt>
                <c:pt idx="8">
                  <c:v>56.68</c:v>
                </c:pt>
                <c:pt idx="9">
                  <c:v>156.20999999999998</c:v>
                </c:pt>
                <c:pt idx="10">
                  <c:v>221.99</c:v>
                </c:pt>
                <c:pt idx="11">
                  <c:v>443.92999999999961</c:v>
                </c:pt>
              </c:numCache>
            </c:numRef>
          </c:val>
        </c:ser>
        <c:dLbls>
          <c:showLegendKey val="0"/>
          <c:showVal val="0"/>
          <c:showCatName val="0"/>
          <c:showSerName val="0"/>
          <c:showPercent val="0"/>
          <c:showBubbleSize val="0"/>
        </c:dLbls>
        <c:gapWidth val="150"/>
        <c:axId val="203218944"/>
        <c:axId val="203220480"/>
      </c:barChart>
      <c:lineChart>
        <c:grouping val="standard"/>
        <c:varyColors val="0"/>
        <c:ser>
          <c:idx val="2"/>
          <c:order val="2"/>
          <c:tx>
            <c:strRef>
              <c:f>Sheet1!$D$1</c:f>
              <c:strCache>
                <c:ptCount val="1"/>
                <c:pt idx="0">
                  <c:v>srednja dnevna granična vrijednost</c:v>
                </c:pt>
              </c:strCache>
            </c:strRef>
          </c:tx>
          <c:spPr>
            <a:ln w="41275">
              <a:solidFill>
                <a:srgbClr val="FF0000"/>
              </a:solidFill>
            </a:ln>
          </c:spPr>
          <c:marker>
            <c:symbol val="none"/>
          </c:marker>
          <c:cat>
            <c:strRef>
              <c:f>Sheet1!$A$2:$A$13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Sheet1!$D$2:$D$13</c:f>
              <c:numCache>
                <c:formatCode>General</c:formatCode>
                <c:ptCount val="12"/>
                <c:pt idx="0">
                  <c:v>50</c:v>
                </c:pt>
                <c:pt idx="1">
                  <c:v>50</c:v>
                </c:pt>
                <c:pt idx="2">
                  <c:v>50</c:v>
                </c:pt>
                <c:pt idx="3">
                  <c:v>50</c:v>
                </c:pt>
                <c:pt idx="4">
                  <c:v>50</c:v>
                </c:pt>
                <c:pt idx="5">
                  <c:v>50</c:v>
                </c:pt>
                <c:pt idx="6">
                  <c:v>50</c:v>
                </c:pt>
                <c:pt idx="7">
                  <c:v>50</c:v>
                </c:pt>
                <c:pt idx="8">
                  <c:v>50</c:v>
                </c:pt>
                <c:pt idx="9">
                  <c:v>50</c:v>
                </c:pt>
                <c:pt idx="10">
                  <c:v>50</c:v>
                </c:pt>
                <c:pt idx="11">
                  <c:v>50</c:v>
                </c:pt>
              </c:numCache>
            </c:numRef>
          </c:val>
          <c:smooth val="0"/>
        </c:ser>
        <c:ser>
          <c:idx val="3"/>
          <c:order val="3"/>
          <c:tx>
            <c:strRef>
              <c:f>Sheet1!$E$1</c:f>
              <c:strCache>
                <c:ptCount val="1"/>
                <c:pt idx="0">
                  <c:v>granica tolerancije</c:v>
                </c:pt>
              </c:strCache>
            </c:strRef>
          </c:tx>
          <c:spPr>
            <a:ln w="41275">
              <a:solidFill>
                <a:schemeClr val="accent6">
                  <a:lumMod val="75000"/>
                </a:schemeClr>
              </a:solidFill>
            </a:ln>
          </c:spPr>
          <c:marker>
            <c:symbol val="none"/>
          </c:marker>
          <c:cat>
            <c:strRef>
              <c:f>Sheet1!$A$2:$A$13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Sheet1!$E$2:$E$13</c:f>
              <c:numCache>
                <c:formatCode>General</c:formatCode>
                <c:ptCount val="12"/>
                <c:pt idx="0">
                  <c:v>83</c:v>
                </c:pt>
                <c:pt idx="1">
                  <c:v>83</c:v>
                </c:pt>
                <c:pt idx="2">
                  <c:v>83</c:v>
                </c:pt>
                <c:pt idx="3">
                  <c:v>83</c:v>
                </c:pt>
                <c:pt idx="4">
                  <c:v>83</c:v>
                </c:pt>
                <c:pt idx="5">
                  <c:v>83</c:v>
                </c:pt>
                <c:pt idx="6">
                  <c:v>83</c:v>
                </c:pt>
                <c:pt idx="7">
                  <c:v>83</c:v>
                </c:pt>
                <c:pt idx="8">
                  <c:v>83</c:v>
                </c:pt>
                <c:pt idx="9">
                  <c:v>83</c:v>
                </c:pt>
                <c:pt idx="10">
                  <c:v>83</c:v>
                </c:pt>
                <c:pt idx="11">
                  <c:v>83</c:v>
                </c:pt>
              </c:numCache>
            </c:numRef>
          </c:val>
          <c:smooth val="0"/>
        </c:ser>
        <c:dLbls>
          <c:showLegendKey val="0"/>
          <c:showVal val="0"/>
          <c:showCatName val="0"/>
          <c:showSerName val="0"/>
          <c:showPercent val="0"/>
          <c:showBubbleSize val="0"/>
        </c:dLbls>
        <c:marker val="1"/>
        <c:smooth val="0"/>
        <c:axId val="203218944"/>
        <c:axId val="203220480"/>
      </c:lineChart>
      <c:catAx>
        <c:axId val="203218944"/>
        <c:scaling>
          <c:orientation val="minMax"/>
        </c:scaling>
        <c:delete val="0"/>
        <c:axPos val="b"/>
        <c:majorTickMark val="out"/>
        <c:minorTickMark val="none"/>
        <c:tickLblPos val="nextTo"/>
        <c:crossAx val="203220480"/>
        <c:crosses val="autoZero"/>
        <c:auto val="1"/>
        <c:lblAlgn val="ctr"/>
        <c:lblOffset val="100"/>
        <c:noMultiLvlLbl val="0"/>
      </c:catAx>
      <c:valAx>
        <c:axId val="203220480"/>
        <c:scaling>
          <c:orientation val="minMax"/>
        </c:scaling>
        <c:delete val="0"/>
        <c:axPos val="l"/>
        <c:title>
          <c:tx>
            <c:rich>
              <a:bodyPr rot="0" vert="horz"/>
              <a:lstStyle/>
              <a:p>
                <a:pPr>
                  <a:defRPr/>
                </a:pPr>
                <a:r>
                  <a:rPr lang="en-US">
                    <a:latin typeface="Calibri"/>
                  </a:rPr>
                  <a:t>µg/m</a:t>
                </a:r>
                <a:r>
                  <a:rPr lang="en-US" baseline="30000">
                    <a:latin typeface="Calibri"/>
                  </a:rPr>
                  <a:t>3</a:t>
                </a:r>
                <a:endParaRPr lang="en-US" baseline="30000"/>
              </a:p>
            </c:rich>
          </c:tx>
          <c:layout>
            <c:manualLayout>
              <c:xMode val="edge"/>
              <c:yMode val="edge"/>
              <c:x val="0"/>
              <c:y val="1.5548637815622005E-3"/>
            </c:manualLayout>
          </c:layout>
          <c:overlay val="0"/>
        </c:title>
        <c:numFmt formatCode="General" sourceLinked="1"/>
        <c:majorTickMark val="out"/>
        <c:minorTickMark val="none"/>
        <c:tickLblPos val="nextTo"/>
        <c:crossAx val="203218944"/>
        <c:crosses val="autoZero"/>
        <c:crossBetween val="between"/>
      </c:valAx>
      <c:spPr>
        <a:blipFill dpi="0" rotWithShape="1">
          <a:blip xmlns:r="http://schemas.openxmlformats.org/officeDocument/2006/relationships" r:embed="rId1">
            <a:alphaModFix amt="70000"/>
          </a:blip>
          <a:srcRect/>
          <a:stretch>
            <a:fillRect/>
          </a:stretch>
        </a:blipFill>
      </c:spPr>
    </c:plotArea>
    <c:legend>
      <c:legendPos val="r"/>
      <c:layout>
        <c:manualLayout>
          <c:xMode val="edge"/>
          <c:yMode val="edge"/>
          <c:x val="0.70423476111129257"/>
          <c:y val="0.24135843425663281"/>
          <c:w val="0.29511238367931325"/>
          <c:h val="0.54264301299687023"/>
        </c:manualLayout>
      </c:layout>
      <c:overlay val="1"/>
      <c:txPr>
        <a:bodyPr/>
        <a:lstStyle/>
        <a:p>
          <a:pPr>
            <a:defRPr sz="800"/>
          </a:pPr>
          <a:endParaRPr lang="en-US"/>
        </a:p>
      </c:txPr>
    </c:legend>
    <c:plotVisOnly val="1"/>
    <c:dispBlanksAs val="gap"/>
    <c:showDLblsOverMax val="0"/>
  </c:chart>
  <c:spPr>
    <a:ln>
      <a:noFill/>
    </a:ln>
  </c:sp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9.9424711388046885E-2"/>
          <c:y val="7.454864719186037E-2"/>
          <c:w val="0.90057529818978066"/>
          <c:h val="0.66211205693669062"/>
        </c:manualLayout>
      </c:layout>
      <c:barChart>
        <c:barDir val="col"/>
        <c:grouping val="stacked"/>
        <c:varyColors val="0"/>
        <c:ser>
          <c:idx val="0"/>
          <c:order val="0"/>
          <c:tx>
            <c:strRef>
              <c:f>'CO2 emisije'!$A$15</c:f>
              <c:strCache>
                <c:ptCount val="1"/>
                <c:pt idx="0">
                  <c:v>Energetika </c:v>
                </c:pt>
              </c:strCache>
            </c:strRef>
          </c:tx>
          <c:invertIfNegative val="0"/>
          <c:cat>
            <c:numRef>
              <c:f>'CO2 emisije'!$B$14:$W$14</c:f>
              <c:numCache>
                <c:formatCode>General</c:formatCode>
                <c:ptCount val="22"/>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numCache>
            </c:numRef>
          </c:cat>
          <c:val>
            <c:numRef>
              <c:f>'CO2 emisije'!$B$15:$W$15</c:f>
              <c:numCache>
                <c:formatCode>0.0</c:formatCode>
                <c:ptCount val="22"/>
                <c:pt idx="0">
                  <c:v>2260.2088675319987</c:v>
                </c:pt>
                <c:pt idx="1">
                  <c:v>2367.0405924513902</c:v>
                </c:pt>
                <c:pt idx="2">
                  <c:v>1963.4924412449927</c:v>
                </c:pt>
                <c:pt idx="3">
                  <c:v>1613.0924339572407</c:v>
                </c:pt>
                <c:pt idx="4">
                  <c:v>1284.8025295716484</c:v>
                </c:pt>
                <c:pt idx="5">
                  <c:v>431.00740368187297</c:v>
                </c:pt>
                <c:pt idx="6">
                  <c:v>1908.1005289173183</c:v>
                </c:pt>
                <c:pt idx="7">
                  <c:v>1759.0844561179986</c:v>
                </c:pt>
                <c:pt idx="8">
                  <c:v>2165.0093286360002</c:v>
                </c:pt>
                <c:pt idx="9">
                  <c:v>2241.8676636766663</c:v>
                </c:pt>
                <c:pt idx="10">
                  <c:v>2345.0406160500002</c:v>
                </c:pt>
                <c:pt idx="11">
                  <c:v>1942.6906700189998</c:v>
                </c:pt>
                <c:pt idx="12">
                  <c:v>2410.1545462426661</c:v>
                </c:pt>
                <c:pt idx="13">
                  <c:v>2310.5710735836697</c:v>
                </c:pt>
                <c:pt idx="14">
                  <c:v>2300.5874792669997</c:v>
                </c:pt>
                <c:pt idx="15">
                  <c:v>2145.1449832340004</c:v>
                </c:pt>
                <c:pt idx="16" formatCode="General">
                  <c:v>2332.8736122853388</c:v>
                </c:pt>
                <c:pt idx="17" formatCode="General">
                  <c:v>2272.2231390796669</c:v>
                </c:pt>
                <c:pt idx="18" formatCode="General">
                  <c:v>2824.1555055120002</c:v>
                </c:pt>
                <c:pt idx="19" formatCode="General">
                  <c:v>1944.3758538013335</c:v>
                </c:pt>
                <c:pt idx="20" formatCode="General">
                  <c:v>2694.4563532920033</c:v>
                </c:pt>
                <c:pt idx="21" formatCode="General">
                  <c:v>2526.9259323330043</c:v>
                </c:pt>
              </c:numCache>
            </c:numRef>
          </c:val>
        </c:ser>
        <c:ser>
          <c:idx val="1"/>
          <c:order val="1"/>
          <c:tx>
            <c:strRef>
              <c:f>'CO2 emisije'!$A$16</c:f>
              <c:strCache>
                <c:ptCount val="1"/>
                <c:pt idx="0">
                  <c:v>Industrija</c:v>
                </c:pt>
              </c:strCache>
            </c:strRef>
          </c:tx>
          <c:invertIfNegative val="0"/>
          <c:cat>
            <c:numRef>
              <c:f>'CO2 emisije'!$B$14:$W$14</c:f>
              <c:numCache>
                <c:formatCode>General</c:formatCode>
                <c:ptCount val="22"/>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numCache>
            </c:numRef>
          </c:cat>
          <c:val>
            <c:numRef>
              <c:f>'CO2 emisije'!$B$16:$W$16</c:f>
              <c:numCache>
                <c:formatCode>0.0</c:formatCode>
                <c:ptCount val="22"/>
                <c:pt idx="0">
                  <c:v>231.20999999999998</c:v>
                </c:pt>
                <c:pt idx="1">
                  <c:v>218.48000000000016</c:v>
                </c:pt>
                <c:pt idx="2">
                  <c:v>180.23</c:v>
                </c:pt>
                <c:pt idx="3">
                  <c:v>78.069999999999993</c:v>
                </c:pt>
                <c:pt idx="4">
                  <c:v>44</c:v>
                </c:pt>
                <c:pt idx="5">
                  <c:v>73.33</c:v>
                </c:pt>
                <c:pt idx="6">
                  <c:v>120.81</c:v>
                </c:pt>
                <c:pt idx="7">
                  <c:v>161.62</c:v>
                </c:pt>
                <c:pt idx="8">
                  <c:v>170.66</c:v>
                </c:pt>
                <c:pt idx="9">
                  <c:v>156.23999999999998</c:v>
                </c:pt>
                <c:pt idx="10">
                  <c:v>175.72</c:v>
                </c:pt>
                <c:pt idx="11">
                  <c:v>197.41</c:v>
                </c:pt>
                <c:pt idx="12">
                  <c:v>206.81</c:v>
                </c:pt>
                <c:pt idx="13">
                  <c:v>198.03</c:v>
                </c:pt>
                <c:pt idx="14">
                  <c:v>210.09</c:v>
                </c:pt>
                <c:pt idx="15">
                  <c:v>202.09</c:v>
                </c:pt>
                <c:pt idx="16" formatCode="General">
                  <c:v>209.59</c:v>
                </c:pt>
                <c:pt idx="17" formatCode="General">
                  <c:v>211.23</c:v>
                </c:pt>
                <c:pt idx="18" formatCode="General">
                  <c:v>195.72</c:v>
                </c:pt>
                <c:pt idx="19" formatCode="General">
                  <c:v>113.14999999999999</c:v>
                </c:pt>
                <c:pt idx="20" formatCode="General">
                  <c:v>142.41</c:v>
                </c:pt>
                <c:pt idx="21" formatCode="General">
                  <c:v>158.79</c:v>
                </c:pt>
              </c:numCache>
            </c:numRef>
          </c:val>
        </c:ser>
        <c:ser>
          <c:idx val="2"/>
          <c:order val="2"/>
          <c:tx>
            <c:strRef>
              <c:f>'CO2 emisije'!$A$17</c:f>
              <c:strCache>
                <c:ptCount val="1"/>
              </c:strCache>
            </c:strRef>
          </c:tx>
          <c:invertIfNegative val="0"/>
          <c:cat>
            <c:numRef>
              <c:f>'CO2 emisije'!$B$14:$W$14</c:f>
              <c:numCache>
                <c:formatCode>General</c:formatCode>
                <c:ptCount val="22"/>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numCache>
            </c:numRef>
          </c:cat>
          <c:val>
            <c:numRef>
              <c:f>'CO2 emisije'!$B$17:$W$17</c:f>
              <c:numCache>
                <c:formatCode>General</c:formatCode>
                <c:ptCount val="22"/>
              </c:numCache>
            </c:numRef>
          </c:val>
        </c:ser>
        <c:dLbls>
          <c:showLegendKey val="0"/>
          <c:showVal val="0"/>
          <c:showCatName val="0"/>
          <c:showSerName val="0"/>
          <c:showPercent val="0"/>
          <c:showBubbleSize val="0"/>
        </c:dLbls>
        <c:gapWidth val="126"/>
        <c:overlap val="100"/>
        <c:axId val="208500224"/>
        <c:axId val="208501760"/>
      </c:barChart>
      <c:catAx>
        <c:axId val="208500224"/>
        <c:scaling>
          <c:orientation val="minMax"/>
        </c:scaling>
        <c:delete val="0"/>
        <c:axPos val="b"/>
        <c:numFmt formatCode="General" sourceLinked="1"/>
        <c:majorTickMark val="out"/>
        <c:minorTickMark val="none"/>
        <c:tickLblPos val="nextTo"/>
        <c:txPr>
          <a:bodyPr rot="-5400000" vert="horz"/>
          <a:lstStyle/>
          <a:p>
            <a:pPr>
              <a:defRPr>
                <a:latin typeface="Constantia" pitchFamily="18" charset="0"/>
              </a:defRPr>
            </a:pPr>
            <a:endParaRPr lang="en-US"/>
          </a:p>
        </c:txPr>
        <c:crossAx val="208501760"/>
        <c:crosses val="autoZero"/>
        <c:auto val="1"/>
        <c:lblAlgn val="ctr"/>
        <c:lblOffset val="100"/>
        <c:noMultiLvlLbl val="0"/>
      </c:catAx>
      <c:valAx>
        <c:axId val="208501760"/>
        <c:scaling>
          <c:orientation val="minMax"/>
        </c:scaling>
        <c:delete val="0"/>
        <c:axPos val="l"/>
        <c:numFmt formatCode="0.0" sourceLinked="1"/>
        <c:majorTickMark val="out"/>
        <c:minorTickMark val="none"/>
        <c:tickLblPos val="nextTo"/>
        <c:txPr>
          <a:bodyPr/>
          <a:lstStyle/>
          <a:p>
            <a:pPr>
              <a:defRPr>
                <a:latin typeface="Constantia" pitchFamily="18" charset="0"/>
              </a:defRPr>
            </a:pPr>
            <a:endParaRPr lang="en-US"/>
          </a:p>
        </c:txPr>
        <c:crossAx val="208500224"/>
        <c:crosses val="autoZero"/>
        <c:crossBetween val="between"/>
      </c:valAx>
    </c:plotArea>
    <c:legend>
      <c:legendPos val="r"/>
      <c:legendEntry>
        <c:idx val="0"/>
        <c:delete val="1"/>
      </c:legendEntry>
      <c:layout>
        <c:manualLayout>
          <c:xMode val="edge"/>
          <c:yMode val="edge"/>
          <c:x val="0.59792798441760375"/>
          <c:y val="0"/>
          <c:w val="0.2208761653721947"/>
          <c:h val="0.14516567937028205"/>
        </c:manualLayout>
      </c:layout>
      <c:overlay val="0"/>
      <c:txPr>
        <a:bodyPr/>
        <a:lstStyle/>
        <a:p>
          <a:pPr>
            <a:defRPr>
              <a:latin typeface="Constantia" pitchFamily="18" charset="0"/>
            </a:defRPr>
          </a:pPr>
          <a:endParaRPr lang="en-US"/>
        </a:p>
      </c:txPr>
    </c:legend>
    <c:plotVisOnly val="1"/>
    <c:dispBlanksAs val="gap"/>
    <c:showDLblsOverMax val="0"/>
  </c:chart>
  <c:spPr>
    <a:ln>
      <a:noFill/>
    </a:ln>
  </c:sp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0296150481189854E-2"/>
          <c:y val="5.0925925925925923E-2"/>
          <c:w val="0.91265562323577576"/>
          <c:h val="0.75916595710642565"/>
        </c:manualLayout>
      </c:layout>
      <c:barChart>
        <c:barDir val="col"/>
        <c:grouping val="stacked"/>
        <c:varyColors val="0"/>
        <c:ser>
          <c:idx val="0"/>
          <c:order val="0"/>
          <c:tx>
            <c:strRef>
              <c:f>'CH4 emisije '!$B$3</c:f>
              <c:strCache>
                <c:ptCount val="1"/>
                <c:pt idx="0">
                  <c:v>Energetika </c:v>
                </c:pt>
              </c:strCache>
            </c:strRef>
          </c:tx>
          <c:invertIfNegative val="0"/>
          <c:cat>
            <c:numRef>
              <c:f>'CH4 emisije '!$C$2:$X$2</c:f>
              <c:numCache>
                <c:formatCode>General</c:formatCode>
                <c:ptCount val="22"/>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numCache>
            </c:numRef>
          </c:cat>
          <c:val>
            <c:numRef>
              <c:f>'CH4 emisije '!$C$3:$X$3</c:f>
              <c:numCache>
                <c:formatCode>0.0</c:formatCode>
                <c:ptCount val="22"/>
                <c:pt idx="0">
                  <c:v>3.6789999999999998</c:v>
                </c:pt>
                <c:pt idx="1">
                  <c:v>3.4939999999999998</c:v>
                </c:pt>
                <c:pt idx="2">
                  <c:v>3.4470000000000001</c:v>
                </c:pt>
                <c:pt idx="3">
                  <c:v>3.2610000000000001</c:v>
                </c:pt>
                <c:pt idx="4">
                  <c:v>2.4959999999999987</c:v>
                </c:pt>
                <c:pt idx="5">
                  <c:v>2.3379999999999987</c:v>
                </c:pt>
                <c:pt idx="6">
                  <c:v>2.8899999999999997</c:v>
                </c:pt>
                <c:pt idx="7">
                  <c:v>3.0259999999999998</c:v>
                </c:pt>
                <c:pt idx="8">
                  <c:v>3.0289999999999999</c:v>
                </c:pt>
                <c:pt idx="9">
                  <c:v>3.0259999999999998</c:v>
                </c:pt>
                <c:pt idx="10">
                  <c:v>2.8489999999999998</c:v>
                </c:pt>
                <c:pt idx="11">
                  <c:v>2.577</c:v>
                </c:pt>
                <c:pt idx="12">
                  <c:v>3.2549999999999999</c:v>
                </c:pt>
                <c:pt idx="13">
                  <c:v>3.657</c:v>
                </c:pt>
                <c:pt idx="14">
                  <c:v>3.613</c:v>
                </c:pt>
                <c:pt idx="15">
                  <c:v>3.4219999999999997</c:v>
                </c:pt>
                <c:pt idx="16" formatCode="General">
                  <c:v>3.6680000000000001</c:v>
                </c:pt>
                <c:pt idx="17" formatCode="General">
                  <c:v>3.3239999999999998</c:v>
                </c:pt>
                <c:pt idx="18" formatCode="General">
                  <c:v>3.8589999999999987</c:v>
                </c:pt>
                <c:pt idx="19" formatCode="General">
                  <c:v>3.2170000000000001</c:v>
                </c:pt>
                <c:pt idx="20" formatCode="General">
                  <c:v>4.114999999999994</c:v>
                </c:pt>
                <c:pt idx="21" formatCode="General">
                  <c:v>4.2050000000000001</c:v>
                </c:pt>
              </c:numCache>
            </c:numRef>
          </c:val>
        </c:ser>
        <c:ser>
          <c:idx val="1"/>
          <c:order val="1"/>
          <c:tx>
            <c:strRef>
              <c:f>'CH4 emisije '!$B$6</c:f>
              <c:strCache>
                <c:ptCount val="1"/>
                <c:pt idx="0">
                  <c:v>Poljoprivreda</c:v>
                </c:pt>
              </c:strCache>
            </c:strRef>
          </c:tx>
          <c:invertIfNegative val="0"/>
          <c:cat>
            <c:numRef>
              <c:f>'CH4 emisije '!$C$2:$X$2</c:f>
              <c:numCache>
                <c:formatCode>General</c:formatCode>
                <c:ptCount val="22"/>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numCache>
            </c:numRef>
          </c:cat>
          <c:val>
            <c:numRef>
              <c:f>'CH4 emisije '!$C$6:$X$6</c:f>
              <c:numCache>
                <c:formatCode>0.0</c:formatCode>
                <c:ptCount val="22"/>
                <c:pt idx="0">
                  <c:v>20.18</c:v>
                </c:pt>
                <c:pt idx="1">
                  <c:v>20.110000000000021</c:v>
                </c:pt>
                <c:pt idx="2">
                  <c:v>18.88</c:v>
                </c:pt>
                <c:pt idx="3">
                  <c:v>18.13000000000002</c:v>
                </c:pt>
                <c:pt idx="4">
                  <c:v>18.479999999999986</c:v>
                </c:pt>
                <c:pt idx="5">
                  <c:v>19.079999999999988</c:v>
                </c:pt>
                <c:pt idx="6">
                  <c:v>19.03</c:v>
                </c:pt>
                <c:pt idx="7">
                  <c:v>18.510000000000005</c:v>
                </c:pt>
                <c:pt idx="8">
                  <c:v>18.32</c:v>
                </c:pt>
                <c:pt idx="9">
                  <c:v>18.39</c:v>
                </c:pt>
                <c:pt idx="10">
                  <c:v>18.010000000000005</c:v>
                </c:pt>
                <c:pt idx="11">
                  <c:v>17.66</c:v>
                </c:pt>
                <c:pt idx="12">
                  <c:v>18.059999999999999</c:v>
                </c:pt>
                <c:pt idx="13">
                  <c:v>17.7</c:v>
                </c:pt>
                <c:pt idx="14">
                  <c:v>17.170000000000005</c:v>
                </c:pt>
                <c:pt idx="15">
                  <c:v>12.26</c:v>
                </c:pt>
                <c:pt idx="16" formatCode="General">
                  <c:v>11.93</c:v>
                </c:pt>
                <c:pt idx="17" formatCode="General">
                  <c:v>11.17</c:v>
                </c:pt>
                <c:pt idx="18" formatCode="General">
                  <c:v>10.91</c:v>
                </c:pt>
                <c:pt idx="19" formatCode="General">
                  <c:v>8.8000000000000007</c:v>
                </c:pt>
                <c:pt idx="20" formatCode="General">
                  <c:v>9.15</c:v>
                </c:pt>
                <c:pt idx="21" formatCode="General">
                  <c:v>9.27</c:v>
                </c:pt>
              </c:numCache>
            </c:numRef>
          </c:val>
        </c:ser>
        <c:ser>
          <c:idx val="2"/>
          <c:order val="2"/>
          <c:tx>
            <c:strRef>
              <c:f>'CH4 emisije '!$B$8</c:f>
              <c:strCache>
                <c:ptCount val="1"/>
                <c:pt idx="0">
                  <c:v>Otpad</c:v>
                </c:pt>
              </c:strCache>
            </c:strRef>
          </c:tx>
          <c:invertIfNegative val="0"/>
          <c:cat>
            <c:numRef>
              <c:f>'CH4 emisije '!$C$2:$X$2</c:f>
              <c:numCache>
                <c:formatCode>General</c:formatCode>
                <c:ptCount val="22"/>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numCache>
            </c:numRef>
          </c:cat>
          <c:val>
            <c:numRef>
              <c:f>'CH4 emisije '!$C$8:$X$8</c:f>
              <c:numCache>
                <c:formatCode>General</c:formatCode>
                <c:ptCount val="22"/>
                <c:pt idx="0">
                  <c:v>5</c:v>
                </c:pt>
                <c:pt idx="1">
                  <c:v>5</c:v>
                </c:pt>
                <c:pt idx="2">
                  <c:v>5</c:v>
                </c:pt>
                <c:pt idx="3">
                  <c:v>5</c:v>
                </c:pt>
                <c:pt idx="4">
                  <c:v>5</c:v>
                </c:pt>
                <c:pt idx="5">
                  <c:v>5</c:v>
                </c:pt>
                <c:pt idx="6">
                  <c:v>5</c:v>
                </c:pt>
                <c:pt idx="7">
                  <c:v>5</c:v>
                </c:pt>
                <c:pt idx="8">
                  <c:v>5</c:v>
                </c:pt>
                <c:pt idx="9">
                  <c:v>5</c:v>
                </c:pt>
                <c:pt idx="10">
                  <c:v>5</c:v>
                </c:pt>
                <c:pt idx="11">
                  <c:v>5</c:v>
                </c:pt>
                <c:pt idx="12">
                  <c:v>5</c:v>
                </c:pt>
                <c:pt idx="13">
                  <c:v>5</c:v>
                </c:pt>
                <c:pt idx="14">
                  <c:v>5</c:v>
                </c:pt>
                <c:pt idx="15">
                  <c:v>5</c:v>
                </c:pt>
                <c:pt idx="16">
                  <c:v>5</c:v>
                </c:pt>
                <c:pt idx="17">
                  <c:v>5</c:v>
                </c:pt>
                <c:pt idx="18">
                  <c:v>4</c:v>
                </c:pt>
                <c:pt idx="19">
                  <c:v>4</c:v>
                </c:pt>
                <c:pt idx="20">
                  <c:v>4</c:v>
                </c:pt>
                <c:pt idx="21">
                  <c:v>4</c:v>
                </c:pt>
              </c:numCache>
            </c:numRef>
          </c:val>
        </c:ser>
        <c:dLbls>
          <c:showLegendKey val="0"/>
          <c:showVal val="0"/>
          <c:showCatName val="0"/>
          <c:showSerName val="0"/>
          <c:showPercent val="0"/>
          <c:showBubbleSize val="0"/>
        </c:dLbls>
        <c:gapWidth val="150"/>
        <c:overlap val="100"/>
        <c:axId val="208532224"/>
        <c:axId val="208533760"/>
      </c:barChart>
      <c:catAx>
        <c:axId val="208532224"/>
        <c:scaling>
          <c:orientation val="minMax"/>
        </c:scaling>
        <c:delete val="0"/>
        <c:axPos val="b"/>
        <c:numFmt formatCode="General" sourceLinked="1"/>
        <c:majorTickMark val="out"/>
        <c:minorTickMark val="none"/>
        <c:tickLblPos val="nextTo"/>
        <c:txPr>
          <a:bodyPr rot="-5400000" vert="horz"/>
          <a:lstStyle/>
          <a:p>
            <a:pPr>
              <a:defRPr>
                <a:latin typeface="Constantia" pitchFamily="18" charset="0"/>
              </a:defRPr>
            </a:pPr>
            <a:endParaRPr lang="en-US"/>
          </a:p>
        </c:txPr>
        <c:crossAx val="208533760"/>
        <c:crosses val="autoZero"/>
        <c:auto val="1"/>
        <c:lblAlgn val="ctr"/>
        <c:lblOffset val="100"/>
        <c:noMultiLvlLbl val="0"/>
      </c:catAx>
      <c:valAx>
        <c:axId val="208533760"/>
        <c:scaling>
          <c:orientation val="minMax"/>
        </c:scaling>
        <c:delete val="0"/>
        <c:axPos val="l"/>
        <c:numFmt formatCode="0.0" sourceLinked="1"/>
        <c:majorTickMark val="out"/>
        <c:minorTickMark val="none"/>
        <c:tickLblPos val="nextTo"/>
        <c:txPr>
          <a:bodyPr/>
          <a:lstStyle/>
          <a:p>
            <a:pPr>
              <a:defRPr>
                <a:latin typeface="Constantia" pitchFamily="18" charset="0"/>
              </a:defRPr>
            </a:pPr>
            <a:endParaRPr lang="en-US"/>
          </a:p>
        </c:txPr>
        <c:crossAx val="208532224"/>
        <c:crosses val="autoZero"/>
        <c:crossBetween val="between"/>
      </c:valAx>
      <c:spPr>
        <a:ln>
          <a:noFill/>
        </a:ln>
      </c:spPr>
    </c:plotArea>
    <c:legend>
      <c:legendPos val="r"/>
      <c:layout>
        <c:manualLayout>
          <c:xMode val="edge"/>
          <c:yMode val="edge"/>
          <c:x val="0.71637547196959561"/>
          <c:y val="0"/>
          <c:w val="0.20045795315214238"/>
          <c:h val="0.26229900472733653"/>
        </c:manualLayout>
      </c:layout>
      <c:overlay val="0"/>
      <c:txPr>
        <a:bodyPr/>
        <a:lstStyle/>
        <a:p>
          <a:pPr>
            <a:defRPr>
              <a:latin typeface="Constantia" pitchFamily="18" charset="0"/>
            </a:defRPr>
          </a:pPr>
          <a:endParaRPr lang="en-US"/>
        </a:p>
      </c:txPr>
    </c:legend>
    <c:plotVisOnly val="1"/>
    <c:dispBlanksAs val="gap"/>
    <c:showDLblsOverMax val="0"/>
  </c:chart>
  <c:spPr>
    <a:ln>
      <a:noFill/>
    </a:ln>
  </c:sp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3246581196581192E-2"/>
          <c:y val="7.7611111111111131E-2"/>
          <c:w val="0.88918504273504251"/>
          <c:h val="0.6665879450319232"/>
        </c:manualLayout>
      </c:layout>
      <c:barChart>
        <c:barDir val="col"/>
        <c:grouping val="stacked"/>
        <c:varyColors val="0"/>
        <c:ser>
          <c:idx val="0"/>
          <c:order val="0"/>
          <c:tx>
            <c:strRef>
              <c:f>'N2O emisije'!$B$3</c:f>
              <c:strCache>
                <c:ptCount val="1"/>
                <c:pt idx="0">
                  <c:v>Energetika </c:v>
                </c:pt>
              </c:strCache>
            </c:strRef>
          </c:tx>
          <c:invertIfNegative val="0"/>
          <c:cat>
            <c:numRef>
              <c:f>'N2O emisije'!$C$2:$X$2</c:f>
              <c:numCache>
                <c:formatCode>General</c:formatCode>
                <c:ptCount val="22"/>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numCache>
            </c:numRef>
          </c:cat>
          <c:val>
            <c:numRef>
              <c:f>'N2O emisije'!$C$3:$X$3</c:f>
              <c:numCache>
                <c:formatCode>0.0</c:formatCode>
                <c:ptCount val="22"/>
                <c:pt idx="0">
                  <c:v>7.5000000000000011E-2</c:v>
                </c:pt>
                <c:pt idx="1">
                  <c:v>8.5000000000000006E-2</c:v>
                </c:pt>
                <c:pt idx="2">
                  <c:v>7.0000000000000021E-2</c:v>
                </c:pt>
                <c:pt idx="3">
                  <c:v>5.5000000000000014E-2</c:v>
                </c:pt>
                <c:pt idx="4">
                  <c:v>4.0000000000000022E-2</c:v>
                </c:pt>
                <c:pt idx="5">
                  <c:v>3.3000000000000002E-2</c:v>
                </c:pt>
                <c:pt idx="6">
                  <c:v>6.1000000000000013E-2</c:v>
                </c:pt>
                <c:pt idx="7">
                  <c:v>6.2000000000000034E-2</c:v>
                </c:pt>
                <c:pt idx="8">
                  <c:v>7.5999999999999998E-2</c:v>
                </c:pt>
                <c:pt idx="9">
                  <c:v>7.5999999999999998E-2</c:v>
                </c:pt>
                <c:pt idx="10">
                  <c:v>8.0000000000000043E-2</c:v>
                </c:pt>
                <c:pt idx="11">
                  <c:v>7.1999999999999995E-2</c:v>
                </c:pt>
                <c:pt idx="12">
                  <c:v>7.6999999999999999E-2</c:v>
                </c:pt>
                <c:pt idx="13">
                  <c:v>8.3000000000000046E-2</c:v>
                </c:pt>
                <c:pt idx="14">
                  <c:v>9.0000000000000024E-2</c:v>
                </c:pt>
                <c:pt idx="15">
                  <c:v>9.7000000000000003E-2</c:v>
                </c:pt>
                <c:pt idx="16" formatCode="General">
                  <c:v>9.5000000000000043E-2</c:v>
                </c:pt>
                <c:pt idx="17" formatCode="General">
                  <c:v>0.10199999999999998</c:v>
                </c:pt>
                <c:pt idx="18" formatCode="General">
                  <c:v>0.12200000000000008</c:v>
                </c:pt>
                <c:pt idx="19" formatCode="General">
                  <c:v>0.10199999999999998</c:v>
                </c:pt>
                <c:pt idx="20" formatCode="General">
                  <c:v>0.12200000000000008</c:v>
                </c:pt>
                <c:pt idx="21" formatCode="General">
                  <c:v>0.12400000000000008</c:v>
                </c:pt>
              </c:numCache>
            </c:numRef>
          </c:val>
        </c:ser>
        <c:ser>
          <c:idx val="1"/>
          <c:order val="1"/>
          <c:tx>
            <c:strRef>
              <c:f>'N2O emisije'!$B$6</c:f>
              <c:strCache>
                <c:ptCount val="1"/>
                <c:pt idx="0">
                  <c:v>Poljoprivreda</c:v>
                </c:pt>
              </c:strCache>
            </c:strRef>
          </c:tx>
          <c:invertIfNegative val="0"/>
          <c:cat>
            <c:numRef>
              <c:f>'N2O emisije'!$C$2:$X$2</c:f>
              <c:numCache>
                <c:formatCode>General</c:formatCode>
                <c:ptCount val="22"/>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numCache>
            </c:numRef>
          </c:cat>
          <c:val>
            <c:numRef>
              <c:f>'N2O emisije'!$C$6:$X$6</c:f>
              <c:numCache>
                <c:formatCode>0.0</c:formatCode>
                <c:ptCount val="22"/>
                <c:pt idx="0">
                  <c:v>1.1599999999999986</c:v>
                </c:pt>
                <c:pt idx="1">
                  <c:v>1.1599999999999986</c:v>
                </c:pt>
                <c:pt idx="2">
                  <c:v>1.1000000000000001</c:v>
                </c:pt>
                <c:pt idx="3">
                  <c:v>1.05</c:v>
                </c:pt>
                <c:pt idx="4">
                  <c:v>1.06</c:v>
                </c:pt>
                <c:pt idx="5">
                  <c:v>1.0900000000000001</c:v>
                </c:pt>
                <c:pt idx="6">
                  <c:v>1.08</c:v>
                </c:pt>
                <c:pt idx="7">
                  <c:v>1.04</c:v>
                </c:pt>
                <c:pt idx="8">
                  <c:v>0.99</c:v>
                </c:pt>
                <c:pt idx="9">
                  <c:v>0.97000000000000064</c:v>
                </c:pt>
                <c:pt idx="10">
                  <c:v>0.94000000000000061</c:v>
                </c:pt>
                <c:pt idx="11">
                  <c:v>0.9</c:v>
                </c:pt>
                <c:pt idx="12">
                  <c:v>0.87000000000000066</c:v>
                </c:pt>
                <c:pt idx="13">
                  <c:v>0.92</c:v>
                </c:pt>
                <c:pt idx="14">
                  <c:v>0.9</c:v>
                </c:pt>
                <c:pt idx="15">
                  <c:v>0.70000000000000062</c:v>
                </c:pt>
                <c:pt idx="16" formatCode="General">
                  <c:v>0.69000000000000061</c:v>
                </c:pt>
                <c:pt idx="17" formatCode="General">
                  <c:v>0.63000000000000078</c:v>
                </c:pt>
                <c:pt idx="18" formatCode="General">
                  <c:v>0.62000000000000066</c:v>
                </c:pt>
                <c:pt idx="19" formatCode="General">
                  <c:v>0.55000000000000004</c:v>
                </c:pt>
                <c:pt idx="20" formatCode="General">
                  <c:v>0.60000000000000064</c:v>
                </c:pt>
                <c:pt idx="21" formatCode="General">
                  <c:v>0.60000000000000064</c:v>
                </c:pt>
              </c:numCache>
            </c:numRef>
          </c:val>
        </c:ser>
        <c:dLbls>
          <c:showLegendKey val="0"/>
          <c:showVal val="0"/>
          <c:showCatName val="0"/>
          <c:showSerName val="0"/>
          <c:showPercent val="0"/>
          <c:showBubbleSize val="0"/>
        </c:dLbls>
        <c:gapWidth val="150"/>
        <c:overlap val="100"/>
        <c:axId val="208619392"/>
        <c:axId val="208620928"/>
      </c:barChart>
      <c:catAx>
        <c:axId val="208619392"/>
        <c:scaling>
          <c:orientation val="minMax"/>
        </c:scaling>
        <c:delete val="0"/>
        <c:axPos val="b"/>
        <c:numFmt formatCode="General" sourceLinked="1"/>
        <c:majorTickMark val="out"/>
        <c:minorTickMark val="none"/>
        <c:tickLblPos val="nextTo"/>
        <c:txPr>
          <a:bodyPr rot="-5400000" vert="horz"/>
          <a:lstStyle/>
          <a:p>
            <a:pPr>
              <a:defRPr>
                <a:latin typeface="Constantia" pitchFamily="18" charset="0"/>
              </a:defRPr>
            </a:pPr>
            <a:endParaRPr lang="en-US"/>
          </a:p>
        </c:txPr>
        <c:crossAx val="208620928"/>
        <c:crosses val="autoZero"/>
        <c:auto val="1"/>
        <c:lblAlgn val="ctr"/>
        <c:lblOffset val="100"/>
        <c:noMultiLvlLbl val="0"/>
      </c:catAx>
      <c:valAx>
        <c:axId val="208620928"/>
        <c:scaling>
          <c:orientation val="minMax"/>
        </c:scaling>
        <c:delete val="0"/>
        <c:axPos val="l"/>
        <c:numFmt formatCode="0.0" sourceLinked="1"/>
        <c:majorTickMark val="out"/>
        <c:minorTickMark val="none"/>
        <c:tickLblPos val="nextTo"/>
        <c:txPr>
          <a:bodyPr/>
          <a:lstStyle/>
          <a:p>
            <a:pPr>
              <a:defRPr>
                <a:latin typeface="Constantia" pitchFamily="18" charset="0"/>
              </a:defRPr>
            </a:pPr>
            <a:endParaRPr lang="en-US"/>
          </a:p>
        </c:txPr>
        <c:crossAx val="208619392"/>
        <c:crosses val="autoZero"/>
        <c:crossBetween val="between"/>
      </c:valAx>
    </c:plotArea>
    <c:legend>
      <c:legendPos val="r"/>
      <c:layout>
        <c:manualLayout>
          <c:xMode val="edge"/>
          <c:yMode val="edge"/>
          <c:x val="0.71033324437821854"/>
          <c:y val="5.0046955139781864E-2"/>
          <c:w val="0.19541789756357344"/>
          <c:h val="0.17051959414164156"/>
        </c:manualLayout>
      </c:layout>
      <c:overlay val="0"/>
      <c:txPr>
        <a:bodyPr/>
        <a:lstStyle/>
        <a:p>
          <a:pPr>
            <a:defRPr>
              <a:latin typeface="Constantia" pitchFamily="18" charset="0"/>
            </a:defRPr>
          </a:pPr>
          <a:endParaRPr lang="en-US"/>
        </a:p>
      </c:txPr>
    </c:legend>
    <c:plotVisOnly val="1"/>
    <c:dispBlanksAs val="gap"/>
    <c:showDLblsOverMax val="0"/>
  </c:chart>
  <c:spPr>
    <a:ln>
      <a:no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manualLayout>
          <c:layoutTarget val="inner"/>
          <c:xMode val="edge"/>
          <c:yMode val="edge"/>
          <c:x val="0.10845988001499801"/>
          <c:y val="0.10096358126907966"/>
          <c:w val="0.61797126921634793"/>
          <c:h val="0.72085341263672631"/>
        </c:manualLayout>
      </c:layout>
      <c:barChart>
        <c:barDir val="col"/>
        <c:grouping val="clustered"/>
        <c:varyColors val="0"/>
        <c:ser>
          <c:idx val="0"/>
          <c:order val="0"/>
          <c:tx>
            <c:strRef>
              <c:f>Sheet1!$B$1</c:f>
              <c:strCache>
                <c:ptCount val="1"/>
                <c:pt idx="0">
                  <c:v>Srednja mjesečna 8-časovna vrijednost</c:v>
                </c:pt>
              </c:strCache>
            </c:strRef>
          </c:tx>
          <c:spPr>
            <a:solidFill>
              <a:srgbClr val="FFFF00"/>
            </a:solidFill>
          </c:spPr>
          <c:invertIfNegative val="0"/>
          <c:cat>
            <c:strRef>
              <c:f>Sheet1!$A$2:$A$13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Sheet1!$B$2:$B$13</c:f>
              <c:numCache>
                <c:formatCode>General</c:formatCode>
                <c:ptCount val="12"/>
                <c:pt idx="0">
                  <c:v>1.03</c:v>
                </c:pt>
                <c:pt idx="1">
                  <c:v>0.8</c:v>
                </c:pt>
                <c:pt idx="2">
                  <c:v>0.59</c:v>
                </c:pt>
                <c:pt idx="3">
                  <c:v>0.3900000000000004</c:v>
                </c:pt>
                <c:pt idx="4">
                  <c:v>0.25</c:v>
                </c:pt>
                <c:pt idx="5">
                  <c:v>0.22</c:v>
                </c:pt>
                <c:pt idx="6">
                  <c:v>0.19</c:v>
                </c:pt>
                <c:pt idx="7">
                  <c:v>0.30000000000000032</c:v>
                </c:pt>
                <c:pt idx="8">
                  <c:v>0.31000000000000033</c:v>
                </c:pt>
                <c:pt idx="9">
                  <c:v>0.5</c:v>
                </c:pt>
                <c:pt idx="10">
                  <c:v>0.8</c:v>
                </c:pt>
                <c:pt idx="11">
                  <c:v>1.6300000000000001</c:v>
                </c:pt>
              </c:numCache>
            </c:numRef>
          </c:val>
        </c:ser>
        <c:ser>
          <c:idx val="1"/>
          <c:order val="1"/>
          <c:tx>
            <c:strRef>
              <c:f>Sheet1!$C$1</c:f>
              <c:strCache>
                <c:ptCount val="1"/>
                <c:pt idx="0">
                  <c:v>Max dnevna 8-časovna vrijednost</c:v>
                </c:pt>
              </c:strCache>
            </c:strRef>
          </c:tx>
          <c:invertIfNegative val="0"/>
          <c:cat>
            <c:strRef>
              <c:f>Sheet1!$A$2:$A$13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Sheet1!$C$2:$C$13</c:f>
              <c:numCache>
                <c:formatCode>General</c:formatCode>
                <c:ptCount val="12"/>
                <c:pt idx="0">
                  <c:v>4.59</c:v>
                </c:pt>
                <c:pt idx="1">
                  <c:v>3.72</c:v>
                </c:pt>
                <c:pt idx="2">
                  <c:v>3.62</c:v>
                </c:pt>
                <c:pt idx="3">
                  <c:v>1.81</c:v>
                </c:pt>
                <c:pt idx="4">
                  <c:v>0.85000000000000064</c:v>
                </c:pt>
                <c:pt idx="5">
                  <c:v>0.52</c:v>
                </c:pt>
                <c:pt idx="6">
                  <c:v>0.41000000000000031</c:v>
                </c:pt>
                <c:pt idx="7">
                  <c:v>0.48000000000000032</c:v>
                </c:pt>
                <c:pt idx="8">
                  <c:v>1.45</c:v>
                </c:pt>
                <c:pt idx="9">
                  <c:v>1.62</c:v>
                </c:pt>
                <c:pt idx="10">
                  <c:v>3.68</c:v>
                </c:pt>
                <c:pt idx="11">
                  <c:v>6.41</c:v>
                </c:pt>
              </c:numCache>
            </c:numRef>
          </c:val>
        </c:ser>
        <c:dLbls>
          <c:showLegendKey val="0"/>
          <c:showVal val="0"/>
          <c:showCatName val="0"/>
          <c:showSerName val="0"/>
          <c:showPercent val="0"/>
          <c:showBubbleSize val="0"/>
        </c:dLbls>
        <c:gapWidth val="150"/>
        <c:axId val="196540672"/>
        <c:axId val="197791744"/>
      </c:barChart>
      <c:lineChart>
        <c:grouping val="standard"/>
        <c:varyColors val="0"/>
        <c:ser>
          <c:idx val="2"/>
          <c:order val="2"/>
          <c:tx>
            <c:strRef>
              <c:f>Sheet1!$D$1</c:f>
              <c:strCache>
                <c:ptCount val="1"/>
                <c:pt idx="0">
                  <c:v>Max dozvoljena dnevna 8-časovna vrijednost</c:v>
                </c:pt>
              </c:strCache>
            </c:strRef>
          </c:tx>
          <c:spPr>
            <a:ln w="41275">
              <a:solidFill>
                <a:srgbClr val="FF0000"/>
              </a:solidFill>
            </a:ln>
          </c:spPr>
          <c:marker>
            <c:symbol val="none"/>
          </c:marker>
          <c:cat>
            <c:strRef>
              <c:f>Sheet1!$A$2:$A$13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Sheet1!$D$2:$D$13</c:f>
              <c:numCache>
                <c:formatCode>General</c:formatCode>
                <c:ptCount val="12"/>
                <c:pt idx="0">
                  <c:v>10</c:v>
                </c:pt>
                <c:pt idx="1">
                  <c:v>10</c:v>
                </c:pt>
                <c:pt idx="2">
                  <c:v>10</c:v>
                </c:pt>
                <c:pt idx="3">
                  <c:v>10</c:v>
                </c:pt>
                <c:pt idx="4">
                  <c:v>10</c:v>
                </c:pt>
                <c:pt idx="5">
                  <c:v>10</c:v>
                </c:pt>
                <c:pt idx="6">
                  <c:v>10</c:v>
                </c:pt>
                <c:pt idx="7">
                  <c:v>10</c:v>
                </c:pt>
                <c:pt idx="8">
                  <c:v>10</c:v>
                </c:pt>
                <c:pt idx="9">
                  <c:v>10</c:v>
                </c:pt>
                <c:pt idx="10">
                  <c:v>10</c:v>
                </c:pt>
                <c:pt idx="11">
                  <c:v>10</c:v>
                </c:pt>
              </c:numCache>
            </c:numRef>
          </c:val>
          <c:smooth val="0"/>
        </c:ser>
        <c:dLbls>
          <c:showLegendKey val="0"/>
          <c:showVal val="0"/>
          <c:showCatName val="0"/>
          <c:showSerName val="0"/>
          <c:showPercent val="0"/>
          <c:showBubbleSize val="0"/>
        </c:dLbls>
        <c:marker val="1"/>
        <c:smooth val="0"/>
        <c:axId val="196540672"/>
        <c:axId val="197791744"/>
      </c:lineChart>
      <c:catAx>
        <c:axId val="196540672"/>
        <c:scaling>
          <c:orientation val="minMax"/>
        </c:scaling>
        <c:delete val="0"/>
        <c:axPos val="b"/>
        <c:majorTickMark val="out"/>
        <c:minorTickMark val="none"/>
        <c:tickLblPos val="nextTo"/>
        <c:crossAx val="197791744"/>
        <c:crosses val="autoZero"/>
        <c:auto val="1"/>
        <c:lblAlgn val="ctr"/>
        <c:lblOffset val="100"/>
        <c:noMultiLvlLbl val="0"/>
      </c:catAx>
      <c:valAx>
        <c:axId val="197791744"/>
        <c:scaling>
          <c:orientation val="minMax"/>
        </c:scaling>
        <c:delete val="0"/>
        <c:axPos val="l"/>
        <c:title>
          <c:tx>
            <c:rich>
              <a:bodyPr rot="0" vert="horz"/>
              <a:lstStyle/>
              <a:p>
                <a:pPr>
                  <a:defRPr/>
                </a:pPr>
                <a:r>
                  <a:rPr lang="x-none">
                    <a:latin typeface="Calibri"/>
                  </a:rPr>
                  <a:t>m</a:t>
                </a:r>
                <a:r>
                  <a:rPr lang="en-US">
                    <a:latin typeface="Calibri"/>
                  </a:rPr>
                  <a:t>g/m</a:t>
                </a:r>
                <a:r>
                  <a:rPr lang="en-US" baseline="30000">
                    <a:latin typeface="Calibri"/>
                  </a:rPr>
                  <a:t>3</a:t>
                </a:r>
                <a:endParaRPr lang="en-US" baseline="30000"/>
              </a:p>
            </c:rich>
          </c:tx>
          <c:layout>
            <c:manualLayout>
              <c:xMode val="edge"/>
              <c:yMode val="edge"/>
              <c:x val="0"/>
              <c:y val="3.0067700764872299E-3"/>
            </c:manualLayout>
          </c:layout>
          <c:overlay val="0"/>
        </c:title>
        <c:numFmt formatCode="General" sourceLinked="1"/>
        <c:majorTickMark val="out"/>
        <c:minorTickMark val="none"/>
        <c:tickLblPos val="nextTo"/>
        <c:crossAx val="196540672"/>
        <c:crosses val="autoZero"/>
        <c:crossBetween val="between"/>
      </c:valAx>
      <c:spPr>
        <a:blipFill dpi="0" rotWithShape="1">
          <a:blip xmlns:r="http://schemas.openxmlformats.org/officeDocument/2006/relationships" r:embed="rId1">
            <a:alphaModFix amt="70000"/>
          </a:blip>
          <a:srcRect/>
          <a:stretch>
            <a:fillRect/>
          </a:stretch>
        </a:blipFill>
      </c:spPr>
    </c:plotArea>
    <c:legend>
      <c:legendPos val="r"/>
      <c:layout>
        <c:manualLayout>
          <c:xMode val="edge"/>
          <c:yMode val="edge"/>
          <c:x val="0.76182285390426863"/>
          <c:y val="0.11791977675653011"/>
          <c:w val="0.23590942740549256"/>
          <c:h val="0.66474894155819619"/>
        </c:manualLayout>
      </c:layout>
      <c:overlay val="1"/>
      <c:txPr>
        <a:bodyPr/>
        <a:lstStyle/>
        <a:p>
          <a:pPr>
            <a:defRPr sz="800"/>
          </a:pPr>
          <a:endParaRPr lang="en-US"/>
        </a:p>
      </c:txPr>
    </c:legend>
    <c:plotVisOnly val="1"/>
    <c:dispBlanksAs val="gap"/>
    <c:showDLblsOverMax val="0"/>
  </c:chart>
  <c:spPr>
    <a:ln>
      <a:noFill/>
    </a:ln>
  </c:spPr>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8119367362032754E-2"/>
          <c:y val="5.6524353577871285E-2"/>
          <c:w val="0.92095811965812036"/>
          <c:h val="0.71896388888888885"/>
        </c:manualLayout>
      </c:layout>
      <c:barChart>
        <c:barDir val="col"/>
        <c:grouping val="clustered"/>
        <c:varyColors val="0"/>
        <c:ser>
          <c:idx val="0"/>
          <c:order val="0"/>
          <c:tx>
            <c:strRef>
              <c:f>'CF4 emisije'!$B$4</c:f>
              <c:strCache>
                <c:ptCount val="1"/>
                <c:pt idx="0">
                  <c:v>Industrija</c:v>
                </c:pt>
              </c:strCache>
            </c:strRef>
          </c:tx>
          <c:invertIfNegative val="0"/>
          <c:cat>
            <c:numRef>
              <c:f>'CF4 emisije'!$C$2:$X$2</c:f>
              <c:numCache>
                <c:formatCode>General</c:formatCode>
                <c:ptCount val="22"/>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numCache>
            </c:numRef>
          </c:cat>
          <c:val>
            <c:numRef>
              <c:f>'CF4 emisije'!$C$4:$X$4</c:f>
              <c:numCache>
                <c:formatCode>0.0</c:formatCode>
                <c:ptCount val="22"/>
                <c:pt idx="0">
                  <c:v>0.27700000000000002</c:v>
                </c:pt>
                <c:pt idx="1">
                  <c:v>0.36000000000000032</c:v>
                </c:pt>
                <c:pt idx="2">
                  <c:v>0.23</c:v>
                </c:pt>
                <c:pt idx="3">
                  <c:v>8.0000000000000043E-2</c:v>
                </c:pt>
                <c:pt idx="4">
                  <c:v>8.0000000000000123E-3</c:v>
                </c:pt>
                <c:pt idx="5">
                  <c:v>3.2000000000000042E-2</c:v>
                </c:pt>
                <c:pt idx="6">
                  <c:v>0.16</c:v>
                </c:pt>
                <c:pt idx="7">
                  <c:v>0.18800000000000017</c:v>
                </c:pt>
                <c:pt idx="8">
                  <c:v>0.18400000000000016</c:v>
                </c:pt>
                <c:pt idx="9">
                  <c:v>0.20200000000000001</c:v>
                </c:pt>
                <c:pt idx="10">
                  <c:v>0.253</c:v>
                </c:pt>
                <c:pt idx="11">
                  <c:v>0.26600000000000001</c:v>
                </c:pt>
                <c:pt idx="12">
                  <c:v>0.27200000000000002</c:v>
                </c:pt>
                <c:pt idx="13">
                  <c:v>0.22</c:v>
                </c:pt>
                <c:pt idx="14">
                  <c:v>0.19</c:v>
                </c:pt>
                <c:pt idx="15">
                  <c:v>0.18000000000000016</c:v>
                </c:pt>
                <c:pt idx="16" formatCode="General">
                  <c:v>0.191</c:v>
                </c:pt>
                <c:pt idx="17" formatCode="General">
                  <c:v>0.20800000000000016</c:v>
                </c:pt>
                <c:pt idx="18" formatCode="General">
                  <c:v>9.7000000000000003E-2</c:v>
                </c:pt>
                <c:pt idx="19" formatCode="General">
                  <c:v>6.1000000000000013E-2</c:v>
                </c:pt>
                <c:pt idx="20" formatCode="General">
                  <c:v>7.8000000000000014E-2</c:v>
                </c:pt>
                <c:pt idx="21" formatCode="General">
                  <c:v>7.5999999999999998E-2</c:v>
                </c:pt>
              </c:numCache>
            </c:numRef>
          </c:val>
        </c:ser>
        <c:dLbls>
          <c:showLegendKey val="0"/>
          <c:showVal val="0"/>
          <c:showCatName val="0"/>
          <c:showSerName val="0"/>
          <c:showPercent val="0"/>
          <c:showBubbleSize val="0"/>
        </c:dLbls>
        <c:gapWidth val="50"/>
        <c:axId val="208656640"/>
        <c:axId val="210120704"/>
      </c:barChart>
      <c:catAx>
        <c:axId val="208656640"/>
        <c:scaling>
          <c:orientation val="minMax"/>
        </c:scaling>
        <c:delete val="0"/>
        <c:axPos val="b"/>
        <c:numFmt formatCode="General" sourceLinked="1"/>
        <c:majorTickMark val="out"/>
        <c:minorTickMark val="none"/>
        <c:tickLblPos val="nextTo"/>
        <c:txPr>
          <a:bodyPr rot="-5400000" vert="horz"/>
          <a:lstStyle/>
          <a:p>
            <a:pPr>
              <a:defRPr>
                <a:latin typeface="Constantia" pitchFamily="18" charset="0"/>
              </a:defRPr>
            </a:pPr>
            <a:endParaRPr lang="en-US"/>
          </a:p>
        </c:txPr>
        <c:crossAx val="210120704"/>
        <c:crosses val="autoZero"/>
        <c:auto val="1"/>
        <c:lblAlgn val="ctr"/>
        <c:lblOffset val="100"/>
        <c:noMultiLvlLbl val="0"/>
      </c:catAx>
      <c:valAx>
        <c:axId val="210120704"/>
        <c:scaling>
          <c:orientation val="minMax"/>
        </c:scaling>
        <c:delete val="0"/>
        <c:axPos val="l"/>
        <c:numFmt formatCode="0.0" sourceLinked="1"/>
        <c:majorTickMark val="out"/>
        <c:minorTickMark val="none"/>
        <c:tickLblPos val="nextTo"/>
        <c:txPr>
          <a:bodyPr/>
          <a:lstStyle/>
          <a:p>
            <a:pPr>
              <a:defRPr>
                <a:latin typeface="Constantia" pitchFamily="18" charset="0"/>
              </a:defRPr>
            </a:pPr>
            <a:endParaRPr lang="en-US"/>
          </a:p>
        </c:txPr>
        <c:crossAx val="208656640"/>
        <c:crosses val="autoZero"/>
        <c:crossBetween val="between"/>
      </c:valAx>
    </c:plotArea>
    <c:legend>
      <c:legendPos val="r"/>
      <c:legendEntry>
        <c:idx val="0"/>
        <c:txPr>
          <a:bodyPr/>
          <a:lstStyle/>
          <a:p>
            <a:pPr>
              <a:defRPr>
                <a:latin typeface="Constantia" pitchFamily="18" charset="0"/>
              </a:defRPr>
            </a:pPr>
            <a:endParaRPr lang="en-US"/>
          </a:p>
        </c:txPr>
      </c:legendEntry>
      <c:layout>
        <c:manualLayout>
          <c:xMode val="edge"/>
          <c:yMode val="edge"/>
          <c:x val="0.76238951666206922"/>
          <c:y val="5.2751460054790353E-2"/>
          <c:w val="0.19677518408620281"/>
          <c:h val="0.10421944444444446"/>
        </c:manualLayout>
      </c:layout>
      <c:overlay val="0"/>
    </c:legend>
    <c:plotVisOnly val="1"/>
    <c:dispBlanksAs val="gap"/>
    <c:showDLblsOverMax val="0"/>
  </c:chart>
  <c:spPr>
    <a:ln>
      <a:noFill/>
    </a:ln>
  </c:spPr>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4101282051282094E-2"/>
          <c:y val="7.7611111111111131E-2"/>
          <c:w val="0.92589871794871881"/>
          <c:h val="0.73010222222222221"/>
        </c:manualLayout>
      </c:layout>
      <c:barChart>
        <c:barDir val="col"/>
        <c:grouping val="clustered"/>
        <c:varyColors val="0"/>
        <c:ser>
          <c:idx val="0"/>
          <c:order val="0"/>
          <c:tx>
            <c:strRef>
              <c:f>'C2F6 emisije'!$A$3</c:f>
              <c:strCache>
                <c:ptCount val="1"/>
                <c:pt idx="0">
                  <c:v>Industrija</c:v>
                </c:pt>
              </c:strCache>
            </c:strRef>
          </c:tx>
          <c:invertIfNegative val="0"/>
          <c:cat>
            <c:numRef>
              <c:f>'C2F6 emisije'!$B$1:$W$1</c:f>
              <c:numCache>
                <c:formatCode>General</c:formatCode>
                <c:ptCount val="22"/>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numCache>
            </c:numRef>
          </c:cat>
          <c:val>
            <c:numRef>
              <c:f>'C2F6 emisije'!$B$3:$W$3</c:f>
              <c:numCache>
                <c:formatCode>0.00</c:formatCode>
                <c:ptCount val="22"/>
                <c:pt idx="0">
                  <c:v>3.0000000000000002E-2</c:v>
                </c:pt>
                <c:pt idx="1">
                  <c:v>4.0000000000000022E-2</c:v>
                </c:pt>
                <c:pt idx="2">
                  <c:v>2.0000000000000011E-2</c:v>
                </c:pt>
                <c:pt idx="3">
                  <c:v>1.0000000000000005E-2</c:v>
                </c:pt>
                <c:pt idx="4">
                  <c:v>0</c:v>
                </c:pt>
                <c:pt idx="5">
                  <c:v>0</c:v>
                </c:pt>
                <c:pt idx="6">
                  <c:v>2.0000000000000011E-2</c:v>
                </c:pt>
                <c:pt idx="7">
                  <c:v>2.0000000000000011E-2</c:v>
                </c:pt>
                <c:pt idx="8">
                  <c:v>2.0000000000000011E-2</c:v>
                </c:pt>
                <c:pt idx="9">
                  <c:v>2.0000000000000011E-2</c:v>
                </c:pt>
                <c:pt idx="10">
                  <c:v>3.0000000000000002E-2</c:v>
                </c:pt>
                <c:pt idx="11">
                  <c:v>3.0000000000000002E-2</c:v>
                </c:pt>
                <c:pt idx="12">
                  <c:v>3.0000000000000002E-2</c:v>
                </c:pt>
                <c:pt idx="13">
                  <c:v>2.0000000000000011E-2</c:v>
                </c:pt>
                <c:pt idx="14">
                  <c:v>2.0000000000000011E-2</c:v>
                </c:pt>
                <c:pt idx="15">
                  <c:v>2.0000000000000011E-2</c:v>
                </c:pt>
                <c:pt idx="16">
                  <c:v>2.0000000000000011E-2</c:v>
                </c:pt>
                <c:pt idx="17">
                  <c:v>2.0000000000000011E-2</c:v>
                </c:pt>
                <c:pt idx="18">
                  <c:v>1.0000000000000005E-2</c:v>
                </c:pt>
                <c:pt idx="19">
                  <c:v>1.0000000000000005E-2</c:v>
                </c:pt>
                <c:pt idx="20">
                  <c:v>1.0000000000000005E-2</c:v>
                </c:pt>
                <c:pt idx="21">
                  <c:v>1.0000000000000005E-2</c:v>
                </c:pt>
              </c:numCache>
            </c:numRef>
          </c:val>
        </c:ser>
        <c:dLbls>
          <c:showLegendKey val="0"/>
          <c:showVal val="0"/>
          <c:showCatName val="0"/>
          <c:showSerName val="0"/>
          <c:showPercent val="0"/>
          <c:showBubbleSize val="0"/>
        </c:dLbls>
        <c:gapWidth val="50"/>
        <c:axId val="210153472"/>
        <c:axId val="210155008"/>
      </c:barChart>
      <c:catAx>
        <c:axId val="210153472"/>
        <c:scaling>
          <c:orientation val="minMax"/>
        </c:scaling>
        <c:delete val="0"/>
        <c:axPos val="b"/>
        <c:numFmt formatCode="General" sourceLinked="1"/>
        <c:majorTickMark val="out"/>
        <c:minorTickMark val="none"/>
        <c:tickLblPos val="nextTo"/>
        <c:txPr>
          <a:bodyPr rot="-5400000" vert="horz"/>
          <a:lstStyle/>
          <a:p>
            <a:pPr>
              <a:defRPr>
                <a:latin typeface="Constantia" pitchFamily="18" charset="0"/>
              </a:defRPr>
            </a:pPr>
            <a:endParaRPr lang="en-US"/>
          </a:p>
        </c:txPr>
        <c:crossAx val="210155008"/>
        <c:crosses val="autoZero"/>
        <c:auto val="1"/>
        <c:lblAlgn val="ctr"/>
        <c:lblOffset val="100"/>
        <c:noMultiLvlLbl val="0"/>
      </c:catAx>
      <c:valAx>
        <c:axId val="210155008"/>
        <c:scaling>
          <c:orientation val="minMax"/>
        </c:scaling>
        <c:delete val="0"/>
        <c:axPos val="l"/>
        <c:numFmt formatCode="0.00" sourceLinked="1"/>
        <c:majorTickMark val="out"/>
        <c:minorTickMark val="none"/>
        <c:tickLblPos val="nextTo"/>
        <c:txPr>
          <a:bodyPr/>
          <a:lstStyle/>
          <a:p>
            <a:pPr>
              <a:defRPr>
                <a:latin typeface="Constantia" pitchFamily="18" charset="0"/>
              </a:defRPr>
            </a:pPr>
            <a:endParaRPr lang="en-US"/>
          </a:p>
        </c:txPr>
        <c:crossAx val="210153472"/>
        <c:crosses val="autoZero"/>
        <c:crossBetween val="between"/>
      </c:valAx>
    </c:plotArea>
    <c:legend>
      <c:legendPos val="r"/>
      <c:layout>
        <c:manualLayout>
          <c:xMode val="edge"/>
          <c:yMode val="edge"/>
          <c:x val="0.74214017613818106"/>
          <c:y val="8.4893781361310081E-2"/>
          <c:w val="0.22450448025632458"/>
          <c:h val="0.10421944444444446"/>
        </c:manualLayout>
      </c:layout>
      <c:overlay val="0"/>
      <c:txPr>
        <a:bodyPr/>
        <a:lstStyle/>
        <a:p>
          <a:pPr>
            <a:defRPr>
              <a:latin typeface="Constantia" pitchFamily="18" charset="0"/>
            </a:defRPr>
          </a:pPr>
          <a:endParaRPr lang="en-US"/>
        </a:p>
      </c:txPr>
    </c:legend>
    <c:plotVisOnly val="1"/>
    <c:dispBlanksAs val="gap"/>
    <c:showDLblsOverMax val="0"/>
  </c:chart>
  <c:spPr>
    <a:ln>
      <a:noFill/>
    </a:ln>
  </c:spPr>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581068376068376E-2"/>
          <c:y val="7.7611111111111131E-2"/>
          <c:w val="0.82291709401709401"/>
          <c:h val="0.73010222222222221"/>
        </c:manualLayout>
      </c:layout>
      <c:barChart>
        <c:barDir val="col"/>
        <c:grouping val="stacked"/>
        <c:varyColors val="0"/>
        <c:ser>
          <c:idx val="0"/>
          <c:order val="0"/>
          <c:tx>
            <c:strRef>
              <c:f>CO2ekv!$A$3</c:f>
              <c:strCache>
                <c:ptCount val="1"/>
                <c:pt idx="0">
                  <c:v>Ukupni CO2 ekv bez ponora </c:v>
                </c:pt>
              </c:strCache>
            </c:strRef>
          </c:tx>
          <c:invertIfNegative val="0"/>
          <c:cat>
            <c:numRef>
              <c:f>CO2ekv!$B$2:$W$2</c:f>
              <c:numCache>
                <c:formatCode>General</c:formatCode>
                <c:ptCount val="22"/>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numCache>
            </c:numRef>
          </c:cat>
          <c:val>
            <c:numRef>
              <c:f>CO2ekv!$B$3:$W$3</c:f>
              <c:numCache>
                <c:formatCode>0.0</c:formatCode>
                <c:ptCount val="22"/>
                <c:pt idx="0">
                  <c:v>5556.8078675319994</c:v>
                </c:pt>
                <c:pt idx="1">
                  <c:v>6280.1545924513948</c:v>
                </c:pt>
                <c:pt idx="2">
                  <c:v>4759.2894412449905</c:v>
                </c:pt>
                <c:pt idx="3">
                  <c:v>3199.9234339572422</c:v>
                </c:pt>
                <c:pt idx="4">
                  <c:v>2267.2985295716485</c:v>
                </c:pt>
                <c:pt idx="5">
                  <c:v>1615.2454036818731</c:v>
                </c:pt>
                <c:pt idx="6">
                  <c:v>4171.9405289173192</c:v>
                </c:pt>
                <c:pt idx="7">
                  <c:v>4225.5804561179993</c:v>
                </c:pt>
                <c:pt idx="8">
                  <c:v>4599.4583286359994</c:v>
                </c:pt>
                <c:pt idx="9">
                  <c:v>4774.1036636766739</c:v>
                </c:pt>
                <c:pt idx="10">
                  <c:v>5300.4996160500004</c:v>
                </c:pt>
                <c:pt idx="11">
                  <c:v>4976.3976700190024</c:v>
                </c:pt>
                <c:pt idx="12">
                  <c:v>5507.1495462426674</c:v>
                </c:pt>
                <c:pt idx="13">
                  <c:v>4987.0280735836741</c:v>
                </c:pt>
                <c:pt idx="14">
                  <c:v>4778.0204792670065</c:v>
                </c:pt>
                <c:pt idx="15">
                  <c:v>4382.6269832340004</c:v>
                </c:pt>
                <c:pt idx="16">
                  <c:v>4643.871612285333</c:v>
                </c:pt>
                <c:pt idx="17">
                  <c:v>4655.7471390796727</c:v>
                </c:pt>
                <c:pt idx="18">
                  <c:v>4366.5445055120008</c:v>
                </c:pt>
                <c:pt idx="19">
                  <c:v>3084.5028538013362</c:v>
                </c:pt>
                <c:pt idx="20">
                  <c:v>4022.2859999999987</c:v>
                </c:pt>
                <c:pt idx="21">
                  <c:v>3865.7109323330033</c:v>
                </c:pt>
              </c:numCache>
            </c:numRef>
          </c:val>
        </c:ser>
        <c:dLbls>
          <c:showLegendKey val="0"/>
          <c:showVal val="0"/>
          <c:showCatName val="0"/>
          <c:showSerName val="0"/>
          <c:showPercent val="0"/>
          <c:showBubbleSize val="0"/>
        </c:dLbls>
        <c:gapWidth val="150"/>
        <c:overlap val="100"/>
        <c:axId val="214971520"/>
        <c:axId val="214973056"/>
      </c:barChart>
      <c:catAx>
        <c:axId val="214971520"/>
        <c:scaling>
          <c:orientation val="minMax"/>
        </c:scaling>
        <c:delete val="0"/>
        <c:axPos val="b"/>
        <c:numFmt formatCode="General" sourceLinked="1"/>
        <c:majorTickMark val="out"/>
        <c:minorTickMark val="none"/>
        <c:tickLblPos val="nextTo"/>
        <c:txPr>
          <a:bodyPr rot="-5400000" vert="horz"/>
          <a:lstStyle/>
          <a:p>
            <a:pPr>
              <a:defRPr>
                <a:latin typeface="Constantia" pitchFamily="18" charset="0"/>
              </a:defRPr>
            </a:pPr>
            <a:endParaRPr lang="en-US"/>
          </a:p>
        </c:txPr>
        <c:crossAx val="214973056"/>
        <c:crosses val="autoZero"/>
        <c:auto val="1"/>
        <c:lblAlgn val="ctr"/>
        <c:lblOffset val="100"/>
        <c:noMultiLvlLbl val="0"/>
      </c:catAx>
      <c:valAx>
        <c:axId val="214973056"/>
        <c:scaling>
          <c:orientation val="minMax"/>
        </c:scaling>
        <c:delete val="0"/>
        <c:axPos val="l"/>
        <c:numFmt formatCode="0.0" sourceLinked="1"/>
        <c:majorTickMark val="out"/>
        <c:minorTickMark val="none"/>
        <c:tickLblPos val="nextTo"/>
        <c:txPr>
          <a:bodyPr/>
          <a:lstStyle/>
          <a:p>
            <a:pPr>
              <a:defRPr>
                <a:latin typeface="Constantia" pitchFamily="18" charset="0"/>
              </a:defRPr>
            </a:pPr>
            <a:endParaRPr lang="en-US"/>
          </a:p>
        </c:txPr>
        <c:crossAx val="214971520"/>
        <c:crosses val="autoZero"/>
        <c:crossBetween val="between"/>
      </c:valAx>
    </c:plotArea>
    <c:legend>
      <c:legendPos val="r"/>
      <c:layout>
        <c:manualLayout>
          <c:xMode val="edge"/>
          <c:yMode val="edge"/>
          <c:x val="0.53540707222561268"/>
          <c:y val="5.2721905180593165E-2"/>
          <c:w val="0.42910365083045932"/>
          <c:h val="0.16040606035356691"/>
        </c:manualLayout>
      </c:layout>
      <c:overlay val="0"/>
      <c:txPr>
        <a:bodyPr/>
        <a:lstStyle/>
        <a:p>
          <a:pPr>
            <a:defRPr>
              <a:latin typeface="Constantia" pitchFamily="18" charset="0"/>
            </a:defRPr>
          </a:pPr>
          <a:endParaRPr lang="en-US"/>
        </a:p>
      </c:txPr>
    </c:legend>
    <c:plotVisOnly val="1"/>
    <c:dispBlanksAs val="gap"/>
    <c:showDLblsOverMax val="0"/>
  </c:chart>
  <c:spPr>
    <a:ln>
      <a:noFill/>
    </a:ln>
  </c:spPr>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304273504273506"/>
          <c:y val="7.7611111111111131E-2"/>
          <c:w val="0.84006709401709401"/>
          <c:h val="0.84477777777777774"/>
        </c:manualLayout>
      </c:layout>
      <c:barChart>
        <c:barDir val="col"/>
        <c:grouping val="stacked"/>
        <c:varyColors val="0"/>
        <c:ser>
          <c:idx val="0"/>
          <c:order val="0"/>
          <c:tx>
            <c:strRef>
              <c:f>CO2ekv!$A$4</c:f>
              <c:strCache>
                <c:ptCount val="1"/>
                <c:pt idx="0">
                  <c:v>Ukupni CO2 ekv sa ponorima</c:v>
                </c:pt>
              </c:strCache>
            </c:strRef>
          </c:tx>
          <c:invertIfNegative val="0"/>
          <c:cat>
            <c:numRef>
              <c:f>CO2ekv!$B$2:$W$2</c:f>
              <c:numCache>
                <c:formatCode>General</c:formatCode>
                <c:ptCount val="22"/>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numCache>
            </c:numRef>
          </c:cat>
          <c:val>
            <c:numRef>
              <c:f>CO2ekv!$B$4:$W$4</c:f>
              <c:numCache>
                <c:formatCode>0.0</c:formatCode>
                <c:ptCount val="22"/>
                <c:pt idx="0">
                  <c:v>3922.2055025320024</c:v>
                </c:pt>
                <c:pt idx="1">
                  <c:v>4770.9338941180467</c:v>
                </c:pt>
                <c:pt idx="2">
                  <c:v>2932.4437429116606</c:v>
                </c:pt>
                <c:pt idx="3">
                  <c:v>1133.094402290574</c:v>
                </c:pt>
                <c:pt idx="4">
                  <c:v>233.19449790498186</c:v>
                </c:pt>
                <c:pt idx="5">
                  <c:v>-104.05696131812704</c:v>
                </c:pt>
                <c:pt idx="6">
                  <c:v>2232.4181639173212</c:v>
                </c:pt>
                <c:pt idx="7">
                  <c:v>2201.3580911179997</c:v>
                </c:pt>
                <c:pt idx="8">
                  <c:v>2213.8492969693352</c:v>
                </c:pt>
                <c:pt idx="9">
                  <c:v>2456.2546320100005</c:v>
                </c:pt>
                <c:pt idx="10">
                  <c:v>3146.4039177166669</c:v>
                </c:pt>
                <c:pt idx="11">
                  <c:v>2826.5369716856658</c:v>
                </c:pt>
                <c:pt idx="12">
                  <c:v>3197.7705145760019</c:v>
                </c:pt>
                <c:pt idx="13">
                  <c:v>2828.6973752503363</c:v>
                </c:pt>
                <c:pt idx="14">
                  <c:v>2814.4997809336678</c:v>
                </c:pt>
                <c:pt idx="15">
                  <c:v>2183.4565115673358</c:v>
                </c:pt>
                <c:pt idx="16">
                  <c:v>2779.266140618663</c:v>
                </c:pt>
                <c:pt idx="17">
                  <c:v>2291.411667413</c:v>
                </c:pt>
                <c:pt idx="18">
                  <c:v>2096.7907005119991</c:v>
                </c:pt>
                <c:pt idx="19">
                  <c:v>679.22904880133342</c:v>
                </c:pt>
                <c:pt idx="20">
                  <c:v>1759.42</c:v>
                </c:pt>
                <c:pt idx="21">
                  <c:v>1698.8350856663351</c:v>
                </c:pt>
              </c:numCache>
            </c:numRef>
          </c:val>
        </c:ser>
        <c:dLbls>
          <c:showLegendKey val="0"/>
          <c:showVal val="0"/>
          <c:showCatName val="0"/>
          <c:showSerName val="0"/>
          <c:showPercent val="0"/>
          <c:showBubbleSize val="0"/>
        </c:dLbls>
        <c:gapWidth val="150"/>
        <c:overlap val="100"/>
        <c:axId val="215017728"/>
        <c:axId val="215019520"/>
      </c:barChart>
      <c:catAx>
        <c:axId val="215017728"/>
        <c:scaling>
          <c:orientation val="minMax"/>
        </c:scaling>
        <c:delete val="0"/>
        <c:axPos val="b"/>
        <c:numFmt formatCode="General" sourceLinked="1"/>
        <c:majorTickMark val="out"/>
        <c:minorTickMark val="none"/>
        <c:tickLblPos val="nextTo"/>
        <c:txPr>
          <a:bodyPr rot="-5400000" vert="horz"/>
          <a:lstStyle/>
          <a:p>
            <a:pPr>
              <a:defRPr>
                <a:latin typeface="Constantia" pitchFamily="18" charset="0"/>
              </a:defRPr>
            </a:pPr>
            <a:endParaRPr lang="en-US"/>
          </a:p>
        </c:txPr>
        <c:crossAx val="215019520"/>
        <c:crosses val="autoZero"/>
        <c:auto val="1"/>
        <c:lblAlgn val="ctr"/>
        <c:lblOffset val="100"/>
        <c:noMultiLvlLbl val="0"/>
      </c:catAx>
      <c:valAx>
        <c:axId val="215019520"/>
        <c:scaling>
          <c:orientation val="minMax"/>
        </c:scaling>
        <c:delete val="0"/>
        <c:axPos val="l"/>
        <c:numFmt formatCode="0.0" sourceLinked="1"/>
        <c:majorTickMark val="out"/>
        <c:minorTickMark val="none"/>
        <c:tickLblPos val="nextTo"/>
        <c:txPr>
          <a:bodyPr/>
          <a:lstStyle/>
          <a:p>
            <a:pPr>
              <a:defRPr>
                <a:latin typeface="Constantia" pitchFamily="18" charset="0"/>
              </a:defRPr>
            </a:pPr>
            <a:endParaRPr lang="en-US"/>
          </a:p>
        </c:txPr>
        <c:crossAx val="215017728"/>
        <c:crosses val="autoZero"/>
        <c:crossBetween val="between"/>
      </c:valAx>
    </c:plotArea>
    <c:legend>
      <c:legendPos val="r"/>
      <c:layout>
        <c:manualLayout>
          <c:xMode val="edge"/>
          <c:yMode val="edge"/>
          <c:x val="0.6027706692913386"/>
          <c:y val="8.1018761543695944E-2"/>
          <c:w val="0.38177138578008507"/>
          <c:h val="0.15360191087225225"/>
        </c:manualLayout>
      </c:layout>
      <c:overlay val="0"/>
      <c:txPr>
        <a:bodyPr/>
        <a:lstStyle/>
        <a:p>
          <a:pPr>
            <a:defRPr>
              <a:latin typeface="Constantia" pitchFamily="18" charset="0"/>
            </a:defRPr>
          </a:pPr>
          <a:endParaRPr lang="en-US"/>
        </a:p>
      </c:txPr>
    </c:legend>
    <c:plotVisOnly val="1"/>
    <c:dispBlanksAs val="gap"/>
    <c:showDLblsOverMax val="0"/>
  </c:chart>
  <c:spPr>
    <a:ln>
      <a:noFill/>
    </a:ln>
  </c:spPr>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8857970209643302E-2"/>
          <c:y val="0.19883822960824388"/>
          <c:w val="0.88088002538725396"/>
          <c:h val="0.64885986072550283"/>
        </c:manualLayout>
      </c:layout>
      <c:barChart>
        <c:barDir val="col"/>
        <c:grouping val="stacked"/>
        <c:varyColors val="0"/>
        <c:ser>
          <c:idx val="0"/>
          <c:order val="0"/>
          <c:tx>
            <c:strRef>
              <c:f>'Udio GHG u CO2 ekv'!$A$8</c:f>
              <c:strCache>
                <c:ptCount val="1"/>
                <c:pt idx="0">
                  <c:v>udio CO2</c:v>
                </c:pt>
              </c:strCache>
            </c:strRef>
          </c:tx>
          <c:invertIfNegative val="0"/>
          <c:dLbls>
            <c:txPr>
              <a:bodyPr/>
              <a:lstStyle/>
              <a:p>
                <a:pPr>
                  <a:defRPr sz="800" b="1">
                    <a:latin typeface="Constantia" pitchFamily="18" charset="0"/>
                  </a:defRPr>
                </a:pPr>
                <a:endParaRPr lang="en-US"/>
              </a:p>
            </c:txPr>
            <c:showLegendKey val="0"/>
            <c:showVal val="1"/>
            <c:showCatName val="0"/>
            <c:showSerName val="0"/>
            <c:showPercent val="0"/>
            <c:showBubbleSize val="0"/>
            <c:showLeaderLines val="0"/>
          </c:dLbls>
          <c:cat>
            <c:numRef>
              <c:f>'Udio GHG u CO2 ekv'!$B$1:$W$1</c:f>
              <c:numCache>
                <c:formatCode>General</c:formatCode>
                <c:ptCount val="22"/>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numCache>
            </c:numRef>
          </c:cat>
          <c:val>
            <c:numRef>
              <c:f>'Udio GHG u CO2 ekv'!$B$8:$W$8</c:f>
              <c:numCache>
                <c:formatCode>0.0</c:formatCode>
                <c:ptCount val="22"/>
                <c:pt idx="0">
                  <c:v>44.835432984630813</c:v>
                </c:pt>
                <c:pt idx="1">
                  <c:v>41.169696611595036</c:v>
                </c:pt>
                <c:pt idx="2">
                  <c:v>45.042909613083175</c:v>
                </c:pt>
                <c:pt idx="3">
                  <c:v>52.850090599381424</c:v>
                </c:pt>
                <c:pt idx="4">
                  <c:v>58.607303460065026</c:v>
                </c:pt>
                <c:pt idx="5">
                  <c:v>31.22357770108869</c:v>
                </c:pt>
                <c:pt idx="6">
                  <c:v>48.632297484927292</c:v>
                </c:pt>
                <c:pt idx="7">
                  <c:v>45.454215724069599</c:v>
                </c:pt>
                <c:pt idx="8">
                  <c:v>50.781399933427814</c:v>
                </c:pt>
                <c:pt idx="9">
                  <c:v>50.231579216062073</c:v>
                </c:pt>
                <c:pt idx="10">
                  <c:v>47.557037989722545</c:v>
                </c:pt>
                <c:pt idx="11">
                  <c:v>43.005017121367395</c:v>
                </c:pt>
                <c:pt idx="12">
                  <c:v>47.5194022655173</c:v>
                </c:pt>
                <c:pt idx="13">
                  <c:v>50.302525603810999</c:v>
                </c:pt>
                <c:pt idx="14">
                  <c:v>52.546394268535352</c:v>
                </c:pt>
                <c:pt idx="15">
                  <c:v>53.557717602102244</c:v>
                </c:pt>
                <c:pt idx="16">
                  <c:v>54.748792054441417</c:v>
                </c:pt>
                <c:pt idx="17">
                  <c:v>53.341667081399564</c:v>
                </c:pt>
                <c:pt idx="18">
                  <c:v>69.159389116495291</c:v>
                </c:pt>
                <c:pt idx="19">
                  <c:v>66.705266661227029</c:v>
                </c:pt>
                <c:pt idx="20">
                  <c:v>70.528701940133928</c:v>
                </c:pt>
                <c:pt idx="21">
                  <c:v>69.521742321869795</c:v>
                </c:pt>
              </c:numCache>
            </c:numRef>
          </c:val>
        </c:ser>
        <c:ser>
          <c:idx val="1"/>
          <c:order val="1"/>
          <c:tx>
            <c:strRef>
              <c:f>'Udio GHG u CO2 ekv'!$A$9</c:f>
              <c:strCache>
                <c:ptCount val="1"/>
                <c:pt idx="0">
                  <c:v>udio CH4</c:v>
                </c:pt>
              </c:strCache>
            </c:strRef>
          </c:tx>
          <c:spPr>
            <a:solidFill>
              <a:schemeClr val="accent2">
                <a:lumMod val="40000"/>
                <a:lumOff val="60000"/>
              </a:schemeClr>
            </a:solidFill>
          </c:spPr>
          <c:invertIfNegative val="0"/>
          <c:dLbls>
            <c:txPr>
              <a:bodyPr/>
              <a:lstStyle/>
              <a:p>
                <a:pPr>
                  <a:defRPr sz="800" b="1">
                    <a:latin typeface="Constantia" pitchFamily="18" charset="0"/>
                  </a:defRPr>
                </a:pPr>
                <a:endParaRPr lang="en-US"/>
              </a:p>
            </c:txPr>
            <c:showLegendKey val="0"/>
            <c:showVal val="1"/>
            <c:showCatName val="0"/>
            <c:showSerName val="0"/>
            <c:showPercent val="0"/>
            <c:showBubbleSize val="0"/>
            <c:showLeaderLines val="0"/>
          </c:dLbls>
          <c:cat>
            <c:numRef>
              <c:f>'Udio GHG u CO2 ekv'!$B$1:$W$1</c:f>
              <c:numCache>
                <c:formatCode>General</c:formatCode>
                <c:ptCount val="22"/>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numCache>
            </c:numRef>
          </c:cat>
          <c:val>
            <c:numRef>
              <c:f>'Udio GHG u CO2 ekv'!$B$9:$W$9</c:f>
              <c:numCache>
                <c:formatCode>0.0</c:formatCode>
                <c:ptCount val="22"/>
                <c:pt idx="0">
                  <c:v>10.906243556503725</c:v>
                </c:pt>
                <c:pt idx="1">
                  <c:v>9.5647963940570708</c:v>
                </c:pt>
                <c:pt idx="2">
                  <c:v>12.057829368954721</c:v>
                </c:pt>
                <c:pt idx="3">
                  <c:v>17.319508151938035</c:v>
                </c:pt>
                <c:pt idx="4">
                  <c:v>24.059293158147032</c:v>
                </c:pt>
                <c:pt idx="5">
                  <c:v>34.346359923724961</c:v>
                </c:pt>
                <c:pt idx="6">
                  <c:v>13.550528730732147</c:v>
                </c:pt>
                <c:pt idx="7">
                  <c:v>13.187679320912649</c:v>
                </c:pt>
                <c:pt idx="8">
                  <c:v>12.030307928979399</c:v>
                </c:pt>
                <c:pt idx="9">
                  <c:v>11.619689036512954</c:v>
                </c:pt>
                <c:pt idx="10">
                  <c:v>10.245053095667982</c:v>
                </c:pt>
                <c:pt idx="11">
                  <c:v>10.649812075769594</c:v>
                </c:pt>
                <c:pt idx="12">
                  <c:v>10.034501430545493</c:v>
                </c:pt>
                <c:pt idx="13">
                  <c:v>11.098734393172531</c:v>
                </c:pt>
                <c:pt idx="14">
                  <c:v>11.331952266622832</c:v>
                </c:pt>
                <c:pt idx="15">
                  <c:v>9.9100836475822547</c:v>
                </c:pt>
                <c:pt idx="16">
                  <c:v>9.3145985960436768</c:v>
                </c:pt>
                <c:pt idx="17">
                  <c:v>8.792874436065782</c:v>
                </c:pt>
                <c:pt idx="18">
                  <c:v>9.0265655028239298</c:v>
                </c:pt>
                <c:pt idx="19">
                  <c:v>10.904739465080244</c:v>
                </c:pt>
                <c:pt idx="20">
                  <c:v>9.0147733938244681</c:v>
                </c:pt>
                <c:pt idx="21">
                  <c:v>9.4994191609855303</c:v>
                </c:pt>
              </c:numCache>
            </c:numRef>
          </c:val>
        </c:ser>
        <c:ser>
          <c:idx val="2"/>
          <c:order val="2"/>
          <c:tx>
            <c:strRef>
              <c:f>'Udio GHG u CO2 ekv'!$A$10</c:f>
              <c:strCache>
                <c:ptCount val="1"/>
                <c:pt idx="0">
                  <c:v>udio N2O</c:v>
                </c:pt>
              </c:strCache>
            </c:strRef>
          </c:tx>
          <c:spPr>
            <a:solidFill>
              <a:schemeClr val="accent3">
                <a:lumMod val="60000"/>
                <a:lumOff val="40000"/>
              </a:schemeClr>
            </a:solidFill>
          </c:spPr>
          <c:invertIfNegative val="0"/>
          <c:dLbls>
            <c:txPr>
              <a:bodyPr/>
              <a:lstStyle/>
              <a:p>
                <a:pPr>
                  <a:defRPr sz="800" b="1">
                    <a:latin typeface="Constantia" pitchFamily="18" charset="0"/>
                  </a:defRPr>
                </a:pPr>
                <a:endParaRPr lang="en-US"/>
              </a:p>
            </c:txPr>
            <c:showLegendKey val="0"/>
            <c:showVal val="1"/>
            <c:showCatName val="0"/>
            <c:showSerName val="0"/>
            <c:showPercent val="0"/>
            <c:showBubbleSize val="0"/>
            <c:showLeaderLines val="0"/>
          </c:dLbls>
          <c:cat>
            <c:numRef>
              <c:f>'Udio GHG u CO2 ekv'!$B$1:$W$1</c:f>
              <c:numCache>
                <c:formatCode>General</c:formatCode>
                <c:ptCount val="22"/>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numCache>
            </c:numRef>
          </c:cat>
          <c:val>
            <c:numRef>
              <c:f>'Udio GHG u CO2 ekv'!$B$10:$W$10</c:f>
              <c:numCache>
                <c:formatCode>0.0</c:formatCode>
                <c:ptCount val="22"/>
                <c:pt idx="0">
                  <c:v>6.8897469397306894</c:v>
                </c:pt>
                <c:pt idx="1">
                  <c:v>6.145549354213407</c:v>
                </c:pt>
                <c:pt idx="2">
                  <c:v>7.6208855224640439</c:v>
                </c:pt>
                <c:pt idx="3">
                  <c:v>10.704943635991299</c:v>
                </c:pt>
                <c:pt idx="4">
                  <c:v>15.039925071729471</c:v>
                </c:pt>
                <c:pt idx="5">
                  <c:v>21.552762150349082</c:v>
                </c:pt>
                <c:pt idx="6">
                  <c:v>8.478308776175016</c:v>
                </c:pt>
                <c:pt idx="7">
                  <c:v>8.0845697661580669</c:v>
                </c:pt>
                <c:pt idx="8">
                  <c:v>7.184759082228716</c:v>
                </c:pt>
                <c:pt idx="9">
                  <c:v>6.79206030792969</c:v>
                </c:pt>
                <c:pt idx="10">
                  <c:v>5.9654753873114377</c:v>
                </c:pt>
                <c:pt idx="11">
                  <c:v>6.0549823382352219</c:v>
                </c:pt>
                <c:pt idx="12">
                  <c:v>5.3307068844769692</c:v>
                </c:pt>
                <c:pt idx="13">
                  <c:v>6.2347754095670549</c:v>
                </c:pt>
                <c:pt idx="14">
                  <c:v>6.4231620883944389</c:v>
                </c:pt>
                <c:pt idx="15">
                  <c:v>5.637486396747442</c:v>
                </c:pt>
                <c:pt idx="16">
                  <c:v>5.2402396172241144</c:v>
                </c:pt>
                <c:pt idx="17">
                  <c:v>4.873976039103721</c:v>
                </c:pt>
                <c:pt idx="18">
                  <c:v>5.2677809583674078</c:v>
                </c:pt>
                <c:pt idx="19">
                  <c:v>6.5527577564373978</c:v>
                </c:pt>
                <c:pt idx="20">
                  <c:v>5.5644969139707445</c:v>
                </c:pt>
                <c:pt idx="21">
                  <c:v>5.8097953170967784</c:v>
                </c:pt>
              </c:numCache>
            </c:numRef>
          </c:val>
        </c:ser>
        <c:ser>
          <c:idx val="3"/>
          <c:order val="3"/>
          <c:tx>
            <c:strRef>
              <c:f>'Udio GHG u CO2 ekv'!$A$11</c:f>
              <c:strCache>
                <c:ptCount val="1"/>
                <c:pt idx="0">
                  <c:v>udio CF4</c:v>
                </c:pt>
              </c:strCache>
            </c:strRef>
          </c:tx>
          <c:spPr>
            <a:solidFill>
              <a:schemeClr val="accent4"/>
            </a:solidFill>
          </c:spPr>
          <c:invertIfNegative val="0"/>
          <c:dLbls>
            <c:txPr>
              <a:bodyPr/>
              <a:lstStyle/>
              <a:p>
                <a:pPr>
                  <a:defRPr sz="800" b="1">
                    <a:latin typeface="Constantia" pitchFamily="18" charset="0"/>
                  </a:defRPr>
                </a:pPr>
                <a:endParaRPr lang="en-US"/>
              </a:p>
            </c:txPr>
            <c:showLegendKey val="0"/>
            <c:showVal val="1"/>
            <c:showCatName val="0"/>
            <c:showSerName val="0"/>
            <c:showPercent val="0"/>
            <c:showBubbleSize val="0"/>
            <c:showLeaderLines val="0"/>
          </c:dLbls>
          <c:cat>
            <c:numRef>
              <c:f>'Udio GHG u CO2 ekv'!$B$1:$W$1</c:f>
              <c:numCache>
                <c:formatCode>General</c:formatCode>
                <c:ptCount val="22"/>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numCache>
            </c:numRef>
          </c:cat>
          <c:val>
            <c:numRef>
              <c:f>'Udio GHG u CO2 ekv'!$B$11:$W$11</c:f>
              <c:numCache>
                <c:formatCode>0.0</c:formatCode>
                <c:ptCount val="22"/>
                <c:pt idx="0">
                  <c:v>32.401696134217254</c:v>
                </c:pt>
                <c:pt idx="1">
                  <c:v>37.260229275448545</c:v>
                </c:pt>
                <c:pt idx="2">
                  <c:v>31.412252153525639</c:v>
                </c:pt>
                <c:pt idx="3">
                  <c:v>16.250388821239163</c:v>
                </c:pt>
                <c:pt idx="4">
                  <c:v>2.293478310058453</c:v>
                </c:pt>
                <c:pt idx="5">
                  <c:v>12.877300224837304</c:v>
                </c:pt>
                <c:pt idx="6">
                  <c:v>24.928447392558923</c:v>
                </c:pt>
                <c:pt idx="7">
                  <c:v>28.919103841242187</c:v>
                </c:pt>
                <c:pt idx="8">
                  <c:v>26.003061981315568</c:v>
                </c:pt>
                <c:pt idx="9">
                  <c:v>27.502544823017587</c:v>
                </c:pt>
                <c:pt idx="10">
                  <c:v>31.02537721199764</c:v>
                </c:pt>
                <c:pt idx="11">
                  <c:v>34.744007907900951</c:v>
                </c:pt>
                <c:pt idx="12">
                  <c:v>32.103722354992961</c:v>
                </c:pt>
                <c:pt idx="13">
                  <c:v>28.674392421705491</c:v>
                </c:pt>
                <c:pt idx="14">
                  <c:v>25.847524207126487</c:v>
                </c:pt>
                <c:pt idx="15">
                  <c:v>26.696317174058038</c:v>
                </c:pt>
                <c:pt idx="16">
                  <c:v>26.73415855674433</c:v>
                </c:pt>
                <c:pt idx="17">
                  <c:v>29.039377775728127</c:v>
                </c:pt>
                <c:pt idx="18">
                  <c:v>14.439335250198502</c:v>
                </c:pt>
                <c:pt idx="19">
                  <c:v>12.854583665285144</c:v>
                </c:pt>
                <c:pt idx="20">
                  <c:v>12.604771402837843</c:v>
                </c:pt>
                <c:pt idx="21">
                  <c:v>12.787555189118747</c:v>
                </c:pt>
              </c:numCache>
            </c:numRef>
          </c:val>
        </c:ser>
        <c:ser>
          <c:idx val="4"/>
          <c:order val="4"/>
          <c:tx>
            <c:strRef>
              <c:f>'Udio GHG u CO2 ekv'!$A$12</c:f>
              <c:strCache>
                <c:ptCount val="1"/>
                <c:pt idx="0">
                  <c:v>udio C2F6</c:v>
                </c:pt>
              </c:strCache>
            </c:strRef>
          </c:tx>
          <c:invertIfNegative val="0"/>
          <c:dLbls>
            <c:dLbl>
              <c:idx val="4"/>
              <c:layout>
                <c:manualLayout>
                  <c:x val="2.5188916876574376E-3"/>
                  <c:y val="-1.1560693641618521E-2"/>
                </c:manualLayout>
              </c:layout>
              <c:showLegendKey val="0"/>
              <c:showVal val="1"/>
              <c:showCatName val="0"/>
              <c:showSerName val="0"/>
              <c:showPercent val="0"/>
              <c:showBubbleSize val="0"/>
            </c:dLbl>
            <c:dLbl>
              <c:idx val="5"/>
              <c:layout>
                <c:manualLayout>
                  <c:x val="0"/>
                  <c:y val="-1.7341040462427744E-2"/>
                </c:manualLayout>
              </c:layout>
              <c:showLegendKey val="0"/>
              <c:showVal val="1"/>
              <c:showCatName val="0"/>
              <c:showSerName val="0"/>
              <c:showPercent val="0"/>
              <c:showBubbleSize val="0"/>
            </c:dLbl>
            <c:txPr>
              <a:bodyPr/>
              <a:lstStyle/>
              <a:p>
                <a:pPr>
                  <a:defRPr sz="800" b="1">
                    <a:latin typeface="Constantia" pitchFamily="18" charset="0"/>
                  </a:defRPr>
                </a:pPr>
                <a:endParaRPr lang="en-US"/>
              </a:p>
            </c:txPr>
            <c:showLegendKey val="0"/>
            <c:showVal val="1"/>
            <c:showCatName val="0"/>
            <c:showSerName val="0"/>
            <c:showPercent val="0"/>
            <c:showBubbleSize val="0"/>
            <c:showLeaderLines val="0"/>
          </c:dLbls>
          <c:cat>
            <c:numRef>
              <c:f>'Udio GHG u CO2 ekv'!$B$1:$W$1</c:f>
              <c:numCache>
                <c:formatCode>General</c:formatCode>
                <c:ptCount val="22"/>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numCache>
            </c:numRef>
          </c:cat>
          <c:val>
            <c:numRef>
              <c:f>'Udio GHG u CO2 ekv'!$B$12:$W$12</c:f>
              <c:numCache>
                <c:formatCode>0.0</c:formatCode>
                <c:ptCount val="22"/>
                <c:pt idx="0">
                  <c:v>4.9668803849175118</c:v>
                </c:pt>
                <c:pt idx="1">
                  <c:v>5.8597283646859282</c:v>
                </c:pt>
                <c:pt idx="2">
                  <c:v>3.866123341972393</c:v>
                </c:pt>
                <c:pt idx="3">
                  <c:v>2.875068791450003</c:v>
                </c:pt>
                <c:pt idx="4">
                  <c:v>0</c:v>
                </c:pt>
                <c:pt idx="5">
                  <c:v>0</c:v>
                </c:pt>
                <c:pt idx="6">
                  <c:v>4.410417615606586</c:v>
                </c:pt>
                <c:pt idx="7">
                  <c:v>4.3544313476174707</c:v>
                </c:pt>
                <c:pt idx="8">
                  <c:v>4.0004710740485487</c:v>
                </c:pt>
                <c:pt idx="9">
                  <c:v>3.8541266164777119</c:v>
                </c:pt>
                <c:pt idx="10">
                  <c:v>5.2070563153003064</c:v>
                </c:pt>
                <c:pt idx="11">
                  <c:v>5.5461805567268057</c:v>
                </c:pt>
                <c:pt idx="12">
                  <c:v>5.0116670644672316</c:v>
                </c:pt>
                <c:pt idx="13">
                  <c:v>3.6895721717439232</c:v>
                </c:pt>
                <c:pt idx="14">
                  <c:v>3.8509671693208696</c:v>
                </c:pt>
                <c:pt idx="15">
                  <c:v>4.1983951795099763</c:v>
                </c:pt>
                <c:pt idx="16">
                  <c:v>3.9622111755464808</c:v>
                </c:pt>
                <c:pt idx="17">
                  <c:v>3.9521046677026472</c:v>
                </c:pt>
                <c:pt idx="18">
                  <c:v>2.1069291721146111</c:v>
                </c:pt>
                <c:pt idx="19">
                  <c:v>2.9826524519703197</c:v>
                </c:pt>
                <c:pt idx="20">
                  <c:v>2.2872563492329099</c:v>
                </c:pt>
                <c:pt idx="21">
                  <c:v>2.3814880109289973</c:v>
                </c:pt>
              </c:numCache>
            </c:numRef>
          </c:val>
        </c:ser>
        <c:dLbls>
          <c:showLegendKey val="0"/>
          <c:showVal val="0"/>
          <c:showCatName val="0"/>
          <c:showSerName val="0"/>
          <c:showPercent val="0"/>
          <c:showBubbleSize val="0"/>
        </c:dLbls>
        <c:gapWidth val="54"/>
        <c:overlap val="100"/>
        <c:axId val="197976064"/>
        <c:axId val="197977600"/>
      </c:barChart>
      <c:catAx>
        <c:axId val="197976064"/>
        <c:scaling>
          <c:orientation val="minMax"/>
        </c:scaling>
        <c:delete val="0"/>
        <c:axPos val="b"/>
        <c:numFmt formatCode="General" sourceLinked="1"/>
        <c:majorTickMark val="out"/>
        <c:minorTickMark val="none"/>
        <c:tickLblPos val="nextTo"/>
        <c:txPr>
          <a:bodyPr rot="-5400000" vert="horz"/>
          <a:lstStyle/>
          <a:p>
            <a:pPr>
              <a:defRPr>
                <a:latin typeface="Constantia" pitchFamily="18" charset="0"/>
              </a:defRPr>
            </a:pPr>
            <a:endParaRPr lang="en-US"/>
          </a:p>
        </c:txPr>
        <c:crossAx val="197977600"/>
        <c:crosses val="autoZero"/>
        <c:auto val="1"/>
        <c:lblAlgn val="ctr"/>
        <c:lblOffset val="100"/>
        <c:noMultiLvlLbl val="0"/>
      </c:catAx>
      <c:valAx>
        <c:axId val="197977600"/>
        <c:scaling>
          <c:orientation val="minMax"/>
          <c:max val="100"/>
        </c:scaling>
        <c:delete val="0"/>
        <c:axPos val="l"/>
        <c:numFmt formatCode="0.0" sourceLinked="1"/>
        <c:majorTickMark val="out"/>
        <c:minorTickMark val="none"/>
        <c:tickLblPos val="nextTo"/>
        <c:txPr>
          <a:bodyPr/>
          <a:lstStyle/>
          <a:p>
            <a:pPr>
              <a:defRPr>
                <a:latin typeface="Constantia" pitchFamily="18" charset="0"/>
              </a:defRPr>
            </a:pPr>
            <a:endParaRPr lang="en-US"/>
          </a:p>
        </c:txPr>
        <c:crossAx val="197976064"/>
        <c:crosses val="autoZero"/>
        <c:crossBetween val="between"/>
      </c:valAx>
    </c:plotArea>
    <c:legend>
      <c:legendPos val="r"/>
      <c:layout>
        <c:manualLayout>
          <c:xMode val="edge"/>
          <c:yMode val="edge"/>
          <c:x val="8.8201471667427006E-2"/>
          <c:y val="3.3334336589284808E-2"/>
          <c:w val="0.83899339260562611"/>
          <c:h val="0.12633698966819895"/>
        </c:manualLayout>
      </c:layout>
      <c:overlay val="0"/>
      <c:txPr>
        <a:bodyPr/>
        <a:lstStyle/>
        <a:p>
          <a:pPr>
            <a:defRPr>
              <a:latin typeface="Constantia" pitchFamily="18" charset="0"/>
            </a:defRPr>
          </a:pPr>
          <a:endParaRPr lang="en-US"/>
        </a:p>
      </c:txPr>
    </c:legend>
    <c:plotVisOnly val="1"/>
    <c:dispBlanksAs val="gap"/>
    <c:showDLblsOverMax val="0"/>
  </c:chart>
  <c:spPr>
    <a:ln>
      <a:noFill/>
    </a:ln>
  </c:spPr>
  <c:externalData r:id="rId2">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8319746426406215E-2"/>
          <c:y val="4.6888357165112325E-2"/>
          <c:w val="0.86066305272274723"/>
          <c:h val="0.54395390168595359"/>
        </c:manualLayout>
      </c:layout>
      <c:lineChart>
        <c:grouping val="standard"/>
        <c:varyColors val="0"/>
        <c:ser>
          <c:idx val="0"/>
          <c:order val="0"/>
          <c:tx>
            <c:strRef>
              <c:f>Sheet1!$B$1</c:f>
              <c:strCache>
                <c:ptCount val="1"/>
                <c:pt idx="0">
                  <c:v>CFC</c:v>
                </c:pt>
              </c:strCache>
            </c:strRef>
          </c:tx>
          <c:spPr>
            <a:ln w="38100"/>
          </c:spPr>
          <c:marker>
            <c:symbol val="circle"/>
            <c:size val="5"/>
          </c:marker>
          <c:cat>
            <c:strRef>
              <c:f>Sheet1!$A$2:$A$13</c:f>
              <c:strCache>
                <c:ptCount val="12"/>
                <c:pt idx="0">
                  <c:v>1995-1996-1997</c:v>
                </c:pt>
                <c:pt idx="1">
                  <c:v>1998-1999-2000 </c:v>
                </c:pt>
                <c:pt idx="2">
                  <c:v>2004</c:v>
                </c:pt>
                <c:pt idx="3">
                  <c:v>2005</c:v>
                </c:pt>
                <c:pt idx="4">
                  <c:v>2006</c:v>
                </c:pt>
                <c:pt idx="5">
                  <c:v>2007</c:v>
                </c:pt>
                <c:pt idx="6">
                  <c:v>2008</c:v>
                </c:pt>
                <c:pt idx="7">
                  <c:v>2009</c:v>
                </c:pt>
                <c:pt idx="8">
                  <c:v>2010</c:v>
                </c:pt>
                <c:pt idx="9">
                  <c:v>2011</c:v>
                </c:pt>
                <c:pt idx="10">
                  <c:v>2012</c:v>
                </c:pt>
                <c:pt idx="11">
                  <c:v>2013</c:v>
                </c:pt>
              </c:strCache>
            </c:strRef>
          </c:cat>
          <c:val>
            <c:numRef>
              <c:f>Sheet1!$B$2:$B$13</c:f>
              <c:numCache>
                <c:formatCode>General</c:formatCode>
                <c:ptCount val="12"/>
                <c:pt idx="0">
                  <c:v>105.2</c:v>
                </c:pt>
                <c:pt idx="2">
                  <c:v>0.89</c:v>
                </c:pt>
                <c:pt idx="3">
                  <c:v>1.1200000000000001</c:v>
                </c:pt>
                <c:pt idx="4">
                  <c:v>14.13</c:v>
                </c:pt>
                <c:pt idx="5">
                  <c:v>3.54</c:v>
                </c:pt>
                <c:pt idx="6">
                  <c:v>8.0000000000000043E-2</c:v>
                </c:pt>
                <c:pt idx="7">
                  <c:v>0</c:v>
                </c:pt>
                <c:pt idx="8">
                  <c:v>0</c:v>
                </c:pt>
                <c:pt idx="9">
                  <c:v>0</c:v>
                </c:pt>
                <c:pt idx="10">
                  <c:v>0</c:v>
                </c:pt>
                <c:pt idx="11">
                  <c:v>0</c:v>
                </c:pt>
              </c:numCache>
            </c:numRef>
          </c:val>
          <c:smooth val="0"/>
        </c:ser>
        <c:ser>
          <c:idx val="1"/>
          <c:order val="1"/>
          <c:tx>
            <c:strRef>
              <c:f>Sheet1!$C$1</c:f>
              <c:strCache>
                <c:ptCount val="1"/>
                <c:pt idx="0">
                  <c:v>HALONI</c:v>
                </c:pt>
              </c:strCache>
            </c:strRef>
          </c:tx>
          <c:marker>
            <c:symbol val="circle"/>
            <c:size val="5"/>
          </c:marker>
          <c:cat>
            <c:strRef>
              <c:f>Sheet1!$A$2:$A$13</c:f>
              <c:strCache>
                <c:ptCount val="12"/>
                <c:pt idx="0">
                  <c:v>1995-1996-1997</c:v>
                </c:pt>
                <c:pt idx="1">
                  <c:v>1998-1999-2000 </c:v>
                </c:pt>
                <c:pt idx="2">
                  <c:v>2004</c:v>
                </c:pt>
                <c:pt idx="3">
                  <c:v>2005</c:v>
                </c:pt>
                <c:pt idx="4">
                  <c:v>2006</c:v>
                </c:pt>
                <c:pt idx="5">
                  <c:v>2007</c:v>
                </c:pt>
                <c:pt idx="6">
                  <c:v>2008</c:v>
                </c:pt>
                <c:pt idx="7">
                  <c:v>2009</c:v>
                </c:pt>
                <c:pt idx="8">
                  <c:v>2010</c:v>
                </c:pt>
                <c:pt idx="9">
                  <c:v>2011</c:v>
                </c:pt>
                <c:pt idx="10">
                  <c:v>2012</c:v>
                </c:pt>
                <c:pt idx="11">
                  <c:v>2013</c:v>
                </c:pt>
              </c:strCache>
            </c:strRef>
          </c:cat>
          <c:val>
            <c:numRef>
              <c:f>Sheet1!$C$2:$C$13</c:f>
              <c:numCache>
                <c:formatCode>General</c:formatCode>
                <c:ptCount val="12"/>
                <c:pt idx="0">
                  <c:v>0.30000000000000032</c:v>
                </c:pt>
              </c:numCache>
            </c:numRef>
          </c:val>
          <c:smooth val="0"/>
        </c:ser>
        <c:ser>
          <c:idx val="2"/>
          <c:order val="2"/>
          <c:tx>
            <c:strRef>
              <c:f>Sheet1!$D$1</c:f>
              <c:strCache>
                <c:ptCount val="1"/>
                <c:pt idx="0">
                  <c:v>UGLJEN TETRA HLORID</c:v>
                </c:pt>
              </c:strCache>
            </c:strRef>
          </c:tx>
          <c:marker>
            <c:symbol val="circle"/>
            <c:size val="5"/>
          </c:marker>
          <c:cat>
            <c:strRef>
              <c:f>Sheet1!$A$2:$A$13</c:f>
              <c:strCache>
                <c:ptCount val="12"/>
                <c:pt idx="0">
                  <c:v>1995-1996-1997</c:v>
                </c:pt>
                <c:pt idx="1">
                  <c:v>1998-1999-2000 </c:v>
                </c:pt>
                <c:pt idx="2">
                  <c:v>2004</c:v>
                </c:pt>
                <c:pt idx="3">
                  <c:v>2005</c:v>
                </c:pt>
                <c:pt idx="4">
                  <c:v>2006</c:v>
                </c:pt>
                <c:pt idx="5">
                  <c:v>2007</c:v>
                </c:pt>
                <c:pt idx="6">
                  <c:v>2008</c:v>
                </c:pt>
                <c:pt idx="7">
                  <c:v>2009</c:v>
                </c:pt>
                <c:pt idx="8">
                  <c:v>2010</c:v>
                </c:pt>
                <c:pt idx="9">
                  <c:v>2011</c:v>
                </c:pt>
                <c:pt idx="10">
                  <c:v>2012</c:v>
                </c:pt>
                <c:pt idx="11">
                  <c:v>2013</c:v>
                </c:pt>
              </c:strCache>
            </c:strRef>
          </c:cat>
          <c:val>
            <c:numRef>
              <c:f>Sheet1!$D$2:$D$13</c:f>
              <c:numCache>
                <c:formatCode>General</c:formatCode>
                <c:ptCount val="12"/>
                <c:pt idx="1">
                  <c:v>1</c:v>
                </c:pt>
                <c:pt idx="2">
                  <c:v>2.0000000000000011E-2</c:v>
                </c:pt>
                <c:pt idx="3">
                  <c:v>3.0000000000000002E-2</c:v>
                </c:pt>
                <c:pt idx="4">
                  <c:v>0.05</c:v>
                </c:pt>
                <c:pt idx="6">
                  <c:v>2.0000000000000011E-2</c:v>
                </c:pt>
                <c:pt idx="7">
                  <c:v>0</c:v>
                </c:pt>
                <c:pt idx="8">
                  <c:v>0</c:v>
                </c:pt>
                <c:pt idx="9">
                  <c:v>0</c:v>
                </c:pt>
                <c:pt idx="10">
                  <c:v>0</c:v>
                </c:pt>
                <c:pt idx="11">
                  <c:v>0</c:v>
                </c:pt>
              </c:numCache>
            </c:numRef>
          </c:val>
          <c:smooth val="0"/>
        </c:ser>
        <c:ser>
          <c:idx val="3"/>
          <c:order val="3"/>
          <c:tx>
            <c:strRef>
              <c:f>Sheet1!$E$1</c:f>
              <c:strCache>
                <c:ptCount val="1"/>
                <c:pt idx="0">
                  <c:v>HCFC</c:v>
                </c:pt>
              </c:strCache>
            </c:strRef>
          </c:tx>
          <c:spPr>
            <a:ln w="38100"/>
          </c:spPr>
          <c:marker>
            <c:symbol val="circle"/>
            <c:size val="5"/>
          </c:marker>
          <c:cat>
            <c:strRef>
              <c:f>Sheet1!$A$2:$A$13</c:f>
              <c:strCache>
                <c:ptCount val="12"/>
                <c:pt idx="0">
                  <c:v>1995-1996-1997</c:v>
                </c:pt>
                <c:pt idx="1">
                  <c:v>1998-1999-2000 </c:v>
                </c:pt>
                <c:pt idx="2">
                  <c:v>2004</c:v>
                </c:pt>
                <c:pt idx="3">
                  <c:v>2005</c:v>
                </c:pt>
                <c:pt idx="4">
                  <c:v>2006</c:v>
                </c:pt>
                <c:pt idx="5">
                  <c:v>2007</c:v>
                </c:pt>
                <c:pt idx="6">
                  <c:v>2008</c:v>
                </c:pt>
                <c:pt idx="7">
                  <c:v>2009</c:v>
                </c:pt>
                <c:pt idx="8">
                  <c:v>2010</c:v>
                </c:pt>
                <c:pt idx="9">
                  <c:v>2011</c:v>
                </c:pt>
                <c:pt idx="10">
                  <c:v>2012</c:v>
                </c:pt>
                <c:pt idx="11">
                  <c:v>2013</c:v>
                </c:pt>
              </c:strCache>
            </c:strRef>
          </c:cat>
          <c:val>
            <c:numRef>
              <c:f>Sheet1!$E$2:$E$13</c:f>
              <c:numCache>
                <c:formatCode>General</c:formatCode>
                <c:ptCount val="12"/>
                <c:pt idx="2">
                  <c:v>4.08</c:v>
                </c:pt>
                <c:pt idx="3">
                  <c:v>12.53</c:v>
                </c:pt>
                <c:pt idx="4">
                  <c:v>22.979999999999986</c:v>
                </c:pt>
                <c:pt idx="5">
                  <c:v>13.46</c:v>
                </c:pt>
                <c:pt idx="6">
                  <c:v>6.94</c:v>
                </c:pt>
                <c:pt idx="7">
                  <c:v>17.14</c:v>
                </c:pt>
                <c:pt idx="8">
                  <c:v>10.61</c:v>
                </c:pt>
                <c:pt idx="9">
                  <c:v>13.12</c:v>
                </c:pt>
                <c:pt idx="10">
                  <c:v>17.100000000000001</c:v>
                </c:pt>
                <c:pt idx="11">
                  <c:v>13.6</c:v>
                </c:pt>
              </c:numCache>
            </c:numRef>
          </c:val>
          <c:smooth val="0"/>
        </c:ser>
        <c:ser>
          <c:idx val="4"/>
          <c:order val="4"/>
          <c:tx>
            <c:strRef>
              <c:f>Sheet1!$F$1</c:f>
              <c:strCache>
                <c:ptCount val="1"/>
                <c:pt idx="0">
                  <c:v>METIL BROMID</c:v>
                </c:pt>
              </c:strCache>
            </c:strRef>
          </c:tx>
          <c:marker>
            <c:symbol val="star"/>
            <c:size val="10"/>
            <c:spPr>
              <a:ln>
                <a:solidFill>
                  <a:srgbClr val="C00000"/>
                </a:solidFill>
              </a:ln>
            </c:spPr>
          </c:marker>
          <c:dPt>
            <c:idx val="0"/>
            <c:marker>
              <c:symbol val="circle"/>
              <c:size val="5"/>
              <c:spPr>
                <a:solidFill>
                  <a:srgbClr val="C00000"/>
                </a:solidFill>
                <a:ln>
                  <a:solidFill>
                    <a:srgbClr val="C00000"/>
                  </a:solidFill>
                </a:ln>
              </c:spPr>
            </c:marker>
            <c:bubble3D val="0"/>
          </c:dPt>
          <c:cat>
            <c:strRef>
              <c:f>Sheet1!$A$2:$A$13</c:f>
              <c:strCache>
                <c:ptCount val="12"/>
                <c:pt idx="0">
                  <c:v>1995-1996-1997</c:v>
                </c:pt>
                <c:pt idx="1">
                  <c:v>1998-1999-2000 </c:v>
                </c:pt>
                <c:pt idx="2">
                  <c:v>2004</c:v>
                </c:pt>
                <c:pt idx="3">
                  <c:v>2005</c:v>
                </c:pt>
                <c:pt idx="4">
                  <c:v>2006</c:v>
                </c:pt>
                <c:pt idx="5">
                  <c:v>2007</c:v>
                </c:pt>
                <c:pt idx="6">
                  <c:v>2008</c:v>
                </c:pt>
                <c:pt idx="7">
                  <c:v>2009</c:v>
                </c:pt>
                <c:pt idx="8">
                  <c:v>2010</c:v>
                </c:pt>
                <c:pt idx="9">
                  <c:v>2011</c:v>
                </c:pt>
                <c:pt idx="10">
                  <c:v>2012</c:v>
                </c:pt>
                <c:pt idx="11">
                  <c:v>2013</c:v>
                </c:pt>
              </c:strCache>
            </c:strRef>
          </c:cat>
          <c:val>
            <c:numRef>
              <c:f>Sheet1!$F$2:$F$13</c:f>
              <c:numCache>
                <c:formatCode>General</c:formatCode>
                <c:ptCount val="12"/>
                <c:pt idx="0">
                  <c:v>2.5000000000000001E-2</c:v>
                </c:pt>
              </c:numCache>
            </c:numRef>
          </c:val>
          <c:smooth val="0"/>
        </c:ser>
        <c:dLbls>
          <c:showLegendKey val="0"/>
          <c:showVal val="0"/>
          <c:showCatName val="0"/>
          <c:showSerName val="0"/>
          <c:showPercent val="0"/>
          <c:showBubbleSize val="0"/>
        </c:dLbls>
        <c:marker val="1"/>
        <c:smooth val="0"/>
        <c:axId val="272532224"/>
        <c:axId val="272533760"/>
      </c:lineChart>
      <c:catAx>
        <c:axId val="272532224"/>
        <c:scaling>
          <c:orientation val="minMax"/>
        </c:scaling>
        <c:delete val="0"/>
        <c:axPos val="b"/>
        <c:numFmt formatCode="General" sourceLinked="1"/>
        <c:majorTickMark val="out"/>
        <c:minorTickMark val="none"/>
        <c:tickLblPos val="nextTo"/>
        <c:txPr>
          <a:bodyPr/>
          <a:lstStyle/>
          <a:p>
            <a:pPr>
              <a:defRPr sz="800"/>
            </a:pPr>
            <a:endParaRPr lang="en-US"/>
          </a:p>
        </c:txPr>
        <c:crossAx val="272533760"/>
        <c:crosses val="autoZero"/>
        <c:auto val="1"/>
        <c:lblAlgn val="ctr"/>
        <c:lblOffset val="100"/>
        <c:noMultiLvlLbl val="0"/>
      </c:catAx>
      <c:valAx>
        <c:axId val="272533760"/>
        <c:scaling>
          <c:orientation val="minMax"/>
        </c:scaling>
        <c:delete val="0"/>
        <c:axPos val="l"/>
        <c:numFmt formatCode="General" sourceLinked="1"/>
        <c:majorTickMark val="out"/>
        <c:minorTickMark val="none"/>
        <c:tickLblPos val="nextTo"/>
        <c:crossAx val="272532224"/>
        <c:crosses val="autoZero"/>
        <c:crossBetween val="between"/>
      </c:valAx>
    </c:plotArea>
    <c:legend>
      <c:legendPos val="r"/>
      <c:layout>
        <c:manualLayout>
          <c:xMode val="edge"/>
          <c:yMode val="edge"/>
          <c:x val="0.57785722847643661"/>
          <c:y val="2.6581333560698812E-2"/>
          <c:w val="0.40467434515961126"/>
          <c:h val="0.25632598723568412"/>
        </c:manualLayout>
      </c:layout>
      <c:overlay val="1"/>
      <c:txPr>
        <a:bodyPr/>
        <a:lstStyle/>
        <a:p>
          <a:pPr>
            <a:defRPr sz="800" baseline="0"/>
          </a:pPr>
          <a:endParaRPr lang="en-US"/>
        </a:p>
      </c:txPr>
    </c:legend>
    <c:plotVisOnly val="1"/>
    <c:dispBlanksAs val="gap"/>
    <c:showDLblsOverMax val="0"/>
  </c:chart>
  <c:spPr>
    <a:ln>
      <a:noFill/>
    </a:ln>
  </c:spPr>
  <c:externalData r:id="rId2">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manualLayout>
          <c:layoutTarget val="inner"/>
          <c:xMode val="edge"/>
          <c:yMode val="edge"/>
          <c:x val="4.6586954408476731E-2"/>
          <c:y val="6.0906149706056407E-2"/>
          <c:w val="0.84744483328472986"/>
          <c:h val="0.74937139107611561"/>
        </c:manualLayout>
      </c:layout>
      <c:barChart>
        <c:barDir val="col"/>
        <c:grouping val="clustered"/>
        <c:varyColors val="0"/>
        <c:ser>
          <c:idx val="0"/>
          <c:order val="0"/>
          <c:tx>
            <c:strRef>
              <c:f>Sheet1!$B$1</c:f>
              <c:strCache>
                <c:ptCount val="1"/>
                <c:pt idx="0">
                  <c:v>2008</c:v>
                </c:pt>
              </c:strCache>
            </c:strRef>
          </c:tx>
          <c:invertIfNegative val="0"/>
          <c:cat>
            <c:strRef>
              <c:f>Sheet1!$A$2:$A$7</c:f>
              <c:strCache>
                <c:ptCount val="6"/>
                <c:pt idx="0">
                  <c:v>Pernica</c:v>
                </c:pt>
                <c:pt idx="1">
                  <c:v>Zlatica</c:v>
                </c:pt>
                <c:pt idx="2">
                  <c:v>G.plaža</c:v>
                </c:pt>
                <c:pt idx="3">
                  <c:v>G.kolektor</c:v>
                </c:pt>
                <c:pt idx="4">
                  <c:v>Grbavci</c:v>
                </c:pt>
                <c:pt idx="5">
                  <c:v>Vukovci</c:v>
                </c:pt>
              </c:strCache>
            </c:strRef>
          </c:cat>
          <c:val>
            <c:numRef>
              <c:f>Sheet1!$B$2:$B$7</c:f>
              <c:numCache>
                <c:formatCode>General</c:formatCode>
                <c:ptCount val="6"/>
                <c:pt idx="0">
                  <c:v>2.1</c:v>
                </c:pt>
                <c:pt idx="1">
                  <c:v>2.4</c:v>
                </c:pt>
                <c:pt idx="2">
                  <c:v>1.4</c:v>
                </c:pt>
                <c:pt idx="3">
                  <c:v>7.2</c:v>
                </c:pt>
                <c:pt idx="4">
                  <c:v>3.1</c:v>
                </c:pt>
                <c:pt idx="5">
                  <c:v>2.1</c:v>
                </c:pt>
              </c:numCache>
            </c:numRef>
          </c:val>
        </c:ser>
        <c:ser>
          <c:idx val="1"/>
          <c:order val="1"/>
          <c:tx>
            <c:strRef>
              <c:f>Sheet1!$C$1</c:f>
              <c:strCache>
                <c:ptCount val="1"/>
                <c:pt idx="0">
                  <c:v>2009</c:v>
                </c:pt>
              </c:strCache>
            </c:strRef>
          </c:tx>
          <c:invertIfNegative val="0"/>
          <c:cat>
            <c:strRef>
              <c:f>Sheet1!$A$2:$A$7</c:f>
              <c:strCache>
                <c:ptCount val="6"/>
                <c:pt idx="0">
                  <c:v>Pernica</c:v>
                </c:pt>
                <c:pt idx="1">
                  <c:v>Zlatica</c:v>
                </c:pt>
                <c:pt idx="2">
                  <c:v>G.plaža</c:v>
                </c:pt>
                <c:pt idx="3">
                  <c:v>G.kolektor</c:v>
                </c:pt>
                <c:pt idx="4">
                  <c:v>Grbavci</c:v>
                </c:pt>
                <c:pt idx="5">
                  <c:v>Vukovci</c:v>
                </c:pt>
              </c:strCache>
            </c:strRef>
          </c:cat>
          <c:val>
            <c:numRef>
              <c:f>Sheet1!$C$2:$C$7</c:f>
              <c:numCache>
                <c:formatCode>General</c:formatCode>
                <c:ptCount val="6"/>
                <c:pt idx="0">
                  <c:v>2.6</c:v>
                </c:pt>
                <c:pt idx="1">
                  <c:v>3.2</c:v>
                </c:pt>
                <c:pt idx="2">
                  <c:v>2</c:v>
                </c:pt>
                <c:pt idx="3">
                  <c:v>9.2000000000000011</c:v>
                </c:pt>
                <c:pt idx="4">
                  <c:v>4.8</c:v>
                </c:pt>
                <c:pt idx="5">
                  <c:v>3.6</c:v>
                </c:pt>
              </c:numCache>
            </c:numRef>
          </c:val>
        </c:ser>
        <c:ser>
          <c:idx val="2"/>
          <c:order val="2"/>
          <c:tx>
            <c:strRef>
              <c:f>Sheet1!$D$1</c:f>
              <c:strCache>
                <c:ptCount val="1"/>
                <c:pt idx="0">
                  <c:v>2010</c:v>
                </c:pt>
              </c:strCache>
            </c:strRef>
          </c:tx>
          <c:invertIfNegative val="0"/>
          <c:cat>
            <c:strRef>
              <c:f>Sheet1!$A$2:$A$7</c:f>
              <c:strCache>
                <c:ptCount val="6"/>
                <c:pt idx="0">
                  <c:v>Pernica</c:v>
                </c:pt>
                <c:pt idx="1">
                  <c:v>Zlatica</c:v>
                </c:pt>
                <c:pt idx="2">
                  <c:v>G.plaža</c:v>
                </c:pt>
                <c:pt idx="3">
                  <c:v>G.kolektor</c:v>
                </c:pt>
                <c:pt idx="4">
                  <c:v>Grbavci</c:v>
                </c:pt>
                <c:pt idx="5">
                  <c:v>Vukovci</c:v>
                </c:pt>
              </c:strCache>
            </c:strRef>
          </c:cat>
          <c:val>
            <c:numRef>
              <c:f>Sheet1!$D$2:$D$7</c:f>
              <c:numCache>
                <c:formatCode>General</c:formatCode>
                <c:ptCount val="6"/>
                <c:pt idx="0">
                  <c:v>2.2999999999999998</c:v>
                </c:pt>
                <c:pt idx="1">
                  <c:v>1.3</c:v>
                </c:pt>
                <c:pt idx="2">
                  <c:v>1.8</c:v>
                </c:pt>
                <c:pt idx="3">
                  <c:v>10.1</c:v>
                </c:pt>
                <c:pt idx="4">
                  <c:v>6</c:v>
                </c:pt>
                <c:pt idx="5">
                  <c:v>1.8</c:v>
                </c:pt>
              </c:numCache>
            </c:numRef>
          </c:val>
        </c:ser>
        <c:ser>
          <c:idx val="3"/>
          <c:order val="3"/>
          <c:tx>
            <c:strRef>
              <c:f>Sheet1!$E$1</c:f>
              <c:strCache>
                <c:ptCount val="1"/>
                <c:pt idx="0">
                  <c:v>2011</c:v>
                </c:pt>
              </c:strCache>
            </c:strRef>
          </c:tx>
          <c:spPr>
            <a:ln w="38100"/>
          </c:spPr>
          <c:invertIfNegative val="0"/>
          <c:cat>
            <c:strRef>
              <c:f>Sheet1!$A$2:$A$7</c:f>
              <c:strCache>
                <c:ptCount val="6"/>
                <c:pt idx="0">
                  <c:v>Pernica</c:v>
                </c:pt>
                <c:pt idx="1">
                  <c:v>Zlatica</c:v>
                </c:pt>
                <c:pt idx="2">
                  <c:v>G.plaža</c:v>
                </c:pt>
                <c:pt idx="3">
                  <c:v>G.kolektor</c:v>
                </c:pt>
                <c:pt idx="4">
                  <c:v>Grbavci</c:v>
                </c:pt>
                <c:pt idx="5">
                  <c:v>Vukovci</c:v>
                </c:pt>
              </c:strCache>
            </c:strRef>
          </c:cat>
          <c:val>
            <c:numRef>
              <c:f>Sheet1!$E$2:$E$7</c:f>
              <c:numCache>
                <c:formatCode>General</c:formatCode>
                <c:ptCount val="6"/>
                <c:pt idx="0">
                  <c:v>1.4</c:v>
                </c:pt>
                <c:pt idx="1">
                  <c:v>4.2</c:v>
                </c:pt>
                <c:pt idx="2">
                  <c:v>2.9</c:v>
                </c:pt>
                <c:pt idx="3">
                  <c:v>7</c:v>
                </c:pt>
                <c:pt idx="4">
                  <c:v>3.5</c:v>
                </c:pt>
                <c:pt idx="5">
                  <c:v>2.6</c:v>
                </c:pt>
              </c:numCache>
            </c:numRef>
          </c:val>
        </c:ser>
        <c:ser>
          <c:idx val="4"/>
          <c:order val="4"/>
          <c:tx>
            <c:strRef>
              <c:f>Sheet1!$F$1</c:f>
              <c:strCache>
                <c:ptCount val="1"/>
                <c:pt idx="0">
                  <c:v>2012</c:v>
                </c:pt>
              </c:strCache>
            </c:strRef>
          </c:tx>
          <c:invertIfNegative val="0"/>
          <c:cat>
            <c:strRef>
              <c:f>Sheet1!$A$2:$A$7</c:f>
              <c:strCache>
                <c:ptCount val="6"/>
                <c:pt idx="0">
                  <c:v>Pernica</c:v>
                </c:pt>
                <c:pt idx="1">
                  <c:v>Zlatica</c:v>
                </c:pt>
                <c:pt idx="2">
                  <c:v>G.plaža</c:v>
                </c:pt>
                <c:pt idx="3">
                  <c:v>G.kolektor</c:v>
                </c:pt>
                <c:pt idx="4">
                  <c:v>Grbavci</c:v>
                </c:pt>
                <c:pt idx="5">
                  <c:v>Vukovci</c:v>
                </c:pt>
              </c:strCache>
            </c:strRef>
          </c:cat>
          <c:val>
            <c:numRef>
              <c:f>Sheet1!$F$2:$F$7</c:f>
              <c:numCache>
                <c:formatCode>General</c:formatCode>
                <c:ptCount val="6"/>
                <c:pt idx="0">
                  <c:v>5.3</c:v>
                </c:pt>
                <c:pt idx="1">
                  <c:v>1.4</c:v>
                </c:pt>
                <c:pt idx="2">
                  <c:v>1.9000000000000001</c:v>
                </c:pt>
                <c:pt idx="3">
                  <c:v>5.9</c:v>
                </c:pt>
                <c:pt idx="4">
                  <c:v>3.9</c:v>
                </c:pt>
                <c:pt idx="5">
                  <c:v>2</c:v>
                </c:pt>
              </c:numCache>
            </c:numRef>
          </c:val>
        </c:ser>
        <c:ser>
          <c:idx val="5"/>
          <c:order val="5"/>
          <c:tx>
            <c:strRef>
              <c:f>Sheet1!$G$1</c:f>
              <c:strCache>
                <c:ptCount val="1"/>
                <c:pt idx="0">
                  <c:v>2013</c:v>
                </c:pt>
              </c:strCache>
            </c:strRef>
          </c:tx>
          <c:spPr>
            <a:ln w="38100"/>
          </c:spPr>
          <c:invertIfNegative val="0"/>
          <c:cat>
            <c:strRef>
              <c:f>Sheet1!$A$2:$A$7</c:f>
              <c:strCache>
                <c:ptCount val="6"/>
                <c:pt idx="0">
                  <c:v>Pernica</c:v>
                </c:pt>
                <c:pt idx="1">
                  <c:v>Zlatica</c:v>
                </c:pt>
                <c:pt idx="2">
                  <c:v>G.plaža</c:v>
                </c:pt>
                <c:pt idx="3">
                  <c:v>G.kolektor</c:v>
                </c:pt>
                <c:pt idx="4">
                  <c:v>Grbavci</c:v>
                </c:pt>
                <c:pt idx="5">
                  <c:v>Vukovci</c:v>
                </c:pt>
              </c:strCache>
            </c:strRef>
          </c:cat>
          <c:val>
            <c:numRef>
              <c:f>Sheet1!$G$2:$G$7</c:f>
              <c:numCache>
                <c:formatCode>General</c:formatCode>
                <c:ptCount val="6"/>
                <c:pt idx="0">
                  <c:v>1.8</c:v>
                </c:pt>
                <c:pt idx="1">
                  <c:v>2.9</c:v>
                </c:pt>
                <c:pt idx="2">
                  <c:v>2.2999999999999998</c:v>
                </c:pt>
                <c:pt idx="3">
                  <c:v>7.3</c:v>
                </c:pt>
                <c:pt idx="4">
                  <c:v>4.0999999999999996</c:v>
                </c:pt>
                <c:pt idx="5">
                  <c:v>2.4</c:v>
                </c:pt>
              </c:numCache>
            </c:numRef>
          </c:val>
        </c:ser>
        <c:dLbls>
          <c:showLegendKey val="0"/>
          <c:showVal val="0"/>
          <c:showCatName val="0"/>
          <c:showSerName val="0"/>
          <c:showPercent val="0"/>
          <c:showBubbleSize val="0"/>
        </c:dLbls>
        <c:gapWidth val="150"/>
        <c:axId val="272687872"/>
        <c:axId val="272689408"/>
      </c:barChart>
      <c:lineChart>
        <c:grouping val="standard"/>
        <c:varyColors val="0"/>
        <c:ser>
          <c:idx val="6"/>
          <c:order val="6"/>
          <c:tx>
            <c:strRef>
              <c:f>Sheet1!$H$1</c:f>
              <c:strCache>
                <c:ptCount val="1"/>
                <c:pt idx="0">
                  <c:v>MDKA1</c:v>
                </c:pt>
              </c:strCache>
            </c:strRef>
          </c:tx>
          <c:spPr>
            <a:ln w="25400"/>
          </c:spPr>
          <c:marker>
            <c:symbol val="none"/>
          </c:marker>
          <c:cat>
            <c:strRef>
              <c:f>Sheet1!$A$2:$A$7</c:f>
              <c:strCache>
                <c:ptCount val="6"/>
                <c:pt idx="0">
                  <c:v>Pernica</c:v>
                </c:pt>
                <c:pt idx="1">
                  <c:v>Zlatica</c:v>
                </c:pt>
                <c:pt idx="2">
                  <c:v>G.plaža</c:v>
                </c:pt>
                <c:pt idx="3">
                  <c:v>G.kolektor</c:v>
                </c:pt>
                <c:pt idx="4">
                  <c:v>Grbavci</c:v>
                </c:pt>
                <c:pt idx="5">
                  <c:v>Vukovci</c:v>
                </c:pt>
              </c:strCache>
            </c:strRef>
          </c:cat>
          <c:val>
            <c:numRef>
              <c:f>Sheet1!$H$2:$H$7</c:f>
              <c:numCache>
                <c:formatCode>General</c:formatCode>
                <c:ptCount val="6"/>
                <c:pt idx="0">
                  <c:v>3</c:v>
                </c:pt>
                <c:pt idx="1">
                  <c:v>3</c:v>
                </c:pt>
                <c:pt idx="2">
                  <c:v>3</c:v>
                </c:pt>
                <c:pt idx="3">
                  <c:v>3</c:v>
                </c:pt>
                <c:pt idx="4">
                  <c:v>3</c:v>
                </c:pt>
                <c:pt idx="5">
                  <c:v>3</c:v>
                </c:pt>
              </c:numCache>
            </c:numRef>
          </c:val>
          <c:smooth val="0"/>
        </c:ser>
        <c:ser>
          <c:idx val="7"/>
          <c:order val="7"/>
          <c:tx>
            <c:strRef>
              <c:f>Sheet1!$I$1</c:f>
              <c:strCache>
                <c:ptCount val="1"/>
                <c:pt idx="0">
                  <c:v>MDKA2</c:v>
                </c:pt>
              </c:strCache>
            </c:strRef>
          </c:tx>
          <c:spPr>
            <a:ln w="25400"/>
          </c:spPr>
          <c:marker>
            <c:symbol val="none"/>
          </c:marker>
          <c:cat>
            <c:strRef>
              <c:f>Sheet1!$A$2:$A$7</c:f>
              <c:strCache>
                <c:ptCount val="6"/>
                <c:pt idx="0">
                  <c:v>Pernica</c:v>
                </c:pt>
                <c:pt idx="1">
                  <c:v>Zlatica</c:v>
                </c:pt>
                <c:pt idx="2">
                  <c:v>G.plaža</c:v>
                </c:pt>
                <c:pt idx="3">
                  <c:v>G.kolektor</c:v>
                </c:pt>
                <c:pt idx="4">
                  <c:v>Grbavci</c:v>
                </c:pt>
                <c:pt idx="5">
                  <c:v>Vukovci</c:v>
                </c:pt>
              </c:strCache>
            </c:strRef>
          </c:cat>
          <c:val>
            <c:numRef>
              <c:f>Sheet1!$I$2:$I$7</c:f>
              <c:numCache>
                <c:formatCode>General</c:formatCode>
                <c:ptCount val="6"/>
                <c:pt idx="0">
                  <c:v>4</c:v>
                </c:pt>
                <c:pt idx="1">
                  <c:v>4</c:v>
                </c:pt>
                <c:pt idx="2">
                  <c:v>4</c:v>
                </c:pt>
                <c:pt idx="3">
                  <c:v>4</c:v>
                </c:pt>
                <c:pt idx="4">
                  <c:v>4</c:v>
                </c:pt>
                <c:pt idx="5">
                  <c:v>4</c:v>
                </c:pt>
              </c:numCache>
            </c:numRef>
          </c:val>
          <c:smooth val="0"/>
        </c:ser>
        <c:ser>
          <c:idx val="8"/>
          <c:order val="8"/>
          <c:tx>
            <c:strRef>
              <c:f>Sheet1!$J$1</c:f>
              <c:strCache>
                <c:ptCount val="1"/>
                <c:pt idx="0">
                  <c:v>MDK A3</c:v>
                </c:pt>
              </c:strCache>
            </c:strRef>
          </c:tx>
          <c:spPr>
            <a:ln w="25400"/>
          </c:spPr>
          <c:marker>
            <c:symbol val="none"/>
          </c:marker>
          <c:cat>
            <c:strRef>
              <c:f>Sheet1!$A$2:$A$7</c:f>
              <c:strCache>
                <c:ptCount val="6"/>
                <c:pt idx="0">
                  <c:v>Pernica</c:v>
                </c:pt>
                <c:pt idx="1">
                  <c:v>Zlatica</c:v>
                </c:pt>
                <c:pt idx="2">
                  <c:v>G.plaža</c:v>
                </c:pt>
                <c:pt idx="3">
                  <c:v>G.kolektor</c:v>
                </c:pt>
                <c:pt idx="4">
                  <c:v>Grbavci</c:v>
                </c:pt>
                <c:pt idx="5">
                  <c:v>Vukovci</c:v>
                </c:pt>
              </c:strCache>
            </c:strRef>
          </c:cat>
          <c:val>
            <c:numRef>
              <c:f>Sheet1!$J$2:$J$7</c:f>
              <c:numCache>
                <c:formatCode>General</c:formatCode>
                <c:ptCount val="6"/>
                <c:pt idx="0">
                  <c:v>7</c:v>
                </c:pt>
                <c:pt idx="1">
                  <c:v>7</c:v>
                </c:pt>
                <c:pt idx="2">
                  <c:v>7</c:v>
                </c:pt>
                <c:pt idx="3">
                  <c:v>7</c:v>
                </c:pt>
                <c:pt idx="4">
                  <c:v>7</c:v>
                </c:pt>
                <c:pt idx="5">
                  <c:v>7</c:v>
                </c:pt>
              </c:numCache>
            </c:numRef>
          </c:val>
          <c:smooth val="0"/>
        </c:ser>
        <c:dLbls>
          <c:showLegendKey val="0"/>
          <c:showVal val="0"/>
          <c:showCatName val="0"/>
          <c:showSerName val="0"/>
          <c:showPercent val="0"/>
          <c:showBubbleSize val="0"/>
        </c:dLbls>
        <c:marker val="1"/>
        <c:smooth val="0"/>
        <c:axId val="272687872"/>
        <c:axId val="272689408"/>
      </c:lineChart>
      <c:catAx>
        <c:axId val="272687872"/>
        <c:scaling>
          <c:orientation val="minMax"/>
        </c:scaling>
        <c:delete val="0"/>
        <c:axPos val="b"/>
        <c:majorTickMark val="out"/>
        <c:minorTickMark val="none"/>
        <c:tickLblPos val="nextTo"/>
        <c:txPr>
          <a:bodyPr/>
          <a:lstStyle/>
          <a:p>
            <a:pPr>
              <a:defRPr sz="700"/>
            </a:pPr>
            <a:endParaRPr lang="en-US"/>
          </a:p>
        </c:txPr>
        <c:crossAx val="272689408"/>
        <c:crosses val="autoZero"/>
        <c:auto val="1"/>
        <c:lblAlgn val="ctr"/>
        <c:lblOffset val="100"/>
        <c:noMultiLvlLbl val="0"/>
      </c:catAx>
      <c:valAx>
        <c:axId val="272689408"/>
        <c:scaling>
          <c:orientation val="minMax"/>
        </c:scaling>
        <c:delete val="0"/>
        <c:axPos val="l"/>
        <c:numFmt formatCode="General" sourceLinked="1"/>
        <c:majorTickMark val="out"/>
        <c:minorTickMark val="none"/>
        <c:tickLblPos val="nextTo"/>
        <c:txPr>
          <a:bodyPr/>
          <a:lstStyle/>
          <a:p>
            <a:pPr>
              <a:defRPr sz="700"/>
            </a:pPr>
            <a:endParaRPr lang="en-US"/>
          </a:p>
        </c:txPr>
        <c:crossAx val="272687872"/>
        <c:crosses val="autoZero"/>
        <c:crossBetween val="between"/>
      </c:valAx>
    </c:plotArea>
    <c:legend>
      <c:legendPos val="r"/>
      <c:layout>
        <c:manualLayout>
          <c:xMode val="edge"/>
          <c:yMode val="edge"/>
          <c:x val="0.83651555178137948"/>
          <c:y val="3.8692038495188106E-3"/>
          <c:w val="0.15360855381146793"/>
          <c:h val="0.55649332895888015"/>
        </c:manualLayout>
      </c:layout>
      <c:overlay val="1"/>
      <c:txPr>
        <a:bodyPr/>
        <a:lstStyle/>
        <a:p>
          <a:pPr>
            <a:defRPr sz="700"/>
          </a:pPr>
          <a:endParaRPr lang="en-US"/>
        </a:p>
      </c:txPr>
    </c:legend>
    <c:plotVisOnly val="1"/>
    <c:dispBlanksAs val="gap"/>
    <c:showDLblsOverMax val="0"/>
  </c:chart>
  <c:spPr>
    <a:ln>
      <a:noFill/>
    </a:ln>
  </c:sp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manualLayout>
          <c:layoutTarget val="inner"/>
          <c:xMode val="edge"/>
          <c:yMode val="edge"/>
          <c:x val="3.1790710523280113E-2"/>
          <c:y val="5.3961614173228444E-2"/>
          <c:w val="0.82383242293639025"/>
          <c:h val="0.78716499796640649"/>
        </c:manualLayout>
      </c:layout>
      <c:barChart>
        <c:barDir val="col"/>
        <c:grouping val="clustered"/>
        <c:varyColors val="0"/>
        <c:ser>
          <c:idx val="0"/>
          <c:order val="0"/>
          <c:tx>
            <c:strRef>
              <c:f>Sheet1!$B$1</c:f>
              <c:strCache>
                <c:ptCount val="1"/>
                <c:pt idx="0">
                  <c:v>2008</c:v>
                </c:pt>
              </c:strCache>
            </c:strRef>
          </c:tx>
          <c:invertIfNegative val="0"/>
          <c:cat>
            <c:strRef>
              <c:f>Sheet1!$A$2:$A$5</c:f>
              <c:strCache>
                <c:ptCount val="4"/>
                <c:pt idx="0">
                  <c:v>Vidrovan</c:v>
                </c:pt>
                <c:pt idx="1">
                  <c:v>Duklov most</c:v>
                </c:pt>
                <c:pt idx="2">
                  <c:v>Danilovgrad</c:v>
                </c:pt>
                <c:pt idx="3">
                  <c:v>Vranjske njive</c:v>
                </c:pt>
              </c:strCache>
            </c:strRef>
          </c:cat>
          <c:val>
            <c:numRef>
              <c:f>Sheet1!$B$2:$B$5</c:f>
              <c:numCache>
                <c:formatCode>General</c:formatCode>
                <c:ptCount val="4"/>
                <c:pt idx="0">
                  <c:v>1.9000000000000001</c:v>
                </c:pt>
                <c:pt idx="1">
                  <c:v>4.2</c:v>
                </c:pt>
                <c:pt idx="2">
                  <c:v>1.8</c:v>
                </c:pt>
                <c:pt idx="3">
                  <c:v>2.9</c:v>
                </c:pt>
              </c:numCache>
            </c:numRef>
          </c:val>
        </c:ser>
        <c:ser>
          <c:idx val="1"/>
          <c:order val="1"/>
          <c:tx>
            <c:strRef>
              <c:f>Sheet1!$C$1</c:f>
              <c:strCache>
                <c:ptCount val="1"/>
                <c:pt idx="0">
                  <c:v>2009</c:v>
                </c:pt>
              </c:strCache>
            </c:strRef>
          </c:tx>
          <c:invertIfNegative val="0"/>
          <c:cat>
            <c:strRef>
              <c:f>Sheet1!$A$2:$A$5</c:f>
              <c:strCache>
                <c:ptCount val="4"/>
                <c:pt idx="0">
                  <c:v>Vidrovan</c:v>
                </c:pt>
                <c:pt idx="1">
                  <c:v>Duklov most</c:v>
                </c:pt>
                <c:pt idx="2">
                  <c:v>Danilovgrad</c:v>
                </c:pt>
                <c:pt idx="3">
                  <c:v>Vranjske njive</c:v>
                </c:pt>
              </c:strCache>
            </c:strRef>
          </c:cat>
          <c:val>
            <c:numRef>
              <c:f>Sheet1!$C$2:$C$5</c:f>
              <c:numCache>
                <c:formatCode>General</c:formatCode>
                <c:ptCount val="4"/>
                <c:pt idx="0">
                  <c:v>3.1</c:v>
                </c:pt>
                <c:pt idx="1">
                  <c:v>4.7</c:v>
                </c:pt>
                <c:pt idx="2">
                  <c:v>1.8</c:v>
                </c:pt>
                <c:pt idx="3">
                  <c:v>3.2</c:v>
                </c:pt>
              </c:numCache>
            </c:numRef>
          </c:val>
        </c:ser>
        <c:ser>
          <c:idx val="2"/>
          <c:order val="2"/>
          <c:tx>
            <c:strRef>
              <c:f>Sheet1!$D$1</c:f>
              <c:strCache>
                <c:ptCount val="1"/>
                <c:pt idx="0">
                  <c:v>2010</c:v>
                </c:pt>
              </c:strCache>
            </c:strRef>
          </c:tx>
          <c:invertIfNegative val="0"/>
          <c:cat>
            <c:strRef>
              <c:f>Sheet1!$A$2:$A$5</c:f>
              <c:strCache>
                <c:ptCount val="4"/>
                <c:pt idx="0">
                  <c:v>Vidrovan</c:v>
                </c:pt>
                <c:pt idx="1">
                  <c:v>Duklov most</c:v>
                </c:pt>
                <c:pt idx="2">
                  <c:v>Danilovgrad</c:v>
                </c:pt>
                <c:pt idx="3">
                  <c:v>Vranjske njive</c:v>
                </c:pt>
              </c:strCache>
            </c:strRef>
          </c:cat>
          <c:val>
            <c:numRef>
              <c:f>Sheet1!$D$2:$D$5</c:f>
              <c:numCache>
                <c:formatCode>General</c:formatCode>
                <c:ptCount val="4"/>
                <c:pt idx="0">
                  <c:v>1.3</c:v>
                </c:pt>
                <c:pt idx="1">
                  <c:v>1.2</c:v>
                </c:pt>
                <c:pt idx="2">
                  <c:v>1.7</c:v>
                </c:pt>
                <c:pt idx="3">
                  <c:v>2</c:v>
                </c:pt>
              </c:numCache>
            </c:numRef>
          </c:val>
        </c:ser>
        <c:ser>
          <c:idx val="3"/>
          <c:order val="3"/>
          <c:tx>
            <c:strRef>
              <c:f>Sheet1!$E$1</c:f>
              <c:strCache>
                <c:ptCount val="1"/>
                <c:pt idx="0">
                  <c:v>2011</c:v>
                </c:pt>
              </c:strCache>
            </c:strRef>
          </c:tx>
          <c:spPr>
            <a:ln w="38100"/>
          </c:spPr>
          <c:invertIfNegative val="0"/>
          <c:cat>
            <c:strRef>
              <c:f>Sheet1!$A$2:$A$5</c:f>
              <c:strCache>
                <c:ptCount val="4"/>
                <c:pt idx="0">
                  <c:v>Vidrovan</c:v>
                </c:pt>
                <c:pt idx="1">
                  <c:v>Duklov most</c:v>
                </c:pt>
                <c:pt idx="2">
                  <c:v>Danilovgrad</c:v>
                </c:pt>
                <c:pt idx="3">
                  <c:v>Vranjske njive</c:v>
                </c:pt>
              </c:strCache>
            </c:strRef>
          </c:cat>
          <c:val>
            <c:numRef>
              <c:f>Sheet1!$E$2:$E$5</c:f>
              <c:numCache>
                <c:formatCode>General</c:formatCode>
                <c:ptCount val="4"/>
                <c:pt idx="0">
                  <c:v>2.8</c:v>
                </c:pt>
                <c:pt idx="1">
                  <c:v>5.5</c:v>
                </c:pt>
                <c:pt idx="2">
                  <c:v>1.9000000000000001</c:v>
                </c:pt>
                <c:pt idx="3">
                  <c:v>3.6</c:v>
                </c:pt>
              </c:numCache>
            </c:numRef>
          </c:val>
        </c:ser>
        <c:ser>
          <c:idx val="4"/>
          <c:order val="4"/>
          <c:tx>
            <c:strRef>
              <c:f>Sheet1!$F$1</c:f>
              <c:strCache>
                <c:ptCount val="1"/>
                <c:pt idx="0">
                  <c:v>2012</c:v>
                </c:pt>
              </c:strCache>
            </c:strRef>
          </c:tx>
          <c:spPr>
            <a:ln w="38100"/>
          </c:spPr>
          <c:invertIfNegative val="0"/>
          <c:cat>
            <c:strRef>
              <c:f>Sheet1!$A$2:$A$5</c:f>
              <c:strCache>
                <c:ptCount val="4"/>
                <c:pt idx="0">
                  <c:v>Vidrovan</c:v>
                </c:pt>
                <c:pt idx="1">
                  <c:v>Duklov most</c:v>
                </c:pt>
                <c:pt idx="2">
                  <c:v>Danilovgrad</c:v>
                </c:pt>
                <c:pt idx="3">
                  <c:v>Vranjske njive</c:v>
                </c:pt>
              </c:strCache>
            </c:strRef>
          </c:cat>
          <c:val>
            <c:numRef>
              <c:f>Sheet1!$F$2:$F$5</c:f>
              <c:numCache>
                <c:formatCode>General</c:formatCode>
                <c:ptCount val="4"/>
                <c:pt idx="0">
                  <c:v>3.2</c:v>
                </c:pt>
                <c:pt idx="1">
                  <c:v>4.0999999999999996</c:v>
                </c:pt>
                <c:pt idx="2">
                  <c:v>4.5</c:v>
                </c:pt>
                <c:pt idx="3">
                  <c:v>7</c:v>
                </c:pt>
              </c:numCache>
            </c:numRef>
          </c:val>
        </c:ser>
        <c:ser>
          <c:idx val="5"/>
          <c:order val="5"/>
          <c:tx>
            <c:strRef>
              <c:f>Sheet1!$G$1</c:f>
              <c:strCache>
                <c:ptCount val="1"/>
                <c:pt idx="0">
                  <c:v>2013</c:v>
                </c:pt>
              </c:strCache>
            </c:strRef>
          </c:tx>
          <c:spPr>
            <a:ln w="38100"/>
          </c:spPr>
          <c:invertIfNegative val="0"/>
          <c:cat>
            <c:strRef>
              <c:f>Sheet1!$A$2:$A$5</c:f>
              <c:strCache>
                <c:ptCount val="4"/>
                <c:pt idx="0">
                  <c:v>Vidrovan</c:v>
                </c:pt>
                <c:pt idx="1">
                  <c:v>Duklov most</c:v>
                </c:pt>
                <c:pt idx="2">
                  <c:v>Danilovgrad</c:v>
                </c:pt>
                <c:pt idx="3">
                  <c:v>Vranjske njive</c:v>
                </c:pt>
              </c:strCache>
            </c:strRef>
          </c:cat>
          <c:val>
            <c:numRef>
              <c:f>Sheet1!$G$2:$G$5</c:f>
              <c:numCache>
                <c:formatCode>General</c:formatCode>
                <c:ptCount val="4"/>
                <c:pt idx="0">
                  <c:v>2.4</c:v>
                </c:pt>
                <c:pt idx="1">
                  <c:v>2.9</c:v>
                </c:pt>
                <c:pt idx="2">
                  <c:v>2.6</c:v>
                </c:pt>
                <c:pt idx="3">
                  <c:v>3.5</c:v>
                </c:pt>
              </c:numCache>
            </c:numRef>
          </c:val>
        </c:ser>
        <c:dLbls>
          <c:showLegendKey val="0"/>
          <c:showVal val="0"/>
          <c:showCatName val="0"/>
          <c:showSerName val="0"/>
          <c:showPercent val="0"/>
          <c:showBubbleSize val="0"/>
        </c:dLbls>
        <c:gapWidth val="150"/>
        <c:axId val="272741120"/>
        <c:axId val="272742656"/>
      </c:barChart>
      <c:lineChart>
        <c:grouping val="standard"/>
        <c:varyColors val="0"/>
        <c:ser>
          <c:idx val="6"/>
          <c:order val="6"/>
          <c:tx>
            <c:strRef>
              <c:f>Sheet1!$H$1</c:f>
              <c:strCache>
                <c:ptCount val="1"/>
                <c:pt idx="0">
                  <c:v>MDKA1</c:v>
                </c:pt>
              </c:strCache>
            </c:strRef>
          </c:tx>
          <c:spPr>
            <a:ln w="25400"/>
          </c:spPr>
          <c:marker>
            <c:symbol val="none"/>
          </c:marker>
          <c:cat>
            <c:strRef>
              <c:f>Sheet1!$A$2:$A$5</c:f>
              <c:strCache>
                <c:ptCount val="4"/>
                <c:pt idx="0">
                  <c:v>Vidrovan</c:v>
                </c:pt>
                <c:pt idx="1">
                  <c:v>Duklov most</c:v>
                </c:pt>
                <c:pt idx="2">
                  <c:v>Danilovgrad</c:v>
                </c:pt>
                <c:pt idx="3">
                  <c:v>Vranjske njive</c:v>
                </c:pt>
              </c:strCache>
            </c:strRef>
          </c:cat>
          <c:val>
            <c:numRef>
              <c:f>Sheet1!$H$2:$H$5</c:f>
              <c:numCache>
                <c:formatCode>General</c:formatCode>
                <c:ptCount val="4"/>
                <c:pt idx="0">
                  <c:v>3</c:v>
                </c:pt>
                <c:pt idx="1">
                  <c:v>3</c:v>
                </c:pt>
                <c:pt idx="2">
                  <c:v>3</c:v>
                </c:pt>
                <c:pt idx="3">
                  <c:v>3</c:v>
                </c:pt>
              </c:numCache>
            </c:numRef>
          </c:val>
          <c:smooth val="0"/>
        </c:ser>
        <c:ser>
          <c:idx val="7"/>
          <c:order val="7"/>
          <c:tx>
            <c:strRef>
              <c:f>Sheet1!$I$1</c:f>
              <c:strCache>
                <c:ptCount val="1"/>
                <c:pt idx="0">
                  <c:v>MDK A2</c:v>
                </c:pt>
              </c:strCache>
            </c:strRef>
          </c:tx>
          <c:spPr>
            <a:ln w="25400"/>
          </c:spPr>
          <c:marker>
            <c:symbol val="none"/>
          </c:marker>
          <c:cat>
            <c:strRef>
              <c:f>Sheet1!$A$2:$A$5</c:f>
              <c:strCache>
                <c:ptCount val="4"/>
                <c:pt idx="0">
                  <c:v>Vidrovan</c:v>
                </c:pt>
                <c:pt idx="1">
                  <c:v>Duklov most</c:v>
                </c:pt>
                <c:pt idx="2">
                  <c:v>Danilovgrad</c:v>
                </c:pt>
                <c:pt idx="3">
                  <c:v>Vranjske njive</c:v>
                </c:pt>
              </c:strCache>
            </c:strRef>
          </c:cat>
          <c:val>
            <c:numRef>
              <c:f>Sheet1!$I$2:$I$5</c:f>
              <c:numCache>
                <c:formatCode>General</c:formatCode>
                <c:ptCount val="4"/>
                <c:pt idx="0">
                  <c:v>4</c:v>
                </c:pt>
                <c:pt idx="1">
                  <c:v>4</c:v>
                </c:pt>
                <c:pt idx="2">
                  <c:v>4</c:v>
                </c:pt>
                <c:pt idx="3">
                  <c:v>4</c:v>
                </c:pt>
              </c:numCache>
            </c:numRef>
          </c:val>
          <c:smooth val="0"/>
        </c:ser>
        <c:ser>
          <c:idx val="8"/>
          <c:order val="8"/>
          <c:tx>
            <c:strRef>
              <c:f>Sheet1!$J$1</c:f>
              <c:strCache>
                <c:ptCount val="1"/>
                <c:pt idx="0">
                  <c:v>MDK A3</c:v>
                </c:pt>
              </c:strCache>
            </c:strRef>
          </c:tx>
          <c:spPr>
            <a:ln w="25400"/>
          </c:spPr>
          <c:marker>
            <c:symbol val="none"/>
          </c:marker>
          <c:cat>
            <c:strRef>
              <c:f>Sheet1!$A$2:$A$5</c:f>
              <c:strCache>
                <c:ptCount val="4"/>
                <c:pt idx="0">
                  <c:v>Vidrovan</c:v>
                </c:pt>
                <c:pt idx="1">
                  <c:v>Duklov most</c:v>
                </c:pt>
                <c:pt idx="2">
                  <c:v>Danilovgrad</c:v>
                </c:pt>
                <c:pt idx="3">
                  <c:v>Vranjske njive</c:v>
                </c:pt>
              </c:strCache>
            </c:strRef>
          </c:cat>
          <c:val>
            <c:numRef>
              <c:f>Sheet1!$J$2:$J$5</c:f>
              <c:numCache>
                <c:formatCode>General</c:formatCode>
                <c:ptCount val="4"/>
                <c:pt idx="0">
                  <c:v>7</c:v>
                </c:pt>
                <c:pt idx="1">
                  <c:v>7</c:v>
                </c:pt>
                <c:pt idx="2">
                  <c:v>7</c:v>
                </c:pt>
                <c:pt idx="3">
                  <c:v>7</c:v>
                </c:pt>
              </c:numCache>
            </c:numRef>
          </c:val>
          <c:smooth val="0"/>
        </c:ser>
        <c:dLbls>
          <c:showLegendKey val="0"/>
          <c:showVal val="0"/>
          <c:showCatName val="0"/>
          <c:showSerName val="0"/>
          <c:showPercent val="0"/>
          <c:showBubbleSize val="0"/>
        </c:dLbls>
        <c:marker val="1"/>
        <c:smooth val="0"/>
        <c:axId val="272741120"/>
        <c:axId val="272742656"/>
      </c:lineChart>
      <c:catAx>
        <c:axId val="272741120"/>
        <c:scaling>
          <c:orientation val="minMax"/>
        </c:scaling>
        <c:delete val="0"/>
        <c:axPos val="b"/>
        <c:majorTickMark val="out"/>
        <c:minorTickMark val="none"/>
        <c:tickLblPos val="nextTo"/>
        <c:crossAx val="272742656"/>
        <c:crosses val="autoZero"/>
        <c:auto val="1"/>
        <c:lblAlgn val="ctr"/>
        <c:lblOffset val="100"/>
        <c:noMultiLvlLbl val="0"/>
      </c:catAx>
      <c:valAx>
        <c:axId val="272742656"/>
        <c:scaling>
          <c:orientation val="minMax"/>
        </c:scaling>
        <c:delete val="0"/>
        <c:axPos val="l"/>
        <c:numFmt formatCode="General" sourceLinked="1"/>
        <c:majorTickMark val="out"/>
        <c:minorTickMark val="none"/>
        <c:tickLblPos val="nextTo"/>
        <c:crossAx val="272741120"/>
        <c:crosses val="autoZero"/>
        <c:crossBetween val="between"/>
      </c:valAx>
    </c:plotArea>
    <c:legend>
      <c:legendPos val="r"/>
      <c:layout>
        <c:manualLayout>
          <c:xMode val="edge"/>
          <c:yMode val="edge"/>
          <c:x val="0.85170061386954865"/>
          <c:y val="1.0965296004666082E-3"/>
          <c:w val="0.14739137979653374"/>
          <c:h val="0.61204888451443673"/>
        </c:manualLayout>
      </c:layout>
      <c:overlay val="1"/>
    </c:legend>
    <c:plotVisOnly val="1"/>
    <c:dispBlanksAs val="gap"/>
    <c:showDLblsOverMax val="0"/>
  </c:chart>
  <c:spPr>
    <a:ln>
      <a:noFill/>
    </a:ln>
  </c:spPr>
  <c:txPr>
    <a:bodyPr/>
    <a:lstStyle/>
    <a:p>
      <a:pPr>
        <a:defRPr sz="700"/>
      </a:pPr>
      <a:endParaRPr lang="en-US"/>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manualLayout>
          <c:layoutTarget val="inner"/>
          <c:xMode val="edge"/>
          <c:yMode val="edge"/>
          <c:x val="3.563016428502E-2"/>
          <c:y val="0.10840011046364571"/>
          <c:w val="0.83362155414615902"/>
          <c:h val="0.79098653782335548"/>
        </c:manualLayout>
      </c:layout>
      <c:barChart>
        <c:barDir val="col"/>
        <c:grouping val="clustered"/>
        <c:varyColors val="0"/>
        <c:ser>
          <c:idx val="0"/>
          <c:order val="0"/>
          <c:tx>
            <c:strRef>
              <c:f>Sheet1!$B$1</c:f>
              <c:strCache>
                <c:ptCount val="1"/>
                <c:pt idx="0">
                  <c:v>2008</c:v>
                </c:pt>
              </c:strCache>
            </c:strRef>
          </c:tx>
          <c:invertIfNegative val="0"/>
          <c:cat>
            <c:strRef>
              <c:f>Sheet1!$A$2:$A$7</c:f>
              <c:strCache>
                <c:ptCount val="6"/>
                <c:pt idx="0">
                  <c:v>Plav</c:v>
                </c:pt>
                <c:pt idx="1">
                  <c:v>Andrijevica</c:v>
                </c:pt>
                <c:pt idx="2">
                  <c:v>Skakavac</c:v>
                </c:pt>
                <c:pt idx="3">
                  <c:v>Zaton</c:v>
                </c:pt>
                <c:pt idx="4">
                  <c:v>Bijelo Polje</c:v>
                </c:pt>
                <c:pt idx="5">
                  <c:v>Dobrakovo</c:v>
                </c:pt>
              </c:strCache>
            </c:strRef>
          </c:cat>
          <c:val>
            <c:numRef>
              <c:f>Sheet1!$B$2:$B$7</c:f>
              <c:numCache>
                <c:formatCode>General</c:formatCode>
                <c:ptCount val="6"/>
                <c:pt idx="0">
                  <c:v>2.7</c:v>
                </c:pt>
                <c:pt idx="1">
                  <c:v>1.8</c:v>
                </c:pt>
                <c:pt idx="2">
                  <c:v>3</c:v>
                </c:pt>
                <c:pt idx="3">
                  <c:v>3.5</c:v>
                </c:pt>
                <c:pt idx="4">
                  <c:v>6.4</c:v>
                </c:pt>
                <c:pt idx="5">
                  <c:v>4.0999999999999996</c:v>
                </c:pt>
              </c:numCache>
            </c:numRef>
          </c:val>
        </c:ser>
        <c:ser>
          <c:idx val="1"/>
          <c:order val="1"/>
          <c:tx>
            <c:strRef>
              <c:f>Sheet1!$C$1</c:f>
              <c:strCache>
                <c:ptCount val="1"/>
                <c:pt idx="0">
                  <c:v>2009</c:v>
                </c:pt>
              </c:strCache>
            </c:strRef>
          </c:tx>
          <c:invertIfNegative val="0"/>
          <c:cat>
            <c:strRef>
              <c:f>Sheet1!$A$2:$A$7</c:f>
              <c:strCache>
                <c:ptCount val="6"/>
                <c:pt idx="0">
                  <c:v>Plav</c:v>
                </c:pt>
                <c:pt idx="1">
                  <c:v>Andrijevica</c:v>
                </c:pt>
                <c:pt idx="2">
                  <c:v>Skakavac</c:v>
                </c:pt>
                <c:pt idx="3">
                  <c:v>Zaton</c:v>
                </c:pt>
                <c:pt idx="4">
                  <c:v>Bijelo Polje</c:v>
                </c:pt>
                <c:pt idx="5">
                  <c:v>Dobrakovo</c:v>
                </c:pt>
              </c:strCache>
            </c:strRef>
          </c:cat>
          <c:val>
            <c:numRef>
              <c:f>Sheet1!$C$2:$C$7</c:f>
              <c:numCache>
                <c:formatCode>General</c:formatCode>
                <c:ptCount val="6"/>
                <c:pt idx="0">
                  <c:v>2.6</c:v>
                </c:pt>
                <c:pt idx="1">
                  <c:v>3.1</c:v>
                </c:pt>
                <c:pt idx="2">
                  <c:v>3.6</c:v>
                </c:pt>
                <c:pt idx="3">
                  <c:v>2.2000000000000002</c:v>
                </c:pt>
                <c:pt idx="4">
                  <c:v>3.2</c:v>
                </c:pt>
                <c:pt idx="5">
                  <c:v>3.7</c:v>
                </c:pt>
              </c:numCache>
            </c:numRef>
          </c:val>
        </c:ser>
        <c:ser>
          <c:idx val="2"/>
          <c:order val="2"/>
          <c:tx>
            <c:strRef>
              <c:f>Sheet1!$D$1</c:f>
              <c:strCache>
                <c:ptCount val="1"/>
                <c:pt idx="0">
                  <c:v>2010</c:v>
                </c:pt>
              </c:strCache>
            </c:strRef>
          </c:tx>
          <c:invertIfNegative val="0"/>
          <c:cat>
            <c:strRef>
              <c:f>Sheet1!$A$2:$A$7</c:f>
              <c:strCache>
                <c:ptCount val="6"/>
                <c:pt idx="0">
                  <c:v>Plav</c:v>
                </c:pt>
                <c:pt idx="1">
                  <c:v>Andrijevica</c:v>
                </c:pt>
                <c:pt idx="2">
                  <c:v>Skakavac</c:v>
                </c:pt>
                <c:pt idx="3">
                  <c:v>Zaton</c:v>
                </c:pt>
                <c:pt idx="4">
                  <c:v>Bijelo Polje</c:v>
                </c:pt>
                <c:pt idx="5">
                  <c:v>Dobrakovo</c:v>
                </c:pt>
              </c:strCache>
            </c:strRef>
          </c:cat>
          <c:val>
            <c:numRef>
              <c:f>Sheet1!$D$2:$D$7</c:f>
              <c:numCache>
                <c:formatCode>General</c:formatCode>
                <c:ptCount val="6"/>
                <c:pt idx="0">
                  <c:v>1.1000000000000001</c:v>
                </c:pt>
                <c:pt idx="1">
                  <c:v>1.1000000000000001</c:v>
                </c:pt>
                <c:pt idx="2">
                  <c:v>1.5</c:v>
                </c:pt>
                <c:pt idx="3">
                  <c:v>2.5</c:v>
                </c:pt>
                <c:pt idx="4">
                  <c:v>2.5</c:v>
                </c:pt>
                <c:pt idx="5">
                  <c:v>2.7</c:v>
                </c:pt>
              </c:numCache>
            </c:numRef>
          </c:val>
        </c:ser>
        <c:ser>
          <c:idx val="3"/>
          <c:order val="3"/>
          <c:tx>
            <c:strRef>
              <c:f>Sheet1!$E$1</c:f>
              <c:strCache>
                <c:ptCount val="1"/>
                <c:pt idx="0">
                  <c:v>2011</c:v>
                </c:pt>
              </c:strCache>
            </c:strRef>
          </c:tx>
          <c:spPr>
            <a:ln w="38100"/>
          </c:spPr>
          <c:invertIfNegative val="0"/>
          <c:cat>
            <c:strRef>
              <c:f>Sheet1!$A$2:$A$7</c:f>
              <c:strCache>
                <c:ptCount val="6"/>
                <c:pt idx="0">
                  <c:v>Plav</c:v>
                </c:pt>
                <c:pt idx="1">
                  <c:v>Andrijevica</c:v>
                </c:pt>
                <c:pt idx="2">
                  <c:v>Skakavac</c:v>
                </c:pt>
                <c:pt idx="3">
                  <c:v>Zaton</c:v>
                </c:pt>
                <c:pt idx="4">
                  <c:v>Bijelo Polje</c:v>
                </c:pt>
                <c:pt idx="5">
                  <c:v>Dobrakovo</c:v>
                </c:pt>
              </c:strCache>
            </c:strRef>
          </c:cat>
          <c:val>
            <c:numRef>
              <c:f>Sheet1!$E$2:$E$7</c:f>
              <c:numCache>
                <c:formatCode>General</c:formatCode>
                <c:ptCount val="6"/>
                <c:pt idx="0">
                  <c:v>2.1</c:v>
                </c:pt>
                <c:pt idx="1">
                  <c:v>1.7</c:v>
                </c:pt>
                <c:pt idx="2">
                  <c:v>2.4</c:v>
                </c:pt>
                <c:pt idx="3">
                  <c:v>6.6</c:v>
                </c:pt>
                <c:pt idx="4">
                  <c:v>2.7</c:v>
                </c:pt>
                <c:pt idx="5">
                  <c:v>4.3</c:v>
                </c:pt>
              </c:numCache>
            </c:numRef>
          </c:val>
        </c:ser>
        <c:ser>
          <c:idx val="4"/>
          <c:order val="4"/>
          <c:tx>
            <c:strRef>
              <c:f>Sheet1!$F$1</c:f>
              <c:strCache>
                <c:ptCount val="1"/>
                <c:pt idx="0">
                  <c:v>2012</c:v>
                </c:pt>
              </c:strCache>
            </c:strRef>
          </c:tx>
          <c:spPr>
            <a:ln w="38100"/>
          </c:spPr>
          <c:invertIfNegative val="0"/>
          <c:cat>
            <c:strRef>
              <c:f>Sheet1!$A$2:$A$7</c:f>
              <c:strCache>
                <c:ptCount val="6"/>
                <c:pt idx="0">
                  <c:v>Plav</c:v>
                </c:pt>
                <c:pt idx="1">
                  <c:v>Andrijevica</c:v>
                </c:pt>
                <c:pt idx="2">
                  <c:v>Skakavac</c:v>
                </c:pt>
                <c:pt idx="3">
                  <c:v>Zaton</c:v>
                </c:pt>
                <c:pt idx="4">
                  <c:v>Bijelo Polje</c:v>
                </c:pt>
                <c:pt idx="5">
                  <c:v>Dobrakovo</c:v>
                </c:pt>
              </c:strCache>
            </c:strRef>
          </c:cat>
          <c:val>
            <c:numRef>
              <c:f>Sheet1!$F$2:$F$7</c:f>
              <c:numCache>
                <c:formatCode>General</c:formatCode>
                <c:ptCount val="6"/>
                <c:pt idx="0">
                  <c:v>1.9000000000000001</c:v>
                </c:pt>
                <c:pt idx="1">
                  <c:v>2.1</c:v>
                </c:pt>
                <c:pt idx="2">
                  <c:v>1.9000000000000001</c:v>
                </c:pt>
                <c:pt idx="3">
                  <c:v>1.6</c:v>
                </c:pt>
                <c:pt idx="4">
                  <c:v>2.7</c:v>
                </c:pt>
                <c:pt idx="5">
                  <c:v>4.0999999999999996</c:v>
                </c:pt>
              </c:numCache>
            </c:numRef>
          </c:val>
        </c:ser>
        <c:ser>
          <c:idx val="5"/>
          <c:order val="5"/>
          <c:tx>
            <c:strRef>
              <c:f>Sheet1!$G$1</c:f>
              <c:strCache>
                <c:ptCount val="1"/>
                <c:pt idx="0">
                  <c:v>2013</c:v>
                </c:pt>
              </c:strCache>
            </c:strRef>
          </c:tx>
          <c:spPr>
            <a:ln w="38100"/>
          </c:spPr>
          <c:invertIfNegative val="0"/>
          <c:cat>
            <c:strRef>
              <c:f>Sheet1!$A$2:$A$7</c:f>
              <c:strCache>
                <c:ptCount val="6"/>
                <c:pt idx="0">
                  <c:v>Plav</c:v>
                </c:pt>
                <c:pt idx="1">
                  <c:v>Andrijevica</c:v>
                </c:pt>
                <c:pt idx="2">
                  <c:v>Skakavac</c:v>
                </c:pt>
                <c:pt idx="3">
                  <c:v>Zaton</c:v>
                </c:pt>
                <c:pt idx="4">
                  <c:v>Bijelo Polje</c:v>
                </c:pt>
                <c:pt idx="5">
                  <c:v>Dobrakovo</c:v>
                </c:pt>
              </c:strCache>
            </c:strRef>
          </c:cat>
          <c:val>
            <c:numRef>
              <c:f>Sheet1!$G$2:$G$7</c:f>
              <c:numCache>
                <c:formatCode>General</c:formatCode>
                <c:ptCount val="6"/>
                <c:pt idx="0">
                  <c:v>2.5</c:v>
                </c:pt>
                <c:pt idx="1">
                  <c:v>1.6</c:v>
                </c:pt>
                <c:pt idx="2">
                  <c:v>4.0999999999999996</c:v>
                </c:pt>
                <c:pt idx="3">
                  <c:v>2.7</c:v>
                </c:pt>
                <c:pt idx="4">
                  <c:v>2.2000000000000002</c:v>
                </c:pt>
                <c:pt idx="5">
                  <c:v>3.6</c:v>
                </c:pt>
              </c:numCache>
            </c:numRef>
          </c:val>
        </c:ser>
        <c:dLbls>
          <c:showLegendKey val="0"/>
          <c:showVal val="0"/>
          <c:showCatName val="0"/>
          <c:showSerName val="0"/>
          <c:showPercent val="0"/>
          <c:showBubbleSize val="0"/>
        </c:dLbls>
        <c:gapWidth val="150"/>
        <c:axId val="273224448"/>
        <c:axId val="273225984"/>
      </c:barChart>
      <c:lineChart>
        <c:grouping val="standard"/>
        <c:varyColors val="0"/>
        <c:ser>
          <c:idx val="6"/>
          <c:order val="6"/>
          <c:tx>
            <c:strRef>
              <c:f>Sheet1!$H$1</c:f>
              <c:strCache>
                <c:ptCount val="1"/>
                <c:pt idx="0">
                  <c:v>MDK A1</c:v>
                </c:pt>
              </c:strCache>
            </c:strRef>
          </c:tx>
          <c:spPr>
            <a:ln w="25400"/>
          </c:spPr>
          <c:marker>
            <c:symbol val="none"/>
          </c:marker>
          <c:cat>
            <c:strRef>
              <c:f>Sheet1!$A$2:$A$7</c:f>
              <c:strCache>
                <c:ptCount val="6"/>
                <c:pt idx="0">
                  <c:v>Plav</c:v>
                </c:pt>
                <c:pt idx="1">
                  <c:v>Andrijevica</c:v>
                </c:pt>
                <c:pt idx="2">
                  <c:v>Skakavac</c:v>
                </c:pt>
                <c:pt idx="3">
                  <c:v>Zaton</c:v>
                </c:pt>
                <c:pt idx="4">
                  <c:v>Bijelo Polje</c:v>
                </c:pt>
                <c:pt idx="5">
                  <c:v>Dobrakovo</c:v>
                </c:pt>
              </c:strCache>
            </c:strRef>
          </c:cat>
          <c:val>
            <c:numRef>
              <c:f>Sheet1!$H$2:$H$7</c:f>
              <c:numCache>
                <c:formatCode>General</c:formatCode>
                <c:ptCount val="6"/>
                <c:pt idx="0">
                  <c:v>3</c:v>
                </c:pt>
                <c:pt idx="1">
                  <c:v>3</c:v>
                </c:pt>
                <c:pt idx="2">
                  <c:v>3</c:v>
                </c:pt>
                <c:pt idx="3">
                  <c:v>3</c:v>
                </c:pt>
                <c:pt idx="4">
                  <c:v>3</c:v>
                </c:pt>
                <c:pt idx="5">
                  <c:v>3</c:v>
                </c:pt>
              </c:numCache>
            </c:numRef>
          </c:val>
          <c:smooth val="0"/>
        </c:ser>
        <c:ser>
          <c:idx val="7"/>
          <c:order val="7"/>
          <c:tx>
            <c:strRef>
              <c:f>Sheet1!$I$1</c:f>
              <c:strCache>
                <c:ptCount val="1"/>
                <c:pt idx="0">
                  <c:v>MDKA2</c:v>
                </c:pt>
              </c:strCache>
            </c:strRef>
          </c:tx>
          <c:spPr>
            <a:ln w="25400"/>
          </c:spPr>
          <c:marker>
            <c:symbol val="none"/>
          </c:marker>
          <c:cat>
            <c:strRef>
              <c:f>Sheet1!$A$2:$A$7</c:f>
              <c:strCache>
                <c:ptCount val="6"/>
                <c:pt idx="0">
                  <c:v>Plav</c:v>
                </c:pt>
                <c:pt idx="1">
                  <c:v>Andrijevica</c:v>
                </c:pt>
                <c:pt idx="2">
                  <c:v>Skakavac</c:v>
                </c:pt>
                <c:pt idx="3">
                  <c:v>Zaton</c:v>
                </c:pt>
                <c:pt idx="4">
                  <c:v>Bijelo Polje</c:v>
                </c:pt>
                <c:pt idx="5">
                  <c:v>Dobrakovo</c:v>
                </c:pt>
              </c:strCache>
            </c:strRef>
          </c:cat>
          <c:val>
            <c:numRef>
              <c:f>Sheet1!$I$2:$I$7</c:f>
              <c:numCache>
                <c:formatCode>General</c:formatCode>
                <c:ptCount val="6"/>
                <c:pt idx="0">
                  <c:v>4</c:v>
                </c:pt>
                <c:pt idx="1">
                  <c:v>4</c:v>
                </c:pt>
                <c:pt idx="2">
                  <c:v>4</c:v>
                </c:pt>
                <c:pt idx="3">
                  <c:v>4</c:v>
                </c:pt>
                <c:pt idx="4">
                  <c:v>4</c:v>
                </c:pt>
                <c:pt idx="5">
                  <c:v>4</c:v>
                </c:pt>
              </c:numCache>
            </c:numRef>
          </c:val>
          <c:smooth val="0"/>
        </c:ser>
        <c:ser>
          <c:idx val="8"/>
          <c:order val="8"/>
          <c:tx>
            <c:strRef>
              <c:f>Sheet1!$J$1</c:f>
              <c:strCache>
                <c:ptCount val="1"/>
                <c:pt idx="0">
                  <c:v>MDK A3</c:v>
                </c:pt>
              </c:strCache>
            </c:strRef>
          </c:tx>
          <c:spPr>
            <a:ln w="25400"/>
          </c:spPr>
          <c:marker>
            <c:symbol val="none"/>
          </c:marker>
          <c:cat>
            <c:strRef>
              <c:f>Sheet1!$A$2:$A$7</c:f>
              <c:strCache>
                <c:ptCount val="6"/>
                <c:pt idx="0">
                  <c:v>Plav</c:v>
                </c:pt>
                <c:pt idx="1">
                  <c:v>Andrijevica</c:v>
                </c:pt>
                <c:pt idx="2">
                  <c:v>Skakavac</c:v>
                </c:pt>
                <c:pt idx="3">
                  <c:v>Zaton</c:v>
                </c:pt>
                <c:pt idx="4">
                  <c:v>Bijelo Polje</c:v>
                </c:pt>
                <c:pt idx="5">
                  <c:v>Dobrakovo</c:v>
                </c:pt>
              </c:strCache>
            </c:strRef>
          </c:cat>
          <c:val>
            <c:numRef>
              <c:f>Sheet1!$J$2:$J$7</c:f>
              <c:numCache>
                <c:formatCode>General</c:formatCode>
                <c:ptCount val="6"/>
                <c:pt idx="0">
                  <c:v>7</c:v>
                </c:pt>
                <c:pt idx="1">
                  <c:v>7</c:v>
                </c:pt>
                <c:pt idx="2">
                  <c:v>7</c:v>
                </c:pt>
                <c:pt idx="3">
                  <c:v>7</c:v>
                </c:pt>
                <c:pt idx="4">
                  <c:v>7</c:v>
                </c:pt>
                <c:pt idx="5">
                  <c:v>7</c:v>
                </c:pt>
              </c:numCache>
            </c:numRef>
          </c:val>
          <c:smooth val="0"/>
        </c:ser>
        <c:dLbls>
          <c:showLegendKey val="0"/>
          <c:showVal val="0"/>
          <c:showCatName val="0"/>
          <c:showSerName val="0"/>
          <c:showPercent val="0"/>
          <c:showBubbleSize val="0"/>
        </c:dLbls>
        <c:marker val="1"/>
        <c:smooth val="0"/>
        <c:axId val="273224448"/>
        <c:axId val="273225984"/>
      </c:lineChart>
      <c:catAx>
        <c:axId val="273224448"/>
        <c:scaling>
          <c:orientation val="minMax"/>
        </c:scaling>
        <c:delete val="0"/>
        <c:axPos val="b"/>
        <c:majorTickMark val="out"/>
        <c:minorTickMark val="none"/>
        <c:tickLblPos val="nextTo"/>
        <c:txPr>
          <a:bodyPr/>
          <a:lstStyle/>
          <a:p>
            <a:pPr>
              <a:defRPr sz="700"/>
            </a:pPr>
            <a:endParaRPr lang="en-US"/>
          </a:p>
        </c:txPr>
        <c:crossAx val="273225984"/>
        <c:crosses val="autoZero"/>
        <c:auto val="1"/>
        <c:lblAlgn val="ctr"/>
        <c:lblOffset val="100"/>
        <c:noMultiLvlLbl val="0"/>
      </c:catAx>
      <c:valAx>
        <c:axId val="273225984"/>
        <c:scaling>
          <c:orientation val="minMax"/>
        </c:scaling>
        <c:delete val="0"/>
        <c:axPos val="l"/>
        <c:numFmt formatCode="General" sourceLinked="1"/>
        <c:majorTickMark val="out"/>
        <c:minorTickMark val="none"/>
        <c:tickLblPos val="nextTo"/>
        <c:txPr>
          <a:bodyPr/>
          <a:lstStyle/>
          <a:p>
            <a:pPr>
              <a:defRPr sz="700"/>
            </a:pPr>
            <a:endParaRPr lang="en-US"/>
          </a:p>
        </c:txPr>
        <c:crossAx val="273224448"/>
        <c:crosses val="autoZero"/>
        <c:crossBetween val="between"/>
      </c:valAx>
    </c:plotArea>
    <c:legend>
      <c:legendPos val="r"/>
      <c:layout>
        <c:manualLayout>
          <c:xMode val="edge"/>
          <c:yMode val="edge"/>
          <c:x val="0.86737390445055962"/>
          <c:y val="4.3092009332166933E-2"/>
          <c:w val="0.13262607590098763"/>
          <c:h val="0.65746937882764656"/>
        </c:manualLayout>
      </c:layout>
      <c:overlay val="1"/>
      <c:txPr>
        <a:bodyPr/>
        <a:lstStyle/>
        <a:p>
          <a:pPr>
            <a:defRPr sz="700"/>
          </a:pPr>
          <a:endParaRPr lang="en-US"/>
        </a:p>
      </c:txPr>
    </c:legend>
    <c:plotVisOnly val="1"/>
    <c:dispBlanksAs val="gap"/>
    <c:showDLblsOverMax val="0"/>
  </c:chart>
  <c:spPr>
    <a:ln>
      <a:noFill/>
    </a:ln>
  </c:sp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manualLayout>
          <c:layoutTarget val="inner"/>
          <c:xMode val="edge"/>
          <c:yMode val="edge"/>
          <c:x val="5.2034606785262956E-2"/>
          <c:y val="7.0165500145815102E-2"/>
          <c:w val="0.78925366968017963"/>
          <c:h val="0.76988024934383315"/>
        </c:manualLayout>
      </c:layout>
      <c:barChart>
        <c:barDir val="col"/>
        <c:grouping val="clustered"/>
        <c:varyColors val="0"/>
        <c:ser>
          <c:idx val="0"/>
          <c:order val="0"/>
          <c:tx>
            <c:strRef>
              <c:f>Sheet1!$B$1</c:f>
              <c:strCache>
                <c:ptCount val="1"/>
                <c:pt idx="0">
                  <c:v>2008</c:v>
                </c:pt>
              </c:strCache>
            </c:strRef>
          </c:tx>
          <c:invertIfNegative val="0"/>
          <c:cat>
            <c:strRef>
              <c:f>Sheet1!$A$2:$A$7</c:f>
              <c:strCache>
                <c:ptCount val="6"/>
                <c:pt idx="0">
                  <c:v>Crna Poljana</c:v>
                </c:pt>
                <c:pt idx="1">
                  <c:v>ispod Kolašina</c:v>
                </c:pt>
                <c:pt idx="2">
                  <c:v>Trebaljevo</c:v>
                </c:pt>
                <c:pt idx="3">
                  <c:v>ispod Mojkovca</c:v>
                </c:pt>
                <c:pt idx="4">
                  <c:v>Đurđevića Tara</c:v>
                </c:pt>
                <c:pt idx="5">
                  <c:v>Šćepan polje</c:v>
                </c:pt>
              </c:strCache>
            </c:strRef>
          </c:cat>
          <c:val>
            <c:numRef>
              <c:f>Sheet1!$B$2:$B$7</c:f>
              <c:numCache>
                <c:formatCode>General</c:formatCode>
                <c:ptCount val="6"/>
                <c:pt idx="0">
                  <c:v>1.3</c:v>
                </c:pt>
                <c:pt idx="1">
                  <c:v>1</c:v>
                </c:pt>
                <c:pt idx="2">
                  <c:v>1.8</c:v>
                </c:pt>
                <c:pt idx="3">
                  <c:v>2</c:v>
                </c:pt>
                <c:pt idx="4">
                  <c:v>1.4</c:v>
                </c:pt>
                <c:pt idx="5">
                  <c:v>1.7</c:v>
                </c:pt>
              </c:numCache>
            </c:numRef>
          </c:val>
        </c:ser>
        <c:ser>
          <c:idx val="1"/>
          <c:order val="1"/>
          <c:tx>
            <c:strRef>
              <c:f>Sheet1!$C$1</c:f>
              <c:strCache>
                <c:ptCount val="1"/>
                <c:pt idx="0">
                  <c:v>2009</c:v>
                </c:pt>
              </c:strCache>
            </c:strRef>
          </c:tx>
          <c:invertIfNegative val="0"/>
          <c:cat>
            <c:strRef>
              <c:f>Sheet1!$A$2:$A$7</c:f>
              <c:strCache>
                <c:ptCount val="6"/>
                <c:pt idx="0">
                  <c:v>Crna Poljana</c:v>
                </c:pt>
                <c:pt idx="1">
                  <c:v>ispod Kolašina</c:v>
                </c:pt>
                <c:pt idx="2">
                  <c:v>Trebaljevo</c:v>
                </c:pt>
                <c:pt idx="3">
                  <c:v>ispod Mojkovca</c:v>
                </c:pt>
                <c:pt idx="4">
                  <c:v>Đurđevića Tara</c:v>
                </c:pt>
                <c:pt idx="5">
                  <c:v>Šćepan polje</c:v>
                </c:pt>
              </c:strCache>
            </c:strRef>
          </c:cat>
          <c:val>
            <c:numRef>
              <c:f>Sheet1!$C$2:$C$7</c:f>
              <c:numCache>
                <c:formatCode>General</c:formatCode>
                <c:ptCount val="6"/>
                <c:pt idx="0">
                  <c:v>1</c:v>
                </c:pt>
                <c:pt idx="1">
                  <c:v>2.4</c:v>
                </c:pt>
                <c:pt idx="2">
                  <c:v>1.8</c:v>
                </c:pt>
                <c:pt idx="3">
                  <c:v>2.6</c:v>
                </c:pt>
                <c:pt idx="4">
                  <c:v>1.5</c:v>
                </c:pt>
                <c:pt idx="5">
                  <c:v>2.8</c:v>
                </c:pt>
              </c:numCache>
            </c:numRef>
          </c:val>
        </c:ser>
        <c:ser>
          <c:idx val="2"/>
          <c:order val="2"/>
          <c:tx>
            <c:strRef>
              <c:f>Sheet1!$D$1</c:f>
              <c:strCache>
                <c:ptCount val="1"/>
                <c:pt idx="0">
                  <c:v>2010</c:v>
                </c:pt>
              </c:strCache>
            </c:strRef>
          </c:tx>
          <c:invertIfNegative val="0"/>
          <c:cat>
            <c:strRef>
              <c:f>Sheet1!$A$2:$A$7</c:f>
              <c:strCache>
                <c:ptCount val="6"/>
                <c:pt idx="0">
                  <c:v>Crna Poljana</c:v>
                </c:pt>
                <c:pt idx="1">
                  <c:v>ispod Kolašina</c:v>
                </c:pt>
                <c:pt idx="2">
                  <c:v>Trebaljevo</c:v>
                </c:pt>
                <c:pt idx="3">
                  <c:v>ispod Mojkovca</c:v>
                </c:pt>
                <c:pt idx="4">
                  <c:v>Đurđevića Tara</c:v>
                </c:pt>
                <c:pt idx="5">
                  <c:v>Šćepan polje</c:v>
                </c:pt>
              </c:strCache>
            </c:strRef>
          </c:cat>
          <c:val>
            <c:numRef>
              <c:f>Sheet1!$D$2:$D$7</c:f>
              <c:numCache>
                <c:formatCode>General</c:formatCode>
                <c:ptCount val="6"/>
                <c:pt idx="0">
                  <c:v>0.60000000000000064</c:v>
                </c:pt>
                <c:pt idx="1">
                  <c:v>1.3</c:v>
                </c:pt>
                <c:pt idx="2">
                  <c:v>1.1000000000000001</c:v>
                </c:pt>
                <c:pt idx="3">
                  <c:v>1.6</c:v>
                </c:pt>
                <c:pt idx="4">
                  <c:v>1.3</c:v>
                </c:pt>
                <c:pt idx="5">
                  <c:v>1.1000000000000001</c:v>
                </c:pt>
              </c:numCache>
            </c:numRef>
          </c:val>
        </c:ser>
        <c:ser>
          <c:idx val="3"/>
          <c:order val="3"/>
          <c:tx>
            <c:strRef>
              <c:f>Sheet1!$E$1</c:f>
              <c:strCache>
                <c:ptCount val="1"/>
                <c:pt idx="0">
                  <c:v>2011</c:v>
                </c:pt>
              </c:strCache>
            </c:strRef>
          </c:tx>
          <c:spPr>
            <a:ln w="38100"/>
          </c:spPr>
          <c:invertIfNegative val="0"/>
          <c:cat>
            <c:strRef>
              <c:f>Sheet1!$A$2:$A$7</c:f>
              <c:strCache>
                <c:ptCount val="6"/>
                <c:pt idx="0">
                  <c:v>Crna Poljana</c:v>
                </c:pt>
                <c:pt idx="1">
                  <c:v>ispod Kolašina</c:v>
                </c:pt>
                <c:pt idx="2">
                  <c:v>Trebaljevo</c:v>
                </c:pt>
                <c:pt idx="3">
                  <c:v>ispod Mojkovca</c:v>
                </c:pt>
                <c:pt idx="4">
                  <c:v>Đurđevića Tara</c:v>
                </c:pt>
                <c:pt idx="5">
                  <c:v>Šćepan polje</c:v>
                </c:pt>
              </c:strCache>
            </c:strRef>
          </c:cat>
          <c:val>
            <c:numRef>
              <c:f>Sheet1!$E$2:$E$7</c:f>
              <c:numCache>
                <c:formatCode>General</c:formatCode>
                <c:ptCount val="6"/>
                <c:pt idx="0">
                  <c:v>2.2000000000000002</c:v>
                </c:pt>
                <c:pt idx="1">
                  <c:v>1.8</c:v>
                </c:pt>
                <c:pt idx="2">
                  <c:v>1.5</c:v>
                </c:pt>
                <c:pt idx="3">
                  <c:v>1.8</c:v>
                </c:pt>
                <c:pt idx="4">
                  <c:v>2</c:v>
                </c:pt>
                <c:pt idx="5">
                  <c:v>2.2000000000000002</c:v>
                </c:pt>
              </c:numCache>
            </c:numRef>
          </c:val>
        </c:ser>
        <c:ser>
          <c:idx val="4"/>
          <c:order val="4"/>
          <c:tx>
            <c:strRef>
              <c:f>Sheet1!$F$1</c:f>
              <c:strCache>
                <c:ptCount val="1"/>
                <c:pt idx="0">
                  <c:v>2012</c:v>
                </c:pt>
              </c:strCache>
            </c:strRef>
          </c:tx>
          <c:spPr>
            <a:ln w="38100"/>
          </c:spPr>
          <c:invertIfNegative val="0"/>
          <c:cat>
            <c:strRef>
              <c:f>Sheet1!$A$2:$A$7</c:f>
              <c:strCache>
                <c:ptCount val="6"/>
                <c:pt idx="0">
                  <c:v>Crna Poljana</c:v>
                </c:pt>
                <c:pt idx="1">
                  <c:v>ispod Kolašina</c:v>
                </c:pt>
                <c:pt idx="2">
                  <c:v>Trebaljevo</c:v>
                </c:pt>
                <c:pt idx="3">
                  <c:v>ispod Mojkovca</c:v>
                </c:pt>
                <c:pt idx="4">
                  <c:v>Đurđevića Tara</c:v>
                </c:pt>
                <c:pt idx="5">
                  <c:v>Šćepan polje</c:v>
                </c:pt>
              </c:strCache>
            </c:strRef>
          </c:cat>
          <c:val>
            <c:numRef>
              <c:f>Sheet1!$F$2:$F$7</c:f>
              <c:numCache>
                <c:formatCode>General</c:formatCode>
                <c:ptCount val="6"/>
                <c:pt idx="0">
                  <c:v>1.3</c:v>
                </c:pt>
                <c:pt idx="1">
                  <c:v>1.9000000000000001</c:v>
                </c:pt>
                <c:pt idx="2">
                  <c:v>2.1</c:v>
                </c:pt>
                <c:pt idx="3">
                  <c:v>1.6</c:v>
                </c:pt>
                <c:pt idx="4">
                  <c:v>2</c:v>
                </c:pt>
                <c:pt idx="5">
                  <c:v>2.5</c:v>
                </c:pt>
              </c:numCache>
            </c:numRef>
          </c:val>
        </c:ser>
        <c:ser>
          <c:idx val="5"/>
          <c:order val="5"/>
          <c:tx>
            <c:strRef>
              <c:f>Sheet1!$G$1</c:f>
              <c:strCache>
                <c:ptCount val="1"/>
                <c:pt idx="0">
                  <c:v>2013</c:v>
                </c:pt>
              </c:strCache>
            </c:strRef>
          </c:tx>
          <c:spPr>
            <a:ln w="38100"/>
          </c:spPr>
          <c:invertIfNegative val="0"/>
          <c:cat>
            <c:strRef>
              <c:f>Sheet1!$A$2:$A$7</c:f>
              <c:strCache>
                <c:ptCount val="6"/>
                <c:pt idx="0">
                  <c:v>Crna Poljana</c:v>
                </c:pt>
                <c:pt idx="1">
                  <c:v>ispod Kolašina</c:v>
                </c:pt>
                <c:pt idx="2">
                  <c:v>Trebaljevo</c:v>
                </c:pt>
                <c:pt idx="3">
                  <c:v>ispod Mojkovca</c:v>
                </c:pt>
                <c:pt idx="4">
                  <c:v>Đurđevića Tara</c:v>
                </c:pt>
                <c:pt idx="5">
                  <c:v>Šćepan polje</c:v>
                </c:pt>
              </c:strCache>
            </c:strRef>
          </c:cat>
          <c:val>
            <c:numRef>
              <c:f>Sheet1!$G$2:$G$7</c:f>
              <c:numCache>
                <c:formatCode>General</c:formatCode>
                <c:ptCount val="6"/>
                <c:pt idx="0">
                  <c:v>1.5</c:v>
                </c:pt>
                <c:pt idx="1">
                  <c:v>2.4</c:v>
                </c:pt>
                <c:pt idx="2">
                  <c:v>1.31</c:v>
                </c:pt>
                <c:pt idx="3">
                  <c:v>1.5</c:v>
                </c:pt>
                <c:pt idx="4">
                  <c:v>3.3</c:v>
                </c:pt>
                <c:pt idx="5">
                  <c:v>2.2999999999999998</c:v>
                </c:pt>
              </c:numCache>
            </c:numRef>
          </c:val>
        </c:ser>
        <c:dLbls>
          <c:showLegendKey val="0"/>
          <c:showVal val="0"/>
          <c:showCatName val="0"/>
          <c:showSerName val="0"/>
          <c:showPercent val="0"/>
          <c:showBubbleSize val="0"/>
        </c:dLbls>
        <c:gapWidth val="150"/>
        <c:axId val="273269504"/>
        <c:axId val="273271040"/>
      </c:barChart>
      <c:lineChart>
        <c:grouping val="standard"/>
        <c:varyColors val="0"/>
        <c:ser>
          <c:idx val="6"/>
          <c:order val="6"/>
          <c:tx>
            <c:strRef>
              <c:f>Sheet1!$H$1</c:f>
              <c:strCache>
                <c:ptCount val="1"/>
                <c:pt idx="0">
                  <c:v>MDK A1</c:v>
                </c:pt>
              </c:strCache>
            </c:strRef>
          </c:tx>
          <c:spPr>
            <a:ln w="25400"/>
          </c:spPr>
          <c:marker>
            <c:symbol val="none"/>
          </c:marker>
          <c:cat>
            <c:strRef>
              <c:f>Sheet1!$A$2:$A$7</c:f>
              <c:strCache>
                <c:ptCount val="6"/>
                <c:pt idx="0">
                  <c:v>Crna Poljana</c:v>
                </c:pt>
                <c:pt idx="1">
                  <c:v>ispod Kolašina</c:v>
                </c:pt>
                <c:pt idx="2">
                  <c:v>Trebaljevo</c:v>
                </c:pt>
                <c:pt idx="3">
                  <c:v>ispod Mojkovca</c:v>
                </c:pt>
                <c:pt idx="4">
                  <c:v>Đurđevića Tara</c:v>
                </c:pt>
                <c:pt idx="5">
                  <c:v>Šćepan polje</c:v>
                </c:pt>
              </c:strCache>
            </c:strRef>
          </c:cat>
          <c:val>
            <c:numRef>
              <c:f>Sheet1!$H$2:$H$7</c:f>
              <c:numCache>
                <c:formatCode>General</c:formatCode>
                <c:ptCount val="6"/>
                <c:pt idx="0">
                  <c:v>3</c:v>
                </c:pt>
                <c:pt idx="1">
                  <c:v>3</c:v>
                </c:pt>
                <c:pt idx="2">
                  <c:v>3</c:v>
                </c:pt>
                <c:pt idx="3">
                  <c:v>3</c:v>
                </c:pt>
                <c:pt idx="4">
                  <c:v>3</c:v>
                </c:pt>
                <c:pt idx="5">
                  <c:v>3</c:v>
                </c:pt>
              </c:numCache>
            </c:numRef>
          </c:val>
          <c:smooth val="0"/>
        </c:ser>
        <c:ser>
          <c:idx val="7"/>
          <c:order val="7"/>
          <c:tx>
            <c:strRef>
              <c:f>Sheet1!$I$1</c:f>
              <c:strCache>
                <c:ptCount val="1"/>
                <c:pt idx="0">
                  <c:v>MDK A2</c:v>
                </c:pt>
              </c:strCache>
            </c:strRef>
          </c:tx>
          <c:spPr>
            <a:ln w="25400"/>
          </c:spPr>
          <c:marker>
            <c:symbol val="none"/>
          </c:marker>
          <c:cat>
            <c:strRef>
              <c:f>Sheet1!$A$2:$A$7</c:f>
              <c:strCache>
                <c:ptCount val="6"/>
                <c:pt idx="0">
                  <c:v>Crna Poljana</c:v>
                </c:pt>
                <c:pt idx="1">
                  <c:v>ispod Kolašina</c:v>
                </c:pt>
                <c:pt idx="2">
                  <c:v>Trebaljevo</c:v>
                </c:pt>
                <c:pt idx="3">
                  <c:v>ispod Mojkovca</c:v>
                </c:pt>
                <c:pt idx="4">
                  <c:v>Đurđevića Tara</c:v>
                </c:pt>
                <c:pt idx="5">
                  <c:v>Šćepan polje</c:v>
                </c:pt>
              </c:strCache>
            </c:strRef>
          </c:cat>
          <c:val>
            <c:numRef>
              <c:f>Sheet1!$I$2:$I$7</c:f>
              <c:numCache>
                <c:formatCode>General</c:formatCode>
                <c:ptCount val="6"/>
                <c:pt idx="0">
                  <c:v>4</c:v>
                </c:pt>
                <c:pt idx="1">
                  <c:v>4</c:v>
                </c:pt>
                <c:pt idx="2">
                  <c:v>4</c:v>
                </c:pt>
                <c:pt idx="3">
                  <c:v>4</c:v>
                </c:pt>
                <c:pt idx="4">
                  <c:v>4</c:v>
                </c:pt>
                <c:pt idx="5">
                  <c:v>4</c:v>
                </c:pt>
              </c:numCache>
            </c:numRef>
          </c:val>
          <c:smooth val="0"/>
        </c:ser>
        <c:ser>
          <c:idx val="8"/>
          <c:order val="8"/>
          <c:tx>
            <c:strRef>
              <c:f>Sheet1!$J$1</c:f>
              <c:strCache>
                <c:ptCount val="1"/>
                <c:pt idx="0">
                  <c:v>MDK A3</c:v>
                </c:pt>
              </c:strCache>
            </c:strRef>
          </c:tx>
          <c:spPr>
            <a:ln w="25400"/>
          </c:spPr>
          <c:marker>
            <c:symbol val="none"/>
          </c:marker>
          <c:cat>
            <c:strRef>
              <c:f>Sheet1!$A$2:$A$7</c:f>
              <c:strCache>
                <c:ptCount val="6"/>
                <c:pt idx="0">
                  <c:v>Crna Poljana</c:v>
                </c:pt>
                <c:pt idx="1">
                  <c:v>ispod Kolašina</c:v>
                </c:pt>
                <c:pt idx="2">
                  <c:v>Trebaljevo</c:v>
                </c:pt>
                <c:pt idx="3">
                  <c:v>ispod Mojkovca</c:v>
                </c:pt>
                <c:pt idx="4">
                  <c:v>Đurđevića Tara</c:v>
                </c:pt>
                <c:pt idx="5">
                  <c:v>Šćepan polje</c:v>
                </c:pt>
              </c:strCache>
            </c:strRef>
          </c:cat>
          <c:val>
            <c:numRef>
              <c:f>Sheet1!$J$2:$J$7</c:f>
              <c:numCache>
                <c:formatCode>General</c:formatCode>
                <c:ptCount val="6"/>
                <c:pt idx="0">
                  <c:v>2</c:v>
                </c:pt>
                <c:pt idx="1">
                  <c:v>2</c:v>
                </c:pt>
                <c:pt idx="2">
                  <c:v>2</c:v>
                </c:pt>
                <c:pt idx="3">
                  <c:v>2</c:v>
                </c:pt>
                <c:pt idx="4">
                  <c:v>2</c:v>
                </c:pt>
                <c:pt idx="5">
                  <c:v>2</c:v>
                </c:pt>
              </c:numCache>
            </c:numRef>
          </c:val>
          <c:smooth val="0"/>
        </c:ser>
        <c:dLbls>
          <c:showLegendKey val="0"/>
          <c:showVal val="0"/>
          <c:showCatName val="0"/>
          <c:showSerName val="0"/>
          <c:showPercent val="0"/>
          <c:showBubbleSize val="0"/>
        </c:dLbls>
        <c:marker val="1"/>
        <c:smooth val="0"/>
        <c:axId val="273269504"/>
        <c:axId val="273271040"/>
      </c:lineChart>
      <c:catAx>
        <c:axId val="273269504"/>
        <c:scaling>
          <c:orientation val="minMax"/>
        </c:scaling>
        <c:delete val="0"/>
        <c:axPos val="b"/>
        <c:majorTickMark val="out"/>
        <c:minorTickMark val="none"/>
        <c:tickLblPos val="nextTo"/>
        <c:txPr>
          <a:bodyPr/>
          <a:lstStyle/>
          <a:p>
            <a:pPr>
              <a:defRPr sz="700"/>
            </a:pPr>
            <a:endParaRPr lang="en-US"/>
          </a:p>
        </c:txPr>
        <c:crossAx val="273271040"/>
        <c:crosses val="autoZero"/>
        <c:auto val="1"/>
        <c:lblAlgn val="ctr"/>
        <c:lblOffset val="100"/>
        <c:noMultiLvlLbl val="0"/>
      </c:catAx>
      <c:valAx>
        <c:axId val="273271040"/>
        <c:scaling>
          <c:orientation val="minMax"/>
        </c:scaling>
        <c:delete val="0"/>
        <c:axPos val="l"/>
        <c:numFmt formatCode="General" sourceLinked="1"/>
        <c:majorTickMark val="out"/>
        <c:minorTickMark val="none"/>
        <c:tickLblPos val="nextTo"/>
        <c:txPr>
          <a:bodyPr/>
          <a:lstStyle/>
          <a:p>
            <a:pPr>
              <a:defRPr sz="700"/>
            </a:pPr>
            <a:endParaRPr lang="en-US"/>
          </a:p>
        </c:txPr>
        <c:crossAx val="273269504"/>
        <c:crosses val="autoZero"/>
        <c:crossBetween val="between"/>
      </c:valAx>
    </c:plotArea>
    <c:legend>
      <c:legendPos val="r"/>
      <c:layout>
        <c:manualLayout>
          <c:xMode val="edge"/>
          <c:yMode val="edge"/>
          <c:x val="0.85100661028482638"/>
          <c:y val="3.2808398950131376E-3"/>
          <c:w val="0.14899338971517484"/>
          <c:h val="0.66065999562554811"/>
        </c:manualLayout>
      </c:layout>
      <c:overlay val="1"/>
      <c:txPr>
        <a:bodyPr/>
        <a:lstStyle/>
        <a:p>
          <a:pPr>
            <a:defRPr sz="700"/>
          </a:pPr>
          <a:endParaRPr lang="en-US"/>
        </a:p>
      </c:txPr>
    </c:legend>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manualLayout>
          <c:layoutTarget val="inner"/>
          <c:xMode val="edge"/>
          <c:yMode val="edge"/>
          <c:x val="9.1609639704127888E-2"/>
          <c:y val="8.6746017212964613E-2"/>
          <c:w val="0.61126159230096233"/>
          <c:h val="0.78158212781541747"/>
        </c:manualLayout>
      </c:layout>
      <c:barChart>
        <c:barDir val="col"/>
        <c:grouping val="clustered"/>
        <c:varyColors val="0"/>
        <c:ser>
          <c:idx val="0"/>
          <c:order val="0"/>
          <c:tx>
            <c:strRef>
              <c:f>Sheet1!$B$1</c:f>
              <c:strCache>
                <c:ptCount val="1"/>
                <c:pt idx="0">
                  <c:v>Csr </c:v>
                </c:pt>
              </c:strCache>
            </c:strRef>
          </c:tx>
          <c:spPr>
            <a:solidFill>
              <a:srgbClr val="FFFF00"/>
            </a:solidFill>
          </c:spPr>
          <c:invertIfNegative val="0"/>
          <c:cat>
            <c:strRef>
              <c:f>Sheet1!$A$2:$A$13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Sheet1!$B$2:$B$13</c:f>
              <c:numCache>
                <c:formatCode>General</c:formatCode>
                <c:ptCount val="12"/>
                <c:pt idx="0">
                  <c:v>45.09</c:v>
                </c:pt>
                <c:pt idx="1">
                  <c:v>34.36</c:v>
                </c:pt>
                <c:pt idx="2">
                  <c:v>32.130000000000003</c:v>
                </c:pt>
                <c:pt idx="3">
                  <c:v>29.31000000000002</c:v>
                </c:pt>
                <c:pt idx="4">
                  <c:v>30.99</c:v>
                </c:pt>
                <c:pt idx="5">
                  <c:v>18.98999999999997</c:v>
                </c:pt>
                <c:pt idx="6">
                  <c:v>22.830000000000005</c:v>
                </c:pt>
                <c:pt idx="7">
                  <c:v>28.610000000000021</c:v>
                </c:pt>
                <c:pt idx="8">
                  <c:v>19.600000000000001</c:v>
                </c:pt>
                <c:pt idx="9">
                  <c:v>29.6</c:v>
                </c:pt>
                <c:pt idx="10">
                  <c:v>38.550000000000004</c:v>
                </c:pt>
                <c:pt idx="11">
                  <c:v>78.790000000000006</c:v>
                </c:pt>
              </c:numCache>
            </c:numRef>
          </c:val>
        </c:ser>
        <c:ser>
          <c:idx val="1"/>
          <c:order val="1"/>
          <c:tx>
            <c:strRef>
              <c:f>Sheet1!$C$1</c:f>
              <c:strCache>
                <c:ptCount val="1"/>
                <c:pt idx="0">
                  <c:v>Cmax</c:v>
                </c:pt>
              </c:strCache>
            </c:strRef>
          </c:tx>
          <c:invertIfNegative val="0"/>
          <c:cat>
            <c:strRef>
              <c:f>Sheet1!$A$2:$A$13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Sheet1!$C$2:$C$13</c:f>
              <c:numCache>
                <c:formatCode>General</c:formatCode>
                <c:ptCount val="12"/>
                <c:pt idx="0">
                  <c:v>106.32</c:v>
                </c:pt>
                <c:pt idx="1">
                  <c:v>67.88</c:v>
                </c:pt>
                <c:pt idx="2">
                  <c:v>74.66</c:v>
                </c:pt>
                <c:pt idx="3">
                  <c:v>65.27</c:v>
                </c:pt>
                <c:pt idx="4">
                  <c:v>115.64999999999999</c:v>
                </c:pt>
                <c:pt idx="5">
                  <c:v>34.300000000000004</c:v>
                </c:pt>
                <c:pt idx="6">
                  <c:v>35.65</c:v>
                </c:pt>
                <c:pt idx="7">
                  <c:v>45.63</c:v>
                </c:pt>
                <c:pt idx="8">
                  <c:v>43.63</c:v>
                </c:pt>
                <c:pt idx="9">
                  <c:v>59.03</c:v>
                </c:pt>
                <c:pt idx="10">
                  <c:v>72.88</c:v>
                </c:pt>
                <c:pt idx="11">
                  <c:v>161.87</c:v>
                </c:pt>
              </c:numCache>
            </c:numRef>
          </c:val>
        </c:ser>
        <c:dLbls>
          <c:showLegendKey val="0"/>
          <c:showVal val="0"/>
          <c:showCatName val="0"/>
          <c:showSerName val="0"/>
          <c:showPercent val="0"/>
          <c:showBubbleSize val="0"/>
        </c:dLbls>
        <c:gapWidth val="150"/>
        <c:axId val="197814912"/>
        <c:axId val="197820800"/>
      </c:barChart>
      <c:lineChart>
        <c:grouping val="standard"/>
        <c:varyColors val="0"/>
        <c:ser>
          <c:idx val="2"/>
          <c:order val="2"/>
          <c:tx>
            <c:strRef>
              <c:f>Sheet1!$D$1</c:f>
              <c:strCache>
                <c:ptCount val="1"/>
                <c:pt idx="0">
                  <c:v>srednja dnevna granična vrijednost</c:v>
                </c:pt>
              </c:strCache>
            </c:strRef>
          </c:tx>
          <c:spPr>
            <a:ln w="41275">
              <a:solidFill>
                <a:srgbClr val="FF0000"/>
              </a:solidFill>
            </a:ln>
          </c:spPr>
          <c:marker>
            <c:symbol val="none"/>
          </c:marker>
          <c:cat>
            <c:strRef>
              <c:f>Sheet1!$A$2:$A$13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Sheet1!$D$2:$D$13</c:f>
              <c:numCache>
                <c:formatCode>General</c:formatCode>
                <c:ptCount val="12"/>
                <c:pt idx="0">
                  <c:v>50</c:v>
                </c:pt>
                <c:pt idx="1">
                  <c:v>50</c:v>
                </c:pt>
                <c:pt idx="2">
                  <c:v>50</c:v>
                </c:pt>
                <c:pt idx="3">
                  <c:v>50</c:v>
                </c:pt>
                <c:pt idx="4">
                  <c:v>50</c:v>
                </c:pt>
                <c:pt idx="5">
                  <c:v>50</c:v>
                </c:pt>
                <c:pt idx="6">
                  <c:v>50</c:v>
                </c:pt>
                <c:pt idx="7">
                  <c:v>50</c:v>
                </c:pt>
                <c:pt idx="8">
                  <c:v>50</c:v>
                </c:pt>
                <c:pt idx="9">
                  <c:v>50</c:v>
                </c:pt>
                <c:pt idx="10">
                  <c:v>50</c:v>
                </c:pt>
                <c:pt idx="11">
                  <c:v>50</c:v>
                </c:pt>
              </c:numCache>
            </c:numRef>
          </c:val>
          <c:smooth val="0"/>
        </c:ser>
        <c:ser>
          <c:idx val="3"/>
          <c:order val="3"/>
          <c:tx>
            <c:strRef>
              <c:f>Sheet1!$E$1</c:f>
              <c:strCache>
                <c:ptCount val="1"/>
                <c:pt idx="0">
                  <c:v>granica tolerancije</c:v>
                </c:pt>
              </c:strCache>
            </c:strRef>
          </c:tx>
          <c:spPr>
            <a:ln w="41275">
              <a:solidFill>
                <a:schemeClr val="accent6">
                  <a:lumMod val="75000"/>
                </a:schemeClr>
              </a:solidFill>
            </a:ln>
          </c:spPr>
          <c:marker>
            <c:symbol val="none"/>
          </c:marker>
          <c:cat>
            <c:strRef>
              <c:f>Sheet1!$A$2:$A$13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Sheet1!$E$2:$E$13</c:f>
              <c:numCache>
                <c:formatCode>General</c:formatCode>
                <c:ptCount val="12"/>
                <c:pt idx="0">
                  <c:v>83</c:v>
                </c:pt>
                <c:pt idx="1">
                  <c:v>83</c:v>
                </c:pt>
                <c:pt idx="2">
                  <c:v>83</c:v>
                </c:pt>
                <c:pt idx="3">
                  <c:v>83</c:v>
                </c:pt>
                <c:pt idx="4">
                  <c:v>83</c:v>
                </c:pt>
                <c:pt idx="5">
                  <c:v>83</c:v>
                </c:pt>
                <c:pt idx="6">
                  <c:v>83</c:v>
                </c:pt>
                <c:pt idx="7">
                  <c:v>83</c:v>
                </c:pt>
                <c:pt idx="8">
                  <c:v>83</c:v>
                </c:pt>
                <c:pt idx="9">
                  <c:v>83</c:v>
                </c:pt>
                <c:pt idx="10">
                  <c:v>83</c:v>
                </c:pt>
                <c:pt idx="11">
                  <c:v>83</c:v>
                </c:pt>
              </c:numCache>
            </c:numRef>
          </c:val>
          <c:smooth val="0"/>
        </c:ser>
        <c:dLbls>
          <c:showLegendKey val="0"/>
          <c:showVal val="0"/>
          <c:showCatName val="0"/>
          <c:showSerName val="0"/>
          <c:showPercent val="0"/>
          <c:showBubbleSize val="0"/>
        </c:dLbls>
        <c:marker val="1"/>
        <c:smooth val="0"/>
        <c:axId val="197814912"/>
        <c:axId val="197820800"/>
      </c:lineChart>
      <c:catAx>
        <c:axId val="197814912"/>
        <c:scaling>
          <c:orientation val="minMax"/>
        </c:scaling>
        <c:delete val="0"/>
        <c:axPos val="b"/>
        <c:majorTickMark val="out"/>
        <c:minorTickMark val="none"/>
        <c:tickLblPos val="nextTo"/>
        <c:crossAx val="197820800"/>
        <c:crosses val="autoZero"/>
        <c:auto val="1"/>
        <c:lblAlgn val="ctr"/>
        <c:lblOffset val="100"/>
        <c:noMultiLvlLbl val="0"/>
      </c:catAx>
      <c:valAx>
        <c:axId val="197820800"/>
        <c:scaling>
          <c:orientation val="minMax"/>
        </c:scaling>
        <c:delete val="0"/>
        <c:axPos val="l"/>
        <c:title>
          <c:tx>
            <c:rich>
              <a:bodyPr rot="0" vert="horz"/>
              <a:lstStyle/>
              <a:p>
                <a:pPr>
                  <a:defRPr/>
                </a:pPr>
                <a:r>
                  <a:rPr lang="en-US">
                    <a:latin typeface="Calibri"/>
                  </a:rPr>
                  <a:t>µg/m</a:t>
                </a:r>
                <a:r>
                  <a:rPr lang="en-US" baseline="30000">
                    <a:latin typeface="Calibri"/>
                  </a:rPr>
                  <a:t>3</a:t>
                </a:r>
                <a:endParaRPr lang="en-US" baseline="30000"/>
              </a:p>
            </c:rich>
          </c:tx>
          <c:layout>
            <c:manualLayout>
              <c:xMode val="edge"/>
              <c:yMode val="edge"/>
              <c:x val="0"/>
              <c:y val="1.5548637815622005E-3"/>
            </c:manualLayout>
          </c:layout>
          <c:overlay val="0"/>
        </c:title>
        <c:numFmt formatCode="General" sourceLinked="1"/>
        <c:majorTickMark val="out"/>
        <c:minorTickMark val="none"/>
        <c:tickLblPos val="nextTo"/>
        <c:crossAx val="197814912"/>
        <c:crosses val="autoZero"/>
        <c:crossBetween val="between"/>
      </c:valAx>
      <c:spPr>
        <a:blipFill dpi="0" rotWithShape="1">
          <a:blip xmlns:r="http://schemas.openxmlformats.org/officeDocument/2006/relationships" r:embed="rId1">
            <a:alphaModFix amt="70000"/>
          </a:blip>
          <a:srcRect/>
          <a:stretch>
            <a:fillRect/>
          </a:stretch>
        </a:blipFill>
      </c:spPr>
    </c:plotArea>
    <c:legend>
      <c:legendPos val="r"/>
      <c:layout>
        <c:manualLayout>
          <c:xMode val="edge"/>
          <c:yMode val="edge"/>
          <c:x val="0.70423476111129257"/>
          <c:y val="0.24135843425663281"/>
          <c:w val="0.29511238367931325"/>
          <c:h val="0.54264301299687023"/>
        </c:manualLayout>
      </c:layout>
      <c:overlay val="1"/>
      <c:txPr>
        <a:bodyPr/>
        <a:lstStyle/>
        <a:p>
          <a:pPr>
            <a:defRPr sz="800"/>
          </a:pPr>
          <a:endParaRPr lang="en-US"/>
        </a:p>
      </c:txPr>
    </c:legend>
    <c:plotVisOnly val="1"/>
    <c:dispBlanksAs val="gap"/>
    <c:showDLblsOverMax val="0"/>
  </c:chart>
  <c:spPr>
    <a:ln>
      <a:noFill/>
    </a:ln>
  </c:spPr>
  <c:externalData r:id="rId2">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manualLayout>
          <c:layoutTarget val="inner"/>
          <c:xMode val="edge"/>
          <c:yMode val="edge"/>
          <c:x val="4.802614950908906E-2"/>
          <c:y val="4.9926346572064746E-2"/>
          <c:w val="0.79065811218042292"/>
          <c:h val="0.84946030183726884"/>
        </c:manualLayout>
      </c:layout>
      <c:barChart>
        <c:barDir val="col"/>
        <c:grouping val="clustered"/>
        <c:varyColors val="0"/>
        <c:ser>
          <c:idx val="0"/>
          <c:order val="0"/>
          <c:tx>
            <c:strRef>
              <c:f>Sheet1!$B$1</c:f>
              <c:strCache>
                <c:ptCount val="1"/>
                <c:pt idx="0">
                  <c:v>2008</c:v>
                </c:pt>
              </c:strCache>
            </c:strRef>
          </c:tx>
          <c:invertIfNegative val="0"/>
          <c:cat>
            <c:strRef>
              <c:f>Sheet1!$A$2:$A$5</c:f>
              <c:strCache>
                <c:ptCount val="4"/>
                <c:pt idx="0">
                  <c:v>ispod Pljevalja</c:v>
                </c:pt>
                <c:pt idx="1">
                  <c:v>Rabitlja</c:v>
                </c:pt>
                <c:pt idx="2">
                  <c:v>ispod ušća Vezišnice</c:v>
                </c:pt>
                <c:pt idx="3">
                  <c:v>Gradac</c:v>
                </c:pt>
              </c:strCache>
            </c:strRef>
          </c:cat>
          <c:val>
            <c:numRef>
              <c:f>Sheet1!$B$2:$B$5</c:f>
              <c:numCache>
                <c:formatCode>General</c:formatCode>
                <c:ptCount val="4"/>
                <c:pt idx="0">
                  <c:v>2.2000000000000002</c:v>
                </c:pt>
                <c:pt idx="1">
                  <c:v>6</c:v>
                </c:pt>
                <c:pt idx="2">
                  <c:v>6.3</c:v>
                </c:pt>
                <c:pt idx="3">
                  <c:v>3.3</c:v>
                </c:pt>
              </c:numCache>
            </c:numRef>
          </c:val>
        </c:ser>
        <c:ser>
          <c:idx val="1"/>
          <c:order val="1"/>
          <c:tx>
            <c:strRef>
              <c:f>Sheet1!$C$1</c:f>
              <c:strCache>
                <c:ptCount val="1"/>
                <c:pt idx="0">
                  <c:v>2009</c:v>
                </c:pt>
              </c:strCache>
            </c:strRef>
          </c:tx>
          <c:invertIfNegative val="0"/>
          <c:cat>
            <c:strRef>
              <c:f>Sheet1!$A$2:$A$5</c:f>
              <c:strCache>
                <c:ptCount val="4"/>
                <c:pt idx="0">
                  <c:v>ispod Pljevalja</c:v>
                </c:pt>
                <c:pt idx="1">
                  <c:v>Rabitlja</c:v>
                </c:pt>
                <c:pt idx="2">
                  <c:v>ispod ušća Vezišnice</c:v>
                </c:pt>
                <c:pt idx="3">
                  <c:v>Gradac</c:v>
                </c:pt>
              </c:strCache>
            </c:strRef>
          </c:cat>
          <c:val>
            <c:numRef>
              <c:f>Sheet1!$C$2:$C$5</c:f>
              <c:numCache>
                <c:formatCode>General</c:formatCode>
                <c:ptCount val="4"/>
                <c:pt idx="0">
                  <c:v>2.5</c:v>
                </c:pt>
                <c:pt idx="1">
                  <c:v>6.3</c:v>
                </c:pt>
                <c:pt idx="2">
                  <c:v>3.3</c:v>
                </c:pt>
                <c:pt idx="3">
                  <c:v>2.4</c:v>
                </c:pt>
              </c:numCache>
            </c:numRef>
          </c:val>
        </c:ser>
        <c:ser>
          <c:idx val="2"/>
          <c:order val="2"/>
          <c:tx>
            <c:strRef>
              <c:f>Sheet1!$D$1</c:f>
              <c:strCache>
                <c:ptCount val="1"/>
                <c:pt idx="0">
                  <c:v>2010</c:v>
                </c:pt>
              </c:strCache>
            </c:strRef>
          </c:tx>
          <c:invertIfNegative val="0"/>
          <c:cat>
            <c:strRef>
              <c:f>Sheet1!$A$2:$A$5</c:f>
              <c:strCache>
                <c:ptCount val="4"/>
                <c:pt idx="0">
                  <c:v>ispod Pljevalja</c:v>
                </c:pt>
                <c:pt idx="1">
                  <c:v>Rabitlja</c:v>
                </c:pt>
                <c:pt idx="2">
                  <c:v>ispod ušća Vezišnice</c:v>
                </c:pt>
                <c:pt idx="3">
                  <c:v>Gradac</c:v>
                </c:pt>
              </c:strCache>
            </c:strRef>
          </c:cat>
          <c:val>
            <c:numRef>
              <c:f>Sheet1!$D$2:$D$5</c:f>
              <c:numCache>
                <c:formatCode>General</c:formatCode>
                <c:ptCount val="4"/>
                <c:pt idx="0">
                  <c:v>7.4</c:v>
                </c:pt>
                <c:pt idx="1">
                  <c:v>0.9</c:v>
                </c:pt>
                <c:pt idx="2">
                  <c:v>5.0999999999999996</c:v>
                </c:pt>
                <c:pt idx="3">
                  <c:v>3.8</c:v>
                </c:pt>
              </c:numCache>
            </c:numRef>
          </c:val>
        </c:ser>
        <c:ser>
          <c:idx val="3"/>
          <c:order val="3"/>
          <c:tx>
            <c:strRef>
              <c:f>Sheet1!$E$1</c:f>
              <c:strCache>
                <c:ptCount val="1"/>
                <c:pt idx="0">
                  <c:v>2011</c:v>
                </c:pt>
              </c:strCache>
            </c:strRef>
          </c:tx>
          <c:spPr>
            <a:ln w="38100"/>
          </c:spPr>
          <c:invertIfNegative val="0"/>
          <c:cat>
            <c:strRef>
              <c:f>Sheet1!$A$2:$A$5</c:f>
              <c:strCache>
                <c:ptCount val="4"/>
                <c:pt idx="0">
                  <c:v>ispod Pljevalja</c:v>
                </c:pt>
                <c:pt idx="1">
                  <c:v>Rabitlja</c:v>
                </c:pt>
                <c:pt idx="2">
                  <c:v>ispod ušća Vezišnice</c:v>
                </c:pt>
                <c:pt idx="3">
                  <c:v>Gradac</c:v>
                </c:pt>
              </c:strCache>
            </c:strRef>
          </c:cat>
          <c:val>
            <c:numRef>
              <c:f>Sheet1!$E$2:$E$5</c:f>
              <c:numCache>
                <c:formatCode>General</c:formatCode>
                <c:ptCount val="4"/>
                <c:pt idx="0">
                  <c:v>7.2</c:v>
                </c:pt>
                <c:pt idx="1">
                  <c:v>1.5</c:v>
                </c:pt>
                <c:pt idx="2">
                  <c:v>3.9</c:v>
                </c:pt>
                <c:pt idx="3">
                  <c:v>2.9</c:v>
                </c:pt>
              </c:numCache>
            </c:numRef>
          </c:val>
        </c:ser>
        <c:ser>
          <c:idx val="4"/>
          <c:order val="4"/>
          <c:tx>
            <c:strRef>
              <c:f>Sheet1!$F$1</c:f>
              <c:strCache>
                <c:ptCount val="1"/>
                <c:pt idx="0">
                  <c:v>2012</c:v>
                </c:pt>
              </c:strCache>
            </c:strRef>
          </c:tx>
          <c:spPr>
            <a:ln w="38100"/>
          </c:spPr>
          <c:invertIfNegative val="0"/>
          <c:cat>
            <c:strRef>
              <c:f>Sheet1!$A$2:$A$5</c:f>
              <c:strCache>
                <c:ptCount val="4"/>
                <c:pt idx="0">
                  <c:v>ispod Pljevalja</c:v>
                </c:pt>
                <c:pt idx="1">
                  <c:v>Rabitlja</c:v>
                </c:pt>
                <c:pt idx="2">
                  <c:v>ispod ušća Vezišnice</c:v>
                </c:pt>
                <c:pt idx="3">
                  <c:v>Gradac</c:v>
                </c:pt>
              </c:strCache>
            </c:strRef>
          </c:cat>
          <c:val>
            <c:numRef>
              <c:f>Sheet1!$F$2:$F$5</c:f>
              <c:numCache>
                <c:formatCode>General</c:formatCode>
                <c:ptCount val="4"/>
                <c:pt idx="0">
                  <c:v>6.8</c:v>
                </c:pt>
                <c:pt idx="1">
                  <c:v>2.2000000000000002</c:v>
                </c:pt>
                <c:pt idx="2">
                  <c:v>5.6</c:v>
                </c:pt>
                <c:pt idx="3">
                  <c:v>4</c:v>
                </c:pt>
              </c:numCache>
            </c:numRef>
          </c:val>
        </c:ser>
        <c:ser>
          <c:idx val="5"/>
          <c:order val="5"/>
          <c:tx>
            <c:strRef>
              <c:f>Sheet1!$G$1</c:f>
              <c:strCache>
                <c:ptCount val="1"/>
                <c:pt idx="0">
                  <c:v>2013</c:v>
                </c:pt>
              </c:strCache>
            </c:strRef>
          </c:tx>
          <c:spPr>
            <a:ln w="38100"/>
          </c:spPr>
          <c:invertIfNegative val="0"/>
          <c:cat>
            <c:strRef>
              <c:f>Sheet1!$A$2:$A$5</c:f>
              <c:strCache>
                <c:ptCount val="4"/>
                <c:pt idx="0">
                  <c:v>ispod Pljevalja</c:v>
                </c:pt>
                <c:pt idx="1">
                  <c:v>Rabitlja</c:v>
                </c:pt>
                <c:pt idx="2">
                  <c:v>ispod ušća Vezišnice</c:v>
                </c:pt>
                <c:pt idx="3">
                  <c:v>Gradac</c:v>
                </c:pt>
              </c:strCache>
            </c:strRef>
          </c:cat>
          <c:val>
            <c:numRef>
              <c:f>Sheet1!$G$2:$G$5</c:f>
              <c:numCache>
                <c:formatCode>General</c:formatCode>
                <c:ptCount val="4"/>
                <c:pt idx="0">
                  <c:v>8.1</c:v>
                </c:pt>
                <c:pt idx="1">
                  <c:v>7.9</c:v>
                </c:pt>
                <c:pt idx="2">
                  <c:v>7.9</c:v>
                </c:pt>
                <c:pt idx="3">
                  <c:v>8.2000000000000011</c:v>
                </c:pt>
              </c:numCache>
            </c:numRef>
          </c:val>
        </c:ser>
        <c:dLbls>
          <c:showLegendKey val="0"/>
          <c:showVal val="0"/>
          <c:showCatName val="0"/>
          <c:showSerName val="0"/>
          <c:showPercent val="0"/>
          <c:showBubbleSize val="0"/>
        </c:dLbls>
        <c:gapWidth val="150"/>
        <c:axId val="273408768"/>
        <c:axId val="273410304"/>
      </c:barChart>
      <c:lineChart>
        <c:grouping val="standard"/>
        <c:varyColors val="0"/>
        <c:ser>
          <c:idx val="6"/>
          <c:order val="6"/>
          <c:tx>
            <c:strRef>
              <c:f>Sheet1!$H$1</c:f>
              <c:strCache>
                <c:ptCount val="1"/>
                <c:pt idx="0">
                  <c:v>MDK A1</c:v>
                </c:pt>
              </c:strCache>
            </c:strRef>
          </c:tx>
          <c:spPr>
            <a:ln w="25400"/>
          </c:spPr>
          <c:marker>
            <c:symbol val="none"/>
          </c:marker>
          <c:cat>
            <c:strRef>
              <c:f>Sheet1!$A$2:$A$5</c:f>
              <c:strCache>
                <c:ptCount val="4"/>
                <c:pt idx="0">
                  <c:v>ispod Pljevalja</c:v>
                </c:pt>
                <c:pt idx="1">
                  <c:v>Rabitlja</c:v>
                </c:pt>
                <c:pt idx="2">
                  <c:v>ispod ušća Vezišnice</c:v>
                </c:pt>
                <c:pt idx="3">
                  <c:v>Gradac</c:v>
                </c:pt>
              </c:strCache>
            </c:strRef>
          </c:cat>
          <c:val>
            <c:numRef>
              <c:f>Sheet1!$H$2:$H$5</c:f>
              <c:numCache>
                <c:formatCode>General</c:formatCode>
                <c:ptCount val="4"/>
                <c:pt idx="0">
                  <c:v>3</c:v>
                </c:pt>
                <c:pt idx="1">
                  <c:v>3</c:v>
                </c:pt>
                <c:pt idx="2">
                  <c:v>3</c:v>
                </c:pt>
                <c:pt idx="3">
                  <c:v>3</c:v>
                </c:pt>
              </c:numCache>
            </c:numRef>
          </c:val>
          <c:smooth val="0"/>
        </c:ser>
        <c:ser>
          <c:idx val="7"/>
          <c:order val="7"/>
          <c:tx>
            <c:strRef>
              <c:f>Sheet1!$I$1</c:f>
              <c:strCache>
                <c:ptCount val="1"/>
                <c:pt idx="0">
                  <c:v>MDK A2</c:v>
                </c:pt>
              </c:strCache>
            </c:strRef>
          </c:tx>
          <c:spPr>
            <a:ln w="25400"/>
          </c:spPr>
          <c:marker>
            <c:symbol val="none"/>
          </c:marker>
          <c:cat>
            <c:strRef>
              <c:f>Sheet1!$A$2:$A$5</c:f>
              <c:strCache>
                <c:ptCount val="4"/>
                <c:pt idx="0">
                  <c:v>ispod Pljevalja</c:v>
                </c:pt>
                <c:pt idx="1">
                  <c:v>Rabitlja</c:v>
                </c:pt>
                <c:pt idx="2">
                  <c:v>ispod ušća Vezišnice</c:v>
                </c:pt>
                <c:pt idx="3">
                  <c:v>Gradac</c:v>
                </c:pt>
              </c:strCache>
            </c:strRef>
          </c:cat>
          <c:val>
            <c:numRef>
              <c:f>Sheet1!$I$2:$I$5</c:f>
              <c:numCache>
                <c:formatCode>General</c:formatCode>
                <c:ptCount val="4"/>
                <c:pt idx="0">
                  <c:v>4</c:v>
                </c:pt>
                <c:pt idx="1">
                  <c:v>4</c:v>
                </c:pt>
                <c:pt idx="2">
                  <c:v>4</c:v>
                </c:pt>
                <c:pt idx="3">
                  <c:v>4</c:v>
                </c:pt>
              </c:numCache>
            </c:numRef>
          </c:val>
          <c:smooth val="0"/>
        </c:ser>
        <c:ser>
          <c:idx val="8"/>
          <c:order val="8"/>
          <c:tx>
            <c:strRef>
              <c:f>Sheet1!$J$1</c:f>
              <c:strCache>
                <c:ptCount val="1"/>
                <c:pt idx="0">
                  <c:v>MDK A3</c:v>
                </c:pt>
              </c:strCache>
            </c:strRef>
          </c:tx>
          <c:spPr>
            <a:ln w="25400"/>
          </c:spPr>
          <c:marker>
            <c:symbol val="none"/>
          </c:marker>
          <c:cat>
            <c:strRef>
              <c:f>Sheet1!$A$2:$A$5</c:f>
              <c:strCache>
                <c:ptCount val="4"/>
                <c:pt idx="0">
                  <c:v>ispod Pljevalja</c:v>
                </c:pt>
                <c:pt idx="1">
                  <c:v>Rabitlja</c:v>
                </c:pt>
                <c:pt idx="2">
                  <c:v>ispod ušća Vezišnice</c:v>
                </c:pt>
                <c:pt idx="3">
                  <c:v>Gradac</c:v>
                </c:pt>
              </c:strCache>
            </c:strRef>
          </c:cat>
          <c:val>
            <c:numRef>
              <c:f>Sheet1!$J$2:$J$5</c:f>
              <c:numCache>
                <c:formatCode>General</c:formatCode>
                <c:ptCount val="4"/>
                <c:pt idx="0">
                  <c:v>7</c:v>
                </c:pt>
                <c:pt idx="1">
                  <c:v>7</c:v>
                </c:pt>
                <c:pt idx="2">
                  <c:v>7</c:v>
                </c:pt>
                <c:pt idx="3">
                  <c:v>7</c:v>
                </c:pt>
              </c:numCache>
            </c:numRef>
          </c:val>
          <c:smooth val="0"/>
        </c:ser>
        <c:dLbls>
          <c:showLegendKey val="0"/>
          <c:showVal val="0"/>
          <c:showCatName val="0"/>
          <c:showSerName val="0"/>
          <c:showPercent val="0"/>
          <c:showBubbleSize val="0"/>
        </c:dLbls>
        <c:marker val="1"/>
        <c:smooth val="0"/>
        <c:axId val="273408768"/>
        <c:axId val="273410304"/>
      </c:lineChart>
      <c:catAx>
        <c:axId val="273408768"/>
        <c:scaling>
          <c:orientation val="minMax"/>
        </c:scaling>
        <c:delete val="0"/>
        <c:axPos val="b"/>
        <c:majorTickMark val="out"/>
        <c:minorTickMark val="none"/>
        <c:tickLblPos val="nextTo"/>
        <c:txPr>
          <a:bodyPr/>
          <a:lstStyle/>
          <a:p>
            <a:pPr>
              <a:defRPr sz="700"/>
            </a:pPr>
            <a:endParaRPr lang="en-US"/>
          </a:p>
        </c:txPr>
        <c:crossAx val="273410304"/>
        <c:crosses val="autoZero"/>
        <c:auto val="1"/>
        <c:lblAlgn val="ctr"/>
        <c:lblOffset val="100"/>
        <c:noMultiLvlLbl val="0"/>
      </c:catAx>
      <c:valAx>
        <c:axId val="273410304"/>
        <c:scaling>
          <c:orientation val="minMax"/>
        </c:scaling>
        <c:delete val="0"/>
        <c:axPos val="l"/>
        <c:numFmt formatCode="General" sourceLinked="1"/>
        <c:majorTickMark val="out"/>
        <c:minorTickMark val="none"/>
        <c:tickLblPos val="nextTo"/>
        <c:txPr>
          <a:bodyPr/>
          <a:lstStyle/>
          <a:p>
            <a:pPr>
              <a:defRPr sz="700"/>
            </a:pPr>
            <a:endParaRPr lang="en-US"/>
          </a:p>
        </c:txPr>
        <c:crossAx val="273408768"/>
        <c:crosses val="autoZero"/>
        <c:crossBetween val="between"/>
      </c:valAx>
    </c:plotArea>
    <c:legend>
      <c:legendPos val="r"/>
      <c:layout>
        <c:manualLayout>
          <c:xMode val="edge"/>
          <c:yMode val="edge"/>
          <c:x val="0.85116676387673695"/>
          <c:y val="4.9809220188884014E-2"/>
          <c:w val="0.14540172061825588"/>
          <c:h val="0.65371555118110325"/>
        </c:manualLayout>
      </c:layout>
      <c:overlay val="1"/>
      <c:txPr>
        <a:bodyPr/>
        <a:lstStyle/>
        <a:p>
          <a:pPr>
            <a:defRPr sz="700"/>
          </a:pPr>
          <a:endParaRPr lang="en-US"/>
        </a:p>
      </c:txPr>
    </c:legend>
    <c:plotVisOnly val="1"/>
    <c:dispBlanksAs val="gap"/>
    <c:showDLblsOverMax val="0"/>
  </c:chart>
  <c:spPr>
    <a:ln>
      <a:noFill/>
    </a:ln>
  </c:sp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manualLayout>
          <c:layoutTarget val="inner"/>
          <c:xMode val="edge"/>
          <c:yMode val="edge"/>
          <c:x val="3.563016428502E-2"/>
          <c:y val="6.0906149706056407E-2"/>
          <c:w val="0.7956914066297287"/>
          <c:h val="0.77913987314085853"/>
        </c:manualLayout>
      </c:layout>
      <c:barChart>
        <c:barDir val="col"/>
        <c:grouping val="clustered"/>
        <c:varyColors val="0"/>
        <c:ser>
          <c:idx val="0"/>
          <c:order val="0"/>
          <c:tx>
            <c:strRef>
              <c:f>Sheet1!$B$1</c:f>
              <c:strCache>
                <c:ptCount val="1"/>
                <c:pt idx="0">
                  <c:v>2008</c:v>
                </c:pt>
              </c:strCache>
            </c:strRef>
          </c:tx>
          <c:invertIfNegative val="0"/>
          <c:cat>
            <c:strRef>
              <c:f>Sheet1!$A$2:$A$10</c:f>
              <c:strCache>
                <c:ptCount val="9"/>
                <c:pt idx="0">
                  <c:v>Vranjina</c:v>
                </c:pt>
                <c:pt idx="1">
                  <c:v>Virpazar</c:v>
                </c:pt>
                <c:pt idx="2">
                  <c:v>Plavnica</c:v>
                </c:pt>
                <c:pt idx="3">
                  <c:v>Kamenik</c:v>
                </c:pt>
                <c:pt idx="4">
                  <c:v>Podhum</c:v>
                </c:pt>
                <c:pt idx="5">
                  <c:v>Starčeva gorica</c:v>
                </c:pt>
                <c:pt idx="6">
                  <c:v>Moračnik</c:v>
                </c:pt>
                <c:pt idx="7">
                  <c:v>Ckla</c:v>
                </c:pt>
                <c:pt idx="8">
                  <c:v>sredina jezera</c:v>
                </c:pt>
              </c:strCache>
            </c:strRef>
          </c:cat>
          <c:val>
            <c:numRef>
              <c:f>Sheet1!$B$2:$B$10</c:f>
              <c:numCache>
                <c:formatCode>General</c:formatCode>
                <c:ptCount val="9"/>
                <c:pt idx="0">
                  <c:v>3.4</c:v>
                </c:pt>
                <c:pt idx="1">
                  <c:v>3.3</c:v>
                </c:pt>
                <c:pt idx="2">
                  <c:v>2.4</c:v>
                </c:pt>
                <c:pt idx="3">
                  <c:v>2.6</c:v>
                </c:pt>
                <c:pt idx="4">
                  <c:v>2.2999999999999998</c:v>
                </c:pt>
                <c:pt idx="5">
                  <c:v>1.2</c:v>
                </c:pt>
                <c:pt idx="6">
                  <c:v>1.6</c:v>
                </c:pt>
                <c:pt idx="7">
                  <c:v>2.4</c:v>
                </c:pt>
                <c:pt idx="8">
                  <c:v>1.6</c:v>
                </c:pt>
              </c:numCache>
            </c:numRef>
          </c:val>
        </c:ser>
        <c:ser>
          <c:idx val="1"/>
          <c:order val="1"/>
          <c:tx>
            <c:strRef>
              <c:f>Sheet1!$C$1</c:f>
              <c:strCache>
                <c:ptCount val="1"/>
                <c:pt idx="0">
                  <c:v>2009</c:v>
                </c:pt>
              </c:strCache>
            </c:strRef>
          </c:tx>
          <c:invertIfNegative val="0"/>
          <c:cat>
            <c:strRef>
              <c:f>Sheet1!$A$2:$A$10</c:f>
              <c:strCache>
                <c:ptCount val="9"/>
                <c:pt idx="0">
                  <c:v>Vranjina</c:v>
                </c:pt>
                <c:pt idx="1">
                  <c:v>Virpazar</c:v>
                </c:pt>
                <c:pt idx="2">
                  <c:v>Plavnica</c:v>
                </c:pt>
                <c:pt idx="3">
                  <c:v>Kamenik</c:v>
                </c:pt>
                <c:pt idx="4">
                  <c:v>Podhum</c:v>
                </c:pt>
                <c:pt idx="5">
                  <c:v>Starčeva gorica</c:v>
                </c:pt>
                <c:pt idx="6">
                  <c:v>Moračnik</c:v>
                </c:pt>
                <c:pt idx="7">
                  <c:v>Ckla</c:v>
                </c:pt>
                <c:pt idx="8">
                  <c:v>sredina jezera</c:v>
                </c:pt>
              </c:strCache>
            </c:strRef>
          </c:cat>
          <c:val>
            <c:numRef>
              <c:f>Sheet1!$C$2:$C$10</c:f>
              <c:numCache>
                <c:formatCode>General</c:formatCode>
                <c:ptCount val="9"/>
                <c:pt idx="0">
                  <c:v>2.8</c:v>
                </c:pt>
                <c:pt idx="1">
                  <c:v>2.7</c:v>
                </c:pt>
                <c:pt idx="2">
                  <c:v>2.5</c:v>
                </c:pt>
                <c:pt idx="3">
                  <c:v>2.9</c:v>
                </c:pt>
                <c:pt idx="4">
                  <c:v>2</c:v>
                </c:pt>
                <c:pt idx="5">
                  <c:v>2.2000000000000002</c:v>
                </c:pt>
                <c:pt idx="6">
                  <c:v>1.6</c:v>
                </c:pt>
                <c:pt idx="7">
                  <c:v>1.9000000000000001</c:v>
                </c:pt>
                <c:pt idx="8">
                  <c:v>1.2</c:v>
                </c:pt>
              </c:numCache>
            </c:numRef>
          </c:val>
        </c:ser>
        <c:ser>
          <c:idx val="2"/>
          <c:order val="2"/>
          <c:tx>
            <c:strRef>
              <c:f>Sheet1!$D$1</c:f>
              <c:strCache>
                <c:ptCount val="1"/>
                <c:pt idx="0">
                  <c:v>2010</c:v>
                </c:pt>
              </c:strCache>
            </c:strRef>
          </c:tx>
          <c:invertIfNegative val="0"/>
          <c:cat>
            <c:strRef>
              <c:f>Sheet1!$A$2:$A$10</c:f>
              <c:strCache>
                <c:ptCount val="9"/>
                <c:pt idx="0">
                  <c:v>Vranjina</c:v>
                </c:pt>
                <c:pt idx="1">
                  <c:v>Virpazar</c:v>
                </c:pt>
                <c:pt idx="2">
                  <c:v>Plavnica</c:v>
                </c:pt>
                <c:pt idx="3">
                  <c:v>Kamenik</c:v>
                </c:pt>
                <c:pt idx="4">
                  <c:v>Podhum</c:v>
                </c:pt>
                <c:pt idx="5">
                  <c:v>Starčeva gorica</c:v>
                </c:pt>
                <c:pt idx="6">
                  <c:v>Moračnik</c:v>
                </c:pt>
                <c:pt idx="7">
                  <c:v>Ckla</c:v>
                </c:pt>
                <c:pt idx="8">
                  <c:v>sredina jezera</c:v>
                </c:pt>
              </c:strCache>
            </c:strRef>
          </c:cat>
          <c:val>
            <c:numRef>
              <c:f>Sheet1!$D$2:$D$10</c:f>
              <c:numCache>
                <c:formatCode>General</c:formatCode>
                <c:ptCount val="9"/>
                <c:pt idx="0">
                  <c:v>3.3</c:v>
                </c:pt>
                <c:pt idx="1">
                  <c:v>3.7</c:v>
                </c:pt>
                <c:pt idx="2">
                  <c:v>3.2</c:v>
                </c:pt>
                <c:pt idx="3">
                  <c:v>3.3</c:v>
                </c:pt>
                <c:pt idx="4">
                  <c:v>4</c:v>
                </c:pt>
                <c:pt idx="5">
                  <c:v>2.9</c:v>
                </c:pt>
                <c:pt idx="6">
                  <c:v>4.0999999999999996</c:v>
                </c:pt>
                <c:pt idx="7">
                  <c:v>1.8</c:v>
                </c:pt>
                <c:pt idx="8">
                  <c:v>2.7</c:v>
                </c:pt>
              </c:numCache>
            </c:numRef>
          </c:val>
        </c:ser>
        <c:ser>
          <c:idx val="3"/>
          <c:order val="3"/>
          <c:tx>
            <c:strRef>
              <c:f>Sheet1!$E$1</c:f>
              <c:strCache>
                <c:ptCount val="1"/>
                <c:pt idx="0">
                  <c:v>2011</c:v>
                </c:pt>
              </c:strCache>
            </c:strRef>
          </c:tx>
          <c:spPr>
            <a:ln w="38100"/>
          </c:spPr>
          <c:invertIfNegative val="0"/>
          <c:cat>
            <c:strRef>
              <c:f>Sheet1!$A$2:$A$10</c:f>
              <c:strCache>
                <c:ptCount val="9"/>
                <c:pt idx="0">
                  <c:v>Vranjina</c:v>
                </c:pt>
                <c:pt idx="1">
                  <c:v>Virpazar</c:v>
                </c:pt>
                <c:pt idx="2">
                  <c:v>Plavnica</c:v>
                </c:pt>
                <c:pt idx="3">
                  <c:v>Kamenik</c:v>
                </c:pt>
                <c:pt idx="4">
                  <c:v>Podhum</c:v>
                </c:pt>
                <c:pt idx="5">
                  <c:v>Starčeva gorica</c:v>
                </c:pt>
                <c:pt idx="6">
                  <c:v>Moračnik</c:v>
                </c:pt>
                <c:pt idx="7">
                  <c:v>Ckla</c:v>
                </c:pt>
                <c:pt idx="8">
                  <c:v>sredina jezera</c:v>
                </c:pt>
              </c:strCache>
            </c:strRef>
          </c:cat>
          <c:val>
            <c:numRef>
              <c:f>Sheet1!$E$2:$E$10</c:f>
              <c:numCache>
                <c:formatCode>General</c:formatCode>
                <c:ptCount val="9"/>
                <c:pt idx="0">
                  <c:v>3.2</c:v>
                </c:pt>
                <c:pt idx="1">
                  <c:v>2.6</c:v>
                </c:pt>
                <c:pt idx="2">
                  <c:v>1.8</c:v>
                </c:pt>
                <c:pt idx="3">
                  <c:v>1.5</c:v>
                </c:pt>
                <c:pt idx="4">
                  <c:v>0.70000000000000062</c:v>
                </c:pt>
                <c:pt idx="5">
                  <c:v>1</c:v>
                </c:pt>
                <c:pt idx="6">
                  <c:v>1.3</c:v>
                </c:pt>
                <c:pt idx="7">
                  <c:v>0.70000000000000062</c:v>
                </c:pt>
                <c:pt idx="8">
                  <c:v>1</c:v>
                </c:pt>
              </c:numCache>
            </c:numRef>
          </c:val>
        </c:ser>
        <c:ser>
          <c:idx val="4"/>
          <c:order val="4"/>
          <c:tx>
            <c:strRef>
              <c:f>Sheet1!$F$1</c:f>
              <c:strCache>
                <c:ptCount val="1"/>
                <c:pt idx="0">
                  <c:v>2012</c:v>
                </c:pt>
              </c:strCache>
            </c:strRef>
          </c:tx>
          <c:spPr>
            <a:ln w="38100"/>
          </c:spPr>
          <c:invertIfNegative val="0"/>
          <c:cat>
            <c:strRef>
              <c:f>Sheet1!$A$2:$A$10</c:f>
              <c:strCache>
                <c:ptCount val="9"/>
                <c:pt idx="0">
                  <c:v>Vranjina</c:v>
                </c:pt>
                <c:pt idx="1">
                  <c:v>Virpazar</c:v>
                </c:pt>
                <c:pt idx="2">
                  <c:v>Plavnica</c:v>
                </c:pt>
                <c:pt idx="3">
                  <c:v>Kamenik</c:v>
                </c:pt>
                <c:pt idx="4">
                  <c:v>Podhum</c:v>
                </c:pt>
                <c:pt idx="5">
                  <c:v>Starčeva gorica</c:v>
                </c:pt>
                <c:pt idx="6">
                  <c:v>Moračnik</c:v>
                </c:pt>
                <c:pt idx="7">
                  <c:v>Ckla</c:v>
                </c:pt>
                <c:pt idx="8">
                  <c:v>sredina jezera</c:v>
                </c:pt>
              </c:strCache>
            </c:strRef>
          </c:cat>
          <c:val>
            <c:numRef>
              <c:f>Sheet1!$F$2:$F$10</c:f>
              <c:numCache>
                <c:formatCode>General</c:formatCode>
                <c:ptCount val="9"/>
                <c:pt idx="0">
                  <c:v>2.5</c:v>
                </c:pt>
                <c:pt idx="1">
                  <c:v>2.9</c:v>
                </c:pt>
                <c:pt idx="2">
                  <c:v>3.1</c:v>
                </c:pt>
                <c:pt idx="3">
                  <c:v>2.9</c:v>
                </c:pt>
                <c:pt idx="4">
                  <c:v>1.7</c:v>
                </c:pt>
                <c:pt idx="5">
                  <c:v>2.4</c:v>
                </c:pt>
                <c:pt idx="6">
                  <c:v>1.4</c:v>
                </c:pt>
                <c:pt idx="7">
                  <c:v>1.3</c:v>
                </c:pt>
                <c:pt idx="8">
                  <c:v>1.3</c:v>
                </c:pt>
              </c:numCache>
            </c:numRef>
          </c:val>
        </c:ser>
        <c:ser>
          <c:idx val="5"/>
          <c:order val="5"/>
          <c:tx>
            <c:strRef>
              <c:f>Sheet1!$G$1</c:f>
              <c:strCache>
                <c:ptCount val="1"/>
                <c:pt idx="0">
                  <c:v>2013</c:v>
                </c:pt>
              </c:strCache>
            </c:strRef>
          </c:tx>
          <c:spPr>
            <a:ln w="38100"/>
          </c:spPr>
          <c:invertIfNegative val="0"/>
          <c:cat>
            <c:strRef>
              <c:f>Sheet1!$A$2:$A$10</c:f>
              <c:strCache>
                <c:ptCount val="9"/>
                <c:pt idx="0">
                  <c:v>Vranjina</c:v>
                </c:pt>
                <c:pt idx="1">
                  <c:v>Virpazar</c:v>
                </c:pt>
                <c:pt idx="2">
                  <c:v>Plavnica</c:v>
                </c:pt>
                <c:pt idx="3">
                  <c:v>Kamenik</c:v>
                </c:pt>
                <c:pt idx="4">
                  <c:v>Podhum</c:v>
                </c:pt>
                <c:pt idx="5">
                  <c:v>Starčeva gorica</c:v>
                </c:pt>
                <c:pt idx="6">
                  <c:v>Moračnik</c:v>
                </c:pt>
                <c:pt idx="7">
                  <c:v>Ckla</c:v>
                </c:pt>
                <c:pt idx="8">
                  <c:v>sredina jezera</c:v>
                </c:pt>
              </c:strCache>
            </c:strRef>
          </c:cat>
          <c:val>
            <c:numRef>
              <c:f>Sheet1!$G$2:$G$10</c:f>
              <c:numCache>
                <c:formatCode>General</c:formatCode>
                <c:ptCount val="9"/>
                <c:pt idx="0">
                  <c:v>3.2</c:v>
                </c:pt>
                <c:pt idx="1">
                  <c:v>3.5</c:v>
                </c:pt>
                <c:pt idx="2">
                  <c:v>3.5</c:v>
                </c:pt>
                <c:pt idx="3">
                  <c:v>5.4</c:v>
                </c:pt>
                <c:pt idx="4">
                  <c:v>3.3</c:v>
                </c:pt>
                <c:pt idx="5">
                  <c:v>2.1</c:v>
                </c:pt>
                <c:pt idx="6">
                  <c:v>2.8</c:v>
                </c:pt>
                <c:pt idx="7">
                  <c:v>2.9</c:v>
                </c:pt>
                <c:pt idx="8">
                  <c:v>1.7</c:v>
                </c:pt>
              </c:numCache>
            </c:numRef>
          </c:val>
        </c:ser>
        <c:dLbls>
          <c:showLegendKey val="0"/>
          <c:showVal val="0"/>
          <c:showCatName val="0"/>
          <c:showSerName val="0"/>
          <c:showPercent val="0"/>
          <c:showBubbleSize val="0"/>
        </c:dLbls>
        <c:gapWidth val="150"/>
        <c:axId val="273535744"/>
        <c:axId val="273537280"/>
      </c:barChart>
      <c:lineChart>
        <c:grouping val="standard"/>
        <c:varyColors val="0"/>
        <c:ser>
          <c:idx val="6"/>
          <c:order val="6"/>
          <c:tx>
            <c:strRef>
              <c:f>Sheet1!$H$1</c:f>
              <c:strCache>
                <c:ptCount val="1"/>
                <c:pt idx="0">
                  <c:v>MDK A1</c:v>
                </c:pt>
              </c:strCache>
            </c:strRef>
          </c:tx>
          <c:spPr>
            <a:ln w="25400"/>
          </c:spPr>
          <c:marker>
            <c:symbol val="none"/>
          </c:marker>
          <c:cat>
            <c:strRef>
              <c:f>Sheet1!$A$2:$A$10</c:f>
              <c:strCache>
                <c:ptCount val="9"/>
                <c:pt idx="0">
                  <c:v>Vranjina</c:v>
                </c:pt>
                <c:pt idx="1">
                  <c:v>Virpazar</c:v>
                </c:pt>
                <c:pt idx="2">
                  <c:v>Plavnica</c:v>
                </c:pt>
                <c:pt idx="3">
                  <c:v>Kamenik</c:v>
                </c:pt>
                <c:pt idx="4">
                  <c:v>Podhum</c:v>
                </c:pt>
                <c:pt idx="5">
                  <c:v>Starčeva gorica</c:v>
                </c:pt>
                <c:pt idx="6">
                  <c:v>Moračnik</c:v>
                </c:pt>
                <c:pt idx="7">
                  <c:v>Ckla</c:v>
                </c:pt>
                <c:pt idx="8">
                  <c:v>sredina jezera</c:v>
                </c:pt>
              </c:strCache>
            </c:strRef>
          </c:cat>
          <c:val>
            <c:numRef>
              <c:f>Sheet1!$H$2:$H$10</c:f>
              <c:numCache>
                <c:formatCode>General</c:formatCode>
                <c:ptCount val="9"/>
                <c:pt idx="0">
                  <c:v>3</c:v>
                </c:pt>
                <c:pt idx="1">
                  <c:v>3</c:v>
                </c:pt>
                <c:pt idx="2">
                  <c:v>3</c:v>
                </c:pt>
                <c:pt idx="3">
                  <c:v>3</c:v>
                </c:pt>
                <c:pt idx="4">
                  <c:v>3</c:v>
                </c:pt>
                <c:pt idx="5">
                  <c:v>3</c:v>
                </c:pt>
                <c:pt idx="6">
                  <c:v>3</c:v>
                </c:pt>
                <c:pt idx="7">
                  <c:v>3</c:v>
                </c:pt>
                <c:pt idx="8">
                  <c:v>3</c:v>
                </c:pt>
              </c:numCache>
            </c:numRef>
          </c:val>
          <c:smooth val="0"/>
        </c:ser>
        <c:ser>
          <c:idx val="7"/>
          <c:order val="7"/>
          <c:tx>
            <c:strRef>
              <c:f>Sheet1!$I$1</c:f>
              <c:strCache>
                <c:ptCount val="1"/>
                <c:pt idx="0">
                  <c:v>MDK A2</c:v>
                </c:pt>
              </c:strCache>
            </c:strRef>
          </c:tx>
          <c:spPr>
            <a:ln w="25400"/>
          </c:spPr>
          <c:marker>
            <c:symbol val="none"/>
          </c:marker>
          <c:cat>
            <c:strRef>
              <c:f>Sheet1!$A$2:$A$10</c:f>
              <c:strCache>
                <c:ptCount val="9"/>
                <c:pt idx="0">
                  <c:v>Vranjina</c:v>
                </c:pt>
                <c:pt idx="1">
                  <c:v>Virpazar</c:v>
                </c:pt>
                <c:pt idx="2">
                  <c:v>Plavnica</c:v>
                </c:pt>
                <c:pt idx="3">
                  <c:v>Kamenik</c:v>
                </c:pt>
                <c:pt idx="4">
                  <c:v>Podhum</c:v>
                </c:pt>
                <c:pt idx="5">
                  <c:v>Starčeva gorica</c:v>
                </c:pt>
                <c:pt idx="6">
                  <c:v>Moračnik</c:v>
                </c:pt>
                <c:pt idx="7">
                  <c:v>Ckla</c:v>
                </c:pt>
                <c:pt idx="8">
                  <c:v>sredina jezera</c:v>
                </c:pt>
              </c:strCache>
            </c:strRef>
          </c:cat>
          <c:val>
            <c:numRef>
              <c:f>Sheet1!$I$2:$I$10</c:f>
              <c:numCache>
                <c:formatCode>General</c:formatCode>
                <c:ptCount val="9"/>
                <c:pt idx="0">
                  <c:v>4</c:v>
                </c:pt>
                <c:pt idx="1">
                  <c:v>4</c:v>
                </c:pt>
                <c:pt idx="2">
                  <c:v>4</c:v>
                </c:pt>
                <c:pt idx="3">
                  <c:v>4</c:v>
                </c:pt>
                <c:pt idx="4">
                  <c:v>4</c:v>
                </c:pt>
                <c:pt idx="5">
                  <c:v>4</c:v>
                </c:pt>
                <c:pt idx="6">
                  <c:v>4</c:v>
                </c:pt>
                <c:pt idx="7">
                  <c:v>4</c:v>
                </c:pt>
                <c:pt idx="8">
                  <c:v>4</c:v>
                </c:pt>
              </c:numCache>
            </c:numRef>
          </c:val>
          <c:smooth val="0"/>
        </c:ser>
        <c:ser>
          <c:idx val="8"/>
          <c:order val="8"/>
          <c:tx>
            <c:strRef>
              <c:f>Sheet1!$J$1</c:f>
              <c:strCache>
                <c:ptCount val="1"/>
                <c:pt idx="0">
                  <c:v>MDK A3</c:v>
                </c:pt>
              </c:strCache>
            </c:strRef>
          </c:tx>
          <c:spPr>
            <a:ln w="25400"/>
          </c:spPr>
          <c:marker>
            <c:symbol val="none"/>
          </c:marker>
          <c:cat>
            <c:strRef>
              <c:f>Sheet1!$A$2:$A$10</c:f>
              <c:strCache>
                <c:ptCount val="9"/>
                <c:pt idx="0">
                  <c:v>Vranjina</c:v>
                </c:pt>
                <c:pt idx="1">
                  <c:v>Virpazar</c:v>
                </c:pt>
                <c:pt idx="2">
                  <c:v>Plavnica</c:v>
                </c:pt>
                <c:pt idx="3">
                  <c:v>Kamenik</c:v>
                </c:pt>
                <c:pt idx="4">
                  <c:v>Podhum</c:v>
                </c:pt>
                <c:pt idx="5">
                  <c:v>Starčeva gorica</c:v>
                </c:pt>
                <c:pt idx="6">
                  <c:v>Moračnik</c:v>
                </c:pt>
                <c:pt idx="7">
                  <c:v>Ckla</c:v>
                </c:pt>
                <c:pt idx="8">
                  <c:v>sredina jezera</c:v>
                </c:pt>
              </c:strCache>
            </c:strRef>
          </c:cat>
          <c:val>
            <c:numRef>
              <c:f>Sheet1!$J$2:$J$10</c:f>
              <c:numCache>
                <c:formatCode>General</c:formatCode>
                <c:ptCount val="9"/>
                <c:pt idx="0">
                  <c:v>7</c:v>
                </c:pt>
                <c:pt idx="1">
                  <c:v>7</c:v>
                </c:pt>
                <c:pt idx="2">
                  <c:v>7</c:v>
                </c:pt>
                <c:pt idx="3">
                  <c:v>7</c:v>
                </c:pt>
                <c:pt idx="4">
                  <c:v>7</c:v>
                </c:pt>
                <c:pt idx="5">
                  <c:v>7</c:v>
                </c:pt>
                <c:pt idx="6">
                  <c:v>7</c:v>
                </c:pt>
                <c:pt idx="7">
                  <c:v>7</c:v>
                </c:pt>
                <c:pt idx="8">
                  <c:v>7</c:v>
                </c:pt>
              </c:numCache>
            </c:numRef>
          </c:val>
          <c:smooth val="0"/>
        </c:ser>
        <c:dLbls>
          <c:showLegendKey val="0"/>
          <c:showVal val="0"/>
          <c:showCatName val="0"/>
          <c:showSerName val="0"/>
          <c:showPercent val="0"/>
          <c:showBubbleSize val="0"/>
        </c:dLbls>
        <c:marker val="1"/>
        <c:smooth val="0"/>
        <c:axId val="273535744"/>
        <c:axId val="273537280"/>
      </c:lineChart>
      <c:catAx>
        <c:axId val="273535744"/>
        <c:scaling>
          <c:orientation val="minMax"/>
        </c:scaling>
        <c:delete val="0"/>
        <c:axPos val="b"/>
        <c:majorTickMark val="out"/>
        <c:minorTickMark val="none"/>
        <c:tickLblPos val="nextTo"/>
        <c:txPr>
          <a:bodyPr/>
          <a:lstStyle/>
          <a:p>
            <a:pPr>
              <a:defRPr sz="700"/>
            </a:pPr>
            <a:endParaRPr lang="en-US"/>
          </a:p>
        </c:txPr>
        <c:crossAx val="273537280"/>
        <c:crosses val="autoZero"/>
        <c:auto val="1"/>
        <c:lblAlgn val="ctr"/>
        <c:lblOffset val="100"/>
        <c:noMultiLvlLbl val="0"/>
      </c:catAx>
      <c:valAx>
        <c:axId val="273537280"/>
        <c:scaling>
          <c:orientation val="minMax"/>
        </c:scaling>
        <c:delete val="0"/>
        <c:axPos val="l"/>
        <c:numFmt formatCode="General" sourceLinked="1"/>
        <c:majorTickMark val="out"/>
        <c:minorTickMark val="none"/>
        <c:tickLblPos val="nextTo"/>
        <c:txPr>
          <a:bodyPr/>
          <a:lstStyle/>
          <a:p>
            <a:pPr>
              <a:defRPr sz="700"/>
            </a:pPr>
            <a:endParaRPr lang="en-US"/>
          </a:p>
        </c:txPr>
        <c:crossAx val="273535744"/>
        <c:crosses val="autoZero"/>
        <c:crossBetween val="between"/>
      </c:valAx>
    </c:plotArea>
    <c:legend>
      <c:legendPos val="r"/>
      <c:layout>
        <c:manualLayout>
          <c:xMode val="edge"/>
          <c:yMode val="edge"/>
          <c:x val="0.83955793720229399"/>
          <c:y val="4.9809017090765732E-2"/>
          <c:w val="0.14305766324663963"/>
          <c:h val="0.60510444006999164"/>
        </c:manualLayout>
      </c:layout>
      <c:overlay val="1"/>
      <c:txPr>
        <a:bodyPr/>
        <a:lstStyle/>
        <a:p>
          <a:pPr>
            <a:defRPr sz="700"/>
          </a:pPr>
          <a:endParaRPr lang="en-US"/>
        </a:p>
      </c:txPr>
    </c:legend>
    <c:plotVisOnly val="1"/>
    <c:dispBlanksAs val="gap"/>
    <c:showDLblsOverMax val="0"/>
  </c:chart>
  <c:spPr>
    <a:ln>
      <a:noFill/>
    </a:ln>
  </c:spPr>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manualLayout>
          <c:layoutTarget val="inner"/>
          <c:xMode val="edge"/>
          <c:yMode val="edge"/>
          <c:x val="6.2991396908719813E-2"/>
          <c:y val="6.0906240886555864E-2"/>
          <c:w val="0.76664708250051583"/>
          <c:h val="0.82917169415324654"/>
        </c:manualLayout>
      </c:layout>
      <c:barChart>
        <c:barDir val="col"/>
        <c:grouping val="clustered"/>
        <c:varyColors val="0"/>
        <c:ser>
          <c:idx val="0"/>
          <c:order val="0"/>
          <c:tx>
            <c:strRef>
              <c:f>Sheet1!$B$1</c:f>
              <c:strCache>
                <c:ptCount val="1"/>
                <c:pt idx="0">
                  <c:v>2008</c:v>
                </c:pt>
              </c:strCache>
            </c:strRef>
          </c:tx>
          <c:invertIfNegative val="0"/>
          <c:cat>
            <c:strRef>
              <c:f>Sheet1!$A$2:$A$7</c:f>
              <c:strCache>
                <c:ptCount val="6"/>
                <c:pt idx="0">
                  <c:v>Pernica</c:v>
                </c:pt>
                <c:pt idx="1">
                  <c:v>Zlatica</c:v>
                </c:pt>
                <c:pt idx="2">
                  <c:v>G.plaža</c:v>
                </c:pt>
                <c:pt idx="3">
                  <c:v>G.kolektor</c:v>
                </c:pt>
                <c:pt idx="4">
                  <c:v>Grbavci</c:v>
                </c:pt>
                <c:pt idx="5">
                  <c:v>Vukovci</c:v>
                </c:pt>
              </c:strCache>
            </c:strRef>
          </c:cat>
          <c:val>
            <c:numRef>
              <c:f>Sheet1!$B$2:$B$7</c:f>
              <c:numCache>
                <c:formatCode>General</c:formatCode>
                <c:ptCount val="6"/>
                <c:pt idx="0">
                  <c:v>0.19</c:v>
                </c:pt>
                <c:pt idx="1">
                  <c:v>7.0000000000000021E-2</c:v>
                </c:pt>
                <c:pt idx="2">
                  <c:v>6.0000000000000032E-2</c:v>
                </c:pt>
                <c:pt idx="3">
                  <c:v>1</c:v>
                </c:pt>
                <c:pt idx="4" formatCode="0.00">
                  <c:v>0.38000000000000039</c:v>
                </c:pt>
                <c:pt idx="5" formatCode="0.00">
                  <c:v>0.18000000000000016</c:v>
                </c:pt>
              </c:numCache>
            </c:numRef>
          </c:val>
        </c:ser>
        <c:ser>
          <c:idx val="1"/>
          <c:order val="1"/>
          <c:tx>
            <c:strRef>
              <c:f>Sheet1!$C$1</c:f>
              <c:strCache>
                <c:ptCount val="1"/>
                <c:pt idx="0">
                  <c:v>2009</c:v>
                </c:pt>
              </c:strCache>
            </c:strRef>
          </c:tx>
          <c:invertIfNegative val="0"/>
          <c:cat>
            <c:strRef>
              <c:f>Sheet1!$A$2:$A$7</c:f>
              <c:strCache>
                <c:ptCount val="6"/>
                <c:pt idx="0">
                  <c:v>Pernica</c:v>
                </c:pt>
                <c:pt idx="1">
                  <c:v>Zlatica</c:v>
                </c:pt>
                <c:pt idx="2">
                  <c:v>G.plaža</c:v>
                </c:pt>
                <c:pt idx="3">
                  <c:v>G.kolektor</c:v>
                </c:pt>
                <c:pt idx="4">
                  <c:v>Grbavci</c:v>
                </c:pt>
                <c:pt idx="5">
                  <c:v>Vukovci</c:v>
                </c:pt>
              </c:strCache>
            </c:strRef>
          </c:cat>
          <c:val>
            <c:numRef>
              <c:f>Sheet1!$C$2:$C$7</c:f>
              <c:numCache>
                <c:formatCode>General</c:formatCode>
                <c:ptCount val="6"/>
                <c:pt idx="0">
                  <c:v>4.0000000000000022E-2</c:v>
                </c:pt>
                <c:pt idx="1">
                  <c:v>1.0000000000000005E-2</c:v>
                </c:pt>
                <c:pt idx="2">
                  <c:v>7.0000000000000021E-2</c:v>
                </c:pt>
                <c:pt idx="3">
                  <c:v>0.46</c:v>
                </c:pt>
                <c:pt idx="4" formatCode="0.00">
                  <c:v>0.13</c:v>
                </c:pt>
                <c:pt idx="5" formatCode="0.00">
                  <c:v>0.12000000000000002</c:v>
                </c:pt>
              </c:numCache>
            </c:numRef>
          </c:val>
        </c:ser>
        <c:ser>
          <c:idx val="2"/>
          <c:order val="2"/>
          <c:tx>
            <c:strRef>
              <c:f>Sheet1!$D$1</c:f>
              <c:strCache>
                <c:ptCount val="1"/>
                <c:pt idx="0">
                  <c:v>2010</c:v>
                </c:pt>
              </c:strCache>
            </c:strRef>
          </c:tx>
          <c:spPr>
            <a:ln w="38100"/>
          </c:spPr>
          <c:invertIfNegative val="0"/>
          <c:cat>
            <c:strRef>
              <c:f>Sheet1!$A$2:$A$7</c:f>
              <c:strCache>
                <c:ptCount val="6"/>
                <c:pt idx="0">
                  <c:v>Pernica</c:v>
                </c:pt>
                <c:pt idx="1">
                  <c:v>Zlatica</c:v>
                </c:pt>
                <c:pt idx="2">
                  <c:v>G.plaža</c:v>
                </c:pt>
                <c:pt idx="3">
                  <c:v>G.kolektor</c:v>
                </c:pt>
                <c:pt idx="4">
                  <c:v>Grbavci</c:v>
                </c:pt>
                <c:pt idx="5">
                  <c:v>Vukovci</c:v>
                </c:pt>
              </c:strCache>
            </c:strRef>
          </c:cat>
          <c:val>
            <c:numRef>
              <c:f>Sheet1!$D$2:$D$7</c:f>
              <c:numCache>
                <c:formatCode>General</c:formatCode>
                <c:ptCount val="6"/>
                <c:pt idx="0">
                  <c:v>3.0000000000000002E-2</c:v>
                </c:pt>
                <c:pt idx="1">
                  <c:v>4.0000000000000022E-2</c:v>
                </c:pt>
                <c:pt idx="2">
                  <c:v>0.1</c:v>
                </c:pt>
                <c:pt idx="3">
                  <c:v>0.91</c:v>
                </c:pt>
                <c:pt idx="4" formatCode="0.00">
                  <c:v>0.12000000000000002</c:v>
                </c:pt>
                <c:pt idx="5" formatCode="0.00">
                  <c:v>0.12000000000000002</c:v>
                </c:pt>
              </c:numCache>
            </c:numRef>
          </c:val>
        </c:ser>
        <c:ser>
          <c:idx val="3"/>
          <c:order val="3"/>
          <c:tx>
            <c:strRef>
              <c:f>Sheet1!$E$1</c:f>
              <c:strCache>
                <c:ptCount val="1"/>
                <c:pt idx="0">
                  <c:v>2011</c:v>
                </c:pt>
              </c:strCache>
            </c:strRef>
          </c:tx>
          <c:spPr>
            <a:ln w="38100"/>
          </c:spPr>
          <c:invertIfNegative val="0"/>
          <c:cat>
            <c:strRef>
              <c:f>Sheet1!$A$2:$A$7</c:f>
              <c:strCache>
                <c:ptCount val="6"/>
                <c:pt idx="0">
                  <c:v>Pernica</c:v>
                </c:pt>
                <c:pt idx="1">
                  <c:v>Zlatica</c:v>
                </c:pt>
                <c:pt idx="2">
                  <c:v>G.plaža</c:v>
                </c:pt>
                <c:pt idx="3">
                  <c:v>G.kolektor</c:v>
                </c:pt>
                <c:pt idx="4">
                  <c:v>Grbavci</c:v>
                </c:pt>
                <c:pt idx="5">
                  <c:v>Vukovci</c:v>
                </c:pt>
              </c:strCache>
            </c:strRef>
          </c:cat>
          <c:val>
            <c:numRef>
              <c:f>Sheet1!$E$2:$E$7</c:f>
              <c:numCache>
                <c:formatCode>General</c:formatCode>
                <c:ptCount val="6"/>
                <c:pt idx="0">
                  <c:v>0.05</c:v>
                </c:pt>
                <c:pt idx="1">
                  <c:v>2.0000000000000011E-2</c:v>
                </c:pt>
                <c:pt idx="2">
                  <c:v>9.0000000000000024E-2</c:v>
                </c:pt>
                <c:pt idx="3">
                  <c:v>1.06</c:v>
                </c:pt>
                <c:pt idx="4">
                  <c:v>0.18000000000000016</c:v>
                </c:pt>
                <c:pt idx="5">
                  <c:v>7.0000000000000021E-2</c:v>
                </c:pt>
              </c:numCache>
            </c:numRef>
          </c:val>
        </c:ser>
        <c:ser>
          <c:idx val="4"/>
          <c:order val="4"/>
          <c:tx>
            <c:strRef>
              <c:f>Sheet1!$F$1</c:f>
              <c:strCache>
                <c:ptCount val="1"/>
                <c:pt idx="0">
                  <c:v>2012</c:v>
                </c:pt>
              </c:strCache>
            </c:strRef>
          </c:tx>
          <c:spPr>
            <a:ln w="38100"/>
          </c:spPr>
          <c:invertIfNegative val="0"/>
          <c:cat>
            <c:strRef>
              <c:f>Sheet1!$A$2:$A$7</c:f>
              <c:strCache>
                <c:ptCount val="6"/>
                <c:pt idx="0">
                  <c:v>Pernica</c:v>
                </c:pt>
                <c:pt idx="1">
                  <c:v>Zlatica</c:v>
                </c:pt>
                <c:pt idx="2">
                  <c:v>G.plaža</c:v>
                </c:pt>
                <c:pt idx="3">
                  <c:v>G.kolektor</c:v>
                </c:pt>
                <c:pt idx="4">
                  <c:v>Grbavci</c:v>
                </c:pt>
                <c:pt idx="5">
                  <c:v>Vukovci</c:v>
                </c:pt>
              </c:strCache>
            </c:strRef>
          </c:cat>
          <c:val>
            <c:numRef>
              <c:f>Sheet1!$F$2:$F$7</c:f>
              <c:numCache>
                <c:formatCode>General</c:formatCode>
                <c:ptCount val="6"/>
                <c:pt idx="0">
                  <c:v>4.0000000000000022E-2</c:v>
                </c:pt>
                <c:pt idx="1">
                  <c:v>0.23</c:v>
                </c:pt>
                <c:pt idx="2">
                  <c:v>4.0000000000000022E-2</c:v>
                </c:pt>
                <c:pt idx="3">
                  <c:v>0.28000000000000008</c:v>
                </c:pt>
                <c:pt idx="4">
                  <c:v>0.13</c:v>
                </c:pt>
                <c:pt idx="5">
                  <c:v>0.1</c:v>
                </c:pt>
              </c:numCache>
            </c:numRef>
          </c:val>
        </c:ser>
        <c:ser>
          <c:idx val="5"/>
          <c:order val="5"/>
          <c:tx>
            <c:strRef>
              <c:f>Sheet1!$G$1</c:f>
              <c:strCache>
                <c:ptCount val="1"/>
                <c:pt idx="0">
                  <c:v>2013</c:v>
                </c:pt>
              </c:strCache>
            </c:strRef>
          </c:tx>
          <c:spPr>
            <a:ln w="38100"/>
          </c:spPr>
          <c:invertIfNegative val="0"/>
          <c:cat>
            <c:strRef>
              <c:f>Sheet1!$A$2:$A$7</c:f>
              <c:strCache>
                <c:ptCount val="6"/>
                <c:pt idx="0">
                  <c:v>Pernica</c:v>
                </c:pt>
                <c:pt idx="1">
                  <c:v>Zlatica</c:v>
                </c:pt>
                <c:pt idx="2">
                  <c:v>G.plaža</c:v>
                </c:pt>
                <c:pt idx="3">
                  <c:v>G.kolektor</c:v>
                </c:pt>
                <c:pt idx="4">
                  <c:v>Grbavci</c:v>
                </c:pt>
                <c:pt idx="5">
                  <c:v>Vukovci</c:v>
                </c:pt>
              </c:strCache>
            </c:strRef>
          </c:cat>
          <c:val>
            <c:numRef>
              <c:f>Sheet1!$G$2:$G$7</c:f>
              <c:numCache>
                <c:formatCode>General</c:formatCode>
                <c:ptCount val="6"/>
                <c:pt idx="0">
                  <c:v>0.05</c:v>
                </c:pt>
                <c:pt idx="1">
                  <c:v>6.0000000000000032E-2</c:v>
                </c:pt>
                <c:pt idx="2">
                  <c:v>0.05</c:v>
                </c:pt>
                <c:pt idx="3">
                  <c:v>0.28000000000000008</c:v>
                </c:pt>
                <c:pt idx="4">
                  <c:v>0.15000000000000016</c:v>
                </c:pt>
              </c:numCache>
            </c:numRef>
          </c:val>
        </c:ser>
        <c:dLbls>
          <c:showLegendKey val="0"/>
          <c:showVal val="0"/>
          <c:showCatName val="0"/>
          <c:showSerName val="0"/>
          <c:showPercent val="0"/>
          <c:showBubbleSize val="0"/>
        </c:dLbls>
        <c:gapWidth val="150"/>
        <c:axId val="275600896"/>
        <c:axId val="275602432"/>
      </c:barChart>
      <c:lineChart>
        <c:grouping val="standard"/>
        <c:varyColors val="0"/>
        <c:ser>
          <c:idx val="6"/>
          <c:order val="6"/>
          <c:tx>
            <c:strRef>
              <c:f>Sheet1!$H$1</c:f>
              <c:strCache>
                <c:ptCount val="1"/>
                <c:pt idx="0">
                  <c:v>MDK A</c:v>
                </c:pt>
              </c:strCache>
            </c:strRef>
          </c:tx>
          <c:spPr>
            <a:ln w="25400"/>
          </c:spPr>
          <c:marker>
            <c:symbol val="none"/>
          </c:marker>
          <c:cat>
            <c:strRef>
              <c:f>Sheet1!$A$2:$A$7</c:f>
              <c:strCache>
                <c:ptCount val="6"/>
                <c:pt idx="0">
                  <c:v>Pernica</c:v>
                </c:pt>
                <c:pt idx="1">
                  <c:v>Zlatica</c:v>
                </c:pt>
                <c:pt idx="2">
                  <c:v>G.plaža</c:v>
                </c:pt>
                <c:pt idx="3">
                  <c:v>G.kolektor</c:v>
                </c:pt>
                <c:pt idx="4">
                  <c:v>Grbavci</c:v>
                </c:pt>
                <c:pt idx="5">
                  <c:v>Vukovci</c:v>
                </c:pt>
              </c:strCache>
            </c:strRef>
          </c:cat>
          <c:val>
            <c:numRef>
              <c:f>Sheet1!$H$2:$H$7</c:f>
              <c:numCache>
                <c:formatCode>General</c:formatCode>
                <c:ptCount val="6"/>
                <c:pt idx="0">
                  <c:v>1.0000000000000005E-2</c:v>
                </c:pt>
                <c:pt idx="1">
                  <c:v>1.0000000000000005E-2</c:v>
                </c:pt>
                <c:pt idx="2">
                  <c:v>1.0000000000000005E-2</c:v>
                </c:pt>
                <c:pt idx="3">
                  <c:v>1.0000000000000005E-2</c:v>
                </c:pt>
                <c:pt idx="4">
                  <c:v>1.0000000000000005E-2</c:v>
                </c:pt>
                <c:pt idx="5">
                  <c:v>1.0000000000000005E-2</c:v>
                </c:pt>
              </c:numCache>
            </c:numRef>
          </c:val>
          <c:smooth val="0"/>
        </c:ser>
        <c:ser>
          <c:idx val="7"/>
          <c:order val="7"/>
          <c:tx>
            <c:strRef>
              <c:f>Sheet1!$I$1</c:f>
              <c:strCache>
                <c:ptCount val="1"/>
                <c:pt idx="0">
                  <c:v>MDK A1</c:v>
                </c:pt>
              </c:strCache>
            </c:strRef>
          </c:tx>
          <c:spPr>
            <a:ln w="25400"/>
          </c:spPr>
          <c:marker>
            <c:symbol val="none"/>
          </c:marker>
          <c:cat>
            <c:strRef>
              <c:f>Sheet1!$A$2:$A$7</c:f>
              <c:strCache>
                <c:ptCount val="6"/>
                <c:pt idx="0">
                  <c:v>Pernica</c:v>
                </c:pt>
                <c:pt idx="1">
                  <c:v>Zlatica</c:v>
                </c:pt>
                <c:pt idx="2">
                  <c:v>G.plaža</c:v>
                </c:pt>
                <c:pt idx="3">
                  <c:v>G.kolektor</c:v>
                </c:pt>
                <c:pt idx="4">
                  <c:v>Grbavci</c:v>
                </c:pt>
                <c:pt idx="5">
                  <c:v>Vukovci</c:v>
                </c:pt>
              </c:strCache>
            </c:strRef>
          </c:cat>
          <c:val>
            <c:numRef>
              <c:f>Sheet1!$I$2:$I$7</c:f>
              <c:numCache>
                <c:formatCode>General</c:formatCode>
                <c:ptCount val="6"/>
                <c:pt idx="0">
                  <c:v>2.0000000000000011E-2</c:v>
                </c:pt>
                <c:pt idx="1">
                  <c:v>2.0000000000000011E-2</c:v>
                </c:pt>
                <c:pt idx="2">
                  <c:v>2.0000000000000011E-2</c:v>
                </c:pt>
                <c:pt idx="3">
                  <c:v>2.0000000000000011E-2</c:v>
                </c:pt>
                <c:pt idx="4">
                  <c:v>2.0000000000000011E-2</c:v>
                </c:pt>
                <c:pt idx="5">
                  <c:v>2.0000000000000011E-2</c:v>
                </c:pt>
              </c:numCache>
            </c:numRef>
          </c:val>
          <c:smooth val="0"/>
        </c:ser>
        <c:ser>
          <c:idx val="8"/>
          <c:order val="8"/>
          <c:tx>
            <c:strRef>
              <c:f>Sheet1!$J$1</c:f>
              <c:strCache>
                <c:ptCount val="1"/>
                <c:pt idx="0">
                  <c:v>MDK A2</c:v>
                </c:pt>
              </c:strCache>
            </c:strRef>
          </c:tx>
          <c:spPr>
            <a:ln w="25400"/>
          </c:spPr>
          <c:marker>
            <c:symbol val="none"/>
          </c:marker>
          <c:cat>
            <c:strRef>
              <c:f>Sheet1!$A$2:$A$7</c:f>
              <c:strCache>
                <c:ptCount val="6"/>
                <c:pt idx="0">
                  <c:v>Pernica</c:v>
                </c:pt>
                <c:pt idx="1">
                  <c:v>Zlatica</c:v>
                </c:pt>
                <c:pt idx="2">
                  <c:v>G.plaža</c:v>
                </c:pt>
                <c:pt idx="3">
                  <c:v>G.kolektor</c:v>
                </c:pt>
                <c:pt idx="4">
                  <c:v>Grbavci</c:v>
                </c:pt>
                <c:pt idx="5">
                  <c:v>Vukovci</c:v>
                </c:pt>
              </c:strCache>
            </c:strRef>
          </c:cat>
          <c:val>
            <c:numRef>
              <c:f>Sheet1!$J$2:$J$7</c:f>
              <c:numCache>
                <c:formatCode>General</c:formatCode>
                <c:ptCount val="6"/>
                <c:pt idx="0">
                  <c:v>0.05</c:v>
                </c:pt>
                <c:pt idx="1">
                  <c:v>0.05</c:v>
                </c:pt>
                <c:pt idx="2">
                  <c:v>0.05</c:v>
                </c:pt>
                <c:pt idx="3">
                  <c:v>0.05</c:v>
                </c:pt>
                <c:pt idx="4">
                  <c:v>0.05</c:v>
                </c:pt>
                <c:pt idx="5">
                  <c:v>0.05</c:v>
                </c:pt>
              </c:numCache>
            </c:numRef>
          </c:val>
          <c:smooth val="0"/>
        </c:ser>
        <c:ser>
          <c:idx val="9"/>
          <c:order val="9"/>
          <c:tx>
            <c:strRef>
              <c:f>Sheet1!$K$1</c:f>
              <c:strCache>
                <c:ptCount val="1"/>
                <c:pt idx="0">
                  <c:v>MDK A3</c:v>
                </c:pt>
              </c:strCache>
            </c:strRef>
          </c:tx>
          <c:spPr>
            <a:ln w="25400"/>
          </c:spPr>
          <c:marker>
            <c:symbol val="none"/>
          </c:marker>
          <c:cat>
            <c:strRef>
              <c:f>Sheet1!$A$2:$A$7</c:f>
              <c:strCache>
                <c:ptCount val="6"/>
                <c:pt idx="0">
                  <c:v>Pernica</c:v>
                </c:pt>
                <c:pt idx="1">
                  <c:v>Zlatica</c:v>
                </c:pt>
                <c:pt idx="2">
                  <c:v>G.plaža</c:v>
                </c:pt>
                <c:pt idx="3">
                  <c:v>G.kolektor</c:v>
                </c:pt>
                <c:pt idx="4">
                  <c:v>Grbavci</c:v>
                </c:pt>
                <c:pt idx="5">
                  <c:v>Vukovci</c:v>
                </c:pt>
              </c:strCache>
            </c:strRef>
          </c:cat>
          <c:val>
            <c:numRef>
              <c:f>Sheet1!$K$2:$K$7</c:f>
              <c:numCache>
                <c:formatCode>General</c:formatCode>
                <c:ptCount val="6"/>
                <c:pt idx="0">
                  <c:v>0.1</c:v>
                </c:pt>
                <c:pt idx="1">
                  <c:v>0.1</c:v>
                </c:pt>
                <c:pt idx="2">
                  <c:v>0.1</c:v>
                </c:pt>
                <c:pt idx="3">
                  <c:v>0.1</c:v>
                </c:pt>
                <c:pt idx="4">
                  <c:v>0.1</c:v>
                </c:pt>
                <c:pt idx="5">
                  <c:v>0.1</c:v>
                </c:pt>
              </c:numCache>
            </c:numRef>
          </c:val>
          <c:smooth val="0"/>
        </c:ser>
        <c:dLbls>
          <c:showLegendKey val="0"/>
          <c:showVal val="0"/>
          <c:showCatName val="0"/>
          <c:showSerName val="0"/>
          <c:showPercent val="0"/>
          <c:showBubbleSize val="0"/>
        </c:dLbls>
        <c:marker val="1"/>
        <c:smooth val="0"/>
        <c:axId val="275600896"/>
        <c:axId val="275602432"/>
      </c:lineChart>
      <c:catAx>
        <c:axId val="275600896"/>
        <c:scaling>
          <c:orientation val="minMax"/>
        </c:scaling>
        <c:delete val="0"/>
        <c:axPos val="b"/>
        <c:numFmt formatCode="General" sourceLinked="1"/>
        <c:majorTickMark val="out"/>
        <c:minorTickMark val="none"/>
        <c:tickLblPos val="nextTo"/>
        <c:txPr>
          <a:bodyPr/>
          <a:lstStyle/>
          <a:p>
            <a:pPr>
              <a:defRPr sz="700"/>
            </a:pPr>
            <a:endParaRPr lang="en-US"/>
          </a:p>
        </c:txPr>
        <c:crossAx val="275602432"/>
        <c:crosses val="autoZero"/>
        <c:auto val="1"/>
        <c:lblAlgn val="ctr"/>
        <c:lblOffset val="100"/>
        <c:noMultiLvlLbl val="0"/>
      </c:catAx>
      <c:valAx>
        <c:axId val="275602432"/>
        <c:scaling>
          <c:orientation val="minMax"/>
          <c:max val="0.5"/>
          <c:min val="0"/>
        </c:scaling>
        <c:delete val="0"/>
        <c:axPos val="l"/>
        <c:numFmt formatCode="General" sourceLinked="1"/>
        <c:majorTickMark val="out"/>
        <c:minorTickMark val="none"/>
        <c:tickLblPos val="nextTo"/>
        <c:txPr>
          <a:bodyPr/>
          <a:lstStyle/>
          <a:p>
            <a:pPr>
              <a:defRPr sz="700"/>
            </a:pPr>
            <a:endParaRPr lang="en-US"/>
          </a:p>
        </c:txPr>
        <c:crossAx val="275600896"/>
        <c:crosses val="autoZero"/>
        <c:crossBetween val="between"/>
      </c:valAx>
      <c:spPr>
        <a:noFill/>
        <a:ln w="25400">
          <a:noFill/>
        </a:ln>
      </c:spPr>
    </c:plotArea>
    <c:legend>
      <c:legendPos val="r"/>
      <c:layout>
        <c:manualLayout>
          <c:xMode val="edge"/>
          <c:yMode val="edge"/>
          <c:x val="0.81727933313891388"/>
          <c:y val="4.0415573053368334E-2"/>
          <c:w val="0.15466097987751531"/>
          <c:h val="0.53768264403842725"/>
        </c:manualLayout>
      </c:layout>
      <c:overlay val="1"/>
      <c:txPr>
        <a:bodyPr/>
        <a:lstStyle/>
        <a:p>
          <a:pPr>
            <a:defRPr sz="700"/>
          </a:pPr>
          <a:endParaRPr lang="en-US"/>
        </a:p>
      </c:txPr>
    </c:legend>
    <c:plotVisOnly val="1"/>
    <c:dispBlanksAs val="gap"/>
    <c:showDLblsOverMax val="0"/>
  </c:chart>
  <c:spPr>
    <a:ln>
      <a:noFill/>
    </a:ln>
  </c:spPr>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manualLayout>
          <c:layoutTarget val="inner"/>
          <c:xMode val="edge"/>
          <c:yMode val="edge"/>
          <c:x val="5.2747651257472224E-2"/>
          <c:y val="5.5415969222794084E-2"/>
          <c:w val="0.84568190930127063"/>
          <c:h val="0.7712457601083218"/>
        </c:manualLayout>
      </c:layout>
      <c:barChart>
        <c:barDir val="col"/>
        <c:grouping val="clustered"/>
        <c:varyColors val="0"/>
        <c:ser>
          <c:idx val="0"/>
          <c:order val="0"/>
          <c:tx>
            <c:strRef>
              <c:f>Sheet1!$B$1</c:f>
              <c:strCache>
                <c:ptCount val="1"/>
                <c:pt idx="0">
                  <c:v>2008</c:v>
                </c:pt>
              </c:strCache>
            </c:strRef>
          </c:tx>
          <c:spPr>
            <a:ln w="0"/>
          </c:spPr>
          <c:invertIfNegative val="0"/>
          <c:cat>
            <c:strRef>
              <c:f>Sheet1!$A$2:$A$7</c:f>
              <c:strCache>
                <c:ptCount val="6"/>
                <c:pt idx="0">
                  <c:v>Crna Poljana</c:v>
                </c:pt>
                <c:pt idx="1">
                  <c:v>ispod Kolašina</c:v>
                </c:pt>
                <c:pt idx="2">
                  <c:v>Trebaljevo</c:v>
                </c:pt>
                <c:pt idx="3">
                  <c:v>ispod Mojkovca</c:v>
                </c:pt>
                <c:pt idx="4">
                  <c:v>Đurđevića Tara</c:v>
                </c:pt>
                <c:pt idx="5">
                  <c:v>Šćepan polje</c:v>
                </c:pt>
              </c:strCache>
            </c:strRef>
          </c:cat>
          <c:val>
            <c:numRef>
              <c:f>Sheet1!$B$2:$B$7</c:f>
              <c:numCache>
                <c:formatCode>General</c:formatCode>
                <c:ptCount val="6"/>
                <c:pt idx="0">
                  <c:v>0.16</c:v>
                </c:pt>
                <c:pt idx="1">
                  <c:v>0.14000000000000001</c:v>
                </c:pt>
                <c:pt idx="2">
                  <c:v>0.14000000000000001</c:v>
                </c:pt>
                <c:pt idx="3">
                  <c:v>8.0000000000000043E-2</c:v>
                </c:pt>
                <c:pt idx="4">
                  <c:v>0.21000000000000016</c:v>
                </c:pt>
                <c:pt idx="5">
                  <c:v>0.18000000000000016</c:v>
                </c:pt>
              </c:numCache>
            </c:numRef>
          </c:val>
        </c:ser>
        <c:ser>
          <c:idx val="1"/>
          <c:order val="1"/>
          <c:tx>
            <c:strRef>
              <c:f>Sheet1!$C$1</c:f>
              <c:strCache>
                <c:ptCount val="1"/>
                <c:pt idx="0">
                  <c:v>2009</c:v>
                </c:pt>
              </c:strCache>
            </c:strRef>
          </c:tx>
          <c:invertIfNegative val="0"/>
          <c:cat>
            <c:strRef>
              <c:f>Sheet1!$A$2:$A$7</c:f>
              <c:strCache>
                <c:ptCount val="6"/>
                <c:pt idx="0">
                  <c:v>Crna Poljana</c:v>
                </c:pt>
                <c:pt idx="1">
                  <c:v>ispod Kolašina</c:v>
                </c:pt>
                <c:pt idx="2">
                  <c:v>Trebaljevo</c:v>
                </c:pt>
                <c:pt idx="3">
                  <c:v>ispod Mojkovca</c:v>
                </c:pt>
                <c:pt idx="4">
                  <c:v>Đurđevića Tara</c:v>
                </c:pt>
                <c:pt idx="5">
                  <c:v>Šćepan polje</c:v>
                </c:pt>
              </c:strCache>
            </c:strRef>
          </c:cat>
          <c:val>
            <c:numRef>
              <c:f>Sheet1!$C$2:$C$7</c:f>
              <c:numCache>
                <c:formatCode>General</c:formatCode>
                <c:ptCount val="6"/>
                <c:pt idx="0">
                  <c:v>6.0000000000000032E-2</c:v>
                </c:pt>
                <c:pt idx="1">
                  <c:v>6.0000000000000032E-2</c:v>
                </c:pt>
                <c:pt idx="2">
                  <c:v>3.0000000000000002E-2</c:v>
                </c:pt>
                <c:pt idx="3">
                  <c:v>4.0000000000000022E-2</c:v>
                </c:pt>
                <c:pt idx="4">
                  <c:v>0.05</c:v>
                </c:pt>
                <c:pt idx="5">
                  <c:v>7.0000000000000021E-2</c:v>
                </c:pt>
              </c:numCache>
            </c:numRef>
          </c:val>
        </c:ser>
        <c:ser>
          <c:idx val="2"/>
          <c:order val="2"/>
          <c:tx>
            <c:strRef>
              <c:f>Sheet1!$D$1</c:f>
              <c:strCache>
                <c:ptCount val="1"/>
                <c:pt idx="0">
                  <c:v>2010</c:v>
                </c:pt>
              </c:strCache>
            </c:strRef>
          </c:tx>
          <c:spPr>
            <a:ln w="38100"/>
          </c:spPr>
          <c:invertIfNegative val="0"/>
          <c:cat>
            <c:strRef>
              <c:f>Sheet1!$A$2:$A$7</c:f>
              <c:strCache>
                <c:ptCount val="6"/>
                <c:pt idx="0">
                  <c:v>Crna Poljana</c:v>
                </c:pt>
                <c:pt idx="1">
                  <c:v>ispod Kolašina</c:v>
                </c:pt>
                <c:pt idx="2">
                  <c:v>Trebaljevo</c:v>
                </c:pt>
                <c:pt idx="3">
                  <c:v>ispod Mojkovca</c:v>
                </c:pt>
                <c:pt idx="4">
                  <c:v>Đurđevića Tara</c:v>
                </c:pt>
                <c:pt idx="5">
                  <c:v>Šćepan polje</c:v>
                </c:pt>
              </c:strCache>
            </c:strRef>
          </c:cat>
          <c:val>
            <c:numRef>
              <c:f>Sheet1!$D$2:$D$7</c:f>
              <c:numCache>
                <c:formatCode>General</c:formatCode>
                <c:ptCount val="6"/>
                <c:pt idx="0">
                  <c:v>6.0000000000000032E-2</c:v>
                </c:pt>
                <c:pt idx="1">
                  <c:v>7.0000000000000021E-2</c:v>
                </c:pt>
                <c:pt idx="2">
                  <c:v>8.0000000000000043E-2</c:v>
                </c:pt>
                <c:pt idx="3">
                  <c:v>9.0000000000000024E-2</c:v>
                </c:pt>
                <c:pt idx="4">
                  <c:v>0.17</c:v>
                </c:pt>
                <c:pt idx="5">
                  <c:v>0.05</c:v>
                </c:pt>
              </c:numCache>
            </c:numRef>
          </c:val>
        </c:ser>
        <c:ser>
          <c:idx val="3"/>
          <c:order val="3"/>
          <c:tx>
            <c:strRef>
              <c:f>Sheet1!$E$1</c:f>
              <c:strCache>
                <c:ptCount val="1"/>
                <c:pt idx="0">
                  <c:v>2011</c:v>
                </c:pt>
              </c:strCache>
            </c:strRef>
          </c:tx>
          <c:spPr>
            <a:ln w="38100"/>
          </c:spPr>
          <c:invertIfNegative val="0"/>
          <c:cat>
            <c:strRef>
              <c:f>Sheet1!$A$2:$A$7</c:f>
              <c:strCache>
                <c:ptCount val="6"/>
                <c:pt idx="0">
                  <c:v>Crna Poljana</c:v>
                </c:pt>
                <c:pt idx="1">
                  <c:v>ispod Kolašina</c:v>
                </c:pt>
                <c:pt idx="2">
                  <c:v>Trebaljevo</c:v>
                </c:pt>
                <c:pt idx="3">
                  <c:v>ispod Mojkovca</c:v>
                </c:pt>
                <c:pt idx="4">
                  <c:v>Đurđevića Tara</c:v>
                </c:pt>
                <c:pt idx="5">
                  <c:v>Šćepan polje</c:v>
                </c:pt>
              </c:strCache>
            </c:strRef>
          </c:cat>
          <c:val>
            <c:numRef>
              <c:f>Sheet1!$E$2:$E$7</c:f>
              <c:numCache>
                <c:formatCode>General</c:formatCode>
                <c:ptCount val="6"/>
                <c:pt idx="0">
                  <c:v>8.0000000000000043E-2</c:v>
                </c:pt>
                <c:pt idx="1">
                  <c:v>8.0000000000000043E-2</c:v>
                </c:pt>
                <c:pt idx="2">
                  <c:v>8.0000000000000043E-2</c:v>
                </c:pt>
                <c:pt idx="3">
                  <c:v>0.11</c:v>
                </c:pt>
                <c:pt idx="4">
                  <c:v>6.0000000000000032E-2</c:v>
                </c:pt>
                <c:pt idx="5">
                  <c:v>3.0000000000000002E-2</c:v>
                </c:pt>
              </c:numCache>
            </c:numRef>
          </c:val>
        </c:ser>
        <c:ser>
          <c:idx val="4"/>
          <c:order val="4"/>
          <c:tx>
            <c:strRef>
              <c:f>Sheet1!$F$1</c:f>
              <c:strCache>
                <c:ptCount val="1"/>
                <c:pt idx="0">
                  <c:v>2012</c:v>
                </c:pt>
              </c:strCache>
            </c:strRef>
          </c:tx>
          <c:spPr>
            <a:ln w="38100"/>
          </c:spPr>
          <c:invertIfNegative val="0"/>
          <c:cat>
            <c:strRef>
              <c:f>Sheet1!$A$2:$A$7</c:f>
              <c:strCache>
                <c:ptCount val="6"/>
                <c:pt idx="0">
                  <c:v>Crna Poljana</c:v>
                </c:pt>
                <c:pt idx="1">
                  <c:v>ispod Kolašina</c:v>
                </c:pt>
                <c:pt idx="2">
                  <c:v>Trebaljevo</c:v>
                </c:pt>
                <c:pt idx="3">
                  <c:v>ispod Mojkovca</c:v>
                </c:pt>
                <c:pt idx="4">
                  <c:v>Đurđevića Tara</c:v>
                </c:pt>
                <c:pt idx="5">
                  <c:v>Šćepan polje</c:v>
                </c:pt>
              </c:strCache>
            </c:strRef>
          </c:cat>
          <c:val>
            <c:numRef>
              <c:f>Sheet1!$F$2:$F$7</c:f>
              <c:numCache>
                <c:formatCode>General</c:formatCode>
                <c:ptCount val="6"/>
                <c:pt idx="0">
                  <c:v>6.0000000000000032E-2</c:v>
                </c:pt>
                <c:pt idx="1">
                  <c:v>0.1</c:v>
                </c:pt>
                <c:pt idx="2">
                  <c:v>7.0000000000000021E-2</c:v>
                </c:pt>
                <c:pt idx="3">
                  <c:v>0.1</c:v>
                </c:pt>
                <c:pt idx="4">
                  <c:v>8.0000000000000043E-2</c:v>
                </c:pt>
                <c:pt idx="5">
                  <c:v>9.0000000000000024E-2</c:v>
                </c:pt>
              </c:numCache>
            </c:numRef>
          </c:val>
        </c:ser>
        <c:ser>
          <c:idx val="5"/>
          <c:order val="5"/>
          <c:tx>
            <c:strRef>
              <c:f>Sheet1!$G$1</c:f>
              <c:strCache>
                <c:ptCount val="1"/>
                <c:pt idx="0">
                  <c:v>2013</c:v>
                </c:pt>
              </c:strCache>
            </c:strRef>
          </c:tx>
          <c:spPr>
            <a:ln w="38100"/>
          </c:spPr>
          <c:invertIfNegative val="0"/>
          <c:cat>
            <c:strRef>
              <c:f>Sheet1!$A$2:$A$7</c:f>
              <c:strCache>
                <c:ptCount val="6"/>
                <c:pt idx="0">
                  <c:v>Crna Poljana</c:v>
                </c:pt>
                <c:pt idx="1">
                  <c:v>ispod Kolašina</c:v>
                </c:pt>
                <c:pt idx="2">
                  <c:v>Trebaljevo</c:v>
                </c:pt>
                <c:pt idx="3">
                  <c:v>ispod Mojkovca</c:v>
                </c:pt>
                <c:pt idx="4">
                  <c:v>Đurđevića Tara</c:v>
                </c:pt>
                <c:pt idx="5">
                  <c:v>Šćepan polje</c:v>
                </c:pt>
              </c:strCache>
            </c:strRef>
          </c:cat>
          <c:val>
            <c:numRef>
              <c:f>Sheet1!$G$2:$G$7</c:f>
              <c:numCache>
                <c:formatCode>General</c:formatCode>
                <c:ptCount val="6"/>
                <c:pt idx="0">
                  <c:v>0.1</c:v>
                </c:pt>
                <c:pt idx="1">
                  <c:v>0.13</c:v>
                </c:pt>
                <c:pt idx="2">
                  <c:v>6.0000000000000032E-2</c:v>
                </c:pt>
                <c:pt idx="3">
                  <c:v>7.0000000000000021E-2</c:v>
                </c:pt>
                <c:pt idx="4">
                  <c:v>6.0000000000000032E-2</c:v>
                </c:pt>
              </c:numCache>
            </c:numRef>
          </c:val>
        </c:ser>
        <c:dLbls>
          <c:showLegendKey val="0"/>
          <c:showVal val="0"/>
          <c:showCatName val="0"/>
          <c:showSerName val="0"/>
          <c:showPercent val="0"/>
          <c:showBubbleSize val="0"/>
        </c:dLbls>
        <c:gapWidth val="150"/>
        <c:axId val="275638528"/>
        <c:axId val="275779584"/>
      </c:barChart>
      <c:lineChart>
        <c:grouping val="standard"/>
        <c:varyColors val="0"/>
        <c:ser>
          <c:idx val="6"/>
          <c:order val="6"/>
          <c:tx>
            <c:strRef>
              <c:f>Sheet1!$H$1</c:f>
              <c:strCache>
                <c:ptCount val="1"/>
                <c:pt idx="0">
                  <c:v>MDK A</c:v>
                </c:pt>
              </c:strCache>
            </c:strRef>
          </c:tx>
          <c:spPr>
            <a:ln w="25400"/>
          </c:spPr>
          <c:marker>
            <c:symbol val="none"/>
          </c:marker>
          <c:cat>
            <c:strRef>
              <c:f>Sheet1!$A$2:$A$7</c:f>
              <c:strCache>
                <c:ptCount val="6"/>
                <c:pt idx="0">
                  <c:v>Crna Poljana</c:v>
                </c:pt>
                <c:pt idx="1">
                  <c:v>ispod Kolašina</c:v>
                </c:pt>
                <c:pt idx="2">
                  <c:v>Trebaljevo</c:v>
                </c:pt>
                <c:pt idx="3">
                  <c:v>ispod Mojkovca</c:v>
                </c:pt>
                <c:pt idx="4">
                  <c:v>Đurđevića Tara</c:v>
                </c:pt>
                <c:pt idx="5">
                  <c:v>Šćepan polje</c:v>
                </c:pt>
              </c:strCache>
            </c:strRef>
          </c:cat>
          <c:val>
            <c:numRef>
              <c:f>Sheet1!$H$2:$H$7</c:f>
              <c:numCache>
                <c:formatCode>General</c:formatCode>
                <c:ptCount val="6"/>
                <c:pt idx="0">
                  <c:v>1.0000000000000005E-2</c:v>
                </c:pt>
                <c:pt idx="1">
                  <c:v>1.0000000000000005E-2</c:v>
                </c:pt>
                <c:pt idx="2">
                  <c:v>1.0000000000000005E-2</c:v>
                </c:pt>
                <c:pt idx="3">
                  <c:v>1.0000000000000005E-2</c:v>
                </c:pt>
                <c:pt idx="4">
                  <c:v>1.0000000000000005E-2</c:v>
                </c:pt>
                <c:pt idx="5">
                  <c:v>1.0000000000000005E-2</c:v>
                </c:pt>
              </c:numCache>
            </c:numRef>
          </c:val>
          <c:smooth val="0"/>
        </c:ser>
        <c:ser>
          <c:idx val="7"/>
          <c:order val="7"/>
          <c:tx>
            <c:strRef>
              <c:f>Sheet1!$I$1</c:f>
              <c:strCache>
                <c:ptCount val="1"/>
                <c:pt idx="0">
                  <c:v>MDK A1</c:v>
                </c:pt>
              </c:strCache>
            </c:strRef>
          </c:tx>
          <c:spPr>
            <a:ln w="25400"/>
          </c:spPr>
          <c:marker>
            <c:symbol val="none"/>
          </c:marker>
          <c:cat>
            <c:strRef>
              <c:f>Sheet1!$A$2:$A$7</c:f>
              <c:strCache>
                <c:ptCount val="6"/>
                <c:pt idx="0">
                  <c:v>Crna Poljana</c:v>
                </c:pt>
                <c:pt idx="1">
                  <c:v>ispod Kolašina</c:v>
                </c:pt>
                <c:pt idx="2">
                  <c:v>Trebaljevo</c:v>
                </c:pt>
                <c:pt idx="3">
                  <c:v>ispod Mojkovca</c:v>
                </c:pt>
                <c:pt idx="4">
                  <c:v>Đurđevića Tara</c:v>
                </c:pt>
                <c:pt idx="5">
                  <c:v>Šćepan polje</c:v>
                </c:pt>
              </c:strCache>
            </c:strRef>
          </c:cat>
          <c:val>
            <c:numRef>
              <c:f>Sheet1!$I$2:$I$7</c:f>
              <c:numCache>
                <c:formatCode>General</c:formatCode>
                <c:ptCount val="6"/>
                <c:pt idx="0">
                  <c:v>2.0000000000000011E-2</c:v>
                </c:pt>
                <c:pt idx="1">
                  <c:v>2.0000000000000011E-2</c:v>
                </c:pt>
                <c:pt idx="2">
                  <c:v>2.0000000000000011E-2</c:v>
                </c:pt>
                <c:pt idx="3">
                  <c:v>2.0000000000000011E-2</c:v>
                </c:pt>
                <c:pt idx="4">
                  <c:v>2.0000000000000011E-2</c:v>
                </c:pt>
                <c:pt idx="5">
                  <c:v>2.0000000000000011E-2</c:v>
                </c:pt>
              </c:numCache>
            </c:numRef>
          </c:val>
          <c:smooth val="0"/>
        </c:ser>
        <c:ser>
          <c:idx val="8"/>
          <c:order val="8"/>
          <c:tx>
            <c:strRef>
              <c:f>Sheet1!$J$1</c:f>
              <c:strCache>
                <c:ptCount val="1"/>
                <c:pt idx="0">
                  <c:v>MDK A2</c:v>
                </c:pt>
              </c:strCache>
            </c:strRef>
          </c:tx>
          <c:spPr>
            <a:ln w="25400"/>
          </c:spPr>
          <c:marker>
            <c:symbol val="none"/>
          </c:marker>
          <c:cat>
            <c:strRef>
              <c:f>Sheet1!$A$2:$A$7</c:f>
              <c:strCache>
                <c:ptCount val="6"/>
                <c:pt idx="0">
                  <c:v>Crna Poljana</c:v>
                </c:pt>
                <c:pt idx="1">
                  <c:v>ispod Kolašina</c:v>
                </c:pt>
                <c:pt idx="2">
                  <c:v>Trebaljevo</c:v>
                </c:pt>
                <c:pt idx="3">
                  <c:v>ispod Mojkovca</c:v>
                </c:pt>
                <c:pt idx="4">
                  <c:v>Đurđevića Tara</c:v>
                </c:pt>
                <c:pt idx="5">
                  <c:v>Šćepan polje</c:v>
                </c:pt>
              </c:strCache>
            </c:strRef>
          </c:cat>
          <c:val>
            <c:numRef>
              <c:f>Sheet1!$J$2:$J$7</c:f>
              <c:numCache>
                <c:formatCode>General</c:formatCode>
                <c:ptCount val="6"/>
                <c:pt idx="0">
                  <c:v>0.05</c:v>
                </c:pt>
                <c:pt idx="1">
                  <c:v>0.05</c:v>
                </c:pt>
                <c:pt idx="2">
                  <c:v>0.05</c:v>
                </c:pt>
                <c:pt idx="3">
                  <c:v>0.05</c:v>
                </c:pt>
                <c:pt idx="4">
                  <c:v>0.05</c:v>
                </c:pt>
                <c:pt idx="5">
                  <c:v>0.05</c:v>
                </c:pt>
              </c:numCache>
            </c:numRef>
          </c:val>
          <c:smooth val="0"/>
        </c:ser>
        <c:ser>
          <c:idx val="9"/>
          <c:order val="9"/>
          <c:tx>
            <c:strRef>
              <c:f>Sheet1!$K$1</c:f>
              <c:strCache>
                <c:ptCount val="1"/>
                <c:pt idx="0">
                  <c:v>MDKA3</c:v>
                </c:pt>
              </c:strCache>
            </c:strRef>
          </c:tx>
          <c:spPr>
            <a:ln w="25400"/>
          </c:spPr>
          <c:marker>
            <c:symbol val="none"/>
          </c:marker>
          <c:cat>
            <c:strRef>
              <c:f>Sheet1!$A$2:$A$7</c:f>
              <c:strCache>
                <c:ptCount val="6"/>
                <c:pt idx="0">
                  <c:v>Crna Poljana</c:v>
                </c:pt>
                <c:pt idx="1">
                  <c:v>ispod Kolašina</c:v>
                </c:pt>
                <c:pt idx="2">
                  <c:v>Trebaljevo</c:v>
                </c:pt>
                <c:pt idx="3">
                  <c:v>ispod Mojkovca</c:v>
                </c:pt>
                <c:pt idx="4">
                  <c:v>Đurđevića Tara</c:v>
                </c:pt>
                <c:pt idx="5">
                  <c:v>Šćepan polje</c:v>
                </c:pt>
              </c:strCache>
            </c:strRef>
          </c:cat>
          <c:val>
            <c:numRef>
              <c:f>Sheet1!$K$2:$K$7</c:f>
              <c:numCache>
                <c:formatCode>General</c:formatCode>
                <c:ptCount val="6"/>
                <c:pt idx="0">
                  <c:v>0.1</c:v>
                </c:pt>
                <c:pt idx="1">
                  <c:v>0.1</c:v>
                </c:pt>
                <c:pt idx="2">
                  <c:v>0.1</c:v>
                </c:pt>
                <c:pt idx="3">
                  <c:v>0.1</c:v>
                </c:pt>
                <c:pt idx="4">
                  <c:v>0.1</c:v>
                </c:pt>
                <c:pt idx="5">
                  <c:v>0.1</c:v>
                </c:pt>
              </c:numCache>
            </c:numRef>
          </c:val>
          <c:smooth val="0"/>
        </c:ser>
        <c:dLbls>
          <c:showLegendKey val="0"/>
          <c:showVal val="0"/>
          <c:showCatName val="0"/>
          <c:showSerName val="0"/>
          <c:showPercent val="0"/>
          <c:showBubbleSize val="0"/>
        </c:dLbls>
        <c:marker val="1"/>
        <c:smooth val="0"/>
        <c:axId val="275638528"/>
        <c:axId val="275779584"/>
      </c:lineChart>
      <c:catAx>
        <c:axId val="275638528"/>
        <c:scaling>
          <c:orientation val="minMax"/>
        </c:scaling>
        <c:delete val="0"/>
        <c:axPos val="b"/>
        <c:numFmt formatCode="General" sourceLinked="1"/>
        <c:majorTickMark val="out"/>
        <c:minorTickMark val="none"/>
        <c:tickLblPos val="nextTo"/>
        <c:txPr>
          <a:bodyPr/>
          <a:lstStyle/>
          <a:p>
            <a:pPr>
              <a:defRPr sz="700"/>
            </a:pPr>
            <a:endParaRPr lang="en-US"/>
          </a:p>
        </c:txPr>
        <c:crossAx val="275779584"/>
        <c:crosses val="autoZero"/>
        <c:auto val="1"/>
        <c:lblAlgn val="ctr"/>
        <c:lblOffset val="100"/>
        <c:noMultiLvlLbl val="0"/>
      </c:catAx>
      <c:valAx>
        <c:axId val="275779584"/>
        <c:scaling>
          <c:orientation val="minMax"/>
          <c:max val="0.25"/>
          <c:min val="0"/>
        </c:scaling>
        <c:delete val="0"/>
        <c:axPos val="l"/>
        <c:numFmt formatCode="General" sourceLinked="1"/>
        <c:majorTickMark val="out"/>
        <c:minorTickMark val="none"/>
        <c:tickLblPos val="nextTo"/>
        <c:txPr>
          <a:bodyPr/>
          <a:lstStyle/>
          <a:p>
            <a:pPr>
              <a:defRPr sz="700"/>
            </a:pPr>
            <a:endParaRPr lang="en-US"/>
          </a:p>
        </c:txPr>
        <c:crossAx val="275638528"/>
        <c:crosses val="autoZero"/>
        <c:crossBetween val="between"/>
      </c:valAx>
      <c:spPr>
        <a:noFill/>
        <a:ln w="25400">
          <a:noFill/>
        </a:ln>
      </c:spPr>
    </c:plotArea>
    <c:legend>
      <c:legendPos val="r"/>
      <c:legendEntry>
        <c:idx val="4"/>
        <c:txPr>
          <a:bodyPr/>
          <a:lstStyle/>
          <a:p>
            <a:pPr>
              <a:defRPr sz="700" b="0"/>
            </a:pPr>
            <a:endParaRPr lang="en-US"/>
          </a:p>
        </c:txPr>
      </c:legendEntry>
      <c:layout>
        <c:manualLayout>
          <c:xMode val="edge"/>
          <c:yMode val="edge"/>
          <c:x val="0.85181159050583111"/>
          <c:y val="1.0863225430154581E-3"/>
          <c:w val="0.14818840949416981"/>
          <c:h val="0.60510444006999164"/>
        </c:manualLayout>
      </c:layout>
      <c:overlay val="1"/>
      <c:txPr>
        <a:bodyPr/>
        <a:lstStyle/>
        <a:p>
          <a:pPr>
            <a:defRPr sz="700"/>
          </a:pPr>
          <a:endParaRPr lang="en-US"/>
        </a:p>
      </c:txPr>
    </c:legend>
    <c:plotVisOnly val="1"/>
    <c:dispBlanksAs val="gap"/>
    <c:showDLblsOverMax val="0"/>
  </c:chart>
  <c:spPr>
    <a:ln>
      <a:noFill/>
    </a:ln>
  </c:spPr>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manualLayout>
          <c:layoutTarget val="inner"/>
          <c:xMode val="edge"/>
          <c:yMode val="edge"/>
          <c:x val="6.2991396908719813E-2"/>
          <c:y val="6.0906240886555864E-2"/>
          <c:w val="0.81381136385729558"/>
          <c:h val="0.78288985649949705"/>
        </c:manualLayout>
      </c:layout>
      <c:barChart>
        <c:barDir val="col"/>
        <c:grouping val="clustered"/>
        <c:varyColors val="0"/>
        <c:ser>
          <c:idx val="0"/>
          <c:order val="0"/>
          <c:tx>
            <c:strRef>
              <c:f>Sheet1!$B$1</c:f>
              <c:strCache>
                <c:ptCount val="1"/>
                <c:pt idx="0">
                  <c:v>2008</c:v>
                </c:pt>
              </c:strCache>
            </c:strRef>
          </c:tx>
          <c:invertIfNegative val="0"/>
          <c:cat>
            <c:strRef>
              <c:f>Sheet1!$A$2:$A$5</c:f>
              <c:strCache>
                <c:ptCount val="4"/>
                <c:pt idx="0">
                  <c:v>Vidrovan</c:v>
                </c:pt>
                <c:pt idx="1">
                  <c:v>Duklov most</c:v>
                </c:pt>
                <c:pt idx="2">
                  <c:v>Danilovgrad</c:v>
                </c:pt>
                <c:pt idx="3">
                  <c:v>Vranjske njive</c:v>
                </c:pt>
              </c:strCache>
            </c:strRef>
          </c:cat>
          <c:val>
            <c:numRef>
              <c:f>Sheet1!$B$2:$B$5</c:f>
              <c:numCache>
                <c:formatCode>General</c:formatCode>
                <c:ptCount val="4"/>
                <c:pt idx="0">
                  <c:v>8.0000000000000043E-2</c:v>
                </c:pt>
                <c:pt idx="1">
                  <c:v>0.33000000000000046</c:v>
                </c:pt>
                <c:pt idx="2">
                  <c:v>0.18000000000000016</c:v>
                </c:pt>
                <c:pt idx="3">
                  <c:v>0.23</c:v>
                </c:pt>
              </c:numCache>
            </c:numRef>
          </c:val>
        </c:ser>
        <c:ser>
          <c:idx val="1"/>
          <c:order val="1"/>
          <c:tx>
            <c:strRef>
              <c:f>Sheet1!$C$1</c:f>
              <c:strCache>
                <c:ptCount val="1"/>
                <c:pt idx="0">
                  <c:v>2009</c:v>
                </c:pt>
              </c:strCache>
            </c:strRef>
          </c:tx>
          <c:invertIfNegative val="0"/>
          <c:cat>
            <c:strRef>
              <c:f>Sheet1!$A$2:$A$5</c:f>
              <c:strCache>
                <c:ptCount val="4"/>
                <c:pt idx="0">
                  <c:v>Vidrovan</c:v>
                </c:pt>
                <c:pt idx="1">
                  <c:v>Duklov most</c:v>
                </c:pt>
                <c:pt idx="2">
                  <c:v>Danilovgrad</c:v>
                </c:pt>
                <c:pt idx="3">
                  <c:v>Vranjske njive</c:v>
                </c:pt>
              </c:strCache>
            </c:strRef>
          </c:cat>
          <c:val>
            <c:numRef>
              <c:f>Sheet1!$C$2:$C$5</c:f>
              <c:numCache>
                <c:formatCode>General</c:formatCode>
                <c:ptCount val="4"/>
                <c:pt idx="0">
                  <c:v>4.0000000000000022E-2</c:v>
                </c:pt>
                <c:pt idx="1">
                  <c:v>8.0000000000000043E-2</c:v>
                </c:pt>
                <c:pt idx="2">
                  <c:v>0.13</c:v>
                </c:pt>
                <c:pt idx="3">
                  <c:v>0.1</c:v>
                </c:pt>
              </c:numCache>
            </c:numRef>
          </c:val>
        </c:ser>
        <c:ser>
          <c:idx val="2"/>
          <c:order val="2"/>
          <c:tx>
            <c:strRef>
              <c:f>Sheet1!$D$1</c:f>
              <c:strCache>
                <c:ptCount val="1"/>
                <c:pt idx="0">
                  <c:v>2010</c:v>
                </c:pt>
              </c:strCache>
            </c:strRef>
          </c:tx>
          <c:spPr>
            <a:ln w="38100"/>
          </c:spPr>
          <c:invertIfNegative val="0"/>
          <c:cat>
            <c:strRef>
              <c:f>Sheet1!$A$2:$A$5</c:f>
              <c:strCache>
                <c:ptCount val="4"/>
                <c:pt idx="0">
                  <c:v>Vidrovan</c:v>
                </c:pt>
                <c:pt idx="1">
                  <c:v>Duklov most</c:v>
                </c:pt>
                <c:pt idx="2">
                  <c:v>Danilovgrad</c:v>
                </c:pt>
                <c:pt idx="3">
                  <c:v>Vranjske njive</c:v>
                </c:pt>
              </c:strCache>
            </c:strRef>
          </c:cat>
          <c:val>
            <c:numRef>
              <c:f>Sheet1!$D$2:$D$5</c:f>
              <c:numCache>
                <c:formatCode>General</c:formatCode>
                <c:ptCount val="4"/>
                <c:pt idx="0">
                  <c:v>4.0000000000000022E-2</c:v>
                </c:pt>
                <c:pt idx="1">
                  <c:v>0.47000000000000008</c:v>
                </c:pt>
                <c:pt idx="2">
                  <c:v>0.11</c:v>
                </c:pt>
                <c:pt idx="3">
                  <c:v>9.0000000000000024E-2</c:v>
                </c:pt>
              </c:numCache>
            </c:numRef>
          </c:val>
        </c:ser>
        <c:ser>
          <c:idx val="3"/>
          <c:order val="3"/>
          <c:tx>
            <c:strRef>
              <c:f>Sheet1!$E$1</c:f>
              <c:strCache>
                <c:ptCount val="1"/>
                <c:pt idx="0">
                  <c:v>2011</c:v>
                </c:pt>
              </c:strCache>
            </c:strRef>
          </c:tx>
          <c:spPr>
            <a:ln w="38100"/>
          </c:spPr>
          <c:invertIfNegative val="0"/>
          <c:cat>
            <c:strRef>
              <c:f>Sheet1!$A$2:$A$5</c:f>
              <c:strCache>
                <c:ptCount val="4"/>
                <c:pt idx="0">
                  <c:v>Vidrovan</c:v>
                </c:pt>
                <c:pt idx="1">
                  <c:v>Duklov most</c:v>
                </c:pt>
                <c:pt idx="2">
                  <c:v>Danilovgrad</c:v>
                </c:pt>
                <c:pt idx="3">
                  <c:v>Vranjske njive</c:v>
                </c:pt>
              </c:strCache>
            </c:strRef>
          </c:cat>
          <c:val>
            <c:numRef>
              <c:f>Sheet1!$E$2:$E$5</c:f>
              <c:numCache>
                <c:formatCode>General</c:formatCode>
                <c:ptCount val="4"/>
                <c:pt idx="0">
                  <c:v>0.12000000000000002</c:v>
                </c:pt>
                <c:pt idx="1">
                  <c:v>9.0000000000000024E-2</c:v>
                </c:pt>
                <c:pt idx="2">
                  <c:v>9.0000000000000024E-2</c:v>
                </c:pt>
                <c:pt idx="3">
                  <c:v>9.0000000000000024E-2</c:v>
                </c:pt>
              </c:numCache>
            </c:numRef>
          </c:val>
        </c:ser>
        <c:ser>
          <c:idx val="4"/>
          <c:order val="4"/>
          <c:tx>
            <c:strRef>
              <c:f>Sheet1!$F$1</c:f>
              <c:strCache>
                <c:ptCount val="1"/>
                <c:pt idx="0">
                  <c:v>2012</c:v>
                </c:pt>
              </c:strCache>
            </c:strRef>
          </c:tx>
          <c:spPr>
            <a:ln w="38100"/>
          </c:spPr>
          <c:invertIfNegative val="0"/>
          <c:cat>
            <c:strRef>
              <c:f>Sheet1!$A$2:$A$5</c:f>
              <c:strCache>
                <c:ptCount val="4"/>
                <c:pt idx="0">
                  <c:v>Vidrovan</c:v>
                </c:pt>
                <c:pt idx="1">
                  <c:v>Duklov most</c:v>
                </c:pt>
                <c:pt idx="2">
                  <c:v>Danilovgrad</c:v>
                </c:pt>
                <c:pt idx="3">
                  <c:v>Vranjske njive</c:v>
                </c:pt>
              </c:strCache>
            </c:strRef>
          </c:cat>
          <c:val>
            <c:numRef>
              <c:f>Sheet1!$F$2:$F$5</c:f>
              <c:numCache>
                <c:formatCode>General</c:formatCode>
                <c:ptCount val="4"/>
                <c:pt idx="0">
                  <c:v>8.0000000000000043E-2</c:v>
                </c:pt>
                <c:pt idx="1">
                  <c:v>8.0000000000000043E-2</c:v>
                </c:pt>
                <c:pt idx="2">
                  <c:v>6.0000000000000032E-2</c:v>
                </c:pt>
                <c:pt idx="3">
                  <c:v>0.11</c:v>
                </c:pt>
              </c:numCache>
            </c:numRef>
          </c:val>
        </c:ser>
        <c:ser>
          <c:idx val="5"/>
          <c:order val="5"/>
          <c:tx>
            <c:strRef>
              <c:f>Sheet1!$G$1</c:f>
              <c:strCache>
                <c:ptCount val="1"/>
                <c:pt idx="0">
                  <c:v>2013</c:v>
                </c:pt>
              </c:strCache>
            </c:strRef>
          </c:tx>
          <c:spPr>
            <a:ln w="38100"/>
          </c:spPr>
          <c:invertIfNegative val="0"/>
          <c:cat>
            <c:strRef>
              <c:f>Sheet1!$A$2:$A$5</c:f>
              <c:strCache>
                <c:ptCount val="4"/>
                <c:pt idx="0">
                  <c:v>Vidrovan</c:v>
                </c:pt>
                <c:pt idx="1">
                  <c:v>Duklov most</c:v>
                </c:pt>
                <c:pt idx="2">
                  <c:v>Danilovgrad</c:v>
                </c:pt>
                <c:pt idx="3">
                  <c:v>Vranjske njive</c:v>
                </c:pt>
              </c:strCache>
            </c:strRef>
          </c:cat>
          <c:val>
            <c:numRef>
              <c:f>Sheet1!$G$2:$G$5</c:f>
              <c:numCache>
                <c:formatCode>General</c:formatCode>
                <c:ptCount val="4"/>
                <c:pt idx="0">
                  <c:v>0.05</c:v>
                </c:pt>
                <c:pt idx="1">
                  <c:v>7.0000000000000021E-2</c:v>
                </c:pt>
                <c:pt idx="2">
                  <c:v>0.11</c:v>
                </c:pt>
                <c:pt idx="3">
                  <c:v>0.16</c:v>
                </c:pt>
              </c:numCache>
            </c:numRef>
          </c:val>
        </c:ser>
        <c:dLbls>
          <c:showLegendKey val="0"/>
          <c:showVal val="0"/>
          <c:showCatName val="0"/>
          <c:showSerName val="0"/>
          <c:showPercent val="0"/>
          <c:showBubbleSize val="0"/>
        </c:dLbls>
        <c:gapWidth val="150"/>
        <c:axId val="272780672"/>
        <c:axId val="272790656"/>
      </c:barChart>
      <c:lineChart>
        <c:grouping val="standard"/>
        <c:varyColors val="0"/>
        <c:ser>
          <c:idx val="6"/>
          <c:order val="6"/>
          <c:tx>
            <c:strRef>
              <c:f>Sheet1!$H$1</c:f>
              <c:strCache>
                <c:ptCount val="1"/>
                <c:pt idx="0">
                  <c:v>MDK A</c:v>
                </c:pt>
              </c:strCache>
            </c:strRef>
          </c:tx>
          <c:spPr>
            <a:ln w="25400"/>
          </c:spPr>
          <c:marker>
            <c:symbol val="none"/>
          </c:marker>
          <c:cat>
            <c:strRef>
              <c:f>Sheet1!$A$2:$A$5</c:f>
              <c:strCache>
                <c:ptCount val="4"/>
                <c:pt idx="0">
                  <c:v>Vidrovan</c:v>
                </c:pt>
                <c:pt idx="1">
                  <c:v>Duklov most</c:v>
                </c:pt>
                <c:pt idx="2">
                  <c:v>Danilovgrad</c:v>
                </c:pt>
                <c:pt idx="3">
                  <c:v>Vranjske njive</c:v>
                </c:pt>
              </c:strCache>
            </c:strRef>
          </c:cat>
          <c:val>
            <c:numRef>
              <c:f>Sheet1!$H$2:$H$5</c:f>
              <c:numCache>
                <c:formatCode>General</c:formatCode>
                <c:ptCount val="4"/>
                <c:pt idx="0">
                  <c:v>1.0000000000000005E-2</c:v>
                </c:pt>
                <c:pt idx="1">
                  <c:v>1.0000000000000005E-2</c:v>
                </c:pt>
                <c:pt idx="2">
                  <c:v>1.0000000000000005E-2</c:v>
                </c:pt>
                <c:pt idx="3">
                  <c:v>1.0000000000000005E-2</c:v>
                </c:pt>
              </c:numCache>
            </c:numRef>
          </c:val>
          <c:smooth val="0"/>
        </c:ser>
        <c:ser>
          <c:idx val="7"/>
          <c:order val="7"/>
          <c:tx>
            <c:strRef>
              <c:f>Sheet1!$I$1</c:f>
              <c:strCache>
                <c:ptCount val="1"/>
                <c:pt idx="0">
                  <c:v>MDK A1</c:v>
                </c:pt>
              </c:strCache>
            </c:strRef>
          </c:tx>
          <c:spPr>
            <a:ln w="25400"/>
          </c:spPr>
          <c:marker>
            <c:symbol val="none"/>
          </c:marker>
          <c:cat>
            <c:strRef>
              <c:f>Sheet1!$A$2:$A$5</c:f>
              <c:strCache>
                <c:ptCount val="4"/>
                <c:pt idx="0">
                  <c:v>Vidrovan</c:v>
                </c:pt>
                <c:pt idx="1">
                  <c:v>Duklov most</c:v>
                </c:pt>
                <c:pt idx="2">
                  <c:v>Danilovgrad</c:v>
                </c:pt>
                <c:pt idx="3">
                  <c:v>Vranjske njive</c:v>
                </c:pt>
              </c:strCache>
            </c:strRef>
          </c:cat>
          <c:val>
            <c:numRef>
              <c:f>Sheet1!$I$2:$I$5</c:f>
              <c:numCache>
                <c:formatCode>General</c:formatCode>
                <c:ptCount val="4"/>
                <c:pt idx="0">
                  <c:v>2.0000000000000011E-2</c:v>
                </c:pt>
                <c:pt idx="1">
                  <c:v>2.0000000000000011E-2</c:v>
                </c:pt>
                <c:pt idx="2">
                  <c:v>2.0000000000000011E-2</c:v>
                </c:pt>
                <c:pt idx="3">
                  <c:v>2.0000000000000011E-2</c:v>
                </c:pt>
              </c:numCache>
            </c:numRef>
          </c:val>
          <c:smooth val="0"/>
        </c:ser>
        <c:ser>
          <c:idx val="8"/>
          <c:order val="8"/>
          <c:tx>
            <c:strRef>
              <c:f>Sheet1!$J$1</c:f>
              <c:strCache>
                <c:ptCount val="1"/>
                <c:pt idx="0">
                  <c:v>MDK A2</c:v>
                </c:pt>
              </c:strCache>
            </c:strRef>
          </c:tx>
          <c:spPr>
            <a:ln w="25400"/>
          </c:spPr>
          <c:marker>
            <c:symbol val="none"/>
          </c:marker>
          <c:cat>
            <c:strRef>
              <c:f>Sheet1!$A$2:$A$5</c:f>
              <c:strCache>
                <c:ptCount val="4"/>
                <c:pt idx="0">
                  <c:v>Vidrovan</c:v>
                </c:pt>
                <c:pt idx="1">
                  <c:v>Duklov most</c:v>
                </c:pt>
                <c:pt idx="2">
                  <c:v>Danilovgrad</c:v>
                </c:pt>
                <c:pt idx="3">
                  <c:v>Vranjske njive</c:v>
                </c:pt>
              </c:strCache>
            </c:strRef>
          </c:cat>
          <c:val>
            <c:numRef>
              <c:f>Sheet1!$J$2:$J$5</c:f>
              <c:numCache>
                <c:formatCode>General</c:formatCode>
                <c:ptCount val="4"/>
                <c:pt idx="0">
                  <c:v>0.05</c:v>
                </c:pt>
                <c:pt idx="1">
                  <c:v>0.05</c:v>
                </c:pt>
                <c:pt idx="2">
                  <c:v>0.05</c:v>
                </c:pt>
                <c:pt idx="3">
                  <c:v>0.05</c:v>
                </c:pt>
              </c:numCache>
            </c:numRef>
          </c:val>
          <c:smooth val="0"/>
        </c:ser>
        <c:ser>
          <c:idx val="9"/>
          <c:order val="9"/>
          <c:tx>
            <c:strRef>
              <c:f>Sheet1!$K$1</c:f>
              <c:strCache>
                <c:ptCount val="1"/>
                <c:pt idx="0">
                  <c:v>MDK A3</c:v>
                </c:pt>
              </c:strCache>
            </c:strRef>
          </c:tx>
          <c:spPr>
            <a:ln w="25400"/>
          </c:spPr>
          <c:marker>
            <c:symbol val="none"/>
          </c:marker>
          <c:cat>
            <c:strRef>
              <c:f>Sheet1!$A$2:$A$5</c:f>
              <c:strCache>
                <c:ptCount val="4"/>
                <c:pt idx="0">
                  <c:v>Vidrovan</c:v>
                </c:pt>
                <c:pt idx="1">
                  <c:v>Duklov most</c:v>
                </c:pt>
                <c:pt idx="2">
                  <c:v>Danilovgrad</c:v>
                </c:pt>
                <c:pt idx="3">
                  <c:v>Vranjske njive</c:v>
                </c:pt>
              </c:strCache>
            </c:strRef>
          </c:cat>
          <c:val>
            <c:numRef>
              <c:f>Sheet1!$K$2:$K$5</c:f>
              <c:numCache>
                <c:formatCode>General</c:formatCode>
                <c:ptCount val="4"/>
                <c:pt idx="0">
                  <c:v>0.1</c:v>
                </c:pt>
                <c:pt idx="1">
                  <c:v>0.1</c:v>
                </c:pt>
                <c:pt idx="2">
                  <c:v>0.1</c:v>
                </c:pt>
                <c:pt idx="3">
                  <c:v>0.1</c:v>
                </c:pt>
              </c:numCache>
            </c:numRef>
          </c:val>
          <c:smooth val="0"/>
        </c:ser>
        <c:dLbls>
          <c:showLegendKey val="0"/>
          <c:showVal val="0"/>
          <c:showCatName val="0"/>
          <c:showSerName val="0"/>
          <c:showPercent val="0"/>
          <c:showBubbleSize val="0"/>
        </c:dLbls>
        <c:marker val="1"/>
        <c:smooth val="0"/>
        <c:axId val="272780672"/>
        <c:axId val="272790656"/>
      </c:lineChart>
      <c:catAx>
        <c:axId val="272780672"/>
        <c:scaling>
          <c:orientation val="minMax"/>
        </c:scaling>
        <c:delete val="0"/>
        <c:axPos val="b"/>
        <c:numFmt formatCode="General" sourceLinked="1"/>
        <c:majorTickMark val="out"/>
        <c:minorTickMark val="none"/>
        <c:tickLblPos val="nextTo"/>
        <c:txPr>
          <a:bodyPr/>
          <a:lstStyle/>
          <a:p>
            <a:pPr>
              <a:defRPr sz="700"/>
            </a:pPr>
            <a:endParaRPr lang="en-US"/>
          </a:p>
        </c:txPr>
        <c:crossAx val="272790656"/>
        <c:crosses val="autoZero"/>
        <c:auto val="1"/>
        <c:lblAlgn val="ctr"/>
        <c:lblOffset val="100"/>
        <c:noMultiLvlLbl val="0"/>
      </c:catAx>
      <c:valAx>
        <c:axId val="272790656"/>
        <c:scaling>
          <c:orientation val="minMax"/>
          <c:max val="0.5"/>
          <c:min val="0"/>
        </c:scaling>
        <c:delete val="0"/>
        <c:axPos val="l"/>
        <c:numFmt formatCode="General" sourceLinked="1"/>
        <c:majorTickMark val="out"/>
        <c:minorTickMark val="none"/>
        <c:tickLblPos val="nextTo"/>
        <c:txPr>
          <a:bodyPr/>
          <a:lstStyle/>
          <a:p>
            <a:pPr>
              <a:defRPr sz="700"/>
            </a:pPr>
            <a:endParaRPr lang="en-US"/>
          </a:p>
        </c:txPr>
        <c:crossAx val="272780672"/>
        <c:crosses val="autoZero"/>
        <c:crossBetween val="between"/>
      </c:valAx>
      <c:spPr>
        <a:noFill/>
        <a:ln w="25400">
          <a:noFill/>
        </a:ln>
      </c:spPr>
    </c:plotArea>
    <c:legend>
      <c:legendPos val="r"/>
      <c:layout>
        <c:manualLayout>
          <c:xMode val="edge"/>
          <c:yMode val="edge"/>
          <c:x val="0.85740278992903585"/>
          <c:y val="4.0415573053368334E-2"/>
          <c:w val="0.14231530086516994"/>
          <c:h val="0.52246437487996789"/>
        </c:manualLayout>
      </c:layout>
      <c:overlay val="1"/>
      <c:txPr>
        <a:bodyPr/>
        <a:lstStyle/>
        <a:p>
          <a:pPr>
            <a:defRPr sz="700"/>
          </a:pPr>
          <a:endParaRPr lang="en-US"/>
        </a:p>
      </c:txPr>
    </c:legend>
    <c:plotVisOnly val="1"/>
    <c:dispBlanksAs val="gap"/>
    <c:showDLblsOverMax val="0"/>
  </c:chart>
  <c:spPr>
    <a:ln>
      <a:noFill/>
    </a:ln>
  </c:spPr>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manualLayout>
          <c:layoutTarget val="inner"/>
          <c:xMode val="edge"/>
          <c:yMode val="edge"/>
          <c:x val="5.5121026538349382E-2"/>
          <c:y val="2.4113642221649446E-2"/>
          <c:w val="0.81275736366287565"/>
          <c:h val="0.88109020730847465"/>
        </c:manualLayout>
      </c:layout>
      <c:barChart>
        <c:barDir val="col"/>
        <c:grouping val="clustered"/>
        <c:varyColors val="0"/>
        <c:ser>
          <c:idx val="0"/>
          <c:order val="0"/>
          <c:tx>
            <c:strRef>
              <c:f>Sheet1!$B$1</c:f>
              <c:strCache>
                <c:ptCount val="1"/>
                <c:pt idx="0">
                  <c:v>2008</c:v>
                </c:pt>
              </c:strCache>
            </c:strRef>
          </c:tx>
          <c:invertIfNegative val="0"/>
          <c:cat>
            <c:strRef>
              <c:f>Sheet1!$A$2:$A$5</c:f>
              <c:strCache>
                <c:ptCount val="4"/>
                <c:pt idx="0">
                  <c:v>Rabitlja</c:v>
                </c:pt>
                <c:pt idx="1">
                  <c:v>ispod Pljevalja</c:v>
                </c:pt>
                <c:pt idx="2">
                  <c:v>ispod ušća Vezišnice</c:v>
                </c:pt>
                <c:pt idx="3">
                  <c:v>Gradac</c:v>
                </c:pt>
              </c:strCache>
            </c:strRef>
          </c:cat>
          <c:val>
            <c:numRef>
              <c:f>Sheet1!$B$2:$B$5</c:f>
              <c:numCache>
                <c:formatCode>General</c:formatCode>
                <c:ptCount val="4"/>
                <c:pt idx="0">
                  <c:v>0.13</c:v>
                </c:pt>
                <c:pt idx="1">
                  <c:v>0.85000000000000064</c:v>
                </c:pt>
                <c:pt idx="2">
                  <c:v>0.69000000000000061</c:v>
                </c:pt>
                <c:pt idx="3">
                  <c:v>0.29000000000000031</c:v>
                </c:pt>
              </c:numCache>
            </c:numRef>
          </c:val>
        </c:ser>
        <c:ser>
          <c:idx val="1"/>
          <c:order val="1"/>
          <c:tx>
            <c:strRef>
              <c:f>Sheet1!$C$1</c:f>
              <c:strCache>
                <c:ptCount val="1"/>
                <c:pt idx="0">
                  <c:v>2009</c:v>
                </c:pt>
              </c:strCache>
            </c:strRef>
          </c:tx>
          <c:invertIfNegative val="0"/>
          <c:cat>
            <c:strRef>
              <c:f>Sheet1!$A$2:$A$5</c:f>
              <c:strCache>
                <c:ptCount val="4"/>
                <c:pt idx="0">
                  <c:v>Rabitlja</c:v>
                </c:pt>
                <c:pt idx="1">
                  <c:v>ispod Pljevalja</c:v>
                </c:pt>
                <c:pt idx="2">
                  <c:v>ispod ušća Vezišnice</c:v>
                </c:pt>
                <c:pt idx="3">
                  <c:v>Gradac</c:v>
                </c:pt>
              </c:strCache>
            </c:strRef>
          </c:cat>
          <c:val>
            <c:numRef>
              <c:f>Sheet1!$C$2:$C$5</c:f>
              <c:numCache>
                <c:formatCode>General</c:formatCode>
                <c:ptCount val="4"/>
                <c:pt idx="0">
                  <c:v>9.0000000000000024E-2</c:v>
                </c:pt>
                <c:pt idx="1">
                  <c:v>0.44</c:v>
                </c:pt>
                <c:pt idx="2">
                  <c:v>0.42000000000000032</c:v>
                </c:pt>
                <c:pt idx="3">
                  <c:v>0.37000000000000033</c:v>
                </c:pt>
              </c:numCache>
            </c:numRef>
          </c:val>
        </c:ser>
        <c:ser>
          <c:idx val="2"/>
          <c:order val="2"/>
          <c:tx>
            <c:strRef>
              <c:f>Sheet1!$D$1</c:f>
              <c:strCache>
                <c:ptCount val="1"/>
                <c:pt idx="0">
                  <c:v>2010</c:v>
                </c:pt>
              </c:strCache>
            </c:strRef>
          </c:tx>
          <c:spPr>
            <a:ln w="38100"/>
            <a:scene3d>
              <a:camera prst="orthographicFront"/>
              <a:lightRig rig="glow" dir="t">
                <a:rot lat="0" lon="0" rev="6360000"/>
              </a:lightRig>
            </a:scene3d>
            <a:sp3d prstMaterial="flat">
              <a:bevelT w="95250" h="101600"/>
              <a:contourClr>
                <a:srgbClr val="000000"/>
              </a:contourClr>
            </a:sp3d>
          </c:spPr>
          <c:invertIfNegative val="0"/>
          <c:cat>
            <c:strRef>
              <c:f>Sheet1!$A$2:$A$5</c:f>
              <c:strCache>
                <c:ptCount val="4"/>
                <c:pt idx="0">
                  <c:v>Rabitlja</c:v>
                </c:pt>
                <c:pt idx="1">
                  <c:v>ispod Pljevalja</c:v>
                </c:pt>
                <c:pt idx="2">
                  <c:v>ispod ušća Vezišnice</c:v>
                </c:pt>
                <c:pt idx="3">
                  <c:v>Gradac</c:v>
                </c:pt>
              </c:strCache>
            </c:strRef>
          </c:cat>
          <c:val>
            <c:numRef>
              <c:f>Sheet1!$D$2:$D$5</c:f>
              <c:numCache>
                <c:formatCode>General</c:formatCode>
                <c:ptCount val="4"/>
                <c:pt idx="0">
                  <c:v>8.0000000000000043E-2</c:v>
                </c:pt>
                <c:pt idx="1">
                  <c:v>0.68</c:v>
                </c:pt>
                <c:pt idx="2">
                  <c:v>0.63000000000000078</c:v>
                </c:pt>
                <c:pt idx="3">
                  <c:v>0.34</c:v>
                </c:pt>
              </c:numCache>
            </c:numRef>
          </c:val>
        </c:ser>
        <c:ser>
          <c:idx val="3"/>
          <c:order val="3"/>
          <c:tx>
            <c:strRef>
              <c:f>Sheet1!$E$1</c:f>
              <c:strCache>
                <c:ptCount val="1"/>
                <c:pt idx="0">
                  <c:v>2011</c:v>
                </c:pt>
              </c:strCache>
            </c:strRef>
          </c:tx>
          <c:spPr>
            <a:ln w="38100"/>
          </c:spPr>
          <c:invertIfNegative val="0"/>
          <c:cat>
            <c:strRef>
              <c:f>Sheet1!$A$2:$A$5</c:f>
              <c:strCache>
                <c:ptCount val="4"/>
                <c:pt idx="0">
                  <c:v>Rabitlja</c:v>
                </c:pt>
                <c:pt idx="1">
                  <c:v>ispod Pljevalja</c:v>
                </c:pt>
                <c:pt idx="2">
                  <c:v>ispod ušća Vezišnice</c:v>
                </c:pt>
                <c:pt idx="3">
                  <c:v>Gradac</c:v>
                </c:pt>
              </c:strCache>
            </c:strRef>
          </c:cat>
          <c:val>
            <c:numRef>
              <c:f>Sheet1!$E$2:$E$5</c:f>
              <c:numCache>
                <c:formatCode>General</c:formatCode>
                <c:ptCount val="4"/>
                <c:pt idx="0">
                  <c:v>6.0000000000000032E-2</c:v>
                </c:pt>
                <c:pt idx="1">
                  <c:v>0.3900000000000004</c:v>
                </c:pt>
                <c:pt idx="2">
                  <c:v>0.3900000000000004</c:v>
                </c:pt>
                <c:pt idx="3">
                  <c:v>0.24000000000000016</c:v>
                </c:pt>
              </c:numCache>
            </c:numRef>
          </c:val>
        </c:ser>
        <c:ser>
          <c:idx val="4"/>
          <c:order val="4"/>
          <c:tx>
            <c:strRef>
              <c:f>Sheet1!$F$1</c:f>
              <c:strCache>
                <c:ptCount val="1"/>
                <c:pt idx="0">
                  <c:v>2012</c:v>
                </c:pt>
              </c:strCache>
            </c:strRef>
          </c:tx>
          <c:spPr>
            <a:ln w="38100"/>
          </c:spPr>
          <c:invertIfNegative val="0"/>
          <c:cat>
            <c:strRef>
              <c:f>Sheet1!$A$2:$A$5</c:f>
              <c:strCache>
                <c:ptCount val="4"/>
                <c:pt idx="0">
                  <c:v>Rabitlja</c:v>
                </c:pt>
                <c:pt idx="1">
                  <c:v>ispod Pljevalja</c:v>
                </c:pt>
                <c:pt idx="2">
                  <c:v>ispod ušća Vezišnice</c:v>
                </c:pt>
                <c:pt idx="3">
                  <c:v>Gradac</c:v>
                </c:pt>
              </c:strCache>
            </c:strRef>
          </c:cat>
          <c:val>
            <c:numRef>
              <c:f>Sheet1!$F$2:$F$5</c:f>
              <c:numCache>
                <c:formatCode>General</c:formatCode>
                <c:ptCount val="4"/>
                <c:pt idx="0">
                  <c:v>7.0000000000000021E-2</c:v>
                </c:pt>
                <c:pt idx="1">
                  <c:v>0.35000000000000031</c:v>
                </c:pt>
                <c:pt idx="2">
                  <c:v>0.36000000000000032</c:v>
                </c:pt>
                <c:pt idx="3">
                  <c:v>0.60000000000000064</c:v>
                </c:pt>
              </c:numCache>
            </c:numRef>
          </c:val>
        </c:ser>
        <c:ser>
          <c:idx val="5"/>
          <c:order val="5"/>
          <c:tx>
            <c:strRef>
              <c:f>Sheet1!$G$1</c:f>
              <c:strCache>
                <c:ptCount val="1"/>
                <c:pt idx="0">
                  <c:v>2013</c:v>
                </c:pt>
              </c:strCache>
            </c:strRef>
          </c:tx>
          <c:spPr>
            <a:ln w="38100"/>
          </c:spPr>
          <c:invertIfNegative val="0"/>
          <c:cat>
            <c:strRef>
              <c:f>Sheet1!$A$2:$A$5</c:f>
              <c:strCache>
                <c:ptCount val="4"/>
                <c:pt idx="0">
                  <c:v>Rabitlja</c:v>
                </c:pt>
                <c:pt idx="1">
                  <c:v>ispod Pljevalja</c:v>
                </c:pt>
                <c:pt idx="2">
                  <c:v>ispod ušća Vezišnice</c:v>
                </c:pt>
                <c:pt idx="3">
                  <c:v>Gradac</c:v>
                </c:pt>
              </c:strCache>
            </c:strRef>
          </c:cat>
          <c:val>
            <c:numRef>
              <c:f>Sheet1!$G$2:$G$5</c:f>
              <c:numCache>
                <c:formatCode>General</c:formatCode>
                <c:ptCount val="4"/>
                <c:pt idx="0">
                  <c:v>8.0000000000000043E-2</c:v>
                </c:pt>
                <c:pt idx="1">
                  <c:v>0.30000000000000032</c:v>
                </c:pt>
                <c:pt idx="2">
                  <c:v>0.3900000000000004</c:v>
                </c:pt>
                <c:pt idx="3">
                  <c:v>0.27</c:v>
                </c:pt>
              </c:numCache>
            </c:numRef>
          </c:val>
        </c:ser>
        <c:dLbls>
          <c:showLegendKey val="0"/>
          <c:showVal val="0"/>
          <c:showCatName val="0"/>
          <c:showSerName val="0"/>
          <c:showPercent val="0"/>
          <c:showBubbleSize val="0"/>
        </c:dLbls>
        <c:gapWidth val="150"/>
        <c:axId val="282079616"/>
        <c:axId val="282081152"/>
      </c:barChart>
      <c:lineChart>
        <c:grouping val="standard"/>
        <c:varyColors val="0"/>
        <c:ser>
          <c:idx val="6"/>
          <c:order val="6"/>
          <c:tx>
            <c:strRef>
              <c:f>Sheet1!$H$1</c:f>
              <c:strCache>
                <c:ptCount val="1"/>
                <c:pt idx="0">
                  <c:v>MDK A</c:v>
                </c:pt>
              </c:strCache>
            </c:strRef>
          </c:tx>
          <c:spPr>
            <a:ln w="25400"/>
          </c:spPr>
          <c:marker>
            <c:symbol val="none"/>
          </c:marker>
          <c:cat>
            <c:strRef>
              <c:f>Sheet1!$A$2:$A$5</c:f>
              <c:strCache>
                <c:ptCount val="4"/>
                <c:pt idx="0">
                  <c:v>Rabitlja</c:v>
                </c:pt>
                <c:pt idx="1">
                  <c:v>ispod Pljevalja</c:v>
                </c:pt>
                <c:pt idx="2">
                  <c:v>ispod ušća Vezišnice</c:v>
                </c:pt>
                <c:pt idx="3">
                  <c:v>Gradac</c:v>
                </c:pt>
              </c:strCache>
            </c:strRef>
          </c:cat>
          <c:val>
            <c:numRef>
              <c:f>Sheet1!$H$2:$H$5</c:f>
              <c:numCache>
                <c:formatCode>General</c:formatCode>
                <c:ptCount val="4"/>
                <c:pt idx="0">
                  <c:v>1.0000000000000005E-2</c:v>
                </c:pt>
                <c:pt idx="1">
                  <c:v>1.0000000000000005E-2</c:v>
                </c:pt>
                <c:pt idx="2">
                  <c:v>1.0000000000000005E-2</c:v>
                </c:pt>
                <c:pt idx="3">
                  <c:v>1.0000000000000005E-2</c:v>
                </c:pt>
              </c:numCache>
            </c:numRef>
          </c:val>
          <c:smooth val="0"/>
        </c:ser>
        <c:ser>
          <c:idx val="7"/>
          <c:order val="7"/>
          <c:tx>
            <c:strRef>
              <c:f>Sheet1!$I$1</c:f>
              <c:strCache>
                <c:ptCount val="1"/>
                <c:pt idx="0">
                  <c:v>MDK A1</c:v>
                </c:pt>
              </c:strCache>
            </c:strRef>
          </c:tx>
          <c:spPr>
            <a:ln w="25400"/>
          </c:spPr>
          <c:marker>
            <c:symbol val="none"/>
          </c:marker>
          <c:cat>
            <c:strRef>
              <c:f>Sheet1!$A$2:$A$5</c:f>
              <c:strCache>
                <c:ptCount val="4"/>
                <c:pt idx="0">
                  <c:v>Rabitlja</c:v>
                </c:pt>
                <c:pt idx="1">
                  <c:v>ispod Pljevalja</c:v>
                </c:pt>
                <c:pt idx="2">
                  <c:v>ispod ušća Vezišnice</c:v>
                </c:pt>
                <c:pt idx="3">
                  <c:v>Gradac</c:v>
                </c:pt>
              </c:strCache>
            </c:strRef>
          </c:cat>
          <c:val>
            <c:numRef>
              <c:f>Sheet1!$I$2:$I$5</c:f>
              <c:numCache>
                <c:formatCode>General</c:formatCode>
                <c:ptCount val="4"/>
                <c:pt idx="0">
                  <c:v>2.0000000000000011E-2</c:v>
                </c:pt>
                <c:pt idx="1">
                  <c:v>2.0000000000000011E-2</c:v>
                </c:pt>
                <c:pt idx="2">
                  <c:v>2.0000000000000011E-2</c:v>
                </c:pt>
                <c:pt idx="3">
                  <c:v>2.0000000000000011E-2</c:v>
                </c:pt>
              </c:numCache>
            </c:numRef>
          </c:val>
          <c:smooth val="0"/>
        </c:ser>
        <c:ser>
          <c:idx val="8"/>
          <c:order val="8"/>
          <c:tx>
            <c:strRef>
              <c:f>Sheet1!$J$1</c:f>
              <c:strCache>
                <c:ptCount val="1"/>
                <c:pt idx="0">
                  <c:v>MDK A2</c:v>
                </c:pt>
              </c:strCache>
            </c:strRef>
          </c:tx>
          <c:spPr>
            <a:ln w="25400"/>
          </c:spPr>
          <c:marker>
            <c:symbol val="none"/>
          </c:marker>
          <c:cat>
            <c:strRef>
              <c:f>Sheet1!$A$2:$A$5</c:f>
              <c:strCache>
                <c:ptCount val="4"/>
                <c:pt idx="0">
                  <c:v>Rabitlja</c:v>
                </c:pt>
                <c:pt idx="1">
                  <c:v>ispod Pljevalja</c:v>
                </c:pt>
                <c:pt idx="2">
                  <c:v>ispod ušća Vezišnice</c:v>
                </c:pt>
                <c:pt idx="3">
                  <c:v>Gradac</c:v>
                </c:pt>
              </c:strCache>
            </c:strRef>
          </c:cat>
          <c:val>
            <c:numRef>
              <c:f>Sheet1!$J$2:$J$5</c:f>
              <c:numCache>
                <c:formatCode>General</c:formatCode>
                <c:ptCount val="4"/>
                <c:pt idx="0">
                  <c:v>0.05</c:v>
                </c:pt>
                <c:pt idx="1">
                  <c:v>0.05</c:v>
                </c:pt>
                <c:pt idx="2">
                  <c:v>0.05</c:v>
                </c:pt>
                <c:pt idx="3">
                  <c:v>0.05</c:v>
                </c:pt>
              </c:numCache>
            </c:numRef>
          </c:val>
          <c:smooth val="0"/>
        </c:ser>
        <c:ser>
          <c:idx val="9"/>
          <c:order val="9"/>
          <c:tx>
            <c:strRef>
              <c:f>Sheet1!$K$1</c:f>
              <c:strCache>
                <c:ptCount val="1"/>
                <c:pt idx="0">
                  <c:v>MDK A3</c:v>
                </c:pt>
              </c:strCache>
            </c:strRef>
          </c:tx>
          <c:spPr>
            <a:ln w="25400"/>
          </c:spPr>
          <c:marker>
            <c:symbol val="none"/>
          </c:marker>
          <c:cat>
            <c:strRef>
              <c:f>Sheet1!$A$2:$A$5</c:f>
              <c:strCache>
                <c:ptCount val="4"/>
                <c:pt idx="0">
                  <c:v>Rabitlja</c:v>
                </c:pt>
                <c:pt idx="1">
                  <c:v>ispod Pljevalja</c:v>
                </c:pt>
                <c:pt idx="2">
                  <c:v>ispod ušća Vezišnice</c:v>
                </c:pt>
                <c:pt idx="3">
                  <c:v>Gradac</c:v>
                </c:pt>
              </c:strCache>
            </c:strRef>
          </c:cat>
          <c:val>
            <c:numRef>
              <c:f>Sheet1!$K$2:$K$5</c:f>
              <c:numCache>
                <c:formatCode>General</c:formatCode>
                <c:ptCount val="4"/>
                <c:pt idx="0">
                  <c:v>0.1</c:v>
                </c:pt>
                <c:pt idx="1">
                  <c:v>0.1</c:v>
                </c:pt>
                <c:pt idx="2">
                  <c:v>0.1</c:v>
                </c:pt>
                <c:pt idx="3">
                  <c:v>0.1</c:v>
                </c:pt>
              </c:numCache>
            </c:numRef>
          </c:val>
          <c:smooth val="0"/>
        </c:ser>
        <c:dLbls>
          <c:showLegendKey val="0"/>
          <c:showVal val="0"/>
          <c:showCatName val="0"/>
          <c:showSerName val="0"/>
          <c:showPercent val="0"/>
          <c:showBubbleSize val="0"/>
        </c:dLbls>
        <c:marker val="1"/>
        <c:smooth val="0"/>
        <c:axId val="282079616"/>
        <c:axId val="282081152"/>
      </c:lineChart>
      <c:catAx>
        <c:axId val="282079616"/>
        <c:scaling>
          <c:orientation val="minMax"/>
        </c:scaling>
        <c:delete val="0"/>
        <c:axPos val="b"/>
        <c:numFmt formatCode="General" sourceLinked="1"/>
        <c:majorTickMark val="out"/>
        <c:minorTickMark val="none"/>
        <c:tickLblPos val="nextTo"/>
        <c:txPr>
          <a:bodyPr/>
          <a:lstStyle/>
          <a:p>
            <a:pPr>
              <a:defRPr sz="700"/>
            </a:pPr>
            <a:endParaRPr lang="en-US"/>
          </a:p>
        </c:txPr>
        <c:crossAx val="282081152"/>
        <c:crosses val="autoZero"/>
        <c:auto val="1"/>
        <c:lblAlgn val="ctr"/>
        <c:lblOffset val="100"/>
        <c:noMultiLvlLbl val="0"/>
      </c:catAx>
      <c:valAx>
        <c:axId val="282081152"/>
        <c:scaling>
          <c:orientation val="minMax"/>
          <c:max val="1"/>
          <c:min val="0"/>
        </c:scaling>
        <c:delete val="0"/>
        <c:axPos val="l"/>
        <c:numFmt formatCode="General" sourceLinked="1"/>
        <c:majorTickMark val="out"/>
        <c:minorTickMark val="none"/>
        <c:tickLblPos val="nextTo"/>
        <c:txPr>
          <a:bodyPr/>
          <a:lstStyle/>
          <a:p>
            <a:pPr>
              <a:defRPr sz="700"/>
            </a:pPr>
            <a:endParaRPr lang="en-US"/>
          </a:p>
        </c:txPr>
        <c:crossAx val="282079616"/>
        <c:crosses val="autoZero"/>
        <c:crossBetween val="between"/>
      </c:valAx>
      <c:spPr>
        <a:noFill/>
        <a:ln w="25400">
          <a:noFill/>
        </a:ln>
      </c:spPr>
    </c:plotArea>
    <c:legend>
      <c:legendPos val="r"/>
      <c:legendEntry>
        <c:idx val="4"/>
        <c:txPr>
          <a:bodyPr/>
          <a:lstStyle/>
          <a:p>
            <a:pPr>
              <a:defRPr sz="700" b="0"/>
            </a:pPr>
            <a:endParaRPr lang="en-US"/>
          </a:p>
        </c:txPr>
      </c:legendEntry>
      <c:layout>
        <c:manualLayout>
          <c:xMode val="edge"/>
          <c:yMode val="edge"/>
          <c:x val="0.84009316716205151"/>
          <c:y val="5.2595508894721877E-3"/>
          <c:w val="0.1599068328379486"/>
          <c:h val="0.46442969628796454"/>
        </c:manualLayout>
      </c:layout>
      <c:overlay val="1"/>
      <c:txPr>
        <a:bodyPr/>
        <a:lstStyle/>
        <a:p>
          <a:pPr>
            <a:defRPr sz="700"/>
          </a:pPr>
          <a:endParaRPr lang="en-US"/>
        </a:p>
      </c:txPr>
    </c:legend>
    <c:plotVisOnly val="1"/>
    <c:dispBlanksAs val="gap"/>
    <c:showDLblsOverMax val="0"/>
  </c:chart>
  <c:spPr>
    <a:ln>
      <a:noFill/>
    </a:ln>
  </c:spPr>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manualLayout>
          <c:layoutTarget val="inner"/>
          <c:xMode val="edge"/>
          <c:yMode val="edge"/>
          <c:x val="5.2034606785262956E-2"/>
          <c:y val="6.0906149706056407E-2"/>
          <c:w val="0.77977155633323814"/>
          <c:h val="0.83848042432195957"/>
        </c:manualLayout>
      </c:layout>
      <c:barChart>
        <c:barDir val="col"/>
        <c:grouping val="clustered"/>
        <c:varyColors val="0"/>
        <c:ser>
          <c:idx val="0"/>
          <c:order val="0"/>
          <c:tx>
            <c:strRef>
              <c:f>Sheet1!$B$1</c:f>
              <c:strCache>
                <c:ptCount val="1"/>
                <c:pt idx="0">
                  <c:v>2008</c:v>
                </c:pt>
              </c:strCache>
            </c:strRef>
          </c:tx>
          <c:invertIfNegative val="0"/>
          <c:cat>
            <c:strRef>
              <c:f>Sheet1!$A$2:$A$7</c:f>
              <c:strCache>
                <c:ptCount val="6"/>
                <c:pt idx="0">
                  <c:v>Plav</c:v>
                </c:pt>
                <c:pt idx="1">
                  <c:v>Andrijevica</c:v>
                </c:pt>
                <c:pt idx="2">
                  <c:v>Skakavac</c:v>
                </c:pt>
                <c:pt idx="3">
                  <c:v>Zaton</c:v>
                </c:pt>
                <c:pt idx="4">
                  <c:v>Bijelo Polje</c:v>
                </c:pt>
                <c:pt idx="5">
                  <c:v>Dobrakovo</c:v>
                </c:pt>
              </c:strCache>
            </c:strRef>
          </c:cat>
          <c:val>
            <c:numRef>
              <c:f>Sheet1!$B$2:$B$7</c:f>
              <c:numCache>
                <c:formatCode>General</c:formatCode>
                <c:ptCount val="6"/>
                <c:pt idx="0">
                  <c:v>2.0000000000000011E-2</c:v>
                </c:pt>
                <c:pt idx="1">
                  <c:v>2.0000000000000011E-2</c:v>
                </c:pt>
                <c:pt idx="2">
                  <c:v>9.0000000000000024E-2</c:v>
                </c:pt>
                <c:pt idx="3">
                  <c:v>4.0000000000000022E-2</c:v>
                </c:pt>
                <c:pt idx="4">
                  <c:v>9.0000000000000024E-2</c:v>
                </c:pt>
                <c:pt idx="5">
                  <c:v>0.23</c:v>
                </c:pt>
              </c:numCache>
            </c:numRef>
          </c:val>
        </c:ser>
        <c:ser>
          <c:idx val="1"/>
          <c:order val="1"/>
          <c:tx>
            <c:strRef>
              <c:f>Sheet1!$C$1</c:f>
              <c:strCache>
                <c:ptCount val="1"/>
                <c:pt idx="0">
                  <c:v>2009</c:v>
                </c:pt>
              </c:strCache>
            </c:strRef>
          </c:tx>
          <c:invertIfNegative val="0"/>
          <c:cat>
            <c:strRef>
              <c:f>Sheet1!$A$2:$A$7</c:f>
              <c:strCache>
                <c:ptCount val="6"/>
                <c:pt idx="0">
                  <c:v>Plav</c:v>
                </c:pt>
                <c:pt idx="1">
                  <c:v>Andrijevica</c:v>
                </c:pt>
                <c:pt idx="2">
                  <c:v>Skakavac</c:v>
                </c:pt>
                <c:pt idx="3">
                  <c:v>Zaton</c:v>
                </c:pt>
                <c:pt idx="4">
                  <c:v>Bijelo Polje</c:v>
                </c:pt>
                <c:pt idx="5">
                  <c:v>Dobrakovo</c:v>
                </c:pt>
              </c:strCache>
            </c:strRef>
          </c:cat>
          <c:val>
            <c:numRef>
              <c:f>Sheet1!$C$2:$C$7</c:f>
              <c:numCache>
                <c:formatCode>General</c:formatCode>
                <c:ptCount val="6"/>
                <c:pt idx="0">
                  <c:v>3.0000000000000002E-2</c:v>
                </c:pt>
                <c:pt idx="1">
                  <c:v>4.0000000000000022E-2</c:v>
                </c:pt>
                <c:pt idx="2">
                  <c:v>4.0000000000000022E-2</c:v>
                </c:pt>
                <c:pt idx="3">
                  <c:v>7.0000000000000021E-2</c:v>
                </c:pt>
                <c:pt idx="4">
                  <c:v>9.0000000000000024E-2</c:v>
                </c:pt>
                <c:pt idx="5">
                  <c:v>0.11</c:v>
                </c:pt>
              </c:numCache>
            </c:numRef>
          </c:val>
        </c:ser>
        <c:ser>
          <c:idx val="2"/>
          <c:order val="2"/>
          <c:tx>
            <c:strRef>
              <c:f>Sheet1!$D$1</c:f>
              <c:strCache>
                <c:ptCount val="1"/>
                <c:pt idx="0">
                  <c:v>2010</c:v>
                </c:pt>
              </c:strCache>
            </c:strRef>
          </c:tx>
          <c:invertIfNegative val="0"/>
          <c:cat>
            <c:strRef>
              <c:f>Sheet1!$A$2:$A$7</c:f>
              <c:strCache>
                <c:ptCount val="6"/>
                <c:pt idx="0">
                  <c:v>Plav</c:v>
                </c:pt>
                <c:pt idx="1">
                  <c:v>Andrijevica</c:v>
                </c:pt>
                <c:pt idx="2">
                  <c:v>Skakavac</c:v>
                </c:pt>
                <c:pt idx="3">
                  <c:v>Zaton</c:v>
                </c:pt>
                <c:pt idx="4">
                  <c:v>Bijelo Polje</c:v>
                </c:pt>
                <c:pt idx="5">
                  <c:v>Dobrakovo</c:v>
                </c:pt>
              </c:strCache>
            </c:strRef>
          </c:cat>
          <c:val>
            <c:numRef>
              <c:f>Sheet1!$D$2:$D$7</c:f>
              <c:numCache>
                <c:formatCode>General</c:formatCode>
                <c:ptCount val="6"/>
                <c:pt idx="0">
                  <c:v>3.0000000000000002E-2</c:v>
                </c:pt>
                <c:pt idx="1">
                  <c:v>4.0000000000000022E-2</c:v>
                </c:pt>
                <c:pt idx="2">
                  <c:v>9.0000000000000024E-2</c:v>
                </c:pt>
                <c:pt idx="3">
                  <c:v>9.0000000000000024E-2</c:v>
                </c:pt>
                <c:pt idx="4">
                  <c:v>4.0000000000000022E-2</c:v>
                </c:pt>
                <c:pt idx="5">
                  <c:v>0.64000000000000079</c:v>
                </c:pt>
              </c:numCache>
            </c:numRef>
          </c:val>
        </c:ser>
        <c:ser>
          <c:idx val="3"/>
          <c:order val="3"/>
          <c:tx>
            <c:strRef>
              <c:f>Sheet1!$E$1</c:f>
              <c:strCache>
                <c:ptCount val="1"/>
                <c:pt idx="0">
                  <c:v>2011</c:v>
                </c:pt>
              </c:strCache>
            </c:strRef>
          </c:tx>
          <c:spPr>
            <a:ln w="38100"/>
          </c:spPr>
          <c:invertIfNegative val="0"/>
          <c:cat>
            <c:strRef>
              <c:f>Sheet1!$A$2:$A$7</c:f>
              <c:strCache>
                <c:ptCount val="6"/>
                <c:pt idx="0">
                  <c:v>Plav</c:v>
                </c:pt>
                <c:pt idx="1">
                  <c:v>Andrijevica</c:v>
                </c:pt>
                <c:pt idx="2">
                  <c:v>Skakavac</c:v>
                </c:pt>
                <c:pt idx="3">
                  <c:v>Zaton</c:v>
                </c:pt>
                <c:pt idx="4">
                  <c:v>Bijelo Polje</c:v>
                </c:pt>
                <c:pt idx="5">
                  <c:v>Dobrakovo</c:v>
                </c:pt>
              </c:strCache>
            </c:strRef>
          </c:cat>
          <c:val>
            <c:numRef>
              <c:f>Sheet1!$E$2:$E$7</c:f>
              <c:numCache>
                <c:formatCode>General</c:formatCode>
                <c:ptCount val="6"/>
                <c:pt idx="0">
                  <c:v>0.11</c:v>
                </c:pt>
                <c:pt idx="1">
                  <c:v>0.14000000000000001</c:v>
                </c:pt>
                <c:pt idx="2">
                  <c:v>0.2</c:v>
                </c:pt>
                <c:pt idx="3">
                  <c:v>0.05</c:v>
                </c:pt>
                <c:pt idx="4">
                  <c:v>0.17</c:v>
                </c:pt>
                <c:pt idx="5">
                  <c:v>7.0000000000000021E-2</c:v>
                </c:pt>
              </c:numCache>
            </c:numRef>
          </c:val>
        </c:ser>
        <c:ser>
          <c:idx val="4"/>
          <c:order val="4"/>
          <c:tx>
            <c:strRef>
              <c:f>Sheet1!$F$1</c:f>
              <c:strCache>
                <c:ptCount val="1"/>
                <c:pt idx="0">
                  <c:v>2012</c:v>
                </c:pt>
              </c:strCache>
            </c:strRef>
          </c:tx>
          <c:spPr>
            <a:ln w="38100"/>
          </c:spPr>
          <c:invertIfNegative val="0"/>
          <c:cat>
            <c:strRef>
              <c:f>Sheet1!$A$2:$A$7</c:f>
              <c:strCache>
                <c:ptCount val="6"/>
                <c:pt idx="0">
                  <c:v>Plav</c:v>
                </c:pt>
                <c:pt idx="1">
                  <c:v>Andrijevica</c:v>
                </c:pt>
                <c:pt idx="2">
                  <c:v>Skakavac</c:v>
                </c:pt>
                <c:pt idx="3">
                  <c:v>Zaton</c:v>
                </c:pt>
                <c:pt idx="4">
                  <c:v>Bijelo Polje</c:v>
                </c:pt>
                <c:pt idx="5">
                  <c:v>Dobrakovo</c:v>
                </c:pt>
              </c:strCache>
            </c:strRef>
          </c:cat>
          <c:val>
            <c:numRef>
              <c:f>Sheet1!$F$2:$F$7</c:f>
              <c:numCache>
                <c:formatCode>General</c:formatCode>
                <c:ptCount val="6"/>
                <c:pt idx="0">
                  <c:v>0.14000000000000001</c:v>
                </c:pt>
                <c:pt idx="1">
                  <c:v>0.13</c:v>
                </c:pt>
                <c:pt idx="2">
                  <c:v>0.14000000000000001</c:v>
                </c:pt>
                <c:pt idx="3">
                  <c:v>6.0000000000000032E-2</c:v>
                </c:pt>
                <c:pt idx="4">
                  <c:v>8.0000000000000043E-2</c:v>
                </c:pt>
                <c:pt idx="5">
                  <c:v>0.1</c:v>
                </c:pt>
              </c:numCache>
            </c:numRef>
          </c:val>
        </c:ser>
        <c:ser>
          <c:idx val="5"/>
          <c:order val="5"/>
          <c:tx>
            <c:strRef>
              <c:f>Sheet1!$G$1</c:f>
              <c:strCache>
                <c:ptCount val="1"/>
                <c:pt idx="0">
                  <c:v>2013</c:v>
                </c:pt>
              </c:strCache>
            </c:strRef>
          </c:tx>
          <c:spPr>
            <a:ln w="38100"/>
          </c:spPr>
          <c:invertIfNegative val="0"/>
          <c:cat>
            <c:strRef>
              <c:f>Sheet1!$A$2:$A$7</c:f>
              <c:strCache>
                <c:ptCount val="6"/>
                <c:pt idx="0">
                  <c:v>Plav</c:v>
                </c:pt>
                <c:pt idx="1">
                  <c:v>Andrijevica</c:v>
                </c:pt>
                <c:pt idx="2">
                  <c:v>Skakavac</c:v>
                </c:pt>
                <c:pt idx="3">
                  <c:v>Zaton</c:v>
                </c:pt>
                <c:pt idx="4">
                  <c:v>Bijelo Polje</c:v>
                </c:pt>
                <c:pt idx="5">
                  <c:v>Dobrakovo</c:v>
                </c:pt>
              </c:strCache>
            </c:strRef>
          </c:cat>
          <c:val>
            <c:numRef>
              <c:f>Sheet1!$G$2:$G$7</c:f>
              <c:numCache>
                <c:formatCode>General</c:formatCode>
                <c:ptCount val="6"/>
                <c:pt idx="0">
                  <c:v>7.0000000000000021E-2</c:v>
                </c:pt>
                <c:pt idx="1">
                  <c:v>6.0000000000000032E-2</c:v>
                </c:pt>
                <c:pt idx="2">
                  <c:v>0.15000000000000016</c:v>
                </c:pt>
                <c:pt idx="3">
                  <c:v>4.0000000000000022E-2</c:v>
                </c:pt>
                <c:pt idx="4">
                  <c:v>4.0000000000000022E-2</c:v>
                </c:pt>
                <c:pt idx="5">
                  <c:v>0.05</c:v>
                </c:pt>
              </c:numCache>
            </c:numRef>
          </c:val>
        </c:ser>
        <c:dLbls>
          <c:showLegendKey val="0"/>
          <c:showVal val="0"/>
          <c:showCatName val="0"/>
          <c:showSerName val="0"/>
          <c:showPercent val="0"/>
          <c:showBubbleSize val="0"/>
        </c:dLbls>
        <c:gapWidth val="150"/>
        <c:axId val="315401728"/>
        <c:axId val="315403264"/>
      </c:barChart>
      <c:lineChart>
        <c:grouping val="standard"/>
        <c:varyColors val="0"/>
        <c:ser>
          <c:idx val="6"/>
          <c:order val="6"/>
          <c:tx>
            <c:strRef>
              <c:f>Sheet1!$H$1</c:f>
              <c:strCache>
                <c:ptCount val="1"/>
                <c:pt idx="0">
                  <c:v>MDK A</c:v>
                </c:pt>
              </c:strCache>
            </c:strRef>
          </c:tx>
          <c:spPr>
            <a:ln w="25400"/>
          </c:spPr>
          <c:marker>
            <c:symbol val="none"/>
          </c:marker>
          <c:cat>
            <c:strRef>
              <c:f>Sheet1!$A$2:$A$7</c:f>
              <c:strCache>
                <c:ptCount val="6"/>
                <c:pt idx="0">
                  <c:v>Plav</c:v>
                </c:pt>
                <c:pt idx="1">
                  <c:v>Andrijevica</c:v>
                </c:pt>
                <c:pt idx="2">
                  <c:v>Skakavac</c:v>
                </c:pt>
                <c:pt idx="3">
                  <c:v>Zaton</c:v>
                </c:pt>
                <c:pt idx="4">
                  <c:v>Bijelo Polje</c:v>
                </c:pt>
                <c:pt idx="5">
                  <c:v>Dobrakovo</c:v>
                </c:pt>
              </c:strCache>
            </c:strRef>
          </c:cat>
          <c:val>
            <c:numRef>
              <c:f>Sheet1!$H$2:$H$7</c:f>
              <c:numCache>
                <c:formatCode>General</c:formatCode>
                <c:ptCount val="6"/>
                <c:pt idx="0">
                  <c:v>1.0000000000000005E-2</c:v>
                </c:pt>
                <c:pt idx="1">
                  <c:v>1.0000000000000005E-2</c:v>
                </c:pt>
                <c:pt idx="2">
                  <c:v>1.0000000000000005E-2</c:v>
                </c:pt>
                <c:pt idx="3">
                  <c:v>1.0000000000000005E-2</c:v>
                </c:pt>
                <c:pt idx="4">
                  <c:v>1.0000000000000005E-2</c:v>
                </c:pt>
                <c:pt idx="5">
                  <c:v>1.0000000000000005E-2</c:v>
                </c:pt>
              </c:numCache>
            </c:numRef>
          </c:val>
          <c:smooth val="0"/>
        </c:ser>
        <c:ser>
          <c:idx val="7"/>
          <c:order val="7"/>
          <c:tx>
            <c:strRef>
              <c:f>Sheet1!$I$1</c:f>
              <c:strCache>
                <c:ptCount val="1"/>
                <c:pt idx="0">
                  <c:v>MDK A1</c:v>
                </c:pt>
              </c:strCache>
            </c:strRef>
          </c:tx>
          <c:spPr>
            <a:ln w="25400"/>
          </c:spPr>
          <c:marker>
            <c:symbol val="none"/>
          </c:marker>
          <c:cat>
            <c:strRef>
              <c:f>Sheet1!$A$2:$A$7</c:f>
              <c:strCache>
                <c:ptCount val="6"/>
                <c:pt idx="0">
                  <c:v>Plav</c:v>
                </c:pt>
                <c:pt idx="1">
                  <c:v>Andrijevica</c:v>
                </c:pt>
                <c:pt idx="2">
                  <c:v>Skakavac</c:v>
                </c:pt>
                <c:pt idx="3">
                  <c:v>Zaton</c:v>
                </c:pt>
                <c:pt idx="4">
                  <c:v>Bijelo Polje</c:v>
                </c:pt>
                <c:pt idx="5">
                  <c:v>Dobrakovo</c:v>
                </c:pt>
              </c:strCache>
            </c:strRef>
          </c:cat>
          <c:val>
            <c:numRef>
              <c:f>Sheet1!$I$2:$I$7</c:f>
              <c:numCache>
                <c:formatCode>General</c:formatCode>
                <c:ptCount val="6"/>
                <c:pt idx="0">
                  <c:v>2.0000000000000011E-2</c:v>
                </c:pt>
                <c:pt idx="1">
                  <c:v>2.0000000000000011E-2</c:v>
                </c:pt>
                <c:pt idx="2">
                  <c:v>2.0000000000000011E-2</c:v>
                </c:pt>
                <c:pt idx="3">
                  <c:v>2.0000000000000011E-2</c:v>
                </c:pt>
                <c:pt idx="4">
                  <c:v>2.0000000000000011E-2</c:v>
                </c:pt>
                <c:pt idx="5">
                  <c:v>2.0000000000000011E-2</c:v>
                </c:pt>
              </c:numCache>
            </c:numRef>
          </c:val>
          <c:smooth val="0"/>
        </c:ser>
        <c:ser>
          <c:idx val="8"/>
          <c:order val="8"/>
          <c:tx>
            <c:strRef>
              <c:f>Sheet1!$J$1</c:f>
              <c:strCache>
                <c:ptCount val="1"/>
                <c:pt idx="0">
                  <c:v>MDK A2</c:v>
                </c:pt>
              </c:strCache>
            </c:strRef>
          </c:tx>
          <c:spPr>
            <a:ln w="25400"/>
          </c:spPr>
          <c:marker>
            <c:symbol val="none"/>
          </c:marker>
          <c:cat>
            <c:strRef>
              <c:f>Sheet1!$A$2:$A$7</c:f>
              <c:strCache>
                <c:ptCount val="6"/>
                <c:pt idx="0">
                  <c:v>Plav</c:v>
                </c:pt>
                <c:pt idx="1">
                  <c:v>Andrijevica</c:v>
                </c:pt>
                <c:pt idx="2">
                  <c:v>Skakavac</c:v>
                </c:pt>
                <c:pt idx="3">
                  <c:v>Zaton</c:v>
                </c:pt>
                <c:pt idx="4">
                  <c:v>Bijelo Polje</c:v>
                </c:pt>
                <c:pt idx="5">
                  <c:v>Dobrakovo</c:v>
                </c:pt>
              </c:strCache>
            </c:strRef>
          </c:cat>
          <c:val>
            <c:numRef>
              <c:f>Sheet1!$J$2:$J$7</c:f>
              <c:numCache>
                <c:formatCode>General</c:formatCode>
                <c:ptCount val="6"/>
                <c:pt idx="0">
                  <c:v>0.05</c:v>
                </c:pt>
                <c:pt idx="1">
                  <c:v>0.05</c:v>
                </c:pt>
                <c:pt idx="2">
                  <c:v>0.05</c:v>
                </c:pt>
                <c:pt idx="3">
                  <c:v>0.05</c:v>
                </c:pt>
                <c:pt idx="4">
                  <c:v>0.05</c:v>
                </c:pt>
                <c:pt idx="5">
                  <c:v>0.05</c:v>
                </c:pt>
              </c:numCache>
            </c:numRef>
          </c:val>
          <c:smooth val="0"/>
        </c:ser>
        <c:ser>
          <c:idx val="9"/>
          <c:order val="9"/>
          <c:tx>
            <c:strRef>
              <c:f>Sheet1!$K$1</c:f>
              <c:strCache>
                <c:ptCount val="1"/>
                <c:pt idx="0">
                  <c:v>MDK A3</c:v>
                </c:pt>
              </c:strCache>
            </c:strRef>
          </c:tx>
          <c:spPr>
            <a:ln w="25400"/>
          </c:spPr>
          <c:marker>
            <c:symbol val="none"/>
          </c:marker>
          <c:cat>
            <c:strRef>
              <c:f>Sheet1!$A$2:$A$7</c:f>
              <c:strCache>
                <c:ptCount val="6"/>
                <c:pt idx="0">
                  <c:v>Plav</c:v>
                </c:pt>
                <c:pt idx="1">
                  <c:v>Andrijevica</c:v>
                </c:pt>
                <c:pt idx="2">
                  <c:v>Skakavac</c:v>
                </c:pt>
                <c:pt idx="3">
                  <c:v>Zaton</c:v>
                </c:pt>
                <c:pt idx="4">
                  <c:v>Bijelo Polje</c:v>
                </c:pt>
                <c:pt idx="5">
                  <c:v>Dobrakovo</c:v>
                </c:pt>
              </c:strCache>
            </c:strRef>
          </c:cat>
          <c:val>
            <c:numRef>
              <c:f>Sheet1!$K$2:$K$7</c:f>
              <c:numCache>
                <c:formatCode>General</c:formatCode>
                <c:ptCount val="6"/>
                <c:pt idx="0">
                  <c:v>0.1</c:v>
                </c:pt>
                <c:pt idx="1">
                  <c:v>0.1</c:v>
                </c:pt>
                <c:pt idx="2">
                  <c:v>0.1</c:v>
                </c:pt>
                <c:pt idx="3">
                  <c:v>0.1</c:v>
                </c:pt>
                <c:pt idx="4">
                  <c:v>0.1</c:v>
                </c:pt>
                <c:pt idx="5">
                  <c:v>0.1</c:v>
                </c:pt>
              </c:numCache>
            </c:numRef>
          </c:val>
          <c:smooth val="0"/>
        </c:ser>
        <c:dLbls>
          <c:showLegendKey val="0"/>
          <c:showVal val="0"/>
          <c:showCatName val="0"/>
          <c:showSerName val="0"/>
          <c:showPercent val="0"/>
          <c:showBubbleSize val="0"/>
        </c:dLbls>
        <c:marker val="1"/>
        <c:smooth val="0"/>
        <c:axId val="315401728"/>
        <c:axId val="315403264"/>
      </c:lineChart>
      <c:catAx>
        <c:axId val="315401728"/>
        <c:scaling>
          <c:orientation val="minMax"/>
        </c:scaling>
        <c:delete val="0"/>
        <c:axPos val="b"/>
        <c:majorTickMark val="out"/>
        <c:minorTickMark val="none"/>
        <c:tickLblPos val="nextTo"/>
        <c:txPr>
          <a:bodyPr/>
          <a:lstStyle/>
          <a:p>
            <a:pPr>
              <a:defRPr sz="700"/>
            </a:pPr>
            <a:endParaRPr lang="en-US"/>
          </a:p>
        </c:txPr>
        <c:crossAx val="315403264"/>
        <c:crosses val="autoZero"/>
        <c:auto val="1"/>
        <c:lblAlgn val="ctr"/>
        <c:lblOffset val="100"/>
        <c:noMultiLvlLbl val="0"/>
      </c:catAx>
      <c:valAx>
        <c:axId val="315403264"/>
        <c:scaling>
          <c:orientation val="minMax"/>
        </c:scaling>
        <c:delete val="0"/>
        <c:axPos val="l"/>
        <c:numFmt formatCode="General" sourceLinked="1"/>
        <c:majorTickMark val="out"/>
        <c:minorTickMark val="none"/>
        <c:tickLblPos val="nextTo"/>
        <c:txPr>
          <a:bodyPr/>
          <a:lstStyle/>
          <a:p>
            <a:pPr>
              <a:defRPr sz="700"/>
            </a:pPr>
            <a:endParaRPr lang="en-US"/>
          </a:p>
        </c:txPr>
        <c:crossAx val="315401728"/>
        <c:crosses val="autoZero"/>
        <c:crossBetween val="between"/>
      </c:valAx>
    </c:plotArea>
    <c:legend>
      <c:legendPos val="r"/>
      <c:layout>
        <c:manualLayout>
          <c:xMode val="edge"/>
          <c:yMode val="edge"/>
          <c:x val="0.81157261592300967"/>
          <c:y val="3.5652621282292705E-2"/>
          <c:w val="0.18552517740837951"/>
          <c:h val="0.46523115712898061"/>
        </c:manualLayout>
      </c:layout>
      <c:overlay val="1"/>
      <c:txPr>
        <a:bodyPr/>
        <a:lstStyle/>
        <a:p>
          <a:pPr>
            <a:defRPr sz="700"/>
          </a:pPr>
          <a:endParaRPr lang="en-US"/>
        </a:p>
      </c:txPr>
    </c:legend>
    <c:plotVisOnly val="1"/>
    <c:dispBlanksAs val="gap"/>
    <c:showDLblsOverMax val="0"/>
  </c:chart>
  <c:spPr>
    <a:ln>
      <a:noFill/>
    </a:ln>
  </c:spPr>
  <c:externalData r:id="rId1">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manualLayout>
          <c:layoutTarget val="inner"/>
          <c:xMode val="edge"/>
          <c:yMode val="edge"/>
          <c:x val="5.6607766535686888E-2"/>
          <c:y val="7.4175556261619896E-2"/>
          <c:w val="0.78545016935123646"/>
          <c:h val="0.76587051618547886"/>
        </c:manualLayout>
      </c:layout>
      <c:barChart>
        <c:barDir val="col"/>
        <c:grouping val="clustered"/>
        <c:varyColors val="0"/>
        <c:ser>
          <c:idx val="0"/>
          <c:order val="0"/>
          <c:tx>
            <c:strRef>
              <c:f>Sheet1!$B$1</c:f>
              <c:strCache>
                <c:ptCount val="1"/>
                <c:pt idx="0">
                  <c:v>2008</c:v>
                </c:pt>
              </c:strCache>
            </c:strRef>
          </c:tx>
          <c:invertIfNegative val="0"/>
          <c:cat>
            <c:strRef>
              <c:f>Sheet1!$A$2:$A$10</c:f>
              <c:strCache>
                <c:ptCount val="9"/>
                <c:pt idx="0">
                  <c:v>Vranjina</c:v>
                </c:pt>
                <c:pt idx="1">
                  <c:v>Virpazar</c:v>
                </c:pt>
                <c:pt idx="2">
                  <c:v>Plavnica</c:v>
                </c:pt>
                <c:pt idx="3">
                  <c:v>Kamenik</c:v>
                </c:pt>
                <c:pt idx="4">
                  <c:v>Podhum</c:v>
                </c:pt>
                <c:pt idx="5">
                  <c:v>Starčeva gorica</c:v>
                </c:pt>
                <c:pt idx="6">
                  <c:v>Moračnik</c:v>
                </c:pt>
                <c:pt idx="7">
                  <c:v>Ckla</c:v>
                </c:pt>
                <c:pt idx="8">
                  <c:v>sredina jezera</c:v>
                </c:pt>
              </c:strCache>
            </c:strRef>
          </c:cat>
          <c:val>
            <c:numRef>
              <c:f>Sheet1!$B$2:$B$10</c:f>
              <c:numCache>
                <c:formatCode>General</c:formatCode>
                <c:ptCount val="9"/>
                <c:pt idx="0">
                  <c:v>8.0000000000000043E-2</c:v>
                </c:pt>
                <c:pt idx="1">
                  <c:v>0.18000000000000016</c:v>
                </c:pt>
                <c:pt idx="2">
                  <c:v>0.13</c:v>
                </c:pt>
                <c:pt idx="3">
                  <c:v>6.0000000000000032E-2</c:v>
                </c:pt>
                <c:pt idx="4">
                  <c:v>0.05</c:v>
                </c:pt>
                <c:pt idx="5">
                  <c:v>0.14000000000000001</c:v>
                </c:pt>
                <c:pt idx="6">
                  <c:v>0.17</c:v>
                </c:pt>
                <c:pt idx="7">
                  <c:v>0.14000000000000001</c:v>
                </c:pt>
                <c:pt idx="8">
                  <c:v>7.0000000000000021E-2</c:v>
                </c:pt>
              </c:numCache>
            </c:numRef>
          </c:val>
        </c:ser>
        <c:ser>
          <c:idx val="1"/>
          <c:order val="1"/>
          <c:tx>
            <c:strRef>
              <c:f>Sheet1!$C$1</c:f>
              <c:strCache>
                <c:ptCount val="1"/>
                <c:pt idx="0">
                  <c:v>2009</c:v>
                </c:pt>
              </c:strCache>
            </c:strRef>
          </c:tx>
          <c:invertIfNegative val="0"/>
          <c:cat>
            <c:strRef>
              <c:f>Sheet1!$A$2:$A$10</c:f>
              <c:strCache>
                <c:ptCount val="9"/>
                <c:pt idx="0">
                  <c:v>Vranjina</c:v>
                </c:pt>
                <c:pt idx="1">
                  <c:v>Virpazar</c:v>
                </c:pt>
                <c:pt idx="2">
                  <c:v>Plavnica</c:v>
                </c:pt>
                <c:pt idx="3">
                  <c:v>Kamenik</c:v>
                </c:pt>
                <c:pt idx="4">
                  <c:v>Podhum</c:v>
                </c:pt>
                <c:pt idx="5">
                  <c:v>Starčeva gorica</c:v>
                </c:pt>
                <c:pt idx="6">
                  <c:v>Moračnik</c:v>
                </c:pt>
                <c:pt idx="7">
                  <c:v>Ckla</c:v>
                </c:pt>
                <c:pt idx="8">
                  <c:v>sredina jezera</c:v>
                </c:pt>
              </c:strCache>
            </c:strRef>
          </c:cat>
          <c:val>
            <c:numRef>
              <c:f>Sheet1!$C$2:$C$10</c:f>
              <c:numCache>
                <c:formatCode>General</c:formatCode>
                <c:ptCount val="9"/>
                <c:pt idx="0">
                  <c:v>7.0000000000000021E-2</c:v>
                </c:pt>
                <c:pt idx="1">
                  <c:v>6.0000000000000032E-2</c:v>
                </c:pt>
                <c:pt idx="2">
                  <c:v>0.21000000000000016</c:v>
                </c:pt>
                <c:pt idx="3">
                  <c:v>8.0000000000000043E-2</c:v>
                </c:pt>
                <c:pt idx="4">
                  <c:v>6.0000000000000032E-2</c:v>
                </c:pt>
                <c:pt idx="5">
                  <c:v>7.0000000000000021E-2</c:v>
                </c:pt>
                <c:pt idx="6">
                  <c:v>7.0000000000000021E-2</c:v>
                </c:pt>
                <c:pt idx="7">
                  <c:v>0.05</c:v>
                </c:pt>
                <c:pt idx="8">
                  <c:v>4.0000000000000022E-2</c:v>
                </c:pt>
              </c:numCache>
            </c:numRef>
          </c:val>
        </c:ser>
        <c:ser>
          <c:idx val="2"/>
          <c:order val="2"/>
          <c:tx>
            <c:strRef>
              <c:f>Sheet1!$D$1</c:f>
              <c:strCache>
                <c:ptCount val="1"/>
                <c:pt idx="0">
                  <c:v>2010</c:v>
                </c:pt>
              </c:strCache>
            </c:strRef>
          </c:tx>
          <c:spPr>
            <a:ln w="38100"/>
          </c:spPr>
          <c:invertIfNegative val="0"/>
          <c:cat>
            <c:strRef>
              <c:f>Sheet1!$A$2:$A$10</c:f>
              <c:strCache>
                <c:ptCount val="9"/>
                <c:pt idx="0">
                  <c:v>Vranjina</c:v>
                </c:pt>
                <c:pt idx="1">
                  <c:v>Virpazar</c:v>
                </c:pt>
                <c:pt idx="2">
                  <c:v>Plavnica</c:v>
                </c:pt>
                <c:pt idx="3">
                  <c:v>Kamenik</c:v>
                </c:pt>
                <c:pt idx="4">
                  <c:v>Podhum</c:v>
                </c:pt>
                <c:pt idx="5">
                  <c:v>Starčeva gorica</c:v>
                </c:pt>
                <c:pt idx="6">
                  <c:v>Moračnik</c:v>
                </c:pt>
                <c:pt idx="7">
                  <c:v>Ckla</c:v>
                </c:pt>
                <c:pt idx="8">
                  <c:v>sredina jezera</c:v>
                </c:pt>
              </c:strCache>
            </c:strRef>
          </c:cat>
          <c:val>
            <c:numRef>
              <c:f>Sheet1!$D$2:$D$10</c:f>
              <c:numCache>
                <c:formatCode>General</c:formatCode>
                <c:ptCount val="9"/>
                <c:pt idx="0">
                  <c:v>4.0000000000000022E-2</c:v>
                </c:pt>
                <c:pt idx="1">
                  <c:v>2.0000000000000011E-2</c:v>
                </c:pt>
                <c:pt idx="2">
                  <c:v>2.0000000000000011E-2</c:v>
                </c:pt>
                <c:pt idx="3">
                  <c:v>4.0000000000000022E-2</c:v>
                </c:pt>
                <c:pt idx="4">
                  <c:v>4.0000000000000022E-2</c:v>
                </c:pt>
                <c:pt idx="5">
                  <c:v>6.0000000000000032E-2</c:v>
                </c:pt>
                <c:pt idx="6">
                  <c:v>1.0000000000000005E-2</c:v>
                </c:pt>
                <c:pt idx="7">
                  <c:v>2.0000000000000011E-2</c:v>
                </c:pt>
                <c:pt idx="8">
                  <c:v>2.0000000000000011E-2</c:v>
                </c:pt>
              </c:numCache>
            </c:numRef>
          </c:val>
        </c:ser>
        <c:ser>
          <c:idx val="3"/>
          <c:order val="3"/>
          <c:tx>
            <c:strRef>
              <c:f>Sheet1!$E$1</c:f>
              <c:strCache>
                <c:ptCount val="1"/>
                <c:pt idx="0">
                  <c:v>2011</c:v>
                </c:pt>
              </c:strCache>
            </c:strRef>
          </c:tx>
          <c:spPr>
            <a:ln w="38100"/>
          </c:spPr>
          <c:invertIfNegative val="0"/>
          <c:cat>
            <c:strRef>
              <c:f>Sheet1!$A$2:$A$10</c:f>
              <c:strCache>
                <c:ptCount val="9"/>
                <c:pt idx="0">
                  <c:v>Vranjina</c:v>
                </c:pt>
                <c:pt idx="1">
                  <c:v>Virpazar</c:v>
                </c:pt>
                <c:pt idx="2">
                  <c:v>Plavnica</c:v>
                </c:pt>
                <c:pt idx="3">
                  <c:v>Kamenik</c:v>
                </c:pt>
                <c:pt idx="4">
                  <c:v>Podhum</c:v>
                </c:pt>
                <c:pt idx="5">
                  <c:v>Starčeva gorica</c:v>
                </c:pt>
                <c:pt idx="6">
                  <c:v>Moračnik</c:v>
                </c:pt>
                <c:pt idx="7">
                  <c:v>Ckla</c:v>
                </c:pt>
                <c:pt idx="8">
                  <c:v>sredina jezera</c:v>
                </c:pt>
              </c:strCache>
            </c:strRef>
          </c:cat>
          <c:val>
            <c:numRef>
              <c:f>Sheet1!$E$2:$E$10</c:f>
              <c:numCache>
                <c:formatCode>General</c:formatCode>
                <c:ptCount val="9"/>
                <c:pt idx="0">
                  <c:v>0.44</c:v>
                </c:pt>
                <c:pt idx="1">
                  <c:v>0.21000000000000016</c:v>
                </c:pt>
                <c:pt idx="2">
                  <c:v>4.0000000000000022E-2</c:v>
                </c:pt>
                <c:pt idx="3">
                  <c:v>0.05</c:v>
                </c:pt>
                <c:pt idx="4">
                  <c:v>0.05</c:v>
                </c:pt>
                <c:pt idx="5">
                  <c:v>0.05</c:v>
                </c:pt>
                <c:pt idx="6">
                  <c:v>6.0000000000000032E-2</c:v>
                </c:pt>
                <c:pt idx="7">
                  <c:v>7.0000000000000021E-2</c:v>
                </c:pt>
                <c:pt idx="8">
                  <c:v>0.05</c:v>
                </c:pt>
              </c:numCache>
            </c:numRef>
          </c:val>
        </c:ser>
        <c:ser>
          <c:idx val="4"/>
          <c:order val="4"/>
          <c:tx>
            <c:strRef>
              <c:f>Sheet1!$F$1</c:f>
              <c:strCache>
                <c:ptCount val="1"/>
                <c:pt idx="0">
                  <c:v>2012</c:v>
                </c:pt>
              </c:strCache>
            </c:strRef>
          </c:tx>
          <c:spPr>
            <a:ln w="38100"/>
          </c:spPr>
          <c:invertIfNegative val="0"/>
          <c:cat>
            <c:strRef>
              <c:f>Sheet1!$A$2:$A$10</c:f>
              <c:strCache>
                <c:ptCount val="9"/>
                <c:pt idx="0">
                  <c:v>Vranjina</c:v>
                </c:pt>
                <c:pt idx="1">
                  <c:v>Virpazar</c:v>
                </c:pt>
                <c:pt idx="2">
                  <c:v>Plavnica</c:v>
                </c:pt>
                <c:pt idx="3">
                  <c:v>Kamenik</c:v>
                </c:pt>
                <c:pt idx="4">
                  <c:v>Podhum</c:v>
                </c:pt>
                <c:pt idx="5">
                  <c:v>Starčeva gorica</c:v>
                </c:pt>
                <c:pt idx="6">
                  <c:v>Moračnik</c:v>
                </c:pt>
                <c:pt idx="7">
                  <c:v>Ckla</c:v>
                </c:pt>
                <c:pt idx="8">
                  <c:v>sredina jezera</c:v>
                </c:pt>
              </c:strCache>
            </c:strRef>
          </c:cat>
          <c:val>
            <c:numRef>
              <c:f>Sheet1!$F$2:$F$10</c:f>
              <c:numCache>
                <c:formatCode>General</c:formatCode>
                <c:ptCount val="9"/>
                <c:pt idx="0">
                  <c:v>8.0000000000000043E-2</c:v>
                </c:pt>
                <c:pt idx="1">
                  <c:v>7.0000000000000021E-2</c:v>
                </c:pt>
                <c:pt idx="2">
                  <c:v>4.0000000000000022E-2</c:v>
                </c:pt>
                <c:pt idx="3">
                  <c:v>8.0000000000000043E-2</c:v>
                </c:pt>
                <c:pt idx="4">
                  <c:v>0.05</c:v>
                </c:pt>
                <c:pt idx="5">
                  <c:v>7.0000000000000021E-2</c:v>
                </c:pt>
                <c:pt idx="6">
                  <c:v>9.0000000000000024E-2</c:v>
                </c:pt>
                <c:pt idx="7">
                  <c:v>6.0000000000000032E-2</c:v>
                </c:pt>
                <c:pt idx="8">
                  <c:v>7.0000000000000021E-2</c:v>
                </c:pt>
              </c:numCache>
            </c:numRef>
          </c:val>
        </c:ser>
        <c:ser>
          <c:idx val="5"/>
          <c:order val="5"/>
          <c:tx>
            <c:strRef>
              <c:f>Sheet1!$G$1</c:f>
              <c:strCache>
                <c:ptCount val="1"/>
                <c:pt idx="0">
                  <c:v>2013</c:v>
                </c:pt>
              </c:strCache>
            </c:strRef>
          </c:tx>
          <c:spPr>
            <a:ln w="25400"/>
          </c:spPr>
          <c:invertIfNegative val="0"/>
          <c:cat>
            <c:strRef>
              <c:f>Sheet1!$A$2:$A$10</c:f>
              <c:strCache>
                <c:ptCount val="9"/>
                <c:pt idx="0">
                  <c:v>Vranjina</c:v>
                </c:pt>
                <c:pt idx="1">
                  <c:v>Virpazar</c:v>
                </c:pt>
                <c:pt idx="2">
                  <c:v>Plavnica</c:v>
                </c:pt>
                <c:pt idx="3">
                  <c:v>Kamenik</c:v>
                </c:pt>
                <c:pt idx="4">
                  <c:v>Podhum</c:v>
                </c:pt>
                <c:pt idx="5">
                  <c:v>Starčeva gorica</c:v>
                </c:pt>
                <c:pt idx="6">
                  <c:v>Moračnik</c:v>
                </c:pt>
                <c:pt idx="7">
                  <c:v>Ckla</c:v>
                </c:pt>
                <c:pt idx="8">
                  <c:v>sredina jezera</c:v>
                </c:pt>
              </c:strCache>
            </c:strRef>
          </c:cat>
          <c:val>
            <c:numRef>
              <c:f>Sheet1!$G$2:$G$10</c:f>
              <c:numCache>
                <c:formatCode>General</c:formatCode>
                <c:ptCount val="9"/>
                <c:pt idx="0">
                  <c:v>0.05</c:v>
                </c:pt>
                <c:pt idx="1">
                  <c:v>4.0000000000000022E-2</c:v>
                </c:pt>
                <c:pt idx="2">
                  <c:v>7.0000000000000021E-2</c:v>
                </c:pt>
                <c:pt idx="3">
                  <c:v>6.0000000000000032E-2</c:v>
                </c:pt>
                <c:pt idx="4">
                  <c:v>0.05</c:v>
                </c:pt>
                <c:pt idx="5">
                  <c:v>0.05</c:v>
                </c:pt>
                <c:pt idx="6">
                  <c:v>6.0000000000000032E-2</c:v>
                </c:pt>
                <c:pt idx="7">
                  <c:v>7.0000000000000021E-2</c:v>
                </c:pt>
                <c:pt idx="8">
                  <c:v>0.05</c:v>
                </c:pt>
              </c:numCache>
            </c:numRef>
          </c:val>
        </c:ser>
        <c:dLbls>
          <c:showLegendKey val="0"/>
          <c:showVal val="0"/>
          <c:showCatName val="0"/>
          <c:showSerName val="0"/>
          <c:showPercent val="0"/>
          <c:showBubbleSize val="0"/>
        </c:dLbls>
        <c:gapWidth val="150"/>
        <c:axId val="315177216"/>
        <c:axId val="315183104"/>
      </c:barChart>
      <c:lineChart>
        <c:grouping val="standard"/>
        <c:varyColors val="0"/>
        <c:ser>
          <c:idx val="6"/>
          <c:order val="6"/>
          <c:tx>
            <c:strRef>
              <c:f>Sheet1!$H$1</c:f>
              <c:strCache>
                <c:ptCount val="1"/>
                <c:pt idx="0">
                  <c:v>MDK A</c:v>
                </c:pt>
              </c:strCache>
            </c:strRef>
          </c:tx>
          <c:spPr>
            <a:ln w="25400"/>
          </c:spPr>
          <c:marker>
            <c:symbol val="none"/>
          </c:marker>
          <c:cat>
            <c:strRef>
              <c:f>Sheet1!$A$2:$A$10</c:f>
              <c:strCache>
                <c:ptCount val="9"/>
                <c:pt idx="0">
                  <c:v>Vranjina</c:v>
                </c:pt>
                <c:pt idx="1">
                  <c:v>Virpazar</c:v>
                </c:pt>
                <c:pt idx="2">
                  <c:v>Plavnica</c:v>
                </c:pt>
                <c:pt idx="3">
                  <c:v>Kamenik</c:v>
                </c:pt>
                <c:pt idx="4">
                  <c:v>Podhum</c:v>
                </c:pt>
                <c:pt idx="5">
                  <c:v>Starčeva gorica</c:v>
                </c:pt>
                <c:pt idx="6">
                  <c:v>Moračnik</c:v>
                </c:pt>
                <c:pt idx="7">
                  <c:v>Ckla</c:v>
                </c:pt>
                <c:pt idx="8">
                  <c:v>sredina jezera</c:v>
                </c:pt>
              </c:strCache>
            </c:strRef>
          </c:cat>
          <c:val>
            <c:numRef>
              <c:f>Sheet1!$H$2:$H$10</c:f>
              <c:numCache>
                <c:formatCode>General</c:formatCode>
                <c:ptCount val="9"/>
                <c:pt idx="0">
                  <c:v>1.0000000000000005E-2</c:v>
                </c:pt>
                <c:pt idx="1">
                  <c:v>1.0000000000000005E-2</c:v>
                </c:pt>
                <c:pt idx="2">
                  <c:v>1.0000000000000005E-2</c:v>
                </c:pt>
                <c:pt idx="3">
                  <c:v>1.0000000000000005E-2</c:v>
                </c:pt>
                <c:pt idx="4">
                  <c:v>1.0000000000000005E-2</c:v>
                </c:pt>
                <c:pt idx="5">
                  <c:v>1.0000000000000005E-2</c:v>
                </c:pt>
                <c:pt idx="6">
                  <c:v>1.0000000000000005E-2</c:v>
                </c:pt>
                <c:pt idx="7">
                  <c:v>1.0000000000000005E-2</c:v>
                </c:pt>
                <c:pt idx="8">
                  <c:v>1.0000000000000005E-2</c:v>
                </c:pt>
              </c:numCache>
            </c:numRef>
          </c:val>
          <c:smooth val="0"/>
        </c:ser>
        <c:ser>
          <c:idx val="7"/>
          <c:order val="7"/>
          <c:tx>
            <c:strRef>
              <c:f>Sheet1!$I$1</c:f>
              <c:strCache>
                <c:ptCount val="1"/>
                <c:pt idx="0">
                  <c:v>MDK A1</c:v>
                </c:pt>
              </c:strCache>
            </c:strRef>
          </c:tx>
          <c:spPr>
            <a:ln w="25400"/>
          </c:spPr>
          <c:marker>
            <c:symbol val="none"/>
          </c:marker>
          <c:cat>
            <c:strRef>
              <c:f>Sheet1!$A$2:$A$10</c:f>
              <c:strCache>
                <c:ptCount val="9"/>
                <c:pt idx="0">
                  <c:v>Vranjina</c:v>
                </c:pt>
                <c:pt idx="1">
                  <c:v>Virpazar</c:v>
                </c:pt>
                <c:pt idx="2">
                  <c:v>Plavnica</c:v>
                </c:pt>
                <c:pt idx="3">
                  <c:v>Kamenik</c:v>
                </c:pt>
                <c:pt idx="4">
                  <c:v>Podhum</c:v>
                </c:pt>
                <c:pt idx="5">
                  <c:v>Starčeva gorica</c:v>
                </c:pt>
                <c:pt idx="6">
                  <c:v>Moračnik</c:v>
                </c:pt>
                <c:pt idx="7">
                  <c:v>Ckla</c:v>
                </c:pt>
                <c:pt idx="8">
                  <c:v>sredina jezera</c:v>
                </c:pt>
              </c:strCache>
            </c:strRef>
          </c:cat>
          <c:val>
            <c:numRef>
              <c:f>Sheet1!$I$2:$I$10</c:f>
              <c:numCache>
                <c:formatCode>General</c:formatCode>
                <c:ptCount val="9"/>
                <c:pt idx="0">
                  <c:v>2.0000000000000011E-2</c:v>
                </c:pt>
                <c:pt idx="1">
                  <c:v>2.0000000000000011E-2</c:v>
                </c:pt>
                <c:pt idx="2">
                  <c:v>2.0000000000000011E-2</c:v>
                </c:pt>
                <c:pt idx="3">
                  <c:v>2.0000000000000011E-2</c:v>
                </c:pt>
                <c:pt idx="4">
                  <c:v>2.0000000000000011E-2</c:v>
                </c:pt>
                <c:pt idx="5">
                  <c:v>2.0000000000000011E-2</c:v>
                </c:pt>
                <c:pt idx="6">
                  <c:v>2.0000000000000011E-2</c:v>
                </c:pt>
                <c:pt idx="7">
                  <c:v>2.0000000000000011E-2</c:v>
                </c:pt>
                <c:pt idx="8">
                  <c:v>2.0000000000000011E-2</c:v>
                </c:pt>
              </c:numCache>
            </c:numRef>
          </c:val>
          <c:smooth val="0"/>
        </c:ser>
        <c:ser>
          <c:idx val="8"/>
          <c:order val="8"/>
          <c:tx>
            <c:strRef>
              <c:f>Sheet1!$J$1</c:f>
              <c:strCache>
                <c:ptCount val="1"/>
                <c:pt idx="0">
                  <c:v>MDK A2</c:v>
                </c:pt>
              </c:strCache>
            </c:strRef>
          </c:tx>
          <c:spPr>
            <a:ln w="25400"/>
          </c:spPr>
          <c:marker>
            <c:symbol val="none"/>
          </c:marker>
          <c:cat>
            <c:strRef>
              <c:f>Sheet1!$A$2:$A$10</c:f>
              <c:strCache>
                <c:ptCount val="9"/>
                <c:pt idx="0">
                  <c:v>Vranjina</c:v>
                </c:pt>
                <c:pt idx="1">
                  <c:v>Virpazar</c:v>
                </c:pt>
                <c:pt idx="2">
                  <c:v>Plavnica</c:v>
                </c:pt>
                <c:pt idx="3">
                  <c:v>Kamenik</c:v>
                </c:pt>
                <c:pt idx="4">
                  <c:v>Podhum</c:v>
                </c:pt>
                <c:pt idx="5">
                  <c:v>Starčeva gorica</c:v>
                </c:pt>
                <c:pt idx="6">
                  <c:v>Moračnik</c:v>
                </c:pt>
                <c:pt idx="7">
                  <c:v>Ckla</c:v>
                </c:pt>
                <c:pt idx="8">
                  <c:v>sredina jezera</c:v>
                </c:pt>
              </c:strCache>
            </c:strRef>
          </c:cat>
          <c:val>
            <c:numRef>
              <c:f>Sheet1!$J$2:$J$10</c:f>
              <c:numCache>
                <c:formatCode>General</c:formatCode>
                <c:ptCount val="9"/>
                <c:pt idx="0">
                  <c:v>0.05</c:v>
                </c:pt>
                <c:pt idx="1">
                  <c:v>0.05</c:v>
                </c:pt>
                <c:pt idx="2">
                  <c:v>0.05</c:v>
                </c:pt>
                <c:pt idx="3">
                  <c:v>0.05</c:v>
                </c:pt>
                <c:pt idx="4">
                  <c:v>0.05</c:v>
                </c:pt>
                <c:pt idx="5">
                  <c:v>0.05</c:v>
                </c:pt>
                <c:pt idx="6">
                  <c:v>0.05</c:v>
                </c:pt>
                <c:pt idx="7">
                  <c:v>0.05</c:v>
                </c:pt>
                <c:pt idx="8">
                  <c:v>0.05</c:v>
                </c:pt>
              </c:numCache>
            </c:numRef>
          </c:val>
          <c:smooth val="0"/>
        </c:ser>
        <c:ser>
          <c:idx val="9"/>
          <c:order val="9"/>
          <c:tx>
            <c:strRef>
              <c:f>Sheet1!$K$1</c:f>
              <c:strCache>
                <c:ptCount val="1"/>
                <c:pt idx="0">
                  <c:v>MDK A3</c:v>
                </c:pt>
              </c:strCache>
            </c:strRef>
          </c:tx>
          <c:spPr>
            <a:ln w="25400"/>
          </c:spPr>
          <c:marker>
            <c:symbol val="none"/>
          </c:marker>
          <c:cat>
            <c:strRef>
              <c:f>Sheet1!$A$2:$A$10</c:f>
              <c:strCache>
                <c:ptCount val="9"/>
                <c:pt idx="0">
                  <c:v>Vranjina</c:v>
                </c:pt>
                <c:pt idx="1">
                  <c:v>Virpazar</c:v>
                </c:pt>
                <c:pt idx="2">
                  <c:v>Plavnica</c:v>
                </c:pt>
                <c:pt idx="3">
                  <c:v>Kamenik</c:v>
                </c:pt>
                <c:pt idx="4">
                  <c:v>Podhum</c:v>
                </c:pt>
                <c:pt idx="5">
                  <c:v>Starčeva gorica</c:v>
                </c:pt>
                <c:pt idx="6">
                  <c:v>Moračnik</c:v>
                </c:pt>
                <c:pt idx="7">
                  <c:v>Ckla</c:v>
                </c:pt>
                <c:pt idx="8">
                  <c:v>sredina jezera</c:v>
                </c:pt>
              </c:strCache>
            </c:strRef>
          </c:cat>
          <c:val>
            <c:numRef>
              <c:f>Sheet1!$K$2:$K$10</c:f>
              <c:numCache>
                <c:formatCode>General</c:formatCode>
                <c:ptCount val="9"/>
                <c:pt idx="0">
                  <c:v>0.1</c:v>
                </c:pt>
                <c:pt idx="1">
                  <c:v>0.1</c:v>
                </c:pt>
                <c:pt idx="2">
                  <c:v>0.1</c:v>
                </c:pt>
                <c:pt idx="3">
                  <c:v>0.1</c:v>
                </c:pt>
                <c:pt idx="4">
                  <c:v>0.1</c:v>
                </c:pt>
                <c:pt idx="5">
                  <c:v>0.1</c:v>
                </c:pt>
                <c:pt idx="6">
                  <c:v>0.1</c:v>
                </c:pt>
                <c:pt idx="7">
                  <c:v>0.1</c:v>
                </c:pt>
                <c:pt idx="8">
                  <c:v>0.1</c:v>
                </c:pt>
              </c:numCache>
            </c:numRef>
          </c:val>
          <c:smooth val="0"/>
        </c:ser>
        <c:dLbls>
          <c:showLegendKey val="0"/>
          <c:showVal val="0"/>
          <c:showCatName val="0"/>
          <c:showSerName val="0"/>
          <c:showPercent val="0"/>
          <c:showBubbleSize val="0"/>
        </c:dLbls>
        <c:marker val="1"/>
        <c:smooth val="0"/>
        <c:axId val="315177216"/>
        <c:axId val="315183104"/>
      </c:lineChart>
      <c:catAx>
        <c:axId val="315177216"/>
        <c:scaling>
          <c:orientation val="minMax"/>
        </c:scaling>
        <c:delete val="0"/>
        <c:axPos val="b"/>
        <c:numFmt formatCode="General" sourceLinked="1"/>
        <c:majorTickMark val="out"/>
        <c:minorTickMark val="none"/>
        <c:tickLblPos val="nextTo"/>
        <c:txPr>
          <a:bodyPr/>
          <a:lstStyle/>
          <a:p>
            <a:pPr>
              <a:defRPr sz="700"/>
            </a:pPr>
            <a:endParaRPr lang="en-US"/>
          </a:p>
        </c:txPr>
        <c:crossAx val="315183104"/>
        <c:crosses val="autoZero"/>
        <c:auto val="1"/>
        <c:lblAlgn val="ctr"/>
        <c:lblOffset val="100"/>
        <c:noMultiLvlLbl val="0"/>
      </c:catAx>
      <c:valAx>
        <c:axId val="315183104"/>
        <c:scaling>
          <c:orientation val="minMax"/>
          <c:max val="0.25"/>
          <c:min val="0"/>
        </c:scaling>
        <c:delete val="0"/>
        <c:axPos val="l"/>
        <c:numFmt formatCode="General" sourceLinked="1"/>
        <c:majorTickMark val="out"/>
        <c:minorTickMark val="none"/>
        <c:tickLblPos val="nextTo"/>
        <c:txPr>
          <a:bodyPr/>
          <a:lstStyle/>
          <a:p>
            <a:pPr>
              <a:defRPr sz="700"/>
            </a:pPr>
            <a:endParaRPr lang="en-US"/>
          </a:p>
        </c:txPr>
        <c:crossAx val="315177216"/>
        <c:crosses val="autoZero"/>
        <c:crossBetween val="between"/>
      </c:valAx>
      <c:spPr>
        <a:noFill/>
        <a:ln w="25400">
          <a:noFill/>
        </a:ln>
      </c:spPr>
    </c:plotArea>
    <c:legend>
      <c:legendPos val="r"/>
      <c:legendEntry>
        <c:idx val="4"/>
        <c:txPr>
          <a:bodyPr/>
          <a:lstStyle/>
          <a:p>
            <a:pPr>
              <a:defRPr sz="700" b="0"/>
            </a:pPr>
            <a:endParaRPr lang="en-US"/>
          </a:p>
        </c:txPr>
      </c:legendEntry>
      <c:layout>
        <c:manualLayout>
          <c:xMode val="edge"/>
          <c:yMode val="edge"/>
          <c:x val="0.84986658825323158"/>
          <c:y val="1.3571116235320821E-3"/>
          <c:w val="0.14691606495246223"/>
          <c:h val="0.59121555118110236"/>
        </c:manualLayout>
      </c:layout>
      <c:overlay val="1"/>
      <c:txPr>
        <a:bodyPr/>
        <a:lstStyle/>
        <a:p>
          <a:pPr>
            <a:defRPr sz="700"/>
          </a:pPr>
          <a:endParaRPr lang="en-US"/>
        </a:p>
      </c:txPr>
    </c:legend>
    <c:plotVisOnly val="1"/>
    <c:dispBlanksAs val="gap"/>
    <c:showDLblsOverMax val="0"/>
  </c:chart>
  <c:spPr>
    <a:ln>
      <a:noFill/>
    </a:ln>
  </c:spPr>
  <c:externalData r:id="rId1">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manualLayout>
          <c:layoutTarget val="inner"/>
          <c:xMode val="edge"/>
          <c:yMode val="edge"/>
          <c:x val="7.4958136171220879E-2"/>
          <c:y val="2.9670275590551218E-2"/>
          <c:w val="0.7653992903664838"/>
          <c:h val="0.88265453202615962"/>
        </c:manualLayout>
      </c:layout>
      <c:barChart>
        <c:barDir val="col"/>
        <c:grouping val="clustered"/>
        <c:varyColors val="0"/>
        <c:ser>
          <c:idx val="0"/>
          <c:order val="0"/>
          <c:tx>
            <c:strRef>
              <c:f>Sheet1!$B$1</c:f>
              <c:strCache>
                <c:ptCount val="1"/>
                <c:pt idx="0">
                  <c:v>2008</c:v>
                </c:pt>
              </c:strCache>
            </c:strRef>
          </c:tx>
          <c:invertIfNegative val="0"/>
          <c:cat>
            <c:strRef>
              <c:f>Sheet1!$A$2:$A$7</c:f>
              <c:strCache>
                <c:ptCount val="6"/>
                <c:pt idx="0">
                  <c:v>Pernica</c:v>
                </c:pt>
                <c:pt idx="1">
                  <c:v>Zlatica</c:v>
                </c:pt>
                <c:pt idx="2">
                  <c:v>Grad.plaža</c:v>
                </c:pt>
                <c:pt idx="3">
                  <c:v>G.kolektor</c:v>
                </c:pt>
                <c:pt idx="4">
                  <c:v>Grbavci</c:v>
                </c:pt>
                <c:pt idx="5">
                  <c:v>Vukovci</c:v>
                </c:pt>
              </c:strCache>
            </c:strRef>
          </c:cat>
          <c:val>
            <c:numRef>
              <c:f>Sheet1!$B$2:$B$7</c:f>
              <c:numCache>
                <c:formatCode>General</c:formatCode>
                <c:ptCount val="6"/>
                <c:pt idx="0">
                  <c:v>1.27</c:v>
                </c:pt>
                <c:pt idx="1">
                  <c:v>1.25</c:v>
                </c:pt>
                <c:pt idx="2">
                  <c:v>2.36</c:v>
                </c:pt>
                <c:pt idx="3">
                  <c:v>5.26</c:v>
                </c:pt>
                <c:pt idx="4">
                  <c:v>2.74</c:v>
                </c:pt>
                <c:pt idx="5">
                  <c:v>2.19</c:v>
                </c:pt>
              </c:numCache>
            </c:numRef>
          </c:val>
        </c:ser>
        <c:ser>
          <c:idx val="1"/>
          <c:order val="1"/>
          <c:tx>
            <c:strRef>
              <c:f>Sheet1!$C$1</c:f>
              <c:strCache>
                <c:ptCount val="1"/>
                <c:pt idx="0">
                  <c:v>2009</c:v>
                </c:pt>
              </c:strCache>
            </c:strRef>
          </c:tx>
          <c:invertIfNegative val="0"/>
          <c:cat>
            <c:strRef>
              <c:f>Sheet1!$A$2:$A$7</c:f>
              <c:strCache>
                <c:ptCount val="6"/>
                <c:pt idx="0">
                  <c:v>Pernica</c:v>
                </c:pt>
                <c:pt idx="1">
                  <c:v>Zlatica</c:v>
                </c:pt>
                <c:pt idx="2">
                  <c:v>Grad.plaža</c:v>
                </c:pt>
                <c:pt idx="3">
                  <c:v>G.kolektor</c:v>
                </c:pt>
                <c:pt idx="4">
                  <c:v>Grbavci</c:v>
                </c:pt>
                <c:pt idx="5">
                  <c:v>Vukovci</c:v>
                </c:pt>
              </c:strCache>
            </c:strRef>
          </c:cat>
          <c:val>
            <c:numRef>
              <c:f>Sheet1!$C$2:$C$7</c:f>
              <c:numCache>
                <c:formatCode>General</c:formatCode>
                <c:ptCount val="6"/>
                <c:pt idx="0">
                  <c:v>0.56000000000000005</c:v>
                </c:pt>
                <c:pt idx="1">
                  <c:v>1.4</c:v>
                </c:pt>
                <c:pt idx="2">
                  <c:v>2.2599999999999998</c:v>
                </c:pt>
                <c:pt idx="3">
                  <c:v>4.68</c:v>
                </c:pt>
                <c:pt idx="4">
                  <c:v>2.61</c:v>
                </c:pt>
                <c:pt idx="5">
                  <c:v>2.8</c:v>
                </c:pt>
              </c:numCache>
            </c:numRef>
          </c:val>
        </c:ser>
        <c:ser>
          <c:idx val="2"/>
          <c:order val="2"/>
          <c:tx>
            <c:strRef>
              <c:f>Sheet1!$D$1</c:f>
              <c:strCache>
                <c:ptCount val="1"/>
                <c:pt idx="0">
                  <c:v>2010</c:v>
                </c:pt>
              </c:strCache>
            </c:strRef>
          </c:tx>
          <c:invertIfNegative val="0"/>
          <c:cat>
            <c:strRef>
              <c:f>Sheet1!$A$2:$A$7</c:f>
              <c:strCache>
                <c:ptCount val="6"/>
                <c:pt idx="0">
                  <c:v>Pernica</c:v>
                </c:pt>
                <c:pt idx="1">
                  <c:v>Zlatica</c:v>
                </c:pt>
                <c:pt idx="2">
                  <c:v>Grad.plaža</c:v>
                </c:pt>
                <c:pt idx="3">
                  <c:v>G.kolektor</c:v>
                </c:pt>
                <c:pt idx="4">
                  <c:v>Grbavci</c:v>
                </c:pt>
                <c:pt idx="5">
                  <c:v>Vukovci</c:v>
                </c:pt>
              </c:strCache>
            </c:strRef>
          </c:cat>
          <c:val>
            <c:numRef>
              <c:f>Sheet1!$D$2:$D$7</c:f>
              <c:numCache>
                <c:formatCode>General</c:formatCode>
                <c:ptCount val="6"/>
                <c:pt idx="0">
                  <c:v>0.49000000000000032</c:v>
                </c:pt>
                <c:pt idx="1">
                  <c:v>1.03</c:v>
                </c:pt>
                <c:pt idx="2">
                  <c:v>1.6600000000000001</c:v>
                </c:pt>
                <c:pt idx="3">
                  <c:v>3.05</c:v>
                </c:pt>
                <c:pt idx="4">
                  <c:v>1.9500000000000013</c:v>
                </c:pt>
                <c:pt idx="5">
                  <c:v>1.9500000000000013</c:v>
                </c:pt>
              </c:numCache>
            </c:numRef>
          </c:val>
        </c:ser>
        <c:ser>
          <c:idx val="3"/>
          <c:order val="3"/>
          <c:tx>
            <c:strRef>
              <c:f>Sheet1!$E$1</c:f>
              <c:strCache>
                <c:ptCount val="1"/>
                <c:pt idx="0">
                  <c:v>2011</c:v>
                </c:pt>
              </c:strCache>
            </c:strRef>
          </c:tx>
          <c:spPr>
            <a:ln w="38100"/>
          </c:spPr>
          <c:invertIfNegative val="0"/>
          <c:cat>
            <c:strRef>
              <c:f>Sheet1!$A$2:$A$7</c:f>
              <c:strCache>
                <c:ptCount val="6"/>
                <c:pt idx="0">
                  <c:v>Pernica</c:v>
                </c:pt>
                <c:pt idx="1">
                  <c:v>Zlatica</c:v>
                </c:pt>
                <c:pt idx="2">
                  <c:v>Grad.plaža</c:v>
                </c:pt>
                <c:pt idx="3">
                  <c:v>G.kolektor</c:v>
                </c:pt>
                <c:pt idx="4">
                  <c:v>Grbavci</c:v>
                </c:pt>
                <c:pt idx="5">
                  <c:v>Vukovci</c:v>
                </c:pt>
              </c:strCache>
            </c:strRef>
          </c:cat>
          <c:val>
            <c:numRef>
              <c:f>Sheet1!$E$2:$E$7</c:f>
              <c:numCache>
                <c:formatCode>General</c:formatCode>
                <c:ptCount val="6"/>
                <c:pt idx="0">
                  <c:v>0.63000000000000078</c:v>
                </c:pt>
                <c:pt idx="1">
                  <c:v>1.0900000000000001</c:v>
                </c:pt>
                <c:pt idx="2">
                  <c:v>1.74</c:v>
                </c:pt>
                <c:pt idx="3">
                  <c:v>5.4300000000000024</c:v>
                </c:pt>
                <c:pt idx="4">
                  <c:v>2.77</c:v>
                </c:pt>
                <c:pt idx="5">
                  <c:v>3.2</c:v>
                </c:pt>
              </c:numCache>
            </c:numRef>
          </c:val>
        </c:ser>
        <c:ser>
          <c:idx val="4"/>
          <c:order val="4"/>
          <c:tx>
            <c:strRef>
              <c:f>Sheet1!$F$1</c:f>
              <c:strCache>
                <c:ptCount val="1"/>
                <c:pt idx="0">
                  <c:v>2012</c:v>
                </c:pt>
              </c:strCache>
            </c:strRef>
          </c:tx>
          <c:spPr>
            <a:ln w="38100"/>
          </c:spPr>
          <c:invertIfNegative val="0"/>
          <c:cat>
            <c:strRef>
              <c:f>Sheet1!$A$2:$A$7</c:f>
              <c:strCache>
                <c:ptCount val="6"/>
                <c:pt idx="0">
                  <c:v>Pernica</c:v>
                </c:pt>
                <c:pt idx="1">
                  <c:v>Zlatica</c:v>
                </c:pt>
                <c:pt idx="2">
                  <c:v>Grad.plaža</c:v>
                </c:pt>
                <c:pt idx="3">
                  <c:v>G.kolektor</c:v>
                </c:pt>
                <c:pt idx="4">
                  <c:v>Grbavci</c:v>
                </c:pt>
                <c:pt idx="5">
                  <c:v>Vukovci</c:v>
                </c:pt>
              </c:strCache>
            </c:strRef>
          </c:cat>
          <c:val>
            <c:numRef>
              <c:f>Sheet1!$F$2:$F$7</c:f>
              <c:numCache>
                <c:formatCode>General</c:formatCode>
                <c:ptCount val="6"/>
                <c:pt idx="0">
                  <c:v>0.64000000000000079</c:v>
                </c:pt>
                <c:pt idx="1">
                  <c:v>1.46</c:v>
                </c:pt>
                <c:pt idx="2">
                  <c:v>1.86</c:v>
                </c:pt>
                <c:pt idx="3">
                  <c:v>2.16</c:v>
                </c:pt>
                <c:pt idx="4">
                  <c:v>2.9499999999999997</c:v>
                </c:pt>
                <c:pt idx="5">
                  <c:v>2.6</c:v>
                </c:pt>
              </c:numCache>
            </c:numRef>
          </c:val>
        </c:ser>
        <c:ser>
          <c:idx val="5"/>
          <c:order val="5"/>
          <c:tx>
            <c:strRef>
              <c:f>Sheet1!$G$1</c:f>
              <c:strCache>
                <c:ptCount val="1"/>
                <c:pt idx="0">
                  <c:v>2013</c:v>
                </c:pt>
              </c:strCache>
            </c:strRef>
          </c:tx>
          <c:spPr>
            <a:ln w="38100"/>
          </c:spPr>
          <c:invertIfNegative val="0"/>
          <c:cat>
            <c:strRef>
              <c:f>Sheet1!$A$2:$A$7</c:f>
              <c:strCache>
                <c:ptCount val="6"/>
                <c:pt idx="0">
                  <c:v>Pernica</c:v>
                </c:pt>
                <c:pt idx="1">
                  <c:v>Zlatica</c:v>
                </c:pt>
                <c:pt idx="2">
                  <c:v>Grad.plaža</c:v>
                </c:pt>
                <c:pt idx="3">
                  <c:v>G.kolektor</c:v>
                </c:pt>
                <c:pt idx="4">
                  <c:v>Grbavci</c:v>
                </c:pt>
                <c:pt idx="5">
                  <c:v>Vukovci</c:v>
                </c:pt>
              </c:strCache>
            </c:strRef>
          </c:cat>
          <c:val>
            <c:numRef>
              <c:f>Sheet1!$G$2:$G$7</c:f>
              <c:numCache>
                <c:formatCode>General</c:formatCode>
                <c:ptCount val="6"/>
                <c:pt idx="0">
                  <c:v>0.87000000000000066</c:v>
                </c:pt>
                <c:pt idx="1">
                  <c:v>1.31</c:v>
                </c:pt>
                <c:pt idx="2">
                  <c:v>1.85</c:v>
                </c:pt>
                <c:pt idx="3">
                  <c:v>9.16</c:v>
                </c:pt>
                <c:pt idx="4">
                  <c:v>2.62</c:v>
                </c:pt>
                <c:pt idx="5">
                  <c:v>2.88</c:v>
                </c:pt>
              </c:numCache>
            </c:numRef>
          </c:val>
        </c:ser>
        <c:dLbls>
          <c:showLegendKey val="0"/>
          <c:showVal val="0"/>
          <c:showCatName val="0"/>
          <c:showSerName val="0"/>
          <c:showPercent val="0"/>
          <c:showBubbleSize val="0"/>
        </c:dLbls>
        <c:gapWidth val="150"/>
        <c:axId val="319708544"/>
        <c:axId val="319722624"/>
      </c:barChart>
      <c:lineChart>
        <c:grouping val="standard"/>
        <c:varyColors val="0"/>
        <c:ser>
          <c:idx val="6"/>
          <c:order val="6"/>
          <c:tx>
            <c:strRef>
              <c:f>Sheet1!$H$1</c:f>
              <c:strCache>
                <c:ptCount val="1"/>
                <c:pt idx="0">
                  <c:v>MDK A</c:v>
                </c:pt>
              </c:strCache>
            </c:strRef>
          </c:tx>
          <c:spPr>
            <a:ln w="25400"/>
          </c:spPr>
          <c:marker>
            <c:symbol val="none"/>
          </c:marker>
          <c:cat>
            <c:strRef>
              <c:f>Sheet1!$A$2:$A$7</c:f>
              <c:strCache>
                <c:ptCount val="6"/>
                <c:pt idx="0">
                  <c:v>Pernica</c:v>
                </c:pt>
                <c:pt idx="1">
                  <c:v>Zlatica</c:v>
                </c:pt>
                <c:pt idx="2">
                  <c:v>Grad.plaža</c:v>
                </c:pt>
                <c:pt idx="3">
                  <c:v>G.kolektor</c:v>
                </c:pt>
                <c:pt idx="4">
                  <c:v>Grbavci</c:v>
                </c:pt>
                <c:pt idx="5">
                  <c:v>Vukovci</c:v>
                </c:pt>
              </c:strCache>
            </c:strRef>
          </c:cat>
          <c:val>
            <c:numRef>
              <c:f>Sheet1!$H$2:$H$7</c:f>
              <c:numCache>
                <c:formatCode>General</c:formatCode>
                <c:ptCount val="6"/>
                <c:pt idx="0">
                  <c:v>10</c:v>
                </c:pt>
                <c:pt idx="1">
                  <c:v>10</c:v>
                </c:pt>
                <c:pt idx="2">
                  <c:v>10</c:v>
                </c:pt>
                <c:pt idx="3">
                  <c:v>10</c:v>
                </c:pt>
                <c:pt idx="4">
                  <c:v>10</c:v>
                </c:pt>
                <c:pt idx="5">
                  <c:v>10</c:v>
                </c:pt>
              </c:numCache>
            </c:numRef>
          </c:val>
          <c:smooth val="0"/>
        </c:ser>
        <c:ser>
          <c:idx val="7"/>
          <c:order val="7"/>
          <c:tx>
            <c:strRef>
              <c:f>Sheet1!$I$1</c:f>
              <c:strCache>
                <c:ptCount val="1"/>
                <c:pt idx="0">
                  <c:v>MDK A1</c:v>
                </c:pt>
              </c:strCache>
            </c:strRef>
          </c:tx>
          <c:spPr>
            <a:ln w="25400"/>
          </c:spPr>
          <c:marker>
            <c:symbol val="none"/>
          </c:marker>
          <c:cat>
            <c:strRef>
              <c:f>Sheet1!$A$2:$A$7</c:f>
              <c:strCache>
                <c:ptCount val="6"/>
                <c:pt idx="0">
                  <c:v>Pernica</c:v>
                </c:pt>
                <c:pt idx="1">
                  <c:v>Zlatica</c:v>
                </c:pt>
                <c:pt idx="2">
                  <c:v>Grad.plaža</c:v>
                </c:pt>
                <c:pt idx="3">
                  <c:v>G.kolektor</c:v>
                </c:pt>
                <c:pt idx="4">
                  <c:v>Grbavci</c:v>
                </c:pt>
                <c:pt idx="5">
                  <c:v>Vukovci</c:v>
                </c:pt>
              </c:strCache>
            </c:strRef>
          </c:cat>
          <c:val>
            <c:numRef>
              <c:f>Sheet1!$I$2:$I$7</c:f>
              <c:numCache>
                <c:formatCode>General</c:formatCode>
                <c:ptCount val="6"/>
                <c:pt idx="0">
                  <c:v>20</c:v>
                </c:pt>
                <c:pt idx="1">
                  <c:v>20</c:v>
                </c:pt>
                <c:pt idx="2">
                  <c:v>20</c:v>
                </c:pt>
                <c:pt idx="3">
                  <c:v>20</c:v>
                </c:pt>
                <c:pt idx="4">
                  <c:v>20</c:v>
                </c:pt>
                <c:pt idx="5">
                  <c:v>20</c:v>
                </c:pt>
              </c:numCache>
            </c:numRef>
          </c:val>
          <c:smooth val="0"/>
        </c:ser>
        <c:ser>
          <c:idx val="8"/>
          <c:order val="8"/>
          <c:tx>
            <c:strRef>
              <c:f>Sheet1!$J$1</c:f>
              <c:strCache>
                <c:ptCount val="1"/>
                <c:pt idx="0">
                  <c:v>MDK A2</c:v>
                </c:pt>
              </c:strCache>
            </c:strRef>
          </c:tx>
          <c:spPr>
            <a:ln w="25400"/>
          </c:spPr>
          <c:marker>
            <c:symbol val="none"/>
          </c:marker>
          <c:cat>
            <c:strRef>
              <c:f>Sheet1!$A$2:$A$7</c:f>
              <c:strCache>
                <c:ptCount val="6"/>
                <c:pt idx="0">
                  <c:v>Pernica</c:v>
                </c:pt>
                <c:pt idx="1">
                  <c:v>Zlatica</c:v>
                </c:pt>
                <c:pt idx="2">
                  <c:v>Grad.plaža</c:v>
                </c:pt>
                <c:pt idx="3">
                  <c:v>G.kolektor</c:v>
                </c:pt>
                <c:pt idx="4">
                  <c:v>Grbavci</c:v>
                </c:pt>
                <c:pt idx="5">
                  <c:v>Vukovci</c:v>
                </c:pt>
              </c:strCache>
            </c:strRef>
          </c:cat>
          <c:val>
            <c:numRef>
              <c:f>Sheet1!$J$2:$J$7</c:f>
              <c:numCache>
                <c:formatCode>General</c:formatCode>
                <c:ptCount val="6"/>
                <c:pt idx="0">
                  <c:v>25</c:v>
                </c:pt>
                <c:pt idx="1">
                  <c:v>25</c:v>
                </c:pt>
                <c:pt idx="2">
                  <c:v>25</c:v>
                </c:pt>
                <c:pt idx="3">
                  <c:v>25</c:v>
                </c:pt>
                <c:pt idx="4">
                  <c:v>25</c:v>
                </c:pt>
                <c:pt idx="5">
                  <c:v>25</c:v>
                </c:pt>
              </c:numCache>
            </c:numRef>
          </c:val>
          <c:smooth val="0"/>
        </c:ser>
        <c:ser>
          <c:idx val="9"/>
          <c:order val="9"/>
          <c:tx>
            <c:strRef>
              <c:f>Sheet1!$K$1</c:f>
              <c:strCache>
                <c:ptCount val="1"/>
                <c:pt idx="0">
                  <c:v>MDK A3</c:v>
                </c:pt>
              </c:strCache>
            </c:strRef>
          </c:tx>
          <c:spPr>
            <a:ln w="25400"/>
          </c:spPr>
          <c:marker>
            <c:symbol val="none"/>
          </c:marker>
          <c:cat>
            <c:strRef>
              <c:f>Sheet1!$A$2:$A$7</c:f>
              <c:strCache>
                <c:ptCount val="6"/>
                <c:pt idx="0">
                  <c:v>Pernica</c:v>
                </c:pt>
                <c:pt idx="1">
                  <c:v>Zlatica</c:v>
                </c:pt>
                <c:pt idx="2">
                  <c:v>Grad.plaža</c:v>
                </c:pt>
                <c:pt idx="3">
                  <c:v>G.kolektor</c:v>
                </c:pt>
                <c:pt idx="4">
                  <c:v>Grbavci</c:v>
                </c:pt>
                <c:pt idx="5">
                  <c:v>Vukovci</c:v>
                </c:pt>
              </c:strCache>
            </c:strRef>
          </c:cat>
          <c:val>
            <c:numRef>
              <c:f>Sheet1!$K$2:$K$7</c:f>
              <c:numCache>
                <c:formatCode>General</c:formatCode>
                <c:ptCount val="6"/>
                <c:pt idx="0">
                  <c:v>50</c:v>
                </c:pt>
                <c:pt idx="1">
                  <c:v>50</c:v>
                </c:pt>
                <c:pt idx="2">
                  <c:v>50</c:v>
                </c:pt>
                <c:pt idx="3">
                  <c:v>50</c:v>
                </c:pt>
                <c:pt idx="4">
                  <c:v>50</c:v>
                </c:pt>
                <c:pt idx="5">
                  <c:v>50</c:v>
                </c:pt>
              </c:numCache>
            </c:numRef>
          </c:val>
          <c:smooth val="0"/>
        </c:ser>
        <c:dLbls>
          <c:showLegendKey val="0"/>
          <c:showVal val="0"/>
          <c:showCatName val="0"/>
          <c:showSerName val="0"/>
          <c:showPercent val="0"/>
          <c:showBubbleSize val="0"/>
        </c:dLbls>
        <c:marker val="1"/>
        <c:smooth val="0"/>
        <c:axId val="319708544"/>
        <c:axId val="319722624"/>
      </c:lineChart>
      <c:catAx>
        <c:axId val="319708544"/>
        <c:scaling>
          <c:orientation val="minMax"/>
        </c:scaling>
        <c:delete val="0"/>
        <c:axPos val="b"/>
        <c:numFmt formatCode="General" sourceLinked="1"/>
        <c:majorTickMark val="out"/>
        <c:minorTickMark val="none"/>
        <c:tickLblPos val="nextTo"/>
        <c:txPr>
          <a:bodyPr/>
          <a:lstStyle/>
          <a:p>
            <a:pPr>
              <a:defRPr sz="700"/>
            </a:pPr>
            <a:endParaRPr lang="en-US"/>
          </a:p>
        </c:txPr>
        <c:crossAx val="319722624"/>
        <c:crosses val="autoZero"/>
        <c:auto val="1"/>
        <c:lblAlgn val="ctr"/>
        <c:lblOffset val="100"/>
        <c:noMultiLvlLbl val="0"/>
      </c:catAx>
      <c:valAx>
        <c:axId val="319722624"/>
        <c:scaling>
          <c:orientation val="minMax"/>
          <c:max val="50"/>
          <c:min val="0"/>
        </c:scaling>
        <c:delete val="0"/>
        <c:axPos val="l"/>
        <c:numFmt formatCode="General" sourceLinked="1"/>
        <c:majorTickMark val="out"/>
        <c:minorTickMark val="none"/>
        <c:tickLblPos val="nextTo"/>
        <c:txPr>
          <a:bodyPr/>
          <a:lstStyle/>
          <a:p>
            <a:pPr>
              <a:defRPr sz="700"/>
            </a:pPr>
            <a:endParaRPr lang="en-US"/>
          </a:p>
        </c:txPr>
        <c:crossAx val="319708544"/>
        <c:crosses val="autoZero"/>
        <c:crossBetween val="between"/>
      </c:valAx>
    </c:plotArea>
    <c:legend>
      <c:legendPos val="r"/>
      <c:layout>
        <c:manualLayout>
          <c:xMode val="edge"/>
          <c:yMode val="edge"/>
          <c:x val="0.82808010109847385"/>
          <c:y val="3.8553783825020292E-3"/>
          <c:w val="0.1700930786429474"/>
          <c:h val="0.66065999562554811"/>
        </c:manualLayout>
      </c:layout>
      <c:overlay val="1"/>
      <c:txPr>
        <a:bodyPr/>
        <a:lstStyle/>
        <a:p>
          <a:pPr>
            <a:defRPr sz="700"/>
          </a:pPr>
          <a:endParaRPr lang="en-US"/>
        </a:p>
      </c:txPr>
    </c:legend>
    <c:plotVisOnly val="1"/>
    <c:dispBlanksAs val="gap"/>
    <c:showDLblsOverMax val="0"/>
  </c:chart>
  <c:spPr>
    <a:ln>
      <a:noFill/>
    </a:ln>
  </c:spPr>
  <c:externalData r:id="rId1">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manualLayout>
          <c:layoutTarget val="inner"/>
          <c:xMode val="edge"/>
          <c:yMode val="edge"/>
          <c:x val="4.6586954408476731E-2"/>
          <c:y val="6.0906149706056407E-2"/>
          <c:w val="0.75641902401088856"/>
          <c:h val="0.83848042432195957"/>
        </c:manualLayout>
      </c:layout>
      <c:barChart>
        <c:barDir val="col"/>
        <c:grouping val="clustered"/>
        <c:varyColors val="0"/>
        <c:ser>
          <c:idx val="0"/>
          <c:order val="0"/>
          <c:tx>
            <c:strRef>
              <c:f>Sheet1!$B$1</c:f>
              <c:strCache>
                <c:ptCount val="1"/>
                <c:pt idx="0">
                  <c:v>2008</c:v>
                </c:pt>
              </c:strCache>
            </c:strRef>
          </c:tx>
          <c:invertIfNegative val="0"/>
          <c:cat>
            <c:strRef>
              <c:f>Sheet1!$A$2:$A$5</c:f>
              <c:strCache>
                <c:ptCount val="4"/>
                <c:pt idx="0">
                  <c:v>Vidrovan</c:v>
                </c:pt>
                <c:pt idx="1">
                  <c:v>Duklov most</c:v>
                </c:pt>
                <c:pt idx="2">
                  <c:v>Danilovgrad</c:v>
                </c:pt>
                <c:pt idx="3">
                  <c:v>Vranjske njive</c:v>
                </c:pt>
              </c:strCache>
            </c:strRef>
          </c:cat>
          <c:val>
            <c:numRef>
              <c:f>Sheet1!$B$2:$B$5</c:f>
              <c:numCache>
                <c:formatCode>General</c:formatCode>
                <c:ptCount val="4"/>
                <c:pt idx="0">
                  <c:v>1.02</c:v>
                </c:pt>
                <c:pt idx="1">
                  <c:v>3.2600000000000002</c:v>
                </c:pt>
                <c:pt idx="2">
                  <c:v>3.1</c:v>
                </c:pt>
                <c:pt idx="3">
                  <c:v>2.4</c:v>
                </c:pt>
              </c:numCache>
            </c:numRef>
          </c:val>
        </c:ser>
        <c:ser>
          <c:idx val="1"/>
          <c:order val="1"/>
          <c:tx>
            <c:strRef>
              <c:f>Sheet1!$C$1</c:f>
              <c:strCache>
                <c:ptCount val="1"/>
                <c:pt idx="0">
                  <c:v>2009</c:v>
                </c:pt>
              </c:strCache>
            </c:strRef>
          </c:tx>
          <c:invertIfNegative val="0"/>
          <c:cat>
            <c:strRef>
              <c:f>Sheet1!$A$2:$A$5</c:f>
              <c:strCache>
                <c:ptCount val="4"/>
                <c:pt idx="0">
                  <c:v>Vidrovan</c:v>
                </c:pt>
                <c:pt idx="1">
                  <c:v>Duklov most</c:v>
                </c:pt>
                <c:pt idx="2">
                  <c:v>Danilovgrad</c:v>
                </c:pt>
                <c:pt idx="3">
                  <c:v>Vranjske njive</c:v>
                </c:pt>
              </c:strCache>
            </c:strRef>
          </c:cat>
          <c:val>
            <c:numRef>
              <c:f>Sheet1!$C$2:$C$5</c:f>
              <c:numCache>
                <c:formatCode>General</c:formatCode>
                <c:ptCount val="4"/>
                <c:pt idx="0">
                  <c:v>2.2599999999999998</c:v>
                </c:pt>
                <c:pt idx="1">
                  <c:v>2.68</c:v>
                </c:pt>
                <c:pt idx="2">
                  <c:v>5.98</c:v>
                </c:pt>
                <c:pt idx="3">
                  <c:v>2.69</c:v>
                </c:pt>
              </c:numCache>
            </c:numRef>
          </c:val>
        </c:ser>
        <c:ser>
          <c:idx val="2"/>
          <c:order val="2"/>
          <c:tx>
            <c:strRef>
              <c:f>Sheet1!$D$1</c:f>
              <c:strCache>
                <c:ptCount val="1"/>
                <c:pt idx="0">
                  <c:v>2010</c:v>
                </c:pt>
              </c:strCache>
            </c:strRef>
          </c:tx>
          <c:invertIfNegative val="0"/>
          <c:cat>
            <c:strRef>
              <c:f>Sheet1!$A$2:$A$5</c:f>
              <c:strCache>
                <c:ptCount val="4"/>
                <c:pt idx="0">
                  <c:v>Vidrovan</c:v>
                </c:pt>
                <c:pt idx="1">
                  <c:v>Duklov most</c:v>
                </c:pt>
                <c:pt idx="2">
                  <c:v>Danilovgrad</c:v>
                </c:pt>
                <c:pt idx="3">
                  <c:v>Vranjske njive</c:v>
                </c:pt>
              </c:strCache>
            </c:strRef>
          </c:cat>
          <c:val>
            <c:numRef>
              <c:f>Sheet1!$D$2:$D$5</c:f>
              <c:numCache>
                <c:formatCode>General</c:formatCode>
                <c:ptCount val="4"/>
                <c:pt idx="0">
                  <c:v>1.3800000000000001</c:v>
                </c:pt>
                <c:pt idx="1">
                  <c:v>3.22</c:v>
                </c:pt>
                <c:pt idx="2">
                  <c:v>3.55</c:v>
                </c:pt>
                <c:pt idx="3">
                  <c:v>2.09</c:v>
                </c:pt>
              </c:numCache>
            </c:numRef>
          </c:val>
        </c:ser>
        <c:ser>
          <c:idx val="3"/>
          <c:order val="3"/>
          <c:tx>
            <c:strRef>
              <c:f>Sheet1!$E$1</c:f>
              <c:strCache>
                <c:ptCount val="1"/>
                <c:pt idx="0">
                  <c:v>2011</c:v>
                </c:pt>
              </c:strCache>
            </c:strRef>
          </c:tx>
          <c:spPr>
            <a:ln w="38100"/>
          </c:spPr>
          <c:invertIfNegative val="0"/>
          <c:cat>
            <c:strRef>
              <c:f>Sheet1!$A$2:$A$5</c:f>
              <c:strCache>
                <c:ptCount val="4"/>
                <c:pt idx="0">
                  <c:v>Vidrovan</c:v>
                </c:pt>
                <c:pt idx="1">
                  <c:v>Duklov most</c:v>
                </c:pt>
                <c:pt idx="2">
                  <c:v>Danilovgrad</c:v>
                </c:pt>
                <c:pt idx="3">
                  <c:v>Vranjske njive</c:v>
                </c:pt>
              </c:strCache>
            </c:strRef>
          </c:cat>
          <c:val>
            <c:numRef>
              <c:f>Sheet1!$E$2:$E$5</c:f>
              <c:numCache>
                <c:formatCode>General</c:formatCode>
                <c:ptCount val="4"/>
                <c:pt idx="0">
                  <c:v>1.45</c:v>
                </c:pt>
                <c:pt idx="1">
                  <c:v>3.24</c:v>
                </c:pt>
                <c:pt idx="2">
                  <c:v>5.08</c:v>
                </c:pt>
                <c:pt idx="3">
                  <c:v>2.0299999999999998</c:v>
                </c:pt>
              </c:numCache>
            </c:numRef>
          </c:val>
        </c:ser>
        <c:ser>
          <c:idx val="4"/>
          <c:order val="4"/>
          <c:tx>
            <c:strRef>
              <c:f>Sheet1!$F$1</c:f>
              <c:strCache>
                <c:ptCount val="1"/>
                <c:pt idx="0">
                  <c:v>2012</c:v>
                </c:pt>
              </c:strCache>
            </c:strRef>
          </c:tx>
          <c:spPr>
            <a:ln w="38100"/>
          </c:spPr>
          <c:invertIfNegative val="0"/>
          <c:cat>
            <c:strRef>
              <c:f>Sheet1!$A$2:$A$5</c:f>
              <c:strCache>
                <c:ptCount val="4"/>
                <c:pt idx="0">
                  <c:v>Vidrovan</c:v>
                </c:pt>
                <c:pt idx="1">
                  <c:v>Duklov most</c:v>
                </c:pt>
                <c:pt idx="2">
                  <c:v>Danilovgrad</c:v>
                </c:pt>
                <c:pt idx="3">
                  <c:v>Vranjske njive</c:v>
                </c:pt>
              </c:strCache>
            </c:strRef>
          </c:cat>
          <c:val>
            <c:numRef>
              <c:f>Sheet1!$F$2:$F$5</c:f>
              <c:numCache>
                <c:formatCode>General</c:formatCode>
                <c:ptCount val="4"/>
                <c:pt idx="0">
                  <c:v>0.72000000000000064</c:v>
                </c:pt>
                <c:pt idx="1">
                  <c:v>3.11</c:v>
                </c:pt>
                <c:pt idx="2">
                  <c:v>2.58</c:v>
                </c:pt>
                <c:pt idx="3">
                  <c:v>2.4</c:v>
                </c:pt>
              </c:numCache>
            </c:numRef>
          </c:val>
        </c:ser>
        <c:ser>
          <c:idx val="5"/>
          <c:order val="5"/>
          <c:tx>
            <c:strRef>
              <c:f>Sheet1!$G$1</c:f>
              <c:strCache>
                <c:ptCount val="1"/>
                <c:pt idx="0">
                  <c:v>2013</c:v>
                </c:pt>
              </c:strCache>
            </c:strRef>
          </c:tx>
          <c:spPr>
            <a:ln w="25400"/>
          </c:spPr>
          <c:invertIfNegative val="0"/>
          <c:cat>
            <c:strRef>
              <c:f>Sheet1!$A$2:$A$5</c:f>
              <c:strCache>
                <c:ptCount val="4"/>
                <c:pt idx="0">
                  <c:v>Vidrovan</c:v>
                </c:pt>
                <c:pt idx="1">
                  <c:v>Duklov most</c:v>
                </c:pt>
                <c:pt idx="2">
                  <c:v>Danilovgrad</c:v>
                </c:pt>
                <c:pt idx="3">
                  <c:v>Vranjske njive</c:v>
                </c:pt>
              </c:strCache>
            </c:strRef>
          </c:cat>
          <c:val>
            <c:numRef>
              <c:f>Sheet1!$G$2:$G$5</c:f>
              <c:numCache>
                <c:formatCode>General</c:formatCode>
                <c:ptCount val="4"/>
                <c:pt idx="0">
                  <c:v>0.84000000000000064</c:v>
                </c:pt>
                <c:pt idx="1">
                  <c:v>1.9800000000000013</c:v>
                </c:pt>
                <c:pt idx="2">
                  <c:v>5.42</c:v>
                </c:pt>
                <c:pt idx="3">
                  <c:v>1.83</c:v>
                </c:pt>
              </c:numCache>
            </c:numRef>
          </c:val>
        </c:ser>
        <c:dLbls>
          <c:showLegendKey val="0"/>
          <c:showVal val="0"/>
          <c:showCatName val="0"/>
          <c:showSerName val="0"/>
          <c:showPercent val="0"/>
          <c:showBubbleSize val="0"/>
        </c:dLbls>
        <c:gapWidth val="150"/>
        <c:axId val="315253120"/>
        <c:axId val="315254656"/>
      </c:barChart>
      <c:lineChart>
        <c:grouping val="standard"/>
        <c:varyColors val="0"/>
        <c:ser>
          <c:idx val="6"/>
          <c:order val="6"/>
          <c:tx>
            <c:strRef>
              <c:f>Sheet1!$H$1</c:f>
              <c:strCache>
                <c:ptCount val="1"/>
                <c:pt idx="0">
                  <c:v>MDK A</c:v>
                </c:pt>
              </c:strCache>
            </c:strRef>
          </c:tx>
          <c:spPr>
            <a:ln w="25400"/>
          </c:spPr>
          <c:marker>
            <c:symbol val="none"/>
          </c:marker>
          <c:cat>
            <c:strRef>
              <c:f>Sheet1!$A$2:$A$5</c:f>
              <c:strCache>
                <c:ptCount val="4"/>
                <c:pt idx="0">
                  <c:v>Vidrovan</c:v>
                </c:pt>
                <c:pt idx="1">
                  <c:v>Duklov most</c:v>
                </c:pt>
                <c:pt idx="2">
                  <c:v>Danilovgrad</c:v>
                </c:pt>
                <c:pt idx="3">
                  <c:v>Vranjske njive</c:v>
                </c:pt>
              </c:strCache>
            </c:strRef>
          </c:cat>
          <c:val>
            <c:numRef>
              <c:f>Sheet1!$H$2:$H$5</c:f>
              <c:numCache>
                <c:formatCode>General</c:formatCode>
                <c:ptCount val="4"/>
                <c:pt idx="0">
                  <c:v>10</c:v>
                </c:pt>
                <c:pt idx="1">
                  <c:v>10</c:v>
                </c:pt>
                <c:pt idx="2">
                  <c:v>10</c:v>
                </c:pt>
                <c:pt idx="3">
                  <c:v>10</c:v>
                </c:pt>
              </c:numCache>
            </c:numRef>
          </c:val>
          <c:smooth val="0"/>
        </c:ser>
        <c:ser>
          <c:idx val="7"/>
          <c:order val="7"/>
          <c:tx>
            <c:strRef>
              <c:f>Sheet1!$I$1</c:f>
              <c:strCache>
                <c:ptCount val="1"/>
                <c:pt idx="0">
                  <c:v>MDK A1</c:v>
                </c:pt>
              </c:strCache>
            </c:strRef>
          </c:tx>
          <c:spPr>
            <a:ln w="25400"/>
          </c:spPr>
          <c:marker>
            <c:symbol val="none"/>
          </c:marker>
          <c:cat>
            <c:strRef>
              <c:f>Sheet1!$A$2:$A$5</c:f>
              <c:strCache>
                <c:ptCount val="4"/>
                <c:pt idx="0">
                  <c:v>Vidrovan</c:v>
                </c:pt>
                <c:pt idx="1">
                  <c:v>Duklov most</c:v>
                </c:pt>
                <c:pt idx="2">
                  <c:v>Danilovgrad</c:v>
                </c:pt>
                <c:pt idx="3">
                  <c:v>Vranjske njive</c:v>
                </c:pt>
              </c:strCache>
            </c:strRef>
          </c:cat>
          <c:val>
            <c:numRef>
              <c:f>Sheet1!$I$2:$I$5</c:f>
              <c:numCache>
                <c:formatCode>General</c:formatCode>
                <c:ptCount val="4"/>
                <c:pt idx="0">
                  <c:v>20</c:v>
                </c:pt>
                <c:pt idx="1">
                  <c:v>20</c:v>
                </c:pt>
                <c:pt idx="2">
                  <c:v>20</c:v>
                </c:pt>
                <c:pt idx="3">
                  <c:v>20</c:v>
                </c:pt>
              </c:numCache>
            </c:numRef>
          </c:val>
          <c:smooth val="0"/>
        </c:ser>
        <c:ser>
          <c:idx val="8"/>
          <c:order val="8"/>
          <c:tx>
            <c:strRef>
              <c:f>Sheet1!$J$1</c:f>
              <c:strCache>
                <c:ptCount val="1"/>
                <c:pt idx="0">
                  <c:v>MDK A2</c:v>
                </c:pt>
              </c:strCache>
            </c:strRef>
          </c:tx>
          <c:spPr>
            <a:ln w="25400"/>
          </c:spPr>
          <c:marker>
            <c:symbol val="none"/>
          </c:marker>
          <c:cat>
            <c:strRef>
              <c:f>Sheet1!$A$2:$A$5</c:f>
              <c:strCache>
                <c:ptCount val="4"/>
                <c:pt idx="0">
                  <c:v>Vidrovan</c:v>
                </c:pt>
                <c:pt idx="1">
                  <c:v>Duklov most</c:v>
                </c:pt>
                <c:pt idx="2">
                  <c:v>Danilovgrad</c:v>
                </c:pt>
                <c:pt idx="3">
                  <c:v>Vranjske njive</c:v>
                </c:pt>
              </c:strCache>
            </c:strRef>
          </c:cat>
          <c:val>
            <c:numRef>
              <c:f>Sheet1!$J$2:$J$5</c:f>
              <c:numCache>
                <c:formatCode>General</c:formatCode>
                <c:ptCount val="4"/>
                <c:pt idx="0">
                  <c:v>25</c:v>
                </c:pt>
                <c:pt idx="1">
                  <c:v>25</c:v>
                </c:pt>
                <c:pt idx="2">
                  <c:v>25</c:v>
                </c:pt>
                <c:pt idx="3">
                  <c:v>25</c:v>
                </c:pt>
              </c:numCache>
            </c:numRef>
          </c:val>
          <c:smooth val="0"/>
        </c:ser>
        <c:ser>
          <c:idx val="9"/>
          <c:order val="9"/>
          <c:tx>
            <c:strRef>
              <c:f>Sheet1!$K$1</c:f>
              <c:strCache>
                <c:ptCount val="1"/>
                <c:pt idx="0">
                  <c:v>MDK A3</c:v>
                </c:pt>
              </c:strCache>
            </c:strRef>
          </c:tx>
          <c:spPr>
            <a:ln w="25400"/>
          </c:spPr>
          <c:marker>
            <c:symbol val="none"/>
          </c:marker>
          <c:cat>
            <c:strRef>
              <c:f>Sheet1!$A$2:$A$5</c:f>
              <c:strCache>
                <c:ptCount val="4"/>
                <c:pt idx="0">
                  <c:v>Vidrovan</c:v>
                </c:pt>
                <c:pt idx="1">
                  <c:v>Duklov most</c:v>
                </c:pt>
                <c:pt idx="2">
                  <c:v>Danilovgrad</c:v>
                </c:pt>
                <c:pt idx="3">
                  <c:v>Vranjske njive</c:v>
                </c:pt>
              </c:strCache>
            </c:strRef>
          </c:cat>
          <c:val>
            <c:numRef>
              <c:f>Sheet1!$K$2:$K$5</c:f>
              <c:numCache>
                <c:formatCode>General</c:formatCode>
                <c:ptCount val="4"/>
                <c:pt idx="0">
                  <c:v>50</c:v>
                </c:pt>
                <c:pt idx="1">
                  <c:v>50</c:v>
                </c:pt>
                <c:pt idx="2">
                  <c:v>50</c:v>
                </c:pt>
                <c:pt idx="3">
                  <c:v>50</c:v>
                </c:pt>
              </c:numCache>
            </c:numRef>
          </c:val>
          <c:smooth val="0"/>
        </c:ser>
        <c:dLbls>
          <c:showLegendKey val="0"/>
          <c:showVal val="0"/>
          <c:showCatName val="0"/>
          <c:showSerName val="0"/>
          <c:showPercent val="0"/>
          <c:showBubbleSize val="0"/>
        </c:dLbls>
        <c:marker val="1"/>
        <c:smooth val="0"/>
        <c:axId val="315253120"/>
        <c:axId val="315254656"/>
      </c:lineChart>
      <c:catAx>
        <c:axId val="315253120"/>
        <c:scaling>
          <c:orientation val="minMax"/>
        </c:scaling>
        <c:delete val="0"/>
        <c:axPos val="b"/>
        <c:numFmt formatCode="General" sourceLinked="1"/>
        <c:majorTickMark val="out"/>
        <c:minorTickMark val="none"/>
        <c:tickLblPos val="nextTo"/>
        <c:txPr>
          <a:bodyPr/>
          <a:lstStyle/>
          <a:p>
            <a:pPr>
              <a:defRPr sz="700"/>
            </a:pPr>
            <a:endParaRPr lang="en-US"/>
          </a:p>
        </c:txPr>
        <c:crossAx val="315254656"/>
        <c:crosses val="autoZero"/>
        <c:auto val="1"/>
        <c:lblAlgn val="ctr"/>
        <c:lblOffset val="100"/>
        <c:noMultiLvlLbl val="0"/>
      </c:catAx>
      <c:valAx>
        <c:axId val="315254656"/>
        <c:scaling>
          <c:orientation val="minMax"/>
          <c:max val="50"/>
          <c:min val="0"/>
        </c:scaling>
        <c:delete val="0"/>
        <c:axPos val="l"/>
        <c:numFmt formatCode="General" sourceLinked="1"/>
        <c:majorTickMark val="out"/>
        <c:minorTickMark val="none"/>
        <c:tickLblPos val="nextTo"/>
        <c:txPr>
          <a:bodyPr/>
          <a:lstStyle/>
          <a:p>
            <a:pPr>
              <a:defRPr sz="700"/>
            </a:pPr>
            <a:endParaRPr lang="en-US"/>
          </a:p>
        </c:txPr>
        <c:crossAx val="315253120"/>
        <c:crosses val="autoZero"/>
        <c:crossBetween val="between"/>
      </c:valAx>
    </c:plotArea>
    <c:legend>
      <c:legendPos val="r"/>
      <c:layout>
        <c:manualLayout>
          <c:xMode val="edge"/>
          <c:yMode val="edge"/>
          <c:x val="0.82058155924953824"/>
          <c:y val="3.3982392825896782E-2"/>
          <c:w val="0.16700665888986099"/>
          <c:h val="0.54240649606299207"/>
        </c:manualLayout>
      </c:layout>
      <c:overlay val="1"/>
      <c:txPr>
        <a:bodyPr/>
        <a:lstStyle/>
        <a:p>
          <a:pPr>
            <a:defRPr sz="700"/>
          </a:pPr>
          <a:endParaRPr lang="en-US"/>
        </a:p>
      </c:txPr>
    </c:legend>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manualLayout>
          <c:layoutTarget val="inner"/>
          <c:xMode val="edge"/>
          <c:yMode val="edge"/>
          <c:x val="9.34744670074137E-2"/>
          <c:y val="9.8389568773782951E-2"/>
          <c:w val="0.63295666988994759"/>
          <c:h val="0.72342704149933068"/>
        </c:manualLayout>
      </c:layout>
      <c:barChart>
        <c:barDir val="col"/>
        <c:grouping val="clustered"/>
        <c:varyColors val="0"/>
        <c:ser>
          <c:idx val="0"/>
          <c:order val="0"/>
          <c:tx>
            <c:strRef>
              <c:f>Sheet1!$B$1</c:f>
              <c:strCache>
                <c:ptCount val="1"/>
                <c:pt idx="0">
                  <c:v>Csr </c:v>
                </c:pt>
              </c:strCache>
            </c:strRef>
          </c:tx>
          <c:spPr>
            <a:solidFill>
              <a:srgbClr val="FFFF00"/>
            </a:solidFill>
          </c:spPr>
          <c:invertIfNegative val="0"/>
          <c:cat>
            <c:strRef>
              <c:f>Sheet1!$A$2:$A$13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Sheet1!$B$2:$B$13</c:f>
              <c:numCache>
                <c:formatCode>General</c:formatCode>
                <c:ptCount val="12"/>
                <c:pt idx="0">
                  <c:v>5.8599999999999985</c:v>
                </c:pt>
                <c:pt idx="1">
                  <c:v>5.54</c:v>
                </c:pt>
                <c:pt idx="2">
                  <c:v>3.3699999999999997</c:v>
                </c:pt>
                <c:pt idx="3">
                  <c:v>3.07</c:v>
                </c:pt>
                <c:pt idx="4">
                  <c:v>2.65</c:v>
                </c:pt>
                <c:pt idx="5">
                  <c:v>3.6</c:v>
                </c:pt>
                <c:pt idx="6">
                  <c:v>4.4800000000000004</c:v>
                </c:pt>
                <c:pt idx="7">
                  <c:v>0.9</c:v>
                </c:pt>
                <c:pt idx="8">
                  <c:v>1.84</c:v>
                </c:pt>
                <c:pt idx="9">
                  <c:v>2.13</c:v>
                </c:pt>
                <c:pt idx="10">
                  <c:v>2.73</c:v>
                </c:pt>
                <c:pt idx="11">
                  <c:v>3.68</c:v>
                </c:pt>
              </c:numCache>
            </c:numRef>
          </c:val>
        </c:ser>
        <c:ser>
          <c:idx val="1"/>
          <c:order val="1"/>
          <c:tx>
            <c:strRef>
              <c:f>Sheet1!$C$1</c:f>
              <c:strCache>
                <c:ptCount val="1"/>
                <c:pt idx="0">
                  <c:v>Cmax </c:v>
                </c:pt>
              </c:strCache>
            </c:strRef>
          </c:tx>
          <c:invertIfNegative val="0"/>
          <c:cat>
            <c:strRef>
              <c:f>Sheet1!$A$2:$A$13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Sheet1!$C$2:$C$13</c:f>
              <c:numCache>
                <c:formatCode>General</c:formatCode>
                <c:ptCount val="12"/>
                <c:pt idx="0">
                  <c:v>20.38</c:v>
                </c:pt>
                <c:pt idx="1">
                  <c:v>16.149999999999999</c:v>
                </c:pt>
                <c:pt idx="2">
                  <c:v>13.72</c:v>
                </c:pt>
                <c:pt idx="3">
                  <c:v>18.47</c:v>
                </c:pt>
                <c:pt idx="4">
                  <c:v>13</c:v>
                </c:pt>
                <c:pt idx="5">
                  <c:v>18.18</c:v>
                </c:pt>
                <c:pt idx="6">
                  <c:v>8.82</c:v>
                </c:pt>
                <c:pt idx="7">
                  <c:v>4.4800000000000004</c:v>
                </c:pt>
                <c:pt idx="8">
                  <c:v>9</c:v>
                </c:pt>
                <c:pt idx="9">
                  <c:v>5.45</c:v>
                </c:pt>
                <c:pt idx="10">
                  <c:v>10.7</c:v>
                </c:pt>
                <c:pt idx="11">
                  <c:v>20.45</c:v>
                </c:pt>
              </c:numCache>
            </c:numRef>
          </c:val>
        </c:ser>
        <c:dLbls>
          <c:showLegendKey val="0"/>
          <c:showVal val="0"/>
          <c:showCatName val="0"/>
          <c:showSerName val="0"/>
          <c:showPercent val="0"/>
          <c:showBubbleSize val="0"/>
        </c:dLbls>
        <c:gapWidth val="150"/>
        <c:axId val="201619712"/>
        <c:axId val="201621504"/>
      </c:barChart>
      <c:lineChart>
        <c:grouping val="standard"/>
        <c:varyColors val="0"/>
        <c:ser>
          <c:idx val="2"/>
          <c:order val="2"/>
          <c:tx>
            <c:strRef>
              <c:f>Sheet1!$D$1</c:f>
              <c:strCache>
                <c:ptCount val="1"/>
                <c:pt idx="0">
                  <c:v>granična jednočasovna srednja vrijednost</c:v>
                </c:pt>
              </c:strCache>
            </c:strRef>
          </c:tx>
          <c:spPr>
            <a:ln w="41275">
              <a:solidFill>
                <a:srgbClr val="FF0000"/>
              </a:solidFill>
            </a:ln>
          </c:spPr>
          <c:marker>
            <c:symbol val="none"/>
          </c:marker>
          <c:cat>
            <c:strRef>
              <c:f>Sheet1!$A$2:$A$13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Sheet1!$D$2:$D$13</c:f>
              <c:numCache>
                <c:formatCode>General</c:formatCode>
                <c:ptCount val="12"/>
                <c:pt idx="0">
                  <c:v>350</c:v>
                </c:pt>
                <c:pt idx="1">
                  <c:v>350</c:v>
                </c:pt>
                <c:pt idx="2">
                  <c:v>350</c:v>
                </c:pt>
                <c:pt idx="3">
                  <c:v>350</c:v>
                </c:pt>
                <c:pt idx="4">
                  <c:v>350</c:v>
                </c:pt>
                <c:pt idx="5">
                  <c:v>350</c:v>
                </c:pt>
                <c:pt idx="6">
                  <c:v>350</c:v>
                </c:pt>
                <c:pt idx="7">
                  <c:v>350</c:v>
                </c:pt>
                <c:pt idx="8">
                  <c:v>350</c:v>
                </c:pt>
                <c:pt idx="9">
                  <c:v>350</c:v>
                </c:pt>
                <c:pt idx="10">
                  <c:v>350</c:v>
                </c:pt>
                <c:pt idx="11">
                  <c:v>350</c:v>
                </c:pt>
              </c:numCache>
            </c:numRef>
          </c:val>
          <c:smooth val="0"/>
        </c:ser>
        <c:dLbls>
          <c:showLegendKey val="0"/>
          <c:showVal val="0"/>
          <c:showCatName val="0"/>
          <c:showSerName val="0"/>
          <c:showPercent val="0"/>
          <c:showBubbleSize val="0"/>
        </c:dLbls>
        <c:marker val="1"/>
        <c:smooth val="0"/>
        <c:axId val="201619712"/>
        <c:axId val="201621504"/>
      </c:lineChart>
      <c:catAx>
        <c:axId val="201619712"/>
        <c:scaling>
          <c:orientation val="minMax"/>
        </c:scaling>
        <c:delete val="0"/>
        <c:axPos val="b"/>
        <c:majorTickMark val="out"/>
        <c:minorTickMark val="none"/>
        <c:tickLblPos val="nextTo"/>
        <c:crossAx val="201621504"/>
        <c:crosses val="autoZero"/>
        <c:auto val="1"/>
        <c:lblAlgn val="ctr"/>
        <c:lblOffset val="100"/>
        <c:noMultiLvlLbl val="0"/>
      </c:catAx>
      <c:valAx>
        <c:axId val="201621504"/>
        <c:scaling>
          <c:orientation val="minMax"/>
        </c:scaling>
        <c:delete val="0"/>
        <c:axPos val="l"/>
        <c:title>
          <c:tx>
            <c:rich>
              <a:bodyPr rot="0" vert="horz"/>
              <a:lstStyle/>
              <a:p>
                <a:pPr>
                  <a:defRPr/>
                </a:pPr>
                <a:r>
                  <a:rPr lang="en-US">
                    <a:latin typeface="Calibri"/>
                  </a:rPr>
                  <a:t>µg/m</a:t>
                </a:r>
                <a:r>
                  <a:rPr lang="en-US" baseline="30000">
                    <a:latin typeface="Calibri"/>
                  </a:rPr>
                  <a:t>3</a:t>
                </a:r>
                <a:endParaRPr lang="en-US" baseline="30000"/>
              </a:p>
            </c:rich>
          </c:tx>
          <c:layout>
            <c:manualLayout>
              <c:xMode val="edge"/>
              <c:yMode val="edge"/>
              <c:x val="1.7543859649122844E-2"/>
              <c:y val="1.7227966986054614E-3"/>
            </c:manualLayout>
          </c:layout>
          <c:overlay val="0"/>
        </c:title>
        <c:numFmt formatCode="General" sourceLinked="1"/>
        <c:majorTickMark val="out"/>
        <c:minorTickMark val="none"/>
        <c:tickLblPos val="nextTo"/>
        <c:crossAx val="201619712"/>
        <c:crosses val="autoZero"/>
        <c:crossBetween val="between"/>
      </c:valAx>
      <c:spPr>
        <a:blipFill dpi="0" rotWithShape="1">
          <a:blip xmlns:r="http://schemas.openxmlformats.org/officeDocument/2006/relationships" r:embed="rId1">
            <a:alphaModFix amt="70000"/>
          </a:blip>
          <a:srcRect/>
          <a:stretch>
            <a:fillRect/>
          </a:stretch>
        </a:blipFill>
      </c:spPr>
    </c:plotArea>
    <c:legend>
      <c:legendPos val="r"/>
      <c:layout>
        <c:manualLayout>
          <c:xMode val="edge"/>
          <c:yMode val="edge"/>
          <c:x val="0.76182295394893862"/>
          <c:y val="0.11791978264023559"/>
          <c:w val="0.23590942740549256"/>
          <c:h val="0.66474894155819619"/>
        </c:manualLayout>
      </c:layout>
      <c:overlay val="1"/>
      <c:txPr>
        <a:bodyPr/>
        <a:lstStyle/>
        <a:p>
          <a:pPr>
            <a:defRPr sz="800"/>
          </a:pPr>
          <a:endParaRPr lang="en-US"/>
        </a:p>
      </c:txPr>
    </c:legend>
    <c:plotVisOnly val="1"/>
    <c:dispBlanksAs val="gap"/>
    <c:showDLblsOverMax val="0"/>
  </c:chart>
  <c:spPr>
    <a:ln>
      <a:noFill/>
    </a:ln>
  </c:spPr>
  <c:externalData r:id="rId2">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manualLayout>
          <c:layoutTarget val="inner"/>
          <c:xMode val="edge"/>
          <c:yMode val="edge"/>
          <c:x val="4.6586954408476731E-2"/>
          <c:y val="2.929392996255999E-2"/>
          <c:w val="0.77362690774764253"/>
          <c:h val="0.87136876145538378"/>
        </c:manualLayout>
      </c:layout>
      <c:barChart>
        <c:barDir val="col"/>
        <c:grouping val="clustered"/>
        <c:varyColors val="0"/>
        <c:ser>
          <c:idx val="0"/>
          <c:order val="0"/>
          <c:tx>
            <c:strRef>
              <c:f>Sheet1!$B$1</c:f>
              <c:strCache>
                <c:ptCount val="1"/>
                <c:pt idx="0">
                  <c:v>2008</c:v>
                </c:pt>
              </c:strCache>
            </c:strRef>
          </c:tx>
          <c:invertIfNegative val="0"/>
          <c:cat>
            <c:strRef>
              <c:f>Sheet1!$A$2:$A$7</c:f>
              <c:strCache>
                <c:ptCount val="6"/>
                <c:pt idx="0">
                  <c:v>Plav</c:v>
                </c:pt>
                <c:pt idx="1">
                  <c:v>Andrijevica</c:v>
                </c:pt>
                <c:pt idx="2">
                  <c:v>Skakavac</c:v>
                </c:pt>
                <c:pt idx="3">
                  <c:v>Zaton</c:v>
                </c:pt>
                <c:pt idx="4">
                  <c:v>Bijelo Polje</c:v>
                </c:pt>
                <c:pt idx="5">
                  <c:v>Dobrakovo</c:v>
                </c:pt>
              </c:strCache>
            </c:strRef>
          </c:cat>
          <c:val>
            <c:numRef>
              <c:f>Sheet1!$B$2:$B$7</c:f>
              <c:numCache>
                <c:formatCode>General</c:formatCode>
                <c:ptCount val="6"/>
                <c:pt idx="0">
                  <c:v>0.76000000000000079</c:v>
                </c:pt>
                <c:pt idx="1">
                  <c:v>0.99</c:v>
                </c:pt>
                <c:pt idx="2">
                  <c:v>1.44</c:v>
                </c:pt>
                <c:pt idx="3">
                  <c:v>1.5</c:v>
                </c:pt>
                <c:pt idx="4">
                  <c:v>2.0099999999999998</c:v>
                </c:pt>
                <c:pt idx="5">
                  <c:v>2.0699999999999998</c:v>
                </c:pt>
              </c:numCache>
            </c:numRef>
          </c:val>
        </c:ser>
        <c:ser>
          <c:idx val="1"/>
          <c:order val="1"/>
          <c:tx>
            <c:strRef>
              <c:f>Sheet1!$C$1</c:f>
              <c:strCache>
                <c:ptCount val="1"/>
                <c:pt idx="0">
                  <c:v>2009</c:v>
                </c:pt>
              </c:strCache>
            </c:strRef>
          </c:tx>
          <c:invertIfNegative val="0"/>
          <c:cat>
            <c:strRef>
              <c:f>Sheet1!$A$2:$A$7</c:f>
              <c:strCache>
                <c:ptCount val="6"/>
                <c:pt idx="0">
                  <c:v>Plav</c:v>
                </c:pt>
                <c:pt idx="1">
                  <c:v>Andrijevica</c:v>
                </c:pt>
                <c:pt idx="2">
                  <c:v>Skakavac</c:v>
                </c:pt>
                <c:pt idx="3">
                  <c:v>Zaton</c:v>
                </c:pt>
                <c:pt idx="4">
                  <c:v>Bijelo Polje</c:v>
                </c:pt>
                <c:pt idx="5">
                  <c:v>Dobrakovo</c:v>
                </c:pt>
              </c:strCache>
            </c:strRef>
          </c:cat>
          <c:val>
            <c:numRef>
              <c:f>Sheet1!$C$2:$C$7</c:f>
              <c:numCache>
                <c:formatCode>General</c:formatCode>
                <c:ptCount val="6"/>
                <c:pt idx="0">
                  <c:v>0.70000000000000062</c:v>
                </c:pt>
                <c:pt idx="1">
                  <c:v>0.75000000000000078</c:v>
                </c:pt>
                <c:pt idx="2">
                  <c:v>1.41</c:v>
                </c:pt>
                <c:pt idx="3">
                  <c:v>1.25</c:v>
                </c:pt>
                <c:pt idx="4">
                  <c:v>1.22</c:v>
                </c:pt>
                <c:pt idx="5">
                  <c:v>1.46</c:v>
                </c:pt>
              </c:numCache>
            </c:numRef>
          </c:val>
        </c:ser>
        <c:ser>
          <c:idx val="2"/>
          <c:order val="2"/>
          <c:tx>
            <c:strRef>
              <c:f>Sheet1!$D$1</c:f>
              <c:strCache>
                <c:ptCount val="1"/>
                <c:pt idx="0">
                  <c:v>2010</c:v>
                </c:pt>
              </c:strCache>
            </c:strRef>
          </c:tx>
          <c:invertIfNegative val="0"/>
          <c:cat>
            <c:strRef>
              <c:f>Sheet1!$A$2:$A$7</c:f>
              <c:strCache>
                <c:ptCount val="6"/>
                <c:pt idx="0">
                  <c:v>Plav</c:v>
                </c:pt>
                <c:pt idx="1">
                  <c:v>Andrijevica</c:v>
                </c:pt>
                <c:pt idx="2">
                  <c:v>Skakavac</c:v>
                </c:pt>
                <c:pt idx="3">
                  <c:v>Zaton</c:v>
                </c:pt>
                <c:pt idx="4">
                  <c:v>Bijelo Polje</c:v>
                </c:pt>
                <c:pt idx="5">
                  <c:v>Dobrakovo</c:v>
                </c:pt>
              </c:strCache>
            </c:strRef>
          </c:cat>
          <c:val>
            <c:numRef>
              <c:f>Sheet1!$D$2:$D$7</c:f>
              <c:numCache>
                <c:formatCode>General</c:formatCode>
                <c:ptCount val="6"/>
                <c:pt idx="0">
                  <c:v>0.31000000000000033</c:v>
                </c:pt>
                <c:pt idx="1">
                  <c:v>0.51</c:v>
                </c:pt>
                <c:pt idx="2">
                  <c:v>0.98</c:v>
                </c:pt>
                <c:pt idx="3">
                  <c:v>1.0900000000000001</c:v>
                </c:pt>
                <c:pt idx="4">
                  <c:v>0.94000000000000061</c:v>
                </c:pt>
                <c:pt idx="5">
                  <c:v>0.93</c:v>
                </c:pt>
              </c:numCache>
            </c:numRef>
          </c:val>
        </c:ser>
        <c:ser>
          <c:idx val="3"/>
          <c:order val="3"/>
          <c:tx>
            <c:strRef>
              <c:f>Sheet1!$E$1</c:f>
              <c:strCache>
                <c:ptCount val="1"/>
                <c:pt idx="0">
                  <c:v>2011</c:v>
                </c:pt>
              </c:strCache>
            </c:strRef>
          </c:tx>
          <c:spPr>
            <a:ln w="38100"/>
          </c:spPr>
          <c:invertIfNegative val="0"/>
          <c:cat>
            <c:strRef>
              <c:f>Sheet1!$A$2:$A$7</c:f>
              <c:strCache>
                <c:ptCount val="6"/>
                <c:pt idx="0">
                  <c:v>Plav</c:v>
                </c:pt>
                <c:pt idx="1">
                  <c:v>Andrijevica</c:v>
                </c:pt>
                <c:pt idx="2">
                  <c:v>Skakavac</c:v>
                </c:pt>
                <c:pt idx="3">
                  <c:v>Zaton</c:v>
                </c:pt>
                <c:pt idx="4">
                  <c:v>Bijelo Polje</c:v>
                </c:pt>
                <c:pt idx="5">
                  <c:v>Dobrakovo</c:v>
                </c:pt>
              </c:strCache>
            </c:strRef>
          </c:cat>
          <c:val>
            <c:numRef>
              <c:f>Sheet1!$E$2:$E$7</c:f>
              <c:numCache>
                <c:formatCode>General</c:formatCode>
                <c:ptCount val="6"/>
                <c:pt idx="0">
                  <c:v>0.56999999999999995</c:v>
                </c:pt>
                <c:pt idx="1">
                  <c:v>0.96000000000000063</c:v>
                </c:pt>
                <c:pt idx="2">
                  <c:v>1.6700000000000013</c:v>
                </c:pt>
                <c:pt idx="3">
                  <c:v>1.57</c:v>
                </c:pt>
                <c:pt idx="4">
                  <c:v>1.74</c:v>
                </c:pt>
                <c:pt idx="5">
                  <c:v>1.6600000000000001</c:v>
                </c:pt>
              </c:numCache>
            </c:numRef>
          </c:val>
        </c:ser>
        <c:ser>
          <c:idx val="4"/>
          <c:order val="4"/>
          <c:tx>
            <c:strRef>
              <c:f>Sheet1!$F$1</c:f>
              <c:strCache>
                <c:ptCount val="1"/>
                <c:pt idx="0">
                  <c:v>2012</c:v>
                </c:pt>
              </c:strCache>
            </c:strRef>
          </c:tx>
          <c:spPr>
            <a:ln w="38100"/>
          </c:spPr>
          <c:invertIfNegative val="0"/>
          <c:cat>
            <c:strRef>
              <c:f>Sheet1!$A$2:$A$7</c:f>
              <c:strCache>
                <c:ptCount val="6"/>
                <c:pt idx="0">
                  <c:v>Plav</c:v>
                </c:pt>
                <c:pt idx="1">
                  <c:v>Andrijevica</c:v>
                </c:pt>
                <c:pt idx="2">
                  <c:v>Skakavac</c:v>
                </c:pt>
                <c:pt idx="3">
                  <c:v>Zaton</c:v>
                </c:pt>
                <c:pt idx="4">
                  <c:v>Bijelo Polje</c:v>
                </c:pt>
                <c:pt idx="5">
                  <c:v>Dobrakovo</c:v>
                </c:pt>
              </c:strCache>
            </c:strRef>
          </c:cat>
          <c:val>
            <c:numRef>
              <c:f>Sheet1!$F$2:$F$7</c:f>
              <c:numCache>
                <c:formatCode>General</c:formatCode>
                <c:ptCount val="6"/>
                <c:pt idx="0">
                  <c:v>0.48000000000000032</c:v>
                </c:pt>
                <c:pt idx="1">
                  <c:v>0.96000000000000063</c:v>
                </c:pt>
                <c:pt idx="2">
                  <c:v>1.55</c:v>
                </c:pt>
                <c:pt idx="3">
                  <c:v>1.8</c:v>
                </c:pt>
                <c:pt idx="4">
                  <c:v>1.36</c:v>
                </c:pt>
                <c:pt idx="5">
                  <c:v>1.82</c:v>
                </c:pt>
              </c:numCache>
            </c:numRef>
          </c:val>
        </c:ser>
        <c:ser>
          <c:idx val="5"/>
          <c:order val="5"/>
          <c:tx>
            <c:strRef>
              <c:f>Sheet1!$G$1</c:f>
              <c:strCache>
                <c:ptCount val="1"/>
                <c:pt idx="0">
                  <c:v>2013</c:v>
                </c:pt>
              </c:strCache>
            </c:strRef>
          </c:tx>
          <c:spPr>
            <a:ln w="38100"/>
          </c:spPr>
          <c:invertIfNegative val="0"/>
          <c:cat>
            <c:strRef>
              <c:f>Sheet1!$A$2:$A$7</c:f>
              <c:strCache>
                <c:ptCount val="6"/>
                <c:pt idx="0">
                  <c:v>Plav</c:v>
                </c:pt>
                <c:pt idx="1">
                  <c:v>Andrijevica</c:v>
                </c:pt>
                <c:pt idx="2">
                  <c:v>Skakavac</c:v>
                </c:pt>
                <c:pt idx="3">
                  <c:v>Zaton</c:v>
                </c:pt>
                <c:pt idx="4">
                  <c:v>Bijelo Polje</c:v>
                </c:pt>
                <c:pt idx="5">
                  <c:v>Dobrakovo</c:v>
                </c:pt>
              </c:strCache>
            </c:strRef>
          </c:cat>
          <c:val>
            <c:numRef>
              <c:f>Sheet1!$G$2:$G$7</c:f>
              <c:numCache>
                <c:formatCode>General</c:formatCode>
                <c:ptCount val="6"/>
                <c:pt idx="0">
                  <c:v>0.73000000000000065</c:v>
                </c:pt>
                <c:pt idx="1">
                  <c:v>0.87000000000000066</c:v>
                </c:pt>
                <c:pt idx="2">
                  <c:v>2.61</c:v>
                </c:pt>
                <c:pt idx="3">
                  <c:v>0.85000000000000064</c:v>
                </c:pt>
                <c:pt idx="4">
                  <c:v>0.94000000000000061</c:v>
                </c:pt>
                <c:pt idx="5">
                  <c:v>1.24</c:v>
                </c:pt>
              </c:numCache>
            </c:numRef>
          </c:val>
        </c:ser>
        <c:dLbls>
          <c:showLegendKey val="0"/>
          <c:showVal val="0"/>
          <c:showCatName val="0"/>
          <c:showSerName val="0"/>
          <c:showPercent val="0"/>
          <c:showBubbleSize val="0"/>
        </c:dLbls>
        <c:gapWidth val="150"/>
        <c:axId val="319857792"/>
        <c:axId val="319859328"/>
      </c:barChart>
      <c:lineChart>
        <c:grouping val="standard"/>
        <c:varyColors val="0"/>
        <c:ser>
          <c:idx val="6"/>
          <c:order val="6"/>
          <c:tx>
            <c:strRef>
              <c:f>Sheet1!$H$1</c:f>
              <c:strCache>
                <c:ptCount val="1"/>
                <c:pt idx="0">
                  <c:v>MDK A</c:v>
                </c:pt>
              </c:strCache>
            </c:strRef>
          </c:tx>
          <c:spPr>
            <a:ln w="25400"/>
          </c:spPr>
          <c:marker>
            <c:symbol val="none"/>
          </c:marker>
          <c:cat>
            <c:strRef>
              <c:f>Sheet1!$A$2:$A$7</c:f>
              <c:strCache>
                <c:ptCount val="6"/>
                <c:pt idx="0">
                  <c:v>Plav</c:v>
                </c:pt>
                <c:pt idx="1">
                  <c:v>Andrijevica</c:v>
                </c:pt>
                <c:pt idx="2">
                  <c:v>Skakavac</c:v>
                </c:pt>
                <c:pt idx="3">
                  <c:v>Zaton</c:v>
                </c:pt>
                <c:pt idx="4">
                  <c:v>Bijelo Polje</c:v>
                </c:pt>
                <c:pt idx="5">
                  <c:v>Dobrakovo</c:v>
                </c:pt>
              </c:strCache>
            </c:strRef>
          </c:cat>
          <c:val>
            <c:numRef>
              <c:f>Sheet1!$H$2:$H$7</c:f>
              <c:numCache>
                <c:formatCode>General</c:formatCode>
                <c:ptCount val="6"/>
                <c:pt idx="0">
                  <c:v>10</c:v>
                </c:pt>
                <c:pt idx="1">
                  <c:v>10</c:v>
                </c:pt>
                <c:pt idx="2">
                  <c:v>10</c:v>
                </c:pt>
                <c:pt idx="3">
                  <c:v>10</c:v>
                </c:pt>
                <c:pt idx="4">
                  <c:v>10</c:v>
                </c:pt>
                <c:pt idx="5">
                  <c:v>10</c:v>
                </c:pt>
              </c:numCache>
            </c:numRef>
          </c:val>
          <c:smooth val="0"/>
        </c:ser>
        <c:ser>
          <c:idx val="7"/>
          <c:order val="7"/>
          <c:tx>
            <c:strRef>
              <c:f>Sheet1!$I$1</c:f>
              <c:strCache>
                <c:ptCount val="1"/>
                <c:pt idx="0">
                  <c:v>MDKA1</c:v>
                </c:pt>
              </c:strCache>
            </c:strRef>
          </c:tx>
          <c:spPr>
            <a:ln w="25400"/>
          </c:spPr>
          <c:marker>
            <c:symbol val="none"/>
          </c:marker>
          <c:cat>
            <c:strRef>
              <c:f>Sheet1!$A$2:$A$7</c:f>
              <c:strCache>
                <c:ptCount val="6"/>
                <c:pt idx="0">
                  <c:v>Plav</c:v>
                </c:pt>
                <c:pt idx="1">
                  <c:v>Andrijevica</c:v>
                </c:pt>
                <c:pt idx="2">
                  <c:v>Skakavac</c:v>
                </c:pt>
                <c:pt idx="3">
                  <c:v>Zaton</c:v>
                </c:pt>
                <c:pt idx="4">
                  <c:v>Bijelo Polje</c:v>
                </c:pt>
                <c:pt idx="5">
                  <c:v>Dobrakovo</c:v>
                </c:pt>
              </c:strCache>
            </c:strRef>
          </c:cat>
          <c:val>
            <c:numRef>
              <c:f>Sheet1!$I$2:$I$7</c:f>
              <c:numCache>
                <c:formatCode>General</c:formatCode>
                <c:ptCount val="6"/>
                <c:pt idx="0">
                  <c:v>20</c:v>
                </c:pt>
                <c:pt idx="1">
                  <c:v>20</c:v>
                </c:pt>
                <c:pt idx="2">
                  <c:v>20</c:v>
                </c:pt>
                <c:pt idx="3">
                  <c:v>20</c:v>
                </c:pt>
                <c:pt idx="4">
                  <c:v>20</c:v>
                </c:pt>
                <c:pt idx="5">
                  <c:v>20</c:v>
                </c:pt>
              </c:numCache>
            </c:numRef>
          </c:val>
          <c:smooth val="0"/>
        </c:ser>
        <c:ser>
          <c:idx val="8"/>
          <c:order val="8"/>
          <c:tx>
            <c:strRef>
              <c:f>Sheet1!$J$1</c:f>
              <c:strCache>
                <c:ptCount val="1"/>
                <c:pt idx="0">
                  <c:v>MDK A2</c:v>
                </c:pt>
              </c:strCache>
            </c:strRef>
          </c:tx>
          <c:spPr>
            <a:ln w="25400"/>
          </c:spPr>
          <c:marker>
            <c:symbol val="none"/>
          </c:marker>
          <c:cat>
            <c:strRef>
              <c:f>Sheet1!$A$2:$A$7</c:f>
              <c:strCache>
                <c:ptCount val="6"/>
                <c:pt idx="0">
                  <c:v>Plav</c:v>
                </c:pt>
                <c:pt idx="1">
                  <c:v>Andrijevica</c:v>
                </c:pt>
                <c:pt idx="2">
                  <c:v>Skakavac</c:v>
                </c:pt>
                <c:pt idx="3">
                  <c:v>Zaton</c:v>
                </c:pt>
                <c:pt idx="4">
                  <c:v>Bijelo Polje</c:v>
                </c:pt>
                <c:pt idx="5">
                  <c:v>Dobrakovo</c:v>
                </c:pt>
              </c:strCache>
            </c:strRef>
          </c:cat>
          <c:val>
            <c:numRef>
              <c:f>Sheet1!$J$2:$J$7</c:f>
              <c:numCache>
                <c:formatCode>General</c:formatCode>
                <c:ptCount val="6"/>
                <c:pt idx="0">
                  <c:v>25</c:v>
                </c:pt>
                <c:pt idx="1">
                  <c:v>25</c:v>
                </c:pt>
                <c:pt idx="2">
                  <c:v>25</c:v>
                </c:pt>
                <c:pt idx="3">
                  <c:v>25</c:v>
                </c:pt>
                <c:pt idx="4">
                  <c:v>25</c:v>
                </c:pt>
                <c:pt idx="5">
                  <c:v>25</c:v>
                </c:pt>
              </c:numCache>
            </c:numRef>
          </c:val>
          <c:smooth val="0"/>
        </c:ser>
        <c:ser>
          <c:idx val="9"/>
          <c:order val="9"/>
          <c:tx>
            <c:strRef>
              <c:f>Sheet1!$K$1</c:f>
              <c:strCache>
                <c:ptCount val="1"/>
                <c:pt idx="0">
                  <c:v>MDK A3</c:v>
                </c:pt>
              </c:strCache>
            </c:strRef>
          </c:tx>
          <c:spPr>
            <a:ln w="25400"/>
          </c:spPr>
          <c:marker>
            <c:symbol val="none"/>
          </c:marker>
          <c:cat>
            <c:strRef>
              <c:f>Sheet1!$A$2:$A$7</c:f>
              <c:strCache>
                <c:ptCount val="6"/>
                <c:pt idx="0">
                  <c:v>Plav</c:v>
                </c:pt>
                <c:pt idx="1">
                  <c:v>Andrijevica</c:v>
                </c:pt>
                <c:pt idx="2">
                  <c:v>Skakavac</c:v>
                </c:pt>
                <c:pt idx="3">
                  <c:v>Zaton</c:v>
                </c:pt>
                <c:pt idx="4">
                  <c:v>Bijelo Polje</c:v>
                </c:pt>
                <c:pt idx="5">
                  <c:v>Dobrakovo</c:v>
                </c:pt>
              </c:strCache>
            </c:strRef>
          </c:cat>
          <c:val>
            <c:numRef>
              <c:f>Sheet1!$K$2:$K$7</c:f>
              <c:numCache>
                <c:formatCode>General</c:formatCode>
                <c:ptCount val="6"/>
                <c:pt idx="0">
                  <c:v>50</c:v>
                </c:pt>
                <c:pt idx="1">
                  <c:v>50</c:v>
                </c:pt>
                <c:pt idx="2">
                  <c:v>50</c:v>
                </c:pt>
                <c:pt idx="3">
                  <c:v>50</c:v>
                </c:pt>
                <c:pt idx="4">
                  <c:v>50</c:v>
                </c:pt>
                <c:pt idx="5">
                  <c:v>50</c:v>
                </c:pt>
              </c:numCache>
            </c:numRef>
          </c:val>
          <c:smooth val="0"/>
        </c:ser>
        <c:dLbls>
          <c:showLegendKey val="0"/>
          <c:showVal val="0"/>
          <c:showCatName val="0"/>
          <c:showSerName val="0"/>
          <c:showPercent val="0"/>
          <c:showBubbleSize val="0"/>
        </c:dLbls>
        <c:marker val="1"/>
        <c:smooth val="0"/>
        <c:axId val="319857792"/>
        <c:axId val="319859328"/>
      </c:lineChart>
      <c:catAx>
        <c:axId val="319857792"/>
        <c:scaling>
          <c:orientation val="minMax"/>
        </c:scaling>
        <c:delete val="0"/>
        <c:axPos val="b"/>
        <c:numFmt formatCode="General" sourceLinked="1"/>
        <c:majorTickMark val="out"/>
        <c:minorTickMark val="none"/>
        <c:tickLblPos val="nextTo"/>
        <c:txPr>
          <a:bodyPr/>
          <a:lstStyle/>
          <a:p>
            <a:pPr>
              <a:defRPr sz="700"/>
            </a:pPr>
            <a:endParaRPr lang="en-US"/>
          </a:p>
        </c:txPr>
        <c:crossAx val="319859328"/>
        <c:crosses val="autoZero"/>
        <c:auto val="1"/>
        <c:lblAlgn val="ctr"/>
        <c:lblOffset val="100"/>
        <c:noMultiLvlLbl val="0"/>
      </c:catAx>
      <c:valAx>
        <c:axId val="319859328"/>
        <c:scaling>
          <c:orientation val="minMax"/>
          <c:max val="50"/>
          <c:min val="0"/>
        </c:scaling>
        <c:delete val="0"/>
        <c:axPos val="l"/>
        <c:numFmt formatCode="General" sourceLinked="1"/>
        <c:majorTickMark val="out"/>
        <c:minorTickMark val="none"/>
        <c:tickLblPos val="nextTo"/>
        <c:txPr>
          <a:bodyPr/>
          <a:lstStyle/>
          <a:p>
            <a:pPr>
              <a:defRPr sz="700"/>
            </a:pPr>
            <a:endParaRPr lang="en-US"/>
          </a:p>
        </c:txPr>
        <c:crossAx val="319857792"/>
        <c:crosses val="autoZero"/>
        <c:crossBetween val="between"/>
      </c:valAx>
    </c:plotArea>
    <c:legend>
      <c:legendPos val="r"/>
      <c:layout>
        <c:manualLayout>
          <c:xMode val="edge"/>
          <c:yMode val="edge"/>
          <c:x val="0.80912000583260357"/>
          <c:y val="3.1671015083342878E-2"/>
          <c:w val="0.17317949839603394"/>
          <c:h val="0.57038221784776832"/>
        </c:manualLayout>
      </c:layout>
      <c:overlay val="1"/>
      <c:txPr>
        <a:bodyPr/>
        <a:lstStyle/>
        <a:p>
          <a:pPr>
            <a:defRPr sz="700"/>
          </a:pPr>
          <a:endParaRPr lang="en-US"/>
        </a:p>
      </c:txPr>
    </c:legend>
    <c:plotVisOnly val="1"/>
    <c:dispBlanksAs val="gap"/>
    <c:showDLblsOverMax val="0"/>
  </c:chart>
  <c:spPr>
    <a:ln>
      <a:noFill/>
    </a:ln>
  </c:spPr>
  <c:externalData r:id="rId1">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manualLayout>
          <c:layoutTarget val="inner"/>
          <c:xMode val="edge"/>
          <c:yMode val="edge"/>
          <c:x val="4.6586963915574126E-2"/>
          <c:y val="4.875678243235837E-2"/>
          <c:w val="0.80320355788859765"/>
          <c:h val="0.85377678955587244"/>
        </c:manualLayout>
      </c:layout>
      <c:barChart>
        <c:barDir val="col"/>
        <c:grouping val="clustered"/>
        <c:varyColors val="0"/>
        <c:ser>
          <c:idx val="0"/>
          <c:order val="0"/>
          <c:tx>
            <c:strRef>
              <c:f>Sheet1!$B$1</c:f>
              <c:strCache>
                <c:ptCount val="1"/>
                <c:pt idx="0">
                  <c:v>2008</c:v>
                </c:pt>
              </c:strCache>
            </c:strRef>
          </c:tx>
          <c:invertIfNegative val="0"/>
          <c:cat>
            <c:strRef>
              <c:f>Sheet1!$A$2:$A$7</c:f>
              <c:strCache>
                <c:ptCount val="6"/>
                <c:pt idx="0">
                  <c:v>Crna Poljana</c:v>
                </c:pt>
                <c:pt idx="1">
                  <c:v>ispod Kolašina</c:v>
                </c:pt>
                <c:pt idx="2">
                  <c:v>Trebaljevo</c:v>
                </c:pt>
                <c:pt idx="3">
                  <c:v>ispod Mojkovca</c:v>
                </c:pt>
                <c:pt idx="4">
                  <c:v>Đurđevića Tara</c:v>
                </c:pt>
                <c:pt idx="5">
                  <c:v>Šćepan Polje</c:v>
                </c:pt>
              </c:strCache>
            </c:strRef>
          </c:cat>
          <c:val>
            <c:numRef>
              <c:f>Sheet1!$B$2:$B$7</c:f>
              <c:numCache>
                <c:formatCode>General</c:formatCode>
                <c:ptCount val="6"/>
                <c:pt idx="0">
                  <c:v>1.24</c:v>
                </c:pt>
                <c:pt idx="1">
                  <c:v>1.1000000000000001</c:v>
                </c:pt>
                <c:pt idx="2">
                  <c:v>2.3299999999999987</c:v>
                </c:pt>
                <c:pt idx="3">
                  <c:v>1.54</c:v>
                </c:pt>
                <c:pt idx="4">
                  <c:v>1.9800000000000013</c:v>
                </c:pt>
                <c:pt idx="5">
                  <c:v>1.9100000000000001</c:v>
                </c:pt>
              </c:numCache>
            </c:numRef>
          </c:val>
        </c:ser>
        <c:ser>
          <c:idx val="1"/>
          <c:order val="1"/>
          <c:tx>
            <c:strRef>
              <c:f>Sheet1!$C$1</c:f>
              <c:strCache>
                <c:ptCount val="1"/>
                <c:pt idx="0">
                  <c:v>2009</c:v>
                </c:pt>
              </c:strCache>
            </c:strRef>
          </c:tx>
          <c:invertIfNegative val="0"/>
          <c:cat>
            <c:strRef>
              <c:f>Sheet1!$A$2:$A$7</c:f>
              <c:strCache>
                <c:ptCount val="6"/>
                <c:pt idx="0">
                  <c:v>Crna Poljana</c:v>
                </c:pt>
                <c:pt idx="1">
                  <c:v>ispod Kolašina</c:v>
                </c:pt>
                <c:pt idx="2">
                  <c:v>Trebaljevo</c:v>
                </c:pt>
                <c:pt idx="3">
                  <c:v>ispod Mojkovca</c:v>
                </c:pt>
                <c:pt idx="4">
                  <c:v>Đurđevića Tara</c:v>
                </c:pt>
                <c:pt idx="5">
                  <c:v>Šćepan Polje</c:v>
                </c:pt>
              </c:strCache>
            </c:strRef>
          </c:cat>
          <c:val>
            <c:numRef>
              <c:f>Sheet1!$C$2:$C$7</c:f>
              <c:numCache>
                <c:formatCode>General</c:formatCode>
                <c:ptCount val="6"/>
                <c:pt idx="0">
                  <c:v>0.63000000000000078</c:v>
                </c:pt>
                <c:pt idx="1">
                  <c:v>0.83000000000000063</c:v>
                </c:pt>
                <c:pt idx="2">
                  <c:v>1.25</c:v>
                </c:pt>
                <c:pt idx="3">
                  <c:v>1.23</c:v>
                </c:pt>
                <c:pt idx="4">
                  <c:v>1.1700000000000013</c:v>
                </c:pt>
                <c:pt idx="5">
                  <c:v>1.45</c:v>
                </c:pt>
              </c:numCache>
            </c:numRef>
          </c:val>
        </c:ser>
        <c:ser>
          <c:idx val="2"/>
          <c:order val="2"/>
          <c:tx>
            <c:strRef>
              <c:f>Sheet1!$D$1</c:f>
              <c:strCache>
                <c:ptCount val="1"/>
                <c:pt idx="0">
                  <c:v>2010</c:v>
                </c:pt>
              </c:strCache>
            </c:strRef>
          </c:tx>
          <c:invertIfNegative val="0"/>
          <c:cat>
            <c:strRef>
              <c:f>Sheet1!$A$2:$A$7</c:f>
              <c:strCache>
                <c:ptCount val="6"/>
                <c:pt idx="0">
                  <c:v>Crna Poljana</c:v>
                </c:pt>
                <c:pt idx="1">
                  <c:v>ispod Kolašina</c:v>
                </c:pt>
                <c:pt idx="2">
                  <c:v>Trebaljevo</c:v>
                </c:pt>
                <c:pt idx="3">
                  <c:v>ispod Mojkovca</c:v>
                </c:pt>
                <c:pt idx="4">
                  <c:v>Đurđevića Tara</c:v>
                </c:pt>
                <c:pt idx="5">
                  <c:v>Šćepan Polje</c:v>
                </c:pt>
              </c:strCache>
            </c:strRef>
          </c:cat>
          <c:val>
            <c:numRef>
              <c:f>Sheet1!$D$2:$D$7</c:f>
              <c:numCache>
                <c:formatCode>General</c:formatCode>
                <c:ptCount val="6"/>
                <c:pt idx="0">
                  <c:v>0.51</c:v>
                </c:pt>
                <c:pt idx="1">
                  <c:v>0.71000000000000063</c:v>
                </c:pt>
                <c:pt idx="2">
                  <c:v>0.97000000000000064</c:v>
                </c:pt>
                <c:pt idx="3">
                  <c:v>1.29</c:v>
                </c:pt>
                <c:pt idx="4">
                  <c:v>1.3</c:v>
                </c:pt>
                <c:pt idx="5">
                  <c:v>1.49</c:v>
                </c:pt>
              </c:numCache>
            </c:numRef>
          </c:val>
        </c:ser>
        <c:ser>
          <c:idx val="3"/>
          <c:order val="3"/>
          <c:tx>
            <c:strRef>
              <c:f>Sheet1!$E$1</c:f>
              <c:strCache>
                <c:ptCount val="1"/>
                <c:pt idx="0">
                  <c:v>2011</c:v>
                </c:pt>
              </c:strCache>
            </c:strRef>
          </c:tx>
          <c:spPr>
            <a:ln w="38100"/>
          </c:spPr>
          <c:invertIfNegative val="0"/>
          <c:cat>
            <c:strRef>
              <c:f>Sheet1!$A$2:$A$7</c:f>
              <c:strCache>
                <c:ptCount val="6"/>
                <c:pt idx="0">
                  <c:v>Crna Poljana</c:v>
                </c:pt>
                <c:pt idx="1">
                  <c:v>ispod Kolašina</c:v>
                </c:pt>
                <c:pt idx="2">
                  <c:v>Trebaljevo</c:v>
                </c:pt>
                <c:pt idx="3">
                  <c:v>ispod Mojkovca</c:v>
                </c:pt>
                <c:pt idx="4">
                  <c:v>Đurđevića Tara</c:v>
                </c:pt>
                <c:pt idx="5">
                  <c:v>Šćepan Polje</c:v>
                </c:pt>
              </c:strCache>
            </c:strRef>
          </c:cat>
          <c:val>
            <c:numRef>
              <c:f>Sheet1!$E$2:$E$7</c:f>
              <c:numCache>
                <c:formatCode>General</c:formatCode>
                <c:ptCount val="6"/>
                <c:pt idx="0">
                  <c:v>0.71000000000000063</c:v>
                </c:pt>
                <c:pt idx="1">
                  <c:v>1.03</c:v>
                </c:pt>
                <c:pt idx="2">
                  <c:v>0.75000000000000078</c:v>
                </c:pt>
                <c:pt idx="3">
                  <c:v>0.92</c:v>
                </c:pt>
                <c:pt idx="4">
                  <c:v>1.54</c:v>
                </c:pt>
                <c:pt idx="5">
                  <c:v>1.77</c:v>
                </c:pt>
              </c:numCache>
            </c:numRef>
          </c:val>
        </c:ser>
        <c:ser>
          <c:idx val="4"/>
          <c:order val="4"/>
          <c:tx>
            <c:strRef>
              <c:f>Sheet1!$F$1</c:f>
              <c:strCache>
                <c:ptCount val="1"/>
                <c:pt idx="0">
                  <c:v>2012</c:v>
                </c:pt>
              </c:strCache>
            </c:strRef>
          </c:tx>
          <c:spPr>
            <a:ln w="38100"/>
          </c:spPr>
          <c:invertIfNegative val="0"/>
          <c:cat>
            <c:strRef>
              <c:f>Sheet1!$A$2:$A$7</c:f>
              <c:strCache>
                <c:ptCount val="6"/>
                <c:pt idx="0">
                  <c:v>Crna Poljana</c:v>
                </c:pt>
                <c:pt idx="1">
                  <c:v>ispod Kolašina</c:v>
                </c:pt>
                <c:pt idx="2">
                  <c:v>Trebaljevo</c:v>
                </c:pt>
                <c:pt idx="3">
                  <c:v>ispod Mojkovca</c:v>
                </c:pt>
                <c:pt idx="4">
                  <c:v>Đurđevića Tara</c:v>
                </c:pt>
                <c:pt idx="5">
                  <c:v>Šćepan Polje</c:v>
                </c:pt>
              </c:strCache>
            </c:strRef>
          </c:cat>
          <c:val>
            <c:numRef>
              <c:f>Sheet1!$F$2:$F$7</c:f>
              <c:numCache>
                <c:formatCode>General</c:formatCode>
                <c:ptCount val="6"/>
                <c:pt idx="0">
                  <c:v>0.33000000000000046</c:v>
                </c:pt>
                <c:pt idx="1">
                  <c:v>1.0900000000000001</c:v>
                </c:pt>
                <c:pt idx="2">
                  <c:v>1.3800000000000001</c:v>
                </c:pt>
                <c:pt idx="3">
                  <c:v>1.1399999999999986</c:v>
                </c:pt>
                <c:pt idx="4">
                  <c:v>1.31</c:v>
                </c:pt>
                <c:pt idx="5">
                  <c:v>1.1399999999999986</c:v>
                </c:pt>
              </c:numCache>
            </c:numRef>
          </c:val>
        </c:ser>
        <c:ser>
          <c:idx val="5"/>
          <c:order val="5"/>
          <c:tx>
            <c:strRef>
              <c:f>Sheet1!$G$1</c:f>
              <c:strCache>
                <c:ptCount val="1"/>
                <c:pt idx="0">
                  <c:v>2013</c:v>
                </c:pt>
              </c:strCache>
            </c:strRef>
          </c:tx>
          <c:spPr>
            <a:ln w="38100"/>
          </c:spPr>
          <c:invertIfNegative val="0"/>
          <c:cat>
            <c:strRef>
              <c:f>Sheet1!$A$2:$A$7</c:f>
              <c:strCache>
                <c:ptCount val="6"/>
                <c:pt idx="0">
                  <c:v>Crna Poljana</c:v>
                </c:pt>
                <c:pt idx="1">
                  <c:v>ispod Kolašina</c:v>
                </c:pt>
                <c:pt idx="2">
                  <c:v>Trebaljevo</c:v>
                </c:pt>
                <c:pt idx="3">
                  <c:v>ispod Mojkovca</c:v>
                </c:pt>
                <c:pt idx="4">
                  <c:v>Đurđevića Tara</c:v>
                </c:pt>
                <c:pt idx="5">
                  <c:v>Šćepan Polje</c:v>
                </c:pt>
              </c:strCache>
            </c:strRef>
          </c:cat>
          <c:val>
            <c:numRef>
              <c:f>Sheet1!$G$2:$G$7</c:f>
              <c:numCache>
                <c:formatCode>General</c:formatCode>
                <c:ptCount val="6"/>
                <c:pt idx="0">
                  <c:v>0.69000000000000061</c:v>
                </c:pt>
                <c:pt idx="1">
                  <c:v>0.79</c:v>
                </c:pt>
                <c:pt idx="2">
                  <c:v>0.88</c:v>
                </c:pt>
                <c:pt idx="3">
                  <c:v>0.85000000000000064</c:v>
                </c:pt>
                <c:pt idx="4">
                  <c:v>1.1399999999999986</c:v>
                </c:pt>
                <c:pt idx="5">
                  <c:v>1.28</c:v>
                </c:pt>
              </c:numCache>
            </c:numRef>
          </c:val>
        </c:ser>
        <c:dLbls>
          <c:showLegendKey val="0"/>
          <c:showVal val="0"/>
          <c:showCatName val="0"/>
          <c:showSerName val="0"/>
          <c:showPercent val="0"/>
          <c:showBubbleSize val="0"/>
        </c:dLbls>
        <c:gapWidth val="150"/>
        <c:axId val="319793024"/>
        <c:axId val="319794560"/>
      </c:barChart>
      <c:lineChart>
        <c:grouping val="standard"/>
        <c:varyColors val="0"/>
        <c:ser>
          <c:idx val="6"/>
          <c:order val="6"/>
          <c:tx>
            <c:strRef>
              <c:f>Sheet1!$H$1</c:f>
              <c:strCache>
                <c:ptCount val="1"/>
                <c:pt idx="0">
                  <c:v>MDK A</c:v>
                </c:pt>
              </c:strCache>
            </c:strRef>
          </c:tx>
          <c:spPr>
            <a:ln w="25400"/>
          </c:spPr>
          <c:marker>
            <c:symbol val="none"/>
          </c:marker>
          <c:cat>
            <c:strRef>
              <c:f>Sheet1!$A$2:$A$7</c:f>
              <c:strCache>
                <c:ptCount val="6"/>
                <c:pt idx="0">
                  <c:v>Crna Poljana</c:v>
                </c:pt>
                <c:pt idx="1">
                  <c:v>ispod Kolašina</c:v>
                </c:pt>
                <c:pt idx="2">
                  <c:v>Trebaljevo</c:v>
                </c:pt>
                <c:pt idx="3">
                  <c:v>ispod Mojkovca</c:v>
                </c:pt>
                <c:pt idx="4">
                  <c:v>Đurđevića Tara</c:v>
                </c:pt>
                <c:pt idx="5">
                  <c:v>Šćepan Polje</c:v>
                </c:pt>
              </c:strCache>
            </c:strRef>
          </c:cat>
          <c:val>
            <c:numRef>
              <c:f>Sheet1!$H$2:$H$7</c:f>
              <c:numCache>
                <c:formatCode>General</c:formatCode>
                <c:ptCount val="6"/>
                <c:pt idx="0">
                  <c:v>10</c:v>
                </c:pt>
                <c:pt idx="1">
                  <c:v>10</c:v>
                </c:pt>
                <c:pt idx="2">
                  <c:v>10</c:v>
                </c:pt>
                <c:pt idx="3">
                  <c:v>10</c:v>
                </c:pt>
                <c:pt idx="4">
                  <c:v>10</c:v>
                </c:pt>
                <c:pt idx="5">
                  <c:v>10</c:v>
                </c:pt>
              </c:numCache>
            </c:numRef>
          </c:val>
          <c:smooth val="0"/>
        </c:ser>
        <c:ser>
          <c:idx val="7"/>
          <c:order val="7"/>
          <c:tx>
            <c:strRef>
              <c:f>Sheet1!$I$1</c:f>
              <c:strCache>
                <c:ptCount val="1"/>
                <c:pt idx="0">
                  <c:v>MDK A1</c:v>
                </c:pt>
              </c:strCache>
            </c:strRef>
          </c:tx>
          <c:spPr>
            <a:ln w="25400"/>
          </c:spPr>
          <c:marker>
            <c:symbol val="none"/>
          </c:marker>
          <c:cat>
            <c:strRef>
              <c:f>Sheet1!$A$2:$A$7</c:f>
              <c:strCache>
                <c:ptCount val="6"/>
                <c:pt idx="0">
                  <c:v>Crna Poljana</c:v>
                </c:pt>
                <c:pt idx="1">
                  <c:v>ispod Kolašina</c:v>
                </c:pt>
                <c:pt idx="2">
                  <c:v>Trebaljevo</c:v>
                </c:pt>
                <c:pt idx="3">
                  <c:v>ispod Mojkovca</c:v>
                </c:pt>
                <c:pt idx="4">
                  <c:v>Đurđevića Tara</c:v>
                </c:pt>
                <c:pt idx="5">
                  <c:v>Šćepan Polje</c:v>
                </c:pt>
              </c:strCache>
            </c:strRef>
          </c:cat>
          <c:val>
            <c:numRef>
              <c:f>Sheet1!$I$2:$I$7</c:f>
              <c:numCache>
                <c:formatCode>General</c:formatCode>
                <c:ptCount val="6"/>
                <c:pt idx="0">
                  <c:v>20</c:v>
                </c:pt>
                <c:pt idx="1">
                  <c:v>20</c:v>
                </c:pt>
                <c:pt idx="2">
                  <c:v>20</c:v>
                </c:pt>
                <c:pt idx="3">
                  <c:v>20</c:v>
                </c:pt>
                <c:pt idx="4">
                  <c:v>20</c:v>
                </c:pt>
                <c:pt idx="5">
                  <c:v>20</c:v>
                </c:pt>
              </c:numCache>
            </c:numRef>
          </c:val>
          <c:smooth val="0"/>
        </c:ser>
        <c:ser>
          <c:idx val="8"/>
          <c:order val="8"/>
          <c:tx>
            <c:strRef>
              <c:f>Sheet1!$J$1</c:f>
              <c:strCache>
                <c:ptCount val="1"/>
                <c:pt idx="0">
                  <c:v>MDK A2</c:v>
                </c:pt>
              </c:strCache>
            </c:strRef>
          </c:tx>
          <c:spPr>
            <a:ln w="25400"/>
          </c:spPr>
          <c:marker>
            <c:symbol val="none"/>
          </c:marker>
          <c:cat>
            <c:strRef>
              <c:f>Sheet1!$A$2:$A$7</c:f>
              <c:strCache>
                <c:ptCount val="6"/>
                <c:pt idx="0">
                  <c:v>Crna Poljana</c:v>
                </c:pt>
                <c:pt idx="1">
                  <c:v>ispod Kolašina</c:v>
                </c:pt>
                <c:pt idx="2">
                  <c:v>Trebaljevo</c:v>
                </c:pt>
                <c:pt idx="3">
                  <c:v>ispod Mojkovca</c:v>
                </c:pt>
                <c:pt idx="4">
                  <c:v>Đurđevića Tara</c:v>
                </c:pt>
                <c:pt idx="5">
                  <c:v>Šćepan Polje</c:v>
                </c:pt>
              </c:strCache>
            </c:strRef>
          </c:cat>
          <c:val>
            <c:numRef>
              <c:f>Sheet1!$J$2:$J$7</c:f>
              <c:numCache>
                <c:formatCode>General</c:formatCode>
                <c:ptCount val="6"/>
                <c:pt idx="0">
                  <c:v>25</c:v>
                </c:pt>
                <c:pt idx="1">
                  <c:v>25</c:v>
                </c:pt>
                <c:pt idx="2">
                  <c:v>25</c:v>
                </c:pt>
                <c:pt idx="3">
                  <c:v>25</c:v>
                </c:pt>
                <c:pt idx="4">
                  <c:v>25</c:v>
                </c:pt>
                <c:pt idx="5">
                  <c:v>25</c:v>
                </c:pt>
              </c:numCache>
            </c:numRef>
          </c:val>
          <c:smooth val="0"/>
        </c:ser>
        <c:ser>
          <c:idx val="9"/>
          <c:order val="9"/>
          <c:tx>
            <c:strRef>
              <c:f>Sheet1!$K$1</c:f>
              <c:strCache>
                <c:ptCount val="1"/>
                <c:pt idx="0">
                  <c:v>MDK A3</c:v>
                </c:pt>
              </c:strCache>
            </c:strRef>
          </c:tx>
          <c:spPr>
            <a:ln w="25400"/>
          </c:spPr>
          <c:marker>
            <c:symbol val="none"/>
          </c:marker>
          <c:cat>
            <c:strRef>
              <c:f>Sheet1!$A$2:$A$7</c:f>
              <c:strCache>
                <c:ptCount val="6"/>
                <c:pt idx="0">
                  <c:v>Crna Poljana</c:v>
                </c:pt>
                <c:pt idx="1">
                  <c:v>ispod Kolašina</c:v>
                </c:pt>
                <c:pt idx="2">
                  <c:v>Trebaljevo</c:v>
                </c:pt>
                <c:pt idx="3">
                  <c:v>ispod Mojkovca</c:v>
                </c:pt>
                <c:pt idx="4">
                  <c:v>Đurđevića Tara</c:v>
                </c:pt>
                <c:pt idx="5">
                  <c:v>Šćepan Polje</c:v>
                </c:pt>
              </c:strCache>
            </c:strRef>
          </c:cat>
          <c:val>
            <c:numRef>
              <c:f>Sheet1!$K$2:$K$7</c:f>
              <c:numCache>
                <c:formatCode>General</c:formatCode>
                <c:ptCount val="6"/>
                <c:pt idx="0">
                  <c:v>50</c:v>
                </c:pt>
                <c:pt idx="1">
                  <c:v>50</c:v>
                </c:pt>
                <c:pt idx="2">
                  <c:v>50</c:v>
                </c:pt>
                <c:pt idx="3">
                  <c:v>50</c:v>
                </c:pt>
                <c:pt idx="4">
                  <c:v>50</c:v>
                </c:pt>
                <c:pt idx="5">
                  <c:v>50</c:v>
                </c:pt>
              </c:numCache>
            </c:numRef>
          </c:val>
          <c:smooth val="0"/>
        </c:ser>
        <c:dLbls>
          <c:showLegendKey val="0"/>
          <c:showVal val="0"/>
          <c:showCatName val="0"/>
          <c:showSerName val="0"/>
          <c:showPercent val="0"/>
          <c:showBubbleSize val="0"/>
        </c:dLbls>
        <c:marker val="1"/>
        <c:smooth val="0"/>
        <c:axId val="319793024"/>
        <c:axId val="319794560"/>
      </c:lineChart>
      <c:catAx>
        <c:axId val="319793024"/>
        <c:scaling>
          <c:orientation val="minMax"/>
        </c:scaling>
        <c:delete val="0"/>
        <c:axPos val="b"/>
        <c:numFmt formatCode="General" sourceLinked="1"/>
        <c:majorTickMark val="out"/>
        <c:minorTickMark val="none"/>
        <c:tickLblPos val="nextTo"/>
        <c:txPr>
          <a:bodyPr/>
          <a:lstStyle/>
          <a:p>
            <a:pPr>
              <a:defRPr sz="700"/>
            </a:pPr>
            <a:endParaRPr lang="en-US"/>
          </a:p>
        </c:txPr>
        <c:crossAx val="319794560"/>
        <c:crosses val="autoZero"/>
        <c:auto val="1"/>
        <c:lblAlgn val="ctr"/>
        <c:lblOffset val="100"/>
        <c:noMultiLvlLbl val="0"/>
      </c:catAx>
      <c:valAx>
        <c:axId val="319794560"/>
        <c:scaling>
          <c:orientation val="minMax"/>
          <c:max val="50"/>
          <c:min val="0"/>
        </c:scaling>
        <c:delete val="0"/>
        <c:axPos val="l"/>
        <c:numFmt formatCode="General" sourceLinked="1"/>
        <c:majorTickMark val="out"/>
        <c:minorTickMark val="none"/>
        <c:tickLblPos val="nextTo"/>
        <c:txPr>
          <a:bodyPr/>
          <a:lstStyle/>
          <a:p>
            <a:pPr>
              <a:defRPr sz="700"/>
            </a:pPr>
            <a:endParaRPr lang="en-US"/>
          </a:p>
        </c:txPr>
        <c:crossAx val="319793024"/>
        <c:crosses val="autoZero"/>
        <c:crossBetween val="between"/>
      </c:valAx>
    </c:plotArea>
    <c:legend>
      <c:legendPos val="r"/>
      <c:layout>
        <c:manualLayout>
          <c:xMode val="edge"/>
          <c:yMode val="edge"/>
          <c:x val="0.83020584232526484"/>
          <c:y val="3.8239083750894791E-2"/>
          <c:w val="0.16700665888986099"/>
          <c:h val="0.51857896550809945"/>
        </c:manualLayout>
      </c:layout>
      <c:overlay val="1"/>
      <c:txPr>
        <a:bodyPr/>
        <a:lstStyle/>
        <a:p>
          <a:pPr>
            <a:defRPr sz="700"/>
          </a:pPr>
          <a:endParaRPr lang="en-US"/>
        </a:p>
      </c:txPr>
    </c:legend>
    <c:plotVisOnly val="1"/>
    <c:dispBlanksAs val="gap"/>
    <c:showDLblsOverMax val="0"/>
  </c:chart>
  <c:spPr>
    <a:ln>
      <a:noFill/>
    </a:ln>
  </c:spPr>
  <c:externalData r:id="rId1">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manualLayout>
          <c:layoutTarget val="inner"/>
          <c:xMode val="edge"/>
          <c:yMode val="edge"/>
          <c:x val="4.6586954408476731E-2"/>
          <c:y val="6.0906149706056407E-2"/>
          <c:w val="0.78640978905414549"/>
          <c:h val="0.8269351487314085"/>
        </c:manualLayout>
      </c:layout>
      <c:barChart>
        <c:barDir val="col"/>
        <c:grouping val="clustered"/>
        <c:varyColors val="0"/>
        <c:ser>
          <c:idx val="0"/>
          <c:order val="0"/>
          <c:tx>
            <c:strRef>
              <c:f>Sheet1!$B$1</c:f>
              <c:strCache>
                <c:ptCount val="1"/>
                <c:pt idx="0">
                  <c:v>2008</c:v>
                </c:pt>
              </c:strCache>
            </c:strRef>
          </c:tx>
          <c:invertIfNegative val="0"/>
          <c:cat>
            <c:strRef>
              <c:f>Sheet1!$A$2:$A$5</c:f>
              <c:strCache>
                <c:ptCount val="4"/>
                <c:pt idx="0">
                  <c:v>Rabitlja</c:v>
                </c:pt>
                <c:pt idx="1">
                  <c:v>ispod Pljevalja</c:v>
                </c:pt>
                <c:pt idx="2">
                  <c:v>ispod ušća Vezišnice</c:v>
                </c:pt>
                <c:pt idx="3">
                  <c:v>Gradac</c:v>
                </c:pt>
              </c:strCache>
            </c:strRef>
          </c:cat>
          <c:val>
            <c:numRef>
              <c:f>Sheet1!$B$2:$B$5</c:f>
              <c:numCache>
                <c:formatCode>General</c:formatCode>
                <c:ptCount val="4"/>
                <c:pt idx="0">
                  <c:v>2.12</c:v>
                </c:pt>
                <c:pt idx="1">
                  <c:v>5.6899999999999995</c:v>
                </c:pt>
                <c:pt idx="2">
                  <c:v>5.71</c:v>
                </c:pt>
                <c:pt idx="3">
                  <c:v>5.5</c:v>
                </c:pt>
              </c:numCache>
            </c:numRef>
          </c:val>
        </c:ser>
        <c:ser>
          <c:idx val="1"/>
          <c:order val="1"/>
          <c:tx>
            <c:strRef>
              <c:f>Sheet1!$C$1</c:f>
              <c:strCache>
                <c:ptCount val="1"/>
                <c:pt idx="0">
                  <c:v>2009</c:v>
                </c:pt>
              </c:strCache>
            </c:strRef>
          </c:tx>
          <c:invertIfNegative val="0"/>
          <c:cat>
            <c:strRef>
              <c:f>Sheet1!$A$2:$A$5</c:f>
              <c:strCache>
                <c:ptCount val="4"/>
                <c:pt idx="0">
                  <c:v>Rabitlja</c:v>
                </c:pt>
                <c:pt idx="1">
                  <c:v>ispod Pljevalja</c:v>
                </c:pt>
                <c:pt idx="2">
                  <c:v>ispod ušća Vezišnice</c:v>
                </c:pt>
                <c:pt idx="3">
                  <c:v>Gradac</c:v>
                </c:pt>
              </c:strCache>
            </c:strRef>
          </c:cat>
          <c:val>
            <c:numRef>
              <c:f>Sheet1!$C$2:$C$5</c:f>
              <c:numCache>
                <c:formatCode>General</c:formatCode>
                <c:ptCount val="4"/>
                <c:pt idx="0">
                  <c:v>1.31</c:v>
                </c:pt>
                <c:pt idx="1">
                  <c:v>3.88</c:v>
                </c:pt>
                <c:pt idx="2">
                  <c:v>4.1899999999999995</c:v>
                </c:pt>
                <c:pt idx="3">
                  <c:v>3.3699999999999997</c:v>
                </c:pt>
              </c:numCache>
            </c:numRef>
          </c:val>
        </c:ser>
        <c:ser>
          <c:idx val="2"/>
          <c:order val="2"/>
          <c:tx>
            <c:strRef>
              <c:f>Sheet1!$D$1</c:f>
              <c:strCache>
                <c:ptCount val="1"/>
                <c:pt idx="0">
                  <c:v>2010</c:v>
                </c:pt>
              </c:strCache>
            </c:strRef>
          </c:tx>
          <c:invertIfNegative val="0"/>
          <c:cat>
            <c:strRef>
              <c:f>Sheet1!$A$2:$A$5</c:f>
              <c:strCache>
                <c:ptCount val="4"/>
                <c:pt idx="0">
                  <c:v>Rabitlja</c:v>
                </c:pt>
                <c:pt idx="1">
                  <c:v>ispod Pljevalja</c:v>
                </c:pt>
                <c:pt idx="2">
                  <c:v>ispod ušća Vezišnice</c:v>
                </c:pt>
                <c:pt idx="3">
                  <c:v>Gradac</c:v>
                </c:pt>
              </c:strCache>
            </c:strRef>
          </c:cat>
          <c:val>
            <c:numRef>
              <c:f>Sheet1!$D$2:$D$5</c:f>
              <c:numCache>
                <c:formatCode>General</c:formatCode>
                <c:ptCount val="4"/>
                <c:pt idx="0">
                  <c:v>1.82</c:v>
                </c:pt>
                <c:pt idx="1">
                  <c:v>2.8099999999999987</c:v>
                </c:pt>
                <c:pt idx="2">
                  <c:v>3.4899999999999998</c:v>
                </c:pt>
                <c:pt idx="3">
                  <c:v>4.33</c:v>
                </c:pt>
              </c:numCache>
            </c:numRef>
          </c:val>
        </c:ser>
        <c:ser>
          <c:idx val="3"/>
          <c:order val="3"/>
          <c:tx>
            <c:strRef>
              <c:f>Sheet1!$E$1</c:f>
              <c:strCache>
                <c:ptCount val="1"/>
                <c:pt idx="0">
                  <c:v>2011</c:v>
                </c:pt>
              </c:strCache>
            </c:strRef>
          </c:tx>
          <c:spPr>
            <a:ln w="38100"/>
          </c:spPr>
          <c:invertIfNegative val="0"/>
          <c:cat>
            <c:strRef>
              <c:f>Sheet1!$A$2:$A$5</c:f>
              <c:strCache>
                <c:ptCount val="4"/>
                <c:pt idx="0">
                  <c:v>Rabitlja</c:v>
                </c:pt>
                <c:pt idx="1">
                  <c:v>ispod Pljevalja</c:v>
                </c:pt>
                <c:pt idx="2">
                  <c:v>ispod ušća Vezišnice</c:v>
                </c:pt>
                <c:pt idx="3">
                  <c:v>Gradac</c:v>
                </c:pt>
              </c:strCache>
            </c:strRef>
          </c:cat>
          <c:val>
            <c:numRef>
              <c:f>Sheet1!$E$2:$E$5</c:f>
              <c:numCache>
                <c:formatCode>General</c:formatCode>
                <c:ptCount val="4"/>
                <c:pt idx="0">
                  <c:v>1.78</c:v>
                </c:pt>
                <c:pt idx="1">
                  <c:v>2.9</c:v>
                </c:pt>
                <c:pt idx="2">
                  <c:v>3.23</c:v>
                </c:pt>
                <c:pt idx="3">
                  <c:v>4.57</c:v>
                </c:pt>
              </c:numCache>
            </c:numRef>
          </c:val>
        </c:ser>
        <c:ser>
          <c:idx val="4"/>
          <c:order val="4"/>
          <c:tx>
            <c:strRef>
              <c:f>Sheet1!$F$1</c:f>
              <c:strCache>
                <c:ptCount val="1"/>
                <c:pt idx="0">
                  <c:v>2012</c:v>
                </c:pt>
              </c:strCache>
            </c:strRef>
          </c:tx>
          <c:spPr>
            <a:ln w="38100"/>
          </c:spPr>
          <c:invertIfNegative val="0"/>
          <c:cat>
            <c:strRef>
              <c:f>Sheet1!$A$2:$A$5</c:f>
              <c:strCache>
                <c:ptCount val="4"/>
                <c:pt idx="0">
                  <c:v>Rabitlja</c:v>
                </c:pt>
                <c:pt idx="1">
                  <c:v>ispod Pljevalja</c:v>
                </c:pt>
                <c:pt idx="2">
                  <c:v>ispod ušća Vezišnice</c:v>
                </c:pt>
                <c:pt idx="3">
                  <c:v>Gradac</c:v>
                </c:pt>
              </c:strCache>
            </c:strRef>
          </c:cat>
          <c:val>
            <c:numRef>
              <c:f>Sheet1!$F$2:$F$5</c:f>
              <c:numCache>
                <c:formatCode>General</c:formatCode>
                <c:ptCount val="4"/>
                <c:pt idx="0">
                  <c:v>1.87</c:v>
                </c:pt>
                <c:pt idx="1">
                  <c:v>3.8</c:v>
                </c:pt>
                <c:pt idx="2">
                  <c:v>3.8</c:v>
                </c:pt>
                <c:pt idx="3">
                  <c:v>8.8000000000000007</c:v>
                </c:pt>
              </c:numCache>
            </c:numRef>
          </c:val>
        </c:ser>
        <c:ser>
          <c:idx val="5"/>
          <c:order val="5"/>
          <c:tx>
            <c:strRef>
              <c:f>Sheet1!$G$1</c:f>
              <c:strCache>
                <c:ptCount val="1"/>
                <c:pt idx="0">
                  <c:v>2013</c:v>
                </c:pt>
              </c:strCache>
            </c:strRef>
          </c:tx>
          <c:spPr>
            <a:ln w="25400"/>
          </c:spPr>
          <c:invertIfNegative val="0"/>
          <c:cat>
            <c:strRef>
              <c:f>Sheet1!$A$2:$A$5</c:f>
              <c:strCache>
                <c:ptCount val="4"/>
                <c:pt idx="0">
                  <c:v>Rabitlja</c:v>
                </c:pt>
                <c:pt idx="1">
                  <c:v>ispod Pljevalja</c:v>
                </c:pt>
                <c:pt idx="2">
                  <c:v>ispod ušća Vezišnice</c:v>
                </c:pt>
                <c:pt idx="3">
                  <c:v>Gradac</c:v>
                </c:pt>
              </c:strCache>
            </c:strRef>
          </c:cat>
          <c:val>
            <c:numRef>
              <c:f>Sheet1!$G$2:$G$5</c:f>
              <c:numCache>
                <c:formatCode>General</c:formatCode>
                <c:ptCount val="4"/>
                <c:pt idx="0">
                  <c:v>1.9800000000000013</c:v>
                </c:pt>
                <c:pt idx="1">
                  <c:v>3.06</c:v>
                </c:pt>
                <c:pt idx="2">
                  <c:v>3.64</c:v>
                </c:pt>
                <c:pt idx="3">
                  <c:v>4.53</c:v>
                </c:pt>
              </c:numCache>
            </c:numRef>
          </c:val>
        </c:ser>
        <c:dLbls>
          <c:showLegendKey val="0"/>
          <c:showVal val="0"/>
          <c:showCatName val="0"/>
          <c:showSerName val="0"/>
          <c:showPercent val="0"/>
          <c:showBubbleSize val="0"/>
        </c:dLbls>
        <c:gapWidth val="150"/>
        <c:axId val="326744704"/>
        <c:axId val="326746496"/>
      </c:barChart>
      <c:lineChart>
        <c:grouping val="standard"/>
        <c:varyColors val="0"/>
        <c:ser>
          <c:idx val="6"/>
          <c:order val="6"/>
          <c:tx>
            <c:strRef>
              <c:f>Sheet1!$H$1</c:f>
              <c:strCache>
                <c:ptCount val="1"/>
                <c:pt idx="0">
                  <c:v>MDK A</c:v>
                </c:pt>
              </c:strCache>
            </c:strRef>
          </c:tx>
          <c:spPr>
            <a:ln w="25400"/>
          </c:spPr>
          <c:marker>
            <c:symbol val="none"/>
          </c:marker>
          <c:cat>
            <c:strRef>
              <c:f>Sheet1!$A$2:$A$5</c:f>
              <c:strCache>
                <c:ptCount val="4"/>
                <c:pt idx="0">
                  <c:v>Rabitlja</c:v>
                </c:pt>
                <c:pt idx="1">
                  <c:v>ispod Pljevalja</c:v>
                </c:pt>
                <c:pt idx="2">
                  <c:v>ispod ušća Vezišnice</c:v>
                </c:pt>
                <c:pt idx="3">
                  <c:v>Gradac</c:v>
                </c:pt>
              </c:strCache>
            </c:strRef>
          </c:cat>
          <c:val>
            <c:numRef>
              <c:f>Sheet1!$H$2:$H$5</c:f>
              <c:numCache>
                <c:formatCode>General</c:formatCode>
                <c:ptCount val="4"/>
                <c:pt idx="0">
                  <c:v>10</c:v>
                </c:pt>
                <c:pt idx="1">
                  <c:v>10</c:v>
                </c:pt>
                <c:pt idx="2">
                  <c:v>10</c:v>
                </c:pt>
                <c:pt idx="3">
                  <c:v>10</c:v>
                </c:pt>
              </c:numCache>
            </c:numRef>
          </c:val>
          <c:smooth val="0"/>
        </c:ser>
        <c:ser>
          <c:idx val="7"/>
          <c:order val="7"/>
          <c:tx>
            <c:strRef>
              <c:f>Sheet1!$I$1</c:f>
              <c:strCache>
                <c:ptCount val="1"/>
                <c:pt idx="0">
                  <c:v>MDK A1</c:v>
                </c:pt>
              </c:strCache>
            </c:strRef>
          </c:tx>
          <c:spPr>
            <a:ln w="25400"/>
          </c:spPr>
          <c:marker>
            <c:symbol val="none"/>
          </c:marker>
          <c:cat>
            <c:strRef>
              <c:f>Sheet1!$A$2:$A$5</c:f>
              <c:strCache>
                <c:ptCount val="4"/>
                <c:pt idx="0">
                  <c:v>Rabitlja</c:v>
                </c:pt>
                <c:pt idx="1">
                  <c:v>ispod Pljevalja</c:v>
                </c:pt>
                <c:pt idx="2">
                  <c:v>ispod ušća Vezišnice</c:v>
                </c:pt>
                <c:pt idx="3">
                  <c:v>Gradac</c:v>
                </c:pt>
              </c:strCache>
            </c:strRef>
          </c:cat>
          <c:val>
            <c:numRef>
              <c:f>Sheet1!$I$2:$I$5</c:f>
              <c:numCache>
                <c:formatCode>General</c:formatCode>
                <c:ptCount val="4"/>
                <c:pt idx="0">
                  <c:v>20</c:v>
                </c:pt>
                <c:pt idx="1">
                  <c:v>20</c:v>
                </c:pt>
                <c:pt idx="2">
                  <c:v>20</c:v>
                </c:pt>
                <c:pt idx="3">
                  <c:v>20</c:v>
                </c:pt>
              </c:numCache>
            </c:numRef>
          </c:val>
          <c:smooth val="0"/>
        </c:ser>
        <c:ser>
          <c:idx val="8"/>
          <c:order val="8"/>
          <c:tx>
            <c:strRef>
              <c:f>Sheet1!$J$1</c:f>
              <c:strCache>
                <c:ptCount val="1"/>
                <c:pt idx="0">
                  <c:v>MDK A2</c:v>
                </c:pt>
              </c:strCache>
            </c:strRef>
          </c:tx>
          <c:spPr>
            <a:ln w="25400"/>
          </c:spPr>
          <c:marker>
            <c:symbol val="none"/>
          </c:marker>
          <c:cat>
            <c:strRef>
              <c:f>Sheet1!$A$2:$A$5</c:f>
              <c:strCache>
                <c:ptCount val="4"/>
                <c:pt idx="0">
                  <c:v>Rabitlja</c:v>
                </c:pt>
                <c:pt idx="1">
                  <c:v>ispod Pljevalja</c:v>
                </c:pt>
                <c:pt idx="2">
                  <c:v>ispod ušća Vezišnice</c:v>
                </c:pt>
                <c:pt idx="3">
                  <c:v>Gradac</c:v>
                </c:pt>
              </c:strCache>
            </c:strRef>
          </c:cat>
          <c:val>
            <c:numRef>
              <c:f>Sheet1!$J$2:$J$5</c:f>
              <c:numCache>
                <c:formatCode>General</c:formatCode>
                <c:ptCount val="4"/>
                <c:pt idx="0">
                  <c:v>25</c:v>
                </c:pt>
                <c:pt idx="1">
                  <c:v>25</c:v>
                </c:pt>
                <c:pt idx="2">
                  <c:v>25</c:v>
                </c:pt>
                <c:pt idx="3">
                  <c:v>25</c:v>
                </c:pt>
              </c:numCache>
            </c:numRef>
          </c:val>
          <c:smooth val="0"/>
        </c:ser>
        <c:ser>
          <c:idx val="9"/>
          <c:order val="9"/>
          <c:tx>
            <c:strRef>
              <c:f>Sheet1!$K$1</c:f>
              <c:strCache>
                <c:ptCount val="1"/>
                <c:pt idx="0">
                  <c:v>MDK A3</c:v>
                </c:pt>
              </c:strCache>
            </c:strRef>
          </c:tx>
          <c:spPr>
            <a:ln w="25400"/>
          </c:spPr>
          <c:marker>
            <c:symbol val="none"/>
          </c:marker>
          <c:cat>
            <c:strRef>
              <c:f>Sheet1!$A$2:$A$5</c:f>
              <c:strCache>
                <c:ptCount val="4"/>
                <c:pt idx="0">
                  <c:v>Rabitlja</c:v>
                </c:pt>
                <c:pt idx="1">
                  <c:v>ispod Pljevalja</c:v>
                </c:pt>
                <c:pt idx="2">
                  <c:v>ispod ušća Vezišnice</c:v>
                </c:pt>
                <c:pt idx="3">
                  <c:v>Gradac</c:v>
                </c:pt>
              </c:strCache>
            </c:strRef>
          </c:cat>
          <c:val>
            <c:numRef>
              <c:f>Sheet1!$K$2:$K$5</c:f>
              <c:numCache>
                <c:formatCode>General</c:formatCode>
                <c:ptCount val="4"/>
                <c:pt idx="0">
                  <c:v>50</c:v>
                </c:pt>
                <c:pt idx="1">
                  <c:v>50</c:v>
                </c:pt>
                <c:pt idx="2">
                  <c:v>50</c:v>
                </c:pt>
                <c:pt idx="3">
                  <c:v>50</c:v>
                </c:pt>
              </c:numCache>
            </c:numRef>
          </c:val>
          <c:smooth val="0"/>
        </c:ser>
        <c:dLbls>
          <c:showLegendKey val="0"/>
          <c:showVal val="0"/>
          <c:showCatName val="0"/>
          <c:showSerName val="0"/>
          <c:showPercent val="0"/>
          <c:showBubbleSize val="0"/>
        </c:dLbls>
        <c:marker val="1"/>
        <c:smooth val="0"/>
        <c:axId val="326744704"/>
        <c:axId val="326746496"/>
      </c:lineChart>
      <c:catAx>
        <c:axId val="326744704"/>
        <c:scaling>
          <c:orientation val="minMax"/>
        </c:scaling>
        <c:delete val="0"/>
        <c:axPos val="b"/>
        <c:numFmt formatCode="General" sourceLinked="1"/>
        <c:majorTickMark val="out"/>
        <c:minorTickMark val="none"/>
        <c:tickLblPos val="nextTo"/>
        <c:txPr>
          <a:bodyPr/>
          <a:lstStyle/>
          <a:p>
            <a:pPr>
              <a:defRPr sz="700"/>
            </a:pPr>
            <a:endParaRPr lang="en-US"/>
          </a:p>
        </c:txPr>
        <c:crossAx val="326746496"/>
        <c:crosses val="autoZero"/>
        <c:auto val="1"/>
        <c:lblAlgn val="ctr"/>
        <c:lblOffset val="100"/>
        <c:noMultiLvlLbl val="0"/>
      </c:catAx>
      <c:valAx>
        <c:axId val="326746496"/>
        <c:scaling>
          <c:orientation val="minMax"/>
          <c:max val="50"/>
          <c:min val="0"/>
        </c:scaling>
        <c:delete val="0"/>
        <c:axPos val="l"/>
        <c:numFmt formatCode="General" sourceLinked="1"/>
        <c:majorTickMark val="out"/>
        <c:minorTickMark val="none"/>
        <c:tickLblPos val="nextTo"/>
        <c:txPr>
          <a:bodyPr/>
          <a:lstStyle/>
          <a:p>
            <a:pPr>
              <a:defRPr sz="700"/>
            </a:pPr>
            <a:endParaRPr lang="en-US"/>
          </a:p>
        </c:txPr>
        <c:crossAx val="326744704"/>
        <c:crosses val="autoZero"/>
        <c:crossBetween val="between"/>
      </c:valAx>
    </c:plotArea>
    <c:legend>
      <c:legendPos val="r"/>
      <c:layout>
        <c:manualLayout>
          <c:xMode val="edge"/>
          <c:yMode val="edge"/>
          <c:x val="0.82995698454359945"/>
          <c:y val="1.8917322834645669E-2"/>
          <c:w val="0.15157456012442891"/>
          <c:h val="0.55649332895888015"/>
        </c:manualLayout>
      </c:layout>
      <c:overlay val="1"/>
      <c:txPr>
        <a:bodyPr/>
        <a:lstStyle/>
        <a:p>
          <a:pPr>
            <a:defRPr sz="700"/>
          </a:pPr>
          <a:endParaRPr lang="en-US"/>
        </a:p>
      </c:txPr>
    </c:legend>
    <c:plotVisOnly val="1"/>
    <c:dispBlanksAs val="gap"/>
    <c:showDLblsOverMax val="0"/>
  </c:chart>
  <c:spPr>
    <a:ln>
      <a:noFill/>
    </a:ln>
  </c:spPr>
  <c:externalData r:id="rId1">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manualLayout>
          <c:layoutTarget val="inner"/>
          <c:xMode val="edge"/>
          <c:yMode val="edge"/>
          <c:x val="4.6586954408476731E-2"/>
          <c:y val="4.8457276173811813E-2"/>
          <c:w val="0.8254932119192222"/>
          <c:h val="0.82553972328951264"/>
        </c:manualLayout>
      </c:layout>
      <c:barChart>
        <c:barDir val="col"/>
        <c:grouping val="clustered"/>
        <c:varyColors val="0"/>
        <c:ser>
          <c:idx val="0"/>
          <c:order val="0"/>
          <c:tx>
            <c:strRef>
              <c:f>Sheet1!$B$1</c:f>
              <c:strCache>
                <c:ptCount val="1"/>
                <c:pt idx="0">
                  <c:v>2008</c:v>
                </c:pt>
              </c:strCache>
            </c:strRef>
          </c:tx>
          <c:invertIfNegative val="0"/>
          <c:cat>
            <c:strRef>
              <c:f>Sheet1!$A$2:$A$10</c:f>
              <c:strCache>
                <c:ptCount val="9"/>
                <c:pt idx="0">
                  <c:v>Vranjina</c:v>
                </c:pt>
                <c:pt idx="1">
                  <c:v>Virpazar</c:v>
                </c:pt>
                <c:pt idx="2">
                  <c:v>Plavnica</c:v>
                </c:pt>
                <c:pt idx="3">
                  <c:v>Kamenik</c:v>
                </c:pt>
                <c:pt idx="4">
                  <c:v>Podhum</c:v>
                </c:pt>
                <c:pt idx="5">
                  <c:v>Starčeva gorica</c:v>
                </c:pt>
                <c:pt idx="6">
                  <c:v>Moračnik</c:v>
                </c:pt>
                <c:pt idx="7">
                  <c:v>Ckla</c:v>
                </c:pt>
                <c:pt idx="8">
                  <c:v>Sredina jezera</c:v>
                </c:pt>
              </c:strCache>
            </c:strRef>
          </c:cat>
          <c:val>
            <c:numRef>
              <c:f>Sheet1!$B$2:$B$10</c:f>
              <c:numCache>
                <c:formatCode>General</c:formatCode>
                <c:ptCount val="9"/>
                <c:pt idx="0">
                  <c:v>1.3800000000000001</c:v>
                </c:pt>
                <c:pt idx="1">
                  <c:v>1.1299999999999986</c:v>
                </c:pt>
                <c:pt idx="2">
                  <c:v>2.44</c:v>
                </c:pt>
                <c:pt idx="3">
                  <c:v>0.56999999999999995</c:v>
                </c:pt>
                <c:pt idx="4">
                  <c:v>0.88</c:v>
                </c:pt>
                <c:pt idx="5">
                  <c:v>0.46</c:v>
                </c:pt>
                <c:pt idx="6">
                  <c:v>0.5</c:v>
                </c:pt>
                <c:pt idx="7">
                  <c:v>0.71000000000000063</c:v>
                </c:pt>
                <c:pt idx="8">
                  <c:v>0.4</c:v>
                </c:pt>
              </c:numCache>
            </c:numRef>
          </c:val>
        </c:ser>
        <c:ser>
          <c:idx val="1"/>
          <c:order val="1"/>
          <c:tx>
            <c:strRef>
              <c:f>Sheet1!$C$1</c:f>
              <c:strCache>
                <c:ptCount val="1"/>
                <c:pt idx="0">
                  <c:v>2009</c:v>
                </c:pt>
              </c:strCache>
            </c:strRef>
          </c:tx>
          <c:invertIfNegative val="0"/>
          <c:cat>
            <c:strRef>
              <c:f>Sheet1!$A$2:$A$10</c:f>
              <c:strCache>
                <c:ptCount val="9"/>
                <c:pt idx="0">
                  <c:v>Vranjina</c:v>
                </c:pt>
                <c:pt idx="1">
                  <c:v>Virpazar</c:v>
                </c:pt>
                <c:pt idx="2">
                  <c:v>Plavnica</c:v>
                </c:pt>
                <c:pt idx="3">
                  <c:v>Kamenik</c:v>
                </c:pt>
                <c:pt idx="4">
                  <c:v>Podhum</c:v>
                </c:pt>
                <c:pt idx="5">
                  <c:v>Starčeva gorica</c:v>
                </c:pt>
                <c:pt idx="6">
                  <c:v>Moračnik</c:v>
                </c:pt>
                <c:pt idx="7">
                  <c:v>Ckla</c:v>
                </c:pt>
                <c:pt idx="8">
                  <c:v>Sredina jezera</c:v>
                </c:pt>
              </c:strCache>
            </c:strRef>
          </c:cat>
          <c:val>
            <c:numRef>
              <c:f>Sheet1!$C$2:$C$10</c:f>
              <c:numCache>
                <c:formatCode>General</c:formatCode>
                <c:ptCount val="9"/>
                <c:pt idx="0">
                  <c:v>1.26</c:v>
                </c:pt>
                <c:pt idx="1">
                  <c:v>0.42000000000000032</c:v>
                </c:pt>
                <c:pt idx="2">
                  <c:v>0.58000000000000007</c:v>
                </c:pt>
                <c:pt idx="3">
                  <c:v>0.51</c:v>
                </c:pt>
                <c:pt idx="4">
                  <c:v>1.27</c:v>
                </c:pt>
                <c:pt idx="5">
                  <c:v>0.56000000000000005</c:v>
                </c:pt>
                <c:pt idx="6">
                  <c:v>0.2</c:v>
                </c:pt>
                <c:pt idx="7">
                  <c:v>0.1</c:v>
                </c:pt>
                <c:pt idx="8">
                  <c:v>1.1399999999999986</c:v>
                </c:pt>
              </c:numCache>
            </c:numRef>
          </c:val>
        </c:ser>
        <c:ser>
          <c:idx val="2"/>
          <c:order val="2"/>
          <c:tx>
            <c:strRef>
              <c:f>Sheet1!$D$1</c:f>
              <c:strCache>
                <c:ptCount val="1"/>
                <c:pt idx="0">
                  <c:v>2010</c:v>
                </c:pt>
              </c:strCache>
            </c:strRef>
          </c:tx>
          <c:spPr>
            <a:ln w="38100"/>
          </c:spPr>
          <c:invertIfNegative val="0"/>
          <c:cat>
            <c:strRef>
              <c:f>Sheet1!$A$2:$A$10</c:f>
              <c:strCache>
                <c:ptCount val="9"/>
                <c:pt idx="0">
                  <c:v>Vranjina</c:v>
                </c:pt>
                <c:pt idx="1">
                  <c:v>Virpazar</c:v>
                </c:pt>
                <c:pt idx="2">
                  <c:v>Plavnica</c:v>
                </c:pt>
                <c:pt idx="3">
                  <c:v>Kamenik</c:v>
                </c:pt>
                <c:pt idx="4">
                  <c:v>Podhum</c:v>
                </c:pt>
                <c:pt idx="5">
                  <c:v>Starčeva gorica</c:v>
                </c:pt>
                <c:pt idx="6">
                  <c:v>Moračnik</c:v>
                </c:pt>
                <c:pt idx="7">
                  <c:v>Ckla</c:v>
                </c:pt>
                <c:pt idx="8">
                  <c:v>Sredina jezera</c:v>
                </c:pt>
              </c:strCache>
            </c:strRef>
          </c:cat>
          <c:val>
            <c:numRef>
              <c:f>Sheet1!$D$2:$D$10</c:f>
              <c:numCache>
                <c:formatCode>General</c:formatCode>
                <c:ptCount val="9"/>
                <c:pt idx="0">
                  <c:v>1.6500000000000001</c:v>
                </c:pt>
                <c:pt idx="1">
                  <c:v>0</c:v>
                </c:pt>
                <c:pt idx="2">
                  <c:v>0.26</c:v>
                </c:pt>
                <c:pt idx="3">
                  <c:v>2.0000000000000011E-2</c:v>
                </c:pt>
                <c:pt idx="4">
                  <c:v>0.26</c:v>
                </c:pt>
                <c:pt idx="5">
                  <c:v>7.0000000000000021E-2</c:v>
                </c:pt>
                <c:pt idx="6">
                  <c:v>0</c:v>
                </c:pt>
                <c:pt idx="7">
                  <c:v>0</c:v>
                </c:pt>
                <c:pt idx="8">
                  <c:v>0.4</c:v>
                </c:pt>
              </c:numCache>
            </c:numRef>
          </c:val>
        </c:ser>
        <c:ser>
          <c:idx val="3"/>
          <c:order val="3"/>
          <c:tx>
            <c:strRef>
              <c:f>Sheet1!$E$1</c:f>
              <c:strCache>
                <c:ptCount val="1"/>
                <c:pt idx="0">
                  <c:v>2011</c:v>
                </c:pt>
              </c:strCache>
            </c:strRef>
          </c:tx>
          <c:spPr>
            <a:ln w="38100"/>
          </c:spPr>
          <c:invertIfNegative val="0"/>
          <c:cat>
            <c:strRef>
              <c:f>Sheet1!$A$2:$A$10</c:f>
              <c:strCache>
                <c:ptCount val="9"/>
                <c:pt idx="0">
                  <c:v>Vranjina</c:v>
                </c:pt>
                <c:pt idx="1">
                  <c:v>Virpazar</c:v>
                </c:pt>
                <c:pt idx="2">
                  <c:v>Plavnica</c:v>
                </c:pt>
                <c:pt idx="3">
                  <c:v>Kamenik</c:v>
                </c:pt>
                <c:pt idx="4">
                  <c:v>Podhum</c:v>
                </c:pt>
                <c:pt idx="5">
                  <c:v>Starčeva gorica</c:v>
                </c:pt>
                <c:pt idx="6">
                  <c:v>Moračnik</c:v>
                </c:pt>
                <c:pt idx="7">
                  <c:v>Ckla</c:v>
                </c:pt>
                <c:pt idx="8">
                  <c:v>Sredina jezera</c:v>
                </c:pt>
              </c:strCache>
            </c:strRef>
          </c:cat>
          <c:val>
            <c:numRef>
              <c:f>Sheet1!$E$2:$E$10</c:f>
              <c:numCache>
                <c:formatCode>General</c:formatCode>
                <c:ptCount val="9"/>
                <c:pt idx="0">
                  <c:v>1.6700000000000013</c:v>
                </c:pt>
                <c:pt idx="1">
                  <c:v>0.92</c:v>
                </c:pt>
                <c:pt idx="2">
                  <c:v>0.18000000000000016</c:v>
                </c:pt>
                <c:pt idx="3">
                  <c:v>0.3200000000000004</c:v>
                </c:pt>
                <c:pt idx="4">
                  <c:v>0.13</c:v>
                </c:pt>
                <c:pt idx="5">
                  <c:v>6.0000000000000032E-2</c:v>
                </c:pt>
                <c:pt idx="6">
                  <c:v>0.25</c:v>
                </c:pt>
                <c:pt idx="7">
                  <c:v>3.0000000000000002E-2</c:v>
                </c:pt>
                <c:pt idx="8">
                  <c:v>9.0000000000000024E-2</c:v>
                </c:pt>
              </c:numCache>
            </c:numRef>
          </c:val>
        </c:ser>
        <c:ser>
          <c:idx val="4"/>
          <c:order val="4"/>
          <c:tx>
            <c:strRef>
              <c:f>Sheet1!$F$1</c:f>
              <c:strCache>
                <c:ptCount val="1"/>
                <c:pt idx="0">
                  <c:v>2012</c:v>
                </c:pt>
              </c:strCache>
            </c:strRef>
          </c:tx>
          <c:spPr>
            <a:ln w="38100"/>
          </c:spPr>
          <c:invertIfNegative val="0"/>
          <c:cat>
            <c:strRef>
              <c:f>Sheet1!$A$2:$A$10</c:f>
              <c:strCache>
                <c:ptCount val="9"/>
                <c:pt idx="0">
                  <c:v>Vranjina</c:v>
                </c:pt>
                <c:pt idx="1">
                  <c:v>Virpazar</c:v>
                </c:pt>
                <c:pt idx="2">
                  <c:v>Plavnica</c:v>
                </c:pt>
                <c:pt idx="3">
                  <c:v>Kamenik</c:v>
                </c:pt>
                <c:pt idx="4">
                  <c:v>Podhum</c:v>
                </c:pt>
                <c:pt idx="5">
                  <c:v>Starčeva gorica</c:v>
                </c:pt>
                <c:pt idx="6">
                  <c:v>Moračnik</c:v>
                </c:pt>
                <c:pt idx="7">
                  <c:v>Ckla</c:v>
                </c:pt>
                <c:pt idx="8">
                  <c:v>Sredina jezera</c:v>
                </c:pt>
              </c:strCache>
            </c:strRef>
          </c:cat>
          <c:val>
            <c:numRef>
              <c:f>Sheet1!$F$2:$F$10</c:f>
              <c:numCache>
                <c:formatCode>General</c:formatCode>
                <c:ptCount val="9"/>
                <c:pt idx="0">
                  <c:v>2.9299999999999997</c:v>
                </c:pt>
                <c:pt idx="1">
                  <c:v>1.85</c:v>
                </c:pt>
                <c:pt idx="2">
                  <c:v>0.73000000000000065</c:v>
                </c:pt>
                <c:pt idx="3">
                  <c:v>1.72</c:v>
                </c:pt>
                <c:pt idx="4">
                  <c:v>1.1100000000000001</c:v>
                </c:pt>
                <c:pt idx="5">
                  <c:v>0</c:v>
                </c:pt>
                <c:pt idx="6">
                  <c:v>0</c:v>
                </c:pt>
                <c:pt idx="7">
                  <c:v>0</c:v>
                </c:pt>
                <c:pt idx="8">
                  <c:v>0.11</c:v>
                </c:pt>
              </c:numCache>
            </c:numRef>
          </c:val>
        </c:ser>
        <c:ser>
          <c:idx val="5"/>
          <c:order val="5"/>
          <c:tx>
            <c:strRef>
              <c:f>Sheet1!$G$1</c:f>
              <c:strCache>
                <c:ptCount val="1"/>
                <c:pt idx="0">
                  <c:v>2013</c:v>
                </c:pt>
              </c:strCache>
            </c:strRef>
          </c:tx>
          <c:spPr>
            <a:ln w="25400"/>
          </c:spPr>
          <c:invertIfNegative val="0"/>
          <c:cat>
            <c:strRef>
              <c:f>Sheet1!$A$2:$A$10</c:f>
              <c:strCache>
                <c:ptCount val="9"/>
                <c:pt idx="0">
                  <c:v>Vranjina</c:v>
                </c:pt>
                <c:pt idx="1">
                  <c:v>Virpazar</c:v>
                </c:pt>
                <c:pt idx="2">
                  <c:v>Plavnica</c:v>
                </c:pt>
                <c:pt idx="3">
                  <c:v>Kamenik</c:v>
                </c:pt>
                <c:pt idx="4">
                  <c:v>Podhum</c:v>
                </c:pt>
                <c:pt idx="5">
                  <c:v>Starčeva gorica</c:v>
                </c:pt>
                <c:pt idx="6">
                  <c:v>Moračnik</c:v>
                </c:pt>
                <c:pt idx="7">
                  <c:v>Ckla</c:v>
                </c:pt>
                <c:pt idx="8">
                  <c:v>Sredina jezera</c:v>
                </c:pt>
              </c:strCache>
            </c:strRef>
          </c:cat>
          <c:val>
            <c:numRef>
              <c:f>Sheet1!$G$2:$G$10</c:f>
              <c:numCache>
                <c:formatCode>General</c:formatCode>
                <c:ptCount val="9"/>
                <c:pt idx="0">
                  <c:v>0.82000000000000062</c:v>
                </c:pt>
                <c:pt idx="1">
                  <c:v>0.92</c:v>
                </c:pt>
                <c:pt idx="2">
                  <c:v>0.21000000000000016</c:v>
                </c:pt>
                <c:pt idx="3">
                  <c:v>0.71000000000000063</c:v>
                </c:pt>
                <c:pt idx="4">
                  <c:v>0.35000000000000031</c:v>
                </c:pt>
                <c:pt idx="5">
                  <c:v>0.14000000000000001</c:v>
                </c:pt>
                <c:pt idx="6">
                  <c:v>0.22</c:v>
                </c:pt>
                <c:pt idx="7">
                  <c:v>0.11</c:v>
                </c:pt>
                <c:pt idx="8">
                  <c:v>0.14000000000000001</c:v>
                </c:pt>
              </c:numCache>
            </c:numRef>
          </c:val>
        </c:ser>
        <c:dLbls>
          <c:showLegendKey val="0"/>
          <c:showVal val="0"/>
          <c:showCatName val="0"/>
          <c:showSerName val="0"/>
          <c:showPercent val="0"/>
          <c:showBubbleSize val="0"/>
        </c:dLbls>
        <c:gapWidth val="150"/>
        <c:axId val="319552896"/>
        <c:axId val="319739008"/>
      </c:barChart>
      <c:lineChart>
        <c:grouping val="standard"/>
        <c:varyColors val="0"/>
        <c:ser>
          <c:idx val="6"/>
          <c:order val="6"/>
          <c:tx>
            <c:strRef>
              <c:f>Sheet1!$H$1</c:f>
              <c:strCache>
                <c:ptCount val="1"/>
                <c:pt idx="0">
                  <c:v>MDK A</c:v>
                </c:pt>
              </c:strCache>
            </c:strRef>
          </c:tx>
          <c:spPr>
            <a:ln w="25400"/>
          </c:spPr>
          <c:marker>
            <c:symbol val="none"/>
          </c:marker>
          <c:cat>
            <c:strRef>
              <c:f>Sheet1!$A$2:$A$10</c:f>
              <c:strCache>
                <c:ptCount val="9"/>
                <c:pt idx="0">
                  <c:v>Vranjina</c:v>
                </c:pt>
                <c:pt idx="1">
                  <c:v>Virpazar</c:v>
                </c:pt>
                <c:pt idx="2">
                  <c:v>Plavnica</c:v>
                </c:pt>
                <c:pt idx="3">
                  <c:v>Kamenik</c:v>
                </c:pt>
                <c:pt idx="4">
                  <c:v>Podhum</c:v>
                </c:pt>
                <c:pt idx="5">
                  <c:v>Starčeva gorica</c:v>
                </c:pt>
                <c:pt idx="6">
                  <c:v>Moračnik</c:v>
                </c:pt>
                <c:pt idx="7">
                  <c:v>Ckla</c:v>
                </c:pt>
                <c:pt idx="8">
                  <c:v>Sredina jezera</c:v>
                </c:pt>
              </c:strCache>
            </c:strRef>
          </c:cat>
          <c:val>
            <c:numRef>
              <c:f>Sheet1!$H$2:$H$10</c:f>
              <c:numCache>
                <c:formatCode>General</c:formatCode>
                <c:ptCount val="9"/>
                <c:pt idx="0">
                  <c:v>10</c:v>
                </c:pt>
                <c:pt idx="1">
                  <c:v>10</c:v>
                </c:pt>
                <c:pt idx="2">
                  <c:v>10</c:v>
                </c:pt>
                <c:pt idx="3">
                  <c:v>10</c:v>
                </c:pt>
                <c:pt idx="4">
                  <c:v>10</c:v>
                </c:pt>
                <c:pt idx="5">
                  <c:v>10</c:v>
                </c:pt>
                <c:pt idx="6">
                  <c:v>10</c:v>
                </c:pt>
                <c:pt idx="7">
                  <c:v>10</c:v>
                </c:pt>
                <c:pt idx="8">
                  <c:v>10</c:v>
                </c:pt>
              </c:numCache>
            </c:numRef>
          </c:val>
          <c:smooth val="0"/>
        </c:ser>
        <c:ser>
          <c:idx val="7"/>
          <c:order val="7"/>
          <c:tx>
            <c:strRef>
              <c:f>Sheet1!$I$1</c:f>
              <c:strCache>
                <c:ptCount val="1"/>
                <c:pt idx="0">
                  <c:v>MDK A1</c:v>
                </c:pt>
              </c:strCache>
            </c:strRef>
          </c:tx>
          <c:spPr>
            <a:ln w="25400"/>
          </c:spPr>
          <c:marker>
            <c:symbol val="none"/>
          </c:marker>
          <c:cat>
            <c:strRef>
              <c:f>Sheet1!$A$2:$A$10</c:f>
              <c:strCache>
                <c:ptCount val="9"/>
                <c:pt idx="0">
                  <c:v>Vranjina</c:v>
                </c:pt>
                <c:pt idx="1">
                  <c:v>Virpazar</c:v>
                </c:pt>
                <c:pt idx="2">
                  <c:v>Plavnica</c:v>
                </c:pt>
                <c:pt idx="3">
                  <c:v>Kamenik</c:v>
                </c:pt>
                <c:pt idx="4">
                  <c:v>Podhum</c:v>
                </c:pt>
                <c:pt idx="5">
                  <c:v>Starčeva gorica</c:v>
                </c:pt>
                <c:pt idx="6">
                  <c:v>Moračnik</c:v>
                </c:pt>
                <c:pt idx="7">
                  <c:v>Ckla</c:v>
                </c:pt>
                <c:pt idx="8">
                  <c:v>Sredina jezera</c:v>
                </c:pt>
              </c:strCache>
            </c:strRef>
          </c:cat>
          <c:val>
            <c:numRef>
              <c:f>Sheet1!$I$2:$I$10</c:f>
              <c:numCache>
                <c:formatCode>General</c:formatCode>
                <c:ptCount val="9"/>
                <c:pt idx="0">
                  <c:v>20</c:v>
                </c:pt>
                <c:pt idx="1">
                  <c:v>20</c:v>
                </c:pt>
                <c:pt idx="2">
                  <c:v>20</c:v>
                </c:pt>
                <c:pt idx="3">
                  <c:v>20</c:v>
                </c:pt>
                <c:pt idx="4">
                  <c:v>20</c:v>
                </c:pt>
                <c:pt idx="5">
                  <c:v>20</c:v>
                </c:pt>
                <c:pt idx="6">
                  <c:v>20</c:v>
                </c:pt>
                <c:pt idx="7">
                  <c:v>20</c:v>
                </c:pt>
                <c:pt idx="8">
                  <c:v>20</c:v>
                </c:pt>
              </c:numCache>
            </c:numRef>
          </c:val>
          <c:smooth val="0"/>
        </c:ser>
        <c:ser>
          <c:idx val="8"/>
          <c:order val="8"/>
          <c:tx>
            <c:strRef>
              <c:f>Sheet1!$J$1</c:f>
              <c:strCache>
                <c:ptCount val="1"/>
                <c:pt idx="0">
                  <c:v>MDK A2</c:v>
                </c:pt>
              </c:strCache>
            </c:strRef>
          </c:tx>
          <c:spPr>
            <a:ln w="25400"/>
          </c:spPr>
          <c:marker>
            <c:symbol val="none"/>
          </c:marker>
          <c:cat>
            <c:strRef>
              <c:f>Sheet1!$A$2:$A$10</c:f>
              <c:strCache>
                <c:ptCount val="9"/>
                <c:pt idx="0">
                  <c:v>Vranjina</c:v>
                </c:pt>
                <c:pt idx="1">
                  <c:v>Virpazar</c:v>
                </c:pt>
                <c:pt idx="2">
                  <c:v>Plavnica</c:v>
                </c:pt>
                <c:pt idx="3">
                  <c:v>Kamenik</c:v>
                </c:pt>
                <c:pt idx="4">
                  <c:v>Podhum</c:v>
                </c:pt>
                <c:pt idx="5">
                  <c:v>Starčeva gorica</c:v>
                </c:pt>
                <c:pt idx="6">
                  <c:v>Moračnik</c:v>
                </c:pt>
                <c:pt idx="7">
                  <c:v>Ckla</c:v>
                </c:pt>
                <c:pt idx="8">
                  <c:v>Sredina jezera</c:v>
                </c:pt>
              </c:strCache>
            </c:strRef>
          </c:cat>
          <c:val>
            <c:numRef>
              <c:f>Sheet1!$J$2:$J$10</c:f>
              <c:numCache>
                <c:formatCode>General</c:formatCode>
                <c:ptCount val="9"/>
                <c:pt idx="0">
                  <c:v>25</c:v>
                </c:pt>
                <c:pt idx="1">
                  <c:v>25</c:v>
                </c:pt>
                <c:pt idx="2">
                  <c:v>25</c:v>
                </c:pt>
                <c:pt idx="3">
                  <c:v>25</c:v>
                </c:pt>
                <c:pt idx="4">
                  <c:v>25</c:v>
                </c:pt>
                <c:pt idx="5">
                  <c:v>25</c:v>
                </c:pt>
                <c:pt idx="6">
                  <c:v>25</c:v>
                </c:pt>
                <c:pt idx="7">
                  <c:v>25</c:v>
                </c:pt>
                <c:pt idx="8">
                  <c:v>25</c:v>
                </c:pt>
              </c:numCache>
            </c:numRef>
          </c:val>
          <c:smooth val="0"/>
        </c:ser>
        <c:ser>
          <c:idx val="9"/>
          <c:order val="9"/>
          <c:tx>
            <c:strRef>
              <c:f>Sheet1!$K$1</c:f>
              <c:strCache>
                <c:ptCount val="1"/>
                <c:pt idx="0">
                  <c:v>MDK A3</c:v>
                </c:pt>
              </c:strCache>
            </c:strRef>
          </c:tx>
          <c:spPr>
            <a:ln w="25400"/>
          </c:spPr>
          <c:marker>
            <c:symbol val="none"/>
          </c:marker>
          <c:cat>
            <c:strRef>
              <c:f>Sheet1!$A$2:$A$10</c:f>
              <c:strCache>
                <c:ptCount val="9"/>
                <c:pt idx="0">
                  <c:v>Vranjina</c:v>
                </c:pt>
                <c:pt idx="1">
                  <c:v>Virpazar</c:v>
                </c:pt>
                <c:pt idx="2">
                  <c:v>Plavnica</c:v>
                </c:pt>
                <c:pt idx="3">
                  <c:v>Kamenik</c:v>
                </c:pt>
                <c:pt idx="4">
                  <c:v>Podhum</c:v>
                </c:pt>
                <c:pt idx="5">
                  <c:v>Starčeva gorica</c:v>
                </c:pt>
                <c:pt idx="6">
                  <c:v>Moračnik</c:v>
                </c:pt>
                <c:pt idx="7">
                  <c:v>Ckla</c:v>
                </c:pt>
                <c:pt idx="8">
                  <c:v>Sredina jezera</c:v>
                </c:pt>
              </c:strCache>
            </c:strRef>
          </c:cat>
          <c:val>
            <c:numRef>
              <c:f>Sheet1!$K$2:$K$10</c:f>
              <c:numCache>
                <c:formatCode>General</c:formatCode>
                <c:ptCount val="9"/>
                <c:pt idx="0">
                  <c:v>50</c:v>
                </c:pt>
                <c:pt idx="1">
                  <c:v>50</c:v>
                </c:pt>
                <c:pt idx="2">
                  <c:v>50</c:v>
                </c:pt>
                <c:pt idx="3">
                  <c:v>50</c:v>
                </c:pt>
                <c:pt idx="4">
                  <c:v>50</c:v>
                </c:pt>
                <c:pt idx="5">
                  <c:v>50</c:v>
                </c:pt>
                <c:pt idx="6">
                  <c:v>50</c:v>
                </c:pt>
                <c:pt idx="7">
                  <c:v>50</c:v>
                </c:pt>
                <c:pt idx="8">
                  <c:v>50</c:v>
                </c:pt>
              </c:numCache>
            </c:numRef>
          </c:val>
          <c:smooth val="0"/>
        </c:ser>
        <c:dLbls>
          <c:showLegendKey val="0"/>
          <c:showVal val="0"/>
          <c:showCatName val="0"/>
          <c:showSerName val="0"/>
          <c:showPercent val="0"/>
          <c:showBubbleSize val="0"/>
        </c:dLbls>
        <c:marker val="1"/>
        <c:smooth val="0"/>
        <c:axId val="319552896"/>
        <c:axId val="319739008"/>
      </c:lineChart>
      <c:catAx>
        <c:axId val="319552896"/>
        <c:scaling>
          <c:orientation val="minMax"/>
        </c:scaling>
        <c:delete val="0"/>
        <c:axPos val="b"/>
        <c:numFmt formatCode="General" sourceLinked="1"/>
        <c:majorTickMark val="out"/>
        <c:minorTickMark val="none"/>
        <c:tickLblPos val="nextTo"/>
        <c:txPr>
          <a:bodyPr/>
          <a:lstStyle/>
          <a:p>
            <a:pPr>
              <a:defRPr sz="700"/>
            </a:pPr>
            <a:endParaRPr lang="en-US"/>
          </a:p>
        </c:txPr>
        <c:crossAx val="319739008"/>
        <c:crosses val="autoZero"/>
        <c:auto val="1"/>
        <c:lblAlgn val="ctr"/>
        <c:lblOffset val="100"/>
        <c:noMultiLvlLbl val="0"/>
      </c:catAx>
      <c:valAx>
        <c:axId val="319739008"/>
        <c:scaling>
          <c:orientation val="minMax"/>
          <c:max val="50"/>
          <c:min val="0"/>
        </c:scaling>
        <c:delete val="0"/>
        <c:axPos val="l"/>
        <c:numFmt formatCode="General" sourceLinked="1"/>
        <c:majorTickMark val="out"/>
        <c:minorTickMark val="none"/>
        <c:tickLblPos val="nextTo"/>
        <c:txPr>
          <a:bodyPr/>
          <a:lstStyle/>
          <a:p>
            <a:pPr>
              <a:defRPr sz="700"/>
            </a:pPr>
            <a:endParaRPr lang="en-US"/>
          </a:p>
        </c:txPr>
        <c:crossAx val="319552896"/>
        <c:crosses val="autoZero"/>
        <c:crossBetween val="between"/>
      </c:valAx>
      <c:spPr>
        <a:noFill/>
        <a:ln w="25400">
          <a:noFill/>
        </a:ln>
      </c:spPr>
    </c:plotArea>
    <c:legend>
      <c:legendPos val="r"/>
      <c:legendEntry>
        <c:idx val="4"/>
        <c:txPr>
          <a:bodyPr/>
          <a:lstStyle/>
          <a:p>
            <a:pPr>
              <a:defRPr sz="700" b="0"/>
            </a:pPr>
            <a:endParaRPr lang="en-US"/>
          </a:p>
        </c:txPr>
      </c:legendEntry>
      <c:layout>
        <c:manualLayout>
          <c:xMode val="edge"/>
          <c:yMode val="edge"/>
          <c:x val="0.86873021633819036"/>
          <c:y val="3.5120844269466336E-2"/>
          <c:w val="0.13126978366181191"/>
          <c:h val="0.54954888451443573"/>
        </c:manualLayout>
      </c:layout>
      <c:overlay val="1"/>
      <c:txPr>
        <a:bodyPr/>
        <a:lstStyle/>
        <a:p>
          <a:pPr>
            <a:defRPr sz="700"/>
          </a:pPr>
          <a:endParaRPr lang="en-US"/>
        </a:p>
      </c:txPr>
    </c:legend>
    <c:plotVisOnly val="1"/>
    <c:dispBlanksAs val="gap"/>
    <c:showDLblsOverMax val="0"/>
  </c:chart>
  <c:spPr>
    <a:ln>
      <a:noFill/>
    </a:ln>
  </c:spPr>
  <c:externalData r:id="rId1">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manualLayout>
          <c:layoutTarget val="inner"/>
          <c:xMode val="edge"/>
          <c:yMode val="edge"/>
          <c:x val="3.5630164285019986E-2"/>
          <c:y val="6.0905877819087323E-2"/>
          <c:w val="0.81112423447069204"/>
          <c:h val="0.7469703312402407"/>
        </c:manualLayout>
      </c:layout>
      <c:barChart>
        <c:barDir val="col"/>
        <c:grouping val="clustered"/>
        <c:varyColors val="0"/>
        <c:ser>
          <c:idx val="0"/>
          <c:order val="0"/>
          <c:tx>
            <c:strRef>
              <c:f>Sheet1!$B$1</c:f>
              <c:strCache>
                <c:ptCount val="1"/>
                <c:pt idx="0">
                  <c:v>2008</c:v>
                </c:pt>
              </c:strCache>
            </c:strRef>
          </c:tx>
          <c:invertIfNegative val="0"/>
          <c:cat>
            <c:strRef>
              <c:f>Sheet1!$A$2:$A$8</c:f>
              <c:strCache>
                <c:ptCount val="7"/>
                <c:pt idx="0">
                  <c:v>Farmaci</c:v>
                </c:pt>
                <c:pt idx="1">
                  <c:v>Grbavci</c:v>
                </c:pt>
                <c:pt idx="2">
                  <c:v>Gostilj</c:v>
                </c:pt>
                <c:pt idx="3">
                  <c:v>Golubovci</c:v>
                </c:pt>
                <c:pt idx="4">
                  <c:v>Vranj</c:v>
                </c:pt>
                <c:pt idx="5">
                  <c:v>Drešaj</c:v>
                </c:pt>
                <c:pt idx="6">
                  <c:v>Cijevna</c:v>
                </c:pt>
              </c:strCache>
            </c:strRef>
          </c:cat>
          <c:val>
            <c:numRef>
              <c:f>Sheet1!$B$2:$B$8</c:f>
              <c:numCache>
                <c:formatCode>General</c:formatCode>
                <c:ptCount val="7"/>
                <c:pt idx="0">
                  <c:v>1.2</c:v>
                </c:pt>
                <c:pt idx="1">
                  <c:v>1.7</c:v>
                </c:pt>
                <c:pt idx="2">
                  <c:v>0.8</c:v>
                </c:pt>
                <c:pt idx="3">
                  <c:v>1.5</c:v>
                </c:pt>
                <c:pt idx="4">
                  <c:v>0.9</c:v>
                </c:pt>
                <c:pt idx="5">
                  <c:v>0.60000000000000064</c:v>
                </c:pt>
                <c:pt idx="6">
                  <c:v>2.6</c:v>
                </c:pt>
              </c:numCache>
            </c:numRef>
          </c:val>
        </c:ser>
        <c:ser>
          <c:idx val="1"/>
          <c:order val="1"/>
          <c:tx>
            <c:strRef>
              <c:f>Sheet1!$C$1</c:f>
              <c:strCache>
                <c:ptCount val="1"/>
                <c:pt idx="0">
                  <c:v>2009</c:v>
                </c:pt>
              </c:strCache>
            </c:strRef>
          </c:tx>
          <c:invertIfNegative val="0"/>
          <c:cat>
            <c:strRef>
              <c:f>Sheet1!$A$2:$A$8</c:f>
              <c:strCache>
                <c:ptCount val="7"/>
                <c:pt idx="0">
                  <c:v>Farmaci</c:v>
                </c:pt>
                <c:pt idx="1">
                  <c:v>Grbavci</c:v>
                </c:pt>
                <c:pt idx="2">
                  <c:v>Gostilj</c:v>
                </c:pt>
                <c:pt idx="3">
                  <c:v>Golubovci</c:v>
                </c:pt>
                <c:pt idx="4">
                  <c:v>Vranj</c:v>
                </c:pt>
                <c:pt idx="5">
                  <c:v>Drešaj</c:v>
                </c:pt>
                <c:pt idx="6">
                  <c:v>Cijevna</c:v>
                </c:pt>
              </c:strCache>
            </c:strRef>
          </c:cat>
          <c:val>
            <c:numRef>
              <c:f>Sheet1!$C$2:$C$8</c:f>
              <c:numCache>
                <c:formatCode>General</c:formatCode>
                <c:ptCount val="7"/>
                <c:pt idx="0">
                  <c:v>1.2</c:v>
                </c:pt>
                <c:pt idx="1">
                  <c:v>1.8</c:v>
                </c:pt>
                <c:pt idx="2">
                  <c:v>1.9000000000000001</c:v>
                </c:pt>
                <c:pt idx="3">
                  <c:v>2.2000000000000002</c:v>
                </c:pt>
                <c:pt idx="4">
                  <c:v>1.3</c:v>
                </c:pt>
                <c:pt idx="5">
                  <c:v>1.4</c:v>
                </c:pt>
                <c:pt idx="6">
                  <c:v>2.5</c:v>
                </c:pt>
              </c:numCache>
            </c:numRef>
          </c:val>
        </c:ser>
        <c:ser>
          <c:idx val="2"/>
          <c:order val="2"/>
          <c:tx>
            <c:strRef>
              <c:f>Sheet1!$D$1</c:f>
              <c:strCache>
                <c:ptCount val="1"/>
                <c:pt idx="0">
                  <c:v>2010</c:v>
                </c:pt>
              </c:strCache>
            </c:strRef>
          </c:tx>
          <c:invertIfNegative val="0"/>
          <c:cat>
            <c:strRef>
              <c:f>Sheet1!$A$2:$A$8</c:f>
              <c:strCache>
                <c:ptCount val="7"/>
                <c:pt idx="0">
                  <c:v>Farmaci</c:v>
                </c:pt>
                <c:pt idx="1">
                  <c:v>Grbavci</c:v>
                </c:pt>
                <c:pt idx="2">
                  <c:v>Gostilj</c:v>
                </c:pt>
                <c:pt idx="3">
                  <c:v>Golubovci</c:v>
                </c:pt>
                <c:pt idx="4">
                  <c:v>Vranj</c:v>
                </c:pt>
                <c:pt idx="5">
                  <c:v>Drešaj</c:v>
                </c:pt>
                <c:pt idx="6">
                  <c:v>Cijevna</c:v>
                </c:pt>
              </c:strCache>
            </c:strRef>
          </c:cat>
          <c:val>
            <c:numRef>
              <c:f>Sheet1!$D$2:$D$8</c:f>
              <c:numCache>
                <c:formatCode>General</c:formatCode>
                <c:ptCount val="7"/>
                <c:pt idx="0">
                  <c:v>0.2</c:v>
                </c:pt>
                <c:pt idx="1">
                  <c:v>0.2</c:v>
                </c:pt>
                <c:pt idx="2">
                  <c:v>1.1000000000000001</c:v>
                </c:pt>
                <c:pt idx="3">
                  <c:v>1.2</c:v>
                </c:pt>
                <c:pt idx="4">
                  <c:v>0.70000000000000062</c:v>
                </c:pt>
                <c:pt idx="5">
                  <c:v>0.30000000000000032</c:v>
                </c:pt>
                <c:pt idx="6">
                  <c:v>1.1000000000000001</c:v>
                </c:pt>
              </c:numCache>
            </c:numRef>
          </c:val>
        </c:ser>
        <c:ser>
          <c:idx val="3"/>
          <c:order val="3"/>
          <c:tx>
            <c:strRef>
              <c:f>Sheet1!$E$1</c:f>
              <c:strCache>
                <c:ptCount val="1"/>
                <c:pt idx="0">
                  <c:v>2011</c:v>
                </c:pt>
              </c:strCache>
            </c:strRef>
          </c:tx>
          <c:spPr>
            <a:ln w="38100"/>
          </c:spPr>
          <c:invertIfNegative val="0"/>
          <c:cat>
            <c:strRef>
              <c:f>Sheet1!$A$2:$A$8</c:f>
              <c:strCache>
                <c:ptCount val="7"/>
                <c:pt idx="0">
                  <c:v>Farmaci</c:v>
                </c:pt>
                <c:pt idx="1">
                  <c:v>Grbavci</c:v>
                </c:pt>
                <c:pt idx="2">
                  <c:v>Gostilj</c:v>
                </c:pt>
                <c:pt idx="3">
                  <c:v>Golubovci</c:v>
                </c:pt>
                <c:pt idx="4">
                  <c:v>Vranj</c:v>
                </c:pt>
                <c:pt idx="5">
                  <c:v>Drešaj</c:v>
                </c:pt>
                <c:pt idx="6">
                  <c:v>Cijevna</c:v>
                </c:pt>
              </c:strCache>
            </c:strRef>
          </c:cat>
          <c:val>
            <c:numRef>
              <c:f>Sheet1!$E$2:$E$8</c:f>
              <c:numCache>
                <c:formatCode>General</c:formatCode>
                <c:ptCount val="7"/>
                <c:pt idx="0">
                  <c:v>0.70000000000000062</c:v>
                </c:pt>
                <c:pt idx="1">
                  <c:v>1.4</c:v>
                </c:pt>
                <c:pt idx="2">
                  <c:v>0.5</c:v>
                </c:pt>
                <c:pt idx="3">
                  <c:v>0</c:v>
                </c:pt>
                <c:pt idx="4">
                  <c:v>1.4</c:v>
                </c:pt>
                <c:pt idx="5">
                  <c:v>1.1000000000000001</c:v>
                </c:pt>
                <c:pt idx="6">
                  <c:v>1.4</c:v>
                </c:pt>
              </c:numCache>
            </c:numRef>
          </c:val>
        </c:ser>
        <c:ser>
          <c:idx val="4"/>
          <c:order val="4"/>
          <c:tx>
            <c:strRef>
              <c:f>Sheet1!$F$1</c:f>
              <c:strCache>
                <c:ptCount val="1"/>
                <c:pt idx="0">
                  <c:v>2012</c:v>
                </c:pt>
              </c:strCache>
            </c:strRef>
          </c:tx>
          <c:spPr>
            <a:ln w="38100"/>
          </c:spPr>
          <c:invertIfNegative val="0"/>
          <c:cat>
            <c:strRef>
              <c:f>Sheet1!$A$2:$A$8</c:f>
              <c:strCache>
                <c:ptCount val="7"/>
                <c:pt idx="0">
                  <c:v>Farmaci</c:v>
                </c:pt>
                <c:pt idx="1">
                  <c:v>Grbavci</c:v>
                </c:pt>
                <c:pt idx="2">
                  <c:v>Gostilj</c:v>
                </c:pt>
                <c:pt idx="3">
                  <c:v>Golubovci</c:v>
                </c:pt>
                <c:pt idx="4">
                  <c:v>Vranj</c:v>
                </c:pt>
                <c:pt idx="5">
                  <c:v>Drešaj</c:v>
                </c:pt>
                <c:pt idx="6">
                  <c:v>Cijevna</c:v>
                </c:pt>
              </c:strCache>
            </c:strRef>
          </c:cat>
          <c:val>
            <c:numRef>
              <c:f>Sheet1!$F$2:$F$8</c:f>
              <c:numCache>
                <c:formatCode>General</c:formatCode>
                <c:ptCount val="7"/>
                <c:pt idx="0">
                  <c:v>1.2</c:v>
                </c:pt>
                <c:pt idx="1">
                  <c:v>0.76000000000000079</c:v>
                </c:pt>
                <c:pt idx="2">
                  <c:v>1.4</c:v>
                </c:pt>
                <c:pt idx="4">
                  <c:v>0.60000000000000064</c:v>
                </c:pt>
                <c:pt idx="5">
                  <c:v>0.73000000000000065</c:v>
                </c:pt>
                <c:pt idx="6">
                  <c:v>1</c:v>
                </c:pt>
              </c:numCache>
            </c:numRef>
          </c:val>
        </c:ser>
        <c:ser>
          <c:idx val="5"/>
          <c:order val="5"/>
          <c:tx>
            <c:strRef>
              <c:f>Sheet1!$G$1</c:f>
              <c:strCache>
                <c:ptCount val="1"/>
                <c:pt idx="0">
                  <c:v>2013</c:v>
                </c:pt>
              </c:strCache>
            </c:strRef>
          </c:tx>
          <c:spPr>
            <a:ln w="38100"/>
          </c:spPr>
          <c:invertIfNegative val="0"/>
          <c:cat>
            <c:strRef>
              <c:f>Sheet1!$A$2:$A$8</c:f>
              <c:strCache>
                <c:ptCount val="7"/>
                <c:pt idx="0">
                  <c:v>Farmaci</c:v>
                </c:pt>
                <c:pt idx="1">
                  <c:v>Grbavci</c:v>
                </c:pt>
                <c:pt idx="2">
                  <c:v>Gostilj</c:v>
                </c:pt>
                <c:pt idx="3">
                  <c:v>Golubovci</c:v>
                </c:pt>
                <c:pt idx="4">
                  <c:v>Vranj</c:v>
                </c:pt>
                <c:pt idx="5">
                  <c:v>Drešaj</c:v>
                </c:pt>
                <c:pt idx="6">
                  <c:v>Cijevna</c:v>
                </c:pt>
              </c:strCache>
            </c:strRef>
          </c:cat>
          <c:val>
            <c:numRef>
              <c:f>Sheet1!$G$2:$G$8</c:f>
              <c:numCache>
                <c:formatCode>General</c:formatCode>
                <c:ptCount val="7"/>
                <c:pt idx="0">
                  <c:v>1.2</c:v>
                </c:pt>
                <c:pt idx="1">
                  <c:v>0.8</c:v>
                </c:pt>
                <c:pt idx="2">
                  <c:v>0.4</c:v>
                </c:pt>
                <c:pt idx="4">
                  <c:v>0.5</c:v>
                </c:pt>
                <c:pt idx="5">
                  <c:v>1.3</c:v>
                </c:pt>
                <c:pt idx="6">
                  <c:v>2.2999999999999998</c:v>
                </c:pt>
              </c:numCache>
            </c:numRef>
          </c:val>
        </c:ser>
        <c:dLbls>
          <c:showLegendKey val="0"/>
          <c:showVal val="0"/>
          <c:showCatName val="0"/>
          <c:showSerName val="0"/>
          <c:showPercent val="0"/>
          <c:showBubbleSize val="0"/>
        </c:dLbls>
        <c:gapWidth val="150"/>
        <c:axId val="327036928"/>
        <c:axId val="327038464"/>
      </c:barChart>
      <c:lineChart>
        <c:grouping val="standard"/>
        <c:varyColors val="0"/>
        <c:ser>
          <c:idx val="6"/>
          <c:order val="6"/>
          <c:tx>
            <c:strRef>
              <c:f>Sheet1!$H$1</c:f>
              <c:strCache>
                <c:ptCount val="1"/>
                <c:pt idx="0">
                  <c:v>MDK A1</c:v>
                </c:pt>
              </c:strCache>
            </c:strRef>
          </c:tx>
          <c:spPr>
            <a:ln w="25400"/>
          </c:spPr>
          <c:marker>
            <c:symbol val="none"/>
          </c:marker>
          <c:cat>
            <c:strRef>
              <c:f>Sheet1!$A$2:$A$8</c:f>
              <c:strCache>
                <c:ptCount val="7"/>
                <c:pt idx="0">
                  <c:v>Farmaci</c:v>
                </c:pt>
                <c:pt idx="1">
                  <c:v>Grbavci</c:v>
                </c:pt>
                <c:pt idx="2">
                  <c:v>Gostilj</c:v>
                </c:pt>
                <c:pt idx="3">
                  <c:v>Golubovci</c:v>
                </c:pt>
                <c:pt idx="4">
                  <c:v>Vranj</c:v>
                </c:pt>
                <c:pt idx="5">
                  <c:v>Drešaj</c:v>
                </c:pt>
                <c:pt idx="6">
                  <c:v>Cijevna</c:v>
                </c:pt>
              </c:strCache>
            </c:strRef>
          </c:cat>
          <c:val>
            <c:numRef>
              <c:f>Sheet1!$H$2:$H$8</c:f>
              <c:numCache>
                <c:formatCode>General</c:formatCode>
                <c:ptCount val="7"/>
                <c:pt idx="0">
                  <c:v>3</c:v>
                </c:pt>
                <c:pt idx="1">
                  <c:v>3</c:v>
                </c:pt>
                <c:pt idx="2">
                  <c:v>3</c:v>
                </c:pt>
                <c:pt idx="3">
                  <c:v>3</c:v>
                </c:pt>
                <c:pt idx="4">
                  <c:v>3</c:v>
                </c:pt>
                <c:pt idx="5">
                  <c:v>3</c:v>
                </c:pt>
                <c:pt idx="6">
                  <c:v>3</c:v>
                </c:pt>
              </c:numCache>
            </c:numRef>
          </c:val>
          <c:smooth val="0"/>
        </c:ser>
        <c:ser>
          <c:idx val="7"/>
          <c:order val="7"/>
          <c:tx>
            <c:strRef>
              <c:f>Sheet1!$I$1</c:f>
              <c:strCache>
                <c:ptCount val="1"/>
                <c:pt idx="0">
                  <c:v>MDK A2</c:v>
                </c:pt>
              </c:strCache>
            </c:strRef>
          </c:tx>
          <c:spPr>
            <a:ln w="25400"/>
          </c:spPr>
          <c:marker>
            <c:symbol val="none"/>
          </c:marker>
          <c:cat>
            <c:strRef>
              <c:f>Sheet1!$A$2:$A$8</c:f>
              <c:strCache>
                <c:ptCount val="7"/>
                <c:pt idx="0">
                  <c:v>Farmaci</c:v>
                </c:pt>
                <c:pt idx="1">
                  <c:v>Grbavci</c:v>
                </c:pt>
                <c:pt idx="2">
                  <c:v>Gostilj</c:v>
                </c:pt>
                <c:pt idx="3">
                  <c:v>Golubovci</c:v>
                </c:pt>
                <c:pt idx="4">
                  <c:v>Vranj</c:v>
                </c:pt>
                <c:pt idx="5">
                  <c:v>Drešaj</c:v>
                </c:pt>
                <c:pt idx="6">
                  <c:v>Cijevna</c:v>
                </c:pt>
              </c:strCache>
            </c:strRef>
          </c:cat>
          <c:val>
            <c:numRef>
              <c:f>Sheet1!$I$2:$I$8</c:f>
              <c:numCache>
                <c:formatCode>General</c:formatCode>
                <c:ptCount val="7"/>
                <c:pt idx="0">
                  <c:v>4</c:v>
                </c:pt>
                <c:pt idx="1">
                  <c:v>4</c:v>
                </c:pt>
                <c:pt idx="2">
                  <c:v>4</c:v>
                </c:pt>
                <c:pt idx="3">
                  <c:v>4</c:v>
                </c:pt>
                <c:pt idx="4">
                  <c:v>4</c:v>
                </c:pt>
                <c:pt idx="5">
                  <c:v>4</c:v>
                </c:pt>
                <c:pt idx="6">
                  <c:v>4</c:v>
                </c:pt>
              </c:numCache>
            </c:numRef>
          </c:val>
          <c:smooth val="0"/>
        </c:ser>
        <c:ser>
          <c:idx val="8"/>
          <c:order val="8"/>
          <c:tx>
            <c:strRef>
              <c:f>Sheet1!$J$1</c:f>
              <c:strCache>
                <c:ptCount val="1"/>
                <c:pt idx="0">
                  <c:v>MDK A3</c:v>
                </c:pt>
              </c:strCache>
            </c:strRef>
          </c:tx>
          <c:spPr>
            <a:ln w="25400"/>
          </c:spPr>
          <c:marker>
            <c:symbol val="none"/>
          </c:marker>
          <c:cat>
            <c:strRef>
              <c:f>Sheet1!$A$2:$A$8</c:f>
              <c:strCache>
                <c:ptCount val="7"/>
                <c:pt idx="0">
                  <c:v>Farmaci</c:v>
                </c:pt>
                <c:pt idx="1">
                  <c:v>Grbavci</c:v>
                </c:pt>
                <c:pt idx="2">
                  <c:v>Gostilj</c:v>
                </c:pt>
                <c:pt idx="3">
                  <c:v>Golubovci</c:v>
                </c:pt>
                <c:pt idx="4">
                  <c:v>Vranj</c:v>
                </c:pt>
                <c:pt idx="5">
                  <c:v>Drešaj</c:v>
                </c:pt>
                <c:pt idx="6">
                  <c:v>Cijevna</c:v>
                </c:pt>
              </c:strCache>
            </c:strRef>
          </c:cat>
          <c:val>
            <c:numRef>
              <c:f>Sheet1!$J$2:$J$8</c:f>
              <c:numCache>
                <c:formatCode>General</c:formatCode>
                <c:ptCount val="7"/>
                <c:pt idx="0">
                  <c:v>7</c:v>
                </c:pt>
                <c:pt idx="1">
                  <c:v>7</c:v>
                </c:pt>
                <c:pt idx="2">
                  <c:v>7</c:v>
                </c:pt>
                <c:pt idx="3">
                  <c:v>7</c:v>
                </c:pt>
                <c:pt idx="4">
                  <c:v>7</c:v>
                </c:pt>
                <c:pt idx="5">
                  <c:v>7</c:v>
                </c:pt>
                <c:pt idx="6">
                  <c:v>7</c:v>
                </c:pt>
              </c:numCache>
            </c:numRef>
          </c:val>
          <c:smooth val="0"/>
        </c:ser>
        <c:dLbls>
          <c:showLegendKey val="0"/>
          <c:showVal val="0"/>
          <c:showCatName val="0"/>
          <c:showSerName val="0"/>
          <c:showPercent val="0"/>
          <c:showBubbleSize val="0"/>
        </c:dLbls>
        <c:marker val="1"/>
        <c:smooth val="0"/>
        <c:axId val="327036928"/>
        <c:axId val="327038464"/>
      </c:lineChart>
      <c:catAx>
        <c:axId val="327036928"/>
        <c:scaling>
          <c:orientation val="minMax"/>
        </c:scaling>
        <c:delete val="0"/>
        <c:axPos val="b"/>
        <c:majorTickMark val="out"/>
        <c:minorTickMark val="none"/>
        <c:tickLblPos val="nextTo"/>
        <c:txPr>
          <a:bodyPr/>
          <a:lstStyle/>
          <a:p>
            <a:pPr>
              <a:defRPr sz="700"/>
            </a:pPr>
            <a:endParaRPr lang="en-US"/>
          </a:p>
        </c:txPr>
        <c:crossAx val="327038464"/>
        <c:crosses val="autoZero"/>
        <c:auto val="1"/>
        <c:lblAlgn val="ctr"/>
        <c:lblOffset val="100"/>
        <c:noMultiLvlLbl val="0"/>
      </c:catAx>
      <c:valAx>
        <c:axId val="327038464"/>
        <c:scaling>
          <c:orientation val="minMax"/>
          <c:max val="7"/>
        </c:scaling>
        <c:delete val="0"/>
        <c:axPos val="l"/>
        <c:numFmt formatCode="General" sourceLinked="1"/>
        <c:majorTickMark val="out"/>
        <c:minorTickMark val="none"/>
        <c:tickLblPos val="nextTo"/>
        <c:txPr>
          <a:bodyPr/>
          <a:lstStyle/>
          <a:p>
            <a:pPr>
              <a:defRPr sz="700"/>
            </a:pPr>
            <a:endParaRPr lang="en-US"/>
          </a:p>
        </c:txPr>
        <c:crossAx val="327036928"/>
        <c:crosses val="autoZero"/>
        <c:crossBetween val="between"/>
      </c:valAx>
    </c:plotArea>
    <c:legend>
      <c:legendPos val="r"/>
      <c:layout>
        <c:manualLayout>
          <c:xMode val="edge"/>
          <c:yMode val="edge"/>
          <c:x val="0.83219281617575869"/>
          <c:y val="0"/>
          <c:w val="0.16392023913677475"/>
          <c:h val="0.48010444006999131"/>
        </c:manualLayout>
      </c:layout>
      <c:overlay val="1"/>
      <c:txPr>
        <a:bodyPr/>
        <a:lstStyle/>
        <a:p>
          <a:pPr>
            <a:defRPr sz="700"/>
          </a:pPr>
          <a:endParaRPr lang="en-US"/>
        </a:p>
      </c:txPr>
    </c:legend>
    <c:plotVisOnly val="1"/>
    <c:dispBlanksAs val="gap"/>
    <c:showDLblsOverMax val="0"/>
  </c:chart>
  <c:spPr>
    <a:ln>
      <a:noFill/>
    </a:ln>
  </c:spPr>
  <c:externalData r:id="rId1">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manualLayout>
          <c:layoutTarget val="inner"/>
          <c:xMode val="edge"/>
          <c:yMode val="edge"/>
          <c:x val="5.2034606785262956E-2"/>
          <c:y val="8.9697281122009725E-2"/>
          <c:w val="0.79381379410906949"/>
          <c:h val="0.65616243746883263"/>
        </c:manualLayout>
      </c:layout>
      <c:barChart>
        <c:barDir val="col"/>
        <c:grouping val="clustered"/>
        <c:varyColors val="0"/>
        <c:ser>
          <c:idx val="0"/>
          <c:order val="0"/>
          <c:tx>
            <c:strRef>
              <c:f>Sheet1!$B$1</c:f>
              <c:strCache>
                <c:ptCount val="1"/>
                <c:pt idx="0">
                  <c:v>2008</c:v>
                </c:pt>
              </c:strCache>
            </c:strRef>
          </c:tx>
          <c:invertIfNegative val="0"/>
          <c:cat>
            <c:strRef>
              <c:f>Sheet1!$A$2:$A$8</c:f>
              <c:strCache>
                <c:ptCount val="7"/>
                <c:pt idx="0">
                  <c:v>Farmaci</c:v>
                </c:pt>
                <c:pt idx="1">
                  <c:v>Grbavci</c:v>
                </c:pt>
                <c:pt idx="2">
                  <c:v>Gostilj</c:v>
                </c:pt>
                <c:pt idx="3">
                  <c:v>Golubovci</c:v>
                </c:pt>
                <c:pt idx="4">
                  <c:v>Vranj</c:v>
                </c:pt>
                <c:pt idx="5">
                  <c:v>Drešaj</c:v>
                </c:pt>
                <c:pt idx="6">
                  <c:v>Cijevna</c:v>
                </c:pt>
              </c:strCache>
            </c:strRef>
          </c:cat>
          <c:val>
            <c:numRef>
              <c:f>Sheet1!$B$2:$B$8</c:f>
              <c:numCache>
                <c:formatCode>General</c:formatCode>
                <c:ptCount val="7"/>
                <c:pt idx="0">
                  <c:v>0.25</c:v>
                </c:pt>
                <c:pt idx="1">
                  <c:v>9.0000000000000024E-2</c:v>
                </c:pt>
                <c:pt idx="2">
                  <c:v>0.93</c:v>
                </c:pt>
                <c:pt idx="3">
                  <c:v>0.12000000000000002</c:v>
                </c:pt>
                <c:pt idx="4">
                  <c:v>1.44</c:v>
                </c:pt>
                <c:pt idx="5">
                  <c:v>0.15000000000000016</c:v>
                </c:pt>
                <c:pt idx="6">
                  <c:v>0.11</c:v>
                </c:pt>
              </c:numCache>
            </c:numRef>
          </c:val>
        </c:ser>
        <c:ser>
          <c:idx val="1"/>
          <c:order val="1"/>
          <c:tx>
            <c:strRef>
              <c:f>Sheet1!$C$1</c:f>
              <c:strCache>
                <c:ptCount val="1"/>
                <c:pt idx="0">
                  <c:v>2009</c:v>
                </c:pt>
              </c:strCache>
            </c:strRef>
          </c:tx>
          <c:invertIfNegative val="0"/>
          <c:cat>
            <c:strRef>
              <c:f>Sheet1!$A$2:$A$8</c:f>
              <c:strCache>
                <c:ptCount val="7"/>
                <c:pt idx="0">
                  <c:v>Farmaci</c:v>
                </c:pt>
                <c:pt idx="1">
                  <c:v>Grbavci</c:v>
                </c:pt>
                <c:pt idx="2">
                  <c:v>Gostilj</c:v>
                </c:pt>
                <c:pt idx="3">
                  <c:v>Golubovci</c:v>
                </c:pt>
                <c:pt idx="4">
                  <c:v>Vranj</c:v>
                </c:pt>
                <c:pt idx="5">
                  <c:v>Drešaj</c:v>
                </c:pt>
                <c:pt idx="6">
                  <c:v>Cijevna</c:v>
                </c:pt>
              </c:strCache>
            </c:strRef>
          </c:cat>
          <c:val>
            <c:numRef>
              <c:f>Sheet1!$C$2:$C$8</c:f>
              <c:numCache>
                <c:formatCode>General</c:formatCode>
                <c:ptCount val="7"/>
                <c:pt idx="0">
                  <c:v>8.0000000000000043E-2</c:v>
                </c:pt>
                <c:pt idx="1">
                  <c:v>4.0000000000000022E-2</c:v>
                </c:pt>
                <c:pt idx="2">
                  <c:v>0.84000000000000064</c:v>
                </c:pt>
                <c:pt idx="3">
                  <c:v>3.0000000000000002E-2</c:v>
                </c:pt>
                <c:pt idx="4">
                  <c:v>1.29</c:v>
                </c:pt>
                <c:pt idx="5">
                  <c:v>0.14000000000000001</c:v>
                </c:pt>
                <c:pt idx="6">
                  <c:v>8.0000000000000043E-2</c:v>
                </c:pt>
              </c:numCache>
            </c:numRef>
          </c:val>
        </c:ser>
        <c:ser>
          <c:idx val="2"/>
          <c:order val="2"/>
          <c:tx>
            <c:strRef>
              <c:f>Sheet1!$D$1</c:f>
              <c:strCache>
                <c:ptCount val="1"/>
                <c:pt idx="0">
                  <c:v>2010</c:v>
                </c:pt>
              </c:strCache>
            </c:strRef>
          </c:tx>
          <c:spPr>
            <a:ln w="38100"/>
          </c:spPr>
          <c:invertIfNegative val="0"/>
          <c:cat>
            <c:strRef>
              <c:f>Sheet1!$A$2:$A$8</c:f>
              <c:strCache>
                <c:ptCount val="7"/>
                <c:pt idx="0">
                  <c:v>Farmaci</c:v>
                </c:pt>
                <c:pt idx="1">
                  <c:v>Grbavci</c:v>
                </c:pt>
                <c:pt idx="2">
                  <c:v>Gostilj</c:v>
                </c:pt>
                <c:pt idx="3">
                  <c:v>Golubovci</c:v>
                </c:pt>
                <c:pt idx="4">
                  <c:v>Vranj</c:v>
                </c:pt>
                <c:pt idx="5">
                  <c:v>Drešaj</c:v>
                </c:pt>
                <c:pt idx="6">
                  <c:v>Cijevna</c:v>
                </c:pt>
              </c:strCache>
            </c:strRef>
          </c:cat>
          <c:val>
            <c:numRef>
              <c:f>Sheet1!$D$2:$D$8</c:f>
              <c:numCache>
                <c:formatCode>General</c:formatCode>
                <c:ptCount val="7"/>
                <c:pt idx="0">
                  <c:v>4.0000000000000022E-2</c:v>
                </c:pt>
                <c:pt idx="1">
                  <c:v>1.0000000000000005E-2</c:v>
                </c:pt>
                <c:pt idx="2">
                  <c:v>1.04</c:v>
                </c:pt>
                <c:pt idx="3">
                  <c:v>0</c:v>
                </c:pt>
                <c:pt idx="4">
                  <c:v>1.76</c:v>
                </c:pt>
                <c:pt idx="5">
                  <c:v>0.13</c:v>
                </c:pt>
                <c:pt idx="6">
                  <c:v>2.0000000000000011E-2</c:v>
                </c:pt>
              </c:numCache>
            </c:numRef>
          </c:val>
        </c:ser>
        <c:ser>
          <c:idx val="3"/>
          <c:order val="3"/>
          <c:tx>
            <c:strRef>
              <c:f>Sheet1!$E$1</c:f>
              <c:strCache>
                <c:ptCount val="1"/>
                <c:pt idx="0">
                  <c:v>2011</c:v>
                </c:pt>
              </c:strCache>
            </c:strRef>
          </c:tx>
          <c:spPr>
            <a:ln w="38100"/>
          </c:spPr>
          <c:invertIfNegative val="0"/>
          <c:cat>
            <c:strRef>
              <c:f>Sheet1!$A$2:$A$8</c:f>
              <c:strCache>
                <c:ptCount val="7"/>
                <c:pt idx="0">
                  <c:v>Farmaci</c:v>
                </c:pt>
                <c:pt idx="1">
                  <c:v>Grbavci</c:v>
                </c:pt>
                <c:pt idx="2">
                  <c:v>Gostilj</c:v>
                </c:pt>
                <c:pt idx="3">
                  <c:v>Golubovci</c:v>
                </c:pt>
                <c:pt idx="4">
                  <c:v>Vranj</c:v>
                </c:pt>
                <c:pt idx="5">
                  <c:v>Drešaj</c:v>
                </c:pt>
                <c:pt idx="6">
                  <c:v>Cijevna</c:v>
                </c:pt>
              </c:strCache>
            </c:strRef>
          </c:cat>
          <c:val>
            <c:numRef>
              <c:f>Sheet1!$E$2:$E$8</c:f>
              <c:numCache>
                <c:formatCode>General</c:formatCode>
                <c:ptCount val="7"/>
                <c:pt idx="0">
                  <c:v>0.05</c:v>
                </c:pt>
                <c:pt idx="1">
                  <c:v>0.11</c:v>
                </c:pt>
                <c:pt idx="2">
                  <c:v>0.47000000000000008</c:v>
                </c:pt>
                <c:pt idx="3">
                  <c:v>0</c:v>
                </c:pt>
                <c:pt idx="4">
                  <c:v>0.83000000000000063</c:v>
                </c:pt>
                <c:pt idx="5">
                  <c:v>0.14000000000000001</c:v>
                </c:pt>
                <c:pt idx="6">
                  <c:v>0</c:v>
                </c:pt>
              </c:numCache>
            </c:numRef>
          </c:val>
        </c:ser>
        <c:ser>
          <c:idx val="4"/>
          <c:order val="4"/>
          <c:tx>
            <c:strRef>
              <c:f>Sheet1!$F$1</c:f>
              <c:strCache>
                <c:ptCount val="1"/>
                <c:pt idx="0">
                  <c:v>2012</c:v>
                </c:pt>
              </c:strCache>
            </c:strRef>
          </c:tx>
          <c:spPr>
            <a:ln w="38100"/>
          </c:spPr>
          <c:invertIfNegative val="0"/>
          <c:cat>
            <c:strRef>
              <c:f>Sheet1!$A$2:$A$8</c:f>
              <c:strCache>
                <c:ptCount val="7"/>
                <c:pt idx="0">
                  <c:v>Farmaci</c:v>
                </c:pt>
                <c:pt idx="1">
                  <c:v>Grbavci</c:v>
                </c:pt>
                <c:pt idx="2">
                  <c:v>Gostilj</c:v>
                </c:pt>
                <c:pt idx="3">
                  <c:v>Golubovci</c:v>
                </c:pt>
                <c:pt idx="4">
                  <c:v>Vranj</c:v>
                </c:pt>
                <c:pt idx="5">
                  <c:v>Drešaj</c:v>
                </c:pt>
                <c:pt idx="6">
                  <c:v>Cijevna</c:v>
                </c:pt>
              </c:strCache>
            </c:strRef>
          </c:cat>
          <c:val>
            <c:numRef>
              <c:f>Sheet1!$F$2:$F$8</c:f>
              <c:numCache>
                <c:formatCode>General</c:formatCode>
                <c:ptCount val="7"/>
                <c:pt idx="0">
                  <c:v>0.05</c:v>
                </c:pt>
                <c:pt idx="1">
                  <c:v>3.500000000000001E-2</c:v>
                </c:pt>
                <c:pt idx="2">
                  <c:v>0.43000000000000033</c:v>
                </c:pt>
                <c:pt idx="4">
                  <c:v>1.2</c:v>
                </c:pt>
                <c:pt idx="5">
                  <c:v>9.0000000000000024E-2</c:v>
                </c:pt>
                <c:pt idx="6">
                  <c:v>0.05</c:v>
                </c:pt>
              </c:numCache>
            </c:numRef>
          </c:val>
        </c:ser>
        <c:ser>
          <c:idx val="5"/>
          <c:order val="5"/>
          <c:tx>
            <c:strRef>
              <c:f>Sheet1!$G$1</c:f>
              <c:strCache>
                <c:ptCount val="1"/>
                <c:pt idx="0">
                  <c:v>2013</c:v>
                </c:pt>
              </c:strCache>
            </c:strRef>
          </c:tx>
          <c:spPr>
            <a:ln w="38100"/>
          </c:spPr>
          <c:invertIfNegative val="0"/>
          <c:cat>
            <c:strRef>
              <c:f>Sheet1!$A$2:$A$8</c:f>
              <c:strCache>
                <c:ptCount val="7"/>
                <c:pt idx="0">
                  <c:v>Farmaci</c:v>
                </c:pt>
                <c:pt idx="1">
                  <c:v>Grbavci</c:v>
                </c:pt>
                <c:pt idx="2">
                  <c:v>Gostilj</c:v>
                </c:pt>
                <c:pt idx="3">
                  <c:v>Golubovci</c:v>
                </c:pt>
                <c:pt idx="4">
                  <c:v>Vranj</c:v>
                </c:pt>
                <c:pt idx="5">
                  <c:v>Drešaj</c:v>
                </c:pt>
                <c:pt idx="6">
                  <c:v>Cijevna</c:v>
                </c:pt>
              </c:strCache>
            </c:strRef>
          </c:cat>
          <c:val>
            <c:numRef>
              <c:f>Sheet1!$G$2:$G$8</c:f>
              <c:numCache>
                <c:formatCode>General</c:formatCode>
                <c:ptCount val="7"/>
                <c:pt idx="0">
                  <c:v>7.0000000000000021E-2</c:v>
                </c:pt>
                <c:pt idx="1">
                  <c:v>3.0000000000000002E-2</c:v>
                </c:pt>
                <c:pt idx="2">
                  <c:v>0.83000000000000063</c:v>
                </c:pt>
                <c:pt idx="4">
                  <c:v>2.0299999999999998</c:v>
                </c:pt>
                <c:pt idx="5">
                  <c:v>0.16</c:v>
                </c:pt>
              </c:numCache>
            </c:numRef>
          </c:val>
        </c:ser>
        <c:dLbls>
          <c:showLegendKey val="0"/>
          <c:showVal val="0"/>
          <c:showCatName val="0"/>
          <c:showSerName val="0"/>
          <c:showPercent val="0"/>
          <c:showBubbleSize val="0"/>
        </c:dLbls>
        <c:gapWidth val="150"/>
        <c:axId val="327082752"/>
        <c:axId val="327084288"/>
      </c:barChart>
      <c:lineChart>
        <c:grouping val="standard"/>
        <c:varyColors val="0"/>
        <c:ser>
          <c:idx val="6"/>
          <c:order val="6"/>
          <c:tx>
            <c:strRef>
              <c:f>Sheet1!$H$1</c:f>
              <c:strCache>
                <c:ptCount val="1"/>
                <c:pt idx="0">
                  <c:v>MDK A</c:v>
                </c:pt>
              </c:strCache>
            </c:strRef>
          </c:tx>
          <c:spPr>
            <a:ln w="38100"/>
          </c:spPr>
          <c:marker>
            <c:symbol val="none"/>
          </c:marker>
          <c:cat>
            <c:strRef>
              <c:f>Sheet1!$A$2:$A$8</c:f>
              <c:strCache>
                <c:ptCount val="7"/>
                <c:pt idx="0">
                  <c:v>Farmaci</c:v>
                </c:pt>
                <c:pt idx="1">
                  <c:v>Grbavci</c:v>
                </c:pt>
                <c:pt idx="2">
                  <c:v>Gostilj</c:v>
                </c:pt>
                <c:pt idx="3">
                  <c:v>Golubovci</c:v>
                </c:pt>
                <c:pt idx="4">
                  <c:v>Vranj</c:v>
                </c:pt>
                <c:pt idx="5">
                  <c:v>Drešaj</c:v>
                </c:pt>
                <c:pt idx="6">
                  <c:v>Cijevna</c:v>
                </c:pt>
              </c:strCache>
            </c:strRef>
          </c:cat>
          <c:val>
            <c:numRef>
              <c:f>Sheet1!$H$2:$H$8</c:f>
              <c:numCache>
                <c:formatCode>General</c:formatCode>
                <c:ptCount val="7"/>
                <c:pt idx="0">
                  <c:v>1.0000000000000005E-2</c:v>
                </c:pt>
                <c:pt idx="1">
                  <c:v>1.0000000000000005E-2</c:v>
                </c:pt>
                <c:pt idx="2">
                  <c:v>1.0000000000000005E-2</c:v>
                </c:pt>
                <c:pt idx="3">
                  <c:v>1.0000000000000005E-2</c:v>
                </c:pt>
                <c:pt idx="4">
                  <c:v>1.0000000000000005E-2</c:v>
                </c:pt>
                <c:pt idx="5">
                  <c:v>1.0000000000000005E-2</c:v>
                </c:pt>
                <c:pt idx="6">
                  <c:v>1.0000000000000005E-2</c:v>
                </c:pt>
              </c:numCache>
            </c:numRef>
          </c:val>
          <c:smooth val="0"/>
        </c:ser>
        <c:ser>
          <c:idx val="7"/>
          <c:order val="7"/>
          <c:tx>
            <c:strRef>
              <c:f>Sheet1!$I$1</c:f>
              <c:strCache>
                <c:ptCount val="1"/>
                <c:pt idx="0">
                  <c:v>MDK A1</c:v>
                </c:pt>
              </c:strCache>
            </c:strRef>
          </c:tx>
          <c:spPr>
            <a:ln w="25400"/>
          </c:spPr>
          <c:marker>
            <c:symbol val="none"/>
          </c:marker>
          <c:cat>
            <c:strRef>
              <c:f>Sheet1!$A$2:$A$8</c:f>
              <c:strCache>
                <c:ptCount val="7"/>
                <c:pt idx="0">
                  <c:v>Farmaci</c:v>
                </c:pt>
                <c:pt idx="1">
                  <c:v>Grbavci</c:v>
                </c:pt>
                <c:pt idx="2">
                  <c:v>Gostilj</c:v>
                </c:pt>
                <c:pt idx="3">
                  <c:v>Golubovci</c:v>
                </c:pt>
                <c:pt idx="4">
                  <c:v>Vranj</c:v>
                </c:pt>
                <c:pt idx="5">
                  <c:v>Drešaj</c:v>
                </c:pt>
                <c:pt idx="6">
                  <c:v>Cijevna</c:v>
                </c:pt>
              </c:strCache>
            </c:strRef>
          </c:cat>
          <c:val>
            <c:numRef>
              <c:f>Sheet1!$I$2:$I$8</c:f>
              <c:numCache>
                <c:formatCode>General</c:formatCode>
                <c:ptCount val="7"/>
                <c:pt idx="0">
                  <c:v>2.0000000000000011E-2</c:v>
                </c:pt>
                <c:pt idx="1">
                  <c:v>2.0000000000000011E-2</c:v>
                </c:pt>
                <c:pt idx="2">
                  <c:v>2.0000000000000011E-2</c:v>
                </c:pt>
                <c:pt idx="3">
                  <c:v>2.0000000000000011E-2</c:v>
                </c:pt>
                <c:pt idx="4">
                  <c:v>2.0000000000000011E-2</c:v>
                </c:pt>
                <c:pt idx="5">
                  <c:v>2.0000000000000011E-2</c:v>
                </c:pt>
                <c:pt idx="6">
                  <c:v>2.0000000000000011E-2</c:v>
                </c:pt>
              </c:numCache>
            </c:numRef>
          </c:val>
          <c:smooth val="0"/>
        </c:ser>
        <c:ser>
          <c:idx val="8"/>
          <c:order val="8"/>
          <c:tx>
            <c:strRef>
              <c:f>Sheet1!$J$1</c:f>
              <c:strCache>
                <c:ptCount val="1"/>
                <c:pt idx="0">
                  <c:v>MDK A2</c:v>
                </c:pt>
              </c:strCache>
            </c:strRef>
          </c:tx>
          <c:spPr>
            <a:ln w="25400"/>
          </c:spPr>
          <c:marker>
            <c:symbol val="none"/>
          </c:marker>
          <c:cat>
            <c:strRef>
              <c:f>Sheet1!$A$2:$A$8</c:f>
              <c:strCache>
                <c:ptCount val="7"/>
                <c:pt idx="0">
                  <c:v>Farmaci</c:v>
                </c:pt>
                <c:pt idx="1">
                  <c:v>Grbavci</c:v>
                </c:pt>
                <c:pt idx="2">
                  <c:v>Gostilj</c:v>
                </c:pt>
                <c:pt idx="3">
                  <c:v>Golubovci</c:v>
                </c:pt>
                <c:pt idx="4">
                  <c:v>Vranj</c:v>
                </c:pt>
                <c:pt idx="5">
                  <c:v>Drešaj</c:v>
                </c:pt>
                <c:pt idx="6">
                  <c:v>Cijevna</c:v>
                </c:pt>
              </c:strCache>
            </c:strRef>
          </c:cat>
          <c:val>
            <c:numRef>
              <c:f>Sheet1!$J$2:$J$8</c:f>
              <c:numCache>
                <c:formatCode>General</c:formatCode>
                <c:ptCount val="7"/>
                <c:pt idx="0">
                  <c:v>0.05</c:v>
                </c:pt>
                <c:pt idx="1">
                  <c:v>0.05</c:v>
                </c:pt>
                <c:pt idx="2">
                  <c:v>0.05</c:v>
                </c:pt>
                <c:pt idx="3">
                  <c:v>0.05</c:v>
                </c:pt>
                <c:pt idx="4">
                  <c:v>0.05</c:v>
                </c:pt>
                <c:pt idx="5">
                  <c:v>0.05</c:v>
                </c:pt>
                <c:pt idx="6">
                  <c:v>0.05</c:v>
                </c:pt>
              </c:numCache>
            </c:numRef>
          </c:val>
          <c:smooth val="0"/>
        </c:ser>
        <c:ser>
          <c:idx val="9"/>
          <c:order val="9"/>
          <c:tx>
            <c:strRef>
              <c:f>Sheet1!$K$1</c:f>
              <c:strCache>
                <c:ptCount val="1"/>
                <c:pt idx="0">
                  <c:v>MDK A3</c:v>
                </c:pt>
              </c:strCache>
            </c:strRef>
          </c:tx>
          <c:spPr>
            <a:ln w="25400"/>
          </c:spPr>
          <c:marker>
            <c:symbol val="none"/>
          </c:marker>
          <c:cat>
            <c:strRef>
              <c:f>Sheet1!$A$2:$A$8</c:f>
              <c:strCache>
                <c:ptCount val="7"/>
                <c:pt idx="0">
                  <c:v>Farmaci</c:v>
                </c:pt>
                <c:pt idx="1">
                  <c:v>Grbavci</c:v>
                </c:pt>
                <c:pt idx="2">
                  <c:v>Gostilj</c:v>
                </c:pt>
                <c:pt idx="3">
                  <c:v>Golubovci</c:v>
                </c:pt>
                <c:pt idx="4">
                  <c:v>Vranj</c:v>
                </c:pt>
                <c:pt idx="5">
                  <c:v>Drešaj</c:v>
                </c:pt>
                <c:pt idx="6">
                  <c:v>Cijevna</c:v>
                </c:pt>
              </c:strCache>
            </c:strRef>
          </c:cat>
          <c:val>
            <c:numRef>
              <c:f>Sheet1!$K$2:$K$8</c:f>
              <c:numCache>
                <c:formatCode>General</c:formatCode>
                <c:ptCount val="7"/>
                <c:pt idx="0">
                  <c:v>0.1</c:v>
                </c:pt>
                <c:pt idx="1">
                  <c:v>0.1</c:v>
                </c:pt>
                <c:pt idx="2">
                  <c:v>0.1</c:v>
                </c:pt>
                <c:pt idx="3">
                  <c:v>0.1</c:v>
                </c:pt>
                <c:pt idx="4">
                  <c:v>0.1</c:v>
                </c:pt>
                <c:pt idx="5">
                  <c:v>0.1</c:v>
                </c:pt>
                <c:pt idx="6">
                  <c:v>0.1</c:v>
                </c:pt>
              </c:numCache>
            </c:numRef>
          </c:val>
          <c:smooth val="0"/>
        </c:ser>
        <c:dLbls>
          <c:showLegendKey val="0"/>
          <c:showVal val="0"/>
          <c:showCatName val="0"/>
          <c:showSerName val="0"/>
          <c:showPercent val="0"/>
          <c:showBubbleSize val="0"/>
        </c:dLbls>
        <c:marker val="1"/>
        <c:smooth val="0"/>
        <c:axId val="327082752"/>
        <c:axId val="327084288"/>
      </c:lineChart>
      <c:catAx>
        <c:axId val="327082752"/>
        <c:scaling>
          <c:orientation val="minMax"/>
        </c:scaling>
        <c:delete val="0"/>
        <c:axPos val="b"/>
        <c:numFmt formatCode="General" sourceLinked="1"/>
        <c:majorTickMark val="out"/>
        <c:minorTickMark val="none"/>
        <c:tickLblPos val="nextTo"/>
        <c:txPr>
          <a:bodyPr/>
          <a:lstStyle/>
          <a:p>
            <a:pPr>
              <a:defRPr sz="700"/>
            </a:pPr>
            <a:endParaRPr lang="en-US"/>
          </a:p>
        </c:txPr>
        <c:crossAx val="327084288"/>
        <c:crosses val="autoZero"/>
        <c:auto val="1"/>
        <c:lblAlgn val="ctr"/>
        <c:lblOffset val="100"/>
        <c:noMultiLvlLbl val="0"/>
      </c:catAx>
      <c:valAx>
        <c:axId val="327084288"/>
        <c:scaling>
          <c:orientation val="minMax"/>
          <c:max val="2"/>
          <c:min val="0"/>
        </c:scaling>
        <c:delete val="0"/>
        <c:axPos val="l"/>
        <c:numFmt formatCode="General" sourceLinked="1"/>
        <c:majorTickMark val="out"/>
        <c:minorTickMark val="none"/>
        <c:tickLblPos val="nextTo"/>
        <c:txPr>
          <a:bodyPr/>
          <a:lstStyle/>
          <a:p>
            <a:pPr>
              <a:defRPr sz="700"/>
            </a:pPr>
            <a:endParaRPr lang="en-US"/>
          </a:p>
        </c:txPr>
        <c:crossAx val="327082752"/>
        <c:crosses val="autoZero"/>
        <c:crossBetween val="between"/>
      </c:valAx>
      <c:spPr>
        <a:noFill/>
        <a:ln w="25400">
          <a:noFill/>
        </a:ln>
      </c:spPr>
    </c:plotArea>
    <c:legend>
      <c:legendPos val="r"/>
      <c:legendEntry>
        <c:idx val="4"/>
        <c:txPr>
          <a:bodyPr/>
          <a:lstStyle/>
          <a:p>
            <a:pPr>
              <a:defRPr sz="700" b="0"/>
            </a:pPr>
            <a:endParaRPr lang="en-US"/>
          </a:p>
        </c:txPr>
      </c:legendEntry>
      <c:layout>
        <c:manualLayout>
          <c:xMode val="edge"/>
          <c:yMode val="edge"/>
          <c:x val="0.78695732477884706"/>
          <c:y val="3.0886373578302768E-2"/>
          <c:w val="0.16392023913677475"/>
          <c:h val="0.46430398035108039"/>
        </c:manualLayout>
      </c:layout>
      <c:overlay val="1"/>
      <c:txPr>
        <a:bodyPr/>
        <a:lstStyle/>
        <a:p>
          <a:pPr>
            <a:defRPr sz="700"/>
          </a:pPr>
          <a:endParaRPr lang="en-US"/>
        </a:p>
      </c:txPr>
    </c:legend>
    <c:plotVisOnly val="1"/>
    <c:dispBlanksAs val="gap"/>
    <c:showDLblsOverMax val="0"/>
  </c:chart>
  <c:spPr>
    <a:ln>
      <a:noFill/>
    </a:ln>
  </c:spPr>
  <c:externalData r:id="rId1">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manualLayout>
          <c:layoutTarget val="inner"/>
          <c:xMode val="edge"/>
          <c:yMode val="edge"/>
          <c:x val="5.7543744531933512E-2"/>
          <c:y val="6.0905968651177166E-2"/>
          <c:w val="0.81368134538738202"/>
          <c:h val="0.75054987691757002"/>
        </c:manualLayout>
      </c:layout>
      <c:barChart>
        <c:barDir val="col"/>
        <c:grouping val="clustered"/>
        <c:varyColors val="0"/>
        <c:ser>
          <c:idx val="0"/>
          <c:order val="0"/>
          <c:tx>
            <c:strRef>
              <c:f>Sheet1!$B$1</c:f>
              <c:strCache>
                <c:ptCount val="1"/>
                <c:pt idx="0">
                  <c:v>2008</c:v>
                </c:pt>
              </c:strCache>
            </c:strRef>
          </c:tx>
          <c:invertIfNegative val="0"/>
          <c:cat>
            <c:strRef>
              <c:f>Sheet1!$A$2:$A$8</c:f>
              <c:strCache>
                <c:ptCount val="7"/>
                <c:pt idx="0">
                  <c:v>Farmaci</c:v>
                </c:pt>
                <c:pt idx="1">
                  <c:v>Grbavci</c:v>
                </c:pt>
                <c:pt idx="2">
                  <c:v>Gostilj</c:v>
                </c:pt>
                <c:pt idx="3">
                  <c:v>Golubovci</c:v>
                </c:pt>
                <c:pt idx="4">
                  <c:v>Vranj</c:v>
                </c:pt>
                <c:pt idx="5">
                  <c:v>Drešaj</c:v>
                </c:pt>
                <c:pt idx="6">
                  <c:v>Cijevna</c:v>
                </c:pt>
              </c:strCache>
            </c:strRef>
          </c:cat>
          <c:val>
            <c:numRef>
              <c:f>Sheet1!$B$2:$B$8</c:f>
              <c:numCache>
                <c:formatCode>General</c:formatCode>
                <c:ptCount val="7"/>
                <c:pt idx="0">
                  <c:v>8.2800000000000011</c:v>
                </c:pt>
                <c:pt idx="1">
                  <c:v>5.25</c:v>
                </c:pt>
                <c:pt idx="2">
                  <c:v>27.3</c:v>
                </c:pt>
                <c:pt idx="3">
                  <c:v>13.74</c:v>
                </c:pt>
                <c:pt idx="4">
                  <c:v>83.81</c:v>
                </c:pt>
                <c:pt idx="5">
                  <c:v>28.06</c:v>
                </c:pt>
                <c:pt idx="6">
                  <c:v>5.0999999999999996</c:v>
                </c:pt>
              </c:numCache>
            </c:numRef>
          </c:val>
        </c:ser>
        <c:ser>
          <c:idx val="1"/>
          <c:order val="1"/>
          <c:tx>
            <c:strRef>
              <c:f>Sheet1!$C$1</c:f>
              <c:strCache>
                <c:ptCount val="1"/>
                <c:pt idx="0">
                  <c:v>2009</c:v>
                </c:pt>
              </c:strCache>
            </c:strRef>
          </c:tx>
          <c:invertIfNegative val="0"/>
          <c:cat>
            <c:strRef>
              <c:f>Sheet1!$A$2:$A$8</c:f>
              <c:strCache>
                <c:ptCount val="7"/>
                <c:pt idx="0">
                  <c:v>Farmaci</c:v>
                </c:pt>
                <c:pt idx="1">
                  <c:v>Grbavci</c:v>
                </c:pt>
                <c:pt idx="2">
                  <c:v>Gostilj</c:v>
                </c:pt>
                <c:pt idx="3">
                  <c:v>Golubovci</c:v>
                </c:pt>
                <c:pt idx="4">
                  <c:v>Vranj</c:v>
                </c:pt>
                <c:pt idx="5">
                  <c:v>Drešaj</c:v>
                </c:pt>
                <c:pt idx="6">
                  <c:v>Cijevna</c:v>
                </c:pt>
              </c:strCache>
            </c:strRef>
          </c:cat>
          <c:val>
            <c:numRef>
              <c:f>Sheet1!$C$2:$C$8</c:f>
              <c:numCache>
                <c:formatCode>General</c:formatCode>
                <c:ptCount val="7"/>
                <c:pt idx="0">
                  <c:v>8.3000000000000007</c:v>
                </c:pt>
                <c:pt idx="1">
                  <c:v>5.96</c:v>
                </c:pt>
                <c:pt idx="2">
                  <c:v>27.18</c:v>
                </c:pt>
                <c:pt idx="3">
                  <c:v>11.24</c:v>
                </c:pt>
                <c:pt idx="4">
                  <c:v>102.36999999999999</c:v>
                </c:pt>
                <c:pt idx="5">
                  <c:v>26.99</c:v>
                </c:pt>
                <c:pt idx="6">
                  <c:v>5.18</c:v>
                </c:pt>
              </c:numCache>
            </c:numRef>
          </c:val>
        </c:ser>
        <c:ser>
          <c:idx val="2"/>
          <c:order val="2"/>
          <c:tx>
            <c:strRef>
              <c:f>Sheet1!$D$1</c:f>
              <c:strCache>
                <c:ptCount val="1"/>
                <c:pt idx="0">
                  <c:v>2010</c:v>
                </c:pt>
              </c:strCache>
            </c:strRef>
          </c:tx>
          <c:invertIfNegative val="0"/>
          <c:cat>
            <c:strRef>
              <c:f>Sheet1!$A$2:$A$8</c:f>
              <c:strCache>
                <c:ptCount val="7"/>
                <c:pt idx="0">
                  <c:v>Farmaci</c:v>
                </c:pt>
                <c:pt idx="1">
                  <c:v>Grbavci</c:v>
                </c:pt>
                <c:pt idx="2">
                  <c:v>Gostilj</c:v>
                </c:pt>
                <c:pt idx="3">
                  <c:v>Golubovci</c:v>
                </c:pt>
                <c:pt idx="4">
                  <c:v>Vranj</c:v>
                </c:pt>
                <c:pt idx="5">
                  <c:v>Drešaj</c:v>
                </c:pt>
                <c:pt idx="6">
                  <c:v>Cijevna</c:v>
                </c:pt>
              </c:strCache>
            </c:strRef>
          </c:cat>
          <c:val>
            <c:numRef>
              <c:f>Sheet1!$D$2:$D$8</c:f>
              <c:numCache>
                <c:formatCode>General</c:formatCode>
                <c:ptCount val="7"/>
                <c:pt idx="0">
                  <c:v>2.38</c:v>
                </c:pt>
                <c:pt idx="1">
                  <c:v>11.450000000000006</c:v>
                </c:pt>
                <c:pt idx="2">
                  <c:v>18.579999999999988</c:v>
                </c:pt>
                <c:pt idx="3">
                  <c:v>13.58</c:v>
                </c:pt>
                <c:pt idx="4">
                  <c:v>43.4</c:v>
                </c:pt>
                <c:pt idx="5">
                  <c:v>14.26</c:v>
                </c:pt>
                <c:pt idx="6">
                  <c:v>3.36</c:v>
                </c:pt>
              </c:numCache>
            </c:numRef>
          </c:val>
        </c:ser>
        <c:ser>
          <c:idx val="3"/>
          <c:order val="3"/>
          <c:tx>
            <c:strRef>
              <c:f>Sheet1!$E$1</c:f>
              <c:strCache>
                <c:ptCount val="1"/>
                <c:pt idx="0">
                  <c:v>2011</c:v>
                </c:pt>
              </c:strCache>
            </c:strRef>
          </c:tx>
          <c:spPr>
            <a:ln w="38100"/>
          </c:spPr>
          <c:invertIfNegative val="0"/>
          <c:cat>
            <c:strRef>
              <c:f>Sheet1!$A$2:$A$8</c:f>
              <c:strCache>
                <c:ptCount val="7"/>
                <c:pt idx="0">
                  <c:v>Farmaci</c:v>
                </c:pt>
                <c:pt idx="1">
                  <c:v>Grbavci</c:v>
                </c:pt>
                <c:pt idx="2">
                  <c:v>Gostilj</c:v>
                </c:pt>
                <c:pt idx="3">
                  <c:v>Golubovci</c:v>
                </c:pt>
                <c:pt idx="4">
                  <c:v>Vranj</c:v>
                </c:pt>
                <c:pt idx="5">
                  <c:v>Drešaj</c:v>
                </c:pt>
                <c:pt idx="6">
                  <c:v>Cijevna</c:v>
                </c:pt>
              </c:strCache>
            </c:strRef>
          </c:cat>
          <c:val>
            <c:numRef>
              <c:f>Sheet1!$E$2:$E$8</c:f>
              <c:numCache>
                <c:formatCode>General</c:formatCode>
                <c:ptCount val="7"/>
                <c:pt idx="0">
                  <c:v>3.29</c:v>
                </c:pt>
                <c:pt idx="1">
                  <c:v>6.07</c:v>
                </c:pt>
                <c:pt idx="2">
                  <c:v>18.77</c:v>
                </c:pt>
                <c:pt idx="3">
                  <c:v>0</c:v>
                </c:pt>
                <c:pt idx="4">
                  <c:v>46.13</c:v>
                </c:pt>
                <c:pt idx="5">
                  <c:v>21.71</c:v>
                </c:pt>
                <c:pt idx="6">
                  <c:v>3.08</c:v>
                </c:pt>
              </c:numCache>
            </c:numRef>
          </c:val>
        </c:ser>
        <c:ser>
          <c:idx val="4"/>
          <c:order val="4"/>
          <c:tx>
            <c:strRef>
              <c:f>Sheet1!$F$1</c:f>
              <c:strCache>
                <c:ptCount val="1"/>
                <c:pt idx="0">
                  <c:v>2012</c:v>
                </c:pt>
              </c:strCache>
            </c:strRef>
          </c:tx>
          <c:spPr>
            <a:ln w="38100"/>
          </c:spPr>
          <c:invertIfNegative val="0"/>
          <c:cat>
            <c:strRef>
              <c:f>Sheet1!$A$2:$A$8</c:f>
              <c:strCache>
                <c:ptCount val="7"/>
                <c:pt idx="0">
                  <c:v>Farmaci</c:v>
                </c:pt>
                <c:pt idx="1">
                  <c:v>Grbavci</c:v>
                </c:pt>
                <c:pt idx="2">
                  <c:v>Gostilj</c:v>
                </c:pt>
                <c:pt idx="3">
                  <c:v>Golubovci</c:v>
                </c:pt>
                <c:pt idx="4">
                  <c:v>Vranj</c:v>
                </c:pt>
                <c:pt idx="5">
                  <c:v>Drešaj</c:v>
                </c:pt>
                <c:pt idx="6">
                  <c:v>Cijevna</c:v>
                </c:pt>
              </c:strCache>
            </c:strRef>
          </c:cat>
          <c:val>
            <c:numRef>
              <c:f>Sheet1!$F$2:$F$8</c:f>
              <c:numCache>
                <c:formatCode>General</c:formatCode>
                <c:ptCount val="7"/>
                <c:pt idx="0">
                  <c:v>4.5</c:v>
                </c:pt>
                <c:pt idx="1">
                  <c:v>4.9000000000000004</c:v>
                </c:pt>
                <c:pt idx="2">
                  <c:v>26.59</c:v>
                </c:pt>
                <c:pt idx="4">
                  <c:v>70.56</c:v>
                </c:pt>
                <c:pt idx="5">
                  <c:v>26.66</c:v>
                </c:pt>
                <c:pt idx="6">
                  <c:v>4</c:v>
                </c:pt>
              </c:numCache>
            </c:numRef>
          </c:val>
        </c:ser>
        <c:ser>
          <c:idx val="5"/>
          <c:order val="5"/>
          <c:tx>
            <c:strRef>
              <c:f>Sheet1!$G$1</c:f>
              <c:strCache>
                <c:ptCount val="1"/>
                <c:pt idx="0">
                  <c:v>2013</c:v>
                </c:pt>
              </c:strCache>
            </c:strRef>
          </c:tx>
          <c:spPr>
            <a:ln w="38100"/>
          </c:spPr>
          <c:invertIfNegative val="0"/>
          <c:cat>
            <c:strRef>
              <c:f>Sheet1!$A$2:$A$8</c:f>
              <c:strCache>
                <c:ptCount val="7"/>
                <c:pt idx="0">
                  <c:v>Farmaci</c:v>
                </c:pt>
                <c:pt idx="1">
                  <c:v>Grbavci</c:v>
                </c:pt>
                <c:pt idx="2">
                  <c:v>Gostilj</c:v>
                </c:pt>
                <c:pt idx="3">
                  <c:v>Golubovci</c:v>
                </c:pt>
                <c:pt idx="4">
                  <c:v>Vranj</c:v>
                </c:pt>
                <c:pt idx="5">
                  <c:v>Drešaj</c:v>
                </c:pt>
                <c:pt idx="6">
                  <c:v>Cijevna</c:v>
                </c:pt>
              </c:strCache>
            </c:strRef>
          </c:cat>
          <c:val>
            <c:numRef>
              <c:f>Sheet1!$G$2:$G$8</c:f>
              <c:numCache>
                <c:formatCode>General</c:formatCode>
                <c:ptCount val="7"/>
                <c:pt idx="0">
                  <c:v>2.54</c:v>
                </c:pt>
                <c:pt idx="1">
                  <c:v>9.8700000000000028</c:v>
                </c:pt>
                <c:pt idx="2">
                  <c:v>22.27</c:v>
                </c:pt>
                <c:pt idx="4">
                  <c:v>65.400000000000006</c:v>
                </c:pt>
                <c:pt idx="5">
                  <c:v>23.21</c:v>
                </c:pt>
                <c:pt idx="6">
                  <c:v>5.23</c:v>
                </c:pt>
              </c:numCache>
            </c:numRef>
          </c:val>
        </c:ser>
        <c:dLbls>
          <c:showLegendKey val="0"/>
          <c:showVal val="0"/>
          <c:showCatName val="0"/>
          <c:showSerName val="0"/>
          <c:showPercent val="0"/>
          <c:showBubbleSize val="0"/>
        </c:dLbls>
        <c:gapWidth val="150"/>
        <c:axId val="319555456"/>
        <c:axId val="319556992"/>
      </c:barChart>
      <c:lineChart>
        <c:grouping val="standard"/>
        <c:varyColors val="0"/>
        <c:ser>
          <c:idx val="6"/>
          <c:order val="6"/>
          <c:tx>
            <c:strRef>
              <c:f>Sheet1!$H$1</c:f>
              <c:strCache>
                <c:ptCount val="1"/>
                <c:pt idx="0">
                  <c:v>MDK A</c:v>
                </c:pt>
              </c:strCache>
            </c:strRef>
          </c:tx>
          <c:spPr>
            <a:ln w="25400"/>
          </c:spPr>
          <c:marker>
            <c:symbol val="none"/>
          </c:marker>
          <c:cat>
            <c:strRef>
              <c:f>Sheet1!$A$2:$A$8</c:f>
              <c:strCache>
                <c:ptCount val="7"/>
                <c:pt idx="0">
                  <c:v>Farmaci</c:v>
                </c:pt>
                <c:pt idx="1">
                  <c:v>Grbavci</c:v>
                </c:pt>
                <c:pt idx="2">
                  <c:v>Gostilj</c:v>
                </c:pt>
                <c:pt idx="3">
                  <c:v>Golubovci</c:v>
                </c:pt>
                <c:pt idx="4">
                  <c:v>Vranj</c:v>
                </c:pt>
                <c:pt idx="5">
                  <c:v>Drešaj</c:v>
                </c:pt>
                <c:pt idx="6">
                  <c:v>Cijevna</c:v>
                </c:pt>
              </c:strCache>
            </c:strRef>
          </c:cat>
          <c:val>
            <c:numRef>
              <c:f>Sheet1!$H$2:$H$8</c:f>
              <c:numCache>
                <c:formatCode>General</c:formatCode>
                <c:ptCount val="7"/>
                <c:pt idx="0">
                  <c:v>10</c:v>
                </c:pt>
                <c:pt idx="1">
                  <c:v>10</c:v>
                </c:pt>
                <c:pt idx="2">
                  <c:v>10</c:v>
                </c:pt>
                <c:pt idx="3">
                  <c:v>10</c:v>
                </c:pt>
                <c:pt idx="4">
                  <c:v>10</c:v>
                </c:pt>
                <c:pt idx="5">
                  <c:v>10</c:v>
                </c:pt>
                <c:pt idx="6">
                  <c:v>10</c:v>
                </c:pt>
              </c:numCache>
            </c:numRef>
          </c:val>
          <c:smooth val="0"/>
        </c:ser>
        <c:ser>
          <c:idx val="7"/>
          <c:order val="7"/>
          <c:tx>
            <c:strRef>
              <c:f>Sheet1!$I$1</c:f>
              <c:strCache>
                <c:ptCount val="1"/>
                <c:pt idx="0">
                  <c:v>MDK A1</c:v>
                </c:pt>
              </c:strCache>
            </c:strRef>
          </c:tx>
          <c:spPr>
            <a:ln w="25400"/>
          </c:spPr>
          <c:marker>
            <c:symbol val="none"/>
          </c:marker>
          <c:cat>
            <c:strRef>
              <c:f>Sheet1!$A$2:$A$8</c:f>
              <c:strCache>
                <c:ptCount val="7"/>
                <c:pt idx="0">
                  <c:v>Farmaci</c:v>
                </c:pt>
                <c:pt idx="1">
                  <c:v>Grbavci</c:v>
                </c:pt>
                <c:pt idx="2">
                  <c:v>Gostilj</c:v>
                </c:pt>
                <c:pt idx="3">
                  <c:v>Golubovci</c:v>
                </c:pt>
                <c:pt idx="4">
                  <c:v>Vranj</c:v>
                </c:pt>
                <c:pt idx="5">
                  <c:v>Drešaj</c:v>
                </c:pt>
                <c:pt idx="6">
                  <c:v>Cijevna</c:v>
                </c:pt>
              </c:strCache>
            </c:strRef>
          </c:cat>
          <c:val>
            <c:numRef>
              <c:f>Sheet1!$I$2:$I$8</c:f>
              <c:numCache>
                <c:formatCode>General</c:formatCode>
                <c:ptCount val="7"/>
                <c:pt idx="0">
                  <c:v>20</c:v>
                </c:pt>
                <c:pt idx="1">
                  <c:v>20</c:v>
                </c:pt>
                <c:pt idx="2">
                  <c:v>20</c:v>
                </c:pt>
                <c:pt idx="3">
                  <c:v>20</c:v>
                </c:pt>
                <c:pt idx="4">
                  <c:v>20</c:v>
                </c:pt>
                <c:pt idx="5">
                  <c:v>20</c:v>
                </c:pt>
                <c:pt idx="6">
                  <c:v>20</c:v>
                </c:pt>
              </c:numCache>
            </c:numRef>
          </c:val>
          <c:smooth val="0"/>
        </c:ser>
        <c:ser>
          <c:idx val="8"/>
          <c:order val="8"/>
          <c:tx>
            <c:strRef>
              <c:f>Sheet1!$J$1</c:f>
              <c:strCache>
                <c:ptCount val="1"/>
                <c:pt idx="0">
                  <c:v>MDK A2</c:v>
                </c:pt>
              </c:strCache>
            </c:strRef>
          </c:tx>
          <c:spPr>
            <a:ln w="25400"/>
          </c:spPr>
          <c:marker>
            <c:symbol val="none"/>
          </c:marker>
          <c:cat>
            <c:strRef>
              <c:f>Sheet1!$A$2:$A$8</c:f>
              <c:strCache>
                <c:ptCount val="7"/>
                <c:pt idx="0">
                  <c:v>Farmaci</c:v>
                </c:pt>
                <c:pt idx="1">
                  <c:v>Grbavci</c:v>
                </c:pt>
                <c:pt idx="2">
                  <c:v>Gostilj</c:v>
                </c:pt>
                <c:pt idx="3">
                  <c:v>Golubovci</c:v>
                </c:pt>
                <c:pt idx="4">
                  <c:v>Vranj</c:v>
                </c:pt>
                <c:pt idx="5">
                  <c:v>Drešaj</c:v>
                </c:pt>
                <c:pt idx="6">
                  <c:v>Cijevna</c:v>
                </c:pt>
              </c:strCache>
            </c:strRef>
          </c:cat>
          <c:val>
            <c:numRef>
              <c:f>Sheet1!$J$2:$J$8</c:f>
              <c:numCache>
                <c:formatCode>General</c:formatCode>
                <c:ptCount val="7"/>
                <c:pt idx="0">
                  <c:v>25</c:v>
                </c:pt>
                <c:pt idx="1">
                  <c:v>25</c:v>
                </c:pt>
                <c:pt idx="2">
                  <c:v>25</c:v>
                </c:pt>
                <c:pt idx="3">
                  <c:v>25</c:v>
                </c:pt>
                <c:pt idx="4">
                  <c:v>25</c:v>
                </c:pt>
                <c:pt idx="5">
                  <c:v>25</c:v>
                </c:pt>
                <c:pt idx="6">
                  <c:v>25</c:v>
                </c:pt>
              </c:numCache>
            </c:numRef>
          </c:val>
          <c:smooth val="0"/>
        </c:ser>
        <c:ser>
          <c:idx val="9"/>
          <c:order val="9"/>
          <c:tx>
            <c:strRef>
              <c:f>Sheet1!$K$1</c:f>
              <c:strCache>
                <c:ptCount val="1"/>
                <c:pt idx="0">
                  <c:v>MDK A3</c:v>
                </c:pt>
              </c:strCache>
            </c:strRef>
          </c:tx>
          <c:spPr>
            <a:ln w="25400"/>
          </c:spPr>
          <c:marker>
            <c:symbol val="none"/>
          </c:marker>
          <c:cat>
            <c:strRef>
              <c:f>Sheet1!$A$2:$A$8</c:f>
              <c:strCache>
                <c:ptCount val="7"/>
                <c:pt idx="0">
                  <c:v>Farmaci</c:v>
                </c:pt>
                <c:pt idx="1">
                  <c:v>Grbavci</c:v>
                </c:pt>
                <c:pt idx="2">
                  <c:v>Gostilj</c:v>
                </c:pt>
                <c:pt idx="3">
                  <c:v>Golubovci</c:v>
                </c:pt>
                <c:pt idx="4">
                  <c:v>Vranj</c:v>
                </c:pt>
                <c:pt idx="5">
                  <c:v>Drešaj</c:v>
                </c:pt>
                <c:pt idx="6">
                  <c:v>Cijevna</c:v>
                </c:pt>
              </c:strCache>
            </c:strRef>
          </c:cat>
          <c:val>
            <c:numRef>
              <c:f>Sheet1!$K$2:$K$8</c:f>
              <c:numCache>
                <c:formatCode>General</c:formatCode>
                <c:ptCount val="7"/>
                <c:pt idx="0">
                  <c:v>50</c:v>
                </c:pt>
                <c:pt idx="1">
                  <c:v>50</c:v>
                </c:pt>
                <c:pt idx="2">
                  <c:v>50</c:v>
                </c:pt>
                <c:pt idx="3">
                  <c:v>50</c:v>
                </c:pt>
                <c:pt idx="4">
                  <c:v>50</c:v>
                </c:pt>
                <c:pt idx="5">
                  <c:v>50</c:v>
                </c:pt>
                <c:pt idx="6">
                  <c:v>50</c:v>
                </c:pt>
              </c:numCache>
            </c:numRef>
          </c:val>
          <c:smooth val="0"/>
        </c:ser>
        <c:dLbls>
          <c:showLegendKey val="0"/>
          <c:showVal val="0"/>
          <c:showCatName val="0"/>
          <c:showSerName val="0"/>
          <c:showPercent val="0"/>
          <c:showBubbleSize val="0"/>
        </c:dLbls>
        <c:marker val="1"/>
        <c:smooth val="0"/>
        <c:axId val="319555456"/>
        <c:axId val="319556992"/>
      </c:lineChart>
      <c:catAx>
        <c:axId val="319555456"/>
        <c:scaling>
          <c:orientation val="minMax"/>
        </c:scaling>
        <c:delete val="0"/>
        <c:axPos val="b"/>
        <c:numFmt formatCode="General" sourceLinked="1"/>
        <c:majorTickMark val="out"/>
        <c:minorTickMark val="none"/>
        <c:tickLblPos val="nextTo"/>
        <c:txPr>
          <a:bodyPr/>
          <a:lstStyle/>
          <a:p>
            <a:pPr>
              <a:defRPr sz="700"/>
            </a:pPr>
            <a:endParaRPr lang="en-US"/>
          </a:p>
        </c:txPr>
        <c:crossAx val="319556992"/>
        <c:crosses val="autoZero"/>
        <c:auto val="1"/>
        <c:lblAlgn val="ctr"/>
        <c:lblOffset val="100"/>
        <c:noMultiLvlLbl val="0"/>
      </c:catAx>
      <c:valAx>
        <c:axId val="319556992"/>
        <c:scaling>
          <c:orientation val="minMax"/>
          <c:max val="100"/>
        </c:scaling>
        <c:delete val="0"/>
        <c:axPos val="l"/>
        <c:numFmt formatCode="General" sourceLinked="1"/>
        <c:majorTickMark val="out"/>
        <c:minorTickMark val="none"/>
        <c:tickLblPos val="nextTo"/>
        <c:txPr>
          <a:bodyPr/>
          <a:lstStyle/>
          <a:p>
            <a:pPr>
              <a:defRPr sz="700"/>
            </a:pPr>
            <a:endParaRPr lang="en-US"/>
          </a:p>
        </c:txPr>
        <c:crossAx val="319555456"/>
        <c:crosses val="autoZero"/>
        <c:crossBetween val="between"/>
        <c:majorUnit val="10"/>
        <c:minorUnit val="0.2"/>
      </c:valAx>
    </c:plotArea>
    <c:legend>
      <c:legendPos val="r"/>
      <c:layout>
        <c:manualLayout>
          <c:xMode val="edge"/>
          <c:yMode val="edge"/>
          <c:x val="0.82492271799358541"/>
          <c:y val="0"/>
          <c:w val="0.16392023913677475"/>
          <c:h val="0.52871555118110269"/>
        </c:manualLayout>
      </c:layout>
      <c:overlay val="1"/>
      <c:txPr>
        <a:bodyPr/>
        <a:lstStyle/>
        <a:p>
          <a:pPr>
            <a:defRPr sz="700"/>
          </a:pPr>
          <a:endParaRPr lang="en-US"/>
        </a:p>
      </c:txPr>
    </c:legend>
    <c:plotVisOnly val="1"/>
    <c:dispBlanksAs val="gap"/>
    <c:showDLblsOverMax val="0"/>
  </c:chart>
  <c:spPr>
    <a:ln>
      <a:noFill/>
    </a:ln>
  </c:spPr>
  <c:externalData r:id="rId1">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870824007402753"/>
          <c:y val="6.8620125867565759E-2"/>
          <c:w val="0.85129175992597861"/>
          <c:h val="0.51167890596174659"/>
        </c:manualLayout>
      </c:layout>
      <c:barChart>
        <c:barDir val="col"/>
        <c:grouping val="percentStacked"/>
        <c:varyColors val="0"/>
        <c:ser>
          <c:idx val="0"/>
          <c:order val="0"/>
          <c:tx>
            <c:strRef>
              <c:f>Sheet1!$B$1</c:f>
              <c:strCache>
                <c:ptCount val="1"/>
                <c:pt idx="0">
                  <c:v>odgovara </c:v>
                </c:pt>
              </c:strCache>
            </c:strRef>
          </c:tx>
          <c:invertIfNegative val="0"/>
          <c:cat>
            <c:strRef>
              <c:f>Sheet1!$A$2:$A$22</c:f>
              <c:strCache>
                <c:ptCount val="21"/>
                <c:pt idx="0">
                  <c:v>Podgorica</c:v>
                </c:pt>
                <c:pt idx="1">
                  <c:v>Danilovgrad</c:v>
                </c:pt>
                <c:pt idx="2">
                  <c:v>Nikšić</c:v>
                </c:pt>
                <c:pt idx="3">
                  <c:v>Cetinje</c:v>
                </c:pt>
                <c:pt idx="4">
                  <c:v>B.Polje</c:v>
                </c:pt>
                <c:pt idx="5">
                  <c:v>Andrijevica</c:v>
                </c:pt>
                <c:pt idx="6">
                  <c:v>Rožaje</c:v>
                </c:pt>
                <c:pt idx="7">
                  <c:v>Berane</c:v>
                </c:pt>
                <c:pt idx="8">
                  <c:v>Bar</c:v>
                </c:pt>
                <c:pt idx="9">
                  <c:v>Pljevlja</c:v>
                </c:pt>
                <c:pt idx="10">
                  <c:v>Mojkovac</c:v>
                </c:pt>
                <c:pt idx="11">
                  <c:v>Tivat</c:v>
                </c:pt>
                <c:pt idx="12">
                  <c:v>Budva</c:v>
                </c:pt>
                <c:pt idx="13">
                  <c:v>H.Novi</c:v>
                </c:pt>
                <c:pt idx="14">
                  <c:v>Ulcinj</c:v>
                </c:pt>
                <c:pt idx="15">
                  <c:v>Kotor</c:v>
                </c:pt>
                <c:pt idx="16">
                  <c:v>Kolašin</c:v>
                </c:pt>
                <c:pt idx="17">
                  <c:v>Plav</c:v>
                </c:pt>
                <c:pt idx="18">
                  <c:v>Plužine</c:v>
                </c:pt>
                <c:pt idx="19">
                  <c:v>Šavnik</c:v>
                </c:pt>
                <c:pt idx="20">
                  <c:v>Žabljak</c:v>
                </c:pt>
              </c:strCache>
            </c:strRef>
          </c:cat>
          <c:val>
            <c:numRef>
              <c:f>Sheet1!$B$2:$B$22</c:f>
              <c:numCache>
                <c:formatCode>General</c:formatCode>
                <c:ptCount val="21"/>
                <c:pt idx="0">
                  <c:v>93.2</c:v>
                </c:pt>
                <c:pt idx="1">
                  <c:v>85.72</c:v>
                </c:pt>
                <c:pt idx="2">
                  <c:v>85.36999999999999</c:v>
                </c:pt>
                <c:pt idx="3">
                  <c:v>91.51</c:v>
                </c:pt>
                <c:pt idx="4">
                  <c:v>79.169999999999987</c:v>
                </c:pt>
                <c:pt idx="5">
                  <c:v>50</c:v>
                </c:pt>
                <c:pt idx="6">
                  <c:v>60.61</c:v>
                </c:pt>
                <c:pt idx="7">
                  <c:v>65.790000000000006</c:v>
                </c:pt>
                <c:pt idx="8">
                  <c:v>90.33</c:v>
                </c:pt>
                <c:pt idx="9">
                  <c:v>81.97</c:v>
                </c:pt>
                <c:pt idx="10">
                  <c:v>70.84</c:v>
                </c:pt>
                <c:pt idx="11">
                  <c:v>87.7</c:v>
                </c:pt>
                <c:pt idx="12">
                  <c:v>94.54</c:v>
                </c:pt>
                <c:pt idx="13">
                  <c:v>96.490000000000023</c:v>
                </c:pt>
                <c:pt idx="14">
                  <c:v>89.93</c:v>
                </c:pt>
                <c:pt idx="15">
                  <c:v>89.93</c:v>
                </c:pt>
                <c:pt idx="16">
                  <c:v>66.669999999999987</c:v>
                </c:pt>
                <c:pt idx="17">
                  <c:v>44.45</c:v>
                </c:pt>
                <c:pt idx="18">
                  <c:v>80</c:v>
                </c:pt>
                <c:pt idx="19">
                  <c:v>50</c:v>
                </c:pt>
                <c:pt idx="20">
                  <c:v>100</c:v>
                </c:pt>
              </c:numCache>
            </c:numRef>
          </c:val>
        </c:ser>
        <c:ser>
          <c:idx val="1"/>
          <c:order val="1"/>
          <c:tx>
            <c:strRef>
              <c:f>Sheet1!$C$1</c:f>
              <c:strCache>
                <c:ptCount val="1"/>
                <c:pt idx="0">
                  <c:v>ne odgovara </c:v>
                </c:pt>
              </c:strCache>
            </c:strRef>
          </c:tx>
          <c:invertIfNegative val="0"/>
          <c:cat>
            <c:strRef>
              <c:f>Sheet1!$A$2:$A$22</c:f>
              <c:strCache>
                <c:ptCount val="21"/>
                <c:pt idx="0">
                  <c:v>Podgorica</c:v>
                </c:pt>
                <c:pt idx="1">
                  <c:v>Danilovgrad</c:v>
                </c:pt>
                <c:pt idx="2">
                  <c:v>Nikšić</c:v>
                </c:pt>
                <c:pt idx="3">
                  <c:v>Cetinje</c:v>
                </c:pt>
                <c:pt idx="4">
                  <c:v>B.Polje</c:v>
                </c:pt>
                <c:pt idx="5">
                  <c:v>Andrijevica</c:v>
                </c:pt>
                <c:pt idx="6">
                  <c:v>Rožaje</c:v>
                </c:pt>
                <c:pt idx="7">
                  <c:v>Berane</c:v>
                </c:pt>
                <c:pt idx="8">
                  <c:v>Bar</c:v>
                </c:pt>
                <c:pt idx="9">
                  <c:v>Pljevlja</c:v>
                </c:pt>
                <c:pt idx="10">
                  <c:v>Mojkovac</c:v>
                </c:pt>
                <c:pt idx="11">
                  <c:v>Tivat</c:v>
                </c:pt>
                <c:pt idx="12">
                  <c:v>Budva</c:v>
                </c:pt>
                <c:pt idx="13">
                  <c:v>H.Novi</c:v>
                </c:pt>
                <c:pt idx="14">
                  <c:v>Ulcinj</c:v>
                </c:pt>
                <c:pt idx="15">
                  <c:v>Kotor</c:v>
                </c:pt>
                <c:pt idx="16">
                  <c:v>Kolašin</c:v>
                </c:pt>
                <c:pt idx="17">
                  <c:v>Plav</c:v>
                </c:pt>
                <c:pt idx="18">
                  <c:v>Plužine</c:v>
                </c:pt>
                <c:pt idx="19">
                  <c:v>Šavnik</c:v>
                </c:pt>
                <c:pt idx="20">
                  <c:v>Žabljak</c:v>
                </c:pt>
              </c:strCache>
            </c:strRef>
          </c:cat>
          <c:val>
            <c:numRef>
              <c:f>Sheet1!$C$2:$C$22</c:f>
              <c:numCache>
                <c:formatCode>General</c:formatCode>
                <c:ptCount val="21"/>
                <c:pt idx="0" formatCode="_(* #,##0.00_);_(* \(#,##0.00\);_(* &quot;-&quot;??_);_(@_)">
                  <c:v>6.8</c:v>
                </c:pt>
                <c:pt idx="1">
                  <c:v>14.28</c:v>
                </c:pt>
                <c:pt idx="2">
                  <c:v>14.63</c:v>
                </c:pt>
                <c:pt idx="3" formatCode="_(* #,##0.00_);_(* \(#,##0.00\);_(* &quot;-&quot;??_);_(@_)">
                  <c:v>8.49</c:v>
                </c:pt>
                <c:pt idx="4">
                  <c:v>20.830000000000005</c:v>
                </c:pt>
                <c:pt idx="5">
                  <c:v>50</c:v>
                </c:pt>
                <c:pt idx="6">
                  <c:v>39.39</c:v>
                </c:pt>
                <c:pt idx="7">
                  <c:v>34.21</c:v>
                </c:pt>
                <c:pt idx="8" formatCode="_(* #,##0.00_);_(* \(#,##0.00\);_(* &quot;-&quot;??_);_(@_)">
                  <c:v>9.67</c:v>
                </c:pt>
                <c:pt idx="9" formatCode="d\-mmm">
                  <c:v>18.03</c:v>
                </c:pt>
                <c:pt idx="10">
                  <c:v>29.16</c:v>
                </c:pt>
                <c:pt idx="11" formatCode="_(* #,##0.00_);_(* \(#,##0.00\);_(* &quot;-&quot;??_);_(@_)">
                  <c:v>12.3</c:v>
                </c:pt>
                <c:pt idx="12" formatCode="_(* #,##0.00_);_(* \(#,##0.00\);_(* &quot;-&quot;??_);_(@_)">
                  <c:v>5.46</c:v>
                </c:pt>
                <c:pt idx="13" formatCode="_(* #,##0.00_);_(* \(#,##0.00\);_(* &quot;-&quot;??_);_(@_)">
                  <c:v>3.51</c:v>
                </c:pt>
                <c:pt idx="14" formatCode="_(* #,##0.00_);_(* \(#,##0.00\);_(* &quot;-&quot;??_);_(@_)">
                  <c:v>10.07</c:v>
                </c:pt>
                <c:pt idx="15">
                  <c:v>10.07</c:v>
                </c:pt>
                <c:pt idx="16">
                  <c:v>33.33</c:v>
                </c:pt>
                <c:pt idx="17">
                  <c:v>55.55</c:v>
                </c:pt>
                <c:pt idx="18">
                  <c:v>20</c:v>
                </c:pt>
                <c:pt idx="19">
                  <c:v>50</c:v>
                </c:pt>
                <c:pt idx="20">
                  <c:v>0</c:v>
                </c:pt>
              </c:numCache>
            </c:numRef>
          </c:val>
        </c:ser>
        <c:dLbls>
          <c:showLegendKey val="0"/>
          <c:showVal val="0"/>
          <c:showCatName val="0"/>
          <c:showSerName val="0"/>
          <c:showPercent val="0"/>
          <c:showBubbleSize val="0"/>
        </c:dLbls>
        <c:gapWidth val="150"/>
        <c:overlap val="100"/>
        <c:axId val="327115520"/>
        <c:axId val="327117056"/>
      </c:barChart>
      <c:catAx>
        <c:axId val="327115520"/>
        <c:scaling>
          <c:orientation val="minMax"/>
        </c:scaling>
        <c:delete val="0"/>
        <c:axPos val="b"/>
        <c:numFmt formatCode="General" sourceLinked="1"/>
        <c:majorTickMark val="out"/>
        <c:minorTickMark val="none"/>
        <c:tickLblPos val="nextTo"/>
        <c:txPr>
          <a:bodyPr rot="-5400000" vert="horz"/>
          <a:lstStyle/>
          <a:p>
            <a:pPr>
              <a:defRPr lang="x-none" sz="633"/>
            </a:pPr>
            <a:endParaRPr lang="en-US"/>
          </a:p>
        </c:txPr>
        <c:crossAx val="327117056"/>
        <c:crosses val="autoZero"/>
        <c:auto val="1"/>
        <c:lblAlgn val="ctr"/>
        <c:lblOffset val="100"/>
        <c:noMultiLvlLbl val="0"/>
      </c:catAx>
      <c:valAx>
        <c:axId val="327117056"/>
        <c:scaling>
          <c:orientation val="minMax"/>
        </c:scaling>
        <c:delete val="0"/>
        <c:axPos val="l"/>
        <c:numFmt formatCode="0%" sourceLinked="1"/>
        <c:majorTickMark val="out"/>
        <c:minorTickMark val="none"/>
        <c:tickLblPos val="nextTo"/>
        <c:txPr>
          <a:bodyPr/>
          <a:lstStyle/>
          <a:p>
            <a:pPr>
              <a:defRPr lang="x-none" sz="633"/>
            </a:pPr>
            <a:endParaRPr lang="en-US"/>
          </a:p>
        </c:txPr>
        <c:crossAx val="327115520"/>
        <c:crosses val="autoZero"/>
        <c:crossBetween val="between"/>
      </c:valAx>
    </c:plotArea>
    <c:legend>
      <c:legendPos val="b"/>
      <c:layout>
        <c:manualLayout>
          <c:xMode val="edge"/>
          <c:yMode val="edge"/>
          <c:x val="0.31186639341315248"/>
          <c:y val="0.86339795244892703"/>
          <c:w val="0.31759369119955916"/>
          <c:h val="0.13660204755107341"/>
        </c:manualLayout>
      </c:layout>
      <c:overlay val="0"/>
      <c:txPr>
        <a:bodyPr/>
        <a:lstStyle/>
        <a:p>
          <a:pPr>
            <a:defRPr lang="x-none" sz="633"/>
          </a:pPr>
          <a:endParaRPr lang="en-US"/>
        </a:p>
      </c:txPr>
    </c:legend>
    <c:plotVisOnly val="1"/>
    <c:dispBlanksAs val="gap"/>
    <c:showDLblsOverMax val="0"/>
  </c:chart>
  <c:spPr>
    <a:ln>
      <a:noFill/>
    </a:ln>
  </c:spPr>
  <c:externalData r:id="rId2">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5878855081347992"/>
          <c:y val="6.8620125867565759E-2"/>
          <c:w val="0.84121144918652369"/>
          <c:h val="0.50461142516434332"/>
        </c:manualLayout>
      </c:layout>
      <c:barChart>
        <c:barDir val="col"/>
        <c:grouping val="percentStacked"/>
        <c:varyColors val="0"/>
        <c:ser>
          <c:idx val="0"/>
          <c:order val="0"/>
          <c:tx>
            <c:strRef>
              <c:f>Sheet1!$B$1</c:f>
              <c:strCache>
                <c:ptCount val="1"/>
                <c:pt idx="0">
                  <c:v>odgovara </c:v>
                </c:pt>
              </c:strCache>
            </c:strRef>
          </c:tx>
          <c:invertIfNegative val="0"/>
          <c:cat>
            <c:strRef>
              <c:f>Sheet1!$A$2:$A$22</c:f>
              <c:strCache>
                <c:ptCount val="21"/>
                <c:pt idx="0">
                  <c:v>Podgorica</c:v>
                </c:pt>
                <c:pt idx="1">
                  <c:v>Danilovgrad</c:v>
                </c:pt>
                <c:pt idx="2">
                  <c:v>Nikšić</c:v>
                </c:pt>
                <c:pt idx="3">
                  <c:v>Cetinje</c:v>
                </c:pt>
                <c:pt idx="4">
                  <c:v>B.Polje</c:v>
                </c:pt>
                <c:pt idx="5">
                  <c:v>Andrijevica</c:v>
                </c:pt>
                <c:pt idx="6">
                  <c:v>Rožaje</c:v>
                </c:pt>
                <c:pt idx="7">
                  <c:v>Berane</c:v>
                </c:pt>
                <c:pt idx="8">
                  <c:v>Bar</c:v>
                </c:pt>
                <c:pt idx="9">
                  <c:v>Pljevlja</c:v>
                </c:pt>
                <c:pt idx="10">
                  <c:v>Mojkovac</c:v>
                </c:pt>
                <c:pt idx="11">
                  <c:v>Tivat</c:v>
                </c:pt>
                <c:pt idx="12">
                  <c:v>Budva</c:v>
                </c:pt>
                <c:pt idx="13">
                  <c:v>H.Novi</c:v>
                </c:pt>
                <c:pt idx="14">
                  <c:v>Ulcinj</c:v>
                </c:pt>
                <c:pt idx="15">
                  <c:v>Kotor</c:v>
                </c:pt>
                <c:pt idx="16">
                  <c:v>Plužine</c:v>
                </c:pt>
                <c:pt idx="17">
                  <c:v>Šavnik</c:v>
                </c:pt>
                <c:pt idx="18">
                  <c:v>Plav</c:v>
                </c:pt>
                <c:pt idx="19">
                  <c:v>Kolašin</c:v>
                </c:pt>
                <c:pt idx="20">
                  <c:v>Žabljak</c:v>
                </c:pt>
              </c:strCache>
            </c:strRef>
          </c:cat>
          <c:val>
            <c:numRef>
              <c:f>Sheet1!$B$2:$B$22</c:f>
              <c:numCache>
                <c:formatCode>General</c:formatCode>
                <c:ptCount val="21"/>
                <c:pt idx="0">
                  <c:v>96.940000000000026</c:v>
                </c:pt>
                <c:pt idx="1">
                  <c:v>95.4</c:v>
                </c:pt>
                <c:pt idx="2">
                  <c:v>93.5</c:v>
                </c:pt>
                <c:pt idx="3">
                  <c:v>95.710000000000022</c:v>
                </c:pt>
                <c:pt idx="4">
                  <c:v>97.92</c:v>
                </c:pt>
                <c:pt idx="5">
                  <c:v>70.84</c:v>
                </c:pt>
                <c:pt idx="6">
                  <c:v>90.910000000000025</c:v>
                </c:pt>
                <c:pt idx="7">
                  <c:v>98.69</c:v>
                </c:pt>
                <c:pt idx="8">
                  <c:v>81.69</c:v>
                </c:pt>
                <c:pt idx="9">
                  <c:v>88.460000000000022</c:v>
                </c:pt>
                <c:pt idx="10">
                  <c:v>100</c:v>
                </c:pt>
                <c:pt idx="11">
                  <c:v>83.45</c:v>
                </c:pt>
                <c:pt idx="12">
                  <c:v>87.28</c:v>
                </c:pt>
                <c:pt idx="13">
                  <c:v>88.990000000000023</c:v>
                </c:pt>
                <c:pt idx="14">
                  <c:v>81.69</c:v>
                </c:pt>
                <c:pt idx="15">
                  <c:v>86.89</c:v>
                </c:pt>
                <c:pt idx="16">
                  <c:v>92.31</c:v>
                </c:pt>
                <c:pt idx="17">
                  <c:v>50</c:v>
                </c:pt>
                <c:pt idx="18">
                  <c:v>83.34</c:v>
                </c:pt>
                <c:pt idx="19">
                  <c:v>95.84</c:v>
                </c:pt>
                <c:pt idx="20">
                  <c:v>97.3</c:v>
                </c:pt>
              </c:numCache>
            </c:numRef>
          </c:val>
        </c:ser>
        <c:ser>
          <c:idx val="1"/>
          <c:order val="1"/>
          <c:tx>
            <c:strRef>
              <c:f>Sheet1!$C$1</c:f>
              <c:strCache>
                <c:ptCount val="1"/>
                <c:pt idx="0">
                  <c:v>ne odgovara </c:v>
                </c:pt>
              </c:strCache>
            </c:strRef>
          </c:tx>
          <c:invertIfNegative val="0"/>
          <c:cat>
            <c:strRef>
              <c:f>Sheet1!$A$2:$A$22</c:f>
              <c:strCache>
                <c:ptCount val="21"/>
                <c:pt idx="0">
                  <c:v>Podgorica</c:v>
                </c:pt>
                <c:pt idx="1">
                  <c:v>Danilovgrad</c:v>
                </c:pt>
                <c:pt idx="2">
                  <c:v>Nikšić</c:v>
                </c:pt>
                <c:pt idx="3">
                  <c:v>Cetinje</c:v>
                </c:pt>
                <c:pt idx="4">
                  <c:v>B.Polje</c:v>
                </c:pt>
                <c:pt idx="5">
                  <c:v>Andrijevica</c:v>
                </c:pt>
                <c:pt idx="6">
                  <c:v>Rožaje</c:v>
                </c:pt>
                <c:pt idx="7">
                  <c:v>Berane</c:v>
                </c:pt>
                <c:pt idx="8">
                  <c:v>Bar</c:v>
                </c:pt>
                <c:pt idx="9">
                  <c:v>Pljevlja</c:v>
                </c:pt>
                <c:pt idx="10">
                  <c:v>Mojkovac</c:v>
                </c:pt>
                <c:pt idx="11">
                  <c:v>Tivat</c:v>
                </c:pt>
                <c:pt idx="12">
                  <c:v>Budva</c:v>
                </c:pt>
                <c:pt idx="13">
                  <c:v>H.Novi</c:v>
                </c:pt>
                <c:pt idx="14">
                  <c:v>Ulcinj</c:v>
                </c:pt>
                <c:pt idx="15">
                  <c:v>Kotor</c:v>
                </c:pt>
                <c:pt idx="16">
                  <c:v>Plužine</c:v>
                </c:pt>
                <c:pt idx="17">
                  <c:v>Šavnik</c:v>
                </c:pt>
                <c:pt idx="18">
                  <c:v>Plav</c:v>
                </c:pt>
                <c:pt idx="19">
                  <c:v>Kolašin</c:v>
                </c:pt>
                <c:pt idx="20">
                  <c:v>Žabljak</c:v>
                </c:pt>
              </c:strCache>
            </c:strRef>
          </c:cat>
          <c:val>
            <c:numRef>
              <c:f>Sheet1!$C$2:$C$22</c:f>
              <c:numCache>
                <c:formatCode>General</c:formatCode>
                <c:ptCount val="21"/>
                <c:pt idx="0">
                  <c:v>3.06</c:v>
                </c:pt>
                <c:pt idx="1">
                  <c:v>4.5999999999999996</c:v>
                </c:pt>
                <c:pt idx="2">
                  <c:v>6.5</c:v>
                </c:pt>
                <c:pt idx="3">
                  <c:v>4.29</c:v>
                </c:pt>
                <c:pt idx="4">
                  <c:v>2.08</c:v>
                </c:pt>
                <c:pt idx="5">
                  <c:v>29.16</c:v>
                </c:pt>
                <c:pt idx="6">
                  <c:v>9.09</c:v>
                </c:pt>
                <c:pt idx="7">
                  <c:v>1.31</c:v>
                </c:pt>
                <c:pt idx="8">
                  <c:v>18.309999999999999</c:v>
                </c:pt>
                <c:pt idx="9">
                  <c:v>11.54</c:v>
                </c:pt>
                <c:pt idx="10">
                  <c:v>0</c:v>
                </c:pt>
                <c:pt idx="11">
                  <c:v>16.55</c:v>
                </c:pt>
                <c:pt idx="12">
                  <c:v>12.72</c:v>
                </c:pt>
                <c:pt idx="13">
                  <c:v>11.01</c:v>
                </c:pt>
                <c:pt idx="14">
                  <c:v>18.309999999999999</c:v>
                </c:pt>
                <c:pt idx="15">
                  <c:v>13.11</c:v>
                </c:pt>
                <c:pt idx="16">
                  <c:v>7.6899999999999995</c:v>
                </c:pt>
                <c:pt idx="17">
                  <c:v>50</c:v>
                </c:pt>
                <c:pt idx="18">
                  <c:v>16.66</c:v>
                </c:pt>
                <c:pt idx="19">
                  <c:v>4.1599999999999975</c:v>
                </c:pt>
                <c:pt idx="20">
                  <c:v>2.7</c:v>
                </c:pt>
              </c:numCache>
            </c:numRef>
          </c:val>
        </c:ser>
        <c:dLbls>
          <c:showLegendKey val="0"/>
          <c:showVal val="0"/>
          <c:showCatName val="0"/>
          <c:showSerName val="0"/>
          <c:showPercent val="0"/>
          <c:showBubbleSize val="0"/>
        </c:dLbls>
        <c:gapWidth val="150"/>
        <c:overlap val="100"/>
        <c:axId val="327228032"/>
        <c:axId val="327283072"/>
      </c:barChart>
      <c:catAx>
        <c:axId val="327228032"/>
        <c:scaling>
          <c:orientation val="minMax"/>
        </c:scaling>
        <c:delete val="0"/>
        <c:axPos val="b"/>
        <c:numFmt formatCode="General" sourceLinked="1"/>
        <c:majorTickMark val="out"/>
        <c:minorTickMark val="none"/>
        <c:tickLblPos val="nextTo"/>
        <c:txPr>
          <a:bodyPr rot="-5400000" vert="horz"/>
          <a:lstStyle/>
          <a:p>
            <a:pPr>
              <a:defRPr lang="x-none" sz="640"/>
            </a:pPr>
            <a:endParaRPr lang="en-US"/>
          </a:p>
        </c:txPr>
        <c:crossAx val="327283072"/>
        <c:crosses val="autoZero"/>
        <c:auto val="1"/>
        <c:lblAlgn val="ctr"/>
        <c:lblOffset val="100"/>
        <c:noMultiLvlLbl val="0"/>
      </c:catAx>
      <c:valAx>
        <c:axId val="327283072"/>
        <c:scaling>
          <c:orientation val="minMax"/>
        </c:scaling>
        <c:delete val="0"/>
        <c:axPos val="l"/>
        <c:numFmt formatCode="0%" sourceLinked="1"/>
        <c:majorTickMark val="out"/>
        <c:minorTickMark val="none"/>
        <c:tickLblPos val="nextTo"/>
        <c:txPr>
          <a:bodyPr/>
          <a:lstStyle/>
          <a:p>
            <a:pPr>
              <a:defRPr lang="x-none" sz="640"/>
            </a:pPr>
            <a:endParaRPr lang="en-US"/>
          </a:p>
        </c:txPr>
        <c:crossAx val="327228032"/>
        <c:crosses val="autoZero"/>
        <c:crossBetween val="between"/>
      </c:valAx>
    </c:plotArea>
    <c:legend>
      <c:legendPos val="b"/>
      <c:layout>
        <c:manualLayout>
          <c:xMode val="edge"/>
          <c:yMode val="edge"/>
          <c:x val="0.33264310565830435"/>
          <c:y val="0.8845033844453648"/>
          <c:w val="0.31985033266190582"/>
          <c:h val="0.11549661555463468"/>
        </c:manualLayout>
      </c:layout>
      <c:overlay val="0"/>
      <c:txPr>
        <a:bodyPr/>
        <a:lstStyle/>
        <a:p>
          <a:pPr>
            <a:defRPr lang="x-none" sz="640"/>
          </a:pPr>
          <a:endParaRPr lang="en-US"/>
        </a:p>
      </c:txPr>
    </c:legend>
    <c:plotVisOnly val="1"/>
    <c:dispBlanksAs val="gap"/>
    <c:showDLblsOverMax val="0"/>
  </c:chart>
  <c:spPr>
    <a:ln>
      <a:noFill/>
    </a:ln>
  </c:spPr>
  <c:externalData r:id="rId2">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573163131447398"/>
          <c:y val="6.8620125867565759E-2"/>
          <c:w val="0.87426836868552604"/>
          <c:h val="0.45249619727192908"/>
        </c:manualLayout>
      </c:layout>
      <c:barChart>
        <c:barDir val="col"/>
        <c:grouping val="percentStacked"/>
        <c:varyColors val="0"/>
        <c:ser>
          <c:idx val="0"/>
          <c:order val="0"/>
          <c:tx>
            <c:strRef>
              <c:f>Sheet1!$B$1</c:f>
              <c:strCache>
                <c:ptCount val="1"/>
                <c:pt idx="0">
                  <c:v>odgovara </c:v>
                </c:pt>
              </c:strCache>
            </c:strRef>
          </c:tx>
          <c:invertIfNegative val="0"/>
          <c:cat>
            <c:strRef>
              <c:f>Sheet1!$A$2:$A$22</c:f>
              <c:strCache>
                <c:ptCount val="21"/>
                <c:pt idx="0">
                  <c:v>Podgorica</c:v>
                </c:pt>
                <c:pt idx="1">
                  <c:v>Danilovgrad</c:v>
                </c:pt>
                <c:pt idx="2">
                  <c:v>Nikšić</c:v>
                </c:pt>
                <c:pt idx="3">
                  <c:v>Cetinje</c:v>
                </c:pt>
                <c:pt idx="4">
                  <c:v>B.Polje</c:v>
                </c:pt>
                <c:pt idx="5">
                  <c:v>Andrijevica</c:v>
                </c:pt>
                <c:pt idx="6">
                  <c:v>Rožaje</c:v>
                </c:pt>
                <c:pt idx="7">
                  <c:v>Berane</c:v>
                </c:pt>
                <c:pt idx="8">
                  <c:v>Šavnik</c:v>
                </c:pt>
                <c:pt idx="9">
                  <c:v>Pljevlja</c:v>
                </c:pt>
                <c:pt idx="10">
                  <c:v>Mojkovac</c:v>
                </c:pt>
                <c:pt idx="11">
                  <c:v>Kotor</c:v>
                </c:pt>
                <c:pt idx="12">
                  <c:v>Bar</c:v>
                </c:pt>
                <c:pt idx="13">
                  <c:v>Tivat</c:v>
                </c:pt>
                <c:pt idx="14">
                  <c:v>Budva</c:v>
                </c:pt>
                <c:pt idx="15">
                  <c:v>Ulcinj</c:v>
                </c:pt>
                <c:pt idx="16">
                  <c:v>H.Novi</c:v>
                </c:pt>
                <c:pt idx="17">
                  <c:v>Plav</c:v>
                </c:pt>
                <c:pt idx="18">
                  <c:v>Žabljak</c:v>
                </c:pt>
                <c:pt idx="19">
                  <c:v>Plužine</c:v>
                </c:pt>
                <c:pt idx="20">
                  <c:v>Kolašin</c:v>
                </c:pt>
              </c:strCache>
            </c:strRef>
          </c:cat>
          <c:val>
            <c:numRef>
              <c:f>Sheet1!$B$2:$B$22</c:f>
              <c:numCache>
                <c:formatCode>General</c:formatCode>
                <c:ptCount val="21"/>
                <c:pt idx="0">
                  <c:v>85</c:v>
                </c:pt>
                <c:pt idx="1">
                  <c:v>100</c:v>
                </c:pt>
                <c:pt idx="2">
                  <c:v>100</c:v>
                </c:pt>
                <c:pt idx="3">
                  <c:v>98.75</c:v>
                </c:pt>
                <c:pt idx="4">
                  <c:v>0</c:v>
                </c:pt>
                <c:pt idx="5">
                  <c:v>100</c:v>
                </c:pt>
                <c:pt idx="6">
                  <c:v>33.340000000000003</c:v>
                </c:pt>
                <c:pt idx="7">
                  <c:v>50</c:v>
                </c:pt>
                <c:pt idx="8">
                  <c:v>100</c:v>
                </c:pt>
                <c:pt idx="9">
                  <c:v>95.240000000000023</c:v>
                </c:pt>
                <c:pt idx="10">
                  <c:v>100</c:v>
                </c:pt>
                <c:pt idx="11">
                  <c:v>81.739999999999995</c:v>
                </c:pt>
                <c:pt idx="12">
                  <c:v>73.61</c:v>
                </c:pt>
                <c:pt idx="13">
                  <c:v>75</c:v>
                </c:pt>
                <c:pt idx="14">
                  <c:v>56.760000000000012</c:v>
                </c:pt>
                <c:pt idx="15">
                  <c:v>73.61</c:v>
                </c:pt>
                <c:pt idx="16">
                  <c:v>66.669999999999987</c:v>
                </c:pt>
                <c:pt idx="17">
                  <c:v>43.75</c:v>
                </c:pt>
                <c:pt idx="18">
                  <c:v>100</c:v>
                </c:pt>
                <c:pt idx="19">
                  <c:v>87.5</c:v>
                </c:pt>
                <c:pt idx="20">
                  <c:v>0</c:v>
                </c:pt>
              </c:numCache>
            </c:numRef>
          </c:val>
        </c:ser>
        <c:ser>
          <c:idx val="1"/>
          <c:order val="1"/>
          <c:tx>
            <c:strRef>
              <c:f>Sheet1!$C$1</c:f>
              <c:strCache>
                <c:ptCount val="1"/>
                <c:pt idx="0">
                  <c:v>ne odgovara </c:v>
                </c:pt>
              </c:strCache>
            </c:strRef>
          </c:tx>
          <c:invertIfNegative val="0"/>
          <c:cat>
            <c:strRef>
              <c:f>Sheet1!$A$2:$A$22</c:f>
              <c:strCache>
                <c:ptCount val="21"/>
                <c:pt idx="0">
                  <c:v>Podgorica</c:v>
                </c:pt>
                <c:pt idx="1">
                  <c:v>Danilovgrad</c:v>
                </c:pt>
                <c:pt idx="2">
                  <c:v>Nikšić</c:v>
                </c:pt>
                <c:pt idx="3">
                  <c:v>Cetinje</c:v>
                </c:pt>
                <c:pt idx="4">
                  <c:v>B.Polje</c:v>
                </c:pt>
                <c:pt idx="5">
                  <c:v>Andrijevica</c:v>
                </c:pt>
                <c:pt idx="6">
                  <c:v>Rožaje</c:v>
                </c:pt>
                <c:pt idx="7">
                  <c:v>Berane</c:v>
                </c:pt>
                <c:pt idx="8">
                  <c:v>Šavnik</c:v>
                </c:pt>
                <c:pt idx="9">
                  <c:v>Pljevlja</c:v>
                </c:pt>
                <c:pt idx="10">
                  <c:v>Mojkovac</c:v>
                </c:pt>
                <c:pt idx="11">
                  <c:v>Kotor</c:v>
                </c:pt>
                <c:pt idx="12">
                  <c:v>Bar</c:v>
                </c:pt>
                <c:pt idx="13">
                  <c:v>Tivat</c:v>
                </c:pt>
                <c:pt idx="14">
                  <c:v>Budva</c:v>
                </c:pt>
                <c:pt idx="15">
                  <c:v>Ulcinj</c:v>
                </c:pt>
                <c:pt idx="16">
                  <c:v>H.Novi</c:v>
                </c:pt>
                <c:pt idx="17">
                  <c:v>Plav</c:v>
                </c:pt>
                <c:pt idx="18">
                  <c:v>Žabljak</c:v>
                </c:pt>
                <c:pt idx="19">
                  <c:v>Plužine</c:v>
                </c:pt>
                <c:pt idx="20">
                  <c:v>Kolašin</c:v>
                </c:pt>
              </c:strCache>
            </c:strRef>
          </c:cat>
          <c:val>
            <c:numRef>
              <c:f>Sheet1!$C$2:$C$22</c:f>
              <c:numCache>
                <c:formatCode>General</c:formatCode>
                <c:ptCount val="21"/>
                <c:pt idx="0">
                  <c:v>15</c:v>
                </c:pt>
                <c:pt idx="1">
                  <c:v>0</c:v>
                </c:pt>
                <c:pt idx="2">
                  <c:v>0</c:v>
                </c:pt>
                <c:pt idx="3">
                  <c:v>1.25</c:v>
                </c:pt>
                <c:pt idx="4">
                  <c:v>100</c:v>
                </c:pt>
                <c:pt idx="5">
                  <c:v>0</c:v>
                </c:pt>
                <c:pt idx="6">
                  <c:v>66.66</c:v>
                </c:pt>
                <c:pt idx="7">
                  <c:v>50</c:v>
                </c:pt>
                <c:pt idx="8">
                  <c:v>0</c:v>
                </c:pt>
                <c:pt idx="9">
                  <c:v>4.76</c:v>
                </c:pt>
                <c:pt idx="10">
                  <c:v>0</c:v>
                </c:pt>
                <c:pt idx="11">
                  <c:v>10.26</c:v>
                </c:pt>
                <c:pt idx="12">
                  <c:v>26.39</c:v>
                </c:pt>
                <c:pt idx="13">
                  <c:v>25</c:v>
                </c:pt>
                <c:pt idx="14">
                  <c:v>43.24</c:v>
                </c:pt>
                <c:pt idx="15">
                  <c:v>26.39</c:v>
                </c:pt>
                <c:pt idx="16">
                  <c:v>33.33</c:v>
                </c:pt>
                <c:pt idx="17">
                  <c:v>56.25</c:v>
                </c:pt>
                <c:pt idx="18">
                  <c:v>0</c:v>
                </c:pt>
                <c:pt idx="19">
                  <c:v>12.5</c:v>
                </c:pt>
                <c:pt idx="20">
                  <c:v>100</c:v>
                </c:pt>
              </c:numCache>
            </c:numRef>
          </c:val>
        </c:ser>
        <c:dLbls>
          <c:showLegendKey val="0"/>
          <c:showVal val="0"/>
          <c:showCatName val="0"/>
          <c:showSerName val="0"/>
          <c:showPercent val="0"/>
          <c:showBubbleSize val="0"/>
        </c:dLbls>
        <c:gapWidth val="150"/>
        <c:overlap val="100"/>
        <c:axId val="329020160"/>
        <c:axId val="329021696"/>
      </c:barChart>
      <c:catAx>
        <c:axId val="329020160"/>
        <c:scaling>
          <c:orientation val="minMax"/>
        </c:scaling>
        <c:delete val="0"/>
        <c:axPos val="b"/>
        <c:numFmt formatCode="General" sourceLinked="1"/>
        <c:majorTickMark val="out"/>
        <c:minorTickMark val="none"/>
        <c:tickLblPos val="nextTo"/>
        <c:txPr>
          <a:bodyPr rot="-5400000" vert="horz"/>
          <a:lstStyle/>
          <a:p>
            <a:pPr>
              <a:defRPr lang="x-none" sz="635"/>
            </a:pPr>
            <a:endParaRPr lang="en-US"/>
          </a:p>
        </c:txPr>
        <c:crossAx val="329021696"/>
        <c:crosses val="autoZero"/>
        <c:auto val="1"/>
        <c:lblAlgn val="ctr"/>
        <c:lblOffset val="100"/>
        <c:noMultiLvlLbl val="0"/>
      </c:catAx>
      <c:valAx>
        <c:axId val="329021696"/>
        <c:scaling>
          <c:orientation val="minMax"/>
        </c:scaling>
        <c:delete val="0"/>
        <c:axPos val="l"/>
        <c:numFmt formatCode="0%" sourceLinked="1"/>
        <c:majorTickMark val="out"/>
        <c:minorTickMark val="none"/>
        <c:tickLblPos val="nextTo"/>
        <c:txPr>
          <a:bodyPr/>
          <a:lstStyle/>
          <a:p>
            <a:pPr>
              <a:defRPr lang="x-none" sz="635"/>
            </a:pPr>
            <a:endParaRPr lang="en-US"/>
          </a:p>
        </c:txPr>
        <c:crossAx val="329020160"/>
        <c:crosses val="autoZero"/>
        <c:crossBetween val="between"/>
      </c:valAx>
    </c:plotArea>
    <c:legend>
      <c:legendPos val="b"/>
      <c:layout>
        <c:manualLayout>
          <c:xMode val="edge"/>
          <c:yMode val="edge"/>
          <c:x val="0.38114357200677018"/>
          <c:y val="0.81295883410135306"/>
          <c:w val="0.33471312581254464"/>
          <c:h val="0.13564247351244585"/>
        </c:manualLayout>
      </c:layout>
      <c:overlay val="0"/>
      <c:txPr>
        <a:bodyPr/>
        <a:lstStyle/>
        <a:p>
          <a:pPr>
            <a:defRPr lang="x-none" sz="635"/>
          </a:pPr>
          <a:endParaRPr lang="en-US"/>
        </a:p>
      </c:txPr>
    </c:legend>
    <c:plotVisOnly val="1"/>
    <c:dispBlanksAs val="gap"/>
    <c:showDLblsOverMax val="0"/>
  </c:chart>
  <c:spPr>
    <a:ln>
      <a:noFill/>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manualLayout>
          <c:layoutTarget val="inner"/>
          <c:xMode val="edge"/>
          <c:yMode val="edge"/>
          <c:x val="9.6456519094053728E-2"/>
          <c:y val="0.10238740157480307"/>
          <c:w val="0.62997456443772371"/>
          <c:h val="0.71942887139107692"/>
        </c:manualLayout>
      </c:layout>
      <c:barChart>
        <c:barDir val="col"/>
        <c:grouping val="clustered"/>
        <c:varyColors val="0"/>
        <c:ser>
          <c:idx val="0"/>
          <c:order val="0"/>
          <c:tx>
            <c:strRef>
              <c:f>Sheet1!$B$1</c:f>
              <c:strCache>
                <c:ptCount val="1"/>
                <c:pt idx="0">
                  <c:v>Csr </c:v>
                </c:pt>
              </c:strCache>
            </c:strRef>
          </c:tx>
          <c:spPr>
            <a:solidFill>
              <a:srgbClr val="FFFF00"/>
            </a:solidFill>
          </c:spPr>
          <c:invertIfNegative val="0"/>
          <c:cat>
            <c:strRef>
              <c:f>Sheet1!$A$2:$A$13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Sheet1!$B$2:$B$13</c:f>
              <c:numCache>
                <c:formatCode>General</c:formatCode>
                <c:ptCount val="12"/>
                <c:pt idx="0">
                  <c:v>14.02</c:v>
                </c:pt>
                <c:pt idx="1">
                  <c:v>12.84</c:v>
                </c:pt>
                <c:pt idx="2">
                  <c:v>10.78</c:v>
                </c:pt>
                <c:pt idx="3">
                  <c:v>11.39</c:v>
                </c:pt>
                <c:pt idx="4">
                  <c:v>8.94</c:v>
                </c:pt>
                <c:pt idx="5">
                  <c:v>7.22</c:v>
                </c:pt>
                <c:pt idx="6">
                  <c:v>8.33</c:v>
                </c:pt>
                <c:pt idx="7">
                  <c:v>14.68</c:v>
                </c:pt>
                <c:pt idx="8">
                  <c:v>13.15</c:v>
                </c:pt>
                <c:pt idx="9">
                  <c:v>10.62</c:v>
                </c:pt>
                <c:pt idx="10">
                  <c:v>13.97</c:v>
                </c:pt>
                <c:pt idx="11">
                  <c:v>23.27</c:v>
                </c:pt>
              </c:numCache>
            </c:numRef>
          </c:val>
        </c:ser>
        <c:ser>
          <c:idx val="1"/>
          <c:order val="1"/>
          <c:tx>
            <c:strRef>
              <c:f>Sheet1!$C$1</c:f>
              <c:strCache>
                <c:ptCount val="1"/>
                <c:pt idx="0">
                  <c:v>Cmax </c:v>
                </c:pt>
              </c:strCache>
            </c:strRef>
          </c:tx>
          <c:invertIfNegative val="0"/>
          <c:cat>
            <c:strRef>
              <c:f>Sheet1!$A$2:$A$13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Sheet1!$C$2:$C$13</c:f>
              <c:numCache>
                <c:formatCode>General</c:formatCode>
                <c:ptCount val="12"/>
                <c:pt idx="0">
                  <c:v>58.8</c:v>
                </c:pt>
                <c:pt idx="1">
                  <c:v>60.25</c:v>
                </c:pt>
                <c:pt idx="2">
                  <c:v>60.32</c:v>
                </c:pt>
                <c:pt idx="3">
                  <c:v>51.13</c:v>
                </c:pt>
                <c:pt idx="4">
                  <c:v>51.42</c:v>
                </c:pt>
                <c:pt idx="5">
                  <c:v>53.32</c:v>
                </c:pt>
                <c:pt idx="6">
                  <c:v>43.75</c:v>
                </c:pt>
                <c:pt idx="7">
                  <c:v>54.86</c:v>
                </c:pt>
                <c:pt idx="8">
                  <c:v>54.67</c:v>
                </c:pt>
                <c:pt idx="9">
                  <c:v>55.220000000000013</c:v>
                </c:pt>
                <c:pt idx="10">
                  <c:v>62.3</c:v>
                </c:pt>
                <c:pt idx="11">
                  <c:v>79.290000000000006</c:v>
                </c:pt>
              </c:numCache>
            </c:numRef>
          </c:val>
        </c:ser>
        <c:dLbls>
          <c:showLegendKey val="0"/>
          <c:showVal val="0"/>
          <c:showCatName val="0"/>
          <c:showSerName val="0"/>
          <c:showPercent val="0"/>
          <c:showBubbleSize val="0"/>
        </c:dLbls>
        <c:gapWidth val="150"/>
        <c:axId val="201648000"/>
        <c:axId val="201649536"/>
      </c:barChart>
      <c:lineChart>
        <c:grouping val="standard"/>
        <c:varyColors val="0"/>
        <c:ser>
          <c:idx val="2"/>
          <c:order val="2"/>
          <c:tx>
            <c:strRef>
              <c:f>Sheet1!$D$1</c:f>
              <c:strCache>
                <c:ptCount val="1"/>
                <c:pt idx="0">
                  <c:v>granična jednočasovna srednja vrijednost</c:v>
                </c:pt>
              </c:strCache>
            </c:strRef>
          </c:tx>
          <c:spPr>
            <a:ln w="41275">
              <a:solidFill>
                <a:srgbClr val="FF0000"/>
              </a:solidFill>
            </a:ln>
          </c:spPr>
          <c:marker>
            <c:symbol val="none"/>
          </c:marker>
          <c:cat>
            <c:strRef>
              <c:f>Sheet1!$A$2:$A$13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Sheet1!$D$2:$D$13</c:f>
              <c:numCache>
                <c:formatCode>General</c:formatCode>
                <c:ptCount val="12"/>
                <c:pt idx="0">
                  <c:v>200</c:v>
                </c:pt>
                <c:pt idx="1">
                  <c:v>200</c:v>
                </c:pt>
                <c:pt idx="2">
                  <c:v>200</c:v>
                </c:pt>
                <c:pt idx="3">
                  <c:v>200</c:v>
                </c:pt>
                <c:pt idx="4">
                  <c:v>200</c:v>
                </c:pt>
                <c:pt idx="5">
                  <c:v>200</c:v>
                </c:pt>
                <c:pt idx="6">
                  <c:v>200</c:v>
                </c:pt>
                <c:pt idx="7">
                  <c:v>200</c:v>
                </c:pt>
                <c:pt idx="8">
                  <c:v>200</c:v>
                </c:pt>
                <c:pt idx="9">
                  <c:v>200</c:v>
                </c:pt>
                <c:pt idx="10">
                  <c:v>200</c:v>
                </c:pt>
                <c:pt idx="11">
                  <c:v>200</c:v>
                </c:pt>
              </c:numCache>
            </c:numRef>
          </c:val>
          <c:smooth val="0"/>
        </c:ser>
        <c:dLbls>
          <c:showLegendKey val="0"/>
          <c:showVal val="0"/>
          <c:showCatName val="0"/>
          <c:showSerName val="0"/>
          <c:showPercent val="0"/>
          <c:showBubbleSize val="0"/>
        </c:dLbls>
        <c:marker val="1"/>
        <c:smooth val="0"/>
        <c:axId val="201648000"/>
        <c:axId val="201649536"/>
      </c:lineChart>
      <c:catAx>
        <c:axId val="201648000"/>
        <c:scaling>
          <c:orientation val="minMax"/>
        </c:scaling>
        <c:delete val="0"/>
        <c:axPos val="b"/>
        <c:majorTickMark val="out"/>
        <c:minorTickMark val="none"/>
        <c:tickLblPos val="nextTo"/>
        <c:crossAx val="201649536"/>
        <c:crosses val="autoZero"/>
        <c:auto val="1"/>
        <c:lblAlgn val="ctr"/>
        <c:lblOffset val="100"/>
        <c:noMultiLvlLbl val="0"/>
      </c:catAx>
      <c:valAx>
        <c:axId val="201649536"/>
        <c:scaling>
          <c:orientation val="minMax"/>
        </c:scaling>
        <c:delete val="0"/>
        <c:axPos val="l"/>
        <c:title>
          <c:tx>
            <c:rich>
              <a:bodyPr rot="0" vert="horz"/>
              <a:lstStyle/>
              <a:p>
                <a:pPr>
                  <a:defRPr/>
                </a:pPr>
                <a:r>
                  <a:rPr lang="en-US">
                    <a:latin typeface="Calibri"/>
                  </a:rPr>
                  <a:t>µg/m</a:t>
                </a:r>
                <a:r>
                  <a:rPr lang="en-US" baseline="30000">
                    <a:latin typeface="Calibri"/>
                  </a:rPr>
                  <a:t>3</a:t>
                </a:r>
                <a:endParaRPr lang="en-US" baseline="30000"/>
              </a:p>
            </c:rich>
          </c:tx>
          <c:layout>
            <c:manualLayout>
              <c:xMode val="edge"/>
              <c:yMode val="edge"/>
              <c:x val="1.177336276674025E-2"/>
              <c:y val="2.2350539515894152E-3"/>
            </c:manualLayout>
          </c:layout>
          <c:overlay val="0"/>
        </c:title>
        <c:numFmt formatCode="General" sourceLinked="1"/>
        <c:majorTickMark val="out"/>
        <c:minorTickMark val="none"/>
        <c:tickLblPos val="nextTo"/>
        <c:crossAx val="201648000"/>
        <c:crosses val="autoZero"/>
        <c:crossBetween val="between"/>
      </c:valAx>
      <c:spPr>
        <a:blipFill dpi="0" rotWithShape="1">
          <a:blip xmlns:r="http://schemas.openxmlformats.org/officeDocument/2006/relationships" r:embed="rId1">
            <a:alphaModFix amt="70000"/>
          </a:blip>
          <a:srcRect/>
          <a:stretch>
            <a:fillRect/>
          </a:stretch>
        </a:blipFill>
      </c:spPr>
    </c:plotArea>
    <c:legend>
      <c:legendPos val="r"/>
      <c:layout>
        <c:manualLayout>
          <c:xMode val="edge"/>
          <c:yMode val="edge"/>
          <c:x val="0.76182295394893862"/>
          <c:y val="4.4217940094171716E-2"/>
          <c:w val="0.23590942740549256"/>
          <c:h val="0.89925480420475068"/>
        </c:manualLayout>
      </c:layout>
      <c:overlay val="1"/>
      <c:txPr>
        <a:bodyPr/>
        <a:lstStyle/>
        <a:p>
          <a:pPr>
            <a:defRPr sz="800"/>
          </a:pPr>
          <a:endParaRPr lang="en-US"/>
        </a:p>
      </c:txPr>
    </c:legend>
    <c:plotVisOnly val="1"/>
    <c:dispBlanksAs val="gap"/>
    <c:showDLblsOverMax val="0"/>
  </c:chart>
  <c:spPr>
    <a:ln>
      <a:noFill/>
    </a:ln>
  </c:spPr>
  <c:externalData r:id="rId2">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5342660126022944"/>
          <c:y val="7.4716110868654123E-2"/>
          <c:w val="0.82707862729186465"/>
          <c:h val="0.48495676413456867"/>
        </c:manualLayout>
      </c:layout>
      <c:barChart>
        <c:barDir val="col"/>
        <c:grouping val="percentStacked"/>
        <c:varyColors val="0"/>
        <c:ser>
          <c:idx val="0"/>
          <c:order val="0"/>
          <c:tx>
            <c:strRef>
              <c:f>Sheet1!$B$1</c:f>
              <c:strCache>
                <c:ptCount val="1"/>
                <c:pt idx="0">
                  <c:v>odgovara </c:v>
                </c:pt>
              </c:strCache>
            </c:strRef>
          </c:tx>
          <c:invertIfNegative val="0"/>
          <c:cat>
            <c:strRef>
              <c:f>Sheet1!$A$2:$A$22</c:f>
              <c:strCache>
                <c:ptCount val="21"/>
                <c:pt idx="0">
                  <c:v>Podgorica</c:v>
                </c:pt>
                <c:pt idx="1">
                  <c:v>Danilovgrad</c:v>
                </c:pt>
                <c:pt idx="2">
                  <c:v>Nikšić</c:v>
                </c:pt>
                <c:pt idx="3">
                  <c:v>Cetinje</c:v>
                </c:pt>
                <c:pt idx="4">
                  <c:v>B.Polje</c:v>
                </c:pt>
                <c:pt idx="5">
                  <c:v>Andrijevica</c:v>
                </c:pt>
                <c:pt idx="6">
                  <c:v>Rožaje</c:v>
                </c:pt>
                <c:pt idx="7">
                  <c:v>Berane</c:v>
                </c:pt>
                <c:pt idx="8">
                  <c:v>Šavnik</c:v>
                </c:pt>
                <c:pt idx="9">
                  <c:v>Plav,Gusinje.Murino</c:v>
                </c:pt>
                <c:pt idx="10">
                  <c:v>Pljevlja</c:v>
                </c:pt>
                <c:pt idx="11">
                  <c:v>Budva</c:v>
                </c:pt>
                <c:pt idx="12">
                  <c:v>Kotor</c:v>
                </c:pt>
                <c:pt idx="13">
                  <c:v>Bar</c:v>
                </c:pt>
                <c:pt idx="14">
                  <c:v>Ulcinj</c:v>
                </c:pt>
                <c:pt idx="15">
                  <c:v>Tivat</c:v>
                </c:pt>
                <c:pt idx="16">
                  <c:v>H.Novi</c:v>
                </c:pt>
                <c:pt idx="17">
                  <c:v>Plužine</c:v>
                </c:pt>
                <c:pt idx="18">
                  <c:v>Žabljak</c:v>
                </c:pt>
                <c:pt idx="19">
                  <c:v>Mojkovac</c:v>
                </c:pt>
                <c:pt idx="20">
                  <c:v>Kolašin</c:v>
                </c:pt>
              </c:strCache>
            </c:strRef>
          </c:cat>
          <c:val>
            <c:numRef>
              <c:f>Sheet1!$B$2:$B$22</c:f>
              <c:numCache>
                <c:formatCode>General</c:formatCode>
                <c:ptCount val="21"/>
                <c:pt idx="0">
                  <c:v>61</c:v>
                </c:pt>
                <c:pt idx="1">
                  <c:v>0</c:v>
                </c:pt>
                <c:pt idx="2">
                  <c:v>0</c:v>
                </c:pt>
                <c:pt idx="3">
                  <c:v>9.84</c:v>
                </c:pt>
                <c:pt idx="4">
                  <c:v>0</c:v>
                </c:pt>
                <c:pt idx="5">
                  <c:v>50</c:v>
                </c:pt>
                <c:pt idx="6">
                  <c:v>0</c:v>
                </c:pt>
                <c:pt idx="7">
                  <c:v>0</c:v>
                </c:pt>
                <c:pt idx="8">
                  <c:v>83.4</c:v>
                </c:pt>
                <c:pt idx="9">
                  <c:v>56.25</c:v>
                </c:pt>
                <c:pt idx="10">
                  <c:v>23.810000000000013</c:v>
                </c:pt>
                <c:pt idx="11">
                  <c:v>10.200000000000001</c:v>
                </c:pt>
                <c:pt idx="12">
                  <c:v>2.7800000000000002</c:v>
                </c:pt>
                <c:pt idx="13">
                  <c:v>20.9</c:v>
                </c:pt>
                <c:pt idx="14">
                  <c:v>20.9</c:v>
                </c:pt>
                <c:pt idx="15">
                  <c:v>88.89</c:v>
                </c:pt>
                <c:pt idx="16">
                  <c:v>2.3899999999999997</c:v>
                </c:pt>
                <c:pt idx="17">
                  <c:v>12.5</c:v>
                </c:pt>
                <c:pt idx="18">
                  <c:v>0</c:v>
                </c:pt>
                <c:pt idx="19">
                  <c:v>50</c:v>
                </c:pt>
                <c:pt idx="20">
                  <c:v>50</c:v>
                </c:pt>
              </c:numCache>
            </c:numRef>
          </c:val>
        </c:ser>
        <c:ser>
          <c:idx val="1"/>
          <c:order val="1"/>
          <c:tx>
            <c:strRef>
              <c:f>Sheet1!$C$1</c:f>
              <c:strCache>
                <c:ptCount val="1"/>
                <c:pt idx="0">
                  <c:v>ne odgovara </c:v>
                </c:pt>
              </c:strCache>
            </c:strRef>
          </c:tx>
          <c:invertIfNegative val="0"/>
          <c:cat>
            <c:strRef>
              <c:f>Sheet1!$A$2:$A$22</c:f>
              <c:strCache>
                <c:ptCount val="21"/>
                <c:pt idx="0">
                  <c:v>Podgorica</c:v>
                </c:pt>
                <c:pt idx="1">
                  <c:v>Danilovgrad</c:v>
                </c:pt>
                <c:pt idx="2">
                  <c:v>Nikšić</c:v>
                </c:pt>
                <c:pt idx="3">
                  <c:v>Cetinje</c:v>
                </c:pt>
                <c:pt idx="4">
                  <c:v>B.Polje</c:v>
                </c:pt>
                <c:pt idx="5">
                  <c:v>Andrijevica</c:v>
                </c:pt>
                <c:pt idx="6">
                  <c:v>Rožaje</c:v>
                </c:pt>
                <c:pt idx="7">
                  <c:v>Berane</c:v>
                </c:pt>
                <c:pt idx="8">
                  <c:v>Šavnik</c:v>
                </c:pt>
                <c:pt idx="9">
                  <c:v>Plav,Gusinje.Murino</c:v>
                </c:pt>
                <c:pt idx="10">
                  <c:v>Pljevlja</c:v>
                </c:pt>
                <c:pt idx="11">
                  <c:v>Budva</c:v>
                </c:pt>
                <c:pt idx="12">
                  <c:v>Kotor</c:v>
                </c:pt>
                <c:pt idx="13">
                  <c:v>Bar</c:v>
                </c:pt>
                <c:pt idx="14">
                  <c:v>Ulcinj</c:v>
                </c:pt>
                <c:pt idx="15">
                  <c:v>Tivat</c:v>
                </c:pt>
                <c:pt idx="16">
                  <c:v>H.Novi</c:v>
                </c:pt>
                <c:pt idx="17">
                  <c:v>Plužine</c:v>
                </c:pt>
                <c:pt idx="18">
                  <c:v>Žabljak</c:v>
                </c:pt>
                <c:pt idx="19">
                  <c:v>Mojkovac</c:v>
                </c:pt>
                <c:pt idx="20">
                  <c:v>Kolašin</c:v>
                </c:pt>
              </c:strCache>
            </c:strRef>
          </c:cat>
          <c:val>
            <c:numRef>
              <c:f>Sheet1!$C$2:$C$22</c:f>
              <c:numCache>
                <c:formatCode>General</c:formatCode>
                <c:ptCount val="21"/>
                <c:pt idx="0">
                  <c:v>39</c:v>
                </c:pt>
                <c:pt idx="1">
                  <c:v>100</c:v>
                </c:pt>
                <c:pt idx="2">
                  <c:v>100</c:v>
                </c:pt>
                <c:pt idx="3">
                  <c:v>90.16</c:v>
                </c:pt>
                <c:pt idx="4">
                  <c:v>100</c:v>
                </c:pt>
                <c:pt idx="5">
                  <c:v>50</c:v>
                </c:pt>
                <c:pt idx="6">
                  <c:v>100</c:v>
                </c:pt>
                <c:pt idx="7">
                  <c:v>100</c:v>
                </c:pt>
                <c:pt idx="8">
                  <c:v>16.600000000000001</c:v>
                </c:pt>
                <c:pt idx="9">
                  <c:v>43.75</c:v>
                </c:pt>
                <c:pt idx="10">
                  <c:v>76.19</c:v>
                </c:pt>
                <c:pt idx="11">
                  <c:v>89.8</c:v>
                </c:pt>
                <c:pt idx="12">
                  <c:v>97.22</c:v>
                </c:pt>
                <c:pt idx="13">
                  <c:v>79.099999999999994</c:v>
                </c:pt>
                <c:pt idx="14">
                  <c:v>79.099999999999994</c:v>
                </c:pt>
                <c:pt idx="15">
                  <c:v>11.11</c:v>
                </c:pt>
                <c:pt idx="16">
                  <c:v>97.61</c:v>
                </c:pt>
                <c:pt idx="17">
                  <c:v>87.5</c:v>
                </c:pt>
                <c:pt idx="18">
                  <c:v>100</c:v>
                </c:pt>
                <c:pt idx="19">
                  <c:v>50</c:v>
                </c:pt>
                <c:pt idx="20">
                  <c:v>50</c:v>
                </c:pt>
              </c:numCache>
            </c:numRef>
          </c:val>
        </c:ser>
        <c:dLbls>
          <c:showLegendKey val="0"/>
          <c:showVal val="0"/>
          <c:showCatName val="0"/>
          <c:showSerName val="0"/>
          <c:showPercent val="0"/>
          <c:showBubbleSize val="0"/>
        </c:dLbls>
        <c:gapWidth val="150"/>
        <c:overlap val="100"/>
        <c:axId val="329607808"/>
        <c:axId val="329609600"/>
      </c:barChart>
      <c:catAx>
        <c:axId val="329607808"/>
        <c:scaling>
          <c:orientation val="minMax"/>
        </c:scaling>
        <c:delete val="0"/>
        <c:axPos val="b"/>
        <c:numFmt formatCode="General" sourceLinked="1"/>
        <c:majorTickMark val="out"/>
        <c:minorTickMark val="none"/>
        <c:tickLblPos val="nextTo"/>
        <c:txPr>
          <a:bodyPr/>
          <a:lstStyle/>
          <a:p>
            <a:pPr>
              <a:defRPr lang="x-none" sz="630"/>
            </a:pPr>
            <a:endParaRPr lang="en-US"/>
          </a:p>
        </c:txPr>
        <c:crossAx val="329609600"/>
        <c:crosses val="autoZero"/>
        <c:auto val="1"/>
        <c:lblAlgn val="ctr"/>
        <c:lblOffset val="100"/>
        <c:noMultiLvlLbl val="0"/>
      </c:catAx>
      <c:valAx>
        <c:axId val="329609600"/>
        <c:scaling>
          <c:orientation val="minMax"/>
        </c:scaling>
        <c:delete val="0"/>
        <c:axPos val="l"/>
        <c:numFmt formatCode="0%" sourceLinked="1"/>
        <c:majorTickMark val="out"/>
        <c:minorTickMark val="none"/>
        <c:tickLblPos val="nextTo"/>
        <c:txPr>
          <a:bodyPr/>
          <a:lstStyle/>
          <a:p>
            <a:pPr>
              <a:defRPr lang="x-none" sz="630"/>
            </a:pPr>
            <a:endParaRPr lang="en-US"/>
          </a:p>
        </c:txPr>
        <c:crossAx val="329607808"/>
        <c:crosses val="autoZero"/>
        <c:crossBetween val="between"/>
      </c:valAx>
    </c:plotArea>
    <c:legend>
      <c:legendPos val="b"/>
      <c:layout>
        <c:manualLayout>
          <c:xMode val="edge"/>
          <c:yMode val="edge"/>
          <c:x val="0.42558679255864346"/>
          <c:y val="0.8017448373828483"/>
          <c:w val="0.42139092870096129"/>
          <c:h val="0.15409233508342543"/>
        </c:manualLayout>
      </c:layout>
      <c:overlay val="0"/>
      <c:txPr>
        <a:bodyPr/>
        <a:lstStyle/>
        <a:p>
          <a:pPr>
            <a:defRPr lang="x-none" sz="630"/>
          </a:pPr>
          <a:endParaRPr lang="en-US"/>
        </a:p>
      </c:txPr>
    </c:legend>
    <c:plotVisOnly val="1"/>
    <c:dispBlanksAs val="gap"/>
    <c:showDLblsOverMax val="0"/>
  </c:chart>
  <c:spPr>
    <a:ln>
      <a:noFill/>
    </a:ln>
  </c:spPr>
  <c:externalData r:id="rId2">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5342660126022944"/>
          <c:y val="7.4716110868654123E-2"/>
          <c:w val="0.82707862729186465"/>
          <c:h val="0.48495676413456867"/>
        </c:manualLayout>
      </c:layout>
      <c:barChart>
        <c:barDir val="col"/>
        <c:grouping val="percentStacked"/>
        <c:varyColors val="0"/>
        <c:ser>
          <c:idx val="0"/>
          <c:order val="0"/>
          <c:tx>
            <c:strRef>
              <c:f>Sheet1!$B$1</c:f>
              <c:strCache>
                <c:ptCount val="1"/>
                <c:pt idx="0">
                  <c:v>odgovara </c:v>
                </c:pt>
              </c:strCache>
            </c:strRef>
          </c:tx>
          <c:invertIfNegative val="0"/>
          <c:cat>
            <c:strRef>
              <c:f>Sheet1!$A$2:$A$22</c:f>
              <c:strCache>
                <c:ptCount val="21"/>
                <c:pt idx="0">
                  <c:v>Podgorica</c:v>
                </c:pt>
                <c:pt idx="1">
                  <c:v>Danilovgrad</c:v>
                </c:pt>
                <c:pt idx="2">
                  <c:v>Nikšić</c:v>
                </c:pt>
                <c:pt idx="3">
                  <c:v>Cetinje</c:v>
                </c:pt>
                <c:pt idx="4">
                  <c:v>B.Polje</c:v>
                </c:pt>
                <c:pt idx="5">
                  <c:v>Andrijevica</c:v>
                </c:pt>
                <c:pt idx="6">
                  <c:v>Rožaje</c:v>
                </c:pt>
                <c:pt idx="7">
                  <c:v>Berane</c:v>
                </c:pt>
                <c:pt idx="8">
                  <c:v>Šavnik</c:v>
                </c:pt>
                <c:pt idx="9">
                  <c:v>Plav,Gusinje.Murino</c:v>
                </c:pt>
                <c:pt idx="10">
                  <c:v>Pljevlja</c:v>
                </c:pt>
                <c:pt idx="11">
                  <c:v>Budva</c:v>
                </c:pt>
                <c:pt idx="12">
                  <c:v>Kotor</c:v>
                </c:pt>
                <c:pt idx="13">
                  <c:v>Bar</c:v>
                </c:pt>
                <c:pt idx="14">
                  <c:v>Ulcinj</c:v>
                </c:pt>
                <c:pt idx="15">
                  <c:v>Tivat</c:v>
                </c:pt>
                <c:pt idx="16">
                  <c:v>H.Novi</c:v>
                </c:pt>
                <c:pt idx="17">
                  <c:v>Plužine</c:v>
                </c:pt>
                <c:pt idx="18">
                  <c:v>Žabljak</c:v>
                </c:pt>
                <c:pt idx="19">
                  <c:v>Mojkovac</c:v>
                </c:pt>
                <c:pt idx="20">
                  <c:v>Kolašin</c:v>
                </c:pt>
              </c:strCache>
            </c:strRef>
          </c:cat>
          <c:val>
            <c:numRef>
              <c:f>Sheet1!$B$2:$B$22</c:f>
              <c:numCache>
                <c:formatCode>General</c:formatCode>
                <c:ptCount val="21"/>
                <c:pt idx="0">
                  <c:v>91.63</c:v>
                </c:pt>
                <c:pt idx="1">
                  <c:v>87.16</c:v>
                </c:pt>
                <c:pt idx="2">
                  <c:v>88.45</c:v>
                </c:pt>
                <c:pt idx="3">
                  <c:v>79.599999999999994</c:v>
                </c:pt>
                <c:pt idx="4">
                  <c:v>83.83</c:v>
                </c:pt>
                <c:pt idx="5">
                  <c:v>59.260000000000012</c:v>
                </c:pt>
                <c:pt idx="6">
                  <c:v>72.88</c:v>
                </c:pt>
                <c:pt idx="7">
                  <c:v>78.28</c:v>
                </c:pt>
                <c:pt idx="8">
                  <c:v>75</c:v>
                </c:pt>
                <c:pt idx="9">
                  <c:v>61.31</c:v>
                </c:pt>
                <c:pt idx="10">
                  <c:v>83.98</c:v>
                </c:pt>
                <c:pt idx="11">
                  <c:v>88.22</c:v>
                </c:pt>
                <c:pt idx="12">
                  <c:v>85.09</c:v>
                </c:pt>
                <c:pt idx="13">
                  <c:v>86.7</c:v>
                </c:pt>
                <c:pt idx="14">
                  <c:v>79.709999999999994</c:v>
                </c:pt>
                <c:pt idx="15">
                  <c:v>85.27</c:v>
                </c:pt>
                <c:pt idx="16">
                  <c:v>88.16</c:v>
                </c:pt>
                <c:pt idx="17">
                  <c:v>81.98</c:v>
                </c:pt>
                <c:pt idx="18">
                  <c:v>95</c:v>
                </c:pt>
                <c:pt idx="19">
                  <c:v>86.23</c:v>
                </c:pt>
                <c:pt idx="20">
                  <c:v>85</c:v>
                </c:pt>
              </c:numCache>
            </c:numRef>
          </c:val>
        </c:ser>
        <c:ser>
          <c:idx val="1"/>
          <c:order val="1"/>
          <c:tx>
            <c:strRef>
              <c:f>Sheet1!$C$1</c:f>
              <c:strCache>
                <c:ptCount val="1"/>
                <c:pt idx="0">
                  <c:v>ne odgovara </c:v>
                </c:pt>
              </c:strCache>
            </c:strRef>
          </c:tx>
          <c:invertIfNegative val="0"/>
          <c:cat>
            <c:strRef>
              <c:f>Sheet1!$A$2:$A$22</c:f>
              <c:strCache>
                <c:ptCount val="21"/>
                <c:pt idx="0">
                  <c:v>Podgorica</c:v>
                </c:pt>
                <c:pt idx="1">
                  <c:v>Danilovgrad</c:v>
                </c:pt>
                <c:pt idx="2">
                  <c:v>Nikšić</c:v>
                </c:pt>
                <c:pt idx="3">
                  <c:v>Cetinje</c:v>
                </c:pt>
                <c:pt idx="4">
                  <c:v>B.Polje</c:v>
                </c:pt>
                <c:pt idx="5">
                  <c:v>Andrijevica</c:v>
                </c:pt>
                <c:pt idx="6">
                  <c:v>Rožaje</c:v>
                </c:pt>
                <c:pt idx="7">
                  <c:v>Berane</c:v>
                </c:pt>
                <c:pt idx="8">
                  <c:v>Šavnik</c:v>
                </c:pt>
                <c:pt idx="9">
                  <c:v>Plav,Gusinje.Murino</c:v>
                </c:pt>
                <c:pt idx="10">
                  <c:v>Pljevlja</c:v>
                </c:pt>
                <c:pt idx="11">
                  <c:v>Budva</c:v>
                </c:pt>
                <c:pt idx="12">
                  <c:v>Kotor</c:v>
                </c:pt>
                <c:pt idx="13">
                  <c:v>Bar</c:v>
                </c:pt>
                <c:pt idx="14">
                  <c:v>Ulcinj</c:v>
                </c:pt>
                <c:pt idx="15">
                  <c:v>Tivat</c:v>
                </c:pt>
                <c:pt idx="16">
                  <c:v>H.Novi</c:v>
                </c:pt>
                <c:pt idx="17">
                  <c:v>Plužine</c:v>
                </c:pt>
                <c:pt idx="18">
                  <c:v>Žabljak</c:v>
                </c:pt>
                <c:pt idx="19">
                  <c:v>Mojkovac</c:v>
                </c:pt>
                <c:pt idx="20">
                  <c:v>Kolašin</c:v>
                </c:pt>
              </c:strCache>
            </c:strRef>
          </c:cat>
          <c:val>
            <c:numRef>
              <c:f>Sheet1!$C$2:$C$22</c:f>
              <c:numCache>
                <c:formatCode>General</c:formatCode>
                <c:ptCount val="21"/>
                <c:pt idx="0">
                  <c:v>8.3700000000000028</c:v>
                </c:pt>
                <c:pt idx="1">
                  <c:v>12.82</c:v>
                </c:pt>
                <c:pt idx="2">
                  <c:v>11.55</c:v>
                </c:pt>
                <c:pt idx="3">
                  <c:v>20.399999999999999</c:v>
                </c:pt>
                <c:pt idx="4">
                  <c:v>16.170000000000005</c:v>
                </c:pt>
                <c:pt idx="5">
                  <c:v>40.74</c:v>
                </c:pt>
                <c:pt idx="6">
                  <c:v>27.12</c:v>
                </c:pt>
                <c:pt idx="7">
                  <c:v>21.72</c:v>
                </c:pt>
                <c:pt idx="8">
                  <c:v>25</c:v>
                </c:pt>
                <c:pt idx="9">
                  <c:v>38.690000000000012</c:v>
                </c:pt>
                <c:pt idx="10">
                  <c:v>16.02</c:v>
                </c:pt>
                <c:pt idx="11">
                  <c:v>11.78</c:v>
                </c:pt>
                <c:pt idx="12">
                  <c:v>14.91</c:v>
                </c:pt>
                <c:pt idx="13">
                  <c:v>13.3</c:v>
                </c:pt>
                <c:pt idx="14">
                  <c:v>20.29</c:v>
                </c:pt>
                <c:pt idx="15">
                  <c:v>14.73</c:v>
                </c:pt>
                <c:pt idx="16">
                  <c:v>11.84</c:v>
                </c:pt>
                <c:pt idx="17">
                  <c:v>18.02</c:v>
                </c:pt>
                <c:pt idx="18">
                  <c:v>5</c:v>
                </c:pt>
                <c:pt idx="19">
                  <c:v>13.77</c:v>
                </c:pt>
                <c:pt idx="20">
                  <c:v>15</c:v>
                </c:pt>
              </c:numCache>
            </c:numRef>
          </c:val>
        </c:ser>
        <c:dLbls>
          <c:showLegendKey val="0"/>
          <c:showVal val="0"/>
          <c:showCatName val="0"/>
          <c:showSerName val="0"/>
          <c:showPercent val="0"/>
          <c:showBubbleSize val="0"/>
        </c:dLbls>
        <c:gapWidth val="150"/>
        <c:overlap val="100"/>
        <c:axId val="329642752"/>
        <c:axId val="329644288"/>
      </c:barChart>
      <c:catAx>
        <c:axId val="329642752"/>
        <c:scaling>
          <c:orientation val="minMax"/>
        </c:scaling>
        <c:delete val="0"/>
        <c:axPos val="b"/>
        <c:numFmt formatCode="General" sourceLinked="1"/>
        <c:majorTickMark val="out"/>
        <c:minorTickMark val="none"/>
        <c:tickLblPos val="nextTo"/>
        <c:txPr>
          <a:bodyPr/>
          <a:lstStyle/>
          <a:p>
            <a:pPr>
              <a:defRPr lang="x-none" sz="630"/>
            </a:pPr>
            <a:endParaRPr lang="en-US"/>
          </a:p>
        </c:txPr>
        <c:crossAx val="329644288"/>
        <c:crosses val="autoZero"/>
        <c:auto val="1"/>
        <c:lblAlgn val="ctr"/>
        <c:lblOffset val="100"/>
        <c:noMultiLvlLbl val="0"/>
      </c:catAx>
      <c:valAx>
        <c:axId val="329644288"/>
        <c:scaling>
          <c:orientation val="minMax"/>
        </c:scaling>
        <c:delete val="0"/>
        <c:axPos val="l"/>
        <c:numFmt formatCode="0%" sourceLinked="1"/>
        <c:majorTickMark val="out"/>
        <c:minorTickMark val="none"/>
        <c:tickLblPos val="nextTo"/>
        <c:txPr>
          <a:bodyPr/>
          <a:lstStyle/>
          <a:p>
            <a:pPr>
              <a:defRPr lang="x-none" sz="630"/>
            </a:pPr>
            <a:endParaRPr lang="en-US"/>
          </a:p>
        </c:txPr>
        <c:crossAx val="329642752"/>
        <c:crosses val="autoZero"/>
        <c:crossBetween val="between"/>
      </c:valAx>
    </c:plotArea>
    <c:legend>
      <c:legendPos val="b"/>
      <c:layout>
        <c:manualLayout>
          <c:xMode val="edge"/>
          <c:yMode val="edge"/>
          <c:x val="0.49226356176609914"/>
          <c:y val="0.82895676169880572"/>
          <c:w val="0.34562136649152564"/>
          <c:h val="0.11138131280449876"/>
        </c:manualLayout>
      </c:layout>
      <c:overlay val="0"/>
      <c:txPr>
        <a:bodyPr/>
        <a:lstStyle/>
        <a:p>
          <a:pPr>
            <a:defRPr lang="x-none" sz="630"/>
          </a:pPr>
          <a:endParaRPr lang="en-US"/>
        </a:p>
      </c:txPr>
    </c:legend>
    <c:plotVisOnly val="1"/>
    <c:dispBlanksAs val="gap"/>
    <c:showDLblsOverMax val="0"/>
  </c:chart>
  <c:spPr>
    <a:ln>
      <a:noFill/>
    </a:ln>
  </c:spPr>
  <c:externalData r:id="rId2">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percentStacked"/>
        <c:varyColors val="0"/>
        <c:ser>
          <c:idx val="0"/>
          <c:order val="0"/>
          <c:tx>
            <c:strRef>
              <c:f>Sheet1!$B$1</c:f>
              <c:strCache>
                <c:ptCount val="1"/>
                <c:pt idx="0">
                  <c:v>K1</c:v>
                </c:pt>
              </c:strCache>
            </c:strRef>
          </c:tx>
          <c:invertIfNegative val="0"/>
          <c:cat>
            <c:strRef>
              <c:f>Sheet1!$A$2:$A$7</c:f>
              <c:strCache>
                <c:ptCount val="6"/>
                <c:pt idx="0">
                  <c:v>Ulcinj</c:v>
                </c:pt>
                <c:pt idx="1">
                  <c:v>Bar</c:v>
                </c:pt>
                <c:pt idx="2">
                  <c:v>Budva</c:v>
                </c:pt>
                <c:pt idx="3">
                  <c:v>Tivat</c:v>
                </c:pt>
                <c:pt idx="4">
                  <c:v>Kotor</c:v>
                </c:pt>
                <c:pt idx="5">
                  <c:v>Herceg Novi</c:v>
                </c:pt>
              </c:strCache>
            </c:strRef>
          </c:cat>
          <c:val>
            <c:numRef>
              <c:f>Sheet1!$B$2:$B$7</c:f>
              <c:numCache>
                <c:formatCode>General</c:formatCode>
                <c:ptCount val="6"/>
                <c:pt idx="0">
                  <c:v>94.4</c:v>
                </c:pt>
                <c:pt idx="1">
                  <c:v>94.5</c:v>
                </c:pt>
                <c:pt idx="2">
                  <c:v>97.1</c:v>
                </c:pt>
                <c:pt idx="3">
                  <c:v>95.8</c:v>
                </c:pt>
                <c:pt idx="4">
                  <c:v>90.7</c:v>
                </c:pt>
                <c:pt idx="5">
                  <c:v>91.1</c:v>
                </c:pt>
              </c:numCache>
            </c:numRef>
          </c:val>
        </c:ser>
        <c:ser>
          <c:idx val="1"/>
          <c:order val="1"/>
          <c:tx>
            <c:strRef>
              <c:f>Sheet1!$C$1</c:f>
              <c:strCache>
                <c:ptCount val="1"/>
                <c:pt idx="0">
                  <c:v>K2</c:v>
                </c:pt>
              </c:strCache>
            </c:strRef>
          </c:tx>
          <c:invertIfNegative val="0"/>
          <c:cat>
            <c:strRef>
              <c:f>Sheet1!$A$2:$A$7</c:f>
              <c:strCache>
                <c:ptCount val="6"/>
                <c:pt idx="0">
                  <c:v>Ulcinj</c:v>
                </c:pt>
                <c:pt idx="1">
                  <c:v>Bar</c:v>
                </c:pt>
                <c:pt idx="2">
                  <c:v>Budva</c:v>
                </c:pt>
                <c:pt idx="3">
                  <c:v>Tivat</c:v>
                </c:pt>
                <c:pt idx="4">
                  <c:v>Kotor</c:v>
                </c:pt>
                <c:pt idx="5">
                  <c:v>Herceg Novi</c:v>
                </c:pt>
              </c:strCache>
            </c:strRef>
          </c:cat>
          <c:val>
            <c:numRef>
              <c:f>Sheet1!$C$2:$C$7</c:f>
              <c:numCache>
                <c:formatCode>General</c:formatCode>
                <c:ptCount val="6"/>
                <c:pt idx="0">
                  <c:v>3.7</c:v>
                </c:pt>
                <c:pt idx="1">
                  <c:v>4.4000000000000004</c:v>
                </c:pt>
                <c:pt idx="2">
                  <c:v>2.9</c:v>
                </c:pt>
                <c:pt idx="3">
                  <c:v>4.2</c:v>
                </c:pt>
                <c:pt idx="4">
                  <c:v>7.4</c:v>
                </c:pt>
                <c:pt idx="5">
                  <c:v>7.2</c:v>
                </c:pt>
              </c:numCache>
            </c:numRef>
          </c:val>
        </c:ser>
        <c:ser>
          <c:idx val="2"/>
          <c:order val="2"/>
          <c:tx>
            <c:strRef>
              <c:f>Sheet1!$D$1</c:f>
              <c:strCache>
                <c:ptCount val="1"/>
                <c:pt idx="0">
                  <c:v>VK</c:v>
                </c:pt>
              </c:strCache>
            </c:strRef>
          </c:tx>
          <c:invertIfNegative val="0"/>
          <c:cat>
            <c:strRef>
              <c:f>Sheet1!$A$2:$A$7</c:f>
              <c:strCache>
                <c:ptCount val="6"/>
                <c:pt idx="0">
                  <c:v>Ulcinj</c:v>
                </c:pt>
                <c:pt idx="1">
                  <c:v>Bar</c:v>
                </c:pt>
                <c:pt idx="2">
                  <c:v>Budva</c:v>
                </c:pt>
                <c:pt idx="3">
                  <c:v>Tivat</c:v>
                </c:pt>
                <c:pt idx="4">
                  <c:v>Kotor</c:v>
                </c:pt>
                <c:pt idx="5">
                  <c:v>Herceg Novi</c:v>
                </c:pt>
              </c:strCache>
            </c:strRef>
          </c:cat>
          <c:val>
            <c:numRef>
              <c:f>Sheet1!$D$2:$D$7</c:f>
              <c:numCache>
                <c:formatCode>General</c:formatCode>
                <c:ptCount val="6"/>
                <c:pt idx="0">
                  <c:v>1.9000000000000001</c:v>
                </c:pt>
                <c:pt idx="1">
                  <c:v>1.1000000000000001</c:v>
                </c:pt>
                <c:pt idx="4">
                  <c:v>1.9000000000000001</c:v>
                </c:pt>
                <c:pt idx="5">
                  <c:v>1.7</c:v>
                </c:pt>
              </c:numCache>
            </c:numRef>
          </c:val>
        </c:ser>
        <c:dLbls>
          <c:showLegendKey val="0"/>
          <c:showVal val="0"/>
          <c:showCatName val="0"/>
          <c:showSerName val="0"/>
          <c:showPercent val="0"/>
          <c:showBubbleSize val="0"/>
        </c:dLbls>
        <c:gapWidth val="150"/>
        <c:overlap val="100"/>
        <c:axId val="322058880"/>
        <c:axId val="322064768"/>
      </c:barChart>
      <c:catAx>
        <c:axId val="322058880"/>
        <c:scaling>
          <c:orientation val="minMax"/>
        </c:scaling>
        <c:delete val="0"/>
        <c:axPos val="b"/>
        <c:numFmt formatCode="General" sourceLinked="1"/>
        <c:majorTickMark val="out"/>
        <c:minorTickMark val="none"/>
        <c:tickLblPos val="nextTo"/>
        <c:txPr>
          <a:bodyPr/>
          <a:lstStyle/>
          <a:p>
            <a:pPr>
              <a:defRPr sz="900">
                <a:latin typeface="Myriad Pro"/>
              </a:defRPr>
            </a:pPr>
            <a:endParaRPr lang="en-US"/>
          </a:p>
        </c:txPr>
        <c:crossAx val="322064768"/>
        <c:crosses val="autoZero"/>
        <c:auto val="1"/>
        <c:lblAlgn val="ctr"/>
        <c:lblOffset val="100"/>
        <c:noMultiLvlLbl val="0"/>
      </c:catAx>
      <c:valAx>
        <c:axId val="322064768"/>
        <c:scaling>
          <c:orientation val="minMax"/>
          <c:min val="0"/>
        </c:scaling>
        <c:delete val="0"/>
        <c:axPos val="l"/>
        <c:numFmt formatCode="0%" sourceLinked="1"/>
        <c:majorTickMark val="out"/>
        <c:minorTickMark val="none"/>
        <c:tickLblPos val="nextTo"/>
        <c:txPr>
          <a:bodyPr/>
          <a:lstStyle/>
          <a:p>
            <a:pPr>
              <a:defRPr sz="900">
                <a:latin typeface="Myriad Pro"/>
              </a:defRPr>
            </a:pPr>
            <a:endParaRPr lang="en-US"/>
          </a:p>
        </c:txPr>
        <c:crossAx val="322058880"/>
        <c:crosses val="autoZero"/>
        <c:crossBetween val="between"/>
      </c:valAx>
    </c:plotArea>
    <c:legend>
      <c:legendPos val="b"/>
      <c:layout>
        <c:manualLayout>
          <c:xMode val="edge"/>
          <c:yMode val="edge"/>
          <c:x val="0.41504848352289303"/>
          <c:y val="0.89391493973701064"/>
          <c:w val="0.16990303295421408"/>
          <c:h val="5.8438322888412032E-2"/>
        </c:manualLayout>
      </c:layout>
      <c:overlay val="0"/>
      <c:txPr>
        <a:bodyPr/>
        <a:lstStyle/>
        <a:p>
          <a:pPr>
            <a:defRPr sz="900">
              <a:latin typeface="Myriad Pro"/>
            </a:defRPr>
          </a:pPr>
          <a:endParaRPr lang="en-US"/>
        </a:p>
      </c:txPr>
    </c:legend>
    <c:plotVisOnly val="1"/>
    <c:dispBlanksAs val="gap"/>
    <c:showDLblsOverMax val="0"/>
  </c:chart>
  <c:spPr>
    <a:ln>
      <a:noFill/>
    </a:ln>
  </c:spPr>
  <c:externalData r:id="rId1">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barChart>
        <c:barDir val="col"/>
        <c:grouping val="clustered"/>
        <c:varyColors val="0"/>
        <c:ser>
          <c:idx val="0"/>
          <c:order val="0"/>
          <c:tx>
            <c:strRef>
              <c:f>Sheet1!$B$1</c:f>
              <c:strCache>
                <c:ptCount val="1"/>
                <c:pt idx="0">
                  <c:v>As (mg/kg)</c:v>
                </c:pt>
              </c:strCache>
            </c:strRef>
          </c:tx>
          <c:invertIfNegative val="0"/>
          <c:cat>
            <c:numRef>
              <c:f>Sheet1!$A$2:$A$6</c:f>
              <c:numCache>
                <c:formatCode>General</c:formatCode>
                <c:ptCount val="5"/>
                <c:pt idx="0">
                  <c:v>2009</c:v>
                </c:pt>
                <c:pt idx="1">
                  <c:v>2010</c:v>
                </c:pt>
                <c:pt idx="2">
                  <c:v>2011</c:v>
                </c:pt>
                <c:pt idx="3">
                  <c:v>2012</c:v>
                </c:pt>
                <c:pt idx="4">
                  <c:v>2013</c:v>
                </c:pt>
              </c:numCache>
            </c:numRef>
          </c:cat>
          <c:val>
            <c:numRef>
              <c:f>Sheet1!$B$2:$B$6</c:f>
              <c:numCache>
                <c:formatCode>General</c:formatCode>
                <c:ptCount val="5"/>
                <c:pt idx="0">
                  <c:v>13.96</c:v>
                </c:pt>
                <c:pt idx="1">
                  <c:v>21.49</c:v>
                </c:pt>
                <c:pt idx="2">
                  <c:v>15.63</c:v>
                </c:pt>
                <c:pt idx="3">
                  <c:v>7.98</c:v>
                </c:pt>
                <c:pt idx="4">
                  <c:v>10.56</c:v>
                </c:pt>
              </c:numCache>
            </c:numRef>
          </c:val>
        </c:ser>
        <c:dLbls>
          <c:showLegendKey val="0"/>
          <c:showVal val="0"/>
          <c:showCatName val="0"/>
          <c:showSerName val="0"/>
          <c:showPercent val="0"/>
          <c:showBubbleSize val="0"/>
        </c:dLbls>
        <c:gapWidth val="150"/>
        <c:axId val="322073728"/>
        <c:axId val="322075264"/>
      </c:barChart>
      <c:lineChart>
        <c:grouping val="standard"/>
        <c:varyColors val="0"/>
        <c:ser>
          <c:idx val="1"/>
          <c:order val="1"/>
          <c:tx>
            <c:strRef>
              <c:f>Sheet1!$C$1</c:f>
              <c:strCache>
                <c:ptCount val="1"/>
                <c:pt idx="0">
                  <c:v>MDK (mg/kg)</c:v>
                </c:pt>
              </c:strCache>
            </c:strRef>
          </c:tx>
          <c:spPr>
            <a:ln w="50800">
              <a:solidFill>
                <a:srgbClr val="FF0000"/>
              </a:solidFill>
            </a:ln>
          </c:spPr>
          <c:marker>
            <c:symbol val="none"/>
          </c:marker>
          <c:cat>
            <c:numRef>
              <c:f>Sheet1!$A$2:$A$6</c:f>
              <c:numCache>
                <c:formatCode>General</c:formatCode>
                <c:ptCount val="5"/>
                <c:pt idx="0">
                  <c:v>2009</c:v>
                </c:pt>
                <c:pt idx="1">
                  <c:v>2010</c:v>
                </c:pt>
                <c:pt idx="2">
                  <c:v>2011</c:v>
                </c:pt>
                <c:pt idx="3">
                  <c:v>2012</c:v>
                </c:pt>
                <c:pt idx="4">
                  <c:v>2013</c:v>
                </c:pt>
              </c:numCache>
            </c:numRef>
          </c:cat>
          <c:val>
            <c:numRef>
              <c:f>Sheet1!$C$2:$C$6</c:f>
              <c:numCache>
                <c:formatCode>General</c:formatCode>
                <c:ptCount val="5"/>
                <c:pt idx="0">
                  <c:v>20</c:v>
                </c:pt>
                <c:pt idx="1">
                  <c:v>20</c:v>
                </c:pt>
                <c:pt idx="2">
                  <c:v>20</c:v>
                </c:pt>
                <c:pt idx="3">
                  <c:v>20</c:v>
                </c:pt>
                <c:pt idx="4">
                  <c:v>20</c:v>
                </c:pt>
              </c:numCache>
            </c:numRef>
          </c:val>
          <c:smooth val="0"/>
        </c:ser>
        <c:dLbls>
          <c:showLegendKey val="0"/>
          <c:showVal val="0"/>
          <c:showCatName val="0"/>
          <c:showSerName val="0"/>
          <c:showPercent val="0"/>
          <c:showBubbleSize val="0"/>
        </c:dLbls>
        <c:marker val="1"/>
        <c:smooth val="0"/>
        <c:axId val="322073728"/>
        <c:axId val="322075264"/>
      </c:lineChart>
      <c:catAx>
        <c:axId val="322073728"/>
        <c:scaling>
          <c:orientation val="minMax"/>
        </c:scaling>
        <c:delete val="0"/>
        <c:axPos val="b"/>
        <c:numFmt formatCode="General" sourceLinked="0"/>
        <c:majorTickMark val="out"/>
        <c:minorTickMark val="none"/>
        <c:tickLblPos val="nextTo"/>
        <c:crossAx val="322075264"/>
        <c:crosses val="autoZero"/>
        <c:auto val="1"/>
        <c:lblAlgn val="ctr"/>
        <c:lblOffset val="100"/>
        <c:noMultiLvlLbl val="0"/>
      </c:catAx>
      <c:valAx>
        <c:axId val="322075264"/>
        <c:scaling>
          <c:orientation val="minMax"/>
        </c:scaling>
        <c:delete val="0"/>
        <c:axPos val="l"/>
        <c:numFmt formatCode="General" sourceLinked="1"/>
        <c:majorTickMark val="out"/>
        <c:minorTickMark val="none"/>
        <c:tickLblPos val="nextTo"/>
        <c:crossAx val="322073728"/>
        <c:crosses val="autoZero"/>
        <c:crossBetween val="between"/>
      </c:valAx>
    </c:plotArea>
    <c:legend>
      <c:legendPos val="r"/>
      <c:overlay val="0"/>
    </c:legend>
    <c:plotVisOnly val="1"/>
    <c:dispBlanksAs val="gap"/>
    <c:showDLblsOverMax val="0"/>
  </c:chart>
  <c:externalData r:id="rId1">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barChart>
        <c:barDir val="col"/>
        <c:grouping val="clustered"/>
        <c:varyColors val="0"/>
        <c:ser>
          <c:idx val="0"/>
          <c:order val="0"/>
          <c:tx>
            <c:strRef>
              <c:f>Sheet1!$B$1</c:f>
              <c:strCache>
                <c:ptCount val="1"/>
                <c:pt idx="0">
                  <c:v>Ni (mg/kg)</c:v>
                </c:pt>
              </c:strCache>
            </c:strRef>
          </c:tx>
          <c:invertIfNegative val="0"/>
          <c:cat>
            <c:numRef>
              <c:f>Sheet1!$A$2:$A$6</c:f>
              <c:numCache>
                <c:formatCode>General</c:formatCode>
                <c:ptCount val="5"/>
                <c:pt idx="0">
                  <c:v>2009</c:v>
                </c:pt>
                <c:pt idx="1">
                  <c:v>2010</c:v>
                </c:pt>
                <c:pt idx="2">
                  <c:v>2011</c:v>
                </c:pt>
                <c:pt idx="3">
                  <c:v>2012</c:v>
                </c:pt>
                <c:pt idx="4">
                  <c:v>2013</c:v>
                </c:pt>
              </c:numCache>
            </c:numRef>
          </c:cat>
          <c:val>
            <c:numRef>
              <c:f>Sheet1!$B$2:$B$6</c:f>
              <c:numCache>
                <c:formatCode>General</c:formatCode>
                <c:ptCount val="5"/>
                <c:pt idx="0">
                  <c:v>38.15</c:v>
                </c:pt>
                <c:pt idx="1">
                  <c:v>47.7</c:v>
                </c:pt>
                <c:pt idx="2">
                  <c:v>25.36</c:v>
                </c:pt>
                <c:pt idx="3">
                  <c:v>26.43</c:v>
                </c:pt>
                <c:pt idx="4">
                  <c:v>32.94</c:v>
                </c:pt>
              </c:numCache>
            </c:numRef>
          </c:val>
        </c:ser>
        <c:dLbls>
          <c:showLegendKey val="0"/>
          <c:showVal val="0"/>
          <c:showCatName val="0"/>
          <c:showSerName val="0"/>
          <c:showPercent val="0"/>
          <c:showBubbleSize val="0"/>
        </c:dLbls>
        <c:gapWidth val="150"/>
        <c:axId val="329555328"/>
        <c:axId val="330073216"/>
      </c:barChart>
      <c:lineChart>
        <c:grouping val="standard"/>
        <c:varyColors val="0"/>
        <c:ser>
          <c:idx val="1"/>
          <c:order val="1"/>
          <c:tx>
            <c:strRef>
              <c:f>Sheet1!$C$1</c:f>
              <c:strCache>
                <c:ptCount val="1"/>
                <c:pt idx="0">
                  <c:v>MDK (mg/kg)</c:v>
                </c:pt>
              </c:strCache>
            </c:strRef>
          </c:tx>
          <c:spPr>
            <a:ln w="50800">
              <a:solidFill>
                <a:srgbClr val="FF0000"/>
              </a:solidFill>
            </a:ln>
          </c:spPr>
          <c:marker>
            <c:symbol val="none"/>
          </c:marker>
          <c:cat>
            <c:numRef>
              <c:f>Sheet1!$A$2:$A$6</c:f>
              <c:numCache>
                <c:formatCode>General</c:formatCode>
                <c:ptCount val="5"/>
                <c:pt idx="0">
                  <c:v>2009</c:v>
                </c:pt>
                <c:pt idx="1">
                  <c:v>2010</c:v>
                </c:pt>
                <c:pt idx="2">
                  <c:v>2011</c:v>
                </c:pt>
                <c:pt idx="3">
                  <c:v>2012</c:v>
                </c:pt>
                <c:pt idx="4">
                  <c:v>2013</c:v>
                </c:pt>
              </c:numCache>
            </c:numRef>
          </c:cat>
          <c:val>
            <c:numRef>
              <c:f>Sheet1!$C$2:$C$6</c:f>
              <c:numCache>
                <c:formatCode>General</c:formatCode>
                <c:ptCount val="5"/>
                <c:pt idx="0">
                  <c:v>50</c:v>
                </c:pt>
                <c:pt idx="1">
                  <c:v>50</c:v>
                </c:pt>
                <c:pt idx="2">
                  <c:v>50</c:v>
                </c:pt>
                <c:pt idx="3">
                  <c:v>50</c:v>
                </c:pt>
                <c:pt idx="4">
                  <c:v>50</c:v>
                </c:pt>
              </c:numCache>
            </c:numRef>
          </c:val>
          <c:smooth val="0"/>
        </c:ser>
        <c:dLbls>
          <c:showLegendKey val="0"/>
          <c:showVal val="0"/>
          <c:showCatName val="0"/>
          <c:showSerName val="0"/>
          <c:showPercent val="0"/>
          <c:showBubbleSize val="0"/>
        </c:dLbls>
        <c:marker val="1"/>
        <c:smooth val="0"/>
        <c:axId val="329555328"/>
        <c:axId val="330073216"/>
      </c:lineChart>
      <c:catAx>
        <c:axId val="329555328"/>
        <c:scaling>
          <c:orientation val="minMax"/>
        </c:scaling>
        <c:delete val="0"/>
        <c:axPos val="b"/>
        <c:numFmt formatCode="General" sourceLinked="0"/>
        <c:majorTickMark val="out"/>
        <c:minorTickMark val="none"/>
        <c:tickLblPos val="nextTo"/>
        <c:crossAx val="330073216"/>
        <c:crosses val="autoZero"/>
        <c:auto val="1"/>
        <c:lblAlgn val="ctr"/>
        <c:lblOffset val="100"/>
        <c:noMultiLvlLbl val="0"/>
      </c:catAx>
      <c:valAx>
        <c:axId val="330073216"/>
        <c:scaling>
          <c:orientation val="minMax"/>
        </c:scaling>
        <c:delete val="0"/>
        <c:axPos val="l"/>
        <c:numFmt formatCode="General" sourceLinked="1"/>
        <c:majorTickMark val="out"/>
        <c:minorTickMark val="none"/>
        <c:tickLblPos val="nextTo"/>
        <c:crossAx val="329555328"/>
        <c:crosses val="autoZero"/>
        <c:crossBetween val="between"/>
      </c:valAx>
    </c:plotArea>
    <c:legend>
      <c:legendPos val="r"/>
      <c:overlay val="0"/>
    </c:legend>
    <c:plotVisOnly val="1"/>
    <c:dispBlanksAs val="gap"/>
    <c:showDLblsOverMax val="0"/>
  </c:chart>
  <c:externalData r:id="rId1">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barChart>
        <c:barDir val="col"/>
        <c:grouping val="clustered"/>
        <c:varyColors val="0"/>
        <c:ser>
          <c:idx val="0"/>
          <c:order val="0"/>
          <c:tx>
            <c:strRef>
              <c:f>Sheet1!$B$1</c:f>
              <c:strCache>
                <c:ptCount val="1"/>
                <c:pt idx="0">
                  <c:v>Pb (mg/kg)</c:v>
                </c:pt>
              </c:strCache>
            </c:strRef>
          </c:tx>
          <c:invertIfNegative val="0"/>
          <c:cat>
            <c:numRef>
              <c:f>Sheet1!$A$2:$A$6</c:f>
              <c:numCache>
                <c:formatCode>General</c:formatCode>
                <c:ptCount val="5"/>
                <c:pt idx="0">
                  <c:v>2009</c:v>
                </c:pt>
                <c:pt idx="1">
                  <c:v>2010</c:v>
                </c:pt>
                <c:pt idx="2">
                  <c:v>2011</c:v>
                </c:pt>
                <c:pt idx="3">
                  <c:v>2012</c:v>
                </c:pt>
                <c:pt idx="4">
                  <c:v>2013</c:v>
                </c:pt>
              </c:numCache>
            </c:numRef>
          </c:cat>
          <c:val>
            <c:numRef>
              <c:f>Sheet1!$B$2:$B$6</c:f>
              <c:numCache>
                <c:formatCode>General</c:formatCode>
                <c:ptCount val="5"/>
                <c:pt idx="0">
                  <c:v>133.6</c:v>
                </c:pt>
                <c:pt idx="1">
                  <c:v>25.810000000000031</c:v>
                </c:pt>
                <c:pt idx="2">
                  <c:v>30.19</c:v>
                </c:pt>
                <c:pt idx="3">
                  <c:v>20.52</c:v>
                </c:pt>
                <c:pt idx="4">
                  <c:v>23.150000000000031</c:v>
                </c:pt>
              </c:numCache>
            </c:numRef>
          </c:val>
        </c:ser>
        <c:dLbls>
          <c:showLegendKey val="0"/>
          <c:showVal val="0"/>
          <c:showCatName val="0"/>
          <c:showSerName val="0"/>
          <c:showPercent val="0"/>
          <c:showBubbleSize val="0"/>
        </c:dLbls>
        <c:gapWidth val="150"/>
        <c:axId val="330090368"/>
        <c:axId val="330091904"/>
      </c:barChart>
      <c:lineChart>
        <c:grouping val="standard"/>
        <c:varyColors val="0"/>
        <c:ser>
          <c:idx val="1"/>
          <c:order val="1"/>
          <c:tx>
            <c:strRef>
              <c:f>Sheet1!$C$1</c:f>
              <c:strCache>
                <c:ptCount val="1"/>
                <c:pt idx="0">
                  <c:v>MDK (mg/kg)</c:v>
                </c:pt>
              </c:strCache>
            </c:strRef>
          </c:tx>
          <c:spPr>
            <a:ln w="50800">
              <a:solidFill>
                <a:srgbClr val="FF0000"/>
              </a:solidFill>
            </a:ln>
          </c:spPr>
          <c:marker>
            <c:symbol val="none"/>
          </c:marker>
          <c:cat>
            <c:numRef>
              <c:f>Sheet1!$A$2:$A$6</c:f>
              <c:numCache>
                <c:formatCode>General</c:formatCode>
                <c:ptCount val="5"/>
                <c:pt idx="0">
                  <c:v>2009</c:v>
                </c:pt>
                <c:pt idx="1">
                  <c:v>2010</c:v>
                </c:pt>
                <c:pt idx="2">
                  <c:v>2011</c:v>
                </c:pt>
                <c:pt idx="3">
                  <c:v>2012</c:v>
                </c:pt>
                <c:pt idx="4">
                  <c:v>2013</c:v>
                </c:pt>
              </c:numCache>
            </c:numRef>
          </c:cat>
          <c:val>
            <c:numRef>
              <c:f>Sheet1!$C$2:$C$6</c:f>
              <c:numCache>
                <c:formatCode>General</c:formatCode>
                <c:ptCount val="5"/>
                <c:pt idx="0">
                  <c:v>50</c:v>
                </c:pt>
                <c:pt idx="1">
                  <c:v>50</c:v>
                </c:pt>
                <c:pt idx="2">
                  <c:v>50</c:v>
                </c:pt>
                <c:pt idx="3">
                  <c:v>50</c:v>
                </c:pt>
                <c:pt idx="4">
                  <c:v>50</c:v>
                </c:pt>
              </c:numCache>
            </c:numRef>
          </c:val>
          <c:smooth val="0"/>
        </c:ser>
        <c:dLbls>
          <c:showLegendKey val="0"/>
          <c:showVal val="0"/>
          <c:showCatName val="0"/>
          <c:showSerName val="0"/>
          <c:showPercent val="0"/>
          <c:showBubbleSize val="0"/>
        </c:dLbls>
        <c:marker val="1"/>
        <c:smooth val="0"/>
        <c:axId val="330090368"/>
        <c:axId val="330091904"/>
      </c:lineChart>
      <c:catAx>
        <c:axId val="330090368"/>
        <c:scaling>
          <c:orientation val="minMax"/>
        </c:scaling>
        <c:delete val="0"/>
        <c:axPos val="b"/>
        <c:numFmt formatCode="General" sourceLinked="0"/>
        <c:majorTickMark val="out"/>
        <c:minorTickMark val="none"/>
        <c:tickLblPos val="nextTo"/>
        <c:crossAx val="330091904"/>
        <c:crosses val="autoZero"/>
        <c:auto val="1"/>
        <c:lblAlgn val="ctr"/>
        <c:lblOffset val="100"/>
        <c:noMultiLvlLbl val="0"/>
      </c:catAx>
      <c:valAx>
        <c:axId val="330091904"/>
        <c:scaling>
          <c:orientation val="minMax"/>
        </c:scaling>
        <c:delete val="0"/>
        <c:axPos val="l"/>
        <c:numFmt formatCode="General" sourceLinked="1"/>
        <c:majorTickMark val="out"/>
        <c:minorTickMark val="none"/>
        <c:tickLblPos val="nextTo"/>
        <c:crossAx val="330090368"/>
        <c:crosses val="autoZero"/>
        <c:crossBetween val="between"/>
      </c:valAx>
    </c:plotArea>
    <c:legend>
      <c:legendPos val="r"/>
      <c:overlay val="0"/>
    </c:legend>
    <c:plotVisOnly val="1"/>
    <c:dispBlanksAs val="gap"/>
    <c:showDLblsOverMax val="0"/>
  </c:chart>
  <c:externalData r:id="rId1">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manualLayout>
          <c:layoutTarget val="inner"/>
          <c:xMode val="edge"/>
          <c:yMode val="edge"/>
          <c:x val="0.11338770633210488"/>
          <c:y val="0.13141383247454699"/>
          <c:w val="0.60315041182512064"/>
          <c:h val="0.65060449775432183"/>
        </c:manualLayout>
      </c:layout>
      <c:barChart>
        <c:barDir val="col"/>
        <c:grouping val="clustered"/>
        <c:varyColors val="0"/>
        <c:ser>
          <c:idx val="0"/>
          <c:order val="0"/>
          <c:tx>
            <c:strRef>
              <c:f>Sheet1!$B$1</c:f>
              <c:strCache>
                <c:ptCount val="1"/>
                <c:pt idx="0">
                  <c:v>Cu (mg/kg)</c:v>
                </c:pt>
              </c:strCache>
            </c:strRef>
          </c:tx>
          <c:invertIfNegative val="0"/>
          <c:cat>
            <c:numRef>
              <c:f>Sheet1!$A$2:$A$6</c:f>
              <c:numCache>
                <c:formatCode>General</c:formatCode>
                <c:ptCount val="5"/>
                <c:pt idx="0">
                  <c:v>2009</c:v>
                </c:pt>
                <c:pt idx="1">
                  <c:v>2010</c:v>
                </c:pt>
                <c:pt idx="2">
                  <c:v>2011</c:v>
                </c:pt>
                <c:pt idx="3">
                  <c:v>2012</c:v>
                </c:pt>
                <c:pt idx="4">
                  <c:v>2013</c:v>
                </c:pt>
              </c:numCache>
            </c:numRef>
          </c:cat>
          <c:val>
            <c:numRef>
              <c:f>Sheet1!$B$2:$B$6</c:f>
              <c:numCache>
                <c:formatCode>General</c:formatCode>
                <c:ptCount val="5"/>
                <c:pt idx="0">
                  <c:v>293.01</c:v>
                </c:pt>
                <c:pt idx="1">
                  <c:v>18.73</c:v>
                </c:pt>
                <c:pt idx="2">
                  <c:v>20.38</c:v>
                </c:pt>
                <c:pt idx="3">
                  <c:v>27.9</c:v>
                </c:pt>
                <c:pt idx="4">
                  <c:v>33.99</c:v>
                </c:pt>
              </c:numCache>
            </c:numRef>
          </c:val>
        </c:ser>
        <c:dLbls>
          <c:showLegendKey val="0"/>
          <c:showVal val="0"/>
          <c:showCatName val="0"/>
          <c:showSerName val="0"/>
          <c:showPercent val="0"/>
          <c:showBubbleSize val="0"/>
        </c:dLbls>
        <c:gapWidth val="150"/>
        <c:axId val="329843072"/>
        <c:axId val="329844608"/>
      </c:barChart>
      <c:lineChart>
        <c:grouping val="standard"/>
        <c:varyColors val="0"/>
        <c:ser>
          <c:idx val="1"/>
          <c:order val="1"/>
          <c:tx>
            <c:strRef>
              <c:f>Sheet1!$C$1</c:f>
              <c:strCache>
                <c:ptCount val="1"/>
                <c:pt idx="0">
                  <c:v>MDK (mg/kg)</c:v>
                </c:pt>
              </c:strCache>
            </c:strRef>
          </c:tx>
          <c:spPr>
            <a:ln w="50800">
              <a:solidFill>
                <a:srgbClr val="FF0000"/>
              </a:solidFill>
            </a:ln>
          </c:spPr>
          <c:marker>
            <c:symbol val="none"/>
          </c:marker>
          <c:cat>
            <c:numRef>
              <c:f>Sheet1!$A$2:$A$6</c:f>
              <c:numCache>
                <c:formatCode>General</c:formatCode>
                <c:ptCount val="5"/>
                <c:pt idx="0">
                  <c:v>2009</c:v>
                </c:pt>
                <c:pt idx="1">
                  <c:v>2010</c:v>
                </c:pt>
                <c:pt idx="2">
                  <c:v>2011</c:v>
                </c:pt>
                <c:pt idx="3">
                  <c:v>2012</c:v>
                </c:pt>
                <c:pt idx="4">
                  <c:v>2013</c:v>
                </c:pt>
              </c:numCache>
            </c:numRef>
          </c:cat>
          <c:val>
            <c:numRef>
              <c:f>Sheet1!$C$2:$C$6</c:f>
              <c:numCache>
                <c:formatCode>General</c:formatCode>
                <c:ptCount val="5"/>
                <c:pt idx="0">
                  <c:v>100</c:v>
                </c:pt>
                <c:pt idx="1">
                  <c:v>100</c:v>
                </c:pt>
                <c:pt idx="2">
                  <c:v>100</c:v>
                </c:pt>
                <c:pt idx="3">
                  <c:v>100</c:v>
                </c:pt>
                <c:pt idx="4">
                  <c:v>100</c:v>
                </c:pt>
              </c:numCache>
            </c:numRef>
          </c:val>
          <c:smooth val="0"/>
        </c:ser>
        <c:dLbls>
          <c:showLegendKey val="0"/>
          <c:showVal val="0"/>
          <c:showCatName val="0"/>
          <c:showSerName val="0"/>
          <c:showPercent val="0"/>
          <c:showBubbleSize val="0"/>
        </c:dLbls>
        <c:marker val="1"/>
        <c:smooth val="0"/>
        <c:axId val="329843072"/>
        <c:axId val="329844608"/>
      </c:lineChart>
      <c:catAx>
        <c:axId val="329843072"/>
        <c:scaling>
          <c:orientation val="minMax"/>
        </c:scaling>
        <c:delete val="0"/>
        <c:axPos val="b"/>
        <c:numFmt formatCode="General" sourceLinked="0"/>
        <c:majorTickMark val="out"/>
        <c:minorTickMark val="none"/>
        <c:tickLblPos val="nextTo"/>
        <c:crossAx val="329844608"/>
        <c:crosses val="autoZero"/>
        <c:auto val="1"/>
        <c:lblAlgn val="ctr"/>
        <c:lblOffset val="100"/>
        <c:noMultiLvlLbl val="0"/>
      </c:catAx>
      <c:valAx>
        <c:axId val="329844608"/>
        <c:scaling>
          <c:orientation val="minMax"/>
        </c:scaling>
        <c:delete val="0"/>
        <c:axPos val="l"/>
        <c:numFmt formatCode="General" sourceLinked="1"/>
        <c:majorTickMark val="out"/>
        <c:minorTickMark val="none"/>
        <c:tickLblPos val="nextTo"/>
        <c:crossAx val="329843072"/>
        <c:crosses val="autoZero"/>
        <c:crossBetween val="between"/>
      </c:valAx>
    </c:plotArea>
    <c:legend>
      <c:legendPos val="r"/>
      <c:layout>
        <c:manualLayout>
          <c:xMode val="edge"/>
          <c:yMode val="edge"/>
          <c:x val="0.68581697108833251"/>
          <c:y val="0.22094883300877721"/>
          <c:w val="0.28159977445274581"/>
          <c:h val="0.25029548725764256"/>
        </c:manualLayout>
      </c:layout>
      <c:overlay val="0"/>
    </c:legend>
    <c:plotVisOnly val="1"/>
    <c:dispBlanksAs val="gap"/>
    <c:showDLblsOverMax val="0"/>
  </c:chart>
  <c:externalData r:id="rId1">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manualLayout>
          <c:layoutTarget val="inner"/>
          <c:xMode val="edge"/>
          <c:yMode val="edge"/>
          <c:x val="0.12560498000577153"/>
          <c:y val="0.11344172887479974"/>
          <c:w val="0.5236797625427787"/>
          <c:h val="0.68697685516583162"/>
        </c:manualLayout>
      </c:layout>
      <c:barChart>
        <c:barDir val="col"/>
        <c:grouping val="clustered"/>
        <c:varyColors val="0"/>
        <c:ser>
          <c:idx val="0"/>
          <c:order val="0"/>
          <c:tx>
            <c:strRef>
              <c:f>Sheet2!$B$1</c:f>
              <c:strCache>
                <c:ptCount val="1"/>
                <c:pt idx="0">
                  <c:v>Zn (mg/kg)</c:v>
                </c:pt>
              </c:strCache>
            </c:strRef>
          </c:tx>
          <c:invertIfNegative val="0"/>
          <c:cat>
            <c:numRef>
              <c:f>Sheet2!$A$2:$A$6</c:f>
              <c:numCache>
                <c:formatCode>General</c:formatCode>
                <c:ptCount val="5"/>
                <c:pt idx="0">
                  <c:v>2009</c:v>
                </c:pt>
                <c:pt idx="1">
                  <c:v>2010</c:v>
                </c:pt>
                <c:pt idx="2">
                  <c:v>2011</c:v>
                </c:pt>
                <c:pt idx="3">
                  <c:v>2012</c:v>
                </c:pt>
                <c:pt idx="4">
                  <c:v>2013</c:v>
                </c:pt>
              </c:numCache>
            </c:numRef>
          </c:cat>
          <c:val>
            <c:numRef>
              <c:f>Sheet2!$B$2:$B$6</c:f>
              <c:numCache>
                <c:formatCode>General</c:formatCode>
                <c:ptCount val="5"/>
                <c:pt idx="0">
                  <c:v>412.53</c:v>
                </c:pt>
                <c:pt idx="1">
                  <c:v>29.66</c:v>
                </c:pt>
                <c:pt idx="2">
                  <c:v>120.29</c:v>
                </c:pt>
                <c:pt idx="3">
                  <c:v>66.23</c:v>
                </c:pt>
                <c:pt idx="4">
                  <c:v>83.86999999999999</c:v>
                </c:pt>
              </c:numCache>
            </c:numRef>
          </c:val>
        </c:ser>
        <c:dLbls>
          <c:showLegendKey val="0"/>
          <c:showVal val="0"/>
          <c:showCatName val="0"/>
          <c:showSerName val="0"/>
          <c:showPercent val="0"/>
          <c:showBubbleSize val="0"/>
        </c:dLbls>
        <c:gapWidth val="150"/>
        <c:axId val="329857664"/>
        <c:axId val="329863552"/>
      </c:barChart>
      <c:lineChart>
        <c:grouping val="standard"/>
        <c:varyColors val="0"/>
        <c:ser>
          <c:idx val="1"/>
          <c:order val="1"/>
          <c:tx>
            <c:strRef>
              <c:f>Sheet2!$C$1</c:f>
              <c:strCache>
                <c:ptCount val="1"/>
                <c:pt idx="0">
                  <c:v>MDK (mg/kg)</c:v>
                </c:pt>
              </c:strCache>
            </c:strRef>
          </c:tx>
          <c:spPr>
            <a:ln w="50800">
              <a:solidFill>
                <a:srgbClr val="FF0000"/>
              </a:solidFill>
            </a:ln>
          </c:spPr>
          <c:marker>
            <c:symbol val="none"/>
          </c:marker>
          <c:cat>
            <c:numRef>
              <c:f>Sheet2!$A$2:$A$6</c:f>
              <c:numCache>
                <c:formatCode>General</c:formatCode>
                <c:ptCount val="5"/>
                <c:pt idx="0">
                  <c:v>2009</c:v>
                </c:pt>
                <c:pt idx="1">
                  <c:v>2010</c:v>
                </c:pt>
                <c:pt idx="2">
                  <c:v>2011</c:v>
                </c:pt>
                <c:pt idx="3">
                  <c:v>2012</c:v>
                </c:pt>
                <c:pt idx="4">
                  <c:v>2013</c:v>
                </c:pt>
              </c:numCache>
            </c:numRef>
          </c:cat>
          <c:val>
            <c:numRef>
              <c:f>Sheet2!$C$2:$C$6</c:f>
              <c:numCache>
                <c:formatCode>General</c:formatCode>
                <c:ptCount val="5"/>
                <c:pt idx="0">
                  <c:v>300</c:v>
                </c:pt>
                <c:pt idx="1">
                  <c:v>300</c:v>
                </c:pt>
                <c:pt idx="2">
                  <c:v>300</c:v>
                </c:pt>
                <c:pt idx="3">
                  <c:v>300</c:v>
                </c:pt>
                <c:pt idx="4">
                  <c:v>300</c:v>
                </c:pt>
              </c:numCache>
            </c:numRef>
          </c:val>
          <c:smooth val="0"/>
        </c:ser>
        <c:dLbls>
          <c:showLegendKey val="0"/>
          <c:showVal val="0"/>
          <c:showCatName val="0"/>
          <c:showSerName val="0"/>
          <c:showPercent val="0"/>
          <c:showBubbleSize val="0"/>
        </c:dLbls>
        <c:marker val="1"/>
        <c:smooth val="0"/>
        <c:axId val="329857664"/>
        <c:axId val="329863552"/>
      </c:lineChart>
      <c:catAx>
        <c:axId val="329857664"/>
        <c:scaling>
          <c:orientation val="minMax"/>
        </c:scaling>
        <c:delete val="0"/>
        <c:axPos val="b"/>
        <c:numFmt formatCode="General" sourceLinked="0"/>
        <c:majorTickMark val="out"/>
        <c:minorTickMark val="none"/>
        <c:tickLblPos val="nextTo"/>
        <c:crossAx val="329863552"/>
        <c:crosses val="autoZero"/>
        <c:auto val="1"/>
        <c:lblAlgn val="ctr"/>
        <c:lblOffset val="100"/>
        <c:noMultiLvlLbl val="0"/>
      </c:catAx>
      <c:valAx>
        <c:axId val="329863552"/>
        <c:scaling>
          <c:orientation val="minMax"/>
        </c:scaling>
        <c:delete val="0"/>
        <c:axPos val="l"/>
        <c:numFmt formatCode="General" sourceLinked="1"/>
        <c:majorTickMark val="out"/>
        <c:minorTickMark val="none"/>
        <c:tickLblPos val="nextTo"/>
        <c:crossAx val="329857664"/>
        <c:crosses val="autoZero"/>
        <c:crossBetween val="between"/>
      </c:valAx>
    </c:plotArea>
    <c:legend>
      <c:legendPos val="r"/>
      <c:overlay val="0"/>
    </c:legend>
    <c:plotVisOnly val="1"/>
    <c:dispBlanksAs val="gap"/>
    <c:showDLblsOverMax val="0"/>
  </c:chart>
  <c:externalData r:id="rId1">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barChart>
        <c:barDir val="col"/>
        <c:grouping val="clustered"/>
        <c:varyColors val="0"/>
        <c:ser>
          <c:idx val="0"/>
          <c:order val="0"/>
          <c:tx>
            <c:strRef>
              <c:f>Sheet3!$B$1</c:f>
              <c:strCache>
                <c:ptCount val="1"/>
                <c:pt idx="0">
                  <c:v>Pb (mg/kg)</c:v>
                </c:pt>
              </c:strCache>
            </c:strRef>
          </c:tx>
          <c:invertIfNegative val="0"/>
          <c:cat>
            <c:numRef>
              <c:f>Sheet3!$A$2:$A$6</c:f>
              <c:numCache>
                <c:formatCode>General</c:formatCode>
                <c:ptCount val="5"/>
                <c:pt idx="0">
                  <c:v>2009</c:v>
                </c:pt>
                <c:pt idx="1">
                  <c:v>2010</c:v>
                </c:pt>
                <c:pt idx="2">
                  <c:v>2011</c:v>
                </c:pt>
                <c:pt idx="3">
                  <c:v>2012</c:v>
                </c:pt>
                <c:pt idx="4">
                  <c:v>2013</c:v>
                </c:pt>
              </c:numCache>
            </c:numRef>
          </c:cat>
          <c:val>
            <c:numRef>
              <c:f>Sheet3!$B$2:$B$6</c:f>
              <c:numCache>
                <c:formatCode>General</c:formatCode>
                <c:ptCount val="5"/>
                <c:pt idx="0">
                  <c:v>29.5</c:v>
                </c:pt>
                <c:pt idx="1">
                  <c:v>19</c:v>
                </c:pt>
                <c:pt idx="2">
                  <c:v>2.5</c:v>
                </c:pt>
                <c:pt idx="3">
                  <c:v>24.85</c:v>
                </c:pt>
                <c:pt idx="4">
                  <c:v>13.450000000000006</c:v>
                </c:pt>
              </c:numCache>
            </c:numRef>
          </c:val>
        </c:ser>
        <c:dLbls>
          <c:showLegendKey val="0"/>
          <c:showVal val="0"/>
          <c:showCatName val="0"/>
          <c:showSerName val="0"/>
          <c:showPercent val="0"/>
          <c:showBubbleSize val="0"/>
        </c:dLbls>
        <c:gapWidth val="150"/>
        <c:axId val="329979008"/>
        <c:axId val="329980544"/>
      </c:barChart>
      <c:lineChart>
        <c:grouping val="standard"/>
        <c:varyColors val="0"/>
        <c:ser>
          <c:idx val="1"/>
          <c:order val="1"/>
          <c:tx>
            <c:strRef>
              <c:f>Sheet3!$C$1</c:f>
              <c:strCache>
                <c:ptCount val="1"/>
                <c:pt idx="0">
                  <c:v>MDK (mg/kg)</c:v>
                </c:pt>
              </c:strCache>
            </c:strRef>
          </c:tx>
          <c:spPr>
            <a:ln w="50800">
              <a:solidFill>
                <a:srgbClr val="FF0000"/>
              </a:solidFill>
            </a:ln>
          </c:spPr>
          <c:marker>
            <c:symbol val="none"/>
          </c:marker>
          <c:cat>
            <c:numRef>
              <c:f>Sheet3!$A$2:$A$6</c:f>
              <c:numCache>
                <c:formatCode>General</c:formatCode>
                <c:ptCount val="5"/>
                <c:pt idx="0">
                  <c:v>2009</c:v>
                </c:pt>
                <c:pt idx="1">
                  <c:v>2010</c:v>
                </c:pt>
                <c:pt idx="2">
                  <c:v>2011</c:v>
                </c:pt>
                <c:pt idx="3">
                  <c:v>2012</c:v>
                </c:pt>
                <c:pt idx="4">
                  <c:v>2013</c:v>
                </c:pt>
              </c:numCache>
            </c:numRef>
          </c:cat>
          <c:val>
            <c:numRef>
              <c:f>Sheet3!$C$2:$C$6</c:f>
              <c:numCache>
                <c:formatCode>General</c:formatCode>
                <c:ptCount val="5"/>
                <c:pt idx="0">
                  <c:v>50</c:v>
                </c:pt>
                <c:pt idx="1">
                  <c:v>50</c:v>
                </c:pt>
                <c:pt idx="2">
                  <c:v>50</c:v>
                </c:pt>
                <c:pt idx="3">
                  <c:v>50</c:v>
                </c:pt>
                <c:pt idx="4">
                  <c:v>50</c:v>
                </c:pt>
              </c:numCache>
            </c:numRef>
          </c:val>
          <c:smooth val="0"/>
        </c:ser>
        <c:dLbls>
          <c:showLegendKey val="0"/>
          <c:showVal val="0"/>
          <c:showCatName val="0"/>
          <c:showSerName val="0"/>
          <c:showPercent val="0"/>
          <c:showBubbleSize val="0"/>
        </c:dLbls>
        <c:marker val="1"/>
        <c:smooth val="0"/>
        <c:axId val="329979008"/>
        <c:axId val="329980544"/>
      </c:lineChart>
      <c:catAx>
        <c:axId val="329979008"/>
        <c:scaling>
          <c:orientation val="minMax"/>
        </c:scaling>
        <c:delete val="0"/>
        <c:axPos val="b"/>
        <c:numFmt formatCode="General" sourceLinked="0"/>
        <c:majorTickMark val="out"/>
        <c:minorTickMark val="none"/>
        <c:tickLblPos val="nextTo"/>
        <c:crossAx val="329980544"/>
        <c:crosses val="autoZero"/>
        <c:auto val="1"/>
        <c:lblAlgn val="ctr"/>
        <c:lblOffset val="100"/>
        <c:noMultiLvlLbl val="0"/>
      </c:catAx>
      <c:valAx>
        <c:axId val="329980544"/>
        <c:scaling>
          <c:orientation val="minMax"/>
        </c:scaling>
        <c:delete val="0"/>
        <c:axPos val="l"/>
        <c:numFmt formatCode="General" sourceLinked="1"/>
        <c:majorTickMark val="out"/>
        <c:minorTickMark val="none"/>
        <c:tickLblPos val="nextTo"/>
        <c:crossAx val="329979008"/>
        <c:crosses val="autoZero"/>
        <c:crossBetween val="between"/>
      </c:valAx>
    </c:plotArea>
    <c:legend>
      <c:legendPos val="r"/>
      <c:layout>
        <c:manualLayout>
          <c:xMode val="edge"/>
          <c:yMode val="edge"/>
          <c:x val="0.6930258909452176"/>
          <c:y val="0.27145220771454437"/>
          <c:w val="0.2865137509985165"/>
          <c:h val="0.30519685039370081"/>
        </c:manualLayout>
      </c:layout>
      <c:overlay val="0"/>
    </c:legend>
    <c:plotVisOnly val="1"/>
    <c:dispBlanksAs val="gap"/>
    <c:showDLblsOverMax val="0"/>
  </c:chart>
  <c:externalData r:id="rId1">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barChart>
        <c:barDir val="col"/>
        <c:grouping val="clustered"/>
        <c:varyColors val="0"/>
        <c:ser>
          <c:idx val="0"/>
          <c:order val="0"/>
          <c:tx>
            <c:strRef>
              <c:f>Sheet4!$B$1</c:f>
              <c:strCache>
                <c:ptCount val="1"/>
                <c:pt idx="0">
                  <c:v>Ni (mg/kg)</c:v>
                </c:pt>
              </c:strCache>
            </c:strRef>
          </c:tx>
          <c:invertIfNegative val="0"/>
          <c:cat>
            <c:numRef>
              <c:f>Sheet4!$A$2:$A$6</c:f>
              <c:numCache>
                <c:formatCode>General</c:formatCode>
                <c:ptCount val="5"/>
                <c:pt idx="0">
                  <c:v>2009</c:v>
                </c:pt>
                <c:pt idx="1">
                  <c:v>2010</c:v>
                </c:pt>
                <c:pt idx="2">
                  <c:v>2011</c:v>
                </c:pt>
                <c:pt idx="3">
                  <c:v>2012</c:v>
                </c:pt>
                <c:pt idx="4">
                  <c:v>2013</c:v>
                </c:pt>
              </c:numCache>
            </c:numRef>
          </c:cat>
          <c:val>
            <c:numRef>
              <c:f>Sheet4!$B$2:$B$6</c:f>
              <c:numCache>
                <c:formatCode>General</c:formatCode>
                <c:ptCount val="5"/>
                <c:pt idx="0">
                  <c:v>97.82</c:v>
                </c:pt>
                <c:pt idx="1">
                  <c:v>26.75</c:v>
                </c:pt>
                <c:pt idx="2">
                  <c:v>2.5</c:v>
                </c:pt>
                <c:pt idx="3">
                  <c:v>18.82</c:v>
                </c:pt>
                <c:pt idx="4">
                  <c:v>9</c:v>
                </c:pt>
              </c:numCache>
            </c:numRef>
          </c:val>
        </c:ser>
        <c:dLbls>
          <c:showLegendKey val="0"/>
          <c:showVal val="0"/>
          <c:showCatName val="0"/>
          <c:showSerName val="0"/>
          <c:showPercent val="0"/>
          <c:showBubbleSize val="0"/>
        </c:dLbls>
        <c:gapWidth val="150"/>
        <c:axId val="328940928"/>
        <c:axId val="328959104"/>
      </c:barChart>
      <c:lineChart>
        <c:grouping val="standard"/>
        <c:varyColors val="0"/>
        <c:ser>
          <c:idx val="1"/>
          <c:order val="1"/>
          <c:tx>
            <c:strRef>
              <c:f>Sheet4!$C$1</c:f>
              <c:strCache>
                <c:ptCount val="1"/>
                <c:pt idx="0">
                  <c:v>MDK (mg/kg)</c:v>
                </c:pt>
              </c:strCache>
            </c:strRef>
          </c:tx>
          <c:spPr>
            <a:ln w="50800">
              <a:solidFill>
                <a:srgbClr val="FF0000"/>
              </a:solidFill>
            </a:ln>
          </c:spPr>
          <c:marker>
            <c:symbol val="none"/>
          </c:marker>
          <c:cat>
            <c:numRef>
              <c:f>Sheet4!$A$2:$A$6</c:f>
              <c:numCache>
                <c:formatCode>General</c:formatCode>
                <c:ptCount val="5"/>
                <c:pt idx="0">
                  <c:v>2009</c:v>
                </c:pt>
                <c:pt idx="1">
                  <c:v>2010</c:v>
                </c:pt>
                <c:pt idx="2">
                  <c:v>2011</c:v>
                </c:pt>
                <c:pt idx="3">
                  <c:v>2012</c:v>
                </c:pt>
                <c:pt idx="4">
                  <c:v>2013</c:v>
                </c:pt>
              </c:numCache>
            </c:numRef>
          </c:cat>
          <c:val>
            <c:numRef>
              <c:f>Sheet4!$C$2:$C$6</c:f>
              <c:numCache>
                <c:formatCode>General</c:formatCode>
                <c:ptCount val="5"/>
                <c:pt idx="0">
                  <c:v>50</c:v>
                </c:pt>
                <c:pt idx="1">
                  <c:v>50</c:v>
                </c:pt>
                <c:pt idx="2">
                  <c:v>50</c:v>
                </c:pt>
                <c:pt idx="3">
                  <c:v>50</c:v>
                </c:pt>
                <c:pt idx="4">
                  <c:v>50</c:v>
                </c:pt>
              </c:numCache>
            </c:numRef>
          </c:val>
          <c:smooth val="0"/>
        </c:ser>
        <c:dLbls>
          <c:showLegendKey val="0"/>
          <c:showVal val="0"/>
          <c:showCatName val="0"/>
          <c:showSerName val="0"/>
          <c:showPercent val="0"/>
          <c:showBubbleSize val="0"/>
        </c:dLbls>
        <c:marker val="1"/>
        <c:smooth val="0"/>
        <c:axId val="328940928"/>
        <c:axId val="328959104"/>
      </c:lineChart>
      <c:catAx>
        <c:axId val="328940928"/>
        <c:scaling>
          <c:orientation val="minMax"/>
        </c:scaling>
        <c:delete val="0"/>
        <c:axPos val="b"/>
        <c:numFmt formatCode="General" sourceLinked="0"/>
        <c:majorTickMark val="out"/>
        <c:minorTickMark val="none"/>
        <c:tickLblPos val="nextTo"/>
        <c:crossAx val="328959104"/>
        <c:crosses val="autoZero"/>
        <c:auto val="1"/>
        <c:lblAlgn val="ctr"/>
        <c:lblOffset val="100"/>
        <c:noMultiLvlLbl val="0"/>
      </c:catAx>
      <c:valAx>
        <c:axId val="328959104"/>
        <c:scaling>
          <c:orientation val="minMax"/>
        </c:scaling>
        <c:delete val="0"/>
        <c:axPos val="l"/>
        <c:numFmt formatCode="General" sourceLinked="1"/>
        <c:majorTickMark val="out"/>
        <c:minorTickMark val="none"/>
        <c:tickLblPos val="nextTo"/>
        <c:crossAx val="328940928"/>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manualLayout>
          <c:layoutTarget val="inner"/>
          <c:xMode val="edge"/>
          <c:yMode val="edge"/>
          <c:x val="9.0569837710683679E-2"/>
          <c:y val="0.10238740157480307"/>
          <c:w val="0.6358612458210936"/>
          <c:h val="0.71942887139107692"/>
        </c:manualLayout>
      </c:layout>
      <c:barChart>
        <c:barDir val="col"/>
        <c:grouping val="clustered"/>
        <c:varyColors val="0"/>
        <c:ser>
          <c:idx val="0"/>
          <c:order val="0"/>
          <c:tx>
            <c:strRef>
              <c:f>Sheet1!$B$1</c:f>
              <c:strCache>
                <c:ptCount val="1"/>
                <c:pt idx="0">
                  <c:v>Csr </c:v>
                </c:pt>
              </c:strCache>
            </c:strRef>
          </c:tx>
          <c:spPr>
            <a:solidFill>
              <a:srgbClr val="FFFF00"/>
            </a:solidFill>
          </c:spPr>
          <c:invertIfNegative val="0"/>
          <c:cat>
            <c:strRef>
              <c:f>Sheet1!$A$2:$A$13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Sheet1!$B$2:$B$13</c:f>
              <c:numCache>
                <c:formatCode>General</c:formatCode>
                <c:ptCount val="12"/>
                <c:pt idx="0">
                  <c:v>89.56</c:v>
                </c:pt>
                <c:pt idx="1">
                  <c:v>81.400000000000006</c:v>
                </c:pt>
                <c:pt idx="2">
                  <c:v>84.29</c:v>
                </c:pt>
                <c:pt idx="3">
                  <c:v>85.78</c:v>
                </c:pt>
                <c:pt idx="4">
                  <c:v>97.76</c:v>
                </c:pt>
                <c:pt idx="5">
                  <c:v>103.19</c:v>
                </c:pt>
                <c:pt idx="6">
                  <c:v>125.56</c:v>
                </c:pt>
                <c:pt idx="7">
                  <c:v>119.67999999999998</c:v>
                </c:pt>
                <c:pt idx="8">
                  <c:v>112.32</c:v>
                </c:pt>
                <c:pt idx="10">
                  <c:v>77.59</c:v>
                </c:pt>
                <c:pt idx="11">
                  <c:v>60.45</c:v>
                </c:pt>
              </c:numCache>
            </c:numRef>
          </c:val>
        </c:ser>
        <c:ser>
          <c:idx val="1"/>
          <c:order val="1"/>
          <c:tx>
            <c:strRef>
              <c:f>Sheet1!$C$1</c:f>
              <c:strCache>
                <c:ptCount val="1"/>
                <c:pt idx="0">
                  <c:v>Cmax </c:v>
                </c:pt>
              </c:strCache>
            </c:strRef>
          </c:tx>
          <c:invertIfNegative val="0"/>
          <c:cat>
            <c:strRef>
              <c:f>Sheet1!$A$2:$A$13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Sheet1!$C$2:$C$13</c:f>
              <c:numCache>
                <c:formatCode>General</c:formatCode>
                <c:ptCount val="12"/>
                <c:pt idx="0">
                  <c:v>112.32</c:v>
                </c:pt>
                <c:pt idx="1">
                  <c:v>100.02</c:v>
                </c:pt>
                <c:pt idx="2">
                  <c:v>108.46000000000002</c:v>
                </c:pt>
                <c:pt idx="3">
                  <c:v>126.71000000000002</c:v>
                </c:pt>
                <c:pt idx="4">
                  <c:v>113.82</c:v>
                </c:pt>
                <c:pt idx="5">
                  <c:v>115.84</c:v>
                </c:pt>
                <c:pt idx="6">
                  <c:v>143.09</c:v>
                </c:pt>
                <c:pt idx="7">
                  <c:v>132.94999999999999</c:v>
                </c:pt>
                <c:pt idx="8">
                  <c:v>136.85000000000016</c:v>
                </c:pt>
                <c:pt idx="10">
                  <c:v>104.32</c:v>
                </c:pt>
                <c:pt idx="11">
                  <c:v>98.210000000000022</c:v>
                </c:pt>
              </c:numCache>
            </c:numRef>
          </c:val>
        </c:ser>
        <c:dLbls>
          <c:showLegendKey val="0"/>
          <c:showVal val="0"/>
          <c:showCatName val="0"/>
          <c:showSerName val="0"/>
          <c:showPercent val="0"/>
          <c:showBubbleSize val="0"/>
        </c:dLbls>
        <c:gapWidth val="150"/>
        <c:axId val="198047232"/>
        <c:axId val="198048768"/>
      </c:barChart>
      <c:lineChart>
        <c:grouping val="standard"/>
        <c:varyColors val="0"/>
        <c:ser>
          <c:idx val="2"/>
          <c:order val="2"/>
          <c:tx>
            <c:strRef>
              <c:f>Sheet1!$D$1</c:f>
              <c:strCache>
                <c:ptCount val="1"/>
                <c:pt idx="0">
                  <c:v>max dozvoljena dnevna 8-časovna srednja vrijednost</c:v>
                </c:pt>
              </c:strCache>
            </c:strRef>
          </c:tx>
          <c:spPr>
            <a:ln w="41275">
              <a:solidFill>
                <a:srgbClr val="FF0000"/>
              </a:solidFill>
            </a:ln>
          </c:spPr>
          <c:marker>
            <c:symbol val="none"/>
          </c:marker>
          <c:cat>
            <c:strRef>
              <c:f>Sheet1!$A$2:$A$13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Sheet1!$D$2:$D$13</c:f>
              <c:numCache>
                <c:formatCode>General</c:formatCode>
                <c:ptCount val="12"/>
                <c:pt idx="0">
                  <c:v>120</c:v>
                </c:pt>
                <c:pt idx="1">
                  <c:v>120</c:v>
                </c:pt>
                <c:pt idx="2">
                  <c:v>120</c:v>
                </c:pt>
                <c:pt idx="3">
                  <c:v>120</c:v>
                </c:pt>
                <c:pt idx="4">
                  <c:v>120</c:v>
                </c:pt>
                <c:pt idx="5">
                  <c:v>120</c:v>
                </c:pt>
                <c:pt idx="6">
                  <c:v>120</c:v>
                </c:pt>
                <c:pt idx="7">
                  <c:v>120</c:v>
                </c:pt>
                <c:pt idx="8">
                  <c:v>120</c:v>
                </c:pt>
                <c:pt idx="9">
                  <c:v>120</c:v>
                </c:pt>
                <c:pt idx="10">
                  <c:v>120</c:v>
                </c:pt>
                <c:pt idx="11">
                  <c:v>120</c:v>
                </c:pt>
              </c:numCache>
            </c:numRef>
          </c:val>
          <c:smooth val="0"/>
        </c:ser>
        <c:dLbls>
          <c:showLegendKey val="0"/>
          <c:showVal val="0"/>
          <c:showCatName val="0"/>
          <c:showSerName val="0"/>
          <c:showPercent val="0"/>
          <c:showBubbleSize val="0"/>
        </c:dLbls>
        <c:marker val="1"/>
        <c:smooth val="0"/>
        <c:axId val="198047232"/>
        <c:axId val="198048768"/>
      </c:lineChart>
      <c:catAx>
        <c:axId val="198047232"/>
        <c:scaling>
          <c:orientation val="minMax"/>
        </c:scaling>
        <c:delete val="0"/>
        <c:axPos val="b"/>
        <c:majorTickMark val="out"/>
        <c:minorTickMark val="none"/>
        <c:tickLblPos val="nextTo"/>
        <c:crossAx val="198048768"/>
        <c:crosses val="autoZero"/>
        <c:auto val="1"/>
        <c:lblAlgn val="ctr"/>
        <c:lblOffset val="100"/>
        <c:noMultiLvlLbl val="0"/>
      </c:catAx>
      <c:valAx>
        <c:axId val="198048768"/>
        <c:scaling>
          <c:orientation val="minMax"/>
        </c:scaling>
        <c:delete val="0"/>
        <c:axPos val="l"/>
        <c:title>
          <c:tx>
            <c:rich>
              <a:bodyPr rot="0" vert="horz"/>
              <a:lstStyle/>
              <a:p>
                <a:pPr>
                  <a:defRPr/>
                </a:pPr>
                <a:r>
                  <a:rPr lang="en-US">
                    <a:latin typeface="Calibri"/>
                  </a:rPr>
                  <a:t>µg/m</a:t>
                </a:r>
                <a:r>
                  <a:rPr lang="en-US" baseline="30000">
                    <a:latin typeface="Calibri"/>
                  </a:rPr>
                  <a:t>3</a:t>
                </a:r>
                <a:endParaRPr lang="en-US" baseline="30000"/>
              </a:p>
            </c:rich>
          </c:tx>
          <c:layout>
            <c:manualLayout>
              <c:xMode val="edge"/>
              <c:yMode val="edge"/>
              <c:x val="8.8300220750551876E-3"/>
              <c:y val="2.2350539515894152E-3"/>
            </c:manualLayout>
          </c:layout>
          <c:overlay val="0"/>
        </c:title>
        <c:numFmt formatCode="General" sourceLinked="1"/>
        <c:majorTickMark val="out"/>
        <c:minorTickMark val="none"/>
        <c:tickLblPos val="nextTo"/>
        <c:crossAx val="198047232"/>
        <c:crosses val="autoZero"/>
        <c:crossBetween val="between"/>
      </c:valAx>
      <c:spPr>
        <a:blipFill dpi="0" rotWithShape="1">
          <a:blip xmlns:r="http://schemas.openxmlformats.org/officeDocument/2006/relationships" r:embed="rId1">
            <a:alphaModFix amt="70000"/>
          </a:blip>
          <a:srcRect/>
          <a:stretch>
            <a:fillRect/>
          </a:stretch>
        </a:blipFill>
      </c:spPr>
    </c:plotArea>
    <c:legend>
      <c:legendPos val="r"/>
      <c:layout>
        <c:manualLayout>
          <c:xMode val="edge"/>
          <c:yMode val="edge"/>
          <c:x val="0.76182295394893862"/>
          <c:y val="4.4217940094171716E-2"/>
          <c:w val="0.23590942740549256"/>
          <c:h val="0.89925480420475068"/>
        </c:manualLayout>
      </c:layout>
      <c:overlay val="1"/>
      <c:txPr>
        <a:bodyPr/>
        <a:lstStyle/>
        <a:p>
          <a:pPr>
            <a:defRPr sz="800"/>
          </a:pPr>
          <a:endParaRPr lang="en-US"/>
        </a:p>
      </c:txPr>
    </c:legend>
    <c:plotVisOnly val="1"/>
    <c:dispBlanksAs val="gap"/>
    <c:showDLblsOverMax val="0"/>
  </c:chart>
  <c:spPr>
    <a:ln>
      <a:noFill/>
    </a:ln>
  </c:spPr>
  <c:externalData r:id="rId2">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barChart>
        <c:barDir val="col"/>
        <c:grouping val="clustered"/>
        <c:varyColors val="0"/>
        <c:ser>
          <c:idx val="0"/>
          <c:order val="0"/>
          <c:tx>
            <c:strRef>
              <c:f>Sheet5!$B$1</c:f>
              <c:strCache>
                <c:ptCount val="1"/>
                <c:pt idx="0">
                  <c:v>Zn (mg/kg)</c:v>
                </c:pt>
              </c:strCache>
            </c:strRef>
          </c:tx>
          <c:invertIfNegative val="0"/>
          <c:cat>
            <c:numRef>
              <c:f>Sheet5!$A$2:$A$6</c:f>
              <c:numCache>
                <c:formatCode>General</c:formatCode>
                <c:ptCount val="5"/>
                <c:pt idx="0">
                  <c:v>2009</c:v>
                </c:pt>
                <c:pt idx="1">
                  <c:v>2010</c:v>
                </c:pt>
                <c:pt idx="2">
                  <c:v>2011</c:v>
                </c:pt>
                <c:pt idx="3">
                  <c:v>2012</c:v>
                </c:pt>
                <c:pt idx="4">
                  <c:v>2013</c:v>
                </c:pt>
              </c:numCache>
            </c:numRef>
          </c:cat>
          <c:val>
            <c:numRef>
              <c:f>Sheet5!$B$2:$B$6</c:f>
              <c:numCache>
                <c:formatCode>General</c:formatCode>
                <c:ptCount val="5"/>
                <c:pt idx="0">
                  <c:v>58.56</c:v>
                </c:pt>
                <c:pt idx="1">
                  <c:v>46.77</c:v>
                </c:pt>
                <c:pt idx="2">
                  <c:v>17.27</c:v>
                </c:pt>
                <c:pt idx="3">
                  <c:v>67.28</c:v>
                </c:pt>
                <c:pt idx="4">
                  <c:v>37.950000000000003</c:v>
                </c:pt>
              </c:numCache>
            </c:numRef>
          </c:val>
        </c:ser>
        <c:dLbls>
          <c:showLegendKey val="0"/>
          <c:showVal val="0"/>
          <c:showCatName val="0"/>
          <c:showSerName val="0"/>
          <c:showPercent val="0"/>
          <c:showBubbleSize val="0"/>
        </c:dLbls>
        <c:gapWidth val="150"/>
        <c:axId val="328972160"/>
        <c:axId val="328973696"/>
      </c:barChart>
      <c:lineChart>
        <c:grouping val="standard"/>
        <c:varyColors val="0"/>
        <c:ser>
          <c:idx val="1"/>
          <c:order val="1"/>
          <c:tx>
            <c:strRef>
              <c:f>Sheet5!$C$1</c:f>
              <c:strCache>
                <c:ptCount val="1"/>
                <c:pt idx="0">
                  <c:v>MDK (mg/kg)</c:v>
                </c:pt>
              </c:strCache>
            </c:strRef>
          </c:tx>
          <c:spPr>
            <a:ln w="50800">
              <a:solidFill>
                <a:srgbClr val="FF0000"/>
              </a:solidFill>
            </a:ln>
          </c:spPr>
          <c:marker>
            <c:symbol val="none"/>
          </c:marker>
          <c:cat>
            <c:numRef>
              <c:f>Sheet5!$A$2:$A$6</c:f>
              <c:numCache>
                <c:formatCode>General</c:formatCode>
                <c:ptCount val="5"/>
                <c:pt idx="0">
                  <c:v>2009</c:v>
                </c:pt>
                <c:pt idx="1">
                  <c:v>2010</c:v>
                </c:pt>
                <c:pt idx="2">
                  <c:v>2011</c:v>
                </c:pt>
                <c:pt idx="3">
                  <c:v>2012</c:v>
                </c:pt>
                <c:pt idx="4">
                  <c:v>2013</c:v>
                </c:pt>
              </c:numCache>
            </c:numRef>
          </c:cat>
          <c:val>
            <c:numRef>
              <c:f>Sheet5!$C$2:$C$6</c:f>
              <c:numCache>
                <c:formatCode>General</c:formatCode>
                <c:ptCount val="5"/>
                <c:pt idx="0">
                  <c:v>300</c:v>
                </c:pt>
                <c:pt idx="1">
                  <c:v>300</c:v>
                </c:pt>
                <c:pt idx="2">
                  <c:v>300</c:v>
                </c:pt>
                <c:pt idx="3">
                  <c:v>300</c:v>
                </c:pt>
                <c:pt idx="4">
                  <c:v>300</c:v>
                </c:pt>
              </c:numCache>
            </c:numRef>
          </c:val>
          <c:smooth val="0"/>
        </c:ser>
        <c:dLbls>
          <c:showLegendKey val="0"/>
          <c:showVal val="0"/>
          <c:showCatName val="0"/>
          <c:showSerName val="0"/>
          <c:showPercent val="0"/>
          <c:showBubbleSize val="0"/>
        </c:dLbls>
        <c:marker val="1"/>
        <c:smooth val="0"/>
        <c:axId val="328972160"/>
        <c:axId val="328973696"/>
      </c:lineChart>
      <c:catAx>
        <c:axId val="328972160"/>
        <c:scaling>
          <c:orientation val="minMax"/>
        </c:scaling>
        <c:delete val="0"/>
        <c:axPos val="b"/>
        <c:numFmt formatCode="General" sourceLinked="0"/>
        <c:majorTickMark val="out"/>
        <c:minorTickMark val="none"/>
        <c:tickLblPos val="nextTo"/>
        <c:crossAx val="328973696"/>
        <c:crosses val="autoZero"/>
        <c:auto val="1"/>
        <c:lblAlgn val="ctr"/>
        <c:lblOffset val="100"/>
        <c:noMultiLvlLbl val="0"/>
      </c:catAx>
      <c:valAx>
        <c:axId val="328973696"/>
        <c:scaling>
          <c:orientation val="minMax"/>
        </c:scaling>
        <c:delete val="0"/>
        <c:axPos val="l"/>
        <c:numFmt formatCode="General" sourceLinked="1"/>
        <c:majorTickMark val="out"/>
        <c:minorTickMark val="none"/>
        <c:tickLblPos val="nextTo"/>
        <c:crossAx val="328972160"/>
        <c:crosses val="autoZero"/>
        <c:crossBetween val="between"/>
      </c:valAx>
    </c:plotArea>
    <c:legend>
      <c:legendPos val="r"/>
      <c:overlay val="0"/>
    </c:legend>
    <c:plotVisOnly val="1"/>
    <c:dispBlanksAs val="gap"/>
    <c:showDLblsOverMax val="0"/>
  </c:chart>
  <c:externalData r:id="rId1">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barChart>
        <c:barDir val="col"/>
        <c:grouping val="clustered"/>
        <c:varyColors val="0"/>
        <c:ser>
          <c:idx val="0"/>
          <c:order val="0"/>
          <c:tx>
            <c:strRef>
              <c:f>Sheet1!$B$1</c:f>
              <c:strCache>
                <c:ptCount val="1"/>
                <c:pt idx="0">
                  <c:v>Pb (mg/kg)</c:v>
                </c:pt>
              </c:strCache>
            </c:strRef>
          </c:tx>
          <c:invertIfNegative val="0"/>
          <c:cat>
            <c:numRef>
              <c:f>Sheet1!$A$2:$A$6</c:f>
              <c:numCache>
                <c:formatCode>General</c:formatCode>
                <c:ptCount val="5"/>
                <c:pt idx="0">
                  <c:v>2009</c:v>
                </c:pt>
                <c:pt idx="1">
                  <c:v>2010</c:v>
                </c:pt>
                <c:pt idx="2">
                  <c:v>2011</c:v>
                </c:pt>
                <c:pt idx="3">
                  <c:v>2012</c:v>
                </c:pt>
                <c:pt idx="4">
                  <c:v>2013</c:v>
                </c:pt>
              </c:numCache>
            </c:numRef>
          </c:cat>
          <c:val>
            <c:numRef>
              <c:f>Sheet1!$B$2:$B$6</c:f>
              <c:numCache>
                <c:formatCode>General</c:formatCode>
                <c:ptCount val="5"/>
                <c:pt idx="0">
                  <c:v>11.46</c:v>
                </c:pt>
                <c:pt idx="1">
                  <c:v>72.149999999999991</c:v>
                </c:pt>
                <c:pt idx="2">
                  <c:v>29.95</c:v>
                </c:pt>
                <c:pt idx="3">
                  <c:v>17.920000000000002</c:v>
                </c:pt>
                <c:pt idx="4">
                  <c:v>30.82</c:v>
                </c:pt>
              </c:numCache>
            </c:numRef>
          </c:val>
        </c:ser>
        <c:dLbls>
          <c:showLegendKey val="0"/>
          <c:showVal val="0"/>
          <c:showCatName val="0"/>
          <c:showSerName val="0"/>
          <c:showPercent val="0"/>
          <c:showBubbleSize val="0"/>
        </c:dLbls>
        <c:gapWidth val="150"/>
        <c:axId val="331260288"/>
        <c:axId val="331261824"/>
      </c:barChart>
      <c:lineChart>
        <c:grouping val="standard"/>
        <c:varyColors val="0"/>
        <c:ser>
          <c:idx val="1"/>
          <c:order val="1"/>
          <c:tx>
            <c:strRef>
              <c:f>Sheet1!$C$1</c:f>
              <c:strCache>
                <c:ptCount val="1"/>
                <c:pt idx="0">
                  <c:v>MDK (mg/kg)</c:v>
                </c:pt>
              </c:strCache>
            </c:strRef>
          </c:tx>
          <c:spPr>
            <a:ln w="50800">
              <a:solidFill>
                <a:srgbClr val="FF0000"/>
              </a:solidFill>
            </a:ln>
          </c:spPr>
          <c:marker>
            <c:symbol val="none"/>
          </c:marker>
          <c:cat>
            <c:numRef>
              <c:f>Sheet1!$A$2:$A$6</c:f>
              <c:numCache>
                <c:formatCode>General</c:formatCode>
                <c:ptCount val="5"/>
                <c:pt idx="0">
                  <c:v>2009</c:v>
                </c:pt>
                <c:pt idx="1">
                  <c:v>2010</c:v>
                </c:pt>
                <c:pt idx="2">
                  <c:v>2011</c:v>
                </c:pt>
                <c:pt idx="3">
                  <c:v>2012</c:v>
                </c:pt>
                <c:pt idx="4">
                  <c:v>2013</c:v>
                </c:pt>
              </c:numCache>
            </c:numRef>
          </c:cat>
          <c:val>
            <c:numRef>
              <c:f>Sheet1!$C$2:$C$6</c:f>
              <c:numCache>
                <c:formatCode>General</c:formatCode>
                <c:ptCount val="5"/>
                <c:pt idx="0">
                  <c:v>50</c:v>
                </c:pt>
                <c:pt idx="1">
                  <c:v>50</c:v>
                </c:pt>
                <c:pt idx="2">
                  <c:v>50</c:v>
                </c:pt>
                <c:pt idx="3">
                  <c:v>50</c:v>
                </c:pt>
                <c:pt idx="4">
                  <c:v>50</c:v>
                </c:pt>
              </c:numCache>
            </c:numRef>
          </c:val>
          <c:smooth val="0"/>
        </c:ser>
        <c:dLbls>
          <c:showLegendKey val="0"/>
          <c:showVal val="0"/>
          <c:showCatName val="0"/>
          <c:showSerName val="0"/>
          <c:showPercent val="0"/>
          <c:showBubbleSize val="0"/>
        </c:dLbls>
        <c:marker val="1"/>
        <c:smooth val="0"/>
        <c:axId val="331260288"/>
        <c:axId val="331261824"/>
      </c:lineChart>
      <c:catAx>
        <c:axId val="331260288"/>
        <c:scaling>
          <c:orientation val="minMax"/>
        </c:scaling>
        <c:delete val="0"/>
        <c:axPos val="b"/>
        <c:numFmt formatCode="General" sourceLinked="0"/>
        <c:majorTickMark val="out"/>
        <c:minorTickMark val="none"/>
        <c:tickLblPos val="nextTo"/>
        <c:crossAx val="331261824"/>
        <c:crosses val="autoZero"/>
        <c:auto val="1"/>
        <c:lblAlgn val="ctr"/>
        <c:lblOffset val="100"/>
        <c:noMultiLvlLbl val="0"/>
      </c:catAx>
      <c:valAx>
        <c:axId val="331261824"/>
        <c:scaling>
          <c:orientation val="minMax"/>
        </c:scaling>
        <c:delete val="0"/>
        <c:axPos val="l"/>
        <c:numFmt formatCode="General" sourceLinked="1"/>
        <c:majorTickMark val="out"/>
        <c:minorTickMark val="none"/>
        <c:tickLblPos val="nextTo"/>
        <c:crossAx val="331260288"/>
        <c:crosses val="autoZero"/>
        <c:crossBetween val="between"/>
      </c:valAx>
    </c:plotArea>
    <c:legend>
      <c:legendPos val="r"/>
      <c:overlay val="0"/>
    </c:legend>
    <c:plotVisOnly val="1"/>
    <c:dispBlanksAs val="gap"/>
    <c:showDLblsOverMax val="0"/>
  </c:chart>
  <c:externalData r:id="rId1">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barChart>
        <c:barDir val="col"/>
        <c:grouping val="clustered"/>
        <c:varyColors val="0"/>
        <c:ser>
          <c:idx val="0"/>
          <c:order val="0"/>
          <c:tx>
            <c:strRef>
              <c:f>Sheet2!$B$1</c:f>
              <c:strCache>
                <c:ptCount val="1"/>
                <c:pt idx="0">
                  <c:v>Ni (mg/kg)</c:v>
                </c:pt>
              </c:strCache>
            </c:strRef>
          </c:tx>
          <c:invertIfNegative val="0"/>
          <c:cat>
            <c:numRef>
              <c:f>Sheet2!$A$2:$A$6</c:f>
              <c:numCache>
                <c:formatCode>General</c:formatCode>
                <c:ptCount val="5"/>
                <c:pt idx="0">
                  <c:v>2009</c:v>
                </c:pt>
                <c:pt idx="1">
                  <c:v>2010</c:v>
                </c:pt>
                <c:pt idx="2">
                  <c:v>2011</c:v>
                </c:pt>
                <c:pt idx="3">
                  <c:v>2012</c:v>
                </c:pt>
                <c:pt idx="4">
                  <c:v>2013</c:v>
                </c:pt>
              </c:numCache>
            </c:numRef>
          </c:cat>
          <c:val>
            <c:numRef>
              <c:f>Sheet2!$B$2:$B$6</c:f>
              <c:numCache>
                <c:formatCode>General</c:formatCode>
                <c:ptCount val="5"/>
                <c:pt idx="0">
                  <c:v>40.08</c:v>
                </c:pt>
                <c:pt idx="1">
                  <c:v>47.53</c:v>
                </c:pt>
                <c:pt idx="2">
                  <c:v>83.149999999999991</c:v>
                </c:pt>
                <c:pt idx="3">
                  <c:v>100.56</c:v>
                </c:pt>
                <c:pt idx="4">
                  <c:v>32.260000000000012</c:v>
                </c:pt>
              </c:numCache>
            </c:numRef>
          </c:val>
        </c:ser>
        <c:dLbls>
          <c:showLegendKey val="0"/>
          <c:showVal val="0"/>
          <c:showCatName val="0"/>
          <c:showSerName val="0"/>
          <c:showPercent val="0"/>
          <c:showBubbleSize val="0"/>
        </c:dLbls>
        <c:gapWidth val="150"/>
        <c:axId val="329669248"/>
        <c:axId val="331252096"/>
      </c:barChart>
      <c:lineChart>
        <c:grouping val="standard"/>
        <c:varyColors val="0"/>
        <c:ser>
          <c:idx val="1"/>
          <c:order val="1"/>
          <c:tx>
            <c:strRef>
              <c:f>Sheet2!$C$1</c:f>
              <c:strCache>
                <c:ptCount val="1"/>
                <c:pt idx="0">
                  <c:v>MDK (mg/kg) </c:v>
                </c:pt>
              </c:strCache>
            </c:strRef>
          </c:tx>
          <c:spPr>
            <a:ln w="50800">
              <a:solidFill>
                <a:srgbClr val="FF0000"/>
              </a:solidFill>
            </a:ln>
          </c:spPr>
          <c:marker>
            <c:symbol val="none"/>
          </c:marker>
          <c:cat>
            <c:numRef>
              <c:f>Sheet2!$A$2:$A$6</c:f>
              <c:numCache>
                <c:formatCode>General</c:formatCode>
                <c:ptCount val="5"/>
                <c:pt idx="0">
                  <c:v>2009</c:v>
                </c:pt>
                <c:pt idx="1">
                  <c:v>2010</c:v>
                </c:pt>
                <c:pt idx="2">
                  <c:v>2011</c:v>
                </c:pt>
                <c:pt idx="3">
                  <c:v>2012</c:v>
                </c:pt>
                <c:pt idx="4">
                  <c:v>2013</c:v>
                </c:pt>
              </c:numCache>
            </c:numRef>
          </c:cat>
          <c:val>
            <c:numRef>
              <c:f>Sheet2!$C$2:$C$6</c:f>
              <c:numCache>
                <c:formatCode>General</c:formatCode>
                <c:ptCount val="5"/>
                <c:pt idx="0">
                  <c:v>50</c:v>
                </c:pt>
                <c:pt idx="1">
                  <c:v>50</c:v>
                </c:pt>
                <c:pt idx="2">
                  <c:v>50</c:v>
                </c:pt>
                <c:pt idx="3">
                  <c:v>50</c:v>
                </c:pt>
                <c:pt idx="4">
                  <c:v>50</c:v>
                </c:pt>
              </c:numCache>
            </c:numRef>
          </c:val>
          <c:smooth val="0"/>
        </c:ser>
        <c:dLbls>
          <c:showLegendKey val="0"/>
          <c:showVal val="0"/>
          <c:showCatName val="0"/>
          <c:showSerName val="0"/>
          <c:showPercent val="0"/>
          <c:showBubbleSize val="0"/>
        </c:dLbls>
        <c:marker val="1"/>
        <c:smooth val="0"/>
        <c:axId val="329669248"/>
        <c:axId val="331252096"/>
      </c:lineChart>
      <c:catAx>
        <c:axId val="329669248"/>
        <c:scaling>
          <c:orientation val="minMax"/>
        </c:scaling>
        <c:delete val="0"/>
        <c:axPos val="b"/>
        <c:numFmt formatCode="General" sourceLinked="0"/>
        <c:majorTickMark val="out"/>
        <c:minorTickMark val="none"/>
        <c:tickLblPos val="nextTo"/>
        <c:crossAx val="331252096"/>
        <c:crosses val="autoZero"/>
        <c:auto val="1"/>
        <c:lblAlgn val="ctr"/>
        <c:lblOffset val="100"/>
        <c:noMultiLvlLbl val="0"/>
      </c:catAx>
      <c:valAx>
        <c:axId val="331252096"/>
        <c:scaling>
          <c:orientation val="minMax"/>
        </c:scaling>
        <c:delete val="0"/>
        <c:axPos val="l"/>
        <c:numFmt formatCode="General" sourceLinked="1"/>
        <c:majorTickMark val="out"/>
        <c:minorTickMark val="none"/>
        <c:tickLblPos val="nextTo"/>
        <c:crossAx val="329669248"/>
        <c:crosses val="autoZero"/>
        <c:crossBetween val="between"/>
      </c:valAx>
    </c:plotArea>
    <c:legend>
      <c:legendPos val="r"/>
      <c:overlay val="0"/>
    </c:legend>
    <c:plotVisOnly val="1"/>
    <c:dispBlanksAs val="gap"/>
    <c:showDLblsOverMax val="0"/>
  </c:chart>
  <c:externalData r:id="rId1">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barChart>
        <c:barDir val="col"/>
        <c:grouping val="clustered"/>
        <c:varyColors val="0"/>
        <c:ser>
          <c:idx val="0"/>
          <c:order val="0"/>
          <c:tx>
            <c:strRef>
              <c:f>Sheet1!$B$1</c:f>
              <c:strCache>
                <c:ptCount val="1"/>
                <c:pt idx="0">
                  <c:v>Cr (mg/kg)</c:v>
                </c:pt>
              </c:strCache>
            </c:strRef>
          </c:tx>
          <c:invertIfNegative val="0"/>
          <c:cat>
            <c:numRef>
              <c:f>Sheet1!$A$2:$A$6</c:f>
              <c:numCache>
                <c:formatCode>General</c:formatCode>
                <c:ptCount val="5"/>
                <c:pt idx="0">
                  <c:v>2009</c:v>
                </c:pt>
                <c:pt idx="1">
                  <c:v>2010</c:v>
                </c:pt>
                <c:pt idx="2">
                  <c:v>2011</c:v>
                </c:pt>
                <c:pt idx="3">
                  <c:v>2012</c:v>
                </c:pt>
                <c:pt idx="4">
                  <c:v>2013</c:v>
                </c:pt>
              </c:numCache>
            </c:numRef>
          </c:cat>
          <c:val>
            <c:numRef>
              <c:f>Sheet1!$B$2:$B$6</c:f>
              <c:numCache>
                <c:formatCode>General</c:formatCode>
                <c:ptCount val="5"/>
                <c:pt idx="0">
                  <c:v>5.03</c:v>
                </c:pt>
                <c:pt idx="1">
                  <c:v>35.21</c:v>
                </c:pt>
                <c:pt idx="2">
                  <c:v>60.93</c:v>
                </c:pt>
                <c:pt idx="3">
                  <c:v>177.37</c:v>
                </c:pt>
                <c:pt idx="4">
                  <c:v>34.21</c:v>
                </c:pt>
              </c:numCache>
            </c:numRef>
          </c:val>
        </c:ser>
        <c:dLbls>
          <c:showLegendKey val="0"/>
          <c:showVal val="0"/>
          <c:showCatName val="0"/>
          <c:showSerName val="0"/>
          <c:showPercent val="0"/>
          <c:showBubbleSize val="0"/>
        </c:dLbls>
        <c:gapWidth val="150"/>
        <c:axId val="330503296"/>
        <c:axId val="330504832"/>
      </c:barChart>
      <c:lineChart>
        <c:grouping val="standard"/>
        <c:varyColors val="0"/>
        <c:ser>
          <c:idx val="1"/>
          <c:order val="1"/>
          <c:tx>
            <c:strRef>
              <c:f>Sheet1!$C$1</c:f>
              <c:strCache>
                <c:ptCount val="1"/>
                <c:pt idx="0">
                  <c:v>MDK (mg/kg)</c:v>
                </c:pt>
              </c:strCache>
            </c:strRef>
          </c:tx>
          <c:spPr>
            <a:ln w="50800">
              <a:solidFill>
                <a:srgbClr val="FF0000"/>
              </a:solidFill>
            </a:ln>
          </c:spPr>
          <c:marker>
            <c:symbol val="none"/>
          </c:marker>
          <c:cat>
            <c:numRef>
              <c:f>Sheet1!$A$2:$A$6</c:f>
              <c:numCache>
                <c:formatCode>General</c:formatCode>
                <c:ptCount val="5"/>
                <c:pt idx="0">
                  <c:v>2009</c:v>
                </c:pt>
                <c:pt idx="1">
                  <c:v>2010</c:v>
                </c:pt>
                <c:pt idx="2">
                  <c:v>2011</c:v>
                </c:pt>
                <c:pt idx="3">
                  <c:v>2012</c:v>
                </c:pt>
                <c:pt idx="4">
                  <c:v>2013</c:v>
                </c:pt>
              </c:numCache>
            </c:numRef>
          </c:cat>
          <c:val>
            <c:numRef>
              <c:f>Sheet1!$C$2:$C$6</c:f>
              <c:numCache>
                <c:formatCode>General</c:formatCode>
                <c:ptCount val="5"/>
                <c:pt idx="0">
                  <c:v>50</c:v>
                </c:pt>
                <c:pt idx="1">
                  <c:v>50</c:v>
                </c:pt>
                <c:pt idx="2">
                  <c:v>50</c:v>
                </c:pt>
                <c:pt idx="3">
                  <c:v>50</c:v>
                </c:pt>
                <c:pt idx="4">
                  <c:v>50</c:v>
                </c:pt>
              </c:numCache>
            </c:numRef>
          </c:val>
          <c:smooth val="0"/>
        </c:ser>
        <c:dLbls>
          <c:showLegendKey val="0"/>
          <c:showVal val="0"/>
          <c:showCatName val="0"/>
          <c:showSerName val="0"/>
          <c:showPercent val="0"/>
          <c:showBubbleSize val="0"/>
        </c:dLbls>
        <c:marker val="1"/>
        <c:smooth val="0"/>
        <c:axId val="330503296"/>
        <c:axId val="330504832"/>
      </c:lineChart>
      <c:catAx>
        <c:axId val="330503296"/>
        <c:scaling>
          <c:orientation val="minMax"/>
        </c:scaling>
        <c:delete val="0"/>
        <c:axPos val="b"/>
        <c:numFmt formatCode="General" sourceLinked="0"/>
        <c:majorTickMark val="out"/>
        <c:minorTickMark val="none"/>
        <c:tickLblPos val="nextTo"/>
        <c:crossAx val="330504832"/>
        <c:crosses val="autoZero"/>
        <c:auto val="1"/>
        <c:lblAlgn val="ctr"/>
        <c:lblOffset val="100"/>
        <c:noMultiLvlLbl val="0"/>
      </c:catAx>
      <c:valAx>
        <c:axId val="330504832"/>
        <c:scaling>
          <c:orientation val="minMax"/>
        </c:scaling>
        <c:delete val="0"/>
        <c:axPos val="l"/>
        <c:numFmt formatCode="General" sourceLinked="1"/>
        <c:majorTickMark val="out"/>
        <c:minorTickMark val="none"/>
        <c:tickLblPos val="nextTo"/>
        <c:crossAx val="330503296"/>
        <c:crosses val="autoZero"/>
        <c:crossBetween val="between"/>
      </c:valAx>
    </c:plotArea>
    <c:legend>
      <c:legendPos val="r"/>
      <c:overlay val="0"/>
    </c:legend>
    <c:plotVisOnly val="1"/>
    <c:dispBlanksAs val="gap"/>
    <c:showDLblsOverMax val="0"/>
  </c:chart>
  <c:externalData r:id="rId1">
    <c:autoUpdate val="0"/>
  </c:externalData>
</c:chartSpace>
</file>

<file path=word/charts/chart6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barChart>
        <c:barDir val="col"/>
        <c:grouping val="clustered"/>
        <c:varyColors val="0"/>
        <c:ser>
          <c:idx val="0"/>
          <c:order val="0"/>
          <c:tx>
            <c:strRef>
              <c:f>Sheet1!$B$1</c:f>
              <c:strCache>
                <c:ptCount val="1"/>
                <c:pt idx="0">
                  <c:v>Cr (mg/kg)</c:v>
                </c:pt>
              </c:strCache>
            </c:strRef>
          </c:tx>
          <c:invertIfNegative val="0"/>
          <c:cat>
            <c:numRef>
              <c:f>Sheet1!$A$2:$A$6</c:f>
              <c:numCache>
                <c:formatCode>General</c:formatCode>
                <c:ptCount val="5"/>
                <c:pt idx="0">
                  <c:v>2009</c:v>
                </c:pt>
                <c:pt idx="1">
                  <c:v>2010</c:v>
                </c:pt>
                <c:pt idx="2">
                  <c:v>2011</c:v>
                </c:pt>
                <c:pt idx="3">
                  <c:v>2012</c:v>
                </c:pt>
                <c:pt idx="4">
                  <c:v>2013</c:v>
                </c:pt>
              </c:numCache>
            </c:numRef>
          </c:cat>
          <c:val>
            <c:numRef>
              <c:f>Sheet1!$B$2:$B$6</c:f>
              <c:numCache>
                <c:formatCode>General</c:formatCode>
                <c:ptCount val="5"/>
                <c:pt idx="0">
                  <c:v>126.6</c:v>
                </c:pt>
                <c:pt idx="1">
                  <c:v>345.5</c:v>
                </c:pt>
                <c:pt idx="2">
                  <c:v>510.27</c:v>
                </c:pt>
                <c:pt idx="3">
                  <c:v>72.36999999999999</c:v>
                </c:pt>
                <c:pt idx="4">
                  <c:v>81</c:v>
                </c:pt>
              </c:numCache>
            </c:numRef>
          </c:val>
        </c:ser>
        <c:dLbls>
          <c:showLegendKey val="0"/>
          <c:showVal val="0"/>
          <c:showCatName val="0"/>
          <c:showSerName val="0"/>
          <c:showPercent val="0"/>
          <c:showBubbleSize val="0"/>
        </c:dLbls>
        <c:gapWidth val="150"/>
        <c:axId val="330567040"/>
        <c:axId val="330572928"/>
      </c:barChart>
      <c:lineChart>
        <c:grouping val="standard"/>
        <c:varyColors val="0"/>
        <c:ser>
          <c:idx val="1"/>
          <c:order val="1"/>
          <c:tx>
            <c:strRef>
              <c:f>Sheet1!$C$1</c:f>
              <c:strCache>
                <c:ptCount val="1"/>
                <c:pt idx="0">
                  <c:v>MDK (mg/kg)</c:v>
                </c:pt>
              </c:strCache>
            </c:strRef>
          </c:tx>
          <c:spPr>
            <a:ln w="50800">
              <a:solidFill>
                <a:srgbClr val="FF0000"/>
              </a:solidFill>
            </a:ln>
          </c:spPr>
          <c:marker>
            <c:symbol val="none"/>
          </c:marker>
          <c:cat>
            <c:numRef>
              <c:f>Sheet1!$A$2:$A$6</c:f>
              <c:numCache>
                <c:formatCode>General</c:formatCode>
                <c:ptCount val="5"/>
                <c:pt idx="0">
                  <c:v>2009</c:v>
                </c:pt>
                <c:pt idx="1">
                  <c:v>2010</c:v>
                </c:pt>
                <c:pt idx="2">
                  <c:v>2011</c:v>
                </c:pt>
                <c:pt idx="3">
                  <c:v>2012</c:v>
                </c:pt>
                <c:pt idx="4">
                  <c:v>2013</c:v>
                </c:pt>
              </c:numCache>
            </c:numRef>
          </c:cat>
          <c:val>
            <c:numRef>
              <c:f>Sheet1!$C$2:$C$6</c:f>
              <c:numCache>
                <c:formatCode>General</c:formatCode>
                <c:ptCount val="5"/>
                <c:pt idx="0">
                  <c:v>50</c:v>
                </c:pt>
                <c:pt idx="1">
                  <c:v>50</c:v>
                </c:pt>
                <c:pt idx="2">
                  <c:v>50</c:v>
                </c:pt>
                <c:pt idx="3">
                  <c:v>50</c:v>
                </c:pt>
                <c:pt idx="4">
                  <c:v>50</c:v>
                </c:pt>
              </c:numCache>
            </c:numRef>
          </c:val>
          <c:smooth val="0"/>
        </c:ser>
        <c:dLbls>
          <c:showLegendKey val="0"/>
          <c:showVal val="0"/>
          <c:showCatName val="0"/>
          <c:showSerName val="0"/>
          <c:showPercent val="0"/>
          <c:showBubbleSize val="0"/>
        </c:dLbls>
        <c:marker val="1"/>
        <c:smooth val="0"/>
        <c:axId val="330567040"/>
        <c:axId val="330572928"/>
      </c:lineChart>
      <c:catAx>
        <c:axId val="330567040"/>
        <c:scaling>
          <c:orientation val="minMax"/>
        </c:scaling>
        <c:delete val="0"/>
        <c:axPos val="b"/>
        <c:numFmt formatCode="General" sourceLinked="0"/>
        <c:majorTickMark val="out"/>
        <c:minorTickMark val="none"/>
        <c:tickLblPos val="nextTo"/>
        <c:crossAx val="330572928"/>
        <c:crosses val="autoZero"/>
        <c:auto val="1"/>
        <c:lblAlgn val="ctr"/>
        <c:lblOffset val="100"/>
        <c:noMultiLvlLbl val="0"/>
      </c:catAx>
      <c:valAx>
        <c:axId val="330572928"/>
        <c:scaling>
          <c:orientation val="minMax"/>
        </c:scaling>
        <c:delete val="0"/>
        <c:axPos val="l"/>
        <c:numFmt formatCode="General" sourceLinked="1"/>
        <c:majorTickMark val="out"/>
        <c:minorTickMark val="none"/>
        <c:tickLblPos val="nextTo"/>
        <c:crossAx val="330567040"/>
        <c:crosses val="autoZero"/>
        <c:crossBetween val="between"/>
      </c:valAx>
    </c:plotArea>
    <c:legend>
      <c:legendPos val="r"/>
      <c:overlay val="0"/>
    </c:legend>
    <c:plotVisOnly val="1"/>
    <c:dispBlanksAs val="gap"/>
    <c:showDLblsOverMax val="0"/>
  </c:chart>
  <c:externalData r:id="rId1">
    <c:autoUpdate val="0"/>
  </c:externalData>
</c:chartSpace>
</file>

<file path=word/charts/chart6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barChart>
        <c:barDir val="col"/>
        <c:grouping val="clustered"/>
        <c:varyColors val="0"/>
        <c:ser>
          <c:idx val="0"/>
          <c:order val="0"/>
          <c:tx>
            <c:strRef>
              <c:f>Sheet2!$B$1</c:f>
              <c:strCache>
                <c:ptCount val="1"/>
                <c:pt idx="0">
                  <c:v>Ni (mg/kg)</c:v>
                </c:pt>
              </c:strCache>
            </c:strRef>
          </c:tx>
          <c:invertIfNegative val="0"/>
          <c:cat>
            <c:numRef>
              <c:f>Sheet2!$A$2:$A$6</c:f>
              <c:numCache>
                <c:formatCode>General</c:formatCode>
                <c:ptCount val="5"/>
                <c:pt idx="0">
                  <c:v>2009</c:v>
                </c:pt>
                <c:pt idx="1">
                  <c:v>2010</c:v>
                </c:pt>
                <c:pt idx="2">
                  <c:v>2011</c:v>
                </c:pt>
                <c:pt idx="3">
                  <c:v>2012</c:v>
                </c:pt>
                <c:pt idx="4">
                  <c:v>2013</c:v>
                </c:pt>
              </c:numCache>
            </c:numRef>
          </c:cat>
          <c:val>
            <c:numRef>
              <c:f>Sheet2!$B$2:$B$6</c:f>
              <c:numCache>
                <c:formatCode>General</c:formatCode>
                <c:ptCount val="5"/>
                <c:pt idx="0">
                  <c:v>213.8</c:v>
                </c:pt>
                <c:pt idx="1">
                  <c:v>38.82</c:v>
                </c:pt>
                <c:pt idx="2">
                  <c:v>422.92999999999893</c:v>
                </c:pt>
                <c:pt idx="3">
                  <c:v>59.06</c:v>
                </c:pt>
                <c:pt idx="4">
                  <c:v>56.04</c:v>
                </c:pt>
              </c:numCache>
            </c:numRef>
          </c:val>
        </c:ser>
        <c:dLbls>
          <c:showLegendKey val="0"/>
          <c:showVal val="0"/>
          <c:showCatName val="0"/>
          <c:showSerName val="0"/>
          <c:showPercent val="0"/>
          <c:showBubbleSize val="0"/>
        </c:dLbls>
        <c:gapWidth val="150"/>
        <c:axId val="330585984"/>
        <c:axId val="330587520"/>
      </c:barChart>
      <c:lineChart>
        <c:grouping val="standard"/>
        <c:varyColors val="0"/>
        <c:ser>
          <c:idx val="1"/>
          <c:order val="1"/>
          <c:tx>
            <c:strRef>
              <c:f>Sheet2!$C$1</c:f>
              <c:strCache>
                <c:ptCount val="1"/>
                <c:pt idx="0">
                  <c:v>MDK (mg/kg) </c:v>
                </c:pt>
              </c:strCache>
            </c:strRef>
          </c:tx>
          <c:spPr>
            <a:ln w="50800">
              <a:solidFill>
                <a:srgbClr val="FF0000"/>
              </a:solidFill>
            </a:ln>
          </c:spPr>
          <c:marker>
            <c:symbol val="none"/>
          </c:marker>
          <c:cat>
            <c:numRef>
              <c:f>Sheet2!$A$2:$A$6</c:f>
              <c:numCache>
                <c:formatCode>General</c:formatCode>
                <c:ptCount val="5"/>
                <c:pt idx="0">
                  <c:v>2009</c:v>
                </c:pt>
                <c:pt idx="1">
                  <c:v>2010</c:v>
                </c:pt>
                <c:pt idx="2">
                  <c:v>2011</c:v>
                </c:pt>
                <c:pt idx="3">
                  <c:v>2012</c:v>
                </c:pt>
                <c:pt idx="4">
                  <c:v>2013</c:v>
                </c:pt>
              </c:numCache>
            </c:numRef>
          </c:cat>
          <c:val>
            <c:numRef>
              <c:f>Sheet2!$C$2:$C$6</c:f>
              <c:numCache>
                <c:formatCode>General</c:formatCode>
                <c:ptCount val="5"/>
                <c:pt idx="0">
                  <c:v>50</c:v>
                </c:pt>
                <c:pt idx="1">
                  <c:v>50</c:v>
                </c:pt>
                <c:pt idx="2">
                  <c:v>50</c:v>
                </c:pt>
                <c:pt idx="3">
                  <c:v>50</c:v>
                </c:pt>
                <c:pt idx="4">
                  <c:v>50</c:v>
                </c:pt>
              </c:numCache>
            </c:numRef>
          </c:val>
          <c:smooth val="0"/>
        </c:ser>
        <c:dLbls>
          <c:showLegendKey val="0"/>
          <c:showVal val="0"/>
          <c:showCatName val="0"/>
          <c:showSerName val="0"/>
          <c:showPercent val="0"/>
          <c:showBubbleSize val="0"/>
        </c:dLbls>
        <c:marker val="1"/>
        <c:smooth val="0"/>
        <c:axId val="330585984"/>
        <c:axId val="330587520"/>
      </c:lineChart>
      <c:catAx>
        <c:axId val="330585984"/>
        <c:scaling>
          <c:orientation val="minMax"/>
        </c:scaling>
        <c:delete val="0"/>
        <c:axPos val="b"/>
        <c:numFmt formatCode="General" sourceLinked="0"/>
        <c:majorTickMark val="out"/>
        <c:minorTickMark val="none"/>
        <c:tickLblPos val="nextTo"/>
        <c:crossAx val="330587520"/>
        <c:crosses val="autoZero"/>
        <c:auto val="1"/>
        <c:lblAlgn val="ctr"/>
        <c:lblOffset val="100"/>
        <c:noMultiLvlLbl val="0"/>
      </c:catAx>
      <c:valAx>
        <c:axId val="330587520"/>
        <c:scaling>
          <c:orientation val="minMax"/>
        </c:scaling>
        <c:delete val="0"/>
        <c:axPos val="l"/>
        <c:numFmt formatCode="General" sourceLinked="1"/>
        <c:majorTickMark val="out"/>
        <c:minorTickMark val="none"/>
        <c:tickLblPos val="nextTo"/>
        <c:crossAx val="330585984"/>
        <c:crosses val="autoZero"/>
        <c:crossBetween val="between"/>
      </c:valAx>
    </c:plotArea>
    <c:legend>
      <c:legendPos val="r"/>
      <c:overlay val="0"/>
    </c:legend>
    <c:plotVisOnly val="1"/>
    <c:dispBlanksAs val="gap"/>
    <c:showDLblsOverMax val="0"/>
  </c:chart>
  <c:externalData r:id="rId1">
    <c:autoUpdate val="0"/>
  </c:externalData>
</c:chartSpace>
</file>

<file path=word/charts/chart6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manualLayout>
          <c:layoutTarget val="inner"/>
          <c:xMode val="edge"/>
          <c:yMode val="edge"/>
          <c:x val="0.11988637330558119"/>
          <c:y val="5.4977654820174533E-2"/>
          <c:w val="0.5442195037341031"/>
          <c:h val="0.76437681776264454"/>
        </c:manualLayout>
      </c:layout>
      <c:barChart>
        <c:barDir val="col"/>
        <c:grouping val="clustered"/>
        <c:varyColors val="0"/>
        <c:ser>
          <c:idx val="0"/>
          <c:order val="0"/>
          <c:tx>
            <c:strRef>
              <c:f>Sheet1!$B$1</c:f>
              <c:strCache>
                <c:ptCount val="1"/>
                <c:pt idx="0">
                  <c:v>Cu (mg/kg)</c:v>
                </c:pt>
              </c:strCache>
            </c:strRef>
          </c:tx>
          <c:invertIfNegative val="0"/>
          <c:cat>
            <c:numRef>
              <c:f>Sheet1!$A$2:$A$6</c:f>
              <c:numCache>
                <c:formatCode>General</c:formatCode>
                <c:ptCount val="5"/>
                <c:pt idx="0">
                  <c:v>2009</c:v>
                </c:pt>
                <c:pt idx="1">
                  <c:v>2010</c:v>
                </c:pt>
                <c:pt idx="2">
                  <c:v>2011</c:v>
                </c:pt>
                <c:pt idx="3">
                  <c:v>2012</c:v>
                </c:pt>
                <c:pt idx="4">
                  <c:v>2013</c:v>
                </c:pt>
              </c:numCache>
            </c:numRef>
          </c:cat>
          <c:val>
            <c:numRef>
              <c:f>Sheet1!$B$2:$B$6</c:f>
              <c:numCache>
                <c:formatCode>General</c:formatCode>
                <c:ptCount val="5"/>
                <c:pt idx="0">
                  <c:v>820.1</c:v>
                </c:pt>
                <c:pt idx="1">
                  <c:v>397.4</c:v>
                </c:pt>
                <c:pt idx="2">
                  <c:v>1084.4000000000001</c:v>
                </c:pt>
                <c:pt idx="3">
                  <c:v>27.66</c:v>
                </c:pt>
                <c:pt idx="4">
                  <c:v>37.25</c:v>
                </c:pt>
              </c:numCache>
            </c:numRef>
          </c:val>
        </c:ser>
        <c:dLbls>
          <c:showLegendKey val="0"/>
          <c:showVal val="0"/>
          <c:showCatName val="0"/>
          <c:showSerName val="0"/>
          <c:showPercent val="0"/>
          <c:showBubbleSize val="0"/>
        </c:dLbls>
        <c:gapWidth val="150"/>
        <c:axId val="331768192"/>
        <c:axId val="331769728"/>
      </c:barChart>
      <c:lineChart>
        <c:grouping val="standard"/>
        <c:varyColors val="0"/>
        <c:ser>
          <c:idx val="1"/>
          <c:order val="1"/>
          <c:tx>
            <c:strRef>
              <c:f>Sheet1!$C$1</c:f>
              <c:strCache>
                <c:ptCount val="1"/>
                <c:pt idx="0">
                  <c:v>MDK (mg/kg)</c:v>
                </c:pt>
              </c:strCache>
            </c:strRef>
          </c:tx>
          <c:spPr>
            <a:ln w="50800">
              <a:solidFill>
                <a:srgbClr val="FF0000"/>
              </a:solidFill>
            </a:ln>
          </c:spPr>
          <c:marker>
            <c:symbol val="none"/>
          </c:marker>
          <c:cat>
            <c:numRef>
              <c:f>Sheet1!$A$2:$A$6</c:f>
              <c:numCache>
                <c:formatCode>General</c:formatCode>
                <c:ptCount val="5"/>
                <c:pt idx="0">
                  <c:v>2009</c:v>
                </c:pt>
                <c:pt idx="1">
                  <c:v>2010</c:v>
                </c:pt>
                <c:pt idx="2">
                  <c:v>2011</c:v>
                </c:pt>
                <c:pt idx="3">
                  <c:v>2012</c:v>
                </c:pt>
                <c:pt idx="4">
                  <c:v>2013</c:v>
                </c:pt>
              </c:numCache>
            </c:numRef>
          </c:cat>
          <c:val>
            <c:numRef>
              <c:f>Sheet1!$C$2:$C$6</c:f>
              <c:numCache>
                <c:formatCode>General</c:formatCode>
                <c:ptCount val="5"/>
                <c:pt idx="0">
                  <c:v>100</c:v>
                </c:pt>
                <c:pt idx="1">
                  <c:v>100</c:v>
                </c:pt>
                <c:pt idx="2">
                  <c:v>100</c:v>
                </c:pt>
                <c:pt idx="3">
                  <c:v>100</c:v>
                </c:pt>
                <c:pt idx="4">
                  <c:v>100</c:v>
                </c:pt>
              </c:numCache>
            </c:numRef>
          </c:val>
          <c:smooth val="0"/>
        </c:ser>
        <c:dLbls>
          <c:showLegendKey val="0"/>
          <c:showVal val="0"/>
          <c:showCatName val="0"/>
          <c:showSerName val="0"/>
          <c:showPercent val="0"/>
          <c:showBubbleSize val="0"/>
        </c:dLbls>
        <c:marker val="1"/>
        <c:smooth val="0"/>
        <c:axId val="331768192"/>
        <c:axId val="331769728"/>
      </c:lineChart>
      <c:catAx>
        <c:axId val="331768192"/>
        <c:scaling>
          <c:orientation val="minMax"/>
        </c:scaling>
        <c:delete val="0"/>
        <c:axPos val="b"/>
        <c:numFmt formatCode="General" sourceLinked="0"/>
        <c:majorTickMark val="out"/>
        <c:minorTickMark val="none"/>
        <c:tickLblPos val="nextTo"/>
        <c:crossAx val="331769728"/>
        <c:crosses val="autoZero"/>
        <c:auto val="1"/>
        <c:lblAlgn val="ctr"/>
        <c:lblOffset val="100"/>
        <c:noMultiLvlLbl val="0"/>
      </c:catAx>
      <c:valAx>
        <c:axId val="331769728"/>
        <c:scaling>
          <c:orientation val="minMax"/>
        </c:scaling>
        <c:delete val="0"/>
        <c:axPos val="l"/>
        <c:numFmt formatCode="General" sourceLinked="1"/>
        <c:majorTickMark val="out"/>
        <c:minorTickMark val="none"/>
        <c:tickLblPos val="nextTo"/>
        <c:crossAx val="331768192"/>
        <c:crosses val="autoZero"/>
        <c:crossBetween val="between"/>
      </c:valAx>
    </c:plotArea>
    <c:legend>
      <c:legendPos val="r"/>
      <c:overlay val="0"/>
    </c:legend>
    <c:plotVisOnly val="1"/>
    <c:dispBlanksAs val="gap"/>
    <c:showDLblsOverMax val="0"/>
  </c:chart>
  <c:externalData r:id="rId1">
    <c:autoUpdate val="0"/>
  </c:externalData>
</c:chartSpace>
</file>

<file path=word/charts/chart6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manualLayout>
          <c:layoutTarget val="inner"/>
          <c:xMode val="edge"/>
          <c:yMode val="edge"/>
          <c:x val="0.11988637330558119"/>
          <c:y val="5.4977654820174533E-2"/>
          <c:w val="0.5442195037341031"/>
          <c:h val="0.76437681776264454"/>
        </c:manualLayout>
      </c:layout>
      <c:barChart>
        <c:barDir val="col"/>
        <c:grouping val="clustered"/>
        <c:varyColors val="0"/>
        <c:ser>
          <c:idx val="0"/>
          <c:order val="0"/>
          <c:tx>
            <c:strRef>
              <c:f>Sheet1!$B$1</c:f>
              <c:strCache>
                <c:ptCount val="1"/>
                <c:pt idx="0">
                  <c:v>Zn (mg/kg)</c:v>
                </c:pt>
              </c:strCache>
            </c:strRef>
          </c:tx>
          <c:invertIfNegative val="0"/>
          <c:cat>
            <c:numRef>
              <c:f>Sheet1!$A$2:$A$6</c:f>
              <c:numCache>
                <c:formatCode>General</c:formatCode>
                <c:ptCount val="5"/>
                <c:pt idx="0">
                  <c:v>2009</c:v>
                </c:pt>
                <c:pt idx="1">
                  <c:v>2010</c:v>
                </c:pt>
                <c:pt idx="2">
                  <c:v>2011</c:v>
                </c:pt>
                <c:pt idx="3">
                  <c:v>2012</c:v>
                </c:pt>
                <c:pt idx="4">
                  <c:v>2013</c:v>
                </c:pt>
              </c:numCache>
            </c:numRef>
          </c:cat>
          <c:val>
            <c:numRef>
              <c:f>Sheet1!$B$2:$B$6</c:f>
              <c:numCache>
                <c:formatCode>General</c:formatCode>
                <c:ptCount val="5"/>
                <c:pt idx="0">
                  <c:v>193.5</c:v>
                </c:pt>
                <c:pt idx="1">
                  <c:v>1195</c:v>
                </c:pt>
                <c:pt idx="2">
                  <c:v>1723.05</c:v>
                </c:pt>
                <c:pt idx="3">
                  <c:v>128.69999999999999</c:v>
                </c:pt>
                <c:pt idx="4">
                  <c:v>152.80000000000001</c:v>
                </c:pt>
              </c:numCache>
            </c:numRef>
          </c:val>
        </c:ser>
        <c:dLbls>
          <c:showLegendKey val="0"/>
          <c:showVal val="0"/>
          <c:showCatName val="0"/>
          <c:showSerName val="0"/>
          <c:showPercent val="0"/>
          <c:showBubbleSize val="0"/>
        </c:dLbls>
        <c:gapWidth val="150"/>
        <c:axId val="330893952"/>
        <c:axId val="330903936"/>
      </c:barChart>
      <c:lineChart>
        <c:grouping val="standard"/>
        <c:varyColors val="0"/>
        <c:ser>
          <c:idx val="1"/>
          <c:order val="1"/>
          <c:tx>
            <c:strRef>
              <c:f>Sheet1!$C$1</c:f>
              <c:strCache>
                <c:ptCount val="1"/>
                <c:pt idx="0">
                  <c:v>MDK (mg/kg)</c:v>
                </c:pt>
              </c:strCache>
            </c:strRef>
          </c:tx>
          <c:spPr>
            <a:ln w="50800">
              <a:solidFill>
                <a:srgbClr val="FF0000"/>
              </a:solidFill>
            </a:ln>
          </c:spPr>
          <c:marker>
            <c:symbol val="none"/>
          </c:marker>
          <c:cat>
            <c:numRef>
              <c:f>Sheet1!$A$2:$A$6</c:f>
              <c:numCache>
                <c:formatCode>General</c:formatCode>
                <c:ptCount val="5"/>
                <c:pt idx="0">
                  <c:v>2009</c:v>
                </c:pt>
                <c:pt idx="1">
                  <c:v>2010</c:v>
                </c:pt>
                <c:pt idx="2">
                  <c:v>2011</c:v>
                </c:pt>
                <c:pt idx="3">
                  <c:v>2012</c:v>
                </c:pt>
                <c:pt idx="4">
                  <c:v>2013</c:v>
                </c:pt>
              </c:numCache>
            </c:numRef>
          </c:cat>
          <c:val>
            <c:numRef>
              <c:f>Sheet1!$C$2:$C$6</c:f>
              <c:numCache>
                <c:formatCode>General</c:formatCode>
                <c:ptCount val="5"/>
                <c:pt idx="0">
                  <c:v>300</c:v>
                </c:pt>
                <c:pt idx="1">
                  <c:v>300</c:v>
                </c:pt>
                <c:pt idx="2">
                  <c:v>300</c:v>
                </c:pt>
                <c:pt idx="3">
                  <c:v>300</c:v>
                </c:pt>
                <c:pt idx="4">
                  <c:v>300</c:v>
                </c:pt>
              </c:numCache>
            </c:numRef>
          </c:val>
          <c:smooth val="0"/>
        </c:ser>
        <c:dLbls>
          <c:showLegendKey val="0"/>
          <c:showVal val="0"/>
          <c:showCatName val="0"/>
          <c:showSerName val="0"/>
          <c:showPercent val="0"/>
          <c:showBubbleSize val="0"/>
        </c:dLbls>
        <c:marker val="1"/>
        <c:smooth val="0"/>
        <c:axId val="330893952"/>
        <c:axId val="330903936"/>
      </c:lineChart>
      <c:catAx>
        <c:axId val="330893952"/>
        <c:scaling>
          <c:orientation val="minMax"/>
        </c:scaling>
        <c:delete val="0"/>
        <c:axPos val="b"/>
        <c:numFmt formatCode="General" sourceLinked="0"/>
        <c:majorTickMark val="out"/>
        <c:minorTickMark val="none"/>
        <c:tickLblPos val="nextTo"/>
        <c:crossAx val="330903936"/>
        <c:crosses val="autoZero"/>
        <c:auto val="1"/>
        <c:lblAlgn val="ctr"/>
        <c:lblOffset val="100"/>
        <c:noMultiLvlLbl val="0"/>
      </c:catAx>
      <c:valAx>
        <c:axId val="330903936"/>
        <c:scaling>
          <c:orientation val="minMax"/>
        </c:scaling>
        <c:delete val="0"/>
        <c:axPos val="l"/>
        <c:numFmt formatCode="General" sourceLinked="1"/>
        <c:majorTickMark val="out"/>
        <c:minorTickMark val="none"/>
        <c:tickLblPos val="nextTo"/>
        <c:crossAx val="330893952"/>
        <c:crosses val="autoZero"/>
        <c:crossBetween val="between"/>
      </c:valAx>
    </c:plotArea>
    <c:legend>
      <c:legendPos val="r"/>
      <c:overlay val="0"/>
    </c:legend>
    <c:plotVisOnly val="1"/>
    <c:dispBlanksAs val="gap"/>
    <c:showDLblsOverMax val="0"/>
  </c:chart>
  <c:externalData r:id="rId1">
    <c:autoUpdate val="0"/>
  </c:externalData>
</c:chartSpace>
</file>

<file path=word/charts/chart6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manualLayout>
          <c:layoutTarget val="inner"/>
          <c:xMode val="edge"/>
          <c:yMode val="edge"/>
          <c:x val="0.11988637330558119"/>
          <c:y val="5.4977654820174533E-2"/>
          <c:w val="0.5442195037341031"/>
          <c:h val="0.76437681776264454"/>
        </c:manualLayout>
      </c:layout>
      <c:barChart>
        <c:barDir val="col"/>
        <c:grouping val="clustered"/>
        <c:varyColors val="0"/>
        <c:ser>
          <c:idx val="0"/>
          <c:order val="0"/>
          <c:tx>
            <c:strRef>
              <c:f>Sheet1!$B$1</c:f>
              <c:strCache>
                <c:ptCount val="1"/>
                <c:pt idx="0">
                  <c:v>Cd (mg/kg)</c:v>
                </c:pt>
              </c:strCache>
            </c:strRef>
          </c:tx>
          <c:invertIfNegative val="0"/>
          <c:cat>
            <c:numRef>
              <c:f>Sheet1!$A$2:$A$6</c:f>
              <c:numCache>
                <c:formatCode>General</c:formatCode>
                <c:ptCount val="5"/>
                <c:pt idx="0">
                  <c:v>2009</c:v>
                </c:pt>
                <c:pt idx="1">
                  <c:v>2010</c:v>
                </c:pt>
                <c:pt idx="2">
                  <c:v>2011</c:v>
                </c:pt>
                <c:pt idx="3">
                  <c:v>2012</c:v>
                </c:pt>
                <c:pt idx="4">
                  <c:v>2013</c:v>
                </c:pt>
              </c:numCache>
            </c:numRef>
          </c:cat>
          <c:val>
            <c:numRef>
              <c:f>Sheet1!$B$2:$B$6</c:f>
              <c:numCache>
                <c:formatCode>General</c:formatCode>
                <c:ptCount val="5"/>
                <c:pt idx="0">
                  <c:v>1.25</c:v>
                </c:pt>
                <c:pt idx="1">
                  <c:v>3.07</c:v>
                </c:pt>
                <c:pt idx="2">
                  <c:v>7.7700000000000014</c:v>
                </c:pt>
                <c:pt idx="3">
                  <c:v>0.73000000000000065</c:v>
                </c:pt>
                <c:pt idx="4">
                  <c:v>1.1000000000000001</c:v>
                </c:pt>
              </c:numCache>
            </c:numRef>
          </c:val>
        </c:ser>
        <c:dLbls>
          <c:showLegendKey val="0"/>
          <c:showVal val="0"/>
          <c:showCatName val="0"/>
          <c:showSerName val="0"/>
          <c:showPercent val="0"/>
          <c:showBubbleSize val="0"/>
        </c:dLbls>
        <c:gapWidth val="150"/>
        <c:axId val="332207232"/>
        <c:axId val="332208768"/>
      </c:barChart>
      <c:lineChart>
        <c:grouping val="standard"/>
        <c:varyColors val="0"/>
        <c:ser>
          <c:idx val="1"/>
          <c:order val="1"/>
          <c:tx>
            <c:strRef>
              <c:f>Sheet1!$C$1</c:f>
              <c:strCache>
                <c:ptCount val="1"/>
                <c:pt idx="0">
                  <c:v>MDK (mg/kg)</c:v>
                </c:pt>
              </c:strCache>
            </c:strRef>
          </c:tx>
          <c:spPr>
            <a:ln w="50800">
              <a:solidFill>
                <a:srgbClr val="FF0000"/>
              </a:solidFill>
            </a:ln>
          </c:spPr>
          <c:marker>
            <c:symbol val="none"/>
          </c:marker>
          <c:cat>
            <c:numRef>
              <c:f>Sheet1!$A$2:$A$6</c:f>
              <c:numCache>
                <c:formatCode>General</c:formatCode>
                <c:ptCount val="5"/>
                <c:pt idx="0">
                  <c:v>2009</c:v>
                </c:pt>
                <c:pt idx="1">
                  <c:v>2010</c:v>
                </c:pt>
                <c:pt idx="2">
                  <c:v>2011</c:v>
                </c:pt>
                <c:pt idx="3">
                  <c:v>2012</c:v>
                </c:pt>
                <c:pt idx="4">
                  <c:v>2013</c:v>
                </c:pt>
              </c:numCache>
            </c:numRef>
          </c:cat>
          <c:val>
            <c:numRef>
              <c:f>Sheet1!$C$2:$C$6</c:f>
              <c:numCache>
                <c:formatCode>General</c:formatCode>
                <c:ptCount val="5"/>
                <c:pt idx="0">
                  <c:v>2</c:v>
                </c:pt>
                <c:pt idx="1">
                  <c:v>2</c:v>
                </c:pt>
                <c:pt idx="2">
                  <c:v>2</c:v>
                </c:pt>
                <c:pt idx="3">
                  <c:v>2</c:v>
                </c:pt>
                <c:pt idx="4">
                  <c:v>2</c:v>
                </c:pt>
              </c:numCache>
            </c:numRef>
          </c:val>
          <c:smooth val="0"/>
        </c:ser>
        <c:dLbls>
          <c:showLegendKey val="0"/>
          <c:showVal val="0"/>
          <c:showCatName val="0"/>
          <c:showSerName val="0"/>
          <c:showPercent val="0"/>
          <c:showBubbleSize val="0"/>
        </c:dLbls>
        <c:marker val="1"/>
        <c:smooth val="0"/>
        <c:axId val="332207232"/>
        <c:axId val="332208768"/>
      </c:lineChart>
      <c:catAx>
        <c:axId val="332207232"/>
        <c:scaling>
          <c:orientation val="minMax"/>
        </c:scaling>
        <c:delete val="0"/>
        <c:axPos val="b"/>
        <c:numFmt formatCode="General" sourceLinked="0"/>
        <c:majorTickMark val="out"/>
        <c:minorTickMark val="none"/>
        <c:tickLblPos val="nextTo"/>
        <c:crossAx val="332208768"/>
        <c:crosses val="autoZero"/>
        <c:auto val="1"/>
        <c:lblAlgn val="ctr"/>
        <c:lblOffset val="100"/>
        <c:noMultiLvlLbl val="0"/>
      </c:catAx>
      <c:valAx>
        <c:axId val="332208768"/>
        <c:scaling>
          <c:orientation val="minMax"/>
        </c:scaling>
        <c:delete val="0"/>
        <c:axPos val="l"/>
        <c:numFmt formatCode="General" sourceLinked="1"/>
        <c:majorTickMark val="out"/>
        <c:minorTickMark val="none"/>
        <c:tickLblPos val="nextTo"/>
        <c:crossAx val="332207232"/>
        <c:crosses val="autoZero"/>
        <c:crossBetween val="between"/>
      </c:valAx>
    </c:plotArea>
    <c:legend>
      <c:legendPos val="r"/>
      <c:overlay val="0"/>
    </c:legend>
    <c:plotVisOnly val="1"/>
    <c:dispBlanksAs val="gap"/>
    <c:showDLblsOverMax val="0"/>
  </c:chart>
  <c:externalData r:id="rId1">
    <c:autoUpdate val="0"/>
  </c:externalData>
</c:chartSpace>
</file>

<file path=word/charts/chart6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manualLayout>
          <c:layoutTarget val="inner"/>
          <c:xMode val="edge"/>
          <c:yMode val="edge"/>
          <c:x val="0.10302851794398522"/>
          <c:y val="0.10903170887422869"/>
          <c:w val="0.56107735909569911"/>
          <c:h val="0.7103227637085906"/>
        </c:manualLayout>
      </c:layout>
      <c:barChart>
        <c:barDir val="col"/>
        <c:grouping val="clustered"/>
        <c:varyColors val="0"/>
        <c:ser>
          <c:idx val="0"/>
          <c:order val="0"/>
          <c:tx>
            <c:strRef>
              <c:f>Sheet1!$B$1</c:f>
              <c:strCache>
                <c:ptCount val="1"/>
                <c:pt idx="0">
                  <c:v>Pb (mg/kg)</c:v>
                </c:pt>
              </c:strCache>
            </c:strRef>
          </c:tx>
          <c:invertIfNegative val="0"/>
          <c:cat>
            <c:numRef>
              <c:f>Sheet1!$A$2:$A$6</c:f>
              <c:numCache>
                <c:formatCode>General</c:formatCode>
                <c:ptCount val="5"/>
                <c:pt idx="0">
                  <c:v>2009</c:v>
                </c:pt>
                <c:pt idx="1">
                  <c:v>2010</c:v>
                </c:pt>
                <c:pt idx="2">
                  <c:v>2011</c:v>
                </c:pt>
                <c:pt idx="3">
                  <c:v>2012</c:v>
                </c:pt>
                <c:pt idx="4">
                  <c:v>2013</c:v>
                </c:pt>
              </c:numCache>
            </c:numRef>
          </c:cat>
          <c:val>
            <c:numRef>
              <c:f>Sheet1!$B$2:$B$6</c:f>
              <c:numCache>
                <c:formatCode>General</c:formatCode>
                <c:ptCount val="5"/>
                <c:pt idx="0">
                  <c:v>44.120000000000012</c:v>
                </c:pt>
                <c:pt idx="1">
                  <c:v>41.81</c:v>
                </c:pt>
                <c:pt idx="2">
                  <c:v>611.37</c:v>
                </c:pt>
                <c:pt idx="3">
                  <c:v>29.03</c:v>
                </c:pt>
                <c:pt idx="4">
                  <c:v>33.790000000000013</c:v>
                </c:pt>
              </c:numCache>
            </c:numRef>
          </c:val>
        </c:ser>
        <c:dLbls>
          <c:showLegendKey val="0"/>
          <c:showVal val="0"/>
          <c:showCatName val="0"/>
          <c:showSerName val="0"/>
          <c:showPercent val="0"/>
          <c:showBubbleSize val="0"/>
        </c:dLbls>
        <c:gapWidth val="150"/>
        <c:axId val="332221824"/>
        <c:axId val="332227712"/>
      </c:barChart>
      <c:lineChart>
        <c:grouping val="standard"/>
        <c:varyColors val="0"/>
        <c:ser>
          <c:idx val="1"/>
          <c:order val="1"/>
          <c:tx>
            <c:strRef>
              <c:f>Sheet1!$C$1</c:f>
              <c:strCache>
                <c:ptCount val="1"/>
                <c:pt idx="0">
                  <c:v>MDK (mg/kg)</c:v>
                </c:pt>
              </c:strCache>
            </c:strRef>
          </c:tx>
          <c:spPr>
            <a:ln w="50800">
              <a:solidFill>
                <a:srgbClr val="FF0000"/>
              </a:solidFill>
            </a:ln>
          </c:spPr>
          <c:marker>
            <c:symbol val="none"/>
          </c:marker>
          <c:cat>
            <c:numRef>
              <c:f>Sheet1!$A$2:$A$6</c:f>
              <c:numCache>
                <c:formatCode>General</c:formatCode>
                <c:ptCount val="5"/>
                <c:pt idx="0">
                  <c:v>2009</c:v>
                </c:pt>
                <c:pt idx="1">
                  <c:v>2010</c:v>
                </c:pt>
                <c:pt idx="2">
                  <c:v>2011</c:v>
                </c:pt>
                <c:pt idx="3">
                  <c:v>2012</c:v>
                </c:pt>
                <c:pt idx="4">
                  <c:v>2013</c:v>
                </c:pt>
              </c:numCache>
            </c:numRef>
          </c:cat>
          <c:val>
            <c:numRef>
              <c:f>Sheet1!$C$2:$C$6</c:f>
              <c:numCache>
                <c:formatCode>General</c:formatCode>
                <c:ptCount val="5"/>
                <c:pt idx="0">
                  <c:v>50</c:v>
                </c:pt>
                <c:pt idx="1">
                  <c:v>50</c:v>
                </c:pt>
                <c:pt idx="2">
                  <c:v>50</c:v>
                </c:pt>
                <c:pt idx="3">
                  <c:v>50</c:v>
                </c:pt>
                <c:pt idx="4">
                  <c:v>50</c:v>
                </c:pt>
              </c:numCache>
            </c:numRef>
          </c:val>
          <c:smooth val="0"/>
        </c:ser>
        <c:dLbls>
          <c:showLegendKey val="0"/>
          <c:showVal val="0"/>
          <c:showCatName val="0"/>
          <c:showSerName val="0"/>
          <c:showPercent val="0"/>
          <c:showBubbleSize val="0"/>
        </c:dLbls>
        <c:marker val="1"/>
        <c:smooth val="0"/>
        <c:axId val="332221824"/>
        <c:axId val="332227712"/>
      </c:lineChart>
      <c:catAx>
        <c:axId val="332221824"/>
        <c:scaling>
          <c:orientation val="minMax"/>
        </c:scaling>
        <c:delete val="0"/>
        <c:axPos val="b"/>
        <c:numFmt formatCode="General" sourceLinked="0"/>
        <c:majorTickMark val="out"/>
        <c:minorTickMark val="none"/>
        <c:tickLblPos val="nextTo"/>
        <c:crossAx val="332227712"/>
        <c:crosses val="autoZero"/>
        <c:auto val="1"/>
        <c:lblAlgn val="ctr"/>
        <c:lblOffset val="100"/>
        <c:noMultiLvlLbl val="0"/>
      </c:catAx>
      <c:valAx>
        <c:axId val="332227712"/>
        <c:scaling>
          <c:orientation val="minMax"/>
        </c:scaling>
        <c:delete val="0"/>
        <c:axPos val="l"/>
        <c:numFmt formatCode="General" sourceLinked="1"/>
        <c:majorTickMark val="out"/>
        <c:minorTickMark val="none"/>
        <c:tickLblPos val="nextTo"/>
        <c:crossAx val="332221824"/>
        <c:crosses val="autoZero"/>
        <c:crossBetween val="between"/>
      </c:valAx>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manualLayout>
          <c:layoutTarget val="inner"/>
          <c:xMode val="edge"/>
          <c:yMode val="edge"/>
          <c:x val="0.10845988001499801"/>
          <c:y val="0.10096358126907966"/>
          <c:w val="0.61797126921634793"/>
          <c:h val="0.72085341263672631"/>
        </c:manualLayout>
      </c:layout>
      <c:barChart>
        <c:barDir val="col"/>
        <c:grouping val="clustered"/>
        <c:varyColors val="0"/>
        <c:ser>
          <c:idx val="0"/>
          <c:order val="0"/>
          <c:tx>
            <c:strRef>
              <c:f>Sheet1!$B$1</c:f>
              <c:strCache>
                <c:ptCount val="1"/>
                <c:pt idx="0">
                  <c:v>Srednja mjesečna 8-časovna vrijednost</c:v>
                </c:pt>
              </c:strCache>
            </c:strRef>
          </c:tx>
          <c:spPr>
            <a:solidFill>
              <a:srgbClr val="FFFF00"/>
            </a:solidFill>
          </c:spPr>
          <c:invertIfNegative val="0"/>
          <c:cat>
            <c:strRef>
              <c:f>Sheet1!$A$2:$A$13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Sheet1!$B$2:$B$13</c:f>
              <c:numCache>
                <c:formatCode>General</c:formatCode>
                <c:ptCount val="12"/>
                <c:pt idx="0">
                  <c:v>1.3800000000000001</c:v>
                </c:pt>
                <c:pt idx="1">
                  <c:v>1.2</c:v>
                </c:pt>
                <c:pt idx="2">
                  <c:v>0.88</c:v>
                </c:pt>
                <c:pt idx="3">
                  <c:v>0.81</c:v>
                </c:pt>
                <c:pt idx="4">
                  <c:v>0.3200000000000004</c:v>
                </c:pt>
                <c:pt idx="5">
                  <c:v>0.24000000000000016</c:v>
                </c:pt>
                <c:pt idx="6">
                  <c:v>0.27</c:v>
                </c:pt>
                <c:pt idx="7">
                  <c:v>0.38000000000000039</c:v>
                </c:pt>
                <c:pt idx="8">
                  <c:v>0.35000000000000031</c:v>
                </c:pt>
                <c:pt idx="9">
                  <c:v>0.55000000000000004</c:v>
                </c:pt>
                <c:pt idx="10">
                  <c:v>0.89</c:v>
                </c:pt>
                <c:pt idx="11">
                  <c:v>2.17</c:v>
                </c:pt>
              </c:numCache>
            </c:numRef>
          </c:val>
        </c:ser>
        <c:ser>
          <c:idx val="1"/>
          <c:order val="1"/>
          <c:tx>
            <c:strRef>
              <c:f>Sheet1!$C$1</c:f>
              <c:strCache>
                <c:ptCount val="1"/>
                <c:pt idx="0">
                  <c:v>Max dnevna 8-časovna vrijednost</c:v>
                </c:pt>
              </c:strCache>
            </c:strRef>
          </c:tx>
          <c:invertIfNegative val="0"/>
          <c:cat>
            <c:strRef>
              <c:f>Sheet1!$A$2:$A$13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Sheet1!$C$2:$C$13</c:f>
              <c:numCache>
                <c:formatCode>General</c:formatCode>
                <c:ptCount val="12"/>
                <c:pt idx="0">
                  <c:v>2.59</c:v>
                </c:pt>
                <c:pt idx="1">
                  <c:v>2.2599999999999998</c:v>
                </c:pt>
                <c:pt idx="2">
                  <c:v>1.6900000000000013</c:v>
                </c:pt>
                <c:pt idx="3">
                  <c:v>3.9899999999999998</c:v>
                </c:pt>
                <c:pt idx="4">
                  <c:v>0.68</c:v>
                </c:pt>
                <c:pt idx="5">
                  <c:v>0.3900000000000004</c:v>
                </c:pt>
                <c:pt idx="6">
                  <c:v>0.30000000000000032</c:v>
                </c:pt>
                <c:pt idx="7">
                  <c:v>0.46</c:v>
                </c:pt>
                <c:pt idx="8">
                  <c:v>0.55000000000000004</c:v>
                </c:pt>
                <c:pt idx="9">
                  <c:v>0.85000000000000064</c:v>
                </c:pt>
                <c:pt idx="10">
                  <c:v>2.86</c:v>
                </c:pt>
                <c:pt idx="11">
                  <c:v>3.29</c:v>
                </c:pt>
              </c:numCache>
            </c:numRef>
          </c:val>
        </c:ser>
        <c:dLbls>
          <c:showLegendKey val="0"/>
          <c:showVal val="0"/>
          <c:showCatName val="0"/>
          <c:showSerName val="0"/>
          <c:showPercent val="0"/>
          <c:showBubbleSize val="0"/>
        </c:dLbls>
        <c:gapWidth val="150"/>
        <c:axId val="200406144"/>
        <c:axId val="200407680"/>
      </c:barChart>
      <c:lineChart>
        <c:grouping val="standard"/>
        <c:varyColors val="0"/>
        <c:ser>
          <c:idx val="2"/>
          <c:order val="2"/>
          <c:tx>
            <c:strRef>
              <c:f>Sheet1!$D$1</c:f>
              <c:strCache>
                <c:ptCount val="1"/>
                <c:pt idx="0">
                  <c:v>max dozvoljena dnevna 8-časovna vrijednost</c:v>
                </c:pt>
              </c:strCache>
            </c:strRef>
          </c:tx>
          <c:spPr>
            <a:ln w="41275">
              <a:solidFill>
                <a:srgbClr val="FF0000"/>
              </a:solidFill>
            </a:ln>
          </c:spPr>
          <c:marker>
            <c:symbol val="none"/>
          </c:marker>
          <c:cat>
            <c:strRef>
              <c:f>Sheet1!$A$2:$A$13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Sheet1!$D$2:$D$13</c:f>
              <c:numCache>
                <c:formatCode>General</c:formatCode>
                <c:ptCount val="12"/>
                <c:pt idx="0">
                  <c:v>10</c:v>
                </c:pt>
                <c:pt idx="1">
                  <c:v>10</c:v>
                </c:pt>
                <c:pt idx="2">
                  <c:v>10</c:v>
                </c:pt>
                <c:pt idx="3">
                  <c:v>10</c:v>
                </c:pt>
                <c:pt idx="4">
                  <c:v>10</c:v>
                </c:pt>
                <c:pt idx="5">
                  <c:v>10</c:v>
                </c:pt>
                <c:pt idx="6">
                  <c:v>10</c:v>
                </c:pt>
                <c:pt idx="7">
                  <c:v>10</c:v>
                </c:pt>
                <c:pt idx="8">
                  <c:v>10</c:v>
                </c:pt>
                <c:pt idx="9">
                  <c:v>10</c:v>
                </c:pt>
                <c:pt idx="10">
                  <c:v>10</c:v>
                </c:pt>
                <c:pt idx="11">
                  <c:v>10</c:v>
                </c:pt>
              </c:numCache>
            </c:numRef>
          </c:val>
          <c:smooth val="0"/>
        </c:ser>
        <c:dLbls>
          <c:showLegendKey val="0"/>
          <c:showVal val="0"/>
          <c:showCatName val="0"/>
          <c:showSerName val="0"/>
          <c:showPercent val="0"/>
          <c:showBubbleSize val="0"/>
        </c:dLbls>
        <c:marker val="1"/>
        <c:smooth val="0"/>
        <c:axId val="200406144"/>
        <c:axId val="200407680"/>
      </c:lineChart>
      <c:catAx>
        <c:axId val="200406144"/>
        <c:scaling>
          <c:orientation val="minMax"/>
        </c:scaling>
        <c:delete val="0"/>
        <c:axPos val="b"/>
        <c:majorTickMark val="out"/>
        <c:minorTickMark val="none"/>
        <c:tickLblPos val="nextTo"/>
        <c:crossAx val="200407680"/>
        <c:crosses val="autoZero"/>
        <c:auto val="1"/>
        <c:lblAlgn val="ctr"/>
        <c:lblOffset val="100"/>
        <c:noMultiLvlLbl val="0"/>
      </c:catAx>
      <c:valAx>
        <c:axId val="200407680"/>
        <c:scaling>
          <c:orientation val="minMax"/>
        </c:scaling>
        <c:delete val="0"/>
        <c:axPos val="l"/>
        <c:title>
          <c:tx>
            <c:rich>
              <a:bodyPr rot="0" vert="horz"/>
              <a:lstStyle/>
              <a:p>
                <a:pPr>
                  <a:defRPr/>
                </a:pPr>
                <a:r>
                  <a:rPr lang="x-none">
                    <a:latin typeface="Calibri"/>
                  </a:rPr>
                  <a:t>m</a:t>
                </a:r>
                <a:r>
                  <a:rPr lang="en-US">
                    <a:latin typeface="Calibri"/>
                  </a:rPr>
                  <a:t>g/m</a:t>
                </a:r>
                <a:r>
                  <a:rPr lang="en-US" baseline="30000">
                    <a:latin typeface="Calibri"/>
                  </a:rPr>
                  <a:t>3</a:t>
                </a:r>
                <a:endParaRPr lang="en-US" baseline="30000"/>
              </a:p>
            </c:rich>
          </c:tx>
          <c:layout>
            <c:manualLayout>
              <c:xMode val="edge"/>
              <c:yMode val="edge"/>
              <c:x val="0"/>
              <c:y val="3.0067700764872299E-3"/>
            </c:manualLayout>
          </c:layout>
          <c:overlay val="0"/>
        </c:title>
        <c:numFmt formatCode="General" sourceLinked="1"/>
        <c:majorTickMark val="out"/>
        <c:minorTickMark val="none"/>
        <c:tickLblPos val="nextTo"/>
        <c:crossAx val="200406144"/>
        <c:crosses val="autoZero"/>
        <c:crossBetween val="between"/>
      </c:valAx>
      <c:spPr>
        <a:blipFill dpi="0" rotWithShape="1">
          <a:blip xmlns:r="http://schemas.openxmlformats.org/officeDocument/2006/relationships" r:embed="rId1">
            <a:alphaModFix amt="70000"/>
          </a:blip>
          <a:srcRect/>
          <a:stretch>
            <a:fillRect/>
          </a:stretch>
        </a:blipFill>
      </c:spPr>
    </c:plotArea>
    <c:legend>
      <c:legendPos val="r"/>
      <c:layout>
        <c:manualLayout>
          <c:xMode val="edge"/>
          <c:yMode val="edge"/>
          <c:x val="0.76182295394893862"/>
          <c:y val="0.11791978264023559"/>
          <c:w val="0.23590942740549256"/>
          <c:h val="0.66474894155819619"/>
        </c:manualLayout>
      </c:layout>
      <c:overlay val="1"/>
      <c:txPr>
        <a:bodyPr/>
        <a:lstStyle/>
        <a:p>
          <a:pPr>
            <a:defRPr sz="800"/>
          </a:pPr>
          <a:endParaRPr lang="en-US"/>
        </a:p>
      </c:txPr>
    </c:legend>
    <c:plotVisOnly val="1"/>
    <c:dispBlanksAs val="gap"/>
    <c:showDLblsOverMax val="0"/>
  </c:chart>
  <c:spPr>
    <a:ln>
      <a:noFill/>
    </a:ln>
  </c:spPr>
  <c:externalData r:id="rId2">
    <c:autoUpdate val="0"/>
  </c:externalData>
</c:chartSpace>
</file>

<file path=word/charts/chart7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manualLayout>
          <c:layoutTarget val="inner"/>
          <c:xMode val="edge"/>
          <c:yMode val="edge"/>
          <c:x val="9.5194552293867224E-2"/>
          <c:y val="9.0818156932837443E-2"/>
          <c:w val="0.61823046312759511"/>
          <c:h val="0.68455397620751968"/>
        </c:manualLayout>
      </c:layout>
      <c:barChart>
        <c:barDir val="col"/>
        <c:grouping val="clustered"/>
        <c:varyColors val="0"/>
        <c:ser>
          <c:idx val="0"/>
          <c:order val="0"/>
          <c:tx>
            <c:strRef>
              <c:f>Sheet2!$B$1</c:f>
              <c:strCache>
                <c:ptCount val="1"/>
                <c:pt idx="0">
                  <c:v>Cr (mg/kg)</c:v>
                </c:pt>
              </c:strCache>
            </c:strRef>
          </c:tx>
          <c:invertIfNegative val="0"/>
          <c:cat>
            <c:numRef>
              <c:f>Sheet2!$A$2:$A$6</c:f>
              <c:numCache>
                <c:formatCode>General</c:formatCode>
                <c:ptCount val="5"/>
                <c:pt idx="0">
                  <c:v>2009</c:v>
                </c:pt>
                <c:pt idx="1">
                  <c:v>2010</c:v>
                </c:pt>
                <c:pt idx="2">
                  <c:v>2011</c:v>
                </c:pt>
                <c:pt idx="3">
                  <c:v>2012</c:v>
                </c:pt>
                <c:pt idx="4">
                  <c:v>2013</c:v>
                </c:pt>
              </c:numCache>
            </c:numRef>
          </c:cat>
          <c:val>
            <c:numRef>
              <c:f>Sheet2!$B$2:$B$6</c:f>
              <c:numCache>
                <c:formatCode>General</c:formatCode>
                <c:ptCount val="5"/>
                <c:pt idx="0">
                  <c:v>45.620000000000012</c:v>
                </c:pt>
                <c:pt idx="1">
                  <c:v>44.309999999999995</c:v>
                </c:pt>
                <c:pt idx="2">
                  <c:v>53.75</c:v>
                </c:pt>
                <c:pt idx="3">
                  <c:v>117.4</c:v>
                </c:pt>
                <c:pt idx="4">
                  <c:v>127.02</c:v>
                </c:pt>
              </c:numCache>
            </c:numRef>
          </c:val>
        </c:ser>
        <c:dLbls>
          <c:showLegendKey val="0"/>
          <c:showVal val="0"/>
          <c:showCatName val="0"/>
          <c:showSerName val="0"/>
          <c:showPercent val="0"/>
          <c:showBubbleSize val="0"/>
        </c:dLbls>
        <c:gapWidth val="150"/>
        <c:axId val="331380608"/>
        <c:axId val="331382144"/>
      </c:barChart>
      <c:lineChart>
        <c:grouping val="standard"/>
        <c:varyColors val="0"/>
        <c:ser>
          <c:idx val="1"/>
          <c:order val="1"/>
          <c:tx>
            <c:strRef>
              <c:f>Sheet2!$C$1</c:f>
              <c:strCache>
                <c:ptCount val="1"/>
                <c:pt idx="0">
                  <c:v>MDK (mg/kg) </c:v>
                </c:pt>
              </c:strCache>
            </c:strRef>
          </c:tx>
          <c:spPr>
            <a:ln w="50800">
              <a:solidFill>
                <a:srgbClr val="FF0000"/>
              </a:solidFill>
            </a:ln>
          </c:spPr>
          <c:marker>
            <c:symbol val="none"/>
          </c:marker>
          <c:cat>
            <c:numRef>
              <c:f>Sheet2!$A$2:$A$6</c:f>
              <c:numCache>
                <c:formatCode>General</c:formatCode>
                <c:ptCount val="5"/>
                <c:pt idx="0">
                  <c:v>2009</c:v>
                </c:pt>
                <c:pt idx="1">
                  <c:v>2010</c:v>
                </c:pt>
                <c:pt idx="2">
                  <c:v>2011</c:v>
                </c:pt>
                <c:pt idx="3">
                  <c:v>2012</c:v>
                </c:pt>
                <c:pt idx="4">
                  <c:v>2013</c:v>
                </c:pt>
              </c:numCache>
            </c:numRef>
          </c:cat>
          <c:val>
            <c:numRef>
              <c:f>Sheet2!$C$2:$C$6</c:f>
              <c:numCache>
                <c:formatCode>General</c:formatCode>
                <c:ptCount val="5"/>
                <c:pt idx="0">
                  <c:v>50</c:v>
                </c:pt>
                <c:pt idx="1">
                  <c:v>50</c:v>
                </c:pt>
                <c:pt idx="2">
                  <c:v>50</c:v>
                </c:pt>
                <c:pt idx="3">
                  <c:v>50</c:v>
                </c:pt>
                <c:pt idx="4">
                  <c:v>50</c:v>
                </c:pt>
              </c:numCache>
            </c:numRef>
          </c:val>
          <c:smooth val="0"/>
        </c:ser>
        <c:dLbls>
          <c:showLegendKey val="0"/>
          <c:showVal val="0"/>
          <c:showCatName val="0"/>
          <c:showSerName val="0"/>
          <c:showPercent val="0"/>
          <c:showBubbleSize val="0"/>
        </c:dLbls>
        <c:marker val="1"/>
        <c:smooth val="0"/>
        <c:axId val="331380608"/>
        <c:axId val="331382144"/>
      </c:lineChart>
      <c:catAx>
        <c:axId val="331380608"/>
        <c:scaling>
          <c:orientation val="minMax"/>
        </c:scaling>
        <c:delete val="0"/>
        <c:axPos val="b"/>
        <c:numFmt formatCode="General" sourceLinked="0"/>
        <c:majorTickMark val="out"/>
        <c:minorTickMark val="none"/>
        <c:tickLblPos val="nextTo"/>
        <c:crossAx val="331382144"/>
        <c:crosses val="autoZero"/>
        <c:auto val="1"/>
        <c:lblAlgn val="ctr"/>
        <c:lblOffset val="100"/>
        <c:noMultiLvlLbl val="0"/>
      </c:catAx>
      <c:valAx>
        <c:axId val="331382144"/>
        <c:scaling>
          <c:orientation val="minMax"/>
        </c:scaling>
        <c:delete val="0"/>
        <c:axPos val="l"/>
        <c:numFmt formatCode="General" sourceLinked="1"/>
        <c:majorTickMark val="out"/>
        <c:minorTickMark val="none"/>
        <c:tickLblPos val="nextTo"/>
        <c:crossAx val="331380608"/>
        <c:crosses val="autoZero"/>
        <c:crossBetween val="between"/>
      </c:valAx>
    </c:plotArea>
    <c:legend>
      <c:legendPos val="r"/>
      <c:layout>
        <c:manualLayout>
          <c:xMode val="edge"/>
          <c:yMode val="edge"/>
          <c:x val="0.73493039176554542"/>
          <c:y val="0.35208218604576408"/>
          <c:w val="0.24663642851095224"/>
          <c:h val="0.41704741452772925"/>
        </c:manualLayout>
      </c:layout>
      <c:overlay val="0"/>
    </c:legend>
    <c:plotVisOnly val="1"/>
    <c:dispBlanksAs val="gap"/>
    <c:showDLblsOverMax val="0"/>
  </c:chart>
  <c:externalData r:id="rId1">
    <c:autoUpdate val="0"/>
  </c:externalData>
</c:chartSpace>
</file>

<file path=word/charts/chart7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'[Chart in Microsoft Office Word]Sheet6'!$A$2</c:f>
              <c:strCache>
                <c:ptCount val="1"/>
                <c:pt idx="0">
                  <c:v>Ni - Donja Gorica </c:v>
                </c:pt>
              </c:strCache>
            </c:strRef>
          </c:tx>
          <c:invertIfNegative val="0"/>
          <c:cat>
            <c:numRef>
              <c:f>'[Chart in Microsoft Office Word]Sheet6'!$B$1:$F$1</c:f>
              <c:numCache>
                <c:formatCode>General</c:formatCode>
                <c:ptCount val="5"/>
                <c:pt idx="0">
                  <c:v>2009</c:v>
                </c:pt>
                <c:pt idx="1">
                  <c:v>2010</c:v>
                </c:pt>
                <c:pt idx="2">
                  <c:v>2011</c:v>
                </c:pt>
                <c:pt idx="3">
                  <c:v>2012</c:v>
                </c:pt>
                <c:pt idx="4">
                  <c:v>2013</c:v>
                </c:pt>
              </c:numCache>
            </c:numRef>
          </c:cat>
          <c:val>
            <c:numRef>
              <c:f>'[Chart in Microsoft Office Word]Sheet6'!$B$2:$F$2</c:f>
              <c:numCache>
                <c:formatCode>General</c:formatCode>
                <c:ptCount val="5"/>
                <c:pt idx="0">
                  <c:v>89.92</c:v>
                </c:pt>
                <c:pt idx="1">
                  <c:v>33.33</c:v>
                </c:pt>
                <c:pt idx="2">
                  <c:v>114.6</c:v>
                </c:pt>
                <c:pt idx="3">
                  <c:v>162.53</c:v>
                </c:pt>
                <c:pt idx="4">
                  <c:v>178.6</c:v>
                </c:pt>
              </c:numCache>
            </c:numRef>
          </c:val>
        </c:ser>
        <c:ser>
          <c:idx val="1"/>
          <c:order val="1"/>
          <c:tx>
            <c:strRef>
              <c:f>'[Chart in Microsoft Office Word]Sheet6'!$A$3</c:f>
              <c:strCache>
                <c:ptCount val="1"/>
                <c:pt idx="0">
                  <c:v>Ni - Srpska</c:v>
                </c:pt>
              </c:strCache>
            </c:strRef>
          </c:tx>
          <c:invertIfNegative val="0"/>
          <c:cat>
            <c:numRef>
              <c:f>'[Chart in Microsoft Office Word]Sheet6'!$B$1:$F$1</c:f>
              <c:numCache>
                <c:formatCode>General</c:formatCode>
                <c:ptCount val="5"/>
                <c:pt idx="0">
                  <c:v>2009</c:v>
                </c:pt>
                <c:pt idx="1">
                  <c:v>2010</c:v>
                </c:pt>
                <c:pt idx="2">
                  <c:v>2011</c:v>
                </c:pt>
                <c:pt idx="3">
                  <c:v>2012</c:v>
                </c:pt>
                <c:pt idx="4">
                  <c:v>2013</c:v>
                </c:pt>
              </c:numCache>
            </c:numRef>
          </c:cat>
          <c:val>
            <c:numRef>
              <c:f>'[Chart in Microsoft Office Word]Sheet6'!$B$3:$F$3</c:f>
              <c:numCache>
                <c:formatCode>General</c:formatCode>
                <c:ptCount val="5"/>
                <c:pt idx="0">
                  <c:v>158.97</c:v>
                </c:pt>
                <c:pt idx="1">
                  <c:v>87.440000000000026</c:v>
                </c:pt>
                <c:pt idx="2">
                  <c:v>88.79</c:v>
                </c:pt>
                <c:pt idx="3">
                  <c:v>68.169999999999987</c:v>
                </c:pt>
                <c:pt idx="4">
                  <c:v>69.95</c:v>
                </c:pt>
              </c:numCache>
            </c:numRef>
          </c:val>
        </c:ser>
        <c:ser>
          <c:idx val="2"/>
          <c:order val="2"/>
          <c:tx>
            <c:strRef>
              <c:f>'[Chart in Microsoft Office Word]Sheet6'!$A$4</c:f>
              <c:strCache>
                <c:ptCount val="1"/>
                <c:pt idx="0">
                  <c:v>Ni - Ćemovsko polje</c:v>
                </c:pt>
              </c:strCache>
            </c:strRef>
          </c:tx>
          <c:invertIfNegative val="0"/>
          <c:cat>
            <c:numRef>
              <c:f>'[Chart in Microsoft Office Word]Sheet6'!$B$1:$F$1</c:f>
              <c:numCache>
                <c:formatCode>General</c:formatCode>
                <c:ptCount val="5"/>
                <c:pt idx="0">
                  <c:v>2009</c:v>
                </c:pt>
                <c:pt idx="1">
                  <c:v>2010</c:v>
                </c:pt>
                <c:pt idx="2">
                  <c:v>2011</c:v>
                </c:pt>
                <c:pt idx="3">
                  <c:v>2012</c:v>
                </c:pt>
                <c:pt idx="4">
                  <c:v>2013</c:v>
                </c:pt>
              </c:numCache>
            </c:numRef>
          </c:cat>
          <c:val>
            <c:numRef>
              <c:f>'[Chart in Microsoft Office Word]Sheet6'!$B$4:$F$4</c:f>
              <c:numCache>
                <c:formatCode>General</c:formatCode>
                <c:ptCount val="5"/>
                <c:pt idx="0">
                  <c:v>83.03</c:v>
                </c:pt>
                <c:pt idx="1">
                  <c:v>52.449999999999996</c:v>
                </c:pt>
                <c:pt idx="2">
                  <c:v>49.849999999999994</c:v>
                </c:pt>
                <c:pt idx="3">
                  <c:v>62.03</c:v>
                </c:pt>
                <c:pt idx="4">
                  <c:v>58.63</c:v>
                </c:pt>
              </c:numCache>
            </c:numRef>
          </c:val>
        </c:ser>
        <c:ser>
          <c:idx val="3"/>
          <c:order val="3"/>
          <c:tx>
            <c:strRef>
              <c:f>'[Chart in Microsoft Office Word]Sheet6'!$A$5</c:f>
              <c:strCache>
                <c:ptCount val="1"/>
                <c:pt idx="0">
                  <c:v>MDK (mg/kg) </c:v>
                </c:pt>
              </c:strCache>
            </c:strRef>
          </c:tx>
          <c:invertIfNegative val="0"/>
          <c:cat>
            <c:numRef>
              <c:f>'[Chart in Microsoft Office Word]Sheet6'!$B$1:$F$1</c:f>
              <c:numCache>
                <c:formatCode>General</c:formatCode>
                <c:ptCount val="5"/>
                <c:pt idx="0">
                  <c:v>2009</c:v>
                </c:pt>
                <c:pt idx="1">
                  <c:v>2010</c:v>
                </c:pt>
                <c:pt idx="2">
                  <c:v>2011</c:v>
                </c:pt>
                <c:pt idx="3">
                  <c:v>2012</c:v>
                </c:pt>
                <c:pt idx="4">
                  <c:v>2013</c:v>
                </c:pt>
              </c:numCache>
            </c:numRef>
          </c:cat>
          <c:val>
            <c:numRef>
              <c:f>'[Chart in Microsoft Office Word]Sheet6'!$B$5:$F$5</c:f>
              <c:numCache>
                <c:formatCode>General</c:formatCode>
                <c:ptCount val="5"/>
                <c:pt idx="0">
                  <c:v>50</c:v>
                </c:pt>
                <c:pt idx="1">
                  <c:v>50</c:v>
                </c:pt>
                <c:pt idx="2">
                  <c:v>50</c:v>
                </c:pt>
                <c:pt idx="3">
                  <c:v>50</c:v>
                </c:pt>
                <c:pt idx="4">
                  <c:v>50</c:v>
                </c:pt>
              </c:numCache>
            </c:numRef>
          </c:val>
        </c:ser>
        <c:dLbls>
          <c:showLegendKey val="0"/>
          <c:showVal val="0"/>
          <c:showCatName val="0"/>
          <c:showSerName val="0"/>
          <c:showPercent val="0"/>
          <c:showBubbleSize val="0"/>
        </c:dLbls>
        <c:gapWidth val="150"/>
        <c:axId val="331412992"/>
        <c:axId val="331414528"/>
      </c:barChart>
      <c:catAx>
        <c:axId val="331412992"/>
        <c:scaling>
          <c:orientation val="minMax"/>
        </c:scaling>
        <c:delete val="0"/>
        <c:axPos val="b"/>
        <c:numFmt formatCode="General" sourceLinked="1"/>
        <c:majorTickMark val="out"/>
        <c:minorTickMark val="none"/>
        <c:tickLblPos val="nextTo"/>
        <c:crossAx val="331414528"/>
        <c:crosses val="autoZero"/>
        <c:auto val="1"/>
        <c:lblAlgn val="ctr"/>
        <c:lblOffset val="100"/>
        <c:noMultiLvlLbl val="0"/>
      </c:catAx>
      <c:valAx>
        <c:axId val="331414528"/>
        <c:scaling>
          <c:orientation val="minMax"/>
        </c:scaling>
        <c:delete val="0"/>
        <c:axPos val="l"/>
        <c:majorGridlines/>
        <c:numFmt formatCode="General" sourceLinked="1"/>
        <c:majorTickMark val="out"/>
        <c:minorTickMark val="none"/>
        <c:tickLblPos val="nextTo"/>
        <c:crossAx val="331412992"/>
        <c:crosses val="autoZero"/>
        <c:crossBetween val="between"/>
      </c:valAx>
    </c:plotArea>
    <c:legend>
      <c:legendPos val="r"/>
      <c:layout>
        <c:manualLayout>
          <c:xMode val="edge"/>
          <c:yMode val="edge"/>
          <c:x val="0.73388699244964362"/>
          <c:y val="0.20241040045433037"/>
          <c:w val="0.25069874936153214"/>
          <c:h val="0.49381406271584777"/>
        </c:manualLayout>
      </c:layout>
      <c:overlay val="0"/>
    </c:legend>
    <c:plotVisOnly val="1"/>
    <c:dispBlanksAs val="gap"/>
    <c:showDLblsOverMax val="0"/>
  </c:chart>
  <c:externalData r:id="rId1">
    <c:autoUpdate val="0"/>
  </c:externalData>
</c:chartSpace>
</file>

<file path=word/charts/chart7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'[Chart in Microsoft Office Word]Sheet1'!$B$1</c:f>
              <c:strCache>
                <c:ptCount val="1"/>
                <c:pt idx="0">
                  <c:v>Pb - Donja Gorica </c:v>
                </c:pt>
              </c:strCache>
            </c:strRef>
          </c:tx>
          <c:invertIfNegative val="0"/>
          <c:cat>
            <c:numRef>
              <c:f>'[Chart in Microsoft Office Word]Sheet1'!$A$2:$A$6</c:f>
              <c:numCache>
                <c:formatCode>General</c:formatCode>
                <c:ptCount val="5"/>
                <c:pt idx="0">
                  <c:v>2009</c:v>
                </c:pt>
                <c:pt idx="1">
                  <c:v>2010</c:v>
                </c:pt>
                <c:pt idx="2">
                  <c:v>2011</c:v>
                </c:pt>
                <c:pt idx="3">
                  <c:v>2012</c:v>
                </c:pt>
                <c:pt idx="4">
                  <c:v>2013</c:v>
                </c:pt>
              </c:numCache>
            </c:numRef>
          </c:cat>
          <c:val>
            <c:numRef>
              <c:f>'[Chart in Microsoft Office Word]Sheet1'!$B$2:$B$6</c:f>
              <c:numCache>
                <c:formatCode>General</c:formatCode>
                <c:ptCount val="5"/>
                <c:pt idx="0">
                  <c:v>39.67</c:v>
                </c:pt>
                <c:pt idx="1">
                  <c:v>27.74</c:v>
                </c:pt>
                <c:pt idx="2">
                  <c:v>23.27</c:v>
                </c:pt>
                <c:pt idx="3">
                  <c:v>10.18</c:v>
                </c:pt>
                <c:pt idx="4">
                  <c:v>19.82</c:v>
                </c:pt>
              </c:numCache>
            </c:numRef>
          </c:val>
        </c:ser>
        <c:ser>
          <c:idx val="1"/>
          <c:order val="1"/>
          <c:tx>
            <c:strRef>
              <c:f>'[Chart in Microsoft Office Word]Sheet1'!$C$1</c:f>
              <c:strCache>
                <c:ptCount val="1"/>
                <c:pt idx="0">
                  <c:v>Pb - Ćemovsko polje </c:v>
                </c:pt>
              </c:strCache>
            </c:strRef>
          </c:tx>
          <c:invertIfNegative val="0"/>
          <c:cat>
            <c:numRef>
              <c:f>'[Chart in Microsoft Office Word]Sheet1'!$A$2:$A$6</c:f>
              <c:numCache>
                <c:formatCode>General</c:formatCode>
                <c:ptCount val="5"/>
                <c:pt idx="0">
                  <c:v>2009</c:v>
                </c:pt>
                <c:pt idx="1">
                  <c:v>2010</c:v>
                </c:pt>
                <c:pt idx="2">
                  <c:v>2011</c:v>
                </c:pt>
                <c:pt idx="3">
                  <c:v>2012</c:v>
                </c:pt>
                <c:pt idx="4">
                  <c:v>2013</c:v>
                </c:pt>
              </c:numCache>
            </c:numRef>
          </c:cat>
          <c:val>
            <c:numRef>
              <c:f>'[Chart in Microsoft Office Word]Sheet1'!$C$2:$C$6</c:f>
              <c:numCache>
                <c:formatCode>General</c:formatCode>
                <c:ptCount val="5"/>
                <c:pt idx="0">
                  <c:v>37.090000000000003</c:v>
                </c:pt>
                <c:pt idx="1">
                  <c:v>47.25</c:v>
                </c:pt>
                <c:pt idx="2">
                  <c:v>17.899999999999999</c:v>
                </c:pt>
                <c:pt idx="3">
                  <c:v>28.5</c:v>
                </c:pt>
                <c:pt idx="4">
                  <c:v>21.2</c:v>
                </c:pt>
              </c:numCache>
            </c:numRef>
          </c:val>
        </c:ser>
        <c:ser>
          <c:idx val="2"/>
          <c:order val="2"/>
          <c:tx>
            <c:strRef>
              <c:f>'[Chart in Microsoft Office Word]Sheet1'!$D$1</c:f>
              <c:strCache>
                <c:ptCount val="1"/>
                <c:pt idx="0">
                  <c:v>MDK (mg/kg) </c:v>
                </c:pt>
              </c:strCache>
            </c:strRef>
          </c:tx>
          <c:invertIfNegative val="0"/>
          <c:cat>
            <c:numRef>
              <c:f>'[Chart in Microsoft Office Word]Sheet1'!$A$2:$A$6</c:f>
              <c:numCache>
                <c:formatCode>General</c:formatCode>
                <c:ptCount val="5"/>
                <c:pt idx="0">
                  <c:v>2009</c:v>
                </c:pt>
                <c:pt idx="1">
                  <c:v>2010</c:v>
                </c:pt>
                <c:pt idx="2">
                  <c:v>2011</c:v>
                </c:pt>
                <c:pt idx="3">
                  <c:v>2012</c:v>
                </c:pt>
                <c:pt idx="4">
                  <c:v>2013</c:v>
                </c:pt>
              </c:numCache>
            </c:numRef>
          </c:cat>
          <c:val>
            <c:numRef>
              <c:f>'[Chart in Microsoft Office Word]Sheet1'!$D$2:$D$6</c:f>
              <c:numCache>
                <c:formatCode>General</c:formatCode>
                <c:ptCount val="5"/>
                <c:pt idx="0">
                  <c:v>50</c:v>
                </c:pt>
                <c:pt idx="1">
                  <c:v>50</c:v>
                </c:pt>
                <c:pt idx="2">
                  <c:v>50</c:v>
                </c:pt>
                <c:pt idx="3">
                  <c:v>50</c:v>
                </c:pt>
                <c:pt idx="4">
                  <c:v>50</c:v>
                </c:pt>
              </c:numCache>
            </c:numRef>
          </c:val>
        </c:ser>
        <c:dLbls>
          <c:showLegendKey val="0"/>
          <c:showVal val="0"/>
          <c:showCatName val="0"/>
          <c:showSerName val="0"/>
          <c:showPercent val="0"/>
          <c:showBubbleSize val="0"/>
        </c:dLbls>
        <c:gapWidth val="150"/>
        <c:axId val="331968896"/>
        <c:axId val="331970432"/>
      </c:barChart>
      <c:catAx>
        <c:axId val="331968896"/>
        <c:scaling>
          <c:orientation val="minMax"/>
        </c:scaling>
        <c:delete val="0"/>
        <c:axPos val="b"/>
        <c:numFmt formatCode="General" sourceLinked="1"/>
        <c:majorTickMark val="out"/>
        <c:minorTickMark val="none"/>
        <c:tickLblPos val="nextTo"/>
        <c:crossAx val="331970432"/>
        <c:crosses val="autoZero"/>
        <c:auto val="1"/>
        <c:lblAlgn val="ctr"/>
        <c:lblOffset val="100"/>
        <c:noMultiLvlLbl val="0"/>
      </c:catAx>
      <c:valAx>
        <c:axId val="331970432"/>
        <c:scaling>
          <c:orientation val="minMax"/>
        </c:scaling>
        <c:delete val="0"/>
        <c:axPos val="l"/>
        <c:majorGridlines/>
        <c:numFmt formatCode="General" sourceLinked="1"/>
        <c:majorTickMark val="out"/>
        <c:minorTickMark val="none"/>
        <c:tickLblPos val="nextTo"/>
        <c:crossAx val="331968896"/>
        <c:crosses val="autoZero"/>
        <c:crossBetween val="between"/>
      </c:valAx>
    </c:plotArea>
    <c:legend>
      <c:legendPos val="r"/>
      <c:overlay val="0"/>
    </c:legend>
    <c:plotVisOnly val="1"/>
    <c:dispBlanksAs val="gap"/>
    <c:showDLblsOverMax val="0"/>
  </c:chart>
  <c:externalData r:id="rId1">
    <c:autoUpdate val="0"/>
  </c:externalData>
</c:chartSpace>
</file>

<file path=word/charts/chart7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'[Chart in Microsoft Office Word]Sheet3'!$B$1</c:f>
              <c:strCache>
                <c:ptCount val="1"/>
                <c:pt idx="0">
                  <c:v>Ni - Komini </c:v>
                </c:pt>
              </c:strCache>
            </c:strRef>
          </c:tx>
          <c:invertIfNegative val="0"/>
          <c:cat>
            <c:numRef>
              <c:f>'[Chart in Microsoft Office Word]Sheet3'!$A$2:$A$6</c:f>
              <c:numCache>
                <c:formatCode>General</c:formatCode>
                <c:ptCount val="5"/>
                <c:pt idx="0">
                  <c:v>2009</c:v>
                </c:pt>
                <c:pt idx="1">
                  <c:v>2010</c:v>
                </c:pt>
                <c:pt idx="2">
                  <c:v>2011</c:v>
                </c:pt>
                <c:pt idx="3">
                  <c:v>2012</c:v>
                </c:pt>
                <c:pt idx="4">
                  <c:v>2013</c:v>
                </c:pt>
              </c:numCache>
            </c:numRef>
          </c:cat>
          <c:val>
            <c:numRef>
              <c:f>'[Chart in Microsoft Office Word]Sheet3'!$B$2:$B$6</c:f>
              <c:numCache>
                <c:formatCode>General</c:formatCode>
                <c:ptCount val="5"/>
                <c:pt idx="0">
                  <c:v>27.59</c:v>
                </c:pt>
                <c:pt idx="1">
                  <c:v>34.9</c:v>
                </c:pt>
                <c:pt idx="2">
                  <c:v>34.550000000000004</c:v>
                </c:pt>
                <c:pt idx="3">
                  <c:v>38.46</c:v>
                </c:pt>
                <c:pt idx="4">
                  <c:v>28.72</c:v>
                </c:pt>
              </c:numCache>
            </c:numRef>
          </c:val>
        </c:ser>
        <c:ser>
          <c:idx val="1"/>
          <c:order val="1"/>
          <c:tx>
            <c:strRef>
              <c:f>'[Chart in Microsoft Office Word]Sheet3'!$C$1</c:f>
              <c:strCache>
                <c:ptCount val="1"/>
                <c:pt idx="0">
                  <c:v>Ni - Jalovište TE </c:v>
                </c:pt>
              </c:strCache>
            </c:strRef>
          </c:tx>
          <c:invertIfNegative val="0"/>
          <c:cat>
            <c:numRef>
              <c:f>'[Chart in Microsoft Office Word]Sheet3'!$A$2:$A$6</c:f>
              <c:numCache>
                <c:formatCode>General</c:formatCode>
                <c:ptCount val="5"/>
                <c:pt idx="0">
                  <c:v>2009</c:v>
                </c:pt>
                <c:pt idx="1">
                  <c:v>2010</c:v>
                </c:pt>
                <c:pt idx="2">
                  <c:v>2011</c:v>
                </c:pt>
                <c:pt idx="3">
                  <c:v>2012</c:v>
                </c:pt>
                <c:pt idx="4">
                  <c:v>2013</c:v>
                </c:pt>
              </c:numCache>
            </c:numRef>
          </c:cat>
          <c:val>
            <c:numRef>
              <c:f>'[Chart in Microsoft Office Word]Sheet3'!$C$2:$C$6</c:f>
              <c:numCache>
                <c:formatCode>General</c:formatCode>
                <c:ptCount val="5"/>
                <c:pt idx="0">
                  <c:v>162.9</c:v>
                </c:pt>
                <c:pt idx="1">
                  <c:v>78.14</c:v>
                </c:pt>
                <c:pt idx="2">
                  <c:v>43.48</c:v>
                </c:pt>
                <c:pt idx="3">
                  <c:v>53.86</c:v>
                </c:pt>
                <c:pt idx="4">
                  <c:v>9.5400000000000009</c:v>
                </c:pt>
              </c:numCache>
            </c:numRef>
          </c:val>
        </c:ser>
        <c:ser>
          <c:idx val="2"/>
          <c:order val="2"/>
          <c:tx>
            <c:strRef>
              <c:f>'[Chart in Microsoft Office Word]Sheet3'!$D$1</c:f>
              <c:strCache>
                <c:ptCount val="1"/>
                <c:pt idx="0">
                  <c:v>MDK (mg/kg)</c:v>
                </c:pt>
              </c:strCache>
            </c:strRef>
          </c:tx>
          <c:invertIfNegative val="0"/>
          <c:cat>
            <c:numRef>
              <c:f>'[Chart in Microsoft Office Word]Sheet3'!$A$2:$A$6</c:f>
              <c:numCache>
                <c:formatCode>General</c:formatCode>
                <c:ptCount val="5"/>
                <c:pt idx="0">
                  <c:v>2009</c:v>
                </c:pt>
                <c:pt idx="1">
                  <c:v>2010</c:v>
                </c:pt>
                <c:pt idx="2">
                  <c:v>2011</c:v>
                </c:pt>
                <c:pt idx="3">
                  <c:v>2012</c:v>
                </c:pt>
                <c:pt idx="4">
                  <c:v>2013</c:v>
                </c:pt>
              </c:numCache>
            </c:numRef>
          </c:cat>
          <c:val>
            <c:numRef>
              <c:f>'[Chart in Microsoft Office Word]Sheet3'!$D$2:$D$6</c:f>
              <c:numCache>
                <c:formatCode>General</c:formatCode>
                <c:ptCount val="5"/>
                <c:pt idx="0">
                  <c:v>50</c:v>
                </c:pt>
                <c:pt idx="1">
                  <c:v>50</c:v>
                </c:pt>
                <c:pt idx="2">
                  <c:v>50</c:v>
                </c:pt>
                <c:pt idx="3">
                  <c:v>50</c:v>
                </c:pt>
                <c:pt idx="4">
                  <c:v>50</c:v>
                </c:pt>
              </c:numCache>
            </c:numRef>
          </c:val>
        </c:ser>
        <c:dLbls>
          <c:showLegendKey val="0"/>
          <c:showVal val="0"/>
          <c:showCatName val="0"/>
          <c:showSerName val="0"/>
          <c:showPercent val="0"/>
          <c:showBubbleSize val="0"/>
        </c:dLbls>
        <c:gapWidth val="150"/>
        <c:axId val="331983872"/>
        <c:axId val="332534528"/>
      </c:barChart>
      <c:catAx>
        <c:axId val="331983872"/>
        <c:scaling>
          <c:orientation val="minMax"/>
        </c:scaling>
        <c:delete val="0"/>
        <c:axPos val="b"/>
        <c:numFmt formatCode="General" sourceLinked="1"/>
        <c:majorTickMark val="out"/>
        <c:minorTickMark val="none"/>
        <c:tickLblPos val="nextTo"/>
        <c:crossAx val="332534528"/>
        <c:crosses val="autoZero"/>
        <c:auto val="1"/>
        <c:lblAlgn val="ctr"/>
        <c:lblOffset val="100"/>
        <c:noMultiLvlLbl val="0"/>
      </c:catAx>
      <c:valAx>
        <c:axId val="332534528"/>
        <c:scaling>
          <c:orientation val="minMax"/>
        </c:scaling>
        <c:delete val="0"/>
        <c:axPos val="l"/>
        <c:majorGridlines/>
        <c:numFmt formatCode="General" sourceLinked="1"/>
        <c:majorTickMark val="out"/>
        <c:minorTickMark val="none"/>
        <c:tickLblPos val="nextTo"/>
        <c:crossAx val="331983872"/>
        <c:crosses val="autoZero"/>
        <c:crossBetween val="between"/>
      </c:valAx>
    </c:plotArea>
    <c:legend>
      <c:legendPos val="r"/>
      <c:overlay val="0"/>
    </c:legend>
    <c:plotVisOnly val="1"/>
    <c:dispBlanksAs val="gap"/>
    <c:showDLblsOverMax val="0"/>
  </c:chart>
  <c:externalData r:id="rId1">
    <c:autoUpdate val="0"/>
  </c:externalData>
</c:chartSpace>
</file>

<file path=word/charts/chart7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4251863935335203E-2"/>
          <c:y val="6.7350131233595914E-2"/>
          <c:w val="0.63978668005144779"/>
          <c:h val="0.72908778069408064"/>
        </c:manualLayout>
      </c:layout>
      <c:barChart>
        <c:barDir val="col"/>
        <c:grouping val="clustered"/>
        <c:varyColors val="0"/>
        <c:ser>
          <c:idx val="0"/>
          <c:order val="0"/>
          <c:tx>
            <c:strRef>
              <c:f>'[Chart in Microsoft Office Word]Sheet4'!$B$1</c:f>
              <c:strCache>
                <c:ptCount val="1"/>
                <c:pt idx="0">
                  <c:v>As - Komini </c:v>
                </c:pt>
              </c:strCache>
            </c:strRef>
          </c:tx>
          <c:invertIfNegative val="0"/>
          <c:cat>
            <c:numRef>
              <c:f>'[Chart in Microsoft Office Word]Sheet4'!$A$2:$A$6</c:f>
              <c:numCache>
                <c:formatCode>General</c:formatCode>
                <c:ptCount val="5"/>
                <c:pt idx="0">
                  <c:v>2009</c:v>
                </c:pt>
                <c:pt idx="1">
                  <c:v>2010</c:v>
                </c:pt>
                <c:pt idx="2">
                  <c:v>2011</c:v>
                </c:pt>
                <c:pt idx="3">
                  <c:v>2012</c:v>
                </c:pt>
                <c:pt idx="4">
                  <c:v>2013</c:v>
                </c:pt>
              </c:numCache>
            </c:numRef>
          </c:cat>
          <c:val>
            <c:numRef>
              <c:f>'[Chart in Microsoft Office Word]Sheet4'!$B$2:$B$6</c:f>
              <c:numCache>
                <c:formatCode>General</c:formatCode>
                <c:ptCount val="5"/>
                <c:pt idx="0">
                  <c:v>12.02</c:v>
                </c:pt>
                <c:pt idx="1">
                  <c:v>12.08</c:v>
                </c:pt>
                <c:pt idx="2">
                  <c:v>5.84</c:v>
                </c:pt>
                <c:pt idx="3">
                  <c:v>9.16</c:v>
                </c:pt>
                <c:pt idx="4">
                  <c:v>7.31</c:v>
                </c:pt>
              </c:numCache>
            </c:numRef>
          </c:val>
        </c:ser>
        <c:ser>
          <c:idx val="1"/>
          <c:order val="1"/>
          <c:tx>
            <c:strRef>
              <c:f>'[Chart in Microsoft Office Word]Sheet4'!$C$1</c:f>
              <c:strCache>
                <c:ptCount val="1"/>
                <c:pt idx="0">
                  <c:v>As - Jalovište TE </c:v>
                </c:pt>
              </c:strCache>
            </c:strRef>
          </c:tx>
          <c:invertIfNegative val="0"/>
          <c:cat>
            <c:numRef>
              <c:f>'[Chart in Microsoft Office Word]Sheet4'!$A$2:$A$6</c:f>
              <c:numCache>
                <c:formatCode>General</c:formatCode>
                <c:ptCount val="5"/>
                <c:pt idx="0">
                  <c:v>2009</c:v>
                </c:pt>
                <c:pt idx="1">
                  <c:v>2010</c:v>
                </c:pt>
                <c:pt idx="2">
                  <c:v>2011</c:v>
                </c:pt>
                <c:pt idx="3">
                  <c:v>2012</c:v>
                </c:pt>
                <c:pt idx="4">
                  <c:v>2013</c:v>
                </c:pt>
              </c:numCache>
            </c:numRef>
          </c:cat>
          <c:val>
            <c:numRef>
              <c:f>'[Chart in Microsoft Office Word]Sheet4'!$C$2:$C$6</c:f>
              <c:numCache>
                <c:formatCode>General</c:formatCode>
                <c:ptCount val="5"/>
                <c:pt idx="0">
                  <c:v>42.52</c:v>
                </c:pt>
                <c:pt idx="1">
                  <c:v>97.51</c:v>
                </c:pt>
                <c:pt idx="2">
                  <c:v>75.78</c:v>
                </c:pt>
                <c:pt idx="3">
                  <c:v>17.47</c:v>
                </c:pt>
                <c:pt idx="4">
                  <c:v>5.2</c:v>
                </c:pt>
              </c:numCache>
            </c:numRef>
          </c:val>
        </c:ser>
        <c:ser>
          <c:idx val="2"/>
          <c:order val="2"/>
          <c:tx>
            <c:strRef>
              <c:f>'[Chart in Microsoft Office Word]Sheet4'!$D$1</c:f>
              <c:strCache>
                <c:ptCount val="1"/>
                <c:pt idx="0">
                  <c:v>MDK (mg/kg) </c:v>
                </c:pt>
              </c:strCache>
            </c:strRef>
          </c:tx>
          <c:invertIfNegative val="0"/>
          <c:cat>
            <c:numRef>
              <c:f>'[Chart in Microsoft Office Word]Sheet4'!$A$2:$A$6</c:f>
              <c:numCache>
                <c:formatCode>General</c:formatCode>
                <c:ptCount val="5"/>
                <c:pt idx="0">
                  <c:v>2009</c:v>
                </c:pt>
                <c:pt idx="1">
                  <c:v>2010</c:v>
                </c:pt>
                <c:pt idx="2">
                  <c:v>2011</c:v>
                </c:pt>
                <c:pt idx="3">
                  <c:v>2012</c:v>
                </c:pt>
                <c:pt idx="4">
                  <c:v>2013</c:v>
                </c:pt>
              </c:numCache>
            </c:numRef>
          </c:cat>
          <c:val>
            <c:numRef>
              <c:f>'[Chart in Microsoft Office Word]Sheet4'!$D$2:$D$6</c:f>
              <c:numCache>
                <c:formatCode>General</c:formatCode>
                <c:ptCount val="5"/>
                <c:pt idx="0">
                  <c:v>20</c:v>
                </c:pt>
                <c:pt idx="1">
                  <c:v>20</c:v>
                </c:pt>
                <c:pt idx="2">
                  <c:v>20</c:v>
                </c:pt>
                <c:pt idx="3">
                  <c:v>20</c:v>
                </c:pt>
                <c:pt idx="4">
                  <c:v>20</c:v>
                </c:pt>
              </c:numCache>
            </c:numRef>
          </c:val>
        </c:ser>
        <c:dLbls>
          <c:showLegendKey val="0"/>
          <c:showVal val="0"/>
          <c:showCatName val="0"/>
          <c:showSerName val="0"/>
          <c:showPercent val="0"/>
          <c:showBubbleSize val="0"/>
        </c:dLbls>
        <c:gapWidth val="150"/>
        <c:axId val="332548352"/>
        <c:axId val="332554240"/>
      </c:barChart>
      <c:catAx>
        <c:axId val="332548352"/>
        <c:scaling>
          <c:orientation val="minMax"/>
        </c:scaling>
        <c:delete val="0"/>
        <c:axPos val="b"/>
        <c:numFmt formatCode="General" sourceLinked="1"/>
        <c:majorTickMark val="out"/>
        <c:minorTickMark val="none"/>
        <c:tickLblPos val="nextTo"/>
        <c:crossAx val="332554240"/>
        <c:crosses val="autoZero"/>
        <c:auto val="1"/>
        <c:lblAlgn val="ctr"/>
        <c:lblOffset val="100"/>
        <c:noMultiLvlLbl val="0"/>
      </c:catAx>
      <c:valAx>
        <c:axId val="332554240"/>
        <c:scaling>
          <c:orientation val="minMax"/>
        </c:scaling>
        <c:delete val="0"/>
        <c:axPos val="l"/>
        <c:majorGridlines/>
        <c:numFmt formatCode="General" sourceLinked="1"/>
        <c:majorTickMark val="out"/>
        <c:minorTickMark val="none"/>
        <c:tickLblPos val="nextTo"/>
        <c:crossAx val="332548352"/>
        <c:crosses val="autoZero"/>
        <c:crossBetween val="between"/>
      </c:valAx>
    </c:plotArea>
    <c:legend>
      <c:legendPos val="r"/>
      <c:overlay val="0"/>
    </c:legend>
    <c:plotVisOnly val="1"/>
    <c:dispBlanksAs val="gap"/>
    <c:showDLblsOverMax val="0"/>
  </c:chart>
  <c:externalData r:id="rId1">
    <c:autoUpdate val="0"/>
  </c:externalData>
</c:chartSpace>
</file>

<file path=word/charts/chart7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'[Chart in Microsoft Office Word]Sheet5'!$A$2</c:f>
              <c:strCache>
                <c:ptCount val="1"/>
                <c:pt idx="0">
                  <c:v>Pb - Komini</c:v>
                </c:pt>
              </c:strCache>
            </c:strRef>
          </c:tx>
          <c:invertIfNegative val="0"/>
          <c:cat>
            <c:numRef>
              <c:f>'[Chart in Microsoft Office Word]Sheet5'!$B$1:$F$1</c:f>
              <c:numCache>
                <c:formatCode>General</c:formatCode>
                <c:ptCount val="5"/>
                <c:pt idx="0">
                  <c:v>2009</c:v>
                </c:pt>
                <c:pt idx="1">
                  <c:v>2010</c:v>
                </c:pt>
                <c:pt idx="2">
                  <c:v>2011</c:v>
                </c:pt>
                <c:pt idx="3">
                  <c:v>2012</c:v>
                </c:pt>
                <c:pt idx="4">
                  <c:v>2013</c:v>
                </c:pt>
              </c:numCache>
            </c:numRef>
          </c:cat>
          <c:val>
            <c:numRef>
              <c:f>'[Chart in Microsoft Office Word]Sheet5'!$B$2:$F$2</c:f>
              <c:numCache>
                <c:formatCode>General</c:formatCode>
                <c:ptCount val="5"/>
                <c:pt idx="0">
                  <c:v>29.37</c:v>
                </c:pt>
                <c:pt idx="1">
                  <c:v>8.2399999999999984</c:v>
                </c:pt>
                <c:pt idx="2">
                  <c:v>28.88</c:v>
                </c:pt>
                <c:pt idx="3">
                  <c:v>19.2</c:v>
                </c:pt>
                <c:pt idx="4">
                  <c:v>18.36</c:v>
                </c:pt>
              </c:numCache>
            </c:numRef>
          </c:val>
        </c:ser>
        <c:ser>
          <c:idx val="1"/>
          <c:order val="1"/>
          <c:tx>
            <c:strRef>
              <c:f>'[Chart in Microsoft Office Word]Sheet5'!$A$3</c:f>
              <c:strCache>
                <c:ptCount val="1"/>
                <c:pt idx="0">
                  <c:v>Pb - Jalovište TE</c:v>
                </c:pt>
              </c:strCache>
            </c:strRef>
          </c:tx>
          <c:invertIfNegative val="0"/>
          <c:cat>
            <c:numRef>
              <c:f>'[Chart in Microsoft Office Word]Sheet5'!$B$1:$F$1</c:f>
              <c:numCache>
                <c:formatCode>General</c:formatCode>
                <c:ptCount val="5"/>
                <c:pt idx="0">
                  <c:v>2009</c:v>
                </c:pt>
                <c:pt idx="1">
                  <c:v>2010</c:v>
                </c:pt>
                <c:pt idx="2">
                  <c:v>2011</c:v>
                </c:pt>
                <c:pt idx="3">
                  <c:v>2012</c:v>
                </c:pt>
                <c:pt idx="4">
                  <c:v>2013</c:v>
                </c:pt>
              </c:numCache>
            </c:numRef>
          </c:cat>
          <c:val>
            <c:numRef>
              <c:f>'[Chart in Microsoft Office Word]Sheet5'!$B$3:$F$3</c:f>
              <c:numCache>
                <c:formatCode>General</c:formatCode>
                <c:ptCount val="5"/>
                <c:pt idx="0">
                  <c:v>17.110000000000031</c:v>
                </c:pt>
                <c:pt idx="1">
                  <c:v>10.450000000000006</c:v>
                </c:pt>
                <c:pt idx="2">
                  <c:v>9.11</c:v>
                </c:pt>
                <c:pt idx="3">
                  <c:v>6.64</c:v>
                </c:pt>
                <c:pt idx="4">
                  <c:v>14.360000000000024</c:v>
                </c:pt>
              </c:numCache>
            </c:numRef>
          </c:val>
        </c:ser>
        <c:ser>
          <c:idx val="2"/>
          <c:order val="2"/>
          <c:tx>
            <c:strRef>
              <c:f>'[Chart in Microsoft Office Word]Sheet5'!$A$4</c:f>
              <c:strCache>
                <c:ptCount val="1"/>
                <c:pt idx="0">
                  <c:v>Pb - Vilići</c:v>
                </c:pt>
              </c:strCache>
            </c:strRef>
          </c:tx>
          <c:invertIfNegative val="0"/>
          <c:cat>
            <c:numRef>
              <c:f>'[Chart in Microsoft Office Word]Sheet5'!$B$1:$F$1</c:f>
              <c:numCache>
                <c:formatCode>General</c:formatCode>
                <c:ptCount val="5"/>
                <c:pt idx="0">
                  <c:v>2009</c:v>
                </c:pt>
                <c:pt idx="1">
                  <c:v>2010</c:v>
                </c:pt>
                <c:pt idx="2">
                  <c:v>2011</c:v>
                </c:pt>
                <c:pt idx="3">
                  <c:v>2012</c:v>
                </c:pt>
                <c:pt idx="4">
                  <c:v>2013</c:v>
                </c:pt>
              </c:numCache>
            </c:numRef>
          </c:cat>
          <c:val>
            <c:numRef>
              <c:f>'[Chart in Microsoft Office Word]Sheet5'!$B$4:$F$4</c:f>
              <c:numCache>
                <c:formatCode>General</c:formatCode>
                <c:ptCount val="5"/>
                <c:pt idx="0">
                  <c:v>17.079999999999988</c:v>
                </c:pt>
                <c:pt idx="1">
                  <c:v>11.6</c:v>
                </c:pt>
                <c:pt idx="2">
                  <c:v>17.670000000000005</c:v>
                </c:pt>
                <c:pt idx="3">
                  <c:v>10.08</c:v>
                </c:pt>
                <c:pt idx="4">
                  <c:v>14.83</c:v>
                </c:pt>
              </c:numCache>
            </c:numRef>
          </c:val>
        </c:ser>
        <c:ser>
          <c:idx val="3"/>
          <c:order val="3"/>
          <c:tx>
            <c:strRef>
              <c:f>'[Chart in Microsoft Office Word]Sheet5'!$A$5</c:f>
              <c:strCache>
                <c:ptCount val="1"/>
                <c:pt idx="0">
                  <c:v>MDK (mg/kg)</c:v>
                </c:pt>
              </c:strCache>
            </c:strRef>
          </c:tx>
          <c:invertIfNegative val="0"/>
          <c:cat>
            <c:numRef>
              <c:f>'[Chart in Microsoft Office Word]Sheet5'!$B$1:$F$1</c:f>
              <c:numCache>
                <c:formatCode>General</c:formatCode>
                <c:ptCount val="5"/>
                <c:pt idx="0">
                  <c:v>2009</c:v>
                </c:pt>
                <c:pt idx="1">
                  <c:v>2010</c:v>
                </c:pt>
                <c:pt idx="2">
                  <c:v>2011</c:v>
                </c:pt>
                <c:pt idx="3">
                  <c:v>2012</c:v>
                </c:pt>
                <c:pt idx="4">
                  <c:v>2013</c:v>
                </c:pt>
              </c:numCache>
            </c:numRef>
          </c:cat>
          <c:val>
            <c:numRef>
              <c:f>'[Chart in Microsoft Office Word]Sheet5'!$B$5:$F$5</c:f>
              <c:numCache>
                <c:formatCode>General</c:formatCode>
                <c:ptCount val="5"/>
                <c:pt idx="0">
                  <c:v>50</c:v>
                </c:pt>
                <c:pt idx="1">
                  <c:v>50</c:v>
                </c:pt>
                <c:pt idx="2">
                  <c:v>50</c:v>
                </c:pt>
                <c:pt idx="3">
                  <c:v>50</c:v>
                </c:pt>
                <c:pt idx="4">
                  <c:v>50</c:v>
                </c:pt>
              </c:numCache>
            </c:numRef>
          </c:val>
        </c:ser>
        <c:dLbls>
          <c:showLegendKey val="0"/>
          <c:showVal val="0"/>
          <c:showCatName val="0"/>
          <c:showSerName val="0"/>
          <c:showPercent val="0"/>
          <c:showBubbleSize val="0"/>
        </c:dLbls>
        <c:gapWidth val="150"/>
        <c:axId val="332589312"/>
        <c:axId val="332599296"/>
      </c:barChart>
      <c:catAx>
        <c:axId val="332589312"/>
        <c:scaling>
          <c:orientation val="minMax"/>
        </c:scaling>
        <c:delete val="0"/>
        <c:axPos val="b"/>
        <c:numFmt formatCode="General" sourceLinked="1"/>
        <c:majorTickMark val="out"/>
        <c:minorTickMark val="none"/>
        <c:tickLblPos val="nextTo"/>
        <c:crossAx val="332599296"/>
        <c:crosses val="autoZero"/>
        <c:auto val="1"/>
        <c:lblAlgn val="ctr"/>
        <c:lblOffset val="100"/>
        <c:noMultiLvlLbl val="0"/>
      </c:catAx>
      <c:valAx>
        <c:axId val="332599296"/>
        <c:scaling>
          <c:orientation val="minMax"/>
        </c:scaling>
        <c:delete val="0"/>
        <c:axPos val="l"/>
        <c:majorGridlines/>
        <c:numFmt formatCode="General" sourceLinked="1"/>
        <c:majorTickMark val="out"/>
        <c:minorTickMark val="none"/>
        <c:tickLblPos val="nextTo"/>
        <c:crossAx val="332589312"/>
        <c:crosses val="autoZero"/>
        <c:crossBetween val="between"/>
      </c:valAx>
    </c:plotArea>
    <c:legend>
      <c:legendPos val="r"/>
      <c:overlay val="0"/>
    </c:legend>
    <c:plotVisOnly val="1"/>
    <c:dispBlanksAs val="gap"/>
    <c:showDLblsOverMax val="0"/>
  </c:chart>
  <c:externalData r:id="rId1">
    <c:autoUpdate val="0"/>
  </c:externalData>
</c:chartSpace>
</file>

<file path=word/charts/chart7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manualLayout>
          <c:layoutTarget val="inner"/>
          <c:xMode val="edge"/>
          <c:yMode val="edge"/>
          <c:x val="9.5194552293867224E-2"/>
          <c:y val="9.0818156932837443E-2"/>
          <c:w val="0.61823046312759511"/>
          <c:h val="0.70426034169041751"/>
        </c:manualLayout>
      </c:layout>
      <c:barChart>
        <c:barDir val="col"/>
        <c:grouping val="clustered"/>
        <c:varyColors val="0"/>
        <c:ser>
          <c:idx val="0"/>
          <c:order val="0"/>
          <c:tx>
            <c:strRef>
              <c:f>Sheet2!$B$1</c:f>
              <c:strCache>
                <c:ptCount val="1"/>
                <c:pt idx="0">
                  <c:v>Cr (mg/kg)</c:v>
                </c:pt>
              </c:strCache>
            </c:strRef>
          </c:tx>
          <c:invertIfNegative val="0"/>
          <c:cat>
            <c:numRef>
              <c:f>Sheet2!$A$2:$A$6</c:f>
              <c:numCache>
                <c:formatCode>General</c:formatCode>
                <c:ptCount val="5"/>
                <c:pt idx="0">
                  <c:v>2009</c:v>
                </c:pt>
                <c:pt idx="1">
                  <c:v>2010</c:v>
                </c:pt>
                <c:pt idx="2">
                  <c:v>2011</c:v>
                </c:pt>
                <c:pt idx="3">
                  <c:v>2012</c:v>
                </c:pt>
                <c:pt idx="4">
                  <c:v>2013</c:v>
                </c:pt>
              </c:numCache>
            </c:numRef>
          </c:cat>
          <c:val>
            <c:numRef>
              <c:f>Sheet2!$B$2:$B$6</c:f>
              <c:numCache>
                <c:formatCode>General</c:formatCode>
                <c:ptCount val="5"/>
                <c:pt idx="0">
                  <c:v>21.62</c:v>
                </c:pt>
                <c:pt idx="1">
                  <c:v>52.25</c:v>
                </c:pt>
                <c:pt idx="2">
                  <c:v>119.83</c:v>
                </c:pt>
                <c:pt idx="3">
                  <c:v>121.22</c:v>
                </c:pt>
                <c:pt idx="4">
                  <c:v>51.94</c:v>
                </c:pt>
              </c:numCache>
            </c:numRef>
          </c:val>
        </c:ser>
        <c:dLbls>
          <c:showLegendKey val="0"/>
          <c:showVal val="0"/>
          <c:showCatName val="0"/>
          <c:showSerName val="0"/>
          <c:showPercent val="0"/>
          <c:showBubbleSize val="0"/>
        </c:dLbls>
        <c:gapWidth val="150"/>
        <c:axId val="332256000"/>
        <c:axId val="332257536"/>
      </c:barChart>
      <c:lineChart>
        <c:grouping val="standard"/>
        <c:varyColors val="0"/>
        <c:ser>
          <c:idx val="1"/>
          <c:order val="1"/>
          <c:tx>
            <c:strRef>
              <c:f>Sheet2!$C$1</c:f>
              <c:strCache>
                <c:ptCount val="1"/>
                <c:pt idx="0">
                  <c:v>MDK (mg/kg) </c:v>
                </c:pt>
              </c:strCache>
            </c:strRef>
          </c:tx>
          <c:spPr>
            <a:ln w="50800">
              <a:solidFill>
                <a:srgbClr val="FF0000"/>
              </a:solidFill>
            </a:ln>
          </c:spPr>
          <c:marker>
            <c:symbol val="none"/>
          </c:marker>
          <c:cat>
            <c:numRef>
              <c:f>Sheet2!$A$2:$A$6</c:f>
              <c:numCache>
                <c:formatCode>General</c:formatCode>
                <c:ptCount val="5"/>
                <c:pt idx="0">
                  <c:v>2009</c:v>
                </c:pt>
                <c:pt idx="1">
                  <c:v>2010</c:v>
                </c:pt>
                <c:pt idx="2">
                  <c:v>2011</c:v>
                </c:pt>
                <c:pt idx="3">
                  <c:v>2012</c:v>
                </c:pt>
                <c:pt idx="4">
                  <c:v>2013</c:v>
                </c:pt>
              </c:numCache>
            </c:numRef>
          </c:cat>
          <c:val>
            <c:numRef>
              <c:f>Sheet2!$C$2:$C$6</c:f>
              <c:numCache>
                <c:formatCode>General</c:formatCode>
                <c:ptCount val="5"/>
                <c:pt idx="0">
                  <c:v>50</c:v>
                </c:pt>
                <c:pt idx="1">
                  <c:v>50</c:v>
                </c:pt>
                <c:pt idx="2">
                  <c:v>50</c:v>
                </c:pt>
                <c:pt idx="3">
                  <c:v>50</c:v>
                </c:pt>
                <c:pt idx="4">
                  <c:v>50</c:v>
                </c:pt>
              </c:numCache>
            </c:numRef>
          </c:val>
          <c:smooth val="0"/>
        </c:ser>
        <c:dLbls>
          <c:showLegendKey val="0"/>
          <c:showVal val="0"/>
          <c:showCatName val="0"/>
          <c:showSerName val="0"/>
          <c:showPercent val="0"/>
          <c:showBubbleSize val="0"/>
        </c:dLbls>
        <c:marker val="1"/>
        <c:smooth val="0"/>
        <c:axId val="332256000"/>
        <c:axId val="332257536"/>
      </c:lineChart>
      <c:catAx>
        <c:axId val="332256000"/>
        <c:scaling>
          <c:orientation val="minMax"/>
        </c:scaling>
        <c:delete val="0"/>
        <c:axPos val="b"/>
        <c:numFmt formatCode="General" sourceLinked="0"/>
        <c:majorTickMark val="out"/>
        <c:minorTickMark val="none"/>
        <c:tickLblPos val="nextTo"/>
        <c:crossAx val="332257536"/>
        <c:crosses val="autoZero"/>
        <c:auto val="1"/>
        <c:lblAlgn val="ctr"/>
        <c:lblOffset val="100"/>
        <c:noMultiLvlLbl val="0"/>
      </c:catAx>
      <c:valAx>
        <c:axId val="332257536"/>
        <c:scaling>
          <c:orientation val="minMax"/>
        </c:scaling>
        <c:delete val="0"/>
        <c:axPos val="l"/>
        <c:numFmt formatCode="General" sourceLinked="1"/>
        <c:majorTickMark val="out"/>
        <c:minorTickMark val="none"/>
        <c:tickLblPos val="nextTo"/>
        <c:crossAx val="332256000"/>
        <c:crosses val="autoZero"/>
        <c:crossBetween val="between"/>
      </c:valAx>
    </c:plotArea>
    <c:legend>
      <c:legendPos val="r"/>
      <c:layout>
        <c:manualLayout>
          <c:xMode val="edge"/>
          <c:yMode val="edge"/>
          <c:x val="0.73493039176554542"/>
          <c:y val="0.35208218604576408"/>
          <c:w val="0.24663642851095224"/>
          <c:h val="0.29583498381720941"/>
        </c:manualLayout>
      </c:layout>
      <c:overlay val="0"/>
    </c:legend>
    <c:plotVisOnly val="1"/>
    <c:dispBlanksAs val="gap"/>
    <c:showDLblsOverMax val="0"/>
  </c:chart>
  <c:externalData r:id="rId1">
    <c:autoUpdate val="0"/>
  </c:externalData>
</c:chartSpace>
</file>

<file path=word/charts/chart7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manualLayout>
          <c:layoutTarget val="inner"/>
          <c:xMode val="edge"/>
          <c:yMode val="edge"/>
          <c:x val="9.5194552293867224E-2"/>
          <c:y val="9.0818156932837443E-2"/>
          <c:w val="0.61823046312759511"/>
          <c:h val="0.67972046438980882"/>
        </c:manualLayout>
      </c:layout>
      <c:barChart>
        <c:barDir val="col"/>
        <c:grouping val="clustered"/>
        <c:varyColors val="0"/>
        <c:ser>
          <c:idx val="0"/>
          <c:order val="0"/>
          <c:tx>
            <c:strRef>
              <c:f>Sheet2!$B$1</c:f>
              <c:strCache>
                <c:ptCount val="1"/>
                <c:pt idx="0">
                  <c:v>Ni (mg/kg)</c:v>
                </c:pt>
              </c:strCache>
            </c:strRef>
          </c:tx>
          <c:invertIfNegative val="0"/>
          <c:cat>
            <c:numRef>
              <c:f>Sheet2!$A$2:$A$6</c:f>
              <c:numCache>
                <c:formatCode>General</c:formatCode>
                <c:ptCount val="5"/>
                <c:pt idx="0">
                  <c:v>2009</c:v>
                </c:pt>
                <c:pt idx="1">
                  <c:v>2010</c:v>
                </c:pt>
                <c:pt idx="2">
                  <c:v>2011</c:v>
                </c:pt>
                <c:pt idx="3">
                  <c:v>2012</c:v>
                </c:pt>
                <c:pt idx="4">
                  <c:v>2013</c:v>
                </c:pt>
              </c:numCache>
            </c:numRef>
          </c:cat>
          <c:val>
            <c:numRef>
              <c:f>Sheet2!$B$2:$B$6</c:f>
              <c:numCache>
                <c:formatCode>General</c:formatCode>
                <c:ptCount val="5"/>
                <c:pt idx="0">
                  <c:v>45.54</c:v>
                </c:pt>
                <c:pt idx="1">
                  <c:v>221.55</c:v>
                </c:pt>
                <c:pt idx="2">
                  <c:v>245.58</c:v>
                </c:pt>
                <c:pt idx="3">
                  <c:v>169.92000000000004</c:v>
                </c:pt>
                <c:pt idx="4">
                  <c:v>90.35</c:v>
                </c:pt>
              </c:numCache>
            </c:numRef>
          </c:val>
        </c:ser>
        <c:dLbls>
          <c:showLegendKey val="0"/>
          <c:showVal val="0"/>
          <c:showCatName val="0"/>
          <c:showSerName val="0"/>
          <c:showPercent val="0"/>
          <c:showBubbleSize val="0"/>
        </c:dLbls>
        <c:gapWidth val="150"/>
        <c:axId val="332651520"/>
        <c:axId val="332813056"/>
      </c:barChart>
      <c:lineChart>
        <c:grouping val="standard"/>
        <c:varyColors val="0"/>
        <c:ser>
          <c:idx val="1"/>
          <c:order val="1"/>
          <c:tx>
            <c:strRef>
              <c:f>Sheet2!$C$1</c:f>
              <c:strCache>
                <c:ptCount val="1"/>
                <c:pt idx="0">
                  <c:v>MDK (mg/kg) </c:v>
                </c:pt>
              </c:strCache>
            </c:strRef>
          </c:tx>
          <c:spPr>
            <a:ln w="50800">
              <a:solidFill>
                <a:srgbClr val="FF0000"/>
              </a:solidFill>
            </a:ln>
          </c:spPr>
          <c:marker>
            <c:symbol val="none"/>
          </c:marker>
          <c:cat>
            <c:numRef>
              <c:f>Sheet2!$A$2:$A$6</c:f>
              <c:numCache>
                <c:formatCode>General</c:formatCode>
                <c:ptCount val="5"/>
                <c:pt idx="0">
                  <c:v>2009</c:v>
                </c:pt>
                <c:pt idx="1">
                  <c:v>2010</c:v>
                </c:pt>
                <c:pt idx="2">
                  <c:v>2011</c:v>
                </c:pt>
                <c:pt idx="3">
                  <c:v>2012</c:v>
                </c:pt>
                <c:pt idx="4">
                  <c:v>2013</c:v>
                </c:pt>
              </c:numCache>
            </c:numRef>
          </c:cat>
          <c:val>
            <c:numRef>
              <c:f>Sheet2!$C$2:$C$6</c:f>
              <c:numCache>
                <c:formatCode>General</c:formatCode>
                <c:ptCount val="5"/>
                <c:pt idx="0">
                  <c:v>50</c:v>
                </c:pt>
                <c:pt idx="1">
                  <c:v>50</c:v>
                </c:pt>
                <c:pt idx="2">
                  <c:v>50</c:v>
                </c:pt>
                <c:pt idx="3">
                  <c:v>50</c:v>
                </c:pt>
                <c:pt idx="4">
                  <c:v>50</c:v>
                </c:pt>
              </c:numCache>
            </c:numRef>
          </c:val>
          <c:smooth val="0"/>
        </c:ser>
        <c:dLbls>
          <c:showLegendKey val="0"/>
          <c:showVal val="0"/>
          <c:showCatName val="0"/>
          <c:showSerName val="0"/>
          <c:showPercent val="0"/>
          <c:showBubbleSize val="0"/>
        </c:dLbls>
        <c:marker val="1"/>
        <c:smooth val="0"/>
        <c:axId val="332651520"/>
        <c:axId val="332813056"/>
      </c:lineChart>
      <c:catAx>
        <c:axId val="332651520"/>
        <c:scaling>
          <c:orientation val="minMax"/>
        </c:scaling>
        <c:delete val="0"/>
        <c:axPos val="b"/>
        <c:numFmt formatCode="General" sourceLinked="0"/>
        <c:majorTickMark val="out"/>
        <c:minorTickMark val="none"/>
        <c:tickLblPos val="nextTo"/>
        <c:crossAx val="332813056"/>
        <c:crosses val="autoZero"/>
        <c:auto val="1"/>
        <c:lblAlgn val="ctr"/>
        <c:lblOffset val="100"/>
        <c:noMultiLvlLbl val="0"/>
      </c:catAx>
      <c:valAx>
        <c:axId val="332813056"/>
        <c:scaling>
          <c:orientation val="minMax"/>
        </c:scaling>
        <c:delete val="0"/>
        <c:axPos val="l"/>
        <c:numFmt formatCode="General" sourceLinked="1"/>
        <c:majorTickMark val="out"/>
        <c:minorTickMark val="none"/>
        <c:tickLblPos val="nextTo"/>
        <c:crossAx val="332651520"/>
        <c:crosses val="autoZero"/>
        <c:crossBetween val="between"/>
      </c:valAx>
    </c:plotArea>
    <c:legend>
      <c:legendPos val="r"/>
      <c:layout>
        <c:manualLayout>
          <c:xMode val="edge"/>
          <c:yMode val="edge"/>
          <c:x val="0.73493039176554542"/>
          <c:y val="0.35208218604576408"/>
          <c:w val="0.24663642851095224"/>
          <c:h val="0.29583498381720941"/>
        </c:manualLayout>
      </c:layout>
      <c:overlay val="0"/>
    </c:legend>
    <c:plotVisOnly val="1"/>
    <c:dispBlanksAs val="gap"/>
    <c:showDLblsOverMax val="0"/>
  </c:chart>
  <c:externalData r:id="rId1">
    <c:autoUpdate val="0"/>
  </c:externalData>
</c:chartSpace>
</file>

<file path=word/charts/chart7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manualLayout>
          <c:layoutTarget val="inner"/>
          <c:xMode val="edge"/>
          <c:yMode val="edge"/>
          <c:x val="9.5194552293867224E-2"/>
          <c:y val="9.0818156932837443E-2"/>
          <c:w val="0.61823046312759511"/>
          <c:h val="0.68438948198959793"/>
        </c:manualLayout>
      </c:layout>
      <c:barChart>
        <c:barDir val="col"/>
        <c:grouping val="clustered"/>
        <c:varyColors val="0"/>
        <c:ser>
          <c:idx val="0"/>
          <c:order val="0"/>
          <c:tx>
            <c:strRef>
              <c:f>Sheet2!$B$1</c:f>
              <c:strCache>
                <c:ptCount val="1"/>
                <c:pt idx="0">
                  <c:v>Ni (mg/kg)</c:v>
                </c:pt>
              </c:strCache>
            </c:strRef>
          </c:tx>
          <c:invertIfNegative val="0"/>
          <c:cat>
            <c:numRef>
              <c:f>Sheet2!$A$2:$A$6</c:f>
              <c:numCache>
                <c:formatCode>General</c:formatCode>
                <c:ptCount val="5"/>
                <c:pt idx="0">
                  <c:v>2009</c:v>
                </c:pt>
                <c:pt idx="1">
                  <c:v>2010</c:v>
                </c:pt>
                <c:pt idx="2">
                  <c:v>2011</c:v>
                </c:pt>
                <c:pt idx="3">
                  <c:v>2012</c:v>
                </c:pt>
                <c:pt idx="4">
                  <c:v>2013</c:v>
                </c:pt>
              </c:numCache>
            </c:numRef>
          </c:cat>
          <c:val>
            <c:numRef>
              <c:f>Sheet2!$B$2:$B$6</c:f>
              <c:numCache>
                <c:formatCode>General</c:formatCode>
                <c:ptCount val="5"/>
                <c:pt idx="0">
                  <c:v>752.51</c:v>
                </c:pt>
                <c:pt idx="1">
                  <c:v>201</c:v>
                </c:pt>
                <c:pt idx="2">
                  <c:v>250.20999999999998</c:v>
                </c:pt>
                <c:pt idx="3">
                  <c:v>235.34</c:v>
                </c:pt>
                <c:pt idx="4">
                  <c:v>212.9</c:v>
                </c:pt>
              </c:numCache>
            </c:numRef>
          </c:val>
        </c:ser>
        <c:dLbls>
          <c:showLegendKey val="0"/>
          <c:showVal val="0"/>
          <c:showCatName val="0"/>
          <c:showSerName val="0"/>
          <c:showPercent val="0"/>
          <c:showBubbleSize val="0"/>
        </c:dLbls>
        <c:gapWidth val="150"/>
        <c:axId val="332822016"/>
        <c:axId val="332823552"/>
      </c:barChart>
      <c:lineChart>
        <c:grouping val="standard"/>
        <c:varyColors val="0"/>
        <c:ser>
          <c:idx val="1"/>
          <c:order val="1"/>
          <c:tx>
            <c:strRef>
              <c:f>Sheet2!$C$1</c:f>
              <c:strCache>
                <c:ptCount val="1"/>
                <c:pt idx="0">
                  <c:v>MDK (mg/kg) </c:v>
                </c:pt>
              </c:strCache>
            </c:strRef>
          </c:tx>
          <c:spPr>
            <a:ln w="50800">
              <a:solidFill>
                <a:srgbClr val="FF0000"/>
              </a:solidFill>
            </a:ln>
          </c:spPr>
          <c:marker>
            <c:symbol val="none"/>
          </c:marker>
          <c:cat>
            <c:numRef>
              <c:f>Sheet2!$A$2:$A$6</c:f>
              <c:numCache>
                <c:formatCode>General</c:formatCode>
                <c:ptCount val="5"/>
                <c:pt idx="0">
                  <c:v>2009</c:v>
                </c:pt>
                <c:pt idx="1">
                  <c:v>2010</c:v>
                </c:pt>
                <c:pt idx="2">
                  <c:v>2011</c:v>
                </c:pt>
                <c:pt idx="3">
                  <c:v>2012</c:v>
                </c:pt>
                <c:pt idx="4">
                  <c:v>2013</c:v>
                </c:pt>
              </c:numCache>
            </c:numRef>
          </c:cat>
          <c:val>
            <c:numRef>
              <c:f>Sheet2!$C$2:$C$6</c:f>
              <c:numCache>
                <c:formatCode>General</c:formatCode>
                <c:ptCount val="5"/>
                <c:pt idx="0">
                  <c:v>50</c:v>
                </c:pt>
                <c:pt idx="1">
                  <c:v>50</c:v>
                </c:pt>
                <c:pt idx="2">
                  <c:v>50</c:v>
                </c:pt>
                <c:pt idx="3">
                  <c:v>50</c:v>
                </c:pt>
                <c:pt idx="4">
                  <c:v>50</c:v>
                </c:pt>
              </c:numCache>
            </c:numRef>
          </c:val>
          <c:smooth val="0"/>
        </c:ser>
        <c:dLbls>
          <c:showLegendKey val="0"/>
          <c:showVal val="0"/>
          <c:showCatName val="0"/>
          <c:showSerName val="0"/>
          <c:showPercent val="0"/>
          <c:showBubbleSize val="0"/>
        </c:dLbls>
        <c:marker val="1"/>
        <c:smooth val="0"/>
        <c:axId val="332822016"/>
        <c:axId val="332823552"/>
      </c:lineChart>
      <c:catAx>
        <c:axId val="332822016"/>
        <c:scaling>
          <c:orientation val="minMax"/>
        </c:scaling>
        <c:delete val="0"/>
        <c:axPos val="b"/>
        <c:numFmt formatCode="General" sourceLinked="0"/>
        <c:majorTickMark val="out"/>
        <c:minorTickMark val="none"/>
        <c:tickLblPos val="nextTo"/>
        <c:crossAx val="332823552"/>
        <c:crosses val="autoZero"/>
        <c:auto val="1"/>
        <c:lblAlgn val="ctr"/>
        <c:lblOffset val="100"/>
        <c:noMultiLvlLbl val="0"/>
      </c:catAx>
      <c:valAx>
        <c:axId val="332823552"/>
        <c:scaling>
          <c:orientation val="minMax"/>
        </c:scaling>
        <c:delete val="0"/>
        <c:axPos val="l"/>
        <c:numFmt formatCode="General" sourceLinked="1"/>
        <c:majorTickMark val="out"/>
        <c:minorTickMark val="none"/>
        <c:tickLblPos val="nextTo"/>
        <c:crossAx val="332822016"/>
        <c:crosses val="autoZero"/>
        <c:crossBetween val="between"/>
      </c:valAx>
    </c:plotArea>
    <c:legend>
      <c:legendPos val="r"/>
      <c:layout>
        <c:manualLayout>
          <c:xMode val="edge"/>
          <c:yMode val="edge"/>
          <c:x val="0.73493039176554542"/>
          <c:y val="0.35208218604576408"/>
          <c:w val="0.24663642851095224"/>
          <c:h val="0.29583498381720941"/>
        </c:manualLayout>
      </c:layout>
      <c:overlay val="0"/>
    </c:legend>
    <c:plotVisOnly val="1"/>
    <c:dispBlanksAs val="gap"/>
    <c:showDLblsOverMax val="0"/>
  </c:chart>
  <c:externalData r:id="rId1">
    <c:autoUpdate val="0"/>
  </c:externalData>
</c:chartSpace>
</file>

<file path=word/charts/chart7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manualLayout>
          <c:layoutTarget val="inner"/>
          <c:xMode val="edge"/>
          <c:yMode val="edge"/>
          <c:x val="9.5194552293867224E-2"/>
          <c:y val="9.0818156932837443E-2"/>
          <c:w val="0.61823046312759511"/>
          <c:h val="0.70426034169041751"/>
        </c:manualLayout>
      </c:layout>
      <c:barChart>
        <c:barDir val="col"/>
        <c:grouping val="clustered"/>
        <c:varyColors val="0"/>
        <c:ser>
          <c:idx val="0"/>
          <c:order val="0"/>
          <c:tx>
            <c:strRef>
              <c:f>Sheet2!$B$1</c:f>
              <c:strCache>
                <c:ptCount val="1"/>
                <c:pt idx="0">
                  <c:v>Cr (mg/kg)</c:v>
                </c:pt>
              </c:strCache>
            </c:strRef>
          </c:tx>
          <c:invertIfNegative val="0"/>
          <c:cat>
            <c:numRef>
              <c:f>Sheet2!$A$2:$A$6</c:f>
              <c:numCache>
                <c:formatCode>General</c:formatCode>
                <c:ptCount val="5"/>
                <c:pt idx="0">
                  <c:v>2009</c:v>
                </c:pt>
                <c:pt idx="1">
                  <c:v>2010</c:v>
                </c:pt>
                <c:pt idx="2">
                  <c:v>2011</c:v>
                </c:pt>
                <c:pt idx="3">
                  <c:v>2012</c:v>
                </c:pt>
                <c:pt idx="4">
                  <c:v>2013</c:v>
                </c:pt>
              </c:numCache>
            </c:numRef>
          </c:cat>
          <c:val>
            <c:numRef>
              <c:f>Sheet2!$B$2:$B$6</c:f>
              <c:numCache>
                <c:formatCode>General</c:formatCode>
                <c:ptCount val="5"/>
                <c:pt idx="0">
                  <c:v>169.33</c:v>
                </c:pt>
                <c:pt idx="1">
                  <c:v>114.7</c:v>
                </c:pt>
                <c:pt idx="2">
                  <c:v>46.98</c:v>
                </c:pt>
                <c:pt idx="3">
                  <c:v>144.28</c:v>
                </c:pt>
                <c:pt idx="4">
                  <c:v>136.75</c:v>
                </c:pt>
              </c:numCache>
            </c:numRef>
          </c:val>
        </c:ser>
        <c:dLbls>
          <c:showLegendKey val="0"/>
          <c:showVal val="0"/>
          <c:showCatName val="0"/>
          <c:showSerName val="0"/>
          <c:showPercent val="0"/>
          <c:showBubbleSize val="0"/>
        </c:dLbls>
        <c:gapWidth val="150"/>
        <c:axId val="333819904"/>
        <c:axId val="333821440"/>
      </c:barChart>
      <c:lineChart>
        <c:grouping val="standard"/>
        <c:varyColors val="0"/>
        <c:ser>
          <c:idx val="1"/>
          <c:order val="1"/>
          <c:tx>
            <c:strRef>
              <c:f>Sheet2!$C$1</c:f>
              <c:strCache>
                <c:ptCount val="1"/>
                <c:pt idx="0">
                  <c:v>MDK (mg/kg) </c:v>
                </c:pt>
              </c:strCache>
            </c:strRef>
          </c:tx>
          <c:spPr>
            <a:ln w="50800">
              <a:solidFill>
                <a:srgbClr val="FF0000"/>
              </a:solidFill>
            </a:ln>
          </c:spPr>
          <c:marker>
            <c:symbol val="none"/>
          </c:marker>
          <c:cat>
            <c:numRef>
              <c:f>Sheet2!$A$2:$A$6</c:f>
              <c:numCache>
                <c:formatCode>General</c:formatCode>
                <c:ptCount val="5"/>
                <c:pt idx="0">
                  <c:v>2009</c:v>
                </c:pt>
                <c:pt idx="1">
                  <c:v>2010</c:v>
                </c:pt>
                <c:pt idx="2">
                  <c:v>2011</c:v>
                </c:pt>
                <c:pt idx="3">
                  <c:v>2012</c:v>
                </c:pt>
                <c:pt idx="4">
                  <c:v>2013</c:v>
                </c:pt>
              </c:numCache>
            </c:numRef>
          </c:cat>
          <c:val>
            <c:numRef>
              <c:f>Sheet2!$C$2:$C$6</c:f>
              <c:numCache>
                <c:formatCode>General</c:formatCode>
                <c:ptCount val="5"/>
                <c:pt idx="0">
                  <c:v>50</c:v>
                </c:pt>
                <c:pt idx="1">
                  <c:v>50</c:v>
                </c:pt>
                <c:pt idx="2">
                  <c:v>50</c:v>
                </c:pt>
                <c:pt idx="3">
                  <c:v>50</c:v>
                </c:pt>
                <c:pt idx="4">
                  <c:v>50</c:v>
                </c:pt>
              </c:numCache>
            </c:numRef>
          </c:val>
          <c:smooth val="0"/>
        </c:ser>
        <c:dLbls>
          <c:showLegendKey val="0"/>
          <c:showVal val="0"/>
          <c:showCatName val="0"/>
          <c:showSerName val="0"/>
          <c:showPercent val="0"/>
          <c:showBubbleSize val="0"/>
        </c:dLbls>
        <c:marker val="1"/>
        <c:smooth val="0"/>
        <c:axId val="333819904"/>
        <c:axId val="333821440"/>
      </c:lineChart>
      <c:catAx>
        <c:axId val="333819904"/>
        <c:scaling>
          <c:orientation val="minMax"/>
        </c:scaling>
        <c:delete val="0"/>
        <c:axPos val="b"/>
        <c:numFmt formatCode="General" sourceLinked="0"/>
        <c:majorTickMark val="out"/>
        <c:minorTickMark val="none"/>
        <c:tickLblPos val="nextTo"/>
        <c:crossAx val="333821440"/>
        <c:crosses val="autoZero"/>
        <c:auto val="1"/>
        <c:lblAlgn val="ctr"/>
        <c:lblOffset val="100"/>
        <c:noMultiLvlLbl val="0"/>
      </c:catAx>
      <c:valAx>
        <c:axId val="333821440"/>
        <c:scaling>
          <c:orientation val="minMax"/>
        </c:scaling>
        <c:delete val="0"/>
        <c:axPos val="l"/>
        <c:numFmt formatCode="General" sourceLinked="1"/>
        <c:majorTickMark val="out"/>
        <c:minorTickMark val="none"/>
        <c:tickLblPos val="nextTo"/>
        <c:crossAx val="333819904"/>
        <c:crosses val="autoZero"/>
        <c:crossBetween val="between"/>
      </c:valAx>
    </c:plotArea>
    <c:legend>
      <c:legendPos val="r"/>
      <c:layout>
        <c:manualLayout>
          <c:xMode val="edge"/>
          <c:yMode val="edge"/>
          <c:x val="0.73493039176554542"/>
          <c:y val="0.35208218604576408"/>
          <c:w val="0.24663642851095224"/>
          <c:h val="0.29583498381720941"/>
        </c:manualLayout>
      </c:layout>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manualLayout>
          <c:layoutTarget val="inner"/>
          <c:xMode val="edge"/>
          <c:yMode val="edge"/>
          <c:x val="9.1609639704127888E-2"/>
          <c:y val="8.6746017212964613E-2"/>
          <c:w val="0.61126159230096233"/>
          <c:h val="0.78158212781541747"/>
        </c:manualLayout>
      </c:layout>
      <c:barChart>
        <c:barDir val="col"/>
        <c:grouping val="clustered"/>
        <c:varyColors val="0"/>
        <c:ser>
          <c:idx val="0"/>
          <c:order val="0"/>
          <c:tx>
            <c:strRef>
              <c:f>Sheet1!$B$1</c:f>
              <c:strCache>
                <c:ptCount val="1"/>
                <c:pt idx="0">
                  <c:v>Csr </c:v>
                </c:pt>
              </c:strCache>
            </c:strRef>
          </c:tx>
          <c:spPr>
            <a:solidFill>
              <a:srgbClr val="FFFF00"/>
            </a:solidFill>
          </c:spPr>
          <c:invertIfNegative val="0"/>
          <c:cat>
            <c:strRef>
              <c:f>Sheet1!$A$2:$A$13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Sheet1!$B$2:$B$13</c:f>
              <c:numCache>
                <c:formatCode>General</c:formatCode>
                <c:ptCount val="12"/>
                <c:pt idx="0">
                  <c:v>45.67</c:v>
                </c:pt>
                <c:pt idx="1">
                  <c:v>34.020000000000003</c:v>
                </c:pt>
                <c:pt idx="2">
                  <c:v>27.22</c:v>
                </c:pt>
                <c:pt idx="3">
                  <c:v>25.439999999999987</c:v>
                </c:pt>
                <c:pt idx="4">
                  <c:v>28.54</c:v>
                </c:pt>
                <c:pt idx="5">
                  <c:v>14.51</c:v>
                </c:pt>
                <c:pt idx="6">
                  <c:v>19.47</c:v>
                </c:pt>
                <c:pt idx="7">
                  <c:v>34.96</c:v>
                </c:pt>
                <c:pt idx="8">
                  <c:v>27</c:v>
                </c:pt>
                <c:pt idx="9">
                  <c:v>36.200000000000003</c:v>
                </c:pt>
                <c:pt idx="10">
                  <c:v>27.110000000000021</c:v>
                </c:pt>
                <c:pt idx="11">
                  <c:v>68.900000000000006</c:v>
                </c:pt>
              </c:numCache>
            </c:numRef>
          </c:val>
        </c:ser>
        <c:ser>
          <c:idx val="1"/>
          <c:order val="1"/>
          <c:tx>
            <c:strRef>
              <c:f>Sheet1!$C$1</c:f>
              <c:strCache>
                <c:ptCount val="1"/>
                <c:pt idx="0">
                  <c:v>Cmax</c:v>
                </c:pt>
              </c:strCache>
            </c:strRef>
          </c:tx>
          <c:invertIfNegative val="0"/>
          <c:cat>
            <c:strRef>
              <c:f>Sheet1!$A$2:$A$13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Sheet1!$C$2:$C$13</c:f>
              <c:numCache>
                <c:formatCode>General</c:formatCode>
                <c:ptCount val="12"/>
                <c:pt idx="0">
                  <c:v>84.4</c:v>
                </c:pt>
                <c:pt idx="1">
                  <c:v>66.900000000000006</c:v>
                </c:pt>
                <c:pt idx="2">
                  <c:v>56.3</c:v>
                </c:pt>
                <c:pt idx="3">
                  <c:v>61.18</c:v>
                </c:pt>
                <c:pt idx="4">
                  <c:v>77.209999999999994</c:v>
                </c:pt>
                <c:pt idx="5">
                  <c:v>26.14</c:v>
                </c:pt>
                <c:pt idx="6">
                  <c:v>32.190000000000012</c:v>
                </c:pt>
                <c:pt idx="7">
                  <c:v>47.99</c:v>
                </c:pt>
                <c:pt idx="8">
                  <c:v>43.71</c:v>
                </c:pt>
                <c:pt idx="9">
                  <c:v>55.1</c:v>
                </c:pt>
                <c:pt idx="10">
                  <c:v>64.599999999999994</c:v>
                </c:pt>
                <c:pt idx="11">
                  <c:v>123.34</c:v>
                </c:pt>
              </c:numCache>
            </c:numRef>
          </c:val>
        </c:ser>
        <c:dLbls>
          <c:showLegendKey val="0"/>
          <c:showVal val="0"/>
          <c:showCatName val="0"/>
          <c:showSerName val="0"/>
          <c:showPercent val="0"/>
          <c:showBubbleSize val="0"/>
        </c:dLbls>
        <c:gapWidth val="150"/>
        <c:axId val="201713152"/>
        <c:axId val="201714688"/>
      </c:barChart>
      <c:lineChart>
        <c:grouping val="standard"/>
        <c:varyColors val="0"/>
        <c:ser>
          <c:idx val="2"/>
          <c:order val="2"/>
          <c:tx>
            <c:strRef>
              <c:f>Sheet1!$D$1</c:f>
              <c:strCache>
                <c:ptCount val="1"/>
                <c:pt idx="0">
                  <c:v>srednja dnevna granična vrijednost</c:v>
                </c:pt>
              </c:strCache>
            </c:strRef>
          </c:tx>
          <c:spPr>
            <a:ln w="41275">
              <a:solidFill>
                <a:srgbClr val="FF0000"/>
              </a:solidFill>
            </a:ln>
          </c:spPr>
          <c:marker>
            <c:symbol val="none"/>
          </c:marker>
          <c:cat>
            <c:strRef>
              <c:f>Sheet1!$A$2:$A$13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Sheet1!$D$2:$D$13</c:f>
              <c:numCache>
                <c:formatCode>General</c:formatCode>
                <c:ptCount val="12"/>
                <c:pt idx="0">
                  <c:v>50</c:v>
                </c:pt>
                <c:pt idx="1">
                  <c:v>50</c:v>
                </c:pt>
                <c:pt idx="2">
                  <c:v>50</c:v>
                </c:pt>
                <c:pt idx="3">
                  <c:v>50</c:v>
                </c:pt>
                <c:pt idx="4">
                  <c:v>50</c:v>
                </c:pt>
                <c:pt idx="5">
                  <c:v>50</c:v>
                </c:pt>
                <c:pt idx="6">
                  <c:v>50</c:v>
                </c:pt>
                <c:pt idx="7">
                  <c:v>50</c:v>
                </c:pt>
                <c:pt idx="8">
                  <c:v>50</c:v>
                </c:pt>
                <c:pt idx="9">
                  <c:v>50</c:v>
                </c:pt>
                <c:pt idx="10">
                  <c:v>50</c:v>
                </c:pt>
                <c:pt idx="11">
                  <c:v>50</c:v>
                </c:pt>
              </c:numCache>
            </c:numRef>
          </c:val>
          <c:smooth val="0"/>
        </c:ser>
        <c:ser>
          <c:idx val="3"/>
          <c:order val="3"/>
          <c:tx>
            <c:strRef>
              <c:f>Sheet1!$E$1</c:f>
              <c:strCache>
                <c:ptCount val="1"/>
                <c:pt idx="0">
                  <c:v>granica tolerancije</c:v>
                </c:pt>
              </c:strCache>
            </c:strRef>
          </c:tx>
          <c:spPr>
            <a:ln w="41275">
              <a:solidFill>
                <a:schemeClr val="accent6">
                  <a:lumMod val="75000"/>
                </a:schemeClr>
              </a:solidFill>
            </a:ln>
          </c:spPr>
          <c:marker>
            <c:symbol val="none"/>
          </c:marker>
          <c:cat>
            <c:strRef>
              <c:f>Sheet1!$A$2:$A$13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Sheet1!$E$2:$E$13</c:f>
              <c:numCache>
                <c:formatCode>General</c:formatCode>
                <c:ptCount val="12"/>
                <c:pt idx="0">
                  <c:v>83</c:v>
                </c:pt>
                <c:pt idx="1">
                  <c:v>83</c:v>
                </c:pt>
                <c:pt idx="2">
                  <c:v>83</c:v>
                </c:pt>
                <c:pt idx="3">
                  <c:v>83</c:v>
                </c:pt>
                <c:pt idx="4">
                  <c:v>83</c:v>
                </c:pt>
                <c:pt idx="5">
                  <c:v>83</c:v>
                </c:pt>
                <c:pt idx="6">
                  <c:v>83</c:v>
                </c:pt>
                <c:pt idx="7">
                  <c:v>83</c:v>
                </c:pt>
                <c:pt idx="8">
                  <c:v>83</c:v>
                </c:pt>
                <c:pt idx="9">
                  <c:v>83</c:v>
                </c:pt>
                <c:pt idx="10">
                  <c:v>83</c:v>
                </c:pt>
                <c:pt idx="11">
                  <c:v>83</c:v>
                </c:pt>
              </c:numCache>
            </c:numRef>
          </c:val>
          <c:smooth val="0"/>
        </c:ser>
        <c:dLbls>
          <c:showLegendKey val="0"/>
          <c:showVal val="0"/>
          <c:showCatName val="0"/>
          <c:showSerName val="0"/>
          <c:showPercent val="0"/>
          <c:showBubbleSize val="0"/>
        </c:dLbls>
        <c:marker val="1"/>
        <c:smooth val="0"/>
        <c:axId val="201713152"/>
        <c:axId val="201714688"/>
      </c:lineChart>
      <c:catAx>
        <c:axId val="201713152"/>
        <c:scaling>
          <c:orientation val="minMax"/>
        </c:scaling>
        <c:delete val="0"/>
        <c:axPos val="b"/>
        <c:majorTickMark val="out"/>
        <c:minorTickMark val="none"/>
        <c:tickLblPos val="nextTo"/>
        <c:crossAx val="201714688"/>
        <c:crosses val="autoZero"/>
        <c:auto val="1"/>
        <c:lblAlgn val="ctr"/>
        <c:lblOffset val="100"/>
        <c:noMultiLvlLbl val="0"/>
      </c:catAx>
      <c:valAx>
        <c:axId val="201714688"/>
        <c:scaling>
          <c:orientation val="minMax"/>
        </c:scaling>
        <c:delete val="0"/>
        <c:axPos val="l"/>
        <c:title>
          <c:tx>
            <c:rich>
              <a:bodyPr rot="0" vert="horz"/>
              <a:lstStyle/>
              <a:p>
                <a:pPr>
                  <a:defRPr/>
                </a:pPr>
                <a:r>
                  <a:rPr lang="en-US">
                    <a:latin typeface="Calibri"/>
                  </a:rPr>
                  <a:t>µg/m</a:t>
                </a:r>
                <a:r>
                  <a:rPr lang="en-US" baseline="30000">
                    <a:latin typeface="Calibri"/>
                  </a:rPr>
                  <a:t>3</a:t>
                </a:r>
                <a:endParaRPr lang="en-US" baseline="30000"/>
              </a:p>
            </c:rich>
          </c:tx>
          <c:layout>
            <c:manualLayout>
              <c:xMode val="edge"/>
              <c:yMode val="edge"/>
              <c:x val="0"/>
              <c:y val="1.5548637815622005E-3"/>
            </c:manualLayout>
          </c:layout>
          <c:overlay val="0"/>
        </c:title>
        <c:numFmt formatCode="General" sourceLinked="1"/>
        <c:majorTickMark val="out"/>
        <c:minorTickMark val="none"/>
        <c:tickLblPos val="nextTo"/>
        <c:crossAx val="201713152"/>
        <c:crosses val="autoZero"/>
        <c:crossBetween val="between"/>
      </c:valAx>
      <c:spPr>
        <a:blipFill dpi="0" rotWithShape="1">
          <a:blip xmlns:r="http://schemas.openxmlformats.org/officeDocument/2006/relationships" r:embed="rId1">
            <a:alphaModFix amt="70000"/>
          </a:blip>
          <a:srcRect/>
          <a:stretch>
            <a:fillRect/>
          </a:stretch>
        </a:blipFill>
      </c:spPr>
    </c:plotArea>
    <c:legend>
      <c:legendPos val="r"/>
      <c:layout>
        <c:manualLayout>
          <c:xMode val="edge"/>
          <c:yMode val="edge"/>
          <c:x val="0.70423476111129257"/>
          <c:y val="0.24135843425663281"/>
          <c:w val="0.29511238367931325"/>
          <c:h val="0.54264301299687023"/>
        </c:manualLayout>
      </c:layout>
      <c:overlay val="1"/>
      <c:txPr>
        <a:bodyPr/>
        <a:lstStyle/>
        <a:p>
          <a:pPr>
            <a:defRPr sz="800"/>
          </a:pPr>
          <a:endParaRPr lang="en-US"/>
        </a:p>
      </c:txPr>
    </c:legend>
    <c:plotVisOnly val="1"/>
    <c:dispBlanksAs val="gap"/>
    <c:showDLblsOverMax val="0"/>
  </c:chart>
  <c:spPr>
    <a:ln>
      <a:noFill/>
    </a:ln>
  </c:spPr>
  <c:externalData r:id="rId2">
    <c:autoUpdate val="0"/>
  </c:externalData>
</c:chartSpace>
</file>

<file path=word/charts/chart8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manualLayout>
          <c:layoutTarget val="inner"/>
          <c:xMode val="edge"/>
          <c:yMode val="edge"/>
          <c:x val="0.16124872904400464"/>
          <c:y val="6.627827963222388E-2"/>
          <c:w val="0.74735948546972164"/>
          <c:h val="0.72434345706786663"/>
        </c:manualLayout>
      </c:layout>
      <c:barChart>
        <c:barDir val="col"/>
        <c:grouping val="clustered"/>
        <c:varyColors val="0"/>
        <c:ser>
          <c:idx val="0"/>
          <c:order val="0"/>
          <c:tx>
            <c:strRef>
              <c:f>Sheet2!$B$1</c:f>
              <c:strCache>
                <c:ptCount val="1"/>
              </c:strCache>
            </c:strRef>
          </c:tx>
          <c:invertIfNegative val="0"/>
          <c:cat>
            <c:numRef>
              <c:f>Sheet2!$A$2:$A$6</c:f>
              <c:numCache>
                <c:formatCode>General</c:formatCode>
                <c:ptCount val="5"/>
                <c:pt idx="0">
                  <c:v>2009</c:v>
                </c:pt>
                <c:pt idx="1">
                  <c:v>2010</c:v>
                </c:pt>
                <c:pt idx="2">
                  <c:v>2011</c:v>
                </c:pt>
                <c:pt idx="3">
                  <c:v>2012</c:v>
                </c:pt>
                <c:pt idx="4">
                  <c:v>2013</c:v>
                </c:pt>
              </c:numCache>
            </c:numRef>
          </c:cat>
          <c:val>
            <c:numRef>
              <c:f>Sheet2!$B$2:$B$6</c:f>
              <c:numCache>
                <c:formatCode>General</c:formatCode>
                <c:ptCount val="5"/>
                <c:pt idx="0">
                  <c:v>464617</c:v>
                </c:pt>
                <c:pt idx="1">
                  <c:v>329610</c:v>
                </c:pt>
                <c:pt idx="2">
                  <c:v>297428</c:v>
                </c:pt>
                <c:pt idx="3">
                  <c:v>279667</c:v>
                </c:pt>
                <c:pt idx="4">
                  <c:v>286378</c:v>
                </c:pt>
              </c:numCache>
            </c:numRef>
          </c:val>
        </c:ser>
        <c:dLbls>
          <c:showLegendKey val="0"/>
          <c:showVal val="0"/>
          <c:showCatName val="0"/>
          <c:showSerName val="0"/>
          <c:showPercent val="0"/>
          <c:showBubbleSize val="0"/>
        </c:dLbls>
        <c:gapWidth val="150"/>
        <c:axId val="333224192"/>
        <c:axId val="333242368"/>
      </c:barChart>
      <c:lineChart>
        <c:grouping val="standard"/>
        <c:varyColors val="0"/>
        <c:ser>
          <c:idx val="1"/>
          <c:order val="1"/>
          <c:tx>
            <c:strRef>
              <c:f>Sheet2!$C$1</c:f>
              <c:strCache>
                <c:ptCount val="1"/>
              </c:strCache>
            </c:strRef>
          </c:tx>
          <c:spPr>
            <a:ln w="50800">
              <a:solidFill>
                <a:srgbClr val="FF0000"/>
              </a:solidFill>
            </a:ln>
          </c:spPr>
          <c:marker>
            <c:symbol val="none"/>
          </c:marker>
          <c:cat>
            <c:numRef>
              <c:f>Sheet2!$A$2:$A$6</c:f>
              <c:numCache>
                <c:formatCode>General</c:formatCode>
                <c:ptCount val="5"/>
                <c:pt idx="0">
                  <c:v>2009</c:v>
                </c:pt>
                <c:pt idx="1">
                  <c:v>2010</c:v>
                </c:pt>
                <c:pt idx="2">
                  <c:v>2011</c:v>
                </c:pt>
                <c:pt idx="3">
                  <c:v>2012</c:v>
                </c:pt>
                <c:pt idx="4">
                  <c:v>2013</c:v>
                </c:pt>
              </c:numCache>
            </c:numRef>
          </c:cat>
          <c:val>
            <c:numRef>
              <c:f>Sheet2!$C$2:$C$6</c:f>
              <c:numCache>
                <c:formatCode>General</c:formatCode>
                <c:ptCount val="5"/>
              </c:numCache>
            </c:numRef>
          </c:val>
          <c:smooth val="0"/>
        </c:ser>
        <c:dLbls>
          <c:showLegendKey val="0"/>
          <c:showVal val="0"/>
          <c:showCatName val="0"/>
          <c:showSerName val="0"/>
          <c:showPercent val="0"/>
          <c:showBubbleSize val="0"/>
        </c:dLbls>
        <c:marker val="1"/>
        <c:smooth val="0"/>
        <c:axId val="333224192"/>
        <c:axId val="333242368"/>
      </c:lineChart>
      <c:catAx>
        <c:axId val="333224192"/>
        <c:scaling>
          <c:orientation val="minMax"/>
        </c:scaling>
        <c:delete val="0"/>
        <c:axPos val="b"/>
        <c:numFmt formatCode="General" sourceLinked="0"/>
        <c:majorTickMark val="out"/>
        <c:minorTickMark val="none"/>
        <c:tickLblPos val="nextTo"/>
        <c:crossAx val="333242368"/>
        <c:crosses val="autoZero"/>
        <c:auto val="1"/>
        <c:lblAlgn val="ctr"/>
        <c:lblOffset val="100"/>
        <c:noMultiLvlLbl val="0"/>
      </c:catAx>
      <c:valAx>
        <c:axId val="333242368"/>
        <c:scaling>
          <c:orientation val="minMax"/>
        </c:scaling>
        <c:delete val="0"/>
        <c:axPos val="l"/>
        <c:numFmt formatCode="General" sourceLinked="1"/>
        <c:majorTickMark val="out"/>
        <c:minorTickMark val="none"/>
        <c:tickLblPos val="nextTo"/>
        <c:crossAx val="333224192"/>
        <c:crosses val="autoZero"/>
        <c:crossBetween val="between"/>
      </c:valAx>
    </c:plotArea>
    <c:plotVisOnly val="1"/>
    <c:dispBlanksAs val="gap"/>
    <c:showDLblsOverMax val="0"/>
  </c:chart>
  <c:externalData r:id="rId1">
    <c:autoUpdate val="0"/>
  </c:externalData>
</c:chartSpace>
</file>

<file path=word/charts/chart8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0"/>
      <c:rAngAx val="0"/>
      <c:perspective val="30"/>
    </c:view3D>
    <c:floor>
      <c:thickness val="0"/>
    </c:floor>
    <c:sideWall>
      <c:thickness val="0"/>
    </c:sideWall>
    <c:backWall>
      <c:thickness val="0"/>
    </c:backWall>
    <c:plotArea>
      <c:layout/>
      <c:pie3DChart>
        <c:varyColors val="1"/>
        <c:ser>
          <c:idx val="0"/>
          <c:order val="0"/>
          <c:dLbls>
            <c:dLbl>
              <c:idx val="1"/>
              <c:tx>
                <c:rich>
                  <a:bodyPr/>
                  <a:lstStyle/>
                  <a:p>
                    <a:r>
                      <a:rPr lang="en-US"/>
                      <a:t>10.8%</a:t>
                    </a:r>
                  </a:p>
                </c:rich>
              </c:tx>
              <c:showLegendKey val="0"/>
              <c:showVal val="1"/>
              <c:showCatName val="0"/>
              <c:showSerName val="0"/>
              <c:showPercent val="0"/>
              <c:showBubbleSize val="0"/>
            </c:dLbl>
            <c:dLbl>
              <c:idx val="2"/>
              <c:tx>
                <c:rich>
                  <a:bodyPr/>
                  <a:lstStyle/>
                  <a:p>
                    <a:r>
                      <a:rPr lang="en-US" b="1"/>
                      <a:t>88.9%</a:t>
                    </a:r>
                  </a:p>
                </c:rich>
              </c:tx>
              <c:showLegendKey val="0"/>
              <c:showVal val="1"/>
              <c:showCatName val="0"/>
              <c:showSerName val="0"/>
              <c:showPercent val="0"/>
              <c:showBubbleSize val="0"/>
            </c:dLbl>
            <c:showLegendKey val="0"/>
            <c:showVal val="1"/>
            <c:showCatName val="0"/>
            <c:showSerName val="0"/>
            <c:showPercent val="0"/>
            <c:showBubbleSize val="0"/>
            <c:showLeaderLines val="1"/>
          </c:dLbls>
          <c:cat>
            <c:strRef>
              <c:f>'[Chart in Microsoft Word]Sheet2'!$A$1:$A$3</c:f>
              <c:strCache>
                <c:ptCount val="3"/>
                <c:pt idx="0">
                  <c:v>Rudarstvo</c:v>
                </c:pt>
                <c:pt idx="1">
                  <c:v>Prerađivačka industrija</c:v>
                </c:pt>
                <c:pt idx="2">
                  <c:v>Snabdijevanje el. energijom, gasom i parom </c:v>
                </c:pt>
              </c:strCache>
            </c:strRef>
          </c:cat>
          <c:val>
            <c:numRef>
              <c:f>'[Chart in Microsoft Word]Sheet2'!$B$1:$B$3</c:f>
              <c:numCache>
                <c:formatCode>0.00%</c:formatCode>
                <c:ptCount val="3"/>
                <c:pt idx="0">
                  <c:v>2E-3</c:v>
                </c:pt>
                <c:pt idx="1">
                  <c:v>0.23</c:v>
                </c:pt>
                <c:pt idx="2">
                  <c:v>0.76800000000000002</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64166666666666672"/>
          <c:y val="0.11373537131387987"/>
          <c:w val="0.34166666666666667"/>
          <c:h val="0.58429396325459315"/>
        </c:manualLayout>
      </c:layout>
      <c:overlay val="0"/>
    </c:legend>
    <c:plotVisOnly val="1"/>
    <c:dispBlanksAs val="gap"/>
    <c:showDLblsOverMax val="0"/>
  </c:chart>
  <c:externalData r:id="rId2">
    <c:autoUpdate val="0"/>
  </c:externalData>
</c:chartSpace>
</file>

<file path=word/charts/chart8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8590837909967134E-2"/>
          <c:y val="0.15643473933788016"/>
          <c:w val="0.88942224545583259"/>
          <c:h val="0.71454926870200719"/>
        </c:manualLayout>
      </c:layout>
      <c:barChart>
        <c:barDir val="col"/>
        <c:grouping val="clustered"/>
        <c:varyColors val="0"/>
        <c:ser>
          <c:idx val="0"/>
          <c:order val="0"/>
          <c:tx>
            <c:strRef>
              <c:f>Sheet1!$C$1</c:f>
              <c:strCache>
                <c:ptCount val="1"/>
                <c:pt idx="0">
                  <c:v>Granične vrijednosti nivoa buke [dB]Lnight</c:v>
                </c:pt>
              </c:strCache>
            </c:strRef>
          </c:tx>
          <c:invertIfNegative val="0"/>
          <c:cat>
            <c:strRef>
              <c:f>Sheet1!$A$2:$A$5</c:f>
              <c:strCache>
                <c:ptCount val="4"/>
                <c:pt idx="0">
                  <c:v>Stari aerodrom-I ciklus </c:v>
                </c:pt>
                <c:pt idx="1">
                  <c:v>Stari aerodrom-II ciklus </c:v>
                </c:pt>
                <c:pt idx="2">
                  <c:v>I Prol.br.-I ciklus</c:v>
                </c:pt>
                <c:pt idx="3">
                  <c:v>I Prol.br.-II ciklus </c:v>
                </c:pt>
              </c:strCache>
            </c:strRef>
          </c:cat>
          <c:val>
            <c:numRef>
              <c:f>Sheet1!$B$2:$B$5</c:f>
              <c:numCache>
                <c:formatCode>General</c:formatCode>
                <c:ptCount val="4"/>
                <c:pt idx="0">
                  <c:v>48.6</c:v>
                </c:pt>
                <c:pt idx="1">
                  <c:v>45.8</c:v>
                </c:pt>
                <c:pt idx="2">
                  <c:v>64.3</c:v>
                </c:pt>
                <c:pt idx="3">
                  <c:v>55.8</c:v>
                </c:pt>
              </c:numCache>
            </c:numRef>
          </c:val>
        </c:ser>
        <c:ser>
          <c:idx val="1"/>
          <c:order val="1"/>
          <c:tx>
            <c:strRef>
              <c:f>Sheet1!#REF!</c:f>
              <c:strCache>
                <c:ptCount val="1"/>
                <c:pt idx="0">
                  <c:v>#REF!</c:v>
                </c:pt>
              </c:strCache>
            </c:strRef>
          </c:tx>
          <c:spPr>
            <a:solidFill>
              <a:srgbClr val="FF0000"/>
            </a:solidFill>
            <a:ln>
              <a:solidFill>
                <a:srgbClr val="FF0000"/>
              </a:solidFill>
            </a:ln>
          </c:spPr>
          <c:invertIfNegative val="0"/>
          <c:cat>
            <c:strRef>
              <c:f>Sheet1!$A$2:$A$5</c:f>
              <c:strCache>
                <c:ptCount val="4"/>
                <c:pt idx="0">
                  <c:v>Stari aerodrom-I ciklus </c:v>
                </c:pt>
                <c:pt idx="1">
                  <c:v>Stari aerodrom-II ciklus </c:v>
                </c:pt>
                <c:pt idx="2">
                  <c:v>I Prol.br.-I ciklus</c:v>
                </c:pt>
                <c:pt idx="3">
                  <c:v>I Prol.br.-II ciklus </c:v>
                </c:pt>
              </c:strCache>
            </c:strRef>
          </c:cat>
          <c:val>
            <c:numRef>
              <c:f>Sheet1!$C$2:$C$5</c:f>
              <c:numCache>
                <c:formatCode>General</c:formatCode>
                <c:ptCount val="4"/>
                <c:pt idx="0">
                  <c:v>45</c:v>
                </c:pt>
                <c:pt idx="1">
                  <c:v>45</c:v>
                </c:pt>
                <c:pt idx="2">
                  <c:v>55</c:v>
                </c:pt>
                <c:pt idx="3">
                  <c:v>55</c:v>
                </c:pt>
              </c:numCache>
            </c:numRef>
          </c:val>
        </c:ser>
        <c:dLbls>
          <c:showLegendKey val="0"/>
          <c:showVal val="0"/>
          <c:showCatName val="0"/>
          <c:showSerName val="0"/>
          <c:showPercent val="0"/>
          <c:showBubbleSize val="0"/>
        </c:dLbls>
        <c:gapWidth val="150"/>
        <c:axId val="331946240"/>
        <c:axId val="333209984"/>
      </c:barChart>
      <c:catAx>
        <c:axId val="331946240"/>
        <c:scaling>
          <c:orientation val="minMax"/>
        </c:scaling>
        <c:delete val="0"/>
        <c:axPos val="b"/>
        <c:title>
          <c:tx>
            <c:rich>
              <a:bodyPr/>
              <a:lstStyle/>
              <a:p>
                <a:pPr>
                  <a:defRPr/>
                </a:pPr>
                <a:r>
                  <a:rPr lang="sr-Latn-ME" sz="1200" b="1">
                    <a:solidFill>
                      <a:srgbClr val="FF0000"/>
                    </a:solidFill>
                  </a:rPr>
                  <a:t>granična vrijednost za </a:t>
                </a:r>
                <a:r>
                  <a:rPr lang="sr-Latn-CS" sz="1200" b="1" i="0" u="none" strike="noStrike" baseline="0">
                    <a:solidFill>
                      <a:srgbClr val="FF0000"/>
                    </a:solidFill>
                    <a:effectLst/>
                  </a:rPr>
                  <a:t>L</a:t>
                </a:r>
                <a:r>
                  <a:rPr lang="sr-Latn-CS" sz="1200" b="1" i="0" u="none" strike="noStrike" baseline="-25000">
                    <a:solidFill>
                      <a:srgbClr val="FF0000"/>
                    </a:solidFill>
                    <a:effectLst/>
                  </a:rPr>
                  <a:t>night</a:t>
                </a:r>
                <a:r>
                  <a:rPr lang="sr-Latn-ME" sz="1200" b="1">
                    <a:solidFill>
                      <a:srgbClr val="FF0000"/>
                    </a:solidFill>
                  </a:rPr>
                  <a:t> </a:t>
                </a:r>
                <a:endParaRPr lang="en-US" sz="1200" b="1">
                  <a:solidFill>
                    <a:srgbClr val="FF0000"/>
                  </a:solidFill>
                </a:endParaRPr>
              </a:p>
            </c:rich>
          </c:tx>
          <c:layout>
            <c:manualLayout>
              <c:xMode val="edge"/>
              <c:yMode val="edge"/>
              <c:x val="0.3339487307169608"/>
              <c:y val="5.8224163027656526E-4"/>
            </c:manualLayout>
          </c:layout>
          <c:overlay val="0"/>
        </c:title>
        <c:majorTickMark val="none"/>
        <c:minorTickMark val="none"/>
        <c:tickLblPos val="nextTo"/>
        <c:txPr>
          <a:bodyPr/>
          <a:lstStyle/>
          <a:p>
            <a:pPr>
              <a:defRPr sz="650" baseline="0"/>
            </a:pPr>
            <a:endParaRPr lang="en-US"/>
          </a:p>
        </c:txPr>
        <c:crossAx val="333209984"/>
        <c:crosses val="autoZero"/>
        <c:auto val="1"/>
        <c:lblAlgn val="ctr"/>
        <c:lblOffset val="100"/>
        <c:noMultiLvlLbl val="0"/>
      </c:catAx>
      <c:valAx>
        <c:axId val="333209984"/>
        <c:scaling>
          <c:orientation val="minMax"/>
        </c:scaling>
        <c:delete val="0"/>
        <c:axPos val="l"/>
        <c:title>
          <c:tx>
            <c:rich>
              <a:bodyPr rot="0" vert="horz"/>
              <a:lstStyle/>
              <a:p>
                <a:pPr>
                  <a:defRPr/>
                </a:pPr>
                <a:r>
                  <a:rPr lang="sr-Latn-ME"/>
                  <a:t>dB(A)</a:t>
                </a:r>
                <a:endParaRPr lang="en-US"/>
              </a:p>
            </c:rich>
          </c:tx>
          <c:layout>
            <c:manualLayout>
              <c:xMode val="edge"/>
              <c:yMode val="edge"/>
              <c:x val="2.361789756517589E-3"/>
              <c:y val="2.0238659758608238E-2"/>
            </c:manualLayout>
          </c:layout>
          <c:overlay val="0"/>
        </c:title>
        <c:numFmt formatCode="General" sourceLinked="1"/>
        <c:majorTickMark val="none"/>
        <c:minorTickMark val="none"/>
        <c:tickLblPos val="nextTo"/>
        <c:txPr>
          <a:bodyPr/>
          <a:lstStyle/>
          <a:p>
            <a:pPr>
              <a:defRPr sz="700" baseline="0"/>
            </a:pPr>
            <a:endParaRPr lang="en-US"/>
          </a:p>
        </c:txPr>
        <c:crossAx val="331946240"/>
        <c:crosses val="autoZero"/>
        <c:crossBetween val="between"/>
      </c:valAx>
    </c:plotArea>
    <c:plotVisOnly val="1"/>
    <c:dispBlanksAs val="gap"/>
    <c:showDLblsOverMax val="0"/>
  </c:chart>
  <c:spPr>
    <a:ln>
      <a:noFill/>
    </a:ln>
  </c:spPr>
  <c:externalData r:id="rId2">
    <c:autoUpdate val="0"/>
  </c:externalData>
</c:chartSpace>
</file>

<file path=word/charts/chart8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3.8491119902058689E-2"/>
          <c:y val="0.14439183357113927"/>
          <c:w val="0.90271282597988789"/>
          <c:h val="0.70518592415767034"/>
        </c:manualLayout>
      </c:layout>
      <c:barChart>
        <c:barDir val="col"/>
        <c:grouping val="clustered"/>
        <c:varyColors val="0"/>
        <c:ser>
          <c:idx val="0"/>
          <c:order val="0"/>
          <c:tx>
            <c:strRef>
              <c:f>Sheet1!$A$1</c:f>
              <c:strCache>
                <c:ptCount val="1"/>
                <c:pt idx="0">
                  <c:v>Srednje godišnje vrijednosti nivoa buke [dB]</c:v>
                </c:pt>
              </c:strCache>
            </c:strRef>
          </c:tx>
          <c:invertIfNegative val="0"/>
          <c:cat>
            <c:strRef>
              <c:f>Sheet1!$A$2:$A$3</c:f>
              <c:strCache>
                <c:ptCount val="2"/>
                <c:pt idx="0">
                  <c:v>JZU Opšta bolnica-I ciklus</c:v>
                </c:pt>
                <c:pt idx="1">
                  <c:v>JZU Opšta bolnica-II ciklus</c:v>
                </c:pt>
              </c:strCache>
            </c:strRef>
          </c:cat>
          <c:val>
            <c:numRef>
              <c:f>Sheet1!$B$2:$B$3</c:f>
              <c:numCache>
                <c:formatCode>General</c:formatCode>
                <c:ptCount val="2"/>
                <c:pt idx="0">
                  <c:v>66</c:v>
                </c:pt>
                <c:pt idx="1">
                  <c:v>47</c:v>
                </c:pt>
              </c:numCache>
            </c:numRef>
          </c:val>
        </c:ser>
        <c:ser>
          <c:idx val="1"/>
          <c:order val="1"/>
          <c:tx>
            <c:strRef>
              <c:f>Sheet1!$B$1</c:f>
              <c:strCache>
                <c:ptCount val="1"/>
                <c:pt idx="0">
                  <c:v>Column2</c:v>
                </c:pt>
              </c:strCache>
            </c:strRef>
          </c:tx>
          <c:spPr>
            <a:solidFill>
              <a:srgbClr val="FF0000"/>
            </a:solidFill>
          </c:spPr>
          <c:invertIfNegative val="0"/>
          <c:cat>
            <c:strRef>
              <c:f>Sheet1!$A$2:$A$3</c:f>
              <c:strCache>
                <c:ptCount val="2"/>
                <c:pt idx="0">
                  <c:v>JZU Opšta bolnica-I ciklus</c:v>
                </c:pt>
                <c:pt idx="1">
                  <c:v>JZU Opšta bolnica-II ciklus</c:v>
                </c:pt>
              </c:strCache>
            </c:strRef>
          </c:cat>
          <c:val>
            <c:numRef>
              <c:f>Sheet1!$C$2:$C$3</c:f>
              <c:numCache>
                <c:formatCode>General</c:formatCode>
                <c:ptCount val="2"/>
                <c:pt idx="0">
                  <c:v>40</c:v>
                </c:pt>
                <c:pt idx="1">
                  <c:v>40</c:v>
                </c:pt>
              </c:numCache>
            </c:numRef>
          </c:val>
        </c:ser>
        <c:dLbls>
          <c:showLegendKey val="0"/>
          <c:showVal val="0"/>
          <c:showCatName val="0"/>
          <c:showSerName val="0"/>
          <c:showPercent val="0"/>
          <c:showBubbleSize val="0"/>
        </c:dLbls>
        <c:gapWidth val="150"/>
        <c:axId val="333906688"/>
        <c:axId val="333908608"/>
      </c:barChart>
      <c:catAx>
        <c:axId val="333906688"/>
        <c:scaling>
          <c:orientation val="minMax"/>
        </c:scaling>
        <c:delete val="0"/>
        <c:axPos val="b"/>
        <c:title>
          <c:tx>
            <c:rich>
              <a:bodyPr/>
              <a:lstStyle/>
              <a:p>
                <a:pPr>
                  <a:defRPr/>
                </a:pPr>
                <a:r>
                  <a:rPr lang="sr-Latn-ME" sz="1100">
                    <a:solidFill>
                      <a:srgbClr val="FF0000"/>
                    </a:solidFill>
                  </a:rPr>
                  <a:t>granična vrijednost, L</a:t>
                </a:r>
                <a:r>
                  <a:rPr lang="sr-Latn-ME" sz="1100" baseline="-25000">
                    <a:solidFill>
                      <a:srgbClr val="FF0000"/>
                    </a:solidFill>
                  </a:rPr>
                  <a:t>night</a:t>
                </a:r>
                <a:endParaRPr lang="en-US" sz="1100" baseline="-25000">
                  <a:solidFill>
                    <a:srgbClr val="FF0000"/>
                  </a:solidFill>
                </a:endParaRPr>
              </a:p>
            </c:rich>
          </c:tx>
          <c:layout>
            <c:manualLayout>
              <c:xMode val="edge"/>
              <c:yMode val="edge"/>
              <c:x val="0.33354505271164137"/>
              <c:y val="0.12539226392321393"/>
            </c:manualLayout>
          </c:layout>
          <c:overlay val="0"/>
        </c:title>
        <c:majorTickMark val="none"/>
        <c:minorTickMark val="none"/>
        <c:tickLblPos val="nextTo"/>
        <c:txPr>
          <a:bodyPr/>
          <a:lstStyle/>
          <a:p>
            <a:pPr>
              <a:defRPr sz="650" baseline="0"/>
            </a:pPr>
            <a:endParaRPr lang="en-US"/>
          </a:p>
        </c:txPr>
        <c:crossAx val="333908608"/>
        <c:crosses val="autoZero"/>
        <c:auto val="1"/>
        <c:lblAlgn val="ctr"/>
        <c:lblOffset val="100"/>
        <c:noMultiLvlLbl val="0"/>
      </c:catAx>
      <c:valAx>
        <c:axId val="333908608"/>
        <c:scaling>
          <c:orientation val="minMax"/>
        </c:scaling>
        <c:delete val="0"/>
        <c:axPos val="l"/>
        <c:title>
          <c:tx>
            <c:rich>
              <a:bodyPr rot="0" vert="horz"/>
              <a:lstStyle/>
              <a:p>
                <a:pPr>
                  <a:defRPr/>
                </a:pPr>
                <a:r>
                  <a:rPr lang="sr-Latn-ME"/>
                  <a:t>dB(A)</a:t>
                </a:r>
                <a:endParaRPr lang="en-US"/>
              </a:p>
            </c:rich>
          </c:tx>
          <c:layout>
            <c:manualLayout>
              <c:xMode val="edge"/>
              <c:yMode val="edge"/>
              <c:x val="0"/>
              <c:y val="5.8431610075885545E-5"/>
            </c:manualLayout>
          </c:layout>
          <c:overlay val="0"/>
        </c:title>
        <c:numFmt formatCode="General" sourceLinked="1"/>
        <c:majorTickMark val="none"/>
        <c:minorTickMark val="none"/>
        <c:tickLblPos val="nextTo"/>
        <c:txPr>
          <a:bodyPr/>
          <a:lstStyle/>
          <a:p>
            <a:pPr>
              <a:defRPr sz="700" baseline="0"/>
            </a:pPr>
            <a:endParaRPr lang="en-US"/>
          </a:p>
        </c:txPr>
        <c:crossAx val="333906688"/>
        <c:crosses val="autoZero"/>
        <c:crossBetween val="between"/>
      </c:valAx>
    </c:plotArea>
    <c:plotVisOnly val="1"/>
    <c:dispBlanksAs val="gap"/>
    <c:showDLblsOverMax val="0"/>
  </c:chart>
  <c:spPr>
    <a:ln>
      <a:noFill/>
    </a:ln>
  </c:spPr>
  <c:externalData r:id="rId2">
    <c:autoUpdate val="0"/>
  </c:externalData>
</c:chartSpace>
</file>

<file path=word/charts/chart8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3.8491119902058689E-2"/>
          <c:y val="0.14439183357113927"/>
          <c:w val="0.90271282597988789"/>
          <c:h val="0.67573628638885896"/>
        </c:manualLayout>
      </c:layout>
      <c:barChart>
        <c:barDir val="col"/>
        <c:grouping val="clustered"/>
        <c:varyColors val="0"/>
        <c:ser>
          <c:idx val="0"/>
          <c:order val="0"/>
          <c:tx>
            <c:strRef>
              <c:f>Sheet1!$A$1</c:f>
              <c:strCache>
                <c:ptCount val="1"/>
                <c:pt idx="0">
                  <c:v>Srednje godišnje vrijednosti nivoa buke [dB]</c:v>
                </c:pt>
              </c:strCache>
            </c:strRef>
          </c:tx>
          <c:invertIfNegative val="0"/>
          <c:cat>
            <c:strRef>
              <c:f>Sheet1!$A$2:$A$3</c:f>
              <c:strCache>
                <c:ptCount val="2"/>
                <c:pt idx="0">
                  <c:v>Njegoševa 1-I ciklus</c:v>
                </c:pt>
                <c:pt idx="1">
                  <c:v>Njegoševa 1-II ciklus</c:v>
                </c:pt>
              </c:strCache>
            </c:strRef>
          </c:cat>
          <c:val>
            <c:numRef>
              <c:f>Sheet1!$B$2:$B$3</c:f>
              <c:numCache>
                <c:formatCode>General</c:formatCode>
                <c:ptCount val="2"/>
                <c:pt idx="0">
                  <c:v>57</c:v>
                </c:pt>
                <c:pt idx="1">
                  <c:v>44</c:v>
                </c:pt>
              </c:numCache>
            </c:numRef>
          </c:val>
        </c:ser>
        <c:ser>
          <c:idx val="1"/>
          <c:order val="1"/>
          <c:tx>
            <c:strRef>
              <c:f>Sheet1!$B$1</c:f>
              <c:strCache>
                <c:ptCount val="1"/>
                <c:pt idx="0">
                  <c:v>Column2</c:v>
                </c:pt>
              </c:strCache>
            </c:strRef>
          </c:tx>
          <c:spPr>
            <a:solidFill>
              <a:srgbClr val="FF0000"/>
            </a:solidFill>
          </c:spPr>
          <c:invertIfNegative val="0"/>
          <c:cat>
            <c:strRef>
              <c:f>Sheet1!$A$2:$A$3</c:f>
              <c:strCache>
                <c:ptCount val="2"/>
                <c:pt idx="0">
                  <c:v>Njegoševa 1-I ciklus</c:v>
                </c:pt>
                <c:pt idx="1">
                  <c:v>Njegoševa 1-II ciklus</c:v>
                </c:pt>
              </c:strCache>
            </c:strRef>
          </c:cat>
          <c:val>
            <c:numRef>
              <c:f>Sheet1!$C$2:$C$3</c:f>
              <c:numCache>
                <c:formatCode>General</c:formatCode>
                <c:ptCount val="2"/>
                <c:pt idx="0">
                  <c:v>50</c:v>
                </c:pt>
                <c:pt idx="1">
                  <c:v>50</c:v>
                </c:pt>
              </c:numCache>
            </c:numRef>
          </c:val>
        </c:ser>
        <c:dLbls>
          <c:showLegendKey val="0"/>
          <c:showVal val="0"/>
          <c:showCatName val="0"/>
          <c:showSerName val="0"/>
          <c:showPercent val="0"/>
          <c:showBubbleSize val="0"/>
        </c:dLbls>
        <c:gapWidth val="150"/>
        <c:axId val="333954048"/>
        <c:axId val="333956224"/>
      </c:barChart>
      <c:catAx>
        <c:axId val="333954048"/>
        <c:scaling>
          <c:orientation val="minMax"/>
        </c:scaling>
        <c:delete val="0"/>
        <c:axPos val="b"/>
        <c:title>
          <c:tx>
            <c:rich>
              <a:bodyPr/>
              <a:lstStyle/>
              <a:p>
                <a:pPr>
                  <a:defRPr/>
                </a:pPr>
                <a:r>
                  <a:rPr lang="sr-Latn-ME" sz="1100">
                    <a:solidFill>
                      <a:srgbClr val="FF0000"/>
                    </a:solidFill>
                  </a:rPr>
                  <a:t>granična vrijednost, L</a:t>
                </a:r>
                <a:r>
                  <a:rPr lang="sr-Latn-ME" sz="1100" baseline="-25000">
                    <a:solidFill>
                      <a:srgbClr val="FF0000"/>
                    </a:solidFill>
                  </a:rPr>
                  <a:t>night</a:t>
                </a:r>
                <a:endParaRPr lang="en-US" sz="1100" baseline="-25000">
                  <a:solidFill>
                    <a:srgbClr val="FF0000"/>
                  </a:solidFill>
                </a:endParaRPr>
              </a:p>
            </c:rich>
          </c:tx>
          <c:layout>
            <c:manualLayout>
              <c:xMode val="edge"/>
              <c:yMode val="edge"/>
              <c:x val="0.33354505271164137"/>
              <c:y val="0.12539226392321393"/>
            </c:manualLayout>
          </c:layout>
          <c:overlay val="0"/>
        </c:title>
        <c:majorTickMark val="none"/>
        <c:minorTickMark val="none"/>
        <c:tickLblPos val="nextTo"/>
        <c:txPr>
          <a:bodyPr/>
          <a:lstStyle/>
          <a:p>
            <a:pPr>
              <a:defRPr sz="650" baseline="0"/>
            </a:pPr>
            <a:endParaRPr lang="en-US"/>
          </a:p>
        </c:txPr>
        <c:crossAx val="333956224"/>
        <c:crosses val="autoZero"/>
        <c:auto val="1"/>
        <c:lblAlgn val="ctr"/>
        <c:lblOffset val="100"/>
        <c:noMultiLvlLbl val="0"/>
      </c:catAx>
      <c:valAx>
        <c:axId val="333956224"/>
        <c:scaling>
          <c:orientation val="minMax"/>
        </c:scaling>
        <c:delete val="0"/>
        <c:axPos val="l"/>
        <c:title>
          <c:tx>
            <c:rich>
              <a:bodyPr rot="0" vert="horz"/>
              <a:lstStyle/>
              <a:p>
                <a:pPr>
                  <a:defRPr/>
                </a:pPr>
                <a:r>
                  <a:rPr lang="sr-Latn-ME"/>
                  <a:t>dB(A)</a:t>
                </a:r>
                <a:endParaRPr lang="en-US"/>
              </a:p>
            </c:rich>
          </c:tx>
          <c:layout>
            <c:manualLayout>
              <c:xMode val="edge"/>
              <c:yMode val="edge"/>
              <c:x val="1.9218714165583669E-3"/>
              <c:y val="5.3754239624156566E-3"/>
            </c:manualLayout>
          </c:layout>
          <c:overlay val="0"/>
        </c:title>
        <c:numFmt formatCode="General" sourceLinked="1"/>
        <c:majorTickMark val="none"/>
        <c:minorTickMark val="none"/>
        <c:tickLblPos val="nextTo"/>
        <c:txPr>
          <a:bodyPr/>
          <a:lstStyle/>
          <a:p>
            <a:pPr>
              <a:defRPr sz="700" baseline="0"/>
            </a:pPr>
            <a:endParaRPr lang="en-US"/>
          </a:p>
        </c:txPr>
        <c:crossAx val="333954048"/>
        <c:crosses val="autoZero"/>
        <c:crossBetween val="between"/>
      </c:valAx>
    </c:plotArea>
    <c:plotVisOnly val="1"/>
    <c:dispBlanksAs val="gap"/>
    <c:showDLblsOverMax val="0"/>
  </c:chart>
  <c:spPr>
    <a:ln>
      <a:noFill/>
    </a:ln>
  </c:spPr>
  <c:externalData r:id="rId2">
    <c:autoUpdate val="0"/>
  </c:externalData>
</c:chartSpace>
</file>

<file path=word/charts/chart8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715414959095025"/>
          <c:y val="0.1572162449159504"/>
          <c:w val="0.66728718859858704"/>
          <c:h val="0.68242551226161108"/>
        </c:manualLayout>
      </c:layout>
      <c:barChart>
        <c:barDir val="col"/>
        <c:grouping val="clustered"/>
        <c:varyColors val="0"/>
        <c:ser>
          <c:idx val="0"/>
          <c:order val="0"/>
          <c:tx>
            <c:strRef>
              <c:f>Sheet1!$B$1</c:f>
              <c:strCache>
                <c:ptCount val="1"/>
                <c:pt idx="0">
                  <c:v>Column1</c:v>
                </c:pt>
              </c:strCache>
            </c:strRef>
          </c:tx>
          <c:invertIfNegative val="0"/>
          <c:cat>
            <c:strRef>
              <c:f>Sheet1!$A$2:$A$3</c:f>
              <c:strCache>
                <c:ptCount val="2"/>
                <c:pt idx="0">
                  <c:v>Obala bb - I ciklus</c:v>
                </c:pt>
                <c:pt idx="1">
                  <c:v>Obala bb - II ciklus</c:v>
                </c:pt>
              </c:strCache>
            </c:strRef>
          </c:cat>
          <c:val>
            <c:numRef>
              <c:f>Sheet1!$B$2:$B$3</c:f>
              <c:numCache>
                <c:formatCode>General</c:formatCode>
                <c:ptCount val="2"/>
                <c:pt idx="0">
                  <c:v>69</c:v>
                </c:pt>
                <c:pt idx="1">
                  <c:v>51</c:v>
                </c:pt>
              </c:numCache>
            </c:numRef>
          </c:val>
        </c:ser>
        <c:ser>
          <c:idx val="1"/>
          <c:order val="1"/>
          <c:tx>
            <c:strRef>
              <c:f>Sheet1!$C$1</c:f>
              <c:strCache>
                <c:ptCount val="1"/>
                <c:pt idx="0">
                  <c:v>Granične vrijednosti nivoa buke [dB]</c:v>
                </c:pt>
              </c:strCache>
            </c:strRef>
          </c:tx>
          <c:spPr>
            <a:solidFill>
              <a:srgbClr val="FF0000"/>
            </a:solidFill>
          </c:spPr>
          <c:invertIfNegative val="0"/>
          <c:cat>
            <c:strRef>
              <c:f>Sheet1!$A$2:$A$3</c:f>
              <c:strCache>
                <c:ptCount val="2"/>
                <c:pt idx="0">
                  <c:v>Obala bb - I ciklus</c:v>
                </c:pt>
                <c:pt idx="1">
                  <c:v>Obala bb - II ciklus</c:v>
                </c:pt>
              </c:strCache>
            </c:strRef>
          </c:cat>
          <c:val>
            <c:numRef>
              <c:f>Sheet1!$C$2:$C$3</c:f>
              <c:numCache>
                <c:formatCode>General</c:formatCode>
                <c:ptCount val="2"/>
                <c:pt idx="0">
                  <c:v>50</c:v>
                </c:pt>
                <c:pt idx="1">
                  <c:v>50</c:v>
                </c:pt>
              </c:numCache>
            </c:numRef>
          </c:val>
        </c:ser>
        <c:dLbls>
          <c:showLegendKey val="0"/>
          <c:showVal val="0"/>
          <c:showCatName val="0"/>
          <c:showSerName val="0"/>
          <c:showPercent val="0"/>
          <c:showBubbleSize val="0"/>
        </c:dLbls>
        <c:gapWidth val="383"/>
        <c:axId val="334026240"/>
        <c:axId val="334028160"/>
      </c:barChart>
      <c:catAx>
        <c:axId val="334026240"/>
        <c:scaling>
          <c:orientation val="minMax"/>
        </c:scaling>
        <c:delete val="0"/>
        <c:axPos val="b"/>
        <c:title>
          <c:tx>
            <c:rich>
              <a:bodyPr/>
              <a:lstStyle/>
              <a:p>
                <a:pPr>
                  <a:defRPr/>
                </a:pPr>
                <a:r>
                  <a:rPr lang="sr-Latn-ME" sz="1200">
                    <a:solidFill>
                      <a:srgbClr val="FF0000"/>
                    </a:solidFill>
                  </a:rPr>
                  <a:t>granična vrijednost, L</a:t>
                </a:r>
                <a:r>
                  <a:rPr lang="sr-Latn-ME" sz="1200" baseline="-25000">
                    <a:solidFill>
                      <a:srgbClr val="FF0000"/>
                    </a:solidFill>
                  </a:rPr>
                  <a:t>night</a:t>
                </a:r>
                <a:endParaRPr lang="en-US" sz="1200" baseline="-25000">
                  <a:solidFill>
                    <a:srgbClr val="FF0000"/>
                  </a:solidFill>
                </a:endParaRPr>
              </a:p>
            </c:rich>
          </c:tx>
          <c:layout>
            <c:manualLayout>
              <c:xMode val="edge"/>
              <c:yMode val="edge"/>
              <c:x val="0.22959135582504744"/>
              <c:y val="9.9214359949972727E-2"/>
            </c:manualLayout>
          </c:layout>
          <c:overlay val="0"/>
        </c:title>
        <c:majorTickMark val="none"/>
        <c:minorTickMark val="none"/>
        <c:tickLblPos val="nextTo"/>
        <c:txPr>
          <a:bodyPr/>
          <a:lstStyle/>
          <a:p>
            <a:pPr>
              <a:defRPr sz="650" baseline="0"/>
            </a:pPr>
            <a:endParaRPr lang="en-US"/>
          </a:p>
        </c:txPr>
        <c:crossAx val="334028160"/>
        <c:crosses val="autoZero"/>
        <c:auto val="1"/>
        <c:lblAlgn val="ctr"/>
        <c:lblOffset val="100"/>
        <c:noMultiLvlLbl val="0"/>
      </c:catAx>
      <c:valAx>
        <c:axId val="334028160"/>
        <c:scaling>
          <c:orientation val="minMax"/>
        </c:scaling>
        <c:delete val="0"/>
        <c:axPos val="l"/>
        <c:title>
          <c:tx>
            <c:rich>
              <a:bodyPr rot="0" vert="horz"/>
              <a:lstStyle/>
              <a:p>
                <a:pPr>
                  <a:defRPr/>
                </a:pPr>
                <a:r>
                  <a:rPr lang="sr-Latn-ME"/>
                  <a:t>dB(A)</a:t>
                </a:r>
                <a:endParaRPr lang="en-US"/>
              </a:p>
            </c:rich>
          </c:tx>
          <c:layout>
            <c:manualLayout>
              <c:xMode val="edge"/>
              <c:yMode val="edge"/>
              <c:x val="4.5831231880328685E-2"/>
              <c:y val="3.8781160938573665E-2"/>
            </c:manualLayout>
          </c:layout>
          <c:overlay val="0"/>
        </c:title>
        <c:numFmt formatCode="General" sourceLinked="1"/>
        <c:majorTickMark val="none"/>
        <c:minorTickMark val="none"/>
        <c:tickLblPos val="nextTo"/>
        <c:txPr>
          <a:bodyPr/>
          <a:lstStyle/>
          <a:p>
            <a:pPr>
              <a:defRPr sz="700" baseline="0"/>
            </a:pPr>
            <a:endParaRPr lang="en-US"/>
          </a:p>
        </c:txPr>
        <c:crossAx val="334026240"/>
        <c:crosses val="autoZero"/>
        <c:crossBetween val="between"/>
      </c:valAx>
    </c:plotArea>
    <c:plotVisOnly val="1"/>
    <c:dispBlanksAs val="gap"/>
    <c:showDLblsOverMax val="0"/>
  </c:chart>
  <c:spPr>
    <a:ln>
      <a:noFill/>
    </a:ln>
  </c:spPr>
  <c:externalData r:id="rId2">
    <c:autoUpdate val="0"/>
  </c:externalData>
</c:chartSpace>
</file>

<file path=word/charts/chart8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796103224323238"/>
          <c:y val="0.15335658546037453"/>
          <c:w val="0.6137592198785371"/>
          <c:h val="0.74142171392074085"/>
        </c:manualLayout>
      </c:layout>
      <c:barChart>
        <c:barDir val="col"/>
        <c:grouping val="clustered"/>
        <c:varyColors val="0"/>
        <c:ser>
          <c:idx val="0"/>
          <c:order val="0"/>
          <c:tx>
            <c:strRef>
              <c:f>Sheet1!$B$1</c:f>
              <c:strCache>
                <c:ptCount val="1"/>
                <c:pt idx="0">
                  <c:v>Srednje godišnje vrijednosti nivoa buke [dB]</c:v>
                </c:pt>
              </c:strCache>
            </c:strRef>
          </c:tx>
          <c:invertIfNegative val="0"/>
          <c:cat>
            <c:strRef>
              <c:f>Sheet1!$A$2:$A$3</c:f>
              <c:strCache>
                <c:ptCount val="2"/>
                <c:pt idx="0">
                  <c:v>Jadranski put bb - I ciklus</c:v>
                </c:pt>
                <c:pt idx="1">
                  <c:v>Jadranski put bb - II ciklus</c:v>
                </c:pt>
              </c:strCache>
            </c:strRef>
          </c:cat>
          <c:val>
            <c:numRef>
              <c:f>Sheet1!$B$2:$B$3</c:f>
              <c:numCache>
                <c:formatCode>General</c:formatCode>
                <c:ptCount val="2"/>
                <c:pt idx="0">
                  <c:v>64</c:v>
                </c:pt>
                <c:pt idx="1">
                  <c:v>59</c:v>
                </c:pt>
              </c:numCache>
            </c:numRef>
          </c:val>
        </c:ser>
        <c:ser>
          <c:idx val="1"/>
          <c:order val="1"/>
          <c:tx>
            <c:strRef>
              <c:f>Sheet1!$C$1</c:f>
              <c:strCache>
                <c:ptCount val="1"/>
                <c:pt idx="0">
                  <c:v>Granične vrijednosti nivoa buke za Lday</c:v>
                </c:pt>
              </c:strCache>
            </c:strRef>
          </c:tx>
          <c:spPr>
            <a:solidFill>
              <a:srgbClr val="FF0000"/>
            </a:solidFill>
            <a:ln w="50800">
              <a:solidFill>
                <a:srgbClr val="FF0000"/>
              </a:solidFill>
            </a:ln>
          </c:spPr>
          <c:invertIfNegative val="0"/>
          <c:cat>
            <c:strRef>
              <c:f>Sheet1!$A$2:$A$3</c:f>
              <c:strCache>
                <c:ptCount val="2"/>
                <c:pt idx="0">
                  <c:v>Jadranski put bb - I ciklus</c:v>
                </c:pt>
                <c:pt idx="1">
                  <c:v>Jadranski put bb - II ciklus</c:v>
                </c:pt>
              </c:strCache>
            </c:strRef>
          </c:cat>
          <c:val>
            <c:numRef>
              <c:f>Sheet1!$C$2:$C$3</c:f>
              <c:numCache>
                <c:formatCode>General</c:formatCode>
                <c:ptCount val="2"/>
                <c:pt idx="0">
                  <c:v>55</c:v>
                </c:pt>
                <c:pt idx="1">
                  <c:v>55</c:v>
                </c:pt>
              </c:numCache>
            </c:numRef>
          </c:val>
        </c:ser>
        <c:dLbls>
          <c:showLegendKey val="0"/>
          <c:showVal val="0"/>
          <c:showCatName val="0"/>
          <c:showSerName val="0"/>
          <c:showPercent val="0"/>
          <c:showBubbleSize val="0"/>
        </c:dLbls>
        <c:gapWidth val="351"/>
        <c:axId val="334069760"/>
        <c:axId val="334071680"/>
      </c:barChart>
      <c:catAx>
        <c:axId val="334069760"/>
        <c:scaling>
          <c:orientation val="minMax"/>
        </c:scaling>
        <c:delete val="0"/>
        <c:axPos val="b"/>
        <c:title>
          <c:tx>
            <c:rich>
              <a:bodyPr/>
              <a:lstStyle/>
              <a:p>
                <a:pPr>
                  <a:defRPr/>
                </a:pPr>
                <a:r>
                  <a:rPr lang="sr-Latn-ME" sz="1200">
                    <a:solidFill>
                      <a:srgbClr val="FF0000"/>
                    </a:solidFill>
                  </a:rPr>
                  <a:t>granična vrijednost, L</a:t>
                </a:r>
                <a:r>
                  <a:rPr lang="sr-Latn-ME" sz="1200" baseline="-25000">
                    <a:solidFill>
                      <a:srgbClr val="FF0000"/>
                    </a:solidFill>
                  </a:rPr>
                  <a:t>night</a:t>
                </a:r>
                <a:endParaRPr lang="en-US" sz="1200" baseline="-25000">
                  <a:solidFill>
                    <a:srgbClr val="FF0000"/>
                  </a:solidFill>
                </a:endParaRPr>
              </a:p>
            </c:rich>
          </c:tx>
          <c:layout>
            <c:manualLayout>
              <c:xMode val="edge"/>
              <c:yMode val="edge"/>
              <c:x val="0.22959212215261418"/>
              <c:y val="0.11773045147880008"/>
            </c:manualLayout>
          </c:layout>
          <c:overlay val="0"/>
        </c:title>
        <c:majorTickMark val="none"/>
        <c:minorTickMark val="none"/>
        <c:tickLblPos val="nextTo"/>
        <c:txPr>
          <a:bodyPr/>
          <a:lstStyle/>
          <a:p>
            <a:pPr>
              <a:defRPr sz="550" baseline="0"/>
            </a:pPr>
            <a:endParaRPr lang="en-US"/>
          </a:p>
        </c:txPr>
        <c:crossAx val="334071680"/>
        <c:crosses val="autoZero"/>
        <c:auto val="1"/>
        <c:lblAlgn val="ctr"/>
        <c:lblOffset val="100"/>
        <c:noMultiLvlLbl val="0"/>
      </c:catAx>
      <c:valAx>
        <c:axId val="334071680"/>
        <c:scaling>
          <c:orientation val="minMax"/>
        </c:scaling>
        <c:delete val="0"/>
        <c:axPos val="l"/>
        <c:title>
          <c:tx>
            <c:rich>
              <a:bodyPr rot="0" vert="horz"/>
              <a:lstStyle/>
              <a:p>
                <a:pPr>
                  <a:defRPr/>
                </a:pPr>
                <a:r>
                  <a:rPr lang="sr-Latn-ME"/>
                  <a:t>dB(A)</a:t>
                </a:r>
                <a:endParaRPr lang="en-US"/>
              </a:p>
            </c:rich>
          </c:tx>
          <c:layout>
            <c:manualLayout>
              <c:xMode val="edge"/>
              <c:yMode val="edge"/>
              <c:x val="5.8394160583941618E-2"/>
              <c:y val="8.2064507037291512E-2"/>
            </c:manualLayout>
          </c:layout>
          <c:overlay val="0"/>
        </c:title>
        <c:numFmt formatCode="General" sourceLinked="1"/>
        <c:majorTickMark val="none"/>
        <c:minorTickMark val="none"/>
        <c:tickLblPos val="nextTo"/>
        <c:txPr>
          <a:bodyPr/>
          <a:lstStyle/>
          <a:p>
            <a:pPr>
              <a:defRPr sz="700" baseline="0"/>
            </a:pPr>
            <a:endParaRPr lang="en-US"/>
          </a:p>
        </c:txPr>
        <c:crossAx val="334069760"/>
        <c:crosses val="autoZero"/>
        <c:crossBetween val="between"/>
      </c:valAx>
    </c:plotArea>
    <c:plotVisOnly val="1"/>
    <c:dispBlanksAs val="gap"/>
    <c:showDLblsOverMax val="0"/>
  </c:chart>
  <c:spPr>
    <a:ln>
      <a:noFill/>
    </a:ln>
  </c:spPr>
  <c:externalData r:id="rId2">
    <c:autoUpdate val="0"/>
  </c:externalData>
</c:chartSpace>
</file>

<file path=word/charts/chart8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06718178919224"/>
          <c:y val="0.1295592532065567"/>
          <c:w val="0.66728718859858704"/>
          <c:h val="0.72866389342841575"/>
        </c:manualLayout>
      </c:layout>
      <c:barChart>
        <c:barDir val="col"/>
        <c:grouping val="clustered"/>
        <c:varyColors val="0"/>
        <c:ser>
          <c:idx val="0"/>
          <c:order val="0"/>
          <c:tx>
            <c:strRef>
              <c:f>Sheet1!$B$1</c:f>
              <c:strCache>
                <c:ptCount val="1"/>
                <c:pt idx="0">
                  <c:v>Srednje godišnje vrijednosti nivoa buke [dB]</c:v>
                </c:pt>
              </c:strCache>
            </c:strRef>
          </c:tx>
          <c:invertIfNegative val="0"/>
          <c:cat>
            <c:strRef>
              <c:f>Sheet1!$A$2:$A$3</c:f>
              <c:strCache>
                <c:ptCount val="2"/>
                <c:pt idx="0">
                  <c:v>Stari grad - I ciklus</c:v>
                </c:pt>
                <c:pt idx="1">
                  <c:v>Stari grad - II ciklus</c:v>
                </c:pt>
              </c:strCache>
            </c:strRef>
          </c:cat>
          <c:val>
            <c:numRef>
              <c:f>Sheet1!$B$2:$B$3</c:f>
              <c:numCache>
                <c:formatCode>General</c:formatCode>
                <c:ptCount val="2"/>
                <c:pt idx="0">
                  <c:v>83</c:v>
                </c:pt>
                <c:pt idx="1">
                  <c:v>61</c:v>
                </c:pt>
              </c:numCache>
            </c:numRef>
          </c:val>
        </c:ser>
        <c:ser>
          <c:idx val="1"/>
          <c:order val="1"/>
          <c:tx>
            <c:strRef>
              <c:f>Sheet1!$C$1</c:f>
              <c:strCache>
                <c:ptCount val="1"/>
                <c:pt idx="0">
                  <c:v>Granične vrijednosti nivoa buke za Lday</c:v>
                </c:pt>
              </c:strCache>
            </c:strRef>
          </c:tx>
          <c:spPr>
            <a:solidFill>
              <a:srgbClr val="FF0000"/>
            </a:solidFill>
            <a:ln w="50800">
              <a:solidFill>
                <a:srgbClr val="FF0000"/>
              </a:solidFill>
            </a:ln>
          </c:spPr>
          <c:invertIfNegative val="0"/>
          <c:cat>
            <c:strRef>
              <c:f>Sheet1!$A$2:$A$3</c:f>
              <c:strCache>
                <c:ptCount val="2"/>
                <c:pt idx="0">
                  <c:v>Stari grad - I ciklus</c:v>
                </c:pt>
                <c:pt idx="1">
                  <c:v>Stari grad - II ciklus</c:v>
                </c:pt>
              </c:strCache>
            </c:strRef>
          </c:cat>
          <c:val>
            <c:numRef>
              <c:f>Sheet1!$C$2:$C$3</c:f>
              <c:numCache>
                <c:formatCode>General</c:formatCode>
                <c:ptCount val="2"/>
                <c:pt idx="0">
                  <c:v>50</c:v>
                </c:pt>
                <c:pt idx="1">
                  <c:v>50</c:v>
                </c:pt>
              </c:numCache>
            </c:numRef>
          </c:val>
        </c:ser>
        <c:dLbls>
          <c:showLegendKey val="0"/>
          <c:showVal val="0"/>
          <c:showCatName val="0"/>
          <c:showSerName val="0"/>
          <c:showPercent val="0"/>
          <c:showBubbleSize val="0"/>
        </c:dLbls>
        <c:gapWidth val="400"/>
        <c:axId val="334014720"/>
        <c:axId val="334139776"/>
      </c:barChart>
      <c:catAx>
        <c:axId val="334014720"/>
        <c:scaling>
          <c:orientation val="minMax"/>
        </c:scaling>
        <c:delete val="0"/>
        <c:axPos val="b"/>
        <c:title>
          <c:tx>
            <c:rich>
              <a:bodyPr/>
              <a:lstStyle/>
              <a:p>
                <a:pPr>
                  <a:defRPr/>
                </a:pPr>
                <a:r>
                  <a:rPr lang="sr-Latn-ME" sz="1200">
                    <a:solidFill>
                      <a:srgbClr val="FF0000"/>
                    </a:solidFill>
                  </a:rPr>
                  <a:t>granična vrijednost, L</a:t>
                </a:r>
                <a:r>
                  <a:rPr lang="sr-Latn-ME" sz="1200" baseline="-25000">
                    <a:solidFill>
                      <a:srgbClr val="FF0000"/>
                    </a:solidFill>
                  </a:rPr>
                  <a:t>night</a:t>
                </a:r>
                <a:endParaRPr lang="en-US" sz="1200" baseline="-25000">
                  <a:solidFill>
                    <a:srgbClr val="FF0000"/>
                  </a:solidFill>
                </a:endParaRPr>
              </a:p>
            </c:rich>
          </c:tx>
          <c:layout>
            <c:manualLayout>
              <c:xMode val="edge"/>
              <c:yMode val="edge"/>
              <c:x val="0.35645850810704732"/>
              <c:y val="9.1602535532115087E-2"/>
            </c:manualLayout>
          </c:layout>
          <c:overlay val="0"/>
        </c:title>
        <c:majorTickMark val="none"/>
        <c:minorTickMark val="none"/>
        <c:tickLblPos val="nextTo"/>
        <c:txPr>
          <a:bodyPr/>
          <a:lstStyle/>
          <a:p>
            <a:pPr>
              <a:defRPr sz="550" baseline="0"/>
            </a:pPr>
            <a:endParaRPr lang="en-US"/>
          </a:p>
        </c:txPr>
        <c:crossAx val="334139776"/>
        <c:crosses val="autoZero"/>
        <c:auto val="1"/>
        <c:lblAlgn val="ctr"/>
        <c:lblOffset val="100"/>
        <c:noMultiLvlLbl val="0"/>
      </c:catAx>
      <c:valAx>
        <c:axId val="334139776"/>
        <c:scaling>
          <c:orientation val="minMax"/>
          <c:max val="65"/>
          <c:min val="40"/>
        </c:scaling>
        <c:delete val="0"/>
        <c:axPos val="l"/>
        <c:title>
          <c:tx>
            <c:rich>
              <a:bodyPr rot="0" vert="horz"/>
              <a:lstStyle/>
              <a:p>
                <a:pPr>
                  <a:defRPr/>
                </a:pPr>
                <a:r>
                  <a:rPr lang="sr-Latn-ME"/>
                  <a:t>dB(A)</a:t>
                </a:r>
                <a:endParaRPr lang="en-US"/>
              </a:p>
            </c:rich>
          </c:tx>
          <c:layout>
            <c:manualLayout>
              <c:xMode val="edge"/>
              <c:yMode val="edge"/>
              <c:x val="5.8394093261706775E-2"/>
              <c:y val="3.0357054424800519E-4"/>
            </c:manualLayout>
          </c:layout>
          <c:overlay val="0"/>
        </c:title>
        <c:numFmt formatCode="General" sourceLinked="1"/>
        <c:majorTickMark val="none"/>
        <c:minorTickMark val="none"/>
        <c:tickLblPos val="nextTo"/>
        <c:txPr>
          <a:bodyPr/>
          <a:lstStyle/>
          <a:p>
            <a:pPr>
              <a:defRPr sz="700" baseline="0"/>
            </a:pPr>
            <a:endParaRPr lang="en-US"/>
          </a:p>
        </c:txPr>
        <c:crossAx val="334014720"/>
        <c:crosses val="autoZero"/>
        <c:crossBetween val="between"/>
      </c:valAx>
    </c:plotArea>
    <c:plotVisOnly val="1"/>
    <c:dispBlanksAs val="gap"/>
    <c:showDLblsOverMax val="0"/>
  </c:chart>
  <c:spPr>
    <a:ln>
      <a:noFill/>
    </a:ln>
  </c:spPr>
  <c:externalData r:id="rId2">
    <c:autoUpdate val="0"/>
  </c:externalData>
</c:chartSpace>
</file>

<file path=word/charts/chart8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418453167806579"/>
          <c:y val="0.14315974451691393"/>
          <c:w val="0.66728718859858704"/>
          <c:h val="0.71676027621010896"/>
        </c:manualLayout>
      </c:layout>
      <c:barChart>
        <c:barDir val="col"/>
        <c:grouping val="clustered"/>
        <c:varyColors val="0"/>
        <c:ser>
          <c:idx val="0"/>
          <c:order val="0"/>
          <c:tx>
            <c:strRef>
              <c:f>Sheet1!$B$1</c:f>
              <c:strCache>
                <c:ptCount val="1"/>
                <c:pt idx="0">
                  <c:v>Srednje godišnje vrijednosti nivoa buke [dB]</c:v>
                </c:pt>
              </c:strCache>
            </c:strRef>
          </c:tx>
          <c:invertIfNegative val="0"/>
          <c:cat>
            <c:strRef>
              <c:f>Sheet1!$A$2:$A$3</c:f>
              <c:strCache>
                <c:ptCount val="2"/>
                <c:pt idx="0">
                  <c:v>Bulevar 28. novembra - I ciklus</c:v>
                </c:pt>
                <c:pt idx="1">
                  <c:v>Bulevar 28. novembra - II ciklus</c:v>
                </c:pt>
              </c:strCache>
            </c:strRef>
          </c:cat>
          <c:val>
            <c:numRef>
              <c:f>Sheet1!$B$2:$B$3</c:f>
              <c:numCache>
                <c:formatCode>General</c:formatCode>
                <c:ptCount val="2"/>
                <c:pt idx="0">
                  <c:v>63</c:v>
                </c:pt>
                <c:pt idx="1">
                  <c:v>58</c:v>
                </c:pt>
              </c:numCache>
            </c:numRef>
          </c:val>
        </c:ser>
        <c:ser>
          <c:idx val="1"/>
          <c:order val="1"/>
          <c:tx>
            <c:strRef>
              <c:f>Sheet1!$C$1</c:f>
              <c:strCache>
                <c:ptCount val="1"/>
                <c:pt idx="0">
                  <c:v>Granična vrijednost nivoa buke [dB]</c:v>
                </c:pt>
              </c:strCache>
            </c:strRef>
          </c:tx>
          <c:spPr>
            <a:solidFill>
              <a:srgbClr val="FF0000"/>
            </a:solidFill>
          </c:spPr>
          <c:invertIfNegative val="0"/>
          <c:cat>
            <c:strRef>
              <c:f>Sheet1!$A$2:$A$3</c:f>
              <c:strCache>
                <c:ptCount val="2"/>
                <c:pt idx="0">
                  <c:v>Bulevar 28. novembra - I ciklus</c:v>
                </c:pt>
                <c:pt idx="1">
                  <c:v>Bulevar 28. novembra - II ciklus</c:v>
                </c:pt>
              </c:strCache>
            </c:strRef>
          </c:cat>
          <c:val>
            <c:numRef>
              <c:f>Sheet1!$C$2:$C$3</c:f>
              <c:numCache>
                <c:formatCode>General</c:formatCode>
                <c:ptCount val="2"/>
                <c:pt idx="0">
                  <c:v>55</c:v>
                </c:pt>
                <c:pt idx="1">
                  <c:v>55</c:v>
                </c:pt>
              </c:numCache>
            </c:numRef>
          </c:val>
        </c:ser>
        <c:dLbls>
          <c:showLegendKey val="0"/>
          <c:showVal val="0"/>
          <c:showCatName val="0"/>
          <c:showSerName val="0"/>
          <c:showPercent val="0"/>
          <c:showBubbleSize val="0"/>
        </c:dLbls>
        <c:gapWidth val="357"/>
        <c:axId val="329941760"/>
        <c:axId val="329943680"/>
      </c:barChart>
      <c:catAx>
        <c:axId val="329941760"/>
        <c:scaling>
          <c:orientation val="minMax"/>
        </c:scaling>
        <c:delete val="0"/>
        <c:axPos val="b"/>
        <c:title>
          <c:tx>
            <c:rich>
              <a:bodyPr/>
              <a:lstStyle/>
              <a:p>
                <a:pPr>
                  <a:defRPr/>
                </a:pPr>
                <a:r>
                  <a:rPr lang="sr-Latn-ME" sz="1200">
                    <a:solidFill>
                      <a:srgbClr val="FF0000"/>
                    </a:solidFill>
                  </a:rPr>
                  <a:t>granična vrijednost, L</a:t>
                </a:r>
                <a:r>
                  <a:rPr lang="sr-Latn-ME" sz="1200" baseline="-25000">
                    <a:solidFill>
                      <a:srgbClr val="FF0000"/>
                    </a:solidFill>
                  </a:rPr>
                  <a:t>night</a:t>
                </a:r>
                <a:endParaRPr lang="en-US" sz="1200" baseline="-25000">
                  <a:solidFill>
                    <a:srgbClr val="FF0000"/>
                  </a:solidFill>
                </a:endParaRPr>
              </a:p>
            </c:rich>
          </c:tx>
          <c:layout>
            <c:manualLayout>
              <c:xMode val="edge"/>
              <c:yMode val="edge"/>
              <c:x val="0.33908117324750464"/>
              <c:y val="0.12513985108084666"/>
            </c:manualLayout>
          </c:layout>
          <c:overlay val="0"/>
        </c:title>
        <c:majorTickMark val="none"/>
        <c:minorTickMark val="none"/>
        <c:tickLblPos val="nextTo"/>
        <c:txPr>
          <a:bodyPr/>
          <a:lstStyle/>
          <a:p>
            <a:pPr>
              <a:defRPr sz="600" baseline="0"/>
            </a:pPr>
            <a:endParaRPr lang="en-US"/>
          </a:p>
        </c:txPr>
        <c:crossAx val="329943680"/>
        <c:crosses val="autoZero"/>
        <c:auto val="1"/>
        <c:lblAlgn val="ctr"/>
        <c:lblOffset val="100"/>
        <c:noMultiLvlLbl val="0"/>
      </c:catAx>
      <c:valAx>
        <c:axId val="329943680"/>
        <c:scaling>
          <c:orientation val="minMax"/>
        </c:scaling>
        <c:delete val="0"/>
        <c:axPos val="l"/>
        <c:title>
          <c:tx>
            <c:rich>
              <a:bodyPr rot="0" vert="horz"/>
              <a:lstStyle/>
              <a:p>
                <a:pPr>
                  <a:defRPr/>
                </a:pPr>
                <a:r>
                  <a:rPr lang="sr-Latn-ME"/>
                  <a:t>dB(A)</a:t>
                </a:r>
                <a:endParaRPr lang="en-US"/>
              </a:p>
            </c:rich>
          </c:tx>
          <c:layout>
            <c:manualLayout>
              <c:xMode val="edge"/>
              <c:yMode val="edge"/>
              <c:x val="4.1362530413625302E-2"/>
              <c:y val="2.3073231725862595E-2"/>
            </c:manualLayout>
          </c:layout>
          <c:overlay val="0"/>
        </c:title>
        <c:numFmt formatCode="General" sourceLinked="1"/>
        <c:majorTickMark val="none"/>
        <c:minorTickMark val="none"/>
        <c:tickLblPos val="nextTo"/>
        <c:spPr>
          <a:ln w="9525"/>
        </c:spPr>
        <c:txPr>
          <a:bodyPr/>
          <a:lstStyle/>
          <a:p>
            <a:pPr>
              <a:defRPr sz="700" baseline="0"/>
            </a:pPr>
            <a:endParaRPr lang="en-US"/>
          </a:p>
        </c:txPr>
        <c:crossAx val="329941760"/>
        <c:crosses val="autoZero"/>
        <c:crossBetween val="between"/>
      </c:valAx>
    </c:plotArea>
    <c:plotVisOnly val="1"/>
    <c:dispBlanksAs val="gap"/>
    <c:showDLblsOverMax val="0"/>
  </c:chart>
  <c:spPr>
    <a:ln>
      <a:noFill/>
    </a:ln>
  </c:spPr>
  <c:externalData r:id="rId2">
    <c:autoUpdate val="0"/>
  </c:externalData>
</c:chartSpace>
</file>

<file path=word/charts/chart8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2286721459087692E-2"/>
          <c:y val="0.14888231731214593"/>
          <c:w val="0.66728718859858704"/>
          <c:h val="0.7232854716689826"/>
        </c:manualLayout>
      </c:layout>
      <c:barChart>
        <c:barDir val="col"/>
        <c:grouping val="clustered"/>
        <c:varyColors val="0"/>
        <c:ser>
          <c:idx val="0"/>
          <c:order val="0"/>
          <c:tx>
            <c:strRef>
              <c:f>Sheet1!$B$1</c:f>
              <c:strCache>
                <c:ptCount val="1"/>
                <c:pt idx="0">
                  <c:v>Srednje godišnje vrijednosti nivoa buke [dB]</c:v>
                </c:pt>
              </c:strCache>
            </c:strRef>
          </c:tx>
          <c:invertIfNegative val="0"/>
          <c:cat>
            <c:strRef>
              <c:f>Sheet1!$A$2:$A$3</c:f>
              <c:strCache>
                <c:ptCount val="2"/>
                <c:pt idx="0">
                  <c:v>Palih partizanki - I ciklus</c:v>
                </c:pt>
                <c:pt idx="1">
                  <c:v>Palih partizanki - II ciklus</c:v>
                </c:pt>
              </c:strCache>
            </c:strRef>
          </c:cat>
          <c:val>
            <c:numRef>
              <c:f>Sheet1!$B$2:$B$3</c:f>
              <c:numCache>
                <c:formatCode>General</c:formatCode>
                <c:ptCount val="2"/>
                <c:pt idx="0">
                  <c:v>55</c:v>
                </c:pt>
                <c:pt idx="1">
                  <c:v>48</c:v>
                </c:pt>
              </c:numCache>
            </c:numRef>
          </c:val>
        </c:ser>
        <c:ser>
          <c:idx val="1"/>
          <c:order val="1"/>
          <c:tx>
            <c:strRef>
              <c:f>Sheet1!$C$1</c:f>
              <c:strCache>
                <c:ptCount val="1"/>
                <c:pt idx="0">
                  <c:v>Granična vrijednost nivoa buke [dB]</c:v>
                </c:pt>
              </c:strCache>
            </c:strRef>
          </c:tx>
          <c:spPr>
            <a:solidFill>
              <a:srgbClr val="FF0000"/>
            </a:solidFill>
          </c:spPr>
          <c:invertIfNegative val="0"/>
          <c:cat>
            <c:strRef>
              <c:f>Sheet1!$A$2:$A$3</c:f>
              <c:strCache>
                <c:ptCount val="2"/>
                <c:pt idx="0">
                  <c:v>Palih partizanki - I ciklus</c:v>
                </c:pt>
                <c:pt idx="1">
                  <c:v>Palih partizanki - II ciklus</c:v>
                </c:pt>
              </c:strCache>
            </c:strRef>
          </c:cat>
          <c:val>
            <c:numRef>
              <c:f>Sheet1!$C$2:$C$3</c:f>
              <c:numCache>
                <c:formatCode>General</c:formatCode>
                <c:ptCount val="2"/>
                <c:pt idx="0">
                  <c:v>50</c:v>
                </c:pt>
                <c:pt idx="1">
                  <c:v>50</c:v>
                </c:pt>
              </c:numCache>
            </c:numRef>
          </c:val>
        </c:ser>
        <c:dLbls>
          <c:showLegendKey val="0"/>
          <c:showVal val="0"/>
          <c:showCatName val="0"/>
          <c:showSerName val="0"/>
          <c:showPercent val="0"/>
          <c:showBubbleSize val="0"/>
        </c:dLbls>
        <c:gapWidth val="357"/>
        <c:axId val="335195136"/>
        <c:axId val="335209600"/>
      </c:barChart>
      <c:catAx>
        <c:axId val="335195136"/>
        <c:scaling>
          <c:orientation val="minMax"/>
        </c:scaling>
        <c:delete val="0"/>
        <c:axPos val="b"/>
        <c:title>
          <c:tx>
            <c:rich>
              <a:bodyPr/>
              <a:lstStyle/>
              <a:p>
                <a:pPr>
                  <a:defRPr/>
                </a:pPr>
                <a:r>
                  <a:rPr lang="sr-Latn-ME" sz="1200">
                    <a:solidFill>
                      <a:srgbClr val="FF0000"/>
                    </a:solidFill>
                  </a:rPr>
                  <a:t>granična vrijednost, L</a:t>
                </a:r>
                <a:r>
                  <a:rPr lang="sr-Latn-ME" sz="1200" baseline="-25000">
                    <a:solidFill>
                      <a:srgbClr val="FF0000"/>
                    </a:solidFill>
                  </a:rPr>
                  <a:t>night</a:t>
                </a:r>
                <a:endParaRPr lang="en-US" sz="1200" baseline="-25000">
                  <a:solidFill>
                    <a:srgbClr val="FF0000"/>
                  </a:solidFill>
                </a:endParaRPr>
              </a:p>
            </c:rich>
          </c:tx>
          <c:layout>
            <c:manualLayout>
              <c:xMode val="edge"/>
              <c:yMode val="edge"/>
              <c:x val="0.32204954307718836"/>
              <c:y val="0.1308621037754896"/>
            </c:manualLayout>
          </c:layout>
          <c:overlay val="0"/>
        </c:title>
        <c:majorTickMark val="none"/>
        <c:minorTickMark val="none"/>
        <c:tickLblPos val="nextTo"/>
        <c:txPr>
          <a:bodyPr/>
          <a:lstStyle/>
          <a:p>
            <a:pPr>
              <a:defRPr sz="600" baseline="0"/>
            </a:pPr>
            <a:endParaRPr lang="en-US"/>
          </a:p>
        </c:txPr>
        <c:crossAx val="335209600"/>
        <c:crosses val="autoZero"/>
        <c:auto val="1"/>
        <c:lblAlgn val="ctr"/>
        <c:lblOffset val="100"/>
        <c:noMultiLvlLbl val="0"/>
      </c:catAx>
      <c:valAx>
        <c:axId val="335209600"/>
        <c:scaling>
          <c:orientation val="minMax"/>
        </c:scaling>
        <c:delete val="0"/>
        <c:axPos val="l"/>
        <c:title>
          <c:tx>
            <c:rich>
              <a:bodyPr rot="0" vert="horz"/>
              <a:lstStyle/>
              <a:p>
                <a:pPr>
                  <a:defRPr/>
                </a:pPr>
                <a:r>
                  <a:rPr lang="sr-Latn-ME"/>
                  <a:t>dB(A)</a:t>
                </a:r>
                <a:endParaRPr lang="en-US"/>
              </a:p>
            </c:rich>
          </c:tx>
          <c:layout>
            <c:manualLayout>
              <c:xMode val="edge"/>
              <c:yMode val="edge"/>
              <c:x val="1.7031630170316302E-2"/>
              <c:y val="3.1306041495944315E-4"/>
            </c:manualLayout>
          </c:layout>
          <c:overlay val="0"/>
        </c:title>
        <c:numFmt formatCode="General" sourceLinked="1"/>
        <c:majorTickMark val="none"/>
        <c:minorTickMark val="none"/>
        <c:tickLblPos val="nextTo"/>
        <c:spPr>
          <a:ln w="9525"/>
        </c:spPr>
        <c:txPr>
          <a:bodyPr/>
          <a:lstStyle/>
          <a:p>
            <a:pPr>
              <a:defRPr sz="700" baseline="0"/>
            </a:pPr>
            <a:endParaRPr lang="en-US"/>
          </a:p>
        </c:txPr>
        <c:crossAx val="335195136"/>
        <c:crosses val="autoZero"/>
        <c:crossBetween val="between"/>
      </c:valAx>
    </c:plotArea>
    <c:plotVisOnly val="1"/>
    <c:dispBlanksAs val="gap"/>
    <c:showDLblsOverMax val="0"/>
  </c:chart>
  <c:spPr>
    <a:ln>
      <a:noFill/>
    </a:ln>
  </c:sp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manualLayout>
          <c:layoutTarget val="inner"/>
          <c:xMode val="edge"/>
          <c:yMode val="edge"/>
          <c:x val="9.34744670074137E-2"/>
          <c:y val="0.10909907345919122"/>
          <c:w val="0.63295666988994759"/>
          <c:h val="0.71271753681392269"/>
        </c:manualLayout>
      </c:layout>
      <c:barChart>
        <c:barDir val="col"/>
        <c:grouping val="clustered"/>
        <c:varyColors val="0"/>
        <c:ser>
          <c:idx val="0"/>
          <c:order val="0"/>
          <c:tx>
            <c:strRef>
              <c:f>Sheet1!$B$1</c:f>
              <c:strCache>
                <c:ptCount val="1"/>
                <c:pt idx="0">
                  <c:v>Csr </c:v>
                </c:pt>
              </c:strCache>
            </c:strRef>
          </c:tx>
          <c:spPr>
            <a:solidFill>
              <a:srgbClr val="FFFF00"/>
            </a:solidFill>
          </c:spPr>
          <c:invertIfNegative val="0"/>
          <c:cat>
            <c:strRef>
              <c:f>Sheet1!$A$2:$A$13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Sheet1!$B$2:$B$13</c:f>
              <c:numCache>
                <c:formatCode>General</c:formatCode>
                <c:ptCount val="12"/>
                <c:pt idx="0">
                  <c:v>8.42</c:v>
                </c:pt>
                <c:pt idx="1">
                  <c:v>4.09</c:v>
                </c:pt>
                <c:pt idx="2">
                  <c:v>3.98</c:v>
                </c:pt>
                <c:pt idx="3">
                  <c:v>4.9000000000000004</c:v>
                </c:pt>
                <c:pt idx="4">
                  <c:v>4.9400000000000004</c:v>
                </c:pt>
                <c:pt idx="5">
                  <c:v>3.84</c:v>
                </c:pt>
                <c:pt idx="6">
                  <c:v>7.14</c:v>
                </c:pt>
                <c:pt idx="7">
                  <c:v>2.7600000000000002</c:v>
                </c:pt>
                <c:pt idx="8">
                  <c:v>3.51</c:v>
                </c:pt>
                <c:pt idx="9">
                  <c:v>6.79</c:v>
                </c:pt>
                <c:pt idx="10">
                  <c:v>6.24</c:v>
                </c:pt>
                <c:pt idx="11">
                  <c:v>8.52</c:v>
                </c:pt>
              </c:numCache>
            </c:numRef>
          </c:val>
        </c:ser>
        <c:ser>
          <c:idx val="1"/>
          <c:order val="1"/>
          <c:tx>
            <c:strRef>
              <c:f>Sheet1!$C$1</c:f>
              <c:strCache>
                <c:ptCount val="1"/>
                <c:pt idx="0">
                  <c:v>Cmax </c:v>
                </c:pt>
              </c:strCache>
            </c:strRef>
          </c:tx>
          <c:invertIfNegative val="0"/>
          <c:cat>
            <c:strRef>
              <c:f>Sheet1!$A$2:$A$13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Sheet1!$C$2:$C$13</c:f>
              <c:numCache>
                <c:formatCode>General</c:formatCode>
                <c:ptCount val="12"/>
                <c:pt idx="0">
                  <c:v>22.68</c:v>
                </c:pt>
                <c:pt idx="1">
                  <c:v>10.31</c:v>
                </c:pt>
                <c:pt idx="2">
                  <c:v>10.43</c:v>
                </c:pt>
                <c:pt idx="3">
                  <c:v>11.84</c:v>
                </c:pt>
                <c:pt idx="4">
                  <c:v>12.81</c:v>
                </c:pt>
                <c:pt idx="5">
                  <c:v>6.53</c:v>
                </c:pt>
                <c:pt idx="6">
                  <c:v>12.61</c:v>
                </c:pt>
                <c:pt idx="7">
                  <c:v>5.9300000000000024</c:v>
                </c:pt>
                <c:pt idx="8">
                  <c:v>9.3700000000000028</c:v>
                </c:pt>
                <c:pt idx="9">
                  <c:v>12.99</c:v>
                </c:pt>
                <c:pt idx="10">
                  <c:v>13.57</c:v>
                </c:pt>
                <c:pt idx="11">
                  <c:v>16.010000000000005</c:v>
                </c:pt>
              </c:numCache>
            </c:numRef>
          </c:val>
        </c:ser>
        <c:dLbls>
          <c:showLegendKey val="0"/>
          <c:showVal val="0"/>
          <c:showCatName val="0"/>
          <c:showSerName val="0"/>
          <c:showPercent val="0"/>
          <c:showBubbleSize val="0"/>
        </c:dLbls>
        <c:gapWidth val="150"/>
        <c:axId val="202011776"/>
        <c:axId val="202013312"/>
      </c:barChart>
      <c:lineChart>
        <c:grouping val="standard"/>
        <c:varyColors val="0"/>
        <c:ser>
          <c:idx val="2"/>
          <c:order val="2"/>
          <c:tx>
            <c:strRef>
              <c:f>Sheet1!$D$1</c:f>
              <c:strCache>
                <c:ptCount val="1"/>
                <c:pt idx="0">
                  <c:v>granična jednočasovna srednja vrijednost</c:v>
                </c:pt>
              </c:strCache>
            </c:strRef>
          </c:tx>
          <c:spPr>
            <a:ln w="41275">
              <a:solidFill>
                <a:srgbClr val="FF0000"/>
              </a:solidFill>
            </a:ln>
          </c:spPr>
          <c:marker>
            <c:symbol val="none"/>
          </c:marker>
          <c:cat>
            <c:strRef>
              <c:f>Sheet1!$A$2:$A$13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Sheet1!$D$2:$D$13</c:f>
              <c:numCache>
                <c:formatCode>General</c:formatCode>
                <c:ptCount val="12"/>
                <c:pt idx="0">
                  <c:v>350</c:v>
                </c:pt>
                <c:pt idx="1">
                  <c:v>350</c:v>
                </c:pt>
                <c:pt idx="2">
                  <c:v>350</c:v>
                </c:pt>
                <c:pt idx="3">
                  <c:v>350</c:v>
                </c:pt>
                <c:pt idx="4">
                  <c:v>350</c:v>
                </c:pt>
                <c:pt idx="5">
                  <c:v>350</c:v>
                </c:pt>
                <c:pt idx="6">
                  <c:v>350</c:v>
                </c:pt>
                <c:pt idx="7">
                  <c:v>350</c:v>
                </c:pt>
                <c:pt idx="8">
                  <c:v>350</c:v>
                </c:pt>
                <c:pt idx="9">
                  <c:v>350</c:v>
                </c:pt>
                <c:pt idx="10">
                  <c:v>350</c:v>
                </c:pt>
                <c:pt idx="11">
                  <c:v>350</c:v>
                </c:pt>
              </c:numCache>
            </c:numRef>
          </c:val>
          <c:smooth val="0"/>
        </c:ser>
        <c:dLbls>
          <c:showLegendKey val="0"/>
          <c:showVal val="0"/>
          <c:showCatName val="0"/>
          <c:showSerName val="0"/>
          <c:showPercent val="0"/>
          <c:showBubbleSize val="0"/>
        </c:dLbls>
        <c:marker val="1"/>
        <c:smooth val="0"/>
        <c:axId val="202011776"/>
        <c:axId val="202013312"/>
      </c:lineChart>
      <c:catAx>
        <c:axId val="202011776"/>
        <c:scaling>
          <c:orientation val="minMax"/>
        </c:scaling>
        <c:delete val="0"/>
        <c:axPos val="b"/>
        <c:majorTickMark val="out"/>
        <c:minorTickMark val="none"/>
        <c:tickLblPos val="nextTo"/>
        <c:crossAx val="202013312"/>
        <c:crosses val="autoZero"/>
        <c:auto val="1"/>
        <c:lblAlgn val="ctr"/>
        <c:lblOffset val="100"/>
        <c:noMultiLvlLbl val="0"/>
      </c:catAx>
      <c:valAx>
        <c:axId val="202013312"/>
        <c:scaling>
          <c:orientation val="minMax"/>
        </c:scaling>
        <c:delete val="0"/>
        <c:axPos val="l"/>
        <c:title>
          <c:tx>
            <c:rich>
              <a:bodyPr rot="0" vert="horz"/>
              <a:lstStyle/>
              <a:p>
                <a:pPr>
                  <a:defRPr/>
                </a:pPr>
                <a:r>
                  <a:rPr lang="en-US">
                    <a:latin typeface="Calibri"/>
                  </a:rPr>
                  <a:t>µg/m</a:t>
                </a:r>
                <a:r>
                  <a:rPr lang="en-US" baseline="30000">
                    <a:latin typeface="Calibri"/>
                  </a:rPr>
                  <a:t>3</a:t>
                </a:r>
                <a:endParaRPr lang="en-US" baseline="30000"/>
              </a:p>
            </c:rich>
          </c:tx>
          <c:layout>
            <c:manualLayout>
              <c:xMode val="edge"/>
              <c:yMode val="edge"/>
              <c:x val="0"/>
              <c:y val="1.7227966986054614E-3"/>
            </c:manualLayout>
          </c:layout>
          <c:overlay val="0"/>
        </c:title>
        <c:numFmt formatCode="General" sourceLinked="1"/>
        <c:majorTickMark val="out"/>
        <c:minorTickMark val="none"/>
        <c:tickLblPos val="nextTo"/>
        <c:crossAx val="202011776"/>
        <c:crosses val="autoZero"/>
        <c:crossBetween val="between"/>
      </c:valAx>
      <c:spPr>
        <a:blipFill dpi="0" rotWithShape="1">
          <a:blip xmlns:r="http://schemas.openxmlformats.org/officeDocument/2006/relationships" r:embed="rId1">
            <a:alphaModFix amt="70000"/>
          </a:blip>
          <a:srcRect/>
          <a:stretch>
            <a:fillRect/>
          </a:stretch>
        </a:blipFill>
      </c:spPr>
    </c:plotArea>
    <c:legend>
      <c:legendPos val="r"/>
      <c:layout>
        <c:manualLayout>
          <c:xMode val="edge"/>
          <c:yMode val="edge"/>
          <c:x val="0.76182295394893862"/>
          <c:y val="0.11791978264023559"/>
          <c:w val="0.23590942740549256"/>
          <c:h val="0.66474894155819619"/>
        </c:manualLayout>
      </c:layout>
      <c:overlay val="1"/>
      <c:txPr>
        <a:bodyPr/>
        <a:lstStyle/>
        <a:p>
          <a:pPr>
            <a:defRPr sz="800"/>
          </a:pPr>
          <a:endParaRPr lang="en-US"/>
        </a:p>
      </c:txPr>
    </c:legend>
    <c:plotVisOnly val="1"/>
    <c:dispBlanksAs val="gap"/>
    <c:showDLblsOverMax val="0"/>
  </c:chart>
  <c:spPr>
    <a:ln>
      <a:noFill/>
    </a:ln>
  </c:spPr>
  <c:externalData r:id="rId2">
    <c:autoUpdate val="0"/>
  </c:externalData>
</c:chartSpace>
</file>

<file path=word/charts/chart9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3.8491127275457886E-2"/>
          <c:y val="0.14888231252972575"/>
          <c:w val="0.76592666988055069"/>
          <c:h val="0.67241805674764588"/>
        </c:manualLayout>
      </c:layout>
      <c:barChart>
        <c:barDir val="col"/>
        <c:grouping val="clustered"/>
        <c:varyColors val="0"/>
        <c:ser>
          <c:idx val="0"/>
          <c:order val="0"/>
          <c:tx>
            <c:strRef>
              <c:f>Sheet1!$B$1</c:f>
              <c:strCache>
                <c:ptCount val="1"/>
                <c:pt idx="0">
                  <c:v>Srednje godišnje vrijednosti nivoa buke [dB]</c:v>
                </c:pt>
              </c:strCache>
            </c:strRef>
          </c:tx>
          <c:invertIfNegative val="0"/>
          <c:cat>
            <c:strRef>
              <c:f>Sheet1!$A$2:$A$3</c:f>
              <c:strCache>
                <c:ptCount val="2"/>
                <c:pt idx="0">
                  <c:v>Filipa Žurića - I ciklus</c:v>
                </c:pt>
                <c:pt idx="1">
                  <c:v>Filipa Žurića - II ciklus</c:v>
                </c:pt>
              </c:strCache>
            </c:strRef>
          </c:cat>
          <c:val>
            <c:numRef>
              <c:f>Sheet1!$B$2:$B$3</c:f>
              <c:numCache>
                <c:formatCode>General</c:formatCode>
                <c:ptCount val="2"/>
                <c:pt idx="0">
                  <c:v>55</c:v>
                </c:pt>
                <c:pt idx="1">
                  <c:v>50</c:v>
                </c:pt>
              </c:numCache>
            </c:numRef>
          </c:val>
        </c:ser>
        <c:ser>
          <c:idx val="1"/>
          <c:order val="1"/>
          <c:tx>
            <c:strRef>
              <c:f>Sheet1!$C$1</c:f>
              <c:strCache>
                <c:ptCount val="1"/>
                <c:pt idx="0">
                  <c:v>Granična vrijednost nivoa buke [dB]</c:v>
                </c:pt>
              </c:strCache>
            </c:strRef>
          </c:tx>
          <c:spPr>
            <a:solidFill>
              <a:srgbClr val="FF0000"/>
            </a:solidFill>
          </c:spPr>
          <c:invertIfNegative val="0"/>
          <c:cat>
            <c:strRef>
              <c:f>Sheet1!$A$2:$A$3</c:f>
              <c:strCache>
                <c:ptCount val="2"/>
                <c:pt idx="0">
                  <c:v>Filipa Žurića - I ciklus</c:v>
                </c:pt>
                <c:pt idx="1">
                  <c:v>Filipa Žurića - II ciklus</c:v>
                </c:pt>
              </c:strCache>
            </c:strRef>
          </c:cat>
          <c:val>
            <c:numRef>
              <c:f>Sheet1!$C$2:$C$3</c:f>
              <c:numCache>
                <c:formatCode>General</c:formatCode>
                <c:ptCount val="2"/>
                <c:pt idx="0">
                  <c:v>50</c:v>
                </c:pt>
                <c:pt idx="1">
                  <c:v>50</c:v>
                </c:pt>
              </c:numCache>
            </c:numRef>
          </c:val>
        </c:ser>
        <c:dLbls>
          <c:showLegendKey val="0"/>
          <c:showVal val="0"/>
          <c:showCatName val="0"/>
          <c:showSerName val="0"/>
          <c:showPercent val="0"/>
          <c:showBubbleSize val="0"/>
        </c:dLbls>
        <c:gapWidth val="357"/>
        <c:axId val="335361536"/>
        <c:axId val="335363456"/>
      </c:barChart>
      <c:catAx>
        <c:axId val="335361536"/>
        <c:scaling>
          <c:orientation val="minMax"/>
        </c:scaling>
        <c:delete val="0"/>
        <c:axPos val="b"/>
        <c:title>
          <c:tx>
            <c:rich>
              <a:bodyPr/>
              <a:lstStyle/>
              <a:p>
                <a:pPr>
                  <a:defRPr/>
                </a:pPr>
                <a:r>
                  <a:rPr lang="sr-Latn-ME" sz="1200">
                    <a:solidFill>
                      <a:srgbClr val="FF0000"/>
                    </a:solidFill>
                  </a:rPr>
                  <a:t>granična vrijednost, L</a:t>
                </a:r>
                <a:r>
                  <a:rPr lang="sr-Latn-ME" sz="1200" baseline="-25000">
                    <a:solidFill>
                      <a:srgbClr val="FF0000"/>
                    </a:solidFill>
                  </a:rPr>
                  <a:t>night</a:t>
                </a:r>
                <a:endParaRPr lang="en-US" sz="1200" baseline="-25000">
                  <a:solidFill>
                    <a:srgbClr val="FF0000"/>
                  </a:solidFill>
                </a:endParaRPr>
              </a:p>
            </c:rich>
          </c:tx>
          <c:layout>
            <c:manualLayout>
              <c:xMode val="edge"/>
              <c:yMode val="edge"/>
              <c:x val="0.36711125395039906"/>
              <c:y val="0.13086240997126544"/>
            </c:manualLayout>
          </c:layout>
          <c:overlay val="0"/>
        </c:title>
        <c:majorTickMark val="none"/>
        <c:minorTickMark val="none"/>
        <c:tickLblPos val="nextTo"/>
        <c:txPr>
          <a:bodyPr/>
          <a:lstStyle/>
          <a:p>
            <a:pPr>
              <a:defRPr sz="600" baseline="0"/>
            </a:pPr>
            <a:endParaRPr lang="en-US"/>
          </a:p>
        </c:txPr>
        <c:crossAx val="335363456"/>
        <c:crosses val="autoZero"/>
        <c:auto val="1"/>
        <c:lblAlgn val="ctr"/>
        <c:lblOffset val="100"/>
        <c:noMultiLvlLbl val="0"/>
      </c:catAx>
      <c:valAx>
        <c:axId val="335363456"/>
        <c:scaling>
          <c:orientation val="minMax"/>
        </c:scaling>
        <c:delete val="0"/>
        <c:axPos val="l"/>
        <c:title>
          <c:tx>
            <c:rich>
              <a:bodyPr rot="0" vert="horz"/>
              <a:lstStyle/>
              <a:p>
                <a:pPr>
                  <a:defRPr/>
                </a:pPr>
                <a:r>
                  <a:rPr lang="sr-Latn-ME"/>
                  <a:t>dB(A)</a:t>
                </a:r>
                <a:endParaRPr lang="en-US"/>
              </a:p>
            </c:rich>
          </c:tx>
          <c:layout>
            <c:manualLayout>
              <c:xMode val="edge"/>
              <c:yMode val="edge"/>
              <c:x val="2.9792704483368139E-3"/>
              <c:y val="1.4852408851737213E-3"/>
            </c:manualLayout>
          </c:layout>
          <c:overlay val="0"/>
        </c:title>
        <c:numFmt formatCode="General" sourceLinked="1"/>
        <c:majorTickMark val="none"/>
        <c:minorTickMark val="none"/>
        <c:tickLblPos val="nextTo"/>
        <c:spPr>
          <a:ln w="9525"/>
        </c:spPr>
        <c:txPr>
          <a:bodyPr/>
          <a:lstStyle/>
          <a:p>
            <a:pPr>
              <a:defRPr sz="700" baseline="0"/>
            </a:pPr>
            <a:endParaRPr lang="en-US"/>
          </a:p>
        </c:txPr>
        <c:crossAx val="335361536"/>
        <c:crosses val="autoZero"/>
        <c:crossBetween val="between"/>
      </c:valAx>
    </c:plotArea>
    <c:plotVisOnly val="1"/>
    <c:dispBlanksAs val="gap"/>
    <c:showDLblsOverMax val="0"/>
  </c:chart>
  <c:spPr>
    <a:ln>
      <a:noFill/>
    </a:ln>
  </c:spPr>
  <c:externalData r:id="rId2">
    <c:autoUpdate val="0"/>
  </c:externalData>
</c:chartSpace>
</file>

<file path=word/charts/chart9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510337694777"/>
          <c:y val="0.14888231252972575"/>
          <c:w val="0.61276429665622656"/>
          <c:h val="0.73475799980960932"/>
        </c:manualLayout>
      </c:layout>
      <c:barChart>
        <c:barDir val="col"/>
        <c:grouping val="clustered"/>
        <c:varyColors val="0"/>
        <c:ser>
          <c:idx val="0"/>
          <c:order val="0"/>
          <c:tx>
            <c:strRef>
              <c:f>Sheet1!$B$1</c:f>
              <c:strCache>
                <c:ptCount val="1"/>
                <c:pt idx="0">
                  <c:v>Srednje godišnje vrijednosti nivoa buke [dB]</c:v>
                </c:pt>
              </c:strCache>
            </c:strRef>
          </c:tx>
          <c:invertIfNegative val="0"/>
          <c:cat>
            <c:strRef>
              <c:f>Sheet1!$A$2:$A$3</c:f>
              <c:strCache>
                <c:ptCount val="2"/>
                <c:pt idx="0">
                  <c:v>Živka Žižića - I ciklus</c:v>
                </c:pt>
                <c:pt idx="1">
                  <c:v>Živka Žižića - II ciklus</c:v>
                </c:pt>
              </c:strCache>
            </c:strRef>
          </c:cat>
          <c:val>
            <c:numRef>
              <c:f>Sheet1!$B$2:$B$3</c:f>
              <c:numCache>
                <c:formatCode>General</c:formatCode>
                <c:ptCount val="2"/>
                <c:pt idx="0">
                  <c:v>58</c:v>
                </c:pt>
                <c:pt idx="1">
                  <c:v>55</c:v>
                </c:pt>
              </c:numCache>
            </c:numRef>
          </c:val>
        </c:ser>
        <c:ser>
          <c:idx val="1"/>
          <c:order val="1"/>
          <c:tx>
            <c:strRef>
              <c:f>Sheet1!$C$1</c:f>
              <c:strCache>
                <c:ptCount val="1"/>
                <c:pt idx="0">
                  <c:v>Granična vrijednost nivoa buke [dB]</c:v>
                </c:pt>
              </c:strCache>
            </c:strRef>
          </c:tx>
          <c:spPr>
            <a:solidFill>
              <a:srgbClr val="FF0000"/>
            </a:solidFill>
          </c:spPr>
          <c:invertIfNegative val="0"/>
          <c:cat>
            <c:strRef>
              <c:f>Sheet1!$A$2:$A$3</c:f>
              <c:strCache>
                <c:ptCount val="2"/>
                <c:pt idx="0">
                  <c:v>Živka Žižića - I ciklus</c:v>
                </c:pt>
                <c:pt idx="1">
                  <c:v>Živka Žižića - II ciklus</c:v>
                </c:pt>
              </c:strCache>
            </c:strRef>
          </c:cat>
          <c:val>
            <c:numRef>
              <c:f>Sheet1!$C$2:$C$3</c:f>
              <c:numCache>
                <c:formatCode>General</c:formatCode>
                <c:ptCount val="2"/>
                <c:pt idx="0">
                  <c:v>55</c:v>
                </c:pt>
                <c:pt idx="1">
                  <c:v>55</c:v>
                </c:pt>
              </c:numCache>
            </c:numRef>
          </c:val>
        </c:ser>
        <c:dLbls>
          <c:showLegendKey val="0"/>
          <c:showVal val="0"/>
          <c:showCatName val="0"/>
          <c:showSerName val="0"/>
          <c:showPercent val="0"/>
          <c:showBubbleSize val="0"/>
        </c:dLbls>
        <c:gapWidth val="357"/>
        <c:axId val="335388672"/>
        <c:axId val="335390592"/>
      </c:barChart>
      <c:catAx>
        <c:axId val="335388672"/>
        <c:scaling>
          <c:orientation val="minMax"/>
        </c:scaling>
        <c:delete val="0"/>
        <c:axPos val="b"/>
        <c:title>
          <c:tx>
            <c:rich>
              <a:bodyPr/>
              <a:lstStyle/>
              <a:p>
                <a:pPr>
                  <a:defRPr/>
                </a:pPr>
                <a:r>
                  <a:rPr lang="sr-Latn-ME" sz="1200">
                    <a:solidFill>
                      <a:srgbClr val="FF0000"/>
                    </a:solidFill>
                  </a:rPr>
                  <a:t>granična vrijednost, L</a:t>
                </a:r>
                <a:r>
                  <a:rPr lang="sr-Latn-ME" sz="1200" baseline="-25000">
                    <a:solidFill>
                      <a:srgbClr val="FF0000"/>
                    </a:solidFill>
                  </a:rPr>
                  <a:t>night</a:t>
                </a:r>
                <a:endParaRPr lang="en-US" sz="1200" baseline="-25000">
                  <a:solidFill>
                    <a:srgbClr val="FF0000"/>
                  </a:solidFill>
                </a:endParaRPr>
              </a:p>
            </c:rich>
          </c:tx>
          <c:layout>
            <c:manualLayout>
              <c:xMode val="edge"/>
              <c:yMode val="edge"/>
              <c:x val="0.30084838980189715"/>
              <c:y val="3.4143581793208498E-2"/>
            </c:manualLayout>
          </c:layout>
          <c:overlay val="0"/>
        </c:title>
        <c:majorTickMark val="none"/>
        <c:minorTickMark val="none"/>
        <c:tickLblPos val="nextTo"/>
        <c:txPr>
          <a:bodyPr/>
          <a:lstStyle/>
          <a:p>
            <a:pPr>
              <a:defRPr sz="600" baseline="0"/>
            </a:pPr>
            <a:endParaRPr lang="en-US"/>
          </a:p>
        </c:txPr>
        <c:crossAx val="335390592"/>
        <c:crosses val="autoZero"/>
        <c:auto val="1"/>
        <c:lblAlgn val="ctr"/>
        <c:lblOffset val="100"/>
        <c:noMultiLvlLbl val="0"/>
      </c:catAx>
      <c:valAx>
        <c:axId val="335390592"/>
        <c:scaling>
          <c:orientation val="minMax"/>
        </c:scaling>
        <c:delete val="0"/>
        <c:axPos val="l"/>
        <c:title>
          <c:tx>
            <c:rich>
              <a:bodyPr rot="0" vert="horz"/>
              <a:lstStyle/>
              <a:p>
                <a:pPr>
                  <a:defRPr/>
                </a:pPr>
                <a:r>
                  <a:rPr lang="sr-Latn-ME"/>
                  <a:t>dB(A)</a:t>
                </a:r>
                <a:endParaRPr lang="en-US"/>
              </a:p>
            </c:rich>
          </c:tx>
          <c:layout>
            <c:manualLayout>
              <c:xMode val="edge"/>
              <c:yMode val="edge"/>
              <c:x val="2.3019055703538916E-3"/>
              <c:y val="2.579996649355001E-3"/>
            </c:manualLayout>
          </c:layout>
          <c:overlay val="0"/>
        </c:title>
        <c:numFmt formatCode="General" sourceLinked="1"/>
        <c:majorTickMark val="none"/>
        <c:minorTickMark val="none"/>
        <c:tickLblPos val="nextTo"/>
        <c:spPr>
          <a:ln w="9525"/>
        </c:spPr>
        <c:txPr>
          <a:bodyPr/>
          <a:lstStyle/>
          <a:p>
            <a:pPr>
              <a:defRPr sz="700" baseline="0"/>
            </a:pPr>
            <a:endParaRPr lang="en-US"/>
          </a:p>
        </c:txPr>
        <c:crossAx val="335388672"/>
        <c:crosses val="autoZero"/>
        <c:crossBetween val="between"/>
      </c:valAx>
    </c:plotArea>
    <c:plotVisOnly val="1"/>
    <c:dispBlanksAs val="gap"/>
    <c:showDLblsOverMax val="0"/>
  </c:chart>
  <c:spPr>
    <a:ln>
      <a:noFill/>
    </a:ln>
  </c:spPr>
  <c:externalData r:id="rId2">
    <c:autoUpdate val="0"/>
  </c:externalData>
</c:chartSpace>
</file>

<file path=word/charts/chart9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6885261605073089E-2"/>
          <c:y val="0.14888250733364211"/>
          <c:w val="0.66728718859858704"/>
          <c:h val="0.60181730224898355"/>
        </c:manualLayout>
      </c:layout>
      <c:barChart>
        <c:barDir val="col"/>
        <c:grouping val="clustered"/>
        <c:varyColors val="0"/>
        <c:ser>
          <c:idx val="0"/>
          <c:order val="0"/>
          <c:tx>
            <c:strRef>
              <c:f>Sheet1!$B$1</c:f>
              <c:strCache>
                <c:ptCount val="1"/>
                <c:pt idx="0">
                  <c:v>Srednje godišnje vrijednosti nivoa buke [dB]</c:v>
                </c:pt>
              </c:strCache>
            </c:strRef>
          </c:tx>
          <c:invertIfNegative val="0"/>
          <c:cat>
            <c:strRef>
              <c:f>Sheet1!$A$2:$A$3</c:f>
              <c:strCache>
                <c:ptCount val="2"/>
                <c:pt idx="0">
                  <c:v>Dušana Vujoševića - I ciklus</c:v>
                </c:pt>
                <c:pt idx="1">
                  <c:v>Dušana Vujoševića - II ciklus</c:v>
                </c:pt>
              </c:strCache>
            </c:strRef>
          </c:cat>
          <c:val>
            <c:numRef>
              <c:f>Sheet1!$B$2:$B$3</c:f>
              <c:numCache>
                <c:formatCode>General</c:formatCode>
                <c:ptCount val="2"/>
                <c:pt idx="0">
                  <c:v>52</c:v>
                </c:pt>
                <c:pt idx="1">
                  <c:v>48</c:v>
                </c:pt>
              </c:numCache>
            </c:numRef>
          </c:val>
        </c:ser>
        <c:ser>
          <c:idx val="1"/>
          <c:order val="1"/>
          <c:tx>
            <c:strRef>
              <c:f>Sheet1!$C$1</c:f>
              <c:strCache>
                <c:ptCount val="1"/>
                <c:pt idx="0">
                  <c:v>Granična vrijednost nivoa buke [dB]</c:v>
                </c:pt>
              </c:strCache>
            </c:strRef>
          </c:tx>
          <c:spPr>
            <a:solidFill>
              <a:srgbClr val="FF0000"/>
            </a:solidFill>
          </c:spPr>
          <c:invertIfNegative val="0"/>
          <c:cat>
            <c:strRef>
              <c:f>Sheet1!$A$2:$A$3</c:f>
              <c:strCache>
                <c:ptCount val="2"/>
                <c:pt idx="0">
                  <c:v>Dušana Vujoševića - I ciklus</c:v>
                </c:pt>
                <c:pt idx="1">
                  <c:v>Dušana Vujoševića - II ciklus</c:v>
                </c:pt>
              </c:strCache>
            </c:strRef>
          </c:cat>
          <c:val>
            <c:numRef>
              <c:f>Sheet1!$C$2:$C$3</c:f>
              <c:numCache>
                <c:formatCode>General</c:formatCode>
                <c:ptCount val="2"/>
                <c:pt idx="0">
                  <c:v>50</c:v>
                </c:pt>
                <c:pt idx="1">
                  <c:v>50</c:v>
                </c:pt>
              </c:numCache>
            </c:numRef>
          </c:val>
        </c:ser>
        <c:dLbls>
          <c:showLegendKey val="0"/>
          <c:showVal val="0"/>
          <c:showCatName val="0"/>
          <c:showSerName val="0"/>
          <c:showPercent val="0"/>
          <c:showBubbleSize val="0"/>
        </c:dLbls>
        <c:gapWidth val="357"/>
        <c:axId val="335423744"/>
        <c:axId val="335425920"/>
      </c:barChart>
      <c:catAx>
        <c:axId val="335423744"/>
        <c:scaling>
          <c:orientation val="minMax"/>
        </c:scaling>
        <c:delete val="0"/>
        <c:axPos val="b"/>
        <c:title>
          <c:tx>
            <c:rich>
              <a:bodyPr/>
              <a:lstStyle/>
              <a:p>
                <a:pPr>
                  <a:defRPr/>
                </a:pPr>
                <a:r>
                  <a:rPr lang="sr-Latn-ME" sz="1200">
                    <a:solidFill>
                      <a:srgbClr val="FF0000"/>
                    </a:solidFill>
                  </a:rPr>
                  <a:t>granična vrijednost, L</a:t>
                </a:r>
                <a:r>
                  <a:rPr lang="sr-Latn-ME" sz="1200" baseline="-25000">
                    <a:solidFill>
                      <a:srgbClr val="FF0000"/>
                    </a:solidFill>
                  </a:rPr>
                  <a:t>night</a:t>
                </a:r>
                <a:endParaRPr lang="en-US" sz="1200" baseline="-25000">
                  <a:solidFill>
                    <a:srgbClr val="FF0000"/>
                  </a:solidFill>
                </a:endParaRPr>
              </a:p>
            </c:rich>
          </c:tx>
          <c:layout>
            <c:manualLayout>
              <c:xMode val="edge"/>
              <c:yMode val="edge"/>
              <c:x val="0.234458302201276"/>
              <c:y val="0.1308622663777767"/>
            </c:manualLayout>
          </c:layout>
          <c:overlay val="0"/>
        </c:title>
        <c:majorTickMark val="none"/>
        <c:minorTickMark val="none"/>
        <c:tickLblPos val="nextTo"/>
        <c:txPr>
          <a:bodyPr/>
          <a:lstStyle/>
          <a:p>
            <a:pPr>
              <a:defRPr sz="600" baseline="0"/>
            </a:pPr>
            <a:endParaRPr lang="en-US"/>
          </a:p>
        </c:txPr>
        <c:crossAx val="335425920"/>
        <c:crosses val="autoZero"/>
        <c:auto val="1"/>
        <c:lblAlgn val="ctr"/>
        <c:lblOffset val="100"/>
        <c:noMultiLvlLbl val="0"/>
      </c:catAx>
      <c:valAx>
        <c:axId val="335425920"/>
        <c:scaling>
          <c:orientation val="minMax"/>
        </c:scaling>
        <c:delete val="0"/>
        <c:axPos val="l"/>
        <c:title>
          <c:tx>
            <c:rich>
              <a:bodyPr rot="0" vert="horz"/>
              <a:lstStyle/>
              <a:p>
                <a:pPr>
                  <a:defRPr/>
                </a:pPr>
                <a:r>
                  <a:rPr lang="sr-Latn-ME"/>
                  <a:t>dB(A)</a:t>
                </a:r>
                <a:endParaRPr lang="en-US"/>
              </a:p>
            </c:rich>
          </c:tx>
          <c:layout>
            <c:manualLayout>
              <c:xMode val="edge"/>
              <c:yMode val="edge"/>
              <c:x val="4.1362530413625302E-2"/>
              <c:y val="3.047871957181823E-2"/>
            </c:manualLayout>
          </c:layout>
          <c:overlay val="0"/>
        </c:title>
        <c:numFmt formatCode="General" sourceLinked="1"/>
        <c:majorTickMark val="none"/>
        <c:minorTickMark val="none"/>
        <c:tickLblPos val="nextTo"/>
        <c:spPr>
          <a:ln w="9525"/>
        </c:spPr>
        <c:txPr>
          <a:bodyPr/>
          <a:lstStyle/>
          <a:p>
            <a:pPr>
              <a:defRPr sz="700" baseline="0"/>
            </a:pPr>
            <a:endParaRPr lang="en-US"/>
          </a:p>
        </c:txPr>
        <c:crossAx val="335423744"/>
        <c:crosses val="autoZero"/>
        <c:crossBetween val="between"/>
      </c:valAx>
    </c:plotArea>
    <c:plotVisOnly val="1"/>
    <c:dispBlanksAs val="gap"/>
    <c:showDLblsOverMax val="0"/>
  </c:chart>
  <c:spPr>
    <a:ln>
      <a:noFill/>
    </a:ln>
  </c:spPr>
  <c:externalData r:id="rId2">
    <c:autoUpdate val="0"/>
  </c:externalData>
</c:chartSpace>
</file>

<file path=word/charts/chart9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manualLayout>
          <c:layoutTarget val="inner"/>
          <c:xMode val="edge"/>
          <c:yMode val="edge"/>
          <c:x val="0.14365472350816016"/>
          <c:y val="0.13227619811731844"/>
          <c:w val="0.77105804040540926"/>
          <c:h val="0.67064767090124955"/>
        </c:manualLayout>
      </c:layout>
      <c:barChart>
        <c:barDir val="col"/>
        <c:grouping val="clustered"/>
        <c:varyColors val="0"/>
        <c:ser>
          <c:idx val="0"/>
          <c:order val="0"/>
          <c:tx>
            <c:strRef>
              <c:f>Sheet1!$B$1</c:f>
              <c:strCache>
                <c:ptCount val="1"/>
                <c:pt idx="0">
                  <c:v>I polugođe</c:v>
                </c:pt>
              </c:strCache>
            </c:strRef>
          </c:tx>
          <c:invertIfNegative val="0"/>
          <c:cat>
            <c:strRef>
              <c:f>Sheet1!$A$2:$A$4</c:f>
              <c:strCache>
                <c:ptCount val="3"/>
                <c:pt idx="0">
                  <c:v>Bar</c:v>
                </c:pt>
                <c:pt idx="1">
                  <c:v>Podgorica</c:v>
                </c:pt>
                <c:pt idx="2">
                  <c:v>Pljevlja</c:v>
                </c:pt>
              </c:strCache>
            </c:strRef>
          </c:cat>
          <c:val>
            <c:numRef>
              <c:f>Sheet1!$B$2:$B$4</c:f>
              <c:numCache>
                <c:formatCode>General</c:formatCode>
                <c:ptCount val="3"/>
                <c:pt idx="0">
                  <c:v>5.0000000000000114E-2</c:v>
                </c:pt>
                <c:pt idx="1">
                  <c:v>6.0000000000000192E-2</c:v>
                </c:pt>
                <c:pt idx="2">
                  <c:v>6.0000000000000192E-2</c:v>
                </c:pt>
              </c:numCache>
            </c:numRef>
          </c:val>
        </c:ser>
        <c:ser>
          <c:idx val="1"/>
          <c:order val="1"/>
          <c:tx>
            <c:strRef>
              <c:f>Sheet1!$C$1</c:f>
              <c:strCache>
                <c:ptCount val="1"/>
                <c:pt idx="0">
                  <c:v>II polugođe</c:v>
                </c:pt>
              </c:strCache>
            </c:strRef>
          </c:tx>
          <c:invertIfNegative val="0"/>
          <c:cat>
            <c:strRef>
              <c:f>Sheet1!$A$2:$A$4</c:f>
              <c:strCache>
                <c:ptCount val="3"/>
                <c:pt idx="0">
                  <c:v>Bar</c:v>
                </c:pt>
                <c:pt idx="1">
                  <c:v>Podgorica</c:v>
                </c:pt>
                <c:pt idx="2">
                  <c:v>Pljevlja</c:v>
                </c:pt>
              </c:strCache>
            </c:strRef>
          </c:cat>
          <c:val>
            <c:numRef>
              <c:f>Sheet1!$C$2:$C$4</c:f>
              <c:numCache>
                <c:formatCode>General</c:formatCode>
                <c:ptCount val="3"/>
                <c:pt idx="0">
                  <c:v>6.0000000000000192E-2</c:v>
                </c:pt>
                <c:pt idx="1">
                  <c:v>6.0000000000000192E-2</c:v>
                </c:pt>
                <c:pt idx="2">
                  <c:v>6.0000000000000192E-2</c:v>
                </c:pt>
              </c:numCache>
            </c:numRef>
          </c:val>
        </c:ser>
        <c:dLbls>
          <c:showLegendKey val="0"/>
          <c:showVal val="0"/>
          <c:showCatName val="0"/>
          <c:showSerName val="0"/>
          <c:showPercent val="0"/>
          <c:showBubbleSize val="0"/>
        </c:dLbls>
        <c:gapWidth val="150"/>
        <c:axId val="335450496"/>
        <c:axId val="335452032"/>
      </c:barChart>
      <c:catAx>
        <c:axId val="335450496"/>
        <c:scaling>
          <c:orientation val="minMax"/>
        </c:scaling>
        <c:delete val="0"/>
        <c:axPos val="b"/>
        <c:numFmt formatCode="General" sourceLinked="1"/>
        <c:majorTickMark val="out"/>
        <c:minorTickMark val="none"/>
        <c:tickLblPos val="nextTo"/>
        <c:txPr>
          <a:bodyPr/>
          <a:lstStyle/>
          <a:p>
            <a:pPr>
              <a:defRPr sz="700"/>
            </a:pPr>
            <a:endParaRPr lang="en-US"/>
          </a:p>
        </c:txPr>
        <c:crossAx val="335452032"/>
        <c:crosses val="autoZero"/>
        <c:auto val="1"/>
        <c:lblAlgn val="ctr"/>
        <c:lblOffset val="100"/>
        <c:noMultiLvlLbl val="0"/>
      </c:catAx>
      <c:valAx>
        <c:axId val="335452032"/>
        <c:scaling>
          <c:orientation val="minMax"/>
        </c:scaling>
        <c:delete val="0"/>
        <c:axPos val="l"/>
        <c:numFmt formatCode="General" sourceLinked="1"/>
        <c:majorTickMark val="out"/>
        <c:minorTickMark val="none"/>
        <c:tickLblPos val="nextTo"/>
        <c:txPr>
          <a:bodyPr/>
          <a:lstStyle/>
          <a:p>
            <a:pPr>
              <a:defRPr sz="700"/>
            </a:pPr>
            <a:endParaRPr lang="en-US"/>
          </a:p>
        </c:txPr>
        <c:crossAx val="335450496"/>
        <c:crosses val="autoZero"/>
        <c:crossBetween val="between"/>
      </c:valAx>
    </c:plotArea>
    <c:legend>
      <c:legendPos val="r"/>
      <c:layout>
        <c:manualLayout>
          <c:xMode val="edge"/>
          <c:yMode val="edge"/>
          <c:x val="0.60404476740113167"/>
          <c:y val="3.5291073288582456E-2"/>
          <c:w val="0.16190821256039989"/>
          <c:h val="0.19855063571599546"/>
        </c:manualLayout>
      </c:layout>
      <c:overlay val="1"/>
      <c:txPr>
        <a:bodyPr/>
        <a:lstStyle/>
        <a:p>
          <a:pPr>
            <a:defRPr sz="700"/>
          </a:pPr>
          <a:endParaRPr lang="en-US"/>
        </a:p>
      </c:txPr>
    </c:legend>
    <c:plotVisOnly val="1"/>
    <c:dispBlanksAs val="gap"/>
    <c:showDLblsOverMax val="0"/>
  </c:chart>
  <c:spPr>
    <a:ln>
      <a:noFill/>
    </a:ln>
  </c:spPr>
  <c:externalData r:id="rId1">
    <c:autoUpdate val="0"/>
  </c:externalData>
</c:chartSpace>
</file>

<file path=word/charts/chart9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manualLayout>
          <c:layoutTarget val="inner"/>
          <c:xMode val="edge"/>
          <c:yMode val="edge"/>
          <c:x val="6.2937362626187793E-2"/>
          <c:y val="0.13227619811731844"/>
          <c:w val="0.85177538174121348"/>
          <c:h val="0.67064767090125021"/>
        </c:manualLayout>
      </c:layout>
      <c:barChart>
        <c:barDir val="col"/>
        <c:grouping val="clustered"/>
        <c:varyColors val="0"/>
        <c:ser>
          <c:idx val="0"/>
          <c:order val="0"/>
          <c:tx>
            <c:strRef>
              <c:f>Sheet1!$B$1</c:f>
              <c:strCache>
                <c:ptCount val="1"/>
                <c:pt idx="0">
                  <c:v>jan</c:v>
                </c:pt>
              </c:strCache>
            </c:strRef>
          </c:tx>
          <c:invertIfNegative val="0"/>
          <c:cat>
            <c:strRef>
              <c:f>Sheet1!$A$2:$A$7</c:f>
              <c:strCache>
                <c:ptCount val="6"/>
                <c:pt idx="0">
                  <c:v>40K</c:v>
                </c:pt>
                <c:pt idx="1">
                  <c:v>137Cs</c:v>
                </c:pt>
                <c:pt idx="2">
                  <c:v>226Ra</c:v>
                </c:pt>
                <c:pt idx="3">
                  <c:v>232Th</c:v>
                </c:pt>
                <c:pt idx="4">
                  <c:v>235U</c:v>
                </c:pt>
                <c:pt idx="5">
                  <c:v>238U</c:v>
                </c:pt>
              </c:strCache>
            </c:strRef>
          </c:cat>
          <c:val>
            <c:numRef>
              <c:f>Sheet1!$B$2:$B$7</c:f>
              <c:numCache>
                <c:formatCode>General</c:formatCode>
                <c:ptCount val="6"/>
                <c:pt idx="0">
                  <c:v>8.8800000000000008</c:v>
                </c:pt>
                <c:pt idx="1">
                  <c:v>0.4</c:v>
                </c:pt>
                <c:pt idx="2">
                  <c:v>0.82000000000000051</c:v>
                </c:pt>
                <c:pt idx="3">
                  <c:v>1.3900000000000001</c:v>
                </c:pt>
                <c:pt idx="4">
                  <c:v>3</c:v>
                </c:pt>
                <c:pt idx="5">
                  <c:v>0.05</c:v>
                </c:pt>
              </c:numCache>
            </c:numRef>
          </c:val>
        </c:ser>
        <c:ser>
          <c:idx val="1"/>
          <c:order val="1"/>
          <c:tx>
            <c:strRef>
              <c:f>Sheet1!$C$1</c:f>
              <c:strCache>
                <c:ptCount val="1"/>
                <c:pt idx="0">
                  <c:v>feb</c:v>
                </c:pt>
              </c:strCache>
            </c:strRef>
          </c:tx>
          <c:invertIfNegative val="0"/>
          <c:cat>
            <c:strRef>
              <c:f>Sheet1!$A$2:$A$7</c:f>
              <c:strCache>
                <c:ptCount val="6"/>
                <c:pt idx="0">
                  <c:v>40K</c:v>
                </c:pt>
                <c:pt idx="1">
                  <c:v>137Cs</c:v>
                </c:pt>
                <c:pt idx="2">
                  <c:v>226Ra</c:v>
                </c:pt>
                <c:pt idx="3">
                  <c:v>232Th</c:v>
                </c:pt>
                <c:pt idx="4">
                  <c:v>235U</c:v>
                </c:pt>
                <c:pt idx="5">
                  <c:v>238U</c:v>
                </c:pt>
              </c:strCache>
            </c:strRef>
          </c:cat>
          <c:val>
            <c:numRef>
              <c:f>Sheet1!$C$2:$C$7</c:f>
              <c:numCache>
                <c:formatCode>General</c:formatCode>
                <c:ptCount val="6"/>
                <c:pt idx="0">
                  <c:v>8.61</c:v>
                </c:pt>
                <c:pt idx="1">
                  <c:v>0.59</c:v>
                </c:pt>
                <c:pt idx="2">
                  <c:v>1</c:v>
                </c:pt>
                <c:pt idx="3">
                  <c:v>2</c:v>
                </c:pt>
                <c:pt idx="4">
                  <c:v>3.3099999999999987</c:v>
                </c:pt>
                <c:pt idx="5">
                  <c:v>7.0000000000000021E-2</c:v>
                </c:pt>
              </c:numCache>
            </c:numRef>
          </c:val>
        </c:ser>
        <c:ser>
          <c:idx val="2"/>
          <c:order val="2"/>
          <c:tx>
            <c:strRef>
              <c:f>Sheet1!$D$1</c:f>
              <c:strCache>
                <c:ptCount val="1"/>
                <c:pt idx="0">
                  <c:v>mart</c:v>
                </c:pt>
              </c:strCache>
            </c:strRef>
          </c:tx>
          <c:invertIfNegative val="0"/>
          <c:cat>
            <c:strRef>
              <c:f>Sheet1!$A$2:$A$7</c:f>
              <c:strCache>
                <c:ptCount val="6"/>
                <c:pt idx="0">
                  <c:v>40K</c:v>
                </c:pt>
                <c:pt idx="1">
                  <c:v>137Cs</c:v>
                </c:pt>
                <c:pt idx="2">
                  <c:v>226Ra</c:v>
                </c:pt>
                <c:pt idx="3">
                  <c:v>232Th</c:v>
                </c:pt>
                <c:pt idx="4">
                  <c:v>235U</c:v>
                </c:pt>
                <c:pt idx="5">
                  <c:v>238U</c:v>
                </c:pt>
              </c:strCache>
            </c:strRef>
          </c:cat>
          <c:val>
            <c:numRef>
              <c:f>Sheet1!$D$2:$D$7</c:f>
              <c:numCache>
                <c:formatCode>General</c:formatCode>
                <c:ptCount val="6"/>
                <c:pt idx="0">
                  <c:v>12.360000000000008</c:v>
                </c:pt>
                <c:pt idx="1">
                  <c:v>0.19</c:v>
                </c:pt>
                <c:pt idx="2">
                  <c:v>0.38000000000000034</c:v>
                </c:pt>
                <c:pt idx="3">
                  <c:v>1.46</c:v>
                </c:pt>
                <c:pt idx="4">
                  <c:v>1.79</c:v>
                </c:pt>
                <c:pt idx="5">
                  <c:v>2.0000000000000011E-2</c:v>
                </c:pt>
              </c:numCache>
            </c:numRef>
          </c:val>
        </c:ser>
        <c:ser>
          <c:idx val="3"/>
          <c:order val="3"/>
          <c:tx>
            <c:strRef>
              <c:f>Sheet1!$E$1</c:f>
              <c:strCache>
                <c:ptCount val="1"/>
                <c:pt idx="0">
                  <c:v>apr</c:v>
                </c:pt>
              </c:strCache>
            </c:strRef>
          </c:tx>
          <c:invertIfNegative val="0"/>
          <c:cat>
            <c:strRef>
              <c:f>Sheet1!$A$2:$A$7</c:f>
              <c:strCache>
                <c:ptCount val="6"/>
                <c:pt idx="0">
                  <c:v>40K</c:v>
                </c:pt>
                <c:pt idx="1">
                  <c:v>137Cs</c:v>
                </c:pt>
                <c:pt idx="2">
                  <c:v>226Ra</c:v>
                </c:pt>
                <c:pt idx="3">
                  <c:v>232Th</c:v>
                </c:pt>
                <c:pt idx="4">
                  <c:v>235U</c:v>
                </c:pt>
                <c:pt idx="5">
                  <c:v>238U</c:v>
                </c:pt>
              </c:strCache>
            </c:strRef>
          </c:cat>
          <c:val>
            <c:numRef>
              <c:f>Sheet1!$E$2:$E$7</c:f>
              <c:numCache>
                <c:formatCode>General</c:formatCode>
                <c:ptCount val="6"/>
                <c:pt idx="0">
                  <c:v>15.83</c:v>
                </c:pt>
                <c:pt idx="1">
                  <c:v>1.3800000000000001</c:v>
                </c:pt>
                <c:pt idx="2">
                  <c:v>2.3099999999999987</c:v>
                </c:pt>
                <c:pt idx="3">
                  <c:v>5.3</c:v>
                </c:pt>
                <c:pt idx="4">
                  <c:v>9.15</c:v>
                </c:pt>
                <c:pt idx="5">
                  <c:v>6.0000000000000032E-2</c:v>
                </c:pt>
              </c:numCache>
            </c:numRef>
          </c:val>
        </c:ser>
        <c:ser>
          <c:idx val="4"/>
          <c:order val="4"/>
          <c:tx>
            <c:strRef>
              <c:f>Sheet1!$F$1</c:f>
              <c:strCache>
                <c:ptCount val="1"/>
                <c:pt idx="0">
                  <c:v>maj</c:v>
                </c:pt>
              </c:strCache>
            </c:strRef>
          </c:tx>
          <c:invertIfNegative val="0"/>
          <c:cat>
            <c:strRef>
              <c:f>Sheet1!$A$2:$A$7</c:f>
              <c:strCache>
                <c:ptCount val="6"/>
                <c:pt idx="0">
                  <c:v>40K</c:v>
                </c:pt>
                <c:pt idx="1">
                  <c:v>137Cs</c:v>
                </c:pt>
                <c:pt idx="2">
                  <c:v>226Ra</c:v>
                </c:pt>
                <c:pt idx="3">
                  <c:v>232Th</c:v>
                </c:pt>
                <c:pt idx="4">
                  <c:v>235U</c:v>
                </c:pt>
                <c:pt idx="5">
                  <c:v>238U</c:v>
                </c:pt>
              </c:strCache>
            </c:strRef>
          </c:cat>
          <c:val>
            <c:numRef>
              <c:f>Sheet1!$F$2:$F$7</c:f>
              <c:numCache>
                <c:formatCode>General</c:formatCode>
                <c:ptCount val="6"/>
                <c:pt idx="0">
                  <c:v>9.8800000000000008</c:v>
                </c:pt>
                <c:pt idx="1">
                  <c:v>0.48000000000000026</c:v>
                </c:pt>
                <c:pt idx="2">
                  <c:v>1</c:v>
                </c:pt>
                <c:pt idx="3">
                  <c:v>1.78</c:v>
                </c:pt>
                <c:pt idx="4">
                  <c:v>3.44</c:v>
                </c:pt>
                <c:pt idx="5">
                  <c:v>6.0000000000000032E-2</c:v>
                </c:pt>
              </c:numCache>
            </c:numRef>
          </c:val>
        </c:ser>
        <c:ser>
          <c:idx val="5"/>
          <c:order val="5"/>
          <c:tx>
            <c:strRef>
              <c:f>Sheet1!$G$1</c:f>
              <c:strCache>
                <c:ptCount val="1"/>
                <c:pt idx="0">
                  <c:v>jun</c:v>
                </c:pt>
              </c:strCache>
            </c:strRef>
          </c:tx>
          <c:invertIfNegative val="0"/>
          <c:cat>
            <c:strRef>
              <c:f>Sheet1!$A$2:$A$7</c:f>
              <c:strCache>
                <c:ptCount val="6"/>
                <c:pt idx="0">
                  <c:v>40K</c:v>
                </c:pt>
                <c:pt idx="1">
                  <c:v>137Cs</c:v>
                </c:pt>
                <c:pt idx="2">
                  <c:v>226Ra</c:v>
                </c:pt>
                <c:pt idx="3">
                  <c:v>232Th</c:v>
                </c:pt>
                <c:pt idx="4">
                  <c:v>235U</c:v>
                </c:pt>
                <c:pt idx="5">
                  <c:v>238U</c:v>
                </c:pt>
              </c:strCache>
            </c:strRef>
          </c:cat>
          <c:val>
            <c:numRef>
              <c:f>Sheet1!$G$2:$G$7</c:f>
              <c:numCache>
                <c:formatCode>General</c:formatCode>
                <c:ptCount val="6"/>
                <c:pt idx="0">
                  <c:v>10.79</c:v>
                </c:pt>
                <c:pt idx="1">
                  <c:v>1.02</c:v>
                </c:pt>
                <c:pt idx="2">
                  <c:v>2.0299999999999998</c:v>
                </c:pt>
                <c:pt idx="3">
                  <c:v>3.53</c:v>
                </c:pt>
                <c:pt idx="4">
                  <c:v>7.08</c:v>
                </c:pt>
                <c:pt idx="5">
                  <c:v>0.12000000000000002</c:v>
                </c:pt>
              </c:numCache>
            </c:numRef>
          </c:val>
        </c:ser>
        <c:ser>
          <c:idx val="6"/>
          <c:order val="6"/>
          <c:tx>
            <c:strRef>
              <c:f>Sheet1!$H$1</c:f>
              <c:strCache>
                <c:ptCount val="1"/>
                <c:pt idx="0">
                  <c:v>jul</c:v>
                </c:pt>
              </c:strCache>
            </c:strRef>
          </c:tx>
          <c:invertIfNegative val="0"/>
          <c:cat>
            <c:strRef>
              <c:f>Sheet1!$A$2:$A$7</c:f>
              <c:strCache>
                <c:ptCount val="6"/>
                <c:pt idx="0">
                  <c:v>40K</c:v>
                </c:pt>
                <c:pt idx="1">
                  <c:v>137Cs</c:v>
                </c:pt>
                <c:pt idx="2">
                  <c:v>226Ra</c:v>
                </c:pt>
                <c:pt idx="3">
                  <c:v>232Th</c:v>
                </c:pt>
                <c:pt idx="4">
                  <c:v>235U</c:v>
                </c:pt>
                <c:pt idx="5">
                  <c:v>238U</c:v>
                </c:pt>
              </c:strCache>
            </c:strRef>
          </c:cat>
          <c:val>
            <c:numRef>
              <c:f>Sheet1!$H$2:$H$7</c:f>
              <c:numCache>
                <c:formatCode>General</c:formatCode>
                <c:ptCount val="6"/>
                <c:pt idx="0">
                  <c:v>0</c:v>
                </c:pt>
                <c:pt idx="1">
                  <c:v>0</c:v>
                </c:pt>
                <c:pt idx="2">
                  <c:v>0</c:v>
                </c:pt>
                <c:pt idx="3">
                  <c:v>0</c:v>
                </c:pt>
                <c:pt idx="4">
                  <c:v>0</c:v>
                </c:pt>
                <c:pt idx="5">
                  <c:v>0</c:v>
                </c:pt>
              </c:numCache>
            </c:numRef>
          </c:val>
        </c:ser>
        <c:ser>
          <c:idx val="7"/>
          <c:order val="7"/>
          <c:tx>
            <c:strRef>
              <c:f>Sheet1!$I$1</c:f>
              <c:strCache>
                <c:ptCount val="1"/>
                <c:pt idx="0">
                  <c:v>avg</c:v>
                </c:pt>
              </c:strCache>
            </c:strRef>
          </c:tx>
          <c:invertIfNegative val="0"/>
          <c:cat>
            <c:strRef>
              <c:f>Sheet1!$A$2:$A$7</c:f>
              <c:strCache>
                <c:ptCount val="6"/>
                <c:pt idx="0">
                  <c:v>40K</c:v>
                </c:pt>
                <c:pt idx="1">
                  <c:v>137Cs</c:v>
                </c:pt>
                <c:pt idx="2">
                  <c:v>226Ra</c:v>
                </c:pt>
                <c:pt idx="3">
                  <c:v>232Th</c:v>
                </c:pt>
                <c:pt idx="4">
                  <c:v>235U</c:v>
                </c:pt>
                <c:pt idx="5">
                  <c:v>238U</c:v>
                </c:pt>
              </c:strCache>
            </c:strRef>
          </c:cat>
          <c:val>
            <c:numRef>
              <c:f>Sheet1!$I$2:$I$7</c:f>
              <c:numCache>
                <c:formatCode>General</c:formatCode>
                <c:ptCount val="6"/>
                <c:pt idx="0">
                  <c:v>17.600000000000001</c:v>
                </c:pt>
                <c:pt idx="1">
                  <c:v>1.61</c:v>
                </c:pt>
                <c:pt idx="2">
                  <c:v>2.8899999999999997</c:v>
                </c:pt>
                <c:pt idx="3">
                  <c:v>6.46</c:v>
                </c:pt>
                <c:pt idx="4">
                  <c:v>11.07</c:v>
                </c:pt>
                <c:pt idx="5">
                  <c:v>0.19</c:v>
                </c:pt>
              </c:numCache>
            </c:numRef>
          </c:val>
        </c:ser>
        <c:ser>
          <c:idx val="8"/>
          <c:order val="8"/>
          <c:tx>
            <c:strRef>
              <c:f>Sheet1!$J$1</c:f>
              <c:strCache>
                <c:ptCount val="1"/>
                <c:pt idx="0">
                  <c:v>sep</c:v>
                </c:pt>
              </c:strCache>
            </c:strRef>
          </c:tx>
          <c:invertIfNegative val="0"/>
          <c:cat>
            <c:strRef>
              <c:f>Sheet1!$A$2:$A$7</c:f>
              <c:strCache>
                <c:ptCount val="6"/>
                <c:pt idx="0">
                  <c:v>40K</c:v>
                </c:pt>
                <c:pt idx="1">
                  <c:v>137Cs</c:v>
                </c:pt>
                <c:pt idx="2">
                  <c:v>226Ra</c:v>
                </c:pt>
                <c:pt idx="3">
                  <c:v>232Th</c:v>
                </c:pt>
                <c:pt idx="4">
                  <c:v>235U</c:v>
                </c:pt>
                <c:pt idx="5">
                  <c:v>238U</c:v>
                </c:pt>
              </c:strCache>
            </c:strRef>
          </c:cat>
          <c:val>
            <c:numRef>
              <c:f>Sheet1!$J$2:$J$7</c:f>
              <c:numCache>
                <c:formatCode>General</c:formatCode>
                <c:ptCount val="6"/>
                <c:pt idx="0">
                  <c:v>6</c:v>
                </c:pt>
                <c:pt idx="1">
                  <c:v>0.58000000000000007</c:v>
                </c:pt>
                <c:pt idx="2">
                  <c:v>1.06</c:v>
                </c:pt>
                <c:pt idx="3">
                  <c:v>2.17</c:v>
                </c:pt>
                <c:pt idx="4">
                  <c:v>4.22</c:v>
                </c:pt>
                <c:pt idx="5">
                  <c:v>7.0000000000000021E-2</c:v>
                </c:pt>
              </c:numCache>
            </c:numRef>
          </c:val>
        </c:ser>
        <c:ser>
          <c:idx val="9"/>
          <c:order val="9"/>
          <c:tx>
            <c:strRef>
              <c:f>Sheet1!$K$1</c:f>
              <c:strCache>
                <c:ptCount val="1"/>
                <c:pt idx="0">
                  <c:v>okt</c:v>
                </c:pt>
              </c:strCache>
            </c:strRef>
          </c:tx>
          <c:invertIfNegative val="0"/>
          <c:cat>
            <c:strRef>
              <c:f>Sheet1!$A$2:$A$7</c:f>
              <c:strCache>
                <c:ptCount val="6"/>
                <c:pt idx="0">
                  <c:v>40K</c:v>
                </c:pt>
                <c:pt idx="1">
                  <c:v>137Cs</c:v>
                </c:pt>
                <c:pt idx="2">
                  <c:v>226Ra</c:v>
                </c:pt>
                <c:pt idx="3">
                  <c:v>232Th</c:v>
                </c:pt>
                <c:pt idx="4">
                  <c:v>235U</c:v>
                </c:pt>
                <c:pt idx="5">
                  <c:v>238U</c:v>
                </c:pt>
              </c:strCache>
            </c:strRef>
          </c:cat>
          <c:val>
            <c:numRef>
              <c:f>Sheet1!$K$2:$K$7</c:f>
              <c:numCache>
                <c:formatCode>General</c:formatCode>
                <c:ptCount val="6"/>
                <c:pt idx="0">
                  <c:v>4.92</c:v>
                </c:pt>
                <c:pt idx="1">
                  <c:v>0.48000000000000026</c:v>
                </c:pt>
                <c:pt idx="2">
                  <c:v>0.85000000000000053</c:v>
                </c:pt>
                <c:pt idx="3">
                  <c:v>1.81</c:v>
                </c:pt>
                <c:pt idx="4">
                  <c:v>3.42</c:v>
                </c:pt>
                <c:pt idx="5">
                  <c:v>0.05</c:v>
                </c:pt>
              </c:numCache>
            </c:numRef>
          </c:val>
        </c:ser>
        <c:ser>
          <c:idx val="10"/>
          <c:order val="10"/>
          <c:tx>
            <c:strRef>
              <c:f>Sheet1!$L$1</c:f>
              <c:strCache>
                <c:ptCount val="1"/>
                <c:pt idx="0">
                  <c:v>nov</c:v>
                </c:pt>
              </c:strCache>
            </c:strRef>
          </c:tx>
          <c:invertIfNegative val="0"/>
          <c:cat>
            <c:strRef>
              <c:f>Sheet1!$A$2:$A$7</c:f>
              <c:strCache>
                <c:ptCount val="6"/>
                <c:pt idx="0">
                  <c:v>40K</c:v>
                </c:pt>
                <c:pt idx="1">
                  <c:v>137Cs</c:v>
                </c:pt>
                <c:pt idx="2">
                  <c:v>226Ra</c:v>
                </c:pt>
                <c:pt idx="3">
                  <c:v>232Th</c:v>
                </c:pt>
                <c:pt idx="4">
                  <c:v>235U</c:v>
                </c:pt>
                <c:pt idx="5">
                  <c:v>238U</c:v>
                </c:pt>
              </c:strCache>
            </c:strRef>
          </c:cat>
          <c:val>
            <c:numRef>
              <c:f>Sheet1!$L$2:$L$7</c:f>
              <c:numCache>
                <c:formatCode>General</c:formatCode>
                <c:ptCount val="6"/>
                <c:pt idx="0">
                  <c:v>7.84</c:v>
                </c:pt>
                <c:pt idx="1">
                  <c:v>0.49000000000000027</c:v>
                </c:pt>
                <c:pt idx="2">
                  <c:v>0.9400000000000005</c:v>
                </c:pt>
                <c:pt idx="3">
                  <c:v>2.0499999999999998</c:v>
                </c:pt>
                <c:pt idx="4">
                  <c:v>3.22</c:v>
                </c:pt>
                <c:pt idx="5">
                  <c:v>6.0000000000000032E-2</c:v>
                </c:pt>
              </c:numCache>
            </c:numRef>
          </c:val>
        </c:ser>
        <c:ser>
          <c:idx val="11"/>
          <c:order val="11"/>
          <c:tx>
            <c:strRef>
              <c:f>Sheet1!$M$1</c:f>
              <c:strCache>
                <c:ptCount val="1"/>
                <c:pt idx="0">
                  <c:v>dec</c:v>
                </c:pt>
              </c:strCache>
            </c:strRef>
          </c:tx>
          <c:invertIfNegative val="0"/>
          <c:cat>
            <c:strRef>
              <c:f>Sheet1!$A$2:$A$7</c:f>
              <c:strCache>
                <c:ptCount val="6"/>
                <c:pt idx="0">
                  <c:v>40K</c:v>
                </c:pt>
                <c:pt idx="1">
                  <c:v>137Cs</c:v>
                </c:pt>
                <c:pt idx="2">
                  <c:v>226Ra</c:v>
                </c:pt>
                <c:pt idx="3">
                  <c:v>232Th</c:v>
                </c:pt>
                <c:pt idx="4">
                  <c:v>235U</c:v>
                </c:pt>
                <c:pt idx="5">
                  <c:v>238U</c:v>
                </c:pt>
              </c:strCache>
            </c:strRef>
          </c:cat>
          <c:val>
            <c:numRef>
              <c:f>Sheet1!$M$2:$M$7</c:f>
              <c:numCache>
                <c:formatCode>General</c:formatCode>
                <c:ptCount val="6"/>
                <c:pt idx="0">
                  <c:v>17.53</c:v>
                </c:pt>
                <c:pt idx="1">
                  <c:v>3.02</c:v>
                </c:pt>
                <c:pt idx="2">
                  <c:v>0.58000000000000007</c:v>
                </c:pt>
                <c:pt idx="3">
                  <c:v>6.21</c:v>
                </c:pt>
                <c:pt idx="4">
                  <c:v>20.170000000000005</c:v>
                </c:pt>
                <c:pt idx="5">
                  <c:v>0.2</c:v>
                </c:pt>
              </c:numCache>
            </c:numRef>
          </c:val>
        </c:ser>
        <c:dLbls>
          <c:showLegendKey val="0"/>
          <c:showVal val="0"/>
          <c:showCatName val="0"/>
          <c:showSerName val="0"/>
          <c:showPercent val="0"/>
          <c:showBubbleSize val="0"/>
        </c:dLbls>
        <c:gapWidth val="150"/>
        <c:axId val="335615872"/>
        <c:axId val="335617408"/>
      </c:barChart>
      <c:catAx>
        <c:axId val="335615872"/>
        <c:scaling>
          <c:orientation val="minMax"/>
        </c:scaling>
        <c:delete val="0"/>
        <c:axPos val="b"/>
        <c:numFmt formatCode="General" sourceLinked="1"/>
        <c:majorTickMark val="out"/>
        <c:minorTickMark val="none"/>
        <c:tickLblPos val="nextTo"/>
        <c:txPr>
          <a:bodyPr/>
          <a:lstStyle/>
          <a:p>
            <a:pPr>
              <a:defRPr sz="700"/>
            </a:pPr>
            <a:endParaRPr lang="en-US"/>
          </a:p>
        </c:txPr>
        <c:crossAx val="335617408"/>
        <c:crosses val="autoZero"/>
        <c:auto val="1"/>
        <c:lblAlgn val="ctr"/>
        <c:lblOffset val="100"/>
        <c:noMultiLvlLbl val="0"/>
      </c:catAx>
      <c:valAx>
        <c:axId val="335617408"/>
        <c:scaling>
          <c:orientation val="minMax"/>
        </c:scaling>
        <c:delete val="0"/>
        <c:axPos val="l"/>
        <c:numFmt formatCode="General" sourceLinked="1"/>
        <c:majorTickMark val="out"/>
        <c:minorTickMark val="none"/>
        <c:tickLblPos val="nextTo"/>
        <c:txPr>
          <a:bodyPr/>
          <a:lstStyle/>
          <a:p>
            <a:pPr>
              <a:defRPr sz="700"/>
            </a:pPr>
            <a:endParaRPr lang="en-US"/>
          </a:p>
        </c:txPr>
        <c:crossAx val="335615872"/>
        <c:crosses val="autoZero"/>
        <c:crossBetween val="between"/>
      </c:valAx>
    </c:plotArea>
    <c:legend>
      <c:legendPos val="r"/>
      <c:layout>
        <c:manualLayout>
          <c:xMode val="edge"/>
          <c:yMode val="edge"/>
          <c:x val="0.91866702340362161"/>
          <c:y val="3.5291073288582282E-2"/>
          <c:w val="6.296197626174739E-2"/>
          <c:h val="0.8742014545618807"/>
        </c:manualLayout>
      </c:layout>
      <c:overlay val="1"/>
      <c:txPr>
        <a:bodyPr/>
        <a:lstStyle/>
        <a:p>
          <a:pPr>
            <a:defRPr sz="700"/>
          </a:pPr>
          <a:endParaRPr lang="en-US"/>
        </a:p>
      </c:txPr>
    </c:legend>
    <c:plotVisOnly val="1"/>
    <c:dispBlanksAs val="gap"/>
    <c:showDLblsOverMax val="0"/>
  </c:chart>
  <c:spPr>
    <a:ln>
      <a:noFill/>
    </a:ln>
  </c:spPr>
  <c:externalData r:id="rId1">
    <c:autoUpdate val="0"/>
  </c:externalData>
</c:chartSpace>
</file>

<file path=word/charts/chart9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8"/>
    </mc:Choice>
    <mc:Fallback>
      <c:style val="28"/>
    </mc:Fallback>
  </mc:AlternateContent>
  <c:chart>
    <c:autoTitleDeleted val="1"/>
    <c:plotArea>
      <c:layout>
        <c:manualLayout>
          <c:layoutTarget val="inner"/>
          <c:xMode val="edge"/>
          <c:yMode val="edge"/>
          <c:x val="9.5244671490764404E-2"/>
          <c:y val="6.7870057109905499E-2"/>
          <c:w val="0.83464630084495051"/>
          <c:h val="0.70719928903747664"/>
        </c:manualLayout>
      </c:layout>
      <c:barChart>
        <c:barDir val="col"/>
        <c:grouping val="clustered"/>
        <c:varyColors val="0"/>
        <c:ser>
          <c:idx val="0"/>
          <c:order val="0"/>
          <c:tx>
            <c:strRef>
              <c:f>Sheet1!$A$2</c:f>
              <c:strCache>
                <c:ptCount val="1"/>
                <c:pt idx="0">
                  <c:v>40K</c:v>
                </c:pt>
              </c:strCache>
            </c:strRef>
          </c:tx>
          <c:invertIfNegative val="0"/>
          <c:cat>
            <c:strRef>
              <c:f>Sheet1!$B$1:$E$1</c:f>
              <c:strCache>
                <c:ptCount val="4"/>
                <c:pt idx="0">
                  <c:v>Švedska</c:v>
                </c:pt>
                <c:pt idx="1">
                  <c:v>Norveška</c:v>
                </c:pt>
                <c:pt idx="2">
                  <c:v>Portugal</c:v>
                </c:pt>
                <c:pt idx="3">
                  <c:v>Luksemb</c:v>
                </c:pt>
              </c:strCache>
            </c:strRef>
          </c:cat>
          <c:val>
            <c:numRef>
              <c:f>Sheet1!$B$2:$E$2</c:f>
              <c:numCache>
                <c:formatCode>General</c:formatCode>
                <c:ptCount val="4"/>
                <c:pt idx="0">
                  <c:v>780</c:v>
                </c:pt>
                <c:pt idx="1">
                  <c:v>850</c:v>
                </c:pt>
                <c:pt idx="2">
                  <c:v>840</c:v>
                </c:pt>
                <c:pt idx="3">
                  <c:v>620</c:v>
                </c:pt>
              </c:numCache>
            </c:numRef>
          </c:val>
        </c:ser>
        <c:dLbls>
          <c:showLegendKey val="0"/>
          <c:showVal val="0"/>
          <c:showCatName val="0"/>
          <c:showSerName val="0"/>
          <c:showPercent val="0"/>
          <c:showBubbleSize val="0"/>
        </c:dLbls>
        <c:gapWidth val="150"/>
        <c:axId val="335633408"/>
        <c:axId val="335647488"/>
      </c:barChart>
      <c:catAx>
        <c:axId val="335633408"/>
        <c:scaling>
          <c:orientation val="minMax"/>
        </c:scaling>
        <c:delete val="0"/>
        <c:axPos val="b"/>
        <c:majorTickMark val="none"/>
        <c:minorTickMark val="none"/>
        <c:tickLblPos val="nextTo"/>
        <c:txPr>
          <a:bodyPr/>
          <a:lstStyle/>
          <a:p>
            <a:pPr>
              <a:defRPr sz="700"/>
            </a:pPr>
            <a:endParaRPr lang="en-US"/>
          </a:p>
        </c:txPr>
        <c:crossAx val="335647488"/>
        <c:crosses val="autoZero"/>
        <c:auto val="1"/>
        <c:lblAlgn val="ctr"/>
        <c:lblOffset val="100"/>
        <c:noMultiLvlLbl val="0"/>
      </c:catAx>
      <c:valAx>
        <c:axId val="335647488"/>
        <c:scaling>
          <c:orientation val="minMax"/>
        </c:scaling>
        <c:delete val="0"/>
        <c:axPos val="l"/>
        <c:numFmt formatCode="General" sourceLinked="1"/>
        <c:majorTickMark val="in"/>
        <c:minorTickMark val="none"/>
        <c:tickLblPos val="nextTo"/>
        <c:txPr>
          <a:bodyPr/>
          <a:lstStyle/>
          <a:p>
            <a:pPr>
              <a:defRPr sz="700"/>
            </a:pPr>
            <a:endParaRPr lang="en-US"/>
          </a:p>
        </c:txPr>
        <c:crossAx val="335633408"/>
        <c:crosses val="autoZero"/>
        <c:crossBetween val="between"/>
      </c:valAx>
    </c:plotArea>
    <c:legend>
      <c:legendPos val="r"/>
      <c:layout>
        <c:manualLayout>
          <c:xMode val="edge"/>
          <c:yMode val="edge"/>
          <c:x val="0.76622192819576374"/>
          <c:y val="6.8494324719674732E-2"/>
          <c:w val="0.15959475408017726"/>
          <c:h val="0.1441730173551686"/>
        </c:manualLayout>
      </c:layout>
      <c:overlay val="0"/>
      <c:txPr>
        <a:bodyPr/>
        <a:lstStyle/>
        <a:p>
          <a:pPr>
            <a:defRPr sz="700"/>
          </a:pPr>
          <a:endParaRPr lang="en-US"/>
        </a:p>
      </c:txPr>
    </c:legend>
    <c:plotVisOnly val="1"/>
    <c:dispBlanksAs val="gap"/>
    <c:showDLblsOverMax val="0"/>
  </c:chart>
  <c:spPr>
    <a:ln>
      <a:noFill/>
    </a:ln>
  </c:spPr>
  <c:externalData r:id="rId1">
    <c:autoUpdate val="0"/>
  </c:externalData>
</c:chartSpace>
</file>

<file path=word/charts/chart9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manualLayout>
          <c:layoutTarget val="inner"/>
          <c:xMode val="edge"/>
          <c:yMode val="edge"/>
          <c:x val="6.8635134704841963E-2"/>
          <c:y val="8.0698582850280726E-2"/>
          <c:w val="0.68198493706805174"/>
          <c:h val="0.68545725088490117"/>
        </c:manualLayout>
      </c:layout>
      <c:barChart>
        <c:barDir val="col"/>
        <c:grouping val="clustered"/>
        <c:varyColors val="0"/>
        <c:ser>
          <c:idx val="0"/>
          <c:order val="0"/>
          <c:tx>
            <c:strRef>
              <c:f>Sheet1!$B$1</c:f>
              <c:strCache>
                <c:ptCount val="1"/>
                <c:pt idx="0">
                  <c:v>Srednja godišnja koncentracija radona (Bq/m3)</c:v>
                </c:pt>
              </c:strCache>
            </c:strRef>
          </c:tx>
          <c:invertIfNegative val="0"/>
          <c:cat>
            <c:numRef>
              <c:f>Sheet1!$A$2:$A$16</c:f>
              <c:numCache>
                <c:formatCode>General</c:formatCode>
                <c:ptCount val="15"/>
                <c:pt idx="0">
                  <c:v>1999</c:v>
                </c:pt>
                <c:pt idx="1">
                  <c:v>2000</c:v>
                </c:pt>
                <c:pt idx="2">
                  <c:v>2001</c:v>
                </c:pt>
                <c:pt idx="3">
                  <c:v>2002</c:v>
                </c:pt>
                <c:pt idx="4">
                  <c:v>2003</c:v>
                </c:pt>
                <c:pt idx="5">
                  <c:v>2004</c:v>
                </c:pt>
                <c:pt idx="6">
                  <c:v>2005</c:v>
                </c:pt>
                <c:pt idx="7">
                  <c:v>2006</c:v>
                </c:pt>
                <c:pt idx="8">
                  <c:v>2007</c:v>
                </c:pt>
                <c:pt idx="9">
                  <c:v>2008</c:v>
                </c:pt>
                <c:pt idx="10">
                  <c:v>2009</c:v>
                </c:pt>
                <c:pt idx="11">
                  <c:v>2010</c:v>
                </c:pt>
                <c:pt idx="12">
                  <c:v>2011</c:v>
                </c:pt>
                <c:pt idx="13">
                  <c:v>2012</c:v>
                </c:pt>
                <c:pt idx="14">
                  <c:v>2013</c:v>
                </c:pt>
              </c:numCache>
            </c:numRef>
          </c:cat>
          <c:val>
            <c:numRef>
              <c:f>Sheet1!$B$2:$B$16</c:f>
              <c:numCache>
                <c:formatCode>General</c:formatCode>
                <c:ptCount val="15"/>
                <c:pt idx="0">
                  <c:v>189</c:v>
                </c:pt>
                <c:pt idx="1">
                  <c:v>203</c:v>
                </c:pt>
                <c:pt idx="2">
                  <c:v>200</c:v>
                </c:pt>
                <c:pt idx="3">
                  <c:v>215</c:v>
                </c:pt>
                <c:pt idx="4">
                  <c:v>225</c:v>
                </c:pt>
                <c:pt idx="5">
                  <c:v>144</c:v>
                </c:pt>
                <c:pt idx="6">
                  <c:v>234</c:v>
                </c:pt>
                <c:pt idx="7">
                  <c:v>149.4</c:v>
                </c:pt>
                <c:pt idx="8">
                  <c:v>180</c:v>
                </c:pt>
                <c:pt idx="9">
                  <c:v>287</c:v>
                </c:pt>
                <c:pt idx="10">
                  <c:v>192</c:v>
                </c:pt>
                <c:pt idx="11">
                  <c:v>223</c:v>
                </c:pt>
                <c:pt idx="12">
                  <c:v>258</c:v>
                </c:pt>
                <c:pt idx="13">
                  <c:v>425</c:v>
                </c:pt>
                <c:pt idx="14">
                  <c:v>641.5</c:v>
                </c:pt>
              </c:numCache>
            </c:numRef>
          </c:val>
        </c:ser>
        <c:dLbls>
          <c:showLegendKey val="0"/>
          <c:showVal val="0"/>
          <c:showCatName val="0"/>
          <c:showSerName val="0"/>
          <c:showPercent val="0"/>
          <c:showBubbleSize val="0"/>
        </c:dLbls>
        <c:gapWidth val="150"/>
        <c:axId val="335677696"/>
        <c:axId val="335683584"/>
      </c:barChart>
      <c:lineChart>
        <c:grouping val="standard"/>
        <c:varyColors val="0"/>
        <c:ser>
          <c:idx val="1"/>
          <c:order val="1"/>
          <c:tx>
            <c:strRef>
              <c:f>Sheet1!$C$1</c:f>
              <c:strCache>
                <c:ptCount val="1"/>
                <c:pt idx="0">
                  <c:v>Interventni nivo (Bq/m3) - postojeći stambeni objekti</c:v>
                </c:pt>
              </c:strCache>
            </c:strRef>
          </c:tx>
          <c:spPr>
            <a:ln w="38100"/>
          </c:spPr>
          <c:marker>
            <c:symbol val="none"/>
          </c:marker>
          <c:cat>
            <c:numRef>
              <c:f>Sheet1!$A$2:$A$16</c:f>
              <c:numCache>
                <c:formatCode>General</c:formatCode>
                <c:ptCount val="15"/>
                <c:pt idx="0">
                  <c:v>1999</c:v>
                </c:pt>
                <c:pt idx="1">
                  <c:v>2000</c:v>
                </c:pt>
                <c:pt idx="2">
                  <c:v>2001</c:v>
                </c:pt>
                <c:pt idx="3">
                  <c:v>2002</c:v>
                </c:pt>
                <c:pt idx="4">
                  <c:v>2003</c:v>
                </c:pt>
                <c:pt idx="5">
                  <c:v>2004</c:v>
                </c:pt>
                <c:pt idx="6">
                  <c:v>2005</c:v>
                </c:pt>
                <c:pt idx="7">
                  <c:v>2006</c:v>
                </c:pt>
                <c:pt idx="8">
                  <c:v>2007</c:v>
                </c:pt>
                <c:pt idx="9">
                  <c:v>2008</c:v>
                </c:pt>
                <c:pt idx="10">
                  <c:v>2009</c:v>
                </c:pt>
                <c:pt idx="11">
                  <c:v>2010</c:v>
                </c:pt>
                <c:pt idx="12">
                  <c:v>2011</c:v>
                </c:pt>
                <c:pt idx="13">
                  <c:v>2012</c:v>
                </c:pt>
                <c:pt idx="14">
                  <c:v>2013</c:v>
                </c:pt>
              </c:numCache>
            </c:numRef>
          </c:cat>
          <c:val>
            <c:numRef>
              <c:f>Sheet1!$C$2:$C$16</c:f>
              <c:numCache>
                <c:formatCode>General</c:formatCode>
                <c:ptCount val="15"/>
                <c:pt idx="0">
                  <c:v>400</c:v>
                </c:pt>
                <c:pt idx="1">
                  <c:v>400</c:v>
                </c:pt>
                <c:pt idx="2">
                  <c:v>400</c:v>
                </c:pt>
                <c:pt idx="3">
                  <c:v>400</c:v>
                </c:pt>
                <c:pt idx="4">
                  <c:v>400</c:v>
                </c:pt>
                <c:pt idx="5">
                  <c:v>400</c:v>
                </c:pt>
                <c:pt idx="6">
                  <c:v>400</c:v>
                </c:pt>
                <c:pt idx="7">
                  <c:v>400</c:v>
                </c:pt>
                <c:pt idx="8">
                  <c:v>400</c:v>
                </c:pt>
                <c:pt idx="9">
                  <c:v>400</c:v>
                </c:pt>
                <c:pt idx="10">
                  <c:v>400</c:v>
                </c:pt>
                <c:pt idx="11">
                  <c:v>400</c:v>
                </c:pt>
                <c:pt idx="12">
                  <c:v>400</c:v>
                </c:pt>
                <c:pt idx="13">
                  <c:v>400</c:v>
                </c:pt>
                <c:pt idx="14">
                  <c:v>400</c:v>
                </c:pt>
              </c:numCache>
            </c:numRef>
          </c:val>
          <c:smooth val="0"/>
        </c:ser>
        <c:ser>
          <c:idx val="2"/>
          <c:order val="2"/>
          <c:tx>
            <c:strRef>
              <c:f>Sheet1!$D$1</c:f>
              <c:strCache>
                <c:ptCount val="1"/>
                <c:pt idx="0">
                  <c:v>Interventni nivo (Bq/m3) - novoizgrađeni stambeni objekti</c:v>
                </c:pt>
              </c:strCache>
            </c:strRef>
          </c:tx>
          <c:spPr>
            <a:ln w="38100"/>
          </c:spPr>
          <c:marker>
            <c:symbol val="none"/>
          </c:marker>
          <c:cat>
            <c:numRef>
              <c:f>Sheet1!$A$2:$A$16</c:f>
              <c:numCache>
                <c:formatCode>General</c:formatCode>
                <c:ptCount val="15"/>
                <c:pt idx="0">
                  <c:v>1999</c:v>
                </c:pt>
                <c:pt idx="1">
                  <c:v>2000</c:v>
                </c:pt>
                <c:pt idx="2">
                  <c:v>2001</c:v>
                </c:pt>
                <c:pt idx="3">
                  <c:v>2002</c:v>
                </c:pt>
                <c:pt idx="4">
                  <c:v>2003</c:v>
                </c:pt>
                <c:pt idx="5">
                  <c:v>2004</c:v>
                </c:pt>
                <c:pt idx="6">
                  <c:v>2005</c:v>
                </c:pt>
                <c:pt idx="7">
                  <c:v>2006</c:v>
                </c:pt>
                <c:pt idx="8">
                  <c:v>2007</c:v>
                </c:pt>
                <c:pt idx="9">
                  <c:v>2008</c:v>
                </c:pt>
                <c:pt idx="10">
                  <c:v>2009</c:v>
                </c:pt>
                <c:pt idx="11">
                  <c:v>2010</c:v>
                </c:pt>
                <c:pt idx="12">
                  <c:v>2011</c:v>
                </c:pt>
                <c:pt idx="13">
                  <c:v>2012</c:v>
                </c:pt>
                <c:pt idx="14">
                  <c:v>2013</c:v>
                </c:pt>
              </c:numCache>
            </c:numRef>
          </c:cat>
          <c:val>
            <c:numRef>
              <c:f>Sheet1!$D$2:$D$16</c:f>
              <c:numCache>
                <c:formatCode>General</c:formatCode>
                <c:ptCount val="15"/>
                <c:pt idx="0">
                  <c:v>200</c:v>
                </c:pt>
                <c:pt idx="1">
                  <c:v>200</c:v>
                </c:pt>
                <c:pt idx="2">
                  <c:v>200</c:v>
                </c:pt>
                <c:pt idx="3">
                  <c:v>200</c:v>
                </c:pt>
                <c:pt idx="4">
                  <c:v>200</c:v>
                </c:pt>
                <c:pt idx="5">
                  <c:v>200</c:v>
                </c:pt>
                <c:pt idx="6">
                  <c:v>200</c:v>
                </c:pt>
                <c:pt idx="7">
                  <c:v>200</c:v>
                </c:pt>
                <c:pt idx="8">
                  <c:v>200</c:v>
                </c:pt>
                <c:pt idx="9">
                  <c:v>200</c:v>
                </c:pt>
                <c:pt idx="10">
                  <c:v>200</c:v>
                </c:pt>
                <c:pt idx="11">
                  <c:v>200</c:v>
                </c:pt>
                <c:pt idx="12">
                  <c:v>200</c:v>
                </c:pt>
                <c:pt idx="13">
                  <c:v>200</c:v>
                </c:pt>
                <c:pt idx="14">
                  <c:v>200</c:v>
                </c:pt>
              </c:numCache>
            </c:numRef>
          </c:val>
          <c:smooth val="0"/>
        </c:ser>
        <c:dLbls>
          <c:showLegendKey val="0"/>
          <c:showVal val="0"/>
          <c:showCatName val="0"/>
          <c:showSerName val="0"/>
          <c:showPercent val="0"/>
          <c:showBubbleSize val="0"/>
        </c:dLbls>
        <c:marker val="1"/>
        <c:smooth val="0"/>
        <c:axId val="335677696"/>
        <c:axId val="335683584"/>
      </c:lineChart>
      <c:catAx>
        <c:axId val="335677696"/>
        <c:scaling>
          <c:orientation val="minMax"/>
        </c:scaling>
        <c:delete val="0"/>
        <c:axPos val="b"/>
        <c:numFmt formatCode="General" sourceLinked="1"/>
        <c:majorTickMark val="out"/>
        <c:minorTickMark val="none"/>
        <c:tickLblPos val="nextTo"/>
        <c:txPr>
          <a:bodyPr/>
          <a:lstStyle/>
          <a:p>
            <a:pPr>
              <a:defRPr sz="700"/>
            </a:pPr>
            <a:endParaRPr lang="en-US"/>
          </a:p>
        </c:txPr>
        <c:crossAx val="335683584"/>
        <c:crosses val="autoZero"/>
        <c:auto val="1"/>
        <c:lblAlgn val="ctr"/>
        <c:lblOffset val="100"/>
        <c:noMultiLvlLbl val="0"/>
      </c:catAx>
      <c:valAx>
        <c:axId val="335683584"/>
        <c:scaling>
          <c:orientation val="minMax"/>
        </c:scaling>
        <c:delete val="0"/>
        <c:axPos val="l"/>
        <c:numFmt formatCode="General" sourceLinked="1"/>
        <c:majorTickMark val="out"/>
        <c:minorTickMark val="none"/>
        <c:tickLblPos val="nextTo"/>
        <c:txPr>
          <a:bodyPr/>
          <a:lstStyle/>
          <a:p>
            <a:pPr>
              <a:defRPr sz="700"/>
            </a:pPr>
            <a:endParaRPr lang="en-US"/>
          </a:p>
        </c:txPr>
        <c:crossAx val="335677696"/>
        <c:crosses val="autoZero"/>
        <c:crossBetween val="between"/>
      </c:valAx>
    </c:plotArea>
    <c:legend>
      <c:legendPos val="r"/>
      <c:legendEntry>
        <c:idx val="2"/>
        <c:txPr>
          <a:bodyPr/>
          <a:lstStyle/>
          <a:p>
            <a:pPr>
              <a:defRPr sz="700" b="0"/>
            </a:pPr>
            <a:endParaRPr lang="en-US"/>
          </a:p>
        </c:txPr>
      </c:legendEntry>
      <c:layout>
        <c:manualLayout>
          <c:xMode val="edge"/>
          <c:yMode val="edge"/>
          <c:x val="0.76486661389548527"/>
          <c:y val="4.8303979488580721E-3"/>
          <c:w val="0.22033542103533355"/>
          <c:h val="0.80758829196983284"/>
        </c:manualLayout>
      </c:layout>
      <c:overlay val="0"/>
      <c:txPr>
        <a:bodyPr/>
        <a:lstStyle/>
        <a:p>
          <a:pPr>
            <a:defRPr sz="700"/>
          </a:pPr>
          <a:endParaRPr lang="en-US"/>
        </a:p>
      </c:txPr>
    </c:legend>
    <c:plotVisOnly val="1"/>
    <c:dispBlanksAs val="gap"/>
    <c:showDLblsOverMax val="0"/>
  </c:chart>
  <c:spPr>
    <a:ln>
      <a:noFill/>
    </a:ln>
  </c:spPr>
  <c:externalData r:id="rId1">
    <c:autoUpdate val="0"/>
  </c:externalData>
</c:chartSpace>
</file>

<file path=word/charts/chart9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manualLayout>
          <c:layoutTarget val="inner"/>
          <c:xMode val="edge"/>
          <c:yMode val="edge"/>
          <c:x val="5.5769770972634913E-2"/>
          <c:y val="0.11310855085257307"/>
          <c:w val="0.57588913915181994"/>
          <c:h val="0.63868181770605381"/>
        </c:manualLayout>
      </c:layout>
      <c:barChart>
        <c:barDir val="col"/>
        <c:grouping val="clustered"/>
        <c:varyColors val="0"/>
        <c:ser>
          <c:idx val="0"/>
          <c:order val="0"/>
          <c:tx>
            <c:strRef>
              <c:f>Sheet1!$B$1</c:f>
              <c:strCache>
                <c:ptCount val="1"/>
                <c:pt idx="0">
                  <c:v>Srednja godišnja koncentracija radona (Bq/m3)</c:v>
                </c:pt>
              </c:strCache>
            </c:strRef>
          </c:tx>
          <c:invertIfNegative val="0"/>
          <c:cat>
            <c:strRef>
              <c:f>Sheet1!$A$2:$A$62</c:f>
              <c:strCache>
                <c:ptCount val="61"/>
                <c:pt idx="0">
                  <c:v>Australija</c:v>
                </c:pt>
                <c:pt idx="2">
                  <c:v>Austrija</c:v>
                </c:pt>
                <c:pt idx="4">
                  <c:v>Belgija</c:v>
                </c:pt>
                <c:pt idx="6">
                  <c:v>Kanada</c:v>
                </c:pt>
                <c:pt idx="8">
                  <c:v>Čehoslovačka</c:v>
                </c:pt>
                <c:pt idx="10">
                  <c:v>Danska</c:v>
                </c:pt>
                <c:pt idx="12">
                  <c:v>Finska</c:v>
                </c:pt>
                <c:pt idx="14">
                  <c:v>Francuska</c:v>
                </c:pt>
                <c:pt idx="16">
                  <c:v>Njemačka</c:v>
                </c:pt>
                <c:pt idx="18">
                  <c:v>Grčka</c:v>
                </c:pt>
                <c:pt idx="20">
                  <c:v>Mađarska</c:v>
                </c:pt>
                <c:pt idx="22">
                  <c:v>Irska</c:v>
                </c:pt>
                <c:pt idx="24">
                  <c:v>Italija</c:v>
                </c:pt>
                <c:pt idx="26">
                  <c:v>Japan</c:v>
                </c:pt>
                <c:pt idx="28">
                  <c:v>Holandija</c:v>
                </c:pt>
                <c:pt idx="30">
                  <c:v>Luksemburg</c:v>
                </c:pt>
                <c:pt idx="32">
                  <c:v>Meksiko</c:v>
                </c:pt>
                <c:pt idx="34">
                  <c:v>Norveška</c:v>
                </c:pt>
                <c:pt idx="36">
                  <c:v>Poljska</c:v>
                </c:pt>
                <c:pt idx="38">
                  <c:v>Novi Zeland</c:v>
                </c:pt>
                <c:pt idx="40">
                  <c:v>Slovačka</c:v>
                </c:pt>
                <c:pt idx="42">
                  <c:v>Republika Koreja</c:v>
                </c:pt>
                <c:pt idx="44">
                  <c:v>Švajcarska</c:v>
                </c:pt>
                <c:pt idx="46">
                  <c:v>Portugalija</c:v>
                </c:pt>
                <c:pt idx="48">
                  <c:v>Norveška</c:v>
                </c:pt>
                <c:pt idx="50">
                  <c:v>Island</c:v>
                </c:pt>
                <c:pt idx="52">
                  <c:v>Engleska</c:v>
                </c:pt>
                <c:pt idx="54">
                  <c:v>Švedska</c:v>
                </c:pt>
                <c:pt idx="56">
                  <c:v>Španija</c:v>
                </c:pt>
                <c:pt idx="58">
                  <c:v>USA</c:v>
                </c:pt>
                <c:pt idx="60">
                  <c:v>Crna Gora</c:v>
                </c:pt>
              </c:strCache>
            </c:strRef>
          </c:cat>
          <c:val>
            <c:numRef>
              <c:f>Sheet1!$B$2:$B$62</c:f>
              <c:numCache>
                <c:formatCode>General</c:formatCode>
                <c:ptCount val="61"/>
                <c:pt idx="0">
                  <c:v>11</c:v>
                </c:pt>
                <c:pt idx="2">
                  <c:v>99</c:v>
                </c:pt>
                <c:pt idx="4">
                  <c:v>48</c:v>
                </c:pt>
                <c:pt idx="6">
                  <c:v>28</c:v>
                </c:pt>
                <c:pt idx="8">
                  <c:v>140</c:v>
                </c:pt>
                <c:pt idx="10">
                  <c:v>59</c:v>
                </c:pt>
                <c:pt idx="12">
                  <c:v>120</c:v>
                </c:pt>
                <c:pt idx="14">
                  <c:v>89</c:v>
                </c:pt>
                <c:pt idx="16">
                  <c:v>49</c:v>
                </c:pt>
                <c:pt idx="18">
                  <c:v>55</c:v>
                </c:pt>
                <c:pt idx="20">
                  <c:v>82</c:v>
                </c:pt>
                <c:pt idx="22">
                  <c:v>89</c:v>
                </c:pt>
                <c:pt idx="24">
                  <c:v>70</c:v>
                </c:pt>
                <c:pt idx="26">
                  <c:v>16</c:v>
                </c:pt>
                <c:pt idx="28">
                  <c:v>23</c:v>
                </c:pt>
                <c:pt idx="30">
                  <c:v>110</c:v>
                </c:pt>
                <c:pt idx="32">
                  <c:v>140</c:v>
                </c:pt>
                <c:pt idx="34">
                  <c:v>89</c:v>
                </c:pt>
                <c:pt idx="36">
                  <c:v>49</c:v>
                </c:pt>
                <c:pt idx="38">
                  <c:v>22</c:v>
                </c:pt>
                <c:pt idx="40">
                  <c:v>87</c:v>
                </c:pt>
                <c:pt idx="42">
                  <c:v>53</c:v>
                </c:pt>
                <c:pt idx="44">
                  <c:v>78</c:v>
                </c:pt>
                <c:pt idx="46">
                  <c:v>62</c:v>
                </c:pt>
                <c:pt idx="48">
                  <c:v>89</c:v>
                </c:pt>
                <c:pt idx="50">
                  <c:v>10</c:v>
                </c:pt>
                <c:pt idx="52">
                  <c:v>20</c:v>
                </c:pt>
                <c:pt idx="54">
                  <c:v>108</c:v>
                </c:pt>
                <c:pt idx="56">
                  <c:v>90</c:v>
                </c:pt>
                <c:pt idx="58">
                  <c:v>46</c:v>
                </c:pt>
                <c:pt idx="60">
                  <c:v>105</c:v>
                </c:pt>
              </c:numCache>
            </c:numRef>
          </c:val>
        </c:ser>
        <c:dLbls>
          <c:showLegendKey val="0"/>
          <c:showVal val="0"/>
          <c:showCatName val="0"/>
          <c:showSerName val="0"/>
          <c:showPercent val="0"/>
          <c:showBubbleSize val="0"/>
        </c:dLbls>
        <c:gapWidth val="150"/>
        <c:axId val="335697792"/>
        <c:axId val="335699328"/>
      </c:barChart>
      <c:lineChart>
        <c:grouping val="standard"/>
        <c:varyColors val="0"/>
        <c:ser>
          <c:idx val="1"/>
          <c:order val="1"/>
          <c:tx>
            <c:strRef>
              <c:f>Sheet1!$C$1</c:f>
              <c:strCache>
                <c:ptCount val="1"/>
                <c:pt idx="0">
                  <c:v>Interventni nivo (Bq/m3) - postojeći stambeni objekti</c:v>
                </c:pt>
              </c:strCache>
            </c:strRef>
          </c:tx>
          <c:spPr>
            <a:ln w="38100"/>
          </c:spPr>
          <c:marker>
            <c:symbol val="none"/>
          </c:marker>
          <c:cat>
            <c:strRef>
              <c:f>Sheet1!$A$2:$A$62</c:f>
              <c:strCache>
                <c:ptCount val="61"/>
                <c:pt idx="0">
                  <c:v>Australija</c:v>
                </c:pt>
                <c:pt idx="2">
                  <c:v>Austrija</c:v>
                </c:pt>
                <c:pt idx="4">
                  <c:v>Belgija</c:v>
                </c:pt>
                <c:pt idx="6">
                  <c:v>Kanada</c:v>
                </c:pt>
                <c:pt idx="8">
                  <c:v>Čehoslovačka</c:v>
                </c:pt>
                <c:pt idx="10">
                  <c:v>Danska</c:v>
                </c:pt>
                <c:pt idx="12">
                  <c:v>Finska</c:v>
                </c:pt>
                <c:pt idx="14">
                  <c:v>Francuska</c:v>
                </c:pt>
                <c:pt idx="16">
                  <c:v>Njemačka</c:v>
                </c:pt>
                <c:pt idx="18">
                  <c:v>Grčka</c:v>
                </c:pt>
                <c:pt idx="20">
                  <c:v>Mađarska</c:v>
                </c:pt>
                <c:pt idx="22">
                  <c:v>Irska</c:v>
                </c:pt>
                <c:pt idx="24">
                  <c:v>Italija</c:v>
                </c:pt>
                <c:pt idx="26">
                  <c:v>Japan</c:v>
                </c:pt>
                <c:pt idx="28">
                  <c:v>Holandija</c:v>
                </c:pt>
                <c:pt idx="30">
                  <c:v>Luksemburg</c:v>
                </c:pt>
                <c:pt idx="32">
                  <c:v>Meksiko</c:v>
                </c:pt>
                <c:pt idx="34">
                  <c:v>Norveška</c:v>
                </c:pt>
                <c:pt idx="36">
                  <c:v>Poljska</c:v>
                </c:pt>
                <c:pt idx="38">
                  <c:v>Novi Zeland</c:v>
                </c:pt>
                <c:pt idx="40">
                  <c:v>Slovačka</c:v>
                </c:pt>
                <c:pt idx="42">
                  <c:v>Republika Koreja</c:v>
                </c:pt>
                <c:pt idx="44">
                  <c:v>Švajcarska</c:v>
                </c:pt>
                <c:pt idx="46">
                  <c:v>Portugalija</c:v>
                </c:pt>
                <c:pt idx="48">
                  <c:v>Norveška</c:v>
                </c:pt>
                <c:pt idx="50">
                  <c:v>Island</c:v>
                </c:pt>
                <c:pt idx="52">
                  <c:v>Engleska</c:v>
                </c:pt>
                <c:pt idx="54">
                  <c:v>Švedska</c:v>
                </c:pt>
                <c:pt idx="56">
                  <c:v>Španija</c:v>
                </c:pt>
                <c:pt idx="58">
                  <c:v>USA</c:v>
                </c:pt>
                <c:pt idx="60">
                  <c:v>Crna Gora</c:v>
                </c:pt>
              </c:strCache>
            </c:strRef>
          </c:cat>
          <c:val>
            <c:numRef>
              <c:f>Sheet1!$C$2:$C$62</c:f>
              <c:numCache>
                <c:formatCode>General</c:formatCode>
                <c:ptCount val="61"/>
                <c:pt idx="0">
                  <c:v>400</c:v>
                </c:pt>
                <c:pt idx="1">
                  <c:v>400</c:v>
                </c:pt>
                <c:pt idx="2">
                  <c:v>400</c:v>
                </c:pt>
                <c:pt idx="3">
                  <c:v>400</c:v>
                </c:pt>
                <c:pt idx="4">
                  <c:v>400</c:v>
                </c:pt>
                <c:pt idx="5">
                  <c:v>400</c:v>
                </c:pt>
                <c:pt idx="6">
                  <c:v>400</c:v>
                </c:pt>
                <c:pt idx="7">
                  <c:v>400</c:v>
                </c:pt>
                <c:pt idx="8">
                  <c:v>400</c:v>
                </c:pt>
                <c:pt idx="9">
                  <c:v>400</c:v>
                </c:pt>
                <c:pt idx="10">
                  <c:v>400</c:v>
                </c:pt>
                <c:pt idx="11">
                  <c:v>400</c:v>
                </c:pt>
                <c:pt idx="12">
                  <c:v>400</c:v>
                </c:pt>
                <c:pt idx="13">
                  <c:v>400</c:v>
                </c:pt>
                <c:pt idx="14">
                  <c:v>400</c:v>
                </c:pt>
                <c:pt idx="15">
                  <c:v>400</c:v>
                </c:pt>
                <c:pt idx="16">
                  <c:v>400</c:v>
                </c:pt>
                <c:pt idx="17">
                  <c:v>400</c:v>
                </c:pt>
                <c:pt idx="18">
                  <c:v>400</c:v>
                </c:pt>
                <c:pt idx="19">
                  <c:v>400</c:v>
                </c:pt>
                <c:pt idx="20">
                  <c:v>400</c:v>
                </c:pt>
                <c:pt idx="21">
                  <c:v>400</c:v>
                </c:pt>
                <c:pt idx="22">
                  <c:v>400</c:v>
                </c:pt>
                <c:pt idx="23">
                  <c:v>400</c:v>
                </c:pt>
                <c:pt idx="24">
                  <c:v>400</c:v>
                </c:pt>
                <c:pt idx="25">
                  <c:v>400</c:v>
                </c:pt>
                <c:pt idx="26">
                  <c:v>400</c:v>
                </c:pt>
                <c:pt idx="27">
                  <c:v>400</c:v>
                </c:pt>
                <c:pt idx="28">
                  <c:v>400</c:v>
                </c:pt>
                <c:pt idx="29">
                  <c:v>400</c:v>
                </c:pt>
                <c:pt idx="30">
                  <c:v>400</c:v>
                </c:pt>
                <c:pt idx="31">
                  <c:v>400</c:v>
                </c:pt>
                <c:pt idx="32">
                  <c:v>400</c:v>
                </c:pt>
                <c:pt idx="33">
                  <c:v>400</c:v>
                </c:pt>
                <c:pt idx="34">
                  <c:v>400</c:v>
                </c:pt>
                <c:pt idx="35">
                  <c:v>400</c:v>
                </c:pt>
                <c:pt idx="36">
                  <c:v>400</c:v>
                </c:pt>
                <c:pt idx="37">
                  <c:v>400</c:v>
                </c:pt>
                <c:pt idx="38">
                  <c:v>400</c:v>
                </c:pt>
                <c:pt idx="39">
                  <c:v>400</c:v>
                </c:pt>
                <c:pt idx="40">
                  <c:v>400</c:v>
                </c:pt>
                <c:pt idx="41">
                  <c:v>400</c:v>
                </c:pt>
                <c:pt idx="42">
                  <c:v>400</c:v>
                </c:pt>
                <c:pt idx="43">
                  <c:v>400</c:v>
                </c:pt>
                <c:pt idx="44">
                  <c:v>400</c:v>
                </c:pt>
                <c:pt idx="45">
                  <c:v>400</c:v>
                </c:pt>
                <c:pt idx="46">
                  <c:v>400</c:v>
                </c:pt>
                <c:pt idx="47">
                  <c:v>400</c:v>
                </c:pt>
                <c:pt idx="48">
                  <c:v>400</c:v>
                </c:pt>
                <c:pt idx="49">
                  <c:v>400</c:v>
                </c:pt>
                <c:pt idx="50">
                  <c:v>400</c:v>
                </c:pt>
                <c:pt idx="51">
                  <c:v>400</c:v>
                </c:pt>
                <c:pt idx="52">
                  <c:v>400</c:v>
                </c:pt>
                <c:pt idx="53">
                  <c:v>400</c:v>
                </c:pt>
                <c:pt idx="54">
                  <c:v>400</c:v>
                </c:pt>
                <c:pt idx="55">
                  <c:v>400</c:v>
                </c:pt>
                <c:pt idx="56">
                  <c:v>400</c:v>
                </c:pt>
                <c:pt idx="57">
                  <c:v>400</c:v>
                </c:pt>
                <c:pt idx="58">
                  <c:v>400</c:v>
                </c:pt>
                <c:pt idx="59">
                  <c:v>400</c:v>
                </c:pt>
                <c:pt idx="60">
                  <c:v>400</c:v>
                </c:pt>
              </c:numCache>
            </c:numRef>
          </c:val>
          <c:smooth val="0"/>
        </c:ser>
        <c:ser>
          <c:idx val="2"/>
          <c:order val="2"/>
          <c:tx>
            <c:strRef>
              <c:f>Sheet1!$D$1</c:f>
              <c:strCache>
                <c:ptCount val="1"/>
                <c:pt idx="0">
                  <c:v>Interventni nivo (Bq/m3) - novoizgrađeni stambeni objekti</c:v>
                </c:pt>
              </c:strCache>
            </c:strRef>
          </c:tx>
          <c:spPr>
            <a:ln w="38100"/>
          </c:spPr>
          <c:marker>
            <c:symbol val="none"/>
          </c:marker>
          <c:cat>
            <c:strRef>
              <c:f>Sheet1!$A$2:$A$62</c:f>
              <c:strCache>
                <c:ptCount val="61"/>
                <c:pt idx="0">
                  <c:v>Australija</c:v>
                </c:pt>
                <c:pt idx="2">
                  <c:v>Austrija</c:v>
                </c:pt>
                <c:pt idx="4">
                  <c:v>Belgija</c:v>
                </c:pt>
                <c:pt idx="6">
                  <c:v>Kanada</c:v>
                </c:pt>
                <c:pt idx="8">
                  <c:v>Čehoslovačka</c:v>
                </c:pt>
                <c:pt idx="10">
                  <c:v>Danska</c:v>
                </c:pt>
                <c:pt idx="12">
                  <c:v>Finska</c:v>
                </c:pt>
                <c:pt idx="14">
                  <c:v>Francuska</c:v>
                </c:pt>
                <c:pt idx="16">
                  <c:v>Njemačka</c:v>
                </c:pt>
                <c:pt idx="18">
                  <c:v>Grčka</c:v>
                </c:pt>
                <c:pt idx="20">
                  <c:v>Mađarska</c:v>
                </c:pt>
                <c:pt idx="22">
                  <c:v>Irska</c:v>
                </c:pt>
                <c:pt idx="24">
                  <c:v>Italija</c:v>
                </c:pt>
                <c:pt idx="26">
                  <c:v>Japan</c:v>
                </c:pt>
                <c:pt idx="28">
                  <c:v>Holandija</c:v>
                </c:pt>
                <c:pt idx="30">
                  <c:v>Luksemburg</c:v>
                </c:pt>
                <c:pt idx="32">
                  <c:v>Meksiko</c:v>
                </c:pt>
                <c:pt idx="34">
                  <c:v>Norveška</c:v>
                </c:pt>
                <c:pt idx="36">
                  <c:v>Poljska</c:v>
                </c:pt>
                <c:pt idx="38">
                  <c:v>Novi Zeland</c:v>
                </c:pt>
                <c:pt idx="40">
                  <c:v>Slovačka</c:v>
                </c:pt>
                <c:pt idx="42">
                  <c:v>Republika Koreja</c:v>
                </c:pt>
                <c:pt idx="44">
                  <c:v>Švajcarska</c:v>
                </c:pt>
                <c:pt idx="46">
                  <c:v>Portugalija</c:v>
                </c:pt>
                <c:pt idx="48">
                  <c:v>Norveška</c:v>
                </c:pt>
                <c:pt idx="50">
                  <c:v>Island</c:v>
                </c:pt>
                <c:pt idx="52">
                  <c:v>Engleska</c:v>
                </c:pt>
                <c:pt idx="54">
                  <c:v>Švedska</c:v>
                </c:pt>
                <c:pt idx="56">
                  <c:v>Španija</c:v>
                </c:pt>
                <c:pt idx="58">
                  <c:v>USA</c:v>
                </c:pt>
                <c:pt idx="60">
                  <c:v>Crna Gora</c:v>
                </c:pt>
              </c:strCache>
            </c:strRef>
          </c:cat>
          <c:val>
            <c:numRef>
              <c:f>Sheet1!$D$2:$D$62</c:f>
              <c:numCache>
                <c:formatCode>General</c:formatCode>
                <c:ptCount val="61"/>
                <c:pt idx="0">
                  <c:v>200</c:v>
                </c:pt>
                <c:pt idx="1">
                  <c:v>200</c:v>
                </c:pt>
                <c:pt idx="2">
                  <c:v>200</c:v>
                </c:pt>
                <c:pt idx="3">
                  <c:v>200</c:v>
                </c:pt>
                <c:pt idx="4">
                  <c:v>200</c:v>
                </c:pt>
                <c:pt idx="5">
                  <c:v>200</c:v>
                </c:pt>
                <c:pt idx="6">
                  <c:v>200</c:v>
                </c:pt>
                <c:pt idx="7">
                  <c:v>200</c:v>
                </c:pt>
                <c:pt idx="8">
                  <c:v>200</c:v>
                </c:pt>
                <c:pt idx="9">
                  <c:v>200</c:v>
                </c:pt>
                <c:pt idx="10">
                  <c:v>200</c:v>
                </c:pt>
                <c:pt idx="11">
                  <c:v>200</c:v>
                </c:pt>
                <c:pt idx="12">
                  <c:v>200</c:v>
                </c:pt>
                <c:pt idx="13">
                  <c:v>200</c:v>
                </c:pt>
                <c:pt idx="14">
                  <c:v>200</c:v>
                </c:pt>
                <c:pt idx="15">
                  <c:v>200</c:v>
                </c:pt>
                <c:pt idx="16">
                  <c:v>200</c:v>
                </c:pt>
                <c:pt idx="17">
                  <c:v>200</c:v>
                </c:pt>
                <c:pt idx="18">
                  <c:v>200</c:v>
                </c:pt>
                <c:pt idx="19">
                  <c:v>200</c:v>
                </c:pt>
                <c:pt idx="20">
                  <c:v>200</c:v>
                </c:pt>
                <c:pt idx="21">
                  <c:v>200</c:v>
                </c:pt>
                <c:pt idx="22">
                  <c:v>200</c:v>
                </c:pt>
                <c:pt idx="23">
                  <c:v>200</c:v>
                </c:pt>
                <c:pt idx="24">
                  <c:v>200</c:v>
                </c:pt>
                <c:pt idx="25">
                  <c:v>200</c:v>
                </c:pt>
                <c:pt idx="26">
                  <c:v>200</c:v>
                </c:pt>
                <c:pt idx="27">
                  <c:v>200</c:v>
                </c:pt>
                <c:pt idx="28">
                  <c:v>200</c:v>
                </c:pt>
                <c:pt idx="29">
                  <c:v>200</c:v>
                </c:pt>
                <c:pt idx="30">
                  <c:v>200</c:v>
                </c:pt>
                <c:pt idx="31">
                  <c:v>200</c:v>
                </c:pt>
                <c:pt idx="32">
                  <c:v>200</c:v>
                </c:pt>
                <c:pt idx="33">
                  <c:v>200</c:v>
                </c:pt>
                <c:pt idx="34">
                  <c:v>200</c:v>
                </c:pt>
                <c:pt idx="35">
                  <c:v>200</c:v>
                </c:pt>
                <c:pt idx="36">
                  <c:v>200</c:v>
                </c:pt>
                <c:pt idx="37">
                  <c:v>200</c:v>
                </c:pt>
                <c:pt idx="38">
                  <c:v>200</c:v>
                </c:pt>
                <c:pt idx="39">
                  <c:v>200</c:v>
                </c:pt>
                <c:pt idx="40">
                  <c:v>200</c:v>
                </c:pt>
                <c:pt idx="41">
                  <c:v>200</c:v>
                </c:pt>
                <c:pt idx="42">
                  <c:v>200</c:v>
                </c:pt>
                <c:pt idx="43">
                  <c:v>200</c:v>
                </c:pt>
                <c:pt idx="44">
                  <c:v>200</c:v>
                </c:pt>
                <c:pt idx="45">
                  <c:v>200</c:v>
                </c:pt>
                <c:pt idx="46">
                  <c:v>200</c:v>
                </c:pt>
                <c:pt idx="47">
                  <c:v>200</c:v>
                </c:pt>
                <c:pt idx="48">
                  <c:v>200</c:v>
                </c:pt>
                <c:pt idx="49">
                  <c:v>200</c:v>
                </c:pt>
                <c:pt idx="50">
                  <c:v>200</c:v>
                </c:pt>
                <c:pt idx="51">
                  <c:v>200</c:v>
                </c:pt>
                <c:pt idx="52">
                  <c:v>200</c:v>
                </c:pt>
                <c:pt idx="53">
                  <c:v>200</c:v>
                </c:pt>
                <c:pt idx="54">
                  <c:v>200</c:v>
                </c:pt>
                <c:pt idx="55">
                  <c:v>200</c:v>
                </c:pt>
                <c:pt idx="56">
                  <c:v>200</c:v>
                </c:pt>
                <c:pt idx="57">
                  <c:v>200</c:v>
                </c:pt>
                <c:pt idx="58">
                  <c:v>200</c:v>
                </c:pt>
                <c:pt idx="59">
                  <c:v>200</c:v>
                </c:pt>
                <c:pt idx="60">
                  <c:v>200</c:v>
                </c:pt>
              </c:numCache>
            </c:numRef>
          </c:val>
          <c:smooth val="0"/>
        </c:ser>
        <c:dLbls>
          <c:showLegendKey val="0"/>
          <c:showVal val="0"/>
          <c:showCatName val="0"/>
          <c:showSerName val="0"/>
          <c:showPercent val="0"/>
          <c:showBubbleSize val="0"/>
        </c:dLbls>
        <c:marker val="1"/>
        <c:smooth val="0"/>
        <c:axId val="335697792"/>
        <c:axId val="335699328"/>
      </c:lineChart>
      <c:catAx>
        <c:axId val="335697792"/>
        <c:scaling>
          <c:orientation val="minMax"/>
        </c:scaling>
        <c:delete val="0"/>
        <c:axPos val="b"/>
        <c:numFmt formatCode="General" sourceLinked="1"/>
        <c:majorTickMark val="out"/>
        <c:minorTickMark val="none"/>
        <c:tickLblPos val="nextTo"/>
        <c:txPr>
          <a:bodyPr rot="-5400000" vert="horz"/>
          <a:lstStyle/>
          <a:p>
            <a:pPr>
              <a:defRPr sz="700"/>
            </a:pPr>
            <a:endParaRPr lang="en-US"/>
          </a:p>
        </c:txPr>
        <c:crossAx val="335699328"/>
        <c:crosses val="autoZero"/>
        <c:auto val="1"/>
        <c:lblAlgn val="ctr"/>
        <c:lblOffset val="100"/>
        <c:noMultiLvlLbl val="0"/>
      </c:catAx>
      <c:valAx>
        <c:axId val="335699328"/>
        <c:scaling>
          <c:orientation val="minMax"/>
        </c:scaling>
        <c:delete val="0"/>
        <c:axPos val="l"/>
        <c:numFmt formatCode="General" sourceLinked="1"/>
        <c:majorTickMark val="out"/>
        <c:minorTickMark val="none"/>
        <c:tickLblPos val="nextTo"/>
        <c:txPr>
          <a:bodyPr/>
          <a:lstStyle/>
          <a:p>
            <a:pPr>
              <a:defRPr sz="700"/>
            </a:pPr>
            <a:endParaRPr lang="en-US"/>
          </a:p>
        </c:txPr>
        <c:crossAx val="335697792"/>
        <c:crosses val="autoZero"/>
        <c:crossBetween val="between"/>
      </c:valAx>
    </c:plotArea>
    <c:legend>
      <c:legendPos val="r"/>
      <c:legendEntry>
        <c:idx val="2"/>
        <c:txPr>
          <a:bodyPr/>
          <a:lstStyle/>
          <a:p>
            <a:pPr>
              <a:defRPr sz="700" b="0"/>
            </a:pPr>
            <a:endParaRPr lang="en-US"/>
          </a:p>
        </c:txPr>
      </c:legendEntry>
      <c:layout>
        <c:manualLayout>
          <c:xMode val="edge"/>
          <c:yMode val="edge"/>
          <c:x val="0.65193790258310658"/>
          <c:y val="8.0485160567433225E-2"/>
          <c:w val="0.33556175366078062"/>
          <c:h val="0.39414146048715482"/>
        </c:manualLayout>
      </c:layout>
      <c:overlay val="0"/>
      <c:txPr>
        <a:bodyPr/>
        <a:lstStyle/>
        <a:p>
          <a:pPr>
            <a:defRPr sz="700"/>
          </a:pPr>
          <a:endParaRPr lang="en-US"/>
        </a:p>
      </c:txPr>
    </c:legend>
    <c:plotVisOnly val="1"/>
    <c:dispBlanksAs val="gap"/>
    <c:showDLblsOverMax val="0"/>
  </c:chart>
  <c:spPr>
    <a:ln>
      <a:noFill/>
    </a:ln>
  </c:spPr>
  <c:externalData r:id="rId1">
    <c:autoUpdate val="0"/>
  </c:externalData>
</c:chartSpace>
</file>

<file path=word/charts/chart9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manualLayout>
          <c:layoutTarget val="inner"/>
          <c:xMode val="edge"/>
          <c:yMode val="edge"/>
          <c:x val="6.8330003683718304E-2"/>
          <c:y val="8.3560078021308243E-2"/>
          <c:w val="0.90490892327579364"/>
          <c:h val="0.51495916801198149"/>
        </c:manualLayout>
      </c:layout>
      <c:barChart>
        <c:barDir val="col"/>
        <c:grouping val="clustered"/>
        <c:varyColors val="0"/>
        <c:ser>
          <c:idx val="0"/>
          <c:order val="0"/>
          <c:tx>
            <c:strRef>
              <c:f>Sheet1!$B$1</c:f>
              <c:strCache>
                <c:ptCount val="1"/>
                <c:pt idx="0">
                  <c:v>Godišnja efektivna doza zračenja (mSv)</c:v>
                </c:pt>
              </c:strCache>
            </c:strRef>
          </c:tx>
          <c:invertIfNegative val="0"/>
          <c:cat>
            <c:strRef>
              <c:f>Sheet1!$A$2:$A$62</c:f>
              <c:strCache>
                <c:ptCount val="61"/>
                <c:pt idx="0">
                  <c:v>Australija</c:v>
                </c:pt>
                <c:pt idx="2">
                  <c:v>Austrija</c:v>
                </c:pt>
                <c:pt idx="4">
                  <c:v>Belgija</c:v>
                </c:pt>
                <c:pt idx="6">
                  <c:v>Kanada</c:v>
                </c:pt>
                <c:pt idx="8">
                  <c:v>Čehoslovačka</c:v>
                </c:pt>
                <c:pt idx="10">
                  <c:v>Danska</c:v>
                </c:pt>
                <c:pt idx="12">
                  <c:v>Finska</c:v>
                </c:pt>
                <c:pt idx="14">
                  <c:v>Francuska</c:v>
                </c:pt>
                <c:pt idx="16">
                  <c:v>Njemačka</c:v>
                </c:pt>
                <c:pt idx="18">
                  <c:v>Grčka</c:v>
                </c:pt>
                <c:pt idx="20">
                  <c:v>Mađarska</c:v>
                </c:pt>
                <c:pt idx="22">
                  <c:v>Irska</c:v>
                </c:pt>
                <c:pt idx="24">
                  <c:v>Italija</c:v>
                </c:pt>
                <c:pt idx="26">
                  <c:v>Japan</c:v>
                </c:pt>
                <c:pt idx="28">
                  <c:v>Holandija</c:v>
                </c:pt>
                <c:pt idx="30">
                  <c:v>Luksemburg</c:v>
                </c:pt>
                <c:pt idx="32">
                  <c:v>Meksiko</c:v>
                </c:pt>
                <c:pt idx="34">
                  <c:v>Norveška</c:v>
                </c:pt>
                <c:pt idx="36">
                  <c:v>Poljska</c:v>
                </c:pt>
                <c:pt idx="38">
                  <c:v>Novi Zeland</c:v>
                </c:pt>
                <c:pt idx="40">
                  <c:v>Slovačka</c:v>
                </c:pt>
                <c:pt idx="42">
                  <c:v>Republika Koreja</c:v>
                </c:pt>
                <c:pt idx="44">
                  <c:v>Švajcarska</c:v>
                </c:pt>
                <c:pt idx="46">
                  <c:v>Portugalija</c:v>
                </c:pt>
                <c:pt idx="48">
                  <c:v>Norveška</c:v>
                </c:pt>
                <c:pt idx="50">
                  <c:v>Island</c:v>
                </c:pt>
                <c:pt idx="52">
                  <c:v>Engleska</c:v>
                </c:pt>
                <c:pt idx="54">
                  <c:v>Švedska</c:v>
                </c:pt>
                <c:pt idx="56">
                  <c:v>Španija</c:v>
                </c:pt>
                <c:pt idx="58">
                  <c:v>USA</c:v>
                </c:pt>
                <c:pt idx="60">
                  <c:v>Crna Gora </c:v>
                </c:pt>
              </c:strCache>
            </c:strRef>
          </c:cat>
          <c:val>
            <c:numRef>
              <c:f>Sheet1!$B$2:$B$62</c:f>
              <c:numCache>
                <c:formatCode>General</c:formatCode>
                <c:ptCount val="61"/>
                <c:pt idx="0">
                  <c:v>0.27500000000000002</c:v>
                </c:pt>
                <c:pt idx="2">
                  <c:v>2.48</c:v>
                </c:pt>
                <c:pt idx="4">
                  <c:v>1.2</c:v>
                </c:pt>
                <c:pt idx="6">
                  <c:v>0.70000000000000062</c:v>
                </c:pt>
                <c:pt idx="8">
                  <c:v>3.5</c:v>
                </c:pt>
                <c:pt idx="10">
                  <c:v>1.48</c:v>
                </c:pt>
                <c:pt idx="12">
                  <c:v>3</c:v>
                </c:pt>
                <c:pt idx="14">
                  <c:v>2.2200000000000002</c:v>
                </c:pt>
                <c:pt idx="16">
                  <c:v>1.224999999999949</c:v>
                </c:pt>
                <c:pt idx="18">
                  <c:v>1.3800000000000001</c:v>
                </c:pt>
                <c:pt idx="20">
                  <c:v>2.0499999999999998</c:v>
                </c:pt>
                <c:pt idx="22">
                  <c:v>2.2250000000000001</c:v>
                </c:pt>
                <c:pt idx="24">
                  <c:v>1.75</c:v>
                </c:pt>
                <c:pt idx="26">
                  <c:v>0.4</c:v>
                </c:pt>
                <c:pt idx="28">
                  <c:v>0.57500000000000062</c:v>
                </c:pt>
                <c:pt idx="30">
                  <c:v>2.75</c:v>
                </c:pt>
                <c:pt idx="32">
                  <c:v>3.5</c:v>
                </c:pt>
                <c:pt idx="34">
                  <c:v>2.2250000000000001</c:v>
                </c:pt>
                <c:pt idx="36">
                  <c:v>1.224999999999949</c:v>
                </c:pt>
                <c:pt idx="38">
                  <c:v>0.55000000000000004</c:v>
                </c:pt>
                <c:pt idx="40">
                  <c:v>2.17</c:v>
                </c:pt>
                <c:pt idx="42">
                  <c:v>1.325</c:v>
                </c:pt>
                <c:pt idx="44">
                  <c:v>1.9500000000000361</c:v>
                </c:pt>
                <c:pt idx="46">
                  <c:v>1.55</c:v>
                </c:pt>
                <c:pt idx="48">
                  <c:v>2.2250000000000001</c:v>
                </c:pt>
                <c:pt idx="50">
                  <c:v>0.25</c:v>
                </c:pt>
                <c:pt idx="52">
                  <c:v>0.5</c:v>
                </c:pt>
                <c:pt idx="54">
                  <c:v>2.7</c:v>
                </c:pt>
                <c:pt idx="56">
                  <c:v>2.25</c:v>
                </c:pt>
                <c:pt idx="58">
                  <c:v>1.1499999999999544</c:v>
                </c:pt>
                <c:pt idx="60">
                  <c:v>2.65</c:v>
                </c:pt>
              </c:numCache>
            </c:numRef>
          </c:val>
        </c:ser>
        <c:dLbls>
          <c:showLegendKey val="0"/>
          <c:showVal val="0"/>
          <c:showCatName val="0"/>
          <c:showSerName val="0"/>
          <c:showPercent val="0"/>
          <c:showBubbleSize val="0"/>
        </c:dLbls>
        <c:gapWidth val="150"/>
        <c:axId val="335773056"/>
        <c:axId val="335750272"/>
      </c:barChart>
      <c:catAx>
        <c:axId val="335773056"/>
        <c:scaling>
          <c:orientation val="minMax"/>
        </c:scaling>
        <c:delete val="0"/>
        <c:axPos val="b"/>
        <c:numFmt formatCode="General" sourceLinked="1"/>
        <c:majorTickMark val="out"/>
        <c:minorTickMark val="none"/>
        <c:tickLblPos val="nextTo"/>
        <c:txPr>
          <a:bodyPr rot="-5400000" vert="horz"/>
          <a:lstStyle/>
          <a:p>
            <a:pPr>
              <a:defRPr sz="700"/>
            </a:pPr>
            <a:endParaRPr lang="en-US"/>
          </a:p>
        </c:txPr>
        <c:crossAx val="335750272"/>
        <c:crosses val="autoZero"/>
        <c:auto val="1"/>
        <c:lblAlgn val="ctr"/>
        <c:lblOffset val="100"/>
        <c:noMultiLvlLbl val="0"/>
      </c:catAx>
      <c:valAx>
        <c:axId val="335750272"/>
        <c:scaling>
          <c:orientation val="minMax"/>
        </c:scaling>
        <c:delete val="0"/>
        <c:axPos val="l"/>
        <c:numFmt formatCode="General" sourceLinked="1"/>
        <c:majorTickMark val="out"/>
        <c:minorTickMark val="none"/>
        <c:tickLblPos val="nextTo"/>
        <c:txPr>
          <a:bodyPr/>
          <a:lstStyle/>
          <a:p>
            <a:pPr>
              <a:defRPr sz="700"/>
            </a:pPr>
            <a:endParaRPr lang="en-US"/>
          </a:p>
        </c:txPr>
        <c:crossAx val="335773056"/>
        <c:crosses val="autoZero"/>
        <c:crossBetween val="between"/>
      </c:valAx>
    </c:plotArea>
    <c:legend>
      <c:legendPos val="b"/>
      <c:layout>
        <c:manualLayout>
          <c:xMode val="edge"/>
          <c:yMode val="edge"/>
          <c:x val="0.54565847085660002"/>
          <c:y val="4.6963515289341014E-2"/>
          <c:w val="0.34659133466109293"/>
          <c:h val="0.10983933376838009"/>
        </c:manualLayout>
      </c:layout>
      <c:overlay val="0"/>
      <c:txPr>
        <a:bodyPr/>
        <a:lstStyle/>
        <a:p>
          <a:pPr>
            <a:defRPr sz="700"/>
          </a:pPr>
          <a:endParaRPr lang="en-US"/>
        </a:p>
      </c:txPr>
    </c:legend>
    <c:plotVisOnly val="1"/>
    <c:dispBlanksAs val="gap"/>
    <c:showDLblsOverMax val="0"/>
  </c:chart>
  <c:spPr>
    <a:ln>
      <a:noFill/>
    </a:ln>
  </c:spPr>
  <c:externalData r:id="rId1">
    <c:autoUpdate val="0"/>
  </c:externalData>
</c:chartSpace>
</file>

<file path=word/charts/chart9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barChart>
        <c:barDir val="col"/>
        <c:grouping val="clustered"/>
        <c:varyColors val="0"/>
        <c:ser>
          <c:idx val="0"/>
          <c:order val="0"/>
          <c:tx>
            <c:strRef>
              <c:f>Sheet1!$B$1</c:f>
              <c:strCache>
                <c:ptCount val="1"/>
                <c:pt idx="0">
                  <c:v>Specifična aktivnost radijuma (Bq/kg)</c:v>
                </c:pt>
              </c:strCache>
            </c:strRef>
          </c:tx>
          <c:invertIfNegative val="0"/>
          <c:cat>
            <c:numRef>
              <c:f>Sheet1!$A$2:$A$6</c:f>
              <c:numCache>
                <c:formatCode>General</c:formatCode>
                <c:ptCount val="5"/>
              </c:numCache>
            </c:numRef>
          </c:cat>
          <c:val>
            <c:numRef>
              <c:f>Sheet1!$B$2:$B$6</c:f>
              <c:numCache>
                <c:formatCode>General</c:formatCode>
                <c:ptCount val="5"/>
                <c:pt idx="1">
                  <c:v>25.2</c:v>
                </c:pt>
                <c:pt idx="3">
                  <c:v>8.1</c:v>
                </c:pt>
              </c:numCache>
            </c:numRef>
          </c:val>
        </c:ser>
        <c:dLbls>
          <c:showLegendKey val="0"/>
          <c:showVal val="0"/>
          <c:showCatName val="0"/>
          <c:showSerName val="0"/>
          <c:showPercent val="0"/>
          <c:showBubbleSize val="0"/>
        </c:dLbls>
        <c:gapWidth val="150"/>
        <c:axId val="337066624"/>
        <c:axId val="337072512"/>
      </c:barChart>
      <c:lineChart>
        <c:grouping val="standard"/>
        <c:varyColors val="0"/>
        <c:ser>
          <c:idx val="1"/>
          <c:order val="1"/>
          <c:tx>
            <c:strRef>
              <c:f>Sheet1!$C$1</c:f>
              <c:strCache>
                <c:ptCount val="1"/>
                <c:pt idx="0">
                  <c:v>Granica kontaminacije - upotreba za eksterijer</c:v>
                </c:pt>
              </c:strCache>
            </c:strRef>
          </c:tx>
          <c:spPr>
            <a:ln w="38100"/>
          </c:spPr>
          <c:marker>
            <c:symbol val="none"/>
          </c:marker>
          <c:cat>
            <c:numRef>
              <c:f>Sheet1!$A$2:$A$6</c:f>
              <c:numCache>
                <c:formatCode>General</c:formatCode>
                <c:ptCount val="5"/>
              </c:numCache>
            </c:numRef>
          </c:cat>
          <c:val>
            <c:numRef>
              <c:f>Sheet1!$C$2:$C$6</c:f>
              <c:numCache>
                <c:formatCode>General</c:formatCode>
                <c:ptCount val="5"/>
                <c:pt idx="0">
                  <c:v>400</c:v>
                </c:pt>
                <c:pt idx="1">
                  <c:v>400</c:v>
                </c:pt>
                <c:pt idx="2">
                  <c:v>400</c:v>
                </c:pt>
                <c:pt idx="3">
                  <c:v>400</c:v>
                </c:pt>
                <c:pt idx="4">
                  <c:v>400</c:v>
                </c:pt>
              </c:numCache>
            </c:numRef>
          </c:val>
          <c:smooth val="0"/>
        </c:ser>
        <c:ser>
          <c:idx val="2"/>
          <c:order val="2"/>
          <c:tx>
            <c:strRef>
              <c:f>Sheet1!$D$1</c:f>
              <c:strCache>
                <c:ptCount val="1"/>
                <c:pt idx="0">
                  <c:v>Granica kontaminacije - upotreba za enterijer</c:v>
                </c:pt>
              </c:strCache>
            </c:strRef>
          </c:tx>
          <c:spPr>
            <a:ln w="38100"/>
          </c:spPr>
          <c:marker>
            <c:symbol val="none"/>
          </c:marker>
          <c:cat>
            <c:numRef>
              <c:f>Sheet1!$A$2:$A$6</c:f>
              <c:numCache>
                <c:formatCode>General</c:formatCode>
                <c:ptCount val="5"/>
              </c:numCache>
            </c:numRef>
          </c:cat>
          <c:val>
            <c:numRef>
              <c:f>Sheet1!$D$2:$D$6</c:f>
              <c:numCache>
                <c:formatCode>General</c:formatCode>
                <c:ptCount val="5"/>
                <c:pt idx="0">
                  <c:v>200</c:v>
                </c:pt>
                <c:pt idx="1">
                  <c:v>200</c:v>
                </c:pt>
                <c:pt idx="2">
                  <c:v>200</c:v>
                </c:pt>
                <c:pt idx="3">
                  <c:v>200</c:v>
                </c:pt>
                <c:pt idx="4">
                  <c:v>200</c:v>
                </c:pt>
              </c:numCache>
            </c:numRef>
          </c:val>
          <c:smooth val="0"/>
        </c:ser>
        <c:dLbls>
          <c:showLegendKey val="0"/>
          <c:showVal val="0"/>
          <c:showCatName val="0"/>
          <c:showSerName val="0"/>
          <c:showPercent val="0"/>
          <c:showBubbleSize val="0"/>
        </c:dLbls>
        <c:marker val="1"/>
        <c:smooth val="0"/>
        <c:axId val="337066624"/>
        <c:axId val="337072512"/>
      </c:lineChart>
      <c:catAx>
        <c:axId val="337066624"/>
        <c:scaling>
          <c:orientation val="minMax"/>
        </c:scaling>
        <c:delete val="0"/>
        <c:axPos val="b"/>
        <c:numFmt formatCode="General" sourceLinked="1"/>
        <c:majorTickMark val="out"/>
        <c:minorTickMark val="none"/>
        <c:tickLblPos val="nextTo"/>
        <c:crossAx val="337072512"/>
        <c:crosses val="autoZero"/>
        <c:auto val="1"/>
        <c:lblAlgn val="ctr"/>
        <c:lblOffset val="100"/>
        <c:noMultiLvlLbl val="0"/>
      </c:catAx>
      <c:valAx>
        <c:axId val="337072512"/>
        <c:scaling>
          <c:orientation val="minMax"/>
        </c:scaling>
        <c:delete val="0"/>
        <c:axPos val="l"/>
        <c:numFmt formatCode="General" sourceLinked="1"/>
        <c:majorTickMark val="out"/>
        <c:minorTickMark val="none"/>
        <c:tickLblPos val="nextTo"/>
        <c:txPr>
          <a:bodyPr/>
          <a:lstStyle/>
          <a:p>
            <a:pPr>
              <a:defRPr sz="700"/>
            </a:pPr>
            <a:endParaRPr lang="en-US"/>
          </a:p>
        </c:txPr>
        <c:crossAx val="337066624"/>
        <c:crosses val="autoZero"/>
        <c:crossBetween val="between"/>
      </c:valAx>
    </c:plotArea>
    <c:legend>
      <c:legendPos val="r"/>
      <c:legendEntry>
        <c:idx val="2"/>
        <c:txPr>
          <a:bodyPr/>
          <a:lstStyle/>
          <a:p>
            <a:pPr>
              <a:defRPr sz="700" b="0"/>
            </a:pPr>
            <a:endParaRPr lang="en-US"/>
          </a:p>
        </c:txPr>
      </c:legendEntry>
      <c:layout>
        <c:manualLayout>
          <c:xMode val="edge"/>
          <c:yMode val="edge"/>
          <c:x val="0.64954268594562026"/>
          <c:y val="0.11062480606633412"/>
          <c:w val="0.3355617536607805"/>
          <c:h val="0.49465113892087781"/>
        </c:manualLayout>
      </c:layout>
      <c:overlay val="0"/>
      <c:txPr>
        <a:bodyPr/>
        <a:lstStyle/>
        <a:p>
          <a:pPr>
            <a:defRPr sz="700"/>
          </a:pPr>
          <a:endParaRPr lang="en-US"/>
        </a:p>
      </c:txPr>
    </c:legend>
    <c:plotVisOnly val="1"/>
    <c:dispBlanksAs val="gap"/>
    <c:showDLblsOverMax val="0"/>
  </c:chart>
  <c:spPr>
    <a:ln>
      <a:noFill/>
    </a:ln>
  </c:sp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CB7E2C2-2391-4E04-B0F3-DA0762D5A91D}" type="doc">
      <dgm:prSet loTypeId="urn:microsoft.com/office/officeart/2005/8/layout/cycle2" loCatId="cycle" qsTypeId="urn:microsoft.com/office/officeart/2005/8/quickstyle/simple1" qsCatId="simple" csTypeId="urn:microsoft.com/office/officeart/2005/8/colors/colorful1#1" csCatId="colorful" phldr="1"/>
      <dgm:spPr>
        <a:scene3d>
          <a:camera prst="orthographicFront"/>
          <a:lightRig rig="contrasting" dir="t"/>
        </a:scene3d>
      </dgm:spPr>
      <dgm:t>
        <a:bodyPr/>
        <a:lstStyle/>
        <a:p>
          <a:endParaRPr lang="en-US"/>
        </a:p>
      </dgm:t>
    </dgm:pt>
    <dgm:pt modelId="{ED981D3F-3AA1-4371-9FB3-371E77CCD39F}">
      <dgm:prSet phldrT="[Text]" custT="1"/>
      <dgm:spPr>
        <a:solidFill>
          <a:schemeClr val="accent2">
            <a:lumMod val="60000"/>
            <a:lumOff val="40000"/>
          </a:schemeClr>
        </a:solidFill>
        <a:ln>
          <a:solidFill>
            <a:schemeClr val="accent2">
              <a:lumMod val="75000"/>
            </a:schemeClr>
          </a:solidFill>
        </a:ln>
        <a:scene3d>
          <a:camera prst="orthographicFront"/>
          <a:lightRig rig="contrasting" dir="t"/>
        </a:scene3d>
        <a:sp3d>
          <a:bevelB w="114300" prst="artDeco"/>
        </a:sp3d>
      </dgm:spPr>
      <dgm:t>
        <a:bodyPr/>
        <a:lstStyle/>
        <a:p>
          <a:pPr algn="ctr"/>
          <a:r>
            <a:rPr lang="sr-Latn-CS" sz="1000" b="1">
              <a:solidFill>
                <a:schemeClr val="accent6">
                  <a:lumMod val="50000"/>
                </a:schemeClr>
              </a:solidFill>
              <a:latin typeface="Constantia" pitchFamily="18" charset="0"/>
            </a:rPr>
            <a:t>POKRETAČI</a:t>
          </a:r>
          <a:r>
            <a:rPr lang="sr-Latn-CS" sz="800" b="1">
              <a:solidFill>
                <a:schemeClr val="accent6">
                  <a:lumMod val="50000"/>
                </a:schemeClr>
              </a:solidFill>
              <a:latin typeface="Constantia" pitchFamily="18" charset="0"/>
            </a:rPr>
            <a:t> </a:t>
          </a:r>
        </a:p>
        <a:p>
          <a:pPr algn="ctr"/>
          <a:r>
            <a:rPr lang="sr-Latn-CS" sz="700" b="1">
              <a:solidFill>
                <a:schemeClr val="accent6">
                  <a:lumMod val="50000"/>
                </a:schemeClr>
              </a:solidFill>
              <a:latin typeface="Constantia" pitchFamily="18" charset="0"/>
            </a:rPr>
            <a:t> </a:t>
          </a:r>
          <a:r>
            <a:rPr lang="sr-Latn-CS" sz="700">
              <a:solidFill>
                <a:schemeClr val="accent6">
                  <a:lumMod val="50000"/>
                </a:schemeClr>
              </a:solidFill>
              <a:latin typeface="Constantia" pitchFamily="18" charset="0"/>
            </a:rPr>
            <a:t>(osnovni pokretači negativnih uticaja)</a:t>
          </a:r>
        </a:p>
        <a:p>
          <a:pPr algn="ctr"/>
          <a:r>
            <a:rPr lang="sr-Latn-CS" sz="700" strike="noStrike">
              <a:solidFill>
                <a:schemeClr val="accent6">
                  <a:lumMod val="50000"/>
                </a:schemeClr>
              </a:solidFill>
              <a:latin typeface="Constantia" pitchFamily="18" charset="0"/>
            </a:rPr>
            <a:t>- </a:t>
          </a:r>
          <a:r>
            <a:rPr lang="sr-Latn-CS" sz="700" b="1" strike="noStrike">
              <a:solidFill>
                <a:schemeClr val="accent6">
                  <a:lumMod val="50000"/>
                </a:schemeClr>
              </a:solidFill>
              <a:latin typeface="Constantia" pitchFamily="18" charset="0"/>
            </a:rPr>
            <a:t>STANOVNIŠTVO</a:t>
          </a:r>
        </a:p>
        <a:p>
          <a:pPr algn="ctr"/>
          <a:r>
            <a:rPr lang="sr-Latn-CS" sz="700" b="1" strike="noStrike">
              <a:solidFill>
                <a:schemeClr val="accent6">
                  <a:lumMod val="50000"/>
                </a:schemeClr>
              </a:solidFill>
              <a:latin typeface="Constantia" pitchFamily="18" charset="0"/>
            </a:rPr>
            <a:t>- TURIZAM</a:t>
          </a:r>
          <a:endParaRPr lang="x-none" sz="700" b="1" strike="noStrike">
            <a:solidFill>
              <a:schemeClr val="accent6">
                <a:lumMod val="50000"/>
              </a:schemeClr>
            </a:solidFill>
            <a:latin typeface="Constantia" pitchFamily="18" charset="0"/>
          </a:endParaRPr>
        </a:p>
        <a:p>
          <a:pPr algn="ctr"/>
          <a:r>
            <a:rPr lang="x-none" sz="700" b="1" strike="noStrike">
              <a:solidFill>
                <a:schemeClr val="accent6">
                  <a:lumMod val="50000"/>
                </a:schemeClr>
              </a:solidFill>
              <a:latin typeface="Constantia" pitchFamily="18" charset="0"/>
            </a:rPr>
            <a:t>-</a:t>
          </a:r>
          <a:r>
            <a:rPr lang="sr-Latn-CS" sz="700" b="1" strike="noStrike">
              <a:solidFill>
                <a:schemeClr val="accent6">
                  <a:lumMod val="50000"/>
                </a:schemeClr>
              </a:solidFill>
              <a:latin typeface="Constantia" pitchFamily="18" charset="0"/>
            </a:rPr>
            <a:t> </a:t>
          </a:r>
          <a:r>
            <a:rPr lang="x-none" sz="700" b="1" strike="noStrike">
              <a:solidFill>
                <a:schemeClr val="accent6">
                  <a:lumMod val="50000"/>
                </a:schemeClr>
              </a:solidFill>
              <a:latin typeface="Constantia" pitchFamily="18" charset="0"/>
            </a:rPr>
            <a:t>ENERGETSKI SEKTOR </a:t>
          </a:r>
        </a:p>
        <a:p>
          <a:pPr algn="ctr"/>
          <a:r>
            <a:rPr lang="x-none" sz="700" b="1" strike="noStrike">
              <a:solidFill>
                <a:schemeClr val="accent6">
                  <a:lumMod val="50000"/>
                </a:schemeClr>
              </a:solidFill>
              <a:latin typeface="Constantia" pitchFamily="18" charset="0"/>
            </a:rPr>
            <a:t>-</a:t>
          </a:r>
          <a:r>
            <a:rPr lang="sr-Latn-CS" sz="700" b="1" strike="noStrike">
              <a:solidFill>
                <a:schemeClr val="accent6">
                  <a:lumMod val="50000"/>
                </a:schemeClr>
              </a:solidFill>
              <a:latin typeface="Constantia" pitchFamily="18" charset="0"/>
            </a:rPr>
            <a:t> SAOBRAĆAJ</a:t>
          </a:r>
          <a:endParaRPr lang="x-none" sz="700" b="1" strike="noStrike">
            <a:solidFill>
              <a:schemeClr val="accent6">
                <a:lumMod val="50000"/>
              </a:schemeClr>
            </a:solidFill>
            <a:latin typeface="Constantia" pitchFamily="18" charset="0"/>
          </a:endParaRPr>
        </a:p>
        <a:p>
          <a:pPr algn="ctr"/>
          <a:r>
            <a:rPr lang="x-none" sz="700" b="1">
              <a:solidFill>
                <a:schemeClr val="accent6">
                  <a:lumMod val="50000"/>
                </a:schemeClr>
              </a:solidFill>
              <a:latin typeface="Constantia" pitchFamily="18" charset="0"/>
            </a:rPr>
            <a:t>-</a:t>
          </a:r>
          <a:r>
            <a:rPr lang="sr-Latn-CS" sz="700" b="1">
              <a:solidFill>
                <a:schemeClr val="accent6">
                  <a:lumMod val="50000"/>
                </a:schemeClr>
              </a:solidFill>
              <a:latin typeface="Constantia" pitchFamily="18" charset="0"/>
            </a:rPr>
            <a:t> </a:t>
          </a:r>
          <a:r>
            <a:rPr lang="x-none" sz="700" b="1">
              <a:solidFill>
                <a:schemeClr val="accent6">
                  <a:lumMod val="50000"/>
                </a:schemeClr>
              </a:solidFill>
              <a:latin typeface="Constantia" pitchFamily="18" charset="0"/>
            </a:rPr>
            <a:t>INDUSTRIJA </a:t>
          </a:r>
          <a:endParaRPr lang="en-US" sz="700" b="1">
            <a:solidFill>
              <a:schemeClr val="accent6">
                <a:lumMod val="50000"/>
              </a:schemeClr>
            </a:solidFill>
            <a:latin typeface="Constantia" pitchFamily="18" charset="0"/>
          </a:endParaRPr>
        </a:p>
      </dgm:t>
    </dgm:pt>
    <dgm:pt modelId="{4CE7A228-8B36-4E0D-933B-349DA0077B68}" type="parTrans" cxnId="{2EF0E9E6-27BF-4268-8AA6-EFAA762E45E9}">
      <dgm:prSet/>
      <dgm:spPr/>
      <dgm:t>
        <a:bodyPr/>
        <a:lstStyle/>
        <a:p>
          <a:pPr algn="ctr"/>
          <a:endParaRPr lang="en-US" sz="700">
            <a:latin typeface="Constantia" pitchFamily="18" charset="0"/>
          </a:endParaRPr>
        </a:p>
      </dgm:t>
    </dgm:pt>
    <dgm:pt modelId="{07A64F9E-EED4-42D8-8B94-A008FDBFF797}" type="sibTrans" cxnId="{2EF0E9E6-27BF-4268-8AA6-EFAA762E45E9}">
      <dgm:prSet custT="1"/>
      <dgm:spPr>
        <a:solidFill>
          <a:schemeClr val="accent2">
            <a:lumMod val="60000"/>
            <a:lumOff val="40000"/>
          </a:schemeClr>
        </a:solidFill>
        <a:ln>
          <a:solidFill>
            <a:schemeClr val="accent2">
              <a:lumMod val="75000"/>
            </a:schemeClr>
          </a:solidFill>
        </a:ln>
        <a:scene3d>
          <a:camera prst="orthographicFront"/>
          <a:lightRig rig="contrasting" dir="t"/>
        </a:scene3d>
        <a:sp3d>
          <a:bevelB w="114300" prst="artDeco"/>
        </a:sp3d>
      </dgm:spPr>
      <dgm:t>
        <a:bodyPr/>
        <a:lstStyle/>
        <a:p>
          <a:pPr algn="ctr"/>
          <a:endParaRPr lang="en-US" sz="700">
            <a:latin typeface="Constantia" pitchFamily="18" charset="0"/>
          </a:endParaRPr>
        </a:p>
      </dgm:t>
    </dgm:pt>
    <dgm:pt modelId="{D957AC70-2E50-484F-B9B8-7ED4502AC4C6}">
      <dgm:prSet phldrT="[Text]" custT="1"/>
      <dgm:spPr>
        <a:solidFill>
          <a:schemeClr val="bg1">
            <a:lumMod val="65000"/>
          </a:schemeClr>
        </a:solidFill>
        <a:ln>
          <a:solidFill>
            <a:schemeClr val="tx1">
              <a:lumMod val="65000"/>
              <a:lumOff val="35000"/>
            </a:schemeClr>
          </a:solidFill>
        </a:ln>
        <a:scene3d>
          <a:camera prst="orthographicFront"/>
          <a:lightRig rig="contrasting" dir="t"/>
        </a:scene3d>
        <a:sp3d>
          <a:bevelB w="114300" prst="artDeco"/>
        </a:sp3d>
      </dgm:spPr>
      <dgm:t>
        <a:bodyPr/>
        <a:lstStyle/>
        <a:p>
          <a:pPr algn="ctr"/>
          <a:r>
            <a:rPr lang="x-none" sz="1000" b="1">
              <a:solidFill>
                <a:sysClr val="windowText" lastClr="000000"/>
              </a:solidFill>
              <a:latin typeface="Constantia" pitchFamily="18" charset="0"/>
            </a:rPr>
            <a:t>PRITIS</a:t>
          </a:r>
          <a:r>
            <a:rPr lang="sr-Latn-CS" sz="1000" b="1">
              <a:solidFill>
                <a:sysClr val="windowText" lastClr="000000"/>
              </a:solidFill>
              <a:latin typeface="Constantia" pitchFamily="18" charset="0"/>
            </a:rPr>
            <a:t>CI</a:t>
          </a:r>
        </a:p>
        <a:p>
          <a:pPr algn="ctr"/>
          <a:r>
            <a:rPr lang="sr-Latn-CS" sz="700" b="1" strike="noStrike">
              <a:solidFill>
                <a:sysClr val="windowText" lastClr="000000"/>
              </a:solidFill>
              <a:latin typeface="Constantia" pitchFamily="18" charset="0"/>
            </a:rPr>
            <a:t>(ljudske aktivnosti koje ugrožavaju životnu okolinu</a:t>
          </a:r>
          <a:r>
            <a:rPr lang="sr-Latn-CS" sz="700" b="1" strike="noStrike">
              <a:solidFill>
                <a:schemeClr val="accent2">
                  <a:lumMod val="20000"/>
                  <a:lumOff val="80000"/>
                </a:schemeClr>
              </a:solidFill>
              <a:latin typeface="Constantia" pitchFamily="18" charset="0"/>
            </a:rPr>
            <a:t>)</a:t>
          </a:r>
          <a:endParaRPr lang="x-none" sz="700" b="1" strike="noStrike">
            <a:solidFill>
              <a:schemeClr val="accent2">
                <a:lumMod val="20000"/>
                <a:lumOff val="80000"/>
              </a:schemeClr>
            </a:solidFill>
            <a:latin typeface="Constantia" pitchFamily="18" charset="0"/>
          </a:endParaRPr>
        </a:p>
        <a:p>
          <a:pPr algn="ctr"/>
          <a:r>
            <a:rPr lang="x-none" sz="700" b="1">
              <a:solidFill>
                <a:schemeClr val="accent2">
                  <a:lumMod val="20000"/>
                  <a:lumOff val="80000"/>
                </a:schemeClr>
              </a:solidFill>
              <a:latin typeface="Constantia" pitchFamily="18" charset="0"/>
            </a:rPr>
            <a:t>- </a:t>
          </a:r>
          <a:r>
            <a:rPr lang="x-none" sz="700" b="1">
              <a:solidFill>
                <a:sysClr val="windowText" lastClr="000000"/>
              </a:solidFill>
              <a:latin typeface="Constantia" pitchFamily="18" charset="0"/>
            </a:rPr>
            <a:t>EMISIJ</a:t>
          </a:r>
          <a:r>
            <a:rPr lang="sr-Latn-CS" sz="700" b="1">
              <a:solidFill>
                <a:sysClr val="windowText" lastClr="000000"/>
              </a:solidFill>
              <a:latin typeface="Constantia" pitchFamily="18" charset="0"/>
            </a:rPr>
            <a:t>E ZAGAĐUJUĆIH MATERIJA U VODU, VAZDUH I ZEMLJIŠTE</a:t>
          </a:r>
        </a:p>
        <a:p>
          <a:pPr algn="ctr"/>
          <a:r>
            <a:rPr lang="sr-Latn-CS" sz="700" b="1">
              <a:solidFill>
                <a:sysClr val="windowText" lastClr="000000"/>
              </a:solidFill>
              <a:latin typeface="Constantia" pitchFamily="18" charset="0"/>
            </a:rPr>
            <a:t>- DEGRADACIJA ZEMLJIŠTA</a:t>
          </a:r>
        </a:p>
        <a:p>
          <a:pPr algn="ctr"/>
          <a:r>
            <a:rPr lang="sr-Latn-CS" sz="700" b="1">
              <a:solidFill>
                <a:sysClr val="windowText" lastClr="000000"/>
              </a:solidFill>
              <a:latin typeface="Constantia" pitchFamily="18" charset="0"/>
            </a:rPr>
            <a:t>- SJEČA ŠUMA</a:t>
          </a:r>
          <a:endParaRPr lang="x-none" sz="700" b="1">
            <a:solidFill>
              <a:sysClr val="windowText" lastClr="000000"/>
            </a:solidFill>
            <a:latin typeface="Constantia" pitchFamily="18" charset="0"/>
          </a:endParaRPr>
        </a:p>
      </dgm:t>
    </dgm:pt>
    <dgm:pt modelId="{F03EB290-471F-42DA-AA27-B7C49AEBD05A}" type="parTrans" cxnId="{5E53B5DB-BD06-4B66-8C1B-13A76CDB6DC7}">
      <dgm:prSet/>
      <dgm:spPr/>
      <dgm:t>
        <a:bodyPr/>
        <a:lstStyle/>
        <a:p>
          <a:pPr algn="ctr"/>
          <a:endParaRPr lang="en-US" sz="700">
            <a:latin typeface="Constantia" pitchFamily="18" charset="0"/>
          </a:endParaRPr>
        </a:p>
      </dgm:t>
    </dgm:pt>
    <dgm:pt modelId="{6B0E0235-6ABB-4334-9FF4-89E2E8803D24}" type="sibTrans" cxnId="{5E53B5DB-BD06-4B66-8C1B-13A76CDB6DC7}">
      <dgm:prSet custT="1"/>
      <dgm:spPr>
        <a:solidFill>
          <a:schemeClr val="bg1">
            <a:lumMod val="65000"/>
          </a:schemeClr>
        </a:solidFill>
        <a:ln>
          <a:solidFill>
            <a:schemeClr val="tx1">
              <a:lumMod val="65000"/>
              <a:lumOff val="35000"/>
            </a:schemeClr>
          </a:solidFill>
        </a:ln>
        <a:scene3d>
          <a:camera prst="orthographicFront"/>
          <a:lightRig rig="contrasting" dir="t"/>
        </a:scene3d>
        <a:sp3d>
          <a:bevelB w="114300" prst="artDeco"/>
        </a:sp3d>
      </dgm:spPr>
      <dgm:t>
        <a:bodyPr/>
        <a:lstStyle/>
        <a:p>
          <a:pPr algn="ctr"/>
          <a:endParaRPr lang="en-US" sz="700">
            <a:latin typeface="Constantia" pitchFamily="18" charset="0"/>
          </a:endParaRPr>
        </a:p>
      </dgm:t>
    </dgm:pt>
    <dgm:pt modelId="{897BB9D6-E988-4753-9798-F902535614C4}">
      <dgm:prSet phldrT="[Text]" custT="1"/>
      <dgm:spPr>
        <a:solidFill>
          <a:schemeClr val="accent4">
            <a:lumMod val="60000"/>
            <a:lumOff val="40000"/>
          </a:schemeClr>
        </a:solidFill>
        <a:ln>
          <a:solidFill>
            <a:schemeClr val="accent4">
              <a:lumMod val="75000"/>
            </a:schemeClr>
          </a:solidFill>
        </a:ln>
        <a:scene3d>
          <a:camera prst="orthographicFront"/>
          <a:lightRig rig="contrasting" dir="t"/>
        </a:scene3d>
        <a:sp3d>
          <a:bevelB w="114300" prst="artDeco"/>
        </a:sp3d>
      </dgm:spPr>
      <dgm:t>
        <a:bodyPr/>
        <a:lstStyle/>
        <a:p>
          <a:pPr algn="ctr"/>
          <a:r>
            <a:rPr lang="x-none" sz="1000" b="1">
              <a:solidFill>
                <a:sysClr val="windowText" lastClr="000000"/>
              </a:solidFill>
              <a:latin typeface="Constantia" pitchFamily="18" charset="0"/>
            </a:rPr>
            <a:t>STANJE</a:t>
          </a:r>
          <a:r>
            <a:rPr lang="x-none" sz="700">
              <a:solidFill>
                <a:sysClr val="windowText" lastClr="000000"/>
              </a:solidFill>
              <a:latin typeface="Constantia" pitchFamily="18" charset="0"/>
            </a:rPr>
            <a:t> </a:t>
          </a:r>
        </a:p>
        <a:p>
          <a:pPr algn="ctr"/>
          <a:r>
            <a:rPr lang="x-none" sz="700" b="1">
              <a:solidFill>
                <a:sysClr val="windowText" lastClr="000000"/>
              </a:solidFill>
              <a:latin typeface="Constantia" pitchFamily="18" charset="0"/>
            </a:rPr>
            <a:t>(</a:t>
          </a:r>
          <a:r>
            <a:rPr lang="sr-Latn-CS" sz="700" b="1">
              <a:solidFill>
                <a:sysClr val="windowText" lastClr="000000"/>
              </a:solidFill>
              <a:latin typeface="Constantia" pitchFamily="18" charset="0"/>
            </a:rPr>
            <a:t>kvalitativni i kvantitavni pokazatelji stanja životne sredine</a:t>
          </a:r>
          <a:r>
            <a:rPr lang="x-none" sz="700" b="1">
              <a:solidFill>
                <a:sysClr val="windowText" lastClr="000000"/>
              </a:solidFill>
              <a:latin typeface="Constantia" pitchFamily="18" charset="0"/>
            </a:rPr>
            <a:t>) </a:t>
          </a:r>
        </a:p>
        <a:p>
          <a:pPr algn="ctr"/>
          <a:r>
            <a:rPr lang="x-none" sz="700">
              <a:solidFill>
                <a:sysClr val="windowText" lastClr="000000"/>
              </a:solidFill>
              <a:latin typeface="Constantia" pitchFamily="18" charset="0"/>
            </a:rPr>
            <a:t>-</a:t>
          </a:r>
          <a:r>
            <a:rPr lang="sr-Latn-CS" sz="700" b="1">
              <a:solidFill>
                <a:sysClr val="windowText" lastClr="000000"/>
              </a:solidFill>
              <a:latin typeface="Constantia" pitchFamily="18" charset="0"/>
            </a:rPr>
            <a:t>EMISIJA CO</a:t>
          </a:r>
          <a:r>
            <a:rPr lang="sr-Latn-CS" sz="700" b="1">
              <a:solidFill>
                <a:sysClr val="windowText" lastClr="000000"/>
              </a:solidFill>
              <a:latin typeface="Constantia" pitchFamily="18" charset="0"/>
              <a:cs typeface="Calibri"/>
            </a:rPr>
            <a:t>₂</a:t>
          </a:r>
          <a:r>
            <a:rPr lang="sr-Latn-CS" sz="700" b="1">
              <a:solidFill>
                <a:sysClr val="windowText" lastClr="000000"/>
              </a:solidFill>
              <a:latin typeface="Constantia" pitchFamily="18" charset="0"/>
            </a:rPr>
            <a:t> U ATMOSFERI</a:t>
          </a:r>
        </a:p>
        <a:p>
          <a:pPr algn="ctr"/>
          <a:r>
            <a:rPr lang="sr-Latn-CS" sz="700" b="1">
              <a:solidFill>
                <a:sysClr val="windowText" lastClr="000000"/>
              </a:solidFill>
              <a:latin typeface="Constantia" pitchFamily="18" charset="0"/>
            </a:rPr>
            <a:t>- BUKA U URBANOJ SREDINI</a:t>
          </a:r>
        </a:p>
        <a:p>
          <a:pPr algn="ctr"/>
          <a:r>
            <a:rPr lang="sr-Latn-CS" sz="700" b="1">
              <a:solidFill>
                <a:sysClr val="windowText" lastClr="000000"/>
              </a:solidFill>
              <a:latin typeface="Constantia" pitchFamily="18" charset="0"/>
            </a:rPr>
            <a:t>- NUTRIJENTI U POVRŠINSKOJ VODI</a:t>
          </a:r>
          <a:endParaRPr lang="en-US" sz="700" b="1">
            <a:solidFill>
              <a:sysClr val="windowText" lastClr="000000"/>
            </a:solidFill>
            <a:latin typeface="Constantia" pitchFamily="18" charset="0"/>
          </a:endParaRPr>
        </a:p>
      </dgm:t>
    </dgm:pt>
    <dgm:pt modelId="{895A250E-5B7B-47A5-A7AC-E3D226AB2078}" type="parTrans" cxnId="{21C8AF29-3DE6-46EE-9E93-5546A64F9FFF}">
      <dgm:prSet/>
      <dgm:spPr/>
      <dgm:t>
        <a:bodyPr/>
        <a:lstStyle/>
        <a:p>
          <a:pPr algn="ctr"/>
          <a:endParaRPr lang="en-US" sz="700">
            <a:latin typeface="Constantia" pitchFamily="18" charset="0"/>
          </a:endParaRPr>
        </a:p>
      </dgm:t>
    </dgm:pt>
    <dgm:pt modelId="{F69FB330-1879-4556-A4EC-80B58A7B9E6B}" type="sibTrans" cxnId="{21C8AF29-3DE6-46EE-9E93-5546A64F9FFF}">
      <dgm:prSet custT="1"/>
      <dgm:spPr>
        <a:ln>
          <a:solidFill>
            <a:schemeClr val="accent4">
              <a:lumMod val="50000"/>
            </a:schemeClr>
          </a:solidFill>
        </a:ln>
        <a:scene3d>
          <a:camera prst="orthographicFront"/>
          <a:lightRig rig="contrasting" dir="t"/>
        </a:scene3d>
        <a:sp3d>
          <a:bevelB w="114300" prst="artDeco"/>
        </a:sp3d>
      </dgm:spPr>
      <dgm:t>
        <a:bodyPr/>
        <a:lstStyle/>
        <a:p>
          <a:pPr algn="ctr"/>
          <a:endParaRPr lang="en-US" sz="700">
            <a:latin typeface="Constantia" pitchFamily="18" charset="0"/>
          </a:endParaRPr>
        </a:p>
      </dgm:t>
    </dgm:pt>
    <dgm:pt modelId="{1ACE76EC-511E-4C6E-92CC-CA3F30FF74ED}">
      <dgm:prSet phldrT="[Text]" custT="1"/>
      <dgm:spPr>
        <a:solidFill>
          <a:srgbClr val="8D7FE3"/>
        </a:solidFill>
        <a:ln>
          <a:solidFill>
            <a:srgbClr val="7030A0"/>
          </a:solidFill>
        </a:ln>
        <a:scene3d>
          <a:camera prst="orthographicFront"/>
          <a:lightRig rig="contrasting" dir="t"/>
        </a:scene3d>
        <a:sp3d>
          <a:bevelB w="114300" prst="artDeco"/>
        </a:sp3d>
      </dgm:spPr>
      <dgm:t>
        <a:bodyPr/>
        <a:lstStyle/>
        <a:p>
          <a:pPr algn="ctr"/>
          <a:r>
            <a:rPr lang="x-none" sz="1000" b="1" strike="noStrike">
              <a:solidFill>
                <a:sysClr val="windowText" lastClr="000000"/>
              </a:solidFill>
              <a:latin typeface="Constantia" pitchFamily="18" charset="0"/>
            </a:rPr>
            <a:t>UTICAJ</a:t>
          </a:r>
          <a:r>
            <a:rPr lang="sr-Latn-CS" sz="1000" b="1" strike="noStrike">
              <a:solidFill>
                <a:sysClr val="windowText" lastClr="000000"/>
              </a:solidFill>
              <a:latin typeface="Constantia" pitchFamily="18" charset="0"/>
            </a:rPr>
            <a:t>I</a:t>
          </a:r>
          <a:endParaRPr lang="x-none" sz="1000" b="1" strike="noStrike">
            <a:solidFill>
              <a:sysClr val="windowText" lastClr="000000"/>
            </a:solidFill>
            <a:latin typeface="Constantia" pitchFamily="18" charset="0"/>
          </a:endParaRPr>
        </a:p>
        <a:p>
          <a:pPr algn="ctr"/>
          <a:r>
            <a:rPr lang="x-none" sz="700">
              <a:solidFill>
                <a:sysClr val="windowText" lastClr="000000"/>
              </a:solidFill>
              <a:latin typeface="Constantia" pitchFamily="18" charset="0"/>
            </a:rPr>
            <a:t> </a:t>
          </a:r>
          <a:r>
            <a:rPr lang="sr-Latn-CS" sz="700" b="1">
              <a:solidFill>
                <a:sysClr val="windowText" lastClr="000000"/>
              </a:solidFill>
              <a:latin typeface="Constantia" pitchFamily="18" charset="0"/>
            </a:rPr>
            <a:t>(</a:t>
          </a:r>
          <a:r>
            <a:rPr lang="x-none" sz="700" b="1">
              <a:solidFill>
                <a:sysClr val="windowText" lastClr="000000"/>
              </a:solidFill>
              <a:latin typeface="Constantia" pitchFamily="18" charset="0"/>
            </a:rPr>
            <a:t>efekti usl</a:t>
          </a:r>
          <a:r>
            <a:rPr lang="sr-Latn-ME" sz="700" b="1">
              <a:solidFill>
                <a:sysClr val="windowText" lastClr="000000"/>
              </a:solidFill>
              <a:latin typeface="Constantia" pitchFamily="18" charset="0"/>
            </a:rPr>
            <a:t>j</a:t>
          </a:r>
          <a:r>
            <a:rPr lang="x-none" sz="700" b="1">
              <a:solidFill>
                <a:sysClr val="windowText" lastClr="000000"/>
              </a:solidFill>
              <a:latin typeface="Constantia" pitchFamily="18" charset="0"/>
            </a:rPr>
            <a:t>ed promjene životne sredine)</a:t>
          </a:r>
        </a:p>
        <a:p>
          <a:pPr algn="ctr"/>
          <a:r>
            <a:rPr lang="x-none" sz="700" b="1">
              <a:solidFill>
                <a:sysClr val="windowText" lastClr="000000"/>
              </a:solidFill>
              <a:latin typeface="Constantia" pitchFamily="18" charset="0"/>
            </a:rPr>
            <a:t>-SMANJENJE PRINOSA</a:t>
          </a:r>
          <a:endParaRPr lang="en-US" sz="700" b="1">
            <a:solidFill>
              <a:sysClr val="windowText" lastClr="000000"/>
            </a:solidFill>
            <a:latin typeface="Constantia" pitchFamily="18" charset="0"/>
          </a:endParaRPr>
        </a:p>
        <a:p>
          <a:pPr algn="ctr"/>
          <a:r>
            <a:rPr lang="x-none" sz="700" b="1">
              <a:solidFill>
                <a:sysClr val="windowText" lastClr="000000"/>
              </a:solidFill>
              <a:latin typeface="Constantia" pitchFamily="18" charset="0"/>
            </a:rPr>
            <a:t>-</a:t>
          </a:r>
          <a:r>
            <a:rPr lang="sr-Latn-CS" sz="700" b="1">
              <a:solidFill>
                <a:sysClr val="windowText" lastClr="000000"/>
              </a:solidFill>
              <a:latin typeface="Constantia" pitchFamily="18" charset="0"/>
            </a:rPr>
            <a:t> GUBITAKBIODIVERZITETA</a:t>
          </a:r>
          <a:r>
            <a:rPr lang="x-none" sz="700" b="1">
              <a:solidFill>
                <a:sysClr val="windowText" lastClr="000000"/>
              </a:solidFill>
              <a:latin typeface="Constantia" pitchFamily="18" charset="0"/>
            </a:rPr>
            <a:t> </a:t>
          </a:r>
          <a:endParaRPr lang="sr-Latn-CS" sz="700" b="1">
            <a:solidFill>
              <a:sysClr val="windowText" lastClr="000000"/>
            </a:solidFill>
            <a:latin typeface="Constantia" pitchFamily="18" charset="0"/>
          </a:endParaRPr>
        </a:p>
        <a:p>
          <a:pPr algn="ctr"/>
          <a:r>
            <a:rPr lang="sr-Latn-CS" sz="700" b="1">
              <a:solidFill>
                <a:sysClr val="windowText" lastClr="000000"/>
              </a:solidFill>
              <a:latin typeface="Constantia" pitchFamily="18" charset="0"/>
            </a:rPr>
            <a:t>- KLIMATSKE PROMJENE</a:t>
          </a:r>
          <a:r>
            <a:rPr lang="x-none" sz="700" b="1">
              <a:solidFill>
                <a:sysClr val="windowText" lastClr="000000"/>
              </a:solidFill>
              <a:latin typeface="Constantia" pitchFamily="18" charset="0"/>
            </a:rPr>
            <a:t>      </a:t>
          </a:r>
        </a:p>
      </dgm:t>
    </dgm:pt>
    <dgm:pt modelId="{77697D8B-869F-4CF7-B7C8-3BEE84F7BC37}" type="parTrans" cxnId="{9AC31964-0EA1-476E-91FB-15071BE74436}">
      <dgm:prSet/>
      <dgm:spPr/>
      <dgm:t>
        <a:bodyPr/>
        <a:lstStyle/>
        <a:p>
          <a:pPr algn="ctr"/>
          <a:endParaRPr lang="en-US" sz="700">
            <a:latin typeface="Constantia" pitchFamily="18" charset="0"/>
          </a:endParaRPr>
        </a:p>
      </dgm:t>
    </dgm:pt>
    <dgm:pt modelId="{08CC7FFD-F4DA-4726-AB66-CC2A4E5D65F8}" type="sibTrans" cxnId="{9AC31964-0EA1-476E-91FB-15071BE74436}">
      <dgm:prSet custT="1"/>
      <dgm:spPr>
        <a:solidFill>
          <a:srgbClr val="8D7FE3"/>
        </a:solidFill>
        <a:ln>
          <a:solidFill>
            <a:srgbClr val="7030A0"/>
          </a:solidFill>
        </a:ln>
        <a:scene3d>
          <a:camera prst="orthographicFront"/>
          <a:lightRig rig="contrasting" dir="t"/>
        </a:scene3d>
        <a:sp3d>
          <a:bevelB w="114300" prst="artDeco"/>
        </a:sp3d>
      </dgm:spPr>
      <dgm:t>
        <a:bodyPr/>
        <a:lstStyle/>
        <a:p>
          <a:pPr algn="ctr"/>
          <a:endParaRPr lang="en-US" sz="700">
            <a:latin typeface="Constantia" pitchFamily="18" charset="0"/>
          </a:endParaRPr>
        </a:p>
      </dgm:t>
    </dgm:pt>
    <dgm:pt modelId="{6AA726D8-D9A9-4433-9B9C-85822485D20A}">
      <dgm:prSet phldrT="[Text]" custT="1"/>
      <dgm:spPr>
        <a:solidFill>
          <a:srgbClr val="FFFF00"/>
        </a:solidFill>
        <a:ln>
          <a:solidFill>
            <a:srgbClr val="CCCC00"/>
          </a:solidFill>
        </a:ln>
        <a:scene3d>
          <a:camera prst="orthographicFront"/>
          <a:lightRig rig="contrasting" dir="t"/>
        </a:scene3d>
        <a:sp3d>
          <a:bevelB w="114300" prst="artDeco"/>
        </a:sp3d>
      </dgm:spPr>
      <dgm:t>
        <a:bodyPr/>
        <a:lstStyle/>
        <a:p>
          <a:pPr algn="ctr"/>
          <a:r>
            <a:rPr lang="x-none" sz="1000" b="1">
              <a:solidFill>
                <a:sysClr val="windowText" lastClr="000000"/>
              </a:solidFill>
              <a:latin typeface="Constantia" pitchFamily="18" charset="0"/>
            </a:rPr>
            <a:t>ODGOVO</a:t>
          </a:r>
          <a:r>
            <a:rPr lang="sr-Latn-CS" sz="1000" b="1">
              <a:solidFill>
                <a:sysClr val="windowText" lastClr="000000"/>
              </a:solidFill>
              <a:latin typeface="Constantia" pitchFamily="18" charset="0"/>
            </a:rPr>
            <a:t>RI</a:t>
          </a:r>
        </a:p>
        <a:p>
          <a:pPr algn="ctr"/>
          <a:r>
            <a:rPr lang="x-none" sz="700" b="1">
              <a:solidFill>
                <a:sysClr val="windowText" lastClr="000000"/>
              </a:solidFill>
              <a:latin typeface="Constantia" pitchFamily="18" charset="0"/>
            </a:rPr>
            <a:t>(</a:t>
          </a:r>
          <a:r>
            <a:rPr lang="sr-Latn-CS" sz="700" b="1">
              <a:solidFill>
                <a:sysClr val="windowText" lastClr="000000"/>
              </a:solidFill>
              <a:latin typeface="Constantia" pitchFamily="18" charset="0"/>
            </a:rPr>
            <a:t>reakcija na </a:t>
          </a:r>
          <a:r>
            <a:rPr lang="x-none" sz="700" b="1">
              <a:solidFill>
                <a:sysClr val="windowText" lastClr="000000"/>
              </a:solidFill>
              <a:latin typeface="Constantia" pitchFamily="18" charset="0"/>
            </a:rPr>
            <a:t> problem</a:t>
          </a:r>
          <a:r>
            <a:rPr lang="sr-Latn-CS" sz="700" b="1">
              <a:solidFill>
                <a:sysClr val="windowText" lastClr="000000"/>
              </a:solidFill>
              <a:latin typeface="Constantia" pitchFamily="18" charset="0"/>
            </a:rPr>
            <a:t>e</a:t>
          </a:r>
          <a:r>
            <a:rPr lang="x-none" sz="700" b="1">
              <a:solidFill>
                <a:sysClr val="windowText" lastClr="000000"/>
              </a:solidFill>
              <a:latin typeface="Constantia" pitchFamily="18" charset="0"/>
            </a:rPr>
            <a:t>)</a:t>
          </a:r>
          <a:endParaRPr lang="sr-Latn-CS" sz="700" b="1">
            <a:solidFill>
              <a:sysClr val="windowText" lastClr="000000"/>
            </a:solidFill>
            <a:latin typeface="Constantia" pitchFamily="18" charset="0"/>
          </a:endParaRPr>
        </a:p>
        <a:p>
          <a:pPr algn="ctr"/>
          <a:r>
            <a:rPr lang="sr-Latn-CS" sz="700" b="1">
              <a:solidFill>
                <a:sysClr val="windowText" lastClr="000000"/>
              </a:solidFill>
              <a:latin typeface="Constantia" pitchFamily="18" charset="0"/>
            </a:rPr>
            <a:t>   - % RECIKLIRANOG OTPADA</a:t>
          </a:r>
          <a:endParaRPr lang="x-none" sz="700" b="1">
            <a:solidFill>
              <a:sysClr val="windowText" lastClr="000000"/>
            </a:solidFill>
            <a:latin typeface="Constantia" pitchFamily="18" charset="0"/>
          </a:endParaRPr>
        </a:p>
        <a:p>
          <a:pPr algn="ctr"/>
          <a:r>
            <a:rPr lang="x-none" sz="700" b="1">
              <a:solidFill>
                <a:sysClr val="windowText" lastClr="000000"/>
              </a:solidFill>
              <a:latin typeface="Constantia" pitchFamily="18" charset="0"/>
            </a:rPr>
            <a:t>-</a:t>
          </a:r>
          <a:r>
            <a:rPr lang="sr-Latn-CS" sz="700" b="1">
              <a:solidFill>
                <a:sysClr val="windowText" lastClr="000000"/>
              </a:solidFill>
              <a:latin typeface="Constantia" pitchFamily="18" charset="0"/>
            </a:rPr>
            <a:t> </a:t>
          </a:r>
          <a:r>
            <a:rPr lang="x-none" sz="700" b="1">
              <a:solidFill>
                <a:sysClr val="windowText" lastClr="000000"/>
              </a:solidFill>
              <a:latin typeface="Constantia" pitchFamily="18" charset="0"/>
            </a:rPr>
            <a:t>ENERGETSKA EFIKASNONST</a:t>
          </a:r>
          <a:endParaRPr lang="sr-Latn-CS" sz="700" b="1">
            <a:solidFill>
              <a:sysClr val="windowText" lastClr="000000"/>
            </a:solidFill>
            <a:latin typeface="Constantia" pitchFamily="18" charset="0"/>
          </a:endParaRPr>
        </a:p>
        <a:p>
          <a:pPr algn="ctr"/>
          <a:r>
            <a:rPr lang="sr-Latn-CS" sz="700" b="1">
              <a:solidFill>
                <a:sysClr val="windowText" lastClr="000000"/>
              </a:solidFill>
              <a:latin typeface="Constantia" pitchFamily="18" charset="0"/>
            </a:rPr>
            <a:t>- PREČIŠĆAVANJE OTPADNIH  VODA</a:t>
          </a:r>
        </a:p>
        <a:p>
          <a:pPr algn="ctr"/>
          <a:r>
            <a:rPr lang="sr-Latn-CS" sz="700" b="1">
              <a:solidFill>
                <a:sysClr val="windowText" lastClr="000000"/>
              </a:solidFill>
              <a:latin typeface="Constantia" pitchFamily="18" charset="0"/>
            </a:rPr>
            <a:t>       - ZAŠTIĆENA PODRUČJA</a:t>
          </a:r>
        </a:p>
        <a:p>
          <a:pPr algn="ctr"/>
          <a:r>
            <a:rPr lang="sr-Latn-CS" sz="700" b="1">
              <a:solidFill>
                <a:sysClr val="windowText" lastClr="000000"/>
              </a:solidFill>
              <a:latin typeface="Constantia" pitchFamily="18" charset="0"/>
            </a:rPr>
            <a:t>        </a:t>
          </a:r>
          <a:r>
            <a:rPr lang="x-none" sz="700" b="1">
              <a:solidFill>
                <a:sysClr val="windowText" lastClr="000000"/>
              </a:solidFill>
              <a:latin typeface="Constantia" pitchFamily="18" charset="0"/>
            </a:rPr>
            <a:t>-</a:t>
          </a:r>
          <a:r>
            <a:rPr lang="sr-Latn-CS" sz="700" b="1">
              <a:solidFill>
                <a:sysClr val="windowText" lastClr="000000"/>
              </a:solidFill>
              <a:latin typeface="Constantia" pitchFamily="18" charset="0"/>
            </a:rPr>
            <a:t> LEGISLATIVA</a:t>
          </a:r>
          <a:endParaRPr lang="en-US" sz="700" b="1">
            <a:solidFill>
              <a:sysClr val="windowText" lastClr="000000"/>
            </a:solidFill>
            <a:latin typeface="Constantia" pitchFamily="18" charset="0"/>
          </a:endParaRPr>
        </a:p>
      </dgm:t>
    </dgm:pt>
    <dgm:pt modelId="{8ABC0FF4-E91B-43C3-80F1-55FF453AFED2}" type="parTrans" cxnId="{4521951D-0865-485D-9297-11C875B818A7}">
      <dgm:prSet/>
      <dgm:spPr/>
      <dgm:t>
        <a:bodyPr/>
        <a:lstStyle/>
        <a:p>
          <a:pPr algn="ctr"/>
          <a:endParaRPr lang="en-US" sz="700">
            <a:latin typeface="Constantia" pitchFamily="18" charset="0"/>
          </a:endParaRPr>
        </a:p>
      </dgm:t>
    </dgm:pt>
    <dgm:pt modelId="{B8272548-A933-4C09-93B7-5428FCE92D54}" type="sibTrans" cxnId="{4521951D-0865-485D-9297-11C875B818A7}">
      <dgm:prSet custT="1"/>
      <dgm:spPr>
        <a:solidFill>
          <a:srgbClr val="FFFF00"/>
        </a:solidFill>
        <a:ln>
          <a:solidFill>
            <a:srgbClr val="CCCC00"/>
          </a:solidFill>
        </a:ln>
        <a:scene3d>
          <a:camera prst="orthographicFront"/>
          <a:lightRig rig="contrasting" dir="t"/>
        </a:scene3d>
        <a:sp3d>
          <a:bevelB w="114300" prst="artDeco"/>
        </a:sp3d>
      </dgm:spPr>
      <dgm:t>
        <a:bodyPr/>
        <a:lstStyle/>
        <a:p>
          <a:pPr algn="ctr"/>
          <a:endParaRPr lang="en-US" sz="700">
            <a:latin typeface="Constantia" pitchFamily="18" charset="0"/>
          </a:endParaRPr>
        </a:p>
      </dgm:t>
    </dgm:pt>
    <dgm:pt modelId="{3EA64126-E355-4443-9C81-3D842F89E257}" type="pres">
      <dgm:prSet presAssocID="{CCB7E2C2-2391-4E04-B0F3-DA0762D5A91D}" presName="cycle" presStyleCnt="0">
        <dgm:presLayoutVars>
          <dgm:dir/>
          <dgm:resizeHandles val="exact"/>
        </dgm:presLayoutVars>
      </dgm:prSet>
      <dgm:spPr/>
      <dgm:t>
        <a:bodyPr/>
        <a:lstStyle/>
        <a:p>
          <a:endParaRPr lang="en-US"/>
        </a:p>
      </dgm:t>
    </dgm:pt>
    <dgm:pt modelId="{849B3C68-C52A-4885-B5FC-764D0949DF3E}" type="pres">
      <dgm:prSet presAssocID="{ED981D3F-3AA1-4371-9FB3-371E77CCD39F}" presName="node" presStyleLbl="node1" presStyleIdx="0" presStyleCnt="5" custScaleX="157559" custScaleY="98696" custRadScaleRad="96005" custRadScaleInc="-6939">
        <dgm:presLayoutVars>
          <dgm:bulletEnabled val="1"/>
        </dgm:presLayoutVars>
      </dgm:prSet>
      <dgm:spPr/>
      <dgm:t>
        <a:bodyPr/>
        <a:lstStyle/>
        <a:p>
          <a:endParaRPr lang="en-US"/>
        </a:p>
      </dgm:t>
    </dgm:pt>
    <dgm:pt modelId="{A8958E2C-032C-4D01-B688-43D674070EB3}" type="pres">
      <dgm:prSet presAssocID="{07A64F9E-EED4-42D8-8B94-A008FDBFF797}" presName="sibTrans" presStyleLbl="sibTrans2D1" presStyleIdx="0" presStyleCnt="5"/>
      <dgm:spPr/>
      <dgm:t>
        <a:bodyPr/>
        <a:lstStyle/>
        <a:p>
          <a:endParaRPr lang="en-US"/>
        </a:p>
      </dgm:t>
    </dgm:pt>
    <dgm:pt modelId="{17FE0175-5F4C-4687-AEB1-3122B0D8DAA2}" type="pres">
      <dgm:prSet presAssocID="{07A64F9E-EED4-42D8-8B94-A008FDBFF797}" presName="connectorText" presStyleLbl="sibTrans2D1" presStyleIdx="0" presStyleCnt="5"/>
      <dgm:spPr/>
      <dgm:t>
        <a:bodyPr/>
        <a:lstStyle/>
        <a:p>
          <a:endParaRPr lang="en-US"/>
        </a:p>
      </dgm:t>
    </dgm:pt>
    <dgm:pt modelId="{A59902BC-7884-4812-97C9-2419EA97A105}" type="pres">
      <dgm:prSet presAssocID="{D957AC70-2E50-484F-B9B8-7ED4502AC4C6}" presName="node" presStyleLbl="node1" presStyleIdx="1" presStyleCnt="5" custScaleX="153237" custScaleY="106951" custRadScaleRad="111104" custRadScaleInc="9084">
        <dgm:presLayoutVars>
          <dgm:bulletEnabled val="1"/>
        </dgm:presLayoutVars>
      </dgm:prSet>
      <dgm:spPr/>
      <dgm:t>
        <a:bodyPr/>
        <a:lstStyle/>
        <a:p>
          <a:endParaRPr lang="en-US"/>
        </a:p>
      </dgm:t>
    </dgm:pt>
    <dgm:pt modelId="{CA014DC6-D47C-4628-9062-127B46C4522E}" type="pres">
      <dgm:prSet presAssocID="{6B0E0235-6ABB-4334-9FF4-89E2E8803D24}" presName="sibTrans" presStyleLbl="sibTrans2D1" presStyleIdx="1" presStyleCnt="5" custLinFactNeighborY="6495"/>
      <dgm:spPr/>
      <dgm:t>
        <a:bodyPr/>
        <a:lstStyle/>
        <a:p>
          <a:endParaRPr lang="en-US"/>
        </a:p>
      </dgm:t>
    </dgm:pt>
    <dgm:pt modelId="{D4261923-9F54-4B28-A0F3-A56367A42EF1}" type="pres">
      <dgm:prSet presAssocID="{6B0E0235-6ABB-4334-9FF4-89E2E8803D24}" presName="connectorText" presStyleLbl="sibTrans2D1" presStyleIdx="1" presStyleCnt="5"/>
      <dgm:spPr/>
      <dgm:t>
        <a:bodyPr/>
        <a:lstStyle/>
        <a:p>
          <a:endParaRPr lang="en-US"/>
        </a:p>
      </dgm:t>
    </dgm:pt>
    <dgm:pt modelId="{577C99EF-EB4C-479F-B831-70E6574038F5}" type="pres">
      <dgm:prSet presAssocID="{897BB9D6-E988-4753-9798-F902535614C4}" presName="node" presStyleLbl="node1" presStyleIdx="2" presStyleCnt="5" custScaleX="143805" custScaleY="97024" custRadScaleRad="111645" custRadScaleInc="-18566">
        <dgm:presLayoutVars>
          <dgm:bulletEnabled val="1"/>
        </dgm:presLayoutVars>
      </dgm:prSet>
      <dgm:spPr/>
      <dgm:t>
        <a:bodyPr/>
        <a:lstStyle/>
        <a:p>
          <a:endParaRPr lang="en-US"/>
        </a:p>
      </dgm:t>
    </dgm:pt>
    <dgm:pt modelId="{D9A07A7A-FAA8-45C2-935B-AD039D412B73}" type="pres">
      <dgm:prSet presAssocID="{F69FB330-1879-4556-A4EC-80B58A7B9E6B}" presName="sibTrans" presStyleLbl="sibTrans2D1" presStyleIdx="2" presStyleCnt="5"/>
      <dgm:spPr/>
      <dgm:t>
        <a:bodyPr/>
        <a:lstStyle/>
        <a:p>
          <a:endParaRPr lang="en-US"/>
        </a:p>
      </dgm:t>
    </dgm:pt>
    <dgm:pt modelId="{77625944-48EB-4405-9135-D8F27C71CF71}" type="pres">
      <dgm:prSet presAssocID="{F69FB330-1879-4556-A4EC-80B58A7B9E6B}" presName="connectorText" presStyleLbl="sibTrans2D1" presStyleIdx="2" presStyleCnt="5"/>
      <dgm:spPr/>
      <dgm:t>
        <a:bodyPr/>
        <a:lstStyle/>
        <a:p>
          <a:endParaRPr lang="en-US"/>
        </a:p>
      </dgm:t>
    </dgm:pt>
    <dgm:pt modelId="{9A30F727-AF18-4238-AAD8-9473DE004673}" type="pres">
      <dgm:prSet presAssocID="{1ACE76EC-511E-4C6E-92CC-CA3F30FF74ED}" presName="node" presStyleLbl="node1" presStyleIdx="3" presStyleCnt="5" custScaleX="148841" custRadScaleRad="109634" custRadScaleInc="18405">
        <dgm:presLayoutVars>
          <dgm:bulletEnabled val="1"/>
        </dgm:presLayoutVars>
      </dgm:prSet>
      <dgm:spPr/>
      <dgm:t>
        <a:bodyPr/>
        <a:lstStyle/>
        <a:p>
          <a:endParaRPr lang="en-US"/>
        </a:p>
      </dgm:t>
    </dgm:pt>
    <dgm:pt modelId="{CAC29CEA-3786-4473-AC46-819E7EDBDDB4}" type="pres">
      <dgm:prSet presAssocID="{08CC7FFD-F4DA-4726-AB66-CC2A4E5D65F8}" presName="sibTrans" presStyleLbl="sibTrans2D1" presStyleIdx="3" presStyleCnt="5"/>
      <dgm:spPr/>
      <dgm:t>
        <a:bodyPr/>
        <a:lstStyle/>
        <a:p>
          <a:endParaRPr lang="en-US"/>
        </a:p>
      </dgm:t>
    </dgm:pt>
    <dgm:pt modelId="{A31D688A-9566-4B18-AB46-5536BB9C1069}" type="pres">
      <dgm:prSet presAssocID="{08CC7FFD-F4DA-4726-AB66-CC2A4E5D65F8}" presName="connectorText" presStyleLbl="sibTrans2D1" presStyleIdx="3" presStyleCnt="5"/>
      <dgm:spPr/>
      <dgm:t>
        <a:bodyPr/>
        <a:lstStyle/>
        <a:p>
          <a:endParaRPr lang="en-US"/>
        </a:p>
      </dgm:t>
    </dgm:pt>
    <dgm:pt modelId="{EED8A22F-A29E-4E29-8EAC-89E80AAF74DC}" type="pres">
      <dgm:prSet presAssocID="{6AA726D8-D9A9-4433-9B9C-85822485D20A}" presName="node" presStyleLbl="node1" presStyleIdx="4" presStyleCnt="5" custScaleX="150688" custRadScaleRad="108509" custRadScaleInc="-11351">
        <dgm:presLayoutVars>
          <dgm:bulletEnabled val="1"/>
        </dgm:presLayoutVars>
      </dgm:prSet>
      <dgm:spPr/>
      <dgm:t>
        <a:bodyPr/>
        <a:lstStyle/>
        <a:p>
          <a:endParaRPr lang="en-US"/>
        </a:p>
      </dgm:t>
    </dgm:pt>
    <dgm:pt modelId="{0C1843FA-676D-4D7C-B983-7E87B70C4B3F}" type="pres">
      <dgm:prSet presAssocID="{B8272548-A933-4C09-93B7-5428FCE92D54}" presName="sibTrans" presStyleLbl="sibTrans2D1" presStyleIdx="4" presStyleCnt="5"/>
      <dgm:spPr/>
      <dgm:t>
        <a:bodyPr/>
        <a:lstStyle/>
        <a:p>
          <a:endParaRPr lang="en-US"/>
        </a:p>
      </dgm:t>
    </dgm:pt>
    <dgm:pt modelId="{B350A784-C7BB-43DD-9050-2CB4597640AE}" type="pres">
      <dgm:prSet presAssocID="{B8272548-A933-4C09-93B7-5428FCE92D54}" presName="connectorText" presStyleLbl="sibTrans2D1" presStyleIdx="4" presStyleCnt="5"/>
      <dgm:spPr/>
      <dgm:t>
        <a:bodyPr/>
        <a:lstStyle/>
        <a:p>
          <a:endParaRPr lang="en-US"/>
        </a:p>
      </dgm:t>
    </dgm:pt>
  </dgm:ptLst>
  <dgm:cxnLst>
    <dgm:cxn modelId="{7DD5581D-66D4-4A41-BEAB-CF3D0373D55B}" type="presOf" srcId="{F69FB330-1879-4556-A4EC-80B58A7B9E6B}" destId="{D9A07A7A-FAA8-45C2-935B-AD039D412B73}" srcOrd="0" destOrd="0" presId="urn:microsoft.com/office/officeart/2005/8/layout/cycle2"/>
    <dgm:cxn modelId="{2BBC29C4-F654-4E75-B7D7-3E346440F122}" type="presOf" srcId="{B8272548-A933-4C09-93B7-5428FCE92D54}" destId="{B350A784-C7BB-43DD-9050-2CB4597640AE}" srcOrd="1" destOrd="0" presId="urn:microsoft.com/office/officeart/2005/8/layout/cycle2"/>
    <dgm:cxn modelId="{D6E8AC3E-7E6A-48BE-A857-803CFA5211A4}" type="presOf" srcId="{6B0E0235-6ABB-4334-9FF4-89E2E8803D24}" destId="{CA014DC6-D47C-4628-9062-127B46C4522E}" srcOrd="0" destOrd="0" presId="urn:microsoft.com/office/officeart/2005/8/layout/cycle2"/>
    <dgm:cxn modelId="{D8F675D5-23C9-4E70-98EC-CD5E11F99E48}" type="presOf" srcId="{CCB7E2C2-2391-4E04-B0F3-DA0762D5A91D}" destId="{3EA64126-E355-4443-9C81-3D842F89E257}" srcOrd="0" destOrd="0" presId="urn:microsoft.com/office/officeart/2005/8/layout/cycle2"/>
    <dgm:cxn modelId="{2EF0E9E6-27BF-4268-8AA6-EFAA762E45E9}" srcId="{CCB7E2C2-2391-4E04-B0F3-DA0762D5A91D}" destId="{ED981D3F-3AA1-4371-9FB3-371E77CCD39F}" srcOrd="0" destOrd="0" parTransId="{4CE7A228-8B36-4E0D-933B-349DA0077B68}" sibTransId="{07A64F9E-EED4-42D8-8B94-A008FDBFF797}"/>
    <dgm:cxn modelId="{21C8AF29-3DE6-46EE-9E93-5546A64F9FFF}" srcId="{CCB7E2C2-2391-4E04-B0F3-DA0762D5A91D}" destId="{897BB9D6-E988-4753-9798-F902535614C4}" srcOrd="2" destOrd="0" parTransId="{895A250E-5B7B-47A5-A7AC-E3D226AB2078}" sibTransId="{F69FB330-1879-4556-A4EC-80B58A7B9E6B}"/>
    <dgm:cxn modelId="{AC15EA64-3A78-4848-8F31-8A7B2057012D}" type="presOf" srcId="{08CC7FFD-F4DA-4726-AB66-CC2A4E5D65F8}" destId="{A31D688A-9566-4B18-AB46-5536BB9C1069}" srcOrd="1" destOrd="0" presId="urn:microsoft.com/office/officeart/2005/8/layout/cycle2"/>
    <dgm:cxn modelId="{266918AA-F4C4-4BCF-907B-DEABC1C47859}" type="presOf" srcId="{1ACE76EC-511E-4C6E-92CC-CA3F30FF74ED}" destId="{9A30F727-AF18-4238-AAD8-9473DE004673}" srcOrd="0" destOrd="0" presId="urn:microsoft.com/office/officeart/2005/8/layout/cycle2"/>
    <dgm:cxn modelId="{DA590631-9E37-41E7-89FD-409366842734}" type="presOf" srcId="{897BB9D6-E988-4753-9798-F902535614C4}" destId="{577C99EF-EB4C-479F-B831-70E6574038F5}" srcOrd="0" destOrd="0" presId="urn:microsoft.com/office/officeart/2005/8/layout/cycle2"/>
    <dgm:cxn modelId="{24F2C72E-1BFC-42C4-98BE-6DBE4563858F}" type="presOf" srcId="{6AA726D8-D9A9-4433-9B9C-85822485D20A}" destId="{EED8A22F-A29E-4E29-8EAC-89E80AAF74DC}" srcOrd="0" destOrd="0" presId="urn:microsoft.com/office/officeart/2005/8/layout/cycle2"/>
    <dgm:cxn modelId="{7AD59B20-EDAD-45B3-BE33-9547583AE03C}" type="presOf" srcId="{08CC7FFD-F4DA-4726-AB66-CC2A4E5D65F8}" destId="{CAC29CEA-3786-4473-AC46-819E7EDBDDB4}" srcOrd="0" destOrd="0" presId="urn:microsoft.com/office/officeart/2005/8/layout/cycle2"/>
    <dgm:cxn modelId="{9AC31964-0EA1-476E-91FB-15071BE74436}" srcId="{CCB7E2C2-2391-4E04-B0F3-DA0762D5A91D}" destId="{1ACE76EC-511E-4C6E-92CC-CA3F30FF74ED}" srcOrd="3" destOrd="0" parTransId="{77697D8B-869F-4CF7-B7C8-3BEE84F7BC37}" sibTransId="{08CC7FFD-F4DA-4726-AB66-CC2A4E5D65F8}"/>
    <dgm:cxn modelId="{2C1ECB98-9F2D-4FF2-A4D3-5B8BC784B635}" type="presOf" srcId="{07A64F9E-EED4-42D8-8B94-A008FDBFF797}" destId="{17FE0175-5F4C-4687-AEB1-3122B0D8DAA2}" srcOrd="1" destOrd="0" presId="urn:microsoft.com/office/officeart/2005/8/layout/cycle2"/>
    <dgm:cxn modelId="{4B51779D-CC37-4EE4-B17F-867BBED7C563}" type="presOf" srcId="{B8272548-A933-4C09-93B7-5428FCE92D54}" destId="{0C1843FA-676D-4D7C-B983-7E87B70C4B3F}" srcOrd="0" destOrd="0" presId="urn:microsoft.com/office/officeart/2005/8/layout/cycle2"/>
    <dgm:cxn modelId="{458EA65A-FC81-4765-A83F-4A12E4CA9032}" type="presOf" srcId="{D957AC70-2E50-484F-B9B8-7ED4502AC4C6}" destId="{A59902BC-7884-4812-97C9-2419EA97A105}" srcOrd="0" destOrd="0" presId="urn:microsoft.com/office/officeart/2005/8/layout/cycle2"/>
    <dgm:cxn modelId="{637FEB8F-A422-4122-B31B-4723FFBCA2E2}" type="presOf" srcId="{07A64F9E-EED4-42D8-8B94-A008FDBFF797}" destId="{A8958E2C-032C-4D01-B688-43D674070EB3}" srcOrd="0" destOrd="0" presId="urn:microsoft.com/office/officeart/2005/8/layout/cycle2"/>
    <dgm:cxn modelId="{8F043A22-F073-48EC-B466-5726FCC0F6FE}" type="presOf" srcId="{F69FB330-1879-4556-A4EC-80B58A7B9E6B}" destId="{77625944-48EB-4405-9135-D8F27C71CF71}" srcOrd="1" destOrd="0" presId="urn:microsoft.com/office/officeart/2005/8/layout/cycle2"/>
    <dgm:cxn modelId="{5E53B5DB-BD06-4B66-8C1B-13A76CDB6DC7}" srcId="{CCB7E2C2-2391-4E04-B0F3-DA0762D5A91D}" destId="{D957AC70-2E50-484F-B9B8-7ED4502AC4C6}" srcOrd="1" destOrd="0" parTransId="{F03EB290-471F-42DA-AA27-B7C49AEBD05A}" sibTransId="{6B0E0235-6ABB-4334-9FF4-89E2E8803D24}"/>
    <dgm:cxn modelId="{BE0C609C-8193-430D-98D6-41FDE0D0FD5A}" type="presOf" srcId="{ED981D3F-3AA1-4371-9FB3-371E77CCD39F}" destId="{849B3C68-C52A-4885-B5FC-764D0949DF3E}" srcOrd="0" destOrd="0" presId="urn:microsoft.com/office/officeart/2005/8/layout/cycle2"/>
    <dgm:cxn modelId="{15A7B97D-1DA1-450A-AA59-1BD1C7C1E1E4}" type="presOf" srcId="{6B0E0235-6ABB-4334-9FF4-89E2E8803D24}" destId="{D4261923-9F54-4B28-A0F3-A56367A42EF1}" srcOrd="1" destOrd="0" presId="urn:microsoft.com/office/officeart/2005/8/layout/cycle2"/>
    <dgm:cxn modelId="{4521951D-0865-485D-9297-11C875B818A7}" srcId="{CCB7E2C2-2391-4E04-B0F3-DA0762D5A91D}" destId="{6AA726D8-D9A9-4433-9B9C-85822485D20A}" srcOrd="4" destOrd="0" parTransId="{8ABC0FF4-E91B-43C3-80F1-55FF453AFED2}" sibTransId="{B8272548-A933-4C09-93B7-5428FCE92D54}"/>
    <dgm:cxn modelId="{AD5DAA3D-BA4F-49C8-B57D-6047147DC8D2}" type="presParOf" srcId="{3EA64126-E355-4443-9C81-3D842F89E257}" destId="{849B3C68-C52A-4885-B5FC-764D0949DF3E}" srcOrd="0" destOrd="0" presId="urn:microsoft.com/office/officeart/2005/8/layout/cycle2"/>
    <dgm:cxn modelId="{229A9811-C6D2-4CDA-A3CE-82288F76EB4B}" type="presParOf" srcId="{3EA64126-E355-4443-9C81-3D842F89E257}" destId="{A8958E2C-032C-4D01-B688-43D674070EB3}" srcOrd="1" destOrd="0" presId="urn:microsoft.com/office/officeart/2005/8/layout/cycle2"/>
    <dgm:cxn modelId="{9F9F7B78-B5AE-411F-AF69-9EA1837C6236}" type="presParOf" srcId="{A8958E2C-032C-4D01-B688-43D674070EB3}" destId="{17FE0175-5F4C-4687-AEB1-3122B0D8DAA2}" srcOrd="0" destOrd="0" presId="urn:microsoft.com/office/officeart/2005/8/layout/cycle2"/>
    <dgm:cxn modelId="{6E82672D-995E-45DA-AA43-79A3C7FE261F}" type="presParOf" srcId="{3EA64126-E355-4443-9C81-3D842F89E257}" destId="{A59902BC-7884-4812-97C9-2419EA97A105}" srcOrd="2" destOrd="0" presId="urn:microsoft.com/office/officeart/2005/8/layout/cycle2"/>
    <dgm:cxn modelId="{FAA618A5-7A67-46BB-8C09-E22DFBD998BC}" type="presParOf" srcId="{3EA64126-E355-4443-9C81-3D842F89E257}" destId="{CA014DC6-D47C-4628-9062-127B46C4522E}" srcOrd="3" destOrd="0" presId="urn:microsoft.com/office/officeart/2005/8/layout/cycle2"/>
    <dgm:cxn modelId="{532A8058-CED7-4416-96D9-D59F815C7CF4}" type="presParOf" srcId="{CA014DC6-D47C-4628-9062-127B46C4522E}" destId="{D4261923-9F54-4B28-A0F3-A56367A42EF1}" srcOrd="0" destOrd="0" presId="urn:microsoft.com/office/officeart/2005/8/layout/cycle2"/>
    <dgm:cxn modelId="{352678CA-87AD-418A-9C13-674C31D5CF58}" type="presParOf" srcId="{3EA64126-E355-4443-9C81-3D842F89E257}" destId="{577C99EF-EB4C-479F-B831-70E6574038F5}" srcOrd="4" destOrd="0" presId="urn:microsoft.com/office/officeart/2005/8/layout/cycle2"/>
    <dgm:cxn modelId="{0000D35A-3FD2-4337-8113-22EAD9BBE009}" type="presParOf" srcId="{3EA64126-E355-4443-9C81-3D842F89E257}" destId="{D9A07A7A-FAA8-45C2-935B-AD039D412B73}" srcOrd="5" destOrd="0" presId="urn:microsoft.com/office/officeart/2005/8/layout/cycle2"/>
    <dgm:cxn modelId="{BEFA88DC-51AF-423B-8559-B386E0503061}" type="presParOf" srcId="{D9A07A7A-FAA8-45C2-935B-AD039D412B73}" destId="{77625944-48EB-4405-9135-D8F27C71CF71}" srcOrd="0" destOrd="0" presId="urn:microsoft.com/office/officeart/2005/8/layout/cycle2"/>
    <dgm:cxn modelId="{14AD9E63-A59B-4ABE-811B-F34E30B39985}" type="presParOf" srcId="{3EA64126-E355-4443-9C81-3D842F89E257}" destId="{9A30F727-AF18-4238-AAD8-9473DE004673}" srcOrd="6" destOrd="0" presId="urn:microsoft.com/office/officeart/2005/8/layout/cycle2"/>
    <dgm:cxn modelId="{5B88706B-945D-4FBE-8A72-E889B41935A6}" type="presParOf" srcId="{3EA64126-E355-4443-9C81-3D842F89E257}" destId="{CAC29CEA-3786-4473-AC46-819E7EDBDDB4}" srcOrd="7" destOrd="0" presId="urn:microsoft.com/office/officeart/2005/8/layout/cycle2"/>
    <dgm:cxn modelId="{BC92B983-5039-4BB2-854F-5A46ACFCCB4D}" type="presParOf" srcId="{CAC29CEA-3786-4473-AC46-819E7EDBDDB4}" destId="{A31D688A-9566-4B18-AB46-5536BB9C1069}" srcOrd="0" destOrd="0" presId="urn:microsoft.com/office/officeart/2005/8/layout/cycle2"/>
    <dgm:cxn modelId="{4ADA822C-517C-41D1-AAC4-718665310B6C}" type="presParOf" srcId="{3EA64126-E355-4443-9C81-3D842F89E257}" destId="{EED8A22F-A29E-4E29-8EAC-89E80AAF74DC}" srcOrd="8" destOrd="0" presId="urn:microsoft.com/office/officeart/2005/8/layout/cycle2"/>
    <dgm:cxn modelId="{CA06534F-483B-49A2-8732-A50C03062227}" type="presParOf" srcId="{3EA64126-E355-4443-9C81-3D842F89E257}" destId="{0C1843FA-676D-4D7C-B983-7E87B70C4B3F}" srcOrd="9" destOrd="0" presId="urn:microsoft.com/office/officeart/2005/8/layout/cycle2"/>
    <dgm:cxn modelId="{80311719-EBE6-44FF-A03F-2AF638E4BE54}" type="presParOf" srcId="{0C1843FA-676D-4D7C-B983-7E87B70C4B3F}" destId="{B350A784-C7BB-43DD-9050-2CB4597640AE}" srcOrd="0" destOrd="0" presId="urn:microsoft.com/office/officeart/2005/8/layout/cycle2"/>
  </dgm:cxnLst>
  <dgm:bg>
    <a:noFill/>
    <a:effectLst>
      <a:outerShdw blurRad="50800" dist="38100" dir="2700000" algn="tl" rotWithShape="0">
        <a:prstClr val="black">
          <a:alpha val="40000"/>
        </a:prstClr>
      </a:outerShdw>
    </a:effectLst>
  </dgm:bg>
  <dgm:whole/>
  <dgm:extLst>
    <a:ext uri="http://schemas.microsoft.com/office/drawing/2008/diagram">
      <dsp:dataModelExt xmlns:dsp="http://schemas.microsoft.com/office/drawing/2008/diagram" relId="rId15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9B3C68-C52A-4885-B5FC-764D0949DF3E}">
      <dsp:nvSpPr>
        <dsp:cNvPr id="0" name=""/>
        <dsp:cNvSpPr/>
      </dsp:nvSpPr>
      <dsp:spPr>
        <a:xfrm>
          <a:off x="1892553" y="76294"/>
          <a:ext cx="1997304" cy="1251124"/>
        </a:xfrm>
        <a:prstGeom prst="ellipse">
          <a:avLst/>
        </a:prstGeom>
        <a:solidFill>
          <a:schemeClr val="accent2">
            <a:lumMod val="60000"/>
            <a:lumOff val="40000"/>
          </a:schemeClr>
        </a:solidFill>
        <a:ln w="55000" cap="flat" cmpd="thickThin" algn="ctr">
          <a:solidFill>
            <a:schemeClr val="accent2">
              <a:lumMod val="75000"/>
            </a:schemeClr>
          </a:solidFill>
          <a:prstDash val="solid"/>
        </a:ln>
        <a:effectLst/>
        <a:scene3d>
          <a:camera prst="orthographicFront"/>
          <a:lightRig rig="contrasting" dir="t"/>
        </a:scene3d>
        <a:sp3d>
          <a:bevelB w="114300" prst="artDeco"/>
        </a:sp3d>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sr-Latn-CS" sz="1000" b="1" kern="1200">
              <a:solidFill>
                <a:schemeClr val="accent6">
                  <a:lumMod val="50000"/>
                </a:schemeClr>
              </a:solidFill>
              <a:latin typeface="Constantia" pitchFamily="18" charset="0"/>
            </a:rPr>
            <a:t>POKRETAČI</a:t>
          </a:r>
          <a:r>
            <a:rPr lang="sr-Latn-CS" sz="800" b="1" kern="1200">
              <a:solidFill>
                <a:schemeClr val="accent6">
                  <a:lumMod val="50000"/>
                </a:schemeClr>
              </a:solidFill>
              <a:latin typeface="Constantia" pitchFamily="18" charset="0"/>
            </a:rPr>
            <a:t> </a:t>
          </a:r>
        </a:p>
        <a:p>
          <a:pPr lvl="0" algn="ctr" defTabSz="444500">
            <a:lnSpc>
              <a:spcPct val="90000"/>
            </a:lnSpc>
            <a:spcBef>
              <a:spcPct val="0"/>
            </a:spcBef>
            <a:spcAft>
              <a:spcPct val="35000"/>
            </a:spcAft>
          </a:pPr>
          <a:r>
            <a:rPr lang="sr-Latn-CS" sz="700" b="1" kern="1200">
              <a:solidFill>
                <a:schemeClr val="accent6">
                  <a:lumMod val="50000"/>
                </a:schemeClr>
              </a:solidFill>
              <a:latin typeface="Constantia" pitchFamily="18" charset="0"/>
            </a:rPr>
            <a:t> </a:t>
          </a:r>
          <a:r>
            <a:rPr lang="sr-Latn-CS" sz="700" kern="1200">
              <a:solidFill>
                <a:schemeClr val="accent6">
                  <a:lumMod val="50000"/>
                </a:schemeClr>
              </a:solidFill>
              <a:latin typeface="Constantia" pitchFamily="18" charset="0"/>
            </a:rPr>
            <a:t>(osnovni pokretači negativnih uticaja)</a:t>
          </a:r>
        </a:p>
        <a:p>
          <a:pPr lvl="0" algn="ctr" defTabSz="444500">
            <a:lnSpc>
              <a:spcPct val="90000"/>
            </a:lnSpc>
            <a:spcBef>
              <a:spcPct val="0"/>
            </a:spcBef>
            <a:spcAft>
              <a:spcPct val="35000"/>
            </a:spcAft>
          </a:pPr>
          <a:r>
            <a:rPr lang="sr-Latn-CS" sz="700" strike="noStrike" kern="1200">
              <a:solidFill>
                <a:schemeClr val="accent6">
                  <a:lumMod val="50000"/>
                </a:schemeClr>
              </a:solidFill>
              <a:latin typeface="Constantia" pitchFamily="18" charset="0"/>
            </a:rPr>
            <a:t>- </a:t>
          </a:r>
          <a:r>
            <a:rPr lang="sr-Latn-CS" sz="700" b="1" strike="noStrike" kern="1200">
              <a:solidFill>
                <a:schemeClr val="accent6">
                  <a:lumMod val="50000"/>
                </a:schemeClr>
              </a:solidFill>
              <a:latin typeface="Constantia" pitchFamily="18" charset="0"/>
            </a:rPr>
            <a:t>STANOVNIŠTVO</a:t>
          </a:r>
        </a:p>
        <a:p>
          <a:pPr lvl="0" algn="ctr" defTabSz="444500">
            <a:lnSpc>
              <a:spcPct val="90000"/>
            </a:lnSpc>
            <a:spcBef>
              <a:spcPct val="0"/>
            </a:spcBef>
            <a:spcAft>
              <a:spcPct val="35000"/>
            </a:spcAft>
          </a:pPr>
          <a:r>
            <a:rPr lang="sr-Latn-CS" sz="700" b="1" strike="noStrike" kern="1200">
              <a:solidFill>
                <a:schemeClr val="accent6">
                  <a:lumMod val="50000"/>
                </a:schemeClr>
              </a:solidFill>
              <a:latin typeface="Constantia" pitchFamily="18" charset="0"/>
            </a:rPr>
            <a:t>- TURIZAM</a:t>
          </a:r>
          <a:endParaRPr lang="x-none" sz="700" b="1" strike="noStrike" kern="1200">
            <a:solidFill>
              <a:schemeClr val="accent6">
                <a:lumMod val="50000"/>
              </a:schemeClr>
            </a:solidFill>
            <a:latin typeface="Constantia" pitchFamily="18" charset="0"/>
          </a:endParaRPr>
        </a:p>
        <a:p>
          <a:pPr lvl="0" algn="ctr" defTabSz="444500">
            <a:lnSpc>
              <a:spcPct val="90000"/>
            </a:lnSpc>
            <a:spcBef>
              <a:spcPct val="0"/>
            </a:spcBef>
            <a:spcAft>
              <a:spcPct val="35000"/>
            </a:spcAft>
          </a:pPr>
          <a:r>
            <a:rPr lang="x-none" sz="700" b="1" strike="noStrike" kern="1200">
              <a:solidFill>
                <a:schemeClr val="accent6">
                  <a:lumMod val="50000"/>
                </a:schemeClr>
              </a:solidFill>
              <a:latin typeface="Constantia" pitchFamily="18" charset="0"/>
            </a:rPr>
            <a:t>-</a:t>
          </a:r>
          <a:r>
            <a:rPr lang="sr-Latn-CS" sz="700" b="1" strike="noStrike" kern="1200">
              <a:solidFill>
                <a:schemeClr val="accent6">
                  <a:lumMod val="50000"/>
                </a:schemeClr>
              </a:solidFill>
              <a:latin typeface="Constantia" pitchFamily="18" charset="0"/>
            </a:rPr>
            <a:t> </a:t>
          </a:r>
          <a:r>
            <a:rPr lang="x-none" sz="700" b="1" strike="noStrike" kern="1200">
              <a:solidFill>
                <a:schemeClr val="accent6">
                  <a:lumMod val="50000"/>
                </a:schemeClr>
              </a:solidFill>
              <a:latin typeface="Constantia" pitchFamily="18" charset="0"/>
            </a:rPr>
            <a:t>ENERGETSKI SEKTOR </a:t>
          </a:r>
        </a:p>
        <a:p>
          <a:pPr lvl="0" algn="ctr" defTabSz="444500">
            <a:lnSpc>
              <a:spcPct val="90000"/>
            </a:lnSpc>
            <a:spcBef>
              <a:spcPct val="0"/>
            </a:spcBef>
            <a:spcAft>
              <a:spcPct val="35000"/>
            </a:spcAft>
          </a:pPr>
          <a:r>
            <a:rPr lang="x-none" sz="700" b="1" strike="noStrike" kern="1200">
              <a:solidFill>
                <a:schemeClr val="accent6">
                  <a:lumMod val="50000"/>
                </a:schemeClr>
              </a:solidFill>
              <a:latin typeface="Constantia" pitchFamily="18" charset="0"/>
            </a:rPr>
            <a:t>-</a:t>
          </a:r>
          <a:r>
            <a:rPr lang="sr-Latn-CS" sz="700" b="1" strike="noStrike" kern="1200">
              <a:solidFill>
                <a:schemeClr val="accent6">
                  <a:lumMod val="50000"/>
                </a:schemeClr>
              </a:solidFill>
              <a:latin typeface="Constantia" pitchFamily="18" charset="0"/>
            </a:rPr>
            <a:t> SAOBRAĆAJ</a:t>
          </a:r>
          <a:endParaRPr lang="x-none" sz="700" b="1" strike="noStrike" kern="1200">
            <a:solidFill>
              <a:schemeClr val="accent6">
                <a:lumMod val="50000"/>
              </a:schemeClr>
            </a:solidFill>
            <a:latin typeface="Constantia" pitchFamily="18" charset="0"/>
          </a:endParaRPr>
        </a:p>
        <a:p>
          <a:pPr lvl="0" algn="ctr" defTabSz="444500">
            <a:lnSpc>
              <a:spcPct val="90000"/>
            </a:lnSpc>
            <a:spcBef>
              <a:spcPct val="0"/>
            </a:spcBef>
            <a:spcAft>
              <a:spcPct val="35000"/>
            </a:spcAft>
          </a:pPr>
          <a:r>
            <a:rPr lang="x-none" sz="700" b="1" kern="1200">
              <a:solidFill>
                <a:schemeClr val="accent6">
                  <a:lumMod val="50000"/>
                </a:schemeClr>
              </a:solidFill>
              <a:latin typeface="Constantia" pitchFamily="18" charset="0"/>
            </a:rPr>
            <a:t>-</a:t>
          </a:r>
          <a:r>
            <a:rPr lang="sr-Latn-CS" sz="700" b="1" kern="1200">
              <a:solidFill>
                <a:schemeClr val="accent6">
                  <a:lumMod val="50000"/>
                </a:schemeClr>
              </a:solidFill>
              <a:latin typeface="Constantia" pitchFamily="18" charset="0"/>
            </a:rPr>
            <a:t> </a:t>
          </a:r>
          <a:r>
            <a:rPr lang="x-none" sz="700" b="1" kern="1200">
              <a:solidFill>
                <a:schemeClr val="accent6">
                  <a:lumMod val="50000"/>
                </a:schemeClr>
              </a:solidFill>
              <a:latin typeface="Constantia" pitchFamily="18" charset="0"/>
            </a:rPr>
            <a:t>INDUSTRIJA </a:t>
          </a:r>
          <a:endParaRPr lang="en-US" sz="700" b="1" kern="1200">
            <a:solidFill>
              <a:schemeClr val="accent6">
                <a:lumMod val="50000"/>
              </a:schemeClr>
            </a:solidFill>
            <a:latin typeface="Constantia" pitchFamily="18" charset="0"/>
          </a:endParaRPr>
        </a:p>
      </dsp:txBody>
      <dsp:txXfrm>
        <a:off x="2185051" y="259517"/>
        <a:ext cx="1412308" cy="884678"/>
      </dsp:txXfrm>
    </dsp:sp>
    <dsp:sp modelId="{A8958E2C-032C-4D01-B688-43D674070EB3}">
      <dsp:nvSpPr>
        <dsp:cNvPr id="0" name=""/>
        <dsp:cNvSpPr/>
      </dsp:nvSpPr>
      <dsp:spPr>
        <a:xfrm rot="1873230">
          <a:off x="3671339" y="1027763"/>
          <a:ext cx="221002" cy="427833"/>
        </a:xfrm>
        <a:prstGeom prst="rightArrow">
          <a:avLst>
            <a:gd name="adj1" fmla="val 60000"/>
            <a:gd name="adj2" fmla="val 50000"/>
          </a:avLst>
        </a:prstGeom>
        <a:solidFill>
          <a:schemeClr val="accent2">
            <a:lumMod val="60000"/>
            <a:lumOff val="40000"/>
          </a:schemeClr>
        </a:solidFill>
        <a:ln>
          <a:solidFill>
            <a:schemeClr val="accent2">
              <a:lumMod val="75000"/>
            </a:schemeClr>
          </a:solidFill>
        </a:ln>
        <a:effectLst/>
        <a:scene3d>
          <a:camera prst="orthographicFront"/>
          <a:lightRig rig="contrasting" dir="t"/>
        </a:scene3d>
        <a:sp3d>
          <a:bevelB w="114300" prst="artDeco"/>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US" sz="700" kern="1200">
            <a:latin typeface="Constantia" pitchFamily="18" charset="0"/>
          </a:endParaRPr>
        </a:p>
      </dsp:txBody>
      <dsp:txXfrm>
        <a:off x="3676140" y="1096147"/>
        <a:ext cx="154701" cy="256699"/>
      </dsp:txXfrm>
    </dsp:sp>
    <dsp:sp modelId="{A59902BC-7884-4812-97C9-2419EA97A105}">
      <dsp:nvSpPr>
        <dsp:cNvPr id="0" name=""/>
        <dsp:cNvSpPr/>
      </dsp:nvSpPr>
      <dsp:spPr>
        <a:xfrm>
          <a:off x="3727561" y="1119586"/>
          <a:ext cx="1942516" cy="1355769"/>
        </a:xfrm>
        <a:prstGeom prst="ellipse">
          <a:avLst/>
        </a:prstGeom>
        <a:solidFill>
          <a:schemeClr val="bg1">
            <a:lumMod val="65000"/>
          </a:schemeClr>
        </a:solidFill>
        <a:ln w="55000" cap="flat" cmpd="thickThin" algn="ctr">
          <a:solidFill>
            <a:schemeClr val="tx1">
              <a:lumMod val="65000"/>
              <a:lumOff val="35000"/>
            </a:schemeClr>
          </a:solidFill>
          <a:prstDash val="solid"/>
        </a:ln>
        <a:effectLst/>
        <a:scene3d>
          <a:camera prst="orthographicFront"/>
          <a:lightRig rig="contrasting" dir="t"/>
        </a:scene3d>
        <a:sp3d>
          <a:bevelB w="114300" prst="artDeco"/>
        </a:sp3d>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x-none" sz="1000" b="1" kern="1200">
              <a:solidFill>
                <a:sysClr val="windowText" lastClr="000000"/>
              </a:solidFill>
              <a:latin typeface="Constantia" pitchFamily="18" charset="0"/>
            </a:rPr>
            <a:t>PRITIS</a:t>
          </a:r>
          <a:r>
            <a:rPr lang="sr-Latn-CS" sz="1000" b="1" kern="1200">
              <a:solidFill>
                <a:sysClr val="windowText" lastClr="000000"/>
              </a:solidFill>
              <a:latin typeface="Constantia" pitchFamily="18" charset="0"/>
            </a:rPr>
            <a:t>CI</a:t>
          </a:r>
        </a:p>
        <a:p>
          <a:pPr lvl="0" algn="ctr" defTabSz="444500">
            <a:lnSpc>
              <a:spcPct val="90000"/>
            </a:lnSpc>
            <a:spcBef>
              <a:spcPct val="0"/>
            </a:spcBef>
            <a:spcAft>
              <a:spcPct val="35000"/>
            </a:spcAft>
          </a:pPr>
          <a:r>
            <a:rPr lang="sr-Latn-CS" sz="700" b="1" strike="noStrike" kern="1200">
              <a:solidFill>
                <a:sysClr val="windowText" lastClr="000000"/>
              </a:solidFill>
              <a:latin typeface="Constantia" pitchFamily="18" charset="0"/>
            </a:rPr>
            <a:t>(ljudske aktivnosti koje ugrožavaju životnu okolinu</a:t>
          </a:r>
          <a:r>
            <a:rPr lang="sr-Latn-CS" sz="700" b="1" strike="noStrike" kern="1200">
              <a:solidFill>
                <a:schemeClr val="accent2">
                  <a:lumMod val="20000"/>
                  <a:lumOff val="80000"/>
                </a:schemeClr>
              </a:solidFill>
              <a:latin typeface="Constantia" pitchFamily="18" charset="0"/>
            </a:rPr>
            <a:t>)</a:t>
          </a:r>
          <a:endParaRPr lang="x-none" sz="700" b="1" strike="noStrike" kern="1200">
            <a:solidFill>
              <a:schemeClr val="accent2">
                <a:lumMod val="20000"/>
                <a:lumOff val="80000"/>
              </a:schemeClr>
            </a:solidFill>
            <a:latin typeface="Constantia" pitchFamily="18" charset="0"/>
          </a:endParaRPr>
        </a:p>
        <a:p>
          <a:pPr lvl="0" algn="ctr" defTabSz="444500">
            <a:lnSpc>
              <a:spcPct val="90000"/>
            </a:lnSpc>
            <a:spcBef>
              <a:spcPct val="0"/>
            </a:spcBef>
            <a:spcAft>
              <a:spcPct val="35000"/>
            </a:spcAft>
          </a:pPr>
          <a:r>
            <a:rPr lang="x-none" sz="700" b="1" kern="1200">
              <a:solidFill>
                <a:schemeClr val="accent2">
                  <a:lumMod val="20000"/>
                  <a:lumOff val="80000"/>
                </a:schemeClr>
              </a:solidFill>
              <a:latin typeface="Constantia" pitchFamily="18" charset="0"/>
            </a:rPr>
            <a:t>- </a:t>
          </a:r>
          <a:r>
            <a:rPr lang="x-none" sz="700" b="1" kern="1200">
              <a:solidFill>
                <a:sysClr val="windowText" lastClr="000000"/>
              </a:solidFill>
              <a:latin typeface="Constantia" pitchFamily="18" charset="0"/>
            </a:rPr>
            <a:t>EMISIJ</a:t>
          </a:r>
          <a:r>
            <a:rPr lang="sr-Latn-CS" sz="700" b="1" kern="1200">
              <a:solidFill>
                <a:sysClr val="windowText" lastClr="000000"/>
              </a:solidFill>
              <a:latin typeface="Constantia" pitchFamily="18" charset="0"/>
            </a:rPr>
            <a:t>E ZAGAĐUJUĆIH MATERIJA U VODU, VAZDUH I ZEMLJIŠTE</a:t>
          </a:r>
        </a:p>
        <a:p>
          <a:pPr lvl="0" algn="ctr" defTabSz="444500">
            <a:lnSpc>
              <a:spcPct val="90000"/>
            </a:lnSpc>
            <a:spcBef>
              <a:spcPct val="0"/>
            </a:spcBef>
            <a:spcAft>
              <a:spcPct val="35000"/>
            </a:spcAft>
          </a:pPr>
          <a:r>
            <a:rPr lang="sr-Latn-CS" sz="700" b="1" kern="1200">
              <a:solidFill>
                <a:sysClr val="windowText" lastClr="000000"/>
              </a:solidFill>
              <a:latin typeface="Constantia" pitchFamily="18" charset="0"/>
            </a:rPr>
            <a:t>- DEGRADACIJA ZEMLJIŠTA</a:t>
          </a:r>
        </a:p>
        <a:p>
          <a:pPr lvl="0" algn="ctr" defTabSz="444500">
            <a:lnSpc>
              <a:spcPct val="90000"/>
            </a:lnSpc>
            <a:spcBef>
              <a:spcPct val="0"/>
            </a:spcBef>
            <a:spcAft>
              <a:spcPct val="35000"/>
            </a:spcAft>
          </a:pPr>
          <a:r>
            <a:rPr lang="sr-Latn-CS" sz="700" b="1" kern="1200">
              <a:solidFill>
                <a:sysClr val="windowText" lastClr="000000"/>
              </a:solidFill>
              <a:latin typeface="Constantia" pitchFamily="18" charset="0"/>
            </a:rPr>
            <a:t>- SJEČA ŠUMA</a:t>
          </a:r>
          <a:endParaRPr lang="x-none" sz="700" b="1" kern="1200">
            <a:solidFill>
              <a:sysClr val="windowText" lastClr="000000"/>
            </a:solidFill>
            <a:latin typeface="Constantia" pitchFamily="18" charset="0"/>
          </a:endParaRPr>
        </a:p>
      </dsp:txBody>
      <dsp:txXfrm>
        <a:off x="4012036" y="1318134"/>
        <a:ext cx="1373566" cy="958673"/>
      </dsp:txXfrm>
    </dsp:sp>
    <dsp:sp modelId="{CA014DC6-D47C-4628-9062-127B46C4522E}">
      <dsp:nvSpPr>
        <dsp:cNvPr id="0" name=""/>
        <dsp:cNvSpPr/>
      </dsp:nvSpPr>
      <dsp:spPr>
        <a:xfrm rot="6363711">
          <a:off x="4292287" y="2527178"/>
          <a:ext cx="285699" cy="427833"/>
        </a:xfrm>
        <a:prstGeom prst="rightArrow">
          <a:avLst>
            <a:gd name="adj1" fmla="val 60000"/>
            <a:gd name="adj2" fmla="val 50000"/>
          </a:avLst>
        </a:prstGeom>
        <a:solidFill>
          <a:schemeClr val="bg1">
            <a:lumMod val="65000"/>
          </a:schemeClr>
        </a:solidFill>
        <a:ln>
          <a:solidFill>
            <a:schemeClr val="tx1">
              <a:lumMod val="65000"/>
              <a:lumOff val="35000"/>
            </a:schemeClr>
          </a:solidFill>
        </a:ln>
        <a:effectLst/>
        <a:scene3d>
          <a:camera prst="orthographicFront"/>
          <a:lightRig rig="contrasting" dir="t"/>
        </a:scene3d>
        <a:sp3d>
          <a:bevelB w="114300" prst="artDeco"/>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US" sz="700" kern="1200">
            <a:latin typeface="Constantia" pitchFamily="18" charset="0"/>
          </a:endParaRPr>
        </a:p>
      </dsp:txBody>
      <dsp:txXfrm rot="10800000">
        <a:off x="4346999" y="2571563"/>
        <a:ext cx="199989" cy="256699"/>
      </dsp:txXfrm>
    </dsp:sp>
    <dsp:sp modelId="{577C99EF-EB4C-479F-B831-70E6574038F5}">
      <dsp:nvSpPr>
        <dsp:cNvPr id="0" name=""/>
        <dsp:cNvSpPr/>
      </dsp:nvSpPr>
      <dsp:spPr>
        <a:xfrm>
          <a:off x="3273044" y="2968799"/>
          <a:ext cx="1822951" cy="1229929"/>
        </a:xfrm>
        <a:prstGeom prst="ellipse">
          <a:avLst/>
        </a:prstGeom>
        <a:solidFill>
          <a:schemeClr val="accent4">
            <a:lumMod val="60000"/>
            <a:lumOff val="40000"/>
          </a:schemeClr>
        </a:solidFill>
        <a:ln w="55000" cap="flat" cmpd="thickThin" algn="ctr">
          <a:solidFill>
            <a:schemeClr val="accent4">
              <a:lumMod val="75000"/>
            </a:schemeClr>
          </a:solidFill>
          <a:prstDash val="solid"/>
        </a:ln>
        <a:effectLst/>
        <a:scene3d>
          <a:camera prst="orthographicFront"/>
          <a:lightRig rig="contrasting" dir="t"/>
        </a:scene3d>
        <a:sp3d>
          <a:bevelB w="114300" prst="artDeco"/>
        </a:sp3d>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x-none" sz="1000" b="1" kern="1200">
              <a:solidFill>
                <a:sysClr val="windowText" lastClr="000000"/>
              </a:solidFill>
              <a:latin typeface="Constantia" pitchFamily="18" charset="0"/>
            </a:rPr>
            <a:t>STANJE</a:t>
          </a:r>
          <a:r>
            <a:rPr lang="x-none" sz="700" kern="1200">
              <a:solidFill>
                <a:sysClr val="windowText" lastClr="000000"/>
              </a:solidFill>
              <a:latin typeface="Constantia" pitchFamily="18" charset="0"/>
            </a:rPr>
            <a:t> </a:t>
          </a:r>
        </a:p>
        <a:p>
          <a:pPr lvl="0" algn="ctr" defTabSz="444500">
            <a:lnSpc>
              <a:spcPct val="90000"/>
            </a:lnSpc>
            <a:spcBef>
              <a:spcPct val="0"/>
            </a:spcBef>
            <a:spcAft>
              <a:spcPct val="35000"/>
            </a:spcAft>
          </a:pPr>
          <a:r>
            <a:rPr lang="x-none" sz="700" b="1" kern="1200">
              <a:solidFill>
                <a:sysClr val="windowText" lastClr="000000"/>
              </a:solidFill>
              <a:latin typeface="Constantia" pitchFamily="18" charset="0"/>
            </a:rPr>
            <a:t>(</a:t>
          </a:r>
          <a:r>
            <a:rPr lang="sr-Latn-CS" sz="700" b="1" kern="1200">
              <a:solidFill>
                <a:sysClr val="windowText" lastClr="000000"/>
              </a:solidFill>
              <a:latin typeface="Constantia" pitchFamily="18" charset="0"/>
            </a:rPr>
            <a:t>kvalitativni i kvantitavni pokazatelji stanja životne sredine</a:t>
          </a:r>
          <a:r>
            <a:rPr lang="x-none" sz="700" b="1" kern="1200">
              <a:solidFill>
                <a:sysClr val="windowText" lastClr="000000"/>
              </a:solidFill>
              <a:latin typeface="Constantia" pitchFamily="18" charset="0"/>
            </a:rPr>
            <a:t>) </a:t>
          </a:r>
        </a:p>
        <a:p>
          <a:pPr lvl="0" algn="ctr" defTabSz="444500">
            <a:lnSpc>
              <a:spcPct val="90000"/>
            </a:lnSpc>
            <a:spcBef>
              <a:spcPct val="0"/>
            </a:spcBef>
            <a:spcAft>
              <a:spcPct val="35000"/>
            </a:spcAft>
          </a:pPr>
          <a:r>
            <a:rPr lang="x-none" sz="700" kern="1200">
              <a:solidFill>
                <a:sysClr val="windowText" lastClr="000000"/>
              </a:solidFill>
              <a:latin typeface="Constantia" pitchFamily="18" charset="0"/>
            </a:rPr>
            <a:t>-</a:t>
          </a:r>
          <a:r>
            <a:rPr lang="sr-Latn-CS" sz="700" b="1" kern="1200">
              <a:solidFill>
                <a:sysClr val="windowText" lastClr="000000"/>
              </a:solidFill>
              <a:latin typeface="Constantia" pitchFamily="18" charset="0"/>
            </a:rPr>
            <a:t>EMISIJA CO</a:t>
          </a:r>
          <a:r>
            <a:rPr lang="sr-Latn-CS" sz="700" b="1" kern="1200">
              <a:solidFill>
                <a:sysClr val="windowText" lastClr="000000"/>
              </a:solidFill>
              <a:latin typeface="Constantia" pitchFamily="18" charset="0"/>
              <a:cs typeface="Calibri"/>
            </a:rPr>
            <a:t>₂</a:t>
          </a:r>
          <a:r>
            <a:rPr lang="sr-Latn-CS" sz="700" b="1" kern="1200">
              <a:solidFill>
                <a:sysClr val="windowText" lastClr="000000"/>
              </a:solidFill>
              <a:latin typeface="Constantia" pitchFamily="18" charset="0"/>
            </a:rPr>
            <a:t> U ATMOSFERI</a:t>
          </a:r>
        </a:p>
        <a:p>
          <a:pPr lvl="0" algn="ctr" defTabSz="444500">
            <a:lnSpc>
              <a:spcPct val="90000"/>
            </a:lnSpc>
            <a:spcBef>
              <a:spcPct val="0"/>
            </a:spcBef>
            <a:spcAft>
              <a:spcPct val="35000"/>
            </a:spcAft>
          </a:pPr>
          <a:r>
            <a:rPr lang="sr-Latn-CS" sz="700" b="1" kern="1200">
              <a:solidFill>
                <a:sysClr val="windowText" lastClr="000000"/>
              </a:solidFill>
              <a:latin typeface="Constantia" pitchFamily="18" charset="0"/>
            </a:rPr>
            <a:t>- BUKA U URBANOJ SREDINI</a:t>
          </a:r>
        </a:p>
        <a:p>
          <a:pPr lvl="0" algn="ctr" defTabSz="444500">
            <a:lnSpc>
              <a:spcPct val="90000"/>
            </a:lnSpc>
            <a:spcBef>
              <a:spcPct val="0"/>
            </a:spcBef>
            <a:spcAft>
              <a:spcPct val="35000"/>
            </a:spcAft>
          </a:pPr>
          <a:r>
            <a:rPr lang="sr-Latn-CS" sz="700" b="1" kern="1200">
              <a:solidFill>
                <a:sysClr val="windowText" lastClr="000000"/>
              </a:solidFill>
              <a:latin typeface="Constantia" pitchFamily="18" charset="0"/>
            </a:rPr>
            <a:t>- NUTRIJENTI U POVRŠINSKOJ VODI</a:t>
          </a:r>
          <a:endParaRPr lang="en-US" sz="700" b="1" kern="1200">
            <a:solidFill>
              <a:sysClr val="windowText" lastClr="000000"/>
            </a:solidFill>
            <a:latin typeface="Constantia" pitchFamily="18" charset="0"/>
          </a:endParaRPr>
        </a:p>
      </dsp:txBody>
      <dsp:txXfrm>
        <a:off x="3540009" y="3148918"/>
        <a:ext cx="1289021" cy="869691"/>
      </dsp:txXfrm>
    </dsp:sp>
    <dsp:sp modelId="{D9A07A7A-FAA8-45C2-935B-AD039D412B73}">
      <dsp:nvSpPr>
        <dsp:cNvPr id="0" name=""/>
        <dsp:cNvSpPr/>
      </dsp:nvSpPr>
      <dsp:spPr>
        <a:xfrm rot="10832171">
          <a:off x="2843349" y="3358717"/>
          <a:ext cx="303721" cy="427833"/>
        </a:xfrm>
        <a:prstGeom prst="rightArrow">
          <a:avLst>
            <a:gd name="adj1" fmla="val 60000"/>
            <a:gd name="adj2" fmla="val 50000"/>
          </a:avLst>
        </a:prstGeom>
        <a:solidFill>
          <a:schemeClr val="accent4">
            <a:hueOff val="0"/>
            <a:satOff val="0"/>
            <a:lumOff val="0"/>
            <a:alphaOff val="0"/>
          </a:schemeClr>
        </a:solidFill>
        <a:ln>
          <a:solidFill>
            <a:schemeClr val="accent4">
              <a:lumMod val="50000"/>
            </a:schemeClr>
          </a:solidFill>
        </a:ln>
        <a:effectLst/>
        <a:scene3d>
          <a:camera prst="orthographicFront"/>
          <a:lightRig rig="contrasting" dir="t"/>
        </a:scene3d>
        <a:sp3d>
          <a:bevelB w="114300" prst="artDeco"/>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US" sz="700" kern="1200">
            <a:latin typeface="Constantia" pitchFamily="18" charset="0"/>
          </a:endParaRPr>
        </a:p>
      </dsp:txBody>
      <dsp:txXfrm rot="10800000">
        <a:off x="2934463" y="3444710"/>
        <a:ext cx="212605" cy="256699"/>
      </dsp:txXfrm>
    </dsp:sp>
    <dsp:sp modelId="{9A30F727-AF18-4238-AAD8-9473DE004673}">
      <dsp:nvSpPr>
        <dsp:cNvPr id="0" name=""/>
        <dsp:cNvSpPr/>
      </dsp:nvSpPr>
      <dsp:spPr>
        <a:xfrm>
          <a:off x="813398" y="2927217"/>
          <a:ext cx="1886790" cy="1267655"/>
        </a:xfrm>
        <a:prstGeom prst="ellipse">
          <a:avLst/>
        </a:prstGeom>
        <a:solidFill>
          <a:srgbClr val="8D7FE3"/>
        </a:solidFill>
        <a:ln w="55000" cap="flat" cmpd="thickThin" algn="ctr">
          <a:solidFill>
            <a:srgbClr val="7030A0"/>
          </a:solidFill>
          <a:prstDash val="solid"/>
        </a:ln>
        <a:effectLst/>
        <a:scene3d>
          <a:camera prst="orthographicFront"/>
          <a:lightRig rig="contrasting" dir="t"/>
        </a:scene3d>
        <a:sp3d>
          <a:bevelB w="114300" prst="artDeco"/>
        </a:sp3d>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x-none" sz="1000" b="1" strike="noStrike" kern="1200">
              <a:solidFill>
                <a:sysClr val="windowText" lastClr="000000"/>
              </a:solidFill>
              <a:latin typeface="Constantia" pitchFamily="18" charset="0"/>
            </a:rPr>
            <a:t>UTICAJ</a:t>
          </a:r>
          <a:r>
            <a:rPr lang="sr-Latn-CS" sz="1000" b="1" strike="noStrike" kern="1200">
              <a:solidFill>
                <a:sysClr val="windowText" lastClr="000000"/>
              </a:solidFill>
              <a:latin typeface="Constantia" pitchFamily="18" charset="0"/>
            </a:rPr>
            <a:t>I</a:t>
          </a:r>
          <a:endParaRPr lang="x-none" sz="1000" b="1" strike="noStrike" kern="1200">
            <a:solidFill>
              <a:sysClr val="windowText" lastClr="000000"/>
            </a:solidFill>
            <a:latin typeface="Constantia" pitchFamily="18" charset="0"/>
          </a:endParaRPr>
        </a:p>
        <a:p>
          <a:pPr lvl="0" algn="ctr" defTabSz="444500">
            <a:lnSpc>
              <a:spcPct val="90000"/>
            </a:lnSpc>
            <a:spcBef>
              <a:spcPct val="0"/>
            </a:spcBef>
            <a:spcAft>
              <a:spcPct val="35000"/>
            </a:spcAft>
          </a:pPr>
          <a:r>
            <a:rPr lang="x-none" sz="700" kern="1200">
              <a:solidFill>
                <a:sysClr val="windowText" lastClr="000000"/>
              </a:solidFill>
              <a:latin typeface="Constantia" pitchFamily="18" charset="0"/>
            </a:rPr>
            <a:t> </a:t>
          </a:r>
          <a:r>
            <a:rPr lang="sr-Latn-CS" sz="700" b="1" kern="1200">
              <a:solidFill>
                <a:sysClr val="windowText" lastClr="000000"/>
              </a:solidFill>
              <a:latin typeface="Constantia" pitchFamily="18" charset="0"/>
            </a:rPr>
            <a:t>(</a:t>
          </a:r>
          <a:r>
            <a:rPr lang="x-none" sz="700" b="1" kern="1200">
              <a:solidFill>
                <a:sysClr val="windowText" lastClr="000000"/>
              </a:solidFill>
              <a:latin typeface="Constantia" pitchFamily="18" charset="0"/>
            </a:rPr>
            <a:t>efekti usl</a:t>
          </a:r>
          <a:r>
            <a:rPr lang="sr-Latn-ME" sz="700" b="1" kern="1200">
              <a:solidFill>
                <a:sysClr val="windowText" lastClr="000000"/>
              </a:solidFill>
              <a:latin typeface="Constantia" pitchFamily="18" charset="0"/>
            </a:rPr>
            <a:t>j</a:t>
          </a:r>
          <a:r>
            <a:rPr lang="x-none" sz="700" b="1" kern="1200">
              <a:solidFill>
                <a:sysClr val="windowText" lastClr="000000"/>
              </a:solidFill>
              <a:latin typeface="Constantia" pitchFamily="18" charset="0"/>
            </a:rPr>
            <a:t>ed promjene životne sredine)</a:t>
          </a:r>
        </a:p>
        <a:p>
          <a:pPr lvl="0" algn="ctr" defTabSz="444500">
            <a:lnSpc>
              <a:spcPct val="90000"/>
            </a:lnSpc>
            <a:spcBef>
              <a:spcPct val="0"/>
            </a:spcBef>
            <a:spcAft>
              <a:spcPct val="35000"/>
            </a:spcAft>
          </a:pPr>
          <a:r>
            <a:rPr lang="x-none" sz="700" b="1" kern="1200">
              <a:solidFill>
                <a:sysClr val="windowText" lastClr="000000"/>
              </a:solidFill>
              <a:latin typeface="Constantia" pitchFamily="18" charset="0"/>
            </a:rPr>
            <a:t>-SMANJENJE PRINOSA</a:t>
          </a:r>
          <a:endParaRPr lang="en-US" sz="700" b="1" kern="1200">
            <a:solidFill>
              <a:sysClr val="windowText" lastClr="000000"/>
            </a:solidFill>
            <a:latin typeface="Constantia" pitchFamily="18" charset="0"/>
          </a:endParaRPr>
        </a:p>
        <a:p>
          <a:pPr lvl="0" algn="ctr" defTabSz="444500">
            <a:lnSpc>
              <a:spcPct val="90000"/>
            </a:lnSpc>
            <a:spcBef>
              <a:spcPct val="0"/>
            </a:spcBef>
            <a:spcAft>
              <a:spcPct val="35000"/>
            </a:spcAft>
          </a:pPr>
          <a:r>
            <a:rPr lang="x-none" sz="700" b="1" kern="1200">
              <a:solidFill>
                <a:sysClr val="windowText" lastClr="000000"/>
              </a:solidFill>
              <a:latin typeface="Constantia" pitchFamily="18" charset="0"/>
            </a:rPr>
            <a:t>-</a:t>
          </a:r>
          <a:r>
            <a:rPr lang="sr-Latn-CS" sz="700" b="1" kern="1200">
              <a:solidFill>
                <a:sysClr val="windowText" lastClr="000000"/>
              </a:solidFill>
              <a:latin typeface="Constantia" pitchFamily="18" charset="0"/>
            </a:rPr>
            <a:t> GUBITAKBIODIVERZITETA</a:t>
          </a:r>
          <a:r>
            <a:rPr lang="x-none" sz="700" b="1" kern="1200">
              <a:solidFill>
                <a:sysClr val="windowText" lastClr="000000"/>
              </a:solidFill>
              <a:latin typeface="Constantia" pitchFamily="18" charset="0"/>
            </a:rPr>
            <a:t> </a:t>
          </a:r>
          <a:endParaRPr lang="sr-Latn-CS" sz="700" b="1" kern="1200">
            <a:solidFill>
              <a:sysClr val="windowText" lastClr="000000"/>
            </a:solidFill>
            <a:latin typeface="Constantia" pitchFamily="18" charset="0"/>
          </a:endParaRPr>
        </a:p>
        <a:p>
          <a:pPr lvl="0" algn="ctr" defTabSz="444500">
            <a:lnSpc>
              <a:spcPct val="90000"/>
            </a:lnSpc>
            <a:spcBef>
              <a:spcPct val="0"/>
            </a:spcBef>
            <a:spcAft>
              <a:spcPct val="35000"/>
            </a:spcAft>
          </a:pPr>
          <a:r>
            <a:rPr lang="sr-Latn-CS" sz="700" b="1" kern="1200">
              <a:solidFill>
                <a:sysClr val="windowText" lastClr="000000"/>
              </a:solidFill>
              <a:latin typeface="Constantia" pitchFamily="18" charset="0"/>
            </a:rPr>
            <a:t>- KLIMATSKE PROMJENE</a:t>
          </a:r>
          <a:r>
            <a:rPr lang="x-none" sz="700" b="1" kern="1200">
              <a:solidFill>
                <a:sysClr val="windowText" lastClr="000000"/>
              </a:solidFill>
              <a:latin typeface="Constantia" pitchFamily="18" charset="0"/>
            </a:rPr>
            <a:t>      </a:t>
          </a:r>
        </a:p>
      </dsp:txBody>
      <dsp:txXfrm>
        <a:off x="1089712" y="3112861"/>
        <a:ext cx="1334162" cy="896367"/>
      </dsp:txXfrm>
    </dsp:sp>
    <dsp:sp modelId="{CAC29CEA-3786-4473-AC46-819E7EDBDDB4}">
      <dsp:nvSpPr>
        <dsp:cNvPr id="0" name=""/>
        <dsp:cNvSpPr/>
      </dsp:nvSpPr>
      <dsp:spPr>
        <a:xfrm rot="15226108">
          <a:off x="1373662" y="2490211"/>
          <a:ext cx="267324" cy="427833"/>
        </a:xfrm>
        <a:prstGeom prst="rightArrow">
          <a:avLst>
            <a:gd name="adj1" fmla="val 60000"/>
            <a:gd name="adj2" fmla="val 50000"/>
          </a:avLst>
        </a:prstGeom>
        <a:solidFill>
          <a:srgbClr val="8D7FE3"/>
        </a:solidFill>
        <a:ln>
          <a:solidFill>
            <a:srgbClr val="7030A0"/>
          </a:solidFill>
        </a:ln>
        <a:effectLst/>
        <a:scene3d>
          <a:camera prst="orthographicFront"/>
          <a:lightRig rig="contrasting" dir="t"/>
        </a:scene3d>
        <a:sp3d>
          <a:bevelB w="114300" prst="artDeco"/>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US" sz="700" kern="1200">
            <a:latin typeface="Constantia" pitchFamily="18" charset="0"/>
          </a:endParaRPr>
        </a:p>
      </dsp:txBody>
      <dsp:txXfrm rot="10800000">
        <a:off x="1424969" y="2614278"/>
        <a:ext cx="187127" cy="256699"/>
      </dsp:txXfrm>
    </dsp:sp>
    <dsp:sp modelId="{EED8A22F-A29E-4E29-8EAC-89E80AAF74DC}">
      <dsp:nvSpPr>
        <dsp:cNvPr id="0" name=""/>
        <dsp:cNvSpPr/>
      </dsp:nvSpPr>
      <dsp:spPr>
        <a:xfrm>
          <a:off x="298443" y="1198575"/>
          <a:ext cx="1910204" cy="1267655"/>
        </a:xfrm>
        <a:prstGeom prst="ellipse">
          <a:avLst/>
        </a:prstGeom>
        <a:solidFill>
          <a:srgbClr val="FFFF00"/>
        </a:solidFill>
        <a:ln w="55000" cap="flat" cmpd="thickThin" algn="ctr">
          <a:solidFill>
            <a:srgbClr val="CCCC00"/>
          </a:solidFill>
          <a:prstDash val="solid"/>
        </a:ln>
        <a:effectLst/>
        <a:scene3d>
          <a:camera prst="orthographicFront"/>
          <a:lightRig rig="contrasting" dir="t"/>
        </a:scene3d>
        <a:sp3d>
          <a:bevelB w="114300" prst="artDeco"/>
        </a:sp3d>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x-none" sz="1000" b="1" kern="1200">
              <a:solidFill>
                <a:sysClr val="windowText" lastClr="000000"/>
              </a:solidFill>
              <a:latin typeface="Constantia" pitchFamily="18" charset="0"/>
            </a:rPr>
            <a:t>ODGOVO</a:t>
          </a:r>
          <a:r>
            <a:rPr lang="sr-Latn-CS" sz="1000" b="1" kern="1200">
              <a:solidFill>
                <a:sysClr val="windowText" lastClr="000000"/>
              </a:solidFill>
              <a:latin typeface="Constantia" pitchFamily="18" charset="0"/>
            </a:rPr>
            <a:t>RI</a:t>
          </a:r>
        </a:p>
        <a:p>
          <a:pPr lvl="0" algn="ctr" defTabSz="444500">
            <a:lnSpc>
              <a:spcPct val="90000"/>
            </a:lnSpc>
            <a:spcBef>
              <a:spcPct val="0"/>
            </a:spcBef>
            <a:spcAft>
              <a:spcPct val="35000"/>
            </a:spcAft>
          </a:pPr>
          <a:r>
            <a:rPr lang="x-none" sz="700" b="1" kern="1200">
              <a:solidFill>
                <a:sysClr val="windowText" lastClr="000000"/>
              </a:solidFill>
              <a:latin typeface="Constantia" pitchFamily="18" charset="0"/>
            </a:rPr>
            <a:t>(</a:t>
          </a:r>
          <a:r>
            <a:rPr lang="sr-Latn-CS" sz="700" b="1" kern="1200">
              <a:solidFill>
                <a:sysClr val="windowText" lastClr="000000"/>
              </a:solidFill>
              <a:latin typeface="Constantia" pitchFamily="18" charset="0"/>
            </a:rPr>
            <a:t>reakcija na </a:t>
          </a:r>
          <a:r>
            <a:rPr lang="x-none" sz="700" b="1" kern="1200">
              <a:solidFill>
                <a:sysClr val="windowText" lastClr="000000"/>
              </a:solidFill>
              <a:latin typeface="Constantia" pitchFamily="18" charset="0"/>
            </a:rPr>
            <a:t> problem</a:t>
          </a:r>
          <a:r>
            <a:rPr lang="sr-Latn-CS" sz="700" b="1" kern="1200">
              <a:solidFill>
                <a:sysClr val="windowText" lastClr="000000"/>
              </a:solidFill>
              <a:latin typeface="Constantia" pitchFamily="18" charset="0"/>
            </a:rPr>
            <a:t>e</a:t>
          </a:r>
          <a:r>
            <a:rPr lang="x-none" sz="700" b="1" kern="1200">
              <a:solidFill>
                <a:sysClr val="windowText" lastClr="000000"/>
              </a:solidFill>
              <a:latin typeface="Constantia" pitchFamily="18" charset="0"/>
            </a:rPr>
            <a:t>)</a:t>
          </a:r>
          <a:endParaRPr lang="sr-Latn-CS" sz="700" b="1" kern="1200">
            <a:solidFill>
              <a:sysClr val="windowText" lastClr="000000"/>
            </a:solidFill>
            <a:latin typeface="Constantia" pitchFamily="18" charset="0"/>
          </a:endParaRPr>
        </a:p>
        <a:p>
          <a:pPr lvl="0" algn="ctr" defTabSz="444500">
            <a:lnSpc>
              <a:spcPct val="90000"/>
            </a:lnSpc>
            <a:spcBef>
              <a:spcPct val="0"/>
            </a:spcBef>
            <a:spcAft>
              <a:spcPct val="35000"/>
            </a:spcAft>
          </a:pPr>
          <a:r>
            <a:rPr lang="sr-Latn-CS" sz="700" b="1" kern="1200">
              <a:solidFill>
                <a:sysClr val="windowText" lastClr="000000"/>
              </a:solidFill>
              <a:latin typeface="Constantia" pitchFamily="18" charset="0"/>
            </a:rPr>
            <a:t>   - % RECIKLIRANOG OTPADA</a:t>
          </a:r>
          <a:endParaRPr lang="x-none" sz="700" b="1" kern="1200">
            <a:solidFill>
              <a:sysClr val="windowText" lastClr="000000"/>
            </a:solidFill>
            <a:latin typeface="Constantia" pitchFamily="18" charset="0"/>
          </a:endParaRPr>
        </a:p>
        <a:p>
          <a:pPr lvl="0" algn="ctr" defTabSz="444500">
            <a:lnSpc>
              <a:spcPct val="90000"/>
            </a:lnSpc>
            <a:spcBef>
              <a:spcPct val="0"/>
            </a:spcBef>
            <a:spcAft>
              <a:spcPct val="35000"/>
            </a:spcAft>
          </a:pPr>
          <a:r>
            <a:rPr lang="x-none" sz="700" b="1" kern="1200">
              <a:solidFill>
                <a:sysClr val="windowText" lastClr="000000"/>
              </a:solidFill>
              <a:latin typeface="Constantia" pitchFamily="18" charset="0"/>
            </a:rPr>
            <a:t>-</a:t>
          </a:r>
          <a:r>
            <a:rPr lang="sr-Latn-CS" sz="700" b="1" kern="1200">
              <a:solidFill>
                <a:sysClr val="windowText" lastClr="000000"/>
              </a:solidFill>
              <a:latin typeface="Constantia" pitchFamily="18" charset="0"/>
            </a:rPr>
            <a:t> </a:t>
          </a:r>
          <a:r>
            <a:rPr lang="x-none" sz="700" b="1" kern="1200">
              <a:solidFill>
                <a:sysClr val="windowText" lastClr="000000"/>
              </a:solidFill>
              <a:latin typeface="Constantia" pitchFamily="18" charset="0"/>
            </a:rPr>
            <a:t>ENERGETSKA EFIKASNONST</a:t>
          </a:r>
          <a:endParaRPr lang="sr-Latn-CS" sz="700" b="1" kern="1200">
            <a:solidFill>
              <a:sysClr val="windowText" lastClr="000000"/>
            </a:solidFill>
            <a:latin typeface="Constantia" pitchFamily="18" charset="0"/>
          </a:endParaRPr>
        </a:p>
        <a:p>
          <a:pPr lvl="0" algn="ctr" defTabSz="444500">
            <a:lnSpc>
              <a:spcPct val="90000"/>
            </a:lnSpc>
            <a:spcBef>
              <a:spcPct val="0"/>
            </a:spcBef>
            <a:spcAft>
              <a:spcPct val="35000"/>
            </a:spcAft>
          </a:pPr>
          <a:r>
            <a:rPr lang="sr-Latn-CS" sz="700" b="1" kern="1200">
              <a:solidFill>
                <a:sysClr val="windowText" lastClr="000000"/>
              </a:solidFill>
              <a:latin typeface="Constantia" pitchFamily="18" charset="0"/>
            </a:rPr>
            <a:t>- PREČIŠĆAVANJE OTPADNIH  VODA</a:t>
          </a:r>
        </a:p>
        <a:p>
          <a:pPr lvl="0" algn="ctr" defTabSz="444500">
            <a:lnSpc>
              <a:spcPct val="90000"/>
            </a:lnSpc>
            <a:spcBef>
              <a:spcPct val="0"/>
            </a:spcBef>
            <a:spcAft>
              <a:spcPct val="35000"/>
            </a:spcAft>
          </a:pPr>
          <a:r>
            <a:rPr lang="sr-Latn-CS" sz="700" b="1" kern="1200">
              <a:solidFill>
                <a:sysClr val="windowText" lastClr="000000"/>
              </a:solidFill>
              <a:latin typeface="Constantia" pitchFamily="18" charset="0"/>
            </a:rPr>
            <a:t>       - ZAŠTIĆENA PODRUČJA</a:t>
          </a:r>
        </a:p>
        <a:p>
          <a:pPr lvl="0" algn="ctr" defTabSz="444500">
            <a:lnSpc>
              <a:spcPct val="90000"/>
            </a:lnSpc>
            <a:spcBef>
              <a:spcPct val="0"/>
            </a:spcBef>
            <a:spcAft>
              <a:spcPct val="35000"/>
            </a:spcAft>
          </a:pPr>
          <a:r>
            <a:rPr lang="sr-Latn-CS" sz="700" b="1" kern="1200">
              <a:solidFill>
                <a:sysClr val="windowText" lastClr="000000"/>
              </a:solidFill>
              <a:latin typeface="Constantia" pitchFamily="18" charset="0"/>
            </a:rPr>
            <a:t>        </a:t>
          </a:r>
          <a:r>
            <a:rPr lang="x-none" sz="700" b="1" kern="1200">
              <a:solidFill>
                <a:sysClr val="windowText" lastClr="000000"/>
              </a:solidFill>
              <a:latin typeface="Constantia" pitchFamily="18" charset="0"/>
            </a:rPr>
            <a:t>-</a:t>
          </a:r>
          <a:r>
            <a:rPr lang="sr-Latn-CS" sz="700" b="1" kern="1200">
              <a:solidFill>
                <a:sysClr val="windowText" lastClr="000000"/>
              </a:solidFill>
              <a:latin typeface="Constantia" pitchFamily="18" charset="0"/>
            </a:rPr>
            <a:t> LEGISLATIVA</a:t>
          </a:r>
          <a:endParaRPr lang="en-US" sz="700" b="1" kern="1200">
            <a:solidFill>
              <a:sysClr val="windowText" lastClr="000000"/>
            </a:solidFill>
            <a:latin typeface="Constantia" pitchFamily="18" charset="0"/>
          </a:endParaRPr>
        </a:p>
      </dsp:txBody>
      <dsp:txXfrm>
        <a:off x="578186" y="1384219"/>
        <a:ext cx="1350718" cy="896367"/>
      </dsp:txXfrm>
    </dsp:sp>
    <dsp:sp modelId="{0C1843FA-676D-4D7C-B983-7E87B70C4B3F}">
      <dsp:nvSpPr>
        <dsp:cNvPr id="0" name=""/>
        <dsp:cNvSpPr/>
      </dsp:nvSpPr>
      <dsp:spPr>
        <a:xfrm rot="19522863">
          <a:off x="1965107" y="1059534"/>
          <a:ext cx="196223" cy="427833"/>
        </a:xfrm>
        <a:prstGeom prst="rightArrow">
          <a:avLst>
            <a:gd name="adj1" fmla="val 60000"/>
            <a:gd name="adj2" fmla="val 50000"/>
          </a:avLst>
        </a:prstGeom>
        <a:solidFill>
          <a:srgbClr val="FFFF00"/>
        </a:solidFill>
        <a:ln>
          <a:solidFill>
            <a:srgbClr val="CCCC00"/>
          </a:solidFill>
        </a:ln>
        <a:effectLst/>
        <a:scene3d>
          <a:camera prst="orthographicFront"/>
          <a:lightRig rig="contrasting" dir="t"/>
        </a:scene3d>
        <a:sp3d>
          <a:bevelB w="114300" prst="artDeco"/>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US" sz="700" kern="1200">
            <a:latin typeface="Constantia" pitchFamily="18" charset="0"/>
          </a:endParaRPr>
        </a:p>
      </dsp:txBody>
      <dsp:txXfrm>
        <a:off x="1970318" y="1161823"/>
        <a:ext cx="137356" cy="256699"/>
      </dsp:txXfrm>
    </dsp:sp>
  </dsp:spTree>
</dsp:drawing>
</file>

<file path=word/diagrams/layout1.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_rels/drawing6.xml.rels><?xml version="1.0" encoding="UTF-8" standalone="yes"?>
<Relationships xmlns="http://schemas.openxmlformats.org/package/2006/relationships"><Relationship Id="rId1" Type="http://schemas.openxmlformats.org/officeDocument/2006/relationships/image" Target="../media/image49.png"/></Relationships>
</file>

<file path=word/drawings/drawing1.xml><?xml version="1.0" encoding="utf-8"?>
<c:userShapes xmlns:c="http://schemas.openxmlformats.org/drawingml/2006/chart">
  <cdr:relSizeAnchor xmlns:cdr="http://schemas.openxmlformats.org/drawingml/2006/chartDrawing">
    <cdr:from>
      <cdr:x>6.58715E-7</cdr:x>
      <cdr:y>0.04482</cdr:y>
    </cdr:from>
    <cdr:to>
      <cdr:x>0.0536</cdr:x>
      <cdr:y>0.67211</cdr:y>
    </cdr:to>
    <cdr:sp macro="" textlink="">
      <cdr:nvSpPr>
        <cdr:cNvPr id="2" name="TextBox 1"/>
        <cdr:cNvSpPr txBox="1"/>
      </cdr:nvSpPr>
      <cdr:spPr>
        <a:xfrm xmlns:a="http://schemas.openxmlformats.org/drawingml/2006/main" rot="16200000">
          <a:off x="-737314" y="860133"/>
          <a:ext cx="1718750" cy="244116"/>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900"/>
            <a:t>Potro</a:t>
          </a:r>
          <a:r>
            <a:rPr lang="sr-Latn-CS" sz="900"/>
            <a:t>šnja primarne energije , ktoe</a:t>
          </a:r>
          <a:endParaRPr lang="en-US" sz="900"/>
        </a:p>
      </cdr:txBody>
    </cdr:sp>
  </cdr:relSizeAnchor>
  <cdr:relSizeAnchor xmlns:cdr="http://schemas.openxmlformats.org/drawingml/2006/chartDrawing">
    <cdr:from>
      <cdr:x>0.79916</cdr:x>
      <cdr:y>0.9215</cdr:y>
    </cdr:from>
    <cdr:to>
      <cdr:x>0.91111</cdr:x>
      <cdr:y>1</cdr:y>
    </cdr:to>
    <cdr:sp macro="" textlink="">
      <cdr:nvSpPr>
        <cdr:cNvPr id="3" name="TextBox 2"/>
        <cdr:cNvSpPr txBox="1"/>
      </cdr:nvSpPr>
      <cdr:spPr>
        <a:xfrm xmlns:a="http://schemas.openxmlformats.org/drawingml/2006/main">
          <a:off x="3638550" y="2571750"/>
          <a:ext cx="509687" cy="2190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sr-Latn-CS" sz="900"/>
            <a:t>Godina</a:t>
          </a:r>
          <a:endParaRPr lang="en-US" sz="900"/>
        </a:p>
      </cdr:txBody>
    </cdr:sp>
  </cdr:relSizeAnchor>
</c:userShapes>
</file>

<file path=word/drawings/drawing10.xml><?xml version="1.0" encoding="utf-8"?>
<c:userShapes xmlns:c="http://schemas.openxmlformats.org/drawingml/2006/chart">
  <cdr:relSizeAnchor xmlns:cdr="http://schemas.openxmlformats.org/drawingml/2006/chartDrawing">
    <cdr:from>
      <cdr:x>0.78165</cdr:x>
      <cdr:y>0.87963</cdr:y>
    </cdr:from>
    <cdr:to>
      <cdr:x>0.95253</cdr:x>
      <cdr:y>1</cdr:y>
    </cdr:to>
    <cdr:sp macro="" textlink="">
      <cdr:nvSpPr>
        <cdr:cNvPr id="2" name="TextBox 1"/>
        <cdr:cNvSpPr txBox="1"/>
      </cdr:nvSpPr>
      <cdr:spPr>
        <a:xfrm xmlns:a="http://schemas.openxmlformats.org/drawingml/2006/main">
          <a:off x="2352675" y="2102997"/>
          <a:ext cx="514349" cy="287778"/>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000"/>
            <a:t>Godina</a:t>
          </a:r>
        </a:p>
      </cdr:txBody>
    </cdr:sp>
  </cdr:relSizeAnchor>
</c:userShapes>
</file>

<file path=word/drawings/drawing11.xml><?xml version="1.0" encoding="utf-8"?>
<c:userShapes xmlns:c="http://schemas.openxmlformats.org/drawingml/2006/chart">
  <cdr:relSizeAnchor xmlns:cdr="http://schemas.openxmlformats.org/drawingml/2006/chartDrawing">
    <cdr:from>
      <cdr:x>0.02646</cdr:x>
      <cdr:y>0.39481</cdr:y>
    </cdr:from>
    <cdr:to>
      <cdr:x>0.28046</cdr:x>
      <cdr:y>0.79168</cdr:y>
    </cdr:to>
    <cdr:sp macro="" textlink="">
      <cdr:nvSpPr>
        <cdr:cNvPr id="2" name="TextBox 1"/>
        <cdr:cNvSpPr txBox="1"/>
      </cdr:nvSpPr>
      <cdr:spPr>
        <a:xfrm xmlns:a="http://schemas.openxmlformats.org/drawingml/2006/main">
          <a:off x="95250" y="909638"/>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0.03175</cdr:x>
      <cdr:y>0.39481</cdr:y>
    </cdr:from>
    <cdr:to>
      <cdr:x>0.28575</cdr:x>
      <cdr:y>0.79168</cdr:y>
    </cdr:to>
    <cdr:sp macro="" textlink="">
      <cdr:nvSpPr>
        <cdr:cNvPr id="3" name="TextBox 2"/>
        <cdr:cNvSpPr txBox="1"/>
      </cdr:nvSpPr>
      <cdr:spPr>
        <a:xfrm xmlns:a="http://schemas.openxmlformats.org/drawingml/2006/main">
          <a:off x="114300" y="909638"/>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0.02381</cdr:x>
      <cdr:y>0.35347</cdr:y>
    </cdr:from>
    <cdr:to>
      <cdr:x>0.27781</cdr:x>
      <cdr:y>0.75034</cdr:y>
    </cdr:to>
    <cdr:sp macro="" textlink="">
      <cdr:nvSpPr>
        <cdr:cNvPr id="4" name="TextBox 3"/>
        <cdr:cNvSpPr txBox="1"/>
      </cdr:nvSpPr>
      <cdr:spPr>
        <a:xfrm xmlns:a="http://schemas.openxmlformats.org/drawingml/2006/main">
          <a:off x="85725" y="814388"/>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cdr:x>
      <cdr:y>0.03927</cdr:y>
    </cdr:from>
    <cdr:to>
      <cdr:x>0.07279</cdr:x>
      <cdr:y>0.68182</cdr:y>
    </cdr:to>
    <cdr:sp macro="" textlink="">
      <cdr:nvSpPr>
        <cdr:cNvPr id="7" name="TextBox 6"/>
        <cdr:cNvSpPr txBox="1"/>
      </cdr:nvSpPr>
      <cdr:spPr>
        <a:xfrm xmlns:a="http://schemas.openxmlformats.org/drawingml/2006/main" rot="16200000">
          <a:off x="-631019" y="721531"/>
          <a:ext cx="1481115" cy="219078"/>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sr-Latn-ME" sz="1000"/>
            <a:t>Teretni saobraćajj, mil</a:t>
          </a:r>
          <a:r>
            <a:rPr lang="sr-Latn-ME" sz="1000" baseline="0"/>
            <a:t> tkm</a:t>
          </a:r>
          <a:endParaRPr lang="en-US" sz="1000"/>
        </a:p>
      </cdr:txBody>
    </cdr:sp>
  </cdr:relSizeAnchor>
</c:userShapes>
</file>

<file path=word/drawings/drawing12.xml><?xml version="1.0" encoding="utf-8"?>
<c:userShapes xmlns:c="http://schemas.openxmlformats.org/drawingml/2006/chart">
  <cdr:relSizeAnchor xmlns:cdr="http://schemas.openxmlformats.org/drawingml/2006/chartDrawing">
    <cdr:from>
      <cdr:x>0.75064</cdr:x>
      <cdr:y>0.87968</cdr:y>
    </cdr:from>
    <cdr:to>
      <cdr:x>0.91349</cdr:x>
      <cdr:y>1</cdr:y>
    </cdr:to>
    <cdr:sp macro="" textlink="">
      <cdr:nvSpPr>
        <cdr:cNvPr id="2" name="TextBox 1"/>
        <cdr:cNvSpPr txBox="1"/>
      </cdr:nvSpPr>
      <cdr:spPr>
        <a:xfrm xmlns:a="http://schemas.openxmlformats.org/drawingml/2006/main">
          <a:off x="2809875" y="2124075"/>
          <a:ext cx="609600" cy="290511"/>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sr-Latn-ME" sz="1100"/>
            <a:t>Godina</a:t>
          </a:r>
          <a:endParaRPr lang="en-US" sz="1100"/>
        </a:p>
      </cdr:txBody>
    </cdr:sp>
  </cdr:relSizeAnchor>
</c:userShapes>
</file>

<file path=word/drawings/drawing13.xml><?xml version="1.0" encoding="utf-8"?>
<c:userShapes xmlns:c="http://schemas.openxmlformats.org/drawingml/2006/chart">
  <cdr:relSizeAnchor xmlns:cdr="http://schemas.openxmlformats.org/drawingml/2006/chartDrawing">
    <cdr:from>
      <cdr:x>0.82827</cdr:x>
      <cdr:y>0.90574</cdr:y>
    </cdr:from>
    <cdr:to>
      <cdr:x>0.9517</cdr:x>
      <cdr:y>1</cdr:y>
    </cdr:to>
    <cdr:sp macro="" textlink="">
      <cdr:nvSpPr>
        <cdr:cNvPr id="2" name="TextBox 1"/>
        <cdr:cNvSpPr txBox="1"/>
      </cdr:nvSpPr>
      <cdr:spPr>
        <a:xfrm xmlns:a="http://schemas.openxmlformats.org/drawingml/2006/main">
          <a:off x="4410097" y="2139539"/>
          <a:ext cx="657200" cy="222661"/>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sr-Latn-ME" sz="1000"/>
            <a:t>Godina</a:t>
          </a:r>
        </a:p>
        <a:p xmlns:a="http://schemas.openxmlformats.org/drawingml/2006/main">
          <a:endParaRPr lang="en-US" sz="1000"/>
        </a:p>
      </cdr:txBody>
    </cdr:sp>
  </cdr:relSizeAnchor>
  <cdr:relSizeAnchor xmlns:cdr="http://schemas.openxmlformats.org/drawingml/2006/chartDrawing">
    <cdr:from>
      <cdr:x>1.87812E-7</cdr:x>
      <cdr:y>0.04124</cdr:y>
    </cdr:from>
    <cdr:to>
      <cdr:x>0.0483</cdr:x>
      <cdr:y>0.36694</cdr:y>
    </cdr:to>
    <cdr:sp macro="" textlink="">
      <cdr:nvSpPr>
        <cdr:cNvPr id="3" name="TextBox 2"/>
        <cdr:cNvSpPr txBox="1"/>
      </cdr:nvSpPr>
      <cdr:spPr>
        <a:xfrm xmlns:a="http://schemas.openxmlformats.org/drawingml/2006/main" rot="16200000">
          <a:off x="-256092" y="353509"/>
          <a:ext cx="769358" cy="257171"/>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sr-Latn-ME" sz="1000"/>
            <a:t>Broj vozila</a:t>
          </a:r>
          <a:endParaRPr lang="en-US" sz="1000"/>
        </a:p>
      </cdr:txBody>
    </cdr:sp>
  </cdr:relSizeAnchor>
</c:userShapes>
</file>

<file path=word/drawings/drawing14.xml><?xml version="1.0" encoding="utf-8"?>
<c:userShapes xmlns:c="http://schemas.openxmlformats.org/drawingml/2006/chart">
  <cdr:relSizeAnchor xmlns:cdr="http://schemas.openxmlformats.org/drawingml/2006/chartDrawing">
    <cdr:from>
      <cdr:x>0.75</cdr:x>
      <cdr:y>0.76119</cdr:y>
    </cdr:from>
    <cdr:to>
      <cdr:x>0.95</cdr:x>
      <cdr:y>1</cdr:y>
    </cdr:to>
    <cdr:sp macro="" textlink="">
      <cdr:nvSpPr>
        <cdr:cNvPr id="2" name="TextBox 1"/>
        <cdr:cNvSpPr txBox="1"/>
      </cdr:nvSpPr>
      <cdr:spPr>
        <a:xfrm xmlns:a="http://schemas.openxmlformats.org/drawingml/2006/main">
          <a:off x="3429000" y="36957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a:p>
      </cdr:txBody>
    </cdr:sp>
  </cdr:relSizeAnchor>
  <cdr:relSizeAnchor xmlns:cdr="http://schemas.openxmlformats.org/drawingml/2006/chartDrawing">
    <cdr:from>
      <cdr:x>0.79583</cdr:x>
      <cdr:y>0.93035</cdr:y>
    </cdr:from>
    <cdr:to>
      <cdr:x>0.99583</cdr:x>
      <cdr:y>1</cdr:y>
    </cdr:to>
    <cdr:sp macro="" textlink="">
      <cdr:nvSpPr>
        <cdr:cNvPr id="3" name="TextBox 2"/>
        <cdr:cNvSpPr txBox="1"/>
      </cdr:nvSpPr>
      <cdr:spPr>
        <a:xfrm xmlns:a="http://schemas.openxmlformats.org/drawingml/2006/main">
          <a:off x="3638550" y="3562350"/>
          <a:ext cx="914400" cy="2667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sr-Latn-CS" sz="900"/>
            <a:t>Godina</a:t>
          </a:r>
          <a:endParaRPr lang="en-US" sz="900"/>
        </a:p>
      </cdr:txBody>
    </cdr:sp>
  </cdr:relSizeAnchor>
  <cdr:relSizeAnchor xmlns:cdr="http://schemas.openxmlformats.org/drawingml/2006/chartDrawing">
    <cdr:from>
      <cdr:x>0.01211</cdr:x>
      <cdr:y>0.05756</cdr:y>
    </cdr:from>
    <cdr:to>
      <cdr:x>0.0678</cdr:x>
      <cdr:y>0.29938</cdr:y>
    </cdr:to>
    <cdr:sp macro="" textlink="">
      <cdr:nvSpPr>
        <cdr:cNvPr id="4" name="TextBox 3"/>
        <cdr:cNvSpPr txBox="1"/>
      </cdr:nvSpPr>
      <cdr:spPr>
        <a:xfrm xmlns:a="http://schemas.openxmlformats.org/drawingml/2006/main" rot="16200000">
          <a:off x="-194275" y="426126"/>
          <a:ext cx="746292" cy="249311"/>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900"/>
            <a:t>Broj  vozila</a:t>
          </a:r>
        </a:p>
      </cdr:txBody>
    </cdr:sp>
  </cdr:relSizeAnchor>
</c:userShapes>
</file>

<file path=word/drawings/drawing15.xml><?xml version="1.0" encoding="utf-8"?>
<c:userShapes xmlns:c="http://schemas.openxmlformats.org/drawingml/2006/chart">
  <cdr:relSizeAnchor xmlns:cdr="http://schemas.openxmlformats.org/drawingml/2006/chartDrawing">
    <cdr:from>
      <cdr:x>0.83233</cdr:x>
      <cdr:y>0.90664</cdr:y>
    </cdr:from>
    <cdr:to>
      <cdr:x>0.94113</cdr:x>
      <cdr:y>1</cdr:y>
    </cdr:to>
    <cdr:sp macro="" textlink="">
      <cdr:nvSpPr>
        <cdr:cNvPr id="2" name="TextBox 1"/>
        <cdr:cNvSpPr txBox="1"/>
      </cdr:nvSpPr>
      <cdr:spPr>
        <a:xfrm xmlns:a="http://schemas.openxmlformats.org/drawingml/2006/main">
          <a:off x="4566490" y="2660027"/>
          <a:ext cx="596920" cy="27317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sr-Latn-CS" sz="900"/>
            <a:t>Godina</a:t>
          </a:r>
          <a:endParaRPr lang="en-US" sz="900"/>
        </a:p>
      </cdr:txBody>
    </cdr:sp>
  </cdr:relSizeAnchor>
  <cdr:relSizeAnchor xmlns:cdr="http://schemas.openxmlformats.org/drawingml/2006/chartDrawing">
    <cdr:from>
      <cdr:x>0.00823</cdr:x>
      <cdr:y>0.04104</cdr:y>
    </cdr:from>
    <cdr:to>
      <cdr:x>0.07861</cdr:x>
      <cdr:y>0.63903</cdr:y>
    </cdr:to>
    <cdr:sp macro="" textlink="">
      <cdr:nvSpPr>
        <cdr:cNvPr id="3" name="TextBox 2"/>
        <cdr:cNvSpPr txBox="1"/>
      </cdr:nvSpPr>
      <cdr:spPr>
        <a:xfrm xmlns:a="http://schemas.openxmlformats.org/drawingml/2006/main" rot="16200000">
          <a:off x="-699757" y="861941"/>
          <a:ext cx="1804458" cy="328226"/>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sr-Latn-CS" sz="900"/>
            <a:t>Prosječna starost</a:t>
          </a:r>
          <a:r>
            <a:rPr lang="sr-Latn-CS" sz="900" baseline="0"/>
            <a:t>  (</a:t>
          </a:r>
          <a:r>
            <a:rPr lang="sr-Latn-CS" sz="900"/>
            <a:t>godina)</a:t>
          </a:r>
          <a:endParaRPr lang="en-US" sz="900"/>
        </a:p>
      </cdr:txBody>
    </cdr:sp>
  </cdr:relSizeAnchor>
</c:userShapes>
</file>

<file path=word/drawings/drawing16.xml><?xml version="1.0" encoding="utf-8"?>
<c:userShapes xmlns:c="http://schemas.openxmlformats.org/drawingml/2006/chart">
  <cdr:relSizeAnchor xmlns:cdr="http://schemas.openxmlformats.org/drawingml/2006/chartDrawing">
    <cdr:from>
      <cdr:x>0</cdr:x>
      <cdr:y>0.02609</cdr:y>
    </cdr:from>
    <cdr:to>
      <cdr:x>0.06409</cdr:x>
      <cdr:y>0.44783</cdr:y>
    </cdr:to>
    <cdr:sp macro="" textlink="">
      <cdr:nvSpPr>
        <cdr:cNvPr id="2" name="TextBox 1"/>
        <cdr:cNvSpPr txBox="1"/>
      </cdr:nvSpPr>
      <cdr:spPr>
        <a:xfrm xmlns:a="http://schemas.openxmlformats.org/drawingml/2006/main" rot="16200000">
          <a:off x="-338346" y="395496"/>
          <a:ext cx="923925" cy="24723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sr-Latn-CS" sz="900"/>
            <a:t>Starost,  </a:t>
          </a:r>
          <a:r>
            <a:rPr lang="sr-Latn-CS" sz="800"/>
            <a:t>godina</a:t>
          </a:r>
          <a:endParaRPr lang="en-US" sz="800"/>
        </a:p>
      </cdr:txBody>
    </cdr:sp>
  </cdr:relSizeAnchor>
</c:userShapes>
</file>

<file path=word/drawings/drawing17.xml><?xml version="1.0" encoding="utf-8"?>
<c:userShapes xmlns:c="http://schemas.openxmlformats.org/drawingml/2006/chart">
  <cdr:relSizeAnchor xmlns:cdr="http://schemas.openxmlformats.org/drawingml/2006/chartDrawing">
    <cdr:from>
      <cdr:x>0</cdr:x>
      <cdr:y>0.0336</cdr:y>
    </cdr:from>
    <cdr:to>
      <cdr:x>0.07186</cdr:x>
      <cdr:y>0.59066</cdr:y>
    </cdr:to>
    <cdr:sp macro="" textlink="">
      <cdr:nvSpPr>
        <cdr:cNvPr id="2" name="TextBox 1"/>
        <cdr:cNvSpPr txBox="1"/>
      </cdr:nvSpPr>
      <cdr:spPr>
        <a:xfrm xmlns:a="http://schemas.openxmlformats.org/drawingml/2006/main" rot="16200000">
          <a:off x="-526810" y="603010"/>
          <a:ext cx="1263170" cy="20955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sr-Latn-CS" sz="1000"/>
            <a:t>Dolasci turista x1000</a:t>
          </a:r>
          <a:endParaRPr lang="en-US" sz="1000"/>
        </a:p>
      </cdr:txBody>
    </cdr:sp>
  </cdr:relSizeAnchor>
  <cdr:relSizeAnchor xmlns:cdr="http://schemas.openxmlformats.org/drawingml/2006/chartDrawing">
    <cdr:from>
      <cdr:x>0.78084</cdr:x>
      <cdr:y>0.90382</cdr:y>
    </cdr:from>
    <cdr:to>
      <cdr:x>0.93027</cdr:x>
      <cdr:y>0.99972</cdr:y>
    </cdr:to>
    <cdr:sp macro="" textlink="">
      <cdr:nvSpPr>
        <cdr:cNvPr id="3" name="TextBox 2"/>
        <cdr:cNvSpPr txBox="1"/>
      </cdr:nvSpPr>
      <cdr:spPr>
        <a:xfrm xmlns:a="http://schemas.openxmlformats.org/drawingml/2006/main">
          <a:off x="2276854" y="2049489"/>
          <a:ext cx="435726" cy="217461"/>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sr-Latn-CS" sz="1000"/>
            <a:t>Godina</a:t>
          </a:r>
          <a:endParaRPr lang="en-US" sz="1000"/>
        </a:p>
      </cdr:txBody>
    </cdr:sp>
  </cdr:relSizeAnchor>
</c:userShapes>
</file>

<file path=word/drawings/drawing18.xml><?xml version="1.0" encoding="utf-8"?>
<c:userShapes xmlns:c="http://schemas.openxmlformats.org/drawingml/2006/chart">
  <cdr:relSizeAnchor xmlns:cdr="http://schemas.openxmlformats.org/drawingml/2006/chartDrawing">
    <cdr:from>
      <cdr:x>0.92229</cdr:x>
      <cdr:y>0.00833</cdr:y>
    </cdr:from>
    <cdr:to>
      <cdr:x>0.97958</cdr:x>
      <cdr:y>0.68746</cdr:y>
    </cdr:to>
    <cdr:sp macro="" textlink="">
      <cdr:nvSpPr>
        <cdr:cNvPr id="2" name="TextBox 1"/>
        <cdr:cNvSpPr txBox="1"/>
      </cdr:nvSpPr>
      <cdr:spPr>
        <a:xfrm xmlns:a="http://schemas.openxmlformats.org/drawingml/2006/main" rot="16200000">
          <a:off x="2006863" y="711460"/>
          <a:ext cx="1552491" cy="167671"/>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000"/>
            <a:t>Broj </a:t>
          </a:r>
          <a:r>
            <a:rPr lang="en-US" sz="900"/>
            <a:t>dolazaka</a:t>
          </a:r>
          <a:r>
            <a:rPr lang="en-US" sz="1000"/>
            <a:t> po stanovniku</a:t>
          </a:r>
          <a:endParaRPr lang="en-US" sz="1100"/>
        </a:p>
      </cdr:txBody>
    </cdr:sp>
  </cdr:relSizeAnchor>
  <cdr:relSizeAnchor xmlns:cdr="http://schemas.openxmlformats.org/drawingml/2006/chartDrawing">
    <cdr:from>
      <cdr:x>0</cdr:x>
      <cdr:y>0.04688</cdr:y>
    </cdr:from>
    <cdr:to>
      <cdr:x>0.06509</cdr:x>
      <cdr:y>0.58958</cdr:y>
    </cdr:to>
    <cdr:sp macro="" textlink="">
      <cdr:nvSpPr>
        <cdr:cNvPr id="3" name="TextBox 2"/>
        <cdr:cNvSpPr txBox="1"/>
      </cdr:nvSpPr>
      <cdr:spPr>
        <a:xfrm xmlns:a="http://schemas.openxmlformats.org/drawingml/2006/main" rot="16200000">
          <a:off x="-525063" y="632220"/>
          <a:ext cx="1240630" cy="190503"/>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000"/>
            <a:t>Broj </a:t>
          </a:r>
          <a:r>
            <a:rPr lang="en-US" sz="900"/>
            <a:t>dolazaka</a:t>
          </a:r>
          <a:r>
            <a:rPr lang="en-US" sz="1000"/>
            <a:t> po  km ²</a:t>
          </a:r>
        </a:p>
      </cdr:txBody>
    </cdr:sp>
  </cdr:relSizeAnchor>
</c:userShapes>
</file>

<file path=word/drawings/drawing19.xml><?xml version="1.0" encoding="utf-8"?>
<c:userShapes xmlns:c="http://schemas.openxmlformats.org/drawingml/2006/chart">
  <cdr:relSizeAnchor xmlns:cdr="http://schemas.openxmlformats.org/drawingml/2006/chartDrawing">
    <cdr:from>
      <cdr:x>0.7679</cdr:x>
      <cdr:y>0.90096</cdr:y>
    </cdr:from>
    <cdr:to>
      <cdr:x>0.88776</cdr:x>
      <cdr:y>0.97643</cdr:y>
    </cdr:to>
    <cdr:sp macro="" textlink="">
      <cdr:nvSpPr>
        <cdr:cNvPr id="2" name="TextBox 1"/>
        <cdr:cNvSpPr txBox="1"/>
      </cdr:nvSpPr>
      <cdr:spPr>
        <a:xfrm xmlns:a="http://schemas.openxmlformats.org/drawingml/2006/main">
          <a:off x="3371850" y="2548749"/>
          <a:ext cx="526326" cy="213502"/>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900" strike="noStrike"/>
            <a:t>Godina</a:t>
          </a:r>
        </a:p>
      </cdr:txBody>
    </cdr:sp>
  </cdr:relSizeAnchor>
  <cdr:relSizeAnchor xmlns:cdr="http://schemas.openxmlformats.org/drawingml/2006/chartDrawing">
    <cdr:from>
      <cdr:x>6.83212E-7</cdr:x>
      <cdr:y>0.05771</cdr:y>
    </cdr:from>
    <cdr:to>
      <cdr:x>0.07839</cdr:x>
      <cdr:y>0.49832</cdr:y>
    </cdr:to>
    <cdr:sp macro="" textlink="">
      <cdr:nvSpPr>
        <cdr:cNvPr id="3" name="TextBox 2"/>
        <cdr:cNvSpPr txBox="1"/>
      </cdr:nvSpPr>
      <cdr:spPr>
        <a:xfrm xmlns:a="http://schemas.openxmlformats.org/drawingml/2006/main" rot="16200000">
          <a:off x="-451114" y="614375"/>
          <a:ext cx="1246441" cy="344208"/>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000"/>
            <a:t>Broj </a:t>
          </a:r>
          <a:r>
            <a:rPr lang="en-US" sz="900"/>
            <a:t>dolazaka</a:t>
          </a:r>
          <a:r>
            <a:rPr lang="en-US" sz="1000"/>
            <a:t>  </a:t>
          </a:r>
          <a:r>
            <a:rPr lang="sr-Latn-CS" sz="1000"/>
            <a:t>x </a:t>
          </a:r>
          <a:r>
            <a:rPr lang="en-US" sz="1000"/>
            <a:t> 1000 </a:t>
          </a:r>
        </a:p>
      </cdr:txBody>
    </cdr:sp>
  </cdr:relSizeAnchor>
</c:userShapes>
</file>

<file path=word/drawings/drawing2.xml><?xml version="1.0" encoding="utf-8"?>
<c:userShapes xmlns:c="http://schemas.openxmlformats.org/drawingml/2006/chart">
  <cdr:relSizeAnchor xmlns:cdr="http://schemas.openxmlformats.org/drawingml/2006/chartDrawing">
    <cdr:from>
      <cdr:x>0</cdr:x>
      <cdr:y>0</cdr:y>
    </cdr:from>
    <cdr:to>
      <cdr:x>0.04019</cdr:x>
      <cdr:y>0.47037</cdr:y>
    </cdr:to>
    <cdr:sp macro="" textlink="">
      <cdr:nvSpPr>
        <cdr:cNvPr id="2" name="TextBox 1"/>
        <cdr:cNvSpPr txBox="1"/>
      </cdr:nvSpPr>
      <cdr:spPr>
        <a:xfrm xmlns:a="http://schemas.openxmlformats.org/drawingml/2006/main" rot="16200000">
          <a:off x="-1551860" y="-3048713"/>
          <a:ext cx="1505373" cy="230451"/>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900"/>
            <a:t>Finalna potro</a:t>
          </a:r>
          <a:r>
            <a:rPr lang="sr-Latn-CS" sz="900"/>
            <a:t>šnja,</a:t>
          </a:r>
          <a:r>
            <a:rPr lang="sr-Latn-CS" sz="900" baseline="0"/>
            <a:t> ktoe</a:t>
          </a:r>
        </a:p>
        <a:p xmlns:a="http://schemas.openxmlformats.org/drawingml/2006/main">
          <a:endParaRPr lang="en-US" sz="900"/>
        </a:p>
      </cdr:txBody>
    </cdr:sp>
  </cdr:relSizeAnchor>
  <cdr:relSizeAnchor xmlns:cdr="http://schemas.openxmlformats.org/drawingml/2006/chartDrawing">
    <cdr:from>
      <cdr:x>0.87251</cdr:x>
      <cdr:y>0.9417</cdr:y>
    </cdr:from>
    <cdr:to>
      <cdr:x>0.9492</cdr:x>
      <cdr:y>0.99776</cdr:y>
    </cdr:to>
    <cdr:sp macro="" textlink="">
      <cdr:nvSpPr>
        <cdr:cNvPr id="3" name="TextBox 2"/>
        <cdr:cNvSpPr txBox="1"/>
      </cdr:nvSpPr>
      <cdr:spPr>
        <a:xfrm xmlns:a="http://schemas.openxmlformats.org/drawingml/2006/main">
          <a:off x="6257924" y="4000499"/>
          <a:ext cx="550037" cy="23812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sr-Latn-CS" sz="900" b="0"/>
            <a:t>Godina</a:t>
          </a:r>
          <a:endParaRPr lang="en-US" sz="900" b="0"/>
        </a:p>
      </cdr:txBody>
    </cdr:sp>
  </cdr:relSizeAnchor>
</c:userShapes>
</file>

<file path=word/drawings/drawing20.xml><?xml version="1.0" encoding="utf-8"?>
<c:userShapes xmlns:c="http://schemas.openxmlformats.org/drawingml/2006/chart">
  <cdr:relSizeAnchor xmlns:cdr="http://schemas.openxmlformats.org/drawingml/2006/chartDrawing">
    <cdr:from>
      <cdr:x>0.76655</cdr:x>
      <cdr:y>0.89852</cdr:y>
    </cdr:from>
    <cdr:to>
      <cdr:x>0.89028</cdr:x>
      <cdr:y>0.98055</cdr:y>
    </cdr:to>
    <cdr:sp macro="" textlink="">
      <cdr:nvSpPr>
        <cdr:cNvPr id="2" name="TextBox 1"/>
        <cdr:cNvSpPr txBox="1"/>
      </cdr:nvSpPr>
      <cdr:spPr>
        <a:xfrm xmlns:a="http://schemas.openxmlformats.org/drawingml/2006/main">
          <a:off x="3470131" y="2380404"/>
          <a:ext cx="560142" cy="21732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sr-Latn-CS" sz="1000"/>
            <a:t>Godina</a:t>
          </a:r>
          <a:endParaRPr lang="en-US" sz="1000"/>
        </a:p>
      </cdr:txBody>
    </cdr:sp>
  </cdr:relSizeAnchor>
  <cdr:relSizeAnchor xmlns:cdr="http://schemas.openxmlformats.org/drawingml/2006/chartDrawing">
    <cdr:from>
      <cdr:x>0</cdr:x>
      <cdr:y>0.0356</cdr:y>
    </cdr:from>
    <cdr:to>
      <cdr:x>0.06423</cdr:x>
      <cdr:y>0.56227</cdr:y>
    </cdr:to>
    <cdr:sp macro="" textlink="">
      <cdr:nvSpPr>
        <cdr:cNvPr id="3" name="TextBox 2"/>
        <cdr:cNvSpPr txBox="1"/>
      </cdr:nvSpPr>
      <cdr:spPr>
        <a:xfrm xmlns:a="http://schemas.openxmlformats.org/drawingml/2006/main" rot="16200000">
          <a:off x="-1488475" y="588445"/>
          <a:ext cx="1198951" cy="18414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sr-Latn-CS" sz="900"/>
            <a:t>Ukupno noćenja x1000</a:t>
          </a:r>
          <a:endParaRPr lang="en-US" sz="900"/>
        </a:p>
      </cdr:txBody>
    </cdr:sp>
  </cdr:relSizeAnchor>
</c:userShapes>
</file>

<file path=word/drawings/drawing21.xml><?xml version="1.0" encoding="utf-8"?>
<c:userShapes xmlns:c="http://schemas.openxmlformats.org/drawingml/2006/chart">
  <cdr:relSizeAnchor xmlns:cdr="http://schemas.openxmlformats.org/drawingml/2006/chartDrawing">
    <cdr:from>
      <cdr:x>0.91435</cdr:x>
      <cdr:y>0.01653</cdr:y>
    </cdr:from>
    <cdr:to>
      <cdr:x>1</cdr:x>
      <cdr:y>0.64876</cdr:y>
    </cdr:to>
    <cdr:sp macro="" textlink="">
      <cdr:nvSpPr>
        <cdr:cNvPr id="2" name="TextBox 1"/>
        <cdr:cNvSpPr txBox="1"/>
      </cdr:nvSpPr>
      <cdr:spPr>
        <a:xfrm xmlns:a="http://schemas.openxmlformats.org/drawingml/2006/main" rot="16200000">
          <a:off x="2061162" y="641936"/>
          <a:ext cx="1457325" cy="249653"/>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sr-Latn-CS" sz="900"/>
            <a:t>Broj noćenja po</a:t>
          </a:r>
          <a:r>
            <a:rPr lang="en-US" sz="900"/>
            <a:t> stanovniku</a:t>
          </a:r>
        </a:p>
        <a:p xmlns:a="http://schemas.openxmlformats.org/drawingml/2006/main">
          <a:r>
            <a:rPr lang="sr-Latn-CS" sz="900"/>
            <a:t> </a:t>
          </a:r>
          <a:endParaRPr lang="en-US" sz="900"/>
        </a:p>
      </cdr:txBody>
    </cdr:sp>
  </cdr:relSizeAnchor>
  <cdr:relSizeAnchor xmlns:cdr="http://schemas.openxmlformats.org/drawingml/2006/chartDrawing">
    <cdr:from>
      <cdr:x>0</cdr:x>
      <cdr:y>0.02497</cdr:y>
    </cdr:from>
    <cdr:to>
      <cdr:x>0.0797</cdr:x>
      <cdr:y>0.50306</cdr:y>
    </cdr:to>
    <cdr:sp macro="" textlink="">
      <cdr:nvSpPr>
        <cdr:cNvPr id="3" name="TextBox 2"/>
        <cdr:cNvSpPr txBox="1"/>
      </cdr:nvSpPr>
      <cdr:spPr>
        <a:xfrm xmlns:a="http://schemas.openxmlformats.org/drawingml/2006/main" rot="16200000">
          <a:off x="-4285655" y="484876"/>
          <a:ext cx="1088360" cy="232298"/>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sr-Latn-CS" sz="1000"/>
            <a:t>Broj </a:t>
          </a:r>
          <a:r>
            <a:rPr lang="sr-Latn-CS" sz="900"/>
            <a:t>noćenja</a:t>
          </a:r>
          <a:r>
            <a:rPr lang="sr-Latn-CS" sz="1000"/>
            <a:t> po km²</a:t>
          </a:r>
        </a:p>
      </cdr:txBody>
    </cdr:sp>
  </cdr:relSizeAnchor>
  <cdr:relSizeAnchor xmlns:cdr="http://schemas.openxmlformats.org/drawingml/2006/chartDrawing">
    <cdr:from>
      <cdr:x>0.50929</cdr:x>
      <cdr:y>0.74359</cdr:y>
    </cdr:from>
    <cdr:to>
      <cdr:x>0.74739</cdr:x>
      <cdr:y>1</cdr:y>
    </cdr:to>
    <cdr:sp macro="" textlink="">
      <cdr:nvSpPr>
        <cdr:cNvPr id="4" name="TextBox 3"/>
        <cdr:cNvSpPr txBox="1"/>
      </cdr:nvSpPr>
      <cdr:spPr>
        <a:xfrm xmlns:a="http://schemas.openxmlformats.org/drawingml/2006/main">
          <a:off x="1955926" y="3423344"/>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pPr>
            <a:lnSpc>
              <a:spcPts val="1200"/>
            </a:lnSpc>
          </a:pPr>
          <a:endParaRPr lang="sr-Latn-CS" sz="1100"/>
        </a:p>
        <a:p xmlns:a="http://schemas.openxmlformats.org/drawingml/2006/main">
          <a:endParaRPr lang="sr-Latn-CS" sz="1100"/>
        </a:p>
        <a:p xmlns:a="http://schemas.openxmlformats.org/drawingml/2006/main">
          <a:pPr>
            <a:lnSpc>
              <a:spcPts val="1200"/>
            </a:lnSpc>
          </a:pPr>
          <a:endParaRPr lang="sr-Latn-CS" sz="1100"/>
        </a:p>
        <a:p xmlns:a="http://schemas.openxmlformats.org/drawingml/2006/main">
          <a:endParaRPr lang="sr-Latn-CS" sz="1100"/>
        </a:p>
        <a:p xmlns:a="http://schemas.openxmlformats.org/drawingml/2006/main">
          <a:pPr>
            <a:lnSpc>
              <a:spcPts val="900"/>
            </a:lnSpc>
          </a:pPr>
          <a:r>
            <a:rPr lang="sr-Latn-CS" sz="900"/>
            <a:t>                    Godina</a:t>
          </a:r>
          <a:endParaRPr lang="en-US" sz="900"/>
        </a:p>
      </cdr:txBody>
    </cdr:sp>
  </cdr:relSizeAnchor>
  <cdr:relSizeAnchor xmlns:cdr="http://schemas.openxmlformats.org/drawingml/2006/chartDrawing">
    <cdr:from>
      <cdr:x>0.49505</cdr:x>
      <cdr:y>0.90253</cdr:y>
    </cdr:from>
    <cdr:to>
      <cdr:x>0.75821</cdr:x>
      <cdr:y>1</cdr:y>
    </cdr:to>
    <cdr:sp macro="" textlink="">
      <cdr:nvSpPr>
        <cdr:cNvPr id="5" name="TextBox 4"/>
        <cdr:cNvSpPr txBox="1"/>
      </cdr:nvSpPr>
      <cdr:spPr>
        <a:xfrm xmlns:a="http://schemas.openxmlformats.org/drawingml/2006/main">
          <a:off x="1720159" y="2357675"/>
          <a:ext cx="914400" cy="254628"/>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sr-Latn-CS" sz="1100"/>
        </a:p>
        <a:p xmlns:a="http://schemas.openxmlformats.org/drawingml/2006/main">
          <a:endParaRPr lang="sr-Latn-CS" sz="1100"/>
        </a:p>
        <a:p xmlns:a="http://schemas.openxmlformats.org/drawingml/2006/main">
          <a:endParaRPr lang="sr-Latn-CS" sz="1100"/>
        </a:p>
        <a:p xmlns:a="http://schemas.openxmlformats.org/drawingml/2006/main">
          <a:endParaRPr lang="sr-Latn-CS" sz="1100"/>
        </a:p>
        <a:p xmlns:a="http://schemas.openxmlformats.org/drawingml/2006/main">
          <a:endParaRPr lang="en-US" sz="1100"/>
        </a:p>
      </cdr:txBody>
    </cdr:sp>
  </cdr:relSizeAnchor>
  <cdr:relSizeAnchor xmlns:cdr="http://schemas.openxmlformats.org/drawingml/2006/chartDrawing">
    <cdr:from>
      <cdr:x>0.71505</cdr:x>
      <cdr:y>0.92323</cdr:y>
    </cdr:from>
    <cdr:to>
      <cdr:x>0.83255</cdr:x>
      <cdr:y>0.99657</cdr:y>
    </cdr:to>
    <cdr:sp macro="" textlink="">
      <cdr:nvSpPr>
        <cdr:cNvPr id="6" name="TextBox 5"/>
        <cdr:cNvSpPr txBox="1"/>
      </cdr:nvSpPr>
      <cdr:spPr>
        <a:xfrm xmlns:a="http://schemas.openxmlformats.org/drawingml/2006/main">
          <a:off x="2683477" y="2365512"/>
          <a:ext cx="440946" cy="18793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sr-Latn-CS" sz="900"/>
            <a:t>Godina</a:t>
          </a:r>
          <a:endParaRPr lang="en-US" sz="900"/>
        </a:p>
      </cdr:txBody>
    </cdr:sp>
  </cdr:relSizeAnchor>
</c:userShapes>
</file>

<file path=word/drawings/drawing22.xml><?xml version="1.0" encoding="utf-8"?>
<c:userShapes xmlns:c="http://schemas.openxmlformats.org/drawingml/2006/chart">
  <cdr:relSizeAnchor xmlns:cdr="http://schemas.openxmlformats.org/drawingml/2006/chartDrawing">
    <cdr:from>
      <cdr:x>2.13823E-7</cdr:x>
      <cdr:y>0.0206</cdr:y>
    </cdr:from>
    <cdr:to>
      <cdr:x>0.05703</cdr:x>
      <cdr:y>0.4669</cdr:y>
    </cdr:to>
    <cdr:sp macro="" textlink="">
      <cdr:nvSpPr>
        <cdr:cNvPr id="2" name="TextBox 1"/>
        <cdr:cNvSpPr txBox="1"/>
      </cdr:nvSpPr>
      <cdr:spPr>
        <a:xfrm xmlns:a="http://schemas.openxmlformats.org/drawingml/2006/main" rot="16200000">
          <a:off x="-476667" y="532982"/>
          <a:ext cx="1220036" cy="2667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sr-Latn-ME" sz="900" b="0"/>
            <a:t>Noćenja</a:t>
          </a:r>
          <a:r>
            <a:rPr lang="sr-Latn-ME" sz="900" b="0" baseline="0"/>
            <a:t> t</a:t>
          </a:r>
          <a:r>
            <a:rPr lang="sr-Latn-ME" sz="900" baseline="0"/>
            <a:t>urista x1000</a:t>
          </a:r>
          <a:endParaRPr lang="en-US" sz="900"/>
        </a:p>
      </cdr:txBody>
    </cdr:sp>
  </cdr:relSizeAnchor>
  <cdr:relSizeAnchor xmlns:cdr="http://schemas.openxmlformats.org/drawingml/2006/chartDrawing">
    <cdr:from>
      <cdr:x>0.80448</cdr:x>
      <cdr:y>0.92557</cdr:y>
    </cdr:from>
    <cdr:to>
      <cdr:x>0.95112</cdr:x>
      <cdr:y>1</cdr:y>
    </cdr:to>
    <cdr:sp macro="" textlink="">
      <cdr:nvSpPr>
        <cdr:cNvPr id="3" name="Text Box 2"/>
        <cdr:cNvSpPr txBox="1"/>
      </cdr:nvSpPr>
      <cdr:spPr>
        <a:xfrm xmlns:a="http://schemas.openxmlformats.org/drawingml/2006/main">
          <a:off x="3762375" y="2724149"/>
          <a:ext cx="685800" cy="2190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sr-Latn-ME" sz="1000"/>
            <a:t>Mjesec</a:t>
          </a:r>
          <a:endParaRPr lang="en-US" sz="1000"/>
        </a:p>
      </cdr:txBody>
    </cdr:sp>
  </cdr:relSizeAnchor>
</c:userShapes>
</file>

<file path=word/drawings/drawing23.xml><?xml version="1.0" encoding="utf-8"?>
<c:userShapes xmlns:c="http://schemas.openxmlformats.org/drawingml/2006/chart">
  <cdr:relSizeAnchor xmlns:cdr="http://schemas.openxmlformats.org/drawingml/2006/chartDrawing">
    <cdr:from>
      <cdr:x>0.91864</cdr:x>
      <cdr:y>0.03721</cdr:y>
    </cdr:from>
    <cdr:to>
      <cdr:x>1</cdr:x>
      <cdr:y>0.53415</cdr:y>
    </cdr:to>
    <cdr:sp macro="" textlink="">
      <cdr:nvSpPr>
        <cdr:cNvPr id="2" name="TextBox 1"/>
        <cdr:cNvSpPr txBox="1"/>
      </cdr:nvSpPr>
      <cdr:spPr>
        <a:xfrm xmlns:a="http://schemas.openxmlformats.org/drawingml/2006/main" rot="16200000">
          <a:off x="2433912" y="530740"/>
          <a:ext cx="1144829" cy="254797"/>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sr-Latn-CS" sz="900"/>
            <a:t>Broj putnika  x 1000</a:t>
          </a:r>
          <a:endParaRPr lang="en-US" sz="900"/>
        </a:p>
      </cdr:txBody>
    </cdr:sp>
  </cdr:relSizeAnchor>
  <cdr:relSizeAnchor xmlns:cdr="http://schemas.openxmlformats.org/drawingml/2006/chartDrawing">
    <cdr:from>
      <cdr:x>0.02514</cdr:x>
      <cdr:y>0.02481</cdr:y>
    </cdr:from>
    <cdr:to>
      <cdr:x>0.0882</cdr:x>
      <cdr:y>0.5995</cdr:y>
    </cdr:to>
    <cdr:sp macro="" textlink="">
      <cdr:nvSpPr>
        <cdr:cNvPr id="3" name="TextBox 2"/>
        <cdr:cNvSpPr txBox="1"/>
      </cdr:nvSpPr>
      <cdr:spPr>
        <a:xfrm xmlns:a="http://schemas.openxmlformats.org/drawingml/2006/main" rot="16200000">
          <a:off x="-484502" y="620397"/>
          <a:ext cx="1323978" cy="197476"/>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sr-Latn-CS" sz="900"/>
            <a:t>Broj kružnih putovanja</a:t>
          </a:r>
          <a:endParaRPr lang="en-US" sz="900"/>
        </a:p>
      </cdr:txBody>
    </cdr:sp>
  </cdr:relSizeAnchor>
  <cdr:relSizeAnchor xmlns:cdr="http://schemas.openxmlformats.org/drawingml/2006/chartDrawing">
    <cdr:from>
      <cdr:x>0.67514</cdr:x>
      <cdr:y>0.90959</cdr:y>
    </cdr:from>
    <cdr:to>
      <cdr:x>0.8269</cdr:x>
      <cdr:y>0.99936</cdr:y>
    </cdr:to>
    <cdr:sp macro="" textlink="">
      <cdr:nvSpPr>
        <cdr:cNvPr id="4" name="TextBox 3"/>
        <cdr:cNvSpPr txBox="1"/>
      </cdr:nvSpPr>
      <cdr:spPr>
        <a:xfrm xmlns:a="http://schemas.openxmlformats.org/drawingml/2006/main">
          <a:off x="2114417" y="2095500"/>
          <a:ext cx="475285" cy="206806"/>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sr-Latn-CS" sz="900" strike="noStrike"/>
            <a:t>Godina</a:t>
          </a:r>
          <a:endParaRPr lang="en-US" sz="900" strike="noStrike"/>
        </a:p>
      </cdr:txBody>
    </cdr:sp>
  </cdr:relSizeAnchor>
</c:userShapes>
</file>

<file path=word/drawings/drawing3.xml><?xml version="1.0" encoding="utf-8"?>
<c:userShapes xmlns:c="http://schemas.openxmlformats.org/drawingml/2006/chart">
  <cdr:relSizeAnchor xmlns:cdr="http://schemas.openxmlformats.org/drawingml/2006/chartDrawing">
    <cdr:from>
      <cdr:x>0.61392</cdr:x>
      <cdr:y>0.93094</cdr:y>
    </cdr:from>
    <cdr:to>
      <cdr:x>0.76987</cdr:x>
      <cdr:y>1</cdr:y>
    </cdr:to>
    <cdr:sp macro="" textlink="">
      <cdr:nvSpPr>
        <cdr:cNvPr id="2" name="TextBox 1"/>
        <cdr:cNvSpPr txBox="1"/>
      </cdr:nvSpPr>
      <cdr:spPr>
        <a:xfrm xmlns:a="http://schemas.openxmlformats.org/drawingml/2006/main">
          <a:off x="3186935" y="3360670"/>
          <a:ext cx="809556" cy="24930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a:p>
      </cdr:txBody>
    </cdr:sp>
  </cdr:relSizeAnchor>
  <cdr:relSizeAnchor xmlns:cdr="http://schemas.openxmlformats.org/drawingml/2006/chartDrawing">
    <cdr:from>
      <cdr:x>0.78349</cdr:x>
      <cdr:y>0.92084</cdr:y>
    </cdr:from>
    <cdr:to>
      <cdr:x>0.87325</cdr:x>
      <cdr:y>1</cdr:y>
    </cdr:to>
    <cdr:sp macro="" textlink="">
      <cdr:nvSpPr>
        <cdr:cNvPr id="4" name="TextBox 3"/>
        <cdr:cNvSpPr txBox="1"/>
      </cdr:nvSpPr>
      <cdr:spPr>
        <a:xfrm xmlns:a="http://schemas.openxmlformats.org/drawingml/2006/main">
          <a:off x="4067176" y="3324225"/>
          <a:ext cx="465974" cy="28575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pPr>
            <a:lnSpc>
              <a:spcPts val="1100"/>
            </a:lnSpc>
          </a:pPr>
          <a:endParaRPr lang="sr-Latn-CS" sz="1100"/>
        </a:p>
        <a:p xmlns:a="http://schemas.openxmlformats.org/drawingml/2006/main">
          <a:pPr>
            <a:lnSpc>
              <a:spcPts val="1100"/>
            </a:lnSpc>
          </a:pPr>
          <a:endParaRPr lang="sr-Latn-CS" sz="1100"/>
        </a:p>
        <a:p xmlns:a="http://schemas.openxmlformats.org/drawingml/2006/main">
          <a:pPr>
            <a:lnSpc>
              <a:spcPts val="1100"/>
            </a:lnSpc>
          </a:pPr>
          <a:endParaRPr lang="sr-Latn-CS" sz="1100"/>
        </a:p>
        <a:p xmlns:a="http://schemas.openxmlformats.org/drawingml/2006/main">
          <a:pPr>
            <a:lnSpc>
              <a:spcPts val="1000"/>
            </a:lnSpc>
          </a:pPr>
          <a:endParaRPr lang="sr-Latn-CS" sz="1100"/>
        </a:p>
        <a:p xmlns:a="http://schemas.openxmlformats.org/drawingml/2006/main">
          <a:pPr>
            <a:lnSpc>
              <a:spcPts val="1000"/>
            </a:lnSpc>
          </a:pPr>
          <a:endParaRPr lang="sr-Latn-CS" sz="1100"/>
        </a:p>
        <a:p xmlns:a="http://schemas.openxmlformats.org/drawingml/2006/main">
          <a:pPr>
            <a:lnSpc>
              <a:spcPts val="1200"/>
            </a:lnSpc>
          </a:pPr>
          <a:endParaRPr lang="sr-Latn-CS" sz="1100"/>
        </a:p>
        <a:p xmlns:a="http://schemas.openxmlformats.org/drawingml/2006/main">
          <a:pPr>
            <a:lnSpc>
              <a:spcPts val="900"/>
            </a:lnSpc>
          </a:pPr>
          <a:endParaRPr lang="en-US" sz="1100"/>
        </a:p>
      </cdr:txBody>
    </cdr:sp>
  </cdr:relSizeAnchor>
  <cdr:relSizeAnchor xmlns:cdr="http://schemas.openxmlformats.org/drawingml/2006/chartDrawing">
    <cdr:from>
      <cdr:x>0.81468</cdr:x>
      <cdr:y>0.93094</cdr:y>
    </cdr:from>
    <cdr:to>
      <cdr:x>0.91674</cdr:x>
      <cdr:y>1</cdr:y>
    </cdr:to>
    <cdr:sp macro="" textlink="">
      <cdr:nvSpPr>
        <cdr:cNvPr id="5" name="TextBox 4"/>
        <cdr:cNvSpPr txBox="1"/>
      </cdr:nvSpPr>
      <cdr:spPr>
        <a:xfrm xmlns:a="http://schemas.openxmlformats.org/drawingml/2006/main">
          <a:off x="4229101" y="3360670"/>
          <a:ext cx="529792" cy="24930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sr-Latn-CS" sz="900"/>
            <a:t> Godina</a:t>
          </a:r>
          <a:endParaRPr lang="en-US" sz="900"/>
        </a:p>
      </cdr:txBody>
    </cdr:sp>
  </cdr:relSizeAnchor>
</c:userShapes>
</file>

<file path=word/drawings/drawing4.xml><?xml version="1.0" encoding="utf-8"?>
<c:userShapes xmlns:c="http://schemas.openxmlformats.org/drawingml/2006/chart">
  <cdr:relSizeAnchor xmlns:cdr="http://schemas.openxmlformats.org/drawingml/2006/chartDrawing">
    <cdr:from>
      <cdr:x>0.69869</cdr:x>
      <cdr:y>0.81412</cdr:y>
    </cdr:from>
    <cdr:to>
      <cdr:x>0.83471</cdr:x>
      <cdr:y>1</cdr:y>
    </cdr:to>
    <cdr:sp macro="" textlink="">
      <cdr:nvSpPr>
        <cdr:cNvPr id="2" name="TextBox 1"/>
        <cdr:cNvSpPr txBox="1"/>
      </cdr:nvSpPr>
      <cdr:spPr>
        <a:xfrm xmlns:a="http://schemas.openxmlformats.org/drawingml/2006/main">
          <a:off x="4697030" y="4776366"/>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a:p>
      </cdr:txBody>
    </cdr:sp>
  </cdr:relSizeAnchor>
  <cdr:relSizeAnchor xmlns:cdr="http://schemas.openxmlformats.org/drawingml/2006/chartDrawing">
    <cdr:from>
      <cdr:x>0.80989</cdr:x>
      <cdr:y>0.92684</cdr:y>
    </cdr:from>
    <cdr:to>
      <cdr:x>0.91183</cdr:x>
      <cdr:y>1</cdr:y>
    </cdr:to>
    <cdr:sp macro="" textlink="">
      <cdr:nvSpPr>
        <cdr:cNvPr id="3" name="TextBox 2"/>
        <cdr:cNvSpPr txBox="1"/>
      </cdr:nvSpPr>
      <cdr:spPr>
        <a:xfrm xmlns:a="http://schemas.openxmlformats.org/drawingml/2006/main">
          <a:off x="5444561" y="4559340"/>
          <a:ext cx="685318" cy="3599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sr-Latn-CS" sz="1000"/>
            <a:t>Godina</a:t>
          </a:r>
          <a:endParaRPr lang="en-US" sz="1000"/>
        </a:p>
      </cdr:txBody>
    </cdr:sp>
  </cdr:relSizeAnchor>
</c:userShapes>
</file>

<file path=word/drawings/drawing5.xml><?xml version="1.0" encoding="utf-8"?>
<c:userShapes xmlns:c="http://schemas.openxmlformats.org/drawingml/2006/chart">
  <cdr:relSizeAnchor xmlns:cdr="http://schemas.openxmlformats.org/drawingml/2006/chartDrawing">
    <cdr:from>
      <cdr:x>0.75784</cdr:x>
      <cdr:y>0.90332</cdr:y>
    </cdr:from>
    <cdr:to>
      <cdr:x>0.85568</cdr:x>
      <cdr:y>1</cdr:y>
    </cdr:to>
    <cdr:sp macro="" textlink="">
      <cdr:nvSpPr>
        <cdr:cNvPr id="2" name="TextBox 1"/>
        <cdr:cNvSpPr txBox="1"/>
      </cdr:nvSpPr>
      <cdr:spPr>
        <a:xfrm xmlns:a="http://schemas.openxmlformats.org/drawingml/2006/main">
          <a:off x="4143374" y="2469383"/>
          <a:ext cx="534927" cy="264292"/>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sr-Latn-ME" sz="1000"/>
            <a:t>Godina</a:t>
          </a:r>
          <a:endParaRPr lang="en-US" sz="1000"/>
        </a:p>
      </cdr:txBody>
    </cdr:sp>
  </cdr:relSizeAnchor>
  <cdr:relSizeAnchor xmlns:cdr="http://schemas.openxmlformats.org/drawingml/2006/chartDrawing">
    <cdr:from>
      <cdr:x>0.01219</cdr:x>
      <cdr:y>0.66574</cdr:y>
    </cdr:from>
    <cdr:to>
      <cdr:x>0.1793</cdr:x>
      <cdr:y>1</cdr:y>
    </cdr:to>
    <cdr:sp macro="" textlink="">
      <cdr:nvSpPr>
        <cdr:cNvPr id="3" name="Text Box 2"/>
        <cdr:cNvSpPr txBox="1"/>
      </cdr:nvSpPr>
      <cdr:spPr>
        <a:xfrm xmlns:a="http://schemas.openxmlformats.org/drawingml/2006/main">
          <a:off x="66675" y="258127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0.04178</cdr:x>
      <cdr:y>0.51184</cdr:y>
    </cdr:from>
    <cdr:to>
      <cdr:x>0.20889</cdr:x>
      <cdr:y>0.8461</cdr:y>
    </cdr:to>
    <cdr:sp macro="" textlink="">
      <cdr:nvSpPr>
        <cdr:cNvPr id="4" name="Text Box 3"/>
        <cdr:cNvSpPr txBox="1"/>
      </cdr:nvSpPr>
      <cdr:spPr>
        <a:xfrm xmlns:a="http://schemas.openxmlformats.org/drawingml/2006/main">
          <a:off x="228600" y="140017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0.047</cdr:x>
      <cdr:y>0.57103</cdr:y>
    </cdr:from>
    <cdr:to>
      <cdr:x>0.21411</cdr:x>
      <cdr:y>0.90529</cdr:y>
    </cdr:to>
    <cdr:sp macro="" textlink="">
      <cdr:nvSpPr>
        <cdr:cNvPr id="6" name="Text Box 5"/>
        <cdr:cNvSpPr txBox="1"/>
      </cdr:nvSpPr>
      <cdr:spPr>
        <a:xfrm xmlns:a="http://schemas.openxmlformats.org/drawingml/2006/main">
          <a:off x="257175" y="15621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0.83289</cdr:x>
      <cdr:y>0.45265</cdr:y>
    </cdr:from>
    <cdr:to>
      <cdr:x>1</cdr:x>
      <cdr:y>0.78691</cdr:y>
    </cdr:to>
    <cdr:sp macro="" textlink="">
      <cdr:nvSpPr>
        <cdr:cNvPr id="8" name="Text Box 7"/>
        <cdr:cNvSpPr txBox="1"/>
      </cdr:nvSpPr>
      <cdr:spPr>
        <a:xfrm xmlns:a="http://schemas.openxmlformats.org/drawingml/2006/main">
          <a:off x="5314950" y="123825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0.83289</cdr:x>
      <cdr:y>0.35515</cdr:y>
    </cdr:from>
    <cdr:to>
      <cdr:x>1</cdr:x>
      <cdr:y>0.68942</cdr:y>
    </cdr:to>
    <cdr:sp macro="" textlink="">
      <cdr:nvSpPr>
        <cdr:cNvPr id="9" name="Text Box 8"/>
        <cdr:cNvSpPr txBox="1"/>
      </cdr:nvSpPr>
      <cdr:spPr>
        <a:xfrm xmlns:a="http://schemas.openxmlformats.org/drawingml/2006/main">
          <a:off x="5343525" y="97155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0.83289</cdr:x>
      <cdr:y>0.32033</cdr:y>
    </cdr:from>
    <cdr:to>
      <cdr:x>1</cdr:x>
      <cdr:y>0.6546</cdr:y>
    </cdr:to>
    <cdr:sp macro="" textlink="">
      <cdr:nvSpPr>
        <cdr:cNvPr id="10" name="Text Box 9"/>
        <cdr:cNvSpPr txBox="1"/>
      </cdr:nvSpPr>
      <cdr:spPr>
        <a:xfrm xmlns:a="http://schemas.openxmlformats.org/drawingml/2006/main">
          <a:off x="5381625" y="8763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0.95296</cdr:x>
      <cdr:y>0.04181</cdr:y>
    </cdr:from>
    <cdr:to>
      <cdr:x>0.99919</cdr:x>
      <cdr:y>0.37953</cdr:y>
    </cdr:to>
    <cdr:sp macro="" textlink="">
      <cdr:nvSpPr>
        <cdr:cNvPr id="11" name="Text Box 10"/>
        <cdr:cNvSpPr txBox="1"/>
      </cdr:nvSpPr>
      <cdr:spPr>
        <a:xfrm xmlns:a="http://schemas.openxmlformats.org/drawingml/2006/main" rot="16200000">
          <a:off x="4874936" y="449538"/>
          <a:ext cx="923211" cy="252733"/>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sr-Latn-ME" sz="1000">
              <a:solidFill>
                <a:sysClr val="windowText" lastClr="000000"/>
              </a:solidFill>
            </a:rPr>
            <a:t>Razdvajanje, %</a:t>
          </a:r>
          <a:endParaRPr lang="en-US" sz="1000">
            <a:solidFill>
              <a:sysClr val="windowText" lastClr="000000"/>
            </a:solidFill>
          </a:endParaRPr>
        </a:p>
      </cdr:txBody>
    </cdr:sp>
  </cdr:relSizeAnchor>
  <cdr:relSizeAnchor xmlns:cdr="http://schemas.openxmlformats.org/drawingml/2006/chartDrawing">
    <cdr:from>
      <cdr:x>0.04526</cdr:x>
      <cdr:y>0.57799</cdr:y>
    </cdr:from>
    <cdr:to>
      <cdr:x>0.21237</cdr:x>
      <cdr:y>0.91226</cdr:y>
    </cdr:to>
    <cdr:sp macro="" textlink="">
      <cdr:nvSpPr>
        <cdr:cNvPr id="12" name="Text Box 11"/>
        <cdr:cNvSpPr txBox="1"/>
      </cdr:nvSpPr>
      <cdr:spPr>
        <a:xfrm xmlns:a="http://schemas.openxmlformats.org/drawingml/2006/main" rot="16200000">
          <a:off x="247650" y="158115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1.82755E-7</cdr:x>
      <cdr:y>0</cdr:y>
    </cdr:from>
    <cdr:to>
      <cdr:x>0.07833</cdr:x>
      <cdr:y>0.78691</cdr:y>
    </cdr:to>
    <cdr:sp macro="" textlink="">
      <cdr:nvSpPr>
        <cdr:cNvPr id="13" name="Text Box 12"/>
        <cdr:cNvSpPr txBox="1"/>
      </cdr:nvSpPr>
      <cdr:spPr>
        <a:xfrm xmlns:a="http://schemas.openxmlformats.org/drawingml/2006/main" rot="16200000">
          <a:off x="-862010" y="862011"/>
          <a:ext cx="2152650" cy="428627"/>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pPr algn="ctr"/>
          <a:r>
            <a:rPr lang="sr-Latn-ME" sz="1000"/>
            <a:t>Obim</a:t>
          </a:r>
          <a:r>
            <a:rPr lang="sr-Latn-ME" sz="1000" baseline="0"/>
            <a:t> putničkog saobraćaja i BDP x 10</a:t>
          </a:r>
          <a:r>
            <a:rPr lang="sr-Latn-ME" sz="1000" baseline="30000"/>
            <a:t>6</a:t>
          </a:r>
        </a:p>
        <a:p xmlns:a="http://schemas.openxmlformats.org/drawingml/2006/main">
          <a:pPr algn="ctr"/>
          <a:r>
            <a:rPr lang="sr-Latn-ME" sz="1000" baseline="30000"/>
            <a:t>(indeks 2000=100)</a:t>
          </a:r>
          <a:endParaRPr lang="en-US" sz="1000" baseline="30000"/>
        </a:p>
      </cdr:txBody>
    </cdr:sp>
  </cdr:relSizeAnchor>
</c:userShapes>
</file>

<file path=word/drawings/drawing6.xml><?xml version="1.0" encoding="utf-8"?>
<c:userShapes xmlns:c="http://schemas.openxmlformats.org/drawingml/2006/chart">
  <cdr:relSizeAnchor xmlns:cdr="http://schemas.openxmlformats.org/drawingml/2006/chartDrawing">
    <cdr:from>
      <cdr:x>0.03828</cdr:x>
      <cdr:y>0.38849</cdr:y>
    </cdr:from>
    <cdr:to>
      <cdr:x>0.26794</cdr:x>
      <cdr:y>0.73381</cdr:y>
    </cdr:to>
    <cdr:sp macro="" textlink="">
      <cdr:nvSpPr>
        <cdr:cNvPr id="2" name="Text Box 1"/>
        <cdr:cNvSpPr txBox="1"/>
      </cdr:nvSpPr>
      <cdr:spPr>
        <a:xfrm xmlns:a="http://schemas.openxmlformats.org/drawingml/2006/main">
          <a:off x="152400" y="10287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cdr:x>
      <cdr:y>0</cdr:y>
    </cdr:from>
    <cdr:to>
      <cdr:x>0.05972</cdr:x>
      <cdr:y>0.53415</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rot="16200000">
          <a:off x="-2521889" y="-326084"/>
          <a:ext cx="1414395" cy="237765"/>
        </a:xfrm>
        <a:prstGeom xmlns:a="http://schemas.openxmlformats.org/drawingml/2006/main" prst="rect">
          <a:avLst/>
        </a:prstGeom>
      </cdr:spPr>
    </cdr:pic>
  </cdr:relSizeAnchor>
  <cdr:relSizeAnchor xmlns:cdr="http://schemas.openxmlformats.org/drawingml/2006/chartDrawing">
    <cdr:from>
      <cdr:x>0.811</cdr:x>
      <cdr:y>0.89568</cdr:y>
    </cdr:from>
    <cdr:to>
      <cdr:x>0.96172</cdr:x>
      <cdr:y>0.97842</cdr:y>
    </cdr:to>
    <cdr:sp macro="" textlink="">
      <cdr:nvSpPr>
        <cdr:cNvPr id="4" name="Text Box 3"/>
        <cdr:cNvSpPr txBox="1"/>
      </cdr:nvSpPr>
      <cdr:spPr>
        <a:xfrm xmlns:a="http://schemas.openxmlformats.org/drawingml/2006/main">
          <a:off x="3228975" y="2371726"/>
          <a:ext cx="600075" cy="21907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sr-Latn-ME" sz="1000"/>
            <a:t>Godina</a:t>
          </a:r>
          <a:endParaRPr lang="en-US" sz="1000"/>
        </a:p>
      </cdr:txBody>
    </cdr:sp>
  </cdr:relSizeAnchor>
</c:userShapes>
</file>

<file path=word/drawings/drawing7.xml><?xml version="1.0" encoding="utf-8"?>
<c:userShapes xmlns:c="http://schemas.openxmlformats.org/drawingml/2006/chart">
  <cdr:relSizeAnchor xmlns:cdr="http://schemas.openxmlformats.org/drawingml/2006/chartDrawing">
    <cdr:from>
      <cdr:x>5.28457E-7</cdr:x>
      <cdr:y>0.12072</cdr:y>
    </cdr:from>
    <cdr:to>
      <cdr:x>0.0625</cdr:x>
      <cdr:y>0.67281</cdr:y>
    </cdr:to>
    <cdr:sp macro="" textlink="">
      <cdr:nvSpPr>
        <cdr:cNvPr id="2" name="TextBox 1"/>
        <cdr:cNvSpPr txBox="1"/>
      </cdr:nvSpPr>
      <cdr:spPr>
        <a:xfrm xmlns:a="http://schemas.openxmlformats.org/drawingml/2006/main" rot="16200000">
          <a:off x="-517327" y="795284"/>
          <a:ext cx="1271193" cy="236536"/>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sr-Latn-CS" sz="900"/>
            <a:t>Udio vrste saobraćaja, (%)</a:t>
          </a:r>
          <a:endParaRPr lang="en-US" sz="900"/>
        </a:p>
      </cdr:txBody>
    </cdr:sp>
  </cdr:relSizeAnchor>
  <cdr:relSizeAnchor xmlns:cdr="http://schemas.openxmlformats.org/drawingml/2006/chartDrawing">
    <cdr:from>
      <cdr:x>0.74645</cdr:x>
      <cdr:y>0.89582</cdr:y>
    </cdr:from>
    <cdr:to>
      <cdr:x>0.88626</cdr:x>
      <cdr:y>1</cdr:y>
    </cdr:to>
    <cdr:sp macro="" textlink="">
      <cdr:nvSpPr>
        <cdr:cNvPr id="3" name="TextBox 2"/>
        <cdr:cNvSpPr txBox="1"/>
      </cdr:nvSpPr>
      <cdr:spPr>
        <a:xfrm xmlns:a="http://schemas.openxmlformats.org/drawingml/2006/main">
          <a:off x="2825145" y="2062947"/>
          <a:ext cx="529150" cy="23990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sr-Latn-CS" sz="1000"/>
            <a:t>Godina</a:t>
          </a:r>
          <a:endParaRPr lang="en-US" sz="1000"/>
        </a:p>
      </cdr:txBody>
    </cdr:sp>
  </cdr:relSizeAnchor>
</c:userShapes>
</file>

<file path=word/drawings/drawing8.xml><?xml version="1.0" encoding="utf-8"?>
<c:userShapes xmlns:c="http://schemas.openxmlformats.org/drawingml/2006/chart">
  <cdr:relSizeAnchor xmlns:cdr="http://schemas.openxmlformats.org/drawingml/2006/chartDrawing">
    <cdr:from>
      <cdr:x>0.82826</cdr:x>
      <cdr:y>0.3121</cdr:y>
    </cdr:from>
    <cdr:to>
      <cdr:x>1</cdr:x>
      <cdr:y>0.61783</cdr:y>
    </cdr:to>
    <cdr:sp macro="" textlink="">
      <cdr:nvSpPr>
        <cdr:cNvPr id="2" name="Text Box 1"/>
        <cdr:cNvSpPr txBox="1"/>
      </cdr:nvSpPr>
      <cdr:spPr>
        <a:xfrm xmlns:a="http://schemas.openxmlformats.org/drawingml/2006/main">
          <a:off x="5219700" y="93345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0.02862</cdr:x>
      <cdr:y>0.53185</cdr:y>
    </cdr:from>
    <cdr:to>
      <cdr:x>0.20036</cdr:x>
      <cdr:y>0.83758</cdr:y>
    </cdr:to>
    <cdr:sp macro="" textlink="">
      <cdr:nvSpPr>
        <cdr:cNvPr id="3" name="Text Box 2"/>
        <cdr:cNvSpPr txBox="1"/>
      </cdr:nvSpPr>
      <cdr:spPr>
        <a:xfrm xmlns:a="http://schemas.openxmlformats.org/drawingml/2006/main">
          <a:off x="152400" y="159067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0.82826</cdr:x>
      <cdr:y>0.28025</cdr:y>
    </cdr:from>
    <cdr:to>
      <cdr:x>1</cdr:x>
      <cdr:y>0.58599</cdr:y>
    </cdr:to>
    <cdr:sp macro="" textlink="">
      <cdr:nvSpPr>
        <cdr:cNvPr id="5" name="Text Box 4"/>
        <cdr:cNvSpPr txBox="1"/>
      </cdr:nvSpPr>
      <cdr:spPr>
        <a:xfrm xmlns:a="http://schemas.openxmlformats.org/drawingml/2006/main">
          <a:off x="5200650" y="8382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0.82826</cdr:x>
      <cdr:y>0.13694</cdr:y>
    </cdr:from>
    <cdr:to>
      <cdr:x>1</cdr:x>
      <cdr:y>0.44268</cdr:y>
    </cdr:to>
    <cdr:sp macro="" textlink="">
      <cdr:nvSpPr>
        <cdr:cNvPr id="6" name="Text Box 5"/>
        <cdr:cNvSpPr txBox="1"/>
      </cdr:nvSpPr>
      <cdr:spPr>
        <a:xfrm xmlns:a="http://schemas.openxmlformats.org/drawingml/2006/main">
          <a:off x="4410075" y="40957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0.82826</cdr:x>
      <cdr:y>0.28662</cdr:y>
    </cdr:from>
    <cdr:to>
      <cdr:x>1</cdr:x>
      <cdr:y>0.59236</cdr:y>
    </cdr:to>
    <cdr:sp macro="" textlink="">
      <cdr:nvSpPr>
        <cdr:cNvPr id="7" name="Text Box 6"/>
        <cdr:cNvSpPr txBox="1"/>
      </cdr:nvSpPr>
      <cdr:spPr>
        <a:xfrm xmlns:a="http://schemas.openxmlformats.org/drawingml/2006/main">
          <a:off x="5219700" y="85725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0.82826</cdr:x>
      <cdr:y>0.29299</cdr:y>
    </cdr:from>
    <cdr:to>
      <cdr:x>1</cdr:x>
      <cdr:y>0.59873</cdr:y>
    </cdr:to>
    <cdr:sp macro="" textlink="">
      <cdr:nvSpPr>
        <cdr:cNvPr id="8" name="Text Box 7"/>
        <cdr:cNvSpPr txBox="1"/>
      </cdr:nvSpPr>
      <cdr:spPr>
        <a:xfrm xmlns:a="http://schemas.openxmlformats.org/drawingml/2006/main">
          <a:off x="5200650" y="8763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0.77281</cdr:x>
      <cdr:y>0.91083</cdr:y>
    </cdr:from>
    <cdr:to>
      <cdr:x>0.8712</cdr:x>
      <cdr:y>1</cdr:y>
    </cdr:to>
    <cdr:sp macro="" textlink="">
      <cdr:nvSpPr>
        <cdr:cNvPr id="10" name="Text Box 9"/>
        <cdr:cNvSpPr txBox="1"/>
      </cdr:nvSpPr>
      <cdr:spPr>
        <a:xfrm xmlns:a="http://schemas.openxmlformats.org/drawingml/2006/main">
          <a:off x="4114799" y="2724150"/>
          <a:ext cx="523875" cy="2667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900"/>
            <a:t>Godina</a:t>
          </a:r>
        </a:p>
      </cdr:txBody>
    </cdr:sp>
  </cdr:relSizeAnchor>
  <cdr:relSizeAnchor xmlns:cdr="http://schemas.openxmlformats.org/drawingml/2006/chartDrawing">
    <cdr:from>
      <cdr:x>0.94812</cdr:x>
      <cdr:y>0.04936</cdr:y>
    </cdr:from>
    <cdr:to>
      <cdr:x>1</cdr:x>
      <cdr:y>0.34713</cdr:y>
    </cdr:to>
    <cdr:sp macro="" textlink="">
      <cdr:nvSpPr>
        <cdr:cNvPr id="11" name="Text Box 10"/>
        <cdr:cNvSpPr txBox="1"/>
      </cdr:nvSpPr>
      <cdr:spPr>
        <a:xfrm xmlns:a="http://schemas.openxmlformats.org/drawingml/2006/main" rot="16200000">
          <a:off x="4741070" y="454821"/>
          <a:ext cx="890587" cy="276222"/>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900"/>
            <a:t>Razdvajanje,</a:t>
          </a:r>
          <a:r>
            <a:rPr lang="en-US" sz="900" baseline="0"/>
            <a:t> %</a:t>
          </a:r>
          <a:endParaRPr lang="en-US" sz="900"/>
        </a:p>
      </cdr:txBody>
    </cdr:sp>
  </cdr:relSizeAnchor>
  <cdr:relSizeAnchor xmlns:cdr="http://schemas.openxmlformats.org/drawingml/2006/chartDrawing">
    <cdr:from>
      <cdr:x>0</cdr:x>
      <cdr:y>0.03503</cdr:y>
    </cdr:from>
    <cdr:to>
      <cdr:x>0.08408</cdr:x>
      <cdr:y>0.66879</cdr:y>
    </cdr:to>
    <cdr:sp macro="" textlink="">
      <cdr:nvSpPr>
        <cdr:cNvPr id="12" name="Text Box 11"/>
        <cdr:cNvSpPr txBox="1"/>
      </cdr:nvSpPr>
      <cdr:spPr>
        <a:xfrm xmlns:a="http://schemas.openxmlformats.org/drawingml/2006/main" rot="16200000">
          <a:off x="-1943098" y="828676"/>
          <a:ext cx="1895473" cy="4476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pPr algn="ctr"/>
          <a:r>
            <a:rPr lang="en-US" sz="900"/>
            <a:t>Obim teretnog saobra</a:t>
          </a:r>
          <a:r>
            <a:rPr lang="sr-Latn-ME" sz="900"/>
            <a:t>ć</a:t>
          </a:r>
          <a:r>
            <a:rPr lang="en-US" sz="900"/>
            <a:t>aja</a:t>
          </a:r>
          <a:r>
            <a:rPr lang="sr-Latn-ME" sz="900"/>
            <a:t> i BDP x 10</a:t>
          </a:r>
          <a:r>
            <a:rPr lang="sr-Latn-ME" sz="900" baseline="30000"/>
            <a:t>6</a:t>
          </a:r>
        </a:p>
        <a:p xmlns:a="http://schemas.openxmlformats.org/drawingml/2006/main">
          <a:pPr algn="ctr"/>
          <a:r>
            <a:rPr lang="sr-Latn-ME" sz="900"/>
            <a:t>(indeks 2000 =</a:t>
          </a:r>
          <a:r>
            <a:rPr lang="sr-Latn-ME" sz="900" baseline="0"/>
            <a:t> 100)</a:t>
          </a:r>
          <a:endParaRPr lang="en-US" sz="900"/>
        </a:p>
      </cdr:txBody>
    </cdr:sp>
  </cdr:relSizeAnchor>
</c:userShapes>
</file>

<file path=word/drawings/drawing9.xml><?xml version="1.0" encoding="utf-8"?>
<c:userShapes xmlns:c="http://schemas.openxmlformats.org/drawingml/2006/chart">
  <cdr:relSizeAnchor xmlns:cdr="http://schemas.openxmlformats.org/drawingml/2006/chartDrawing">
    <cdr:from>
      <cdr:x>0.02646</cdr:x>
      <cdr:y>0.39481</cdr:y>
    </cdr:from>
    <cdr:to>
      <cdr:x>0.28046</cdr:x>
      <cdr:y>0.79168</cdr:y>
    </cdr:to>
    <cdr:sp macro="" textlink="">
      <cdr:nvSpPr>
        <cdr:cNvPr id="2" name="TextBox 1"/>
        <cdr:cNvSpPr txBox="1"/>
      </cdr:nvSpPr>
      <cdr:spPr>
        <a:xfrm xmlns:a="http://schemas.openxmlformats.org/drawingml/2006/main">
          <a:off x="95250" y="909638"/>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0.03175</cdr:x>
      <cdr:y>0.39481</cdr:y>
    </cdr:from>
    <cdr:to>
      <cdr:x>0.28575</cdr:x>
      <cdr:y>0.79168</cdr:y>
    </cdr:to>
    <cdr:sp macro="" textlink="">
      <cdr:nvSpPr>
        <cdr:cNvPr id="3" name="TextBox 2"/>
        <cdr:cNvSpPr txBox="1"/>
      </cdr:nvSpPr>
      <cdr:spPr>
        <a:xfrm xmlns:a="http://schemas.openxmlformats.org/drawingml/2006/main">
          <a:off x="114300" y="909638"/>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0.02381</cdr:x>
      <cdr:y>0.35347</cdr:y>
    </cdr:from>
    <cdr:to>
      <cdr:x>0.27781</cdr:x>
      <cdr:y>0.75034</cdr:y>
    </cdr:to>
    <cdr:sp macro="" textlink="">
      <cdr:nvSpPr>
        <cdr:cNvPr id="4" name="TextBox 3"/>
        <cdr:cNvSpPr txBox="1"/>
      </cdr:nvSpPr>
      <cdr:spPr>
        <a:xfrm xmlns:a="http://schemas.openxmlformats.org/drawingml/2006/main">
          <a:off x="85725" y="814388"/>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cdr:x>
      <cdr:y>0.02687</cdr:y>
    </cdr:from>
    <cdr:to>
      <cdr:x>0.07288</cdr:x>
      <cdr:y>0.66526</cdr:y>
    </cdr:to>
    <cdr:sp macro="" textlink="">
      <cdr:nvSpPr>
        <cdr:cNvPr id="7" name="TextBox 6"/>
        <cdr:cNvSpPr txBox="1"/>
      </cdr:nvSpPr>
      <cdr:spPr>
        <a:xfrm xmlns:a="http://schemas.openxmlformats.org/drawingml/2006/main" rot="16200000">
          <a:off x="-1574177" y="663030"/>
          <a:ext cx="1435027" cy="229772"/>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sr-Latn-ME" sz="900"/>
            <a:t>Teretni saobraćajj, mil</a:t>
          </a:r>
          <a:r>
            <a:rPr lang="sr-Latn-ME" sz="900" baseline="0"/>
            <a:t> tkm</a:t>
          </a:r>
          <a:endParaRPr lang="en-US" sz="900"/>
        </a:p>
      </cdr:txBody>
    </cdr:sp>
  </cdr:relSizeAnchor>
  <cdr:relSizeAnchor xmlns:cdr="http://schemas.openxmlformats.org/drawingml/2006/chartDrawing">
    <cdr:from>
      <cdr:x>0.75227</cdr:x>
      <cdr:y>0.89407</cdr:y>
    </cdr:from>
    <cdr:to>
      <cdr:x>1</cdr:x>
      <cdr:y>1</cdr:y>
    </cdr:to>
    <cdr:sp macro="" textlink="">
      <cdr:nvSpPr>
        <cdr:cNvPr id="5" name="Text Box 4"/>
        <cdr:cNvSpPr txBox="1"/>
      </cdr:nvSpPr>
      <cdr:spPr>
        <a:xfrm xmlns:a="http://schemas.openxmlformats.org/drawingml/2006/main">
          <a:off x="2371725" y="2009775"/>
          <a:ext cx="781050" cy="23812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sr-Latn-ME" sz="900"/>
            <a:t>Godina</a:t>
          </a:r>
          <a:endParaRPr lang="en-US" sz="900"/>
        </a:p>
      </cdr:txBody>
    </cdr:sp>
  </cdr:relSizeAnchor>
</c:userShapes>
</file>

<file path=word/theme/theme1.xml><?xml version="1.0" encoding="utf-8"?>
<a:theme xmlns:a="http://schemas.openxmlformats.org/drawingml/2006/main" name="Office Theme">
  <a:themeElements>
    <a:clrScheme name="Irena">
      <a:dk1>
        <a:sysClr val="windowText" lastClr="000000"/>
      </a:dk1>
      <a:lt1>
        <a:sysClr val="window" lastClr="FFFFFF"/>
      </a:lt1>
      <a:dk2>
        <a:srgbClr val="1F497D"/>
      </a:dk2>
      <a:lt2>
        <a:srgbClr val="EEECE1"/>
      </a:lt2>
      <a:accent1>
        <a:srgbClr val="CEEAB0"/>
      </a:accent1>
      <a:accent2>
        <a:srgbClr val="BF83D7"/>
      </a:accent2>
      <a:accent3>
        <a:srgbClr val="FAC08F"/>
      </a:accent3>
      <a:accent4>
        <a:srgbClr val="9999FF"/>
      </a:accent4>
      <a:accent5>
        <a:srgbClr val="9BD45F"/>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Concourse">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9525" cap="flat" cmpd="sng" algn="ctr">
          <a:solidFill>
            <a:schemeClr val="phClr"/>
          </a:solidFill>
          <a:prstDash val="solid"/>
        </a:ln>
        <a:ln w="55000" cap="flat" cmpd="thickThin" algn="ctr">
          <a:solidFill>
            <a:schemeClr val="phClr"/>
          </a:solidFill>
          <a:prstDash val="solid"/>
        </a:ln>
        <a:ln w="63500" cap="flat" cmpd="thickThin"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fov="0">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Irena">
    <a:dk1>
      <a:sysClr val="windowText" lastClr="000000"/>
    </a:dk1>
    <a:lt1>
      <a:sysClr val="window" lastClr="FFFFFF"/>
    </a:lt1>
    <a:dk2>
      <a:srgbClr val="1F497D"/>
    </a:dk2>
    <a:lt2>
      <a:srgbClr val="EEECE1"/>
    </a:lt2>
    <a:accent1>
      <a:srgbClr val="CEEAB0"/>
    </a:accent1>
    <a:accent2>
      <a:srgbClr val="BF83D7"/>
    </a:accent2>
    <a:accent3>
      <a:srgbClr val="FAC08F"/>
    </a:accent3>
    <a:accent4>
      <a:srgbClr val="9999FF"/>
    </a:accent4>
    <a:accent5>
      <a:srgbClr val="9BD45F"/>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Concourse">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9525" cap="flat" cmpd="sng" algn="ctr">
        <a:solidFill>
          <a:schemeClr val="phClr"/>
        </a:solidFill>
        <a:prstDash val="solid"/>
      </a:ln>
      <a:ln w="55000" cap="flat" cmpd="thickThin" algn="ctr">
        <a:solidFill>
          <a:schemeClr val="phClr"/>
        </a:solidFill>
        <a:prstDash val="solid"/>
      </a:ln>
      <a:ln w="63500" cap="flat" cmpd="thickThin"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fov="0">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Concourse">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9525" cap="flat" cmpd="sng" algn="ctr">
        <a:solidFill>
          <a:schemeClr val="phClr"/>
        </a:solidFill>
        <a:prstDash val="solid"/>
      </a:ln>
      <a:ln w="55000" cap="flat" cmpd="thickThin" algn="ctr">
        <a:solidFill>
          <a:schemeClr val="phClr"/>
        </a:solidFill>
        <a:prstDash val="solid"/>
      </a:ln>
      <a:ln w="63500" cap="flat" cmpd="thickThin"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fov="0">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Concourse">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9525" cap="flat" cmpd="sng" algn="ctr">
        <a:solidFill>
          <a:schemeClr val="phClr"/>
        </a:solidFill>
        <a:prstDash val="solid"/>
      </a:ln>
      <a:ln w="55000" cap="flat" cmpd="thickThin" algn="ctr">
        <a:solidFill>
          <a:schemeClr val="phClr"/>
        </a:solidFill>
        <a:prstDash val="solid"/>
      </a:ln>
      <a:ln w="63500" cap="flat" cmpd="thickThin"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fov="0">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Concourse">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9525" cap="flat" cmpd="sng" algn="ctr">
        <a:solidFill>
          <a:schemeClr val="phClr"/>
        </a:solidFill>
        <a:prstDash val="solid"/>
      </a:ln>
      <a:ln w="55000" cap="flat" cmpd="thickThin" algn="ctr">
        <a:solidFill>
          <a:schemeClr val="phClr"/>
        </a:solidFill>
        <a:prstDash val="solid"/>
      </a:ln>
      <a:ln w="63500" cap="flat" cmpd="thickThin"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fov="0">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Concourse">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9525" cap="flat" cmpd="sng" algn="ctr">
        <a:solidFill>
          <a:schemeClr val="phClr"/>
        </a:solidFill>
        <a:prstDash val="solid"/>
      </a:ln>
      <a:ln w="55000" cap="flat" cmpd="thickThin" algn="ctr">
        <a:solidFill>
          <a:schemeClr val="phClr"/>
        </a:solidFill>
        <a:prstDash val="solid"/>
      </a:ln>
      <a:ln w="63500" cap="flat" cmpd="thickThin"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fov="0">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Concourse">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9525" cap="flat" cmpd="sng" algn="ctr">
        <a:solidFill>
          <a:schemeClr val="phClr"/>
        </a:solidFill>
        <a:prstDash val="solid"/>
      </a:ln>
      <a:ln w="55000" cap="flat" cmpd="thickThin" algn="ctr">
        <a:solidFill>
          <a:schemeClr val="phClr"/>
        </a:solidFill>
        <a:prstDash val="solid"/>
      </a:ln>
      <a:ln w="63500" cap="flat" cmpd="thickThin"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fov="0">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Irena">
    <a:dk1>
      <a:sysClr val="windowText" lastClr="000000"/>
    </a:dk1>
    <a:lt1>
      <a:sysClr val="window" lastClr="FFFFFF"/>
    </a:lt1>
    <a:dk2>
      <a:srgbClr val="1F497D"/>
    </a:dk2>
    <a:lt2>
      <a:srgbClr val="EEECE1"/>
    </a:lt2>
    <a:accent1>
      <a:srgbClr val="CEEAB0"/>
    </a:accent1>
    <a:accent2>
      <a:srgbClr val="BF83D7"/>
    </a:accent2>
    <a:accent3>
      <a:srgbClr val="FAC08F"/>
    </a:accent3>
    <a:accent4>
      <a:srgbClr val="9999FF"/>
    </a:accent4>
    <a:accent5>
      <a:srgbClr val="9BD45F"/>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Concourse">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9525" cap="flat" cmpd="sng" algn="ctr">
        <a:solidFill>
          <a:schemeClr val="phClr"/>
        </a:solidFill>
        <a:prstDash val="solid"/>
      </a:ln>
      <a:ln w="55000" cap="flat" cmpd="thickThin" algn="ctr">
        <a:solidFill>
          <a:schemeClr val="phClr"/>
        </a:solidFill>
        <a:prstDash val="solid"/>
      </a:ln>
      <a:ln w="63500" cap="flat" cmpd="thickThin"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fov="0">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Irena">
    <a:dk1>
      <a:sysClr val="windowText" lastClr="000000"/>
    </a:dk1>
    <a:lt1>
      <a:sysClr val="window" lastClr="FFFFFF"/>
    </a:lt1>
    <a:dk2>
      <a:srgbClr val="1F497D"/>
    </a:dk2>
    <a:lt2>
      <a:srgbClr val="EEECE1"/>
    </a:lt2>
    <a:accent1>
      <a:srgbClr val="CEEAB0"/>
    </a:accent1>
    <a:accent2>
      <a:srgbClr val="BF83D7"/>
    </a:accent2>
    <a:accent3>
      <a:srgbClr val="FAC08F"/>
    </a:accent3>
    <a:accent4>
      <a:srgbClr val="9999FF"/>
    </a:accent4>
    <a:accent5>
      <a:srgbClr val="9BD45F"/>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Concourse">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9525" cap="flat" cmpd="sng" algn="ctr">
        <a:solidFill>
          <a:schemeClr val="phClr"/>
        </a:solidFill>
        <a:prstDash val="solid"/>
      </a:ln>
      <a:ln w="55000" cap="flat" cmpd="thickThin" algn="ctr">
        <a:solidFill>
          <a:schemeClr val="phClr"/>
        </a:solidFill>
        <a:prstDash val="solid"/>
      </a:ln>
      <a:ln w="63500" cap="flat" cmpd="thickThin"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fov="0">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Irena">
    <a:dk1>
      <a:sysClr val="windowText" lastClr="000000"/>
    </a:dk1>
    <a:lt1>
      <a:sysClr val="window" lastClr="FFFFFF"/>
    </a:lt1>
    <a:dk2>
      <a:srgbClr val="1F497D"/>
    </a:dk2>
    <a:lt2>
      <a:srgbClr val="EEECE1"/>
    </a:lt2>
    <a:accent1>
      <a:srgbClr val="CEEAB0"/>
    </a:accent1>
    <a:accent2>
      <a:srgbClr val="BF83D7"/>
    </a:accent2>
    <a:accent3>
      <a:srgbClr val="FAC08F"/>
    </a:accent3>
    <a:accent4>
      <a:srgbClr val="9999FF"/>
    </a:accent4>
    <a:accent5>
      <a:srgbClr val="9BD45F"/>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Concourse">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9525" cap="flat" cmpd="sng" algn="ctr">
        <a:solidFill>
          <a:schemeClr val="phClr"/>
        </a:solidFill>
        <a:prstDash val="solid"/>
      </a:ln>
      <a:ln w="55000" cap="flat" cmpd="thickThin" algn="ctr">
        <a:solidFill>
          <a:schemeClr val="phClr"/>
        </a:solidFill>
        <a:prstDash val="solid"/>
      </a:ln>
      <a:ln w="63500" cap="flat" cmpd="thickThin"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fov="0">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Irena">
    <a:dk1>
      <a:sysClr val="windowText" lastClr="000000"/>
    </a:dk1>
    <a:lt1>
      <a:sysClr val="window" lastClr="FFFFFF"/>
    </a:lt1>
    <a:dk2>
      <a:srgbClr val="1F497D"/>
    </a:dk2>
    <a:lt2>
      <a:srgbClr val="EEECE1"/>
    </a:lt2>
    <a:accent1>
      <a:srgbClr val="CEEAB0"/>
    </a:accent1>
    <a:accent2>
      <a:srgbClr val="BF83D7"/>
    </a:accent2>
    <a:accent3>
      <a:srgbClr val="FAC08F"/>
    </a:accent3>
    <a:accent4>
      <a:srgbClr val="9999FF"/>
    </a:accent4>
    <a:accent5>
      <a:srgbClr val="9BD45F"/>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Concourse">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9525" cap="flat" cmpd="sng" algn="ctr">
        <a:solidFill>
          <a:schemeClr val="phClr"/>
        </a:solidFill>
        <a:prstDash val="solid"/>
      </a:ln>
      <a:ln w="55000" cap="flat" cmpd="thickThin" algn="ctr">
        <a:solidFill>
          <a:schemeClr val="phClr"/>
        </a:solidFill>
        <a:prstDash val="solid"/>
      </a:ln>
      <a:ln w="63500" cap="flat" cmpd="thickThin"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fov="0">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Irena">
    <a:dk1>
      <a:sysClr val="windowText" lastClr="000000"/>
    </a:dk1>
    <a:lt1>
      <a:sysClr val="window" lastClr="FFFFFF"/>
    </a:lt1>
    <a:dk2>
      <a:srgbClr val="1F497D"/>
    </a:dk2>
    <a:lt2>
      <a:srgbClr val="EEECE1"/>
    </a:lt2>
    <a:accent1>
      <a:srgbClr val="CEEAB0"/>
    </a:accent1>
    <a:accent2>
      <a:srgbClr val="BF83D7"/>
    </a:accent2>
    <a:accent3>
      <a:srgbClr val="FAC08F"/>
    </a:accent3>
    <a:accent4>
      <a:srgbClr val="9999FF"/>
    </a:accent4>
    <a:accent5>
      <a:srgbClr val="9BD45F"/>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Concourse">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9525" cap="flat" cmpd="sng" algn="ctr">
        <a:solidFill>
          <a:schemeClr val="phClr"/>
        </a:solidFill>
        <a:prstDash val="solid"/>
      </a:ln>
      <a:ln w="55000" cap="flat" cmpd="thickThin" algn="ctr">
        <a:solidFill>
          <a:schemeClr val="phClr"/>
        </a:solidFill>
        <a:prstDash val="solid"/>
      </a:ln>
      <a:ln w="63500" cap="flat" cmpd="thickThin"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fov="0">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Irena">
    <a:dk1>
      <a:sysClr val="windowText" lastClr="000000"/>
    </a:dk1>
    <a:lt1>
      <a:sysClr val="window" lastClr="FFFFFF"/>
    </a:lt1>
    <a:dk2>
      <a:srgbClr val="1F497D"/>
    </a:dk2>
    <a:lt2>
      <a:srgbClr val="EEECE1"/>
    </a:lt2>
    <a:accent1>
      <a:srgbClr val="CEEAB0"/>
    </a:accent1>
    <a:accent2>
      <a:srgbClr val="BF83D7"/>
    </a:accent2>
    <a:accent3>
      <a:srgbClr val="FAC08F"/>
    </a:accent3>
    <a:accent4>
      <a:srgbClr val="9999FF"/>
    </a:accent4>
    <a:accent5>
      <a:srgbClr val="9BD45F"/>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Concourse">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9525" cap="flat" cmpd="sng" algn="ctr">
        <a:solidFill>
          <a:schemeClr val="phClr"/>
        </a:solidFill>
        <a:prstDash val="solid"/>
      </a:ln>
      <a:ln w="55000" cap="flat" cmpd="thickThin" algn="ctr">
        <a:solidFill>
          <a:schemeClr val="phClr"/>
        </a:solidFill>
        <a:prstDash val="solid"/>
      </a:ln>
      <a:ln w="63500" cap="flat" cmpd="thickThin"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fov="0">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Irena">
    <a:dk1>
      <a:sysClr val="windowText" lastClr="000000"/>
    </a:dk1>
    <a:lt1>
      <a:sysClr val="window" lastClr="FFFFFF"/>
    </a:lt1>
    <a:dk2>
      <a:srgbClr val="1F497D"/>
    </a:dk2>
    <a:lt2>
      <a:srgbClr val="EEECE1"/>
    </a:lt2>
    <a:accent1>
      <a:srgbClr val="CEEAB0"/>
    </a:accent1>
    <a:accent2>
      <a:srgbClr val="BF83D7"/>
    </a:accent2>
    <a:accent3>
      <a:srgbClr val="FAC08F"/>
    </a:accent3>
    <a:accent4>
      <a:srgbClr val="9999FF"/>
    </a:accent4>
    <a:accent5>
      <a:srgbClr val="9BD45F"/>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Concourse">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9525" cap="flat" cmpd="sng" algn="ctr">
        <a:solidFill>
          <a:schemeClr val="phClr"/>
        </a:solidFill>
        <a:prstDash val="solid"/>
      </a:ln>
      <a:ln w="55000" cap="flat" cmpd="thickThin" algn="ctr">
        <a:solidFill>
          <a:schemeClr val="phClr"/>
        </a:solidFill>
        <a:prstDash val="solid"/>
      </a:ln>
      <a:ln w="63500" cap="flat" cmpd="thickThin"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fov="0">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Irena">
    <a:dk1>
      <a:sysClr val="windowText" lastClr="000000"/>
    </a:dk1>
    <a:lt1>
      <a:sysClr val="window" lastClr="FFFFFF"/>
    </a:lt1>
    <a:dk2>
      <a:srgbClr val="1F497D"/>
    </a:dk2>
    <a:lt2>
      <a:srgbClr val="EEECE1"/>
    </a:lt2>
    <a:accent1>
      <a:srgbClr val="CEEAB0"/>
    </a:accent1>
    <a:accent2>
      <a:srgbClr val="BF83D7"/>
    </a:accent2>
    <a:accent3>
      <a:srgbClr val="FAC08F"/>
    </a:accent3>
    <a:accent4>
      <a:srgbClr val="9999FF"/>
    </a:accent4>
    <a:accent5>
      <a:srgbClr val="9BD45F"/>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Concourse">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9525" cap="flat" cmpd="sng" algn="ctr">
        <a:solidFill>
          <a:schemeClr val="phClr"/>
        </a:solidFill>
        <a:prstDash val="solid"/>
      </a:ln>
      <a:ln w="55000" cap="flat" cmpd="thickThin" algn="ctr">
        <a:solidFill>
          <a:schemeClr val="phClr"/>
        </a:solidFill>
        <a:prstDash val="solid"/>
      </a:ln>
      <a:ln w="63500" cap="flat" cmpd="thickThin"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fov="0">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3.xml><?xml version="1.0" encoding="utf-8"?>
<a:themeOverride xmlns:a="http://schemas.openxmlformats.org/drawingml/2006/main">
  <a:clrScheme name="Irena">
    <a:dk1>
      <a:sysClr val="windowText" lastClr="000000"/>
    </a:dk1>
    <a:lt1>
      <a:sysClr val="window" lastClr="FFFFFF"/>
    </a:lt1>
    <a:dk2>
      <a:srgbClr val="1F497D"/>
    </a:dk2>
    <a:lt2>
      <a:srgbClr val="EEECE1"/>
    </a:lt2>
    <a:accent1>
      <a:srgbClr val="CEEAB0"/>
    </a:accent1>
    <a:accent2>
      <a:srgbClr val="BF83D7"/>
    </a:accent2>
    <a:accent3>
      <a:srgbClr val="FAC08F"/>
    </a:accent3>
    <a:accent4>
      <a:srgbClr val="9999FF"/>
    </a:accent4>
    <a:accent5>
      <a:srgbClr val="9BD45F"/>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Concourse">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9525" cap="flat" cmpd="sng" algn="ctr">
        <a:solidFill>
          <a:schemeClr val="phClr"/>
        </a:solidFill>
        <a:prstDash val="solid"/>
      </a:ln>
      <a:ln w="55000" cap="flat" cmpd="thickThin" algn="ctr">
        <a:solidFill>
          <a:schemeClr val="phClr"/>
        </a:solidFill>
        <a:prstDash val="solid"/>
      </a:ln>
      <a:ln w="63500" cap="flat" cmpd="thickThin"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fov="0">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4.xml><?xml version="1.0" encoding="utf-8"?>
<a:themeOverride xmlns:a="http://schemas.openxmlformats.org/drawingml/2006/main">
  <a:clrScheme name="Irena">
    <a:dk1>
      <a:sysClr val="windowText" lastClr="000000"/>
    </a:dk1>
    <a:lt1>
      <a:sysClr val="window" lastClr="FFFFFF"/>
    </a:lt1>
    <a:dk2>
      <a:srgbClr val="1F497D"/>
    </a:dk2>
    <a:lt2>
      <a:srgbClr val="EEECE1"/>
    </a:lt2>
    <a:accent1>
      <a:srgbClr val="CEEAB0"/>
    </a:accent1>
    <a:accent2>
      <a:srgbClr val="BF83D7"/>
    </a:accent2>
    <a:accent3>
      <a:srgbClr val="FAC08F"/>
    </a:accent3>
    <a:accent4>
      <a:srgbClr val="9999FF"/>
    </a:accent4>
    <a:accent5>
      <a:srgbClr val="9BD45F"/>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Concourse">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9525" cap="flat" cmpd="sng" algn="ctr">
        <a:solidFill>
          <a:schemeClr val="phClr"/>
        </a:solidFill>
        <a:prstDash val="solid"/>
      </a:ln>
      <a:ln w="55000" cap="flat" cmpd="thickThin" algn="ctr">
        <a:solidFill>
          <a:schemeClr val="phClr"/>
        </a:solidFill>
        <a:prstDash val="solid"/>
      </a:ln>
      <a:ln w="63500" cap="flat" cmpd="thickThin"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fov="0">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5.xml><?xml version="1.0" encoding="utf-8"?>
<a:themeOverride xmlns:a="http://schemas.openxmlformats.org/drawingml/2006/main">
  <a:clrScheme name="Irena">
    <a:dk1>
      <a:sysClr val="windowText" lastClr="000000"/>
    </a:dk1>
    <a:lt1>
      <a:sysClr val="window" lastClr="FFFFFF"/>
    </a:lt1>
    <a:dk2>
      <a:srgbClr val="1F497D"/>
    </a:dk2>
    <a:lt2>
      <a:srgbClr val="EEECE1"/>
    </a:lt2>
    <a:accent1>
      <a:srgbClr val="CEEAB0"/>
    </a:accent1>
    <a:accent2>
      <a:srgbClr val="BF83D7"/>
    </a:accent2>
    <a:accent3>
      <a:srgbClr val="FAC08F"/>
    </a:accent3>
    <a:accent4>
      <a:srgbClr val="9999FF"/>
    </a:accent4>
    <a:accent5>
      <a:srgbClr val="9BD45F"/>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Concourse">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9525" cap="flat" cmpd="sng" algn="ctr">
        <a:solidFill>
          <a:schemeClr val="phClr"/>
        </a:solidFill>
        <a:prstDash val="solid"/>
      </a:ln>
      <a:ln w="55000" cap="flat" cmpd="thickThin" algn="ctr">
        <a:solidFill>
          <a:schemeClr val="phClr"/>
        </a:solidFill>
        <a:prstDash val="solid"/>
      </a:ln>
      <a:ln w="63500" cap="flat" cmpd="thickThin"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fov="0">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6.xml><?xml version="1.0" encoding="utf-8"?>
<a:themeOverride xmlns:a="http://schemas.openxmlformats.org/drawingml/2006/main">
  <a:clrScheme name="Irena">
    <a:dk1>
      <a:sysClr val="windowText" lastClr="000000"/>
    </a:dk1>
    <a:lt1>
      <a:sysClr val="window" lastClr="FFFFFF"/>
    </a:lt1>
    <a:dk2>
      <a:srgbClr val="1F497D"/>
    </a:dk2>
    <a:lt2>
      <a:srgbClr val="EEECE1"/>
    </a:lt2>
    <a:accent1>
      <a:srgbClr val="CEEAB0"/>
    </a:accent1>
    <a:accent2>
      <a:srgbClr val="BF83D7"/>
    </a:accent2>
    <a:accent3>
      <a:srgbClr val="FAC08F"/>
    </a:accent3>
    <a:accent4>
      <a:srgbClr val="9999FF"/>
    </a:accent4>
    <a:accent5>
      <a:srgbClr val="9BD45F"/>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Concourse">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9525" cap="flat" cmpd="sng" algn="ctr">
        <a:solidFill>
          <a:schemeClr val="phClr"/>
        </a:solidFill>
        <a:prstDash val="solid"/>
      </a:ln>
      <a:ln w="55000" cap="flat" cmpd="thickThin" algn="ctr">
        <a:solidFill>
          <a:schemeClr val="phClr"/>
        </a:solidFill>
        <a:prstDash val="solid"/>
      </a:ln>
      <a:ln w="63500" cap="flat" cmpd="thickThin"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fov="0">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7.xml><?xml version="1.0" encoding="utf-8"?>
<a:themeOverride xmlns:a="http://schemas.openxmlformats.org/drawingml/2006/main">
  <a:clrScheme name="Irena">
    <a:dk1>
      <a:sysClr val="windowText" lastClr="000000"/>
    </a:dk1>
    <a:lt1>
      <a:sysClr val="window" lastClr="FFFFFF"/>
    </a:lt1>
    <a:dk2>
      <a:srgbClr val="1F497D"/>
    </a:dk2>
    <a:lt2>
      <a:srgbClr val="EEECE1"/>
    </a:lt2>
    <a:accent1>
      <a:srgbClr val="CEEAB0"/>
    </a:accent1>
    <a:accent2>
      <a:srgbClr val="BF83D7"/>
    </a:accent2>
    <a:accent3>
      <a:srgbClr val="FAC08F"/>
    </a:accent3>
    <a:accent4>
      <a:srgbClr val="9999FF"/>
    </a:accent4>
    <a:accent5>
      <a:srgbClr val="9BD45F"/>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Concourse">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9525" cap="flat" cmpd="sng" algn="ctr">
        <a:solidFill>
          <a:schemeClr val="phClr"/>
        </a:solidFill>
        <a:prstDash val="solid"/>
      </a:ln>
      <a:ln w="55000" cap="flat" cmpd="thickThin" algn="ctr">
        <a:solidFill>
          <a:schemeClr val="phClr"/>
        </a:solidFill>
        <a:prstDash val="solid"/>
      </a:ln>
      <a:ln w="63500" cap="flat" cmpd="thickThin"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fov="0">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8.xml><?xml version="1.0" encoding="utf-8"?>
<a:themeOverride xmlns:a="http://schemas.openxmlformats.org/drawingml/2006/main">
  <a:clrScheme name="Irena">
    <a:dk1>
      <a:sysClr val="windowText" lastClr="000000"/>
    </a:dk1>
    <a:lt1>
      <a:sysClr val="window" lastClr="FFFFFF"/>
    </a:lt1>
    <a:dk2>
      <a:srgbClr val="1F497D"/>
    </a:dk2>
    <a:lt2>
      <a:srgbClr val="EEECE1"/>
    </a:lt2>
    <a:accent1>
      <a:srgbClr val="CEEAB0"/>
    </a:accent1>
    <a:accent2>
      <a:srgbClr val="BF83D7"/>
    </a:accent2>
    <a:accent3>
      <a:srgbClr val="FAC08F"/>
    </a:accent3>
    <a:accent4>
      <a:srgbClr val="9999FF"/>
    </a:accent4>
    <a:accent5>
      <a:srgbClr val="9BD45F"/>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Concourse">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9525" cap="flat" cmpd="sng" algn="ctr">
        <a:solidFill>
          <a:schemeClr val="phClr"/>
        </a:solidFill>
        <a:prstDash val="solid"/>
      </a:ln>
      <a:ln w="55000" cap="flat" cmpd="thickThin" algn="ctr">
        <a:solidFill>
          <a:schemeClr val="phClr"/>
        </a:solidFill>
        <a:prstDash val="solid"/>
      </a:ln>
      <a:ln w="63500" cap="flat" cmpd="thickThin"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fov="0">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Irena">
    <a:dk1>
      <a:sysClr val="windowText" lastClr="000000"/>
    </a:dk1>
    <a:lt1>
      <a:sysClr val="window" lastClr="FFFFFF"/>
    </a:lt1>
    <a:dk2>
      <a:srgbClr val="1F497D"/>
    </a:dk2>
    <a:lt2>
      <a:srgbClr val="EEECE1"/>
    </a:lt2>
    <a:accent1>
      <a:srgbClr val="CEEAB0"/>
    </a:accent1>
    <a:accent2>
      <a:srgbClr val="BF83D7"/>
    </a:accent2>
    <a:accent3>
      <a:srgbClr val="FAC08F"/>
    </a:accent3>
    <a:accent4>
      <a:srgbClr val="9999FF"/>
    </a:accent4>
    <a:accent5>
      <a:srgbClr val="9BD45F"/>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Concourse">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9525" cap="flat" cmpd="sng" algn="ctr">
        <a:solidFill>
          <a:schemeClr val="phClr"/>
        </a:solidFill>
        <a:prstDash val="solid"/>
      </a:ln>
      <a:ln w="55000" cap="flat" cmpd="thickThin" algn="ctr">
        <a:solidFill>
          <a:schemeClr val="phClr"/>
        </a:solidFill>
        <a:prstDash val="solid"/>
      </a:ln>
      <a:ln w="63500" cap="flat" cmpd="thickThin"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fov="0">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Irena">
    <a:dk1>
      <a:sysClr val="windowText" lastClr="000000"/>
    </a:dk1>
    <a:lt1>
      <a:sysClr val="window" lastClr="FFFFFF"/>
    </a:lt1>
    <a:dk2>
      <a:srgbClr val="1F497D"/>
    </a:dk2>
    <a:lt2>
      <a:srgbClr val="EEECE1"/>
    </a:lt2>
    <a:accent1>
      <a:srgbClr val="CEEAB0"/>
    </a:accent1>
    <a:accent2>
      <a:srgbClr val="BF83D7"/>
    </a:accent2>
    <a:accent3>
      <a:srgbClr val="FAC08F"/>
    </a:accent3>
    <a:accent4>
      <a:srgbClr val="9999FF"/>
    </a:accent4>
    <a:accent5>
      <a:srgbClr val="9BD45F"/>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Concourse">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9525" cap="flat" cmpd="sng" algn="ctr">
        <a:solidFill>
          <a:schemeClr val="phClr"/>
        </a:solidFill>
        <a:prstDash val="solid"/>
      </a:ln>
      <a:ln w="55000" cap="flat" cmpd="thickThin" algn="ctr">
        <a:solidFill>
          <a:schemeClr val="phClr"/>
        </a:solidFill>
        <a:prstDash val="solid"/>
      </a:ln>
      <a:ln w="63500" cap="flat" cmpd="thickThin"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fov="0">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Irena">
    <a:dk1>
      <a:sysClr val="windowText" lastClr="000000"/>
    </a:dk1>
    <a:lt1>
      <a:sysClr val="window" lastClr="FFFFFF"/>
    </a:lt1>
    <a:dk2>
      <a:srgbClr val="1F497D"/>
    </a:dk2>
    <a:lt2>
      <a:srgbClr val="EEECE1"/>
    </a:lt2>
    <a:accent1>
      <a:srgbClr val="CEEAB0"/>
    </a:accent1>
    <a:accent2>
      <a:srgbClr val="BF83D7"/>
    </a:accent2>
    <a:accent3>
      <a:srgbClr val="FAC08F"/>
    </a:accent3>
    <a:accent4>
      <a:srgbClr val="9999FF"/>
    </a:accent4>
    <a:accent5>
      <a:srgbClr val="9BD45F"/>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Concourse">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9525" cap="flat" cmpd="sng" algn="ctr">
        <a:solidFill>
          <a:schemeClr val="phClr"/>
        </a:solidFill>
        <a:prstDash val="solid"/>
      </a:ln>
      <a:ln w="55000" cap="flat" cmpd="thickThin" algn="ctr">
        <a:solidFill>
          <a:schemeClr val="phClr"/>
        </a:solidFill>
        <a:prstDash val="solid"/>
      </a:ln>
      <a:ln w="63500" cap="flat" cmpd="thickThin"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fov="0">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Irena">
    <a:dk1>
      <a:sysClr val="windowText" lastClr="000000"/>
    </a:dk1>
    <a:lt1>
      <a:sysClr val="window" lastClr="FFFFFF"/>
    </a:lt1>
    <a:dk2>
      <a:srgbClr val="1F497D"/>
    </a:dk2>
    <a:lt2>
      <a:srgbClr val="EEECE1"/>
    </a:lt2>
    <a:accent1>
      <a:srgbClr val="CEEAB0"/>
    </a:accent1>
    <a:accent2>
      <a:srgbClr val="BF83D7"/>
    </a:accent2>
    <a:accent3>
      <a:srgbClr val="FAC08F"/>
    </a:accent3>
    <a:accent4>
      <a:srgbClr val="9999FF"/>
    </a:accent4>
    <a:accent5>
      <a:srgbClr val="9BD45F"/>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Concourse">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9525" cap="flat" cmpd="sng" algn="ctr">
        <a:solidFill>
          <a:schemeClr val="phClr"/>
        </a:solidFill>
        <a:prstDash val="solid"/>
      </a:ln>
      <a:ln w="55000" cap="flat" cmpd="thickThin" algn="ctr">
        <a:solidFill>
          <a:schemeClr val="phClr"/>
        </a:solidFill>
        <a:prstDash val="solid"/>
      </a:ln>
      <a:ln w="63500" cap="flat" cmpd="thickThin"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fov="0">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Irena">
    <a:dk1>
      <a:sysClr val="windowText" lastClr="000000"/>
    </a:dk1>
    <a:lt1>
      <a:sysClr val="window" lastClr="FFFFFF"/>
    </a:lt1>
    <a:dk2>
      <a:srgbClr val="1F497D"/>
    </a:dk2>
    <a:lt2>
      <a:srgbClr val="EEECE1"/>
    </a:lt2>
    <a:accent1>
      <a:srgbClr val="CEEAB0"/>
    </a:accent1>
    <a:accent2>
      <a:srgbClr val="BF83D7"/>
    </a:accent2>
    <a:accent3>
      <a:srgbClr val="FAC08F"/>
    </a:accent3>
    <a:accent4>
      <a:srgbClr val="9999FF"/>
    </a:accent4>
    <a:accent5>
      <a:srgbClr val="9BD45F"/>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Concourse">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9525" cap="flat" cmpd="sng" algn="ctr">
        <a:solidFill>
          <a:schemeClr val="phClr"/>
        </a:solidFill>
        <a:prstDash val="solid"/>
      </a:ln>
      <a:ln w="55000" cap="flat" cmpd="thickThin" algn="ctr">
        <a:solidFill>
          <a:schemeClr val="phClr"/>
        </a:solidFill>
        <a:prstDash val="solid"/>
      </a:ln>
      <a:ln w="63500" cap="flat" cmpd="thickThin"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fov="0">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Irena">
    <a:dk1>
      <a:sysClr val="windowText" lastClr="000000"/>
    </a:dk1>
    <a:lt1>
      <a:sysClr val="window" lastClr="FFFFFF"/>
    </a:lt1>
    <a:dk2>
      <a:srgbClr val="1F497D"/>
    </a:dk2>
    <a:lt2>
      <a:srgbClr val="EEECE1"/>
    </a:lt2>
    <a:accent1>
      <a:srgbClr val="CEEAB0"/>
    </a:accent1>
    <a:accent2>
      <a:srgbClr val="BF83D7"/>
    </a:accent2>
    <a:accent3>
      <a:srgbClr val="FAC08F"/>
    </a:accent3>
    <a:accent4>
      <a:srgbClr val="9999FF"/>
    </a:accent4>
    <a:accent5>
      <a:srgbClr val="9BD45F"/>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Concourse">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9525" cap="flat" cmpd="sng" algn="ctr">
        <a:solidFill>
          <a:schemeClr val="phClr"/>
        </a:solidFill>
        <a:prstDash val="solid"/>
      </a:ln>
      <a:ln w="55000" cap="flat" cmpd="thickThin" algn="ctr">
        <a:solidFill>
          <a:schemeClr val="phClr"/>
        </a:solidFill>
        <a:prstDash val="solid"/>
      </a:ln>
      <a:ln w="63500" cap="flat" cmpd="thickThin"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fov="0">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Irena">
    <a:dk1>
      <a:sysClr val="windowText" lastClr="000000"/>
    </a:dk1>
    <a:lt1>
      <a:sysClr val="window" lastClr="FFFFFF"/>
    </a:lt1>
    <a:dk2>
      <a:srgbClr val="1F497D"/>
    </a:dk2>
    <a:lt2>
      <a:srgbClr val="EEECE1"/>
    </a:lt2>
    <a:accent1>
      <a:srgbClr val="CEEAB0"/>
    </a:accent1>
    <a:accent2>
      <a:srgbClr val="BF83D7"/>
    </a:accent2>
    <a:accent3>
      <a:srgbClr val="FAC08F"/>
    </a:accent3>
    <a:accent4>
      <a:srgbClr val="9999FF"/>
    </a:accent4>
    <a:accent5>
      <a:srgbClr val="9BD45F"/>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Concourse">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9525" cap="flat" cmpd="sng" algn="ctr">
        <a:solidFill>
          <a:schemeClr val="phClr"/>
        </a:solidFill>
        <a:prstDash val="solid"/>
      </a:ln>
      <a:ln w="55000" cap="flat" cmpd="thickThin" algn="ctr">
        <a:solidFill>
          <a:schemeClr val="phClr"/>
        </a:solidFill>
        <a:prstDash val="solid"/>
      </a:ln>
      <a:ln w="63500" cap="flat" cmpd="thickThin"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fov="0">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2014-06-01T00:00:00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95A3748-8FBB-4618-8D6E-D36E7DBB3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206</Pages>
  <Words>56465</Words>
  <Characters>321857</Characters>
  <Application>Microsoft Office Word</Application>
  <DocSecurity>0</DocSecurity>
  <Lines>2682</Lines>
  <Paragraphs>755</Paragraphs>
  <ScaleCrop>false</ScaleCrop>
  <HeadingPairs>
    <vt:vector size="2" baseType="variant">
      <vt:variant>
        <vt:lpstr>Title</vt:lpstr>
      </vt:variant>
      <vt:variant>
        <vt:i4>1</vt:i4>
      </vt:variant>
    </vt:vector>
  </HeadingPairs>
  <TitlesOfParts>
    <vt:vector size="1" baseType="lpstr">
      <vt:lpstr>Informacija o stanju životne sredine u Crnoj Gori za 2013.godinu                    </vt:lpstr>
    </vt:vector>
  </TitlesOfParts>
  <Company>Agencija za zaštitu životne sredine</Company>
  <LinksUpToDate>false</LinksUpToDate>
  <CharactersWithSpaces>377567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Informacija o stanju životne sredine u Crnoj Gori za 2013.godinu                    </dc:title>
  <dc:creator>agencija</dc:creator>
  <cp:lastModifiedBy>Biljana Kilibarda</cp:lastModifiedBy>
  <cp:revision>22</cp:revision>
  <cp:lastPrinted>2014-06-18T11:15:00Z</cp:lastPrinted>
  <dcterms:created xsi:type="dcterms:W3CDTF">2014-06-18T12:44:00Z</dcterms:created>
  <dcterms:modified xsi:type="dcterms:W3CDTF">2014-07-23T14:58:00Z</dcterms:modified>
</cp:coreProperties>
</file>